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Pr="00CB7408" w:rsidRDefault="00F34F19" w:rsidP="00F34F1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223CCF-236C-4612-B1EB-36B3F4DB23B8" style="width:455.25pt;height:342.75pt">
            <v:imagedata r:id="rId8" o:title=""/>
          </v:shape>
        </w:pict>
      </w:r>
    </w:p>
    <w:p w:rsidR="001A62D7" w:rsidRPr="00CB7408" w:rsidRDefault="001A62D7" w:rsidP="001A62D7">
      <w:pPr>
        <w:rPr>
          <w:noProof/>
        </w:rPr>
        <w:sectPr w:rsidR="001A62D7" w:rsidRPr="00CB7408" w:rsidSect="00F34F19">
          <w:footerReference w:type="even" r:id="rId9"/>
          <w:footerReference w:type="default" r:id="rId10"/>
          <w:pgSz w:w="11907" w:h="16839"/>
          <w:pgMar w:top="1134" w:right="1417" w:bottom="1134" w:left="1417" w:header="709" w:footer="709" w:gutter="0"/>
          <w:pgNumType w:start="0"/>
          <w:cols w:space="720"/>
          <w:docGrid w:linePitch="360"/>
        </w:sectPr>
      </w:pPr>
    </w:p>
    <w:p w:rsidR="001A62D7" w:rsidRPr="00CB7408" w:rsidRDefault="001A62D7" w:rsidP="001A62D7">
      <w:pPr>
        <w:pStyle w:val="Exposdesmotifstitre"/>
        <w:rPr>
          <w:noProof/>
        </w:rPr>
      </w:pPr>
      <w:bookmarkStart w:id="0" w:name="_GoBack"/>
      <w:bookmarkEnd w:id="0"/>
      <w:r w:rsidRPr="00CB7408">
        <w:rPr>
          <w:noProof/>
        </w:rPr>
        <w:lastRenderedPageBreak/>
        <w:t>EXPLANATORY MEMORANDUM</w:t>
      </w:r>
    </w:p>
    <w:p w:rsidR="001A62D7" w:rsidRPr="00CB7408" w:rsidRDefault="001A62D7" w:rsidP="001A62D7">
      <w:pPr>
        <w:pStyle w:val="ManualHeading1"/>
        <w:rPr>
          <w:noProof/>
        </w:rPr>
      </w:pPr>
      <w:r w:rsidRPr="00CB7408">
        <w:rPr>
          <w:noProof/>
        </w:rPr>
        <w:t>CONTEXT OF THE PROPOSAL</w:t>
      </w:r>
    </w:p>
    <w:p w:rsidR="001A62D7" w:rsidRPr="00CB7408" w:rsidRDefault="001A62D7" w:rsidP="00AE7D04">
      <w:pPr>
        <w:pStyle w:val="ManualNumPar1"/>
        <w:rPr>
          <w:noProof/>
        </w:rPr>
      </w:pPr>
      <w:r>
        <w:rPr>
          <w:noProof/>
        </w:rPr>
        <w:t>1.</w:t>
      </w:r>
      <w:r>
        <w:rPr>
          <w:noProof/>
        </w:rPr>
        <w:tab/>
      </w:r>
      <w:r w:rsidRPr="00CB7408">
        <w:rPr>
          <w:noProof/>
        </w:rPr>
        <w:t>The rules applicable to financial contributions from the European Globalisation Adjustment Fund for Displaced Workers (EGF) are laid down in Regulation (EU) 2021/691 of the European Parliament and of the Council of 28 April 2021 on the European Globalisation Adjustment Fund for Displaced Workers (EGF) and repealing Regulation (EU) No 1309/2013</w:t>
      </w:r>
      <w:r w:rsidRPr="00CB7408">
        <w:rPr>
          <w:rStyle w:val="FootnoteReference"/>
          <w:noProof/>
        </w:rPr>
        <w:footnoteReference w:id="1"/>
      </w:r>
      <w:r w:rsidRPr="00CB7408">
        <w:rPr>
          <w:noProof/>
        </w:rPr>
        <w:t>.</w:t>
      </w:r>
    </w:p>
    <w:p w:rsidR="001A62D7" w:rsidRPr="00CB7408" w:rsidRDefault="001A62D7" w:rsidP="00AE7D04">
      <w:pPr>
        <w:pStyle w:val="ManualNumPar1"/>
        <w:rPr>
          <w:noProof/>
        </w:rPr>
      </w:pPr>
      <w:r>
        <w:rPr>
          <w:noProof/>
        </w:rPr>
        <w:t>2.</w:t>
      </w:r>
      <w:r>
        <w:rPr>
          <w:noProof/>
        </w:rPr>
        <w:tab/>
      </w:r>
      <w:r w:rsidRPr="00CB7408">
        <w:rPr>
          <w:noProof/>
        </w:rPr>
        <w:t xml:space="preserve">On </w:t>
      </w:r>
      <w:r w:rsidR="00667BE1" w:rsidRPr="00CB7408">
        <w:rPr>
          <w:noProof/>
        </w:rPr>
        <w:t>13 November 2025</w:t>
      </w:r>
      <w:r w:rsidRPr="00CB7408">
        <w:rPr>
          <w:noProof/>
        </w:rPr>
        <w:t xml:space="preserve">, </w:t>
      </w:r>
      <w:r w:rsidR="00667BE1" w:rsidRPr="00CB7408">
        <w:rPr>
          <w:noProof/>
        </w:rPr>
        <w:t>Belgium</w:t>
      </w:r>
      <w:r w:rsidRPr="00CB7408">
        <w:rPr>
          <w:noProof/>
        </w:rPr>
        <w:t xml:space="preserve"> submitted an application EGF/</w:t>
      </w:r>
      <w:bookmarkStart w:id="1" w:name="EGF_Ref_Year"/>
      <w:r w:rsidR="00667BE1" w:rsidRPr="00CB7408">
        <w:rPr>
          <w:noProof/>
        </w:rPr>
        <w:t>2025</w:t>
      </w:r>
      <w:bookmarkEnd w:id="1"/>
      <w:r w:rsidRPr="00CB7408">
        <w:rPr>
          <w:noProof/>
        </w:rPr>
        <w:t>/</w:t>
      </w:r>
      <w:bookmarkStart w:id="2" w:name="EGF_Ref_CaseNumber"/>
      <w:r w:rsidR="00667BE1" w:rsidRPr="00CB7408">
        <w:rPr>
          <w:noProof/>
        </w:rPr>
        <w:t>008</w:t>
      </w:r>
      <w:bookmarkEnd w:id="2"/>
      <w:r w:rsidRPr="00CB7408">
        <w:rPr>
          <w:noProof/>
        </w:rPr>
        <w:t> </w:t>
      </w:r>
      <w:bookmarkStart w:id="3" w:name="MS_Code"/>
      <w:r w:rsidR="00625A8E" w:rsidRPr="00CB7408">
        <w:rPr>
          <w:noProof/>
        </w:rPr>
        <w:t>BE</w:t>
      </w:r>
      <w:bookmarkEnd w:id="3"/>
      <w:r w:rsidRPr="00CB7408">
        <w:rPr>
          <w:noProof/>
        </w:rPr>
        <w:t>/</w:t>
      </w:r>
      <w:bookmarkStart w:id="4" w:name="EGF_Ref_CaseName"/>
      <w:r w:rsidR="00667BE1" w:rsidRPr="00CB7408">
        <w:rPr>
          <w:noProof/>
        </w:rPr>
        <w:t>Liberty</w:t>
      </w:r>
      <w:bookmarkEnd w:id="4"/>
      <w:r w:rsidRPr="00CB7408">
        <w:rPr>
          <w:noProof/>
        </w:rPr>
        <w:t xml:space="preserve"> for a financial contribution from the EGF, following displacements in</w:t>
      </w:r>
      <w:r w:rsidR="00915573" w:rsidRPr="00CB7408">
        <w:rPr>
          <w:noProof/>
        </w:rPr>
        <w:t xml:space="preserve"> </w:t>
      </w:r>
      <w:r w:rsidR="00546BF7" w:rsidRPr="00CB7408">
        <w:rPr>
          <w:noProof/>
        </w:rPr>
        <w:t>Liberty Galaţi Belgian Branch</w:t>
      </w:r>
      <w:r w:rsidR="00546BF7" w:rsidRPr="00CB7408">
        <w:rPr>
          <w:rStyle w:val="FootnoteReference"/>
          <w:noProof/>
        </w:rPr>
        <w:footnoteReference w:id="2"/>
      </w:r>
      <w:r w:rsidRPr="00CB7408">
        <w:rPr>
          <w:noProof/>
        </w:rPr>
        <w:t xml:space="preserve"> in </w:t>
      </w:r>
      <w:bookmarkStart w:id="5" w:name="MS_Name"/>
      <w:r w:rsidR="00E83C10" w:rsidRPr="00CB7408">
        <w:rPr>
          <w:noProof/>
        </w:rPr>
        <w:t>Belgium</w:t>
      </w:r>
      <w:bookmarkEnd w:id="5"/>
      <w:r w:rsidRPr="00CB7408">
        <w:rPr>
          <w:noProof/>
        </w:rPr>
        <w:t>.</w:t>
      </w:r>
    </w:p>
    <w:p w:rsidR="001A62D7" w:rsidRPr="00CB7408" w:rsidRDefault="001A62D7" w:rsidP="00AE7D04">
      <w:pPr>
        <w:pStyle w:val="ManualNumPar1"/>
        <w:rPr>
          <w:noProof/>
        </w:rPr>
      </w:pPr>
      <w:r>
        <w:rPr>
          <w:noProof/>
        </w:rPr>
        <w:t>3.</w:t>
      </w:r>
      <w:r>
        <w:rPr>
          <w:noProof/>
        </w:rPr>
        <w:tab/>
      </w:r>
      <w:r w:rsidRPr="00CB7408">
        <w:rPr>
          <w:noProof/>
        </w:rPr>
        <w:t xml:space="preserve">Following its assessment of this application, the Commission has concluded, in accordance with all applicable provisions of Regulation (EU) 2021/691, that the conditions for awarding a financial contribution from the EGF are met. </w:t>
      </w:r>
    </w:p>
    <w:p w:rsidR="001A62D7" w:rsidRPr="00CB7408" w:rsidRDefault="001A62D7" w:rsidP="001A62D7">
      <w:pPr>
        <w:pStyle w:val="ManualHeading1"/>
        <w:rPr>
          <w:noProof/>
        </w:rPr>
      </w:pPr>
      <w:r w:rsidRPr="00CB7408">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1A62D7" w:rsidRPr="00CB7408" w:rsidTr="001D5990">
        <w:tc>
          <w:tcPr>
            <w:tcW w:w="4908" w:type="dxa"/>
            <w:shd w:val="clear" w:color="auto" w:fill="auto"/>
          </w:tcPr>
          <w:p w:rsidR="001A62D7" w:rsidRPr="00CB7408" w:rsidRDefault="001A62D7" w:rsidP="001D5990">
            <w:pPr>
              <w:spacing w:before="60" w:after="60"/>
              <w:jc w:val="left"/>
              <w:rPr>
                <w:rFonts w:eastAsia="Calibri"/>
                <w:noProof/>
              </w:rPr>
            </w:pPr>
            <w:r w:rsidRPr="00CB7408">
              <w:rPr>
                <w:noProof/>
              </w:rPr>
              <w:t>EGF application</w:t>
            </w:r>
          </w:p>
        </w:tc>
        <w:tc>
          <w:tcPr>
            <w:tcW w:w="4379" w:type="dxa"/>
            <w:shd w:val="clear" w:color="auto" w:fill="auto"/>
          </w:tcPr>
          <w:p w:rsidR="001A62D7" w:rsidRPr="00CB7408" w:rsidRDefault="001A62D7" w:rsidP="001D5990">
            <w:pPr>
              <w:spacing w:before="60" w:after="60"/>
              <w:ind w:rightChars="192" w:right="461"/>
              <w:jc w:val="left"/>
              <w:rPr>
                <w:rFonts w:eastAsia="Calibri"/>
                <w:noProof/>
              </w:rPr>
            </w:pPr>
            <w:r w:rsidRPr="00CB7408">
              <w:rPr>
                <w:noProof/>
              </w:rPr>
              <w:t>EGF/</w:t>
            </w:r>
            <w:r w:rsidR="00516125" w:rsidRPr="00CB7408">
              <w:rPr>
                <w:noProof/>
              </w:rPr>
              <w:t>2025</w:t>
            </w:r>
            <w:r w:rsidRPr="00CB7408">
              <w:rPr>
                <w:noProof/>
              </w:rPr>
              <w:t>/</w:t>
            </w:r>
            <w:r w:rsidR="00516125" w:rsidRPr="00CB7408">
              <w:rPr>
                <w:noProof/>
              </w:rPr>
              <w:t>008</w:t>
            </w:r>
            <w:r w:rsidRPr="00CB7408">
              <w:rPr>
                <w:noProof/>
              </w:rPr>
              <w:t xml:space="preserve"> </w:t>
            </w:r>
            <w:r w:rsidR="00625A8E" w:rsidRPr="00CB7408">
              <w:rPr>
                <w:noProof/>
              </w:rPr>
              <w:t>BE</w:t>
            </w:r>
            <w:r w:rsidRPr="00CB7408">
              <w:rPr>
                <w:noProof/>
              </w:rPr>
              <w:t>/</w:t>
            </w:r>
            <w:r w:rsidR="00516125" w:rsidRPr="00CB7408">
              <w:rPr>
                <w:noProof/>
              </w:rPr>
              <w:t>Liberty</w:t>
            </w:r>
          </w:p>
        </w:tc>
      </w:tr>
      <w:tr w:rsidR="001A62D7" w:rsidRPr="00CB7408" w:rsidTr="001D5990">
        <w:tc>
          <w:tcPr>
            <w:tcW w:w="4908" w:type="dxa"/>
            <w:shd w:val="clear" w:color="auto" w:fill="auto"/>
          </w:tcPr>
          <w:p w:rsidR="001A62D7" w:rsidRPr="00CB7408" w:rsidRDefault="001A62D7" w:rsidP="001D5990">
            <w:pPr>
              <w:spacing w:before="60" w:after="60"/>
              <w:jc w:val="left"/>
              <w:rPr>
                <w:rFonts w:eastAsia="Calibri"/>
                <w:noProof/>
              </w:rPr>
            </w:pPr>
            <w:r w:rsidRPr="00CB7408">
              <w:rPr>
                <w:rFonts w:eastAsia="Calibri"/>
                <w:noProof/>
              </w:rPr>
              <w:t>Member State</w:t>
            </w:r>
          </w:p>
        </w:tc>
        <w:tc>
          <w:tcPr>
            <w:tcW w:w="4379" w:type="dxa"/>
            <w:shd w:val="clear" w:color="auto" w:fill="auto"/>
          </w:tcPr>
          <w:p w:rsidR="001A62D7" w:rsidRPr="00CB7408" w:rsidRDefault="00516125" w:rsidP="001D5990">
            <w:pPr>
              <w:spacing w:before="60" w:after="60"/>
              <w:ind w:rightChars="192" w:right="461"/>
              <w:jc w:val="left"/>
              <w:rPr>
                <w:rFonts w:eastAsia="Calibri"/>
                <w:noProof/>
              </w:rPr>
            </w:pPr>
            <w:r w:rsidRPr="00CB7408">
              <w:rPr>
                <w:noProof/>
              </w:rPr>
              <w:t>Belgium</w:t>
            </w:r>
          </w:p>
        </w:tc>
      </w:tr>
      <w:tr w:rsidR="001A62D7" w:rsidRPr="00CB7408" w:rsidTr="001D5990">
        <w:tc>
          <w:tcPr>
            <w:tcW w:w="4908" w:type="dxa"/>
            <w:tcBorders>
              <w:bottom w:val="single"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Region(s) concerned (NUTS</w:t>
            </w:r>
            <w:r w:rsidRPr="00CB7408">
              <w:rPr>
                <w:rStyle w:val="FootnoteReference"/>
                <w:noProof/>
              </w:rPr>
              <w:footnoteReference w:id="3"/>
            </w:r>
            <w:r w:rsidRPr="00CB7408">
              <w:rPr>
                <w:rFonts w:eastAsia="Calibri"/>
                <w:noProof/>
              </w:rPr>
              <w:t xml:space="preserve"> level 2)</w:t>
            </w:r>
          </w:p>
        </w:tc>
        <w:tc>
          <w:tcPr>
            <w:tcW w:w="4379" w:type="dxa"/>
            <w:tcBorders>
              <w:bottom w:val="single" w:sz="4" w:space="0" w:color="auto"/>
            </w:tcBorders>
            <w:shd w:val="clear" w:color="auto" w:fill="auto"/>
          </w:tcPr>
          <w:p w:rsidR="001A62D7" w:rsidRPr="00CB7408" w:rsidRDefault="00516125" w:rsidP="00516125">
            <w:pPr>
              <w:spacing w:before="0" w:after="0"/>
              <w:ind w:rightChars="192" w:right="461"/>
              <w:jc w:val="left"/>
              <w:rPr>
                <w:noProof/>
                <w:szCs w:val="24"/>
              </w:rPr>
            </w:pPr>
            <w:bookmarkStart w:id="6" w:name="Region_1_Name"/>
            <w:r w:rsidRPr="00CB7408">
              <w:rPr>
                <w:noProof/>
                <w:szCs w:val="24"/>
              </w:rPr>
              <w:t>Province Liège</w:t>
            </w:r>
            <w:bookmarkEnd w:id="6"/>
            <w:r w:rsidR="001A62D7" w:rsidRPr="00CB7408">
              <w:rPr>
                <w:noProof/>
                <w:szCs w:val="24"/>
              </w:rPr>
              <w:t xml:space="preserve"> (</w:t>
            </w:r>
            <w:r w:rsidRPr="00CB7408">
              <w:rPr>
                <w:noProof/>
                <w:szCs w:val="24"/>
              </w:rPr>
              <w:t>BE33</w:t>
            </w:r>
            <w:r w:rsidR="001A62D7" w:rsidRPr="00CB7408">
              <w:rPr>
                <w:noProof/>
                <w:szCs w:val="24"/>
              </w:rPr>
              <w:t>)</w:t>
            </w:r>
          </w:p>
        </w:tc>
      </w:tr>
      <w:tr w:rsidR="001A62D7" w:rsidRPr="00CB7408" w:rsidTr="001D5990">
        <w:tc>
          <w:tcPr>
            <w:tcW w:w="4908" w:type="dxa"/>
            <w:tcBorders>
              <w:bottom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Date of submission of the application</w:t>
            </w:r>
          </w:p>
        </w:tc>
        <w:tc>
          <w:tcPr>
            <w:tcW w:w="4379" w:type="dxa"/>
            <w:tcBorders>
              <w:bottom w:val="dotted" w:sz="4" w:space="0" w:color="auto"/>
            </w:tcBorders>
            <w:shd w:val="clear" w:color="auto" w:fill="auto"/>
          </w:tcPr>
          <w:p w:rsidR="001A62D7" w:rsidRPr="00CB7408" w:rsidRDefault="00516125" w:rsidP="001D5990">
            <w:pPr>
              <w:spacing w:before="60" w:after="60"/>
              <w:ind w:rightChars="192" w:right="461"/>
              <w:jc w:val="left"/>
              <w:rPr>
                <w:rFonts w:eastAsia="Calibri"/>
                <w:noProof/>
              </w:rPr>
            </w:pPr>
            <w:r w:rsidRPr="00CB7408">
              <w:rPr>
                <w:noProof/>
              </w:rPr>
              <w:t>13 November 2025</w:t>
            </w:r>
          </w:p>
        </w:tc>
      </w:tr>
      <w:tr w:rsidR="001A62D7" w:rsidRPr="00CB7408" w:rsidTr="001D5990">
        <w:tc>
          <w:tcPr>
            <w:tcW w:w="4908" w:type="dxa"/>
            <w:tcBorders>
              <w:top w:val="dotted" w:sz="4" w:space="0" w:color="auto"/>
              <w:bottom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Date of acknowledgement of receipt of the application</w:t>
            </w:r>
          </w:p>
        </w:tc>
        <w:tc>
          <w:tcPr>
            <w:tcW w:w="4379" w:type="dxa"/>
            <w:tcBorders>
              <w:top w:val="dotted" w:sz="4" w:space="0" w:color="auto"/>
              <w:bottom w:val="dotted" w:sz="4" w:space="0" w:color="auto"/>
            </w:tcBorders>
            <w:shd w:val="clear" w:color="auto" w:fill="auto"/>
          </w:tcPr>
          <w:p w:rsidR="001A62D7" w:rsidRPr="00CB7408" w:rsidRDefault="00E83C10" w:rsidP="001D5990">
            <w:pPr>
              <w:spacing w:before="60" w:after="60"/>
              <w:ind w:rightChars="192" w:right="461"/>
              <w:jc w:val="left"/>
              <w:rPr>
                <w:rFonts w:eastAsia="Calibri"/>
                <w:noProof/>
              </w:rPr>
            </w:pPr>
            <w:r w:rsidRPr="00CB7408">
              <w:rPr>
                <w:noProof/>
              </w:rPr>
              <w:t>27 November 2025</w:t>
            </w:r>
          </w:p>
        </w:tc>
      </w:tr>
      <w:tr w:rsidR="001A62D7" w:rsidRPr="00CB7408" w:rsidTr="001D5990">
        <w:tc>
          <w:tcPr>
            <w:tcW w:w="4908" w:type="dxa"/>
            <w:tcBorders>
              <w:top w:val="dotted" w:sz="4" w:space="0" w:color="auto"/>
              <w:bottom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Date of request for additional information</w:t>
            </w:r>
          </w:p>
        </w:tc>
        <w:tc>
          <w:tcPr>
            <w:tcW w:w="4379" w:type="dxa"/>
            <w:tcBorders>
              <w:top w:val="dotted" w:sz="4" w:space="0" w:color="auto"/>
              <w:bottom w:val="dotted" w:sz="4" w:space="0" w:color="auto"/>
            </w:tcBorders>
            <w:shd w:val="clear" w:color="auto" w:fill="auto"/>
          </w:tcPr>
          <w:p w:rsidR="001A62D7" w:rsidRPr="00CB7408" w:rsidRDefault="00E83C10" w:rsidP="001D5990">
            <w:pPr>
              <w:spacing w:before="60" w:after="60"/>
              <w:ind w:rightChars="192" w:right="461"/>
              <w:jc w:val="left"/>
              <w:rPr>
                <w:rFonts w:eastAsia="Calibri"/>
                <w:noProof/>
              </w:rPr>
            </w:pPr>
            <w:r w:rsidRPr="00CB7408">
              <w:rPr>
                <w:noProof/>
              </w:rPr>
              <w:t>27 November 2025</w:t>
            </w:r>
          </w:p>
        </w:tc>
      </w:tr>
      <w:tr w:rsidR="001A62D7" w:rsidRPr="00CB7408" w:rsidTr="001D5990">
        <w:tc>
          <w:tcPr>
            <w:tcW w:w="4908" w:type="dxa"/>
            <w:tcBorders>
              <w:top w:val="dotted" w:sz="4" w:space="0" w:color="auto"/>
              <w:bottom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Deadline for provision of the additional information</w:t>
            </w:r>
          </w:p>
        </w:tc>
        <w:tc>
          <w:tcPr>
            <w:tcW w:w="4379" w:type="dxa"/>
            <w:tcBorders>
              <w:top w:val="dotted" w:sz="4" w:space="0" w:color="auto"/>
              <w:bottom w:val="dotted" w:sz="4" w:space="0" w:color="auto"/>
            </w:tcBorders>
            <w:shd w:val="clear" w:color="auto" w:fill="auto"/>
          </w:tcPr>
          <w:p w:rsidR="001A62D7" w:rsidRPr="00CB7408" w:rsidRDefault="00E83C10" w:rsidP="001D5990">
            <w:pPr>
              <w:spacing w:before="60" w:after="60"/>
              <w:ind w:rightChars="192" w:right="461"/>
              <w:jc w:val="left"/>
              <w:rPr>
                <w:rFonts w:eastAsia="Calibri"/>
                <w:noProof/>
              </w:rPr>
            </w:pPr>
            <w:r w:rsidRPr="00CB7408">
              <w:rPr>
                <w:noProof/>
              </w:rPr>
              <w:t>18 December 2025</w:t>
            </w:r>
          </w:p>
        </w:tc>
      </w:tr>
      <w:tr w:rsidR="001A62D7" w:rsidRPr="00CB7408" w:rsidTr="001D5990">
        <w:tc>
          <w:tcPr>
            <w:tcW w:w="4908" w:type="dxa"/>
            <w:tcBorders>
              <w:top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Deadline for the completion of the assessment</w:t>
            </w:r>
          </w:p>
        </w:tc>
        <w:tc>
          <w:tcPr>
            <w:tcW w:w="4379" w:type="dxa"/>
            <w:tcBorders>
              <w:top w:val="dotted" w:sz="4" w:space="0" w:color="auto"/>
            </w:tcBorders>
            <w:shd w:val="clear" w:color="auto" w:fill="auto"/>
          </w:tcPr>
          <w:p w:rsidR="001A62D7" w:rsidRPr="00CB7408" w:rsidRDefault="00E1077D" w:rsidP="001D5990">
            <w:pPr>
              <w:spacing w:before="60" w:after="60"/>
              <w:ind w:rightChars="192" w:right="461"/>
              <w:jc w:val="left"/>
              <w:rPr>
                <w:rFonts w:eastAsia="Calibri"/>
                <w:noProof/>
              </w:rPr>
            </w:pPr>
            <w:r w:rsidRPr="00CB7408">
              <w:rPr>
                <w:noProof/>
              </w:rPr>
              <w:t>10 March 2026</w:t>
            </w:r>
          </w:p>
        </w:tc>
      </w:tr>
      <w:tr w:rsidR="001A62D7" w:rsidRPr="00CB7408" w:rsidTr="001D5990">
        <w:tc>
          <w:tcPr>
            <w:tcW w:w="4908" w:type="dxa"/>
            <w:shd w:val="clear" w:color="auto" w:fill="auto"/>
          </w:tcPr>
          <w:p w:rsidR="001A62D7" w:rsidRPr="00CB7408" w:rsidRDefault="001A62D7" w:rsidP="001D5990">
            <w:pPr>
              <w:spacing w:before="60" w:after="60"/>
              <w:jc w:val="left"/>
              <w:rPr>
                <w:rFonts w:eastAsia="Calibri"/>
                <w:noProof/>
              </w:rPr>
            </w:pPr>
            <w:r w:rsidRPr="00CB7408">
              <w:rPr>
                <w:rFonts w:eastAsia="Calibri"/>
                <w:noProof/>
              </w:rPr>
              <w:t>Intervention criterion</w:t>
            </w:r>
          </w:p>
        </w:tc>
        <w:tc>
          <w:tcPr>
            <w:tcW w:w="4379" w:type="dxa"/>
            <w:shd w:val="clear" w:color="auto" w:fill="auto"/>
          </w:tcPr>
          <w:p w:rsidR="001A62D7" w:rsidRPr="00CB7408" w:rsidRDefault="001A62D7" w:rsidP="001D5990">
            <w:pPr>
              <w:spacing w:before="60" w:after="60"/>
              <w:ind w:rightChars="192" w:right="461"/>
              <w:jc w:val="left"/>
              <w:rPr>
                <w:rFonts w:eastAsia="Calibri"/>
                <w:noProof/>
              </w:rPr>
            </w:pPr>
            <w:r w:rsidRPr="00CB7408">
              <w:rPr>
                <w:rFonts w:eastAsia="Calibri"/>
                <w:noProof/>
              </w:rPr>
              <w:t>Article 4(</w:t>
            </w:r>
            <w:r w:rsidR="00516125" w:rsidRPr="00CB7408">
              <w:rPr>
                <w:rFonts w:eastAsia="Calibri"/>
                <w:noProof/>
              </w:rPr>
              <w:t>2</w:t>
            </w:r>
            <w:r w:rsidRPr="00CB7408">
              <w:rPr>
                <w:rFonts w:eastAsia="Calibri"/>
                <w:noProof/>
              </w:rPr>
              <w:t>), point (</w:t>
            </w:r>
            <w:r w:rsidR="00516125" w:rsidRPr="00CB7408">
              <w:rPr>
                <w:rFonts w:eastAsia="Calibri"/>
                <w:noProof/>
              </w:rPr>
              <w:t>a</w:t>
            </w:r>
            <w:r w:rsidRPr="00CB7408">
              <w:rPr>
                <w:rFonts w:eastAsia="Calibri"/>
                <w:noProof/>
              </w:rPr>
              <w:t>), of Regulation (EU) 2021/691</w:t>
            </w:r>
          </w:p>
        </w:tc>
      </w:tr>
      <w:tr w:rsidR="001A62D7" w:rsidRPr="00CB7408" w:rsidTr="001D5990">
        <w:tc>
          <w:tcPr>
            <w:tcW w:w="4908" w:type="dxa"/>
            <w:tcBorders>
              <w:top w:val="single" w:sz="4" w:space="0" w:color="auto"/>
              <w:bottom w:val="single" w:sz="4" w:space="0" w:color="auto"/>
              <w:right w:val="single" w:sz="4" w:space="0" w:color="auto"/>
            </w:tcBorders>
            <w:shd w:val="clear" w:color="auto" w:fill="auto"/>
          </w:tcPr>
          <w:p w:rsidR="001A62D7" w:rsidRPr="00CB7408" w:rsidRDefault="001A62D7" w:rsidP="001D5990">
            <w:pPr>
              <w:spacing w:before="60" w:after="60"/>
              <w:jc w:val="left"/>
              <w:rPr>
                <w:rFonts w:eastAsia="Calibri"/>
                <w:noProof/>
              </w:rPr>
            </w:pPr>
            <w:r w:rsidRPr="00CB7408">
              <w:rPr>
                <w:noProof/>
              </w:rPr>
              <w:br w:type="page"/>
            </w:r>
            <w:r w:rsidR="00516125" w:rsidRPr="00CB7408">
              <w:rPr>
                <w:noProof/>
              </w:rPr>
              <w:t>E</w:t>
            </w:r>
            <w:r w:rsidRPr="00CB7408">
              <w:rPr>
                <w:rFonts w:eastAsia="Calibri"/>
                <w:noProof/>
              </w:rPr>
              <w:t>nterprise</w:t>
            </w:r>
          </w:p>
        </w:tc>
        <w:tc>
          <w:tcPr>
            <w:tcW w:w="4379" w:type="dxa"/>
            <w:tcBorders>
              <w:top w:val="single" w:sz="4" w:space="0" w:color="auto"/>
              <w:left w:val="single" w:sz="4" w:space="0" w:color="auto"/>
              <w:bottom w:val="single" w:sz="4" w:space="0" w:color="auto"/>
            </w:tcBorders>
            <w:shd w:val="clear" w:color="auto" w:fill="auto"/>
          </w:tcPr>
          <w:p w:rsidR="001A62D7" w:rsidRPr="00CB7408" w:rsidRDefault="00C428BF" w:rsidP="001D5990">
            <w:pPr>
              <w:spacing w:before="60" w:after="60"/>
              <w:ind w:rightChars="192" w:right="461"/>
              <w:jc w:val="left"/>
              <w:rPr>
                <w:noProof/>
                <w:szCs w:val="24"/>
              </w:rPr>
            </w:pPr>
            <w:bookmarkStart w:id="7" w:name="_Hlk219384889"/>
            <w:r w:rsidRPr="00CB7408">
              <w:rPr>
                <w:noProof/>
              </w:rPr>
              <w:t>Liberty Galaţi Belgian Branch</w:t>
            </w:r>
            <w:bookmarkEnd w:id="7"/>
          </w:p>
        </w:tc>
      </w:tr>
      <w:tr w:rsidR="001A62D7" w:rsidRPr="00CB7408" w:rsidTr="001D5990">
        <w:tc>
          <w:tcPr>
            <w:tcW w:w="4908" w:type="dxa"/>
            <w:shd w:val="clear" w:color="auto" w:fill="auto"/>
          </w:tcPr>
          <w:p w:rsidR="001A62D7" w:rsidRPr="00CB7408" w:rsidRDefault="001A62D7" w:rsidP="001D5990">
            <w:pPr>
              <w:spacing w:before="60" w:after="60"/>
              <w:jc w:val="left"/>
              <w:rPr>
                <w:rFonts w:eastAsia="Calibri"/>
                <w:noProof/>
              </w:rPr>
            </w:pPr>
            <w:r w:rsidRPr="00CB7408">
              <w:rPr>
                <w:rFonts w:eastAsia="Calibri"/>
                <w:noProof/>
              </w:rPr>
              <w:t>Sector(s) of economic activity</w:t>
            </w:r>
          </w:p>
          <w:p w:rsidR="001A62D7" w:rsidRPr="00CB7408" w:rsidRDefault="001A62D7" w:rsidP="001D5990">
            <w:pPr>
              <w:spacing w:before="60" w:after="60"/>
              <w:jc w:val="left"/>
              <w:rPr>
                <w:rFonts w:eastAsia="Calibri"/>
                <w:noProof/>
              </w:rPr>
            </w:pPr>
            <w:r w:rsidRPr="00CB7408">
              <w:rPr>
                <w:rFonts w:eastAsia="Calibri"/>
                <w:noProof/>
              </w:rPr>
              <w:t>(NACE Revision 2 division)</w:t>
            </w:r>
            <w:r w:rsidRPr="00CB7408">
              <w:rPr>
                <w:rStyle w:val="FootnoteReference"/>
                <w:noProof/>
                <w:szCs w:val="24"/>
              </w:rPr>
              <w:footnoteReference w:id="4"/>
            </w:r>
          </w:p>
        </w:tc>
        <w:tc>
          <w:tcPr>
            <w:tcW w:w="4379" w:type="dxa"/>
            <w:shd w:val="clear" w:color="auto" w:fill="auto"/>
          </w:tcPr>
          <w:p w:rsidR="001A62D7" w:rsidRPr="00CB7408" w:rsidRDefault="001A62D7" w:rsidP="00516125">
            <w:pPr>
              <w:spacing w:before="60" w:after="60"/>
              <w:ind w:rightChars="192" w:right="461"/>
              <w:jc w:val="left"/>
              <w:rPr>
                <w:rFonts w:eastAsia="Calibri"/>
                <w:noProof/>
              </w:rPr>
            </w:pPr>
            <w:r w:rsidRPr="00CB7408">
              <w:rPr>
                <w:noProof/>
                <w:szCs w:val="24"/>
              </w:rPr>
              <w:t xml:space="preserve">Division </w:t>
            </w:r>
            <w:r w:rsidR="00E1077D" w:rsidRPr="00CB7408">
              <w:rPr>
                <w:noProof/>
                <w:szCs w:val="24"/>
              </w:rPr>
              <w:t>24</w:t>
            </w:r>
            <w:r w:rsidRPr="00CB7408">
              <w:rPr>
                <w:noProof/>
                <w:szCs w:val="24"/>
              </w:rPr>
              <w:t xml:space="preserve"> (</w:t>
            </w:r>
            <w:r w:rsidR="00E1077D" w:rsidRPr="00CB7408">
              <w:rPr>
                <w:noProof/>
                <w:szCs w:val="24"/>
              </w:rPr>
              <w:t>Manufacture of basic metals</w:t>
            </w:r>
            <w:r w:rsidRPr="00CB7408">
              <w:rPr>
                <w:noProof/>
                <w:szCs w:val="24"/>
              </w:rPr>
              <w:t>)</w:t>
            </w:r>
          </w:p>
        </w:tc>
      </w:tr>
      <w:tr w:rsidR="001A62D7" w:rsidRPr="00CB7408" w:rsidTr="001D5990">
        <w:tc>
          <w:tcPr>
            <w:tcW w:w="4908" w:type="dxa"/>
            <w:tcBorders>
              <w:bottom w:val="single"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Reference period (</w:t>
            </w:r>
            <w:r w:rsidR="00516125" w:rsidRPr="00CB7408">
              <w:rPr>
                <w:rFonts w:eastAsia="Calibri"/>
                <w:noProof/>
              </w:rPr>
              <w:t>four</w:t>
            </w:r>
            <w:r w:rsidRPr="00CB7408">
              <w:rPr>
                <w:rFonts w:eastAsia="Calibri"/>
                <w:noProof/>
              </w:rPr>
              <w:t xml:space="preserve"> months):</w:t>
            </w:r>
          </w:p>
        </w:tc>
        <w:tc>
          <w:tcPr>
            <w:tcW w:w="4379" w:type="dxa"/>
            <w:tcBorders>
              <w:bottom w:val="single" w:sz="4" w:space="0" w:color="auto"/>
            </w:tcBorders>
            <w:shd w:val="clear" w:color="auto" w:fill="auto"/>
          </w:tcPr>
          <w:p w:rsidR="001A62D7" w:rsidRPr="00CB7408" w:rsidRDefault="00E1077D" w:rsidP="001D5990">
            <w:pPr>
              <w:spacing w:before="60" w:after="60"/>
              <w:ind w:rightChars="192" w:right="461"/>
              <w:jc w:val="left"/>
              <w:rPr>
                <w:rFonts w:eastAsia="Calibri"/>
                <w:noProof/>
              </w:rPr>
            </w:pPr>
            <w:r w:rsidRPr="00CB7408">
              <w:rPr>
                <w:noProof/>
              </w:rPr>
              <w:t>24 April 2025</w:t>
            </w:r>
            <w:r w:rsidR="001A62D7" w:rsidRPr="00CB7408">
              <w:rPr>
                <w:rFonts w:eastAsia="Calibri"/>
                <w:noProof/>
              </w:rPr>
              <w:t xml:space="preserve"> </w:t>
            </w:r>
            <w:r w:rsidRPr="00CB7408">
              <w:rPr>
                <w:rFonts w:eastAsia="Calibri"/>
                <w:noProof/>
              </w:rPr>
              <w:t>–</w:t>
            </w:r>
            <w:r w:rsidR="001A62D7" w:rsidRPr="00CB7408">
              <w:rPr>
                <w:rFonts w:eastAsia="Calibri"/>
                <w:noProof/>
              </w:rPr>
              <w:t xml:space="preserve"> </w:t>
            </w:r>
            <w:r w:rsidRPr="00CB7408">
              <w:rPr>
                <w:noProof/>
              </w:rPr>
              <w:t>24 August 2025</w:t>
            </w:r>
          </w:p>
        </w:tc>
      </w:tr>
      <w:tr w:rsidR="001A62D7" w:rsidRPr="00CB7408" w:rsidTr="001D5990">
        <w:tc>
          <w:tcPr>
            <w:tcW w:w="4908" w:type="dxa"/>
            <w:tcBorders>
              <w:bottom w:val="dotted" w:sz="4" w:space="0" w:color="auto"/>
            </w:tcBorders>
            <w:shd w:val="clear" w:color="auto" w:fill="auto"/>
          </w:tcPr>
          <w:p w:rsidR="001A62D7" w:rsidRPr="00CB7408" w:rsidRDefault="001A62D7" w:rsidP="001D5990">
            <w:pPr>
              <w:spacing w:before="60" w:after="60"/>
              <w:jc w:val="left"/>
              <w:rPr>
                <w:rFonts w:eastAsia="Calibri"/>
                <w:noProof/>
                <w:highlight w:val="magenta"/>
              </w:rPr>
            </w:pPr>
            <w:r w:rsidRPr="00CB7408">
              <w:rPr>
                <w:rFonts w:eastAsia="Calibri"/>
                <w:noProof/>
              </w:rPr>
              <w:t>Number of displacements during the reference period (</w:t>
            </w:r>
            <w:r w:rsidRPr="00CB7408">
              <w:rPr>
                <w:rFonts w:eastAsia="Calibri"/>
                <w:i/>
                <w:noProof/>
              </w:rPr>
              <w:t>a</w:t>
            </w:r>
            <w:r w:rsidRPr="00CB7408">
              <w:rPr>
                <w:rFonts w:eastAsia="Calibri"/>
                <w:noProof/>
              </w:rPr>
              <w:t>)</w:t>
            </w:r>
          </w:p>
        </w:tc>
        <w:tc>
          <w:tcPr>
            <w:tcW w:w="4379" w:type="dxa"/>
            <w:tcBorders>
              <w:bottom w:val="dotted" w:sz="4" w:space="0" w:color="auto"/>
            </w:tcBorders>
            <w:shd w:val="clear" w:color="auto" w:fill="auto"/>
          </w:tcPr>
          <w:p w:rsidR="001A62D7" w:rsidRPr="00CB7408" w:rsidRDefault="00E1077D" w:rsidP="001D5990">
            <w:pPr>
              <w:spacing w:before="60" w:after="60"/>
              <w:ind w:rightChars="192" w:right="461"/>
              <w:jc w:val="left"/>
              <w:rPr>
                <w:rFonts w:eastAsia="Calibri"/>
                <w:noProof/>
                <w:highlight w:val="magenta"/>
              </w:rPr>
            </w:pPr>
            <w:r w:rsidRPr="00CB7408">
              <w:rPr>
                <w:noProof/>
              </w:rPr>
              <w:t>507</w:t>
            </w:r>
          </w:p>
        </w:tc>
      </w:tr>
      <w:tr w:rsidR="001A62D7" w:rsidRPr="00CB7408" w:rsidTr="001D5990">
        <w:tc>
          <w:tcPr>
            <w:tcW w:w="4908" w:type="dxa"/>
            <w:tcBorders>
              <w:bottom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t>Total number of eligible beneficiaries</w:t>
            </w:r>
          </w:p>
        </w:tc>
        <w:tc>
          <w:tcPr>
            <w:tcW w:w="4379" w:type="dxa"/>
            <w:tcBorders>
              <w:bottom w:val="dotted" w:sz="4" w:space="0" w:color="auto"/>
            </w:tcBorders>
            <w:shd w:val="clear" w:color="auto" w:fill="auto"/>
          </w:tcPr>
          <w:p w:rsidR="001A62D7" w:rsidRPr="00CB7408" w:rsidRDefault="00E1077D" w:rsidP="001D5990">
            <w:pPr>
              <w:spacing w:before="60" w:after="60"/>
              <w:ind w:rightChars="192" w:right="461"/>
              <w:jc w:val="left"/>
              <w:rPr>
                <w:rFonts w:eastAsia="Calibri"/>
                <w:noProof/>
              </w:rPr>
            </w:pPr>
            <w:r w:rsidRPr="00CB7408">
              <w:rPr>
                <w:noProof/>
              </w:rPr>
              <w:t>507</w:t>
            </w:r>
          </w:p>
        </w:tc>
      </w:tr>
      <w:tr w:rsidR="001A62D7" w:rsidRPr="00CB7408" w:rsidTr="001D5990">
        <w:tc>
          <w:tcPr>
            <w:tcW w:w="4908" w:type="dxa"/>
            <w:tcBorders>
              <w:top w:val="dotted" w:sz="4" w:space="0" w:color="auto"/>
              <w:bottom w:val="dotted" w:sz="4" w:space="0" w:color="auto"/>
            </w:tcBorders>
            <w:shd w:val="clear" w:color="auto" w:fill="auto"/>
          </w:tcPr>
          <w:p w:rsidR="001A62D7" w:rsidRPr="00CB7408" w:rsidRDefault="001A62D7" w:rsidP="001D5990">
            <w:pPr>
              <w:spacing w:before="60" w:after="60"/>
              <w:jc w:val="left"/>
              <w:rPr>
                <w:rFonts w:eastAsia="Calibri"/>
                <w:noProof/>
              </w:rPr>
            </w:pPr>
            <w:r w:rsidRPr="00CB7408">
              <w:rPr>
                <w:rFonts w:eastAsia="Calibri"/>
                <w:noProof/>
              </w:rPr>
              <w:lastRenderedPageBreak/>
              <w:t>Total number of targeted beneficiaries</w:t>
            </w:r>
          </w:p>
        </w:tc>
        <w:tc>
          <w:tcPr>
            <w:tcW w:w="4379" w:type="dxa"/>
            <w:tcBorders>
              <w:top w:val="dotted" w:sz="4" w:space="0" w:color="auto"/>
              <w:bottom w:val="dotted" w:sz="4" w:space="0" w:color="auto"/>
            </w:tcBorders>
            <w:shd w:val="clear" w:color="auto" w:fill="auto"/>
          </w:tcPr>
          <w:p w:rsidR="001A62D7" w:rsidRPr="00CB7408" w:rsidRDefault="00E1077D" w:rsidP="001D5990">
            <w:pPr>
              <w:spacing w:before="60" w:after="60"/>
              <w:ind w:rightChars="192" w:right="461"/>
              <w:jc w:val="left"/>
              <w:rPr>
                <w:rFonts w:eastAsia="Calibri"/>
                <w:noProof/>
              </w:rPr>
            </w:pPr>
            <w:r w:rsidRPr="00CB7408">
              <w:rPr>
                <w:noProof/>
              </w:rPr>
              <w:t>507</w:t>
            </w:r>
          </w:p>
        </w:tc>
      </w:tr>
      <w:tr w:rsidR="001A62D7" w:rsidRPr="00CB7408" w:rsidTr="001D5990">
        <w:tc>
          <w:tcPr>
            <w:tcW w:w="4908" w:type="dxa"/>
            <w:tcBorders>
              <w:bottom w:val="dotted" w:sz="4" w:space="0" w:color="auto"/>
            </w:tcBorders>
            <w:shd w:val="clear" w:color="auto" w:fill="auto"/>
            <w:vAlign w:val="center"/>
          </w:tcPr>
          <w:p w:rsidR="001A62D7" w:rsidRPr="00CB7408" w:rsidRDefault="001A62D7" w:rsidP="001D5990">
            <w:pPr>
              <w:spacing w:before="0" w:after="0"/>
              <w:jc w:val="left"/>
              <w:rPr>
                <w:noProof/>
              </w:rPr>
            </w:pPr>
            <w:r w:rsidRPr="00CB7408">
              <w:rPr>
                <w:noProof/>
              </w:rPr>
              <w:t>Budget for personalised services (EUR)</w:t>
            </w:r>
          </w:p>
        </w:tc>
        <w:tc>
          <w:tcPr>
            <w:tcW w:w="4379" w:type="dxa"/>
            <w:tcBorders>
              <w:bottom w:val="dotted" w:sz="4" w:space="0" w:color="auto"/>
            </w:tcBorders>
            <w:shd w:val="clear" w:color="auto" w:fill="auto"/>
            <w:vAlign w:val="center"/>
          </w:tcPr>
          <w:p w:rsidR="001A62D7" w:rsidRPr="00CB7408" w:rsidRDefault="00E1077D" w:rsidP="001D5990">
            <w:pPr>
              <w:spacing w:before="0" w:after="0"/>
              <w:ind w:rightChars="192" w:right="461"/>
              <w:jc w:val="left"/>
              <w:rPr>
                <w:noProof/>
              </w:rPr>
            </w:pPr>
            <w:r w:rsidRPr="00CB7408">
              <w:rPr>
                <w:noProof/>
              </w:rPr>
              <w:t>2 358 922</w:t>
            </w:r>
          </w:p>
        </w:tc>
      </w:tr>
      <w:tr w:rsidR="001A62D7" w:rsidRPr="00CB7408" w:rsidTr="001D5990">
        <w:tc>
          <w:tcPr>
            <w:tcW w:w="4908" w:type="dxa"/>
            <w:tcBorders>
              <w:top w:val="dotted" w:sz="4" w:space="0" w:color="auto"/>
              <w:bottom w:val="dotted" w:sz="4" w:space="0" w:color="auto"/>
            </w:tcBorders>
            <w:shd w:val="clear" w:color="auto" w:fill="auto"/>
            <w:vAlign w:val="center"/>
          </w:tcPr>
          <w:p w:rsidR="001A62D7" w:rsidRPr="00CB7408" w:rsidRDefault="001A62D7" w:rsidP="001D5990">
            <w:pPr>
              <w:spacing w:before="0" w:after="0"/>
              <w:jc w:val="left"/>
              <w:rPr>
                <w:noProof/>
              </w:rPr>
            </w:pPr>
            <w:r w:rsidRPr="00CB7408">
              <w:rPr>
                <w:noProof/>
              </w:rPr>
              <w:t>Budget for implementing EGF</w:t>
            </w:r>
            <w:r w:rsidRPr="00CB7408">
              <w:rPr>
                <w:rStyle w:val="FootnoteReference"/>
                <w:noProof/>
              </w:rPr>
              <w:footnoteReference w:id="5"/>
            </w:r>
            <w:r w:rsidRPr="00CB7408">
              <w:rPr>
                <w:noProof/>
              </w:rPr>
              <w:t xml:space="preserve"> (EUR)</w:t>
            </w:r>
          </w:p>
        </w:tc>
        <w:tc>
          <w:tcPr>
            <w:tcW w:w="4379" w:type="dxa"/>
            <w:tcBorders>
              <w:top w:val="dotted" w:sz="4" w:space="0" w:color="auto"/>
              <w:bottom w:val="dotted" w:sz="4" w:space="0" w:color="auto"/>
            </w:tcBorders>
            <w:shd w:val="clear" w:color="auto" w:fill="auto"/>
            <w:vAlign w:val="center"/>
          </w:tcPr>
          <w:p w:rsidR="001A62D7" w:rsidRPr="00CB7408" w:rsidRDefault="00E1077D" w:rsidP="001D5990">
            <w:pPr>
              <w:spacing w:before="0" w:after="0"/>
              <w:ind w:rightChars="192" w:right="461"/>
              <w:jc w:val="left"/>
              <w:rPr>
                <w:noProof/>
              </w:rPr>
            </w:pPr>
            <w:r w:rsidRPr="00CB7408">
              <w:rPr>
                <w:noProof/>
              </w:rPr>
              <w:t>33 866</w:t>
            </w:r>
          </w:p>
        </w:tc>
      </w:tr>
      <w:tr w:rsidR="001A62D7" w:rsidRPr="00CB7408" w:rsidTr="001D5990">
        <w:tc>
          <w:tcPr>
            <w:tcW w:w="4908" w:type="dxa"/>
            <w:tcBorders>
              <w:top w:val="dotted" w:sz="4" w:space="0" w:color="auto"/>
              <w:bottom w:val="dotted" w:sz="4" w:space="0" w:color="auto"/>
            </w:tcBorders>
            <w:shd w:val="clear" w:color="auto" w:fill="auto"/>
            <w:vAlign w:val="center"/>
          </w:tcPr>
          <w:p w:rsidR="001A62D7" w:rsidRPr="00CB7408" w:rsidRDefault="001A62D7" w:rsidP="001D5990">
            <w:pPr>
              <w:spacing w:before="0" w:after="0"/>
              <w:jc w:val="left"/>
              <w:rPr>
                <w:noProof/>
              </w:rPr>
            </w:pPr>
            <w:r w:rsidRPr="00CB7408">
              <w:rPr>
                <w:noProof/>
              </w:rPr>
              <w:t>Total budget (EUR)</w:t>
            </w:r>
          </w:p>
        </w:tc>
        <w:tc>
          <w:tcPr>
            <w:tcW w:w="4379" w:type="dxa"/>
            <w:tcBorders>
              <w:top w:val="dotted" w:sz="4" w:space="0" w:color="auto"/>
              <w:bottom w:val="dotted" w:sz="4" w:space="0" w:color="auto"/>
            </w:tcBorders>
            <w:shd w:val="clear" w:color="auto" w:fill="auto"/>
            <w:vAlign w:val="center"/>
          </w:tcPr>
          <w:p w:rsidR="001A62D7" w:rsidRPr="00CB7408" w:rsidRDefault="00E1077D" w:rsidP="001D5990">
            <w:pPr>
              <w:spacing w:before="0" w:after="0"/>
              <w:ind w:rightChars="192" w:right="461"/>
              <w:jc w:val="left"/>
              <w:rPr>
                <w:noProof/>
              </w:rPr>
            </w:pPr>
            <w:r w:rsidRPr="00CB7408">
              <w:rPr>
                <w:noProof/>
              </w:rPr>
              <w:t>2 392 788</w:t>
            </w:r>
          </w:p>
        </w:tc>
      </w:tr>
      <w:tr w:rsidR="001A62D7" w:rsidRPr="00CB7408" w:rsidTr="001D5990">
        <w:tc>
          <w:tcPr>
            <w:tcW w:w="4908" w:type="dxa"/>
            <w:tcBorders>
              <w:top w:val="dotted" w:sz="4" w:space="0" w:color="auto"/>
            </w:tcBorders>
            <w:shd w:val="clear" w:color="auto" w:fill="auto"/>
            <w:vAlign w:val="center"/>
          </w:tcPr>
          <w:p w:rsidR="001A62D7" w:rsidRPr="00CB7408" w:rsidRDefault="001A62D7" w:rsidP="001D5990">
            <w:pPr>
              <w:spacing w:before="0" w:after="0"/>
              <w:jc w:val="left"/>
              <w:rPr>
                <w:noProof/>
              </w:rPr>
            </w:pPr>
            <w:r w:rsidRPr="00CB7408">
              <w:rPr>
                <w:noProof/>
              </w:rPr>
              <w:t>EGF contribution (</w:t>
            </w:r>
            <w:r w:rsidR="00E1077D" w:rsidRPr="00CB7408">
              <w:rPr>
                <w:noProof/>
              </w:rPr>
              <w:t>85</w:t>
            </w:r>
            <w:r w:rsidRPr="00CB7408">
              <w:rPr>
                <w:noProof/>
              </w:rPr>
              <w:t> %) (EUR)</w:t>
            </w:r>
          </w:p>
        </w:tc>
        <w:tc>
          <w:tcPr>
            <w:tcW w:w="4379" w:type="dxa"/>
            <w:tcBorders>
              <w:top w:val="dotted" w:sz="4" w:space="0" w:color="auto"/>
            </w:tcBorders>
            <w:shd w:val="clear" w:color="auto" w:fill="auto"/>
            <w:vAlign w:val="center"/>
          </w:tcPr>
          <w:p w:rsidR="001A62D7" w:rsidRPr="00CB7408" w:rsidRDefault="00C856DF" w:rsidP="001D5990">
            <w:pPr>
              <w:spacing w:before="0" w:after="0"/>
              <w:ind w:rightChars="192" w:right="461"/>
              <w:jc w:val="left"/>
              <w:rPr>
                <w:noProof/>
              </w:rPr>
            </w:pPr>
            <w:r w:rsidRPr="00C856DF">
              <w:rPr>
                <w:noProof/>
              </w:rPr>
              <w:t>2</w:t>
            </w:r>
            <w:r>
              <w:rPr>
                <w:noProof/>
              </w:rPr>
              <w:t> </w:t>
            </w:r>
            <w:r w:rsidRPr="00C856DF">
              <w:rPr>
                <w:noProof/>
              </w:rPr>
              <w:t>033</w:t>
            </w:r>
            <w:r>
              <w:rPr>
                <w:noProof/>
              </w:rPr>
              <w:t> </w:t>
            </w:r>
            <w:r w:rsidRPr="00C856DF">
              <w:rPr>
                <w:noProof/>
              </w:rPr>
              <w:t>869</w:t>
            </w:r>
          </w:p>
        </w:tc>
      </w:tr>
    </w:tbl>
    <w:p w:rsidR="001A62D7" w:rsidRPr="00CB7408" w:rsidRDefault="001A62D7" w:rsidP="001A62D7">
      <w:pPr>
        <w:pStyle w:val="ManualHeading1"/>
        <w:rPr>
          <w:noProof/>
        </w:rPr>
      </w:pPr>
      <w:r w:rsidRPr="00CB7408">
        <w:rPr>
          <w:noProof/>
        </w:rPr>
        <w:t>ASSESSMENT OF THE APPLICATION</w:t>
      </w:r>
    </w:p>
    <w:p w:rsidR="001A62D7" w:rsidRPr="00CB7408" w:rsidRDefault="001A62D7" w:rsidP="001A62D7">
      <w:pPr>
        <w:pStyle w:val="ManualHeading2"/>
        <w:rPr>
          <w:noProof/>
        </w:rPr>
      </w:pPr>
      <w:r w:rsidRPr="00CB7408">
        <w:rPr>
          <w:noProof/>
        </w:rPr>
        <w:t>Procedure</w:t>
      </w:r>
    </w:p>
    <w:p w:rsidR="001A62D7" w:rsidRPr="00CB7408" w:rsidRDefault="0013165F" w:rsidP="00AE7D04">
      <w:pPr>
        <w:pStyle w:val="ManualNumPar1"/>
        <w:rPr>
          <w:noProof/>
        </w:rPr>
      </w:pPr>
      <w:r>
        <w:rPr>
          <w:noProof/>
        </w:rPr>
        <w:t>4.</w:t>
      </w:r>
      <w:r>
        <w:rPr>
          <w:noProof/>
        </w:rPr>
        <w:tab/>
      </w:r>
      <w:r w:rsidRPr="00CB7408">
        <w:rPr>
          <w:noProof/>
        </w:rPr>
        <w:t>Belgium</w:t>
      </w:r>
      <w:r w:rsidR="001A62D7" w:rsidRPr="00CB7408">
        <w:rPr>
          <w:noProof/>
        </w:rPr>
        <w:t xml:space="preserve"> submitted application EGF/</w:t>
      </w:r>
      <w:r w:rsidRPr="00CB7408">
        <w:rPr>
          <w:noProof/>
        </w:rPr>
        <w:t>2025</w:t>
      </w:r>
      <w:r w:rsidR="001A62D7" w:rsidRPr="00CB7408">
        <w:rPr>
          <w:noProof/>
        </w:rPr>
        <w:t>/</w:t>
      </w:r>
      <w:r w:rsidRPr="00CB7408">
        <w:rPr>
          <w:noProof/>
        </w:rPr>
        <w:t>008</w:t>
      </w:r>
      <w:r w:rsidR="001A62D7" w:rsidRPr="00CB7408">
        <w:rPr>
          <w:noProof/>
        </w:rPr>
        <w:t> </w:t>
      </w:r>
      <w:r w:rsidR="00625A8E" w:rsidRPr="00CB7408">
        <w:rPr>
          <w:noProof/>
        </w:rPr>
        <w:t>BE</w:t>
      </w:r>
      <w:r w:rsidR="001A62D7" w:rsidRPr="00CB7408">
        <w:rPr>
          <w:noProof/>
        </w:rPr>
        <w:t>/</w:t>
      </w:r>
      <w:r w:rsidRPr="00CB7408">
        <w:rPr>
          <w:noProof/>
        </w:rPr>
        <w:t>Liberty</w:t>
      </w:r>
      <w:r w:rsidR="001A62D7" w:rsidRPr="00CB7408">
        <w:rPr>
          <w:noProof/>
        </w:rPr>
        <w:t xml:space="preserve"> within 12 weeks of the date on which the intervention criteria set out in Article 4 </w:t>
      </w:r>
      <w:r w:rsidR="001A62D7" w:rsidRPr="00CB7408">
        <w:rPr>
          <w:rFonts w:eastAsia="Calibri"/>
          <w:noProof/>
        </w:rPr>
        <w:t>(</w:t>
      </w:r>
      <w:r w:rsidR="00516125" w:rsidRPr="00CB7408">
        <w:rPr>
          <w:rFonts w:eastAsia="Calibri"/>
          <w:noProof/>
        </w:rPr>
        <w:t>2</w:t>
      </w:r>
      <w:r w:rsidR="001A62D7" w:rsidRPr="00CB7408">
        <w:rPr>
          <w:rFonts w:eastAsia="Calibri"/>
          <w:noProof/>
        </w:rPr>
        <w:t>), point (</w:t>
      </w:r>
      <w:r w:rsidR="00516125" w:rsidRPr="00CB7408">
        <w:rPr>
          <w:rFonts w:eastAsia="Calibri"/>
          <w:noProof/>
        </w:rPr>
        <w:t>a</w:t>
      </w:r>
      <w:r w:rsidR="001A62D7" w:rsidRPr="00CB7408">
        <w:rPr>
          <w:rFonts w:eastAsia="Calibri"/>
          <w:noProof/>
        </w:rPr>
        <w:t>),</w:t>
      </w:r>
      <w:r w:rsidR="001A62D7" w:rsidRPr="00CB7408">
        <w:rPr>
          <w:noProof/>
        </w:rPr>
        <w:t xml:space="preserve"> of Regulation (EU) 2021/691 were met, on </w:t>
      </w:r>
      <w:r w:rsidRPr="00CB7408">
        <w:rPr>
          <w:noProof/>
        </w:rPr>
        <w:t>13 November 2025</w:t>
      </w:r>
      <w:r w:rsidR="001A62D7" w:rsidRPr="00CB7408">
        <w:rPr>
          <w:noProof/>
        </w:rPr>
        <w:t xml:space="preserve">. The Commission acknowledged receipt of the application and requested additional information from </w:t>
      </w:r>
      <w:r w:rsidRPr="00CB7408">
        <w:rPr>
          <w:noProof/>
        </w:rPr>
        <w:t>Belgium</w:t>
      </w:r>
      <w:r w:rsidR="001A62D7" w:rsidRPr="00CB7408">
        <w:rPr>
          <w:noProof/>
        </w:rPr>
        <w:t xml:space="preserve"> on </w:t>
      </w:r>
      <w:r w:rsidRPr="00CB7408">
        <w:rPr>
          <w:noProof/>
        </w:rPr>
        <w:t>27 November 2025</w:t>
      </w:r>
      <w:r w:rsidR="001A62D7" w:rsidRPr="00CB7408">
        <w:rPr>
          <w:noProof/>
        </w:rPr>
        <w:t>. Such additional information was provided within 15 working days</w:t>
      </w:r>
      <w:r w:rsidR="00516125" w:rsidRPr="00CB7408">
        <w:rPr>
          <w:noProof/>
        </w:rPr>
        <w:t xml:space="preserve"> </w:t>
      </w:r>
      <w:r w:rsidR="001A62D7" w:rsidRPr="00CB7408">
        <w:rPr>
          <w:noProof/>
        </w:rPr>
        <w:t>of the request</w:t>
      </w:r>
      <w:r w:rsidR="00516125" w:rsidRPr="00CB7408">
        <w:rPr>
          <w:noProof/>
        </w:rPr>
        <w:t>.</w:t>
      </w:r>
      <w:r w:rsidR="001A62D7" w:rsidRPr="00CB7408">
        <w:rPr>
          <w:noProof/>
        </w:rPr>
        <w:t xml:space="preserve"> The deadline of 50 working days of the receipt of the complete application within which the Commission should finalise its assessment of the application's compliance with the conditions for providing a financial contribution expires on </w:t>
      </w:r>
      <w:r w:rsidRPr="00CB7408">
        <w:rPr>
          <w:noProof/>
        </w:rPr>
        <w:t>10 March 2026</w:t>
      </w:r>
      <w:r w:rsidR="001A62D7" w:rsidRPr="00CB7408">
        <w:rPr>
          <w:noProof/>
        </w:rPr>
        <w:t xml:space="preserve">. </w:t>
      </w:r>
    </w:p>
    <w:p w:rsidR="001A62D7" w:rsidRPr="00CB7408" w:rsidRDefault="001A62D7" w:rsidP="001A62D7">
      <w:pPr>
        <w:pStyle w:val="ManualHeading2"/>
        <w:rPr>
          <w:noProof/>
        </w:rPr>
      </w:pPr>
      <w:r w:rsidRPr="00CB7408">
        <w:rPr>
          <w:noProof/>
        </w:rPr>
        <w:t>Eligibility of the application</w:t>
      </w:r>
    </w:p>
    <w:p w:rsidR="001A62D7" w:rsidRPr="00CB7408" w:rsidRDefault="001A62D7" w:rsidP="001A62D7">
      <w:pPr>
        <w:pStyle w:val="ManualHeading3"/>
        <w:rPr>
          <w:noProof/>
        </w:rPr>
      </w:pPr>
      <w:r w:rsidRPr="00CB7408">
        <w:rPr>
          <w:noProof/>
        </w:rPr>
        <w:t>Enterprises and beneficiaries concerned</w:t>
      </w:r>
    </w:p>
    <w:p w:rsidR="001A62D7" w:rsidRPr="00CB7408" w:rsidRDefault="001A62D7" w:rsidP="00AE7D04">
      <w:pPr>
        <w:pStyle w:val="ManualNumPar1"/>
        <w:rPr>
          <w:noProof/>
          <w:szCs w:val="24"/>
        </w:rPr>
      </w:pPr>
      <w:r>
        <w:rPr>
          <w:noProof/>
        </w:rPr>
        <w:t>5.</w:t>
      </w:r>
      <w:r>
        <w:rPr>
          <w:noProof/>
        </w:rPr>
        <w:tab/>
      </w:r>
      <w:r w:rsidRPr="00CB7408">
        <w:rPr>
          <w:noProof/>
        </w:rPr>
        <w:t xml:space="preserve">The application relates to </w:t>
      </w:r>
      <w:r w:rsidR="0013165F" w:rsidRPr="00CB7408">
        <w:rPr>
          <w:noProof/>
        </w:rPr>
        <w:t>507</w:t>
      </w:r>
      <w:r w:rsidRPr="00CB7408">
        <w:rPr>
          <w:noProof/>
        </w:rPr>
        <w:t xml:space="preserve"> displaced workers whose activity has ceased in</w:t>
      </w:r>
      <w:r w:rsidR="002B07C7" w:rsidRPr="00CB7408">
        <w:rPr>
          <w:noProof/>
        </w:rPr>
        <w:t xml:space="preserve"> </w:t>
      </w:r>
      <w:r w:rsidR="00C428BF" w:rsidRPr="00CB7408">
        <w:rPr>
          <w:noProof/>
        </w:rPr>
        <w:t>Liberty Galaţi Belgian Branch</w:t>
      </w:r>
      <w:r w:rsidR="00915573" w:rsidRPr="00CB7408">
        <w:rPr>
          <w:noProof/>
        </w:rPr>
        <w:t xml:space="preserve"> (Liberty)</w:t>
      </w:r>
      <w:r w:rsidRPr="00CB7408">
        <w:rPr>
          <w:noProof/>
        </w:rPr>
        <w:t>. The enterprise operated</w:t>
      </w:r>
      <w:r w:rsidR="00516125" w:rsidRPr="00CB7408">
        <w:rPr>
          <w:noProof/>
        </w:rPr>
        <w:t xml:space="preserve"> </w:t>
      </w:r>
      <w:r w:rsidRPr="00CB7408">
        <w:rPr>
          <w:noProof/>
        </w:rPr>
        <w:t>in the economic sector</w:t>
      </w:r>
      <w:r w:rsidR="00516125" w:rsidRPr="00CB7408">
        <w:rPr>
          <w:noProof/>
        </w:rPr>
        <w:t xml:space="preserve"> </w:t>
      </w:r>
      <w:r w:rsidRPr="00CB7408">
        <w:rPr>
          <w:noProof/>
        </w:rPr>
        <w:t xml:space="preserve">classified under the NACE Revision 2 division </w:t>
      </w:r>
      <w:r w:rsidR="0013165F" w:rsidRPr="00CB7408">
        <w:rPr>
          <w:noProof/>
          <w:szCs w:val="24"/>
        </w:rPr>
        <w:t>24</w:t>
      </w:r>
      <w:r w:rsidRPr="00CB7408">
        <w:rPr>
          <w:noProof/>
          <w:szCs w:val="24"/>
        </w:rPr>
        <w:t xml:space="preserve"> (</w:t>
      </w:r>
      <w:r w:rsidR="0013165F" w:rsidRPr="00CB7408">
        <w:rPr>
          <w:noProof/>
          <w:szCs w:val="24"/>
        </w:rPr>
        <w:t>Manufacture of basic metals)</w:t>
      </w:r>
      <w:r w:rsidR="00516125" w:rsidRPr="00CB7408">
        <w:rPr>
          <w:noProof/>
          <w:szCs w:val="24"/>
        </w:rPr>
        <w:t>.</w:t>
      </w:r>
      <w:r w:rsidRPr="00CB7408">
        <w:rPr>
          <w:noProof/>
          <w:szCs w:val="24"/>
        </w:rPr>
        <w:t xml:space="preserve"> </w:t>
      </w:r>
      <w:r w:rsidRPr="00CB7408">
        <w:rPr>
          <w:noProof/>
        </w:rPr>
        <w:t xml:space="preserve">The redundancies made by </w:t>
      </w:r>
      <w:r w:rsidR="0013165F" w:rsidRPr="00CB7408">
        <w:rPr>
          <w:noProof/>
        </w:rPr>
        <w:t>Liberty</w:t>
      </w:r>
      <w:r w:rsidR="000D5B2B" w:rsidRPr="00CB7408">
        <w:rPr>
          <w:noProof/>
        </w:rPr>
        <w:t xml:space="preserve"> </w:t>
      </w:r>
      <w:r w:rsidRPr="00CB7408">
        <w:rPr>
          <w:noProof/>
        </w:rPr>
        <w:t>are mainly located in the NUTS 2 region</w:t>
      </w:r>
      <w:r w:rsidR="000D5B2B" w:rsidRPr="00CB7408">
        <w:rPr>
          <w:noProof/>
        </w:rPr>
        <w:t xml:space="preserve"> </w:t>
      </w:r>
      <w:r w:rsidRPr="00CB7408">
        <w:rPr>
          <w:noProof/>
        </w:rPr>
        <w:t xml:space="preserve">of </w:t>
      </w:r>
      <w:r w:rsidR="0013165F" w:rsidRPr="00CB7408">
        <w:rPr>
          <w:noProof/>
          <w:szCs w:val="24"/>
        </w:rPr>
        <w:t>Province Liège</w:t>
      </w:r>
      <w:r w:rsidRPr="00CB7408">
        <w:rPr>
          <w:noProof/>
          <w:szCs w:val="24"/>
        </w:rPr>
        <w:t xml:space="preserve"> (</w:t>
      </w:r>
      <w:r w:rsidR="0013165F" w:rsidRPr="00CB7408">
        <w:rPr>
          <w:noProof/>
          <w:szCs w:val="24"/>
        </w:rPr>
        <w:t>BE33</w:t>
      </w:r>
      <w:r w:rsidRPr="00CB7408">
        <w:rPr>
          <w:noProof/>
          <w:szCs w:val="24"/>
        </w:rPr>
        <w:t>).</w:t>
      </w:r>
    </w:p>
    <w:p w:rsidR="001A62D7" w:rsidRPr="00CB7408" w:rsidRDefault="001A62D7" w:rsidP="001A62D7">
      <w:pPr>
        <w:pStyle w:val="ManualHeading3"/>
        <w:rPr>
          <w:noProof/>
        </w:rPr>
      </w:pPr>
      <w:r w:rsidRPr="00CB7408">
        <w:rPr>
          <w:noProof/>
        </w:rPr>
        <w:t>Intervention criteria</w:t>
      </w:r>
    </w:p>
    <w:p w:rsidR="001A62D7" w:rsidRPr="00CB7408" w:rsidRDefault="0013165F" w:rsidP="001A62D7">
      <w:pPr>
        <w:pStyle w:val="ManualNumPar1"/>
        <w:rPr>
          <w:noProof/>
        </w:rPr>
      </w:pPr>
      <w:r>
        <w:rPr>
          <w:noProof/>
        </w:rPr>
        <w:t>6.</w:t>
      </w:r>
      <w:r>
        <w:rPr>
          <w:noProof/>
        </w:rPr>
        <w:tab/>
      </w:r>
      <w:r w:rsidRPr="00CB7408">
        <w:rPr>
          <w:noProof/>
        </w:rPr>
        <w:t>Belgium</w:t>
      </w:r>
      <w:r w:rsidR="001A62D7" w:rsidRPr="00CB7408">
        <w:rPr>
          <w:noProof/>
        </w:rPr>
        <w:t xml:space="preserve"> submitted the application under the intervention criteria of </w:t>
      </w:r>
      <w:r w:rsidR="001A62D7" w:rsidRPr="00CB7408">
        <w:rPr>
          <w:rFonts w:eastAsia="Calibri"/>
          <w:noProof/>
        </w:rPr>
        <w:t>Article 4(</w:t>
      </w:r>
      <w:r w:rsidR="000D5B2B" w:rsidRPr="00CB7408">
        <w:rPr>
          <w:rFonts w:eastAsia="Calibri"/>
          <w:noProof/>
        </w:rPr>
        <w:t>2</w:t>
      </w:r>
      <w:r w:rsidR="001A62D7" w:rsidRPr="00CB7408">
        <w:rPr>
          <w:rFonts w:eastAsia="Calibri"/>
          <w:noProof/>
        </w:rPr>
        <w:t>), point (</w:t>
      </w:r>
      <w:r w:rsidR="000D5B2B" w:rsidRPr="00CB7408">
        <w:rPr>
          <w:rFonts w:eastAsia="Calibri"/>
          <w:noProof/>
        </w:rPr>
        <w:t>a</w:t>
      </w:r>
      <w:r w:rsidR="001A62D7" w:rsidRPr="00CB7408">
        <w:rPr>
          <w:rFonts w:eastAsia="Calibri"/>
          <w:noProof/>
        </w:rPr>
        <w:t>),</w:t>
      </w:r>
      <w:r w:rsidR="001A62D7" w:rsidRPr="00CB7408">
        <w:rPr>
          <w:noProof/>
        </w:rPr>
        <w:t xml:space="preserve"> of Regulation (EU) 2021/691, which requires the cessation of activity of at least 200 displaced workers over a reference period of four months in an enterprise in a Member State, including workers displaced in suppliers and downstream producers and / or self-employed persons whose activity has ceased</w:t>
      </w:r>
      <w:r w:rsidR="000D5B2B" w:rsidRPr="00CB7408">
        <w:rPr>
          <w:noProof/>
        </w:rPr>
        <w:t xml:space="preserve">. </w:t>
      </w:r>
    </w:p>
    <w:p w:rsidR="001A62D7" w:rsidRPr="00CB7408" w:rsidRDefault="001A62D7" w:rsidP="001A62D7">
      <w:pPr>
        <w:pStyle w:val="ManualNumPar1"/>
        <w:rPr>
          <w:noProof/>
        </w:rPr>
      </w:pPr>
      <w:r>
        <w:rPr>
          <w:noProof/>
        </w:rPr>
        <w:t>7.</w:t>
      </w:r>
      <w:r>
        <w:rPr>
          <w:noProof/>
        </w:rPr>
        <w:tab/>
      </w:r>
      <w:bookmarkStart w:id="8" w:name="_Ref372189348"/>
      <w:r w:rsidRPr="00CB7408">
        <w:rPr>
          <w:noProof/>
        </w:rPr>
        <w:t xml:space="preserve">The reference period of </w:t>
      </w:r>
      <w:r w:rsidRPr="00CB7408">
        <w:rPr>
          <w:rFonts w:eastAsia="Calibri"/>
          <w:noProof/>
        </w:rPr>
        <w:t>four</w:t>
      </w:r>
      <w:r w:rsidR="000D5B2B" w:rsidRPr="00CB7408">
        <w:rPr>
          <w:rFonts w:eastAsia="Calibri"/>
          <w:noProof/>
        </w:rPr>
        <w:t xml:space="preserve"> </w:t>
      </w:r>
      <w:r w:rsidRPr="00CB7408">
        <w:rPr>
          <w:noProof/>
        </w:rPr>
        <w:t xml:space="preserve">months for the application runs from </w:t>
      </w:r>
      <w:r w:rsidR="0013165F" w:rsidRPr="00CB7408">
        <w:rPr>
          <w:noProof/>
        </w:rPr>
        <w:t>24 April 2025</w:t>
      </w:r>
      <w:r w:rsidRPr="00CB7408">
        <w:rPr>
          <w:noProof/>
        </w:rPr>
        <w:t xml:space="preserve"> to </w:t>
      </w:r>
      <w:bookmarkEnd w:id="8"/>
      <w:r w:rsidR="0013165F" w:rsidRPr="00CB7408">
        <w:rPr>
          <w:noProof/>
        </w:rPr>
        <w:t>24 August 2025</w:t>
      </w:r>
      <w:r w:rsidRPr="00CB7408">
        <w:rPr>
          <w:noProof/>
        </w:rPr>
        <w:t>.</w:t>
      </w:r>
    </w:p>
    <w:p w:rsidR="001A62D7" w:rsidRPr="00CB7408" w:rsidRDefault="001A62D7" w:rsidP="000D5B2B">
      <w:pPr>
        <w:pStyle w:val="ManualNumPar1"/>
        <w:rPr>
          <w:noProof/>
        </w:rPr>
      </w:pPr>
      <w:r>
        <w:rPr>
          <w:noProof/>
        </w:rPr>
        <w:t>8.</w:t>
      </w:r>
      <w:r>
        <w:rPr>
          <w:noProof/>
        </w:rPr>
        <w:tab/>
      </w:r>
      <w:r w:rsidRPr="00CB7408">
        <w:rPr>
          <w:noProof/>
        </w:rPr>
        <w:t xml:space="preserve">There were </w:t>
      </w:r>
      <w:r w:rsidR="0013165F" w:rsidRPr="00CB7408">
        <w:rPr>
          <w:noProof/>
        </w:rPr>
        <w:t>507</w:t>
      </w:r>
      <w:r w:rsidR="000C0C57" w:rsidRPr="00CB7408">
        <w:rPr>
          <w:noProof/>
        </w:rPr>
        <w:t xml:space="preserve"> job displacements in </w:t>
      </w:r>
      <w:r w:rsidR="0013165F" w:rsidRPr="00CB7408">
        <w:rPr>
          <w:noProof/>
        </w:rPr>
        <w:t>Liberty</w:t>
      </w:r>
      <w:r w:rsidRPr="00CB7408">
        <w:rPr>
          <w:noProof/>
        </w:rPr>
        <w:t xml:space="preserve"> during the reference period</w:t>
      </w:r>
      <w:r w:rsidR="000D5B2B" w:rsidRPr="00CB7408">
        <w:rPr>
          <w:noProof/>
        </w:rPr>
        <w:t>.</w:t>
      </w:r>
    </w:p>
    <w:p w:rsidR="001A62D7" w:rsidRPr="00CB7408" w:rsidRDefault="001A62D7" w:rsidP="001A62D7">
      <w:pPr>
        <w:pStyle w:val="ManualHeading3"/>
        <w:rPr>
          <w:noProof/>
        </w:rPr>
      </w:pPr>
      <w:r w:rsidRPr="00CB7408">
        <w:rPr>
          <w:noProof/>
        </w:rPr>
        <w:t>Calculation of displacements and of cessation of activity</w:t>
      </w:r>
    </w:p>
    <w:p w:rsidR="001A62D7" w:rsidRPr="00CB7408" w:rsidRDefault="001A62D7" w:rsidP="001A62D7">
      <w:pPr>
        <w:pStyle w:val="ManualNumPar1"/>
        <w:rPr>
          <w:noProof/>
        </w:rPr>
      </w:pPr>
      <w:r>
        <w:rPr>
          <w:noProof/>
        </w:rPr>
        <w:t>9.</w:t>
      </w:r>
      <w:r>
        <w:rPr>
          <w:noProof/>
        </w:rPr>
        <w:tab/>
      </w:r>
      <w:r w:rsidRPr="00CB7408">
        <w:rPr>
          <w:noProof/>
        </w:rPr>
        <w:t>Pursuant to Article 6, first paragraph, point (a), in conjunction with Article 5, first paragraph of Regulation (EU) 2021/691,</w:t>
      </w:r>
      <w:r w:rsidRPr="00CB7408" w:rsidDel="00991BDD">
        <w:rPr>
          <w:noProof/>
        </w:rPr>
        <w:t xml:space="preserve"> </w:t>
      </w:r>
      <w:r w:rsidR="001E1326" w:rsidRPr="00CB7408">
        <w:rPr>
          <w:noProof/>
        </w:rPr>
        <w:t xml:space="preserve">the number of all 507 workers affected by job displacement during the reference period has been calculated </w:t>
      </w:r>
      <w:r w:rsidRPr="00CB7408">
        <w:rPr>
          <w:noProof/>
        </w:rPr>
        <w:t xml:space="preserve">as from the date of the </w:t>
      </w:r>
      <w:r w:rsidR="00213164" w:rsidRPr="00CB7408">
        <w:rPr>
          <w:noProof/>
        </w:rPr>
        <w:t xml:space="preserve">de facto termination of the contract of employment or its expiry. </w:t>
      </w:r>
    </w:p>
    <w:p w:rsidR="001A62D7" w:rsidRPr="00CB7408" w:rsidRDefault="001A62D7" w:rsidP="001A62D7">
      <w:pPr>
        <w:pStyle w:val="ManualHeading3"/>
        <w:rPr>
          <w:noProof/>
        </w:rPr>
      </w:pPr>
      <w:r w:rsidRPr="00CB7408">
        <w:rPr>
          <w:noProof/>
        </w:rPr>
        <w:t>Eligible beneficiaries</w:t>
      </w:r>
    </w:p>
    <w:p w:rsidR="00154495" w:rsidRPr="00CB7408" w:rsidRDefault="001A62D7" w:rsidP="00154495">
      <w:pPr>
        <w:pStyle w:val="ManualNumPar1"/>
        <w:jc w:val="left"/>
        <w:rPr>
          <w:noProof/>
        </w:rPr>
        <w:sectPr w:rsidR="00154495" w:rsidRPr="00CB7408" w:rsidSect="00F34F1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08"/>
          <w:docGrid w:linePitch="360"/>
        </w:sectPr>
      </w:pPr>
      <w:r>
        <w:rPr>
          <w:noProof/>
        </w:rPr>
        <w:t>10.</w:t>
      </w:r>
      <w:r>
        <w:rPr>
          <w:noProof/>
        </w:rPr>
        <w:tab/>
      </w:r>
      <w:r w:rsidRPr="00CB7408">
        <w:rPr>
          <w:noProof/>
        </w:rPr>
        <w:t xml:space="preserve">The total number of eligible beneficiaries is </w:t>
      </w:r>
      <w:r w:rsidR="0013165F" w:rsidRPr="00CB7408">
        <w:rPr>
          <w:noProof/>
        </w:rPr>
        <w:t>507</w:t>
      </w:r>
      <w:r w:rsidRPr="00CB7408">
        <w:rPr>
          <w:noProof/>
        </w:rPr>
        <w:t>.</w:t>
      </w:r>
    </w:p>
    <w:p w:rsidR="001A62D7" w:rsidRPr="00CB7408" w:rsidRDefault="001A62D7" w:rsidP="001A62D7">
      <w:pPr>
        <w:pStyle w:val="ManualHeading3"/>
        <w:rPr>
          <w:noProof/>
        </w:rPr>
      </w:pPr>
      <w:r w:rsidRPr="00CB7408">
        <w:rPr>
          <w:noProof/>
        </w:rPr>
        <w:lastRenderedPageBreak/>
        <w:t>Description of the events that led to the displacements and cessation of activity</w:t>
      </w:r>
    </w:p>
    <w:p w:rsidR="0036211F" w:rsidRPr="00CB7408" w:rsidRDefault="0036211F" w:rsidP="0036211F">
      <w:pPr>
        <w:pStyle w:val="ManualNumPar1"/>
        <w:rPr>
          <w:noProof/>
        </w:rPr>
      </w:pPr>
      <w:r>
        <w:rPr>
          <w:noProof/>
        </w:rPr>
        <w:t>11.</w:t>
      </w:r>
      <w:r>
        <w:rPr>
          <w:noProof/>
        </w:rPr>
        <w:tab/>
      </w:r>
      <w:r w:rsidRPr="00CB7408">
        <w:rPr>
          <w:noProof/>
        </w:rPr>
        <w:t xml:space="preserve">The investment of </w:t>
      </w:r>
      <w:r w:rsidR="00CB7408" w:rsidRPr="00CB7408">
        <w:rPr>
          <w:noProof/>
        </w:rPr>
        <w:t>more than</w:t>
      </w:r>
      <w:r w:rsidRPr="00CB7408">
        <w:rPr>
          <w:noProof/>
        </w:rPr>
        <w:t xml:space="preserve"> </w:t>
      </w:r>
      <w:r w:rsidR="001C3001" w:rsidRPr="00CB7408">
        <w:rPr>
          <w:noProof/>
        </w:rPr>
        <w:t>EUR </w:t>
      </w:r>
      <w:r w:rsidRPr="00CB7408">
        <w:rPr>
          <w:noProof/>
        </w:rPr>
        <w:t>40 million made by GFG Alliance</w:t>
      </w:r>
      <w:r w:rsidR="00E700C8" w:rsidRPr="00CB7408">
        <w:rPr>
          <w:rStyle w:val="FootnoteReference"/>
          <w:noProof/>
        </w:rPr>
        <w:footnoteReference w:id="6"/>
      </w:r>
      <w:r w:rsidRPr="00CB7408">
        <w:rPr>
          <w:noProof/>
        </w:rPr>
        <w:t xml:space="preserve"> after the acquisition of Liberty Steel Liège from ArcelorMittal in July 2019, w</w:t>
      </w:r>
      <w:r w:rsidR="00CB7408" w:rsidRPr="00CB7408">
        <w:rPr>
          <w:noProof/>
        </w:rPr>
        <w:t>as</w:t>
      </w:r>
      <w:r w:rsidRPr="00CB7408">
        <w:rPr>
          <w:noProof/>
        </w:rPr>
        <w:t xml:space="preserve"> hampered by the weak steel market in 2019, the supply chain disruptions caused by the impact of the COVID-19 pandemic and the high energy prices that followed Russia’s war of aggression against Ukraine. </w:t>
      </w:r>
    </w:p>
    <w:p w:rsidR="00EB5360" w:rsidRPr="00CB7408" w:rsidRDefault="0036211F" w:rsidP="00EB5360">
      <w:pPr>
        <w:pStyle w:val="ManualNumPar1"/>
        <w:rPr>
          <w:noProof/>
        </w:rPr>
      </w:pPr>
      <w:r>
        <w:rPr>
          <w:noProof/>
        </w:rPr>
        <w:t>12.</w:t>
      </w:r>
      <w:r>
        <w:rPr>
          <w:noProof/>
        </w:rPr>
        <w:tab/>
      </w:r>
      <w:r w:rsidRPr="00CB7408">
        <w:rPr>
          <w:noProof/>
        </w:rPr>
        <w:t>Liberty Steel</w:t>
      </w:r>
      <w:r w:rsidR="00E700C8" w:rsidRPr="00CB7408">
        <w:rPr>
          <w:noProof/>
        </w:rPr>
        <w:t xml:space="preserve"> Group</w:t>
      </w:r>
      <w:r w:rsidRPr="00CB7408">
        <w:rPr>
          <w:noProof/>
        </w:rPr>
        <w:t>'s galvanizing lines in Belgium remained idle since December 2021 because of the lack of raw materials triggering a restructuring operation which resulted in the legal transfer of Liberty Steel Liège to Libert</w:t>
      </w:r>
      <w:r w:rsidR="00E700C8" w:rsidRPr="00CB7408">
        <w:rPr>
          <w:noProof/>
        </w:rPr>
        <w:t>y</w:t>
      </w:r>
      <w:r w:rsidRPr="00CB7408">
        <w:rPr>
          <w:noProof/>
        </w:rPr>
        <w:t xml:space="preserve"> Gala</w:t>
      </w:r>
      <w:r w:rsidR="00DC465E" w:rsidRPr="00CB7408">
        <w:rPr>
          <w:noProof/>
        </w:rPr>
        <w:t>ţ</w:t>
      </w:r>
      <w:r w:rsidRPr="00CB7408">
        <w:rPr>
          <w:noProof/>
        </w:rPr>
        <w:t>i (</w:t>
      </w:r>
      <w:r w:rsidR="009D066B" w:rsidRPr="00CB7408">
        <w:rPr>
          <w:noProof/>
        </w:rPr>
        <w:t xml:space="preserve">a </w:t>
      </w:r>
      <w:r w:rsidRPr="00CB7408">
        <w:rPr>
          <w:noProof/>
        </w:rPr>
        <w:t xml:space="preserve">Romanian subsidiary of </w:t>
      </w:r>
      <w:r w:rsidR="00E700C8" w:rsidRPr="00CB7408">
        <w:rPr>
          <w:noProof/>
        </w:rPr>
        <w:t xml:space="preserve">GFG Alliance through </w:t>
      </w:r>
      <w:r w:rsidR="0001225C" w:rsidRPr="00CB7408">
        <w:rPr>
          <w:noProof/>
        </w:rPr>
        <w:t>Liberty</w:t>
      </w:r>
      <w:r w:rsidRPr="00CB7408">
        <w:rPr>
          <w:noProof/>
        </w:rPr>
        <w:t xml:space="preserve"> Steel</w:t>
      </w:r>
      <w:r w:rsidR="00E700C8" w:rsidRPr="00CB7408">
        <w:rPr>
          <w:noProof/>
        </w:rPr>
        <w:t xml:space="preserve"> Group</w:t>
      </w:r>
      <w:r w:rsidRPr="00CB7408">
        <w:rPr>
          <w:noProof/>
        </w:rPr>
        <w:t>) in 2023.</w:t>
      </w:r>
    </w:p>
    <w:p w:rsidR="00EB5360" w:rsidRPr="00CB7408" w:rsidRDefault="0036211F" w:rsidP="0036211F">
      <w:pPr>
        <w:pStyle w:val="ManualNumPar1"/>
        <w:rPr>
          <w:noProof/>
        </w:rPr>
      </w:pPr>
      <w:r>
        <w:rPr>
          <w:noProof/>
        </w:rPr>
        <w:t>13.</w:t>
      </w:r>
      <w:r>
        <w:rPr>
          <w:noProof/>
        </w:rPr>
        <w:tab/>
      </w:r>
      <w:r w:rsidRPr="00CB7408">
        <w:rPr>
          <w:noProof/>
        </w:rPr>
        <w:t>Despite Gala</w:t>
      </w:r>
      <w:r w:rsidR="00DC465E" w:rsidRPr="00CB7408">
        <w:rPr>
          <w:noProof/>
        </w:rPr>
        <w:t>ţ</w:t>
      </w:r>
      <w:r w:rsidRPr="00CB7408">
        <w:rPr>
          <w:noProof/>
        </w:rPr>
        <w:t>i’s takeover of Liberty Steel Liège, production activity did not resume.</w:t>
      </w:r>
      <w:r w:rsidR="009D066B" w:rsidRPr="00CB7408">
        <w:rPr>
          <w:noProof/>
        </w:rPr>
        <w:t xml:space="preserve"> Therefore, w</w:t>
      </w:r>
      <w:r w:rsidRPr="00CB7408">
        <w:rPr>
          <w:noProof/>
        </w:rPr>
        <w:t xml:space="preserve">orkers were placed in short-time work schemes. After </w:t>
      </w:r>
      <w:r w:rsidR="00736E61" w:rsidRPr="00CB7408">
        <w:rPr>
          <w:noProof/>
        </w:rPr>
        <w:t xml:space="preserve">a long period without </w:t>
      </w:r>
      <w:r w:rsidRPr="00CB7408">
        <w:rPr>
          <w:noProof/>
        </w:rPr>
        <w:t>engag</w:t>
      </w:r>
      <w:r w:rsidR="00736E61" w:rsidRPr="00CB7408">
        <w:rPr>
          <w:noProof/>
        </w:rPr>
        <w:t>ing</w:t>
      </w:r>
      <w:r w:rsidRPr="00CB7408">
        <w:rPr>
          <w:noProof/>
        </w:rPr>
        <w:t xml:space="preserve"> in any production, Liberty was declared bankrupt by Liège’s Commercial Court on 22 April 2025</w:t>
      </w:r>
      <w:r w:rsidR="00036806" w:rsidRPr="00CB7408">
        <w:rPr>
          <w:rStyle w:val="FootnoteReference"/>
          <w:noProof/>
        </w:rPr>
        <w:footnoteReference w:id="7"/>
      </w:r>
      <w:r w:rsidR="00EB5360" w:rsidRPr="00CB7408">
        <w:rPr>
          <w:noProof/>
        </w:rPr>
        <w:t>.</w:t>
      </w:r>
    </w:p>
    <w:p w:rsidR="001A62D7" w:rsidRPr="00CB7408" w:rsidRDefault="00EB5360" w:rsidP="0036211F">
      <w:pPr>
        <w:pStyle w:val="ManualNumPar1"/>
        <w:rPr>
          <w:noProof/>
        </w:rPr>
      </w:pPr>
      <w:r>
        <w:rPr>
          <w:noProof/>
        </w:rPr>
        <w:t>14.</w:t>
      </w:r>
      <w:r>
        <w:rPr>
          <w:noProof/>
        </w:rPr>
        <w:tab/>
      </w:r>
      <w:r w:rsidRPr="00CB7408">
        <w:rPr>
          <w:noProof/>
        </w:rPr>
        <w:t xml:space="preserve">Liège was not the only facility in difficulties. </w:t>
      </w:r>
      <w:r w:rsidR="00320AAE" w:rsidRPr="00CB7408">
        <w:rPr>
          <w:noProof/>
        </w:rPr>
        <w:t>Liberty Steel p</w:t>
      </w:r>
      <w:r w:rsidRPr="00CB7408">
        <w:rPr>
          <w:noProof/>
        </w:rPr>
        <w:t>lants in Czechia, Poland, Italy, Romania, and Luxemburg also experienced difficulties because of the combination of adverse steel market conditions</w:t>
      </w:r>
      <w:r w:rsidR="00FD1975" w:rsidRPr="00CB7408">
        <w:rPr>
          <w:noProof/>
        </w:rPr>
        <w:t>,</w:t>
      </w:r>
      <w:r w:rsidR="00320AAE" w:rsidRPr="00CB7408">
        <w:rPr>
          <w:noProof/>
        </w:rPr>
        <w:t xml:space="preserve"> </w:t>
      </w:r>
      <w:r w:rsidRPr="00CB7408">
        <w:rPr>
          <w:noProof/>
        </w:rPr>
        <w:t xml:space="preserve">and GFG Alliance Group’s dramatic lack of liquid capital that followed the bankruptcy of </w:t>
      </w:r>
      <w:bookmarkStart w:id="9" w:name="_Hlk219383887"/>
      <w:r w:rsidRPr="00CB7408">
        <w:rPr>
          <w:noProof/>
        </w:rPr>
        <w:t>Greensill Capital</w:t>
      </w:r>
      <w:bookmarkEnd w:id="9"/>
      <w:r w:rsidRPr="00CB7408">
        <w:rPr>
          <w:noProof/>
        </w:rPr>
        <w:t xml:space="preserve">. </w:t>
      </w:r>
      <w:r w:rsidR="001948CA" w:rsidRPr="00CB7408">
        <w:rPr>
          <w:noProof/>
        </w:rPr>
        <w:t>Since t</w:t>
      </w:r>
      <w:r w:rsidRPr="00CB7408">
        <w:rPr>
          <w:noProof/>
        </w:rPr>
        <w:t xml:space="preserve">his </w:t>
      </w:r>
      <w:bookmarkStart w:id="10" w:name="_Hlk219383923"/>
      <w:r w:rsidRPr="00CB7408">
        <w:rPr>
          <w:noProof/>
        </w:rPr>
        <w:t>private financial services company provide</w:t>
      </w:r>
      <w:r w:rsidR="001948CA" w:rsidRPr="00CB7408">
        <w:rPr>
          <w:noProof/>
        </w:rPr>
        <w:t>d</w:t>
      </w:r>
      <w:r w:rsidRPr="00CB7408">
        <w:rPr>
          <w:noProof/>
        </w:rPr>
        <w:t xml:space="preserve"> short-term financing to many entities of the GFG Alliance Group</w:t>
      </w:r>
      <w:r w:rsidR="001948CA" w:rsidRPr="00CB7408">
        <w:rPr>
          <w:noProof/>
        </w:rPr>
        <w:t>, i</w:t>
      </w:r>
      <w:r w:rsidRPr="00CB7408">
        <w:rPr>
          <w:noProof/>
        </w:rPr>
        <w:t>ts bankruptcy endangered the viability of Liberty Steel, leading to its gradual decline.</w:t>
      </w:r>
      <w:bookmarkEnd w:id="10"/>
    </w:p>
    <w:p w:rsidR="001A62D7" w:rsidRPr="00CB7408" w:rsidRDefault="001A62D7" w:rsidP="001A62D7">
      <w:pPr>
        <w:pStyle w:val="ManualHeading3"/>
        <w:tabs>
          <w:tab w:val="clear" w:pos="850"/>
          <w:tab w:val="left" w:pos="0"/>
        </w:tabs>
        <w:ind w:left="0" w:firstLine="0"/>
        <w:rPr>
          <w:noProof/>
        </w:rPr>
      </w:pPr>
      <w:r w:rsidRPr="00CB7408">
        <w:rPr>
          <w:noProof/>
        </w:rPr>
        <w:t>Expected impact of the displacements as regards the local, regional or national economy and employment</w:t>
      </w:r>
    </w:p>
    <w:p w:rsidR="007B508B" w:rsidRPr="00CB7408" w:rsidRDefault="004A0546" w:rsidP="007B508B">
      <w:pPr>
        <w:pStyle w:val="ManualNumPar1"/>
        <w:rPr>
          <w:noProof/>
        </w:rPr>
      </w:pPr>
      <w:r>
        <w:rPr>
          <w:noProof/>
        </w:rPr>
        <w:t>15.</w:t>
      </w:r>
      <w:r>
        <w:rPr>
          <w:noProof/>
        </w:rPr>
        <w:tab/>
      </w:r>
      <w:bookmarkStart w:id="11" w:name="_Hlk219712504"/>
      <w:r w:rsidRPr="00CB7408">
        <w:rPr>
          <w:noProof/>
        </w:rPr>
        <w:t xml:space="preserve">In </w:t>
      </w:r>
      <w:r w:rsidR="000B5F51" w:rsidRPr="00CB7408">
        <w:rPr>
          <w:noProof/>
        </w:rPr>
        <w:t>Belgium</w:t>
      </w:r>
      <w:r w:rsidRPr="00CB7408">
        <w:rPr>
          <w:noProof/>
        </w:rPr>
        <w:t>,</w:t>
      </w:r>
      <w:r w:rsidR="000B5F51" w:rsidRPr="00CB7408">
        <w:rPr>
          <w:noProof/>
        </w:rPr>
        <w:t xml:space="preserve"> </w:t>
      </w:r>
      <w:r w:rsidRPr="00CB7408">
        <w:rPr>
          <w:noProof/>
        </w:rPr>
        <w:t>the</w:t>
      </w:r>
      <w:r w:rsidR="000B5F51" w:rsidRPr="00CB7408">
        <w:rPr>
          <w:noProof/>
        </w:rPr>
        <w:t xml:space="preserve"> ratio of steel jobs</w:t>
      </w:r>
      <w:r w:rsidR="006D546F" w:rsidRPr="00CB7408">
        <w:rPr>
          <w:rStyle w:val="FootnoteReference"/>
          <w:noProof/>
        </w:rPr>
        <w:footnoteReference w:id="8"/>
      </w:r>
      <w:r w:rsidR="000B5F51" w:rsidRPr="00CB7408">
        <w:rPr>
          <w:noProof/>
        </w:rPr>
        <w:t xml:space="preserve"> per inhabitant</w:t>
      </w:r>
      <w:r w:rsidR="000B5F51" w:rsidRPr="00CB7408">
        <w:rPr>
          <w:rStyle w:val="FootnoteReference"/>
          <w:noProof/>
        </w:rPr>
        <w:footnoteReference w:id="9"/>
      </w:r>
      <w:r w:rsidRPr="00CB7408">
        <w:rPr>
          <w:noProof/>
        </w:rPr>
        <w:t xml:space="preserve"> is high</w:t>
      </w:r>
      <w:r w:rsidR="000B5F51" w:rsidRPr="00CB7408">
        <w:rPr>
          <w:noProof/>
        </w:rPr>
        <w:t>, wh</w:t>
      </w:r>
      <w:r w:rsidRPr="00CB7408">
        <w:rPr>
          <w:noProof/>
        </w:rPr>
        <w:t>ich</w:t>
      </w:r>
      <w:r w:rsidR="000B5F51" w:rsidRPr="00CB7408">
        <w:rPr>
          <w:noProof/>
        </w:rPr>
        <w:t xml:space="preserve"> highlights the importance of the sector in the country’s economy. Furthermore, Liberty’s bankruptcy represents a major social shock for </w:t>
      </w:r>
      <w:r w:rsidR="00625A8E" w:rsidRPr="00CB7408">
        <w:rPr>
          <w:noProof/>
        </w:rPr>
        <w:t>Wallonia</w:t>
      </w:r>
      <w:bookmarkEnd w:id="11"/>
      <w:r w:rsidR="000B5F51" w:rsidRPr="00CB7408">
        <w:rPr>
          <w:noProof/>
        </w:rPr>
        <w:t xml:space="preserve">, </w:t>
      </w:r>
      <w:bookmarkStart w:id="12" w:name="_Hlk219712590"/>
      <w:r w:rsidR="000B5F51" w:rsidRPr="00CB7408">
        <w:rPr>
          <w:noProof/>
        </w:rPr>
        <w:t>as it occurs in a labour market already weakened by other restructuring events</w:t>
      </w:r>
      <w:bookmarkEnd w:id="12"/>
      <w:r w:rsidR="000B5F51" w:rsidRPr="00CB7408">
        <w:rPr>
          <w:noProof/>
        </w:rPr>
        <w:t xml:space="preserve"> such as TNT-FedEx</w:t>
      </w:r>
      <w:r w:rsidR="00D924F0" w:rsidRPr="00CB7408">
        <w:rPr>
          <w:rStyle w:val="FootnoteReference"/>
          <w:noProof/>
        </w:rPr>
        <w:footnoteReference w:id="10"/>
      </w:r>
      <w:r w:rsidR="000B5F51" w:rsidRPr="00CB7408">
        <w:rPr>
          <w:noProof/>
        </w:rPr>
        <w:t xml:space="preserve"> or Makro</w:t>
      </w:r>
      <w:r w:rsidR="00D924F0" w:rsidRPr="00CB7408">
        <w:rPr>
          <w:rStyle w:val="FootnoteReference"/>
          <w:noProof/>
        </w:rPr>
        <w:footnoteReference w:id="11"/>
      </w:r>
      <w:r w:rsidR="000B5F51" w:rsidRPr="00CB7408">
        <w:rPr>
          <w:noProof/>
        </w:rPr>
        <w:t xml:space="preserve"> </w:t>
      </w:r>
      <w:r w:rsidR="007B508B" w:rsidRPr="00CB7408">
        <w:rPr>
          <w:noProof/>
        </w:rPr>
        <w:t xml:space="preserve">for which Belgium </w:t>
      </w:r>
      <w:r w:rsidR="00AE2AA8" w:rsidRPr="00CB7408">
        <w:rPr>
          <w:noProof/>
        </w:rPr>
        <w:t xml:space="preserve">also </w:t>
      </w:r>
      <w:r w:rsidR="007B508B" w:rsidRPr="00CB7408">
        <w:rPr>
          <w:noProof/>
        </w:rPr>
        <w:t>applied for EGF support.</w:t>
      </w:r>
    </w:p>
    <w:p w:rsidR="00A508C2" w:rsidRPr="00CB7408" w:rsidRDefault="00A508C2" w:rsidP="00A508C2">
      <w:pPr>
        <w:pStyle w:val="ManualNumPar1"/>
        <w:rPr>
          <w:noProof/>
        </w:rPr>
      </w:pPr>
      <w:r>
        <w:rPr>
          <w:noProof/>
        </w:rPr>
        <w:t>16.</w:t>
      </w:r>
      <w:r>
        <w:rPr>
          <w:noProof/>
        </w:rPr>
        <w:tab/>
      </w:r>
      <w:r w:rsidRPr="00CB7408">
        <w:rPr>
          <w:noProof/>
        </w:rPr>
        <w:t>In October 2025, unemployment rate for Belgium as a whole was 6,4%, 0,6 percentage points (pp) increase year-on-year, and 0,</w:t>
      </w:r>
      <w:r w:rsidR="00095247" w:rsidRPr="00CB7408">
        <w:rPr>
          <w:noProof/>
        </w:rPr>
        <w:t>5</w:t>
      </w:r>
      <w:r w:rsidRPr="00CB7408">
        <w:rPr>
          <w:noProof/>
        </w:rPr>
        <w:t xml:space="preserve"> pp higher than the EU average unemployment rate</w:t>
      </w:r>
      <w:r w:rsidR="00095247" w:rsidRPr="00CB7408">
        <w:rPr>
          <w:noProof/>
        </w:rPr>
        <w:t xml:space="preserve"> (5,9%)</w:t>
      </w:r>
      <w:r w:rsidR="002E5201" w:rsidRPr="00CB7408">
        <w:rPr>
          <w:rStyle w:val="FootnoteReference"/>
          <w:noProof/>
        </w:rPr>
        <w:footnoteReference w:id="12"/>
      </w:r>
      <w:r w:rsidRPr="00CB7408">
        <w:rPr>
          <w:noProof/>
        </w:rPr>
        <w:t>. However</w:t>
      </w:r>
      <w:r w:rsidR="00F27843" w:rsidRPr="00CB7408">
        <w:rPr>
          <w:noProof/>
        </w:rPr>
        <w:t>,</w:t>
      </w:r>
      <w:r w:rsidRPr="00CB7408">
        <w:rPr>
          <w:noProof/>
        </w:rPr>
        <w:t xml:space="preserve"> the unemployment rate in Walloria rises up to 7,8%</w:t>
      </w:r>
      <w:r w:rsidR="005D52E3" w:rsidRPr="00CB7408">
        <w:rPr>
          <w:rStyle w:val="FootnoteReference"/>
          <w:noProof/>
        </w:rPr>
        <w:footnoteReference w:id="13"/>
      </w:r>
      <w:r w:rsidRPr="00CB7408">
        <w:rPr>
          <w:noProof/>
        </w:rPr>
        <w:t xml:space="preserve">. </w:t>
      </w:r>
    </w:p>
    <w:p w:rsidR="00A508C2" w:rsidRPr="00CB7408" w:rsidRDefault="00A508C2" w:rsidP="00A508C2">
      <w:pPr>
        <w:pStyle w:val="ManualNumPar1"/>
        <w:rPr>
          <w:noProof/>
        </w:rPr>
      </w:pPr>
      <w:r>
        <w:rPr>
          <w:noProof/>
        </w:rPr>
        <w:t>17.</w:t>
      </w:r>
      <w:r>
        <w:rPr>
          <w:noProof/>
        </w:rPr>
        <w:tab/>
      </w:r>
      <w:r w:rsidRPr="00CB7408">
        <w:rPr>
          <w:noProof/>
        </w:rPr>
        <w:t>In the second quarter of 2025, the employment rate in Wallonia (62,7 %)</w:t>
      </w:r>
      <w:r w:rsidR="0000022B" w:rsidRPr="00CB7408">
        <w:rPr>
          <w:rStyle w:val="FootnoteReference"/>
          <w:noProof/>
        </w:rPr>
        <w:footnoteReference w:id="14"/>
      </w:r>
      <w:r w:rsidRPr="00CB7408">
        <w:rPr>
          <w:noProof/>
        </w:rPr>
        <w:t xml:space="preserve"> was 13 pp lower than the EU average (76,2%)</w:t>
      </w:r>
      <w:r w:rsidR="00915104" w:rsidRPr="00CB7408">
        <w:rPr>
          <w:rStyle w:val="FootnoteReference"/>
          <w:noProof/>
        </w:rPr>
        <w:footnoteReference w:id="15"/>
      </w:r>
      <w:r w:rsidRPr="00CB7408">
        <w:rPr>
          <w:noProof/>
        </w:rPr>
        <w:t>.</w:t>
      </w:r>
      <w:r w:rsidR="00F10A52" w:rsidRPr="00CB7408">
        <w:rPr>
          <w:noProof/>
        </w:rPr>
        <w:t xml:space="preserve"> </w:t>
      </w:r>
      <w:r w:rsidRPr="00CB7408">
        <w:rPr>
          <w:noProof/>
        </w:rPr>
        <w:t xml:space="preserve">Older workers are facing more barriers to employment. The </w:t>
      </w:r>
      <w:r w:rsidR="004A0546" w:rsidRPr="00CB7408">
        <w:rPr>
          <w:noProof/>
        </w:rPr>
        <w:t>n</w:t>
      </w:r>
      <w:r w:rsidRPr="00CB7408">
        <w:rPr>
          <w:noProof/>
        </w:rPr>
        <w:t xml:space="preserve">ational employment rate for the age group 25-49 is 82%. It falls </w:t>
      </w:r>
      <w:r w:rsidRPr="00CB7408">
        <w:rPr>
          <w:noProof/>
        </w:rPr>
        <w:lastRenderedPageBreak/>
        <w:t>down to 68,2% for people aged 50 or more</w:t>
      </w:r>
      <w:r w:rsidR="00F10A52" w:rsidRPr="00CB7408">
        <w:rPr>
          <w:rStyle w:val="FootnoteReference"/>
          <w:noProof/>
        </w:rPr>
        <w:footnoteReference w:id="16"/>
      </w:r>
      <w:r w:rsidRPr="00CB7408">
        <w:rPr>
          <w:noProof/>
        </w:rPr>
        <w:t xml:space="preserve">. One in four registered job seekers in Wallonia </w:t>
      </w:r>
      <w:r w:rsidR="0029290D" w:rsidRPr="00CB7408">
        <w:rPr>
          <w:noProof/>
        </w:rPr>
        <w:t xml:space="preserve">was </w:t>
      </w:r>
      <w:r w:rsidRPr="00CB7408">
        <w:rPr>
          <w:noProof/>
        </w:rPr>
        <w:t xml:space="preserve">aged </w:t>
      </w:r>
      <w:r w:rsidR="004A0546" w:rsidRPr="00CB7408">
        <w:rPr>
          <w:noProof/>
        </w:rPr>
        <w:t xml:space="preserve">50 </w:t>
      </w:r>
      <w:r w:rsidRPr="00CB7408">
        <w:rPr>
          <w:noProof/>
        </w:rPr>
        <w:t>or more, in August 2025</w:t>
      </w:r>
      <w:r w:rsidR="005F26CA" w:rsidRPr="00CB7408">
        <w:rPr>
          <w:rStyle w:val="FootnoteReference"/>
          <w:noProof/>
        </w:rPr>
        <w:footnoteReference w:id="17"/>
      </w:r>
      <w:r w:rsidRPr="00CB7408">
        <w:rPr>
          <w:noProof/>
        </w:rPr>
        <w:t>.</w:t>
      </w:r>
    </w:p>
    <w:p w:rsidR="00640A33" w:rsidRPr="00CB7408" w:rsidRDefault="00A508C2" w:rsidP="00640A33">
      <w:pPr>
        <w:pStyle w:val="ManualNumPar1"/>
        <w:rPr>
          <w:noProof/>
        </w:rPr>
      </w:pPr>
      <w:r>
        <w:rPr>
          <w:noProof/>
        </w:rPr>
        <w:t>18.</w:t>
      </w:r>
      <w:r>
        <w:rPr>
          <w:noProof/>
        </w:rPr>
        <w:tab/>
      </w:r>
      <w:bookmarkStart w:id="13" w:name="_Hlk219712684"/>
      <w:r w:rsidRPr="00CB7408">
        <w:rPr>
          <w:noProof/>
        </w:rPr>
        <w:t xml:space="preserve">Despite their high specialization in metallurgy, galvanizing and heavy industrial maintenance, </w:t>
      </w:r>
      <w:r w:rsidR="004A0546" w:rsidRPr="00CB7408">
        <w:rPr>
          <w:noProof/>
        </w:rPr>
        <w:t xml:space="preserve">the job transitions of Liberty's workers are challenged by their </w:t>
      </w:r>
      <w:r w:rsidR="008820A0" w:rsidRPr="00CB7408">
        <w:rPr>
          <w:noProof/>
        </w:rPr>
        <w:t xml:space="preserve">advanced </w:t>
      </w:r>
      <w:r w:rsidR="004A0546" w:rsidRPr="00CB7408">
        <w:rPr>
          <w:noProof/>
        </w:rPr>
        <w:t xml:space="preserve">age (52% of the workers are aged 55 or more and one in two in this group is aged 60 or more) </w:t>
      </w:r>
      <w:r w:rsidRPr="00CB7408">
        <w:rPr>
          <w:noProof/>
        </w:rPr>
        <w:t xml:space="preserve">with many years of seniority </w:t>
      </w:r>
      <w:r w:rsidR="00D041D7" w:rsidRPr="00CB7408">
        <w:rPr>
          <w:noProof/>
        </w:rPr>
        <w:t>in</w:t>
      </w:r>
      <w:r w:rsidRPr="00CB7408">
        <w:rPr>
          <w:noProof/>
        </w:rPr>
        <w:t xml:space="preserve"> the same enterprise </w:t>
      </w:r>
      <w:bookmarkEnd w:id="13"/>
      <w:r w:rsidRPr="00CB7408">
        <w:rPr>
          <w:noProof/>
        </w:rPr>
        <w:t>(more than 70% of the workers have between 24 and 40 years of seniority)</w:t>
      </w:r>
      <w:r w:rsidR="00543082" w:rsidRPr="00CB7408">
        <w:rPr>
          <w:noProof/>
        </w:rPr>
        <w:t>.</w:t>
      </w:r>
      <w:r w:rsidR="0029290D" w:rsidRPr="00CB7408">
        <w:rPr>
          <w:noProof/>
        </w:rPr>
        <w:t xml:space="preserve"> Therefore, </w:t>
      </w:r>
      <w:r w:rsidRPr="00CB7408">
        <w:rPr>
          <w:noProof/>
        </w:rPr>
        <w:t xml:space="preserve">these workers </w:t>
      </w:r>
      <w:r w:rsidR="0029290D" w:rsidRPr="00CB7408">
        <w:rPr>
          <w:noProof/>
        </w:rPr>
        <w:t>need</w:t>
      </w:r>
      <w:r w:rsidRPr="00CB7408">
        <w:rPr>
          <w:noProof/>
        </w:rPr>
        <w:t xml:space="preserve"> personalised help to overcome these difficulties.</w:t>
      </w:r>
    </w:p>
    <w:p w:rsidR="001A62D7" w:rsidRPr="00CB7408" w:rsidRDefault="001A62D7" w:rsidP="001A62D7">
      <w:pPr>
        <w:pStyle w:val="ManualHeading2"/>
        <w:rPr>
          <w:noProof/>
        </w:rPr>
      </w:pPr>
      <w:r w:rsidRPr="00CB7408">
        <w:rPr>
          <w:noProof/>
        </w:rPr>
        <w:t>Application of the EU Quality Framework for anticipation of change and restructuring (QFR)</w:t>
      </w:r>
    </w:p>
    <w:p w:rsidR="002F085B" w:rsidRPr="00CB7408" w:rsidRDefault="0013165F" w:rsidP="00AE7D04">
      <w:pPr>
        <w:pStyle w:val="ManualNumPar1"/>
        <w:rPr>
          <w:noProof/>
        </w:rPr>
      </w:pPr>
      <w:r>
        <w:rPr>
          <w:noProof/>
        </w:rPr>
        <w:t>19.</w:t>
      </w:r>
      <w:r>
        <w:rPr>
          <w:noProof/>
        </w:rPr>
        <w:tab/>
      </w:r>
      <w:r w:rsidRPr="00CB7408">
        <w:rPr>
          <w:noProof/>
        </w:rPr>
        <w:t xml:space="preserve">Belgium </w:t>
      </w:r>
      <w:r w:rsidR="001A62D7" w:rsidRPr="00CB7408">
        <w:rPr>
          <w:noProof/>
        </w:rPr>
        <w:t>has described how the recommendations set out in the EU Quality Framework for anticipation of change and restructuring have been taken into account</w:t>
      </w:r>
      <w:r w:rsidR="002F085B" w:rsidRPr="00CB7408">
        <w:rPr>
          <w:noProof/>
        </w:rPr>
        <w:t>.</w:t>
      </w:r>
    </w:p>
    <w:p w:rsidR="001A62D7" w:rsidRPr="00CB7408" w:rsidRDefault="002F085B" w:rsidP="00AE7D04">
      <w:pPr>
        <w:pStyle w:val="ManualNumPar1"/>
        <w:rPr>
          <w:noProof/>
        </w:rPr>
      </w:pPr>
      <w:r>
        <w:rPr>
          <w:noProof/>
        </w:rPr>
        <w:t>20.</w:t>
      </w:r>
      <w:r>
        <w:rPr>
          <w:noProof/>
        </w:rPr>
        <w:tab/>
      </w:r>
      <w:r w:rsidRPr="00CB7408">
        <w:rPr>
          <w:noProof/>
        </w:rPr>
        <w:t>Belgium has reported that national labour law on the active management of restructuring</w:t>
      </w:r>
      <w:r w:rsidR="00E50399" w:rsidRPr="00CB7408">
        <w:rPr>
          <w:rStyle w:val="FootnoteReference"/>
          <w:noProof/>
        </w:rPr>
        <w:footnoteReference w:id="18"/>
      </w:r>
      <w:r w:rsidRPr="00CB7408">
        <w:rPr>
          <w:noProof/>
        </w:rPr>
        <w:t xml:space="preserve"> requires enterprises undergoing restructuring to set up an employment unit, whose purpose is to provide workers laid off in the context of collective redundancies with 30 hours of outplacement services in a period of three months (60 hours in six months for workers aged 45+). However, this legal obligation does not apply in the event of bankruptcy. Therefore, the outplacement</w:t>
      </w:r>
      <w:r w:rsidR="008B6E00" w:rsidRPr="00CB7408">
        <w:rPr>
          <w:noProof/>
        </w:rPr>
        <w:t xml:space="preserve"> and vocational guidance services included in </w:t>
      </w:r>
      <w:r w:rsidR="0029290D" w:rsidRPr="00CB7408">
        <w:rPr>
          <w:noProof/>
        </w:rPr>
        <w:t xml:space="preserve">the </w:t>
      </w:r>
      <w:r w:rsidR="008B6E00" w:rsidRPr="00CB7408">
        <w:rPr>
          <w:noProof/>
        </w:rPr>
        <w:t>package of</w:t>
      </w:r>
      <w:r w:rsidRPr="00CB7408">
        <w:rPr>
          <w:noProof/>
        </w:rPr>
        <w:t xml:space="preserve"> measure</w:t>
      </w:r>
      <w:r w:rsidR="008B6E00" w:rsidRPr="00CB7408">
        <w:rPr>
          <w:noProof/>
        </w:rPr>
        <w:t>s</w:t>
      </w:r>
      <w:r w:rsidRPr="00CB7408">
        <w:rPr>
          <w:noProof/>
        </w:rPr>
        <w:t xml:space="preserve"> described below in paragraph 24 replace the counseling and outplacement services that these displaced workers do not receive</w:t>
      </w:r>
      <w:r w:rsidR="00695B7B" w:rsidRPr="00CB7408">
        <w:rPr>
          <w:noProof/>
        </w:rPr>
        <w:t xml:space="preserve"> and expand them</w:t>
      </w:r>
      <w:r w:rsidR="001A62D7" w:rsidRPr="00CB7408">
        <w:rPr>
          <w:noProof/>
        </w:rPr>
        <w:t>.</w:t>
      </w:r>
    </w:p>
    <w:p w:rsidR="00803197" w:rsidRPr="00CB7408" w:rsidRDefault="005B0EC2" w:rsidP="00803197">
      <w:pPr>
        <w:pStyle w:val="ManualNumPar1"/>
        <w:rPr>
          <w:noProof/>
        </w:rPr>
      </w:pPr>
      <w:r>
        <w:rPr>
          <w:noProof/>
        </w:rPr>
        <w:t>21.</w:t>
      </w:r>
      <w:r>
        <w:rPr>
          <w:noProof/>
        </w:rPr>
        <w:tab/>
      </w:r>
      <w:r w:rsidRPr="00CB7408">
        <w:rPr>
          <w:noProof/>
        </w:rPr>
        <w:t>Wallonia's regional legislation</w:t>
      </w:r>
      <w:r w:rsidR="004419E9" w:rsidRPr="00CB7408">
        <w:rPr>
          <w:rStyle w:val="FootnoteReference"/>
          <w:noProof/>
        </w:rPr>
        <w:footnoteReference w:id="19"/>
      </w:r>
      <w:r w:rsidRPr="00CB7408">
        <w:rPr>
          <w:noProof/>
        </w:rPr>
        <w:t xml:space="preserve"> provides for specific support for redundant workers, in the form of </w:t>
      </w:r>
      <w:bookmarkStart w:id="14" w:name="_Hlk215169153"/>
      <w:r w:rsidRPr="00CB7408">
        <w:rPr>
          <w:noProof/>
        </w:rPr>
        <w:t>a redeployment unit (</w:t>
      </w:r>
      <w:r w:rsidRPr="00CB7408">
        <w:rPr>
          <w:i/>
          <w:iCs/>
          <w:noProof/>
        </w:rPr>
        <w:t>cellule de reconversion</w:t>
      </w:r>
      <w:r w:rsidRPr="00CB7408">
        <w:rPr>
          <w:noProof/>
        </w:rPr>
        <w:t>)</w:t>
      </w:r>
      <w:bookmarkEnd w:id="14"/>
      <w:r w:rsidRPr="00CB7408">
        <w:rPr>
          <w:rStyle w:val="FootnoteReference"/>
          <w:noProof/>
        </w:rPr>
        <w:footnoteReference w:id="20"/>
      </w:r>
      <w:r w:rsidRPr="00CB7408">
        <w:rPr>
          <w:noProof/>
        </w:rPr>
        <w:t xml:space="preserve"> by the Regional Public Employment and Vocational Training Service (Le Forem), at the request of workers’ representative organisations. The redeployment unit does not constitute an obligation for the employer, nor for Le Forem. The implementation of the EGF co-financed measures will be managed through such a redeployment unit.</w:t>
      </w:r>
    </w:p>
    <w:p w:rsidR="001A62D7" w:rsidRPr="00CB7408" w:rsidRDefault="001A62D7" w:rsidP="00AE7D04">
      <w:pPr>
        <w:pStyle w:val="ManualNumPar1"/>
        <w:rPr>
          <w:noProof/>
        </w:rPr>
      </w:pPr>
      <w:r>
        <w:rPr>
          <w:noProof/>
        </w:rPr>
        <w:t>22.</w:t>
      </w:r>
      <w:r>
        <w:rPr>
          <w:noProof/>
        </w:rPr>
        <w:tab/>
      </w:r>
      <w:r w:rsidRPr="00CB7408">
        <w:rPr>
          <w:noProof/>
        </w:rPr>
        <w:t xml:space="preserve">Regarding the activities undertaken to assist the displaced workers, </w:t>
      </w:r>
      <w:r w:rsidR="0018782F" w:rsidRPr="00CB7408">
        <w:rPr>
          <w:noProof/>
        </w:rPr>
        <w:t>Belgium</w:t>
      </w:r>
      <w:r w:rsidRPr="00CB7408">
        <w:rPr>
          <w:noProof/>
        </w:rPr>
        <w:t xml:space="preserve"> has reported that </w:t>
      </w:r>
      <w:r w:rsidR="001909D2" w:rsidRPr="00CB7408">
        <w:rPr>
          <w:noProof/>
        </w:rPr>
        <w:t>the redeployment unit was set up on 1 June 2025, shortly after the first redundancies</w:t>
      </w:r>
      <w:r w:rsidRPr="00CB7408">
        <w:rPr>
          <w:noProof/>
        </w:rPr>
        <w:t xml:space="preserve">. </w:t>
      </w:r>
    </w:p>
    <w:p w:rsidR="001A62D7" w:rsidRPr="00CB7408" w:rsidRDefault="001A62D7" w:rsidP="001A62D7">
      <w:pPr>
        <w:pStyle w:val="ManualHeading3"/>
        <w:rPr>
          <w:noProof/>
        </w:rPr>
      </w:pPr>
      <w:r w:rsidRPr="00CB7408">
        <w:rPr>
          <w:noProof/>
        </w:rPr>
        <w:t>Complementarity with actions funded by national or Union funds</w:t>
      </w:r>
    </w:p>
    <w:p w:rsidR="001A62D7" w:rsidRPr="00CB7408" w:rsidRDefault="0013165F" w:rsidP="00AE7D04">
      <w:pPr>
        <w:pStyle w:val="ManualNumPar1"/>
        <w:rPr>
          <w:noProof/>
        </w:rPr>
      </w:pPr>
      <w:r>
        <w:rPr>
          <w:noProof/>
        </w:rPr>
        <w:t>23.</w:t>
      </w:r>
      <w:r>
        <w:rPr>
          <w:noProof/>
        </w:rPr>
        <w:tab/>
      </w:r>
      <w:r w:rsidRPr="00CB7408">
        <w:rPr>
          <w:noProof/>
        </w:rPr>
        <w:t>Belgium</w:t>
      </w:r>
      <w:r w:rsidR="001A62D7" w:rsidRPr="00CB7408">
        <w:rPr>
          <w:noProof/>
        </w:rPr>
        <w:t xml:space="preserve"> has confirmed that the measures described below receiving a financial contribution from the EGF will not also receive financial contributions from other Union financial instruments.</w:t>
      </w:r>
    </w:p>
    <w:p w:rsidR="001A62D7" w:rsidRPr="00CB7408" w:rsidRDefault="001A62D7" w:rsidP="00AE7D04">
      <w:pPr>
        <w:pStyle w:val="ManualNumPar1"/>
        <w:rPr>
          <w:noProof/>
        </w:rPr>
      </w:pPr>
      <w:r>
        <w:rPr>
          <w:noProof/>
        </w:rPr>
        <w:t>24.</w:t>
      </w:r>
      <w:r>
        <w:rPr>
          <w:noProof/>
        </w:rPr>
        <w:tab/>
      </w:r>
      <w:r w:rsidRPr="00CB7408">
        <w:rPr>
          <w:noProof/>
        </w:rPr>
        <w:t>The coordinated package of personalised services complements actions funded by other national or EU funds.</w:t>
      </w:r>
    </w:p>
    <w:p w:rsidR="001A62D7" w:rsidRPr="00CB7408" w:rsidRDefault="001A62D7" w:rsidP="001A62D7">
      <w:pPr>
        <w:pStyle w:val="ManualHeading3"/>
        <w:tabs>
          <w:tab w:val="clear" w:pos="850"/>
          <w:tab w:val="left" w:pos="0"/>
        </w:tabs>
        <w:ind w:left="0" w:firstLine="0"/>
        <w:rPr>
          <w:noProof/>
          <w:u w:val="single"/>
        </w:rPr>
      </w:pPr>
      <w:r w:rsidRPr="00CB7408">
        <w:rPr>
          <w:noProof/>
        </w:rPr>
        <w:lastRenderedPageBreak/>
        <w:t>Procedures for consulting the targeted beneficiaries or their representatives or the social partners as well as local and regional authorities</w:t>
      </w:r>
    </w:p>
    <w:p w:rsidR="001A62D7" w:rsidRPr="00CB7408" w:rsidRDefault="005302D3" w:rsidP="00AE7D04">
      <w:pPr>
        <w:pStyle w:val="ManualNumPar1"/>
        <w:rPr>
          <w:noProof/>
        </w:rPr>
      </w:pPr>
      <w:r>
        <w:rPr>
          <w:noProof/>
        </w:rPr>
        <w:t>25.</w:t>
      </w:r>
      <w:r>
        <w:rPr>
          <w:noProof/>
        </w:rPr>
        <w:tab/>
      </w:r>
      <w:r w:rsidRPr="00CB7408">
        <w:rPr>
          <w:noProof/>
        </w:rPr>
        <w:t>Belgium</w:t>
      </w:r>
      <w:r w:rsidR="001A62D7" w:rsidRPr="00CB7408">
        <w:rPr>
          <w:noProof/>
        </w:rPr>
        <w:t xml:space="preserve"> has indicated that the co-ordinated package of personalised services has been drawn up in consultation with </w:t>
      </w:r>
      <w:r w:rsidRPr="00CB7408">
        <w:rPr>
          <w:noProof/>
        </w:rPr>
        <w:t>trade unions</w:t>
      </w:r>
      <w:r w:rsidR="001A62D7" w:rsidRPr="00CB7408">
        <w:rPr>
          <w:noProof/>
        </w:rPr>
        <w:t>, in compliance with Article 7(4) of Regulation (EU) 2021/691.</w:t>
      </w:r>
    </w:p>
    <w:p w:rsidR="001A62D7" w:rsidRPr="00CB7408" w:rsidRDefault="005302D3" w:rsidP="00AE7D04">
      <w:pPr>
        <w:pStyle w:val="ManualNumPar1"/>
        <w:rPr>
          <w:noProof/>
        </w:rPr>
      </w:pPr>
      <w:r>
        <w:rPr>
          <w:noProof/>
        </w:rPr>
        <w:t>26.</w:t>
      </w:r>
      <w:r>
        <w:rPr>
          <w:noProof/>
        </w:rPr>
        <w:tab/>
      </w:r>
      <w:r w:rsidRPr="00CB7408">
        <w:rPr>
          <w:noProof/>
        </w:rPr>
        <w:t>In a meeting held on 14 July 2025, the General Federation of Labour of Belgium (FGTB)</w:t>
      </w:r>
      <w:r w:rsidR="000621D5" w:rsidRPr="00CB7408">
        <w:rPr>
          <w:rStyle w:val="FootnoteReference"/>
          <w:noProof/>
        </w:rPr>
        <w:footnoteReference w:id="21"/>
      </w:r>
      <w:r w:rsidRPr="00CB7408">
        <w:rPr>
          <w:noProof/>
        </w:rPr>
        <w:t xml:space="preserve"> and the Confederation of Christian Trade Unions (CSC)</w:t>
      </w:r>
      <w:r w:rsidR="00457FE1" w:rsidRPr="00CB7408">
        <w:rPr>
          <w:rStyle w:val="FootnoteReference"/>
          <w:noProof/>
        </w:rPr>
        <w:footnoteReference w:id="22"/>
      </w:r>
      <w:r w:rsidRPr="00CB7408">
        <w:rPr>
          <w:noProof/>
        </w:rPr>
        <w:t xml:space="preserve"> were consulted particularly on the workers’ needs regarding upskilling and reskilling. Input from the workers representatives was also sought on how to better provide the EGF support.</w:t>
      </w:r>
    </w:p>
    <w:p w:rsidR="001A62D7" w:rsidRPr="00CB7408" w:rsidRDefault="001A62D7" w:rsidP="001A62D7">
      <w:pPr>
        <w:pStyle w:val="ManualHeading2"/>
        <w:rPr>
          <w:noProof/>
        </w:rPr>
      </w:pPr>
      <w:r w:rsidRPr="00CB7408">
        <w:rPr>
          <w:noProof/>
        </w:rPr>
        <w:t>Targeted beneficiaries and proposed measures</w:t>
      </w:r>
    </w:p>
    <w:p w:rsidR="001A62D7" w:rsidRPr="00CB7408" w:rsidRDefault="001A62D7" w:rsidP="001A62D7">
      <w:pPr>
        <w:pStyle w:val="ManualHeading3"/>
        <w:rPr>
          <w:noProof/>
        </w:rPr>
      </w:pPr>
      <w:r w:rsidRPr="00CB7408">
        <w:rPr>
          <w:noProof/>
        </w:rPr>
        <w:t>Targeted beneficiaries</w:t>
      </w:r>
    </w:p>
    <w:p w:rsidR="001A62D7" w:rsidRPr="00CB7408" w:rsidRDefault="00580012" w:rsidP="00AE7D04">
      <w:pPr>
        <w:pStyle w:val="ManualNumPar1"/>
        <w:rPr>
          <w:noProof/>
        </w:rPr>
      </w:pPr>
      <w:r>
        <w:rPr>
          <w:noProof/>
        </w:rPr>
        <w:t>27.</w:t>
      </w:r>
      <w:r>
        <w:rPr>
          <w:noProof/>
        </w:rPr>
        <w:tab/>
      </w:r>
      <w:r w:rsidRPr="00CB7408">
        <w:rPr>
          <w:noProof/>
        </w:rPr>
        <w:t xml:space="preserve">All </w:t>
      </w:r>
      <w:r w:rsidR="002F085B" w:rsidRPr="00CB7408">
        <w:rPr>
          <w:noProof/>
        </w:rPr>
        <w:t>507</w:t>
      </w:r>
      <w:r w:rsidRPr="00CB7408">
        <w:rPr>
          <w:noProof/>
        </w:rPr>
        <w:t xml:space="preserve"> </w:t>
      </w:r>
      <w:r w:rsidR="001A62D7" w:rsidRPr="00CB7408">
        <w:rPr>
          <w:noProof/>
        </w:rPr>
        <w:t xml:space="preserve">displaced workers </w:t>
      </w:r>
      <w:r w:rsidRPr="00CB7408">
        <w:rPr>
          <w:noProof/>
        </w:rPr>
        <w:t>are</w:t>
      </w:r>
      <w:r w:rsidR="001A62D7" w:rsidRPr="00CB7408">
        <w:rPr>
          <w:noProof/>
        </w:rPr>
        <w:t xml:space="preserve"> expected to participate in the measures</w:t>
      </w:r>
      <w:r w:rsidRPr="00CB7408">
        <w:rPr>
          <w:noProof/>
        </w:rPr>
        <w:t>.</w:t>
      </w:r>
      <w:r w:rsidR="001A62D7" w:rsidRPr="00CB7408">
        <w:rPr>
          <w:noProof/>
        </w:rPr>
        <w:t xml:space="preserve"> Pursuant to Article 8(7), point (f), of Regulation (EU) 2021/691, the provided breakdown of these workers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RPr="00CB7408" w:rsidTr="001D5990">
        <w:trPr>
          <w:jc w:val="center"/>
        </w:trPr>
        <w:tc>
          <w:tcPr>
            <w:tcW w:w="3559" w:type="dxa"/>
            <w:gridSpan w:val="2"/>
            <w:tcBorders>
              <w:top w:val="single" w:sz="4" w:space="0" w:color="auto"/>
              <w:left w:val="nil"/>
              <w:bottom w:val="single" w:sz="4" w:space="0" w:color="auto"/>
              <w:right w:val="nil"/>
            </w:tcBorders>
            <w:hideMark/>
          </w:tcPr>
          <w:p w:rsidR="001A62D7" w:rsidRPr="00CB7408" w:rsidRDefault="001A62D7" w:rsidP="001D5990">
            <w:pPr>
              <w:spacing w:before="60" w:after="60"/>
              <w:jc w:val="center"/>
              <w:rPr>
                <w:noProof/>
              </w:rPr>
            </w:pPr>
            <w:r w:rsidRPr="00CB7408">
              <w:rPr>
                <w:noProof/>
              </w:rPr>
              <w:t>Category</w:t>
            </w:r>
          </w:p>
        </w:tc>
        <w:tc>
          <w:tcPr>
            <w:tcW w:w="2352" w:type="dxa"/>
            <w:gridSpan w:val="2"/>
            <w:tcBorders>
              <w:top w:val="single" w:sz="4" w:space="0" w:color="auto"/>
              <w:left w:val="nil"/>
              <w:bottom w:val="single" w:sz="4" w:space="0" w:color="auto"/>
              <w:right w:val="nil"/>
            </w:tcBorders>
            <w:hideMark/>
          </w:tcPr>
          <w:p w:rsidR="001A62D7" w:rsidRPr="00CB7408" w:rsidRDefault="001A62D7" w:rsidP="001D5990">
            <w:pPr>
              <w:spacing w:before="60" w:after="60"/>
              <w:jc w:val="center"/>
              <w:rPr>
                <w:noProof/>
              </w:rPr>
            </w:pPr>
            <w:r w:rsidRPr="00CB7408">
              <w:rPr>
                <w:noProof/>
              </w:rPr>
              <w:t xml:space="preserve">Number of </w:t>
            </w:r>
            <w:r w:rsidRPr="00CB7408">
              <w:rPr>
                <w:noProof/>
              </w:rPr>
              <w:br/>
              <w:t>expected beneficiaries</w:t>
            </w:r>
          </w:p>
        </w:tc>
      </w:tr>
      <w:tr w:rsidR="001A62D7" w:rsidRPr="00CB7408" w:rsidTr="001D5990">
        <w:trPr>
          <w:jc w:val="center"/>
        </w:trPr>
        <w:tc>
          <w:tcPr>
            <w:tcW w:w="1496" w:type="dxa"/>
            <w:tcBorders>
              <w:top w:val="single" w:sz="4" w:space="0" w:color="auto"/>
              <w:left w:val="nil"/>
              <w:right w:val="nil"/>
            </w:tcBorders>
            <w:hideMark/>
          </w:tcPr>
          <w:p w:rsidR="001A62D7" w:rsidRPr="00CB7408" w:rsidRDefault="001A62D7" w:rsidP="001D5990">
            <w:pPr>
              <w:spacing w:before="60" w:after="60"/>
              <w:rPr>
                <w:noProof/>
              </w:rPr>
            </w:pPr>
            <w:r w:rsidRPr="00CB7408">
              <w:rPr>
                <w:noProof/>
              </w:rPr>
              <w:t>Gender:</w:t>
            </w:r>
          </w:p>
        </w:tc>
        <w:tc>
          <w:tcPr>
            <w:tcW w:w="2063" w:type="dxa"/>
            <w:tcBorders>
              <w:top w:val="single" w:sz="4" w:space="0" w:color="auto"/>
              <w:left w:val="nil"/>
              <w:right w:val="nil"/>
            </w:tcBorders>
            <w:hideMark/>
          </w:tcPr>
          <w:p w:rsidR="001A62D7" w:rsidRPr="00CB7408" w:rsidRDefault="001A62D7" w:rsidP="001D5990">
            <w:pPr>
              <w:spacing w:before="60" w:after="60"/>
              <w:rPr>
                <w:noProof/>
              </w:rPr>
            </w:pPr>
            <w:r w:rsidRPr="00CB7408">
              <w:rPr>
                <w:noProof/>
              </w:rPr>
              <w:t>Men:</w:t>
            </w:r>
          </w:p>
        </w:tc>
        <w:tc>
          <w:tcPr>
            <w:tcW w:w="1176" w:type="dxa"/>
            <w:tcBorders>
              <w:top w:val="single" w:sz="4" w:space="0" w:color="auto"/>
              <w:left w:val="nil"/>
              <w:right w:val="nil"/>
            </w:tcBorders>
            <w:hideMark/>
          </w:tcPr>
          <w:p w:rsidR="001A62D7" w:rsidRPr="00CB7408" w:rsidRDefault="003556B4" w:rsidP="001D5990">
            <w:pPr>
              <w:spacing w:before="60" w:after="60"/>
              <w:jc w:val="right"/>
              <w:rPr>
                <w:noProof/>
              </w:rPr>
            </w:pPr>
            <w:r w:rsidRPr="00CB7408">
              <w:rPr>
                <w:noProof/>
              </w:rPr>
              <w:t>468</w:t>
            </w:r>
          </w:p>
        </w:tc>
        <w:tc>
          <w:tcPr>
            <w:tcW w:w="1176" w:type="dxa"/>
            <w:tcBorders>
              <w:top w:val="single" w:sz="4" w:space="0" w:color="auto"/>
              <w:left w:val="nil"/>
              <w:right w:val="nil"/>
            </w:tcBorders>
            <w:hideMark/>
          </w:tcPr>
          <w:p w:rsidR="001A62D7" w:rsidRPr="00CB7408" w:rsidRDefault="001A62D7" w:rsidP="001D5990">
            <w:pPr>
              <w:spacing w:before="60" w:after="60"/>
              <w:jc w:val="right"/>
              <w:rPr>
                <w:noProof/>
              </w:rPr>
            </w:pPr>
            <w:r w:rsidRPr="00CB7408">
              <w:rPr>
                <w:rFonts w:eastAsia="Calibri"/>
                <w:noProof/>
              </w:rPr>
              <w:t>(</w:t>
            </w:r>
            <w:r w:rsidR="003556B4" w:rsidRPr="00CB7408">
              <w:rPr>
                <w:noProof/>
              </w:rPr>
              <w:t>92,3</w:t>
            </w:r>
            <w:r w:rsidRPr="00CB7408">
              <w:rPr>
                <w:rFonts w:eastAsia="Calibri"/>
                <w:noProof/>
              </w:rPr>
              <w:t> %)</w:t>
            </w:r>
          </w:p>
        </w:tc>
      </w:tr>
      <w:tr w:rsidR="001A62D7" w:rsidRPr="00CB7408" w:rsidTr="001D5990">
        <w:trPr>
          <w:jc w:val="center"/>
        </w:trPr>
        <w:tc>
          <w:tcPr>
            <w:tcW w:w="1496" w:type="dxa"/>
            <w:tcBorders>
              <w:top w:val="nil"/>
              <w:left w:val="nil"/>
              <w:right w:val="nil"/>
            </w:tcBorders>
          </w:tcPr>
          <w:p w:rsidR="001A62D7" w:rsidRPr="00CB7408" w:rsidRDefault="001A62D7" w:rsidP="001D5990">
            <w:pPr>
              <w:spacing w:before="60" w:after="60"/>
              <w:rPr>
                <w:noProof/>
              </w:rPr>
            </w:pPr>
          </w:p>
        </w:tc>
        <w:tc>
          <w:tcPr>
            <w:tcW w:w="2063" w:type="dxa"/>
            <w:tcBorders>
              <w:top w:val="nil"/>
              <w:left w:val="nil"/>
              <w:right w:val="nil"/>
            </w:tcBorders>
          </w:tcPr>
          <w:p w:rsidR="001A62D7" w:rsidRPr="00CB7408" w:rsidRDefault="001A62D7" w:rsidP="001D5990">
            <w:pPr>
              <w:spacing w:before="60" w:after="60"/>
              <w:rPr>
                <w:rFonts w:eastAsia="Calibri"/>
                <w:noProof/>
              </w:rPr>
            </w:pPr>
            <w:r w:rsidRPr="00CB7408">
              <w:rPr>
                <w:rFonts w:eastAsia="Calibri"/>
                <w:noProof/>
              </w:rPr>
              <w:t>W</w:t>
            </w:r>
            <w:r w:rsidRPr="00CB7408">
              <w:rPr>
                <w:noProof/>
              </w:rPr>
              <w:t>omen:</w:t>
            </w:r>
          </w:p>
        </w:tc>
        <w:tc>
          <w:tcPr>
            <w:tcW w:w="1176" w:type="dxa"/>
          </w:tcPr>
          <w:p w:rsidR="001A62D7" w:rsidRPr="00CB7408" w:rsidRDefault="003556B4" w:rsidP="001D5990">
            <w:pPr>
              <w:spacing w:before="60" w:after="60"/>
              <w:jc w:val="right"/>
              <w:rPr>
                <w:noProof/>
              </w:rPr>
            </w:pPr>
            <w:r w:rsidRPr="00CB7408">
              <w:rPr>
                <w:noProof/>
              </w:rPr>
              <w:t>39</w:t>
            </w:r>
          </w:p>
        </w:tc>
        <w:tc>
          <w:tcPr>
            <w:tcW w:w="1176" w:type="dxa"/>
          </w:tcPr>
          <w:p w:rsidR="001A62D7" w:rsidRPr="00CB7408" w:rsidRDefault="001A62D7" w:rsidP="001D5990">
            <w:pPr>
              <w:spacing w:before="60" w:after="60"/>
              <w:jc w:val="right"/>
              <w:rPr>
                <w:rFonts w:eastAsia="Calibri"/>
                <w:noProof/>
              </w:rPr>
            </w:pPr>
            <w:r w:rsidRPr="00CB7408">
              <w:rPr>
                <w:rFonts w:eastAsia="Calibri"/>
                <w:noProof/>
              </w:rPr>
              <w:t>(</w:t>
            </w:r>
            <w:r w:rsidR="003556B4" w:rsidRPr="00CB7408">
              <w:rPr>
                <w:noProof/>
              </w:rPr>
              <w:t>7,7</w:t>
            </w:r>
            <w:r w:rsidRPr="00CB7408">
              <w:rPr>
                <w:rFonts w:eastAsia="Calibri"/>
                <w:noProof/>
              </w:rPr>
              <w:t> %)</w:t>
            </w:r>
          </w:p>
        </w:tc>
      </w:tr>
      <w:tr w:rsidR="001A62D7" w:rsidRPr="00CB7408" w:rsidTr="001D5990">
        <w:trPr>
          <w:jc w:val="center"/>
        </w:trPr>
        <w:tc>
          <w:tcPr>
            <w:tcW w:w="1496" w:type="dxa"/>
            <w:tcBorders>
              <w:left w:val="nil"/>
              <w:bottom w:val="single" w:sz="4" w:space="0" w:color="auto"/>
              <w:right w:val="nil"/>
            </w:tcBorders>
          </w:tcPr>
          <w:p w:rsidR="001A62D7" w:rsidRPr="00CB7408" w:rsidRDefault="001A62D7" w:rsidP="001D5990">
            <w:pPr>
              <w:spacing w:before="60" w:after="60"/>
              <w:rPr>
                <w:noProof/>
              </w:rPr>
            </w:pPr>
          </w:p>
        </w:tc>
        <w:tc>
          <w:tcPr>
            <w:tcW w:w="2063" w:type="dxa"/>
            <w:tcBorders>
              <w:left w:val="nil"/>
              <w:bottom w:val="single" w:sz="4" w:space="0" w:color="auto"/>
              <w:right w:val="nil"/>
            </w:tcBorders>
          </w:tcPr>
          <w:p w:rsidR="001A62D7" w:rsidRPr="00CB7408" w:rsidRDefault="001A62D7" w:rsidP="001D5990">
            <w:pPr>
              <w:spacing w:before="60" w:after="60"/>
              <w:rPr>
                <w:noProof/>
              </w:rPr>
            </w:pPr>
            <w:r w:rsidRPr="00CB7408">
              <w:rPr>
                <w:rFonts w:eastAsia="Calibri"/>
                <w:noProof/>
              </w:rPr>
              <w:t>Non-binary</w:t>
            </w:r>
          </w:p>
        </w:tc>
        <w:tc>
          <w:tcPr>
            <w:tcW w:w="1176" w:type="dxa"/>
            <w:tcBorders>
              <w:bottom w:val="single" w:sz="4" w:space="0" w:color="auto"/>
            </w:tcBorders>
            <w:hideMark/>
          </w:tcPr>
          <w:p w:rsidR="001A62D7" w:rsidRPr="00CB7408" w:rsidRDefault="003556B4" w:rsidP="001D5990">
            <w:pPr>
              <w:spacing w:before="60" w:after="60"/>
              <w:jc w:val="right"/>
              <w:rPr>
                <w:noProof/>
              </w:rPr>
            </w:pPr>
            <w:r w:rsidRPr="00CB7408">
              <w:rPr>
                <w:noProof/>
              </w:rPr>
              <w:t>0</w:t>
            </w:r>
          </w:p>
        </w:tc>
        <w:tc>
          <w:tcPr>
            <w:tcW w:w="1176" w:type="dxa"/>
            <w:tcBorders>
              <w:bottom w:val="single" w:sz="4" w:space="0" w:color="auto"/>
            </w:tcBorders>
            <w:hideMark/>
          </w:tcPr>
          <w:p w:rsidR="001A62D7" w:rsidRPr="00CB7408" w:rsidRDefault="001A62D7" w:rsidP="001D5990">
            <w:pPr>
              <w:spacing w:before="60" w:after="60"/>
              <w:jc w:val="right"/>
              <w:rPr>
                <w:noProof/>
              </w:rPr>
            </w:pPr>
            <w:r w:rsidRPr="00CB7408">
              <w:rPr>
                <w:rFonts w:eastAsia="Calibri"/>
                <w:noProof/>
              </w:rPr>
              <w:t>(</w:t>
            </w:r>
            <w:r w:rsidR="003556B4" w:rsidRPr="00CB7408">
              <w:rPr>
                <w:noProof/>
              </w:rPr>
              <w:t>0,0</w:t>
            </w:r>
            <w:r w:rsidRPr="00CB7408">
              <w:rPr>
                <w:rFonts w:eastAsia="Calibri"/>
                <w:noProof/>
              </w:rPr>
              <w:t> %)</w:t>
            </w:r>
          </w:p>
        </w:tc>
      </w:tr>
      <w:tr w:rsidR="001A62D7" w:rsidRPr="00CB7408" w:rsidTr="001D5990">
        <w:trPr>
          <w:jc w:val="center"/>
        </w:trPr>
        <w:tc>
          <w:tcPr>
            <w:tcW w:w="1496" w:type="dxa"/>
            <w:tcBorders>
              <w:top w:val="single" w:sz="4" w:space="0" w:color="auto"/>
              <w:left w:val="nil"/>
              <w:bottom w:val="nil"/>
              <w:right w:val="nil"/>
            </w:tcBorders>
            <w:hideMark/>
          </w:tcPr>
          <w:p w:rsidR="001A62D7" w:rsidRPr="00CB7408" w:rsidRDefault="001A62D7" w:rsidP="001D5990">
            <w:pPr>
              <w:spacing w:before="60" w:after="60"/>
              <w:rPr>
                <w:noProof/>
              </w:rPr>
            </w:pPr>
            <w:r w:rsidRPr="00CB7408">
              <w:rPr>
                <w:noProof/>
              </w:rPr>
              <w:t>Age group:</w:t>
            </w:r>
          </w:p>
        </w:tc>
        <w:tc>
          <w:tcPr>
            <w:tcW w:w="2063" w:type="dxa"/>
            <w:tcBorders>
              <w:top w:val="single" w:sz="4" w:space="0" w:color="auto"/>
              <w:left w:val="nil"/>
              <w:bottom w:val="nil"/>
              <w:right w:val="nil"/>
            </w:tcBorders>
            <w:hideMark/>
          </w:tcPr>
          <w:p w:rsidR="001A62D7" w:rsidRPr="00CB7408" w:rsidRDefault="001A62D7" w:rsidP="001D5990">
            <w:pPr>
              <w:spacing w:before="60" w:after="60"/>
              <w:rPr>
                <w:noProof/>
              </w:rPr>
            </w:pPr>
            <w:r w:rsidRPr="00CB7408">
              <w:rPr>
                <w:noProof/>
              </w:rPr>
              <w:t>Below 30 years:</w:t>
            </w:r>
          </w:p>
        </w:tc>
        <w:tc>
          <w:tcPr>
            <w:tcW w:w="1176" w:type="dxa"/>
            <w:tcBorders>
              <w:top w:val="single" w:sz="4" w:space="0" w:color="auto"/>
            </w:tcBorders>
            <w:hideMark/>
          </w:tcPr>
          <w:p w:rsidR="001A62D7" w:rsidRPr="00CB7408" w:rsidRDefault="003556B4" w:rsidP="001D5990">
            <w:pPr>
              <w:spacing w:before="60" w:after="60"/>
              <w:jc w:val="right"/>
              <w:rPr>
                <w:noProof/>
              </w:rPr>
            </w:pPr>
            <w:r w:rsidRPr="00CB7408">
              <w:rPr>
                <w:noProof/>
              </w:rPr>
              <w:t>4</w:t>
            </w:r>
          </w:p>
        </w:tc>
        <w:tc>
          <w:tcPr>
            <w:tcW w:w="1176" w:type="dxa"/>
            <w:tcBorders>
              <w:top w:val="single" w:sz="4" w:space="0" w:color="auto"/>
            </w:tcBorders>
            <w:hideMark/>
          </w:tcPr>
          <w:p w:rsidR="001A62D7" w:rsidRPr="00CB7408" w:rsidRDefault="001A62D7" w:rsidP="001D5990">
            <w:pPr>
              <w:spacing w:before="60" w:after="60"/>
              <w:jc w:val="right"/>
              <w:rPr>
                <w:noProof/>
              </w:rPr>
            </w:pPr>
            <w:r w:rsidRPr="00CB7408">
              <w:rPr>
                <w:rFonts w:eastAsia="Calibri"/>
                <w:noProof/>
              </w:rPr>
              <w:t>(</w:t>
            </w:r>
            <w:r w:rsidR="003556B4" w:rsidRPr="00CB7408">
              <w:rPr>
                <w:noProof/>
              </w:rPr>
              <w:t>0,8</w:t>
            </w:r>
            <w:r w:rsidRPr="00CB7408">
              <w:rPr>
                <w:rFonts w:eastAsia="Calibri"/>
                <w:noProof/>
              </w:rPr>
              <w:t> %)</w:t>
            </w:r>
          </w:p>
        </w:tc>
      </w:tr>
      <w:tr w:rsidR="001A62D7" w:rsidRPr="00CB7408" w:rsidTr="001D5990">
        <w:trPr>
          <w:jc w:val="center"/>
        </w:trPr>
        <w:tc>
          <w:tcPr>
            <w:tcW w:w="1496" w:type="dxa"/>
          </w:tcPr>
          <w:p w:rsidR="001A62D7" w:rsidRPr="00CB7408" w:rsidRDefault="001A62D7" w:rsidP="001D5990">
            <w:pPr>
              <w:spacing w:before="60" w:after="60"/>
              <w:rPr>
                <w:noProof/>
              </w:rPr>
            </w:pPr>
          </w:p>
        </w:tc>
        <w:tc>
          <w:tcPr>
            <w:tcW w:w="2063" w:type="dxa"/>
            <w:hideMark/>
          </w:tcPr>
          <w:p w:rsidR="001A62D7" w:rsidRPr="00CB7408" w:rsidRDefault="001A62D7" w:rsidP="001D5990">
            <w:pPr>
              <w:spacing w:before="60" w:after="60"/>
              <w:rPr>
                <w:noProof/>
              </w:rPr>
            </w:pPr>
            <w:r w:rsidRPr="00CB7408">
              <w:rPr>
                <w:rFonts w:eastAsia="Calibri"/>
                <w:noProof/>
              </w:rPr>
              <w:t>30-54 years:</w:t>
            </w:r>
          </w:p>
        </w:tc>
        <w:tc>
          <w:tcPr>
            <w:tcW w:w="1176" w:type="dxa"/>
            <w:hideMark/>
          </w:tcPr>
          <w:p w:rsidR="001A62D7" w:rsidRPr="00CB7408" w:rsidRDefault="003556B4" w:rsidP="001D5990">
            <w:pPr>
              <w:spacing w:before="60" w:after="60"/>
              <w:jc w:val="right"/>
              <w:rPr>
                <w:noProof/>
              </w:rPr>
            </w:pPr>
            <w:r w:rsidRPr="00CB7408">
              <w:rPr>
                <w:noProof/>
              </w:rPr>
              <w:t>242</w:t>
            </w:r>
          </w:p>
        </w:tc>
        <w:tc>
          <w:tcPr>
            <w:tcW w:w="1176" w:type="dxa"/>
            <w:hideMark/>
          </w:tcPr>
          <w:p w:rsidR="001A62D7" w:rsidRPr="00CB7408" w:rsidRDefault="001A62D7" w:rsidP="001D5990">
            <w:pPr>
              <w:spacing w:before="60" w:after="60"/>
              <w:jc w:val="right"/>
              <w:rPr>
                <w:noProof/>
              </w:rPr>
            </w:pPr>
            <w:r w:rsidRPr="00CB7408">
              <w:rPr>
                <w:rFonts w:eastAsia="Calibri"/>
                <w:noProof/>
              </w:rPr>
              <w:t>(</w:t>
            </w:r>
            <w:r w:rsidR="003556B4" w:rsidRPr="00CB7408">
              <w:rPr>
                <w:noProof/>
              </w:rPr>
              <w:t>47,7</w:t>
            </w:r>
            <w:r w:rsidRPr="00CB7408">
              <w:rPr>
                <w:rFonts w:eastAsia="Calibri"/>
                <w:noProof/>
              </w:rPr>
              <w:t> %)</w:t>
            </w:r>
          </w:p>
        </w:tc>
      </w:tr>
      <w:tr w:rsidR="001A62D7" w:rsidRPr="00CB7408" w:rsidTr="001D5990">
        <w:trPr>
          <w:jc w:val="center"/>
        </w:trPr>
        <w:tc>
          <w:tcPr>
            <w:tcW w:w="1496" w:type="dxa"/>
          </w:tcPr>
          <w:p w:rsidR="001A62D7" w:rsidRPr="00CB7408" w:rsidRDefault="001A62D7" w:rsidP="001D5990">
            <w:pPr>
              <w:spacing w:before="60" w:after="60"/>
              <w:rPr>
                <w:noProof/>
              </w:rPr>
            </w:pPr>
          </w:p>
        </w:tc>
        <w:tc>
          <w:tcPr>
            <w:tcW w:w="2063" w:type="dxa"/>
            <w:hideMark/>
          </w:tcPr>
          <w:p w:rsidR="001A62D7" w:rsidRPr="00CB7408" w:rsidRDefault="001A62D7" w:rsidP="001D5990">
            <w:pPr>
              <w:spacing w:before="60" w:after="60"/>
              <w:jc w:val="left"/>
              <w:rPr>
                <w:noProof/>
              </w:rPr>
            </w:pPr>
            <w:r w:rsidRPr="00CB7408">
              <w:rPr>
                <w:noProof/>
              </w:rPr>
              <w:t>Over 54 years:</w:t>
            </w:r>
          </w:p>
        </w:tc>
        <w:tc>
          <w:tcPr>
            <w:tcW w:w="1176" w:type="dxa"/>
            <w:hideMark/>
          </w:tcPr>
          <w:p w:rsidR="001A62D7" w:rsidRPr="00CB7408" w:rsidRDefault="003556B4" w:rsidP="001D5990">
            <w:pPr>
              <w:spacing w:before="60" w:after="60"/>
              <w:jc w:val="right"/>
              <w:rPr>
                <w:noProof/>
              </w:rPr>
            </w:pPr>
            <w:r w:rsidRPr="00CB7408">
              <w:rPr>
                <w:noProof/>
              </w:rPr>
              <w:t>261</w:t>
            </w:r>
          </w:p>
        </w:tc>
        <w:tc>
          <w:tcPr>
            <w:tcW w:w="1176" w:type="dxa"/>
            <w:hideMark/>
          </w:tcPr>
          <w:p w:rsidR="001A62D7" w:rsidRPr="00CB7408" w:rsidRDefault="001A62D7" w:rsidP="001D5990">
            <w:pPr>
              <w:spacing w:before="60" w:after="60"/>
              <w:jc w:val="right"/>
              <w:rPr>
                <w:noProof/>
              </w:rPr>
            </w:pPr>
            <w:r w:rsidRPr="00CB7408">
              <w:rPr>
                <w:rFonts w:eastAsia="Calibri"/>
                <w:noProof/>
              </w:rPr>
              <w:t>(</w:t>
            </w:r>
            <w:r w:rsidR="003556B4" w:rsidRPr="00CB7408">
              <w:rPr>
                <w:noProof/>
              </w:rPr>
              <w:t>51,5</w:t>
            </w:r>
            <w:r w:rsidRPr="00CB7408">
              <w:rPr>
                <w:rFonts w:eastAsia="Calibri"/>
                <w:noProof/>
              </w:rPr>
              <w:t> %)</w:t>
            </w:r>
          </w:p>
        </w:tc>
      </w:tr>
      <w:tr w:rsidR="001A62D7" w:rsidRPr="00CB7408" w:rsidTr="001D5990">
        <w:trPr>
          <w:jc w:val="center"/>
        </w:trPr>
        <w:tc>
          <w:tcPr>
            <w:tcW w:w="1496" w:type="dxa"/>
            <w:tcBorders>
              <w:top w:val="single" w:sz="4" w:space="0" w:color="auto"/>
              <w:left w:val="nil"/>
              <w:bottom w:val="nil"/>
              <w:right w:val="nil"/>
            </w:tcBorders>
          </w:tcPr>
          <w:p w:rsidR="001A62D7" w:rsidRPr="00CB7408" w:rsidRDefault="001A62D7" w:rsidP="001D5990">
            <w:pPr>
              <w:spacing w:before="60" w:after="60"/>
              <w:rPr>
                <w:noProof/>
              </w:rPr>
            </w:pPr>
            <w:r w:rsidRPr="00CB7408">
              <w:rPr>
                <w:noProof/>
              </w:rPr>
              <w:t>Educational level</w:t>
            </w:r>
          </w:p>
        </w:tc>
        <w:tc>
          <w:tcPr>
            <w:tcW w:w="2063" w:type="dxa"/>
            <w:tcBorders>
              <w:top w:val="single" w:sz="4" w:space="0" w:color="auto"/>
              <w:left w:val="nil"/>
              <w:bottom w:val="nil"/>
              <w:right w:val="nil"/>
            </w:tcBorders>
          </w:tcPr>
          <w:p w:rsidR="001A62D7" w:rsidRPr="00CB7408" w:rsidRDefault="001A62D7" w:rsidP="001D5990">
            <w:pPr>
              <w:spacing w:before="60" w:after="60"/>
              <w:rPr>
                <w:noProof/>
              </w:rPr>
            </w:pPr>
            <w:r w:rsidRPr="00CB7408">
              <w:rPr>
                <w:noProof/>
              </w:rPr>
              <w:t>Lower secondary education or less</w:t>
            </w:r>
            <w:r w:rsidRPr="00CB7408">
              <w:rPr>
                <w:rStyle w:val="FootnoteReference"/>
                <w:noProof/>
              </w:rPr>
              <w:footnoteReference w:id="23"/>
            </w:r>
            <w:r w:rsidRPr="00CB7408">
              <w:rPr>
                <w:noProof/>
              </w:rPr>
              <w:t xml:space="preserve"> </w:t>
            </w:r>
          </w:p>
        </w:tc>
        <w:tc>
          <w:tcPr>
            <w:tcW w:w="1176" w:type="dxa"/>
            <w:tcBorders>
              <w:top w:val="single" w:sz="4" w:space="0" w:color="auto"/>
              <w:left w:val="nil"/>
              <w:bottom w:val="nil"/>
              <w:right w:val="nil"/>
            </w:tcBorders>
          </w:tcPr>
          <w:p w:rsidR="001A62D7" w:rsidRPr="00CB7408" w:rsidRDefault="003556B4" w:rsidP="001D5990">
            <w:pPr>
              <w:spacing w:before="60" w:after="60"/>
              <w:jc w:val="right"/>
              <w:rPr>
                <w:noProof/>
              </w:rPr>
            </w:pPr>
            <w:r w:rsidRPr="00CB7408">
              <w:rPr>
                <w:noProof/>
              </w:rPr>
              <w:t>70</w:t>
            </w:r>
          </w:p>
        </w:tc>
        <w:tc>
          <w:tcPr>
            <w:tcW w:w="1176" w:type="dxa"/>
            <w:tcBorders>
              <w:top w:val="single" w:sz="4" w:space="0" w:color="auto"/>
              <w:left w:val="nil"/>
              <w:bottom w:val="nil"/>
              <w:right w:val="nil"/>
            </w:tcBorders>
          </w:tcPr>
          <w:p w:rsidR="001A62D7" w:rsidRPr="00CB7408" w:rsidRDefault="001A62D7" w:rsidP="001D5990">
            <w:pPr>
              <w:spacing w:before="60" w:after="60"/>
              <w:jc w:val="right"/>
              <w:rPr>
                <w:rFonts w:eastAsia="Calibri"/>
                <w:noProof/>
              </w:rPr>
            </w:pPr>
            <w:r w:rsidRPr="00CB7408">
              <w:rPr>
                <w:rFonts w:eastAsia="Calibri"/>
                <w:noProof/>
              </w:rPr>
              <w:t>(</w:t>
            </w:r>
            <w:r w:rsidR="003556B4" w:rsidRPr="00CB7408">
              <w:rPr>
                <w:noProof/>
              </w:rPr>
              <w:t>13,8</w:t>
            </w:r>
            <w:r w:rsidRPr="00CB7408">
              <w:rPr>
                <w:rFonts w:eastAsia="Calibri"/>
                <w:noProof/>
              </w:rPr>
              <w:t> %)</w:t>
            </w:r>
          </w:p>
        </w:tc>
      </w:tr>
      <w:tr w:rsidR="001A62D7" w:rsidRPr="00CB7408" w:rsidTr="001D5990">
        <w:trPr>
          <w:jc w:val="center"/>
        </w:trPr>
        <w:tc>
          <w:tcPr>
            <w:tcW w:w="1496" w:type="dxa"/>
            <w:tcBorders>
              <w:top w:val="nil"/>
              <w:left w:val="nil"/>
              <w:right w:val="nil"/>
            </w:tcBorders>
          </w:tcPr>
          <w:p w:rsidR="001A62D7" w:rsidRPr="00CB7408" w:rsidRDefault="001A62D7" w:rsidP="001D5990">
            <w:pPr>
              <w:spacing w:before="60" w:after="60"/>
              <w:rPr>
                <w:noProof/>
              </w:rPr>
            </w:pPr>
          </w:p>
        </w:tc>
        <w:tc>
          <w:tcPr>
            <w:tcW w:w="2063" w:type="dxa"/>
            <w:tcBorders>
              <w:top w:val="nil"/>
              <w:left w:val="nil"/>
              <w:right w:val="nil"/>
            </w:tcBorders>
          </w:tcPr>
          <w:p w:rsidR="001A62D7" w:rsidRPr="00CB7408" w:rsidRDefault="001A62D7" w:rsidP="001D5990">
            <w:pPr>
              <w:spacing w:before="60" w:after="60"/>
              <w:rPr>
                <w:noProof/>
              </w:rPr>
            </w:pPr>
            <w:r w:rsidRPr="00CB7408">
              <w:rPr>
                <w:noProof/>
              </w:rPr>
              <w:t>Upper secondary</w:t>
            </w:r>
            <w:r w:rsidRPr="00CB7408">
              <w:rPr>
                <w:rStyle w:val="FootnoteReference"/>
                <w:noProof/>
              </w:rPr>
              <w:footnoteReference w:id="24"/>
            </w:r>
            <w:r w:rsidRPr="00CB7408">
              <w:rPr>
                <w:noProof/>
              </w:rPr>
              <w:t xml:space="preserve"> or post-secondary education</w:t>
            </w:r>
            <w:r w:rsidRPr="00CB7408">
              <w:rPr>
                <w:rStyle w:val="FootnoteReference"/>
                <w:noProof/>
              </w:rPr>
              <w:footnoteReference w:id="25"/>
            </w:r>
          </w:p>
        </w:tc>
        <w:tc>
          <w:tcPr>
            <w:tcW w:w="1176" w:type="dxa"/>
            <w:tcBorders>
              <w:top w:val="nil"/>
              <w:left w:val="nil"/>
              <w:right w:val="nil"/>
            </w:tcBorders>
          </w:tcPr>
          <w:p w:rsidR="001A62D7" w:rsidRPr="00CB7408" w:rsidRDefault="003556B4" w:rsidP="001D5990">
            <w:pPr>
              <w:spacing w:before="60" w:after="60"/>
              <w:jc w:val="right"/>
              <w:rPr>
                <w:noProof/>
              </w:rPr>
            </w:pPr>
            <w:r w:rsidRPr="00CB7408">
              <w:rPr>
                <w:noProof/>
              </w:rPr>
              <w:t>280</w:t>
            </w:r>
          </w:p>
        </w:tc>
        <w:tc>
          <w:tcPr>
            <w:tcW w:w="1176" w:type="dxa"/>
            <w:tcBorders>
              <w:top w:val="nil"/>
              <w:left w:val="nil"/>
              <w:right w:val="nil"/>
            </w:tcBorders>
          </w:tcPr>
          <w:p w:rsidR="001A62D7" w:rsidRPr="00CB7408" w:rsidRDefault="001A62D7" w:rsidP="001D5990">
            <w:pPr>
              <w:spacing w:before="60" w:after="60"/>
              <w:jc w:val="right"/>
              <w:rPr>
                <w:rFonts w:eastAsia="Calibri"/>
                <w:noProof/>
              </w:rPr>
            </w:pPr>
            <w:r w:rsidRPr="00CB7408">
              <w:rPr>
                <w:rFonts w:eastAsia="Calibri"/>
                <w:noProof/>
              </w:rPr>
              <w:t>(</w:t>
            </w:r>
            <w:r w:rsidR="003556B4" w:rsidRPr="00CB7408">
              <w:rPr>
                <w:noProof/>
              </w:rPr>
              <w:t>55,2</w:t>
            </w:r>
            <w:r w:rsidRPr="00CB7408">
              <w:rPr>
                <w:rFonts w:eastAsia="Calibri"/>
                <w:noProof/>
              </w:rPr>
              <w:t> %)</w:t>
            </w:r>
          </w:p>
        </w:tc>
      </w:tr>
      <w:tr w:rsidR="001A62D7" w:rsidRPr="00CB7408" w:rsidTr="001D5990">
        <w:trPr>
          <w:jc w:val="center"/>
        </w:trPr>
        <w:tc>
          <w:tcPr>
            <w:tcW w:w="1496" w:type="dxa"/>
            <w:tcBorders>
              <w:top w:val="nil"/>
              <w:left w:val="nil"/>
              <w:bottom w:val="single" w:sz="4" w:space="0" w:color="auto"/>
              <w:right w:val="nil"/>
            </w:tcBorders>
          </w:tcPr>
          <w:p w:rsidR="001A62D7" w:rsidRPr="00CB7408" w:rsidRDefault="001A62D7" w:rsidP="001D5990">
            <w:pPr>
              <w:spacing w:before="60" w:after="60"/>
              <w:rPr>
                <w:noProof/>
              </w:rPr>
            </w:pPr>
          </w:p>
        </w:tc>
        <w:tc>
          <w:tcPr>
            <w:tcW w:w="2063" w:type="dxa"/>
            <w:tcBorders>
              <w:top w:val="nil"/>
              <w:left w:val="nil"/>
              <w:bottom w:val="single" w:sz="4" w:space="0" w:color="auto"/>
              <w:right w:val="nil"/>
            </w:tcBorders>
          </w:tcPr>
          <w:p w:rsidR="001A62D7" w:rsidRPr="00CB7408" w:rsidRDefault="001A62D7" w:rsidP="001D5990">
            <w:pPr>
              <w:spacing w:before="60" w:after="60"/>
              <w:rPr>
                <w:noProof/>
              </w:rPr>
            </w:pPr>
            <w:r w:rsidRPr="00CB7408">
              <w:rPr>
                <w:noProof/>
              </w:rPr>
              <w:t>Tertiary education</w:t>
            </w:r>
            <w:r w:rsidRPr="00CB7408">
              <w:rPr>
                <w:rStyle w:val="FootnoteReference"/>
                <w:noProof/>
              </w:rPr>
              <w:footnoteReference w:id="26"/>
            </w:r>
          </w:p>
        </w:tc>
        <w:tc>
          <w:tcPr>
            <w:tcW w:w="1176" w:type="dxa"/>
            <w:tcBorders>
              <w:top w:val="nil"/>
              <w:left w:val="nil"/>
              <w:bottom w:val="single" w:sz="4" w:space="0" w:color="auto"/>
              <w:right w:val="nil"/>
            </w:tcBorders>
          </w:tcPr>
          <w:p w:rsidR="001A62D7" w:rsidRPr="00CB7408" w:rsidRDefault="003556B4" w:rsidP="001D5990">
            <w:pPr>
              <w:spacing w:before="60" w:after="60"/>
              <w:jc w:val="right"/>
              <w:rPr>
                <w:noProof/>
              </w:rPr>
            </w:pPr>
            <w:r w:rsidRPr="00CB7408">
              <w:rPr>
                <w:noProof/>
              </w:rPr>
              <w:t>157</w:t>
            </w:r>
          </w:p>
        </w:tc>
        <w:tc>
          <w:tcPr>
            <w:tcW w:w="1176" w:type="dxa"/>
            <w:tcBorders>
              <w:top w:val="nil"/>
              <w:left w:val="nil"/>
              <w:bottom w:val="single" w:sz="4" w:space="0" w:color="auto"/>
              <w:right w:val="nil"/>
            </w:tcBorders>
          </w:tcPr>
          <w:p w:rsidR="001A62D7" w:rsidRPr="00CB7408" w:rsidRDefault="001A62D7" w:rsidP="001D5990">
            <w:pPr>
              <w:spacing w:before="60" w:after="60"/>
              <w:jc w:val="right"/>
              <w:rPr>
                <w:rFonts w:eastAsia="Calibri"/>
                <w:noProof/>
              </w:rPr>
            </w:pPr>
            <w:r w:rsidRPr="00CB7408">
              <w:rPr>
                <w:rFonts w:eastAsia="Calibri"/>
                <w:noProof/>
              </w:rPr>
              <w:t>(</w:t>
            </w:r>
            <w:r w:rsidR="003556B4" w:rsidRPr="00CB7408">
              <w:rPr>
                <w:noProof/>
              </w:rPr>
              <w:t>31,0</w:t>
            </w:r>
            <w:r w:rsidRPr="00CB7408">
              <w:rPr>
                <w:rFonts w:eastAsia="Calibri"/>
                <w:noProof/>
              </w:rPr>
              <w:t> %)</w:t>
            </w:r>
          </w:p>
        </w:tc>
      </w:tr>
    </w:tbl>
    <w:p w:rsidR="001A62D7" w:rsidRPr="00CB7408" w:rsidRDefault="001A62D7" w:rsidP="001A62D7">
      <w:pPr>
        <w:pStyle w:val="ManualHeading3"/>
        <w:rPr>
          <w:noProof/>
          <w:u w:val="single"/>
        </w:rPr>
      </w:pPr>
      <w:r w:rsidRPr="00CB7408">
        <w:rPr>
          <w:noProof/>
        </w:rPr>
        <w:t>Proposed measures</w:t>
      </w:r>
    </w:p>
    <w:p w:rsidR="001A62D7" w:rsidRPr="00CB7408" w:rsidRDefault="001A62D7" w:rsidP="00AE7D04">
      <w:pPr>
        <w:pStyle w:val="ManualNumPar1"/>
        <w:rPr>
          <w:noProof/>
        </w:rPr>
      </w:pPr>
      <w:r>
        <w:rPr>
          <w:noProof/>
        </w:rPr>
        <w:t>28.</w:t>
      </w:r>
      <w:r>
        <w:rPr>
          <w:noProof/>
        </w:rPr>
        <w:tab/>
      </w:r>
      <w:bookmarkStart w:id="15" w:name="_Ref372214239"/>
      <w:r w:rsidRPr="00CB7408">
        <w:rPr>
          <w:noProof/>
        </w:rPr>
        <w:t xml:space="preserve">Pursuant to Article 8(7), point (h) of Regulation (EU) 2021/691, the personalised coordinated package to be provided to displaced workers consists of the following measures: </w:t>
      </w:r>
      <w:bookmarkEnd w:id="15"/>
    </w:p>
    <w:p w:rsidR="00E13EF1" w:rsidRPr="00CB7408" w:rsidRDefault="00E13EF1" w:rsidP="006E2777">
      <w:pPr>
        <w:pStyle w:val="Tiret1"/>
        <w:numPr>
          <w:ilvl w:val="0"/>
          <w:numId w:val="20"/>
        </w:numPr>
        <w:rPr>
          <w:noProof/>
        </w:rPr>
      </w:pPr>
      <w:r w:rsidRPr="00CB7408">
        <w:rPr>
          <w:noProof/>
          <w:u w:val="single"/>
        </w:rPr>
        <w:lastRenderedPageBreak/>
        <w:t>Outplacement and vocational guidance</w:t>
      </w:r>
      <w:r w:rsidR="001A62D7" w:rsidRPr="00CB7408">
        <w:rPr>
          <w:noProof/>
        </w:rPr>
        <w:t xml:space="preserve">: </w:t>
      </w:r>
      <w:r w:rsidRPr="00CB7408">
        <w:rPr>
          <w:noProof/>
        </w:rPr>
        <w:t>These services are provided by a team of vocational advisors specialised in restructuring events and social support workers generally drawn from the company's employee representatives.</w:t>
      </w:r>
    </w:p>
    <w:p w:rsidR="001A62D7" w:rsidRPr="00CB7408" w:rsidRDefault="00E13EF1" w:rsidP="00E13EF1">
      <w:pPr>
        <w:pStyle w:val="Text2"/>
        <w:rPr>
          <w:noProof/>
        </w:rPr>
      </w:pPr>
      <w:r w:rsidRPr="00CB7408">
        <w:rPr>
          <w:noProof/>
        </w:rPr>
        <w:t xml:space="preserve">The advisors provide outplacement services and guidance, training, and professional reintegration support </w:t>
      </w:r>
      <w:r w:rsidR="0003030F" w:rsidRPr="00CB7408">
        <w:rPr>
          <w:noProof/>
        </w:rPr>
        <w:t xml:space="preserve">through </w:t>
      </w:r>
      <w:r w:rsidRPr="00CB7408">
        <w:rPr>
          <w:noProof/>
        </w:rPr>
        <w:t>individual and collective counselling and coaching sessions, while the social workers provide support with the administrative procedures when changing employment status and help maintain relationships among workers the way these were while in Liberty</w:t>
      </w:r>
      <w:r w:rsidR="001A62D7" w:rsidRPr="00CB7408">
        <w:rPr>
          <w:noProof/>
        </w:rPr>
        <w:t>.</w:t>
      </w:r>
    </w:p>
    <w:p w:rsidR="001A62D7" w:rsidRPr="00CB7408" w:rsidRDefault="00B5414C" w:rsidP="001A62D7">
      <w:pPr>
        <w:pStyle w:val="Tiret1"/>
        <w:rPr>
          <w:noProof/>
        </w:rPr>
      </w:pPr>
      <w:r w:rsidRPr="00CB7408">
        <w:rPr>
          <w:noProof/>
          <w:u w:val="single"/>
        </w:rPr>
        <w:t>Training, retraining and vocational training</w:t>
      </w:r>
      <w:r w:rsidR="001A62D7" w:rsidRPr="00CB7408">
        <w:rPr>
          <w:noProof/>
        </w:rPr>
        <w:t xml:space="preserve">: </w:t>
      </w:r>
      <w:r w:rsidR="00C01961" w:rsidRPr="00CB7408">
        <w:rPr>
          <w:noProof/>
        </w:rPr>
        <w:t>Specific training will be offered to cater for the identified needs of the workers, after the profiling and agreement of individual projects with the vocational counsellors. Such training complements the standard training offer of Le Forem and its partners</w:t>
      </w:r>
      <w:r w:rsidR="00277FCC" w:rsidRPr="00CB7408">
        <w:rPr>
          <w:noProof/>
        </w:rPr>
        <w:t>. Two specific IT modules to gain and to strengthen digital autonomy are offered to the workers as well</w:t>
      </w:r>
      <w:r w:rsidR="00C01961" w:rsidRPr="00CB7408">
        <w:rPr>
          <w:noProof/>
        </w:rPr>
        <w:t>.</w:t>
      </w:r>
    </w:p>
    <w:p w:rsidR="00580012" w:rsidRPr="00CB7408" w:rsidRDefault="00B5414C" w:rsidP="00580012">
      <w:pPr>
        <w:pStyle w:val="Tiret1"/>
        <w:rPr>
          <w:noProof/>
        </w:rPr>
      </w:pPr>
      <w:r w:rsidRPr="00CB7408">
        <w:rPr>
          <w:noProof/>
          <w:u w:val="single"/>
        </w:rPr>
        <w:t>Support towards business creation</w:t>
      </w:r>
      <w:r w:rsidR="00EC11EE" w:rsidRPr="00CB7408">
        <w:rPr>
          <w:noProof/>
        </w:rPr>
        <w:t>: The measure aims at workers who wish to launch their own business. It will include a diagnosis and guidance phase, awareness-raising actions on entrepreneurship, information sessions on the potential for business creation through territorial economic diagnoses and networking with relevant entrepreneurs and with certified coaches in business creation</w:t>
      </w:r>
      <w:r w:rsidR="00580012" w:rsidRPr="00CB7408">
        <w:rPr>
          <w:noProof/>
        </w:rPr>
        <w:t>.</w:t>
      </w:r>
    </w:p>
    <w:p w:rsidR="00580012" w:rsidRPr="00CB7408" w:rsidRDefault="00EC11EE" w:rsidP="00580012">
      <w:pPr>
        <w:pStyle w:val="Tiret1"/>
        <w:rPr>
          <w:noProof/>
        </w:rPr>
      </w:pPr>
      <w:r w:rsidRPr="00CB7408">
        <w:rPr>
          <w:noProof/>
          <w:u w:val="single"/>
        </w:rPr>
        <w:t>Contribution to business start-up</w:t>
      </w:r>
      <w:r w:rsidR="00580012" w:rsidRPr="00CB7408">
        <w:rPr>
          <w:noProof/>
        </w:rPr>
        <w:t xml:space="preserve">: </w:t>
      </w:r>
      <w:r w:rsidRPr="00CB7408">
        <w:rPr>
          <w:noProof/>
        </w:rPr>
        <w:t>The workers who start a business or a self-employed activity will receive a contribution up to EUR 15</w:t>
      </w:r>
      <w:r w:rsidR="00B55474" w:rsidRPr="00CB7408">
        <w:rPr>
          <w:noProof/>
        </w:rPr>
        <w:t> </w:t>
      </w:r>
      <w:r w:rsidRPr="00CB7408">
        <w:rPr>
          <w:noProof/>
        </w:rPr>
        <w:t>000. The contribution will be paid in two instalments, after proving the start and development of the business activity with supporting documents.</w:t>
      </w:r>
    </w:p>
    <w:p w:rsidR="00580012" w:rsidRPr="00CB7408" w:rsidRDefault="00EC11EE" w:rsidP="001A62D7">
      <w:pPr>
        <w:pStyle w:val="Tiret1"/>
        <w:rPr>
          <w:noProof/>
        </w:rPr>
      </w:pPr>
      <w:r w:rsidRPr="00CB7408">
        <w:rPr>
          <w:noProof/>
          <w:u w:val="single"/>
        </w:rPr>
        <w:t>Incentives and allowances</w:t>
      </w:r>
      <w:r w:rsidRPr="00CB7408">
        <w:rPr>
          <w:noProof/>
        </w:rPr>
        <w:t xml:space="preserve">: </w:t>
      </w:r>
      <w:r w:rsidRPr="00CB7408">
        <w:rPr>
          <w:b/>
          <w:bCs/>
          <w:noProof/>
        </w:rPr>
        <w:t>(1) Job-search allowances.</w:t>
      </w:r>
      <w:r w:rsidRPr="00CB7408">
        <w:rPr>
          <w:noProof/>
        </w:rPr>
        <w:t xml:space="preserve"> Workers will receive EUR</w:t>
      </w:r>
      <w:r w:rsidR="0031534C" w:rsidRPr="00CB7408">
        <w:rPr>
          <w:noProof/>
        </w:rPr>
        <w:t> </w:t>
      </w:r>
      <w:r w:rsidRPr="00CB7408">
        <w:rPr>
          <w:noProof/>
        </w:rPr>
        <w:t xml:space="preserve">2 per hour of effective participation in job-search activities entitled to the allowance. </w:t>
      </w:r>
      <w:r w:rsidRPr="00CB7408">
        <w:rPr>
          <w:b/>
          <w:bCs/>
          <w:noProof/>
        </w:rPr>
        <w:t>(2) Return-to-school allowance.</w:t>
      </w:r>
      <w:r w:rsidRPr="00CB7408">
        <w:rPr>
          <w:noProof/>
        </w:rPr>
        <w:t xml:space="preserve"> A monthly allowance of EUR 350 will be granted to workers who embark on full-time secondary and tertiary studies, or qualifying training to acquire the necessary skills for jobs that are in demand and for which recruiting is difficult or linked to critical functions</w:t>
      </w:r>
      <w:r w:rsidR="002B5890" w:rsidRPr="00CB7408">
        <w:rPr>
          <w:rStyle w:val="FootnoteReference"/>
          <w:noProof/>
        </w:rPr>
        <w:footnoteReference w:id="27"/>
      </w:r>
      <w:r w:rsidRPr="00CB7408">
        <w:rPr>
          <w:noProof/>
        </w:rPr>
        <w:t xml:space="preserve">. </w:t>
      </w:r>
      <w:r w:rsidR="002B5890" w:rsidRPr="00CB7408">
        <w:rPr>
          <w:b/>
          <w:bCs/>
          <w:noProof/>
        </w:rPr>
        <w:t>(</w:t>
      </w:r>
      <w:r w:rsidR="002102E3" w:rsidRPr="00CB7408">
        <w:rPr>
          <w:b/>
          <w:bCs/>
          <w:noProof/>
        </w:rPr>
        <w:t>3</w:t>
      </w:r>
      <w:r w:rsidRPr="00CB7408">
        <w:rPr>
          <w:b/>
          <w:bCs/>
          <w:noProof/>
        </w:rPr>
        <w:t>) Allowance towards business creation.</w:t>
      </w:r>
      <w:r w:rsidRPr="00CB7408">
        <w:rPr>
          <w:noProof/>
        </w:rPr>
        <w:t xml:space="preserve"> To support workers during setting up business, a monthly allowance of EUR 350 will be granted for a maximum of 12 months or up to 18 months under certain conditions</w:t>
      </w:r>
      <w:r w:rsidR="00580012" w:rsidRPr="00CB7408">
        <w:rPr>
          <w:noProof/>
        </w:rPr>
        <w:t>.</w:t>
      </w:r>
    </w:p>
    <w:p w:rsidR="001A62D7" w:rsidRPr="00CB7408" w:rsidRDefault="00E13EF1" w:rsidP="00B100CF">
      <w:pPr>
        <w:pStyle w:val="ManualNumPar1"/>
        <w:rPr>
          <w:noProof/>
        </w:rPr>
      </w:pPr>
      <w:r>
        <w:rPr>
          <w:noProof/>
        </w:rPr>
        <w:t>29.</w:t>
      </w:r>
      <w:r>
        <w:rPr>
          <w:noProof/>
        </w:rPr>
        <w:tab/>
      </w:r>
      <w:r w:rsidRPr="00CB7408">
        <w:rPr>
          <w:noProof/>
        </w:rPr>
        <w:t xml:space="preserve">The </w:t>
      </w:r>
      <w:r w:rsidR="002F085B" w:rsidRPr="00CB7408">
        <w:rPr>
          <w:noProof/>
        </w:rPr>
        <w:t xml:space="preserve">training to gain </w:t>
      </w:r>
      <w:r w:rsidR="00CA45AC" w:rsidRPr="00CB7408">
        <w:rPr>
          <w:noProof/>
        </w:rPr>
        <w:t xml:space="preserve">and to strengthen </w:t>
      </w:r>
      <w:r w:rsidR="002F085B" w:rsidRPr="00CB7408">
        <w:rPr>
          <w:noProof/>
        </w:rPr>
        <w:t>digital autonomy mentioned above, that complements Forem's standard training to develop digital skills, together with a module on circular economy and efficient use of resources</w:t>
      </w:r>
      <w:r w:rsidR="00BF176D" w:rsidRPr="00CB7408">
        <w:rPr>
          <w:noProof/>
        </w:rPr>
        <w:t xml:space="preserve"> caters for the dissemination of the skills required in the digital industrial age and in a resource-efficient economy, as required by</w:t>
      </w:r>
      <w:r w:rsidR="002F085B" w:rsidRPr="00CB7408">
        <w:rPr>
          <w:noProof/>
        </w:rPr>
        <w:t xml:space="preserve"> Article 7(2) of Regulation (EU) 2021/691. </w:t>
      </w:r>
      <w:r w:rsidR="00154495" w:rsidRPr="00CB7408">
        <w:rPr>
          <w:noProof/>
        </w:rPr>
        <w:t>The</w:t>
      </w:r>
      <w:r w:rsidR="002F085B" w:rsidRPr="00CB7408">
        <w:rPr>
          <w:noProof/>
        </w:rPr>
        <w:t xml:space="preserve"> module on circular economy and efficient use of resources developped for former Swissport workers (EGF/2020/005 BE)</w:t>
      </w:r>
      <w:r w:rsidR="002F085B" w:rsidRPr="00CB7408">
        <w:rPr>
          <w:rStyle w:val="FootnoteReference"/>
          <w:noProof/>
        </w:rPr>
        <w:footnoteReference w:id="28"/>
      </w:r>
      <w:r w:rsidR="002F085B" w:rsidRPr="00CB7408">
        <w:rPr>
          <w:noProof/>
        </w:rPr>
        <w:t xml:space="preserve"> is now part of Le Forem's standard training offer co-financed by ESF+. Therefore, it is not budgeted in this proposal. The circular economy module is complemented by a module on social economy also developed within the framework of an EGF case</w:t>
      </w:r>
      <w:r w:rsidR="002F085B" w:rsidRPr="00CB7408">
        <w:rPr>
          <w:rStyle w:val="FootnoteReference"/>
          <w:noProof/>
        </w:rPr>
        <w:footnoteReference w:id="29"/>
      </w:r>
      <w:r w:rsidR="002F085B" w:rsidRPr="00CB7408">
        <w:rPr>
          <w:noProof/>
        </w:rPr>
        <w:t>.</w:t>
      </w:r>
      <w:r w:rsidR="001A62D7" w:rsidRPr="00CB7408">
        <w:rPr>
          <w:noProof/>
        </w:rPr>
        <w:t xml:space="preserve"> </w:t>
      </w:r>
    </w:p>
    <w:p w:rsidR="001A62D7" w:rsidRPr="00CB7408" w:rsidRDefault="001A62D7" w:rsidP="00AE7D04">
      <w:pPr>
        <w:pStyle w:val="ManualNumPar1"/>
        <w:rPr>
          <w:noProof/>
        </w:rPr>
      </w:pPr>
      <w:r>
        <w:rPr>
          <w:noProof/>
        </w:rPr>
        <w:lastRenderedPageBreak/>
        <w:t>30.</w:t>
      </w:r>
      <w:r>
        <w:rPr>
          <w:noProof/>
        </w:rPr>
        <w:tab/>
      </w:r>
      <w:bookmarkStart w:id="16" w:name="_Ref372214242"/>
      <w:r w:rsidRPr="00CB7408">
        <w:rPr>
          <w:noProof/>
        </w:rPr>
        <w:t xml:space="preserve">The proposed actions, here described, constitute active labour market policy measures within the eligible actions set out in Article 7 of Regulation (EU) 2021/691. These actions do not substitute passive social protection measures. </w:t>
      </w:r>
    </w:p>
    <w:p w:rsidR="001A62D7" w:rsidRPr="00CB7408" w:rsidRDefault="00CA45AC" w:rsidP="00AE7D04">
      <w:pPr>
        <w:pStyle w:val="ManualNumPar1"/>
        <w:rPr>
          <w:noProof/>
        </w:rPr>
      </w:pPr>
      <w:r>
        <w:rPr>
          <w:noProof/>
        </w:rPr>
        <w:t>31.</w:t>
      </w:r>
      <w:r>
        <w:rPr>
          <w:noProof/>
        </w:rPr>
        <w:tab/>
      </w:r>
      <w:r w:rsidRPr="00CB7408">
        <w:rPr>
          <w:noProof/>
        </w:rPr>
        <w:t>Belgium</w:t>
      </w:r>
      <w:r w:rsidR="001A62D7" w:rsidRPr="00CB7408">
        <w:rPr>
          <w:noProof/>
        </w:rPr>
        <w:t xml:space="preserve"> has provided the required information on measures that are mandatory for the enterprise concerned by virtue of national law or pursuant to collective agreements. In accordance with Article 9(1) of Regulation (EU) 2021/691, </w:t>
      </w:r>
      <w:r w:rsidRPr="00CB7408">
        <w:rPr>
          <w:noProof/>
        </w:rPr>
        <w:t>Belgium</w:t>
      </w:r>
      <w:r w:rsidR="001A62D7" w:rsidRPr="00CB7408">
        <w:rPr>
          <w:noProof/>
        </w:rPr>
        <w:t xml:space="preserve"> has confirmed that a financial contribution from the EGF will not replace such measures.</w:t>
      </w:r>
      <w:bookmarkEnd w:id="16"/>
    </w:p>
    <w:p w:rsidR="001A62D7" w:rsidRPr="00CB7408" w:rsidRDefault="001A62D7" w:rsidP="001A62D7">
      <w:pPr>
        <w:pStyle w:val="ManualHeading3"/>
        <w:rPr>
          <w:noProof/>
        </w:rPr>
      </w:pPr>
      <w:r w:rsidRPr="00CB7408">
        <w:rPr>
          <w:noProof/>
        </w:rPr>
        <w:t>Estimated budget</w:t>
      </w:r>
    </w:p>
    <w:p w:rsidR="001A62D7" w:rsidRPr="00CB7408" w:rsidRDefault="001A62D7" w:rsidP="00AE7D04">
      <w:pPr>
        <w:pStyle w:val="ManualNumPar1"/>
        <w:rPr>
          <w:noProof/>
        </w:rPr>
      </w:pPr>
      <w:r>
        <w:rPr>
          <w:noProof/>
        </w:rPr>
        <w:t>32.</w:t>
      </w:r>
      <w:r>
        <w:rPr>
          <w:noProof/>
        </w:rPr>
        <w:tab/>
      </w:r>
      <w:r w:rsidRPr="00CB7408">
        <w:rPr>
          <w:noProof/>
        </w:rPr>
        <w:t>The estimated total costs are EUR </w:t>
      </w:r>
      <w:r w:rsidR="00D00BAE" w:rsidRPr="00CB7408">
        <w:rPr>
          <w:noProof/>
        </w:rPr>
        <w:t>2 392 788</w:t>
      </w:r>
      <w:r w:rsidRPr="00CB7408">
        <w:rPr>
          <w:noProof/>
        </w:rPr>
        <w:t>, comprising expenditure for personalised services of EUR </w:t>
      </w:r>
      <w:r w:rsidR="00E1077D" w:rsidRPr="00CB7408">
        <w:rPr>
          <w:noProof/>
        </w:rPr>
        <w:t>2 358 922</w:t>
      </w:r>
      <w:r w:rsidRPr="00CB7408">
        <w:rPr>
          <w:rFonts w:eastAsia="Calibri"/>
          <w:noProof/>
        </w:rPr>
        <w:t xml:space="preserve"> </w:t>
      </w:r>
      <w:r w:rsidRPr="00CB7408">
        <w:rPr>
          <w:noProof/>
        </w:rPr>
        <w:t>and expenditure for preparatory, management, information and publicity, control and reporting activities of EUR </w:t>
      </w:r>
      <w:r w:rsidR="00E1077D" w:rsidRPr="00CB7408">
        <w:rPr>
          <w:noProof/>
        </w:rPr>
        <w:t>33 866</w:t>
      </w:r>
      <w:r w:rsidRPr="00CB7408">
        <w:rPr>
          <w:noProof/>
        </w:rPr>
        <w:t>.</w:t>
      </w:r>
    </w:p>
    <w:p w:rsidR="001A62D7" w:rsidRPr="00CB7408" w:rsidRDefault="001A62D7" w:rsidP="00AE7D04">
      <w:pPr>
        <w:pStyle w:val="ManualNumPar1"/>
        <w:rPr>
          <w:noProof/>
        </w:rPr>
      </w:pPr>
      <w:r>
        <w:rPr>
          <w:noProof/>
        </w:rPr>
        <w:t>33.</w:t>
      </w:r>
      <w:r>
        <w:rPr>
          <w:noProof/>
        </w:rPr>
        <w:tab/>
      </w:r>
      <w:bookmarkStart w:id="17" w:name="_Ref372550770"/>
      <w:r w:rsidRPr="00CB7408">
        <w:rPr>
          <w:noProof/>
        </w:rPr>
        <w:t>The total financial contribution requested from the EGF is EUR </w:t>
      </w:r>
      <w:r w:rsidR="00D00BAE" w:rsidRPr="00CB7408">
        <w:rPr>
          <w:noProof/>
        </w:rPr>
        <w:t>2 033 869</w:t>
      </w:r>
      <w:r w:rsidRPr="00CB7408">
        <w:rPr>
          <w:noProof/>
        </w:rPr>
        <w:t xml:space="preserve"> (</w:t>
      </w:r>
      <w:r w:rsidR="00D00BAE" w:rsidRPr="00CB7408">
        <w:rPr>
          <w:noProof/>
        </w:rPr>
        <w:t>85</w:t>
      </w:r>
      <w:r w:rsidRPr="00CB7408">
        <w:rPr>
          <w:noProof/>
        </w:rPr>
        <w:t> % of total costs).</w:t>
      </w:r>
      <w:bookmarkEnd w:id="17"/>
    </w:p>
    <w:p w:rsidR="001A62D7" w:rsidRPr="00CB7408" w:rsidRDefault="001A62D7" w:rsidP="00AE7D04">
      <w:pPr>
        <w:pStyle w:val="ManualNumPar1"/>
        <w:rPr>
          <w:noProof/>
        </w:rPr>
      </w:pPr>
      <w:r>
        <w:rPr>
          <w:noProof/>
        </w:rPr>
        <w:t>34.</w:t>
      </w:r>
      <w:r>
        <w:rPr>
          <w:noProof/>
        </w:rPr>
        <w:tab/>
      </w:r>
      <w:r w:rsidRPr="00CB7408">
        <w:rPr>
          <w:noProof/>
        </w:rPr>
        <w:t xml:space="preserve">Pursuant to Article 8(7), point (m), of Regulation (EU) 2021/691, </w:t>
      </w:r>
      <w:r w:rsidR="00D00BAE" w:rsidRPr="00CB7408">
        <w:rPr>
          <w:noProof/>
        </w:rPr>
        <w:t>Belgium</w:t>
      </w:r>
      <w:r w:rsidRPr="00CB7408">
        <w:rPr>
          <w:noProof/>
        </w:rPr>
        <w:t xml:space="preserve"> has specified that the national pre-financing and co-funding is provided by </w:t>
      </w:r>
      <w:r w:rsidR="003F5EC6" w:rsidRPr="00CB7408">
        <w:rPr>
          <w:noProof/>
        </w:rPr>
        <w:t>Région Wallone and Le Forem</w:t>
      </w:r>
      <w:r w:rsidRPr="00CB7408">
        <w:rPr>
          <w:noProof/>
        </w:rPr>
        <w:t>.</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4644"/>
        <w:gridCol w:w="1548"/>
        <w:gridCol w:w="1548"/>
        <w:gridCol w:w="1548"/>
      </w:tblGrid>
      <w:tr w:rsidR="001B0175" w:rsidRPr="00CB7408" w:rsidTr="001B0175">
        <w:tc>
          <w:tcPr>
            <w:tcW w:w="4644" w:type="dxa"/>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Measures</w:t>
            </w:r>
          </w:p>
        </w:tc>
        <w:tc>
          <w:tcPr>
            <w:tcW w:w="1548" w:type="dxa"/>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Estimated number of participants</w:t>
            </w:r>
          </w:p>
        </w:tc>
        <w:tc>
          <w:tcPr>
            <w:tcW w:w="1548" w:type="dxa"/>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Estimated cost per participant</w:t>
            </w:r>
            <w:r w:rsidRPr="00CB7408">
              <w:rPr>
                <w:rFonts w:eastAsia="Times New Roman"/>
                <w:noProof/>
                <w:sz w:val="22"/>
              </w:rPr>
              <w:br/>
            </w:r>
            <w:r w:rsidRPr="00CB7408">
              <w:rPr>
                <w:rFonts w:eastAsia="Times New Roman"/>
                <w:i/>
                <w:noProof/>
                <w:sz w:val="22"/>
              </w:rPr>
              <w:t>(EUR)</w:t>
            </w:r>
            <w:r w:rsidRPr="00CB7408">
              <w:rPr>
                <w:rStyle w:val="FootnoteReference"/>
                <w:rFonts w:eastAsia="Times New Roman"/>
                <w:i/>
                <w:noProof/>
                <w:sz w:val="22"/>
              </w:rPr>
              <w:footnoteReference w:id="30"/>
            </w:r>
          </w:p>
        </w:tc>
        <w:tc>
          <w:tcPr>
            <w:tcW w:w="1548" w:type="dxa"/>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Estimated total costs</w:t>
            </w:r>
          </w:p>
          <w:p w:rsidR="001A62D7" w:rsidRPr="00CB7408" w:rsidRDefault="001A62D7" w:rsidP="001D5990">
            <w:pPr>
              <w:spacing w:before="60" w:after="60"/>
              <w:jc w:val="center"/>
              <w:rPr>
                <w:rFonts w:eastAsia="Times New Roman"/>
                <w:noProof/>
                <w:sz w:val="22"/>
              </w:rPr>
            </w:pPr>
            <w:r w:rsidRPr="00CB7408">
              <w:rPr>
                <w:rFonts w:eastAsia="Times New Roman"/>
                <w:i/>
                <w:noProof/>
                <w:sz w:val="22"/>
              </w:rPr>
              <w:t>(EUR)</w:t>
            </w:r>
            <w:r w:rsidRPr="00CB7408">
              <w:rPr>
                <w:rStyle w:val="FootnoteReference"/>
                <w:rFonts w:eastAsia="Times New Roman"/>
                <w:i/>
                <w:noProof/>
                <w:sz w:val="22"/>
              </w:rPr>
              <w:footnoteReference w:id="31"/>
            </w:r>
            <w:r w:rsidRPr="00CB7408">
              <w:rPr>
                <w:rFonts w:eastAsia="Times New Roman"/>
                <w:i/>
                <w:noProof/>
                <w:sz w:val="22"/>
              </w:rPr>
              <w:t xml:space="preserve"> </w:t>
            </w:r>
          </w:p>
        </w:tc>
      </w:tr>
      <w:tr w:rsidR="001A62D7" w:rsidRPr="00CB7408" w:rsidTr="00B951E3">
        <w:tc>
          <w:tcPr>
            <w:tcW w:w="9288" w:type="dxa"/>
            <w:gridSpan w:val="4"/>
            <w:shd w:val="clear" w:color="auto" w:fill="auto"/>
          </w:tcPr>
          <w:p w:rsidR="001A62D7" w:rsidRPr="00CB7408" w:rsidRDefault="001A62D7" w:rsidP="001D5990">
            <w:pPr>
              <w:spacing w:before="60" w:after="60"/>
              <w:jc w:val="left"/>
              <w:rPr>
                <w:rFonts w:eastAsia="Times New Roman"/>
                <w:noProof/>
                <w:sz w:val="22"/>
              </w:rPr>
            </w:pPr>
            <w:r w:rsidRPr="00CB7408">
              <w:rPr>
                <w:rFonts w:eastAsia="Times New Roman"/>
                <w:noProof/>
                <w:sz w:val="22"/>
              </w:rPr>
              <w:t xml:space="preserve">Personalised services (measures under Article 7(2), </w:t>
            </w:r>
            <w:r w:rsidRPr="00CB7408">
              <w:rPr>
                <w:noProof/>
              </w:rPr>
              <w:t>second subparagraph</w:t>
            </w:r>
            <w:r w:rsidRPr="00CB7408">
              <w:rPr>
                <w:rFonts w:eastAsia="Times New Roman"/>
                <w:noProof/>
                <w:sz w:val="22"/>
              </w:rPr>
              <w:t>, point (a), of Regulation (EU) 2021/691)</w:t>
            </w:r>
          </w:p>
        </w:tc>
      </w:tr>
      <w:tr w:rsidR="001B0175" w:rsidRPr="00CB7408"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B0175" w:rsidRPr="009856EF" w:rsidRDefault="002419C9" w:rsidP="00EC2FA7">
            <w:pPr>
              <w:spacing w:before="60" w:after="60"/>
              <w:jc w:val="left"/>
              <w:rPr>
                <w:noProof/>
                <w:lang w:val="fr-FR"/>
              </w:rPr>
            </w:pPr>
            <w:r w:rsidRPr="009856EF">
              <w:rPr>
                <w:noProof/>
                <w:lang w:val="fr-FR"/>
              </w:rPr>
              <w:t xml:space="preserve">Outplacement and vocational guidance </w:t>
            </w:r>
            <w:r w:rsidR="00E13EF1" w:rsidRPr="009856EF">
              <w:rPr>
                <w:i/>
                <w:iCs/>
                <w:noProof/>
                <w:lang w:val="fr-FR"/>
              </w:rPr>
              <w:t>(r</w:t>
            </w:r>
            <w:r w:rsidR="001B0175" w:rsidRPr="009856EF">
              <w:rPr>
                <w:i/>
                <w:iCs/>
                <w:noProof/>
                <w:lang w:val="fr-FR"/>
              </w:rPr>
              <w:t>econversion:accompagnement/orientation/mobilisation</w:t>
            </w:r>
            <w:r w:rsidR="00E13EF1" w:rsidRPr="009856EF">
              <w:rPr>
                <w:i/>
                <w:iCs/>
                <w:noProof/>
                <w:lang w:val="fr-FR"/>
              </w:rPr>
              <w: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B0175" w:rsidRPr="00CB7408" w:rsidRDefault="00A10101" w:rsidP="00EC2FA7">
            <w:pPr>
              <w:spacing w:before="60" w:after="60"/>
              <w:jc w:val="center"/>
              <w:rPr>
                <w:noProof/>
              </w:rPr>
            </w:pPr>
            <w:r w:rsidRPr="00CB7408">
              <w:rPr>
                <w:noProof/>
              </w:rPr>
              <w:t>507</w:t>
            </w:r>
          </w:p>
        </w:tc>
        <w:tc>
          <w:tcPr>
            <w:tcW w:w="1548" w:type="dxa"/>
            <w:tcBorders>
              <w:top w:val="single" w:sz="4" w:space="0" w:color="auto"/>
              <w:left w:val="single" w:sz="4" w:space="0" w:color="auto"/>
              <w:bottom w:val="single" w:sz="4" w:space="0" w:color="auto"/>
              <w:right w:val="single" w:sz="4" w:space="0" w:color="auto"/>
            </w:tcBorders>
            <w:vAlign w:val="center"/>
            <w:hideMark/>
          </w:tcPr>
          <w:p w:rsidR="001B0175" w:rsidRPr="00CB7408" w:rsidRDefault="00A10101" w:rsidP="00EC2FA7">
            <w:pPr>
              <w:spacing w:before="60" w:after="60"/>
              <w:jc w:val="center"/>
              <w:rPr>
                <w:noProof/>
              </w:rPr>
            </w:pPr>
            <w:r w:rsidRPr="00CB7408">
              <w:rPr>
                <w:noProof/>
              </w:rPr>
              <w:t>2 329</w:t>
            </w:r>
          </w:p>
        </w:tc>
        <w:tc>
          <w:tcPr>
            <w:tcW w:w="1548" w:type="dxa"/>
            <w:tcBorders>
              <w:top w:val="single" w:sz="4" w:space="0" w:color="auto"/>
              <w:left w:val="single" w:sz="4" w:space="0" w:color="auto"/>
              <w:bottom w:val="single" w:sz="4" w:space="0" w:color="auto"/>
              <w:right w:val="nil"/>
            </w:tcBorders>
            <w:vAlign w:val="center"/>
            <w:hideMark/>
          </w:tcPr>
          <w:p w:rsidR="001B0175" w:rsidRPr="00CB7408" w:rsidRDefault="00A10101" w:rsidP="00EC2FA7">
            <w:pPr>
              <w:spacing w:before="60" w:after="60"/>
              <w:jc w:val="center"/>
              <w:rPr>
                <w:noProof/>
              </w:rPr>
            </w:pPr>
            <w:r w:rsidRPr="00CB7408">
              <w:rPr>
                <w:noProof/>
              </w:rPr>
              <w:t>1 180 583</w:t>
            </w:r>
          </w:p>
        </w:tc>
      </w:tr>
      <w:tr w:rsidR="001B0175" w:rsidRPr="00CB7408"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CB7408" w:rsidRDefault="00F51D6A" w:rsidP="001D5990">
            <w:pPr>
              <w:spacing w:before="60" w:after="60"/>
              <w:jc w:val="left"/>
              <w:rPr>
                <w:noProof/>
              </w:rPr>
            </w:pPr>
            <w:r w:rsidRPr="00CB7408">
              <w:rPr>
                <w:noProof/>
              </w:rPr>
              <w:t xml:space="preserve">Training and retraining </w:t>
            </w:r>
            <w:r w:rsidRPr="00CB7408">
              <w:rPr>
                <w:noProof/>
              </w:rPr>
              <w:br/>
            </w:r>
            <w:r w:rsidRPr="00CB7408">
              <w:rPr>
                <w:i/>
                <w:iCs/>
                <w:noProof/>
              </w:rPr>
              <w:t>(</w:t>
            </w:r>
            <w:r w:rsidR="00EC11EE" w:rsidRPr="00CB7408">
              <w:rPr>
                <w:i/>
                <w:iCs/>
                <w:noProof/>
              </w:rPr>
              <w:t>f</w:t>
            </w:r>
            <w:r w:rsidRPr="00CB7408">
              <w:rPr>
                <w:i/>
                <w:iCs/>
                <w:noProof/>
              </w:rPr>
              <w:t>ormations et modules spécifiques)</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CB7408" w:rsidRDefault="00A10101" w:rsidP="001D5990">
            <w:pPr>
              <w:spacing w:before="60" w:after="60"/>
              <w:jc w:val="center"/>
              <w:rPr>
                <w:noProof/>
              </w:rPr>
            </w:pPr>
            <w:r w:rsidRPr="00CB7408">
              <w:rPr>
                <w:noProof/>
              </w:rPr>
              <w:t>250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CB7408" w:rsidRDefault="00A10101" w:rsidP="001D5990">
            <w:pPr>
              <w:spacing w:before="60" w:after="60"/>
              <w:jc w:val="center"/>
              <w:rPr>
                <w:noProof/>
              </w:rPr>
            </w:pPr>
            <w:r w:rsidRPr="00CB7408">
              <w:rPr>
                <w:noProof/>
              </w:rPr>
              <w:t>1 801</w:t>
            </w:r>
          </w:p>
        </w:tc>
        <w:tc>
          <w:tcPr>
            <w:tcW w:w="1548" w:type="dxa"/>
            <w:tcBorders>
              <w:top w:val="single" w:sz="4" w:space="0" w:color="auto"/>
              <w:left w:val="single" w:sz="4" w:space="0" w:color="auto"/>
              <w:bottom w:val="single" w:sz="4" w:space="0" w:color="auto"/>
              <w:right w:val="nil"/>
            </w:tcBorders>
            <w:vAlign w:val="center"/>
            <w:hideMark/>
          </w:tcPr>
          <w:p w:rsidR="001A62D7" w:rsidRPr="00CB7408" w:rsidRDefault="00A10101" w:rsidP="001D5990">
            <w:pPr>
              <w:spacing w:before="60" w:after="60"/>
              <w:jc w:val="center"/>
              <w:rPr>
                <w:noProof/>
              </w:rPr>
            </w:pPr>
            <w:r w:rsidRPr="00CB7408">
              <w:rPr>
                <w:noProof/>
              </w:rPr>
              <w:t>450 170</w:t>
            </w:r>
          </w:p>
        </w:tc>
      </w:tr>
      <w:tr w:rsidR="001B0175" w:rsidRPr="00CB7408"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9856EF" w:rsidRDefault="00EC11EE" w:rsidP="001D5990">
            <w:pPr>
              <w:spacing w:before="60" w:after="60"/>
              <w:jc w:val="left"/>
              <w:rPr>
                <w:noProof/>
                <w:lang w:val="fr-FR"/>
              </w:rPr>
            </w:pPr>
            <w:r w:rsidRPr="009856EF">
              <w:rPr>
                <w:noProof/>
                <w:lang w:val="fr-FR"/>
              </w:rPr>
              <w:t>Promotion of entrepreneurship</w:t>
            </w:r>
            <w:r w:rsidRPr="009856EF">
              <w:rPr>
                <w:noProof/>
                <w:lang w:val="fr-FR"/>
              </w:rPr>
              <w:br/>
              <w:t>(</w:t>
            </w:r>
            <w:r w:rsidRPr="009856EF">
              <w:rPr>
                <w:i/>
                <w:iCs/>
                <w:noProof/>
                <w:lang w:val="fr-FR"/>
              </w:rPr>
              <w:t>Accompagnement entrepreneuriat)</w:t>
            </w:r>
            <w:r w:rsidR="001A62D7" w:rsidRPr="009856EF">
              <w:rPr>
                <w:noProof/>
                <w:lang w:val="fr-FR"/>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CB7408" w:rsidRDefault="00A10101" w:rsidP="001D5990">
            <w:pPr>
              <w:spacing w:before="60" w:after="60"/>
              <w:jc w:val="center"/>
              <w:rPr>
                <w:noProof/>
              </w:rPr>
            </w:pPr>
            <w:r w:rsidRPr="00CB7408">
              <w:rPr>
                <w:noProof/>
              </w:rPr>
              <w:t>50</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CB7408" w:rsidRDefault="00A10101" w:rsidP="001D5990">
            <w:pPr>
              <w:spacing w:before="60" w:after="60"/>
              <w:jc w:val="center"/>
              <w:rPr>
                <w:noProof/>
              </w:rPr>
            </w:pPr>
            <w:r w:rsidRPr="00CB7408">
              <w:rPr>
                <w:noProof/>
              </w:rPr>
              <w:t>1 231</w:t>
            </w:r>
          </w:p>
        </w:tc>
        <w:tc>
          <w:tcPr>
            <w:tcW w:w="1548" w:type="dxa"/>
            <w:tcBorders>
              <w:top w:val="single" w:sz="4" w:space="0" w:color="auto"/>
              <w:left w:val="single" w:sz="4" w:space="0" w:color="auto"/>
              <w:bottom w:val="single" w:sz="4" w:space="0" w:color="auto"/>
              <w:right w:val="nil"/>
            </w:tcBorders>
            <w:vAlign w:val="center"/>
            <w:hideMark/>
          </w:tcPr>
          <w:p w:rsidR="001A62D7" w:rsidRPr="00CB7408" w:rsidRDefault="00A10101" w:rsidP="001D5990">
            <w:pPr>
              <w:spacing w:before="60" w:after="60"/>
              <w:jc w:val="center"/>
              <w:rPr>
                <w:noProof/>
              </w:rPr>
            </w:pPr>
            <w:r w:rsidRPr="00CB7408">
              <w:rPr>
                <w:noProof/>
              </w:rPr>
              <w:t>61 569</w:t>
            </w:r>
          </w:p>
        </w:tc>
      </w:tr>
      <w:tr w:rsidR="001B0175" w:rsidRPr="00CB7408" w:rsidTr="001B0175">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CB7408" w:rsidRDefault="00EC11EE" w:rsidP="001D5990">
            <w:pPr>
              <w:spacing w:before="60" w:after="60"/>
              <w:jc w:val="left"/>
              <w:rPr>
                <w:noProof/>
              </w:rPr>
            </w:pPr>
            <w:r w:rsidRPr="00CB7408">
              <w:rPr>
                <w:noProof/>
              </w:rPr>
              <w:t>Contribution to business start-up</w:t>
            </w:r>
            <w:r w:rsidRPr="00CB7408">
              <w:rPr>
                <w:noProof/>
              </w:rPr>
              <w:br/>
            </w:r>
            <w:r w:rsidRPr="00CB7408">
              <w:rPr>
                <w:i/>
                <w:iCs/>
                <w:noProof/>
              </w:rPr>
              <w:t>(bourse de lancement)</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CB7408" w:rsidRDefault="00A10101" w:rsidP="001D5990">
            <w:pPr>
              <w:spacing w:before="60" w:after="60"/>
              <w:jc w:val="center"/>
              <w:rPr>
                <w:noProof/>
              </w:rPr>
            </w:pPr>
            <w:r w:rsidRPr="00CB7408">
              <w:rPr>
                <w:noProof/>
              </w:rPr>
              <w:t>32</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Pr="00CB7408" w:rsidRDefault="00A10101" w:rsidP="001D5990">
            <w:pPr>
              <w:spacing w:before="60" w:after="60"/>
              <w:jc w:val="center"/>
              <w:rPr>
                <w:noProof/>
              </w:rPr>
            </w:pPr>
            <w:r w:rsidRPr="00CB7408">
              <w:rPr>
                <w:noProof/>
              </w:rPr>
              <w:t>10 000</w:t>
            </w:r>
          </w:p>
        </w:tc>
        <w:tc>
          <w:tcPr>
            <w:tcW w:w="1548" w:type="dxa"/>
            <w:tcBorders>
              <w:top w:val="single" w:sz="4" w:space="0" w:color="auto"/>
              <w:left w:val="single" w:sz="4" w:space="0" w:color="auto"/>
              <w:bottom w:val="single" w:sz="4" w:space="0" w:color="auto"/>
              <w:right w:val="nil"/>
            </w:tcBorders>
            <w:vAlign w:val="center"/>
            <w:hideMark/>
          </w:tcPr>
          <w:p w:rsidR="001A62D7" w:rsidRPr="00CB7408" w:rsidRDefault="00A10101" w:rsidP="001D5990">
            <w:pPr>
              <w:spacing w:before="60" w:after="60"/>
              <w:jc w:val="center"/>
              <w:rPr>
                <w:noProof/>
              </w:rPr>
            </w:pPr>
            <w:r w:rsidRPr="00CB7408">
              <w:rPr>
                <w:noProof/>
              </w:rPr>
              <w:t>320 000</w:t>
            </w:r>
          </w:p>
        </w:tc>
      </w:tr>
      <w:tr w:rsidR="001B0175" w:rsidRPr="00CB7408" w:rsidTr="001B0175">
        <w:trPr>
          <w:trHeight w:val="398"/>
        </w:trPr>
        <w:tc>
          <w:tcPr>
            <w:tcW w:w="4644" w:type="dxa"/>
            <w:vMerge w:val="restart"/>
            <w:shd w:val="clear" w:color="auto" w:fill="auto"/>
            <w:vAlign w:val="center"/>
          </w:tcPr>
          <w:p w:rsidR="001A62D7" w:rsidRPr="00CB7408" w:rsidRDefault="001A62D7" w:rsidP="001D5990">
            <w:pPr>
              <w:spacing w:before="60" w:after="60"/>
              <w:jc w:val="right"/>
              <w:rPr>
                <w:rFonts w:eastAsia="Times New Roman"/>
                <w:noProof/>
                <w:sz w:val="22"/>
              </w:rPr>
            </w:pPr>
            <w:r w:rsidRPr="00CB7408">
              <w:rPr>
                <w:rFonts w:eastAsia="Times New Roman"/>
                <w:noProof/>
                <w:sz w:val="22"/>
              </w:rPr>
              <w:t>Sub-total (a):</w:t>
            </w:r>
          </w:p>
          <w:p w:rsidR="001A62D7" w:rsidRPr="00CB7408" w:rsidRDefault="001A62D7" w:rsidP="001D5990">
            <w:pPr>
              <w:spacing w:before="60" w:after="60"/>
              <w:jc w:val="right"/>
              <w:rPr>
                <w:rFonts w:eastAsia="Times New Roman"/>
                <w:noProof/>
                <w:sz w:val="22"/>
              </w:rPr>
            </w:pPr>
            <w:r w:rsidRPr="00CB7408">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tcBorders>
              <w:bottom w:val="nil"/>
            </w:tcBorders>
            <w:shd w:val="clear" w:color="auto" w:fill="auto"/>
            <w:vAlign w:val="center"/>
          </w:tcPr>
          <w:p w:rsidR="001A62D7" w:rsidRPr="00CB7408" w:rsidRDefault="00CA5DE4" w:rsidP="001D5990">
            <w:pPr>
              <w:spacing w:before="60" w:after="60"/>
              <w:jc w:val="center"/>
              <w:rPr>
                <w:rFonts w:eastAsia="Times New Roman"/>
                <w:noProof/>
                <w:sz w:val="22"/>
              </w:rPr>
            </w:pPr>
            <w:r w:rsidRPr="00CB7408">
              <w:rPr>
                <w:noProof/>
              </w:rPr>
              <w:t>2 012 322</w:t>
            </w:r>
          </w:p>
        </w:tc>
      </w:tr>
      <w:tr w:rsidR="001B0175" w:rsidRPr="00CB7408" w:rsidTr="001B0175">
        <w:trPr>
          <w:trHeight w:val="397"/>
        </w:trPr>
        <w:tc>
          <w:tcPr>
            <w:tcW w:w="4644" w:type="dxa"/>
            <w:vMerge/>
            <w:shd w:val="clear" w:color="auto" w:fill="auto"/>
            <w:vAlign w:val="center"/>
          </w:tcPr>
          <w:p w:rsidR="001A62D7" w:rsidRPr="00CB7408"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CB7408"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r w:rsidR="00CA5DE4" w:rsidRPr="00CB7408">
              <w:rPr>
                <w:noProof/>
              </w:rPr>
              <w:t>85,30</w:t>
            </w:r>
            <w:r w:rsidRPr="00CB7408">
              <w:rPr>
                <w:noProof/>
              </w:rPr>
              <w:t> </w:t>
            </w:r>
            <w:r w:rsidRPr="00CB7408">
              <w:rPr>
                <w:rFonts w:eastAsia="Times New Roman"/>
                <w:noProof/>
                <w:sz w:val="22"/>
              </w:rPr>
              <w:t>%)</w:t>
            </w:r>
          </w:p>
        </w:tc>
      </w:tr>
      <w:tr w:rsidR="001A62D7" w:rsidRPr="00CB7408" w:rsidTr="00B951E3">
        <w:tc>
          <w:tcPr>
            <w:tcW w:w="9288" w:type="dxa"/>
            <w:gridSpan w:val="4"/>
            <w:shd w:val="clear" w:color="auto" w:fill="auto"/>
            <w:vAlign w:val="center"/>
          </w:tcPr>
          <w:p w:rsidR="001A62D7" w:rsidRPr="00CB7408" w:rsidRDefault="001A62D7" w:rsidP="001D5990">
            <w:pPr>
              <w:spacing w:before="60" w:after="60"/>
              <w:jc w:val="left"/>
              <w:rPr>
                <w:noProof/>
                <w:sz w:val="22"/>
              </w:rPr>
            </w:pPr>
            <w:r w:rsidRPr="00CB7408">
              <w:rPr>
                <w:rFonts w:eastAsia="Times New Roman"/>
                <w:noProof/>
                <w:sz w:val="22"/>
              </w:rPr>
              <w:t xml:space="preserve">Allowances and incentives (measures under Article 7(2), </w:t>
            </w:r>
            <w:r w:rsidRPr="00CB7408">
              <w:rPr>
                <w:noProof/>
              </w:rPr>
              <w:t>second subparagraph</w:t>
            </w:r>
            <w:r w:rsidRPr="00CB7408">
              <w:rPr>
                <w:rFonts w:eastAsia="Times New Roman"/>
                <w:noProof/>
                <w:sz w:val="22"/>
              </w:rPr>
              <w:t>, point (b), of Regulation (EU) 2021/691)</w:t>
            </w:r>
          </w:p>
        </w:tc>
      </w:tr>
      <w:tr w:rsidR="00B951E3" w:rsidRPr="00CB7408" w:rsidTr="00D43598">
        <w:trPr>
          <w:trHeight w:val="802"/>
        </w:trPr>
        <w:tc>
          <w:tcPr>
            <w:tcW w:w="4644" w:type="dxa"/>
            <w:tcBorders>
              <w:top w:val="single" w:sz="4" w:space="0" w:color="auto"/>
              <w:left w:val="nil"/>
              <w:bottom w:val="single" w:sz="4" w:space="0" w:color="auto"/>
              <w:right w:val="single" w:sz="4" w:space="0" w:color="auto"/>
            </w:tcBorders>
            <w:vAlign w:val="center"/>
            <w:hideMark/>
          </w:tcPr>
          <w:p w:rsidR="00B951E3" w:rsidRPr="009856EF" w:rsidRDefault="005506DB" w:rsidP="00D43598">
            <w:pPr>
              <w:spacing w:before="60" w:after="60"/>
              <w:jc w:val="left"/>
              <w:rPr>
                <w:noProof/>
                <w:lang w:val="fr-FR"/>
              </w:rPr>
            </w:pPr>
            <w:r w:rsidRPr="009856EF">
              <w:rPr>
                <w:noProof/>
                <w:lang w:val="fr-FR"/>
              </w:rPr>
              <w:lastRenderedPageBreak/>
              <w:t>A</w:t>
            </w:r>
            <w:r w:rsidR="00B951E3" w:rsidRPr="009856EF">
              <w:rPr>
                <w:noProof/>
                <w:lang w:val="fr-FR"/>
              </w:rPr>
              <w:t>llowances</w:t>
            </w:r>
            <w:r w:rsidR="00B951E3" w:rsidRPr="009856EF">
              <w:rPr>
                <w:noProof/>
                <w:lang w:val="fr-FR"/>
              </w:rPr>
              <w:br/>
              <w:t>(</w:t>
            </w:r>
            <w:r w:rsidR="00B951E3" w:rsidRPr="009856EF">
              <w:rPr>
                <w:i/>
                <w:iCs/>
                <w:noProof/>
                <w:lang w:val="fr-FR"/>
              </w:rPr>
              <w:t>allocation</w:t>
            </w:r>
            <w:r w:rsidRPr="009856EF">
              <w:rPr>
                <w:i/>
                <w:iCs/>
                <w:noProof/>
                <w:lang w:val="fr-FR"/>
              </w:rPr>
              <w:t xml:space="preserve"> de recherche d'emploie, de reprise d'études et d'entrepreneuriat</w:t>
            </w:r>
            <w:r w:rsidR="00B951E3" w:rsidRPr="009856EF">
              <w:rPr>
                <w:i/>
                <w:iCs/>
                <w:noProof/>
                <w:lang w:val="fr-FR"/>
              </w:rPr>
              <w:t>)</w:t>
            </w:r>
            <w:r w:rsidR="00B951E3" w:rsidRPr="009856EF">
              <w:rPr>
                <w:noProof/>
                <w:lang w:val="fr-FR"/>
              </w:rPr>
              <w:t xml:space="preserve"> </w:t>
            </w:r>
          </w:p>
        </w:tc>
        <w:tc>
          <w:tcPr>
            <w:tcW w:w="1548" w:type="dxa"/>
            <w:tcBorders>
              <w:top w:val="single" w:sz="4" w:space="0" w:color="auto"/>
              <w:left w:val="single" w:sz="4" w:space="0" w:color="auto"/>
              <w:bottom w:val="single" w:sz="4" w:space="0" w:color="auto"/>
              <w:right w:val="single" w:sz="4" w:space="0" w:color="auto"/>
            </w:tcBorders>
            <w:vAlign w:val="center"/>
            <w:hideMark/>
          </w:tcPr>
          <w:p w:rsidR="00B951E3" w:rsidRPr="00CB7408" w:rsidRDefault="005506DB" w:rsidP="00D43598">
            <w:pPr>
              <w:spacing w:before="60" w:after="60"/>
              <w:jc w:val="center"/>
              <w:rPr>
                <w:noProof/>
              </w:rPr>
            </w:pPr>
            <w:r w:rsidRPr="00CB7408">
              <w:rPr>
                <w:noProof/>
              </w:rPr>
              <w:t>507</w:t>
            </w:r>
          </w:p>
        </w:tc>
        <w:tc>
          <w:tcPr>
            <w:tcW w:w="1548" w:type="dxa"/>
            <w:tcBorders>
              <w:top w:val="single" w:sz="4" w:space="0" w:color="auto"/>
              <w:left w:val="single" w:sz="4" w:space="0" w:color="auto"/>
              <w:bottom w:val="single" w:sz="4" w:space="0" w:color="auto"/>
              <w:right w:val="single" w:sz="4" w:space="0" w:color="auto"/>
            </w:tcBorders>
            <w:vAlign w:val="center"/>
            <w:hideMark/>
          </w:tcPr>
          <w:p w:rsidR="00B951E3" w:rsidRPr="00CB7408" w:rsidRDefault="00CA5DE4" w:rsidP="00D43598">
            <w:pPr>
              <w:spacing w:before="60" w:after="60"/>
              <w:jc w:val="center"/>
              <w:rPr>
                <w:noProof/>
              </w:rPr>
            </w:pPr>
            <w:r w:rsidRPr="00CB7408">
              <w:rPr>
                <w:noProof/>
              </w:rPr>
              <w:t>684</w:t>
            </w:r>
          </w:p>
        </w:tc>
        <w:tc>
          <w:tcPr>
            <w:tcW w:w="1548" w:type="dxa"/>
            <w:tcBorders>
              <w:top w:val="single" w:sz="4" w:space="0" w:color="auto"/>
              <w:left w:val="single" w:sz="4" w:space="0" w:color="auto"/>
              <w:bottom w:val="single" w:sz="4" w:space="0" w:color="auto"/>
              <w:right w:val="nil"/>
            </w:tcBorders>
            <w:vAlign w:val="center"/>
            <w:hideMark/>
          </w:tcPr>
          <w:p w:rsidR="00B951E3" w:rsidRPr="00CB7408" w:rsidRDefault="00CA5DE4" w:rsidP="00D43598">
            <w:pPr>
              <w:spacing w:before="60" w:after="60"/>
              <w:jc w:val="center"/>
              <w:rPr>
                <w:noProof/>
              </w:rPr>
            </w:pPr>
            <w:r w:rsidRPr="00CB7408">
              <w:rPr>
                <w:noProof/>
              </w:rPr>
              <w:t>346 600</w:t>
            </w:r>
          </w:p>
        </w:tc>
      </w:tr>
      <w:tr w:rsidR="001B0175" w:rsidRPr="00CB7408" w:rsidTr="001B0175">
        <w:trPr>
          <w:trHeight w:val="203"/>
        </w:trPr>
        <w:tc>
          <w:tcPr>
            <w:tcW w:w="4644" w:type="dxa"/>
            <w:vMerge w:val="restart"/>
            <w:shd w:val="clear" w:color="auto" w:fill="auto"/>
            <w:vAlign w:val="center"/>
          </w:tcPr>
          <w:p w:rsidR="001A62D7" w:rsidRPr="00CB7408" w:rsidRDefault="001A62D7" w:rsidP="001D5990">
            <w:pPr>
              <w:spacing w:before="60" w:after="60"/>
              <w:jc w:val="right"/>
              <w:rPr>
                <w:rFonts w:eastAsia="Times New Roman"/>
                <w:noProof/>
                <w:sz w:val="22"/>
              </w:rPr>
            </w:pPr>
            <w:r w:rsidRPr="00CB7408">
              <w:rPr>
                <w:rFonts w:eastAsia="Times New Roman"/>
                <w:noProof/>
                <w:sz w:val="22"/>
              </w:rPr>
              <w:t>Sub-total (b):</w:t>
            </w:r>
          </w:p>
          <w:p w:rsidR="001A62D7" w:rsidRPr="00CB7408" w:rsidRDefault="001A62D7" w:rsidP="001D5990">
            <w:pPr>
              <w:spacing w:before="60" w:after="60"/>
              <w:jc w:val="right"/>
              <w:rPr>
                <w:rFonts w:eastAsia="Times New Roman"/>
                <w:noProof/>
                <w:sz w:val="22"/>
              </w:rPr>
            </w:pPr>
            <w:r w:rsidRPr="00CB7408">
              <w:rPr>
                <w:rFonts w:eastAsia="Times New Roman"/>
                <w:noProof/>
                <w:sz w:val="22"/>
              </w:rPr>
              <w:t>Percentage of the package of personalised services:</w:t>
            </w:r>
          </w:p>
        </w:tc>
        <w:tc>
          <w:tcPr>
            <w:tcW w:w="3096" w:type="dxa"/>
            <w:gridSpan w:val="2"/>
            <w:vMerge w:val="restart"/>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tcBorders>
              <w:bottom w:val="nil"/>
            </w:tcBorders>
            <w:shd w:val="clear" w:color="auto" w:fill="auto"/>
            <w:vAlign w:val="center"/>
          </w:tcPr>
          <w:p w:rsidR="001A62D7" w:rsidRPr="00CB7408" w:rsidRDefault="00CA5DE4" w:rsidP="001D5990">
            <w:pPr>
              <w:spacing w:before="60" w:after="60"/>
              <w:jc w:val="center"/>
              <w:rPr>
                <w:rFonts w:eastAsia="Times New Roman"/>
                <w:noProof/>
                <w:sz w:val="22"/>
              </w:rPr>
            </w:pPr>
            <w:r w:rsidRPr="00CB7408">
              <w:rPr>
                <w:noProof/>
              </w:rPr>
              <w:t>346 600</w:t>
            </w:r>
          </w:p>
        </w:tc>
      </w:tr>
      <w:tr w:rsidR="001B0175" w:rsidRPr="00CB7408" w:rsidTr="001B0175">
        <w:trPr>
          <w:trHeight w:val="202"/>
        </w:trPr>
        <w:tc>
          <w:tcPr>
            <w:tcW w:w="4644" w:type="dxa"/>
            <w:vMerge/>
            <w:shd w:val="clear" w:color="auto" w:fill="auto"/>
            <w:vAlign w:val="center"/>
          </w:tcPr>
          <w:p w:rsidR="001A62D7" w:rsidRPr="00CB7408" w:rsidRDefault="001A62D7" w:rsidP="001D5990">
            <w:pPr>
              <w:spacing w:before="60" w:after="60"/>
              <w:jc w:val="right"/>
              <w:rPr>
                <w:rFonts w:eastAsia="Times New Roman"/>
                <w:noProof/>
                <w:sz w:val="22"/>
              </w:rPr>
            </w:pPr>
          </w:p>
        </w:tc>
        <w:tc>
          <w:tcPr>
            <w:tcW w:w="3096" w:type="dxa"/>
            <w:gridSpan w:val="2"/>
            <w:vMerge/>
            <w:shd w:val="clear" w:color="auto" w:fill="D9D9D9"/>
            <w:vAlign w:val="center"/>
          </w:tcPr>
          <w:p w:rsidR="001A62D7" w:rsidRPr="00CB7408" w:rsidRDefault="001A62D7" w:rsidP="001D5990">
            <w:pPr>
              <w:spacing w:before="60" w:after="60"/>
              <w:jc w:val="center"/>
              <w:rPr>
                <w:rFonts w:eastAsia="Times New Roman"/>
                <w:noProof/>
                <w:sz w:val="22"/>
              </w:rPr>
            </w:pPr>
          </w:p>
        </w:tc>
        <w:tc>
          <w:tcPr>
            <w:tcW w:w="1548" w:type="dxa"/>
            <w:tcBorders>
              <w:top w:val="nil"/>
            </w:tcBorders>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r w:rsidR="00D00BAE" w:rsidRPr="00CB7408">
              <w:rPr>
                <w:noProof/>
              </w:rPr>
              <w:t>14,69</w:t>
            </w:r>
            <w:r w:rsidRPr="00CB7408">
              <w:rPr>
                <w:noProof/>
              </w:rPr>
              <w:t> </w:t>
            </w:r>
            <w:r w:rsidRPr="00CB7408">
              <w:rPr>
                <w:rFonts w:eastAsia="Times New Roman"/>
                <w:noProof/>
                <w:sz w:val="22"/>
              </w:rPr>
              <w:t>%)</w:t>
            </w:r>
          </w:p>
        </w:tc>
      </w:tr>
      <w:tr w:rsidR="001A62D7" w:rsidRPr="00CB7408" w:rsidTr="00B951E3">
        <w:tc>
          <w:tcPr>
            <w:tcW w:w="9288" w:type="dxa"/>
            <w:gridSpan w:val="4"/>
            <w:shd w:val="clear" w:color="auto" w:fill="auto"/>
            <w:vAlign w:val="center"/>
          </w:tcPr>
          <w:p w:rsidR="001A62D7" w:rsidRPr="00CB7408" w:rsidRDefault="001A62D7" w:rsidP="001D5990">
            <w:pPr>
              <w:spacing w:before="60" w:after="60"/>
              <w:jc w:val="left"/>
              <w:rPr>
                <w:rFonts w:eastAsia="Times New Roman"/>
                <w:noProof/>
                <w:sz w:val="22"/>
              </w:rPr>
            </w:pPr>
            <w:r w:rsidRPr="00CB7408">
              <w:rPr>
                <w:rFonts w:eastAsia="Times New Roman"/>
                <w:noProof/>
                <w:sz w:val="22"/>
              </w:rPr>
              <w:t>Activities under Article 7(5) of Regulation (EU) 2021/691</w:t>
            </w:r>
          </w:p>
        </w:tc>
      </w:tr>
      <w:tr w:rsidR="001B0175" w:rsidRPr="00CB7408" w:rsidTr="001B0175">
        <w:tc>
          <w:tcPr>
            <w:tcW w:w="4644" w:type="dxa"/>
            <w:shd w:val="clear" w:color="auto" w:fill="auto"/>
          </w:tcPr>
          <w:p w:rsidR="001A62D7" w:rsidRPr="00CB7408" w:rsidRDefault="001A62D7" w:rsidP="001D5990">
            <w:pPr>
              <w:spacing w:before="60" w:after="60"/>
              <w:ind w:left="284"/>
              <w:jc w:val="left"/>
              <w:rPr>
                <w:rFonts w:eastAsia="Times New Roman"/>
                <w:noProof/>
                <w:sz w:val="22"/>
              </w:rPr>
            </w:pPr>
            <w:r w:rsidRPr="00CB7408">
              <w:rPr>
                <w:rFonts w:eastAsia="Times New Roman"/>
                <w:noProof/>
                <w:sz w:val="22"/>
              </w:rPr>
              <w:t>1. Preparatory activities</w:t>
            </w:r>
          </w:p>
        </w:tc>
        <w:tc>
          <w:tcPr>
            <w:tcW w:w="3096" w:type="dxa"/>
            <w:gridSpan w:val="2"/>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shd w:val="clear" w:color="auto" w:fill="auto"/>
          </w:tcPr>
          <w:p w:rsidR="001A62D7" w:rsidRPr="00CB7408" w:rsidRDefault="00CA5DE4" w:rsidP="001D5990">
            <w:pPr>
              <w:spacing w:before="60" w:after="60"/>
              <w:jc w:val="center"/>
              <w:rPr>
                <w:rFonts w:eastAsia="Times New Roman"/>
                <w:noProof/>
                <w:sz w:val="22"/>
              </w:rPr>
            </w:pPr>
            <w:r w:rsidRPr="00CB7408">
              <w:rPr>
                <w:noProof/>
              </w:rPr>
              <w:t>0</w:t>
            </w:r>
          </w:p>
        </w:tc>
      </w:tr>
      <w:tr w:rsidR="001B0175" w:rsidRPr="00CB7408" w:rsidTr="001B0175">
        <w:tc>
          <w:tcPr>
            <w:tcW w:w="4644" w:type="dxa"/>
            <w:shd w:val="clear" w:color="auto" w:fill="auto"/>
          </w:tcPr>
          <w:p w:rsidR="001A62D7" w:rsidRPr="00CB7408" w:rsidRDefault="001A62D7" w:rsidP="001D5990">
            <w:pPr>
              <w:spacing w:before="60" w:after="60"/>
              <w:ind w:left="284"/>
              <w:jc w:val="left"/>
              <w:rPr>
                <w:rFonts w:eastAsia="Times New Roman"/>
                <w:noProof/>
                <w:sz w:val="22"/>
              </w:rPr>
            </w:pPr>
            <w:r w:rsidRPr="00CB7408">
              <w:rPr>
                <w:rFonts w:eastAsia="Times New Roman"/>
                <w:noProof/>
                <w:sz w:val="22"/>
              </w:rPr>
              <w:t>2. Management</w:t>
            </w:r>
          </w:p>
        </w:tc>
        <w:tc>
          <w:tcPr>
            <w:tcW w:w="3096" w:type="dxa"/>
            <w:gridSpan w:val="2"/>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shd w:val="clear" w:color="auto" w:fill="auto"/>
          </w:tcPr>
          <w:p w:rsidR="001A62D7" w:rsidRPr="00CB7408" w:rsidRDefault="00CA5DE4" w:rsidP="001D5990">
            <w:pPr>
              <w:spacing w:before="60" w:after="60"/>
              <w:jc w:val="center"/>
              <w:rPr>
                <w:rFonts w:eastAsia="Times New Roman"/>
                <w:noProof/>
                <w:sz w:val="22"/>
              </w:rPr>
            </w:pPr>
            <w:r w:rsidRPr="00CB7408">
              <w:rPr>
                <w:noProof/>
              </w:rPr>
              <w:t>13 260</w:t>
            </w:r>
          </w:p>
        </w:tc>
      </w:tr>
      <w:tr w:rsidR="001B0175" w:rsidRPr="00CB7408" w:rsidTr="001B0175">
        <w:tc>
          <w:tcPr>
            <w:tcW w:w="4644" w:type="dxa"/>
            <w:shd w:val="clear" w:color="auto" w:fill="auto"/>
          </w:tcPr>
          <w:p w:rsidR="001A62D7" w:rsidRPr="00CB7408" w:rsidRDefault="001A62D7" w:rsidP="001D5990">
            <w:pPr>
              <w:spacing w:before="60" w:after="60"/>
              <w:ind w:left="284"/>
              <w:jc w:val="left"/>
              <w:rPr>
                <w:rFonts w:eastAsia="Times New Roman"/>
                <w:noProof/>
                <w:sz w:val="22"/>
              </w:rPr>
            </w:pPr>
            <w:r w:rsidRPr="00CB7408">
              <w:rPr>
                <w:rFonts w:eastAsia="Times New Roman"/>
                <w:noProof/>
                <w:sz w:val="22"/>
              </w:rPr>
              <w:t>3. Information and publicity</w:t>
            </w:r>
          </w:p>
        </w:tc>
        <w:tc>
          <w:tcPr>
            <w:tcW w:w="3096" w:type="dxa"/>
            <w:gridSpan w:val="2"/>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shd w:val="clear" w:color="auto" w:fill="auto"/>
          </w:tcPr>
          <w:p w:rsidR="001A62D7" w:rsidRPr="00CB7408" w:rsidRDefault="00CA5DE4" w:rsidP="001D5990">
            <w:pPr>
              <w:spacing w:before="60" w:after="60"/>
              <w:jc w:val="center"/>
              <w:rPr>
                <w:rFonts w:eastAsia="Times New Roman"/>
                <w:noProof/>
                <w:sz w:val="22"/>
              </w:rPr>
            </w:pPr>
            <w:r w:rsidRPr="00CB7408">
              <w:rPr>
                <w:noProof/>
              </w:rPr>
              <w:t>5 000</w:t>
            </w:r>
          </w:p>
        </w:tc>
      </w:tr>
      <w:tr w:rsidR="001B0175" w:rsidRPr="00CB7408" w:rsidTr="001B0175">
        <w:tc>
          <w:tcPr>
            <w:tcW w:w="4644" w:type="dxa"/>
            <w:shd w:val="clear" w:color="auto" w:fill="auto"/>
          </w:tcPr>
          <w:p w:rsidR="001A62D7" w:rsidRPr="00CB7408" w:rsidRDefault="001A62D7" w:rsidP="001D5990">
            <w:pPr>
              <w:spacing w:before="60" w:after="60"/>
              <w:ind w:left="284"/>
              <w:jc w:val="left"/>
              <w:rPr>
                <w:rFonts w:eastAsia="Times New Roman"/>
                <w:noProof/>
                <w:sz w:val="22"/>
              </w:rPr>
            </w:pPr>
            <w:r w:rsidRPr="00CB7408">
              <w:rPr>
                <w:rFonts w:eastAsia="Times New Roman"/>
                <w:noProof/>
                <w:sz w:val="22"/>
              </w:rPr>
              <w:t>4. Control and reporting</w:t>
            </w:r>
          </w:p>
        </w:tc>
        <w:tc>
          <w:tcPr>
            <w:tcW w:w="3096" w:type="dxa"/>
            <w:gridSpan w:val="2"/>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tcBorders>
              <w:bottom w:val="single" w:sz="4" w:space="0" w:color="auto"/>
            </w:tcBorders>
            <w:shd w:val="clear" w:color="auto" w:fill="auto"/>
          </w:tcPr>
          <w:p w:rsidR="001A62D7" w:rsidRPr="00CB7408" w:rsidRDefault="00CA5DE4" w:rsidP="001D5990">
            <w:pPr>
              <w:spacing w:before="60" w:after="60"/>
              <w:jc w:val="center"/>
              <w:rPr>
                <w:rFonts w:eastAsia="Times New Roman"/>
                <w:noProof/>
                <w:sz w:val="22"/>
              </w:rPr>
            </w:pPr>
            <w:r w:rsidRPr="00CB7408">
              <w:rPr>
                <w:noProof/>
              </w:rPr>
              <w:t>15 606</w:t>
            </w:r>
          </w:p>
        </w:tc>
      </w:tr>
      <w:tr w:rsidR="001B0175" w:rsidRPr="00CB7408" w:rsidTr="001B0175">
        <w:trPr>
          <w:trHeight w:val="203"/>
        </w:trPr>
        <w:tc>
          <w:tcPr>
            <w:tcW w:w="4644" w:type="dxa"/>
            <w:vMerge w:val="restart"/>
            <w:shd w:val="clear" w:color="auto" w:fill="auto"/>
            <w:vAlign w:val="center"/>
          </w:tcPr>
          <w:p w:rsidR="001A62D7" w:rsidRPr="00CB7408" w:rsidRDefault="001A62D7" w:rsidP="001D5990">
            <w:pPr>
              <w:spacing w:before="60" w:after="60"/>
              <w:jc w:val="right"/>
              <w:rPr>
                <w:rFonts w:eastAsia="Times New Roman"/>
                <w:noProof/>
                <w:sz w:val="22"/>
              </w:rPr>
            </w:pPr>
            <w:r w:rsidRPr="00CB7408">
              <w:rPr>
                <w:rFonts w:eastAsia="Times New Roman"/>
                <w:noProof/>
                <w:sz w:val="22"/>
              </w:rPr>
              <w:t>Sub-total (c):</w:t>
            </w:r>
          </w:p>
          <w:p w:rsidR="001A62D7" w:rsidRPr="00CB7408" w:rsidRDefault="001A62D7" w:rsidP="001D5990">
            <w:pPr>
              <w:spacing w:before="60" w:after="60"/>
              <w:jc w:val="right"/>
              <w:rPr>
                <w:rFonts w:eastAsia="Times New Roman"/>
                <w:noProof/>
                <w:sz w:val="22"/>
              </w:rPr>
            </w:pPr>
            <w:r w:rsidRPr="00CB7408">
              <w:rPr>
                <w:rFonts w:eastAsia="Times New Roman"/>
                <w:noProof/>
                <w:sz w:val="22"/>
              </w:rPr>
              <w:t>Percentage of the total costs:</w:t>
            </w:r>
          </w:p>
        </w:tc>
        <w:tc>
          <w:tcPr>
            <w:tcW w:w="3096" w:type="dxa"/>
            <w:gridSpan w:val="2"/>
            <w:vMerge w:val="restart"/>
            <w:shd w:val="clear" w:color="auto" w:fill="D9D9D9"/>
            <w:vAlign w:val="center"/>
          </w:tcPr>
          <w:p w:rsidR="001A62D7" w:rsidRPr="00CB7408" w:rsidRDefault="001A62D7" w:rsidP="001D5990">
            <w:pPr>
              <w:spacing w:before="0" w:after="0"/>
              <w:jc w:val="center"/>
              <w:rPr>
                <w:rFonts w:eastAsia="Times New Roman"/>
                <w:noProof/>
                <w:sz w:val="22"/>
              </w:rPr>
            </w:pPr>
            <w:r w:rsidRPr="00CB7408">
              <w:rPr>
                <w:rFonts w:eastAsia="Times New Roman"/>
                <w:noProof/>
                <w:sz w:val="22"/>
              </w:rPr>
              <w:t>–</w:t>
            </w:r>
          </w:p>
        </w:tc>
        <w:tc>
          <w:tcPr>
            <w:tcW w:w="1548" w:type="dxa"/>
            <w:tcBorders>
              <w:bottom w:val="nil"/>
            </w:tcBorders>
            <w:shd w:val="clear" w:color="auto" w:fill="auto"/>
            <w:vAlign w:val="center"/>
          </w:tcPr>
          <w:p w:rsidR="001A62D7" w:rsidRPr="00CB7408" w:rsidRDefault="00E1077D" w:rsidP="001D5990">
            <w:pPr>
              <w:spacing w:before="60" w:after="60"/>
              <w:jc w:val="center"/>
              <w:rPr>
                <w:rFonts w:eastAsia="Times New Roman"/>
                <w:noProof/>
                <w:sz w:val="22"/>
              </w:rPr>
            </w:pPr>
            <w:r w:rsidRPr="00CB7408">
              <w:rPr>
                <w:noProof/>
              </w:rPr>
              <w:t>33 866</w:t>
            </w:r>
          </w:p>
        </w:tc>
      </w:tr>
      <w:tr w:rsidR="001B0175" w:rsidRPr="00CB7408" w:rsidTr="001B0175">
        <w:trPr>
          <w:trHeight w:val="202"/>
        </w:trPr>
        <w:tc>
          <w:tcPr>
            <w:tcW w:w="4644" w:type="dxa"/>
            <w:vMerge/>
            <w:shd w:val="clear" w:color="auto" w:fill="auto"/>
          </w:tcPr>
          <w:p w:rsidR="001A62D7" w:rsidRPr="00CB7408" w:rsidRDefault="001A62D7" w:rsidP="001D5990">
            <w:pPr>
              <w:spacing w:before="0" w:after="0"/>
              <w:jc w:val="right"/>
              <w:rPr>
                <w:rFonts w:eastAsia="Times New Roman"/>
                <w:noProof/>
                <w:sz w:val="22"/>
              </w:rPr>
            </w:pPr>
          </w:p>
        </w:tc>
        <w:tc>
          <w:tcPr>
            <w:tcW w:w="3096" w:type="dxa"/>
            <w:gridSpan w:val="2"/>
            <w:vMerge/>
            <w:shd w:val="clear" w:color="auto" w:fill="D9D9D9"/>
            <w:vAlign w:val="center"/>
          </w:tcPr>
          <w:p w:rsidR="001A62D7" w:rsidRPr="00CB7408" w:rsidRDefault="001A62D7" w:rsidP="001D5990">
            <w:pPr>
              <w:spacing w:before="0" w:after="0"/>
              <w:jc w:val="center"/>
              <w:rPr>
                <w:rFonts w:eastAsia="Times New Roman"/>
                <w:noProof/>
                <w:sz w:val="22"/>
              </w:rPr>
            </w:pPr>
          </w:p>
        </w:tc>
        <w:tc>
          <w:tcPr>
            <w:tcW w:w="1548" w:type="dxa"/>
            <w:tcBorders>
              <w:top w:val="nil"/>
            </w:tcBorders>
            <w:shd w:val="clear" w:color="auto" w:fill="auto"/>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r w:rsidR="00D00BAE" w:rsidRPr="00CB7408">
              <w:rPr>
                <w:noProof/>
              </w:rPr>
              <w:t>1,42</w:t>
            </w:r>
            <w:r w:rsidRPr="00CB7408">
              <w:rPr>
                <w:noProof/>
              </w:rPr>
              <w:t> </w:t>
            </w:r>
            <w:r w:rsidRPr="00CB7408">
              <w:rPr>
                <w:rFonts w:eastAsia="Times New Roman"/>
                <w:noProof/>
                <w:sz w:val="22"/>
              </w:rPr>
              <w:t>%)</w:t>
            </w:r>
          </w:p>
        </w:tc>
      </w:tr>
      <w:tr w:rsidR="001B0175" w:rsidRPr="00CB7408" w:rsidTr="001B0175">
        <w:tc>
          <w:tcPr>
            <w:tcW w:w="4644" w:type="dxa"/>
            <w:shd w:val="clear" w:color="auto" w:fill="auto"/>
          </w:tcPr>
          <w:p w:rsidR="001A62D7" w:rsidRPr="00CB7408" w:rsidRDefault="001A62D7" w:rsidP="001D5990">
            <w:pPr>
              <w:spacing w:before="60" w:after="60"/>
              <w:jc w:val="left"/>
              <w:rPr>
                <w:rFonts w:eastAsia="Times New Roman"/>
                <w:noProof/>
                <w:sz w:val="22"/>
              </w:rPr>
            </w:pPr>
            <w:r w:rsidRPr="00CB7408">
              <w:rPr>
                <w:rFonts w:eastAsia="Times New Roman"/>
                <w:noProof/>
                <w:sz w:val="22"/>
              </w:rPr>
              <w:t>Total costs (a + b + c):</w:t>
            </w:r>
          </w:p>
        </w:tc>
        <w:tc>
          <w:tcPr>
            <w:tcW w:w="3096" w:type="dxa"/>
            <w:gridSpan w:val="2"/>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shd w:val="clear" w:color="auto" w:fill="auto"/>
          </w:tcPr>
          <w:p w:rsidR="001A62D7" w:rsidRPr="00CB7408" w:rsidRDefault="00D00BAE" w:rsidP="001D5990">
            <w:pPr>
              <w:spacing w:before="60" w:after="60"/>
              <w:jc w:val="center"/>
              <w:rPr>
                <w:noProof/>
                <w:sz w:val="22"/>
              </w:rPr>
            </w:pPr>
            <w:r w:rsidRPr="00CB7408">
              <w:rPr>
                <w:noProof/>
              </w:rPr>
              <w:t>2 392 788</w:t>
            </w:r>
          </w:p>
        </w:tc>
      </w:tr>
      <w:tr w:rsidR="001B0175" w:rsidRPr="00CB7408" w:rsidTr="001B0175">
        <w:tc>
          <w:tcPr>
            <w:tcW w:w="4644" w:type="dxa"/>
            <w:shd w:val="clear" w:color="auto" w:fill="auto"/>
          </w:tcPr>
          <w:p w:rsidR="001A62D7" w:rsidRPr="00CB7408" w:rsidRDefault="001A62D7" w:rsidP="001D5990">
            <w:pPr>
              <w:spacing w:before="60" w:after="60"/>
              <w:jc w:val="left"/>
              <w:rPr>
                <w:rFonts w:eastAsia="Times New Roman"/>
                <w:noProof/>
                <w:sz w:val="22"/>
              </w:rPr>
            </w:pPr>
            <w:r w:rsidRPr="00CB7408">
              <w:rPr>
                <w:rFonts w:eastAsia="Times New Roman"/>
                <w:noProof/>
                <w:sz w:val="22"/>
              </w:rPr>
              <w:t>EGF contribution (</w:t>
            </w:r>
            <w:r w:rsidR="00E1077D" w:rsidRPr="00CB7408">
              <w:rPr>
                <w:noProof/>
              </w:rPr>
              <w:t>85</w:t>
            </w:r>
            <w:r w:rsidRPr="00CB7408">
              <w:rPr>
                <w:rFonts w:eastAsia="Times New Roman"/>
                <w:noProof/>
                <w:sz w:val="22"/>
              </w:rPr>
              <w:t> % of total costs)</w:t>
            </w:r>
          </w:p>
        </w:tc>
        <w:tc>
          <w:tcPr>
            <w:tcW w:w="3096" w:type="dxa"/>
            <w:gridSpan w:val="2"/>
            <w:shd w:val="clear" w:color="auto" w:fill="D9D9D9"/>
            <w:vAlign w:val="center"/>
          </w:tcPr>
          <w:p w:rsidR="001A62D7" w:rsidRPr="00CB7408" w:rsidRDefault="001A62D7" w:rsidP="001D5990">
            <w:pPr>
              <w:spacing w:before="60" w:after="60"/>
              <w:jc w:val="center"/>
              <w:rPr>
                <w:rFonts w:eastAsia="Times New Roman"/>
                <w:noProof/>
                <w:sz w:val="22"/>
              </w:rPr>
            </w:pPr>
            <w:r w:rsidRPr="00CB7408">
              <w:rPr>
                <w:rFonts w:eastAsia="Times New Roman"/>
                <w:noProof/>
                <w:sz w:val="22"/>
              </w:rPr>
              <w:t>–</w:t>
            </w:r>
          </w:p>
        </w:tc>
        <w:tc>
          <w:tcPr>
            <w:tcW w:w="1548" w:type="dxa"/>
            <w:shd w:val="clear" w:color="auto" w:fill="auto"/>
          </w:tcPr>
          <w:p w:rsidR="001A62D7" w:rsidRPr="00CB7408" w:rsidRDefault="00E1077D" w:rsidP="001D5990">
            <w:pPr>
              <w:spacing w:before="60" w:after="60"/>
              <w:jc w:val="center"/>
              <w:rPr>
                <w:rFonts w:eastAsia="Times New Roman"/>
                <w:noProof/>
                <w:sz w:val="22"/>
              </w:rPr>
            </w:pPr>
            <w:r w:rsidRPr="00CB7408">
              <w:rPr>
                <w:noProof/>
              </w:rPr>
              <w:t>2 033 869</w:t>
            </w:r>
          </w:p>
        </w:tc>
      </w:tr>
    </w:tbl>
    <w:p w:rsidR="001A62D7" w:rsidRPr="00CB7408" w:rsidRDefault="001A62D7" w:rsidP="00AE7D04">
      <w:pPr>
        <w:pStyle w:val="ManualNumPar1"/>
        <w:rPr>
          <w:noProof/>
          <w:szCs w:val="20"/>
        </w:rPr>
      </w:pPr>
      <w:r>
        <w:rPr>
          <w:noProof/>
        </w:rPr>
        <w:t>35.</w:t>
      </w:r>
      <w:r>
        <w:rPr>
          <w:noProof/>
        </w:rPr>
        <w:tab/>
      </w:r>
      <w:r w:rsidRPr="00CB7408">
        <w:rPr>
          <w:noProof/>
        </w:rPr>
        <w:t xml:space="preserve">The costs of the measures identified in the table above as measures under Article 7(2), second subparagraph, point (b), of Regulation (EU) 2021/691 do not exceed 35 % of the total costs for the coordinated package of personalised services. </w:t>
      </w:r>
      <w:r w:rsidR="00A00F6A" w:rsidRPr="00CB7408">
        <w:rPr>
          <w:noProof/>
        </w:rPr>
        <w:t>Belgium</w:t>
      </w:r>
      <w:r w:rsidRPr="00CB7408">
        <w:rPr>
          <w:noProof/>
        </w:rPr>
        <w:t xml:space="preserve"> confirmed that these measures are conditional on the active participation of the targeted beneficiaries in job-search or training activities.</w:t>
      </w:r>
    </w:p>
    <w:p w:rsidR="001A62D7" w:rsidRPr="00CB7408" w:rsidRDefault="001A62D7" w:rsidP="00AE7D04">
      <w:pPr>
        <w:pStyle w:val="ManualNumPar1"/>
        <w:rPr>
          <w:noProof/>
        </w:rPr>
      </w:pPr>
      <w:r>
        <w:rPr>
          <w:noProof/>
        </w:rPr>
        <w:t>36.</w:t>
      </w:r>
      <w:r>
        <w:rPr>
          <w:noProof/>
        </w:rPr>
        <w:tab/>
      </w:r>
      <w:r w:rsidRPr="00CB7408">
        <w:rPr>
          <w:noProof/>
        </w:rPr>
        <w:t xml:space="preserve">In accordance with Article 7(2), fourth subparagraph, of Regulation (EU) 2021/691, </w:t>
      </w:r>
      <w:r w:rsidR="00A00F6A" w:rsidRPr="00CB7408">
        <w:rPr>
          <w:noProof/>
        </w:rPr>
        <w:t>Belgium</w:t>
      </w:r>
      <w:r w:rsidRPr="00CB7408">
        <w:rPr>
          <w:noProof/>
        </w:rPr>
        <w:t xml:space="preserve"> confirmed that the costs of investments for self-employment, business start-ups and employee take-overs will not exceed EUR 22 000 per beneficiary</w:t>
      </w:r>
      <w:r w:rsidR="008F2710" w:rsidRPr="00CB7408">
        <w:rPr>
          <w:noProof/>
        </w:rPr>
        <w:t>.</w:t>
      </w:r>
    </w:p>
    <w:p w:rsidR="001A62D7" w:rsidRPr="00CB7408" w:rsidRDefault="001A62D7" w:rsidP="001A62D7">
      <w:pPr>
        <w:pStyle w:val="ManualHeading3"/>
        <w:rPr>
          <w:noProof/>
        </w:rPr>
      </w:pPr>
      <w:r w:rsidRPr="00CB7408">
        <w:rPr>
          <w:noProof/>
        </w:rPr>
        <w:t>Period of eligibility of expenditure</w:t>
      </w:r>
    </w:p>
    <w:p w:rsidR="001A62D7" w:rsidRPr="00CB7408" w:rsidRDefault="00A00F6A" w:rsidP="00AE7D04">
      <w:pPr>
        <w:pStyle w:val="ManualNumPar1"/>
        <w:rPr>
          <w:noProof/>
        </w:rPr>
      </w:pPr>
      <w:r>
        <w:rPr>
          <w:noProof/>
        </w:rPr>
        <w:t>37.</w:t>
      </w:r>
      <w:r>
        <w:rPr>
          <w:noProof/>
        </w:rPr>
        <w:tab/>
      </w:r>
      <w:r w:rsidRPr="00CB7408">
        <w:rPr>
          <w:noProof/>
        </w:rPr>
        <w:t>Belgium</w:t>
      </w:r>
      <w:r w:rsidR="001A62D7" w:rsidRPr="00CB7408">
        <w:rPr>
          <w:noProof/>
        </w:rPr>
        <w:t xml:space="preserve"> started</w:t>
      </w:r>
      <w:r w:rsidR="00580012" w:rsidRPr="00CB7408">
        <w:rPr>
          <w:noProof/>
        </w:rPr>
        <w:t xml:space="preserve"> </w:t>
      </w:r>
      <w:r w:rsidR="001A62D7" w:rsidRPr="00CB7408">
        <w:rPr>
          <w:noProof/>
        </w:rPr>
        <w:t xml:space="preserve">providing the personalised services to the targeted beneficiaries on </w:t>
      </w:r>
      <w:r w:rsidRPr="00CB7408">
        <w:rPr>
          <w:noProof/>
        </w:rPr>
        <w:t>1 June 2025</w:t>
      </w:r>
      <w:r w:rsidR="001A62D7" w:rsidRPr="00CB7408">
        <w:rPr>
          <w:noProof/>
        </w:rPr>
        <w:t xml:space="preserve">. The expenditure on the measures will therefore be eligible for a financial contribution from the EGF from </w:t>
      </w:r>
      <w:r w:rsidR="00580012" w:rsidRPr="00CB7408">
        <w:rPr>
          <w:noProof/>
        </w:rPr>
        <w:t>1 June 2025</w:t>
      </w:r>
      <w:r w:rsidR="001A62D7" w:rsidRPr="00CB7408">
        <w:rPr>
          <w:noProof/>
        </w:rPr>
        <w:t xml:space="preserve"> until 24 months after the date of the entry into force of the Financing Decision.</w:t>
      </w:r>
    </w:p>
    <w:p w:rsidR="001A62D7" w:rsidRPr="00CB7408" w:rsidRDefault="00580012" w:rsidP="00AE7D04">
      <w:pPr>
        <w:pStyle w:val="ManualNumPar1"/>
        <w:rPr>
          <w:noProof/>
        </w:rPr>
      </w:pPr>
      <w:r>
        <w:rPr>
          <w:noProof/>
        </w:rPr>
        <w:t>38.</w:t>
      </w:r>
      <w:r>
        <w:rPr>
          <w:noProof/>
        </w:rPr>
        <w:tab/>
      </w:r>
      <w:r w:rsidRPr="00CB7408">
        <w:rPr>
          <w:noProof/>
        </w:rPr>
        <w:t xml:space="preserve">Belgium </w:t>
      </w:r>
      <w:r w:rsidR="001A62D7" w:rsidRPr="00CB7408">
        <w:rPr>
          <w:noProof/>
        </w:rPr>
        <w:t xml:space="preserve">started incurring the administrative expenditure to implement the EGF on </w:t>
      </w:r>
      <w:r w:rsidRPr="00CB7408">
        <w:rPr>
          <w:noProof/>
        </w:rPr>
        <w:t>22 April 2025</w:t>
      </w:r>
      <w:r w:rsidR="001A62D7" w:rsidRPr="00CB7408">
        <w:rPr>
          <w:noProof/>
        </w:rPr>
        <w:t xml:space="preserve">. The expenditure for preparatory, management, information and publicity, control and reporting activities shall therefore be eligible for a financial contribution from the EGF from </w:t>
      </w:r>
      <w:r w:rsidRPr="00CB7408">
        <w:rPr>
          <w:noProof/>
        </w:rPr>
        <w:t xml:space="preserve">22 </w:t>
      </w:r>
      <w:r w:rsidR="00DD02FD" w:rsidRPr="00CB7408">
        <w:rPr>
          <w:noProof/>
        </w:rPr>
        <w:t>A</w:t>
      </w:r>
      <w:r w:rsidRPr="00CB7408">
        <w:rPr>
          <w:noProof/>
        </w:rPr>
        <w:t>pril 2025</w:t>
      </w:r>
      <w:r w:rsidR="001A62D7" w:rsidRPr="00CB7408">
        <w:rPr>
          <w:noProof/>
        </w:rPr>
        <w:t xml:space="preserve"> until 31 months after the date of the entry into force of the Financing Decision. </w:t>
      </w:r>
    </w:p>
    <w:p w:rsidR="001A62D7" w:rsidRPr="00CB7408" w:rsidRDefault="001A62D7" w:rsidP="001A62D7">
      <w:pPr>
        <w:pStyle w:val="ManualHeading2"/>
        <w:rPr>
          <w:noProof/>
        </w:rPr>
      </w:pPr>
      <w:r w:rsidRPr="00CB7408">
        <w:rPr>
          <w:noProof/>
        </w:rPr>
        <w:t>Management and control systems</w:t>
      </w:r>
    </w:p>
    <w:p w:rsidR="001A62D7" w:rsidRPr="00CB7408" w:rsidRDefault="001A62D7" w:rsidP="00AE7D04">
      <w:pPr>
        <w:pStyle w:val="ManualNumPar1"/>
        <w:rPr>
          <w:noProof/>
        </w:rPr>
      </w:pPr>
      <w:r>
        <w:rPr>
          <w:noProof/>
        </w:rPr>
        <w:t>39.</w:t>
      </w:r>
      <w:r>
        <w:rPr>
          <w:noProof/>
        </w:rPr>
        <w:tab/>
      </w:r>
      <w:r w:rsidRPr="00CB7408">
        <w:rPr>
          <w:noProof/>
        </w:rPr>
        <w:t xml:space="preserve">The application contains a description of the management and control system required under Article 23 of Regulation (EU) 2021/691, which specifies the responsibilities of the bodies involved. </w:t>
      </w:r>
      <w:r w:rsidR="00DD02FD" w:rsidRPr="00CB7408">
        <w:rPr>
          <w:noProof/>
        </w:rPr>
        <w:t>Belgium</w:t>
      </w:r>
      <w:r w:rsidRPr="00CB7408">
        <w:rPr>
          <w:noProof/>
        </w:rPr>
        <w:t xml:space="preserve"> has notified the Commission that the financial contribution will be </w:t>
      </w:r>
      <w:r w:rsidR="00877C5B" w:rsidRPr="00CB7408">
        <w:rPr>
          <w:noProof/>
        </w:rPr>
        <w:t>managed and controlled by the same bodies that manage and control the ESF+ in Wallonia.</w:t>
      </w:r>
    </w:p>
    <w:p w:rsidR="001A62D7" w:rsidRPr="00CB7408" w:rsidRDefault="001A62D7" w:rsidP="001A62D7">
      <w:pPr>
        <w:pStyle w:val="ManualHeading2"/>
        <w:rPr>
          <w:noProof/>
        </w:rPr>
      </w:pPr>
      <w:r w:rsidRPr="00CB7408">
        <w:rPr>
          <w:noProof/>
        </w:rPr>
        <w:t>Commitments provided by the Member State concerned</w:t>
      </w:r>
    </w:p>
    <w:p w:rsidR="001A62D7" w:rsidRPr="00CB7408" w:rsidRDefault="005E4A90" w:rsidP="00AE7D04">
      <w:pPr>
        <w:pStyle w:val="ManualNumPar1"/>
        <w:rPr>
          <w:noProof/>
        </w:rPr>
      </w:pPr>
      <w:r>
        <w:rPr>
          <w:noProof/>
        </w:rPr>
        <w:t>40.</w:t>
      </w:r>
      <w:r>
        <w:rPr>
          <w:noProof/>
        </w:rPr>
        <w:tab/>
      </w:r>
      <w:r w:rsidRPr="00CB7408">
        <w:rPr>
          <w:noProof/>
        </w:rPr>
        <w:t>Belgium</w:t>
      </w:r>
      <w:r w:rsidR="001A62D7" w:rsidRPr="00CB7408">
        <w:rPr>
          <w:noProof/>
        </w:rPr>
        <w:t xml:space="preserve"> has provided all necessary assurances regarding the following: </w:t>
      </w:r>
    </w:p>
    <w:p w:rsidR="001A62D7" w:rsidRPr="00CB7408" w:rsidRDefault="001A62D7" w:rsidP="001A62D7">
      <w:pPr>
        <w:pStyle w:val="Tiret1"/>
        <w:rPr>
          <w:noProof/>
        </w:rPr>
      </w:pPr>
      <w:r w:rsidRPr="00CB7408">
        <w:rPr>
          <w:noProof/>
        </w:rPr>
        <w:lastRenderedPageBreak/>
        <w:t>the principles of equality of treatment and non-discrimination will be respected in access to the proposed measures and their implementation,</w:t>
      </w:r>
    </w:p>
    <w:p w:rsidR="001A62D7" w:rsidRPr="00CB7408" w:rsidRDefault="001A62D7" w:rsidP="001A62D7">
      <w:pPr>
        <w:pStyle w:val="Tiret1"/>
        <w:rPr>
          <w:noProof/>
        </w:rPr>
      </w:pPr>
      <w:r w:rsidRPr="00CB7408">
        <w:rPr>
          <w:noProof/>
        </w:rPr>
        <w:t>the requirements laid down in national and EU legislation concerning collective redundancies have been complied with,</w:t>
      </w:r>
    </w:p>
    <w:p w:rsidR="001A62D7" w:rsidRPr="00CB7408" w:rsidRDefault="001A62D7" w:rsidP="001A62D7">
      <w:pPr>
        <w:pStyle w:val="Tiret1"/>
        <w:rPr>
          <w:noProof/>
        </w:rPr>
      </w:pPr>
      <w:r w:rsidRPr="00CB7408">
        <w:rPr>
          <w:noProof/>
        </w:rPr>
        <w:t>any double financing will be prevented,</w:t>
      </w:r>
    </w:p>
    <w:p w:rsidR="001A62D7" w:rsidRPr="00CB7408" w:rsidRDefault="001A62D7" w:rsidP="001A62D7">
      <w:pPr>
        <w:pStyle w:val="Tiret1"/>
        <w:rPr>
          <w:noProof/>
        </w:rPr>
      </w:pPr>
      <w:r w:rsidRPr="00CB7408">
        <w:rPr>
          <w:noProof/>
        </w:rPr>
        <w:t>the financial contribution from the EGF will comply with the procedural and material Union rules on State aid.</w:t>
      </w:r>
    </w:p>
    <w:p w:rsidR="001A62D7" w:rsidRPr="00CB7408" w:rsidRDefault="001A62D7" w:rsidP="001A62D7">
      <w:pPr>
        <w:pStyle w:val="ManualHeading1"/>
        <w:rPr>
          <w:noProof/>
        </w:rPr>
      </w:pPr>
      <w:r w:rsidRPr="00CB7408">
        <w:rPr>
          <w:noProof/>
        </w:rPr>
        <w:t>BUDGETARY IMPLICATION</w:t>
      </w:r>
    </w:p>
    <w:p w:rsidR="001A62D7" w:rsidRPr="00CB7408" w:rsidRDefault="001A62D7" w:rsidP="001A62D7">
      <w:pPr>
        <w:pStyle w:val="ManualHeading2"/>
        <w:rPr>
          <w:noProof/>
        </w:rPr>
      </w:pPr>
      <w:r w:rsidRPr="00CB7408">
        <w:rPr>
          <w:noProof/>
        </w:rPr>
        <w:t>Budgetary proposal</w:t>
      </w:r>
    </w:p>
    <w:p w:rsidR="001A62D7" w:rsidRPr="00CB7408" w:rsidRDefault="001A62D7" w:rsidP="00AE7D04">
      <w:pPr>
        <w:pStyle w:val="ManualNumPar1"/>
        <w:rPr>
          <w:noProof/>
        </w:rPr>
      </w:pPr>
      <w:r>
        <w:rPr>
          <w:noProof/>
        </w:rPr>
        <w:t>41.</w:t>
      </w:r>
      <w:r>
        <w:rPr>
          <w:noProof/>
        </w:rPr>
        <w:tab/>
      </w:r>
      <w:r w:rsidRPr="00CB7408">
        <w:rPr>
          <w:noProof/>
        </w:rPr>
        <w:t>The EGF shall not exceed a maximum annual amount of EUR 30 million (in 2018 prices), as laid down in Article 8 of Council Regulation (EU, Euratom) 2020/2093 of 17 December 2020 laying down the multiannual financial framework for the years 2021 to 2027</w:t>
      </w:r>
      <w:r w:rsidRPr="00CB7408">
        <w:rPr>
          <w:rStyle w:val="FootnoteReference"/>
          <w:noProof/>
        </w:rPr>
        <w:footnoteReference w:id="32"/>
      </w:r>
      <w:r w:rsidRPr="00CB7408">
        <w:rPr>
          <w:noProof/>
        </w:rPr>
        <w:t xml:space="preserve"> amended by Council Regulation (EU, Euratom) 2024/765 of 29 February 2024</w:t>
      </w:r>
      <w:r w:rsidRPr="00CB7408">
        <w:rPr>
          <w:rStyle w:val="FootnoteReference"/>
          <w:noProof/>
        </w:rPr>
        <w:footnoteReference w:id="33"/>
      </w:r>
      <w:r w:rsidRPr="00CB7408">
        <w:rPr>
          <w:noProof/>
        </w:rPr>
        <w:t>.</w:t>
      </w:r>
    </w:p>
    <w:p w:rsidR="001A62D7" w:rsidRPr="00CB7408" w:rsidRDefault="001A62D7" w:rsidP="00AE7D04">
      <w:pPr>
        <w:pStyle w:val="ManualNumPar1"/>
        <w:rPr>
          <w:rFonts w:eastAsia="Calibri"/>
          <w:noProof/>
        </w:rPr>
      </w:pPr>
      <w:r>
        <w:rPr>
          <w:noProof/>
        </w:rPr>
        <w:t>42.</w:t>
      </w:r>
      <w:r>
        <w:rPr>
          <w:noProof/>
        </w:rPr>
        <w:tab/>
      </w:r>
      <w:r w:rsidRPr="00CB7408">
        <w:rPr>
          <w:noProof/>
        </w:rPr>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 </w:t>
      </w:r>
      <w:r w:rsidR="00E1077D" w:rsidRPr="00CB7408">
        <w:rPr>
          <w:noProof/>
        </w:rPr>
        <w:t>2 033 869</w:t>
      </w:r>
      <w:r w:rsidRPr="00CB7408">
        <w:rPr>
          <w:rFonts w:eastAsia="Calibri"/>
          <w:noProof/>
        </w:rPr>
        <w:t xml:space="preserve">, representing </w:t>
      </w:r>
      <w:r w:rsidR="00E1077D" w:rsidRPr="00CB7408">
        <w:rPr>
          <w:noProof/>
        </w:rPr>
        <w:t>85</w:t>
      </w:r>
      <w:r w:rsidRPr="00CB7408">
        <w:rPr>
          <w:rFonts w:eastAsia="Calibri"/>
          <w:noProof/>
        </w:rPr>
        <w:t> % of the total costs of the proposed measures,</w:t>
      </w:r>
      <w:r w:rsidRPr="00CB7408">
        <w:rPr>
          <w:noProof/>
        </w:rPr>
        <w:t xml:space="preserve"> </w:t>
      </w:r>
      <w:r w:rsidRPr="00CB7408">
        <w:rPr>
          <w:rFonts w:eastAsia="Calibri"/>
          <w:noProof/>
        </w:rPr>
        <w:t>in order to provide a financial contribution for the application.</w:t>
      </w:r>
    </w:p>
    <w:p w:rsidR="001A62D7" w:rsidRPr="00CB7408" w:rsidRDefault="001A62D7" w:rsidP="00AE7D04">
      <w:pPr>
        <w:pStyle w:val="ManualNumPar1"/>
        <w:rPr>
          <w:rFonts w:eastAsia="Times New Roman"/>
          <w:noProof/>
        </w:rPr>
      </w:pPr>
      <w:r>
        <w:rPr>
          <w:noProof/>
        </w:rPr>
        <w:t>43.</w:t>
      </w:r>
      <w:r>
        <w:rPr>
          <w:noProof/>
        </w:rPr>
        <w:tab/>
      </w:r>
      <w:r w:rsidRPr="00CB7408">
        <w:rPr>
          <w:noProof/>
        </w:rPr>
        <w:t>The proposed decision to mobilise the EGF will be taken jointly by the European Parliament and the Council pursuant to Article 15(1), first subparagraph, second sentence, of Regulation (EU) 2021/691 and, as laid down in point 9 of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CB7408">
        <w:rPr>
          <w:rStyle w:val="FootnoteReference"/>
          <w:noProof/>
        </w:rPr>
        <w:footnoteReference w:id="34"/>
      </w:r>
      <w:r w:rsidRPr="00CB7408">
        <w:rPr>
          <w:noProof/>
        </w:rPr>
        <w:t>.</w:t>
      </w:r>
    </w:p>
    <w:p w:rsidR="001A62D7" w:rsidRPr="00CB7408" w:rsidRDefault="001A62D7" w:rsidP="001A62D7">
      <w:pPr>
        <w:pStyle w:val="ManualHeading2"/>
        <w:rPr>
          <w:noProof/>
        </w:rPr>
      </w:pPr>
      <w:r w:rsidRPr="00CB7408">
        <w:rPr>
          <w:noProof/>
        </w:rPr>
        <w:t>Related acts</w:t>
      </w:r>
    </w:p>
    <w:p w:rsidR="001A62D7" w:rsidRPr="00CB7408" w:rsidRDefault="001A62D7" w:rsidP="00AE7D04">
      <w:pPr>
        <w:pStyle w:val="ManualNumPar1"/>
        <w:rPr>
          <w:noProof/>
        </w:rPr>
      </w:pPr>
      <w:r>
        <w:rPr>
          <w:noProof/>
        </w:rPr>
        <w:t>44.</w:t>
      </w:r>
      <w:r>
        <w:rPr>
          <w:noProof/>
        </w:rPr>
        <w:tab/>
      </w:r>
      <w:r w:rsidRPr="00CB7408">
        <w:rPr>
          <w:noProof/>
        </w:rPr>
        <w:t>At the same time as it presents this proposal for a decision to mobilise the EGF, the Commission will present to the European Parliament and to the Council a proposal to transfer to the relevant budgetary line the amount of EUR </w:t>
      </w:r>
      <w:r w:rsidR="00E1077D" w:rsidRPr="00CB7408">
        <w:rPr>
          <w:noProof/>
        </w:rPr>
        <w:t>2 033 869</w:t>
      </w:r>
      <w:r w:rsidRPr="00CB7408">
        <w:rPr>
          <w:noProof/>
        </w:rPr>
        <w:t>.</w:t>
      </w:r>
    </w:p>
    <w:p w:rsidR="001A62D7" w:rsidRPr="00CB7408" w:rsidRDefault="001A62D7" w:rsidP="00AE7D04">
      <w:pPr>
        <w:pStyle w:val="ManualNumPar1"/>
        <w:rPr>
          <w:noProof/>
        </w:rPr>
      </w:pPr>
      <w:r>
        <w:rPr>
          <w:noProof/>
        </w:rPr>
        <w:t>45.</w:t>
      </w:r>
      <w:r>
        <w:rPr>
          <w:noProof/>
        </w:rPr>
        <w:tab/>
      </w:r>
      <w:r w:rsidRPr="00CB7408">
        <w:rPr>
          <w:noProof/>
        </w:rPr>
        <w:t>At the same time as it adopted this proposal for a decision to mobilise the EGF, the Commission adopted a decision on a financial contribution that constitutes a financing decision within the meaning of Article 110 of Regulation (EU, Euratom) 2024/2509</w:t>
      </w:r>
      <w:r w:rsidRPr="00CB7408">
        <w:rPr>
          <w:rStyle w:val="FootnoteReference"/>
          <w:noProof/>
        </w:rPr>
        <w:footnoteReference w:id="35"/>
      </w:r>
      <w:r w:rsidRPr="00CB7408">
        <w:rPr>
          <w:noProof/>
        </w:rPr>
        <w:t>. That financing decision will enter into force on the date on which the Commission is notified of the approval of the budgetary transfer by the European Parliament and the Council pursuant to Article 15(2), first subparagraph, of Regulation (EU) 2021/691.</w:t>
      </w:r>
    </w:p>
    <w:p w:rsidR="001A62D7" w:rsidRPr="00CB7408" w:rsidRDefault="001A62D7" w:rsidP="001A62D7">
      <w:pPr>
        <w:rPr>
          <w:noProof/>
        </w:rPr>
        <w:sectPr w:rsidR="001A62D7" w:rsidRPr="00CB7408" w:rsidSect="00F34F19">
          <w:pgSz w:w="11907" w:h="16839"/>
          <w:pgMar w:top="1134" w:right="1417" w:bottom="1134" w:left="1417" w:header="709" w:footer="709" w:gutter="0"/>
          <w:pgNumType w:start="1"/>
          <w:cols w:space="708"/>
          <w:docGrid w:linePitch="360"/>
        </w:sectPr>
      </w:pPr>
    </w:p>
    <w:p w:rsidR="00970D4B" w:rsidRDefault="00F8409C">
      <w:pPr>
        <w:pStyle w:val="Rfrenceinterinstitutionnelle"/>
        <w:rPr>
          <w:noProof/>
        </w:rPr>
      </w:pPr>
      <w:r>
        <w:rPr>
          <w:noProof/>
        </w:rPr>
        <w:lastRenderedPageBreak/>
        <w:t>2026/0066 (BUD)</w:t>
      </w:r>
    </w:p>
    <w:p w:rsidR="001A62D7" w:rsidRPr="00CB7408" w:rsidRDefault="00047187" w:rsidP="00047187">
      <w:pPr>
        <w:pStyle w:val="Statut"/>
        <w:rPr>
          <w:noProof/>
        </w:rPr>
      </w:pPr>
      <w:r w:rsidRPr="00CB7408">
        <w:rPr>
          <w:noProof/>
        </w:rPr>
        <w:t>Proposal for a</w:t>
      </w:r>
    </w:p>
    <w:p w:rsidR="001A62D7" w:rsidRPr="00CB7408" w:rsidRDefault="00047187" w:rsidP="00047187">
      <w:pPr>
        <w:pStyle w:val="Typedudocument"/>
        <w:rPr>
          <w:noProof/>
        </w:rPr>
      </w:pPr>
      <w:r w:rsidRPr="00CB7408">
        <w:rPr>
          <w:noProof/>
        </w:rPr>
        <w:t>DECISION OF THE EUROPEAN PARLIAMENT AND OF THE COUNCIL</w:t>
      </w:r>
    </w:p>
    <w:p w:rsidR="001A62D7" w:rsidRPr="00CB7408" w:rsidRDefault="00047187" w:rsidP="00047187">
      <w:pPr>
        <w:pStyle w:val="Titreobjet"/>
        <w:rPr>
          <w:noProof/>
        </w:rPr>
      </w:pPr>
      <w:r w:rsidRPr="00CB7408">
        <w:rPr>
          <w:noProof/>
        </w:rPr>
        <w:t>on the mobilisation of the European Globalisation Adjustment Fund for Displaced Workers following an application from Belgium – EGF/2025/008 BE/Liberty</w:t>
      </w:r>
    </w:p>
    <w:p w:rsidR="001A62D7" w:rsidRPr="00CB7408" w:rsidRDefault="001A62D7" w:rsidP="001A62D7">
      <w:pPr>
        <w:pStyle w:val="Institutionquiagit"/>
        <w:rPr>
          <w:noProof/>
        </w:rPr>
      </w:pPr>
      <w:r w:rsidRPr="00CB7408">
        <w:rPr>
          <w:noProof/>
        </w:rPr>
        <w:t>THE EUROPEAN PARLIAMENT AND THE COUNCIL OF THE EUROPEAN UNION,</w:t>
      </w:r>
    </w:p>
    <w:p w:rsidR="001A62D7" w:rsidRPr="00CB7408" w:rsidRDefault="001A62D7" w:rsidP="001A62D7">
      <w:pPr>
        <w:rPr>
          <w:noProof/>
        </w:rPr>
      </w:pPr>
      <w:r w:rsidRPr="00CB7408">
        <w:rPr>
          <w:noProof/>
        </w:rPr>
        <w:t>Having regard to the Treaty on the Functioning of the European Union,</w:t>
      </w:r>
    </w:p>
    <w:p w:rsidR="001A62D7" w:rsidRPr="00CB7408" w:rsidRDefault="001A62D7" w:rsidP="001A62D7">
      <w:pPr>
        <w:rPr>
          <w:noProof/>
        </w:rPr>
      </w:pPr>
      <w:r w:rsidRPr="00CB7408">
        <w:rPr>
          <w:noProof/>
        </w:rPr>
        <w:t>Having regard to Regulation (EU) 2021/691 of the European Parliament and of the Council of 28 April 2021 on the European Globalisation Adjustment Fund for Displaced Workers (EGF) and repealing Regulation (EU) No 1309/2013</w:t>
      </w:r>
      <w:r w:rsidRPr="00CB7408">
        <w:rPr>
          <w:rStyle w:val="FootnoteReference"/>
          <w:noProof/>
        </w:rPr>
        <w:footnoteReference w:id="36"/>
      </w:r>
      <w:r w:rsidRPr="00CB7408">
        <w:rPr>
          <w:noProof/>
        </w:rPr>
        <w:t>, and in particular Article 15(1), first subparagraph, thereof,</w:t>
      </w:r>
    </w:p>
    <w:p w:rsidR="001A62D7" w:rsidRPr="00CB7408" w:rsidRDefault="001A62D7" w:rsidP="001A62D7">
      <w:pPr>
        <w:rPr>
          <w:noProof/>
        </w:rPr>
      </w:pPr>
      <w:r w:rsidRPr="00CB7408">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sidRPr="00CB7408">
        <w:rPr>
          <w:rStyle w:val="FootnoteReference"/>
          <w:noProof/>
        </w:rPr>
        <w:footnoteReference w:id="37"/>
      </w:r>
      <w:r w:rsidRPr="00CB7408">
        <w:rPr>
          <w:noProof/>
        </w:rPr>
        <w:t>, and in particular point 9 thereof,</w:t>
      </w:r>
    </w:p>
    <w:p w:rsidR="001A62D7" w:rsidRPr="00CB7408" w:rsidRDefault="001A62D7" w:rsidP="001A62D7">
      <w:pPr>
        <w:rPr>
          <w:noProof/>
        </w:rPr>
      </w:pPr>
      <w:r w:rsidRPr="00CB7408">
        <w:rPr>
          <w:noProof/>
        </w:rPr>
        <w:t>Having regard to the proposal from the European Commission,</w:t>
      </w:r>
    </w:p>
    <w:p w:rsidR="001A62D7" w:rsidRPr="00CB7408" w:rsidRDefault="001A62D7" w:rsidP="001A62D7">
      <w:pPr>
        <w:rPr>
          <w:noProof/>
        </w:rPr>
      </w:pPr>
      <w:r w:rsidRPr="00CB7408">
        <w:rPr>
          <w:noProof/>
        </w:rPr>
        <w:t>Whereas:</w:t>
      </w:r>
    </w:p>
    <w:p w:rsidR="001A62D7" w:rsidRPr="00CB7408" w:rsidRDefault="001A62D7" w:rsidP="00AE7D04">
      <w:pPr>
        <w:pStyle w:val="ManualConsidrant"/>
        <w:rPr>
          <w:noProof/>
        </w:rPr>
      </w:pPr>
      <w:r>
        <w:rPr>
          <w:noProof/>
        </w:rPr>
        <w:t>(1)</w:t>
      </w:r>
      <w:r>
        <w:rPr>
          <w:noProof/>
        </w:rPr>
        <w:tab/>
      </w:r>
      <w:r w:rsidRPr="00CB7408">
        <w:rPr>
          <w:noProof/>
        </w:rPr>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Pr="00CB7408" w:rsidRDefault="001A62D7" w:rsidP="00AE7D04">
      <w:pPr>
        <w:pStyle w:val="ManualConsidrant"/>
        <w:rPr>
          <w:noProof/>
        </w:rPr>
      </w:pPr>
      <w:r>
        <w:rPr>
          <w:noProof/>
        </w:rPr>
        <w:t>(2)</w:t>
      </w:r>
      <w:r>
        <w:rPr>
          <w:noProof/>
        </w:rPr>
        <w:tab/>
      </w:r>
      <w:r w:rsidRPr="00CB7408">
        <w:rPr>
          <w:noProof/>
        </w:rPr>
        <w:t>The EGF is not to exceed a maximum annual amount of EUR 30 million (in 2018 prices), as laid down in Article 8 of Council Regulation (EU, Euratom) 2020/2093</w:t>
      </w:r>
      <w:r w:rsidRPr="00CB7408">
        <w:rPr>
          <w:rStyle w:val="FootnoteReference"/>
          <w:noProof/>
        </w:rPr>
        <w:footnoteReference w:id="38"/>
      </w:r>
      <w:r w:rsidRPr="00CB7408">
        <w:rPr>
          <w:noProof/>
        </w:rPr>
        <w:t xml:space="preserve"> amended by Council Regulation (EU, Euratom) 2024/765</w:t>
      </w:r>
      <w:r w:rsidRPr="00CB7408">
        <w:rPr>
          <w:rStyle w:val="FootnoteReference"/>
          <w:noProof/>
        </w:rPr>
        <w:footnoteReference w:id="39"/>
      </w:r>
      <w:r w:rsidRPr="00CB7408">
        <w:rPr>
          <w:noProof/>
        </w:rPr>
        <w:t>, and Article 16 of Regulation (EU) 2021/691.</w:t>
      </w:r>
    </w:p>
    <w:p w:rsidR="00B55C2C" w:rsidRPr="00CB7408" w:rsidRDefault="001A62D7" w:rsidP="00B55C2C">
      <w:pPr>
        <w:pStyle w:val="ManualConsidrant"/>
        <w:rPr>
          <w:noProof/>
        </w:rPr>
      </w:pPr>
      <w:r>
        <w:rPr>
          <w:noProof/>
        </w:rPr>
        <w:t>(3)</w:t>
      </w:r>
      <w:r>
        <w:rPr>
          <w:noProof/>
        </w:rPr>
        <w:tab/>
      </w:r>
      <w:r w:rsidRPr="00CB7408">
        <w:rPr>
          <w:noProof/>
        </w:rPr>
        <w:t xml:space="preserve">On </w:t>
      </w:r>
      <w:r w:rsidR="00E1077D" w:rsidRPr="00CB7408">
        <w:rPr>
          <w:noProof/>
        </w:rPr>
        <w:t>13 November 2025</w:t>
      </w:r>
      <w:r w:rsidRPr="00CB7408">
        <w:rPr>
          <w:noProof/>
        </w:rPr>
        <w:t xml:space="preserve">, </w:t>
      </w:r>
      <w:r w:rsidR="00E1077D" w:rsidRPr="00CB7408">
        <w:rPr>
          <w:noProof/>
        </w:rPr>
        <w:t>Belgium</w:t>
      </w:r>
      <w:r w:rsidRPr="00CB7408">
        <w:rPr>
          <w:noProof/>
        </w:rPr>
        <w:t xml:space="preserve"> submitted an application to mobilise the EGF in accordance with Article 8(1) of Regulation (EU) 2021/691, in respect of worker’s displacements in </w:t>
      </w:r>
      <w:r w:rsidR="00546BF7" w:rsidRPr="00CB7408">
        <w:rPr>
          <w:noProof/>
        </w:rPr>
        <w:t>Liberty Galaţi Belgian Branch</w:t>
      </w:r>
      <w:r w:rsidR="00B55C2C" w:rsidRPr="00CB7408">
        <w:rPr>
          <w:noProof/>
        </w:rPr>
        <w:t xml:space="preserve"> in Belgium.</w:t>
      </w:r>
      <w:r w:rsidRPr="00CB7408">
        <w:rPr>
          <w:noProof/>
        </w:rPr>
        <w:t xml:space="preserve"> It was supplemented by additional information provided in accordance with Article 8(5) of Regulation (EU) 2021/691. That application </w:t>
      </w:r>
      <w:r w:rsidRPr="00CB7408">
        <w:rPr>
          <w:iCs/>
          <w:noProof/>
        </w:rPr>
        <w:t xml:space="preserve">is considered to comply </w:t>
      </w:r>
      <w:r w:rsidRPr="00CB7408">
        <w:rPr>
          <w:noProof/>
        </w:rPr>
        <w:t xml:space="preserve">with the conditions for </w:t>
      </w:r>
      <w:r w:rsidRPr="00CB7408">
        <w:rPr>
          <w:iCs/>
          <w:noProof/>
        </w:rPr>
        <w:t xml:space="preserve">providing </w:t>
      </w:r>
      <w:r w:rsidRPr="00CB7408">
        <w:rPr>
          <w:noProof/>
        </w:rPr>
        <w:t xml:space="preserve">a financial contribution from the EGF as laid down in Article 13 of Regulation (EU) 2021/691, </w:t>
      </w:r>
      <w:r w:rsidRPr="00CB7408">
        <w:rPr>
          <w:iCs/>
          <w:noProof/>
        </w:rPr>
        <w:t>on the basis of the assessment made by the Commission in the Proposal for a mobilisation decision of the European Parliament and of the Council</w:t>
      </w:r>
      <w:r w:rsidRPr="00CB7408">
        <w:rPr>
          <w:rStyle w:val="FootnoteReference"/>
          <w:iCs/>
          <w:noProof/>
        </w:rPr>
        <w:footnoteReference w:id="40"/>
      </w:r>
      <w:r w:rsidRPr="00CB7408">
        <w:rPr>
          <w:iCs/>
          <w:noProof/>
        </w:rPr>
        <w:t>.</w:t>
      </w:r>
    </w:p>
    <w:p w:rsidR="001A62D7" w:rsidRPr="00CB7408" w:rsidRDefault="001A62D7" w:rsidP="00AE7D04">
      <w:pPr>
        <w:pStyle w:val="ManualConsidrant"/>
        <w:rPr>
          <w:noProof/>
        </w:rPr>
      </w:pPr>
      <w:r>
        <w:rPr>
          <w:noProof/>
        </w:rPr>
        <w:lastRenderedPageBreak/>
        <w:t>(4)</w:t>
      </w:r>
      <w:r>
        <w:rPr>
          <w:noProof/>
        </w:rPr>
        <w:tab/>
      </w:r>
      <w:r w:rsidRPr="00CB7408">
        <w:rPr>
          <w:noProof/>
        </w:rPr>
        <w:t>The EGF should, therefore, be mobilised in order to provide a financial contribution of EUR </w:t>
      </w:r>
      <w:r w:rsidR="00B55C2C" w:rsidRPr="00CB7408">
        <w:rPr>
          <w:noProof/>
        </w:rPr>
        <w:t>2 033 869</w:t>
      </w:r>
      <w:r w:rsidRPr="00CB7408">
        <w:rPr>
          <w:noProof/>
        </w:rPr>
        <w:t xml:space="preserve"> in respect of the application submitted by </w:t>
      </w:r>
      <w:r w:rsidR="00E1077D" w:rsidRPr="00CB7408">
        <w:rPr>
          <w:noProof/>
        </w:rPr>
        <w:t>Belgium</w:t>
      </w:r>
      <w:r w:rsidRPr="00CB7408">
        <w:rPr>
          <w:noProof/>
        </w:rPr>
        <w:t>.</w:t>
      </w:r>
    </w:p>
    <w:p w:rsidR="001A62D7" w:rsidRPr="00CB7408" w:rsidRDefault="001A62D7" w:rsidP="00AE7D04">
      <w:pPr>
        <w:pStyle w:val="ManualConsidrant"/>
        <w:rPr>
          <w:noProof/>
        </w:rPr>
      </w:pPr>
      <w:r>
        <w:rPr>
          <w:noProof/>
        </w:rPr>
        <w:t>(5)</w:t>
      </w:r>
      <w:r>
        <w:rPr>
          <w:noProof/>
        </w:rPr>
        <w:tab/>
      </w:r>
      <w:r w:rsidRPr="00CB7408">
        <w:rPr>
          <w:noProof/>
        </w:rPr>
        <w:t>In order to minimise the time taken to mobilise the EGF, this decision should apply from the date of its adoption,</w:t>
      </w:r>
    </w:p>
    <w:p w:rsidR="001A62D7" w:rsidRPr="00CB7408" w:rsidRDefault="001A62D7" w:rsidP="001A62D7">
      <w:pPr>
        <w:pStyle w:val="Formuledadoption"/>
        <w:rPr>
          <w:noProof/>
        </w:rPr>
      </w:pPr>
      <w:r w:rsidRPr="00CB7408">
        <w:rPr>
          <w:noProof/>
        </w:rPr>
        <w:t xml:space="preserve">HAVE ADOPTED THIS DECISION: </w:t>
      </w:r>
    </w:p>
    <w:p w:rsidR="001A62D7" w:rsidRPr="00CB7408" w:rsidRDefault="001A62D7" w:rsidP="001A62D7">
      <w:pPr>
        <w:pStyle w:val="Titrearticle"/>
        <w:rPr>
          <w:noProof/>
        </w:rPr>
      </w:pPr>
      <w:r w:rsidRPr="00CB7408">
        <w:rPr>
          <w:noProof/>
        </w:rPr>
        <w:t>Article 1</w:t>
      </w:r>
    </w:p>
    <w:p w:rsidR="001A62D7" w:rsidRPr="00CB7408" w:rsidRDefault="001A62D7" w:rsidP="001A62D7">
      <w:pPr>
        <w:rPr>
          <w:noProof/>
        </w:rPr>
      </w:pPr>
      <w:r w:rsidRPr="00CB7408">
        <w:rPr>
          <w:noProof/>
        </w:rPr>
        <w:t xml:space="preserve">For the general budget of the Union for the financial year </w:t>
      </w:r>
      <w:r w:rsidR="00E1077D" w:rsidRPr="00CB7408">
        <w:rPr>
          <w:noProof/>
        </w:rPr>
        <w:t>2026</w:t>
      </w:r>
      <w:r w:rsidRPr="00CB7408">
        <w:rPr>
          <w:noProof/>
        </w:rPr>
        <w:t>, the European Globalisation Adjustment Fund for Displaced Workers shall be mobilised to provide the amount of EUR </w:t>
      </w:r>
      <w:r w:rsidR="00E1077D" w:rsidRPr="00CB7408">
        <w:rPr>
          <w:noProof/>
        </w:rPr>
        <w:t>2 033 869</w:t>
      </w:r>
      <w:r w:rsidRPr="00CB7408">
        <w:rPr>
          <w:noProof/>
        </w:rPr>
        <w:t xml:space="preserve"> in commitment and payment appropriations.</w:t>
      </w:r>
    </w:p>
    <w:p w:rsidR="001A62D7" w:rsidRPr="00CB7408" w:rsidRDefault="001A62D7" w:rsidP="00977677">
      <w:pPr>
        <w:pStyle w:val="Titrearticle"/>
        <w:rPr>
          <w:noProof/>
        </w:rPr>
      </w:pPr>
      <w:r w:rsidRPr="00CB7408">
        <w:rPr>
          <w:noProof/>
        </w:rPr>
        <w:t>Article 2</w:t>
      </w:r>
    </w:p>
    <w:p w:rsidR="001A62D7" w:rsidRPr="00CB7408" w:rsidRDefault="001A62D7" w:rsidP="001A62D7">
      <w:pPr>
        <w:keepNext/>
        <w:keepLines/>
        <w:rPr>
          <w:noProof/>
        </w:rPr>
      </w:pPr>
      <w:r w:rsidRPr="00CB7408">
        <w:rPr>
          <w:noProof/>
        </w:rPr>
        <w:t xml:space="preserve">This Decision shall enter into force on the day of its publication in the Official Journal of the European Union. It shall apply from </w:t>
      </w:r>
      <w:r w:rsidRPr="00CB7408">
        <w:rPr>
          <w:noProof/>
          <w:color w:val="FF0000"/>
        </w:rPr>
        <w:t>[</w:t>
      </w:r>
      <w:r w:rsidRPr="00CB7408">
        <w:rPr>
          <w:i/>
          <w:noProof/>
          <w:color w:val="FF0000"/>
        </w:rPr>
        <w:t>the date of its adoption</w:t>
      </w:r>
      <w:r w:rsidRPr="00CB7408">
        <w:rPr>
          <w:noProof/>
          <w:color w:val="FF0000"/>
        </w:rPr>
        <w:t>]</w:t>
      </w:r>
      <w:r w:rsidR="00281AE4" w:rsidRPr="00CB7408">
        <w:rPr>
          <w:rStyle w:val="FootnoteReference"/>
          <w:noProof/>
          <w:color w:val="FF0000"/>
        </w:rPr>
        <w:footnoteReference w:customMarkFollows="1" w:id="41"/>
        <w:t>*</w:t>
      </w:r>
      <w:r w:rsidR="00281AE4" w:rsidRPr="00CB7408">
        <w:rPr>
          <w:rStyle w:val="CommentReference"/>
          <w:rFonts w:eastAsia="Times New Roman"/>
          <w:noProof/>
          <w:lang w:eastAsia="en-GB"/>
        </w:rPr>
        <w:t xml:space="preserve"> </w:t>
      </w:r>
      <w:r w:rsidRPr="00CB7408">
        <w:rPr>
          <w:noProof/>
        </w:rPr>
        <w:t>.</w:t>
      </w:r>
    </w:p>
    <w:p w:rsidR="001A62D7" w:rsidRPr="00CB7408" w:rsidRDefault="00047187" w:rsidP="00977677">
      <w:pPr>
        <w:pStyle w:val="Fait"/>
        <w:rPr>
          <w:noProof/>
        </w:rPr>
      </w:pPr>
      <w:r>
        <w:rPr>
          <w:noProof/>
        </w:rPr>
        <w:t>Done at Brussels,</w:t>
      </w:r>
    </w:p>
    <w:p w:rsidR="001A62D7" w:rsidRPr="00CB7408" w:rsidRDefault="001A62D7" w:rsidP="00977677">
      <w:pPr>
        <w:pStyle w:val="Institutionquisigne"/>
        <w:rPr>
          <w:noProof/>
        </w:rPr>
      </w:pPr>
      <w:r w:rsidRPr="00CB7408">
        <w:rPr>
          <w:noProof/>
        </w:rPr>
        <w:t>For the European Parliament</w:t>
      </w:r>
      <w:r w:rsidRPr="00CB7408">
        <w:rPr>
          <w:noProof/>
        </w:rPr>
        <w:tab/>
        <w:t>For the Council</w:t>
      </w:r>
    </w:p>
    <w:p w:rsidR="001A62D7" w:rsidRPr="00D12B65" w:rsidRDefault="001A62D7" w:rsidP="001A62D7">
      <w:pPr>
        <w:pStyle w:val="Personnequisigne"/>
        <w:rPr>
          <w:noProof/>
        </w:rPr>
      </w:pPr>
      <w:r w:rsidRPr="00CB7408">
        <w:rPr>
          <w:noProof/>
        </w:rPr>
        <w:t>The President</w:t>
      </w:r>
      <w:r w:rsidRPr="00CB7408">
        <w:rPr>
          <w:noProof/>
        </w:rPr>
        <w:tab/>
        <w:t>The President</w:t>
      </w:r>
      <w:r w:rsidRPr="00CB7408">
        <w:rPr>
          <w:noProof/>
        </w:rPr>
        <w:br/>
      </w:r>
    </w:p>
    <w:sectPr w:rsidR="001A62D7" w:rsidRPr="00D12B65" w:rsidSect="00F34F19">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62D7" w:rsidRPr="00CB7408" w:rsidRDefault="001A62D7" w:rsidP="001A62D7">
      <w:pPr>
        <w:spacing w:before="0" w:after="0"/>
      </w:pPr>
      <w:r w:rsidRPr="00CB7408">
        <w:separator/>
      </w:r>
    </w:p>
  </w:endnote>
  <w:endnote w:type="continuationSeparator" w:id="0">
    <w:p w:rsidR="001A62D7" w:rsidRPr="00CB7408" w:rsidRDefault="001A62D7" w:rsidP="001A62D7">
      <w:pPr>
        <w:spacing w:before="0" w:after="0"/>
      </w:pPr>
      <w:r w:rsidRPr="00CB74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Pr="00F34F19" w:rsidRDefault="00F34F19" w:rsidP="00F34F19">
    <w:pPr>
      <w:pStyle w:val="Footer"/>
      <w:rPr>
        <w:rFonts w:ascii="Arial" w:hAnsi="Arial" w:cs="Arial"/>
        <w:b/>
        <w:sz w:val="48"/>
      </w:rPr>
    </w:pPr>
    <w:r w:rsidRPr="00F34F19">
      <w:rPr>
        <w:rFonts w:ascii="Arial" w:hAnsi="Arial" w:cs="Arial"/>
        <w:b/>
        <w:sz w:val="48"/>
      </w:rPr>
      <w:t>EN</w:t>
    </w:r>
    <w:r w:rsidRPr="00F34F19">
      <w:rPr>
        <w:rFonts w:ascii="Arial" w:hAnsi="Arial" w:cs="Arial"/>
        <w:b/>
        <w:sz w:val="48"/>
      </w:rPr>
      <w:tab/>
    </w:r>
    <w:r w:rsidRPr="00F34F19">
      <w:rPr>
        <w:rFonts w:ascii="Arial" w:hAnsi="Arial" w:cs="Arial"/>
        <w:b/>
        <w:sz w:val="48"/>
      </w:rPr>
      <w:tab/>
    </w:r>
    <w:r w:rsidRPr="00F34F19">
      <w:tab/>
    </w:r>
    <w:r w:rsidRPr="00F34F1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Pr="00F34F19" w:rsidRDefault="00F34F19" w:rsidP="00F34F19">
    <w:pPr>
      <w:pStyle w:val="Footer"/>
      <w:rPr>
        <w:rFonts w:ascii="Arial" w:hAnsi="Arial" w:cs="Arial"/>
        <w:b/>
        <w:sz w:val="48"/>
      </w:rPr>
    </w:pPr>
    <w:r w:rsidRPr="00F34F19">
      <w:rPr>
        <w:rFonts w:ascii="Arial" w:hAnsi="Arial" w:cs="Arial"/>
        <w:b/>
        <w:sz w:val="48"/>
      </w:rPr>
      <w:t>EN</w:t>
    </w:r>
    <w:r w:rsidRPr="00F34F19">
      <w:rPr>
        <w:rFonts w:ascii="Arial" w:hAnsi="Arial" w:cs="Arial"/>
        <w:b/>
        <w:sz w:val="48"/>
      </w:rPr>
      <w:tab/>
    </w:r>
    <w:r w:rsidRPr="00F34F19">
      <w:rPr>
        <w:rFonts w:ascii="Arial" w:hAnsi="Arial" w:cs="Arial"/>
        <w:b/>
        <w:sz w:val="48"/>
      </w:rPr>
      <w:tab/>
    </w:r>
    <w:r w:rsidRPr="00F34F19">
      <w:tab/>
    </w:r>
    <w:r w:rsidRPr="00F34F1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Default="00F34F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Pr="00F34F19" w:rsidRDefault="00F34F19" w:rsidP="00F34F19">
    <w:pPr>
      <w:pStyle w:val="Footer"/>
      <w:rPr>
        <w:rFonts w:ascii="Arial" w:hAnsi="Arial" w:cs="Arial"/>
        <w:b/>
        <w:sz w:val="48"/>
      </w:rPr>
    </w:pPr>
    <w:r w:rsidRPr="00F34F19">
      <w:rPr>
        <w:rFonts w:ascii="Arial" w:hAnsi="Arial" w:cs="Arial"/>
        <w:b/>
        <w:sz w:val="48"/>
      </w:rPr>
      <w:t>EN</w:t>
    </w:r>
    <w:r w:rsidRPr="00F34F19">
      <w:rPr>
        <w:rFonts w:ascii="Arial" w:hAnsi="Arial" w:cs="Arial"/>
        <w:b/>
        <w:sz w:val="48"/>
      </w:rPr>
      <w:tab/>
    </w:r>
    <w:r>
      <w:fldChar w:fldCharType="begin"/>
    </w:r>
    <w:r>
      <w:instrText xml:space="preserve"> PAGE  \* MERGEFORMAT </w:instrText>
    </w:r>
    <w:r>
      <w:fldChar w:fldCharType="separate"/>
    </w:r>
    <w:r w:rsidR="00977677">
      <w:rPr>
        <w:noProof/>
      </w:rPr>
      <w:t>9</w:t>
    </w:r>
    <w:r>
      <w:fldChar w:fldCharType="end"/>
    </w:r>
    <w:r>
      <w:tab/>
    </w:r>
    <w:r w:rsidRPr="00F34F19">
      <w:tab/>
    </w:r>
    <w:r w:rsidRPr="00F34F1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Default="00F34F19" w:rsidP="00F34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62D7" w:rsidRPr="00CB7408" w:rsidRDefault="001A62D7" w:rsidP="001A62D7">
      <w:pPr>
        <w:spacing w:before="0" w:after="0"/>
      </w:pPr>
      <w:r w:rsidRPr="00CB7408">
        <w:separator/>
      </w:r>
    </w:p>
  </w:footnote>
  <w:footnote w:type="continuationSeparator" w:id="0">
    <w:p w:rsidR="001A62D7" w:rsidRPr="00CB7408" w:rsidRDefault="001A62D7" w:rsidP="001A62D7">
      <w:pPr>
        <w:spacing w:before="0" w:after="0"/>
      </w:pPr>
      <w:r w:rsidRPr="00CB7408">
        <w:continuationSeparator/>
      </w:r>
    </w:p>
  </w:footnote>
  <w:footnote w:id="1">
    <w:p w:rsidR="001A62D7" w:rsidRPr="00CB7408" w:rsidRDefault="001A62D7" w:rsidP="001A62D7">
      <w:pPr>
        <w:pStyle w:val="FootnoteText"/>
      </w:pPr>
      <w:r w:rsidRPr="00CB7408">
        <w:rPr>
          <w:rStyle w:val="FootnoteReference"/>
        </w:rPr>
        <w:footnoteRef/>
      </w:r>
      <w:r w:rsidRPr="00CB7408">
        <w:tab/>
        <w:t>OJ L 153, 3.5.2021, p. 48.</w:t>
      </w:r>
    </w:p>
  </w:footnote>
  <w:footnote w:id="2">
    <w:p w:rsidR="00546BF7" w:rsidRPr="00CB7408" w:rsidRDefault="00546BF7">
      <w:pPr>
        <w:pStyle w:val="FootnoteText"/>
      </w:pPr>
      <w:r w:rsidRPr="00CB7408">
        <w:rPr>
          <w:rStyle w:val="FootnoteReference"/>
        </w:rPr>
        <w:footnoteRef/>
      </w:r>
      <w:r w:rsidRPr="00CB7408">
        <w:tab/>
      </w:r>
      <w:r w:rsidR="00F0417E" w:rsidRPr="00CB7408">
        <w:t>‘Liberty Galaţi Belgian Branch’ is the commercial name of the Belgian branch of the Romanian-registered joint-stock company Liberty Galaţi.</w:t>
      </w:r>
    </w:p>
  </w:footnote>
  <w:footnote w:id="3">
    <w:p w:rsidR="001A62D7" w:rsidRPr="00CB7408" w:rsidRDefault="001A62D7" w:rsidP="001A62D7">
      <w:pPr>
        <w:pStyle w:val="FootnoteText"/>
      </w:pPr>
      <w:r w:rsidRPr="00CB7408">
        <w:rPr>
          <w:rStyle w:val="FootnoteReference"/>
        </w:rPr>
        <w:footnoteRef/>
      </w:r>
      <w:r w:rsidRPr="00CB7408">
        <w:tab/>
        <w:t>Commission Delegated Regulation 2019/1755 of 8 August 2019 amending the Annexes to Regulation (EC) No 1059/2003 of the European Parliament and of the Council on the establishment of a common classification of territorial units for statistics (NUTS). OJ L 270, 24.10.2019, p. 1–56.</w:t>
      </w:r>
    </w:p>
  </w:footnote>
  <w:footnote w:id="4">
    <w:p w:rsidR="001A62D7" w:rsidRPr="00CB7408" w:rsidRDefault="001A62D7" w:rsidP="001A62D7">
      <w:pPr>
        <w:pStyle w:val="FootnoteText"/>
      </w:pPr>
      <w:r w:rsidRPr="00CB7408">
        <w:rPr>
          <w:rStyle w:val="FootnoteReference"/>
        </w:rPr>
        <w:footnoteRef/>
      </w:r>
      <w:r w:rsidRPr="00CB7408">
        <w:tab/>
        <w:t>OJ L 393, 30.12.2006, p. 1.</w:t>
      </w:r>
    </w:p>
  </w:footnote>
  <w:footnote w:id="5">
    <w:p w:rsidR="001A62D7" w:rsidRPr="00CB7408" w:rsidRDefault="001A62D7" w:rsidP="001A62D7">
      <w:pPr>
        <w:pStyle w:val="FootnoteText"/>
      </w:pPr>
      <w:r w:rsidRPr="00CB7408">
        <w:rPr>
          <w:rStyle w:val="FootnoteReference"/>
        </w:rPr>
        <w:footnoteRef/>
      </w:r>
      <w:r w:rsidRPr="00CB7408">
        <w:tab/>
        <w:t>In accordance with Article 7(5) of Regulation (EU) 2021/691.</w:t>
      </w:r>
    </w:p>
  </w:footnote>
  <w:footnote w:id="6">
    <w:p w:rsidR="00E700C8" w:rsidRPr="00CB7408" w:rsidRDefault="00E700C8">
      <w:pPr>
        <w:pStyle w:val="FootnoteText"/>
      </w:pPr>
      <w:r w:rsidRPr="00CB7408">
        <w:rPr>
          <w:rStyle w:val="FootnoteReference"/>
        </w:rPr>
        <w:footnoteRef/>
      </w:r>
      <w:r w:rsidRPr="00CB7408">
        <w:tab/>
        <w:t xml:space="preserve">The conglomerate GFG Alliance owns Liberty Steel Group, </w:t>
      </w:r>
    </w:p>
  </w:footnote>
  <w:footnote w:id="7">
    <w:p w:rsidR="00036806" w:rsidRPr="00CB7408" w:rsidRDefault="00036806">
      <w:pPr>
        <w:pStyle w:val="FootnoteText"/>
      </w:pPr>
      <w:r w:rsidRPr="00CB7408">
        <w:rPr>
          <w:rStyle w:val="FootnoteReference"/>
        </w:rPr>
        <w:footnoteRef/>
      </w:r>
      <w:r w:rsidRPr="00CB7408">
        <w:tab/>
        <w:t>Moniteur Belge 28.04.2025, 45387</w:t>
      </w:r>
    </w:p>
  </w:footnote>
  <w:footnote w:id="8">
    <w:p w:rsidR="006D546F" w:rsidRPr="00CB7408" w:rsidRDefault="006D546F">
      <w:pPr>
        <w:pStyle w:val="FootnoteText"/>
      </w:pPr>
      <w:r w:rsidRPr="00CB7408">
        <w:rPr>
          <w:rStyle w:val="FootnoteReference"/>
        </w:rPr>
        <w:footnoteRef/>
      </w:r>
      <w:r w:rsidRPr="00CB7408">
        <w:tab/>
        <w:t>Steel jobs ratio is the proportion of direct steel jobs per 100,000 inhabitants.</w:t>
      </w:r>
    </w:p>
  </w:footnote>
  <w:footnote w:id="9">
    <w:p w:rsidR="000B5F51" w:rsidRPr="00CB7408" w:rsidRDefault="000B5F51">
      <w:pPr>
        <w:pStyle w:val="FootnoteText"/>
      </w:pPr>
      <w:r w:rsidRPr="00CB7408">
        <w:rPr>
          <w:rStyle w:val="FootnoteReference"/>
        </w:rPr>
        <w:footnoteRef/>
      </w:r>
      <w:r w:rsidRPr="00CB7408">
        <w:tab/>
      </w:r>
      <w:r w:rsidR="006D546F" w:rsidRPr="00CB7408">
        <w:t xml:space="preserve">European Steel Association (EUROFER). </w:t>
      </w:r>
      <w:hyperlink r:id="rId1" w:history="1">
        <w:r w:rsidR="006D546F" w:rsidRPr="00CB7408">
          <w:rPr>
            <w:rStyle w:val="Hyperlink"/>
          </w:rPr>
          <w:t>European steel in figures 2025</w:t>
        </w:r>
      </w:hyperlink>
      <w:r w:rsidR="006D546F" w:rsidRPr="00CB7408">
        <w:t>.</w:t>
      </w:r>
    </w:p>
  </w:footnote>
  <w:footnote w:id="10">
    <w:p w:rsidR="00D924F0" w:rsidRPr="009856EF" w:rsidRDefault="00D924F0">
      <w:pPr>
        <w:pStyle w:val="FootnoteText"/>
        <w:rPr>
          <w:lang w:val="fr-FR"/>
        </w:rPr>
      </w:pPr>
      <w:r w:rsidRPr="00CB7408">
        <w:rPr>
          <w:rStyle w:val="FootnoteReference"/>
        </w:rPr>
        <w:footnoteRef/>
      </w:r>
      <w:r w:rsidRPr="009856EF">
        <w:rPr>
          <w:lang w:val="fr-FR"/>
        </w:rPr>
        <w:tab/>
      </w:r>
      <w:r w:rsidR="002D407A" w:rsidRPr="009856EF">
        <w:rPr>
          <w:lang w:val="fr-FR"/>
        </w:rPr>
        <w:t>COM(2023) 69</w:t>
      </w:r>
    </w:p>
  </w:footnote>
  <w:footnote w:id="11">
    <w:p w:rsidR="00D924F0" w:rsidRPr="009856EF" w:rsidRDefault="00D924F0">
      <w:pPr>
        <w:pStyle w:val="FootnoteText"/>
        <w:rPr>
          <w:lang w:val="fr-FR"/>
        </w:rPr>
      </w:pPr>
      <w:r w:rsidRPr="00CB7408">
        <w:rPr>
          <w:rStyle w:val="FootnoteReference"/>
        </w:rPr>
        <w:footnoteRef/>
      </w:r>
      <w:r w:rsidRPr="009856EF">
        <w:rPr>
          <w:lang w:val="fr-FR"/>
        </w:rPr>
        <w:tab/>
      </w:r>
      <w:r w:rsidR="002D407A" w:rsidRPr="009856EF">
        <w:rPr>
          <w:lang w:val="fr-FR"/>
        </w:rPr>
        <w:t xml:space="preserve">COM(2023) 470 </w:t>
      </w:r>
    </w:p>
  </w:footnote>
  <w:footnote w:id="12">
    <w:p w:rsidR="002E5201" w:rsidRPr="009856EF" w:rsidRDefault="002E5201">
      <w:pPr>
        <w:pStyle w:val="FootnoteText"/>
        <w:rPr>
          <w:lang w:val="fr-FR"/>
        </w:rPr>
      </w:pPr>
      <w:r w:rsidRPr="00CB7408">
        <w:rPr>
          <w:rStyle w:val="FootnoteReference"/>
        </w:rPr>
        <w:footnoteRef/>
      </w:r>
      <w:r w:rsidRPr="009856EF">
        <w:rPr>
          <w:lang w:val="fr-FR"/>
        </w:rPr>
        <w:tab/>
      </w:r>
      <w:hyperlink r:id="rId2" w:history="1">
        <w:r w:rsidRPr="009856EF">
          <w:rPr>
            <w:rStyle w:val="Hyperlink"/>
            <w:lang w:val="fr-FR"/>
          </w:rPr>
          <w:t>Eurostat.</w:t>
        </w:r>
      </w:hyperlink>
    </w:p>
  </w:footnote>
  <w:footnote w:id="13">
    <w:p w:rsidR="005D52E3" w:rsidRPr="009856EF" w:rsidRDefault="005D52E3" w:rsidP="004B1AA6">
      <w:pPr>
        <w:spacing w:before="0" w:after="0"/>
        <w:rPr>
          <w:lang w:val="fr-FR"/>
        </w:rPr>
      </w:pPr>
      <w:r w:rsidRPr="00CB7408">
        <w:rPr>
          <w:rStyle w:val="FootnoteReference"/>
        </w:rPr>
        <w:footnoteRef/>
      </w:r>
      <w:r w:rsidRPr="009856EF">
        <w:rPr>
          <w:lang w:val="fr-FR"/>
        </w:rPr>
        <w:tab/>
      </w:r>
      <w:hyperlink r:id="rId3" w:anchor="panel-12" w:history="1">
        <w:r w:rsidRPr="009856EF">
          <w:rPr>
            <w:rStyle w:val="Hyperlink"/>
            <w:sz w:val="20"/>
            <w:szCs w:val="20"/>
            <w:lang w:val="fr-FR"/>
          </w:rPr>
          <w:t>Statbel. Emploi et chômage (9.9.2025)</w:t>
        </w:r>
      </w:hyperlink>
    </w:p>
  </w:footnote>
  <w:footnote w:id="14">
    <w:p w:rsidR="0000022B" w:rsidRPr="009856EF" w:rsidRDefault="0000022B" w:rsidP="004B1AA6">
      <w:pPr>
        <w:spacing w:before="0" w:after="0"/>
        <w:rPr>
          <w:lang w:val="fr-FR"/>
        </w:rPr>
      </w:pPr>
      <w:r w:rsidRPr="00CB7408">
        <w:rPr>
          <w:rStyle w:val="FootnoteReference"/>
        </w:rPr>
        <w:footnoteRef/>
      </w:r>
      <w:r w:rsidRPr="009856EF">
        <w:rPr>
          <w:lang w:val="fr-FR"/>
        </w:rPr>
        <w:tab/>
      </w:r>
      <w:hyperlink r:id="rId4" w:anchor="panel-12" w:history="1">
        <w:r w:rsidRPr="009856EF">
          <w:rPr>
            <w:rStyle w:val="Hyperlink"/>
            <w:sz w:val="20"/>
            <w:szCs w:val="20"/>
            <w:lang w:val="fr-FR"/>
          </w:rPr>
          <w:t>Statbel. Emploi et chômage (9.9.2025)</w:t>
        </w:r>
      </w:hyperlink>
    </w:p>
  </w:footnote>
  <w:footnote w:id="15">
    <w:p w:rsidR="00915104" w:rsidRPr="009856EF" w:rsidRDefault="00915104">
      <w:pPr>
        <w:pStyle w:val="FootnoteText"/>
        <w:rPr>
          <w:lang w:val="fr-FR"/>
        </w:rPr>
      </w:pPr>
      <w:r w:rsidRPr="00CB7408">
        <w:rPr>
          <w:rStyle w:val="FootnoteReference"/>
        </w:rPr>
        <w:footnoteRef/>
      </w:r>
      <w:r w:rsidRPr="009856EF">
        <w:rPr>
          <w:lang w:val="fr-FR"/>
        </w:rPr>
        <w:tab/>
      </w:r>
      <w:hyperlink r:id="rId5" w:history="1">
        <w:r w:rsidRPr="009856EF">
          <w:rPr>
            <w:rStyle w:val="Hyperlink"/>
            <w:lang w:val="fr-FR"/>
          </w:rPr>
          <w:t>Eurostat</w:t>
        </w:r>
      </w:hyperlink>
    </w:p>
  </w:footnote>
  <w:footnote w:id="16">
    <w:p w:rsidR="00F10A52" w:rsidRPr="00CB7408" w:rsidRDefault="00F10A52">
      <w:pPr>
        <w:pStyle w:val="FootnoteText"/>
      </w:pPr>
      <w:r w:rsidRPr="00CB7408">
        <w:rPr>
          <w:rStyle w:val="FootnoteReference"/>
        </w:rPr>
        <w:footnoteRef/>
      </w:r>
      <w:r w:rsidRPr="009856EF">
        <w:rPr>
          <w:lang w:val="fr-FR"/>
        </w:rPr>
        <w:tab/>
      </w:r>
      <w:hyperlink r:id="rId6" w:history="1">
        <w:r w:rsidRPr="009856EF">
          <w:rPr>
            <w:rStyle w:val="Hyperlink"/>
            <w:lang w:val="fr-FR"/>
          </w:rPr>
          <w:t xml:space="preserve">Statbel. </w:t>
        </w:r>
        <w:r w:rsidRPr="00CB7408">
          <w:rPr>
            <w:rStyle w:val="Hyperlink"/>
          </w:rPr>
          <w:t>Employment rate by age group</w:t>
        </w:r>
      </w:hyperlink>
      <w:r w:rsidRPr="00CB7408">
        <w:t>.</w:t>
      </w:r>
    </w:p>
  </w:footnote>
  <w:footnote w:id="17">
    <w:p w:rsidR="005F26CA" w:rsidRPr="00CB7408" w:rsidRDefault="005F26CA">
      <w:pPr>
        <w:pStyle w:val="FootnoteText"/>
      </w:pPr>
      <w:r w:rsidRPr="00CB7408">
        <w:rPr>
          <w:rStyle w:val="FootnoteReference"/>
        </w:rPr>
        <w:footnoteRef/>
      </w:r>
      <w:r w:rsidRPr="00CB7408">
        <w:tab/>
        <w:t>Le Forem. Photo locale de la demande d’emploi (aout 2025)</w:t>
      </w:r>
    </w:p>
  </w:footnote>
  <w:footnote w:id="18">
    <w:p w:rsidR="00E50399" w:rsidRPr="00CB7408" w:rsidRDefault="00E50399">
      <w:pPr>
        <w:pStyle w:val="FootnoteText"/>
      </w:pPr>
      <w:r w:rsidRPr="00CB7408">
        <w:rPr>
          <w:rStyle w:val="FootnoteReference"/>
        </w:rPr>
        <w:footnoteRef/>
      </w:r>
      <w:r w:rsidRPr="00CB7408">
        <w:tab/>
        <w:t>The Royal Decree (</w:t>
      </w:r>
      <w:r w:rsidRPr="00CB7408">
        <w:rPr>
          <w:i/>
          <w:iCs/>
        </w:rPr>
        <w:t>Arrêté Royal</w:t>
      </w:r>
      <w:r w:rsidRPr="00CB7408">
        <w:t>) of 10 November 2006 amending the Royal Decree of 9 March 2006.</w:t>
      </w:r>
    </w:p>
  </w:footnote>
  <w:footnote w:id="19">
    <w:p w:rsidR="004419E9" w:rsidRPr="00CB7408" w:rsidRDefault="004419E9">
      <w:pPr>
        <w:pStyle w:val="FootnoteText"/>
      </w:pPr>
      <w:r w:rsidRPr="00CB7408">
        <w:rPr>
          <w:rStyle w:val="FootnoteReference"/>
        </w:rPr>
        <w:footnoteRef/>
      </w:r>
      <w:r w:rsidRPr="00CB7408">
        <w:tab/>
        <w:t>Wallonia Government Decree of 29 January 2004, as amended by the Decree of 30 April 2009.</w:t>
      </w:r>
    </w:p>
  </w:footnote>
  <w:footnote w:id="20">
    <w:p w:rsidR="005B0EC2" w:rsidRPr="00CB7408" w:rsidRDefault="005B0EC2">
      <w:pPr>
        <w:pStyle w:val="FootnoteText"/>
      </w:pPr>
      <w:r w:rsidRPr="00CB7408">
        <w:rPr>
          <w:rStyle w:val="FootnoteReference"/>
        </w:rPr>
        <w:footnoteRef/>
      </w:r>
      <w:r w:rsidRPr="00CB7408">
        <w:tab/>
      </w:r>
      <w:r w:rsidRPr="00CB7408">
        <w:rPr>
          <w:rStyle w:val="Hyperlink"/>
        </w:rPr>
        <w:t xml:space="preserve">Le </w:t>
      </w:r>
      <w:hyperlink r:id="rId7" w:history="1">
        <w:r w:rsidRPr="00CB7408">
          <w:rPr>
            <w:rStyle w:val="Hyperlink"/>
          </w:rPr>
          <w:t>Forem. Restructuring event: redeployment units</w:t>
        </w:r>
      </w:hyperlink>
      <w:r w:rsidRPr="00CB7408">
        <w:t>.</w:t>
      </w:r>
    </w:p>
  </w:footnote>
  <w:footnote w:id="21">
    <w:p w:rsidR="000621D5" w:rsidRPr="009856EF" w:rsidRDefault="000621D5" w:rsidP="000621D5">
      <w:pPr>
        <w:pStyle w:val="FootnoteText"/>
        <w:rPr>
          <w:lang w:val="fr-FR"/>
        </w:rPr>
      </w:pPr>
      <w:r w:rsidRPr="00CB7408">
        <w:rPr>
          <w:rStyle w:val="FootnoteReference"/>
        </w:rPr>
        <w:footnoteRef/>
      </w:r>
      <w:r w:rsidRPr="009856EF">
        <w:rPr>
          <w:lang w:val="fr-FR"/>
        </w:rPr>
        <w:tab/>
        <w:t>Fédération générale du travail de Belgique.</w:t>
      </w:r>
    </w:p>
  </w:footnote>
  <w:footnote w:id="22">
    <w:p w:rsidR="00457FE1" w:rsidRPr="009856EF" w:rsidRDefault="00457FE1">
      <w:pPr>
        <w:pStyle w:val="FootnoteText"/>
        <w:rPr>
          <w:lang w:val="fr-FR"/>
        </w:rPr>
      </w:pPr>
      <w:r w:rsidRPr="00CB7408">
        <w:rPr>
          <w:rStyle w:val="FootnoteReference"/>
        </w:rPr>
        <w:footnoteRef/>
      </w:r>
      <w:r w:rsidRPr="009856EF">
        <w:rPr>
          <w:lang w:val="fr-FR"/>
        </w:rPr>
        <w:tab/>
        <w:t>Conféderation des syndicats chrétiens.</w:t>
      </w:r>
    </w:p>
  </w:footnote>
  <w:footnote w:id="23">
    <w:p w:rsidR="001A62D7" w:rsidRPr="009856EF" w:rsidRDefault="001A62D7" w:rsidP="001A62D7">
      <w:pPr>
        <w:pStyle w:val="FootnoteText"/>
        <w:rPr>
          <w:lang w:val="fr-FR"/>
        </w:rPr>
      </w:pPr>
      <w:r w:rsidRPr="00CB7408">
        <w:rPr>
          <w:rStyle w:val="FootnoteReference"/>
        </w:rPr>
        <w:footnoteRef/>
      </w:r>
      <w:r w:rsidRPr="009856EF">
        <w:rPr>
          <w:lang w:val="fr-FR"/>
        </w:rPr>
        <w:tab/>
        <w:t>ISCED 0-2</w:t>
      </w:r>
    </w:p>
  </w:footnote>
  <w:footnote w:id="24">
    <w:p w:rsidR="001A62D7" w:rsidRPr="00CB7408" w:rsidRDefault="001A62D7" w:rsidP="001A62D7">
      <w:pPr>
        <w:pStyle w:val="FootnoteText"/>
      </w:pPr>
      <w:r w:rsidRPr="00CB7408">
        <w:rPr>
          <w:rStyle w:val="FootnoteReference"/>
        </w:rPr>
        <w:footnoteRef/>
      </w:r>
      <w:r w:rsidRPr="00CB7408">
        <w:tab/>
        <w:t>ISCED 3</w:t>
      </w:r>
    </w:p>
  </w:footnote>
  <w:footnote w:id="25">
    <w:p w:rsidR="001A62D7" w:rsidRPr="00CB7408" w:rsidRDefault="001A62D7" w:rsidP="001A62D7">
      <w:pPr>
        <w:pStyle w:val="FootnoteText"/>
      </w:pPr>
      <w:r w:rsidRPr="00CB7408">
        <w:rPr>
          <w:rStyle w:val="FootnoteReference"/>
        </w:rPr>
        <w:footnoteRef/>
      </w:r>
      <w:r w:rsidRPr="00CB7408">
        <w:tab/>
        <w:t>ISCED 4</w:t>
      </w:r>
    </w:p>
  </w:footnote>
  <w:footnote w:id="26">
    <w:p w:rsidR="001A62D7" w:rsidRPr="00CB7408" w:rsidRDefault="001A62D7" w:rsidP="001A62D7">
      <w:pPr>
        <w:pStyle w:val="FootnoteText"/>
      </w:pPr>
      <w:r w:rsidRPr="00CB7408">
        <w:rPr>
          <w:rStyle w:val="FootnoteReference"/>
        </w:rPr>
        <w:footnoteRef/>
      </w:r>
      <w:r w:rsidRPr="00CB7408">
        <w:tab/>
        <w:t>ISCED 5-8</w:t>
      </w:r>
    </w:p>
  </w:footnote>
  <w:footnote w:id="27">
    <w:p w:rsidR="002B5890" w:rsidRPr="00CB7408" w:rsidRDefault="002B5890">
      <w:pPr>
        <w:pStyle w:val="FootnoteText"/>
      </w:pPr>
      <w:r w:rsidRPr="00CB7408">
        <w:rPr>
          <w:rStyle w:val="FootnoteReference"/>
        </w:rPr>
        <w:footnoteRef/>
      </w:r>
      <w:r w:rsidRPr="00CB7408">
        <w:tab/>
      </w:r>
      <w:hyperlink r:id="rId8" w:history="1">
        <w:r w:rsidRPr="00CB7408">
          <w:rPr>
            <w:rStyle w:val="Hyperlink"/>
          </w:rPr>
          <w:t xml:space="preserve">List of jobs in demand and difficult to be covered or linked to critical functions. </w:t>
        </w:r>
        <w:r w:rsidRPr="009856EF">
          <w:rPr>
            <w:rStyle w:val="Hyperlink"/>
            <w:lang w:val="fr-FR"/>
          </w:rPr>
          <w:t xml:space="preserve">« Métiers en tension de recrutement en Wallonie. Liste des métiers/fonctions critiques et en pénurie ». </w:t>
        </w:r>
        <w:r w:rsidRPr="00CB7408">
          <w:rPr>
            <w:rStyle w:val="Hyperlink"/>
          </w:rPr>
          <w:t>Le Forem 2025</w:t>
        </w:r>
      </w:hyperlink>
      <w:r w:rsidRPr="00CB7408">
        <w:rPr>
          <w:rStyle w:val="Hyperlink"/>
        </w:rPr>
        <w:t>.</w:t>
      </w:r>
    </w:p>
  </w:footnote>
  <w:footnote w:id="28">
    <w:p w:rsidR="002F085B" w:rsidRPr="00CB7408" w:rsidRDefault="002F085B" w:rsidP="002F085B">
      <w:pPr>
        <w:pStyle w:val="FootnoteText"/>
      </w:pPr>
      <w:r w:rsidRPr="00CB7408">
        <w:rPr>
          <w:rStyle w:val="FootnoteReference"/>
        </w:rPr>
        <w:footnoteRef/>
      </w:r>
      <w:r w:rsidRPr="00CB7408">
        <w:tab/>
        <w:t>COM(2021) 212.</w:t>
      </w:r>
    </w:p>
  </w:footnote>
  <w:footnote w:id="29">
    <w:p w:rsidR="002F085B" w:rsidRPr="00CB7408" w:rsidRDefault="002F085B" w:rsidP="002F085B">
      <w:pPr>
        <w:pStyle w:val="FootnoteText"/>
      </w:pPr>
      <w:r w:rsidRPr="00CB7408">
        <w:rPr>
          <w:rStyle w:val="FootnoteReference"/>
        </w:rPr>
        <w:footnoteRef/>
      </w:r>
      <w:r w:rsidRPr="00CB7408">
        <w:tab/>
        <w:t>EGF/2022/002 BE/TNT. COM(2023) 69</w:t>
      </w:r>
      <w:r w:rsidRPr="00CB7408">
        <w:tab/>
      </w:r>
      <w:r w:rsidRPr="00CB7408">
        <w:tab/>
      </w:r>
    </w:p>
  </w:footnote>
  <w:footnote w:id="30">
    <w:p w:rsidR="001A62D7" w:rsidRPr="00CB7408" w:rsidRDefault="001A62D7" w:rsidP="001A62D7">
      <w:pPr>
        <w:pStyle w:val="FootnoteText"/>
      </w:pPr>
      <w:r w:rsidRPr="00CB7408">
        <w:rPr>
          <w:rStyle w:val="FootnoteReference"/>
        </w:rPr>
        <w:footnoteRef/>
      </w:r>
      <w:r w:rsidRPr="00CB7408">
        <w:tab/>
        <w:t xml:space="preserve">To avoid decimals, the estimated costs per worker have been rounded. However, the rounding has no impact on the total cost of each measure, which remains as in the application submitted by </w:t>
      </w:r>
      <w:r w:rsidR="00580012" w:rsidRPr="00CB7408">
        <w:t>Belgium.</w:t>
      </w:r>
    </w:p>
  </w:footnote>
  <w:footnote w:id="31">
    <w:p w:rsidR="001A62D7" w:rsidRPr="00CB7408" w:rsidRDefault="001A62D7" w:rsidP="001A62D7">
      <w:pPr>
        <w:pStyle w:val="FootnoteText"/>
      </w:pPr>
      <w:r w:rsidRPr="00CB7408">
        <w:rPr>
          <w:rStyle w:val="FootnoteReference"/>
        </w:rPr>
        <w:footnoteRef/>
      </w:r>
      <w:r w:rsidRPr="00CB7408">
        <w:tab/>
        <w:t>Totals do not tally due to rounding.</w:t>
      </w:r>
    </w:p>
  </w:footnote>
  <w:footnote w:id="32">
    <w:p w:rsidR="001A62D7" w:rsidRPr="009856EF" w:rsidRDefault="001A62D7" w:rsidP="001A62D7">
      <w:pPr>
        <w:pStyle w:val="FootnoteText"/>
        <w:rPr>
          <w:lang w:val="it-IT"/>
        </w:rPr>
      </w:pPr>
      <w:r w:rsidRPr="00CB7408">
        <w:rPr>
          <w:rStyle w:val="FootnoteReference"/>
        </w:rPr>
        <w:footnoteRef/>
      </w:r>
      <w:r w:rsidRPr="009856EF">
        <w:rPr>
          <w:lang w:val="it-IT"/>
        </w:rPr>
        <w:tab/>
        <w:t>OJ L 433 I, 22.12.2020, p. 11.</w:t>
      </w:r>
    </w:p>
  </w:footnote>
  <w:footnote w:id="33">
    <w:p w:rsidR="001A62D7" w:rsidRPr="009856EF" w:rsidRDefault="001A62D7" w:rsidP="001A62D7">
      <w:pPr>
        <w:pStyle w:val="FootnoteText"/>
        <w:rPr>
          <w:lang w:val="it-IT"/>
        </w:rPr>
      </w:pPr>
      <w:r w:rsidRPr="00CB7408">
        <w:rPr>
          <w:rStyle w:val="FootnoteReference"/>
        </w:rPr>
        <w:footnoteRef/>
      </w:r>
      <w:r w:rsidRPr="009856EF">
        <w:rPr>
          <w:lang w:val="it-IT"/>
        </w:rPr>
        <w:tab/>
        <w:t>OJ L</w:t>
      </w:r>
      <w:r w:rsidR="00842DE2" w:rsidRPr="009856EF">
        <w:rPr>
          <w:lang w:val="it-IT"/>
        </w:rPr>
        <w:t>,</w:t>
      </w:r>
      <w:r w:rsidRPr="009856EF">
        <w:rPr>
          <w:lang w:val="it-IT"/>
        </w:rPr>
        <w:t xml:space="preserve"> 2024/765, 29.2.2024, </w:t>
      </w:r>
      <w:r w:rsidR="00625A8E" w:rsidRPr="009856EF">
        <w:rPr>
          <w:lang w:val="it-IT"/>
        </w:rPr>
        <w:t>ELI: http://data.europa.eu/eli/reg/2024/765/oj</w:t>
      </w:r>
      <w:r w:rsidRPr="009856EF">
        <w:rPr>
          <w:lang w:val="it-IT"/>
        </w:rPr>
        <w:t xml:space="preserve">. </w:t>
      </w:r>
    </w:p>
  </w:footnote>
  <w:footnote w:id="34">
    <w:p w:rsidR="001A62D7" w:rsidRPr="00CB7408" w:rsidRDefault="001A62D7" w:rsidP="001A62D7">
      <w:pPr>
        <w:pStyle w:val="FootnoteText"/>
      </w:pPr>
      <w:r w:rsidRPr="00CB7408">
        <w:rPr>
          <w:rStyle w:val="FootnoteReference"/>
        </w:rPr>
        <w:footnoteRef/>
      </w:r>
      <w:r w:rsidRPr="00CB7408">
        <w:tab/>
        <w:t>OJ L 433 I, 22.12.2020, p. 28.</w:t>
      </w:r>
    </w:p>
  </w:footnote>
  <w:footnote w:id="35">
    <w:p w:rsidR="001A62D7" w:rsidRPr="00CB7408" w:rsidRDefault="001A62D7" w:rsidP="001A62D7">
      <w:pPr>
        <w:pStyle w:val="FootnoteText"/>
      </w:pPr>
      <w:r w:rsidRPr="00CB7408">
        <w:rPr>
          <w:rStyle w:val="FootnoteReference"/>
        </w:rPr>
        <w:footnoteRef/>
      </w:r>
      <w:r w:rsidRPr="00CB7408">
        <w:tab/>
        <w:t xml:space="preserve">Regulation (EU, Euratom) 2024/2509 of the European Parliament and of the Council of 23 September 2024 on the financial rules applicable to the general budget of the Union (recast), OJ L, 2024/2509, </w:t>
      </w:r>
      <w:r w:rsidR="00BC5BFA" w:rsidRPr="00CB7408">
        <w:t>ELI: http://data.europa.eu/eli/reg/2024/2509/oj</w:t>
      </w:r>
      <w:r w:rsidRPr="00CB7408">
        <w:t>26.9.2024.</w:t>
      </w:r>
    </w:p>
  </w:footnote>
  <w:footnote w:id="36">
    <w:p w:rsidR="001A62D7" w:rsidRPr="00CB7408" w:rsidRDefault="001A62D7" w:rsidP="001A62D7">
      <w:pPr>
        <w:pStyle w:val="FootnoteText"/>
      </w:pPr>
      <w:r w:rsidRPr="00CB7408">
        <w:rPr>
          <w:rStyle w:val="FootnoteReference"/>
        </w:rPr>
        <w:footnoteRef/>
      </w:r>
      <w:r w:rsidRPr="00CB7408">
        <w:tab/>
        <w:t>OJ L 153, 3.5.2021, p. 48.</w:t>
      </w:r>
    </w:p>
  </w:footnote>
  <w:footnote w:id="37">
    <w:p w:rsidR="001A62D7" w:rsidRPr="00CB7408" w:rsidRDefault="001A62D7" w:rsidP="001A62D7">
      <w:pPr>
        <w:pStyle w:val="FootnoteText"/>
      </w:pPr>
      <w:r w:rsidRPr="00CB7408">
        <w:rPr>
          <w:rStyle w:val="FootnoteReference"/>
        </w:rPr>
        <w:footnoteRef/>
      </w:r>
      <w:r w:rsidRPr="00CB7408">
        <w:tab/>
        <w:t>OJ L 433 I, 22.12.2020, p. 28</w:t>
      </w:r>
    </w:p>
  </w:footnote>
  <w:footnote w:id="38">
    <w:p w:rsidR="001A62D7" w:rsidRPr="00CB7408" w:rsidRDefault="001A62D7" w:rsidP="001A62D7">
      <w:pPr>
        <w:pStyle w:val="FootnoteText"/>
      </w:pPr>
      <w:r w:rsidRPr="00CB7408">
        <w:rPr>
          <w:rStyle w:val="FootnoteReference"/>
        </w:rPr>
        <w:footnoteRef/>
      </w:r>
      <w:r w:rsidRPr="00CB7408">
        <w:tab/>
        <w:t>Council Regulation (EU, Euratom) 2020/2093 of 17 December 2020 laying down the multiannual financial framework for the years 2021 to 2027 (OJ L 433 I, 22.12.2020, p. 11).</w:t>
      </w:r>
    </w:p>
  </w:footnote>
  <w:footnote w:id="39">
    <w:p w:rsidR="001A62D7" w:rsidRPr="00CB7408" w:rsidRDefault="001A62D7" w:rsidP="001A62D7">
      <w:pPr>
        <w:pStyle w:val="FootnoteText"/>
      </w:pPr>
      <w:r w:rsidRPr="00CB7408">
        <w:rPr>
          <w:rStyle w:val="FootnoteReference"/>
        </w:rPr>
        <w:footnoteRef/>
      </w:r>
      <w:r w:rsidRPr="00CB7408">
        <w:tab/>
        <w:t>OJ L</w:t>
      </w:r>
      <w:r w:rsidR="00842DE2" w:rsidRPr="00CB7408">
        <w:t>,</w:t>
      </w:r>
      <w:r w:rsidRPr="00CB7408">
        <w:t> 2024/765, 29.2.2024</w:t>
      </w:r>
      <w:r w:rsidR="00BC5BFA" w:rsidRPr="00CB7408">
        <w:t>, ELI: http://data.europa.eu/eli/reg/2024/765/oj</w:t>
      </w:r>
      <w:r w:rsidRPr="00CB7408">
        <w:t>.</w:t>
      </w:r>
    </w:p>
  </w:footnote>
  <w:footnote w:id="40">
    <w:p w:rsidR="001A62D7" w:rsidRPr="00CB7408" w:rsidRDefault="001A62D7" w:rsidP="001A62D7">
      <w:pPr>
        <w:pStyle w:val="FootnoteText"/>
      </w:pPr>
      <w:r w:rsidRPr="00CB7408">
        <w:rPr>
          <w:rStyle w:val="FootnoteReference"/>
        </w:rPr>
        <w:footnoteRef/>
      </w:r>
      <w:r w:rsidRPr="00CB7408">
        <w:tab/>
      </w:r>
      <w:r w:rsidR="00B55C2C" w:rsidRPr="00CB7408">
        <w:t>COM(2026) 4</w:t>
      </w:r>
      <w:r w:rsidRPr="00CB7408">
        <w:rPr>
          <w:color w:val="FF0000"/>
        </w:rPr>
        <w:t>.</w:t>
      </w:r>
    </w:p>
  </w:footnote>
  <w:footnote w:id="41">
    <w:p w:rsidR="00281AE4" w:rsidRPr="00281AE4" w:rsidRDefault="00281AE4">
      <w:pPr>
        <w:pStyle w:val="FootnoteText"/>
        <w:rPr>
          <w:lang w:val="en-IE"/>
        </w:rPr>
      </w:pPr>
      <w:r w:rsidRPr="00CB7408">
        <w:rPr>
          <w:rStyle w:val="FootnoteReference"/>
        </w:rPr>
        <w:t>*</w:t>
      </w:r>
      <w:r w:rsidRPr="00CB7408">
        <w:tab/>
      </w:r>
      <w:r w:rsidRPr="00CB7408">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Default="00F34F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4F19" w:rsidRDefault="00F34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4"/>
  </w:num>
  <w:num w:numId="20">
    <w:abstractNumId w:val="12"/>
    <w:lvlOverride w:ilvl="0">
      <w:startOverride w:val="1"/>
    </w:lvlOverride>
  </w:num>
  <w:num w:numId="21">
    <w:abstractNumId w:val="23"/>
  </w:num>
  <w:num w:numId="22">
    <w:abstractNumId w:val="12"/>
  </w:num>
  <w:num w:numId="23">
    <w:abstractNumId w:val="26"/>
  </w:num>
  <w:num w:numId="24">
    <w:abstractNumId w:val="6"/>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5"/>
  </w:num>
  <w:num w:numId="34">
    <w:abstractNumId w:val="19"/>
  </w:num>
  <w:num w:numId="35">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23 07:55: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1223CCF-236C-4612-B1EB-36B3F4DB23B8"/>
    <w:docVar w:name="LW_COVERPAGE_TYPE" w:val="1"/>
    <w:docVar w:name="LW_CreatedUtc" w:val="2025-02-03T12:09:04.7855178Z"/>
    <w:docVar w:name="LW_CROSSREFERENCE" w:val="&lt;UNUSED&gt;"/>
    <w:docVar w:name="LW_DocType" w:val="COM"/>
    <w:docVar w:name="LW_EMISSION" w:val="2.3.2026"/>
    <w:docVar w:name="LW_EMISSION_ISODATE" w:val="2026-03-02"/>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066"/>
    <w:docVar w:name="LW_REF.II.NEW.CP_YEAR" w:val="2026"/>
    <w:docVar w:name="LW_REF.INST.NEW" w:val="COM"/>
    <w:docVar w:name="LW_REF.INST.NEW_ADOPTED" w:val="final"/>
    <w:docVar w:name="LW_REF.INST.NEW_TEXT" w:val="(2026) 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Belgium \u8211? EGF/2025/008 BE/Liberty"/>
    <w:docVar w:name="LW_TYPE.DOC.CP" w:val="DECISION OF THE EUROPEAN PARLIAMENT AND OF THE COUNCIL"/>
    <w:docVar w:name="LwApiVersions" w:val="LW4CoDe 1.24.5.0; LW 9.2, Build 20251112"/>
  </w:docVars>
  <w:rsids>
    <w:rsidRoot w:val="001A62D7"/>
    <w:rsid w:val="0000022B"/>
    <w:rsid w:val="0001225C"/>
    <w:rsid w:val="00012AE9"/>
    <w:rsid w:val="000171AE"/>
    <w:rsid w:val="000222AD"/>
    <w:rsid w:val="0003030F"/>
    <w:rsid w:val="00036806"/>
    <w:rsid w:val="00040A87"/>
    <w:rsid w:val="00042EEB"/>
    <w:rsid w:val="00047187"/>
    <w:rsid w:val="000554AE"/>
    <w:rsid w:val="00060092"/>
    <w:rsid w:val="000621D5"/>
    <w:rsid w:val="00095247"/>
    <w:rsid w:val="000B5F51"/>
    <w:rsid w:val="000C0C57"/>
    <w:rsid w:val="000C23D3"/>
    <w:rsid w:val="000D5B2B"/>
    <w:rsid w:val="000E54A7"/>
    <w:rsid w:val="001065F5"/>
    <w:rsid w:val="001238EF"/>
    <w:rsid w:val="0013165F"/>
    <w:rsid w:val="0013666E"/>
    <w:rsid w:val="00154495"/>
    <w:rsid w:val="0018266C"/>
    <w:rsid w:val="0018782F"/>
    <w:rsid w:val="001909D2"/>
    <w:rsid w:val="001948CA"/>
    <w:rsid w:val="00197613"/>
    <w:rsid w:val="001A1BC0"/>
    <w:rsid w:val="001A62D7"/>
    <w:rsid w:val="001B0175"/>
    <w:rsid w:val="001C3001"/>
    <w:rsid w:val="001D1B04"/>
    <w:rsid w:val="001E1326"/>
    <w:rsid w:val="001E349D"/>
    <w:rsid w:val="001F1394"/>
    <w:rsid w:val="002012F5"/>
    <w:rsid w:val="002077A7"/>
    <w:rsid w:val="002102E3"/>
    <w:rsid w:val="00213164"/>
    <w:rsid w:val="0022114D"/>
    <w:rsid w:val="002244AE"/>
    <w:rsid w:val="00233DC7"/>
    <w:rsid w:val="00241826"/>
    <w:rsid w:val="002419C9"/>
    <w:rsid w:val="00241BA6"/>
    <w:rsid w:val="00247779"/>
    <w:rsid w:val="00277FCC"/>
    <w:rsid w:val="00281AE4"/>
    <w:rsid w:val="002826DE"/>
    <w:rsid w:val="00285BEE"/>
    <w:rsid w:val="0029290D"/>
    <w:rsid w:val="0029533F"/>
    <w:rsid w:val="002A0B01"/>
    <w:rsid w:val="002A4C4D"/>
    <w:rsid w:val="002B07C7"/>
    <w:rsid w:val="002B19B5"/>
    <w:rsid w:val="002B30AF"/>
    <w:rsid w:val="002B5890"/>
    <w:rsid w:val="002C667E"/>
    <w:rsid w:val="002D407A"/>
    <w:rsid w:val="002E2EE6"/>
    <w:rsid w:val="002E5201"/>
    <w:rsid w:val="002F085B"/>
    <w:rsid w:val="002F0916"/>
    <w:rsid w:val="003008C6"/>
    <w:rsid w:val="0031534C"/>
    <w:rsid w:val="00320AAE"/>
    <w:rsid w:val="0033344A"/>
    <w:rsid w:val="003556B4"/>
    <w:rsid w:val="00360210"/>
    <w:rsid w:val="0036211F"/>
    <w:rsid w:val="003D3D6D"/>
    <w:rsid w:val="003F5EC6"/>
    <w:rsid w:val="004152E7"/>
    <w:rsid w:val="00416471"/>
    <w:rsid w:val="00416F0B"/>
    <w:rsid w:val="0042015D"/>
    <w:rsid w:val="004251E7"/>
    <w:rsid w:val="0042648E"/>
    <w:rsid w:val="004419E9"/>
    <w:rsid w:val="00457FE1"/>
    <w:rsid w:val="00470CDD"/>
    <w:rsid w:val="004936D2"/>
    <w:rsid w:val="00496009"/>
    <w:rsid w:val="004A0546"/>
    <w:rsid w:val="004B0869"/>
    <w:rsid w:val="004B1AA6"/>
    <w:rsid w:val="004D028F"/>
    <w:rsid w:val="004F5528"/>
    <w:rsid w:val="00516125"/>
    <w:rsid w:val="00525F3A"/>
    <w:rsid w:val="005302D3"/>
    <w:rsid w:val="00532962"/>
    <w:rsid w:val="00543082"/>
    <w:rsid w:val="00546BF7"/>
    <w:rsid w:val="005506DB"/>
    <w:rsid w:val="005705CA"/>
    <w:rsid w:val="00580012"/>
    <w:rsid w:val="005A4ADD"/>
    <w:rsid w:val="005B0EC2"/>
    <w:rsid w:val="005B1EB6"/>
    <w:rsid w:val="005B5E5A"/>
    <w:rsid w:val="005D52E3"/>
    <w:rsid w:val="005E047F"/>
    <w:rsid w:val="005E0EA9"/>
    <w:rsid w:val="005E4A90"/>
    <w:rsid w:val="005F26CA"/>
    <w:rsid w:val="006069DD"/>
    <w:rsid w:val="00625A8E"/>
    <w:rsid w:val="00626CC6"/>
    <w:rsid w:val="00640A33"/>
    <w:rsid w:val="006434F9"/>
    <w:rsid w:val="006610FB"/>
    <w:rsid w:val="00667BE1"/>
    <w:rsid w:val="00695B7B"/>
    <w:rsid w:val="006A13DE"/>
    <w:rsid w:val="006B05B2"/>
    <w:rsid w:val="006D546F"/>
    <w:rsid w:val="006E2777"/>
    <w:rsid w:val="006E64D1"/>
    <w:rsid w:val="00710896"/>
    <w:rsid w:val="00731699"/>
    <w:rsid w:val="00736E61"/>
    <w:rsid w:val="007540FF"/>
    <w:rsid w:val="00772772"/>
    <w:rsid w:val="00773331"/>
    <w:rsid w:val="007932EF"/>
    <w:rsid w:val="007A0C2F"/>
    <w:rsid w:val="007A11BE"/>
    <w:rsid w:val="007B508B"/>
    <w:rsid w:val="007C116C"/>
    <w:rsid w:val="007C45B4"/>
    <w:rsid w:val="007E05B0"/>
    <w:rsid w:val="007E1F2F"/>
    <w:rsid w:val="00803197"/>
    <w:rsid w:val="00816030"/>
    <w:rsid w:val="00842DE2"/>
    <w:rsid w:val="00874D22"/>
    <w:rsid w:val="008776DF"/>
    <w:rsid w:val="00877C5B"/>
    <w:rsid w:val="00880D05"/>
    <w:rsid w:val="008820A0"/>
    <w:rsid w:val="008A173B"/>
    <w:rsid w:val="008A2914"/>
    <w:rsid w:val="008B6E00"/>
    <w:rsid w:val="008D2433"/>
    <w:rsid w:val="008E1474"/>
    <w:rsid w:val="008E262B"/>
    <w:rsid w:val="008E4D8E"/>
    <w:rsid w:val="008F2710"/>
    <w:rsid w:val="00914FE7"/>
    <w:rsid w:val="00915104"/>
    <w:rsid w:val="00915573"/>
    <w:rsid w:val="009261A3"/>
    <w:rsid w:val="00932C55"/>
    <w:rsid w:val="00970D4B"/>
    <w:rsid w:val="0097444D"/>
    <w:rsid w:val="00977677"/>
    <w:rsid w:val="009856EF"/>
    <w:rsid w:val="00995229"/>
    <w:rsid w:val="009A476A"/>
    <w:rsid w:val="009B526B"/>
    <w:rsid w:val="009D066B"/>
    <w:rsid w:val="00A00F6A"/>
    <w:rsid w:val="00A10101"/>
    <w:rsid w:val="00A165DD"/>
    <w:rsid w:val="00A34BF0"/>
    <w:rsid w:val="00A508C2"/>
    <w:rsid w:val="00A5466A"/>
    <w:rsid w:val="00A610C0"/>
    <w:rsid w:val="00A67034"/>
    <w:rsid w:val="00A73C20"/>
    <w:rsid w:val="00A748C9"/>
    <w:rsid w:val="00AA1028"/>
    <w:rsid w:val="00AA7650"/>
    <w:rsid w:val="00AD6B3D"/>
    <w:rsid w:val="00AE2AA8"/>
    <w:rsid w:val="00AE7D04"/>
    <w:rsid w:val="00B100CF"/>
    <w:rsid w:val="00B10303"/>
    <w:rsid w:val="00B17A01"/>
    <w:rsid w:val="00B20D69"/>
    <w:rsid w:val="00B26166"/>
    <w:rsid w:val="00B3426C"/>
    <w:rsid w:val="00B3474F"/>
    <w:rsid w:val="00B5414C"/>
    <w:rsid w:val="00B55474"/>
    <w:rsid w:val="00B55C2C"/>
    <w:rsid w:val="00B866E8"/>
    <w:rsid w:val="00B93634"/>
    <w:rsid w:val="00B951E3"/>
    <w:rsid w:val="00BC5BFA"/>
    <w:rsid w:val="00BD388F"/>
    <w:rsid w:val="00BE0027"/>
    <w:rsid w:val="00BF176D"/>
    <w:rsid w:val="00C01961"/>
    <w:rsid w:val="00C12301"/>
    <w:rsid w:val="00C166B8"/>
    <w:rsid w:val="00C2027B"/>
    <w:rsid w:val="00C33AEF"/>
    <w:rsid w:val="00C428BF"/>
    <w:rsid w:val="00C46D8F"/>
    <w:rsid w:val="00C771BD"/>
    <w:rsid w:val="00C81C4C"/>
    <w:rsid w:val="00C856DF"/>
    <w:rsid w:val="00CA45AC"/>
    <w:rsid w:val="00CA5DE4"/>
    <w:rsid w:val="00CA7EE1"/>
    <w:rsid w:val="00CB7408"/>
    <w:rsid w:val="00CF09CE"/>
    <w:rsid w:val="00CF69BF"/>
    <w:rsid w:val="00CF6FE9"/>
    <w:rsid w:val="00D00BAE"/>
    <w:rsid w:val="00D041D7"/>
    <w:rsid w:val="00D1329E"/>
    <w:rsid w:val="00D20381"/>
    <w:rsid w:val="00D24FA0"/>
    <w:rsid w:val="00D273B0"/>
    <w:rsid w:val="00D31FD1"/>
    <w:rsid w:val="00D51A37"/>
    <w:rsid w:val="00D54F1D"/>
    <w:rsid w:val="00D6152A"/>
    <w:rsid w:val="00D659FB"/>
    <w:rsid w:val="00D85188"/>
    <w:rsid w:val="00D86BBA"/>
    <w:rsid w:val="00D87868"/>
    <w:rsid w:val="00D924F0"/>
    <w:rsid w:val="00DC465E"/>
    <w:rsid w:val="00DD02FD"/>
    <w:rsid w:val="00DF53F0"/>
    <w:rsid w:val="00E1077D"/>
    <w:rsid w:val="00E1163B"/>
    <w:rsid w:val="00E13EF1"/>
    <w:rsid w:val="00E346FB"/>
    <w:rsid w:val="00E50399"/>
    <w:rsid w:val="00E700C8"/>
    <w:rsid w:val="00E83C10"/>
    <w:rsid w:val="00E87E4A"/>
    <w:rsid w:val="00EA2966"/>
    <w:rsid w:val="00EB5360"/>
    <w:rsid w:val="00EC11EE"/>
    <w:rsid w:val="00F0417E"/>
    <w:rsid w:val="00F10A52"/>
    <w:rsid w:val="00F1711F"/>
    <w:rsid w:val="00F27843"/>
    <w:rsid w:val="00F34F19"/>
    <w:rsid w:val="00F362D6"/>
    <w:rsid w:val="00F51D6A"/>
    <w:rsid w:val="00F76D74"/>
    <w:rsid w:val="00F8409C"/>
    <w:rsid w:val="00FA5322"/>
    <w:rsid w:val="00FB540F"/>
    <w:rsid w:val="00FC38F8"/>
    <w:rsid w:val="00FC563C"/>
    <w:rsid w:val="00FD1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uiPriority w:val="99"/>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uiPriority w:val="99"/>
    <w:rsid w:val="001A62D7"/>
    <w:rPr>
      <w:rFonts w:cs="Times New Roman"/>
      <w:sz w:val="16"/>
      <w:szCs w:val="16"/>
    </w:rPr>
  </w:style>
  <w:style w:type="paragraph" w:styleId="CommentText">
    <w:name w:val="annotation text"/>
    <w:basedOn w:val="Normal"/>
    <w:link w:val="CommentTextChar"/>
    <w:uiPriority w:val="99"/>
    <w:rsid w:val="001A62D7"/>
    <w:rPr>
      <w:rFonts w:eastAsia="Times New Roman"/>
      <w:sz w:val="20"/>
      <w:szCs w:val="20"/>
      <w:lang w:val="fr-FR" w:eastAsia="en-GB"/>
    </w:rPr>
  </w:style>
  <w:style w:type="character" w:customStyle="1" w:styleId="CommentTextChar">
    <w:name w:val="Comment Text Char"/>
    <w:basedOn w:val="DefaultParagraphFont"/>
    <w:link w:val="CommentText"/>
    <w:uiPriority w:val="99"/>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HeaderChar">
    <w:name w:val="Header Char"/>
    <w:basedOn w:val="DefaultParagraphFont"/>
    <w:link w:val="Header"/>
    <w:uiPriority w:val="99"/>
    <w:rsid w:val="00F34F19"/>
    <w:rPr>
      <w:rFonts w:ascii="Times New Roman" w:hAnsi="Times New Roman" w:cs="Times New Roman"/>
      <w:sz w:val="24"/>
      <w:lang w:val="en-GB"/>
    </w:rPr>
  </w:style>
  <w:style w:type="character" w:customStyle="1" w:styleId="FooterChar">
    <w:name w:val="Footer Char"/>
    <w:basedOn w:val="DefaultParagraphFont"/>
    <w:link w:val="Footer"/>
    <w:uiPriority w:val="99"/>
    <w:rsid w:val="00F34F1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34F1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34F19"/>
    <w:pPr>
      <w:spacing w:before="0"/>
      <w:jc w:val="right"/>
    </w:pPr>
    <w:rPr>
      <w:sz w:val="28"/>
    </w:rPr>
  </w:style>
  <w:style w:type="paragraph" w:customStyle="1" w:styleId="FooterSensitivity">
    <w:name w:val="Footer Sensitivity"/>
    <w:basedOn w:val="Normal"/>
    <w:rsid w:val="00F34F1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34F19"/>
    <w:pPr>
      <w:tabs>
        <w:tab w:val="center" w:pos="4535"/>
        <w:tab w:val="right" w:pos="9071"/>
      </w:tabs>
      <w:spacing w:before="0"/>
    </w:pPr>
  </w:style>
  <w:style w:type="paragraph" w:customStyle="1" w:styleId="HeaderLandscape">
    <w:name w:val="HeaderLandscape"/>
    <w:basedOn w:val="Normal"/>
    <w:rsid w:val="00F34F19"/>
    <w:pPr>
      <w:tabs>
        <w:tab w:val="center" w:pos="7285"/>
        <w:tab w:val="right" w:pos="14003"/>
      </w:tabs>
      <w:spacing w:before="0"/>
    </w:pPr>
  </w:style>
  <w:style w:type="paragraph" w:styleId="Footer">
    <w:name w:val="footer"/>
    <w:basedOn w:val="Normal"/>
    <w:link w:val="FooterChar"/>
    <w:uiPriority w:val="99"/>
    <w:unhideWhenUsed/>
    <w:rsid w:val="00F34F1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34F1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leforem.be/documents/citoyens/penuries-liste-metiers.pdf" TargetMode="External"/><Relationship Id="rId3" Type="http://schemas.openxmlformats.org/officeDocument/2006/relationships/hyperlink" Target="https://statbel.fgov.be/fr/themes/emploi-formation/marche-du-travail/emploi-et-chomage" TargetMode="External"/><Relationship Id="rId7" Type="http://schemas.openxmlformats.org/officeDocument/2006/relationships/hyperlink" Target="https://www.leforem.be/a-propos/reconversions-collectives.html" TargetMode="External"/><Relationship Id="rId2" Type="http://schemas.openxmlformats.org/officeDocument/2006/relationships/hyperlink" Target="https://ec.europa.eu/eurostat/web/products-euro-indicators/w/3-02102025-ap" TargetMode="External"/><Relationship Id="rId1" Type="http://schemas.openxmlformats.org/officeDocument/2006/relationships/hyperlink" Target="https://www.eurofer.eu/assets/publications/brochures-booklets-and-factsheets/european-steel-in-figures-2025/European-Steel-in-Figures-2025_23062025.pdf" TargetMode="External"/><Relationship Id="rId6" Type="http://schemas.openxmlformats.org/officeDocument/2006/relationships/hyperlink" Target="https://bestat.statbel.fgov.be/bestat/crosstable.xhtml?view=9ef9d888-ffdb-4826-9f5e-6a637259f1c9" TargetMode="External"/><Relationship Id="rId5" Type="http://schemas.openxmlformats.org/officeDocument/2006/relationships/hyperlink" Target="https://ec.europa.eu/eurostat/web/products-eurostat-news/w/ddn-20250912-1" TargetMode="External"/><Relationship Id="rId4" Type="http://schemas.openxmlformats.org/officeDocument/2006/relationships/hyperlink" Target="https://statbel.fgov.be/fr/themes/emploi-formation/marche-du-travail/emploi-et-chom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E3928-E485-4169-926F-E99899E77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12</Pages>
  <Words>3581</Words>
  <Characters>20417</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2026-02-18T09:36:00Z</dcterms:created>
  <dcterms:modified xsi:type="dcterms:W3CDTF">2026-02-23T06:55:00Z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