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DF6E60" w:rsidRDefault="001E1AD3" w:rsidP="001E1AD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7579E6E-6C00-4C93-B3EF-AB460263A093" style="width:455.25pt;height:357.75pt">
            <v:imagedata r:id="rId8" o:title=""/>
          </v:shape>
        </w:pict>
      </w:r>
    </w:p>
    <w:p w:rsidR="001A62D7" w:rsidRPr="00DF6E60" w:rsidRDefault="001A62D7" w:rsidP="001A62D7">
      <w:pPr>
        <w:rPr>
          <w:noProof/>
        </w:rPr>
        <w:sectPr w:rsidR="001A62D7" w:rsidRPr="00DF6E60" w:rsidSect="001E1AD3">
          <w:footerReference w:type="even" r:id="rId9"/>
          <w:footerReference w:type="default" r:id="rId10"/>
          <w:pgSz w:w="11907" w:h="16839"/>
          <w:pgMar w:top="1134" w:right="1417" w:bottom="1134" w:left="1417" w:header="709" w:footer="709" w:gutter="0"/>
          <w:pgNumType w:start="0"/>
          <w:cols w:space="720"/>
          <w:docGrid w:linePitch="360"/>
        </w:sectPr>
      </w:pPr>
    </w:p>
    <w:p w:rsidR="001A62D7" w:rsidRPr="00DF6E60" w:rsidRDefault="001A62D7" w:rsidP="001A62D7">
      <w:pPr>
        <w:pStyle w:val="Exposdesmotifstitre"/>
        <w:rPr>
          <w:noProof/>
        </w:rPr>
      </w:pPr>
      <w:bookmarkStart w:id="0" w:name="_GoBack"/>
      <w:bookmarkEnd w:id="0"/>
      <w:r w:rsidRPr="00DF6E60">
        <w:rPr>
          <w:noProof/>
        </w:rPr>
        <w:lastRenderedPageBreak/>
        <w:t>EXPOSÉ DES MOTIFS</w:t>
      </w:r>
    </w:p>
    <w:p w:rsidR="001A62D7" w:rsidRPr="00DF6E60" w:rsidRDefault="001A62D7" w:rsidP="001A62D7">
      <w:pPr>
        <w:pStyle w:val="ManualHeading1"/>
        <w:rPr>
          <w:noProof/>
        </w:rPr>
      </w:pPr>
      <w:r w:rsidRPr="00DF6E60">
        <w:rPr>
          <w:noProof/>
        </w:rPr>
        <w:t>CONTEXTE DE LA PROPOSITION</w:t>
      </w:r>
    </w:p>
    <w:p w:rsidR="001A62D7" w:rsidRPr="00DF6E60" w:rsidRDefault="001A62D7" w:rsidP="00AE7D04">
      <w:pPr>
        <w:pStyle w:val="ManualNumPar1"/>
        <w:rPr>
          <w:noProof/>
        </w:rPr>
      </w:pPr>
      <w:r>
        <w:rPr>
          <w:noProof/>
        </w:rPr>
        <w:t>1.</w:t>
      </w:r>
      <w:r>
        <w:rPr>
          <w:noProof/>
        </w:rPr>
        <w:tab/>
      </w:r>
      <w:r w:rsidRPr="00DF6E60">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Pr="00DF6E60">
        <w:rPr>
          <w:rStyle w:val="FootnoteReference"/>
          <w:noProof/>
        </w:rPr>
        <w:footnoteReference w:id="1"/>
      </w:r>
      <w:r w:rsidRPr="00DF6E60">
        <w:rPr>
          <w:noProof/>
        </w:rPr>
        <w:t>.</w:t>
      </w:r>
    </w:p>
    <w:p w:rsidR="001A62D7" w:rsidRPr="00DF6E60" w:rsidRDefault="001A62D7" w:rsidP="00AE7D04">
      <w:pPr>
        <w:pStyle w:val="ManualNumPar1"/>
        <w:rPr>
          <w:noProof/>
        </w:rPr>
      </w:pPr>
      <w:r>
        <w:rPr>
          <w:noProof/>
        </w:rPr>
        <w:t>2.</w:t>
      </w:r>
      <w:r>
        <w:rPr>
          <w:noProof/>
        </w:rPr>
        <w:tab/>
      </w:r>
      <w:r w:rsidRPr="00DF6E60">
        <w:rPr>
          <w:noProof/>
        </w:rPr>
        <w:t>Le 13 novembre 2025, à la suite de licenciements survenus au sein de Liberty Galaţi Belgian Branch</w:t>
      </w:r>
      <w:r w:rsidRPr="00DF6E60">
        <w:rPr>
          <w:rStyle w:val="FootnoteReference"/>
          <w:noProof/>
        </w:rPr>
        <w:footnoteReference w:id="2"/>
      </w:r>
      <w:r w:rsidRPr="00DF6E60">
        <w:rPr>
          <w:noProof/>
        </w:rPr>
        <w:t xml:space="preserve"> en </w:t>
      </w:r>
      <w:bookmarkStart w:id="1" w:name="MS_Name"/>
      <w:r w:rsidRPr="00DF6E60">
        <w:rPr>
          <w:noProof/>
        </w:rPr>
        <w:t>Belgique</w:t>
      </w:r>
      <w:bookmarkEnd w:id="1"/>
      <w:r w:rsidRPr="00DF6E60">
        <w:rPr>
          <w:noProof/>
        </w:rPr>
        <w:t>, les autorités belges ont présenté la demande EGF/</w:t>
      </w:r>
      <w:bookmarkStart w:id="2" w:name="EGF_Ref_Year"/>
      <w:r w:rsidRPr="00DF6E60">
        <w:rPr>
          <w:noProof/>
        </w:rPr>
        <w:t>2025</w:t>
      </w:r>
      <w:bookmarkEnd w:id="2"/>
      <w:r w:rsidRPr="00DF6E60">
        <w:rPr>
          <w:noProof/>
        </w:rPr>
        <w:t>/</w:t>
      </w:r>
      <w:bookmarkStart w:id="3" w:name="EGF_Ref_CaseNumber"/>
      <w:r w:rsidRPr="00DF6E60">
        <w:rPr>
          <w:noProof/>
        </w:rPr>
        <w:t>008</w:t>
      </w:r>
      <w:bookmarkStart w:id="4" w:name="MS_Code"/>
      <w:bookmarkEnd w:id="3"/>
      <w:r w:rsidRPr="00DF6E60">
        <w:rPr>
          <w:noProof/>
        </w:rPr>
        <w:t>BE</w:t>
      </w:r>
      <w:bookmarkEnd w:id="4"/>
      <w:r w:rsidRPr="00DF6E60">
        <w:rPr>
          <w:noProof/>
        </w:rPr>
        <w:t>/</w:t>
      </w:r>
      <w:bookmarkStart w:id="5" w:name="EGF_Ref_CaseName"/>
      <w:r w:rsidRPr="00DF6E60">
        <w:rPr>
          <w:noProof/>
        </w:rPr>
        <w:t>Liberty</w:t>
      </w:r>
      <w:bookmarkEnd w:id="5"/>
      <w:r w:rsidRPr="00DF6E60">
        <w:rPr>
          <w:noProof/>
        </w:rPr>
        <w:t xml:space="preserve"> en vue d’obtenir une contribution financière du FEM.</w:t>
      </w:r>
    </w:p>
    <w:p w:rsidR="001A62D7" w:rsidRPr="00DF6E60" w:rsidRDefault="001A62D7" w:rsidP="00AE7D04">
      <w:pPr>
        <w:pStyle w:val="ManualNumPar1"/>
        <w:rPr>
          <w:noProof/>
        </w:rPr>
      </w:pPr>
      <w:r>
        <w:rPr>
          <w:noProof/>
        </w:rPr>
        <w:t>3.</w:t>
      </w:r>
      <w:r>
        <w:rPr>
          <w:noProof/>
        </w:rPr>
        <w:tab/>
      </w:r>
      <w:r w:rsidRPr="00DF6E60">
        <w:rPr>
          <w:noProof/>
        </w:rPr>
        <w:t xml:space="preserve">Au terme de l’évaluation de cette demande, la Commission a conclu, conformément à l’ensemble des dispositions applicables du règlement (UE) 2021/691, que les conditions d’octroi d’une contribution financière au titre du FEM sont remplies. </w:t>
      </w:r>
    </w:p>
    <w:p w:rsidR="001A62D7" w:rsidRPr="00DF6E60" w:rsidRDefault="001A62D7" w:rsidP="001A62D7">
      <w:pPr>
        <w:pStyle w:val="ManualHeading1"/>
        <w:rPr>
          <w:noProof/>
        </w:rPr>
      </w:pPr>
      <w:r w:rsidRPr="00DF6E60">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DF6E60" w:rsidTr="001D5990">
        <w:tc>
          <w:tcPr>
            <w:tcW w:w="4908" w:type="dxa"/>
            <w:shd w:val="clear" w:color="auto" w:fill="auto"/>
          </w:tcPr>
          <w:p w:rsidR="001A62D7" w:rsidRPr="00DF6E60" w:rsidRDefault="001A62D7" w:rsidP="001D5990">
            <w:pPr>
              <w:spacing w:before="60" w:after="60"/>
              <w:jc w:val="left"/>
              <w:rPr>
                <w:rFonts w:eastAsia="Calibri"/>
                <w:noProof/>
              </w:rPr>
            </w:pPr>
            <w:r w:rsidRPr="00DF6E60">
              <w:rPr>
                <w:noProof/>
              </w:rPr>
              <w:t>Numéro de la demande FEM</w:t>
            </w:r>
          </w:p>
        </w:tc>
        <w:tc>
          <w:tcPr>
            <w:tcW w:w="4379" w:type="dxa"/>
            <w:shd w:val="clear" w:color="auto" w:fill="auto"/>
          </w:tcPr>
          <w:p w:rsidR="001A62D7" w:rsidRPr="00DF6E60" w:rsidRDefault="001A62D7" w:rsidP="001D5990">
            <w:pPr>
              <w:spacing w:before="60" w:after="60"/>
              <w:ind w:rightChars="192" w:right="461"/>
              <w:jc w:val="left"/>
              <w:rPr>
                <w:rFonts w:eastAsia="Calibri"/>
                <w:noProof/>
              </w:rPr>
            </w:pPr>
            <w:r w:rsidRPr="00DF6E60">
              <w:rPr>
                <w:noProof/>
              </w:rPr>
              <w:t>EGF/2025/008 BE/Liberty</w:t>
            </w:r>
          </w:p>
        </w:tc>
      </w:tr>
      <w:tr w:rsidR="001A62D7" w:rsidRPr="00DF6E60" w:rsidTr="001D5990">
        <w:tc>
          <w:tcPr>
            <w:tcW w:w="4908" w:type="dxa"/>
            <w:shd w:val="clear" w:color="auto" w:fill="auto"/>
          </w:tcPr>
          <w:p w:rsidR="001A62D7" w:rsidRPr="00DF6E60" w:rsidRDefault="001A62D7" w:rsidP="001D5990">
            <w:pPr>
              <w:spacing w:before="60" w:after="60"/>
              <w:jc w:val="left"/>
              <w:rPr>
                <w:rFonts w:eastAsia="Calibri"/>
                <w:noProof/>
              </w:rPr>
            </w:pPr>
            <w:r w:rsidRPr="00DF6E60">
              <w:rPr>
                <w:noProof/>
              </w:rPr>
              <w:t>État membre</w:t>
            </w:r>
          </w:p>
        </w:tc>
        <w:tc>
          <w:tcPr>
            <w:tcW w:w="4379" w:type="dxa"/>
            <w:shd w:val="clear" w:color="auto" w:fill="auto"/>
          </w:tcPr>
          <w:p w:rsidR="001A62D7" w:rsidRPr="00DF6E60" w:rsidRDefault="00516125" w:rsidP="001D5990">
            <w:pPr>
              <w:spacing w:before="60" w:after="60"/>
              <w:ind w:rightChars="192" w:right="461"/>
              <w:jc w:val="left"/>
              <w:rPr>
                <w:rFonts w:eastAsia="Calibri"/>
                <w:noProof/>
              </w:rPr>
            </w:pPr>
            <w:r w:rsidRPr="00DF6E60">
              <w:rPr>
                <w:noProof/>
              </w:rPr>
              <w:t>Belgique</w:t>
            </w:r>
          </w:p>
        </w:tc>
      </w:tr>
      <w:tr w:rsidR="001A62D7" w:rsidRPr="00DF6E60" w:rsidTr="001D5990">
        <w:tc>
          <w:tcPr>
            <w:tcW w:w="4908" w:type="dxa"/>
            <w:tcBorders>
              <w:bottom w:val="single"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t>Région(s) concernée(s) (niveau NUTS 2</w:t>
            </w:r>
            <w:r w:rsidRPr="00DF6E60">
              <w:rPr>
                <w:rStyle w:val="FootnoteReference"/>
                <w:noProof/>
              </w:rPr>
              <w:footnoteReference w:id="3"/>
            </w:r>
            <w:r w:rsidRPr="00DF6E60">
              <w:rPr>
                <w:noProof/>
              </w:rPr>
              <w:t>).</w:t>
            </w:r>
          </w:p>
        </w:tc>
        <w:tc>
          <w:tcPr>
            <w:tcW w:w="4379" w:type="dxa"/>
            <w:tcBorders>
              <w:bottom w:val="single" w:sz="4" w:space="0" w:color="auto"/>
            </w:tcBorders>
            <w:shd w:val="clear" w:color="auto" w:fill="auto"/>
          </w:tcPr>
          <w:p w:rsidR="001A62D7" w:rsidRPr="00DF6E60" w:rsidRDefault="00516125" w:rsidP="00516125">
            <w:pPr>
              <w:spacing w:before="0" w:after="0"/>
              <w:ind w:rightChars="192" w:right="461"/>
              <w:jc w:val="left"/>
              <w:rPr>
                <w:noProof/>
                <w:szCs w:val="24"/>
              </w:rPr>
            </w:pPr>
            <w:bookmarkStart w:id="6" w:name="Region_1_Name"/>
            <w:r w:rsidRPr="00DF6E60">
              <w:rPr>
                <w:noProof/>
              </w:rPr>
              <w:t>Province de Liège</w:t>
            </w:r>
            <w:bookmarkEnd w:id="6"/>
            <w:r w:rsidRPr="00DF6E60">
              <w:rPr>
                <w:noProof/>
              </w:rPr>
              <w:t xml:space="preserve"> (BE33)</w:t>
            </w:r>
          </w:p>
        </w:tc>
      </w:tr>
      <w:tr w:rsidR="001A62D7" w:rsidRPr="00DF6E60" w:rsidTr="001D5990">
        <w:tc>
          <w:tcPr>
            <w:tcW w:w="4908" w:type="dxa"/>
            <w:tcBorders>
              <w:bottom w:val="dotted"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t>Date de dépôt de la demande</w:t>
            </w:r>
          </w:p>
        </w:tc>
        <w:tc>
          <w:tcPr>
            <w:tcW w:w="4379" w:type="dxa"/>
            <w:tcBorders>
              <w:bottom w:val="dotted" w:sz="4" w:space="0" w:color="auto"/>
            </w:tcBorders>
            <w:shd w:val="clear" w:color="auto" w:fill="auto"/>
          </w:tcPr>
          <w:p w:rsidR="001A62D7" w:rsidRPr="00DF6E60" w:rsidRDefault="00516125" w:rsidP="001D5990">
            <w:pPr>
              <w:spacing w:before="60" w:after="60"/>
              <w:ind w:rightChars="192" w:right="461"/>
              <w:jc w:val="left"/>
              <w:rPr>
                <w:rFonts w:eastAsia="Calibri"/>
                <w:noProof/>
              </w:rPr>
            </w:pPr>
            <w:r w:rsidRPr="00DF6E60">
              <w:rPr>
                <w:noProof/>
              </w:rPr>
              <w:t>13 novembre 2025</w:t>
            </w:r>
          </w:p>
        </w:tc>
      </w:tr>
      <w:tr w:rsidR="001A62D7" w:rsidRPr="00DF6E60" w:rsidTr="001D5990">
        <w:tc>
          <w:tcPr>
            <w:tcW w:w="4908" w:type="dxa"/>
            <w:tcBorders>
              <w:top w:val="dotted" w:sz="4" w:space="0" w:color="auto"/>
              <w:bottom w:val="dotted"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t>Date d’accusé de réception de la demande</w:t>
            </w:r>
          </w:p>
        </w:tc>
        <w:tc>
          <w:tcPr>
            <w:tcW w:w="4379" w:type="dxa"/>
            <w:tcBorders>
              <w:top w:val="dotted" w:sz="4" w:space="0" w:color="auto"/>
              <w:bottom w:val="dotted" w:sz="4" w:space="0" w:color="auto"/>
            </w:tcBorders>
            <w:shd w:val="clear" w:color="auto" w:fill="auto"/>
          </w:tcPr>
          <w:p w:rsidR="001A62D7" w:rsidRPr="00DF6E60" w:rsidRDefault="00E83C10" w:rsidP="001D5990">
            <w:pPr>
              <w:spacing w:before="60" w:after="60"/>
              <w:ind w:rightChars="192" w:right="461"/>
              <w:jc w:val="left"/>
              <w:rPr>
                <w:rFonts w:eastAsia="Calibri"/>
                <w:noProof/>
              </w:rPr>
            </w:pPr>
            <w:r w:rsidRPr="00DF6E60">
              <w:rPr>
                <w:noProof/>
              </w:rPr>
              <w:t>27 novembre 2025</w:t>
            </w:r>
          </w:p>
        </w:tc>
      </w:tr>
      <w:tr w:rsidR="001A62D7" w:rsidRPr="00DF6E60" w:rsidTr="001D5990">
        <w:tc>
          <w:tcPr>
            <w:tcW w:w="4908" w:type="dxa"/>
            <w:tcBorders>
              <w:top w:val="dotted" w:sz="4" w:space="0" w:color="auto"/>
              <w:bottom w:val="dotted"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t>Date de demande d’informations complémentaires</w:t>
            </w:r>
          </w:p>
        </w:tc>
        <w:tc>
          <w:tcPr>
            <w:tcW w:w="4379" w:type="dxa"/>
            <w:tcBorders>
              <w:top w:val="dotted" w:sz="4" w:space="0" w:color="auto"/>
              <w:bottom w:val="dotted" w:sz="4" w:space="0" w:color="auto"/>
            </w:tcBorders>
            <w:shd w:val="clear" w:color="auto" w:fill="auto"/>
          </w:tcPr>
          <w:p w:rsidR="001A62D7" w:rsidRPr="00DF6E60" w:rsidRDefault="00E83C10" w:rsidP="001D5990">
            <w:pPr>
              <w:spacing w:before="60" w:after="60"/>
              <w:ind w:rightChars="192" w:right="461"/>
              <w:jc w:val="left"/>
              <w:rPr>
                <w:rFonts w:eastAsia="Calibri"/>
                <w:noProof/>
              </w:rPr>
            </w:pPr>
            <w:r w:rsidRPr="00DF6E60">
              <w:rPr>
                <w:noProof/>
              </w:rPr>
              <w:t>27 novembre 2025</w:t>
            </w:r>
          </w:p>
        </w:tc>
      </w:tr>
      <w:tr w:rsidR="001A62D7" w:rsidRPr="00DF6E60" w:rsidTr="001D5990">
        <w:tc>
          <w:tcPr>
            <w:tcW w:w="4908" w:type="dxa"/>
            <w:tcBorders>
              <w:top w:val="dotted" w:sz="4" w:space="0" w:color="auto"/>
              <w:bottom w:val="dotted"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t>Date limite pour la communication des informations complémentaires</w:t>
            </w:r>
          </w:p>
        </w:tc>
        <w:tc>
          <w:tcPr>
            <w:tcW w:w="4379" w:type="dxa"/>
            <w:tcBorders>
              <w:top w:val="dotted" w:sz="4" w:space="0" w:color="auto"/>
              <w:bottom w:val="dotted" w:sz="4" w:space="0" w:color="auto"/>
            </w:tcBorders>
            <w:shd w:val="clear" w:color="auto" w:fill="auto"/>
          </w:tcPr>
          <w:p w:rsidR="001A62D7" w:rsidRPr="00DF6E60" w:rsidRDefault="00E83C10" w:rsidP="001D5990">
            <w:pPr>
              <w:spacing w:before="60" w:after="60"/>
              <w:ind w:rightChars="192" w:right="461"/>
              <w:jc w:val="left"/>
              <w:rPr>
                <w:rFonts w:eastAsia="Calibri"/>
                <w:noProof/>
              </w:rPr>
            </w:pPr>
            <w:r w:rsidRPr="00DF6E60">
              <w:rPr>
                <w:noProof/>
              </w:rPr>
              <w:t>18 décembre 2025</w:t>
            </w:r>
          </w:p>
        </w:tc>
      </w:tr>
      <w:tr w:rsidR="001A62D7" w:rsidRPr="00DF6E60" w:rsidTr="001D5990">
        <w:tc>
          <w:tcPr>
            <w:tcW w:w="4908" w:type="dxa"/>
            <w:tcBorders>
              <w:top w:val="dotted"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t>Date limite pour l’achèvement de l’évaluation</w:t>
            </w:r>
          </w:p>
        </w:tc>
        <w:tc>
          <w:tcPr>
            <w:tcW w:w="4379" w:type="dxa"/>
            <w:tcBorders>
              <w:top w:val="dotted" w:sz="4" w:space="0" w:color="auto"/>
            </w:tcBorders>
            <w:shd w:val="clear" w:color="auto" w:fill="auto"/>
          </w:tcPr>
          <w:p w:rsidR="001A62D7" w:rsidRPr="00DF6E60" w:rsidRDefault="00E1077D" w:rsidP="001D5990">
            <w:pPr>
              <w:spacing w:before="60" w:after="60"/>
              <w:ind w:rightChars="192" w:right="461"/>
              <w:jc w:val="left"/>
              <w:rPr>
                <w:rFonts w:eastAsia="Calibri"/>
                <w:noProof/>
              </w:rPr>
            </w:pPr>
            <w:r w:rsidRPr="00DF6E60">
              <w:rPr>
                <w:noProof/>
              </w:rPr>
              <w:t>10 mars 2026</w:t>
            </w:r>
          </w:p>
        </w:tc>
      </w:tr>
      <w:tr w:rsidR="001A62D7" w:rsidRPr="00DF6E60" w:rsidTr="001D5990">
        <w:tc>
          <w:tcPr>
            <w:tcW w:w="4908" w:type="dxa"/>
            <w:shd w:val="clear" w:color="auto" w:fill="auto"/>
          </w:tcPr>
          <w:p w:rsidR="001A62D7" w:rsidRPr="00DF6E60" w:rsidRDefault="001A62D7" w:rsidP="001D5990">
            <w:pPr>
              <w:spacing w:before="60" w:after="60"/>
              <w:jc w:val="left"/>
              <w:rPr>
                <w:rFonts w:eastAsia="Calibri"/>
                <w:noProof/>
              </w:rPr>
            </w:pPr>
            <w:r w:rsidRPr="00DF6E60">
              <w:rPr>
                <w:noProof/>
              </w:rPr>
              <w:t>Critère d’intervention</w:t>
            </w:r>
          </w:p>
        </w:tc>
        <w:tc>
          <w:tcPr>
            <w:tcW w:w="4379" w:type="dxa"/>
            <w:shd w:val="clear" w:color="auto" w:fill="auto"/>
          </w:tcPr>
          <w:p w:rsidR="001A62D7" w:rsidRPr="00DF6E60" w:rsidRDefault="001A62D7" w:rsidP="001D5990">
            <w:pPr>
              <w:spacing w:before="60" w:after="60"/>
              <w:ind w:rightChars="192" w:right="461"/>
              <w:jc w:val="left"/>
              <w:rPr>
                <w:rFonts w:eastAsia="Calibri"/>
                <w:noProof/>
              </w:rPr>
            </w:pPr>
            <w:r w:rsidRPr="00DF6E60">
              <w:rPr>
                <w:noProof/>
              </w:rPr>
              <w:t>Article 4, paragraphe 2, point a), du règlement (UE) 2021/691</w:t>
            </w:r>
          </w:p>
        </w:tc>
      </w:tr>
      <w:tr w:rsidR="001A62D7" w:rsidRPr="00DF6E60" w:rsidTr="001D5990">
        <w:tc>
          <w:tcPr>
            <w:tcW w:w="4908" w:type="dxa"/>
            <w:tcBorders>
              <w:top w:val="single" w:sz="4" w:space="0" w:color="auto"/>
              <w:bottom w:val="single" w:sz="4" w:space="0" w:color="auto"/>
              <w:right w:val="single"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br w:type="page"/>
              <w:t>Entreprise</w:t>
            </w:r>
          </w:p>
        </w:tc>
        <w:tc>
          <w:tcPr>
            <w:tcW w:w="4379" w:type="dxa"/>
            <w:tcBorders>
              <w:top w:val="single" w:sz="4" w:space="0" w:color="auto"/>
              <w:left w:val="single" w:sz="4" w:space="0" w:color="auto"/>
              <w:bottom w:val="single" w:sz="4" w:space="0" w:color="auto"/>
            </w:tcBorders>
            <w:shd w:val="clear" w:color="auto" w:fill="auto"/>
          </w:tcPr>
          <w:p w:rsidR="001A62D7" w:rsidRPr="00DF6E60" w:rsidRDefault="00C428BF" w:rsidP="001D5990">
            <w:pPr>
              <w:spacing w:before="60" w:after="60"/>
              <w:ind w:rightChars="192" w:right="461"/>
              <w:jc w:val="left"/>
              <w:rPr>
                <w:noProof/>
                <w:szCs w:val="24"/>
              </w:rPr>
            </w:pPr>
            <w:bookmarkStart w:id="7" w:name="_Hlk219384889"/>
            <w:r w:rsidRPr="00DF6E60">
              <w:rPr>
                <w:noProof/>
              </w:rPr>
              <w:t>Liberty Galaţi Belgian Branch</w:t>
            </w:r>
            <w:bookmarkEnd w:id="7"/>
          </w:p>
        </w:tc>
      </w:tr>
      <w:tr w:rsidR="001A62D7" w:rsidRPr="00DF6E60" w:rsidTr="001D5990">
        <w:tc>
          <w:tcPr>
            <w:tcW w:w="4908" w:type="dxa"/>
            <w:shd w:val="clear" w:color="auto" w:fill="auto"/>
          </w:tcPr>
          <w:p w:rsidR="001A62D7" w:rsidRPr="00DF6E60" w:rsidRDefault="001A62D7" w:rsidP="001D5990">
            <w:pPr>
              <w:spacing w:before="60" w:after="60"/>
              <w:jc w:val="left"/>
              <w:rPr>
                <w:rFonts w:eastAsia="Calibri"/>
                <w:noProof/>
              </w:rPr>
            </w:pPr>
            <w:r w:rsidRPr="00DF6E60">
              <w:rPr>
                <w:noProof/>
              </w:rPr>
              <w:t>Secteur(s) d’activité économique</w:t>
            </w:r>
          </w:p>
          <w:p w:rsidR="001A62D7" w:rsidRPr="00DF6E60" w:rsidRDefault="001A62D7" w:rsidP="001D5990">
            <w:pPr>
              <w:spacing w:before="60" w:after="60"/>
              <w:jc w:val="left"/>
              <w:rPr>
                <w:rFonts w:eastAsia="Calibri"/>
                <w:noProof/>
              </w:rPr>
            </w:pPr>
            <w:r w:rsidRPr="00DF6E60">
              <w:rPr>
                <w:noProof/>
              </w:rPr>
              <w:t>(division de la NACE Rév. 2)</w:t>
            </w:r>
            <w:r w:rsidRPr="00DF6E60">
              <w:rPr>
                <w:rStyle w:val="FootnoteReference"/>
                <w:noProof/>
                <w:szCs w:val="24"/>
              </w:rPr>
              <w:footnoteReference w:id="4"/>
            </w:r>
          </w:p>
        </w:tc>
        <w:tc>
          <w:tcPr>
            <w:tcW w:w="4379" w:type="dxa"/>
            <w:shd w:val="clear" w:color="auto" w:fill="auto"/>
          </w:tcPr>
          <w:p w:rsidR="001A62D7" w:rsidRPr="00DF6E60" w:rsidRDefault="001A62D7" w:rsidP="00516125">
            <w:pPr>
              <w:spacing w:before="60" w:after="60"/>
              <w:ind w:rightChars="192" w:right="461"/>
              <w:jc w:val="left"/>
              <w:rPr>
                <w:rFonts w:eastAsia="Calibri"/>
                <w:noProof/>
              </w:rPr>
            </w:pPr>
            <w:r w:rsidRPr="00DF6E60">
              <w:rPr>
                <w:noProof/>
              </w:rPr>
              <w:t>Division 24 («Métallurgie»)</w:t>
            </w:r>
          </w:p>
        </w:tc>
      </w:tr>
      <w:tr w:rsidR="001A62D7" w:rsidRPr="00DF6E60" w:rsidTr="001D5990">
        <w:tc>
          <w:tcPr>
            <w:tcW w:w="4908" w:type="dxa"/>
            <w:tcBorders>
              <w:bottom w:val="single"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t>Période de référence (quatre mois):</w:t>
            </w:r>
          </w:p>
        </w:tc>
        <w:tc>
          <w:tcPr>
            <w:tcW w:w="4379" w:type="dxa"/>
            <w:tcBorders>
              <w:bottom w:val="single" w:sz="4" w:space="0" w:color="auto"/>
            </w:tcBorders>
            <w:shd w:val="clear" w:color="auto" w:fill="auto"/>
          </w:tcPr>
          <w:p w:rsidR="001A62D7" w:rsidRPr="00DF6E60" w:rsidRDefault="00E1077D" w:rsidP="001D5990">
            <w:pPr>
              <w:spacing w:before="60" w:after="60"/>
              <w:ind w:rightChars="192" w:right="461"/>
              <w:jc w:val="left"/>
              <w:rPr>
                <w:rFonts w:eastAsia="Calibri"/>
                <w:noProof/>
              </w:rPr>
            </w:pPr>
            <w:r w:rsidRPr="00DF6E60">
              <w:rPr>
                <w:noProof/>
              </w:rPr>
              <w:t>24 avril 2025-24 août 2025</w:t>
            </w:r>
          </w:p>
        </w:tc>
      </w:tr>
      <w:tr w:rsidR="001A62D7" w:rsidRPr="00DF6E60" w:rsidTr="001D5990">
        <w:tc>
          <w:tcPr>
            <w:tcW w:w="4908" w:type="dxa"/>
            <w:tcBorders>
              <w:bottom w:val="dotted" w:sz="4" w:space="0" w:color="auto"/>
            </w:tcBorders>
            <w:shd w:val="clear" w:color="auto" w:fill="auto"/>
          </w:tcPr>
          <w:p w:rsidR="001A62D7" w:rsidRPr="00DF6E60" w:rsidRDefault="001A62D7" w:rsidP="001D5990">
            <w:pPr>
              <w:spacing w:before="60" w:after="60"/>
              <w:jc w:val="left"/>
              <w:rPr>
                <w:rFonts w:eastAsia="Calibri"/>
                <w:noProof/>
                <w:highlight w:val="magenta"/>
              </w:rPr>
            </w:pPr>
            <w:r w:rsidRPr="00DF6E60">
              <w:rPr>
                <w:noProof/>
              </w:rPr>
              <w:t>Nombre de licenciements pendant la période de référence (</w:t>
            </w:r>
            <w:r w:rsidRPr="00DF6E60">
              <w:rPr>
                <w:i/>
                <w:noProof/>
              </w:rPr>
              <w:t>a</w:t>
            </w:r>
            <w:r w:rsidRPr="00DF6E60">
              <w:rPr>
                <w:noProof/>
              </w:rPr>
              <w:t>)</w:t>
            </w:r>
          </w:p>
        </w:tc>
        <w:tc>
          <w:tcPr>
            <w:tcW w:w="4379" w:type="dxa"/>
            <w:tcBorders>
              <w:bottom w:val="dotted" w:sz="4" w:space="0" w:color="auto"/>
            </w:tcBorders>
            <w:shd w:val="clear" w:color="auto" w:fill="auto"/>
          </w:tcPr>
          <w:p w:rsidR="001A62D7" w:rsidRPr="00DF6E60" w:rsidRDefault="00E1077D" w:rsidP="001D5990">
            <w:pPr>
              <w:spacing w:before="60" w:after="60"/>
              <w:ind w:rightChars="192" w:right="461"/>
              <w:jc w:val="left"/>
              <w:rPr>
                <w:rFonts w:eastAsia="Calibri"/>
                <w:noProof/>
                <w:highlight w:val="magenta"/>
              </w:rPr>
            </w:pPr>
            <w:r w:rsidRPr="00DF6E60">
              <w:rPr>
                <w:noProof/>
              </w:rPr>
              <w:t>507</w:t>
            </w:r>
          </w:p>
        </w:tc>
      </w:tr>
      <w:tr w:rsidR="001A62D7" w:rsidRPr="00DF6E60" w:rsidTr="001D5990">
        <w:tc>
          <w:tcPr>
            <w:tcW w:w="4908" w:type="dxa"/>
            <w:tcBorders>
              <w:bottom w:val="dotted"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t>Nombre total de bénéficiaires éligibles</w:t>
            </w:r>
          </w:p>
        </w:tc>
        <w:tc>
          <w:tcPr>
            <w:tcW w:w="4379" w:type="dxa"/>
            <w:tcBorders>
              <w:bottom w:val="dotted" w:sz="4" w:space="0" w:color="auto"/>
            </w:tcBorders>
            <w:shd w:val="clear" w:color="auto" w:fill="auto"/>
          </w:tcPr>
          <w:p w:rsidR="001A62D7" w:rsidRPr="00DF6E60" w:rsidRDefault="00E1077D" w:rsidP="001D5990">
            <w:pPr>
              <w:spacing w:before="60" w:after="60"/>
              <w:ind w:rightChars="192" w:right="461"/>
              <w:jc w:val="left"/>
              <w:rPr>
                <w:rFonts w:eastAsia="Calibri"/>
                <w:noProof/>
              </w:rPr>
            </w:pPr>
            <w:r w:rsidRPr="00DF6E60">
              <w:rPr>
                <w:noProof/>
              </w:rPr>
              <w:t>507</w:t>
            </w:r>
          </w:p>
        </w:tc>
      </w:tr>
      <w:tr w:rsidR="001A62D7" w:rsidRPr="00DF6E60" w:rsidTr="001D5990">
        <w:tc>
          <w:tcPr>
            <w:tcW w:w="4908" w:type="dxa"/>
            <w:tcBorders>
              <w:top w:val="dotted" w:sz="4" w:space="0" w:color="auto"/>
              <w:bottom w:val="dotted" w:sz="4" w:space="0" w:color="auto"/>
            </w:tcBorders>
            <w:shd w:val="clear" w:color="auto" w:fill="auto"/>
          </w:tcPr>
          <w:p w:rsidR="001A62D7" w:rsidRPr="00DF6E60" w:rsidRDefault="001A62D7" w:rsidP="001D5990">
            <w:pPr>
              <w:spacing w:before="60" w:after="60"/>
              <w:jc w:val="left"/>
              <w:rPr>
                <w:rFonts w:eastAsia="Calibri"/>
                <w:noProof/>
              </w:rPr>
            </w:pPr>
            <w:r w:rsidRPr="00DF6E60">
              <w:rPr>
                <w:noProof/>
              </w:rPr>
              <w:lastRenderedPageBreak/>
              <w:t>Nombre total de bénéficiaires visés</w:t>
            </w:r>
          </w:p>
        </w:tc>
        <w:tc>
          <w:tcPr>
            <w:tcW w:w="4379" w:type="dxa"/>
            <w:tcBorders>
              <w:top w:val="dotted" w:sz="4" w:space="0" w:color="auto"/>
              <w:bottom w:val="dotted" w:sz="4" w:space="0" w:color="auto"/>
            </w:tcBorders>
            <w:shd w:val="clear" w:color="auto" w:fill="auto"/>
          </w:tcPr>
          <w:p w:rsidR="001A62D7" w:rsidRPr="00DF6E60" w:rsidRDefault="00E1077D" w:rsidP="001D5990">
            <w:pPr>
              <w:spacing w:before="60" w:after="60"/>
              <w:ind w:rightChars="192" w:right="461"/>
              <w:jc w:val="left"/>
              <w:rPr>
                <w:rFonts w:eastAsia="Calibri"/>
                <w:noProof/>
              </w:rPr>
            </w:pPr>
            <w:r w:rsidRPr="00DF6E60">
              <w:rPr>
                <w:noProof/>
              </w:rPr>
              <w:t>507</w:t>
            </w:r>
          </w:p>
        </w:tc>
      </w:tr>
      <w:tr w:rsidR="001A62D7" w:rsidRPr="00DF6E60" w:rsidTr="001D5990">
        <w:tc>
          <w:tcPr>
            <w:tcW w:w="4908" w:type="dxa"/>
            <w:tcBorders>
              <w:bottom w:val="dotted" w:sz="4" w:space="0" w:color="auto"/>
            </w:tcBorders>
            <w:shd w:val="clear" w:color="auto" w:fill="auto"/>
            <w:vAlign w:val="center"/>
          </w:tcPr>
          <w:p w:rsidR="001A62D7" w:rsidRPr="00DF6E60" w:rsidRDefault="001A62D7" w:rsidP="001D5990">
            <w:pPr>
              <w:spacing w:before="0" w:after="0"/>
              <w:jc w:val="left"/>
              <w:rPr>
                <w:noProof/>
              </w:rPr>
            </w:pPr>
            <w:r w:rsidRPr="00DF6E60">
              <w:rPr>
                <w:noProof/>
              </w:rPr>
              <w:t>Budget pour les services personnalisés (en EUR)</w:t>
            </w:r>
          </w:p>
        </w:tc>
        <w:tc>
          <w:tcPr>
            <w:tcW w:w="4379" w:type="dxa"/>
            <w:tcBorders>
              <w:bottom w:val="dotted" w:sz="4" w:space="0" w:color="auto"/>
            </w:tcBorders>
            <w:shd w:val="clear" w:color="auto" w:fill="auto"/>
            <w:vAlign w:val="center"/>
          </w:tcPr>
          <w:p w:rsidR="001A62D7" w:rsidRPr="00DF6E60" w:rsidRDefault="00E1077D" w:rsidP="001D5990">
            <w:pPr>
              <w:spacing w:before="0" w:after="0"/>
              <w:ind w:rightChars="192" w:right="461"/>
              <w:jc w:val="left"/>
              <w:rPr>
                <w:noProof/>
              </w:rPr>
            </w:pPr>
            <w:r w:rsidRPr="00DF6E60">
              <w:rPr>
                <w:noProof/>
              </w:rPr>
              <w:t>2 358 922</w:t>
            </w:r>
          </w:p>
        </w:tc>
      </w:tr>
      <w:tr w:rsidR="001A62D7" w:rsidRPr="00DF6E60" w:rsidTr="001D5990">
        <w:tc>
          <w:tcPr>
            <w:tcW w:w="4908" w:type="dxa"/>
            <w:tcBorders>
              <w:top w:val="dotted" w:sz="4" w:space="0" w:color="auto"/>
              <w:bottom w:val="dotted" w:sz="4" w:space="0" w:color="auto"/>
            </w:tcBorders>
            <w:shd w:val="clear" w:color="auto" w:fill="auto"/>
            <w:vAlign w:val="center"/>
          </w:tcPr>
          <w:p w:rsidR="001A62D7" w:rsidRPr="00DF6E60" w:rsidRDefault="001A62D7" w:rsidP="001D5990">
            <w:pPr>
              <w:spacing w:before="0" w:after="0"/>
              <w:jc w:val="left"/>
              <w:rPr>
                <w:noProof/>
              </w:rPr>
            </w:pPr>
            <w:r w:rsidRPr="00DF6E60">
              <w:rPr>
                <w:noProof/>
              </w:rPr>
              <w:t>Budget pour la mise en œuvre du FEM</w:t>
            </w:r>
            <w:r w:rsidRPr="00DF6E60">
              <w:rPr>
                <w:rStyle w:val="FootnoteReference"/>
                <w:noProof/>
              </w:rPr>
              <w:footnoteReference w:id="5"/>
            </w:r>
            <w:r w:rsidRPr="00DF6E60">
              <w:rPr>
                <w:noProof/>
              </w:rPr>
              <w:t xml:space="preserve"> (en EUR)</w:t>
            </w:r>
          </w:p>
        </w:tc>
        <w:tc>
          <w:tcPr>
            <w:tcW w:w="4379" w:type="dxa"/>
            <w:tcBorders>
              <w:top w:val="dotted" w:sz="4" w:space="0" w:color="auto"/>
              <w:bottom w:val="dotted" w:sz="4" w:space="0" w:color="auto"/>
            </w:tcBorders>
            <w:shd w:val="clear" w:color="auto" w:fill="auto"/>
            <w:vAlign w:val="center"/>
          </w:tcPr>
          <w:p w:rsidR="001A62D7" w:rsidRPr="00DF6E60" w:rsidRDefault="00E1077D" w:rsidP="001D5990">
            <w:pPr>
              <w:spacing w:before="0" w:after="0"/>
              <w:ind w:rightChars="192" w:right="461"/>
              <w:jc w:val="left"/>
              <w:rPr>
                <w:noProof/>
              </w:rPr>
            </w:pPr>
            <w:r w:rsidRPr="00DF6E60">
              <w:rPr>
                <w:noProof/>
              </w:rPr>
              <w:t>33 866</w:t>
            </w:r>
          </w:p>
        </w:tc>
      </w:tr>
      <w:tr w:rsidR="001A62D7" w:rsidRPr="00DF6E60" w:rsidTr="001D5990">
        <w:tc>
          <w:tcPr>
            <w:tcW w:w="4908" w:type="dxa"/>
            <w:tcBorders>
              <w:top w:val="dotted" w:sz="4" w:space="0" w:color="auto"/>
              <w:bottom w:val="dotted" w:sz="4" w:space="0" w:color="auto"/>
            </w:tcBorders>
            <w:shd w:val="clear" w:color="auto" w:fill="auto"/>
            <w:vAlign w:val="center"/>
          </w:tcPr>
          <w:p w:rsidR="001A62D7" w:rsidRPr="00DF6E60" w:rsidRDefault="001A62D7" w:rsidP="001D5990">
            <w:pPr>
              <w:spacing w:before="0" w:after="0"/>
              <w:jc w:val="left"/>
              <w:rPr>
                <w:noProof/>
              </w:rPr>
            </w:pPr>
            <w:r w:rsidRPr="00DF6E60">
              <w:rPr>
                <w:noProof/>
              </w:rPr>
              <w:t>Budget total (en EUR)</w:t>
            </w:r>
          </w:p>
        </w:tc>
        <w:tc>
          <w:tcPr>
            <w:tcW w:w="4379" w:type="dxa"/>
            <w:tcBorders>
              <w:top w:val="dotted" w:sz="4" w:space="0" w:color="auto"/>
              <w:bottom w:val="dotted" w:sz="4" w:space="0" w:color="auto"/>
            </w:tcBorders>
            <w:shd w:val="clear" w:color="auto" w:fill="auto"/>
            <w:vAlign w:val="center"/>
          </w:tcPr>
          <w:p w:rsidR="001A62D7" w:rsidRPr="00DF6E60" w:rsidRDefault="00E1077D" w:rsidP="001D5990">
            <w:pPr>
              <w:spacing w:before="0" w:after="0"/>
              <w:ind w:rightChars="192" w:right="461"/>
              <w:jc w:val="left"/>
              <w:rPr>
                <w:noProof/>
              </w:rPr>
            </w:pPr>
            <w:r w:rsidRPr="00DF6E60">
              <w:rPr>
                <w:noProof/>
              </w:rPr>
              <w:t>2 392 788</w:t>
            </w:r>
          </w:p>
        </w:tc>
      </w:tr>
      <w:tr w:rsidR="001A62D7" w:rsidRPr="00DF6E60" w:rsidTr="001D5990">
        <w:tc>
          <w:tcPr>
            <w:tcW w:w="4908" w:type="dxa"/>
            <w:tcBorders>
              <w:top w:val="dotted" w:sz="4" w:space="0" w:color="auto"/>
            </w:tcBorders>
            <w:shd w:val="clear" w:color="auto" w:fill="auto"/>
            <w:vAlign w:val="center"/>
          </w:tcPr>
          <w:p w:rsidR="001A62D7" w:rsidRPr="00DF6E60" w:rsidRDefault="001A62D7" w:rsidP="001D5990">
            <w:pPr>
              <w:spacing w:before="0" w:after="0"/>
              <w:jc w:val="left"/>
              <w:rPr>
                <w:noProof/>
              </w:rPr>
            </w:pPr>
            <w:r w:rsidRPr="00DF6E60">
              <w:rPr>
                <w:noProof/>
              </w:rPr>
              <w:t>Contribution du FEM (85 %) (en EUR)</w:t>
            </w:r>
          </w:p>
        </w:tc>
        <w:tc>
          <w:tcPr>
            <w:tcW w:w="4379" w:type="dxa"/>
            <w:tcBorders>
              <w:top w:val="dotted" w:sz="4" w:space="0" w:color="auto"/>
            </w:tcBorders>
            <w:shd w:val="clear" w:color="auto" w:fill="auto"/>
            <w:vAlign w:val="center"/>
          </w:tcPr>
          <w:p w:rsidR="001A62D7" w:rsidRPr="00DF6E60" w:rsidRDefault="00C856DF" w:rsidP="001D5990">
            <w:pPr>
              <w:spacing w:before="0" w:after="0"/>
              <w:ind w:rightChars="192" w:right="461"/>
              <w:jc w:val="left"/>
              <w:rPr>
                <w:noProof/>
              </w:rPr>
            </w:pPr>
            <w:r w:rsidRPr="00DF6E60">
              <w:rPr>
                <w:noProof/>
              </w:rPr>
              <w:t>2 033 869</w:t>
            </w:r>
          </w:p>
        </w:tc>
      </w:tr>
    </w:tbl>
    <w:p w:rsidR="001A62D7" w:rsidRPr="00DF6E60" w:rsidRDefault="001A62D7" w:rsidP="001A62D7">
      <w:pPr>
        <w:pStyle w:val="ManualHeading1"/>
        <w:rPr>
          <w:noProof/>
        </w:rPr>
      </w:pPr>
      <w:r w:rsidRPr="00DF6E60">
        <w:rPr>
          <w:noProof/>
        </w:rPr>
        <w:t>ÉVALUATION DE LA DEMANDE</w:t>
      </w:r>
    </w:p>
    <w:p w:rsidR="001A62D7" w:rsidRPr="00DF6E60" w:rsidRDefault="001A62D7" w:rsidP="001A62D7">
      <w:pPr>
        <w:pStyle w:val="ManualHeading2"/>
        <w:rPr>
          <w:noProof/>
        </w:rPr>
      </w:pPr>
      <w:r w:rsidRPr="00DF6E60">
        <w:rPr>
          <w:noProof/>
        </w:rPr>
        <w:t>Procédure</w:t>
      </w:r>
    </w:p>
    <w:p w:rsidR="001A62D7" w:rsidRPr="00DF6E60" w:rsidRDefault="0013165F" w:rsidP="00AE7D04">
      <w:pPr>
        <w:pStyle w:val="ManualNumPar1"/>
        <w:rPr>
          <w:noProof/>
        </w:rPr>
      </w:pPr>
      <w:r>
        <w:rPr>
          <w:noProof/>
        </w:rPr>
        <w:t>4.</w:t>
      </w:r>
      <w:r>
        <w:rPr>
          <w:noProof/>
        </w:rPr>
        <w:tab/>
      </w:r>
      <w:r w:rsidRPr="00DF6E60">
        <w:rPr>
          <w:noProof/>
        </w:rPr>
        <w:t xml:space="preserve">La Belgique a présenté la demande EGF/2025/008 BE/Liberty le 13 novembre 2025, dans le délai de 12 semaines à compter de la date à laquelle les critères d’intervention précisés à l’article 4, paragraphe 2, point a), du règlement (UE) 2021/691 ont été remplis. La Commission a accusé réception de la demande et demandé des informations complémentaires à la Belgique le 27 novembre 2025. Ces informations complémentaires ont été fournies dans les 15 jours ouvrables qui ont suivi la demande. Le délai de 50 jours ouvrables suivant la réception de la demande complète dont dispose la Commission pour achever son évaluation de la conformité de la demande avec les conditions d’octroi d’une contribution financière expire le 10 mars 2026. </w:t>
      </w:r>
    </w:p>
    <w:p w:rsidR="001A62D7" w:rsidRPr="00DF6E60" w:rsidRDefault="001A62D7" w:rsidP="001A62D7">
      <w:pPr>
        <w:pStyle w:val="ManualHeading2"/>
        <w:rPr>
          <w:noProof/>
        </w:rPr>
      </w:pPr>
      <w:r w:rsidRPr="00DF6E60">
        <w:rPr>
          <w:noProof/>
        </w:rPr>
        <w:t>Recevabilité de la demande</w:t>
      </w:r>
    </w:p>
    <w:p w:rsidR="001A62D7" w:rsidRPr="00DF6E60" w:rsidRDefault="001A62D7" w:rsidP="001A62D7">
      <w:pPr>
        <w:pStyle w:val="ManualHeading3"/>
        <w:rPr>
          <w:noProof/>
        </w:rPr>
      </w:pPr>
      <w:r w:rsidRPr="00DF6E60">
        <w:rPr>
          <w:noProof/>
        </w:rPr>
        <w:t>Entreprises et bénéficiaires concernés</w:t>
      </w:r>
    </w:p>
    <w:p w:rsidR="001A62D7" w:rsidRPr="00DF6E60" w:rsidRDefault="001A62D7" w:rsidP="00AE7D04">
      <w:pPr>
        <w:pStyle w:val="ManualNumPar1"/>
        <w:rPr>
          <w:noProof/>
          <w:szCs w:val="24"/>
        </w:rPr>
      </w:pPr>
      <w:r>
        <w:rPr>
          <w:noProof/>
        </w:rPr>
        <w:t>5.</w:t>
      </w:r>
      <w:r>
        <w:rPr>
          <w:noProof/>
        </w:rPr>
        <w:tab/>
      </w:r>
      <w:r w:rsidRPr="00DF6E60">
        <w:rPr>
          <w:noProof/>
        </w:rPr>
        <w:t>La demande concerne 507 travailleurs licenciés dont l’activité a cessé au sein de Liberty Galaţi Belgian Branch (Liberty). Cette entreprise exerçait ses activités dans le secteur économique relevant de la division 24 («Métallurgie») de la NACE Rév. 2. Les licenciements auxquels a procédé Liberty ont eu lieu principalement dans la région de niveau NUTS 2 «Province de Liège» (BE33).</w:t>
      </w:r>
    </w:p>
    <w:p w:rsidR="001A62D7" w:rsidRPr="00DF6E60" w:rsidRDefault="001A62D7" w:rsidP="001A62D7">
      <w:pPr>
        <w:pStyle w:val="ManualHeading3"/>
        <w:rPr>
          <w:noProof/>
        </w:rPr>
      </w:pPr>
      <w:r w:rsidRPr="00DF6E60">
        <w:rPr>
          <w:noProof/>
        </w:rPr>
        <w:t>Critères d’intervention</w:t>
      </w:r>
    </w:p>
    <w:p w:rsidR="001A62D7" w:rsidRPr="00DF6E60" w:rsidRDefault="0013165F" w:rsidP="001A62D7">
      <w:pPr>
        <w:pStyle w:val="ManualNumPar1"/>
        <w:rPr>
          <w:noProof/>
        </w:rPr>
      </w:pPr>
      <w:r>
        <w:rPr>
          <w:noProof/>
        </w:rPr>
        <w:t>6.</w:t>
      </w:r>
      <w:r>
        <w:rPr>
          <w:noProof/>
        </w:rPr>
        <w:tab/>
      </w:r>
      <w:r w:rsidRPr="00DF6E60">
        <w:rPr>
          <w:noProof/>
        </w:rPr>
        <w:t xml:space="preserve">La Belgique a présenté la demande au titre du critère d’intervention énoncé à l’article 4, paragraphe 2, point a), du règlement (UE) 2021/691, qui exige la cessation d’activité d’au moins 200 travailleurs licenciés, sur une période de référence de quatre mois, dans une entreprise d’un État membre, y compris lorsque cette cessation d’activité concerne des travailleurs licenciés chez des fournisseurs ou producteurs en aval et/ou des travailleurs indépendants. </w:t>
      </w:r>
    </w:p>
    <w:p w:rsidR="001A62D7" w:rsidRPr="00DF6E60" w:rsidRDefault="001A62D7" w:rsidP="001A62D7">
      <w:pPr>
        <w:pStyle w:val="ManualNumPar1"/>
        <w:rPr>
          <w:noProof/>
        </w:rPr>
      </w:pPr>
      <w:r>
        <w:rPr>
          <w:noProof/>
        </w:rPr>
        <w:t>7.</w:t>
      </w:r>
      <w:r>
        <w:rPr>
          <w:noProof/>
        </w:rPr>
        <w:tab/>
      </w:r>
      <w:bookmarkStart w:id="8" w:name="_Ref372189348"/>
      <w:r w:rsidRPr="00DF6E60">
        <w:rPr>
          <w:noProof/>
        </w:rPr>
        <w:t xml:space="preserve">La période de référence de quatre mois pour la demande s’étend du 24 avril 2025 </w:t>
      </w:r>
      <w:bookmarkEnd w:id="8"/>
      <w:r w:rsidRPr="00DF6E60">
        <w:rPr>
          <w:noProof/>
        </w:rPr>
        <w:t>au 24 août 2025.</w:t>
      </w:r>
    </w:p>
    <w:p w:rsidR="001A62D7" w:rsidRPr="00DF6E60" w:rsidRDefault="001A62D7" w:rsidP="000D5B2B">
      <w:pPr>
        <w:pStyle w:val="ManualNumPar1"/>
        <w:rPr>
          <w:noProof/>
        </w:rPr>
      </w:pPr>
      <w:r>
        <w:rPr>
          <w:noProof/>
        </w:rPr>
        <w:t>8.</w:t>
      </w:r>
      <w:r>
        <w:rPr>
          <w:noProof/>
        </w:rPr>
        <w:tab/>
      </w:r>
      <w:r w:rsidRPr="00DF6E60">
        <w:rPr>
          <w:noProof/>
        </w:rPr>
        <w:t>Au cours de la période de référence, 507 licenciements ont eu lieu au sein de Liberty.</w:t>
      </w:r>
    </w:p>
    <w:p w:rsidR="001A62D7" w:rsidRPr="00DF6E60" w:rsidRDefault="001A62D7" w:rsidP="001A62D7">
      <w:pPr>
        <w:pStyle w:val="ManualHeading3"/>
        <w:rPr>
          <w:noProof/>
        </w:rPr>
      </w:pPr>
      <w:r w:rsidRPr="00DF6E60">
        <w:rPr>
          <w:noProof/>
        </w:rPr>
        <w:t>Calcul des licenciements et de la cessation d’activité</w:t>
      </w:r>
    </w:p>
    <w:p w:rsidR="001A62D7" w:rsidRPr="00DF6E60" w:rsidRDefault="001A62D7" w:rsidP="001A62D7">
      <w:pPr>
        <w:pStyle w:val="ManualNumPar1"/>
        <w:rPr>
          <w:noProof/>
        </w:rPr>
      </w:pPr>
      <w:r>
        <w:rPr>
          <w:noProof/>
        </w:rPr>
        <w:t>9.</w:t>
      </w:r>
      <w:r>
        <w:rPr>
          <w:noProof/>
        </w:rPr>
        <w:tab/>
      </w:r>
      <w:r w:rsidRPr="00DF6E60">
        <w:rPr>
          <w:noProof/>
        </w:rPr>
        <w:t xml:space="preserve">Conformément à l’article 6, premier alinéa, point a), en liaison avec l’article 5, premier alinéa, du règlement (UE) 2021/691, l’ensemble des 507 travailleurs concernés par un licenciement au cours de la période de référence a été calculée à partir de la date de la résiliation de fait du contrat de travail ou de son expiration. </w:t>
      </w:r>
    </w:p>
    <w:p w:rsidR="001A62D7" w:rsidRPr="00DF6E60" w:rsidRDefault="001A62D7" w:rsidP="001A62D7">
      <w:pPr>
        <w:pStyle w:val="ManualHeading3"/>
        <w:rPr>
          <w:noProof/>
        </w:rPr>
      </w:pPr>
      <w:r w:rsidRPr="00DF6E60">
        <w:rPr>
          <w:noProof/>
        </w:rPr>
        <w:lastRenderedPageBreak/>
        <w:t>Bénéficiaires éligibles</w:t>
      </w:r>
    </w:p>
    <w:p w:rsidR="00154495" w:rsidRPr="00DF6E60" w:rsidRDefault="001A62D7" w:rsidP="00154495">
      <w:pPr>
        <w:pStyle w:val="ManualNumPar1"/>
        <w:jc w:val="left"/>
        <w:rPr>
          <w:noProof/>
        </w:rPr>
        <w:sectPr w:rsidR="00154495" w:rsidRPr="00DF6E60" w:rsidSect="001E1AD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r>
        <w:rPr>
          <w:noProof/>
        </w:rPr>
        <w:t>10.</w:t>
      </w:r>
      <w:r>
        <w:rPr>
          <w:noProof/>
        </w:rPr>
        <w:tab/>
      </w:r>
      <w:r w:rsidRPr="00DF6E60">
        <w:rPr>
          <w:noProof/>
        </w:rPr>
        <w:t>Le nombre total de bénéficiaires éligibles s’élève à 507.</w:t>
      </w:r>
    </w:p>
    <w:p w:rsidR="001A62D7" w:rsidRPr="00DF6E60" w:rsidRDefault="001A62D7" w:rsidP="001A62D7">
      <w:pPr>
        <w:pStyle w:val="ManualHeading3"/>
        <w:rPr>
          <w:noProof/>
        </w:rPr>
      </w:pPr>
      <w:r w:rsidRPr="00DF6E60">
        <w:rPr>
          <w:noProof/>
        </w:rPr>
        <w:lastRenderedPageBreak/>
        <w:t>Description des événements ayant conduit aux licenciements et à la cessation d’activité</w:t>
      </w:r>
    </w:p>
    <w:p w:rsidR="0036211F" w:rsidRPr="00DF6E60" w:rsidRDefault="0036211F" w:rsidP="0036211F">
      <w:pPr>
        <w:pStyle w:val="ManualNumPar1"/>
        <w:rPr>
          <w:noProof/>
        </w:rPr>
      </w:pPr>
      <w:r>
        <w:rPr>
          <w:noProof/>
        </w:rPr>
        <w:t>11.</w:t>
      </w:r>
      <w:r>
        <w:rPr>
          <w:noProof/>
        </w:rPr>
        <w:tab/>
      </w:r>
      <w:r w:rsidRPr="00DF6E60">
        <w:rPr>
          <w:noProof/>
        </w:rPr>
        <w:t>L’investissement de plus de 40 millions d’EUR réalisé par GFG Alliance</w:t>
      </w:r>
      <w:r w:rsidRPr="00DF6E60">
        <w:rPr>
          <w:rStyle w:val="FootnoteReference"/>
          <w:noProof/>
        </w:rPr>
        <w:footnoteReference w:id="6"/>
      </w:r>
      <w:r w:rsidRPr="00DF6E60">
        <w:rPr>
          <w:noProof/>
        </w:rPr>
        <w:t xml:space="preserve"> après l’acquisition de Liberty Steel Liège auprès d’ArcelorMittal en juillet 2019 s’est heurté à la faiblesse du marché de l’acier en 2019, les perturbations de la chaîne d’approvisionnement causées par de la pandémie de COVID-19 et l’augmentation des prix de l’énergie qui a suivi la guerre d’agression menée par la Russie contre l’Ukraine. </w:t>
      </w:r>
    </w:p>
    <w:p w:rsidR="00EB5360" w:rsidRPr="00DF6E60" w:rsidRDefault="0036211F" w:rsidP="00EB5360">
      <w:pPr>
        <w:pStyle w:val="ManualNumPar1"/>
        <w:rPr>
          <w:noProof/>
        </w:rPr>
      </w:pPr>
      <w:r>
        <w:rPr>
          <w:noProof/>
        </w:rPr>
        <w:t>12.</w:t>
      </w:r>
      <w:r>
        <w:rPr>
          <w:noProof/>
        </w:rPr>
        <w:tab/>
      </w:r>
      <w:r w:rsidRPr="00DF6E60">
        <w:rPr>
          <w:noProof/>
        </w:rPr>
        <w:t>Les lignes de galvanisation du groupe Liberty Steel en Belgique sont inutilisées depuis décembre 2021 en raison du manque de matières premières à l’origine d’une opération de restructuration qui a abouti à la cession conventionnelle de Liberty Steel Liège à Liberty Galaţi (filiale roumaine de GFG Alliance par l’intermédiaire de Liberty Steel Group) en 2023.</w:t>
      </w:r>
    </w:p>
    <w:p w:rsidR="00EB5360" w:rsidRPr="00DF6E60" w:rsidRDefault="0036211F" w:rsidP="0036211F">
      <w:pPr>
        <w:pStyle w:val="ManualNumPar1"/>
        <w:rPr>
          <w:noProof/>
        </w:rPr>
      </w:pPr>
      <w:r>
        <w:rPr>
          <w:noProof/>
        </w:rPr>
        <w:t>13.</w:t>
      </w:r>
      <w:r>
        <w:rPr>
          <w:noProof/>
        </w:rPr>
        <w:tab/>
      </w:r>
      <w:r w:rsidRPr="00DF6E60">
        <w:rPr>
          <w:noProof/>
        </w:rPr>
        <w:t>Malgré le rachat de Liberty Steel Liège par Galaţi, l’activité de production n’a pas repris. Par conséquent, les travailleurs ont été placés en chômage partiel. Après une longue période d’arrêt de la production, Liberty a été déclarée en faillite par le tribunal de l’entreprise de Liège le 22 avril 2025</w:t>
      </w:r>
      <w:r w:rsidRPr="00DF6E60">
        <w:rPr>
          <w:rStyle w:val="FootnoteReference"/>
          <w:noProof/>
        </w:rPr>
        <w:footnoteReference w:id="7"/>
      </w:r>
      <w:r w:rsidRPr="00DF6E60">
        <w:rPr>
          <w:noProof/>
        </w:rPr>
        <w:t>.</w:t>
      </w:r>
    </w:p>
    <w:p w:rsidR="001A62D7" w:rsidRPr="00DF6E60" w:rsidRDefault="00EB5360" w:rsidP="0036211F">
      <w:pPr>
        <w:pStyle w:val="ManualNumPar1"/>
        <w:rPr>
          <w:noProof/>
        </w:rPr>
      </w:pPr>
      <w:r>
        <w:rPr>
          <w:noProof/>
        </w:rPr>
        <w:t>14.</w:t>
      </w:r>
      <w:r>
        <w:rPr>
          <w:noProof/>
        </w:rPr>
        <w:tab/>
      </w:r>
      <w:r w:rsidRPr="00DF6E60">
        <w:rPr>
          <w:noProof/>
        </w:rPr>
        <w:t xml:space="preserve">Le site de Liège n’était pas le seul à être à la peine. Les usines de Liberty Steel en Tchéquie, en Pologne, en Italie, en Roumanie et au Luxembourg ont également fait face à des difficultés en raison de la combinaison de conditions défavorables sur le marché de l’acier et du manque dramatique de liquidités du groupe GFG Alliance qui a suivi la faillite de </w:t>
      </w:r>
      <w:bookmarkStart w:id="9" w:name="_Hlk219383887"/>
      <w:r w:rsidRPr="00DF6E60">
        <w:rPr>
          <w:noProof/>
        </w:rPr>
        <w:t>Greensill Capital</w:t>
      </w:r>
      <w:bookmarkEnd w:id="9"/>
      <w:r w:rsidRPr="00DF6E60">
        <w:rPr>
          <w:noProof/>
        </w:rPr>
        <w:t xml:space="preserve">. Étant donné que cette </w:t>
      </w:r>
      <w:bookmarkStart w:id="10" w:name="_Hlk219383923"/>
      <w:r w:rsidRPr="00DF6E60">
        <w:rPr>
          <w:noProof/>
        </w:rPr>
        <w:t>société privée de services financiers fournissait des financements à court terme à de nombreuses entités du groupe GFG Alliance, sa faillite a mis en péril la viabilité de Liberty Steel, ce qui a entraîné son déclin progressif.</w:t>
      </w:r>
      <w:bookmarkEnd w:id="10"/>
    </w:p>
    <w:p w:rsidR="001A62D7" w:rsidRPr="00DF6E60" w:rsidRDefault="001A62D7" w:rsidP="001A62D7">
      <w:pPr>
        <w:pStyle w:val="ManualHeading3"/>
        <w:tabs>
          <w:tab w:val="clear" w:pos="850"/>
          <w:tab w:val="left" w:pos="0"/>
        </w:tabs>
        <w:ind w:left="0" w:firstLine="0"/>
        <w:rPr>
          <w:noProof/>
        </w:rPr>
      </w:pPr>
      <w:r w:rsidRPr="00DF6E60">
        <w:rPr>
          <w:noProof/>
        </w:rPr>
        <w:t>Effets attendus des licenciements sur l’économie et l’emploi à l’échelle locale, régionale ou nationale</w:t>
      </w:r>
    </w:p>
    <w:p w:rsidR="007B508B" w:rsidRPr="00DF6E60" w:rsidRDefault="004A0546" w:rsidP="007B508B">
      <w:pPr>
        <w:pStyle w:val="ManualNumPar1"/>
        <w:rPr>
          <w:noProof/>
        </w:rPr>
      </w:pPr>
      <w:r>
        <w:rPr>
          <w:noProof/>
        </w:rPr>
        <w:t>15.</w:t>
      </w:r>
      <w:r>
        <w:rPr>
          <w:noProof/>
        </w:rPr>
        <w:tab/>
      </w:r>
      <w:bookmarkStart w:id="11" w:name="_Hlk219712504"/>
      <w:r w:rsidRPr="00DF6E60">
        <w:rPr>
          <w:noProof/>
        </w:rPr>
        <w:t>En Belgique, le ratio d’emplois dans le secteur sidérurgique</w:t>
      </w:r>
      <w:r w:rsidRPr="00DF6E60">
        <w:rPr>
          <w:rStyle w:val="FootnoteReference"/>
          <w:noProof/>
        </w:rPr>
        <w:footnoteReference w:id="8"/>
      </w:r>
      <w:r w:rsidRPr="00DF6E60">
        <w:rPr>
          <w:noProof/>
        </w:rPr>
        <w:t xml:space="preserve"> par habitant est élevé</w:t>
      </w:r>
      <w:r w:rsidRPr="00DF6E60">
        <w:rPr>
          <w:rStyle w:val="FootnoteReference"/>
          <w:noProof/>
        </w:rPr>
        <w:footnoteReference w:id="9"/>
      </w:r>
      <w:r w:rsidRPr="00DF6E60">
        <w:rPr>
          <w:noProof/>
        </w:rPr>
        <w:t>, ce qui souligne son importance dans l’économie du pays. En outre, la faillite de Liberty constitue un choc social majeur pour la Wallonie</w:t>
      </w:r>
      <w:bookmarkEnd w:id="11"/>
      <w:r w:rsidRPr="00DF6E60">
        <w:rPr>
          <w:noProof/>
        </w:rPr>
        <w:t xml:space="preserve">, </w:t>
      </w:r>
      <w:bookmarkStart w:id="12" w:name="_Hlk219712590"/>
      <w:r w:rsidRPr="00DF6E60">
        <w:rPr>
          <w:noProof/>
        </w:rPr>
        <w:t>étant donné qu’elle intervient sur un marché du travail déjà affaibli par d’autres restructurations</w:t>
      </w:r>
      <w:bookmarkEnd w:id="12"/>
      <w:r w:rsidRPr="00DF6E60">
        <w:rPr>
          <w:noProof/>
        </w:rPr>
        <w:t xml:space="preserve"> telles que celles de TNT-FedEx</w:t>
      </w:r>
      <w:r w:rsidRPr="00DF6E60">
        <w:rPr>
          <w:rStyle w:val="FootnoteReference"/>
          <w:noProof/>
        </w:rPr>
        <w:footnoteReference w:id="10"/>
      </w:r>
      <w:r w:rsidRPr="00DF6E60">
        <w:rPr>
          <w:noProof/>
        </w:rPr>
        <w:t xml:space="preserve"> ou de Makro</w:t>
      </w:r>
      <w:r w:rsidRPr="00DF6E60">
        <w:rPr>
          <w:rStyle w:val="FootnoteReference"/>
          <w:noProof/>
        </w:rPr>
        <w:footnoteReference w:id="11"/>
      </w:r>
      <w:r w:rsidRPr="00DF6E60">
        <w:rPr>
          <w:noProof/>
        </w:rPr>
        <w:t>, pour lesquelles la Belgique a également demandé l’aide du FEM.</w:t>
      </w:r>
    </w:p>
    <w:p w:rsidR="00A508C2" w:rsidRPr="00DF6E60" w:rsidRDefault="00A508C2" w:rsidP="00A508C2">
      <w:pPr>
        <w:pStyle w:val="ManualNumPar1"/>
        <w:rPr>
          <w:noProof/>
        </w:rPr>
      </w:pPr>
      <w:r>
        <w:rPr>
          <w:noProof/>
        </w:rPr>
        <w:t>16.</w:t>
      </w:r>
      <w:r>
        <w:rPr>
          <w:noProof/>
        </w:rPr>
        <w:tab/>
      </w:r>
      <w:r w:rsidRPr="00DF6E60">
        <w:rPr>
          <w:noProof/>
        </w:rPr>
        <w:t>En octobre 2025, le taux de chômage pour l’ensemble de la Belgique s’élevait à 6,4 %, ce qui représente une augmentation de 0,6 points de pourcentage (pp) en glissement annuel et 0,5 pp de plus que le taux de chômage moyen de l’Union européenne (5,9 %)</w:t>
      </w:r>
      <w:r w:rsidRPr="00DF6E60">
        <w:rPr>
          <w:rStyle w:val="FootnoteReference"/>
          <w:noProof/>
        </w:rPr>
        <w:footnoteReference w:id="12"/>
      </w:r>
      <w:r w:rsidRPr="00DF6E60">
        <w:rPr>
          <w:noProof/>
        </w:rPr>
        <w:t>. Toutefois, le taux de chômage en Wallonie atteint 7,8 %</w:t>
      </w:r>
      <w:r w:rsidRPr="00DF6E60">
        <w:rPr>
          <w:rStyle w:val="FootnoteReference"/>
          <w:noProof/>
        </w:rPr>
        <w:footnoteReference w:id="13"/>
      </w:r>
      <w:r w:rsidRPr="00DF6E60">
        <w:rPr>
          <w:noProof/>
        </w:rPr>
        <w:t xml:space="preserve">. </w:t>
      </w:r>
    </w:p>
    <w:p w:rsidR="00A508C2" w:rsidRPr="00DF6E60" w:rsidRDefault="00A508C2" w:rsidP="00A508C2">
      <w:pPr>
        <w:pStyle w:val="ManualNumPar1"/>
        <w:rPr>
          <w:noProof/>
        </w:rPr>
      </w:pPr>
      <w:r>
        <w:rPr>
          <w:noProof/>
        </w:rPr>
        <w:lastRenderedPageBreak/>
        <w:t>17.</w:t>
      </w:r>
      <w:r>
        <w:rPr>
          <w:noProof/>
        </w:rPr>
        <w:tab/>
      </w:r>
      <w:r w:rsidRPr="00DF6E60">
        <w:rPr>
          <w:noProof/>
        </w:rPr>
        <w:t>Au second trimestre 2025, le taux d’emploi en Wallonie (62,7 %)</w:t>
      </w:r>
      <w:r w:rsidRPr="00DF6E60">
        <w:rPr>
          <w:rStyle w:val="FootnoteReference"/>
          <w:noProof/>
        </w:rPr>
        <w:footnoteReference w:id="14"/>
      </w:r>
      <w:r w:rsidRPr="00DF6E60">
        <w:rPr>
          <w:noProof/>
        </w:rPr>
        <w:t xml:space="preserve"> était inférieur de 13 pp à la moyenne de l’Union (76,2 %)</w:t>
      </w:r>
      <w:r w:rsidRPr="00DF6E60">
        <w:rPr>
          <w:rStyle w:val="FootnoteReference"/>
          <w:noProof/>
        </w:rPr>
        <w:footnoteReference w:id="15"/>
      </w:r>
      <w:r w:rsidRPr="00DF6E60">
        <w:rPr>
          <w:noProof/>
        </w:rPr>
        <w:t>. Les travailleurs plus âgés sont confrontés à davantage d’obstacles à l’emploi. Le taux d’emploi national pour la classe d’âge des 25-49 ans est de 82 %. Chez les personnes âgées de 50 ans ou plus, il descend à 68,2 %</w:t>
      </w:r>
      <w:r w:rsidRPr="00DF6E60">
        <w:rPr>
          <w:rStyle w:val="FootnoteReference"/>
          <w:noProof/>
        </w:rPr>
        <w:footnoteReference w:id="16"/>
      </w:r>
      <w:r w:rsidRPr="00DF6E60">
        <w:rPr>
          <w:noProof/>
        </w:rPr>
        <w:t>. En août 2025, en Wallonie, un demandeur d’emploi sur quatre était âgé de 50 ans ou plus</w:t>
      </w:r>
      <w:r w:rsidRPr="00DF6E60">
        <w:rPr>
          <w:rStyle w:val="FootnoteReference"/>
          <w:noProof/>
        </w:rPr>
        <w:footnoteReference w:id="17"/>
      </w:r>
      <w:r w:rsidRPr="00DF6E60">
        <w:rPr>
          <w:noProof/>
        </w:rPr>
        <w:t>.</w:t>
      </w:r>
    </w:p>
    <w:p w:rsidR="00640A33" w:rsidRPr="00DF6E60" w:rsidRDefault="00A508C2" w:rsidP="00640A33">
      <w:pPr>
        <w:pStyle w:val="ManualNumPar1"/>
        <w:rPr>
          <w:noProof/>
        </w:rPr>
      </w:pPr>
      <w:r>
        <w:rPr>
          <w:noProof/>
        </w:rPr>
        <w:t>18.</w:t>
      </w:r>
      <w:r>
        <w:rPr>
          <w:noProof/>
        </w:rPr>
        <w:tab/>
      </w:r>
      <w:bookmarkStart w:id="13" w:name="_Hlk219712684"/>
      <w:r w:rsidRPr="00DF6E60">
        <w:rPr>
          <w:noProof/>
        </w:rPr>
        <w:t>Malgré leur niveau élevé de spécialisation en métallurgie, galvanisation et maintenance industrielle lourde, les travailleurs de Liberty font face à des difficultés en ce qui concerne les transitions professionnelles en raison de leur âge avancé (52 % des travailleurs sont âgés de 55 ans ou plus, et parmi eux un travailleur sur deux est âgé de 60 ans ou plus) et de leurs nombreuses années d’ancienneté dans la même entreprise</w:t>
      </w:r>
      <w:bookmarkEnd w:id="13"/>
      <w:r w:rsidRPr="00DF6E60">
        <w:rPr>
          <w:noProof/>
        </w:rPr>
        <w:t xml:space="preserve"> (plus de 70 % des travailleurs ont entre 24 et 40 ans d’ancienneté). Ces travailleurs ont donc besoin d’une aide personnalisée pour surmonter ces difficultés.</w:t>
      </w:r>
    </w:p>
    <w:p w:rsidR="001A62D7" w:rsidRPr="00DF6E60" w:rsidRDefault="001A62D7" w:rsidP="001A62D7">
      <w:pPr>
        <w:pStyle w:val="ManualHeading2"/>
        <w:rPr>
          <w:noProof/>
        </w:rPr>
      </w:pPr>
      <w:r w:rsidRPr="00DF6E60">
        <w:rPr>
          <w:noProof/>
        </w:rPr>
        <w:t>Mise en œuvre du cadre de qualité de l’Union européenne pour l’anticipation des changements et des restructurations</w:t>
      </w:r>
    </w:p>
    <w:p w:rsidR="002F085B" w:rsidRPr="00DF6E60" w:rsidRDefault="0013165F" w:rsidP="00AE7D04">
      <w:pPr>
        <w:pStyle w:val="ManualNumPar1"/>
        <w:rPr>
          <w:noProof/>
        </w:rPr>
      </w:pPr>
      <w:r>
        <w:rPr>
          <w:noProof/>
        </w:rPr>
        <w:t>19.</w:t>
      </w:r>
      <w:r>
        <w:rPr>
          <w:noProof/>
        </w:rPr>
        <w:tab/>
      </w:r>
      <w:r w:rsidRPr="00DF6E60">
        <w:rPr>
          <w:noProof/>
        </w:rPr>
        <w:t>La Belgique a décrit la manière dont les recommandations formulées dans le cadre de qualité de l’UE pour l’anticipation des changements et des restructurations ont été prises en considération.</w:t>
      </w:r>
    </w:p>
    <w:p w:rsidR="001A62D7" w:rsidRPr="00DF6E60" w:rsidRDefault="002F085B" w:rsidP="00AE7D04">
      <w:pPr>
        <w:pStyle w:val="ManualNumPar1"/>
        <w:rPr>
          <w:noProof/>
        </w:rPr>
      </w:pPr>
      <w:r>
        <w:rPr>
          <w:noProof/>
        </w:rPr>
        <w:t>20.</w:t>
      </w:r>
      <w:r>
        <w:rPr>
          <w:noProof/>
        </w:rPr>
        <w:tab/>
      </w:r>
      <w:r w:rsidRPr="00DF6E60">
        <w:rPr>
          <w:noProof/>
        </w:rPr>
        <w:t>La Belgique a indiqué que le droit national du travail relatif à la gestion active des restructurations</w:t>
      </w:r>
      <w:r w:rsidRPr="00DF6E60">
        <w:rPr>
          <w:rStyle w:val="FootnoteReference"/>
          <w:noProof/>
        </w:rPr>
        <w:footnoteReference w:id="18"/>
      </w:r>
      <w:r w:rsidRPr="00DF6E60">
        <w:rPr>
          <w:noProof/>
        </w:rPr>
        <w:t xml:space="preserve"> exige des entreprises en cours de restructuration qu’elles créent une cellule pour l’emploi, dont l’objectif est de fournir aux travailleurs licenciés dans le cadre de licenciements collectifs 30 heures de services de reclassement externe (outplacement) sur une période de trois mois (60 heures sur six mois pour les travailleurs âgés de 45 ans et plus). Toutefois, cette exigence ne s’applique pas en cas de faillite. Par conséquent, les services de reclassement externe et d’orientation professionnelle inclus dans le train de mesures décrit ci-dessous au point 24 remplacent et élargissent les services de conseil et de reclassement externe dont ces travailleurs licenciés ne bénéficient pas.</w:t>
      </w:r>
    </w:p>
    <w:p w:rsidR="00803197" w:rsidRPr="00DF6E60" w:rsidRDefault="005B0EC2" w:rsidP="00803197">
      <w:pPr>
        <w:pStyle w:val="ManualNumPar1"/>
        <w:rPr>
          <w:noProof/>
        </w:rPr>
      </w:pPr>
      <w:r>
        <w:rPr>
          <w:noProof/>
        </w:rPr>
        <w:t>21.</w:t>
      </w:r>
      <w:r>
        <w:rPr>
          <w:noProof/>
        </w:rPr>
        <w:tab/>
      </w:r>
      <w:r w:rsidRPr="00DF6E60">
        <w:rPr>
          <w:noProof/>
        </w:rPr>
        <w:t>La législation régionale wallonne</w:t>
      </w:r>
      <w:r w:rsidRPr="00DF6E60">
        <w:rPr>
          <w:rStyle w:val="FootnoteReference"/>
          <w:noProof/>
        </w:rPr>
        <w:footnoteReference w:id="19"/>
      </w:r>
      <w:r w:rsidRPr="00DF6E60">
        <w:rPr>
          <w:noProof/>
        </w:rPr>
        <w:t xml:space="preserve"> prévoit un soutien spécifique aux travailleurs licenciés, sous la forme d’une </w:t>
      </w:r>
      <w:bookmarkStart w:id="14" w:name="_Hlk215169153"/>
      <w:r w:rsidRPr="00DF6E60">
        <w:rPr>
          <w:noProof/>
        </w:rPr>
        <w:t>cellule de reconversion</w:t>
      </w:r>
      <w:r w:rsidRPr="00DF6E60">
        <w:rPr>
          <w:rStyle w:val="FootnoteReference"/>
          <w:noProof/>
        </w:rPr>
        <w:footnoteReference w:id="20"/>
      </w:r>
      <w:bookmarkEnd w:id="14"/>
      <w:r w:rsidRPr="00DF6E60">
        <w:rPr>
          <w:noProof/>
        </w:rPr>
        <w:t xml:space="preserve"> mise en place par le service public régional de l’emploi et de la formation professionnelle (Le Forem), à la demande des organisations représentatives des travailleurs. La cellule de reconversion ne constitue pas une obligation pour l’employeur, ni pour le Forem. La mise en œuvre des mesures cofinancées par le FEM sera gérée par l’intermédiaire d’une telle cellule de reconversion.</w:t>
      </w:r>
    </w:p>
    <w:p w:rsidR="001A62D7" w:rsidRPr="00DF6E60" w:rsidRDefault="001A62D7" w:rsidP="00AE7D04">
      <w:pPr>
        <w:pStyle w:val="ManualNumPar1"/>
        <w:rPr>
          <w:noProof/>
        </w:rPr>
      </w:pPr>
      <w:r>
        <w:rPr>
          <w:noProof/>
        </w:rPr>
        <w:t>22.</w:t>
      </w:r>
      <w:r>
        <w:rPr>
          <w:noProof/>
        </w:rPr>
        <w:tab/>
      </w:r>
      <w:r w:rsidRPr="00DF6E60">
        <w:rPr>
          <w:noProof/>
        </w:rPr>
        <w:t>En ce qui concerne les actions mises en œuvre pour aider les travailleurs licenciés, la Belgique a indiqué que la cellule de reconversion avait été créée le 1</w:t>
      </w:r>
      <w:r w:rsidRPr="00DF6E60">
        <w:rPr>
          <w:noProof/>
          <w:vertAlign w:val="superscript"/>
        </w:rPr>
        <w:t>er</w:t>
      </w:r>
      <w:r w:rsidRPr="00DF6E60">
        <w:rPr>
          <w:noProof/>
        </w:rPr>
        <w:t xml:space="preserve"> juin 2025, peu de temps après les premiers licenciements. </w:t>
      </w:r>
    </w:p>
    <w:p w:rsidR="001A62D7" w:rsidRPr="00DF6E60" w:rsidRDefault="001A62D7" w:rsidP="001A62D7">
      <w:pPr>
        <w:pStyle w:val="ManualHeading3"/>
        <w:rPr>
          <w:noProof/>
        </w:rPr>
      </w:pPr>
      <w:r w:rsidRPr="00DF6E60">
        <w:rPr>
          <w:noProof/>
        </w:rPr>
        <w:lastRenderedPageBreak/>
        <w:t>Complémentarité avec les actions financées par des fonds nationaux ou de l’Union</w:t>
      </w:r>
    </w:p>
    <w:p w:rsidR="001A62D7" w:rsidRPr="00DF6E60" w:rsidRDefault="0013165F" w:rsidP="00AE7D04">
      <w:pPr>
        <w:pStyle w:val="ManualNumPar1"/>
        <w:rPr>
          <w:noProof/>
        </w:rPr>
      </w:pPr>
      <w:r>
        <w:rPr>
          <w:noProof/>
        </w:rPr>
        <w:t>23.</w:t>
      </w:r>
      <w:r>
        <w:rPr>
          <w:noProof/>
        </w:rPr>
        <w:tab/>
      </w:r>
      <w:r w:rsidRPr="00DF6E60">
        <w:rPr>
          <w:noProof/>
        </w:rPr>
        <w:t>La Belgique a confirmé que les mesures décrites ci-dessous bénéficiant d’une contribution financière du FEM ne recevront pas d’aide au titre d’autres instruments financiers de l’UE.</w:t>
      </w:r>
    </w:p>
    <w:p w:rsidR="001A62D7" w:rsidRPr="00DF6E60" w:rsidRDefault="001A62D7" w:rsidP="00AE7D04">
      <w:pPr>
        <w:pStyle w:val="ManualNumPar1"/>
        <w:rPr>
          <w:noProof/>
        </w:rPr>
      </w:pPr>
      <w:r>
        <w:rPr>
          <w:noProof/>
        </w:rPr>
        <w:t>24.</w:t>
      </w:r>
      <w:r>
        <w:rPr>
          <w:noProof/>
        </w:rPr>
        <w:tab/>
      </w:r>
      <w:r w:rsidRPr="00DF6E60">
        <w:rPr>
          <w:noProof/>
        </w:rPr>
        <w:t>L’ensemble coordonné de services personnalisés complète les actions financées par d’autres fonds nationaux ou de l’UE.</w:t>
      </w:r>
    </w:p>
    <w:p w:rsidR="001A62D7" w:rsidRPr="00DF6E60" w:rsidRDefault="001A62D7" w:rsidP="001A62D7">
      <w:pPr>
        <w:pStyle w:val="ManualHeading3"/>
        <w:tabs>
          <w:tab w:val="clear" w:pos="850"/>
          <w:tab w:val="left" w:pos="0"/>
        </w:tabs>
        <w:ind w:left="0" w:firstLine="0"/>
        <w:rPr>
          <w:noProof/>
          <w:u w:val="single"/>
        </w:rPr>
      </w:pPr>
      <w:r w:rsidRPr="00DF6E60">
        <w:rPr>
          <w:noProof/>
        </w:rPr>
        <w:t>Procédures suivies pour la consultation des bénéficiaires visés ou de leurs représentants, des partenaires sociaux et des collectivités locales et régionales</w:t>
      </w:r>
    </w:p>
    <w:p w:rsidR="001A62D7" w:rsidRPr="00DF6E60" w:rsidRDefault="005302D3" w:rsidP="00AE7D04">
      <w:pPr>
        <w:pStyle w:val="ManualNumPar1"/>
        <w:rPr>
          <w:noProof/>
        </w:rPr>
      </w:pPr>
      <w:r>
        <w:rPr>
          <w:noProof/>
        </w:rPr>
        <w:t>25.</w:t>
      </w:r>
      <w:r>
        <w:rPr>
          <w:noProof/>
        </w:rPr>
        <w:tab/>
      </w:r>
      <w:r w:rsidRPr="00DF6E60">
        <w:rPr>
          <w:noProof/>
        </w:rPr>
        <w:t>La Belgique a indiqué que l’ensemble coordonné de services personnalisés avait été établi en concertation avec les syndicats, conformément à l’article 7, paragraphe 4, du règlement (UE) 2021/691.</w:t>
      </w:r>
    </w:p>
    <w:p w:rsidR="001A62D7" w:rsidRPr="00DF6E60" w:rsidRDefault="005302D3" w:rsidP="00AE7D04">
      <w:pPr>
        <w:pStyle w:val="ManualNumPar1"/>
        <w:rPr>
          <w:noProof/>
        </w:rPr>
      </w:pPr>
      <w:r>
        <w:rPr>
          <w:noProof/>
        </w:rPr>
        <w:t>26.</w:t>
      </w:r>
      <w:r>
        <w:rPr>
          <w:noProof/>
        </w:rPr>
        <w:tab/>
      </w:r>
      <w:r w:rsidRPr="00DF6E60">
        <w:rPr>
          <w:noProof/>
        </w:rPr>
        <w:t>Lors d’une réunion qui s’est tenue le 14 juillet 2025, la FGTB</w:t>
      </w:r>
      <w:r w:rsidRPr="00DF6E60">
        <w:rPr>
          <w:rStyle w:val="FootnoteReference"/>
          <w:noProof/>
        </w:rPr>
        <w:footnoteReference w:id="21"/>
      </w:r>
      <w:r w:rsidRPr="00DF6E60">
        <w:rPr>
          <w:noProof/>
        </w:rPr>
        <w:t xml:space="preserve"> et la CSC</w:t>
      </w:r>
      <w:r w:rsidRPr="00DF6E60">
        <w:rPr>
          <w:rStyle w:val="FootnoteReference"/>
          <w:noProof/>
        </w:rPr>
        <w:footnoteReference w:id="22"/>
      </w:r>
      <w:r w:rsidRPr="00DF6E60">
        <w:rPr>
          <w:noProof/>
        </w:rPr>
        <w:t xml:space="preserve"> ont été consultées en particulier sur les besoins des travailleurs en matière de renforcement des compétences et de reconversion professionnelle. Les représentants des travailleurs ont également été invités à apporter leur contribution sur la manière d’améliorer le soutien apporté par le FEM.</w:t>
      </w:r>
    </w:p>
    <w:p w:rsidR="001A62D7" w:rsidRPr="00DF6E60" w:rsidRDefault="001A62D7" w:rsidP="001A62D7">
      <w:pPr>
        <w:pStyle w:val="ManualHeading2"/>
        <w:rPr>
          <w:noProof/>
        </w:rPr>
      </w:pPr>
      <w:r w:rsidRPr="00DF6E60">
        <w:rPr>
          <w:noProof/>
        </w:rPr>
        <w:t>Bénéficiaires visés et mesures proposées</w:t>
      </w:r>
    </w:p>
    <w:p w:rsidR="001A62D7" w:rsidRPr="00DF6E60" w:rsidRDefault="001A62D7" w:rsidP="001A62D7">
      <w:pPr>
        <w:pStyle w:val="ManualHeading3"/>
        <w:rPr>
          <w:noProof/>
        </w:rPr>
      </w:pPr>
      <w:r w:rsidRPr="00DF6E60">
        <w:rPr>
          <w:noProof/>
        </w:rPr>
        <w:t>Bénéficiaires visés</w:t>
      </w:r>
    </w:p>
    <w:p w:rsidR="001A62D7" w:rsidRPr="00DF6E60" w:rsidRDefault="00580012" w:rsidP="00AE7D04">
      <w:pPr>
        <w:pStyle w:val="ManualNumPar1"/>
        <w:rPr>
          <w:noProof/>
        </w:rPr>
      </w:pPr>
      <w:r>
        <w:rPr>
          <w:noProof/>
        </w:rPr>
        <w:t>27.</w:t>
      </w:r>
      <w:r>
        <w:rPr>
          <w:noProof/>
        </w:rPr>
        <w:tab/>
      </w:r>
      <w:r w:rsidRPr="00DF6E60">
        <w:rPr>
          <w:noProof/>
        </w:rPr>
        <w:t>Les 507 travailleurs licenciés devraient tous participer aux mesures. Conformément à l’article 8, paragraphe 7, point f), du règlement (UE) 2021/691, la ventilation fournie de ces travailleurs par genre, groupe d’âge et niveau d’éducation est la suivante:</w:t>
      </w:r>
    </w:p>
    <w:tbl>
      <w:tblPr>
        <w:tblW w:w="0" w:type="auto"/>
        <w:jc w:val="center"/>
        <w:tblLook w:val="04A0" w:firstRow="1" w:lastRow="0" w:firstColumn="1" w:lastColumn="0" w:noHBand="0" w:noVBand="1"/>
      </w:tblPr>
      <w:tblGrid>
        <w:gridCol w:w="1496"/>
        <w:gridCol w:w="2063"/>
        <w:gridCol w:w="1176"/>
        <w:gridCol w:w="1176"/>
      </w:tblGrid>
      <w:tr w:rsidR="001A62D7" w:rsidRPr="00DF6E60" w:rsidTr="001D5990">
        <w:trPr>
          <w:jc w:val="center"/>
        </w:trPr>
        <w:tc>
          <w:tcPr>
            <w:tcW w:w="3559" w:type="dxa"/>
            <w:gridSpan w:val="2"/>
            <w:tcBorders>
              <w:top w:val="single" w:sz="4" w:space="0" w:color="auto"/>
              <w:left w:val="nil"/>
              <w:bottom w:val="single" w:sz="4" w:space="0" w:color="auto"/>
              <w:right w:val="nil"/>
            </w:tcBorders>
            <w:hideMark/>
          </w:tcPr>
          <w:p w:rsidR="001A62D7" w:rsidRPr="00DF6E60" w:rsidRDefault="001A62D7" w:rsidP="001D5990">
            <w:pPr>
              <w:spacing w:before="60" w:after="60"/>
              <w:jc w:val="center"/>
              <w:rPr>
                <w:noProof/>
              </w:rPr>
            </w:pPr>
            <w:r w:rsidRPr="00DF6E60">
              <w:rPr>
                <w:noProof/>
              </w:rPr>
              <w:t>Catégorie</w:t>
            </w:r>
          </w:p>
        </w:tc>
        <w:tc>
          <w:tcPr>
            <w:tcW w:w="2352" w:type="dxa"/>
            <w:gridSpan w:val="2"/>
            <w:tcBorders>
              <w:top w:val="single" w:sz="4" w:space="0" w:color="auto"/>
              <w:left w:val="nil"/>
              <w:bottom w:val="single" w:sz="4" w:space="0" w:color="auto"/>
              <w:right w:val="nil"/>
            </w:tcBorders>
            <w:hideMark/>
          </w:tcPr>
          <w:p w:rsidR="001A62D7" w:rsidRPr="00DF6E60" w:rsidRDefault="001A62D7" w:rsidP="001D5990">
            <w:pPr>
              <w:spacing w:before="60" w:after="60"/>
              <w:jc w:val="center"/>
              <w:rPr>
                <w:noProof/>
              </w:rPr>
            </w:pPr>
            <w:r w:rsidRPr="00DF6E60">
              <w:rPr>
                <w:noProof/>
              </w:rPr>
              <w:t xml:space="preserve">Nombre  </w:t>
            </w:r>
            <w:r w:rsidRPr="00DF6E60">
              <w:rPr>
                <w:noProof/>
              </w:rPr>
              <w:br/>
              <w:t>de bénéficiaires escomptés</w:t>
            </w:r>
          </w:p>
        </w:tc>
      </w:tr>
      <w:tr w:rsidR="001A62D7" w:rsidRPr="00DF6E60" w:rsidTr="001D5990">
        <w:trPr>
          <w:jc w:val="center"/>
        </w:trPr>
        <w:tc>
          <w:tcPr>
            <w:tcW w:w="1496" w:type="dxa"/>
            <w:tcBorders>
              <w:top w:val="single" w:sz="4" w:space="0" w:color="auto"/>
              <w:left w:val="nil"/>
              <w:right w:val="nil"/>
            </w:tcBorders>
            <w:hideMark/>
          </w:tcPr>
          <w:p w:rsidR="001A62D7" w:rsidRPr="00DF6E60" w:rsidRDefault="001A62D7" w:rsidP="001D5990">
            <w:pPr>
              <w:spacing w:before="60" w:after="60"/>
              <w:rPr>
                <w:noProof/>
              </w:rPr>
            </w:pPr>
            <w:r w:rsidRPr="00DF6E60">
              <w:rPr>
                <w:noProof/>
              </w:rPr>
              <w:t>Sexe:</w:t>
            </w:r>
          </w:p>
        </w:tc>
        <w:tc>
          <w:tcPr>
            <w:tcW w:w="2063" w:type="dxa"/>
            <w:tcBorders>
              <w:top w:val="single" w:sz="4" w:space="0" w:color="auto"/>
              <w:left w:val="nil"/>
              <w:right w:val="nil"/>
            </w:tcBorders>
            <w:hideMark/>
          </w:tcPr>
          <w:p w:rsidR="001A62D7" w:rsidRPr="00DF6E60" w:rsidRDefault="001A62D7" w:rsidP="001D5990">
            <w:pPr>
              <w:spacing w:before="60" w:after="60"/>
              <w:rPr>
                <w:noProof/>
              </w:rPr>
            </w:pPr>
            <w:r w:rsidRPr="00DF6E60">
              <w:rPr>
                <w:noProof/>
              </w:rPr>
              <w:t>Hommes:</w:t>
            </w:r>
          </w:p>
        </w:tc>
        <w:tc>
          <w:tcPr>
            <w:tcW w:w="1176" w:type="dxa"/>
            <w:tcBorders>
              <w:top w:val="single" w:sz="4" w:space="0" w:color="auto"/>
              <w:left w:val="nil"/>
              <w:right w:val="nil"/>
            </w:tcBorders>
            <w:hideMark/>
          </w:tcPr>
          <w:p w:rsidR="001A62D7" w:rsidRPr="00DF6E60" w:rsidRDefault="003556B4" w:rsidP="001D5990">
            <w:pPr>
              <w:spacing w:before="60" w:after="60"/>
              <w:jc w:val="right"/>
              <w:rPr>
                <w:noProof/>
              </w:rPr>
            </w:pPr>
            <w:r w:rsidRPr="00DF6E60">
              <w:rPr>
                <w:noProof/>
              </w:rPr>
              <w:t>468</w:t>
            </w:r>
          </w:p>
        </w:tc>
        <w:tc>
          <w:tcPr>
            <w:tcW w:w="1176" w:type="dxa"/>
            <w:tcBorders>
              <w:top w:val="single" w:sz="4" w:space="0" w:color="auto"/>
              <w:left w:val="nil"/>
              <w:right w:val="nil"/>
            </w:tcBorders>
            <w:hideMark/>
          </w:tcPr>
          <w:p w:rsidR="001A62D7" w:rsidRPr="00DF6E60" w:rsidRDefault="001A62D7" w:rsidP="001D5990">
            <w:pPr>
              <w:spacing w:before="60" w:after="60"/>
              <w:jc w:val="right"/>
              <w:rPr>
                <w:noProof/>
              </w:rPr>
            </w:pPr>
            <w:r w:rsidRPr="00DF6E60">
              <w:rPr>
                <w:noProof/>
              </w:rPr>
              <w:t>(92,3 %)</w:t>
            </w:r>
          </w:p>
        </w:tc>
      </w:tr>
      <w:tr w:rsidR="001A62D7" w:rsidRPr="00DF6E60" w:rsidTr="001D5990">
        <w:trPr>
          <w:jc w:val="center"/>
        </w:trPr>
        <w:tc>
          <w:tcPr>
            <w:tcW w:w="1496" w:type="dxa"/>
            <w:tcBorders>
              <w:top w:val="nil"/>
              <w:left w:val="nil"/>
              <w:right w:val="nil"/>
            </w:tcBorders>
          </w:tcPr>
          <w:p w:rsidR="001A62D7" w:rsidRPr="00DF6E60" w:rsidRDefault="001A62D7" w:rsidP="001D5990">
            <w:pPr>
              <w:spacing w:before="60" w:after="60"/>
              <w:rPr>
                <w:noProof/>
              </w:rPr>
            </w:pPr>
          </w:p>
        </w:tc>
        <w:tc>
          <w:tcPr>
            <w:tcW w:w="2063" w:type="dxa"/>
            <w:tcBorders>
              <w:top w:val="nil"/>
              <w:left w:val="nil"/>
              <w:right w:val="nil"/>
            </w:tcBorders>
          </w:tcPr>
          <w:p w:rsidR="001A62D7" w:rsidRPr="00DF6E60" w:rsidRDefault="001A62D7" w:rsidP="001D5990">
            <w:pPr>
              <w:spacing w:before="60" w:after="60"/>
              <w:rPr>
                <w:rFonts w:eastAsia="Calibri"/>
                <w:noProof/>
              </w:rPr>
            </w:pPr>
            <w:r w:rsidRPr="00DF6E60">
              <w:rPr>
                <w:noProof/>
              </w:rPr>
              <w:t>Femmes:</w:t>
            </w:r>
          </w:p>
        </w:tc>
        <w:tc>
          <w:tcPr>
            <w:tcW w:w="1176" w:type="dxa"/>
          </w:tcPr>
          <w:p w:rsidR="001A62D7" w:rsidRPr="00DF6E60" w:rsidRDefault="003556B4" w:rsidP="001D5990">
            <w:pPr>
              <w:spacing w:before="60" w:after="60"/>
              <w:jc w:val="right"/>
              <w:rPr>
                <w:noProof/>
              </w:rPr>
            </w:pPr>
            <w:r w:rsidRPr="00DF6E60">
              <w:rPr>
                <w:noProof/>
              </w:rPr>
              <w:t>39</w:t>
            </w:r>
          </w:p>
        </w:tc>
        <w:tc>
          <w:tcPr>
            <w:tcW w:w="1176" w:type="dxa"/>
          </w:tcPr>
          <w:p w:rsidR="001A62D7" w:rsidRPr="00DF6E60" w:rsidRDefault="001A62D7" w:rsidP="001D5990">
            <w:pPr>
              <w:spacing w:before="60" w:after="60"/>
              <w:jc w:val="right"/>
              <w:rPr>
                <w:rFonts w:eastAsia="Calibri"/>
                <w:noProof/>
              </w:rPr>
            </w:pPr>
            <w:r w:rsidRPr="00DF6E60">
              <w:rPr>
                <w:noProof/>
              </w:rPr>
              <w:t>(7,7 %)</w:t>
            </w:r>
          </w:p>
        </w:tc>
      </w:tr>
      <w:tr w:rsidR="001A62D7" w:rsidRPr="00DF6E60" w:rsidTr="001D5990">
        <w:trPr>
          <w:jc w:val="center"/>
        </w:trPr>
        <w:tc>
          <w:tcPr>
            <w:tcW w:w="1496" w:type="dxa"/>
            <w:tcBorders>
              <w:left w:val="nil"/>
              <w:bottom w:val="single" w:sz="4" w:space="0" w:color="auto"/>
              <w:right w:val="nil"/>
            </w:tcBorders>
          </w:tcPr>
          <w:p w:rsidR="001A62D7" w:rsidRPr="00DF6E60" w:rsidRDefault="001A62D7" w:rsidP="001D5990">
            <w:pPr>
              <w:spacing w:before="60" w:after="60"/>
              <w:rPr>
                <w:noProof/>
              </w:rPr>
            </w:pPr>
          </w:p>
        </w:tc>
        <w:tc>
          <w:tcPr>
            <w:tcW w:w="2063" w:type="dxa"/>
            <w:tcBorders>
              <w:left w:val="nil"/>
              <w:bottom w:val="single" w:sz="4" w:space="0" w:color="auto"/>
              <w:right w:val="nil"/>
            </w:tcBorders>
          </w:tcPr>
          <w:p w:rsidR="001A62D7" w:rsidRPr="00DF6E60" w:rsidRDefault="001A62D7" w:rsidP="001D5990">
            <w:pPr>
              <w:spacing w:before="60" w:after="60"/>
              <w:rPr>
                <w:noProof/>
              </w:rPr>
            </w:pPr>
            <w:r w:rsidRPr="00DF6E60">
              <w:rPr>
                <w:noProof/>
              </w:rPr>
              <w:t>Non binaires</w:t>
            </w:r>
          </w:p>
        </w:tc>
        <w:tc>
          <w:tcPr>
            <w:tcW w:w="1176" w:type="dxa"/>
            <w:tcBorders>
              <w:bottom w:val="single" w:sz="4" w:space="0" w:color="auto"/>
            </w:tcBorders>
            <w:hideMark/>
          </w:tcPr>
          <w:p w:rsidR="001A62D7" w:rsidRPr="00DF6E60" w:rsidRDefault="003556B4" w:rsidP="001D5990">
            <w:pPr>
              <w:spacing w:before="60" w:after="60"/>
              <w:jc w:val="right"/>
              <w:rPr>
                <w:noProof/>
              </w:rPr>
            </w:pPr>
            <w:r w:rsidRPr="00DF6E60">
              <w:rPr>
                <w:noProof/>
              </w:rPr>
              <w:t>0</w:t>
            </w:r>
          </w:p>
        </w:tc>
        <w:tc>
          <w:tcPr>
            <w:tcW w:w="1176" w:type="dxa"/>
            <w:tcBorders>
              <w:bottom w:val="single" w:sz="4" w:space="0" w:color="auto"/>
            </w:tcBorders>
            <w:hideMark/>
          </w:tcPr>
          <w:p w:rsidR="001A62D7" w:rsidRPr="00DF6E60" w:rsidRDefault="001A62D7" w:rsidP="001D5990">
            <w:pPr>
              <w:spacing w:before="60" w:after="60"/>
              <w:jc w:val="right"/>
              <w:rPr>
                <w:noProof/>
              </w:rPr>
            </w:pPr>
            <w:r w:rsidRPr="00DF6E60">
              <w:rPr>
                <w:noProof/>
              </w:rPr>
              <w:t>(0,0 %)</w:t>
            </w:r>
          </w:p>
        </w:tc>
      </w:tr>
      <w:tr w:rsidR="001A62D7" w:rsidRPr="00DF6E60" w:rsidTr="001D5990">
        <w:trPr>
          <w:jc w:val="center"/>
        </w:trPr>
        <w:tc>
          <w:tcPr>
            <w:tcW w:w="1496" w:type="dxa"/>
            <w:tcBorders>
              <w:top w:val="single" w:sz="4" w:space="0" w:color="auto"/>
              <w:left w:val="nil"/>
              <w:bottom w:val="nil"/>
              <w:right w:val="nil"/>
            </w:tcBorders>
            <w:hideMark/>
          </w:tcPr>
          <w:p w:rsidR="001A62D7" w:rsidRPr="00DF6E60" w:rsidRDefault="001A62D7" w:rsidP="001D5990">
            <w:pPr>
              <w:spacing w:before="60" w:after="60"/>
              <w:rPr>
                <w:noProof/>
              </w:rPr>
            </w:pPr>
            <w:r w:rsidRPr="00DF6E60">
              <w:rPr>
                <w:noProof/>
              </w:rPr>
              <w:t>Tranche d’âge:</w:t>
            </w:r>
          </w:p>
        </w:tc>
        <w:tc>
          <w:tcPr>
            <w:tcW w:w="2063" w:type="dxa"/>
            <w:tcBorders>
              <w:top w:val="single" w:sz="4" w:space="0" w:color="auto"/>
              <w:left w:val="nil"/>
              <w:bottom w:val="nil"/>
              <w:right w:val="nil"/>
            </w:tcBorders>
            <w:hideMark/>
          </w:tcPr>
          <w:p w:rsidR="001A62D7" w:rsidRPr="00DF6E60" w:rsidRDefault="001A62D7" w:rsidP="001D5990">
            <w:pPr>
              <w:spacing w:before="60" w:after="60"/>
              <w:rPr>
                <w:noProof/>
              </w:rPr>
            </w:pPr>
            <w:r w:rsidRPr="00DF6E60">
              <w:rPr>
                <w:noProof/>
              </w:rPr>
              <w:t>Moins de 30 ans:</w:t>
            </w:r>
          </w:p>
        </w:tc>
        <w:tc>
          <w:tcPr>
            <w:tcW w:w="1176" w:type="dxa"/>
            <w:tcBorders>
              <w:top w:val="single" w:sz="4" w:space="0" w:color="auto"/>
            </w:tcBorders>
            <w:hideMark/>
          </w:tcPr>
          <w:p w:rsidR="001A62D7" w:rsidRPr="00DF6E60" w:rsidRDefault="003556B4" w:rsidP="001D5990">
            <w:pPr>
              <w:spacing w:before="60" w:after="60"/>
              <w:jc w:val="right"/>
              <w:rPr>
                <w:noProof/>
              </w:rPr>
            </w:pPr>
            <w:r w:rsidRPr="00DF6E60">
              <w:rPr>
                <w:noProof/>
              </w:rPr>
              <w:t>4</w:t>
            </w:r>
          </w:p>
        </w:tc>
        <w:tc>
          <w:tcPr>
            <w:tcW w:w="1176" w:type="dxa"/>
            <w:tcBorders>
              <w:top w:val="single" w:sz="4" w:space="0" w:color="auto"/>
            </w:tcBorders>
            <w:hideMark/>
          </w:tcPr>
          <w:p w:rsidR="001A62D7" w:rsidRPr="00DF6E60" w:rsidRDefault="001A62D7" w:rsidP="001D5990">
            <w:pPr>
              <w:spacing w:before="60" w:after="60"/>
              <w:jc w:val="right"/>
              <w:rPr>
                <w:noProof/>
              </w:rPr>
            </w:pPr>
            <w:r w:rsidRPr="00DF6E60">
              <w:rPr>
                <w:noProof/>
              </w:rPr>
              <w:t>(0,8 %)</w:t>
            </w:r>
          </w:p>
        </w:tc>
      </w:tr>
      <w:tr w:rsidR="001A62D7" w:rsidRPr="00DF6E60" w:rsidTr="001D5990">
        <w:trPr>
          <w:jc w:val="center"/>
        </w:trPr>
        <w:tc>
          <w:tcPr>
            <w:tcW w:w="1496" w:type="dxa"/>
          </w:tcPr>
          <w:p w:rsidR="001A62D7" w:rsidRPr="00DF6E60" w:rsidRDefault="001A62D7" w:rsidP="001D5990">
            <w:pPr>
              <w:spacing w:before="60" w:after="60"/>
              <w:rPr>
                <w:noProof/>
              </w:rPr>
            </w:pPr>
          </w:p>
        </w:tc>
        <w:tc>
          <w:tcPr>
            <w:tcW w:w="2063" w:type="dxa"/>
            <w:hideMark/>
          </w:tcPr>
          <w:p w:rsidR="001A62D7" w:rsidRPr="00DF6E60" w:rsidRDefault="001A62D7" w:rsidP="001D5990">
            <w:pPr>
              <w:spacing w:before="60" w:after="60"/>
              <w:rPr>
                <w:noProof/>
              </w:rPr>
            </w:pPr>
            <w:r w:rsidRPr="00DF6E60">
              <w:rPr>
                <w:noProof/>
              </w:rPr>
              <w:t>30-54 ans:</w:t>
            </w:r>
          </w:p>
        </w:tc>
        <w:tc>
          <w:tcPr>
            <w:tcW w:w="1176" w:type="dxa"/>
            <w:hideMark/>
          </w:tcPr>
          <w:p w:rsidR="001A62D7" w:rsidRPr="00DF6E60" w:rsidRDefault="003556B4" w:rsidP="001D5990">
            <w:pPr>
              <w:spacing w:before="60" w:after="60"/>
              <w:jc w:val="right"/>
              <w:rPr>
                <w:noProof/>
              </w:rPr>
            </w:pPr>
            <w:r w:rsidRPr="00DF6E60">
              <w:rPr>
                <w:noProof/>
              </w:rPr>
              <w:t>242</w:t>
            </w:r>
          </w:p>
        </w:tc>
        <w:tc>
          <w:tcPr>
            <w:tcW w:w="1176" w:type="dxa"/>
            <w:hideMark/>
          </w:tcPr>
          <w:p w:rsidR="001A62D7" w:rsidRPr="00DF6E60" w:rsidRDefault="001A62D7" w:rsidP="001D5990">
            <w:pPr>
              <w:spacing w:before="60" w:after="60"/>
              <w:jc w:val="right"/>
              <w:rPr>
                <w:noProof/>
              </w:rPr>
            </w:pPr>
            <w:r w:rsidRPr="00DF6E60">
              <w:rPr>
                <w:noProof/>
              </w:rPr>
              <w:t>(47,7 %)</w:t>
            </w:r>
          </w:p>
        </w:tc>
      </w:tr>
      <w:tr w:rsidR="001A62D7" w:rsidRPr="00DF6E60" w:rsidTr="001D5990">
        <w:trPr>
          <w:jc w:val="center"/>
        </w:trPr>
        <w:tc>
          <w:tcPr>
            <w:tcW w:w="1496" w:type="dxa"/>
          </w:tcPr>
          <w:p w:rsidR="001A62D7" w:rsidRPr="00DF6E60" w:rsidRDefault="001A62D7" w:rsidP="001D5990">
            <w:pPr>
              <w:spacing w:before="60" w:after="60"/>
              <w:rPr>
                <w:noProof/>
              </w:rPr>
            </w:pPr>
          </w:p>
        </w:tc>
        <w:tc>
          <w:tcPr>
            <w:tcW w:w="2063" w:type="dxa"/>
            <w:hideMark/>
          </w:tcPr>
          <w:p w:rsidR="001A62D7" w:rsidRPr="00DF6E60" w:rsidRDefault="001A62D7" w:rsidP="001D5990">
            <w:pPr>
              <w:spacing w:before="60" w:after="60"/>
              <w:jc w:val="left"/>
              <w:rPr>
                <w:noProof/>
              </w:rPr>
            </w:pPr>
            <w:r w:rsidRPr="00DF6E60">
              <w:rPr>
                <w:noProof/>
              </w:rPr>
              <w:t>Plus de 54 ans:</w:t>
            </w:r>
          </w:p>
        </w:tc>
        <w:tc>
          <w:tcPr>
            <w:tcW w:w="1176" w:type="dxa"/>
            <w:hideMark/>
          </w:tcPr>
          <w:p w:rsidR="001A62D7" w:rsidRPr="00DF6E60" w:rsidRDefault="003556B4" w:rsidP="001D5990">
            <w:pPr>
              <w:spacing w:before="60" w:after="60"/>
              <w:jc w:val="right"/>
              <w:rPr>
                <w:noProof/>
              </w:rPr>
            </w:pPr>
            <w:r w:rsidRPr="00DF6E60">
              <w:rPr>
                <w:noProof/>
              </w:rPr>
              <w:t>261</w:t>
            </w:r>
          </w:p>
        </w:tc>
        <w:tc>
          <w:tcPr>
            <w:tcW w:w="1176" w:type="dxa"/>
            <w:hideMark/>
          </w:tcPr>
          <w:p w:rsidR="001A62D7" w:rsidRPr="00DF6E60" w:rsidRDefault="001A62D7" w:rsidP="001D5990">
            <w:pPr>
              <w:spacing w:before="60" w:after="60"/>
              <w:jc w:val="right"/>
              <w:rPr>
                <w:noProof/>
              </w:rPr>
            </w:pPr>
            <w:r w:rsidRPr="00DF6E60">
              <w:rPr>
                <w:noProof/>
              </w:rPr>
              <w:t>(51,5 %)</w:t>
            </w:r>
          </w:p>
        </w:tc>
      </w:tr>
      <w:tr w:rsidR="001A62D7" w:rsidRPr="00DF6E60" w:rsidTr="001D5990">
        <w:trPr>
          <w:jc w:val="center"/>
        </w:trPr>
        <w:tc>
          <w:tcPr>
            <w:tcW w:w="1496" w:type="dxa"/>
            <w:tcBorders>
              <w:top w:val="single" w:sz="4" w:space="0" w:color="auto"/>
              <w:left w:val="nil"/>
              <w:bottom w:val="nil"/>
              <w:right w:val="nil"/>
            </w:tcBorders>
          </w:tcPr>
          <w:p w:rsidR="001A62D7" w:rsidRPr="00DF6E60" w:rsidRDefault="001A62D7" w:rsidP="001D5990">
            <w:pPr>
              <w:spacing w:before="60" w:after="60"/>
              <w:rPr>
                <w:noProof/>
              </w:rPr>
            </w:pPr>
            <w:r w:rsidRPr="00DF6E60">
              <w:rPr>
                <w:noProof/>
              </w:rPr>
              <w:t>Niveau d’éducation</w:t>
            </w:r>
          </w:p>
        </w:tc>
        <w:tc>
          <w:tcPr>
            <w:tcW w:w="2063" w:type="dxa"/>
            <w:tcBorders>
              <w:top w:val="single" w:sz="4" w:space="0" w:color="auto"/>
              <w:left w:val="nil"/>
              <w:bottom w:val="nil"/>
              <w:right w:val="nil"/>
            </w:tcBorders>
          </w:tcPr>
          <w:p w:rsidR="001A62D7" w:rsidRPr="00DF6E60" w:rsidRDefault="001A62D7" w:rsidP="001D5990">
            <w:pPr>
              <w:spacing w:before="60" w:after="60"/>
              <w:rPr>
                <w:noProof/>
              </w:rPr>
            </w:pPr>
            <w:r w:rsidRPr="00DF6E60">
              <w:rPr>
                <w:noProof/>
              </w:rPr>
              <w:t>Premier cycle du secondaire ou inférieur</w:t>
            </w:r>
            <w:r w:rsidRPr="00DF6E60">
              <w:rPr>
                <w:rStyle w:val="FootnoteReference"/>
                <w:noProof/>
              </w:rPr>
              <w:footnoteReference w:id="23"/>
            </w:r>
            <w:r w:rsidRPr="00DF6E60">
              <w:rPr>
                <w:noProof/>
              </w:rPr>
              <w:t xml:space="preserve"> </w:t>
            </w:r>
          </w:p>
        </w:tc>
        <w:tc>
          <w:tcPr>
            <w:tcW w:w="1176" w:type="dxa"/>
            <w:tcBorders>
              <w:top w:val="single" w:sz="4" w:space="0" w:color="auto"/>
              <w:left w:val="nil"/>
              <w:bottom w:val="nil"/>
              <w:right w:val="nil"/>
            </w:tcBorders>
          </w:tcPr>
          <w:p w:rsidR="001A62D7" w:rsidRPr="00DF6E60" w:rsidRDefault="003556B4" w:rsidP="001D5990">
            <w:pPr>
              <w:spacing w:before="60" w:after="60"/>
              <w:jc w:val="right"/>
              <w:rPr>
                <w:noProof/>
              </w:rPr>
            </w:pPr>
            <w:r w:rsidRPr="00DF6E60">
              <w:rPr>
                <w:noProof/>
              </w:rPr>
              <w:t>70</w:t>
            </w:r>
          </w:p>
        </w:tc>
        <w:tc>
          <w:tcPr>
            <w:tcW w:w="1176" w:type="dxa"/>
            <w:tcBorders>
              <w:top w:val="single" w:sz="4" w:space="0" w:color="auto"/>
              <w:left w:val="nil"/>
              <w:bottom w:val="nil"/>
              <w:right w:val="nil"/>
            </w:tcBorders>
          </w:tcPr>
          <w:p w:rsidR="001A62D7" w:rsidRPr="00DF6E60" w:rsidRDefault="001A62D7" w:rsidP="001D5990">
            <w:pPr>
              <w:spacing w:before="60" w:after="60"/>
              <w:jc w:val="right"/>
              <w:rPr>
                <w:rFonts w:eastAsia="Calibri"/>
                <w:noProof/>
              </w:rPr>
            </w:pPr>
            <w:r w:rsidRPr="00DF6E60">
              <w:rPr>
                <w:noProof/>
              </w:rPr>
              <w:t>(13,8 %)</w:t>
            </w:r>
          </w:p>
        </w:tc>
      </w:tr>
      <w:tr w:rsidR="001A62D7" w:rsidRPr="00DF6E60" w:rsidTr="001D5990">
        <w:trPr>
          <w:jc w:val="center"/>
        </w:trPr>
        <w:tc>
          <w:tcPr>
            <w:tcW w:w="1496" w:type="dxa"/>
            <w:tcBorders>
              <w:top w:val="nil"/>
              <w:left w:val="nil"/>
              <w:right w:val="nil"/>
            </w:tcBorders>
          </w:tcPr>
          <w:p w:rsidR="001A62D7" w:rsidRPr="00DF6E60" w:rsidRDefault="001A62D7" w:rsidP="001D5990">
            <w:pPr>
              <w:spacing w:before="60" w:after="60"/>
              <w:rPr>
                <w:noProof/>
              </w:rPr>
            </w:pPr>
          </w:p>
        </w:tc>
        <w:tc>
          <w:tcPr>
            <w:tcW w:w="2063" w:type="dxa"/>
            <w:tcBorders>
              <w:top w:val="nil"/>
              <w:left w:val="nil"/>
              <w:right w:val="nil"/>
            </w:tcBorders>
          </w:tcPr>
          <w:p w:rsidR="001A62D7" w:rsidRPr="00DF6E60" w:rsidRDefault="001A62D7" w:rsidP="001D5990">
            <w:pPr>
              <w:spacing w:before="60" w:after="60"/>
              <w:rPr>
                <w:noProof/>
              </w:rPr>
            </w:pPr>
            <w:r w:rsidRPr="00DF6E60">
              <w:rPr>
                <w:noProof/>
              </w:rPr>
              <w:t>Deuxième cycle du secondaire</w:t>
            </w:r>
            <w:r w:rsidRPr="00DF6E60">
              <w:rPr>
                <w:rStyle w:val="FootnoteReference"/>
                <w:noProof/>
              </w:rPr>
              <w:footnoteReference w:id="24"/>
            </w:r>
            <w:r w:rsidRPr="00DF6E60">
              <w:rPr>
                <w:noProof/>
              </w:rPr>
              <w:t xml:space="preserve"> ou post-secondaire </w:t>
            </w:r>
            <w:r w:rsidRPr="00DF6E60">
              <w:rPr>
                <w:noProof/>
              </w:rPr>
              <w:lastRenderedPageBreak/>
              <w:t>non supérieur</w:t>
            </w:r>
            <w:r w:rsidRPr="00DF6E60">
              <w:rPr>
                <w:rStyle w:val="FootnoteReference"/>
                <w:noProof/>
              </w:rPr>
              <w:footnoteReference w:id="25"/>
            </w:r>
          </w:p>
        </w:tc>
        <w:tc>
          <w:tcPr>
            <w:tcW w:w="1176" w:type="dxa"/>
            <w:tcBorders>
              <w:top w:val="nil"/>
              <w:left w:val="nil"/>
              <w:right w:val="nil"/>
            </w:tcBorders>
          </w:tcPr>
          <w:p w:rsidR="001A62D7" w:rsidRPr="00DF6E60" w:rsidRDefault="003556B4" w:rsidP="001D5990">
            <w:pPr>
              <w:spacing w:before="60" w:after="60"/>
              <w:jc w:val="right"/>
              <w:rPr>
                <w:noProof/>
              </w:rPr>
            </w:pPr>
            <w:r w:rsidRPr="00DF6E60">
              <w:rPr>
                <w:noProof/>
              </w:rPr>
              <w:lastRenderedPageBreak/>
              <w:t>280</w:t>
            </w:r>
          </w:p>
        </w:tc>
        <w:tc>
          <w:tcPr>
            <w:tcW w:w="1176" w:type="dxa"/>
            <w:tcBorders>
              <w:top w:val="nil"/>
              <w:left w:val="nil"/>
              <w:right w:val="nil"/>
            </w:tcBorders>
          </w:tcPr>
          <w:p w:rsidR="001A62D7" w:rsidRPr="00DF6E60" w:rsidRDefault="001A62D7" w:rsidP="001D5990">
            <w:pPr>
              <w:spacing w:before="60" w:after="60"/>
              <w:jc w:val="right"/>
              <w:rPr>
                <w:rFonts w:eastAsia="Calibri"/>
                <w:noProof/>
              </w:rPr>
            </w:pPr>
            <w:r w:rsidRPr="00DF6E60">
              <w:rPr>
                <w:noProof/>
              </w:rPr>
              <w:t>(55,2 %)</w:t>
            </w:r>
          </w:p>
        </w:tc>
      </w:tr>
      <w:tr w:rsidR="001A62D7" w:rsidRPr="00DF6E60" w:rsidTr="001D5990">
        <w:trPr>
          <w:jc w:val="center"/>
        </w:trPr>
        <w:tc>
          <w:tcPr>
            <w:tcW w:w="1496" w:type="dxa"/>
            <w:tcBorders>
              <w:top w:val="nil"/>
              <w:left w:val="nil"/>
              <w:bottom w:val="single" w:sz="4" w:space="0" w:color="auto"/>
              <w:right w:val="nil"/>
            </w:tcBorders>
          </w:tcPr>
          <w:p w:rsidR="001A62D7" w:rsidRPr="00DF6E60" w:rsidRDefault="001A62D7" w:rsidP="001D5990">
            <w:pPr>
              <w:spacing w:before="60" w:after="60"/>
              <w:rPr>
                <w:noProof/>
              </w:rPr>
            </w:pPr>
          </w:p>
        </w:tc>
        <w:tc>
          <w:tcPr>
            <w:tcW w:w="2063" w:type="dxa"/>
            <w:tcBorders>
              <w:top w:val="nil"/>
              <w:left w:val="nil"/>
              <w:bottom w:val="single" w:sz="4" w:space="0" w:color="auto"/>
              <w:right w:val="nil"/>
            </w:tcBorders>
          </w:tcPr>
          <w:p w:rsidR="001A62D7" w:rsidRPr="00DF6E60" w:rsidRDefault="001A62D7" w:rsidP="001D5990">
            <w:pPr>
              <w:spacing w:before="60" w:after="60"/>
              <w:rPr>
                <w:noProof/>
              </w:rPr>
            </w:pPr>
            <w:r w:rsidRPr="00DF6E60">
              <w:rPr>
                <w:noProof/>
              </w:rPr>
              <w:t>Enseignement supérieur</w:t>
            </w:r>
            <w:r w:rsidRPr="00DF6E60">
              <w:rPr>
                <w:rStyle w:val="FootnoteReference"/>
                <w:noProof/>
              </w:rPr>
              <w:footnoteReference w:id="26"/>
            </w:r>
          </w:p>
        </w:tc>
        <w:tc>
          <w:tcPr>
            <w:tcW w:w="1176" w:type="dxa"/>
            <w:tcBorders>
              <w:top w:val="nil"/>
              <w:left w:val="nil"/>
              <w:bottom w:val="single" w:sz="4" w:space="0" w:color="auto"/>
              <w:right w:val="nil"/>
            </w:tcBorders>
          </w:tcPr>
          <w:p w:rsidR="001A62D7" w:rsidRPr="00DF6E60" w:rsidRDefault="003556B4" w:rsidP="001D5990">
            <w:pPr>
              <w:spacing w:before="60" w:after="60"/>
              <w:jc w:val="right"/>
              <w:rPr>
                <w:noProof/>
              </w:rPr>
            </w:pPr>
            <w:r w:rsidRPr="00DF6E60">
              <w:rPr>
                <w:noProof/>
              </w:rPr>
              <w:t>157</w:t>
            </w:r>
          </w:p>
        </w:tc>
        <w:tc>
          <w:tcPr>
            <w:tcW w:w="1176" w:type="dxa"/>
            <w:tcBorders>
              <w:top w:val="nil"/>
              <w:left w:val="nil"/>
              <w:bottom w:val="single" w:sz="4" w:space="0" w:color="auto"/>
              <w:right w:val="nil"/>
            </w:tcBorders>
          </w:tcPr>
          <w:p w:rsidR="001A62D7" w:rsidRPr="00DF6E60" w:rsidRDefault="001A62D7" w:rsidP="001D5990">
            <w:pPr>
              <w:spacing w:before="60" w:after="60"/>
              <w:jc w:val="right"/>
              <w:rPr>
                <w:rFonts w:eastAsia="Calibri"/>
                <w:noProof/>
              </w:rPr>
            </w:pPr>
            <w:r w:rsidRPr="00DF6E60">
              <w:rPr>
                <w:noProof/>
              </w:rPr>
              <w:t>(31,0 %)</w:t>
            </w:r>
          </w:p>
        </w:tc>
      </w:tr>
    </w:tbl>
    <w:p w:rsidR="001A62D7" w:rsidRPr="00DF6E60" w:rsidRDefault="001A62D7" w:rsidP="001A62D7">
      <w:pPr>
        <w:pStyle w:val="ManualHeading3"/>
        <w:rPr>
          <w:noProof/>
          <w:u w:val="single"/>
        </w:rPr>
      </w:pPr>
      <w:r w:rsidRPr="00DF6E60">
        <w:rPr>
          <w:noProof/>
        </w:rPr>
        <w:t>Mesures proposées</w:t>
      </w:r>
    </w:p>
    <w:p w:rsidR="001A62D7" w:rsidRPr="00DF6E60" w:rsidRDefault="001A62D7" w:rsidP="00AE7D04">
      <w:pPr>
        <w:pStyle w:val="ManualNumPar1"/>
        <w:rPr>
          <w:noProof/>
        </w:rPr>
      </w:pPr>
      <w:r>
        <w:rPr>
          <w:noProof/>
        </w:rPr>
        <w:t>28.</w:t>
      </w:r>
      <w:r>
        <w:rPr>
          <w:noProof/>
        </w:rPr>
        <w:tab/>
      </w:r>
      <w:bookmarkStart w:id="15" w:name="_Ref372214239"/>
      <w:r w:rsidRPr="00DF6E60">
        <w:rPr>
          <w:noProof/>
        </w:rPr>
        <w:t xml:space="preserve">Conformément à l’article 8, paragraphe 7, point h), du règlement (UE) 2021/691, l’ensemble coordonné personnalisé à fournir aux travailleurs licenciés comprend les mesures suivantes: </w:t>
      </w:r>
      <w:bookmarkEnd w:id="15"/>
    </w:p>
    <w:p w:rsidR="00E13EF1" w:rsidRPr="00DF6E60" w:rsidRDefault="00E13EF1" w:rsidP="006E2777">
      <w:pPr>
        <w:pStyle w:val="Tiret1"/>
        <w:numPr>
          <w:ilvl w:val="0"/>
          <w:numId w:val="20"/>
        </w:numPr>
        <w:rPr>
          <w:noProof/>
        </w:rPr>
      </w:pPr>
      <w:r w:rsidRPr="00DF6E60">
        <w:rPr>
          <w:noProof/>
          <w:u w:val="single"/>
        </w:rPr>
        <w:t>Reclassement externe (outplacement) et orientation professionnelle</w:t>
      </w:r>
      <w:r w:rsidRPr="00DF6E60">
        <w:rPr>
          <w:noProof/>
        </w:rPr>
        <w:t>: Ces services sont fournis par une équipe de conseillers professionnels spécialisés dans les restructurations et d’accompagnateurs sociaux généralement issus des représentants des salariés de l’entreprise.</w:t>
      </w:r>
    </w:p>
    <w:p w:rsidR="001A62D7" w:rsidRPr="00DF6E60" w:rsidRDefault="00E13EF1" w:rsidP="00E13EF1">
      <w:pPr>
        <w:pStyle w:val="Text2"/>
        <w:rPr>
          <w:noProof/>
        </w:rPr>
      </w:pPr>
      <w:r w:rsidRPr="00DF6E60">
        <w:rPr>
          <w:noProof/>
        </w:rPr>
        <w:t>Les conseillers fournissent des services de reclassement externe et des conseils, des formations et une aide à la réinsertion professionnelle au moyen de séances individuelles et collectives de conseil et d’accompagnement, tandis que les accompagnateurs sociaux apportent un soutien en ce qui concerne les procédures administratives lors du changement de statut professionnel et contribuent à préserver les relations entre les travailleurs telles qu’elles étaient établies chez Liberty.</w:t>
      </w:r>
    </w:p>
    <w:p w:rsidR="001A62D7" w:rsidRPr="00DF6E60" w:rsidRDefault="00B5414C" w:rsidP="001A62D7">
      <w:pPr>
        <w:pStyle w:val="Tiret1"/>
        <w:rPr>
          <w:noProof/>
        </w:rPr>
      </w:pPr>
      <w:r w:rsidRPr="00DF6E60">
        <w:rPr>
          <w:noProof/>
          <w:u w:val="single"/>
        </w:rPr>
        <w:t>Formation, reconversion et formation professionnelle</w:t>
      </w:r>
      <w:r w:rsidRPr="00DF6E60">
        <w:rPr>
          <w:noProof/>
        </w:rPr>
        <w:t>: Une fois le profil et les projets individuels des travailleurs établis avec les conseillers en accompagnement professionnel, une formation spécifique sera proposée afin de répondre à leurs besoins recensés. Cette formation complète l’offre de formation standard du Forem et de ses partenaires. Deux modules informatiques spécifiques d’acquisition et de renforcement de l’autonomie numérique sont également proposés aux travailleurs.</w:t>
      </w:r>
    </w:p>
    <w:p w:rsidR="00580012" w:rsidRPr="00DF6E60" w:rsidRDefault="00B5414C" w:rsidP="00580012">
      <w:pPr>
        <w:pStyle w:val="Tiret1"/>
        <w:rPr>
          <w:noProof/>
        </w:rPr>
      </w:pPr>
      <w:r w:rsidRPr="00DF6E60">
        <w:rPr>
          <w:noProof/>
          <w:u w:val="single"/>
        </w:rPr>
        <w:t>Aide à la création d’entreprise</w:t>
      </w:r>
      <w:r w:rsidRPr="00DF6E60">
        <w:rPr>
          <w:noProof/>
        </w:rPr>
        <w:t>: La mesure s’adresse aux travailleurs qui souhaitent créer leur propre entreprise. Elle comprendra une phase de diagnostic et d’orientation, des actions de sensibilisation à l’esprit d’entreprise, des séances d’information sur le potentiel de création d’entreprise grâce à des diagnostics économiques territoriaux et à la mise en réseau avec des entrepreneurs appropriés et des accompagnants certifiés dans le domaine de la création d’entreprise.</w:t>
      </w:r>
    </w:p>
    <w:p w:rsidR="00580012" w:rsidRPr="00DF6E60" w:rsidRDefault="00EC11EE" w:rsidP="00580012">
      <w:pPr>
        <w:pStyle w:val="Tiret1"/>
        <w:rPr>
          <w:noProof/>
        </w:rPr>
      </w:pPr>
      <w:r w:rsidRPr="00DF6E60">
        <w:rPr>
          <w:noProof/>
          <w:u w:val="single"/>
        </w:rPr>
        <w:t>Contribution à la création d’entreprise</w:t>
      </w:r>
      <w:r w:rsidRPr="00DF6E60">
        <w:rPr>
          <w:noProof/>
        </w:rPr>
        <w:t>: Les travailleurs qui créent une entreprise ou démarrent une activité indépendante recevront une contribution allant jusqu’à 15 000 EUR. La contribution sera versée en deux tranches, dès lors que le démarrage et le développement de l’activité commerciale auront été prouvés par des pièces justificatives.</w:t>
      </w:r>
    </w:p>
    <w:p w:rsidR="00580012" w:rsidRPr="00DF6E60" w:rsidRDefault="00EC11EE" w:rsidP="001A62D7">
      <w:pPr>
        <w:pStyle w:val="Tiret1"/>
        <w:rPr>
          <w:noProof/>
        </w:rPr>
      </w:pPr>
      <w:r w:rsidRPr="00DF6E60">
        <w:rPr>
          <w:noProof/>
          <w:u w:val="single"/>
        </w:rPr>
        <w:t>Mesures d’incitation et allocations</w:t>
      </w:r>
      <w:r w:rsidRPr="00DF6E60">
        <w:rPr>
          <w:noProof/>
        </w:rPr>
        <w:t xml:space="preserve">: </w:t>
      </w:r>
      <w:r w:rsidRPr="00DF6E60">
        <w:rPr>
          <w:b/>
          <w:noProof/>
        </w:rPr>
        <w:t>1) Allocations de recherche d’emploi.</w:t>
      </w:r>
      <w:r w:rsidRPr="00DF6E60">
        <w:rPr>
          <w:noProof/>
        </w:rPr>
        <w:t xml:space="preserve"> Les travailleurs recevront 2 EUR pour chaque heure de participation effective aux activités de recherche d’emploi pouvant bénéficier de l’allocation. </w:t>
      </w:r>
      <w:r w:rsidRPr="00DF6E60">
        <w:rPr>
          <w:b/>
          <w:noProof/>
        </w:rPr>
        <w:t>2) Allocation de reprise des études.</w:t>
      </w:r>
      <w:r w:rsidRPr="00DF6E60">
        <w:rPr>
          <w:noProof/>
        </w:rPr>
        <w:t xml:space="preserve"> Une allocation mensuelle de 350 EUR sera accordée aux travailleurs qui entreprennent des études secondaires ou tertiaires à temps plein, ou une formation qualifiante permettant d’acquérir des compétences nécessaires pour des emplois pour lesquels il existe des besoins et </w:t>
      </w:r>
      <w:r w:rsidRPr="00DF6E60">
        <w:rPr>
          <w:noProof/>
        </w:rPr>
        <w:lastRenderedPageBreak/>
        <w:t>pour lesquels le recrutement est difficile ou lié à des fonctions critiques</w:t>
      </w:r>
      <w:r w:rsidRPr="00DF6E60">
        <w:rPr>
          <w:rStyle w:val="FootnoteReference"/>
          <w:noProof/>
        </w:rPr>
        <w:footnoteReference w:id="27"/>
      </w:r>
      <w:r w:rsidRPr="00DF6E60">
        <w:rPr>
          <w:noProof/>
        </w:rPr>
        <w:t xml:space="preserve">. </w:t>
      </w:r>
      <w:r w:rsidRPr="00DF6E60">
        <w:rPr>
          <w:b/>
          <w:noProof/>
        </w:rPr>
        <w:t>3) Aide à la création d’entreprise.</w:t>
      </w:r>
      <w:r w:rsidRPr="00DF6E60">
        <w:rPr>
          <w:noProof/>
        </w:rPr>
        <w:t xml:space="preserve"> Afin de soutenir les travailleurs lors de la création d’une entreprise, une allocation mensuelle de 350 EUR sera accordée pour une durée maximale de 12 mois, qui pourra aller jusqu’à 18 mois sous certaines conditions.</w:t>
      </w:r>
    </w:p>
    <w:p w:rsidR="001A62D7" w:rsidRPr="00DF6E60" w:rsidRDefault="00E13EF1" w:rsidP="00B100CF">
      <w:pPr>
        <w:pStyle w:val="ManualNumPar1"/>
        <w:rPr>
          <w:noProof/>
        </w:rPr>
      </w:pPr>
      <w:r>
        <w:rPr>
          <w:noProof/>
        </w:rPr>
        <w:t>29.</w:t>
      </w:r>
      <w:r>
        <w:rPr>
          <w:noProof/>
        </w:rPr>
        <w:tab/>
      </w:r>
      <w:r w:rsidRPr="00DF6E60">
        <w:rPr>
          <w:noProof/>
        </w:rPr>
        <w:t>La formation visant à acquérir et à renforcer l’autonomie numérique mentionnée ci-dessus, qui complète la formation standard du Forem visant à développer les compétences numériques, et un module sur l’économie circulaire et l’utilisation efficace des ressources permettent de diffuser les compétences requises à l’ère du numérique et dans une économie efficace dans l’utilisation des ressources, conformément à l’article 7, paragraphe 2, du règlement (UE) 2021/691. Le module sur l’économie circulaire et l’utilisation efficace des ressources élaboré pour les anciens travailleurs de Swissport (EGF/2020/005 BE)</w:t>
      </w:r>
      <w:r w:rsidRPr="00DF6E60">
        <w:rPr>
          <w:rStyle w:val="FootnoteReference"/>
          <w:noProof/>
        </w:rPr>
        <w:footnoteReference w:id="28"/>
      </w:r>
      <w:r w:rsidRPr="00DF6E60">
        <w:rPr>
          <w:noProof/>
        </w:rPr>
        <w:t xml:space="preserve"> fait désormais partie de l’offre de formation standard du Forem cofinancée par le FSE+. Il n’est donc pas budgétisé dans la présente proposition. Le module sur l’économie circulaire est complété par un module sur l’économie sociale, également conçu dans le cadre d’une demande d’intervention du FEM</w:t>
      </w:r>
      <w:r w:rsidRPr="00DF6E60">
        <w:rPr>
          <w:rStyle w:val="FootnoteReference"/>
          <w:noProof/>
        </w:rPr>
        <w:footnoteReference w:id="29"/>
      </w:r>
      <w:r w:rsidRPr="00DF6E60">
        <w:rPr>
          <w:noProof/>
        </w:rPr>
        <w:t xml:space="preserve">. </w:t>
      </w:r>
    </w:p>
    <w:p w:rsidR="001A62D7" w:rsidRPr="00DF6E60" w:rsidRDefault="001A62D7" w:rsidP="00AE7D04">
      <w:pPr>
        <w:pStyle w:val="ManualNumPar1"/>
        <w:rPr>
          <w:noProof/>
        </w:rPr>
      </w:pPr>
      <w:r>
        <w:rPr>
          <w:noProof/>
        </w:rPr>
        <w:t>30.</w:t>
      </w:r>
      <w:r>
        <w:rPr>
          <w:noProof/>
        </w:rPr>
        <w:tab/>
      </w:r>
      <w:bookmarkStart w:id="16" w:name="_Ref372214242"/>
      <w:r w:rsidRPr="00DF6E60">
        <w:rPr>
          <w:noProof/>
        </w:rPr>
        <w:t xml:space="preserve">Les actions proposées, décrites ici, constituent des mesures actives du marché du travail entrant dans le cadre des mesures éligibles prévues à l’article 7 du règlement (UE) 2021/691. Elles ne se substituent pas à des mesures passives de protection sociale. </w:t>
      </w:r>
    </w:p>
    <w:p w:rsidR="001A62D7" w:rsidRPr="00DF6E60" w:rsidRDefault="00CA45AC" w:rsidP="00AE7D04">
      <w:pPr>
        <w:pStyle w:val="ManualNumPar1"/>
        <w:rPr>
          <w:noProof/>
        </w:rPr>
      </w:pPr>
      <w:r>
        <w:rPr>
          <w:noProof/>
        </w:rPr>
        <w:t>31.</w:t>
      </w:r>
      <w:r>
        <w:rPr>
          <w:noProof/>
        </w:rPr>
        <w:tab/>
      </w:r>
      <w:r w:rsidRPr="00DF6E60">
        <w:rPr>
          <w:noProof/>
        </w:rPr>
        <w:t>La Belgique a fourni les informations requises sur les mesures revêtant un caractère obligatoire pour l’entreprise concernée en vertu du droit national ou de conventions collectives. Conformément à l’article 9, paragraphe 1, du règlement (UE) 2021/691, la Belgique a confirmé que la contribution financière du FEM ne se substituerait pas à ces mesures.</w:t>
      </w:r>
      <w:bookmarkEnd w:id="16"/>
    </w:p>
    <w:p w:rsidR="001A62D7" w:rsidRPr="00DF6E60" w:rsidRDefault="001A62D7" w:rsidP="001A62D7">
      <w:pPr>
        <w:pStyle w:val="ManualHeading3"/>
        <w:rPr>
          <w:noProof/>
        </w:rPr>
      </w:pPr>
      <w:r w:rsidRPr="00DF6E60">
        <w:rPr>
          <w:noProof/>
        </w:rPr>
        <w:t>Budget estimé</w:t>
      </w:r>
    </w:p>
    <w:p w:rsidR="001A62D7" w:rsidRPr="00DF6E60" w:rsidRDefault="001A62D7" w:rsidP="00AE7D04">
      <w:pPr>
        <w:pStyle w:val="ManualNumPar1"/>
        <w:rPr>
          <w:noProof/>
        </w:rPr>
      </w:pPr>
      <w:r>
        <w:rPr>
          <w:noProof/>
        </w:rPr>
        <w:t>32.</w:t>
      </w:r>
      <w:r>
        <w:rPr>
          <w:noProof/>
        </w:rPr>
        <w:tab/>
      </w:r>
      <w:r w:rsidRPr="00DF6E60">
        <w:rPr>
          <w:noProof/>
        </w:rPr>
        <w:t>Le coût total estimé s’élève à 2 392 788 EUR; il correspond aux dépenses afférentes aux services personnalisés à hauteur de 2 358 922 EUR et aux dépenses afférentes aux activités de préparation, de gestion, d’information et de publicité, ainsi qu’aux activités de contrôle et d’établissement de rapports, à hauteur de 33 866 EUR.</w:t>
      </w:r>
    </w:p>
    <w:p w:rsidR="001A62D7" w:rsidRPr="00DF6E60" w:rsidRDefault="001A62D7" w:rsidP="00AE7D04">
      <w:pPr>
        <w:pStyle w:val="ManualNumPar1"/>
        <w:rPr>
          <w:noProof/>
        </w:rPr>
      </w:pPr>
      <w:r>
        <w:rPr>
          <w:noProof/>
        </w:rPr>
        <w:t>33.</w:t>
      </w:r>
      <w:r>
        <w:rPr>
          <w:noProof/>
        </w:rPr>
        <w:tab/>
      </w:r>
      <w:bookmarkStart w:id="17" w:name="_Ref372550770"/>
      <w:r w:rsidRPr="00DF6E60">
        <w:rPr>
          <w:noProof/>
        </w:rPr>
        <w:t>La contribution financière totale demandée au FEM s’élève à 2 033 869 EUR (85 % du coût total).</w:t>
      </w:r>
      <w:bookmarkEnd w:id="17"/>
    </w:p>
    <w:p w:rsidR="001A62D7" w:rsidRPr="00DF6E60" w:rsidRDefault="001A62D7" w:rsidP="00AE7D04">
      <w:pPr>
        <w:pStyle w:val="ManualNumPar1"/>
        <w:rPr>
          <w:noProof/>
        </w:rPr>
      </w:pPr>
      <w:r>
        <w:rPr>
          <w:noProof/>
        </w:rPr>
        <w:t>34.</w:t>
      </w:r>
      <w:r>
        <w:rPr>
          <w:noProof/>
        </w:rPr>
        <w:tab/>
      </w:r>
      <w:r w:rsidRPr="00DF6E60">
        <w:rPr>
          <w:noProof/>
        </w:rPr>
        <w:t>Conformément à l’article 8, paragraphe 7, point m), du règlement (UE) 2021/691, la Belgique a précisé que le préfinancement et le cofinancement nationaux sont assurés par la Région wallonne et par le Forem.</w:t>
      </w: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1548"/>
        <w:gridCol w:w="1548"/>
        <w:gridCol w:w="1548"/>
      </w:tblGrid>
      <w:tr w:rsidR="001B0175" w:rsidRPr="00DF6E60" w:rsidTr="001B0175">
        <w:tc>
          <w:tcPr>
            <w:tcW w:w="4644" w:type="dxa"/>
            <w:shd w:val="clear" w:color="auto" w:fill="auto"/>
            <w:vAlign w:val="center"/>
          </w:tcPr>
          <w:p w:rsidR="001A62D7" w:rsidRPr="00DF6E60" w:rsidRDefault="001A62D7" w:rsidP="001D5990">
            <w:pPr>
              <w:spacing w:before="60" w:after="60"/>
              <w:jc w:val="center"/>
              <w:rPr>
                <w:rFonts w:eastAsia="Times New Roman"/>
                <w:noProof/>
                <w:sz w:val="22"/>
              </w:rPr>
            </w:pPr>
            <w:r w:rsidRPr="00DF6E60">
              <w:rPr>
                <w:noProof/>
                <w:sz w:val="22"/>
              </w:rPr>
              <w:t>Mesures</w:t>
            </w:r>
          </w:p>
        </w:tc>
        <w:tc>
          <w:tcPr>
            <w:tcW w:w="1548" w:type="dxa"/>
            <w:shd w:val="clear" w:color="auto" w:fill="auto"/>
            <w:vAlign w:val="center"/>
          </w:tcPr>
          <w:p w:rsidR="001A62D7" w:rsidRPr="00DF6E60" w:rsidRDefault="001A62D7" w:rsidP="001D5990">
            <w:pPr>
              <w:spacing w:before="60" w:after="60"/>
              <w:jc w:val="center"/>
              <w:rPr>
                <w:rFonts w:eastAsia="Times New Roman"/>
                <w:noProof/>
                <w:sz w:val="22"/>
              </w:rPr>
            </w:pPr>
            <w:r w:rsidRPr="00DF6E60">
              <w:rPr>
                <w:noProof/>
                <w:sz w:val="22"/>
              </w:rPr>
              <w:t xml:space="preserve">Estimation du nombre de </w:t>
            </w:r>
            <w:r w:rsidRPr="00DF6E60">
              <w:rPr>
                <w:noProof/>
                <w:sz w:val="22"/>
              </w:rPr>
              <w:lastRenderedPageBreak/>
              <w:t>participants</w:t>
            </w:r>
          </w:p>
        </w:tc>
        <w:tc>
          <w:tcPr>
            <w:tcW w:w="1548" w:type="dxa"/>
            <w:shd w:val="clear" w:color="auto" w:fill="auto"/>
            <w:vAlign w:val="center"/>
          </w:tcPr>
          <w:p w:rsidR="001A62D7" w:rsidRPr="00DF6E60" w:rsidRDefault="001A62D7" w:rsidP="001D5990">
            <w:pPr>
              <w:spacing w:before="60" w:after="60"/>
              <w:jc w:val="center"/>
              <w:rPr>
                <w:rFonts w:eastAsia="Times New Roman"/>
                <w:noProof/>
                <w:sz w:val="22"/>
              </w:rPr>
            </w:pPr>
            <w:r w:rsidRPr="00DF6E60">
              <w:rPr>
                <w:noProof/>
                <w:sz w:val="22"/>
              </w:rPr>
              <w:lastRenderedPageBreak/>
              <w:t xml:space="preserve">Estimation du coût par </w:t>
            </w:r>
            <w:r w:rsidRPr="00DF6E60">
              <w:rPr>
                <w:noProof/>
                <w:sz w:val="22"/>
              </w:rPr>
              <w:lastRenderedPageBreak/>
              <w:t>participant</w:t>
            </w:r>
            <w:r w:rsidRPr="00DF6E60">
              <w:rPr>
                <w:noProof/>
              </w:rPr>
              <w:t xml:space="preserve"> </w:t>
            </w:r>
            <w:r w:rsidRPr="00DF6E60">
              <w:rPr>
                <w:noProof/>
              </w:rPr>
              <w:br/>
            </w:r>
            <w:r w:rsidRPr="00DF6E60">
              <w:rPr>
                <w:i/>
                <w:noProof/>
                <w:sz w:val="22"/>
              </w:rPr>
              <w:t>(en EUR)</w:t>
            </w:r>
            <w:r w:rsidRPr="00DF6E60">
              <w:rPr>
                <w:rStyle w:val="FootnoteReference"/>
                <w:rFonts w:eastAsia="Times New Roman"/>
                <w:i/>
                <w:noProof/>
                <w:sz w:val="22"/>
              </w:rPr>
              <w:footnoteReference w:id="30"/>
            </w:r>
          </w:p>
        </w:tc>
        <w:tc>
          <w:tcPr>
            <w:tcW w:w="1548" w:type="dxa"/>
            <w:shd w:val="clear" w:color="auto" w:fill="auto"/>
            <w:vAlign w:val="center"/>
          </w:tcPr>
          <w:p w:rsidR="001A62D7" w:rsidRPr="00DF6E60" w:rsidRDefault="001A62D7" w:rsidP="001D5990">
            <w:pPr>
              <w:spacing w:before="60" w:after="60"/>
              <w:jc w:val="center"/>
              <w:rPr>
                <w:rFonts w:eastAsia="Times New Roman"/>
                <w:noProof/>
                <w:sz w:val="22"/>
              </w:rPr>
            </w:pPr>
            <w:r w:rsidRPr="00DF6E60">
              <w:rPr>
                <w:noProof/>
                <w:sz w:val="22"/>
              </w:rPr>
              <w:lastRenderedPageBreak/>
              <w:t>Estimation du coût total</w:t>
            </w:r>
          </w:p>
          <w:p w:rsidR="001A62D7" w:rsidRPr="00DF6E60" w:rsidRDefault="001A62D7" w:rsidP="001D5990">
            <w:pPr>
              <w:spacing w:before="60" w:after="60"/>
              <w:jc w:val="center"/>
              <w:rPr>
                <w:rFonts w:eastAsia="Times New Roman"/>
                <w:noProof/>
                <w:sz w:val="22"/>
              </w:rPr>
            </w:pPr>
            <w:r w:rsidRPr="00DF6E60">
              <w:rPr>
                <w:i/>
                <w:noProof/>
                <w:sz w:val="22"/>
              </w:rPr>
              <w:lastRenderedPageBreak/>
              <w:t>(en EUR)</w:t>
            </w:r>
            <w:r w:rsidRPr="00DF6E60">
              <w:rPr>
                <w:rStyle w:val="FootnoteReference"/>
                <w:rFonts w:eastAsia="Times New Roman"/>
                <w:i/>
                <w:noProof/>
                <w:sz w:val="22"/>
              </w:rPr>
              <w:footnoteReference w:id="31"/>
            </w:r>
            <w:r w:rsidRPr="00DF6E60">
              <w:rPr>
                <w:i/>
                <w:noProof/>
                <w:sz w:val="22"/>
              </w:rPr>
              <w:t xml:space="preserve"> </w:t>
            </w:r>
          </w:p>
        </w:tc>
      </w:tr>
      <w:tr w:rsidR="001A62D7" w:rsidRPr="00DF6E60" w:rsidTr="00B951E3">
        <w:tc>
          <w:tcPr>
            <w:tcW w:w="9288" w:type="dxa"/>
            <w:gridSpan w:val="4"/>
            <w:shd w:val="clear" w:color="auto" w:fill="auto"/>
          </w:tcPr>
          <w:p w:rsidR="001A62D7" w:rsidRPr="00DF6E60" w:rsidRDefault="001A62D7" w:rsidP="001D5990">
            <w:pPr>
              <w:spacing w:before="60" w:after="60"/>
              <w:jc w:val="left"/>
              <w:rPr>
                <w:rFonts w:eastAsia="Times New Roman"/>
                <w:noProof/>
                <w:sz w:val="22"/>
              </w:rPr>
            </w:pPr>
            <w:r w:rsidRPr="00DF6E60">
              <w:rPr>
                <w:noProof/>
                <w:sz w:val="22"/>
              </w:rPr>
              <w:lastRenderedPageBreak/>
              <w:t xml:space="preserve">Services personnalisés [mesures au titre de l’article 7, </w:t>
            </w:r>
            <w:r w:rsidRPr="00DF6E60">
              <w:rPr>
                <w:noProof/>
              </w:rPr>
              <w:t>paragraphe 2</w:t>
            </w:r>
            <w:r w:rsidRPr="00DF6E60">
              <w:rPr>
                <w:noProof/>
                <w:sz w:val="22"/>
              </w:rPr>
              <w:t>, deuxième alinéa, point a), du règlement (UE) 2021/691]</w:t>
            </w:r>
          </w:p>
        </w:tc>
      </w:tr>
      <w:tr w:rsidR="001B0175" w:rsidRPr="00DF6E60"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B0175" w:rsidRPr="00DF6E60" w:rsidRDefault="002419C9" w:rsidP="00EC2FA7">
            <w:pPr>
              <w:spacing w:before="60" w:after="60"/>
              <w:jc w:val="left"/>
              <w:rPr>
                <w:noProof/>
              </w:rPr>
            </w:pPr>
            <w:r w:rsidRPr="00DF6E60">
              <w:rPr>
                <w:noProof/>
              </w:rPr>
              <w:t>Reclassement externe et orientation professionnelle (reconversion: accompagnement/orientation/mobilisation)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B0175" w:rsidRPr="00DF6E60" w:rsidRDefault="00A10101" w:rsidP="00EC2FA7">
            <w:pPr>
              <w:spacing w:before="60" w:after="60"/>
              <w:jc w:val="center"/>
              <w:rPr>
                <w:noProof/>
              </w:rPr>
            </w:pPr>
            <w:r w:rsidRPr="00DF6E60">
              <w:rPr>
                <w:noProof/>
              </w:rPr>
              <w:t>507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B0175" w:rsidRPr="00DF6E60" w:rsidRDefault="00A10101" w:rsidP="00EC2FA7">
            <w:pPr>
              <w:spacing w:before="60" w:after="60"/>
              <w:jc w:val="center"/>
              <w:rPr>
                <w:noProof/>
              </w:rPr>
            </w:pPr>
            <w:r w:rsidRPr="00DF6E60">
              <w:rPr>
                <w:noProof/>
              </w:rPr>
              <w:t>2 329</w:t>
            </w:r>
          </w:p>
        </w:tc>
        <w:tc>
          <w:tcPr>
            <w:tcW w:w="1548" w:type="dxa"/>
            <w:tcBorders>
              <w:top w:val="single" w:sz="4" w:space="0" w:color="auto"/>
              <w:left w:val="single" w:sz="4" w:space="0" w:color="auto"/>
              <w:bottom w:val="single" w:sz="4" w:space="0" w:color="auto"/>
              <w:right w:val="nil"/>
            </w:tcBorders>
            <w:vAlign w:val="center"/>
            <w:hideMark/>
          </w:tcPr>
          <w:p w:rsidR="001B0175" w:rsidRPr="00DF6E60" w:rsidRDefault="00A10101" w:rsidP="00EC2FA7">
            <w:pPr>
              <w:spacing w:before="60" w:after="60"/>
              <w:jc w:val="center"/>
              <w:rPr>
                <w:noProof/>
              </w:rPr>
            </w:pPr>
            <w:r w:rsidRPr="00DF6E60">
              <w:rPr>
                <w:noProof/>
              </w:rPr>
              <w:t>1 180 583</w:t>
            </w:r>
          </w:p>
        </w:tc>
      </w:tr>
      <w:tr w:rsidR="001B0175" w:rsidRPr="00DF6E60"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F6E60" w:rsidRDefault="00F51D6A" w:rsidP="001D5990">
            <w:pPr>
              <w:spacing w:before="60" w:after="60"/>
              <w:jc w:val="left"/>
              <w:rPr>
                <w:noProof/>
              </w:rPr>
            </w:pPr>
            <w:r w:rsidRPr="00DF6E60">
              <w:rPr>
                <w:noProof/>
              </w:rPr>
              <w:t xml:space="preserve">Formation et reconversion  </w:t>
            </w:r>
            <w:r w:rsidRPr="00DF6E60">
              <w:rPr>
                <w:noProof/>
              </w:rPr>
              <w:br/>
              <w:t>(formations et modules spécifiques)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F6E60" w:rsidRDefault="00A10101" w:rsidP="001D5990">
            <w:pPr>
              <w:spacing w:before="60" w:after="60"/>
              <w:jc w:val="center"/>
              <w:rPr>
                <w:noProof/>
              </w:rPr>
            </w:pPr>
            <w:r w:rsidRPr="00DF6E60">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F6E60" w:rsidRDefault="00A10101" w:rsidP="001D5990">
            <w:pPr>
              <w:spacing w:before="60" w:after="60"/>
              <w:jc w:val="center"/>
              <w:rPr>
                <w:noProof/>
              </w:rPr>
            </w:pPr>
            <w:r w:rsidRPr="00DF6E60">
              <w:rPr>
                <w:noProof/>
              </w:rPr>
              <w:t>1 801</w:t>
            </w:r>
          </w:p>
        </w:tc>
        <w:tc>
          <w:tcPr>
            <w:tcW w:w="1548" w:type="dxa"/>
            <w:tcBorders>
              <w:top w:val="single" w:sz="4" w:space="0" w:color="auto"/>
              <w:left w:val="single" w:sz="4" w:space="0" w:color="auto"/>
              <w:bottom w:val="single" w:sz="4" w:space="0" w:color="auto"/>
              <w:right w:val="nil"/>
            </w:tcBorders>
            <w:vAlign w:val="center"/>
            <w:hideMark/>
          </w:tcPr>
          <w:p w:rsidR="001A62D7" w:rsidRPr="00DF6E60" w:rsidRDefault="00A10101" w:rsidP="001D5990">
            <w:pPr>
              <w:spacing w:before="60" w:after="60"/>
              <w:jc w:val="center"/>
              <w:rPr>
                <w:noProof/>
              </w:rPr>
            </w:pPr>
            <w:r w:rsidRPr="00DF6E60">
              <w:rPr>
                <w:noProof/>
              </w:rPr>
              <w:t>450 170</w:t>
            </w:r>
          </w:p>
        </w:tc>
      </w:tr>
      <w:tr w:rsidR="001B0175" w:rsidRPr="00DF6E60"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F6E60" w:rsidRDefault="00EC11EE" w:rsidP="001D5990">
            <w:pPr>
              <w:spacing w:before="60" w:after="60"/>
              <w:jc w:val="left"/>
              <w:rPr>
                <w:noProof/>
              </w:rPr>
            </w:pPr>
            <w:r w:rsidRPr="00DF6E60">
              <w:rPr>
                <w:noProof/>
              </w:rPr>
              <w:t xml:space="preserve">Promotion de l’entrepreneuriat </w:t>
            </w:r>
            <w:r w:rsidRPr="00DF6E60">
              <w:rPr>
                <w:noProof/>
              </w:rPr>
              <w:br/>
              <w:t>(</w:t>
            </w:r>
            <w:r w:rsidRPr="00DF6E60">
              <w:rPr>
                <w:i/>
                <w:noProof/>
              </w:rPr>
              <w:t>Accompagnement entrepreneuriat</w:t>
            </w:r>
            <w:r w:rsidRPr="00DF6E60">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F6E60" w:rsidRDefault="00A10101" w:rsidP="001D5990">
            <w:pPr>
              <w:spacing w:before="60" w:after="60"/>
              <w:jc w:val="center"/>
              <w:rPr>
                <w:noProof/>
              </w:rPr>
            </w:pPr>
            <w:r w:rsidRPr="00DF6E60">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F6E60" w:rsidRDefault="00A10101" w:rsidP="001D5990">
            <w:pPr>
              <w:spacing w:before="60" w:after="60"/>
              <w:jc w:val="center"/>
              <w:rPr>
                <w:noProof/>
              </w:rPr>
            </w:pPr>
            <w:r w:rsidRPr="00DF6E60">
              <w:rPr>
                <w:noProof/>
              </w:rPr>
              <w:t>1 231</w:t>
            </w:r>
          </w:p>
        </w:tc>
        <w:tc>
          <w:tcPr>
            <w:tcW w:w="1548" w:type="dxa"/>
            <w:tcBorders>
              <w:top w:val="single" w:sz="4" w:space="0" w:color="auto"/>
              <w:left w:val="single" w:sz="4" w:space="0" w:color="auto"/>
              <w:bottom w:val="single" w:sz="4" w:space="0" w:color="auto"/>
              <w:right w:val="nil"/>
            </w:tcBorders>
            <w:vAlign w:val="center"/>
            <w:hideMark/>
          </w:tcPr>
          <w:p w:rsidR="001A62D7" w:rsidRPr="00DF6E60" w:rsidRDefault="00A10101" w:rsidP="001D5990">
            <w:pPr>
              <w:spacing w:before="60" w:after="60"/>
              <w:jc w:val="center"/>
              <w:rPr>
                <w:noProof/>
              </w:rPr>
            </w:pPr>
            <w:r w:rsidRPr="00DF6E60">
              <w:rPr>
                <w:noProof/>
              </w:rPr>
              <w:t>61 569</w:t>
            </w:r>
          </w:p>
        </w:tc>
      </w:tr>
      <w:tr w:rsidR="001B0175" w:rsidRPr="00DF6E60"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F6E60" w:rsidRDefault="00EC11EE" w:rsidP="001D5990">
            <w:pPr>
              <w:spacing w:before="60" w:after="60"/>
              <w:jc w:val="left"/>
              <w:rPr>
                <w:noProof/>
              </w:rPr>
            </w:pPr>
            <w:r w:rsidRPr="00DF6E60">
              <w:rPr>
                <w:noProof/>
              </w:rPr>
              <w:t xml:space="preserve">Contribution à la création d’entreprise </w:t>
            </w:r>
            <w:r w:rsidRPr="00DF6E60">
              <w:rPr>
                <w:noProof/>
              </w:rPr>
              <w:br/>
            </w:r>
            <w:r w:rsidRPr="00DF6E60">
              <w:rPr>
                <w:i/>
                <w:noProof/>
              </w:rPr>
              <w:t>(bourse de lancement)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F6E60" w:rsidRDefault="00A10101" w:rsidP="001D5990">
            <w:pPr>
              <w:spacing w:before="60" w:after="60"/>
              <w:jc w:val="center"/>
              <w:rPr>
                <w:noProof/>
              </w:rPr>
            </w:pPr>
            <w:r w:rsidRPr="00DF6E60">
              <w:rPr>
                <w:noProof/>
              </w:rPr>
              <w:t>32</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F6E60" w:rsidRDefault="00A10101" w:rsidP="001D5990">
            <w:pPr>
              <w:spacing w:before="60" w:after="60"/>
              <w:jc w:val="center"/>
              <w:rPr>
                <w:noProof/>
              </w:rPr>
            </w:pPr>
            <w:r w:rsidRPr="00DF6E60">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Pr="00DF6E60" w:rsidRDefault="00A10101" w:rsidP="001D5990">
            <w:pPr>
              <w:spacing w:before="60" w:after="60"/>
              <w:jc w:val="center"/>
              <w:rPr>
                <w:noProof/>
              </w:rPr>
            </w:pPr>
            <w:r w:rsidRPr="00DF6E60">
              <w:rPr>
                <w:noProof/>
              </w:rPr>
              <w:t>320 000</w:t>
            </w:r>
          </w:p>
        </w:tc>
      </w:tr>
      <w:tr w:rsidR="001B0175" w:rsidRPr="00DF6E60" w:rsidTr="001B0175">
        <w:trPr>
          <w:trHeight w:val="398"/>
        </w:trPr>
        <w:tc>
          <w:tcPr>
            <w:tcW w:w="4644" w:type="dxa"/>
            <w:vMerge w:val="restart"/>
            <w:shd w:val="clear" w:color="auto" w:fill="auto"/>
            <w:vAlign w:val="center"/>
          </w:tcPr>
          <w:p w:rsidR="001A62D7" w:rsidRPr="00DF6E60" w:rsidRDefault="001A62D7" w:rsidP="001D5990">
            <w:pPr>
              <w:spacing w:before="60" w:after="60"/>
              <w:jc w:val="right"/>
              <w:rPr>
                <w:rFonts w:eastAsia="Times New Roman"/>
                <w:noProof/>
                <w:sz w:val="22"/>
              </w:rPr>
            </w:pPr>
            <w:r w:rsidRPr="00DF6E60">
              <w:rPr>
                <w:noProof/>
                <w:sz w:val="22"/>
              </w:rPr>
              <w:t>Sous-total a):</w:t>
            </w:r>
          </w:p>
          <w:p w:rsidR="001A62D7" w:rsidRPr="00DF6E60" w:rsidRDefault="001A62D7" w:rsidP="001D5990">
            <w:pPr>
              <w:spacing w:before="60" w:after="60"/>
              <w:jc w:val="right"/>
              <w:rPr>
                <w:rFonts w:eastAsia="Times New Roman"/>
                <w:noProof/>
                <w:sz w:val="22"/>
              </w:rPr>
            </w:pPr>
            <w:r w:rsidRPr="00DF6E60">
              <w:rPr>
                <w:noProof/>
                <w:sz w:val="22"/>
              </w:rPr>
              <w:t xml:space="preserve">Pourcentage de l’ensemble coordonné de services personnalisés </w:t>
            </w:r>
          </w:p>
        </w:tc>
        <w:tc>
          <w:tcPr>
            <w:tcW w:w="3096" w:type="dxa"/>
            <w:gridSpan w:val="2"/>
            <w:vMerge w:val="restart"/>
            <w:shd w:val="clear" w:color="auto" w:fill="D9D9D9"/>
            <w:vAlign w:val="center"/>
          </w:tcPr>
          <w:p w:rsidR="001A62D7" w:rsidRPr="00DF6E60" w:rsidRDefault="001A62D7" w:rsidP="001D5990">
            <w:pPr>
              <w:spacing w:before="60" w:after="60"/>
              <w:jc w:val="center"/>
              <w:rPr>
                <w:rFonts w:eastAsia="Times New Roman"/>
                <w:noProof/>
                <w:sz w:val="22"/>
              </w:rPr>
            </w:pPr>
            <w:r w:rsidRPr="00DF6E60">
              <w:rPr>
                <w:noProof/>
                <w:sz w:val="22"/>
              </w:rPr>
              <w:t>—</w:t>
            </w:r>
          </w:p>
        </w:tc>
        <w:tc>
          <w:tcPr>
            <w:tcW w:w="1548" w:type="dxa"/>
            <w:tcBorders>
              <w:bottom w:val="nil"/>
            </w:tcBorders>
            <w:shd w:val="clear" w:color="auto" w:fill="auto"/>
            <w:vAlign w:val="center"/>
          </w:tcPr>
          <w:p w:rsidR="001A62D7" w:rsidRPr="00DF6E60" w:rsidRDefault="00CA5DE4" w:rsidP="001D5990">
            <w:pPr>
              <w:spacing w:before="60" w:after="60"/>
              <w:jc w:val="center"/>
              <w:rPr>
                <w:rFonts w:eastAsia="Times New Roman"/>
                <w:noProof/>
                <w:sz w:val="22"/>
              </w:rPr>
            </w:pPr>
            <w:r w:rsidRPr="00DF6E60">
              <w:rPr>
                <w:noProof/>
              </w:rPr>
              <w:t>2 012 322</w:t>
            </w:r>
          </w:p>
        </w:tc>
      </w:tr>
      <w:tr w:rsidR="001B0175" w:rsidRPr="00DF6E60" w:rsidTr="001B0175">
        <w:trPr>
          <w:trHeight w:val="397"/>
        </w:trPr>
        <w:tc>
          <w:tcPr>
            <w:tcW w:w="4644" w:type="dxa"/>
            <w:vMerge/>
            <w:shd w:val="clear" w:color="auto" w:fill="auto"/>
            <w:vAlign w:val="center"/>
          </w:tcPr>
          <w:p w:rsidR="001A62D7" w:rsidRPr="00DF6E6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DF6E6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DF6E60" w:rsidRDefault="001A62D7" w:rsidP="001D5990">
            <w:pPr>
              <w:spacing w:before="60" w:after="60"/>
              <w:jc w:val="center"/>
              <w:rPr>
                <w:rFonts w:eastAsia="Times New Roman"/>
                <w:noProof/>
                <w:sz w:val="22"/>
              </w:rPr>
            </w:pPr>
            <w:r w:rsidRPr="00DF6E60">
              <w:rPr>
                <w:noProof/>
                <w:sz w:val="22"/>
              </w:rPr>
              <w:t>(</w:t>
            </w:r>
            <w:r w:rsidRPr="00DF6E60">
              <w:rPr>
                <w:noProof/>
              </w:rPr>
              <w:t>85,30 </w:t>
            </w:r>
            <w:r w:rsidRPr="00DF6E60">
              <w:rPr>
                <w:noProof/>
                <w:sz w:val="22"/>
              </w:rPr>
              <w:t>%)</w:t>
            </w:r>
          </w:p>
        </w:tc>
      </w:tr>
      <w:tr w:rsidR="001A62D7" w:rsidRPr="00DF6E60" w:rsidTr="00B951E3">
        <w:tc>
          <w:tcPr>
            <w:tcW w:w="9288" w:type="dxa"/>
            <w:gridSpan w:val="4"/>
            <w:shd w:val="clear" w:color="auto" w:fill="auto"/>
            <w:vAlign w:val="center"/>
          </w:tcPr>
          <w:p w:rsidR="001A62D7" w:rsidRPr="00DF6E60" w:rsidRDefault="001A62D7" w:rsidP="001D5990">
            <w:pPr>
              <w:spacing w:before="60" w:after="60"/>
              <w:jc w:val="left"/>
              <w:rPr>
                <w:noProof/>
                <w:sz w:val="22"/>
              </w:rPr>
            </w:pPr>
            <w:r w:rsidRPr="00DF6E60">
              <w:rPr>
                <w:noProof/>
                <w:sz w:val="22"/>
              </w:rPr>
              <w:t xml:space="preserve">Allocations et mesures d’incitation [mesures au titre de l’article 7, </w:t>
            </w:r>
            <w:r w:rsidRPr="00DF6E60">
              <w:rPr>
                <w:noProof/>
              </w:rPr>
              <w:t>paragraphe 2</w:t>
            </w:r>
            <w:r w:rsidRPr="00DF6E60">
              <w:rPr>
                <w:noProof/>
                <w:sz w:val="22"/>
              </w:rPr>
              <w:t>, deuxième alinéa, point b), du règlement (UE) 2021/691]</w:t>
            </w:r>
          </w:p>
        </w:tc>
      </w:tr>
      <w:tr w:rsidR="00B951E3" w:rsidRPr="00DF6E60" w:rsidTr="00D43598">
        <w:trPr>
          <w:trHeight w:val="802"/>
        </w:trPr>
        <w:tc>
          <w:tcPr>
            <w:tcW w:w="4644" w:type="dxa"/>
            <w:tcBorders>
              <w:top w:val="single" w:sz="4" w:space="0" w:color="auto"/>
              <w:left w:val="nil"/>
              <w:bottom w:val="single" w:sz="4" w:space="0" w:color="auto"/>
              <w:right w:val="single" w:sz="4" w:space="0" w:color="auto"/>
            </w:tcBorders>
            <w:vAlign w:val="center"/>
            <w:hideMark/>
          </w:tcPr>
          <w:p w:rsidR="00B951E3" w:rsidRPr="00DF6E60" w:rsidRDefault="005506DB" w:rsidP="00D43598">
            <w:pPr>
              <w:spacing w:before="60" w:after="60"/>
              <w:jc w:val="left"/>
              <w:rPr>
                <w:noProof/>
              </w:rPr>
            </w:pPr>
            <w:r w:rsidRPr="00DF6E60">
              <w:rPr>
                <w:noProof/>
              </w:rPr>
              <w:t xml:space="preserve">Allocations </w:t>
            </w:r>
            <w:r w:rsidRPr="00DF6E60">
              <w:rPr>
                <w:noProof/>
              </w:rPr>
              <w:br/>
              <w:t>(</w:t>
            </w:r>
            <w:r w:rsidRPr="00DF6E60">
              <w:rPr>
                <w:i/>
                <w:noProof/>
              </w:rPr>
              <w:t>allocation de recherche d’emploi, de reprise d’études et d’entrepreneuriat)</w:t>
            </w:r>
            <w:r w:rsidRPr="00DF6E60">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951E3" w:rsidRPr="00DF6E60" w:rsidRDefault="005506DB" w:rsidP="00D43598">
            <w:pPr>
              <w:spacing w:before="60" w:after="60"/>
              <w:jc w:val="center"/>
              <w:rPr>
                <w:noProof/>
              </w:rPr>
            </w:pPr>
            <w:r w:rsidRPr="00DF6E60">
              <w:rPr>
                <w:noProof/>
              </w:rPr>
              <w:t>507</w:t>
            </w:r>
          </w:p>
        </w:tc>
        <w:tc>
          <w:tcPr>
            <w:tcW w:w="1548" w:type="dxa"/>
            <w:tcBorders>
              <w:top w:val="single" w:sz="4" w:space="0" w:color="auto"/>
              <w:left w:val="single" w:sz="4" w:space="0" w:color="auto"/>
              <w:bottom w:val="single" w:sz="4" w:space="0" w:color="auto"/>
              <w:right w:val="single" w:sz="4" w:space="0" w:color="auto"/>
            </w:tcBorders>
            <w:vAlign w:val="center"/>
            <w:hideMark/>
          </w:tcPr>
          <w:p w:rsidR="00B951E3" w:rsidRPr="00DF6E60" w:rsidRDefault="00CA5DE4" w:rsidP="00D43598">
            <w:pPr>
              <w:spacing w:before="60" w:after="60"/>
              <w:jc w:val="center"/>
              <w:rPr>
                <w:noProof/>
              </w:rPr>
            </w:pPr>
            <w:r w:rsidRPr="00DF6E60">
              <w:rPr>
                <w:noProof/>
              </w:rPr>
              <w:t>684</w:t>
            </w:r>
          </w:p>
        </w:tc>
        <w:tc>
          <w:tcPr>
            <w:tcW w:w="1548" w:type="dxa"/>
            <w:tcBorders>
              <w:top w:val="single" w:sz="4" w:space="0" w:color="auto"/>
              <w:left w:val="single" w:sz="4" w:space="0" w:color="auto"/>
              <w:bottom w:val="single" w:sz="4" w:space="0" w:color="auto"/>
              <w:right w:val="nil"/>
            </w:tcBorders>
            <w:vAlign w:val="center"/>
            <w:hideMark/>
          </w:tcPr>
          <w:p w:rsidR="00B951E3" w:rsidRPr="00DF6E60" w:rsidRDefault="00CA5DE4" w:rsidP="00D43598">
            <w:pPr>
              <w:spacing w:before="60" w:after="60"/>
              <w:jc w:val="center"/>
              <w:rPr>
                <w:noProof/>
              </w:rPr>
            </w:pPr>
            <w:r w:rsidRPr="00DF6E60">
              <w:rPr>
                <w:noProof/>
              </w:rPr>
              <w:t>346 600</w:t>
            </w:r>
          </w:p>
        </w:tc>
      </w:tr>
      <w:tr w:rsidR="001B0175" w:rsidRPr="00DF6E60" w:rsidTr="001B0175">
        <w:trPr>
          <w:trHeight w:val="203"/>
        </w:trPr>
        <w:tc>
          <w:tcPr>
            <w:tcW w:w="4644" w:type="dxa"/>
            <w:vMerge w:val="restart"/>
            <w:shd w:val="clear" w:color="auto" w:fill="auto"/>
            <w:vAlign w:val="center"/>
          </w:tcPr>
          <w:p w:rsidR="001A62D7" w:rsidRPr="00DF6E60" w:rsidRDefault="001A62D7" w:rsidP="001D5990">
            <w:pPr>
              <w:spacing w:before="60" w:after="60"/>
              <w:jc w:val="right"/>
              <w:rPr>
                <w:rFonts w:eastAsia="Times New Roman"/>
                <w:noProof/>
                <w:sz w:val="22"/>
              </w:rPr>
            </w:pPr>
            <w:r w:rsidRPr="00DF6E60">
              <w:rPr>
                <w:noProof/>
                <w:sz w:val="22"/>
              </w:rPr>
              <w:t>Sous-total b):</w:t>
            </w:r>
          </w:p>
          <w:p w:rsidR="001A62D7" w:rsidRPr="00DF6E60" w:rsidRDefault="001A62D7" w:rsidP="001D5990">
            <w:pPr>
              <w:spacing w:before="60" w:after="60"/>
              <w:jc w:val="right"/>
              <w:rPr>
                <w:rFonts w:eastAsia="Times New Roman"/>
                <w:noProof/>
                <w:sz w:val="22"/>
              </w:rPr>
            </w:pPr>
            <w:r w:rsidRPr="00DF6E60">
              <w:rPr>
                <w:noProof/>
                <w:sz w:val="22"/>
              </w:rPr>
              <w:t>Pourcentage de l’ensemble coordonné de services personnalisés:</w:t>
            </w:r>
          </w:p>
        </w:tc>
        <w:tc>
          <w:tcPr>
            <w:tcW w:w="3096" w:type="dxa"/>
            <w:gridSpan w:val="2"/>
            <w:vMerge w:val="restart"/>
            <w:shd w:val="clear" w:color="auto" w:fill="D9D9D9"/>
            <w:vAlign w:val="center"/>
          </w:tcPr>
          <w:p w:rsidR="001A62D7" w:rsidRPr="00DF6E60" w:rsidRDefault="001A62D7" w:rsidP="001D5990">
            <w:pPr>
              <w:spacing w:before="60" w:after="60"/>
              <w:jc w:val="center"/>
              <w:rPr>
                <w:rFonts w:eastAsia="Times New Roman"/>
                <w:noProof/>
                <w:sz w:val="22"/>
              </w:rPr>
            </w:pPr>
            <w:r w:rsidRPr="00DF6E60">
              <w:rPr>
                <w:noProof/>
                <w:sz w:val="22"/>
              </w:rPr>
              <w:t>—</w:t>
            </w:r>
          </w:p>
        </w:tc>
        <w:tc>
          <w:tcPr>
            <w:tcW w:w="1548" w:type="dxa"/>
            <w:tcBorders>
              <w:bottom w:val="nil"/>
            </w:tcBorders>
            <w:shd w:val="clear" w:color="auto" w:fill="auto"/>
            <w:vAlign w:val="center"/>
          </w:tcPr>
          <w:p w:rsidR="001A62D7" w:rsidRPr="00DF6E60" w:rsidRDefault="00CA5DE4" w:rsidP="001D5990">
            <w:pPr>
              <w:spacing w:before="60" w:after="60"/>
              <w:jc w:val="center"/>
              <w:rPr>
                <w:rFonts w:eastAsia="Times New Roman"/>
                <w:noProof/>
                <w:sz w:val="22"/>
              </w:rPr>
            </w:pPr>
            <w:r w:rsidRPr="00DF6E60">
              <w:rPr>
                <w:noProof/>
              </w:rPr>
              <w:t>346 600</w:t>
            </w:r>
          </w:p>
        </w:tc>
      </w:tr>
      <w:tr w:rsidR="001B0175" w:rsidRPr="00DF6E60" w:rsidTr="001B0175">
        <w:trPr>
          <w:trHeight w:val="202"/>
        </w:trPr>
        <w:tc>
          <w:tcPr>
            <w:tcW w:w="4644" w:type="dxa"/>
            <w:vMerge/>
            <w:shd w:val="clear" w:color="auto" w:fill="auto"/>
            <w:vAlign w:val="center"/>
          </w:tcPr>
          <w:p w:rsidR="001A62D7" w:rsidRPr="00DF6E6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DF6E6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DF6E60" w:rsidRDefault="001A62D7" w:rsidP="001D5990">
            <w:pPr>
              <w:spacing w:before="60" w:after="60"/>
              <w:jc w:val="center"/>
              <w:rPr>
                <w:rFonts w:eastAsia="Times New Roman"/>
                <w:noProof/>
                <w:sz w:val="22"/>
              </w:rPr>
            </w:pPr>
            <w:r w:rsidRPr="00DF6E60">
              <w:rPr>
                <w:noProof/>
                <w:sz w:val="22"/>
              </w:rPr>
              <w:t>(</w:t>
            </w:r>
            <w:r w:rsidRPr="00DF6E60">
              <w:rPr>
                <w:noProof/>
              </w:rPr>
              <w:t>14,69 </w:t>
            </w:r>
            <w:r w:rsidRPr="00DF6E60">
              <w:rPr>
                <w:noProof/>
                <w:sz w:val="22"/>
              </w:rPr>
              <w:t>%)</w:t>
            </w:r>
          </w:p>
        </w:tc>
      </w:tr>
      <w:tr w:rsidR="001A62D7" w:rsidRPr="00DF6E60" w:rsidTr="00B951E3">
        <w:tc>
          <w:tcPr>
            <w:tcW w:w="9288" w:type="dxa"/>
            <w:gridSpan w:val="4"/>
            <w:shd w:val="clear" w:color="auto" w:fill="auto"/>
            <w:vAlign w:val="center"/>
          </w:tcPr>
          <w:p w:rsidR="001A62D7" w:rsidRPr="00DF6E60" w:rsidRDefault="001A62D7" w:rsidP="001D5990">
            <w:pPr>
              <w:spacing w:before="60" w:after="60"/>
              <w:jc w:val="left"/>
              <w:rPr>
                <w:rFonts w:eastAsia="Times New Roman"/>
                <w:noProof/>
                <w:sz w:val="22"/>
              </w:rPr>
            </w:pPr>
            <w:r w:rsidRPr="00DF6E60">
              <w:rPr>
                <w:noProof/>
                <w:sz w:val="22"/>
              </w:rPr>
              <w:t>Activités relevant de l’article 7, paragraphe 5, du règlement (UE) 2021/691</w:t>
            </w:r>
          </w:p>
        </w:tc>
      </w:tr>
      <w:tr w:rsidR="001B0175" w:rsidRPr="00DF6E60" w:rsidTr="001B0175">
        <w:tc>
          <w:tcPr>
            <w:tcW w:w="4644" w:type="dxa"/>
            <w:shd w:val="clear" w:color="auto" w:fill="auto"/>
          </w:tcPr>
          <w:p w:rsidR="001A62D7" w:rsidRPr="00DF6E60" w:rsidRDefault="001A62D7" w:rsidP="001D5990">
            <w:pPr>
              <w:spacing w:before="60" w:after="60"/>
              <w:ind w:left="284"/>
              <w:jc w:val="left"/>
              <w:rPr>
                <w:rFonts w:eastAsia="Times New Roman"/>
                <w:noProof/>
                <w:sz w:val="22"/>
              </w:rPr>
            </w:pPr>
            <w:r w:rsidRPr="00DF6E60">
              <w:rPr>
                <w:noProof/>
                <w:sz w:val="22"/>
              </w:rPr>
              <w:t>1. Activités de préparation</w:t>
            </w:r>
          </w:p>
        </w:tc>
        <w:tc>
          <w:tcPr>
            <w:tcW w:w="3096" w:type="dxa"/>
            <w:gridSpan w:val="2"/>
            <w:shd w:val="clear" w:color="auto" w:fill="D9D9D9"/>
            <w:vAlign w:val="center"/>
          </w:tcPr>
          <w:p w:rsidR="001A62D7" w:rsidRPr="00DF6E60" w:rsidRDefault="001A62D7" w:rsidP="001D5990">
            <w:pPr>
              <w:spacing w:before="60" w:after="60"/>
              <w:jc w:val="center"/>
              <w:rPr>
                <w:rFonts w:eastAsia="Times New Roman"/>
                <w:noProof/>
                <w:sz w:val="22"/>
              </w:rPr>
            </w:pPr>
            <w:r w:rsidRPr="00DF6E60">
              <w:rPr>
                <w:noProof/>
                <w:sz w:val="22"/>
              </w:rPr>
              <w:t>—</w:t>
            </w:r>
          </w:p>
        </w:tc>
        <w:tc>
          <w:tcPr>
            <w:tcW w:w="1548" w:type="dxa"/>
            <w:shd w:val="clear" w:color="auto" w:fill="auto"/>
          </w:tcPr>
          <w:p w:rsidR="001A62D7" w:rsidRPr="00DF6E60" w:rsidRDefault="00CA5DE4" w:rsidP="001D5990">
            <w:pPr>
              <w:spacing w:before="60" w:after="60"/>
              <w:jc w:val="center"/>
              <w:rPr>
                <w:rFonts w:eastAsia="Times New Roman"/>
                <w:noProof/>
                <w:sz w:val="22"/>
              </w:rPr>
            </w:pPr>
            <w:r w:rsidRPr="00DF6E60">
              <w:rPr>
                <w:noProof/>
              </w:rPr>
              <w:t>0</w:t>
            </w:r>
          </w:p>
        </w:tc>
      </w:tr>
      <w:tr w:rsidR="001B0175" w:rsidRPr="00DF6E60" w:rsidTr="001B0175">
        <w:tc>
          <w:tcPr>
            <w:tcW w:w="4644" w:type="dxa"/>
            <w:shd w:val="clear" w:color="auto" w:fill="auto"/>
          </w:tcPr>
          <w:p w:rsidR="001A62D7" w:rsidRPr="00DF6E60" w:rsidRDefault="001A62D7" w:rsidP="001D5990">
            <w:pPr>
              <w:spacing w:before="60" w:after="60"/>
              <w:ind w:left="284"/>
              <w:jc w:val="left"/>
              <w:rPr>
                <w:rFonts w:eastAsia="Times New Roman"/>
                <w:noProof/>
                <w:sz w:val="22"/>
              </w:rPr>
            </w:pPr>
            <w:r w:rsidRPr="00DF6E60">
              <w:rPr>
                <w:noProof/>
                <w:sz w:val="22"/>
              </w:rPr>
              <w:t>2. Gestion</w:t>
            </w:r>
          </w:p>
        </w:tc>
        <w:tc>
          <w:tcPr>
            <w:tcW w:w="3096" w:type="dxa"/>
            <w:gridSpan w:val="2"/>
            <w:shd w:val="clear" w:color="auto" w:fill="D9D9D9"/>
            <w:vAlign w:val="center"/>
          </w:tcPr>
          <w:p w:rsidR="001A62D7" w:rsidRPr="00DF6E60" w:rsidRDefault="001A62D7" w:rsidP="001D5990">
            <w:pPr>
              <w:spacing w:before="60" w:after="60"/>
              <w:jc w:val="center"/>
              <w:rPr>
                <w:rFonts w:eastAsia="Times New Roman"/>
                <w:noProof/>
                <w:sz w:val="22"/>
              </w:rPr>
            </w:pPr>
            <w:r w:rsidRPr="00DF6E60">
              <w:rPr>
                <w:noProof/>
                <w:sz w:val="22"/>
              </w:rPr>
              <w:t>—</w:t>
            </w:r>
          </w:p>
        </w:tc>
        <w:tc>
          <w:tcPr>
            <w:tcW w:w="1548" w:type="dxa"/>
            <w:shd w:val="clear" w:color="auto" w:fill="auto"/>
          </w:tcPr>
          <w:p w:rsidR="001A62D7" w:rsidRPr="00DF6E60" w:rsidRDefault="00CA5DE4" w:rsidP="001D5990">
            <w:pPr>
              <w:spacing w:before="60" w:after="60"/>
              <w:jc w:val="center"/>
              <w:rPr>
                <w:rFonts w:eastAsia="Times New Roman"/>
                <w:noProof/>
                <w:sz w:val="22"/>
              </w:rPr>
            </w:pPr>
            <w:r w:rsidRPr="00DF6E60">
              <w:rPr>
                <w:noProof/>
              </w:rPr>
              <w:t>13 260</w:t>
            </w:r>
          </w:p>
        </w:tc>
      </w:tr>
      <w:tr w:rsidR="001B0175" w:rsidRPr="00DF6E60" w:rsidTr="001B0175">
        <w:tc>
          <w:tcPr>
            <w:tcW w:w="4644" w:type="dxa"/>
            <w:shd w:val="clear" w:color="auto" w:fill="auto"/>
          </w:tcPr>
          <w:p w:rsidR="001A62D7" w:rsidRPr="00DF6E60" w:rsidRDefault="001A62D7" w:rsidP="001D5990">
            <w:pPr>
              <w:spacing w:before="60" w:after="60"/>
              <w:ind w:left="284"/>
              <w:jc w:val="left"/>
              <w:rPr>
                <w:rFonts w:eastAsia="Times New Roman"/>
                <w:noProof/>
                <w:sz w:val="22"/>
              </w:rPr>
            </w:pPr>
            <w:r w:rsidRPr="00DF6E60">
              <w:rPr>
                <w:noProof/>
                <w:sz w:val="22"/>
              </w:rPr>
              <w:t>3. Information et publicité</w:t>
            </w:r>
          </w:p>
        </w:tc>
        <w:tc>
          <w:tcPr>
            <w:tcW w:w="3096" w:type="dxa"/>
            <w:gridSpan w:val="2"/>
            <w:shd w:val="clear" w:color="auto" w:fill="D9D9D9"/>
            <w:vAlign w:val="center"/>
          </w:tcPr>
          <w:p w:rsidR="001A62D7" w:rsidRPr="00DF6E60" w:rsidRDefault="001A62D7" w:rsidP="001D5990">
            <w:pPr>
              <w:spacing w:before="60" w:after="60"/>
              <w:jc w:val="center"/>
              <w:rPr>
                <w:rFonts w:eastAsia="Times New Roman"/>
                <w:noProof/>
                <w:sz w:val="22"/>
              </w:rPr>
            </w:pPr>
            <w:r w:rsidRPr="00DF6E60">
              <w:rPr>
                <w:noProof/>
                <w:sz w:val="22"/>
              </w:rPr>
              <w:t>—</w:t>
            </w:r>
          </w:p>
        </w:tc>
        <w:tc>
          <w:tcPr>
            <w:tcW w:w="1548" w:type="dxa"/>
            <w:shd w:val="clear" w:color="auto" w:fill="auto"/>
          </w:tcPr>
          <w:p w:rsidR="001A62D7" w:rsidRPr="00DF6E60" w:rsidRDefault="00CA5DE4" w:rsidP="001D5990">
            <w:pPr>
              <w:spacing w:before="60" w:after="60"/>
              <w:jc w:val="center"/>
              <w:rPr>
                <w:rFonts w:eastAsia="Times New Roman"/>
                <w:noProof/>
                <w:sz w:val="22"/>
              </w:rPr>
            </w:pPr>
            <w:r w:rsidRPr="00DF6E60">
              <w:rPr>
                <w:noProof/>
              </w:rPr>
              <w:t>5 000</w:t>
            </w:r>
          </w:p>
        </w:tc>
      </w:tr>
      <w:tr w:rsidR="001B0175" w:rsidRPr="00DF6E60" w:rsidTr="001B0175">
        <w:tc>
          <w:tcPr>
            <w:tcW w:w="4644" w:type="dxa"/>
            <w:shd w:val="clear" w:color="auto" w:fill="auto"/>
          </w:tcPr>
          <w:p w:rsidR="001A62D7" w:rsidRPr="00DF6E60" w:rsidRDefault="001A62D7" w:rsidP="001D5990">
            <w:pPr>
              <w:spacing w:before="60" w:after="60"/>
              <w:ind w:left="284"/>
              <w:jc w:val="left"/>
              <w:rPr>
                <w:rFonts w:eastAsia="Times New Roman"/>
                <w:noProof/>
                <w:sz w:val="22"/>
              </w:rPr>
            </w:pPr>
            <w:r w:rsidRPr="00DF6E60">
              <w:rPr>
                <w:noProof/>
                <w:sz w:val="22"/>
              </w:rPr>
              <w:t>4. Contrôle et rapport</w:t>
            </w:r>
          </w:p>
        </w:tc>
        <w:tc>
          <w:tcPr>
            <w:tcW w:w="3096" w:type="dxa"/>
            <w:gridSpan w:val="2"/>
            <w:shd w:val="clear" w:color="auto" w:fill="D9D9D9"/>
            <w:vAlign w:val="center"/>
          </w:tcPr>
          <w:p w:rsidR="001A62D7" w:rsidRPr="00DF6E60" w:rsidRDefault="001A62D7" w:rsidP="001D5990">
            <w:pPr>
              <w:spacing w:before="60" w:after="60"/>
              <w:jc w:val="center"/>
              <w:rPr>
                <w:rFonts w:eastAsia="Times New Roman"/>
                <w:noProof/>
                <w:sz w:val="22"/>
              </w:rPr>
            </w:pPr>
            <w:r w:rsidRPr="00DF6E60">
              <w:rPr>
                <w:noProof/>
                <w:sz w:val="22"/>
              </w:rPr>
              <w:t>—</w:t>
            </w:r>
          </w:p>
        </w:tc>
        <w:tc>
          <w:tcPr>
            <w:tcW w:w="1548" w:type="dxa"/>
            <w:tcBorders>
              <w:bottom w:val="single" w:sz="4" w:space="0" w:color="auto"/>
            </w:tcBorders>
            <w:shd w:val="clear" w:color="auto" w:fill="auto"/>
          </w:tcPr>
          <w:p w:rsidR="001A62D7" w:rsidRPr="00DF6E60" w:rsidRDefault="00CA5DE4" w:rsidP="001D5990">
            <w:pPr>
              <w:spacing w:before="60" w:after="60"/>
              <w:jc w:val="center"/>
              <w:rPr>
                <w:rFonts w:eastAsia="Times New Roman"/>
                <w:noProof/>
                <w:sz w:val="22"/>
              </w:rPr>
            </w:pPr>
            <w:r w:rsidRPr="00DF6E60">
              <w:rPr>
                <w:noProof/>
              </w:rPr>
              <w:t>15 606</w:t>
            </w:r>
          </w:p>
        </w:tc>
      </w:tr>
      <w:tr w:rsidR="001B0175" w:rsidRPr="00DF6E60" w:rsidTr="001B0175">
        <w:trPr>
          <w:trHeight w:val="203"/>
        </w:trPr>
        <w:tc>
          <w:tcPr>
            <w:tcW w:w="4644" w:type="dxa"/>
            <w:vMerge w:val="restart"/>
            <w:shd w:val="clear" w:color="auto" w:fill="auto"/>
            <w:vAlign w:val="center"/>
          </w:tcPr>
          <w:p w:rsidR="001A62D7" w:rsidRPr="00DF6E60" w:rsidRDefault="001A62D7" w:rsidP="001D5990">
            <w:pPr>
              <w:spacing w:before="60" w:after="60"/>
              <w:jc w:val="right"/>
              <w:rPr>
                <w:rFonts w:eastAsia="Times New Roman"/>
                <w:noProof/>
                <w:sz w:val="22"/>
              </w:rPr>
            </w:pPr>
            <w:r w:rsidRPr="00DF6E60">
              <w:rPr>
                <w:noProof/>
                <w:sz w:val="22"/>
              </w:rPr>
              <w:t>Sous-total c):</w:t>
            </w:r>
          </w:p>
          <w:p w:rsidR="001A62D7" w:rsidRPr="00DF6E60" w:rsidRDefault="001A62D7" w:rsidP="001D5990">
            <w:pPr>
              <w:spacing w:before="60" w:after="60"/>
              <w:jc w:val="right"/>
              <w:rPr>
                <w:rFonts w:eastAsia="Times New Roman"/>
                <w:noProof/>
                <w:sz w:val="22"/>
              </w:rPr>
            </w:pPr>
            <w:r w:rsidRPr="00DF6E60">
              <w:rPr>
                <w:noProof/>
                <w:sz w:val="22"/>
              </w:rPr>
              <w:t>Pourcentage du coût total:</w:t>
            </w:r>
          </w:p>
        </w:tc>
        <w:tc>
          <w:tcPr>
            <w:tcW w:w="3096" w:type="dxa"/>
            <w:gridSpan w:val="2"/>
            <w:vMerge w:val="restart"/>
            <w:shd w:val="clear" w:color="auto" w:fill="D9D9D9"/>
            <w:vAlign w:val="center"/>
          </w:tcPr>
          <w:p w:rsidR="001A62D7" w:rsidRPr="00DF6E60" w:rsidRDefault="001A62D7" w:rsidP="001D5990">
            <w:pPr>
              <w:spacing w:before="0" w:after="0"/>
              <w:jc w:val="center"/>
              <w:rPr>
                <w:rFonts w:eastAsia="Times New Roman"/>
                <w:noProof/>
                <w:sz w:val="22"/>
              </w:rPr>
            </w:pPr>
            <w:r w:rsidRPr="00DF6E60">
              <w:rPr>
                <w:noProof/>
                <w:sz w:val="22"/>
              </w:rPr>
              <w:t>—</w:t>
            </w:r>
          </w:p>
        </w:tc>
        <w:tc>
          <w:tcPr>
            <w:tcW w:w="1548" w:type="dxa"/>
            <w:tcBorders>
              <w:bottom w:val="nil"/>
            </w:tcBorders>
            <w:shd w:val="clear" w:color="auto" w:fill="auto"/>
            <w:vAlign w:val="center"/>
          </w:tcPr>
          <w:p w:rsidR="001A62D7" w:rsidRPr="00DF6E60" w:rsidRDefault="00E1077D" w:rsidP="001D5990">
            <w:pPr>
              <w:spacing w:before="60" w:after="60"/>
              <w:jc w:val="center"/>
              <w:rPr>
                <w:rFonts w:eastAsia="Times New Roman"/>
                <w:noProof/>
                <w:sz w:val="22"/>
              </w:rPr>
            </w:pPr>
            <w:r w:rsidRPr="00DF6E60">
              <w:rPr>
                <w:noProof/>
              </w:rPr>
              <w:t>33 866</w:t>
            </w:r>
          </w:p>
        </w:tc>
      </w:tr>
      <w:tr w:rsidR="001B0175" w:rsidRPr="00DF6E60" w:rsidTr="001B0175">
        <w:trPr>
          <w:trHeight w:val="202"/>
        </w:trPr>
        <w:tc>
          <w:tcPr>
            <w:tcW w:w="4644" w:type="dxa"/>
            <w:vMerge/>
            <w:shd w:val="clear" w:color="auto" w:fill="auto"/>
          </w:tcPr>
          <w:p w:rsidR="001A62D7" w:rsidRPr="00DF6E60"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DF6E60"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DF6E60" w:rsidRDefault="001A62D7" w:rsidP="001D5990">
            <w:pPr>
              <w:spacing w:before="60" w:after="60"/>
              <w:jc w:val="center"/>
              <w:rPr>
                <w:rFonts w:eastAsia="Times New Roman"/>
                <w:noProof/>
                <w:sz w:val="22"/>
              </w:rPr>
            </w:pPr>
            <w:r w:rsidRPr="00DF6E60">
              <w:rPr>
                <w:noProof/>
                <w:sz w:val="22"/>
              </w:rPr>
              <w:t>(</w:t>
            </w:r>
            <w:r w:rsidRPr="00DF6E60">
              <w:rPr>
                <w:noProof/>
              </w:rPr>
              <w:t>1,42 </w:t>
            </w:r>
            <w:r w:rsidRPr="00DF6E60">
              <w:rPr>
                <w:noProof/>
                <w:sz w:val="22"/>
              </w:rPr>
              <w:t>%)</w:t>
            </w:r>
          </w:p>
        </w:tc>
      </w:tr>
      <w:tr w:rsidR="001B0175" w:rsidRPr="00DF6E60" w:rsidTr="001B0175">
        <w:tc>
          <w:tcPr>
            <w:tcW w:w="4644" w:type="dxa"/>
            <w:shd w:val="clear" w:color="auto" w:fill="auto"/>
          </w:tcPr>
          <w:p w:rsidR="001A62D7" w:rsidRPr="00DF6E60" w:rsidRDefault="001A62D7" w:rsidP="001D5990">
            <w:pPr>
              <w:spacing w:before="60" w:after="60"/>
              <w:jc w:val="left"/>
              <w:rPr>
                <w:rFonts w:eastAsia="Times New Roman"/>
                <w:noProof/>
                <w:sz w:val="22"/>
              </w:rPr>
            </w:pPr>
            <w:r w:rsidRPr="00DF6E60">
              <w:rPr>
                <w:noProof/>
                <w:sz w:val="22"/>
              </w:rPr>
              <w:t>Coût total (a + b + c):</w:t>
            </w:r>
          </w:p>
        </w:tc>
        <w:tc>
          <w:tcPr>
            <w:tcW w:w="3096" w:type="dxa"/>
            <w:gridSpan w:val="2"/>
            <w:shd w:val="clear" w:color="auto" w:fill="D9D9D9"/>
            <w:vAlign w:val="center"/>
          </w:tcPr>
          <w:p w:rsidR="001A62D7" w:rsidRPr="00DF6E60" w:rsidRDefault="001A62D7" w:rsidP="001D5990">
            <w:pPr>
              <w:spacing w:before="60" w:after="60"/>
              <w:jc w:val="center"/>
              <w:rPr>
                <w:rFonts w:eastAsia="Times New Roman"/>
                <w:noProof/>
                <w:sz w:val="22"/>
              </w:rPr>
            </w:pPr>
            <w:r w:rsidRPr="00DF6E60">
              <w:rPr>
                <w:noProof/>
                <w:sz w:val="22"/>
              </w:rPr>
              <w:t>—</w:t>
            </w:r>
          </w:p>
        </w:tc>
        <w:tc>
          <w:tcPr>
            <w:tcW w:w="1548" w:type="dxa"/>
            <w:shd w:val="clear" w:color="auto" w:fill="auto"/>
          </w:tcPr>
          <w:p w:rsidR="001A62D7" w:rsidRPr="00DF6E60" w:rsidRDefault="00D00BAE" w:rsidP="001D5990">
            <w:pPr>
              <w:spacing w:before="60" w:after="60"/>
              <w:jc w:val="center"/>
              <w:rPr>
                <w:noProof/>
                <w:sz w:val="22"/>
              </w:rPr>
            </w:pPr>
            <w:r w:rsidRPr="00DF6E60">
              <w:rPr>
                <w:noProof/>
              </w:rPr>
              <w:t>2 392 788</w:t>
            </w:r>
          </w:p>
        </w:tc>
      </w:tr>
      <w:tr w:rsidR="001B0175" w:rsidRPr="00DF6E60" w:rsidTr="001B0175">
        <w:tc>
          <w:tcPr>
            <w:tcW w:w="4644" w:type="dxa"/>
            <w:shd w:val="clear" w:color="auto" w:fill="auto"/>
          </w:tcPr>
          <w:p w:rsidR="001A62D7" w:rsidRPr="00DF6E60" w:rsidRDefault="001A62D7" w:rsidP="001D5990">
            <w:pPr>
              <w:spacing w:before="60" w:after="60"/>
              <w:jc w:val="left"/>
              <w:rPr>
                <w:rFonts w:eastAsia="Times New Roman"/>
                <w:noProof/>
                <w:sz w:val="22"/>
              </w:rPr>
            </w:pPr>
            <w:r w:rsidRPr="00DF6E60">
              <w:rPr>
                <w:noProof/>
                <w:sz w:val="22"/>
              </w:rPr>
              <w:t>Contribution du FEM (</w:t>
            </w:r>
            <w:r w:rsidRPr="00DF6E60">
              <w:rPr>
                <w:noProof/>
              </w:rPr>
              <w:t>85</w:t>
            </w:r>
            <w:r w:rsidRPr="00DF6E60">
              <w:rPr>
                <w:noProof/>
                <w:sz w:val="22"/>
              </w:rPr>
              <w:t> % du coût total</w:t>
            </w:r>
            <w:r w:rsidRPr="00DF6E60">
              <w:rPr>
                <w:noProof/>
              </w:rPr>
              <w:t>)</w:t>
            </w:r>
          </w:p>
        </w:tc>
        <w:tc>
          <w:tcPr>
            <w:tcW w:w="3096" w:type="dxa"/>
            <w:gridSpan w:val="2"/>
            <w:shd w:val="clear" w:color="auto" w:fill="D9D9D9"/>
            <w:vAlign w:val="center"/>
          </w:tcPr>
          <w:p w:rsidR="001A62D7" w:rsidRPr="00DF6E60" w:rsidRDefault="001A62D7" w:rsidP="001D5990">
            <w:pPr>
              <w:spacing w:before="60" w:after="60"/>
              <w:jc w:val="center"/>
              <w:rPr>
                <w:rFonts w:eastAsia="Times New Roman"/>
                <w:noProof/>
                <w:sz w:val="22"/>
              </w:rPr>
            </w:pPr>
            <w:r w:rsidRPr="00DF6E60">
              <w:rPr>
                <w:noProof/>
                <w:sz w:val="22"/>
              </w:rPr>
              <w:t>—</w:t>
            </w:r>
          </w:p>
        </w:tc>
        <w:tc>
          <w:tcPr>
            <w:tcW w:w="1548" w:type="dxa"/>
            <w:shd w:val="clear" w:color="auto" w:fill="auto"/>
          </w:tcPr>
          <w:p w:rsidR="001A62D7" w:rsidRPr="00DF6E60" w:rsidRDefault="00E1077D" w:rsidP="001D5990">
            <w:pPr>
              <w:spacing w:before="60" w:after="60"/>
              <w:jc w:val="center"/>
              <w:rPr>
                <w:rFonts w:eastAsia="Times New Roman"/>
                <w:noProof/>
                <w:sz w:val="22"/>
              </w:rPr>
            </w:pPr>
            <w:r w:rsidRPr="00DF6E60">
              <w:rPr>
                <w:noProof/>
              </w:rPr>
              <w:t>2 033 869</w:t>
            </w:r>
          </w:p>
        </w:tc>
      </w:tr>
    </w:tbl>
    <w:p w:rsidR="001A62D7" w:rsidRPr="00DF6E60" w:rsidRDefault="001A62D7" w:rsidP="00AE7D04">
      <w:pPr>
        <w:pStyle w:val="ManualNumPar1"/>
        <w:rPr>
          <w:noProof/>
          <w:szCs w:val="20"/>
        </w:rPr>
      </w:pPr>
      <w:r>
        <w:rPr>
          <w:noProof/>
        </w:rPr>
        <w:t>35.</w:t>
      </w:r>
      <w:r>
        <w:rPr>
          <w:noProof/>
        </w:rPr>
        <w:tab/>
      </w:r>
      <w:r w:rsidRPr="00DF6E60">
        <w:rPr>
          <w:noProof/>
        </w:rPr>
        <w:t xml:space="preserve">Le coût des mesures indiquées dans le tableau ci-dessus en tant que mesures relevant de l’article 7, paragraphe 2, deuxième alinéa, point b), du règlement (UE) 2021/691 ne dépasse pas 35 % du coût total de l’ensemble coordonné de services </w:t>
      </w:r>
      <w:r w:rsidRPr="00DF6E60">
        <w:rPr>
          <w:noProof/>
        </w:rPr>
        <w:lastRenderedPageBreak/>
        <w:t>personnalisés. La Belgique a confirmé que ces mesures étaient conditionnées à la participation active des bénéficiaires visés à des activités de recherche d’emploi ou de formation.</w:t>
      </w:r>
    </w:p>
    <w:p w:rsidR="001A62D7" w:rsidRPr="00DF6E60" w:rsidRDefault="001A62D7" w:rsidP="00AE7D04">
      <w:pPr>
        <w:pStyle w:val="ManualNumPar1"/>
        <w:rPr>
          <w:noProof/>
        </w:rPr>
      </w:pPr>
      <w:r>
        <w:rPr>
          <w:noProof/>
        </w:rPr>
        <w:t>36.</w:t>
      </w:r>
      <w:r>
        <w:rPr>
          <w:noProof/>
        </w:rPr>
        <w:tab/>
      </w:r>
      <w:r w:rsidRPr="00DF6E60">
        <w:rPr>
          <w:noProof/>
        </w:rPr>
        <w:t>Conformément à l’article 7, paragraphe 2, quatrième alinéa, du règlement (UE) 2021/691, la Belgique a confirmé que les coûts d’investissement pour le travail indépendant, la création d’entreprise et la reprise d’entreprise par les salariés ne dépasseront pas 22 000 EUR par bénéficiaire.</w:t>
      </w:r>
    </w:p>
    <w:p w:rsidR="001A62D7" w:rsidRPr="00DF6E60" w:rsidRDefault="001A62D7" w:rsidP="001A62D7">
      <w:pPr>
        <w:pStyle w:val="ManualHeading3"/>
        <w:rPr>
          <w:noProof/>
        </w:rPr>
      </w:pPr>
      <w:r w:rsidRPr="00DF6E60">
        <w:rPr>
          <w:noProof/>
        </w:rPr>
        <w:t>Période d’éligibilité des dépenses</w:t>
      </w:r>
    </w:p>
    <w:p w:rsidR="001A62D7" w:rsidRPr="00DF6E60" w:rsidRDefault="00A00F6A" w:rsidP="00AE7D04">
      <w:pPr>
        <w:pStyle w:val="ManualNumPar1"/>
        <w:rPr>
          <w:noProof/>
        </w:rPr>
      </w:pPr>
      <w:r>
        <w:rPr>
          <w:noProof/>
        </w:rPr>
        <w:t>37.</w:t>
      </w:r>
      <w:r>
        <w:rPr>
          <w:noProof/>
        </w:rPr>
        <w:tab/>
      </w:r>
      <w:r w:rsidRPr="00DF6E60">
        <w:rPr>
          <w:noProof/>
        </w:rPr>
        <w:t>La Belgique a commencé à fournir les services personnalisés aux bénéficiaires visés le 1</w:t>
      </w:r>
      <w:r w:rsidRPr="00DF6E60">
        <w:rPr>
          <w:noProof/>
          <w:vertAlign w:val="superscript"/>
        </w:rPr>
        <w:t>er</w:t>
      </w:r>
      <w:r w:rsidRPr="00DF6E60">
        <w:rPr>
          <w:noProof/>
        </w:rPr>
        <w:t xml:space="preserve"> juin 2025. Les dépenses relatives aux mesures seront donc éligibles à une contribution financière du FEM à partir du 1</w:t>
      </w:r>
      <w:r w:rsidRPr="00DF6E60">
        <w:rPr>
          <w:noProof/>
          <w:vertAlign w:val="superscript"/>
        </w:rPr>
        <w:t>er</w:t>
      </w:r>
      <w:r w:rsidRPr="00DF6E60">
        <w:rPr>
          <w:noProof/>
        </w:rPr>
        <w:t xml:space="preserve"> juin 2025 et pendant 24 mois après la date d’entrée en vigueur de la décision de financement.</w:t>
      </w:r>
    </w:p>
    <w:p w:rsidR="001A62D7" w:rsidRPr="00DF6E60" w:rsidRDefault="00580012" w:rsidP="00AE7D04">
      <w:pPr>
        <w:pStyle w:val="ManualNumPar1"/>
        <w:rPr>
          <w:noProof/>
        </w:rPr>
      </w:pPr>
      <w:r>
        <w:rPr>
          <w:noProof/>
        </w:rPr>
        <w:t>38.</w:t>
      </w:r>
      <w:r>
        <w:rPr>
          <w:noProof/>
        </w:rPr>
        <w:tab/>
      </w:r>
      <w:r w:rsidRPr="00DF6E60">
        <w:rPr>
          <w:noProof/>
        </w:rPr>
        <w:t xml:space="preserve">La Belgique a commencé à engager les dépenses administratives pour la mise en œuvre du FEM le 22 avril 2025. Les dépenses relatives aux activités de préparation, de gestion, d’information et de publicité, ainsi que de contrôle et de rapport, peuvent donc faire l’objet d’une contribution financière du FEM à partir du 22 avril 2025 et pendant 31 mois après la date d’entrée en vigueur de la décision de financement. </w:t>
      </w:r>
    </w:p>
    <w:p w:rsidR="001A62D7" w:rsidRPr="00DF6E60" w:rsidRDefault="001A62D7" w:rsidP="001A62D7">
      <w:pPr>
        <w:pStyle w:val="ManualHeading2"/>
        <w:rPr>
          <w:noProof/>
        </w:rPr>
      </w:pPr>
      <w:r w:rsidRPr="00DF6E60">
        <w:rPr>
          <w:noProof/>
        </w:rPr>
        <w:t>Systèmes de gestion et de contrôle</w:t>
      </w:r>
    </w:p>
    <w:p w:rsidR="001A62D7" w:rsidRPr="00DF6E60" w:rsidRDefault="001A62D7" w:rsidP="00AE7D04">
      <w:pPr>
        <w:pStyle w:val="ManualNumPar1"/>
        <w:rPr>
          <w:noProof/>
        </w:rPr>
      </w:pPr>
      <w:r>
        <w:rPr>
          <w:noProof/>
        </w:rPr>
        <w:t>39.</w:t>
      </w:r>
      <w:r>
        <w:rPr>
          <w:noProof/>
        </w:rPr>
        <w:tab/>
      </w:r>
      <w:r w:rsidRPr="00DF6E60">
        <w:rPr>
          <w:noProof/>
        </w:rPr>
        <w:t>La demande contient une description du système de gestion et de contrôle requis en vertu de l’article 23 du règlement (UE) 2021/691, qui précise les responsabilités des organismes concernés. La Belgique a indiqué à la Commission que la contribution financière serait gérée et contrôlée par les organismes qui gèrent et contrôlent le FSE+ en Wallonie.</w:t>
      </w:r>
    </w:p>
    <w:p w:rsidR="001A62D7" w:rsidRPr="00DF6E60" w:rsidRDefault="001A62D7" w:rsidP="001A62D7">
      <w:pPr>
        <w:pStyle w:val="ManualHeading2"/>
        <w:rPr>
          <w:noProof/>
        </w:rPr>
      </w:pPr>
      <w:r w:rsidRPr="00DF6E60">
        <w:rPr>
          <w:noProof/>
        </w:rPr>
        <w:t>Engagements de l’État membre concerné</w:t>
      </w:r>
    </w:p>
    <w:p w:rsidR="001A62D7" w:rsidRPr="00DF6E60" w:rsidRDefault="005E4A90" w:rsidP="00AE7D04">
      <w:pPr>
        <w:pStyle w:val="ManualNumPar1"/>
        <w:rPr>
          <w:noProof/>
        </w:rPr>
      </w:pPr>
      <w:r>
        <w:rPr>
          <w:noProof/>
        </w:rPr>
        <w:t>40.</w:t>
      </w:r>
      <w:r>
        <w:rPr>
          <w:noProof/>
        </w:rPr>
        <w:tab/>
      </w:r>
      <w:r w:rsidRPr="00DF6E60">
        <w:rPr>
          <w:noProof/>
        </w:rPr>
        <w:t xml:space="preserve">La Belgique a apporté toutes les assurances nécessaires concernant les aspects suivants: </w:t>
      </w:r>
    </w:p>
    <w:p w:rsidR="001A62D7" w:rsidRPr="00DF6E60" w:rsidRDefault="001A62D7" w:rsidP="001A62D7">
      <w:pPr>
        <w:pStyle w:val="Tiret1"/>
        <w:rPr>
          <w:noProof/>
        </w:rPr>
      </w:pPr>
      <w:r w:rsidRPr="00DF6E60">
        <w:rPr>
          <w:noProof/>
        </w:rPr>
        <w:t>les principes d’égalité de traitement et de non-discrimination seront respectés pour l’accès aux mesures proposées et leur réalisation,</w:t>
      </w:r>
    </w:p>
    <w:p w:rsidR="001A62D7" w:rsidRPr="00DF6E60" w:rsidRDefault="001A62D7" w:rsidP="001A62D7">
      <w:pPr>
        <w:pStyle w:val="Tiret1"/>
        <w:rPr>
          <w:noProof/>
        </w:rPr>
      </w:pPr>
      <w:r w:rsidRPr="00DF6E60">
        <w:rPr>
          <w:noProof/>
        </w:rPr>
        <w:t>les exigences fixées dans la législation nationale et dans celle de l’UE concernant les licenciements collectifs ont été respectées,</w:t>
      </w:r>
    </w:p>
    <w:p w:rsidR="001A62D7" w:rsidRPr="00DF6E60" w:rsidRDefault="001A62D7" w:rsidP="001A62D7">
      <w:pPr>
        <w:pStyle w:val="Tiret1"/>
        <w:rPr>
          <w:noProof/>
        </w:rPr>
      </w:pPr>
      <w:r w:rsidRPr="00DF6E60">
        <w:rPr>
          <w:noProof/>
        </w:rPr>
        <w:t>tout double financement sera évité,</w:t>
      </w:r>
    </w:p>
    <w:p w:rsidR="001A62D7" w:rsidRPr="00DF6E60" w:rsidRDefault="001A62D7" w:rsidP="001A62D7">
      <w:pPr>
        <w:pStyle w:val="Tiret1"/>
        <w:rPr>
          <w:noProof/>
        </w:rPr>
      </w:pPr>
      <w:r w:rsidRPr="00DF6E60">
        <w:rPr>
          <w:noProof/>
        </w:rPr>
        <w:t>la contribution financière du FEM sera conforme aux règles procédurales et de fond de l’Union en matière d’aides d’État.</w:t>
      </w:r>
    </w:p>
    <w:p w:rsidR="001A62D7" w:rsidRPr="00DF6E60" w:rsidRDefault="001A62D7" w:rsidP="001A62D7">
      <w:pPr>
        <w:pStyle w:val="ManualHeading1"/>
        <w:rPr>
          <w:noProof/>
        </w:rPr>
      </w:pPr>
      <w:r w:rsidRPr="00DF6E60">
        <w:rPr>
          <w:noProof/>
        </w:rPr>
        <w:t>INCIDENCE BUDGÉTAIRE</w:t>
      </w:r>
    </w:p>
    <w:p w:rsidR="001A62D7" w:rsidRPr="00DF6E60" w:rsidRDefault="001A62D7" w:rsidP="001A62D7">
      <w:pPr>
        <w:pStyle w:val="ManualHeading2"/>
        <w:rPr>
          <w:noProof/>
        </w:rPr>
      </w:pPr>
      <w:r w:rsidRPr="00DF6E60">
        <w:rPr>
          <w:noProof/>
        </w:rPr>
        <w:t>Proposition budgétaire</w:t>
      </w:r>
    </w:p>
    <w:p w:rsidR="001A62D7" w:rsidRPr="00DF6E60" w:rsidRDefault="001A62D7" w:rsidP="00AE7D04">
      <w:pPr>
        <w:pStyle w:val="ManualNumPar1"/>
        <w:rPr>
          <w:noProof/>
        </w:rPr>
      </w:pPr>
      <w:r>
        <w:rPr>
          <w:noProof/>
        </w:rPr>
        <w:t>41.</w:t>
      </w:r>
      <w:r>
        <w:rPr>
          <w:noProof/>
        </w:rPr>
        <w:tab/>
      </w:r>
      <w:r w:rsidRPr="00DF6E60">
        <w:rPr>
          <w:noProof/>
        </w:rPr>
        <w:t>La dotation annuelle du FEM n’excède pas un montant maximal de 30 000 000 EUR (aux prix de 2018), comme le prévoit l’article 8 du règlement (UE, Euratom) 2020/2093 du Conseil du 17 décembre 2020 fixant le cadre financier pluriannuel pour les années 2021 à 2027</w:t>
      </w:r>
      <w:r w:rsidRPr="00DF6E60">
        <w:rPr>
          <w:rStyle w:val="FootnoteReference"/>
          <w:noProof/>
        </w:rPr>
        <w:footnoteReference w:id="32"/>
      </w:r>
      <w:r w:rsidRPr="00DF6E60">
        <w:rPr>
          <w:noProof/>
        </w:rPr>
        <w:t>, modifié par le règlement (UE, Euratom) 2024/765 du Conseil du 29 février 2024</w:t>
      </w:r>
      <w:r w:rsidRPr="00DF6E60">
        <w:rPr>
          <w:rStyle w:val="FootnoteReference"/>
          <w:noProof/>
        </w:rPr>
        <w:footnoteReference w:id="33"/>
      </w:r>
      <w:r w:rsidRPr="00DF6E60">
        <w:rPr>
          <w:noProof/>
        </w:rPr>
        <w:t>.</w:t>
      </w:r>
    </w:p>
    <w:p w:rsidR="001A62D7" w:rsidRPr="00DF6E60" w:rsidRDefault="001A62D7" w:rsidP="00AE7D04">
      <w:pPr>
        <w:pStyle w:val="ManualNumPar1"/>
        <w:rPr>
          <w:rFonts w:eastAsia="Calibri"/>
          <w:noProof/>
        </w:rPr>
      </w:pPr>
      <w:r>
        <w:rPr>
          <w:noProof/>
        </w:rPr>
        <w:lastRenderedPageBreak/>
        <w:t>42.</w:t>
      </w:r>
      <w:r>
        <w:rPr>
          <w:noProof/>
        </w:rPr>
        <w:tab/>
      </w:r>
      <w:r w:rsidRPr="00DF6E60">
        <w:rPr>
          <w:noProof/>
        </w:rPr>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2 033 869 EUR, ce qui correspond à 85 % du coût total des mesures proposées, afin d’apporter une contribution financière en réponse à la demande.</w:t>
      </w:r>
    </w:p>
    <w:p w:rsidR="001A62D7" w:rsidRPr="00DF6E60" w:rsidRDefault="001A62D7" w:rsidP="00AE7D04">
      <w:pPr>
        <w:pStyle w:val="ManualNumPar1"/>
        <w:rPr>
          <w:rFonts w:eastAsia="Times New Roman"/>
          <w:noProof/>
        </w:rPr>
      </w:pPr>
      <w:r>
        <w:rPr>
          <w:noProof/>
        </w:rPr>
        <w:t>43.</w:t>
      </w:r>
      <w:r>
        <w:rPr>
          <w:noProof/>
        </w:rPr>
        <w:tab/>
      </w:r>
      <w:r w:rsidRPr="00DF6E60">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DF6E60">
        <w:rPr>
          <w:rStyle w:val="FootnoteReference"/>
          <w:noProof/>
        </w:rPr>
        <w:footnoteReference w:id="34"/>
      </w:r>
      <w:r w:rsidRPr="00DF6E60">
        <w:rPr>
          <w:noProof/>
        </w:rPr>
        <w:t>.</w:t>
      </w:r>
    </w:p>
    <w:p w:rsidR="001A62D7" w:rsidRPr="00DF6E60" w:rsidRDefault="001A62D7" w:rsidP="001A62D7">
      <w:pPr>
        <w:pStyle w:val="ManualHeading2"/>
        <w:rPr>
          <w:noProof/>
        </w:rPr>
      </w:pPr>
      <w:r w:rsidRPr="00DF6E60">
        <w:rPr>
          <w:noProof/>
        </w:rPr>
        <w:t>Actes liés</w:t>
      </w:r>
    </w:p>
    <w:p w:rsidR="001A62D7" w:rsidRPr="00DF6E60" w:rsidRDefault="001A62D7" w:rsidP="00AE7D04">
      <w:pPr>
        <w:pStyle w:val="ManualNumPar1"/>
        <w:rPr>
          <w:noProof/>
        </w:rPr>
      </w:pPr>
      <w:r>
        <w:rPr>
          <w:noProof/>
        </w:rPr>
        <w:t>44.</w:t>
      </w:r>
      <w:r>
        <w:rPr>
          <w:noProof/>
        </w:rPr>
        <w:tab/>
      </w:r>
      <w:r w:rsidRPr="00DF6E60">
        <w:rPr>
          <w:noProof/>
        </w:rPr>
        <w:t>En même temps que la présente proposition de décision de mobilisation du FEM, la Commission présentera au Parlement européen et au Conseil une proposition de virement à la ligne budgétaire pertinente d’un montant de 2 033 869 EUR.</w:t>
      </w:r>
    </w:p>
    <w:p w:rsidR="001A62D7" w:rsidRPr="00DF6E60" w:rsidRDefault="001A62D7" w:rsidP="00AE7D04">
      <w:pPr>
        <w:pStyle w:val="ManualNumPar1"/>
        <w:rPr>
          <w:noProof/>
        </w:rPr>
      </w:pPr>
      <w:r>
        <w:rPr>
          <w:noProof/>
        </w:rPr>
        <w:t>45.</w:t>
      </w:r>
      <w:r>
        <w:rPr>
          <w:noProof/>
        </w:rPr>
        <w:tab/>
      </w:r>
      <w:r w:rsidRPr="00DF6E60">
        <w:rPr>
          <w:noProof/>
        </w:rPr>
        <w:t>En même temps que la présente proposition de décision de mobilisation du FEM, la Commission a adopté une décision relative à une contribution financière qui constitue une décision de financement au sens de l’article 110 du règlement (UE, Euratom) 2024/2509</w:t>
      </w:r>
      <w:r w:rsidRPr="00DF6E60">
        <w:rPr>
          <w:rStyle w:val="FootnoteReference"/>
          <w:noProof/>
        </w:rPr>
        <w:footnoteReference w:id="35"/>
      </w:r>
      <w:r w:rsidRPr="00DF6E60">
        <w:rPr>
          <w:noProof/>
        </w:rPr>
        <w:t>. Cette décision de financement entre en vigueur à la date à laquelle la Commission est informée de l’approbation du virement budgétaire par le Parlement européen et le Conseil, en application de l’article 15, paragraphe 2, premier alinéa, du règlement (UE) 2021/691.</w:t>
      </w:r>
    </w:p>
    <w:p w:rsidR="001A62D7" w:rsidRPr="00DF6E60" w:rsidRDefault="001A62D7" w:rsidP="001A62D7">
      <w:pPr>
        <w:rPr>
          <w:noProof/>
        </w:rPr>
        <w:sectPr w:rsidR="001A62D7" w:rsidRPr="00DF6E60" w:rsidSect="001E1AD3">
          <w:pgSz w:w="11907" w:h="16839"/>
          <w:pgMar w:top="1134" w:right="1417" w:bottom="1134" w:left="1417" w:header="709" w:footer="709" w:gutter="0"/>
          <w:pgNumType w:start="1"/>
          <w:cols w:space="708"/>
          <w:docGrid w:linePitch="360"/>
        </w:sectPr>
      </w:pPr>
    </w:p>
    <w:p w:rsidR="00703A0C" w:rsidRDefault="00093B7F">
      <w:pPr>
        <w:pStyle w:val="Rfrenceinterinstitutionnelle"/>
        <w:rPr>
          <w:noProof/>
        </w:rPr>
      </w:pPr>
      <w:r>
        <w:rPr>
          <w:noProof/>
        </w:rPr>
        <w:lastRenderedPageBreak/>
        <w:t>2026/0066 (BUD)</w:t>
      </w:r>
    </w:p>
    <w:p w:rsidR="001A62D7" w:rsidRPr="00DF6E60" w:rsidRDefault="00DF6E60" w:rsidP="00DF6E60">
      <w:pPr>
        <w:pStyle w:val="Statut"/>
        <w:rPr>
          <w:noProof/>
        </w:rPr>
      </w:pPr>
      <w:r w:rsidRPr="00DF6E60">
        <w:rPr>
          <w:noProof/>
        </w:rPr>
        <w:t>Proposition de</w:t>
      </w:r>
    </w:p>
    <w:p w:rsidR="001A62D7" w:rsidRPr="00DF6E60" w:rsidRDefault="00DF6E60" w:rsidP="00DF6E60">
      <w:pPr>
        <w:pStyle w:val="Typedudocument"/>
        <w:rPr>
          <w:noProof/>
        </w:rPr>
      </w:pPr>
      <w:r w:rsidRPr="00DF6E60">
        <w:rPr>
          <w:noProof/>
        </w:rPr>
        <w:t>DÉCISION DU PARLEMENT EUROPÉEN ET DU CONSEIL</w:t>
      </w:r>
    </w:p>
    <w:p w:rsidR="001A62D7" w:rsidRPr="00DF6E60" w:rsidRDefault="00DF6E60" w:rsidP="00DF6E60">
      <w:pPr>
        <w:pStyle w:val="Titreobjet"/>
        <w:rPr>
          <w:noProof/>
        </w:rPr>
      </w:pPr>
      <w:r w:rsidRPr="00DF6E60">
        <w:rPr>
          <w:noProof/>
        </w:rPr>
        <w:t>relative à la mobilisation du Fonds européen d’ajustement à la mondialisation en faveur des travailleurs licenciés à la suite d’une demande de la Belgique (EGF/2025/008 BE/Liberty)</w:t>
      </w:r>
    </w:p>
    <w:p w:rsidR="001A62D7" w:rsidRPr="00DF6E60" w:rsidRDefault="001A62D7" w:rsidP="001A62D7">
      <w:pPr>
        <w:pStyle w:val="Institutionquiagit"/>
        <w:rPr>
          <w:noProof/>
        </w:rPr>
      </w:pPr>
      <w:r w:rsidRPr="00DF6E60">
        <w:rPr>
          <w:noProof/>
        </w:rPr>
        <w:t>LE PARLEMENT EUROPÉEN ET LE CONSEIL DE L’UNION EUROPÉENNE,</w:t>
      </w:r>
    </w:p>
    <w:p w:rsidR="001A62D7" w:rsidRPr="00DF6E60" w:rsidRDefault="001A62D7" w:rsidP="001A62D7">
      <w:pPr>
        <w:rPr>
          <w:noProof/>
        </w:rPr>
      </w:pPr>
      <w:r w:rsidRPr="00DF6E60">
        <w:rPr>
          <w:noProof/>
        </w:rPr>
        <w:t>vu le traité sur le fonctionnement de l’Union européenne,</w:t>
      </w:r>
    </w:p>
    <w:p w:rsidR="001A62D7" w:rsidRPr="00DF6E60" w:rsidRDefault="001A62D7" w:rsidP="001A62D7">
      <w:pPr>
        <w:rPr>
          <w:noProof/>
        </w:rPr>
      </w:pPr>
      <w:r w:rsidRPr="00DF6E60">
        <w:rPr>
          <w:noProof/>
        </w:rPr>
        <w:t>vu le règlement (UE) 2021/691 du Parlement européen et du Conseil du 28 avril 2021 relatif au Fonds européen d’ajustement à la mondialisation en faveur des travailleurs licenciés (FEM) et abrogeant le règlement (UE) nº 1309/2013</w:t>
      </w:r>
      <w:r w:rsidRPr="00DF6E60">
        <w:rPr>
          <w:rStyle w:val="FootnoteReference"/>
          <w:noProof/>
        </w:rPr>
        <w:footnoteReference w:id="36"/>
      </w:r>
      <w:r w:rsidRPr="00DF6E60">
        <w:rPr>
          <w:noProof/>
        </w:rPr>
        <w:t>, et notamment son article 15, paragraphe 1, premier alinéa,</w:t>
      </w:r>
    </w:p>
    <w:p w:rsidR="001A62D7" w:rsidRPr="00DF6E60" w:rsidRDefault="001A62D7" w:rsidP="001A62D7">
      <w:pPr>
        <w:rPr>
          <w:noProof/>
        </w:rPr>
      </w:pPr>
      <w:r w:rsidRPr="00DF6E60">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DF6E60">
        <w:rPr>
          <w:rStyle w:val="FootnoteReference"/>
          <w:noProof/>
        </w:rPr>
        <w:footnoteReference w:id="37"/>
      </w:r>
      <w:r w:rsidRPr="00DF6E60">
        <w:rPr>
          <w:noProof/>
        </w:rPr>
        <w:t>, et notamment son point 9,</w:t>
      </w:r>
    </w:p>
    <w:p w:rsidR="001A62D7" w:rsidRPr="00DF6E60" w:rsidRDefault="001A62D7" w:rsidP="001A62D7">
      <w:pPr>
        <w:rPr>
          <w:noProof/>
        </w:rPr>
      </w:pPr>
      <w:r w:rsidRPr="00DF6E60">
        <w:rPr>
          <w:noProof/>
        </w:rPr>
        <w:t>vu la proposition de la Commission européenne,</w:t>
      </w:r>
    </w:p>
    <w:p w:rsidR="001A62D7" w:rsidRPr="00DF6E60" w:rsidRDefault="001A62D7" w:rsidP="001A62D7">
      <w:pPr>
        <w:rPr>
          <w:noProof/>
        </w:rPr>
      </w:pPr>
      <w:r w:rsidRPr="00DF6E60">
        <w:rPr>
          <w:noProof/>
        </w:rPr>
        <w:t>considérant ce qui suit:</w:t>
      </w:r>
    </w:p>
    <w:p w:rsidR="001A62D7" w:rsidRPr="00DF6E60" w:rsidRDefault="001A62D7" w:rsidP="00AE7D04">
      <w:pPr>
        <w:pStyle w:val="ManualConsidrant"/>
        <w:rPr>
          <w:noProof/>
        </w:rPr>
      </w:pPr>
      <w:r>
        <w:rPr>
          <w:noProof/>
        </w:rPr>
        <w:t>(1)</w:t>
      </w:r>
      <w:r>
        <w:rPr>
          <w:noProof/>
        </w:rPr>
        <w:tab/>
      </w:r>
      <w:r w:rsidRPr="00DF6E60">
        <w:rPr>
          <w:noProof/>
        </w:rPr>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rsidR="001A62D7" w:rsidRPr="00DF6E60" w:rsidRDefault="001A62D7" w:rsidP="00AE7D04">
      <w:pPr>
        <w:pStyle w:val="ManualConsidrant"/>
        <w:rPr>
          <w:noProof/>
        </w:rPr>
      </w:pPr>
      <w:r>
        <w:rPr>
          <w:noProof/>
        </w:rPr>
        <w:t>(2)</w:t>
      </w:r>
      <w:r>
        <w:rPr>
          <w:noProof/>
        </w:rPr>
        <w:tab/>
      </w:r>
      <w:r w:rsidRPr="00DF6E60">
        <w:rPr>
          <w:noProof/>
        </w:rPr>
        <w:t>La dotation annuelle du FEM n’excède pas un montant maximal de 30 000 000 EUR (aux prix de 2018), comme le prévoient l’article 8 du règlement (UE, Euratom) 2020/2093 du Conseil</w:t>
      </w:r>
      <w:r w:rsidRPr="00DF6E60">
        <w:rPr>
          <w:rStyle w:val="FootnoteReference"/>
          <w:noProof/>
        </w:rPr>
        <w:footnoteReference w:id="38"/>
      </w:r>
      <w:r w:rsidRPr="00DF6E60">
        <w:rPr>
          <w:noProof/>
        </w:rPr>
        <w:t>, modifié par le règlement (UE, Euratom) 2024/765 du Conseil</w:t>
      </w:r>
      <w:r w:rsidRPr="00DF6E60">
        <w:rPr>
          <w:rStyle w:val="FootnoteReference"/>
          <w:noProof/>
        </w:rPr>
        <w:footnoteReference w:id="39"/>
      </w:r>
      <w:r w:rsidRPr="00DF6E60">
        <w:rPr>
          <w:noProof/>
        </w:rPr>
        <w:t>, et l’article 16 du règlement (UE) 2021/691.</w:t>
      </w:r>
    </w:p>
    <w:p w:rsidR="00B55C2C" w:rsidRPr="00DF6E60" w:rsidRDefault="001A62D7" w:rsidP="00B55C2C">
      <w:pPr>
        <w:pStyle w:val="ManualConsidrant"/>
        <w:rPr>
          <w:noProof/>
        </w:rPr>
      </w:pPr>
      <w:r>
        <w:rPr>
          <w:noProof/>
        </w:rPr>
        <w:t>(3)</w:t>
      </w:r>
      <w:r>
        <w:rPr>
          <w:noProof/>
        </w:rPr>
        <w:tab/>
      </w:r>
      <w:r w:rsidRPr="00DF6E60">
        <w:rPr>
          <w:noProof/>
        </w:rPr>
        <w:t xml:space="preserve">Le 13 novembre 2025, la Belgique a présenté, conformément à l’article 8, paragraphe 1, du règlement (UE) 2021/691, une demande d’intervention du FEM en ce qui concerne les licenciements survenus chez Liberty Galaţi Belgian Branch en Belgique.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w:t>
      </w:r>
      <w:r w:rsidRPr="00DF6E60">
        <w:rPr>
          <w:noProof/>
        </w:rPr>
        <w:lastRenderedPageBreak/>
        <w:t>effectuée par la Commission dans la proposition de décision du Parlement européen et du Conseil relative à la mobilisation du FEM</w:t>
      </w:r>
      <w:r w:rsidRPr="00DF6E60">
        <w:rPr>
          <w:rStyle w:val="FootnoteReference"/>
          <w:iCs/>
          <w:noProof/>
        </w:rPr>
        <w:footnoteReference w:id="40"/>
      </w:r>
      <w:r w:rsidRPr="00DF6E60">
        <w:rPr>
          <w:noProof/>
        </w:rPr>
        <w:t>.</w:t>
      </w:r>
    </w:p>
    <w:p w:rsidR="001A62D7" w:rsidRPr="00DF6E60" w:rsidRDefault="001A62D7" w:rsidP="00AE7D04">
      <w:pPr>
        <w:pStyle w:val="ManualConsidrant"/>
        <w:rPr>
          <w:noProof/>
        </w:rPr>
      </w:pPr>
      <w:r>
        <w:rPr>
          <w:noProof/>
        </w:rPr>
        <w:t>(4)</w:t>
      </w:r>
      <w:r>
        <w:rPr>
          <w:noProof/>
        </w:rPr>
        <w:tab/>
      </w:r>
      <w:r w:rsidRPr="00DF6E60">
        <w:rPr>
          <w:noProof/>
        </w:rPr>
        <w:t>Il y a lieu, par conséquent, de mobiliser le FEM en vue d’octroyer une contribution financière d’un montant de 2 033 869 EUR en réponse à la demande présentée par la Belgique.</w:t>
      </w:r>
    </w:p>
    <w:p w:rsidR="001A62D7" w:rsidRPr="00DF6E60" w:rsidRDefault="001A62D7" w:rsidP="00AE7D04">
      <w:pPr>
        <w:pStyle w:val="ManualConsidrant"/>
        <w:rPr>
          <w:noProof/>
        </w:rPr>
      </w:pPr>
      <w:r>
        <w:rPr>
          <w:noProof/>
        </w:rPr>
        <w:t>(5)</w:t>
      </w:r>
      <w:r>
        <w:rPr>
          <w:noProof/>
        </w:rPr>
        <w:tab/>
      </w:r>
      <w:r w:rsidRPr="00DF6E60">
        <w:rPr>
          <w:noProof/>
        </w:rPr>
        <w:t>Afin de limiter au maximum le délai de mobilisation du FEM, il convient que la présente décision soit applicable à partir de la date de son adoption,</w:t>
      </w:r>
    </w:p>
    <w:p w:rsidR="001A62D7" w:rsidRPr="00DF6E60" w:rsidRDefault="001A62D7" w:rsidP="001A62D7">
      <w:pPr>
        <w:pStyle w:val="Formuledadoption"/>
        <w:rPr>
          <w:noProof/>
        </w:rPr>
      </w:pPr>
      <w:r w:rsidRPr="00DF6E60">
        <w:rPr>
          <w:noProof/>
        </w:rPr>
        <w:t xml:space="preserve">ONT ADOPTÉ LA PRÉSENTE DÉCISION: </w:t>
      </w:r>
    </w:p>
    <w:p w:rsidR="001A62D7" w:rsidRPr="00DF6E60" w:rsidRDefault="001A62D7" w:rsidP="001A62D7">
      <w:pPr>
        <w:pStyle w:val="Titrearticle"/>
        <w:rPr>
          <w:noProof/>
        </w:rPr>
      </w:pPr>
      <w:r w:rsidRPr="00DF6E60">
        <w:rPr>
          <w:noProof/>
        </w:rPr>
        <w:t>Article premier</w:t>
      </w:r>
    </w:p>
    <w:p w:rsidR="001A62D7" w:rsidRPr="00DF6E60" w:rsidRDefault="001A62D7" w:rsidP="001A62D7">
      <w:pPr>
        <w:rPr>
          <w:noProof/>
        </w:rPr>
      </w:pPr>
      <w:r w:rsidRPr="00DF6E60">
        <w:rPr>
          <w:noProof/>
        </w:rPr>
        <w:t>Dans le cadre du budget général de l’Union établi pour l’exercice 2026, un montant de 2 033 869 EUR en crédits d’engagement et de paiement est mobilisé au titre du Fonds européen d’ajustement à la mondialisation en faveur des travailleurs licenciés.</w:t>
      </w:r>
    </w:p>
    <w:p w:rsidR="001A62D7" w:rsidRPr="00DF6E60" w:rsidRDefault="001A62D7" w:rsidP="00741680">
      <w:pPr>
        <w:pStyle w:val="Titrearticle"/>
        <w:rPr>
          <w:noProof/>
        </w:rPr>
      </w:pPr>
      <w:r w:rsidRPr="00DF6E60">
        <w:rPr>
          <w:noProof/>
        </w:rPr>
        <w:t>Article 2</w:t>
      </w:r>
    </w:p>
    <w:p w:rsidR="001A62D7" w:rsidRPr="00DF6E60" w:rsidRDefault="001A62D7" w:rsidP="001A62D7">
      <w:pPr>
        <w:keepNext/>
        <w:keepLines/>
        <w:rPr>
          <w:noProof/>
        </w:rPr>
      </w:pPr>
      <w:r w:rsidRPr="00DF6E60">
        <w:rPr>
          <w:noProof/>
        </w:rPr>
        <w:t xml:space="preserve">La présente décision entre en vigueur le jour de sa publication au </w:t>
      </w:r>
      <w:r w:rsidRPr="00DF6E60">
        <w:rPr>
          <w:i/>
          <w:noProof/>
        </w:rPr>
        <w:t>Journal officiel de l’Union européenne</w:t>
      </w:r>
      <w:r w:rsidRPr="00DF6E60">
        <w:rPr>
          <w:noProof/>
        </w:rPr>
        <w:t xml:space="preserve">. Elle est applicable à partir du </w:t>
      </w:r>
      <w:r w:rsidRPr="00DF6E60">
        <w:rPr>
          <w:noProof/>
          <w:color w:val="FF0000"/>
        </w:rPr>
        <w:t>[</w:t>
      </w:r>
      <w:r w:rsidRPr="00DF6E60">
        <w:rPr>
          <w:i/>
          <w:noProof/>
          <w:color w:val="FF0000"/>
        </w:rPr>
        <w:t>date de son adoption</w:t>
      </w:r>
      <w:r w:rsidRPr="00DF6E60">
        <w:rPr>
          <w:noProof/>
          <w:color w:val="FF0000"/>
        </w:rPr>
        <w:t>]</w:t>
      </w:r>
      <w:r w:rsidRPr="00DF6E60">
        <w:rPr>
          <w:rStyle w:val="FootnoteReference"/>
          <w:noProof/>
          <w:color w:val="FF0000"/>
        </w:rPr>
        <w:footnoteReference w:customMarkFollows="1" w:id="41"/>
        <w:t>*</w:t>
      </w:r>
      <w:r w:rsidRPr="00DF6E60">
        <w:rPr>
          <w:noProof/>
        </w:rPr>
        <w:t>.</w:t>
      </w:r>
    </w:p>
    <w:p w:rsidR="001A62D7" w:rsidRPr="00DF6E60" w:rsidRDefault="00DF6E60" w:rsidP="00741680">
      <w:pPr>
        <w:pStyle w:val="Fait"/>
        <w:rPr>
          <w:noProof/>
        </w:rPr>
      </w:pPr>
      <w:r>
        <w:rPr>
          <w:noProof/>
        </w:rPr>
        <w:t>Fait à Bruxelles, le</w:t>
      </w:r>
    </w:p>
    <w:p w:rsidR="001A62D7" w:rsidRPr="00DF6E60" w:rsidRDefault="001A62D7" w:rsidP="00741680">
      <w:pPr>
        <w:pStyle w:val="Institutionquisigne"/>
        <w:rPr>
          <w:noProof/>
        </w:rPr>
      </w:pPr>
      <w:r w:rsidRPr="00DF6E60">
        <w:rPr>
          <w:noProof/>
        </w:rPr>
        <w:t>Par le Parlement européen</w:t>
      </w:r>
      <w:r w:rsidRPr="00DF6E60">
        <w:rPr>
          <w:noProof/>
        </w:rPr>
        <w:tab/>
        <w:t>Par le Conseil</w:t>
      </w:r>
    </w:p>
    <w:p w:rsidR="001A62D7" w:rsidRPr="00DF6E60" w:rsidRDefault="001A62D7" w:rsidP="001A62D7">
      <w:pPr>
        <w:pStyle w:val="Personnequisigne"/>
        <w:rPr>
          <w:noProof/>
        </w:rPr>
      </w:pPr>
      <w:r w:rsidRPr="00DF6E60">
        <w:rPr>
          <w:noProof/>
        </w:rPr>
        <w:t>La présidente</w:t>
      </w:r>
      <w:r w:rsidRPr="00DF6E60">
        <w:rPr>
          <w:noProof/>
        </w:rPr>
        <w:tab/>
        <w:t xml:space="preserve">Le président </w:t>
      </w:r>
      <w:r w:rsidRPr="00DF6E60">
        <w:rPr>
          <w:noProof/>
        </w:rPr>
        <w:br/>
      </w:r>
    </w:p>
    <w:sectPr w:rsidR="001A62D7" w:rsidRPr="00DF6E60" w:rsidSect="001E1AD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Pr="00CB7408" w:rsidRDefault="001A62D7" w:rsidP="001A62D7">
      <w:pPr>
        <w:spacing w:before="0" w:after="0"/>
      </w:pPr>
      <w:r>
        <w:separator/>
      </w:r>
    </w:p>
  </w:endnote>
  <w:endnote w:type="continuationSeparator" w:id="0">
    <w:p w:rsidR="001A62D7" w:rsidRPr="00CB7408" w:rsidRDefault="001A62D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D3" w:rsidRPr="001E1AD3" w:rsidRDefault="001E1AD3" w:rsidP="001E1AD3">
    <w:pPr>
      <w:pStyle w:val="Footer"/>
      <w:rPr>
        <w:rFonts w:ascii="Arial" w:hAnsi="Arial" w:cs="Arial"/>
        <w:b/>
        <w:sz w:val="48"/>
      </w:rPr>
    </w:pPr>
    <w:r w:rsidRPr="001E1AD3">
      <w:rPr>
        <w:rFonts w:ascii="Arial" w:hAnsi="Arial" w:cs="Arial"/>
        <w:b/>
        <w:sz w:val="48"/>
      </w:rPr>
      <w:t>FR</w:t>
    </w:r>
    <w:r w:rsidRPr="001E1AD3">
      <w:rPr>
        <w:rFonts w:ascii="Arial" w:hAnsi="Arial" w:cs="Arial"/>
        <w:b/>
        <w:sz w:val="48"/>
      </w:rPr>
      <w:tab/>
    </w:r>
    <w:r w:rsidRPr="001E1AD3">
      <w:rPr>
        <w:rFonts w:ascii="Arial" w:hAnsi="Arial" w:cs="Arial"/>
        <w:b/>
        <w:sz w:val="48"/>
      </w:rPr>
      <w:tab/>
    </w:r>
    <w:r w:rsidRPr="001E1AD3">
      <w:tab/>
    </w:r>
    <w:r w:rsidRPr="001E1A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D3" w:rsidRPr="001E1AD3" w:rsidRDefault="001E1AD3" w:rsidP="001E1AD3">
    <w:pPr>
      <w:pStyle w:val="Footer"/>
      <w:rPr>
        <w:rFonts w:ascii="Arial" w:hAnsi="Arial" w:cs="Arial"/>
        <w:b/>
        <w:sz w:val="48"/>
      </w:rPr>
    </w:pPr>
    <w:r w:rsidRPr="001E1AD3">
      <w:rPr>
        <w:rFonts w:ascii="Arial" w:hAnsi="Arial" w:cs="Arial"/>
        <w:b/>
        <w:sz w:val="48"/>
      </w:rPr>
      <w:t>FR</w:t>
    </w:r>
    <w:r w:rsidRPr="001E1AD3">
      <w:rPr>
        <w:rFonts w:ascii="Arial" w:hAnsi="Arial" w:cs="Arial"/>
        <w:b/>
        <w:sz w:val="48"/>
      </w:rPr>
      <w:tab/>
    </w:r>
    <w:r w:rsidRPr="001E1AD3">
      <w:rPr>
        <w:rFonts w:ascii="Arial" w:hAnsi="Arial" w:cs="Arial"/>
        <w:b/>
        <w:sz w:val="48"/>
      </w:rPr>
      <w:tab/>
    </w:r>
    <w:r w:rsidRPr="001E1AD3">
      <w:tab/>
    </w:r>
    <w:r w:rsidRPr="001E1A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D3" w:rsidRDefault="001E1A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D3" w:rsidRPr="001E1AD3" w:rsidRDefault="001E1AD3" w:rsidP="001E1AD3">
    <w:pPr>
      <w:pStyle w:val="Footer"/>
      <w:rPr>
        <w:rFonts w:ascii="Arial" w:hAnsi="Arial" w:cs="Arial"/>
        <w:b/>
        <w:sz w:val="48"/>
      </w:rPr>
    </w:pPr>
    <w:r w:rsidRPr="001E1AD3">
      <w:rPr>
        <w:rFonts w:ascii="Arial" w:hAnsi="Arial" w:cs="Arial"/>
        <w:b/>
        <w:sz w:val="48"/>
      </w:rPr>
      <w:t>FR</w:t>
    </w:r>
    <w:r w:rsidRPr="001E1AD3">
      <w:rPr>
        <w:rFonts w:ascii="Arial" w:hAnsi="Arial" w:cs="Arial"/>
        <w:b/>
        <w:sz w:val="48"/>
      </w:rPr>
      <w:tab/>
    </w:r>
    <w:r>
      <w:fldChar w:fldCharType="begin"/>
    </w:r>
    <w:r>
      <w:instrText xml:space="preserve"> PAGE  \* MERGEFORMAT </w:instrText>
    </w:r>
    <w:r>
      <w:fldChar w:fldCharType="separate"/>
    </w:r>
    <w:r w:rsidR="00741680">
      <w:rPr>
        <w:noProof/>
      </w:rPr>
      <w:t>10</w:t>
    </w:r>
    <w:r>
      <w:fldChar w:fldCharType="end"/>
    </w:r>
    <w:r>
      <w:tab/>
    </w:r>
    <w:r w:rsidRPr="001E1AD3">
      <w:tab/>
    </w:r>
    <w:r w:rsidRPr="001E1AD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D3" w:rsidRDefault="001E1AD3" w:rsidP="001E1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Pr="00CB7408" w:rsidRDefault="001A62D7" w:rsidP="001A62D7">
      <w:pPr>
        <w:spacing w:before="0" w:after="0"/>
      </w:pPr>
      <w:r>
        <w:separator/>
      </w:r>
    </w:p>
  </w:footnote>
  <w:footnote w:type="continuationSeparator" w:id="0">
    <w:p w:rsidR="001A62D7" w:rsidRPr="00CB7408" w:rsidRDefault="001A62D7" w:rsidP="001A62D7">
      <w:pPr>
        <w:spacing w:before="0" w:after="0"/>
      </w:pPr>
      <w:r>
        <w:continuationSeparator/>
      </w:r>
    </w:p>
  </w:footnote>
  <w:footnote w:id="1">
    <w:p w:rsidR="001A62D7" w:rsidRPr="00CB7408" w:rsidRDefault="001A62D7" w:rsidP="001A62D7">
      <w:pPr>
        <w:pStyle w:val="FootnoteText"/>
      </w:pPr>
      <w:r>
        <w:rPr>
          <w:rStyle w:val="FootnoteReference"/>
        </w:rPr>
        <w:footnoteRef/>
      </w:r>
      <w:r>
        <w:tab/>
        <w:t>JO L 153 du 3.5.2021, p. 48.</w:t>
      </w:r>
    </w:p>
  </w:footnote>
  <w:footnote w:id="2">
    <w:p w:rsidR="00546BF7" w:rsidRPr="00CB7408" w:rsidRDefault="00546BF7">
      <w:pPr>
        <w:pStyle w:val="FootnoteText"/>
      </w:pPr>
      <w:r>
        <w:rPr>
          <w:rStyle w:val="FootnoteReference"/>
        </w:rPr>
        <w:footnoteRef/>
      </w:r>
      <w:r>
        <w:tab/>
        <w:t>«Liberty Galaţi Belgian Branch» est la dénomination commerciale de la succursale belge de Liberty Galaţi, société par actions immatriculée en Roumanie.</w:t>
      </w:r>
    </w:p>
  </w:footnote>
  <w:footnote w:id="3">
    <w:p w:rsidR="001A62D7" w:rsidRPr="00CB7408" w:rsidRDefault="001A62D7" w:rsidP="001A62D7">
      <w:pPr>
        <w:pStyle w:val="FootnoteText"/>
      </w:pPr>
      <w:r>
        <w:rPr>
          <w:rStyle w:val="FootnoteReference"/>
        </w:rPr>
        <w:footnoteRef/>
      </w:r>
      <w: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4">
    <w:p w:rsidR="001A62D7" w:rsidRPr="00CB7408" w:rsidRDefault="001A62D7" w:rsidP="001A62D7">
      <w:pPr>
        <w:pStyle w:val="FootnoteText"/>
      </w:pPr>
      <w:r>
        <w:rPr>
          <w:rStyle w:val="FootnoteReference"/>
        </w:rPr>
        <w:footnoteRef/>
      </w:r>
      <w:r>
        <w:tab/>
        <w:t>JO L 393 du 30.12.2006, p. 1.</w:t>
      </w:r>
    </w:p>
  </w:footnote>
  <w:footnote w:id="5">
    <w:p w:rsidR="001A62D7" w:rsidRPr="00CB7408" w:rsidRDefault="001A62D7" w:rsidP="001A62D7">
      <w:pPr>
        <w:pStyle w:val="FootnoteText"/>
      </w:pPr>
      <w:r>
        <w:rPr>
          <w:rStyle w:val="FootnoteReference"/>
        </w:rPr>
        <w:footnoteRef/>
      </w:r>
      <w:r>
        <w:tab/>
        <w:t>Conformément à l’article 7, paragraphe 5, du règlement (UE) 2021/691.</w:t>
      </w:r>
    </w:p>
  </w:footnote>
  <w:footnote w:id="6">
    <w:p w:rsidR="00E700C8" w:rsidRPr="00CB7408" w:rsidRDefault="00E700C8">
      <w:pPr>
        <w:pStyle w:val="FootnoteText"/>
      </w:pPr>
      <w:r>
        <w:rPr>
          <w:rStyle w:val="FootnoteReference"/>
        </w:rPr>
        <w:footnoteRef/>
      </w:r>
      <w:r>
        <w:tab/>
        <w:t xml:space="preserve">Le conglomérat GFG Alliance détient Liberty Steel Group. </w:t>
      </w:r>
    </w:p>
  </w:footnote>
  <w:footnote w:id="7">
    <w:p w:rsidR="00036806" w:rsidRPr="00CB7408" w:rsidRDefault="00036806">
      <w:pPr>
        <w:pStyle w:val="FootnoteText"/>
      </w:pPr>
      <w:r>
        <w:rPr>
          <w:rStyle w:val="FootnoteReference"/>
        </w:rPr>
        <w:footnoteRef/>
      </w:r>
      <w:r>
        <w:tab/>
        <w:t>Moniteur belge du 28.4.2025, 45387.</w:t>
      </w:r>
    </w:p>
  </w:footnote>
  <w:footnote w:id="8">
    <w:p w:rsidR="006D546F" w:rsidRPr="00CB7408" w:rsidRDefault="006D546F">
      <w:pPr>
        <w:pStyle w:val="FootnoteText"/>
      </w:pPr>
      <w:r>
        <w:rPr>
          <w:rStyle w:val="FootnoteReference"/>
        </w:rPr>
        <w:footnoteRef/>
      </w:r>
      <w:r>
        <w:tab/>
        <w:t>Le ratio des emplois dans le secteur de l’acier correspond à la proportion d’emplois directs dans le secteur de l’acier pour 100 000 habitants.</w:t>
      </w:r>
    </w:p>
  </w:footnote>
  <w:footnote w:id="9">
    <w:p w:rsidR="000B5F51" w:rsidRPr="00CB7408" w:rsidRDefault="000B5F51">
      <w:pPr>
        <w:pStyle w:val="FootnoteText"/>
      </w:pPr>
      <w:r>
        <w:rPr>
          <w:rStyle w:val="FootnoteReference"/>
        </w:rPr>
        <w:footnoteRef/>
      </w:r>
      <w:r>
        <w:tab/>
        <w:t xml:space="preserve">Fédération européenne de la sidérurgie (EUROFER). </w:t>
      </w:r>
      <w:hyperlink r:id="rId1" w:history="1">
        <w:r>
          <w:rPr>
            <w:rStyle w:val="Hyperlink"/>
          </w:rPr>
          <w:t>European steel in figures 2025</w:t>
        </w:r>
      </w:hyperlink>
      <w:r>
        <w:t>.</w:t>
      </w:r>
    </w:p>
  </w:footnote>
  <w:footnote w:id="10">
    <w:p w:rsidR="00D924F0" w:rsidRPr="009856EF" w:rsidRDefault="00D924F0">
      <w:pPr>
        <w:pStyle w:val="FootnoteText"/>
      </w:pPr>
      <w:r>
        <w:rPr>
          <w:rStyle w:val="FootnoteReference"/>
        </w:rPr>
        <w:footnoteRef/>
      </w:r>
      <w:r>
        <w:tab/>
        <w:t>COM(2023) 69.</w:t>
      </w:r>
    </w:p>
  </w:footnote>
  <w:footnote w:id="11">
    <w:p w:rsidR="00D924F0" w:rsidRPr="009856EF" w:rsidRDefault="00D924F0">
      <w:pPr>
        <w:pStyle w:val="FootnoteText"/>
      </w:pPr>
      <w:r>
        <w:rPr>
          <w:rStyle w:val="FootnoteReference"/>
        </w:rPr>
        <w:footnoteRef/>
      </w:r>
      <w:r>
        <w:tab/>
        <w:t xml:space="preserve">COM(2023) 470. </w:t>
      </w:r>
    </w:p>
  </w:footnote>
  <w:footnote w:id="12">
    <w:p w:rsidR="002E5201" w:rsidRPr="009856EF" w:rsidRDefault="002E5201">
      <w:pPr>
        <w:pStyle w:val="FootnoteText"/>
      </w:pPr>
      <w:r>
        <w:rPr>
          <w:rStyle w:val="FootnoteReference"/>
        </w:rPr>
        <w:footnoteRef/>
      </w:r>
      <w:r>
        <w:tab/>
      </w:r>
      <w:hyperlink r:id="rId2" w:history="1">
        <w:r>
          <w:rPr>
            <w:rStyle w:val="Hyperlink"/>
          </w:rPr>
          <w:t>Eurostat.</w:t>
        </w:r>
      </w:hyperlink>
    </w:p>
  </w:footnote>
  <w:footnote w:id="13">
    <w:p w:rsidR="005D52E3" w:rsidRPr="009856EF" w:rsidRDefault="005D52E3" w:rsidP="004B1AA6">
      <w:pPr>
        <w:spacing w:before="0" w:after="0"/>
      </w:pPr>
      <w:r>
        <w:rPr>
          <w:rStyle w:val="FootnoteReference"/>
        </w:rPr>
        <w:footnoteRef/>
      </w:r>
      <w:r>
        <w:tab/>
      </w:r>
      <w:hyperlink r:id="rId3" w:anchor="panel-12" w:history="1">
        <w:r>
          <w:rPr>
            <w:rStyle w:val="Hyperlink"/>
            <w:sz w:val="20"/>
          </w:rPr>
          <w:t>Statbel</w:t>
        </w:r>
      </w:hyperlink>
      <w:r>
        <w:t>.</w:t>
      </w:r>
      <w:hyperlink r:id="rId4" w:anchor="panel-12" w:history="1">
        <w:r>
          <w:rPr>
            <w:rStyle w:val="Hyperlink"/>
            <w:sz w:val="20"/>
          </w:rPr>
          <w:t xml:space="preserve"> Emploi et chômage (9.9.2025)</w:t>
        </w:r>
      </w:hyperlink>
      <w:r>
        <w:t>.</w:t>
      </w:r>
    </w:p>
  </w:footnote>
  <w:footnote w:id="14">
    <w:p w:rsidR="0000022B" w:rsidRPr="009856EF" w:rsidRDefault="0000022B" w:rsidP="004B1AA6">
      <w:pPr>
        <w:spacing w:before="0" w:after="0"/>
      </w:pPr>
      <w:r>
        <w:rPr>
          <w:rStyle w:val="FootnoteReference"/>
        </w:rPr>
        <w:footnoteRef/>
      </w:r>
      <w:r>
        <w:tab/>
      </w:r>
      <w:hyperlink r:id="rId5" w:anchor="panel-12" w:history="1">
        <w:r>
          <w:rPr>
            <w:rStyle w:val="Hyperlink"/>
            <w:sz w:val="20"/>
          </w:rPr>
          <w:t>Statbel</w:t>
        </w:r>
      </w:hyperlink>
      <w:r>
        <w:t>.</w:t>
      </w:r>
      <w:hyperlink r:id="rId6" w:anchor="panel-12" w:history="1">
        <w:r>
          <w:rPr>
            <w:rStyle w:val="Hyperlink"/>
            <w:sz w:val="20"/>
          </w:rPr>
          <w:t xml:space="preserve"> Emploi et chômage (9.9.2025)</w:t>
        </w:r>
      </w:hyperlink>
      <w:r>
        <w:t>.</w:t>
      </w:r>
    </w:p>
  </w:footnote>
  <w:footnote w:id="15">
    <w:p w:rsidR="00915104" w:rsidRPr="009856EF" w:rsidRDefault="00915104">
      <w:pPr>
        <w:pStyle w:val="FootnoteText"/>
      </w:pPr>
      <w:r>
        <w:rPr>
          <w:rStyle w:val="FootnoteReference"/>
        </w:rPr>
        <w:footnoteRef/>
      </w:r>
      <w:r>
        <w:tab/>
      </w:r>
      <w:hyperlink r:id="rId7" w:history="1">
        <w:r>
          <w:rPr>
            <w:rStyle w:val="Hyperlink"/>
          </w:rPr>
          <w:t>Eurostat</w:t>
        </w:r>
      </w:hyperlink>
      <w:r>
        <w:t>.</w:t>
      </w:r>
    </w:p>
  </w:footnote>
  <w:footnote w:id="16">
    <w:p w:rsidR="00F10A52" w:rsidRPr="00CB7408" w:rsidRDefault="00F10A52">
      <w:pPr>
        <w:pStyle w:val="FootnoteText"/>
      </w:pPr>
      <w:r>
        <w:rPr>
          <w:rStyle w:val="FootnoteReference"/>
        </w:rPr>
        <w:footnoteRef/>
      </w:r>
      <w:r>
        <w:tab/>
      </w:r>
      <w:hyperlink r:id="rId8" w:history="1">
        <w:r>
          <w:rPr>
            <w:rStyle w:val="Hyperlink"/>
          </w:rPr>
          <w:t>Statbel</w:t>
        </w:r>
      </w:hyperlink>
      <w:r>
        <w:t>.</w:t>
      </w:r>
      <w:hyperlink r:id="rId9" w:history="1">
        <w:r>
          <w:rPr>
            <w:rStyle w:val="Hyperlink"/>
          </w:rPr>
          <w:t xml:space="preserve"> Taux d’emploi par classe d’âge</w:t>
        </w:r>
      </w:hyperlink>
      <w:r>
        <w:t>.</w:t>
      </w:r>
    </w:p>
  </w:footnote>
  <w:footnote w:id="17">
    <w:p w:rsidR="005F26CA" w:rsidRPr="00CB7408" w:rsidRDefault="005F26CA">
      <w:pPr>
        <w:pStyle w:val="FootnoteText"/>
      </w:pPr>
      <w:r>
        <w:rPr>
          <w:rStyle w:val="FootnoteReference"/>
        </w:rPr>
        <w:footnoteRef/>
      </w:r>
      <w:r>
        <w:tab/>
        <w:t>Le Forem. Photo locale de la demande d’emploi (août 2025).</w:t>
      </w:r>
    </w:p>
  </w:footnote>
  <w:footnote w:id="18">
    <w:p w:rsidR="00E50399" w:rsidRPr="00CB7408" w:rsidRDefault="00E50399">
      <w:pPr>
        <w:pStyle w:val="FootnoteText"/>
      </w:pPr>
      <w:r>
        <w:rPr>
          <w:rStyle w:val="FootnoteReference"/>
        </w:rPr>
        <w:footnoteRef/>
      </w:r>
      <w:r>
        <w:tab/>
        <w:t>Arrêté royal du 10 novembre 2006 modifiant l’arrêté royal du 9 mars 2006.</w:t>
      </w:r>
    </w:p>
  </w:footnote>
  <w:footnote w:id="19">
    <w:p w:rsidR="004419E9" w:rsidRPr="00CB7408" w:rsidRDefault="004419E9">
      <w:pPr>
        <w:pStyle w:val="FootnoteText"/>
      </w:pPr>
      <w:r>
        <w:rPr>
          <w:rStyle w:val="FootnoteReference"/>
        </w:rPr>
        <w:footnoteRef/>
      </w:r>
      <w:r>
        <w:tab/>
        <w:t>Décret du gouvernement wallon du 29 janvier 2004, modifié par le décret du 30 avril 2009.</w:t>
      </w:r>
    </w:p>
  </w:footnote>
  <w:footnote w:id="20">
    <w:p w:rsidR="005B0EC2" w:rsidRPr="00CB7408" w:rsidRDefault="005B0EC2">
      <w:pPr>
        <w:pStyle w:val="FootnoteText"/>
      </w:pPr>
      <w:r>
        <w:rPr>
          <w:rStyle w:val="FootnoteReference"/>
        </w:rPr>
        <w:footnoteRef/>
      </w:r>
      <w:r>
        <w:tab/>
      </w:r>
      <w:r>
        <w:rPr>
          <w:rStyle w:val="Hyperlink"/>
        </w:rPr>
        <w:t xml:space="preserve">Le </w:t>
      </w:r>
      <w:hyperlink r:id="rId10" w:history="1">
        <w:r>
          <w:rPr>
            <w:rStyle w:val="Hyperlink"/>
          </w:rPr>
          <w:t>Forem</w:t>
        </w:r>
      </w:hyperlink>
      <w:r>
        <w:t>.</w:t>
      </w:r>
      <w:hyperlink r:id="rId11" w:history="1">
        <w:r>
          <w:rPr>
            <w:rStyle w:val="Hyperlink"/>
          </w:rPr>
          <w:t xml:space="preserve"> Restructuration:</w:t>
        </w:r>
      </w:hyperlink>
      <w:hyperlink r:id="rId12" w:history="1">
        <w:r>
          <w:rPr>
            <w:rStyle w:val="Hyperlink"/>
          </w:rPr>
          <w:t xml:space="preserve"> cellules de reconversion</w:t>
        </w:r>
      </w:hyperlink>
      <w:r>
        <w:t>.</w:t>
      </w:r>
    </w:p>
  </w:footnote>
  <w:footnote w:id="21">
    <w:p w:rsidR="000621D5" w:rsidRPr="009856EF" w:rsidRDefault="000621D5" w:rsidP="000621D5">
      <w:pPr>
        <w:pStyle w:val="FootnoteText"/>
      </w:pPr>
      <w:r>
        <w:rPr>
          <w:rStyle w:val="FootnoteReference"/>
        </w:rPr>
        <w:footnoteRef/>
      </w:r>
      <w:r>
        <w:tab/>
        <w:t>Fédération générale du travail de Belgique.</w:t>
      </w:r>
    </w:p>
  </w:footnote>
  <w:footnote w:id="22">
    <w:p w:rsidR="00457FE1" w:rsidRPr="009856EF" w:rsidRDefault="00457FE1">
      <w:pPr>
        <w:pStyle w:val="FootnoteText"/>
      </w:pPr>
      <w:r>
        <w:rPr>
          <w:rStyle w:val="FootnoteReference"/>
        </w:rPr>
        <w:footnoteRef/>
      </w:r>
      <w:r>
        <w:tab/>
        <w:t>Confédération des syndicats chrétiens.</w:t>
      </w:r>
    </w:p>
  </w:footnote>
  <w:footnote w:id="23">
    <w:p w:rsidR="001A62D7" w:rsidRPr="009856EF" w:rsidRDefault="001A62D7" w:rsidP="001A62D7">
      <w:pPr>
        <w:pStyle w:val="FootnoteText"/>
      </w:pPr>
      <w:r>
        <w:rPr>
          <w:rStyle w:val="FootnoteReference"/>
        </w:rPr>
        <w:footnoteRef/>
      </w:r>
      <w:r>
        <w:tab/>
        <w:t>CITE 0-2.</w:t>
      </w:r>
    </w:p>
  </w:footnote>
  <w:footnote w:id="24">
    <w:p w:rsidR="001A62D7" w:rsidRPr="00CB7408" w:rsidRDefault="001A62D7" w:rsidP="001A62D7">
      <w:pPr>
        <w:pStyle w:val="FootnoteText"/>
      </w:pPr>
      <w:r>
        <w:rPr>
          <w:rStyle w:val="FootnoteReference"/>
        </w:rPr>
        <w:footnoteRef/>
      </w:r>
      <w:r>
        <w:tab/>
        <w:t>CITE 3.</w:t>
      </w:r>
    </w:p>
  </w:footnote>
  <w:footnote w:id="25">
    <w:p w:rsidR="001A62D7" w:rsidRPr="00CB7408" w:rsidRDefault="001A62D7" w:rsidP="001A62D7">
      <w:pPr>
        <w:pStyle w:val="FootnoteText"/>
      </w:pPr>
      <w:r>
        <w:rPr>
          <w:rStyle w:val="FootnoteReference"/>
        </w:rPr>
        <w:footnoteRef/>
      </w:r>
      <w:r>
        <w:tab/>
        <w:t>CITE 4.</w:t>
      </w:r>
    </w:p>
  </w:footnote>
  <w:footnote w:id="26">
    <w:p w:rsidR="001A62D7" w:rsidRPr="00CB7408" w:rsidRDefault="001A62D7" w:rsidP="001A62D7">
      <w:pPr>
        <w:pStyle w:val="FootnoteText"/>
      </w:pPr>
      <w:r>
        <w:rPr>
          <w:rStyle w:val="FootnoteReference"/>
        </w:rPr>
        <w:footnoteRef/>
      </w:r>
      <w:r>
        <w:tab/>
        <w:t>CITE 5-8.</w:t>
      </w:r>
    </w:p>
  </w:footnote>
  <w:footnote w:id="27">
    <w:p w:rsidR="002B5890" w:rsidRPr="00CB7408" w:rsidRDefault="002B5890">
      <w:pPr>
        <w:pStyle w:val="FootnoteText"/>
      </w:pPr>
      <w:r>
        <w:rPr>
          <w:rStyle w:val="FootnoteReference"/>
        </w:rPr>
        <w:footnoteRef/>
      </w:r>
      <w:r>
        <w:tab/>
      </w:r>
      <w:hyperlink r:id="rId13" w:history="1">
        <w:r>
          <w:rPr>
            <w:rStyle w:val="Hyperlink"/>
          </w:rPr>
          <w:t>Liste des emplois recherchés et difficiles à pourvoir ou liés à des fonctions critiques</w:t>
        </w:r>
      </w:hyperlink>
      <w:r>
        <w:t>.</w:t>
      </w:r>
      <w:hyperlink r:id="rId14" w:history="1">
        <w:r>
          <w:rPr>
            <w:rStyle w:val="Hyperlink"/>
          </w:rPr>
          <w:t xml:space="preserve"> «Métiers en tension de recrutement en Wallonie.</w:t>
        </w:r>
      </w:hyperlink>
      <w:hyperlink r:id="rId15" w:history="1">
        <w:r>
          <w:rPr>
            <w:rStyle w:val="Hyperlink"/>
          </w:rPr>
          <w:t xml:space="preserve"> Liste des métiers/fonctions critiques et en pénurie».</w:t>
        </w:r>
      </w:hyperlink>
      <w:hyperlink r:id="rId16" w:history="1">
        <w:r>
          <w:rPr>
            <w:rStyle w:val="Hyperlink"/>
          </w:rPr>
          <w:t xml:space="preserve"> Le Forem 2025</w:t>
        </w:r>
      </w:hyperlink>
      <w:r>
        <w:rPr>
          <w:rStyle w:val="Hyperlink"/>
        </w:rPr>
        <w:t>.</w:t>
      </w:r>
    </w:p>
  </w:footnote>
  <w:footnote w:id="28">
    <w:p w:rsidR="002F085B" w:rsidRPr="00DF6E60" w:rsidRDefault="002F085B" w:rsidP="002F085B">
      <w:pPr>
        <w:pStyle w:val="FootnoteText"/>
        <w:rPr>
          <w:lang w:val="en-IE"/>
        </w:rPr>
      </w:pPr>
      <w:r>
        <w:rPr>
          <w:rStyle w:val="FootnoteReference"/>
        </w:rPr>
        <w:footnoteRef/>
      </w:r>
      <w:r w:rsidRPr="00DF6E60">
        <w:rPr>
          <w:lang w:val="en-IE"/>
        </w:rPr>
        <w:tab/>
        <w:t>COM(2021) 212.</w:t>
      </w:r>
    </w:p>
  </w:footnote>
  <w:footnote w:id="29">
    <w:p w:rsidR="002F085B" w:rsidRPr="00DF6E60" w:rsidRDefault="002F085B" w:rsidP="002F085B">
      <w:pPr>
        <w:pStyle w:val="FootnoteText"/>
        <w:rPr>
          <w:lang w:val="en-IE"/>
        </w:rPr>
      </w:pPr>
      <w:r>
        <w:rPr>
          <w:rStyle w:val="FootnoteReference"/>
        </w:rPr>
        <w:footnoteRef/>
      </w:r>
      <w:r w:rsidRPr="00DF6E60">
        <w:rPr>
          <w:lang w:val="en-IE"/>
        </w:rPr>
        <w:tab/>
        <w:t>EGF/2022/002 BE/TNT. COM(2023) 69.</w:t>
      </w:r>
      <w:r w:rsidRPr="00DF6E60">
        <w:rPr>
          <w:lang w:val="en-IE"/>
        </w:rPr>
        <w:tab/>
      </w:r>
      <w:r w:rsidRPr="00DF6E60">
        <w:rPr>
          <w:lang w:val="en-IE"/>
        </w:rPr>
        <w:tab/>
      </w:r>
    </w:p>
  </w:footnote>
  <w:footnote w:id="30">
    <w:p w:rsidR="001A62D7" w:rsidRPr="00CB7408" w:rsidRDefault="001A62D7" w:rsidP="001A62D7">
      <w:pPr>
        <w:pStyle w:val="FootnoteText"/>
      </w:pPr>
      <w:r>
        <w:rPr>
          <w:rStyle w:val="FootnoteReference"/>
        </w:rPr>
        <w:footnoteRef/>
      </w:r>
      <w:r>
        <w:tab/>
        <w:t>Afin d’éviter les décimales, les coûts estimés par travailleur ont été arrondis. Cela n’a néanmoins aucune incidence sur le coût total de chaque mesure, qui reste identique à celui indiqué dans la demande présentée par la Belgique.</w:t>
      </w:r>
    </w:p>
  </w:footnote>
  <w:footnote w:id="31">
    <w:p w:rsidR="001A62D7" w:rsidRPr="00CB7408" w:rsidRDefault="001A62D7" w:rsidP="001A62D7">
      <w:pPr>
        <w:pStyle w:val="FootnoteText"/>
      </w:pPr>
      <w:r>
        <w:rPr>
          <w:rStyle w:val="FootnoteReference"/>
        </w:rPr>
        <w:footnoteRef/>
      </w:r>
      <w:r>
        <w:tab/>
        <w:t>Le total diffère de la somme des rubriques en raison de l’arrondi.</w:t>
      </w:r>
    </w:p>
  </w:footnote>
  <w:footnote w:id="32">
    <w:p w:rsidR="001A62D7" w:rsidRPr="009856EF" w:rsidRDefault="001A62D7" w:rsidP="001A62D7">
      <w:pPr>
        <w:pStyle w:val="FootnoteText"/>
      </w:pPr>
      <w:r>
        <w:rPr>
          <w:rStyle w:val="FootnoteReference"/>
        </w:rPr>
        <w:footnoteRef/>
      </w:r>
      <w:r>
        <w:tab/>
        <w:t>JO L 433 I du 22.12.2020, p. 11.</w:t>
      </w:r>
    </w:p>
  </w:footnote>
  <w:footnote w:id="33">
    <w:p w:rsidR="001A62D7" w:rsidRPr="009856EF" w:rsidRDefault="001A62D7" w:rsidP="001A62D7">
      <w:pPr>
        <w:pStyle w:val="FootnoteText"/>
      </w:pPr>
      <w:r>
        <w:rPr>
          <w:rStyle w:val="FootnoteReference"/>
        </w:rPr>
        <w:footnoteRef/>
      </w:r>
      <w:r>
        <w:tab/>
        <w:t xml:space="preserve">JO L, 2024/765, 29.2.2024, ELI: http://data.europa.eu/eli/reg/2024/765/oj. </w:t>
      </w:r>
    </w:p>
  </w:footnote>
  <w:footnote w:id="34">
    <w:p w:rsidR="001A62D7" w:rsidRPr="00CB7408" w:rsidRDefault="001A62D7" w:rsidP="001A62D7">
      <w:pPr>
        <w:pStyle w:val="FootnoteText"/>
      </w:pPr>
      <w:r>
        <w:rPr>
          <w:rStyle w:val="FootnoteReference"/>
        </w:rPr>
        <w:footnoteRef/>
      </w:r>
      <w:r>
        <w:tab/>
        <w:t>JO L 433 I du 22.12.2020, p. 28.</w:t>
      </w:r>
    </w:p>
  </w:footnote>
  <w:footnote w:id="35">
    <w:p w:rsidR="001A62D7" w:rsidRPr="00CB7408" w:rsidRDefault="001A62D7" w:rsidP="001A62D7">
      <w:pPr>
        <w:pStyle w:val="FootnoteText"/>
      </w:pPr>
      <w:r>
        <w:rPr>
          <w:rStyle w:val="FootnoteReference"/>
        </w:rPr>
        <w:footnoteRef/>
      </w:r>
      <w:r>
        <w:tab/>
        <w:t>Règlement (UE, Euratom) 2024/2509 du Parlement européen et du Conseil du 23 septembre 2024 relatif aux règles financières applicables au budget général de l’Union (refonte), JO L, 2024/2509, 26.9.2024, ELI: http://data.europa.eu/eli/reg/2024/2509/oj26.9.2024.</w:t>
      </w:r>
    </w:p>
  </w:footnote>
  <w:footnote w:id="36">
    <w:p w:rsidR="001A62D7" w:rsidRPr="00CB7408" w:rsidRDefault="001A62D7" w:rsidP="001A62D7">
      <w:pPr>
        <w:pStyle w:val="FootnoteText"/>
      </w:pPr>
      <w:r>
        <w:rPr>
          <w:rStyle w:val="FootnoteReference"/>
        </w:rPr>
        <w:footnoteRef/>
      </w:r>
      <w:r>
        <w:tab/>
        <w:t>JO L 153 du 3.5.2021, p. 48.</w:t>
      </w:r>
    </w:p>
  </w:footnote>
  <w:footnote w:id="37">
    <w:p w:rsidR="001A62D7" w:rsidRPr="00CB7408" w:rsidRDefault="001A62D7" w:rsidP="001A62D7">
      <w:pPr>
        <w:pStyle w:val="FootnoteText"/>
      </w:pPr>
      <w:r>
        <w:rPr>
          <w:rStyle w:val="FootnoteReference"/>
        </w:rPr>
        <w:footnoteRef/>
      </w:r>
      <w:r>
        <w:tab/>
        <w:t>JO L 433 I du 22.12.2020, p. 28.</w:t>
      </w:r>
    </w:p>
  </w:footnote>
  <w:footnote w:id="38">
    <w:p w:rsidR="001A62D7" w:rsidRPr="00CB7408" w:rsidRDefault="001A62D7" w:rsidP="001A62D7">
      <w:pPr>
        <w:pStyle w:val="FootnoteText"/>
      </w:pPr>
      <w:r>
        <w:rPr>
          <w:rStyle w:val="FootnoteReference"/>
        </w:rPr>
        <w:footnoteRef/>
      </w:r>
      <w:r>
        <w:tab/>
        <w:t>Règlement (UE, Euratom) 2020/2093 du Conseil du 17 décembre 2020 fixant le cadre financier pluriannuel pour les années 2021 à 2027 (JO L 433 I du 22.12.2020, p. 11).</w:t>
      </w:r>
    </w:p>
  </w:footnote>
  <w:footnote w:id="39">
    <w:p w:rsidR="001A62D7" w:rsidRPr="00DF6E60" w:rsidRDefault="001A62D7" w:rsidP="001A62D7">
      <w:pPr>
        <w:pStyle w:val="FootnoteText"/>
        <w:rPr>
          <w:lang w:val="en-IE"/>
        </w:rPr>
      </w:pPr>
      <w:r>
        <w:rPr>
          <w:rStyle w:val="FootnoteReference"/>
        </w:rPr>
        <w:footnoteRef/>
      </w:r>
      <w:r w:rsidRPr="00DF6E60">
        <w:rPr>
          <w:lang w:val="en-IE"/>
        </w:rPr>
        <w:tab/>
        <w:t>JO L, 2024/765, 29.2.2024, ELI: http://data.europa.eu/eli/reg/2024/765/oj.</w:t>
      </w:r>
    </w:p>
  </w:footnote>
  <w:footnote w:id="40">
    <w:p w:rsidR="001A62D7" w:rsidRPr="00CB7408" w:rsidRDefault="001A62D7" w:rsidP="001A62D7">
      <w:pPr>
        <w:pStyle w:val="FootnoteText"/>
      </w:pPr>
      <w:r>
        <w:rPr>
          <w:rStyle w:val="FootnoteReference"/>
        </w:rPr>
        <w:footnoteRef/>
      </w:r>
      <w:r>
        <w:tab/>
        <w:t>COM(2026) 4</w:t>
      </w:r>
      <w:r>
        <w:rPr>
          <w:color w:val="FF0000"/>
        </w:rPr>
        <w:t>.</w:t>
      </w:r>
    </w:p>
  </w:footnote>
  <w:footnote w:id="41">
    <w:p w:rsidR="00281AE4" w:rsidRPr="00281AE4" w:rsidRDefault="00281AE4">
      <w:pPr>
        <w:pStyle w:val="FootnoteText"/>
      </w:pPr>
      <w:r>
        <w:rPr>
          <w:rStyle w:val="FootnoteReference"/>
        </w:rPr>
        <w:t>*</w:t>
      </w:r>
      <w:r>
        <w:tab/>
      </w:r>
      <w:r>
        <w:rPr>
          <w:color w:val="FF0000"/>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D3" w:rsidRDefault="001E1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D3" w:rsidRDefault="001E1A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4"/>
  </w:num>
  <w:num w:numId="20">
    <w:abstractNumId w:val="12"/>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 w:numId="36">
    <w:abstractNumId w:val="23"/>
  </w:num>
  <w:num w:numId="37">
    <w:abstractNumId w:val="12"/>
  </w:num>
  <w:num w:numId="38">
    <w:abstractNumId w:val="26"/>
  </w:num>
  <w:num w:numId="39">
    <w:abstractNumId w:val="6"/>
  </w:num>
  <w:num w:numId="40">
    <w:abstractNumId w:val="13"/>
  </w:num>
  <w:num w:numId="41">
    <w:abstractNumId w:val="14"/>
  </w:num>
  <w:num w:numId="42">
    <w:abstractNumId w:val="4"/>
  </w:num>
  <w:num w:numId="43">
    <w:abstractNumId w:val="25"/>
  </w:num>
  <w:num w:numId="44">
    <w:abstractNumId w:val="3"/>
  </w:num>
  <w:num w:numId="45">
    <w:abstractNumId w:val="15"/>
  </w:num>
  <w:num w:numId="46">
    <w:abstractNumId w:val="21"/>
  </w:num>
  <w:num w:numId="47">
    <w:abstractNumId w:val="22"/>
  </w:num>
  <w:num w:numId="48">
    <w:abstractNumId w:val="5"/>
  </w:num>
  <w:num w:numId="49">
    <w:abstractNumId w:val="19"/>
  </w:num>
  <w:num w:numId="50">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3 07:55: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7579E6E-6C00-4C93-B3EF-AB460263A093"/>
    <w:docVar w:name="LW_COVERPAGE_TYPE" w:val="1"/>
    <w:docVar w:name="LW_CreatedUtc" w:val="2025-02-03T12:09:04.7855178Z"/>
    <w:docVar w:name="LW_CROSSREFERENCE" w:val="&lt;UNUSED&gt;"/>
    <w:docVar w:name="LW_DocType" w:val="COM"/>
    <w:docVar w:name="LW_EMISSION" w:val="2.3.2026"/>
    <w:docVar w:name="LW_EMISSION_ISODATE" w:val="2026-03-02"/>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066"/>
    <w:docVar w:name="LW_REF.II.NEW.CP_YEAR" w:val="2026"/>
    <w:docVar w:name="LW_REF.INST.NEW" w:val="COM"/>
    <w:docVar w:name="LW_REF.INST.NEW_ADOPTED" w:val="final"/>
    <w:docVar w:name="LW_REF.INST.NEW_TEXT" w:val="(2026) 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de la Belgique (EGF/2025/008 BE/Liberty)"/>
    <w:docVar w:name="LW_TYPE.DOC.CP" w:val="DÉCISION DU PARLEMENT EUROPÉEN ET DU CONSEIL"/>
    <w:docVar w:name="LwApiVersions" w:val="LW4CoDe 1.24.5.0; LW 9.2, Build 20251112"/>
  </w:docVars>
  <w:rsids>
    <w:rsidRoot w:val="001A62D7"/>
    <w:rsid w:val="0000022B"/>
    <w:rsid w:val="00002E2E"/>
    <w:rsid w:val="0001225C"/>
    <w:rsid w:val="00012AE9"/>
    <w:rsid w:val="000171AE"/>
    <w:rsid w:val="0003030F"/>
    <w:rsid w:val="00036806"/>
    <w:rsid w:val="00040A87"/>
    <w:rsid w:val="00042EEB"/>
    <w:rsid w:val="00047187"/>
    <w:rsid w:val="000554AE"/>
    <w:rsid w:val="00060092"/>
    <w:rsid w:val="000621D5"/>
    <w:rsid w:val="00093B7F"/>
    <w:rsid w:val="00095247"/>
    <w:rsid w:val="000B5F51"/>
    <w:rsid w:val="000C0C57"/>
    <w:rsid w:val="000C23D3"/>
    <w:rsid w:val="000D5B2B"/>
    <w:rsid w:val="000E54A7"/>
    <w:rsid w:val="001065F5"/>
    <w:rsid w:val="001238EF"/>
    <w:rsid w:val="0013165F"/>
    <w:rsid w:val="0013666E"/>
    <w:rsid w:val="00154495"/>
    <w:rsid w:val="0018266C"/>
    <w:rsid w:val="0018782F"/>
    <w:rsid w:val="001909D2"/>
    <w:rsid w:val="001948CA"/>
    <w:rsid w:val="00197613"/>
    <w:rsid w:val="001A1BC0"/>
    <w:rsid w:val="001A62D7"/>
    <w:rsid w:val="001B0175"/>
    <w:rsid w:val="001C3001"/>
    <w:rsid w:val="001D1B04"/>
    <w:rsid w:val="001E1326"/>
    <w:rsid w:val="001E1AD3"/>
    <w:rsid w:val="001E349D"/>
    <w:rsid w:val="001F1394"/>
    <w:rsid w:val="002012F5"/>
    <w:rsid w:val="002077A7"/>
    <w:rsid w:val="002102E3"/>
    <w:rsid w:val="00213164"/>
    <w:rsid w:val="0022114D"/>
    <w:rsid w:val="002244AE"/>
    <w:rsid w:val="00233DC7"/>
    <w:rsid w:val="00241826"/>
    <w:rsid w:val="002419C9"/>
    <w:rsid w:val="00241BA6"/>
    <w:rsid w:val="00247779"/>
    <w:rsid w:val="00277FCC"/>
    <w:rsid w:val="00281AE4"/>
    <w:rsid w:val="002826DE"/>
    <w:rsid w:val="00285BEE"/>
    <w:rsid w:val="0029290D"/>
    <w:rsid w:val="0029533F"/>
    <w:rsid w:val="002A0B01"/>
    <w:rsid w:val="002A4C4D"/>
    <w:rsid w:val="002B07C7"/>
    <w:rsid w:val="002B19B5"/>
    <w:rsid w:val="002B30AF"/>
    <w:rsid w:val="002B5890"/>
    <w:rsid w:val="002C667E"/>
    <w:rsid w:val="002D407A"/>
    <w:rsid w:val="002E2EE6"/>
    <w:rsid w:val="002E5201"/>
    <w:rsid w:val="002F085B"/>
    <w:rsid w:val="002F0916"/>
    <w:rsid w:val="003008C6"/>
    <w:rsid w:val="0031534C"/>
    <w:rsid w:val="00320AAE"/>
    <w:rsid w:val="0033344A"/>
    <w:rsid w:val="003556B4"/>
    <w:rsid w:val="00360210"/>
    <w:rsid w:val="0036211F"/>
    <w:rsid w:val="00376F6C"/>
    <w:rsid w:val="003A4724"/>
    <w:rsid w:val="003D3D6D"/>
    <w:rsid w:val="003F5EC6"/>
    <w:rsid w:val="004152E7"/>
    <w:rsid w:val="00416471"/>
    <w:rsid w:val="00416F0B"/>
    <w:rsid w:val="0042015D"/>
    <w:rsid w:val="004251E7"/>
    <w:rsid w:val="0042648E"/>
    <w:rsid w:val="004419E9"/>
    <w:rsid w:val="00457FE1"/>
    <w:rsid w:val="00470CDD"/>
    <w:rsid w:val="004936D2"/>
    <w:rsid w:val="00496009"/>
    <w:rsid w:val="004A0546"/>
    <w:rsid w:val="004B0869"/>
    <w:rsid w:val="004B1AA6"/>
    <w:rsid w:val="004C5133"/>
    <w:rsid w:val="004D028F"/>
    <w:rsid w:val="004D2296"/>
    <w:rsid w:val="004F5528"/>
    <w:rsid w:val="00516125"/>
    <w:rsid w:val="00525F3A"/>
    <w:rsid w:val="005302D3"/>
    <w:rsid w:val="00532962"/>
    <w:rsid w:val="00543082"/>
    <w:rsid w:val="00546BF7"/>
    <w:rsid w:val="005506DB"/>
    <w:rsid w:val="005705CA"/>
    <w:rsid w:val="00580012"/>
    <w:rsid w:val="005A4ADD"/>
    <w:rsid w:val="005B0EC2"/>
    <w:rsid w:val="005B1EB6"/>
    <w:rsid w:val="005B5E5A"/>
    <w:rsid w:val="005D52E3"/>
    <w:rsid w:val="005E047F"/>
    <w:rsid w:val="005E0EA9"/>
    <w:rsid w:val="005E4A90"/>
    <w:rsid w:val="005F26CA"/>
    <w:rsid w:val="00600F1B"/>
    <w:rsid w:val="006069DD"/>
    <w:rsid w:val="00625A8E"/>
    <w:rsid w:val="00626CC6"/>
    <w:rsid w:val="00640A33"/>
    <w:rsid w:val="006434F9"/>
    <w:rsid w:val="006610FB"/>
    <w:rsid w:val="00667BE1"/>
    <w:rsid w:val="00695B7B"/>
    <w:rsid w:val="006A13DE"/>
    <w:rsid w:val="006B05B2"/>
    <w:rsid w:val="006C5963"/>
    <w:rsid w:val="006D546F"/>
    <w:rsid w:val="006E2777"/>
    <w:rsid w:val="006E64D1"/>
    <w:rsid w:val="00703A0C"/>
    <w:rsid w:val="00710896"/>
    <w:rsid w:val="00731699"/>
    <w:rsid w:val="00736E61"/>
    <w:rsid w:val="00741680"/>
    <w:rsid w:val="007540FF"/>
    <w:rsid w:val="00772772"/>
    <w:rsid w:val="00773331"/>
    <w:rsid w:val="007932EF"/>
    <w:rsid w:val="007A0C2F"/>
    <w:rsid w:val="007A11BE"/>
    <w:rsid w:val="007B508B"/>
    <w:rsid w:val="007C116C"/>
    <w:rsid w:val="007C45B4"/>
    <w:rsid w:val="007E05B0"/>
    <w:rsid w:val="007E1F2F"/>
    <w:rsid w:val="00803197"/>
    <w:rsid w:val="00816030"/>
    <w:rsid w:val="00842DE2"/>
    <w:rsid w:val="008561B4"/>
    <w:rsid w:val="00874D22"/>
    <w:rsid w:val="008776DF"/>
    <w:rsid w:val="00877C5B"/>
    <w:rsid w:val="00880D05"/>
    <w:rsid w:val="008820A0"/>
    <w:rsid w:val="008A173B"/>
    <w:rsid w:val="008A2914"/>
    <w:rsid w:val="008B6E00"/>
    <w:rsid w:val="008D2433"/>
    <w:rsid w:val="008E1474"/>
    <w:rsid w:val="008E262B"/>
    <w:rsid w:val="008E4D8E"/>
    <w:rsid w:val="008F2710"/>
    <w:rsid w:val="00914FE7"/>
    <w:rsid w:val="00915104"/>
    <w:rsid w:val="00915573"/>
    <w:rsid w:val="009261A3"/>
    <w:rsid w:val="00932C55"/>
    <w:rsid w:val="0097444D"/>
    <w:rsid w:val="009856EF"/>
    <w:rsid w:val="00995229"/>
    <w:rsid w:val="009A476A"/>
    <w:rsid w:val="009B526B"/>
    <w:rsid w:val="009D066B"/>
    <w:rsid w:val="00A00F6A"/>
    <w:rsid w:val="00A10101"/>
    <w:rsid w:val="00A165DD"/>
    <w:rsid w:val="00A34BF0"/>
    <w:rsid w:val="00A508C2"/>
    <w:rsid w:val="00A5466A"/>
    <w:rsid w:val="00A610C0"/>
    <w:rsid w:val="00A67034"/>
    <w:rsid w:val="00A73C20"/>
    <w:rsid w:val="00A748C9"/>
    <w:rsid w:val="00A916E1"/>
    <w:rsid w:val="00AA1028"/>
    <w:rsid w:val="00AA7650"/>
    <w:rsid w:val="00AE2AA8"/>
    <w:rsid w:val="00AE7D04"/>
    <w:rsid w:val="00B100CF"/>
    <w:rsid w:val="00B10303"/>
    <w:rsid w:val="00B17A01"/>
    <w:rsid w:val="00B20D69"/>
    <w:rsid w:val="00B26166"/>
    <w:rsid w:val="00B3426C"/>
    <w:rsid w:val="00B3474F"/>
    <w:rsid w:val="00B5414C"/>
    <w:rsid w:val="00B55474"/>
    <w:rsid w:val="00B55C2C"/>
    <w:rsid w:val="00B866E8"/>
    <w:rsid w:val="00B93634"/>
    <w:rsid w:val="00B951E3"/>
    <w:rsid w:val="00BC5BFA"/>
    <w:rsid w:val="00BD388F"/>
    <w:rsid w:val="00BE0027"/>
    <w:rsid w:val="00BF176D"/>
    <w:rsid w:val="00C01961"/>
    <w:rsid w:val="00C12301"/>
    <w:rsid w:val="00C166B8"/>
    <w:rsid w:val="00C2027B"/>
    <w:rsid w:val="00C33AEF"/>
    <w:rsid w:val="00C428BF"/>
    <w:rsid w:val="00C46D8F"/>
    <w:rsid w:val="00C771BD"/>
    <w:rsid w:val="00C81C4C"/>
    <w:rsid w:val="00C856DF"/>
    <w:rsid w:val="00CA45AC"/>
    <w:rsid w:val="00CA5DE4"/>
    <w:rsid w:val="00CA7EE1"/>
    <w:rsid w:val="00CB7408"/>
    <w:rsid w:val="00CD0180"/>
    <w:rsid w:val="00CF09CE"/>
    <w:rsid w:val="00CF69BF"/>
    <w:rsid w:val="00CF6FE9"/>
    <w:rsid w:val="00D00BAE"/>
    <w:rsid w:val="00D041D7"/>
    <w:rsid w:val="00D1329E"/>
    <w:rsid w:val="00D20381"/>
    <w:rsid w:val="00D24FA0"/>
    <w:rsid w:val="00D273B0"/>
    <w:rsid w:val="00D31FD1"/>
    <w:rsid w:val="00D51A37"/>
    <w:rsid w:val="00D54F1D"/>
    <w:rsid w:val="00D6152A"/>
    <w:rsid w:val="00D659FB"/>
    <w:rsid w:val="00D86BBA"/>
    <w:rsid w:val="00D87868"/>
    <w:rsid w:val="00D924F0"/>
    <w:rsid w:val="00DC465E"/>
    <w:rsid w:val="00DD02FD"/>
    <w:rsid w:val="00DF53F0"/>
    <w:rsid w:val="00DF6E60"/>
    <w:rsid w:val="00E1077D"/>
    <w:rsid w:val="00E1163B"/>
    <w:rsid w:val="00E13EF1"/>
    <w:rsid w:val="00E346FB"/>
    <w:rsid w:val="00E50399"/>
    <w:rsid w:val="00E700C8"/>
    <w:rsid w:val="00E83C10"/>
    <w:rsid w:val="00E87E4A"/>
    <w:rsid w:val="00EA2966"/>
    <w:rsid w:val="00EB5360"/>
    <w:rsid w:val="00EC11EE"/>
    <w:rsid w:val="00F0417E"/>
    <w:rsid w:val="00F10A52"/>
    <w:rsid w:val="00F1711F"/>
    <w:rsid w:val="00F27843"/>
    <w:rsid w:val="00F362D6"/>
    <w:rsid w:val="00F51D6A"/>
    <w:rsid w:val="00F76D74"/>
    <w:rsid w:val="00FA5322"/>
    <w:rsid w:val="00FB540F"/>
    <w:rsid w:val="00FC38F8"/>
    <w:rsid w:val="00FC563C"/>
    <w:rsid w:val="00FD1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1E1AD3"/>
    <w:rPr>
      <w:rFonts w:ascii="Times New Roman" w:hAnsi="Times New Roman" w:cs="Times New Roman"/>
      <w:sz w:val="24"/>
      <w:lang w:val="fr-FR"/>
    </w:rPr>
  </w:style>
  <w:style w:type="character" w:customStyle="1" w:styleId="FooterChar">
    <w:name w:val="Footer Char"/>
    <w:basedOn w:val="DefaultParagraphFont"/>
    <w:link w:val="Footer"/>
    <w:uiPriority w:val="99"/>
    <w:rsid w:val="001E1AD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E1AD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E1AD3"/>
    <w:pPr>
      <w:spacing w:before="0"/>
      <w:jc w:val="right"/>
    </w:pPr>
    <w:rPr>
      <w:sz w:val="28"/>
    </w:rPr>
  </w:style>
  <w:style w:type="paragraph" w:customStyle="1" w:styleId="FooterSensitivity">
    <w:name w:val="Footer Sensitivity"/>
    <w:basedOn w:val="Normal"/>
    <w:rsid w:val="001E1AD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E1AD3"/>
    <w:pPr>
      <w:tabs>
        <w:tab w:val="center" w:pos="4535"/>
        <w:tab w:val="right" w:pos="9071"/>
      </w:tabs>
      <w:spacing w:before="0"/>
    </w:pPr>
  </w:style>
  <w:style w:type="paragraph" w:customStyle="1" w:styleId="HeaderLandscape">
    <w:name w:val="HeaderLandscape"/>
    <w:basedOn w:val="Normal"/>
    <w:rsid w:val="001E1AD3"/>
    <w:pPr>
      <w:tabs>
        <w:tab w:val="center" w:pos="7285"/>
        <w:tab w:val="right" w:pos="14003"/>
      </w:tabs>
      <w:spacing w:before="0"/>
    </w:pPr>
  </w:style>
  <w:style w:type="paragraph" w:styleId="Footer">
    <w:name w:val="footer"/>
    <w:basedOn w:val="Normal"/>
    <w:link w:val="FooterChar"/>
    <w:uiPriority w:val="99"/>
    <w:unhideWhenUsed/>
    <w:rsid w:val="001E1AD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E1AD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bestat.statbel.fgov.be/bestat/crosstable.xhtml?view=9ef9d888-ffdb-4826-9f5e-6a637259f1c9" TargetMode="External"/><Relationship Id="rId13" Type="http://schemas.openxmlformats.org/officeDocument/2006/relationships/hyperlink" Target="https://www.leforem.be/documents/citoyens/penuries-liste-metiers.pdf" TargetMode="External"/><Relationship Id="rId3" Type="http://schemas.openxmlformats.org/officeDocument/2006/relationships/hyperlink" Target="https://statbel.fgov.be/fr/themes/emploi-formation/marche-du-travail/emploi-et-chomage" TargetMode="External"/><Relationship Id="rId7" Type="http://schemas.openxmlformats.org/officeDocument/2006/relationships/hyperlink" Target="https://ec.europa.eu/eurostat/web/products-eurostat-news/w/ddn-20250912-1" TargetMode="External"/><Relationship Id="rId12" Type="http://schemas.openxmlformats.org/officeDocument/2006/relationships/hyperlink" Target="https://www.leforem.be/a-propos/reconversions-collectives.html" TargetMode="External"/><Relationship Id="rId2" Type="http://schemas.openxmlformats.org/officeDocument/2006/relationships/hyperlink" Target="https://ec.europa.eu/eurostat/web/products-euro-indicators/w/3-02102025-ap" TargetMode="External"/><Relationship Id="rId16" Type="http://schemas.openxmlformats.org/officeDocument/2006/relationships/hyperlink" Target="https://www.leforem.be/documents/citoyens/penuries-liste-metiers.pdf" TargetMode="External"/><Relationship Id="rId1" Type="http://schemas.openxmlformats.org/officeDocument/2006/relationships/hyperlink" Target="https://www.eurofer.eu/assets/publications/brochures-booklets-and-factsheets/european-steel-in-figures-2025/European-Steel-in-Figures-2025_23062025.pdf" TargetMode="External"/><Relationship Id="rId6" Type="http://schemas.openxmlformats.org/officeDocument/2006/relationships/hyperlink" Target="https://statbel.fgov.be/fr/themes/emploi-formation/marche-du-travail/emploi-et-chomage" TargetMode="External"/><Relationship Id="rId11" Type="http://schemas.openxmlformats.org/officeDocument/2006/relationships/hyperlink" Target="https://www.leforem.be/a-propos/reconversions-collectives.html" TargetMode="External"/><Relationship Id="rId5" Type="http://schemas.openxmlformats.org/officeDocument/2006/relationships/hyperlink" Target="https://statbel.fgov.be/fr/themes/emploi-formation/marche-du-travail/emploi-et-chomage" TargetMode="External"/><Relationship Id="rId15" Type="http://schemas.openxmlformats.org/officeDocument/2006/relationships/hyperlink" Target="https://www.leforem.be/documents/citoyens/penuries-liste-metiers.pdf" TargetMode="External"/><Relationship Id="rId10" Type="http://schemas.openxmlformats.org/officeDocument/2006/relationships/hyperlink" Target="https://www.leforem.be/a-propos/reconversions-collectives.html" TargetMode="External"/><Relationship Id="rId4" Type="http://schemas.openxmlformats.org/officeDocument/2006/relationships/hyperlink" Target="https://statbel.fgov.be/fr/themes/emploi-formation/marche-du-travail/emploi-et-chomage" TargetMode="External"/><Relationship Id="rId9" Type="http://schemas.openxmlformats.org/officeDocument/2006/relationships/hyperlink" Target="https://bestat.statbel.fgov.be/bestat/crosstable.xhtml?view=9ef9d888-ffdb-4826-9f5e-6a637259f1c9" TargetMode="External"/><Relationship Id="rId14" Type="http://schemas.openxmlformats.org/officeDocument/2006/relationships/hyperlink" Target="https://www.leforem.be/documents/citoyens/penuries-liste-metier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00B9E-E7C4-428B-BB24-B3921C9F1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13</Pages>
  <Words>3989</Words>
  <Characters>22738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2026-02-18T09:36:00Z</dcterms:created>
  <dcterms:modified xsi:type="dcterms:W3CDTF">2026-02-23T06:55:00Z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