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515CA2" w:rsidRDefault="00B70905" w:rsidP="00B7090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EC22DC7-4526-430F-BD01-A5084B1DFED4" style="width:455.25pt;height:342.75pt">
            <v:imagedata r:id="rId8" o:title=""/>
          </v:shape>
        </w:pict>
      </w:r>
    </w:p>
    <w:p w:rsidR="001A62D7" w:rsidRPr="00515CA2" w:rsidRDefault="001A62D7" w:rsidP="001A62D7">
      <w:pPr>
        <w:rPr>
          <w:noProof/>
        </w:rPr>
        <w:sectPr w:rsidR="001A62D7" w:rsidRPr="00515CA2" w:rsidSect="00B70905">
          <w:footerReference w:type="even" r:id="rId9"/>
          <w:footerReference w:type="default" r:id="rId10"/>
          <w:pgSz w:w="11907" w:h="16839"/>
          <w:pgMar w:top="1134" w:right="1417" w:bottom="1134" w:left="1417" w:header="709" w:footer="709" w:gutter="0"/>
          <w:pgNumType w:start="0"/>
          <w:cols w:space="720"/>
          <w:docGrid w:linePitch="360"/>
        </w:sectPr>
      </w:pPr>
    </w:p>
    <w:p w:rsidR="001A62D7" w:rsidRPr="00515CA2" w:rsidRDefault="001A62D7" w:rsidP="001A62D7">
      <w:pPr>
        <w:pStyle w:val="Exposdesmotifstitre"/>
        <w:rPr>
          <w:noProof/>
        </w:rPr>
      </w:pPr>
      <w:bookmarkStart w:id="0" w:name="_GoBack"/>
      <w:bookmarkEnd w:id="0"/>
      <w:r w:rsidRPr="00515CA2">
        <w:rPr>
          <w:noProof/>
        </w:rPr>
        <w:lastRenderedPageBreak/>
        <w:t>EXPUNERE DE MOTIVE</w:t>
      </w:r>
    </w:p>
    <w:p w:rsidR="001A62D7" w:rsidRPr="00515CA2" w:rsidRDefault="001A62D7" w:rsidP="001A62D7">
      <w:pPr>
        <w:pStyle w:val="ManualHeading1"/>
        <w:rPr>
          <w:noProof/>
        </w:rPr>
      </w:pPr>
      <w:r w:rsidRPr="00515CA2">
        <w:rPr>
          <w:noProof/>
        </w:rPr>
        <w:t>CONTEXTUL PROPUNERII</w:t>
      </w:r>
    </w:p>
    <w:p w:rsidR="001A62D7" w:rsidRPr="00515CA2" w:rsidRDefault="001A62D7" w:rsidP="00AE7D04">
      <w:pPr>
        <w:pStyle w:val="ManualNumPar1"/>
        <w:rPr>
          <w:noProof/>
        </w:rPr>
      </w:pPr>
      <w:r>
        <w:rPr>
          <w:noProof/>
        </w:rPr>
        <w:t>1.</w:t>
      </w:r>
      <w:r>
        <w:rPr>
          <w:noProof/>
        </w:rPr>
        <w:tab/>
      </w:r>
      <w:r w:rsidRPr="00515CA2">
        <w:rPr>
          <w:noProof/>
        </w:rPr>
        <w:t>Normele aplicabile contribuțiilor financiare din partea Fondului european de ajustare la globalizare pentru lucrătorii disponibilizați (FEG) sunt prevăzute în Regulamentul (UE) 2021/691 al Parlamentului European și al Consiliului din 28 aprilie 2021 privind Fondul european de ajustare la globalizare pentru lucrătorii disponibilizați (FEG) și de abrogare a Regulamentului (UE) nr. 1309/2013</w:t>
      </w:r>
      <w:r w:rsidRPr="00515CA2">
        <w:rPr>
          <w:rStyle w:val="FootnoteReference"/>
          <w:noProof/>
        </w:rPr>
        <w:footnoteReference w:id="1"/>
      </w:r>
      <w:r w:rsidRPr="00515CA2">
        <w:rPr>
          <w:noProof/>
        </w:rPr>
        <w:t>.</w:t>
      </w:r>
    </w:p>
    <w:p w:rsidR="001A62D7" w:rsidRPr="00515CA2" w:rsidRDefault="001A62D7" w:rsidP="00AE7D04">
      <w:pPr>
        <w:pStyle w:val="ManualNumPar1"/>
        <w:rPr>
          <w:noProof/>
        </w:rPr>
      </w:pPr>
      <w:r>
        <w:rPr>
          <w:noProof/>
        </w:rPr>
        <w:t>2.</w:t>
      </w:r>
      <w:r>
        <w:rPr>
          <w:noProof/>
        </w:rPr>
        <w:tab/>
      </w:r>
      <w:r w:rsidRPr="00515CA2">
        <w:rPr>
          <w:noProof/>
        </w:rPr>
        <w:t>La 13 noiembrie 2025, Belgia a depus o cerere EGF/</w:t>
      </w:r>
      <w:bookmarkStart w:id="1" w:name="EGF_Ref_Year"/>
      <w:r w:rsidRPr="00515CA2">
        <w:rPr>
          <w:noProof/>
        </w:rPr>
        <w:t>2025</w:t>
      </w:r>
      <w:bookmarkEnd w:id="1"/>
      <w:r w:rsidRPr="00515CA2">
        <w:rPr>
          <w:noProof/>
        </w:rPr>
        <w:t>/</w:t>
      </w:r>
      <w:bookmarkStart w:id="2" w:name="EGF_Ref_CaseNumber"/>
      <w:r w:rsidRPr="00515CA2">
        <w:rPr>
          <w:noProof/>
        </w:rPr>
        <w:t>008</w:t>
      </w:r>
      <w:bookmarkEnd w:id="2"/>
      <w:r w:rsidRPr="00515CA2">
        <w:rPr>
          <w:noProof/>
        </w:rPr>
        <w:t xml:space="preserve"> </w:t>
      </w:r>
      <w:bookmarkStart w:id="3" w:name="MS_Code"/>
      <w:r w:rsidRPr="00515CA2">
        <w:rPr>
          <w:noProof/>
        </w:rPr>
        <w:t>BE</w:t>
      </w:r>
      <w:bookmarkEnd w:id="3"/>
      <w:r w:rsidRPr="00515CA2">
        <w:rPr>
          <w:noProof/>
        </w:rPr>
        <w:t>/</w:t>
      </w:r>
      <w:bookmarkStart w:id="4" w:name="EGF_Ref_CaseName"/>
      <w:r w:rsidRPr="00515CA2">
        <w:rPr>
          <w:noProof/>
        </w:rPr>
        <w:t>Liberty</w:t>
      </w:r>
      <w:bookmarkEnd w:id="4"/>
      <w:r w:rsidRPr="00515CA2">
        <w:rPr>
          <w:noProof/>
        </w:rPr>
        <w:t xml:space="preserve"> pentru o contribuție financiară din partea FEG, ca urmare a disponibilizărilor de la sucursala belgiană a societății Liberty Galați (Liberty Galaţi Belgian Branch)</w:t>
      </w:r>
      <w:r w:rsidRPr="00515CA2">
        <w:rPr>
          <w:rStyle w:val="FootnoteReference"/>
          <w:noProof/>
        </w:rPr>
        <w:footnoteReference w:id="2"/>
      </w:r>
      <w:r w:rsidRPr="00515CA2">
        <w:rPr>
          <w:noProof/>
        </w:rPr>
        <w:t xml:space="preserve"> din </w:t>
      </w:r>
      <w:bookmarkStart w:id="5" w:name="MS_Name"/>
      <w:r w:rsidRPr="00515CA2">
        <w:rPr>
          <w:noProof/>
        </w:rPr>
        <w:t>Belgia</w:t>
      </w:r>
      <w:bookmarkEnd w:id="5"/>
      <w:r w:rsidRPr="00515CA2">
        <w:rPr>
          <w:noProof/>
        </w:rPr>
        <w:t>.</w:t>
      </w:r>
    </w:p>
    <w:p w:rsidR="001A62D7" w:rsidRPr="00515CA2" w:rsidRDefault="001A62D7" w:rsidP="00AE7D04">
      <w:pPr>
        <w:pStyle w:val="ManualNumPar1"/>
        <w:rPr>
          <w:noProof/>
        </w:rPr>
      </w:pPr>
      <w:r>
        <w:rPr>
          <w:noProof/>
        </w:rPr>
        <w:t>3.</w:t>
      </w:r>
      <w:r>
        <w:rPr>
          <w:noProof/>
        </w:rPr>
        <w:tab/>
      </w:r>
      <w:r w:rsidRPr="00515CA2">
        <w:rPr>
          <w:noProof/>
        </w:rPr>
        <w:t xml:space="preserve">După evaluarea acestei cereri, Comisia a concluzionat, în conformitate cu toate dispozițiile aplicabile ale Regulamentului (UE) 2021/691, că sunt îndeplinite condițiile pentru acordarea unei contribuții financiare din partea FEG. </w:t>
      </w:r>
    </w:p>
    <w:p w:rsidR="001A62D7" w:rsidRPr="00515CA2" w:rsidRDefault="001A62D7" w:rsidP="001A62D7">
      <w:pPr>
        <w:pStyle w:val="ManualHeading1"/>
        <w:rPr>
          <w:noProof/>
        </w:rPr>
      </w:pPr>
      <w:r w:rsidRPr="00515CA2">
        <w:rPr>
          <w:noProof/>
        </w:rPr>
        <w:t>REZUMATUL CERERII</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515CA2" w:rsidTr="001D5990">
        <w:tc>
          <w:tcPr>
            <w:tcW w:w="4908" w:type="dxa"/>
            <w:shd w:val="clear" w:color="auto" w:fill="auto"/>
          </w:tcPr>
          <w:p w:rsidR="001A62D7" w:rsidRPr="00515CA2" w:rsidRDefault="001A62D7" w:rsidP="001D5990">
            <w:pPr>
              <w:spacing w:before="60" w:after="60"/>
              <w:jc w:val="left"/>
              <w:rPr>
                <w:rFonts w:eastAsia="Calibri"/>
                <w:noProof/>
              </w:rPr>
            </w:pPr>
            <w:r w:rsidRPr="00515CA2">
              <w:rPr>
                <w:noProof/>
              </w:rPr>
              <w:t>Cererea FEG</w:t>
            </w:r>
          </w:p>
        </w:tc>
        <w:tc>
          <w:tcPr>
            <w:tcW w:w="4379" w:type="dxa"/>
            <w:shd w:val="clear" w:color="auto" w:fill="auto"/>
          </w:tcPr>
          <w:p w:rsidR="001A62D7" w:rsidRPr="00515CA2" w:rsidRDefault="001A62D7" w:rsidP="001D5990">
            <w:pPr>
              <w:spacing w:before="60" w:after="60"/>
              <w:ind w:rightChars="192" w:right="461"/>
              <w:jc w:val="left"/>
              <w:rPr>
                <w:rFonts w:eastAsia="Calibri"/>
                <w:noProof/>
              </w:rPr>
            </w:pPr>
            <w:r w:rsidRPr="00515CA2">
              <w:rPr>
                <w:noProof/>
              </w:rPr>
              <w:t>EGF/2025/008 BE/Liberty</w:t>
            </w:r>
          </w:p>
        </w:tc>
      </w:tr>
      <w:tr w:rsidR="001A62D7" w:rsidRPr="00515CA2" w:rsidTr="001D5990">
        <w:tc>
          <w:tcPr>
            <w:tcW w:w="4908" w:type="dxa"/>
            <w:shd w:val="clear" w:color="auto" w:fill="auto"/>
          </w:tcPr>
          <w:p w:rsidR="001A62D7" w:rsidRPr="00515CA2" w:rsidRDefault="001A62D7" w:rsidP="001D5990">
            <w:pPr>
              <w:spacing w:before="60" w:after="60"/>
              <w:jc w:val="left"/>
              <w:rPr>
                <w:rFonts w:eastAsia="Calibri"/>
                <w:noProof/>
              </w:rPr>
            </w:pPr>
            <w:r w:rsidRPr="00515CA2">
              <w:rPr>
                <w:noProof/>
              </w:rPr>
              <w:t>Stat membru</w:t>
            </w:r>
          </w:p>
        </w:tc>
        <w:tc>
          <w:tcPr>
            <w:tcW w:w="4379" w:type="dxa"/>
            <w:shd w:val="clear" w:color="auto" w:fill="auto"/>
          </w:tcPr>
          <w:p w:rsidR="001A62D7" w:rsidRPr="00515CA2" w:rsidRDefault="00516125" w:rsidP="001D5990">
            <w:pPr>
              <w:spacing w:before="60" w:after="60"/>
              <w:ind w:rightChars="192" w:right="461"/>
              <w:jc w:val="left"/>
              <w:rPr>
                <w:rFonts w:eastAsia="Calibri"/>
                <w:noProof/>
              </w:rPr>
            </w:pPr>
            <w:r w:rsidRPr="00515CA2">
              <w:rPr>
                <w:noProof/>
              </w:rPr>
              <w:t>Belgia</w:t>
            </w:r>
          </w:p>
        </w:tc>
      </w:tr>
      <w:tr w:rsidR="001A62D7" w:rsidRPr="00515CA2" w:rsidTr="001D5990">
        <w:tc>
          <w:tcPr>
            <w:tcW w:w="4908" w:type="dxa"/>
            <w:tcBorders>
              <w:bottom w:val="single" w:sz="4" w:space="0" w:color="auto"/>
            </w:tcBorders>
            <w:shd w:val="clear" w:color="auto" w:fill="auto"/>
          </w:tcPr>
          <w:p w:rsidR="001A62D7" w:rsidRPr="00515CA2" w:rsidRDefault="001A62D7" w:rsidP="001D5990">
            <w:pPr>
              <w:spacing w:before="60" w:after="60"/>
              <w:jc w:val="left"/>
              <w:rPr>
                <w:rFonts w:eastAsia="Calibri"/>
                <w:noProof/>
              </w:rPr>
            </w:pPr>
            <w:r w:rsidRPr="00515CA2">
              <w:rPr>
                <w:noProof/>
              </w:rPr>
              <w:t>Regiunea sau regiunile vizate (nivel NUTS</w:t>
            </w:r>
            <w:r w:rsidRPr="00515CA2">
              <w:rPr>
                <w:rStyle w:val="FootnoteReference"/>
                <w:noProof/>
              </w:rPr>
              <w:footnoteReference w:id="3"/>
            </w:r>
            <w:r w:rsidRPr="00515CA2">
              <w:rPr>
                <w:noProof/>
              </w:rPr>
              <w:t xml:space="preserve"> 2)</w:t>
            </w:r>
          </w:p>
        </w:tc>
        <w:tc>
          <w:tcPr>
            <w:tcW w:w="4379" w:type="dxa"/>
            <w:tcBorders>
              <w:bottom w:val="single" w:sz="4" w:space="0" w:color="auto"/>
            </w:tcBorders>
            <w:shd w:val="clear" w:color="auto" w:fill="auto"/>
          </w:tcPr>
          <w:p w:rsidR="001A62D7" w:rsidRPr="00515CA2" w:rsidRDefault="00516125" w:rsidP="00516125">
            <w:pPr>
              <w:spacing w:before="0" w:after="0"/>
              <w:ind w:rightChars="192" w:right="461"/>
              <w:jc w:val="left"/>
              <w:rPr>
                <w:noProof/>
                <w:szCs w:val="24"/>
              </w:rPr>
            </w:pPr>
            <w:bookmarkStart w:id="6" w:name="Region_1_Name"/>
            <w:r w:rsidRPr="00515CA2">
              <w:rPr>
                <w:noProof/>
              </w:rPr>
              <w:t>Province Liège</w:t>
            </w:r>
            <w:bookmarkEnd w:id="6"/>
            <w:r w:rsidRPr="00515CA2">
              <w:rPr>
                <w:noProof/>
              </w:rPr>
              <w:t xml:space="preserve"> (BE33)</w:t>
            </w:r>
          </w:p>
        </w:tc>
      </w:tr>
      <w:tr w:rsidR="001A62D7" w:rsidRPr="00515CA2" w:rsidTr="001D5990">
        <w:tc>
          <w:tcPr>
            <w:tcW w:w="4908" w:type="dxa"/>
            <w:tcBorders>
              <w:bottom w:val="dotted" w:sz="4" w:space="0" w:color="auto"/>
            </w:tcBorders>
            <w:shd w:val="clear" w:color="auto" w:fill="auto"/>
          </w:tcPr>
          <w:p w:rsidR="001A62D7" w:rsidRPr="00515CA2" w:rsidRDefault="001A62D7" w:rsidP="001D5990">
            <w:pPr>
              <w:spacing w:before="60" w:after="60"/>
              <w:jc w:val="left"/>
              <w:rPr>
                <w:rFonts w:eastAsia="Calibri"/>
                <w:noProof/>
              </w:rPr>
            </w:pPr>
            <w:r w:rsidRPr="00515CA2">
              <w:rPr>
                <w:noProof/>
              </w:rPr>
              <w:t>Data depunerii cererii</w:t>
            </w:r>
          </w:p>
        </w:tc>
        <w:tc>
          <w:tcPr>
            <w:tcW w:w="4379" w:type="dxa"/>
            <w:tcBorders>
              <w:bottom w:val="dotted" w:sz="4" w:space="0" w:color="auto"/>
            </w:tcBorders>
            <w:shd w:val="clear" w:color="auto" w:fill="auto"/>
          </w:tcPr>
          <w:p w:rsidR="001A62D7" w:rsidRPr="00515CA2" w:rsidRDefault="00516125" w:rsidP="001D5990">
            <w:pPr>
              <w:spacing w:before="60" w:after="60"/>
              <w:ind w:rightChars="192" w:right="461"/>
              <w:jc w:val="left"/>
              <w:rPr>
                <w:rFonts w:eastAsia="Calibri"/>
                <w:noProof/>
              </w:rPr>
            </w:pPr>
            <w:r w:rsidRPr="00515CA2">
              <w:rPr>
                <w:noProof/>
              </w:rPr>
              <w:t>13 noiembrie 2025</w:t>
            </w:r>
          </w:p>
        </w:tc>
      </w:tr>
      <w:tr w:rsidR="001A62D7" w:rsidRPr="00515CA2" w:rsidTr="001D5990">
        <w:tc>
          <w:tcPr>
            <w:tcW w:w="4908" w:type="dxa"/>
            <w:tcBorders>
              <w:top w:val="dotted" w:sz="4" w:space="0" w:color="auto"/>
              <w:bottom w:val="dotted" w:sz="4" w:space="0" w:color="auto"/>
            </w:tcBorders>
            <w:shd w:val="clear" w:color="auto" w:fill="auto"/>
          </w:tcPr>
          <w:p w:rsidR="001A62D7" w:rsidRPr="00515CA2" w:rsidRDefault="001A62D7" w:rsidP="001D5990">
            <w:pPr>
              <w:spacing w:before="60" w:after="60"/>
              <w:jc w:val="left"/>
              <w:rPr>
                <w:rFonts w:eastAsia="Calibri"/>
                <w:noProof/>
              </w:rPr>
            </w:pPr>
            <w:r w:rsidRPr="00515CA2">
              <w:rPr>
                <w:noProof/>
              </w:rPr>
              <w:t>Data confirmării primirii cererii</w:t>
            </w:r>
          </w:p>
        </w:tc>
        <w:tc>
          <w:tcPr>
            <w:tcW w:w="4379" w:type="dxa"/>
            <w:tcBorders>
              <w:top w:val="dotted" w:sz="4" w:space="0" w:color="auto"/>
              <w:bottom w:val="dotted" w:sz="4" w:space="0" w:color="auto"/>
            </w:tcBorders>
            <w:shd w:val="clear" w:color="auto" w:fill="auto"/>
          </w:tcPr>
          <w:p w:rsidR="001A62D7" w:rsidRPr="00515CA2" w:rsidRDefault="00E83C10" w:rsidP="001D5990">
            <w:pPr>
              <w:spacing w:before="60" w:after="60"/>
              <w:ind w:rightChars="192" w:right="461"/>
              <w:jc w:val="left"/>
              <w:rPr>
                <w:rFonts w:eastAsia="Calibri"/>
                <w:noProof/>
              </w:rPr>
            </w:pPr>
            <w:r w:rsidRPr="00515CA2">
              <w:rPr>
                <w:noProof/>
              </w:rPr>
              <w:t>27 noiembrie 2025</w:t>
            </w:r>
          </w:p>
        </w:tc>
      </w:tr>
      <w:tr w:rsidR="001A62D7" w:rsidRPr="00515CA2" w:rsidTr="001D5990">
        <w:tc>
          <w:tcPr>
            <w:tcW w:w="4908" w:type="dxa"/>
            <w:tcBorders>
              <w:top w:val="dotted" w:sz="4" w:space="0" w:color="auto"/>
              <w:bottom w:val="dotted" w:sz="4" w:space="0" w:color="auto"/>
            </w:tcBorders>
            <w:shd w:val="clear" w:color="auto" w:fill="auto"/>
          </w:tcPr>
          <w:p w:rsidR="001A62D7" w:rsidRPr="00515CA2" w:rsidRDefault="001A62D7" w:rsidP="001D5990">
            <w:pPr>
              <w:spacing w:before="60" w:after="60"/>
              <w:jc w:val="left"/>
              <w:rPr>
                <w:rFonts w:eastAsia="Calibri"/>
                <w:noProof/>
              </w:rPr>
            </w:pPr>
            <w:r w:rsidRPr="00515CA2">
              <w:rPr>
                <w:noProof/>
              </w:rPr>
              <w:t>Data cererii de informații suplimentare</w:t>
            </w:r>
          </w:p>
        </w:tc>
        <w:tc>
          <w:tcPr>
            <w:tcW w:w="4379" w:type="dxa"/>
            <w:tcBorders>
              <w:top w:val="dotted" w:sz="4" w:space="0" w:color="auto"/>
              <w:bottom w:val="dotted" w:sz="4" w:space="0" w:color="auto"/>
            </w:tcBorders>
            <w:shd w:val="clear" w:color="auto" w:fill="auto"/>
          </w:tcPr>
          <w:p w:rsidR="001A62D7" w:rsidRPr="00515CA2" w:rsidRDefault="00E83C10" w:rsidP="001D5990">
            <w:pPr>
              <w:spacing w:before="60" w:after="60"/>
              <w:ind w:rightChars="192" w:right="461"/>
              <w:jc w:val="left"/>
              <w:rPr>
                <w:rFonts w:eastAsia="Calibri"/>
                <w:noProof/>
              </w:rPr>
            </w:pPr>
            <w:r w:rsidRPr="00515CA2">
              <w:rPr>
                <w:noProof/>
              </w:rPr>
              <w:t>27 noiembrie 2025</w:t>
            </w:r>
          </w:p>
        </w:tc>
      </w:tr>
      <w:tr w:rsidR="001A62D7" w:rsidRPr="00515CA2" w:rsidTr="001D5990">
        <w:tc>
          <w:tcPr>
            <w:tcW w:w="4908" w:type="dxa"/>
            <w:tcBorders>
              <w:top w:val="dotted" w:sz="4" w:space="0" w:color="auto"/>
              <w:bottom w:val="dotted" w:sz="4" w:space="0" w:color="auto"/>
            </w:tcBorders>
            <w:shd w:val="clear" w:color="auto" w:fill="auto"/>
          </w:tcPr>
          <w:p w:rsidR="001A62D7" w:rsidRPr="00515CA2" w:rsidRDefault="001A62D7" w:rsidP="001D5990">
            <w:pPr>
              <w:spacing w:before="60" w:after="60"/>
              <w:jc w:val="left"/>
              <w:rPr>
                <w:rFonts w:eastAsia="Calibri"/>
                <w:noProof/>
              </w:rPr>
            </w:pPr>
            <w:r w:rsidRPr="00515CA2">
              <w:rPr>
                <w:noProof/>
              </w:rPr>
              <w:t>Termenul pentru furnizarea informațiilor suplimentare</w:t>
            </w:r>
          </w:p>
        </w:tc>
        <w:tc>
          <w:tcPr>
            <w:tcW w:w="4379" w:type="dxa"/>
            <w:tcBorders>
              <w:top w:val="dotted" w:sz="4" w:space="0" w:color="auto"/>
              <w:bottom w:val="dotted" w:sz="4" w:space="0" w:color="auto"/>
            </w:tcBorders>
            <w:shd w:val="clear" w:color="auto" w:fill="auto"/>
          </w:tcPr>
          <w:p w:rsidR="001A62D7" w:rsidRPr="00515CA2" w:rsidRDefault="00E83C10" w:rsidP="001D5990">
            <w:pPr>
              <w:spacing w:before="60" w:after="60"/>
              <w:ind w:rightChars="192" w:right="461"/>
              <w:jc w:val="left"/>
              <w:rPr>
                <w:rFonts w:eastAsia="Calibri"/>
                <w:noProof/>
              </w:rPr>
            </w:pPr>
            <w:r w:rsidRPr="00515CA2">
              <w:rPr>
                <w:noProof/>
              </w:rPr>
              <w:t>18 decembrie 2025</w:t>
            </w:r>
          </w:p>
        </w:tc>
      </w:tr>
      <w:tr w:rsidR="001A62D7" w:rsidRPr="00515CA2" w:rsidTr="001D5990">
        <w:tc>
          <w:tcPr>
            <w:tcW w:w="4908" w:type="dxa"/>
            <w:tcBorders>
              <w:top w:val="dotted" w:sz="4" w:space="0" w:color="auto"/>
            </w:tcBorders>
            <w:shd w:val="clear" w:color="auto" w:fill="auto"/>
          </w:tcPr>
          <w:p w:rsidR="001A62D7" w:rsidRPr="00515CA2" w:rsidRDefault="001A62D7" w:rsidP="001D5990">
            <w:pPr>
              <w:spacing w:before="60" w:after="60"/>
              <w:jc w:val="left"/>
              <w:rPr>
                <w:rFonts w:eastAsia="Calibri"/>
                <w:noProof/>
              </w:rPr>
            </w:pPr>
            <w:r w:rsidRPr="00515CA2">
              <w:rPr>
                <w:noProof/>
              </w:rPr>
              <w:t>Termenul pentru finalizarea evaluării</w:t>
            </w:r>
          </w:p>
        </w:tc>
        <w:tc>
          <w:tcPr>
            <w:tcW w:w="4379" w:type="dxa"/>
            <w:tcBorders>
              <w:top w:val="dotted" w:sz="4" w:space="0" w:color="auto"/>
            </w:tcBorders>
            <w:shd w:val="clear" w:color="auto" w:fill="auto"/>
          </w:tcPr>
          <w:p w:rsidR="001A62D7" w:rsidRPr="00515CA2" w:rsidRDefault="00E1077D" w:rsidP="001D5990">
            <w:pPr>
              <w:spacing w:before="60" w:after="60"/>
              <w:ind w:rightChars="192" w:right="461"/>
              <w:jc w:val="left"/>
              <w:rPr>
                <w:rFonts w:eastAsia="Calibri"/>
                <w:noProof/>
              </w:rPr>
            </w:pPr>
            <w:r w:rsidRPr="00515CA2">
              <w:rPr>
                <w:noProof/>
              </w:rPr>
              <w:t>10 martie 2026</w:t>
            </w:r>
          </w:p>
        </w:tc>
      </w:tr>
      <w:tr w:rsidR="001A62D7" w:rsidRPr="00515CA2" w:rsidTr="001D5990">
        <w:tc>
          <w:tcPr>
            <w:tcW w:w="4908" w:type="dxa"/>
            <w:shd w:val="clear" w:color="auto" w:fill="auto"/>
          </w:tcPr>
          <w:p w:rsidR="001A62D7" w:rsidRPr="00515CA2" w:rsidRDefault="001A62D7" w:rsidP="001D5990">
            <w:pPr>
              <w:spacing w:before="60" w:after="60"/>
              <w:jc w:val="left"/>
              <w:rPr>
                <w:rFonts w:eastAsia="Calibri"/>
                <w:noProof/>
              </w:rPr>
            </w:pPr>
            <w:r w:rsidRPr="00515CA2">
              <w:rPr>
                <w:noProof/>
              </w:rPr>
              <w:t>Criteriul de intervenție</w:t>
            </w:r>
          </w:p>
        </w:tc>
        <w:tc>
          <w:tcPr>
            <w:tcW w:w="4379" w:type="dxa"/>
            <w:shd w:val="clear" w:color="auto" w:fill="auto"/>
          </w:tcPr>
          <w:p w:rsidR="001A62D7" w:rsidRPr="00515CA2" w:rsidRDefault="001A62D7" w:rsidP="001D5990">
            <w:pPr>
              <w:spacing w:before="60" w:after="60"/>
              <w:ind w:rightChars="192" w:right="461"/>
              <w:jc w:val="left"/>
              <w:rPr>
                <w:rFonts w:eastAsia="Calibri"/>
                <w:noProof/>
              </w:rPr>
            </w:pPr>
            <w:r w:rsidRPr="00515CA2">
              <w:rPr>
                <w:noProof/>
              </w:rPr>
              <w:t>Articolul 4 alineatul (2) litera (a) din Regulamentul (UE) 2021/691</w:t>
            </w:r>
          </w:p>
        </w:tc>
      </w:tr>
      <w:tr w:rsidR="001A62D7" w:rsidRPr="00515CA2" w:rsidTr="001D5990">
        <w:tc>
          <w:tcPr>
            <w:tcW w:w="4908" w:type="dxa"/>
            <w:tcBorders>
              <w:top w:val="single" w:sz="4" w:space="0" w:color="auto"/>
              <w:bottom w:val="single" w:sz="4" w:space="0" w:color="auto"/>
              <w:right w:val="single" w:sz="4" w:space="0" w:color="auto"/>
            </w:tcBorders>
            <w:shd w:val="clear" w:color="auto" w:fill="auto"/>
          </w:tcPr>
          <w:p w:rsidR="001A62D7" w:rsidRPr="00515CA2" w:rsidRDefault="001A62D7" w:rsidP="001D5990">
            <w:pPr>
              <w:spacing w:before="60" w:after="60"/>
              <w:jc w:val="left"/>
              <w:rPr>
                <w:rFonts w:eastAsia="Calibri"/>
                <w:noProof/>
              </w:rPr>
            </w:pPr>
            <w:r w:rsidRPr="00515CA2">
              <w:rPr>
                <w:noProof/>
              </w:rPr>
              <w:br w:type="page"/>
              <w:t>Întreprindere</w:t>
            </w:r>
          </w:p>
        </w:tc>
        <w:tc>
          <w:tcPr>
            <w:tcW w:w="4379" w:type="dxa"/>
            <w:tcBorders>
              <w:top w:val="single" w:sz="4" w:space="0" w:color="auto"/>
              <w:left w:val="single" w:sz="4" w:space="0" w:color="auto"/>
              <w:bottom w:val="single" w:sz="4" w:space="0" w:color="auto"/>
            </w:tcBorders>
            <w:shd w:val="clear" w:color="auto" w:fill="auto"/>
          </w:tcPr>
          <w:p w:rsidR="001A62D7" w:rsidRPr="00515CA2" w:rsidRDefault="00C428BF" w:rsidP="001D5990">
            <w:pPr>
              <w:spacing w:before="60" w:after="60"/>
              <w:ind w:rightChars="192" w:right="461"/>
              <w:jc w:val="left"/>
              <w:rPr>
                <w:noProof/>
                <w:szCs w:val="24"/>
              </w:rPr>
            </w:pPr>
            <w:bookmarkStart w:id="7" w:name="_Hlk219384889"/>
            <w:r w:rsidRPr="00515CA2">
              <w:rPr>
                <w:noProof/>
              </w:rPr>
              <w:t>Liberty Galaţi Belgian Branch</w:t>
            </w:r>
            <w:bookmarkEnd w:id="7"/>
          </w:p>
        </w:tc>
      </w:tr>
      <w:tr w:rsidR="001A62D7" w:rsidRPr="00515CA2" w:rsidTr="001D5990">
        <w:tc>
          <w:tcPr>
            <w:tcW w:w="4908" w:type="dxa"/>
            <w:shd w:val="clear" w:color="auto" w:fill="auto"/>
          </w:tcPr>
          <w:p w:rsidR="001A62D7" w:rsidRPr="00515CA2" w:rsidRDefault="001A62D7" w:rsidP="001D5990">
            <w:pPr>
              <w:spacing w:before="60" w:after="60"/>
              <w:jc w:val="left"/>
              <w:rPr>
                <w:rFonts w:eastAsia="Calibri"/>
                <w:noProof/>
              </w:rPr>
            </w:pPr>
            <w:r w:rsidRPr="00515CA2">
              <w:rPr>
                <w:noProof/>
              </w:rPr>
              <w:t>Sectorul (sectoarele) de activitate economică</w:t>
            </w:r>
          </w:p>
          <w:p w:rsidR="001A62D7" w:rsidRPr="00515CA2" w:rsidRDefault="001A62D7" w:rsidP="001D5990">
            <w:pPr>
              <w:spacing w:before="60" w:after="60"/>
              <w:jc w:val="left"/>
              <w:rPr>
                <w:rFonts w:eastAsia="Calibri"/>
                <w:noProof/>
              </w:rPr>
            </w:pPr>
            <w:r w:rsidRPr="00515CA2">
              <w:rPr>
                <w:noProof/>
              </w:rPr>
              <w:t>(Diviziunea NACE Rev. 2)</w:t>
            </w:r>
            <w:r w:rsidRPr="00515CA2">
              <w:rPr>
                <w:rStyle w:val="FootnoteReference"/>
                <w:noProof/>
                <w:szCs w:val="24"/>
              </w:rPr>
              <w:footnoteReference w:id="4"/>
            </w:r>
          </w:p>
        </w:tc>
        <w:tc>
          <w:tcPr>
            <w:tcW w:w="4379" w:type="dxa"/>
            <w:shd w:val="clear" w:color="auto" w:fill="auto"/>
          </w:tcPr>
          <w:p w:rsidR="001A62D7" w:rsidRPr="00515CA2" w:rsidRDefault="001A62D7" w:rsidP="00516125">
            <w:pPr>
              <w:spacing w:before="60" w:after="60"/>
              <w:ind w:rightChars="192" w:right="461"/>
              <w:jc w:val="left"/>
              <w:rPr>
                <w:rFonts w:eastAsia="Calibri"/>
                <w:noProof/>
              </w:rPr>
            </w:pPr>
            <w:r w:rsidRPr="00515CA2">
              <w:rPr>
                <w:noProof/>
              </w:rPr>
              <w:t>Diviziunea 24 (Prelucrarea metalelor de bază)</w:t>
            </w:r>
          </w:p>
        </w:tc>
      </w:tr>
      <w:tr w:rsidR="001A62D7" w:rsidRPr="00515CA2" w:rsidTr="001D5990">
        <w:tc>
          <w:tcPr>
            <w:tcW w:w="4908" w:type="dxa"/>
            <w:tcBorders>
              <w:bottom w:val="single" w:sz="4" w:space="0" w:color="auto"/>
            </w:tcBorders>
            <w:shd w:val="clear" w:color="auto" w:fill="auto"/>
          </w:tcPr>
          <w:p w:rsidR="001A62D7" w:rsidRPr="00515CA2" w:rsidRDefault="001A62D7" w:rsidP="001D5990">
            <w:pPr>
              <w:spacing w:before="60" w:after="60"/>
              <w:jc w:val="left"/>
              <w:rPr>
                <w:rFonts w:eastAsia="Calibri"/>
                <w:noProof/>
              </w:rPr>
            </w:pPr>
            <w:r w:rsidRPr="00515CA2">
              <w:rPr>
                <w:noProof/>
              </w:rPr>
              <w:t>Perioada de referință (patru luni):</w:t>
            </w:r>
          </w:p>
        </w:tc>
        <w:tc>
          <w:tcPr>
            <w:tcW w:w="4379" w:type="dxa"/>
            <w:tcBorders>
              <w:bottom w:val="single" w:sz="4" w:space="0" w:color="auto"/>
            </w:tcBorders>
            <w:shd w:val="clear" w:color="auto" w:fill="auto"/>
          </w:tcPr>
          <w:p w:rsidR="001A62D7" w:rsidRPr="00515CA2" w:rsidRDefault="00E1077D" w:rsidP="001D5990">
            <w:pPr>
              <w:spacing w:before="60" w:after="60"/>
              <w:ind w:rightChars="192" w:right="461"/>
              <w:jc w:val="left"/>
              <w:rPr>
                <w:rFonts w:eastAsia="Calibri"/>
                <w:noProof/>
              </w:rPr>
            </w:pPr>
            <w:r w:rsidRPr="00515CA2">
              <w:rPr>
                <w:noProof/>
              </w:rPr>
              <w:t>24 aprilie 2025-24 august 2025</w:t>
            </w:r>
          </w:p>
        </w:tc>
      </w:tr>
      <w:tr w:rsidR="001A62D7" w:rsidRPr="00515CA2" w:rsidTr="001D5990">
        <w:tc>
          <w:tcPr>
            <w:tcW w:w="4908" w:type="dxa"/>
            <w:tcBorders>
              <w:bottom w:val="dotted" w:sz="4" w:space="0" w:color="auto"/>
            </w:tcBorders>
            <w:shd w:val="clear" w:color="auto" w:fill="auto"/>
          </w:tcPr>
          <w:p w:rsidR="001A62D7" w:rsidRPr="00515CA2" w:rsidRDefault="001A62D7" w:rsidP="001D5990">
            <w:pPr>
              <w:spacing w:before="60" w:after="60"/>
              <w:jc w:val="left"/>
              <w:rPr>
                <w:rFonts w:eastAsia="Calibri"/>
                <w:noProof/>
                <w:highlight w:val="magenta"/>
              </w:rPr>
            </w:pPr>
            <w:r w:rsidRPr="00515CA2">
              <w:rPr>
                <w:noProof/>
              </w:rPr>
              <w:t>Numărul de disponibilizări în perioada de referință (</w:t>
            </w:r>
            <w:r w:rsidRPr="00515CA2">
              <w:rPr>
                <w:i/>
                <w:noProof/>
              </w:rPr>
              <w:t>a</w:t>
            </w:r>
            <w:r w:rsidRPr="00515CA2">
              <w:rPr>
                <w:noProof/>
              </w:rPr>
              <w:t>)</w:t>
            </w:r>
          </w:p>
        </w:tc>
        <w:tc>
          <w:tcPr>
            <w:tcW w:w="4379" w:type="dxa"/>
            <w:tcBorders>
              <w:bottom w:val="dotted" w:sz="4" w:space="0" w:color="auto"/>
            </w:tcBorders>
            <w:shd w:val="clear" w:color="auto" w:fill="auto"/>
          </w:tcPr>
          <w:p w:rsidR="001A62D7" w:rsidRPr="00515CA2" w:rsidRDefault="00E1077D" w:rsidP="001D5990">
            <w:pPr>
              <w:spacing w:before="60" w:after="60"/>
              <w:ind w:rightChars="192" w:right="461"/>
              <w:jc w:val="left"/>
              <w:rPr>
                <w:rFonts w:eastAsia="Calibri"/>
                <w:noProof/>
                <w:highlight w:val="magenta"/>
              </w:rPr>
            </w:pPr>
            <w:r w:rsidRPr="00515CA2">
              <w:rPr>
                <w:noProof/>
              </w:rPr>
              <w:t>507</w:t>
            </w:r>
          </w:p>
        </w:tc>
      </w:tr>
      <w:tr w:rsidR="001A62D7" w:rsidRPr="00515CA2" w:rsidTr="001D5990">
        <w:tc>
          <w:tcPr>
            <w:tcW w:w="4908" w:type="dxa"/>
            <w:tcBorders>
              <w:bottom w:val="dotted" w:sz="4" w:space="0" w:color="auto"/>
            </w:tcBorders>
            <w:shd w:val="clear" w:color="auto" w:fill="auto"/>
          </w:tcPr>
          <w:p w:rsidR="001A62D7" w:rsidRPr="00515CA2" w:rsidRDefault="001A62D7" w:rsidP="001D5990">
            <w:pPr>
              <w:spacing w:before="60" w:after="60"/>
              <w:jc w:val="left"/>
              <w:rPr>
                <w:rFonts w:eastAsia="Calibri"/>
                <w:noProof/>
              </w:rPr>
            </w:pPr>
            <w:r w:rsidRPr="00515CA2">
              <w:rPr>
                <w:noProof/>
              </w:rPr>
              <w:t>Numărul total de beneficiari eligibili</w:t>
            </w:r>
          </w:p>
        </w:tc>
        <w:tc>
          <w:tcPr>
            <w:tcW w:w="4379" w:type="dxa"/>
            <w:tcBorders>
              <w:bottom w:val="dotted" w:sz="4" w:space="0" w:color="auto"/>
            </w:tcBorders>
            <w:shd w:val="clear" w:color="auto" w:fill="auto"/>
          </w:tcPr>
          <w:p w:rsidR="001A62D7" w:rsidRPr="00515CA2" w:rsidRDefault="00E1077D" w:rsidP="001D5990">
            <w:pPr>
              <w:spacing w:before="60" w:after="60"/>
              <w:ind w:rightChars="192" w:right="461"/>
              <w:jc w:val="left"/>
              <w:rPr>
                <w:rFonts w:eastAsia="Calibri"/>
                <w:noProof/>
              </w:rPr>
            </w:pPr>
            <w:r w:rsidRPr="00515CA2">
              <w:rPr>
                <w:noProof/>
              </w:rPr>
              <w:t>507</w:t>
            </w:r>
          </w:p>
        </w:tc>
      </w:tr>
      <w:tr w:rsidR="001A62D7" w:rsidRPr="00515CA2" w:rsidTr="001D5990">
        <w:tc>
          <w:tcPr>
            <w:tcW w:w="4908" w:type="dxa"/>
            <w:tcBorders>
              <w:top w:val="dotted" w:sz="4" w:space="0" w:color="auto"/>
              <w:bottom w:val="dotted" w:sz="4" w:space="0" w:color="auto"/>
            </w:tcBorders>
            <w:shd w:val="clear" w:color="auto" w:fill="auto"/>
          </w:tcPr>
          <w:p w:rsidR="001A62D7" w:rsidRPr="00515CA2" w:rsidRDefault="001A62D7" w:rsidP="001D5990">
            <w:pPr>
              <w:spacing w:before="60" w:after="60"/>
              <w:jc w:val="left"/>
              <w:rPr>
                <w:rFonts w:eastAsia="Calibri"/>
                <w:noProof/>
              </w:rPr>
            </w:pPr>
            <w:r w:rsidRPr="00515CA2">
              <w:rPr>
                <w:noProof/>
              </w:rPr>
              <w:lastRenderedPageBreak/>
              <w:t>Numărul total de beneficiari vizați</w:t>
            </w:r>
          </w:p>
        </w:tc>
        <w:tc>
          <w:tcPr>
            <w:tcW w:w="4379" w:type="dxa"/>
            <w:tcBorders>
              <w:top w:val="dotted" w:sz="4" w:space="0" w:color="auto"/>
              <w:bottom w:val="dotted" w:sz="4" w:space="0" w:color="auto"/>
            </w:tcBorders>
            <w:shd w:val="clear" w:color="auto" w:fill="auto"/>
          </w:tcPr>
          <w:p w:rsidR="001A62D7" w:rsidRPr="00515CA2" w:rsidRDefault="00E1077D" w:rsidP="001D5990">
            <w:pPr>
              <w:spacing w:before="60" w:after="60"/>
              <w:ind w:rightChars="192" w:right="461"/>
              <w:jc w:val="left"/>
              <w:rPr>
                <w:rFonts w:eastAsia="Calibri"/>
                <w:noProof/>
              </w:rPr>
            </w:pPr>
            <w:r w:rsidRPr="00515CA2">
              <w:rPr>
                <w:noProof/>
              </w:rPr>
              <w:t>507</w:t>
            </w:r>
          </w:p>
        </w:tc>
      </w:tr>
      <w:tr w:rsidR="001A62D7" w:rsidRPr="00515CA2" w:rsidTr="001D5990">
        <w:tc>
          <w:tcPr>
            <w:tcW w:w="4908" w:type="dxa"/>
            <w:tcBorders>
              <w:bottom w:val="dotted" w:sz="4" w:space="0" w:color="auto"/>
            </w:tcBorders>
            <w:shd w:val="clear" w:color="auto" w:fill="auto"/>
            <w:vAlign w:val="center"/>
          </w:tcPr>
          <w:p w:rsidR="001A62D7" w:rsidRPr="00515CA2" w:rsidRDefault="001A62D7" w:rsidP="001D5990">
            <w:pPr>
              <w:spacing w:before="0" w:after="0"/>
              <w:jc w:val="left"/>
              <w:rPr>
                <w:noProof/>
              </w:rPr>
            </w:pPr>
            <w:r w:rsidRPr="00515CA2">
              <w:rPr>
                <w:noProof/>
              </w:rPr>
              <w:t>Bugetul pentru servicii personalizate (EUR)</w:t>
            </w:r>
          </w:p>
        </w:tc>
        <w:tc>
          <w:tcPr>
            <w:tcW w:w="4379" w:type="dxa"/>
            <w:tcBorders>
              <w:bottom w:val="dotted" w:sz="4" w:space="0" w:color="auto"/>
            </w:tcBorders>
            <w:shd w:val="clear" w:color="auto" w:fill="auto"/>
            <w:vAlign w:val="center"/>
          </w:tcPr>
          <w:p w:rsidR="001A62D7" w:rsidRPr="00515CA2" w:rsidRDefault="00E1077D" w:rsidP="001D5990">
            <w:pPr>
              <w:spacing w:before="0" w:after="0"/>
              <w:ind w:rightChars="192" w:right="461"/>
              <w:jc w:val="left"/>
              <w:rPr>
                <w:noProof/>
              </w:rPr>
            </w:pPr>
            <w:r w:rsidRPr="00515CA2">
              <w:rPr>
                <w:noProof/>
              </w:rPr>
              <w:t>2 358 922</w:t>
            </w:r>
          </w:p>
        </w:tc>
      </w:tr>
      <w:tr w:rsidR="001A62D7" w:rsidRPr="00515CA2" w:rsidTr="001D5990">
        <w:tc>
          <w:tcPr>
            <w:tcW w:w="4908" w:type="dxa"/>
            <w:tcBorders>
              <w:top w:val="dotted" w:sz="4" w:space="0" w:color="auto"/>
              <w:bottom w:val="dotted" w:sz="4" w:space="0" w:color="auto"/>
            </w:tcBorders>
            <w:shd w:val="clear" w:color="auto" w:fill="auto"/>
            <w:vAlign w:val="center"/>
          </w:tcPr>
          <w:p w:rsidR="001A62D7" w:rsidRPr="00515CA2" w:rsidRDefault="001A62D7" w:rsidP="001D5990">
            <w:pPr>
              <w:spacing w:before="0" w:after="0"/>
              <w:jc w:val="left"/>
              <w:rPr>
                <w:noProof/>
              </w:rPr>
            </w:pPr>
            <w:r w:rsidRPr="00515CA2">
              <w:rPr>
                <w:noProof/>
              </w:rPr>
              <w:t>Bugetul pentru implementarea FEG</w:t>
            </w:r>
            <w:r w:rsidRPr="00515CA2">
              <w:rPr>
                <w:rStyle w:val="FootnoteReference"/>
                <w:noProof/>
              </w:rPr>
              <w:footnoteReference w:id="5"/>
            </w:r>
            <w:r w:rsidRPr="00515CA2">
              <w:rPr>
                <w:noProof/>
              </w:rPr>
              <w:t xml:space="preserve"> (EUR)</w:t>
            </w:r>
          </w:p>
        </w:tc>
        <w:tc>
          <w:tcPr>
            <w:tcW w:w="4379" w:type="dxa"/>
            <w:tcBorders>
              <w:top w:val="dotted" w:sz="4" w:space="0" w:color="auto"/>
              <w:bottom w:val="dotted" w:sz="4" w:space="0" w:color="auto"/>
            </w:tcBorders>
            <w:shd w:val="clear" w:color="auto" w:fill="auto"/>
            <w:vAlign w:val="center"/>
          </w:tcPr>
          <w:p w:rsidR="001A62D7" w:rsidRPr="00515CA2" w:rsidRDefault="00E1077D" w:rsidP="001D5990">
            <w:pPr>
              <w:spacing w:before="0" w:after="0"/>
              <w:ind w:rightChars="192" w:right="461"/>
              <w:jc w:val="left"/>
              <w:rPr>
                <w:noProof/>
              </w:rPr>
            </w:pPr>
            <w:r w:rsidRPr="00515CA2">
              <w:rPr>
                <w:noProof/>
              </w:rPr>
              <w:t>33 866</w:t>
            </w:r>
          </w:p>
        </w:tc>
      </w:tr>
      <w:tr w:rsidR="001A62D7" w:rsidRPr="00515CA2" w:rsidTr="001D5990">
        <w:tc>
          <w:tcPr>
            <w:tcW w:w="4908" w:type="dxa"/>
            <w:tcBorders>
              <w:top w:val="dotted" w:sz="4" w:space="0" w:color="auto"/>
              <w:bottom w:val="dotted" w:sz="4" w:space="0" w:color="auto"/>
            </w:tcBorders>
            <w:shd w:val="clear" w:color="auto" w:fill="auto"/>
            <w:vAlign w:val="center"/>
          </w:tcPr>
          <w:p w:rsidR="001A62D7" w:rsidRPr="00515CA2" w:rsidRDefault="001A62D7" w:rsidP="001D5990">
            <w:pPr>
              <w:spacing w:before="0" w:after="0"/>
              <w:jc w:val="left"/>
              <w:rPr>
                <w:noProof/>
              </w:rPr>
            </w:pPr>
            <w:r w:rsidRPr="00515CA2">
              <w:rPr>
                <w:noProof/>
              </w:rPr>
              <w:t>Bugetul total (EUR)</w:t>
            </w:r>
          </w:p>
        </w:tc>
        <w:tc>
          <w:tcPr>
            <w:tcW w:w="4379" w:type="dxa"/>
            <w:tcBorders>
              <w:top w:val="dotted" w:sz="4" w:space="0" w:color="auto"/>
              <w:bottom w:val="dotted" w:sz="4" w:space="0" w:color="auto"/>
            </w:tcBorders>
            <w:shd w:val="clear" w:color="auto" w:fill="auto"/>
            <w:vAlign w:val="center"/>
          </w:tcPr>
          <w:p w:rsidR="001A62D7" w:rsidRPr="00515CA2" w:rsidRDefault="00E1077D" w:rsidP="001D5990">
            <w:pPr>
              <w:spacing w:before="0" w:after="0"/>
              <w:ind w:rightChars="192" w:right="461"/>
              <w:jc w:val="left"/>
              <w:rPr>
                <w:noProof/>
              </w:rPr>
            </w:pPr>
            <w:r w:rsidRPr="00515CA2">
              <w:rPr>
                <w:noProof/>
              </w:rPr>
              <w:t>2 392 788</w:t>
            </w:r>
          </w:p>
        </w:tc>
      </w:tr>
      <w:tr w:rsidR="001A62D7" w:rsidRPr="00515CA2" w:rsidTr="001D5990">
        <w:tc>
          <w:tcPr>
            <w:tcW w:w="4908" w:type="dxa"/>
            <w:tcBorders>
              <w:top w:val="dotted" w:sz="4" w:space="0" w:color="auto"/>
            </w:tcBorders>
            <w:shd w:val="clear" w:color="auto" w:fill="auto"/>
            <w:vAlign w:val="center"/>
          </w:tcPr>
          <w:p w:rsidR="001A62D7" w:rsidRPr="00515CA2" w:rsidRDefault="001A62D7" w:rsidP="001D5990">
            <w:pPr>
              <w:spacing w:before="0" w:after="0"/>
              <w:jc w:val="left"/>
              <w:rPr>
                <w:noProof/>
              </w:rPr>
            </w:pPr>
            <w:r w:rsidRPr="00515CA2">
              <w:rPr>
                <w:noProof/>
              </w:rPr>
              <w:t>Contribuția FEG (85 %) (EUR)</w:t>
            </w:r>
          </w:p>
        </w:tc>
        <w:tc>
          <w:tcPr>
            <w:tcW w:w="4379" w:type="dxa"/>
            <w:tcBorders>
              <w:top w:val="dotted" w:sz="4" w:space="0" w:color="auto"/>
            </w:tcBorders>
            <w:shd w:val="clear" w:color="auto" w:fill="auto"/>
            <w:vAlign w:val="center"/>
          </w:tcPr>
          <w:p w:rsidR="001A62D7" w:rsidRPr="00515CA2" w:rsidRDefault="00C856DF" w:rsidP="001D5990">
            <w:pPr>
              <w:spacing w:before="0" w:after="0"/>
              <w:ind w:rightChars="192" w:right="461"/>
              <w:jc w:val="left"/>
              <w:rPr>
                <w:noProof/>
              </w:rPr>
            </w:pPr>
            <w:r w:rsidRPr="00515CA2">
              <w:rPr>
                <w:noProof/>
              </w:rPr>
              <w:t>2 033 869</w:t>
            </w:r>
          </w:p>
        </w:tc>
      </w:tr>
    </w:tbl>
    <w:p w:rsidR="001A62D7" w:rsidRPr="00515CA2" w:rsidRDefault="001A62D7" w:rsidP="001A62D7">
      <w:pPr>
        <w:pStyle w:val="ManualHeading1"/>
        <w:rPr>
          <w:noProof/>
        </w:rPr>
      </w:pPr>
      <w:r w:rsidRPr="00515CA2">
        <w:rPr>
          <w:noProof/>
        </w:rPr>
        <w:t>EVALUAREA CERERII</w:t>
      </w:r>
    </w:p>
    <w:p w:rsidR="001A62D7" w:rsidRPr="00515CA2" w:rsidRDefault="001A62D7" w:rsidP="001A62D7">
      <w:pPr>
        <w:pStyle w:val="ManualHeading2"/>
        <w:rPr>
          <w:noProof/>
        </w:rPr>
      </w:pPr>
      <w:r w:rsidRPr="00515CA2">
        <w:rPr>
          <w:noProof/>
        </w:rPr>
        <w:t>Procedură</w:t>
      </w:r>
    </w:p>
    <w:p w:rsidR="001A62D7" w:rsidRPr="00515CA2" w:rsidRDefault="0013165F" w:rsidP="00AE7D04">
      <w:pPr>
        <w:pStyle w:val="ManualNumPar1"/>
        <w:rPr>
          <w:noProof/>
        </w:rPr>
      </w:pPr>
      <w:r>
        <w:rPr>
          <w:noProof/>
        </w:rPr>
        <w:t>4.</w:t>
      </w:r>
      <w:r>
        <w:rPr>
          <w:noProof/>
        </w:rPr>
        <w:tab/>
      </w:r>
      <w:r w:rsidRPr="00515CA2">
        <w:rPr>
          <w:noProof/>
        </w:rPr>
        <w:t xml:space="preserve">La 13 noiembrie 2025, Belgia a depus cererea EGF/2025/008 BE/Liberty în termen de 12 săptămâni de la data la care au fost îndeplinite criteriile de intervenție prevăzute la articolul 4 alineatul (2) litera (a) din Regulamentul (UE) 2021/691. Comisia a confirmat primirea cererii și a solicitat Belgiei informații suplimentare la 27 noiembrie 2025. Aceste informații suplimentare au fost furnizate în termen de 15 zile lucrătoare de la data cererii. Perioada de 50 de zile lucrătoare de la data primirii cererii complete, în cursul căreia Comisia trebuie să finalizeze evaluarea măsurii în care cererea îndeplinește condițiile de acordare a unei contribuții financiare, expiră la 10 martie 2026. </w:t>
      </w:r>
    </w:p>
    <w:p w:rsidR="001A62D7" w:rsidRPr="00515CA2" w:rsidRDefault="001A62D7" w:rsidP="001A62D7">
      <w:pPr>
        <w:pStyle w:val="ManualHeading2"/>
        <w:rPr>
          <w:noProof/>
        </w:rPr>
      </w:pPr>
      <w:r w:rsidRPr="00515CA2">
        <w:rPr>
          <w:noProof/>
        </w:rPr>
        <w:t>Eligibilitatea cererii</w:t>
      </w:r>
    </w:p>
    <w:p w:rsidR="001A62D7" w:rsidRPr="00515CA2" w:rsidRDefault="001A62D7" w:rsidP="001A62D7">
      <w:pPr>
        <w:pStyle w:val="ManualHeading3"/>
        <w:rPr>
          <w:noProof/>
        </w:rPr>
      </w:pPr>
      <w:r w:rsidRPr="00515CA2">
        <w:rPr>
          <w:noProof/>
        </w:rPr>
        <w:t>Întreprinderile și beneficiarii vizați</w:t>
      </w:r>
    </w:p>
    <w:p w:rsidR="001A62D7" w:rsidRPr="00515CA2" w:rsidRDefault="001A62D7" w:rsidP="00AE7D04">
      <w:pPr>
        <w:pStyle w:val="ManualNumPar1"/>
        <w:rPr>
          <w:noProof/>
          <w:szCs w:val="24"/>
        </w:rPr>
      </w:pPr>
      <w:r>
        <w:rPr>
          <w:noProof/>
        </w:rPr>
        <w:t>5.</w:t>
      </w:r>
      <w:r>
        <w:rPr>
          <w:noProof/>
        </w:rPr>
        <w:tab/>
      </w:r>
      <w:r w:rsidRPr="00515CA2">
        <w:rPr>
          <w:noProof/>
        </w:rPr>
        <w:t>Cererea se referă la 507 lucrători disponibilizați, a căror activitate în cadrul Liberty Galaţi Belgian Branch (Liberty) a încetat. Întreprinderea funcționează în sectorul economic încadrat la diviziunea 24 a NACE Rev. 2 (Prelucrarea metalelor de bază). Concedierile efectuate de Liberty au avut loc în principal în regiunea de nivel NUTS 2 Province Liège (BE33).</w:t>
      </w:r>
    </w:p>
    <w:p w:rsidR="001A62D7" w:rsidRPr="00515CA2" w:rsidRDefault="001A62D7" w:rsidP="001A62D7">
      <w:pPr>
        <w:pStyle w:val="ManualHeading3"/>
        <w:rPr>
          <w:noProof/>
        </w:rPr>
      </w:pPr>
      <w:r w:rsidRPr="00515CA2">
        <w:rPr>
          <w:noProof/>
        </w:rPr>
        <w:t>Criteriile de intervenție</w:t>
      </w:r>
    </w:p>
    <w:p w:rsidR="001A62D7" w:rsidRPr="00515CA2" w:rsidRDefault="0013165F" w:rsidP="001A62D7">
      <w:pPr>
        <w:pStyle w:val="ManualNumPar1"/>
        <w:rPr>
          <w:noProof/>
        </w:rPr>
      </w:pPr>
      <w:r>
        <w:rPr>
          <w:noProof/>
        </w:rPr>
        <w:t>6.</w:t>
      </w:r>
      <w:r>
        <w:rPr>
          <w:noProof/>
        </w:rPr>
        <w:tab/>
      </w:r>
      <w:r w:rsidRPr="00515CA2">
        <w:rPr>
          <w:noProof/>
        </w:rPr>
        <w:t xml:space="preserve">Belgia a depus cererea în temeiul criteriilor de intervenție prevăzute la articolul 4 alineatul (2) litera (a) din Regulamentul (UE) 2021/691, care prevede drept condiție încetarea activității a cel puțin 200 de lucrători disponibilizați, într-o perioadă de referință de patru luni, într-o întreprindere dintr-un stat membru, inclusiv lucrători disponibilizați de furnizorii și producătorii din aval și/sau lucrători independenți a căror activitate a încetat. </w:t>
      </w:r>
    </w:p>
    <w:p w:rsidR="001A62D7" w:rsidRPr="00515CA2" w:rsidRDefault="001A62D7" w:rsidP="001A62D7">
      <w:pPr>
        <w:pStyle w:val="ManualNumPar1"/>
        <w:rPr>
          <w:noProof/>
        </w:rPr>
      </w:pPr>
      <w:r>
        <w:rPr>
          <w:noProof/>
        </w:rPr>
        <w:t>7.</w:t>
      </w:r>
      <w:r>
        <w:rPr>
          <w:noProof/>
        </w:rPr>
        <w:tab/>
      </w:r>
      <w:bookmarkStart w:id="8" w:name="_Ref372189348"/>
      <w:r w:rsidRPr="00515CA2">
        <w:rPr>
          <w:noProof/>
        </w:rPr>
        <w:t>Perioada de referință de patru luni pentru cerere este cuprinsă între 24 aprilie 2025 și</w:t>
      </w:r>
      <w:bookmarkEnd w:id="8"/>
      <w:r w:rsidRPr="00515CA2">
        <w:rPr>
          <w:noProof/>
        </w:rPr>
        <w:t xml:space="preserve"> 24 august 2025.</w:t>
      </w:r>
    </w:p>
    <w:p w:rsidR="001A62D7" w:rsidRPr="00515CA2" w:rsidRDefault="001A62D7" w:rsidP="000D5B2B">
      <w:pPr>
        <w:pStyle w:val="ManualNumPar1"/>
        <w:rPr>
          <w:noProof/>
        </w:rPr>
      </w:pPr>
      <w:r>
        <w:rPr>
          <w:noProof/>
        </w:rPr>
        <w:t>8.</w:t>
      </w:r>
      <w:r>
        <w:rPr>
          <w:noProof/>
        </w:rPr>
        <w:tab/>
      </w:r>
      <w:r w:rsidRPr="00515CA2">
        <w:rPr>
          <w:noProof/>
        </w:rPr>
        <w:t>În perioada de referință, Liberty a disponibilizat 507 lucrători.</w:t>
      </w:r>
    </w:p>
    <w:p w:rsidR="001A62D7" w:rsidRPr="00515CA2" w:rsidRDefault="001A62D7" w:rsidP="001A62D7">
      <w:pPr>
        <w:pStyle w:val="ManualHeading3"/>
        <w:rPr>
          <w:noProof/>
        </w:rPr>
      </w:pPr>
      <w:r w:rsidRPr="00515CA2">
        <w:rPr>
          <w:noProof/>
        </w:rPr>
        <w:t>Calcularea disponibilizărilor și a cazurilor de încetare a activității</w:t>
      </w:r>
    </w:p>
    <w:p w:rsidR="001A62D7" w:rsidRPr="00515CA2" w:rsidRDefault="001A62D7" w:rsidP="001A62D7">
      <w:pPr>
        <w:pStyle w:val="ManualNumPar1"/>
        <w:rPr>
          <w:noProof/>
        </w:rPr>
      </w:pPr>
      <w:r>
        <w:rPr>
          <w:noProof/>
        </w:rPr>
        <w:t>9.</w:t>
      </w:r>
      <w:r>
        <w:rPr>
          <w:noProof/>
        </w:rPr>
        <w:tab/>
      </w:r>
      <w:r w:rsidRPr="00515CA2">
        <w:rPr>
          <w:noProof/>
        </w:rPr>
        <w:t xml:space="preserve">În temeiul articolului 6 primul paragraf litera (a) coroborat cu articolul 5 primul paragraf din Regulamentul (UE) 2021/691, numărul de 507 lucrători afectați de disponibilizări în cursul perioadei de referință a fost calculat de la data încetării de facto a contractului de muncă sau de la data expirării acestuia. </w:t>
      </w:r>
    </w:p>
    <w:p w:rsidR="001A62D7" w:rsidRPr="00515CA2" w:rsidRDefault="001A62D7" w:rsidP="001A62D7">
      <w:pPr>
        <w:pStyle w:val="ManualHeading3"/>
        <w:rPr>
          <w:noProof/>
        </w:rPr>
      </w:pPr>
      <w:r w:rsidRPr="00515CA2">
        <w:rPr>
          <w:noProof/>
        </w:rPr>
        <w:t>Beneficiari eligibili</w:t>
      </w:r>
    </w:p>
    <w:p w:rsidR="00154495" w:rsidRPr="00515CA2" w:rsidRDefault="001A62D7" w:rsidP="00154495">
      <w:pPr>
        <w:pStyle w:val="ManualNumPar1"/>
        <w:jc w:val="left"/>
        <w:rPr>
          <w:noProof/>
        </w:rPr>
        <w:sectPr w:rsidR="00154495" w:rsidRPr="00515CA2" w:rsidSect="00B7090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r>
        <w:rPr>
          <w:noProof/>
        </w:rPr>
        <w:t>10.</w:t>
      </w:r>
      <w:r>
        <w:rPr>
          <w:noProof/>
        </w:rPr>
        <w:tab/>
      </w:r>
      <w:r w:rsidRPr="00515CA2">
        <w:rPr>
          <w:noProof/>
        </w:rPr>
        <w:t>Numărul total de beneficiari eligibili este de 507.</w:t>
      </w:r>
    </w:p>
    <w:p w:rsidR="001A62D7" w:rsidRPr="00515CA2" w:rsidRDefault="001A62D7" w:rsidP="001A62D7">
      <w:pPr>
        <w:pStyle w:val="ManualHeading3"/>
        <w:rPr>
          <w:noProof/>
        </w:rPr>
      </w:pPr>
      <w:r w:rsidRPr="00515CA2">
        <w:rPr>
          <w:noProof/>
        </w:rPr>
        <w:lastRenderedPageBreak/>
        <w:t>Descrierea evenimentelor care au determinat disponibilizările și încetarea activității</w:t>
      </w:r>
    </w:p>
    <w:p w:rsidR="0036211F" w:rsidRPr="00515CA2" w:rsidRDefault="0036211F" w:rsidP="0036211F">
      <w:pPr>
        <w:pStyle w:val="ManualNumPar1"/>
        <w:rPr>
          <w:noProof/>
        </w:rPr>
      </w:pPr>
      <w:r>
        <w:rPr>
          <w:noProof/>
        </w:rPr>
        <w:t>11.</w:t>
      </w:r>
      <w:r>
        <w:rPr>
          <w:noProof/>
        </w:rPr>
        <w:tab/>
      </w:r>
      <w:r w:rsidRPr="00515CA2">
        <w:rPr>
          <w:noProof/>
        </w:rPr>
        <w:t>Investiția de peste 40 de milioane EUR realizată de GFG Alliance</w:t>
      </w:r>
      <w:r w:rsidRPr="00515CA2">
        <w:rPr>
          <w:rStyle w:val="FootnoteReference"/>
          <w:noProof/>
        </w:rPr>
        <w:footnoteReference w:id="6"/>
      </w:r>
      <w:r w:rsidRPr="00515CA2">
        <w:rPr>
          <w:noProof/>
        </w:rPr>
        <w:t xml:space="preserve"> după achiziționarea Liberty Steel Liège de la ArcelorMittal în iulie 2019 a fost îngreunată de piața slabă a oțelului din 2019, de perturbările lanțului de aprovizionare cauzate de impactul pandemiei de COVID-19 și de prețurile ridicate la energie care au urmat războiului de agresiune al Rusiei împotriva Ucrainei. </w:t>
      </w:r>
    </w:p>
    <w:p w:rsidR="00EB5360" w:rsidRPr="00515CA2" w:rsidRDefault="0036211F" w:rsidP="00EB5360">
      <w:pPr>
        <w:pStyle w:val="ManualNumPar1"/>
        <w:rPr>
          <w:noProof/>
        </w:rPr>
      </w:pPr>
      <w:r>
        <w:rPr>
          <w:noProof/>
        </w:rPr>
        <w:t>12.</w:t>
      </w:r>
      <w:r>
        <w:rPr>
          <w:noProof/>
        </w:rPr>
        <w:tab/>
      </w:r>
      <w:r w:rsidRPr="00515CA2">
        <w:rPr>
          <w:noProof/>
        </w:rPr>
        <w:t>Liniile de galvanizare ale Liberty Steel Group din Belgia au rămas inactive din decembrie 2021 din cauza lipsei de materii prime, fapt care a declanșat o operațiune de restructurare având ca rezultat transferul legal al Liberty Steel Liège către Liberty Galați (o sucursală din România a GFG Alliance prin intermediul Liberty Steel Group) în 2023.</w:t>
      </w:r>
    </w:p>
    <w:p w:rsidR="00EB5360" w:rsidRPr="00515CA2" w:rsidRDefault="0036211F" w:rsidP="0036211F">
      <w:pPr>
        <w:pStyle w:val="ManualNumPar1"/>
        <w:rPr>
          <w:noProof/>
        </w:rPr>
      </w:pPr>
      <w:r>
        <w:rPr>
          <w:noProof/>
        </w:rPr>
        <w:t>13.</w:t>
      </w:r>
      <w:r>
        <w:rPr>
          <w:noProof/>
        </w:rPr>
        <w:tab/>
      </w:r>
      <w:r w:rsidRPr="00515CA2">
        <w:rPr>
          <w:noProof/>
        </w:rPr>
        <w:t>În pofida preluării Liberty Steel Liège de către sucursala din Galați, activitatea de producție nu a fost reluată. Prin urmare, lucrătorii au fost plasați în scheme de șomaj tehnic. După o lungă perioadă în care nu a desfășurat nicio activitate de producție, Liberty a fost declarată în faliment de Tribunalul Comercial din Liège, la 22 aprilie 2025</w:t>
      </w:r>
      <w:r w:rsidRPr="00515CA2">
        <w:rPr>
          <w:rStyle w:val="FootnoteReference"/>
          <w:noProof/>
        </w:rPr>
        <w:footnoteReference w:id="7"/>
      </w:r>
      <w:r w:rsidRPr="00515CA2">
        <w:rPr>
          <w:noProof/>
        </w:rPr>
        <w:t>.</w:t>
      </w:r>
    </w:p>
    <w:p w:rsidR="001A62D7" w:rsidRPr="00515CA2" w:rsidRDefault="00EB5360" w:rsidP="0036211F">
      <w:pPr>
        <w:pStyle w:val="ManualNumPar1"/>
        <w:rPr>
          <w:noProof/>
        </w:rPr>
      </w:pPr>
      <w:r>
        <w:rPr>
          <w:noProof/>
        </w:rPr>
        <w:t>14.</w:t>
      </w:r>
      <w:r>
        <w:rPr>
          <w:noProof/>
        </w:rPr>
        <w:tab/>
      </w:r>
      <w:r w:rsidRPr="00515CA2">
        <w:rPr>
          <w:noProof/>
        </w:rPr>
        <w:t xml:space="preserve">Liège nu a fost singura unitate aflată în dificultate. Fabricile Liberty Steel din Cehia, Polonia, Italia, România și Luxemburg s-au confruntat, de asemenea, cu dificultăți din cauza combinației dintre condițiile nefavorabile de pe piața oțelului și lipsa dramatică de capital lichid a GFG Alliance Group, care a urmat falimentului </w:t>
      </w:r>
      <w:bookmarkStart w:id="9" w:name="_Hlk219383887"/>
      <w:r w:rsidRPr="00515CA2">
        <w:rPr>
          <w:noProof/>
        </w:rPr>
        <w:t>Greensill Capital</w:t>
      </w:r>
      <w:bookmarkEnd w:id="9"/>
      <w:r w:rsidRPr="00515CA2">
        <w:rPr>
          <w:noProof/>
        </w:rPr>
        <w:t xml:space="preserve">. Întrucât </w:t>
      </w:r>
      <w:bookmarkStart w:id="10" w:name="_Hlk219383923"/>
      <w:r w:rsidRPr="00515CA2">
        <w:rPr>
          <w:noProof/>
        </w:rPr>
        <w:t>această societate privată de servicii financiare a oferit finanțare pe termen scurt multor entități ale GFG Alliance Group, falimentul său a pus în pericol viabilitatea Liberty Steel, ceea ce a dus la declinul său treptat</w:t>
      </w:r>
      <w:bookmarkEnd w:id="10"/>
      <w:r w:rsidRPr="00515CA2">
        <w:rPr>
          <w:noProof/>
        </w:rPr>
        <w:t>.</w:t>
      </w:r>
    </w:p>
    <w:p w:rsidR="001A62D7" w:rsidRPr="00515CA2" w:rsidRDefault="001A62D7" w:rsidP="001A62D7">
      <w:pPr>
        <w:pStyle w:val="ManualHeading3"/>
        <w:tabs>
          <w:tab w:val="clear" w:pos="850"/>
          <w:tab w:val="left" w:pos="0"/>
        </w:tabs>
        <w:ind w:left="0" w:firstLine="0"/>
        <w:rPr>
          <w:noProof/>
        </w:rPr>
      </w:pPr>
      <w:r w:rsidRPr="00515CA2">
        <w:rPr>
          <w:noProof/>
        </w:rPr>
        <w:t>Impactul preconizat al disponibilizărilor asupra economiei și a ocupării forței de muncă la nivel local, regional sau național</w:t>
      </w:r>
    </w:p>
    <w:p w:rsidR="007B508B" w:rsidRPr="00515CA2" w:rsidRDefault="004A0546" w:rsidP="007B508B">
      <w:pPr>
        <w:pStyle w:val="ManualNumPar1"/>
        <w:rPr>
          <w:noProof/>
        </w:rPr>
      </w:pPr>
      <w:r>
        <w:rPr>
          <w:noProof/>
        </w:rPr>
        <w:t>15.</w:t>
      </w:r>
      <w:r>
        <w:rPr>
          <w:noProof/>
        </w:rPr>
        <w:tab/>
      </w:r>
      <w:bookmarkStart w:id="11" w:name="_Hlk219712504"/>
      <w:r w:rsidRPr="00515CA2">
        <w:rPr>
          <w:noProof/>
        </w:rPr>
        <w:t>În Belgia, rata locurilor de muncă din sectorul siderurgic</w:t>
      </w:r>
      <w:r w:rsidRPr="00515CA2">
        <w:rPr>
          <w:rStyle w:val="FootnoteReference"/>
          <w:noProof/>
        </w:rPr>
        <w:footnoteReference w:id="8"/>
      </w:r>
      <w:r w:rsidRPr="00515CA2">
        <w:rPr>
          <w:noProof/>
        </w:rPr>
        <w:t xml:space="preserve"> per locuitor</w:t>
      </w:r>
      <w:r w:rsidRPr="00515CA2">
        <w:rPr>
          <w:rStyle w:val="FootnoteReference"/>
          <w:noProof/>
        </w:rPr>
        <w:footnoteReference w:id="9"/>
      </w:r>
      <w:r w:rsidRPr="00515CA2">
        <w:rPr>
          <w:noProof/>
        </w:rPr>
        <w:t xml:space="preserve"> este ridicată, fapt care evidențiază importanța acestui sector în economia țării. Mai mult decât atât, falimentul Liberty reprezintă un șoc social major pentru Regiunea Valonă</w:t>
      </w:r>
      <w:bookmarkEnd w:id="11"/>
      <w:r w:rsidRPr="00515CA2">
        <w:rPr>
          <w:noProof/>
        </w:rPr>
        <w:t xml:space="preserve">, </w:t>
      </w:r>
      <w:bookmarkStart w:id="12" w:name="_Hlk219712590"/>
      <w:r w:rsidRPr="00515CA2">
        <w:rPr>
          <w:noProof/>
        </w:rPr>
        <w:t>deoarece are loc pe o piață a forței de muncă deja slăbită de alte evenimente de restructurare</w:t>
      </w:r>
      <w:bookmarkEnd w:id="12"/>
      <w:r w:rsidRPr="00515CA2">
        <w:rPr>
          <w:noProof/>
        </w:rPr>
        <w:t xml:space="preserve">, cum ar fi TNT-FedEx </w:t>
      </w:r>
      <w:r w:rsidRPr="00515CA2">
        <w:rPr>
          <w:rStyle w:val="FootnoteReference"/>
          <w:noProof/>
        </w:rPr>
        <w:footnoteReference w:id="10"/>
      </w:r>
      <w:r w:rsidRPr="00515CA2">
        <w:rPr>
          <w:noProof/>
        </w:rPr>
        <w:t>sau Makro</w:t>
      </w:r>
      <w:r w:rsidRPr="00515CA2">
        <w:rPr>
          <w:rStyle w:val="FootnoteReference"/>
          <w:noProof/>
        </w:rPr>
        <w:footnoteReference w:id="11"/>
      </w:r>
      <w:r w:rsidRPr="00515CA2">
        <w:rPr>
          <w:noProof/>
        </w:rPr>
        <w:t>, pentru care Belgia a solicitat, de asemenea, sprijin din partea FEG.</w:t>
      </w:r>
    </w:p>
    <w:p w:rsidR="00A508C2" w:rsidRPr="00515CA2" w:rsidRDefault="00A508C2" w:rsidP="00A508C2">
      <w:pPr>
        <w:pStyle w:val="ManualNumPar1"/>
        <w:rPr>
          <w:noProof/>
        </w:rPr>
      </w:pPr>
      <w:r>
        <w:rPr>
          <w:noProof/>
        </w:rPr>
        <w:t>16.</w:t>
      </w:r>
      <w:r>
        <w:rPr>
          <w:noProof/>
        </w:rPr>
        <w:tab/>
      </w:r>
      <w:r w:rsidRPr="00515CA2">
        <w:rPr>
          <w:noProof/>
        </w:rPr>
        <w:t>În octombrie 2025, rata șomajului pentru Belgia în ansamblu a fost de 6,4 %, cu 0,6 puncte procentuale (pp) mai mare de la an la an și cu 0,5 pp mai mare decât rata medie a șomajului din UE (5,9 %)</w:t>
      </w:r>
      <w:r w:rsidRPr="00515CA2">
        <w:rPr>
          <w:rStyle w:val="FootnoteReference"/>
          <w:noProof/>
        </w:rPr>
        <w:footnoteReference w:id="12"/>
      </w:r>
      <w:r w:rsidRPr="00515CA2">
        <w:rPr>
          <w:noProof/>
        </w:rPr>
        <w:t>. Cu toate acestea, rata șomajului în Regiunea Valonă a crescut până la 7,8 %</w:t>
      </w:r>
      <w:r w:rsidRPr="00515CA2">
        <w:rPr>
          <w:rStyle w:val="FootnoteReference"/>
          <w:noProof/>
        </w:rPr>
        <w:footnoteReference w:id="13"/>
      </w:r>
      <w:r w:rsidRPr="00515CA2">
        <w:rPr>
          <w:noProof/>
        </w:rPr>
        <w:t xml:space="preserve">. </w:t>
      </w:r>
    </w:p>
    <w:p w:rsidR="00A508C2" w:rsidRPr="00515CA2" w:rsidRDefault="00A508C2" w:rsidP="00A508C2">
      <w:pPr>
        <w:pStyle w:val="ManualNumPar1"/>
        <w:rPr>
          <w:noProof/>
        </w:rPr>
      </w:pPr>
      <w:r>
        <w:rPr>
          <w:noProof/>
        </w:rPr>
        <w:t>17.</w:t>
      </w:r>
      <w:r>
        <w:rPr>
          <w:noProof/>
        </w:rPr>
        <w:tab/>
      </w:r>
      <w:r w:rsidRPr="00515CA2">
        <w:rPr>
          <w:noProof/>
        </w:rPr>
        <w:t>În al doilea trimestru al anului 2025, rata de ocupare a forței de muncă în Regiunea Valonă (62,7 %)</w:t>
      </w:r>
      <w:r w:rsidRPr="00515CA2">
        <w:rPr>
          <w:rStyle w:val="FootnoteReference"/>
          <w:noProof/>
        </w:rPr>
        <w:footnoteReference w:id="14"/>
      </w:r>
      <w:r w:rsidRPr="00515CA2">
        <w:rPr>
          <w:noProof/>
        </w:rPr>
        <w:t xml:space="preserve"> a fost cu 13 puncte procentuale mai mică decât media UE </w:t>
      </w:r>
      <w:r w:rsidRPr="00515CA2">
        <w:rPr>
          <w:noProof/>
        </w:rPr>
        <w:lastRenderedPageBreak/>
        <w:t>(76,2 %)</w:t>
      </w:r>
      <w:r w:rsidRPr="00515CA2">
        <w:rPr>
          <w:rStyle w:val="FootnoteReference"/>
          <w:noProof/>
        </w:rPr>
        <w:footnoteReference w:id="15"/>
      </w:r>
      <w:r w:rsidRPr="00515CA2">
        <w:rPr>
          <w:noProof/>
        </w:rPr>
        <w:t>. Lucrătorii mai în vârstă se confruntă cu mai multe obstacole în ocuparea unui loc de muncă. Rata națională de ocupare a forței de muncă pentru grupa de vârstă 25-49 de ani este de 82 %. Rata de ocupare este mai mică, de 68,2 %, în cazul persoanelor cu vârsta de 50 de ani sau mai mult</w:t>
      </w:r>
      <w:r w:rsidRPr="00515CA2">
        <w:rPr>
          <w:rStyle w:val="FootnoteReference"/>
          <w:noProof/>
        </w:rPr>
        <w:footnoteReference w:id="16"/>
      </w:r>
      <w:r w:rsidRPr="00515CA2">
        <w:rPr>
          <w:noProof/>
        </w:rPr>
        <w:t>. În august 2025, una din patru persoane înregistrate aflate în căutarea unui loc de muncă în Regiunea Valonă avea vârsta de 50 de ani sau mai mult</w:t>
      </w:r>
      <w:r w:rsidRPr="00515CA2">
        <w:rPr>
          <w:rStyle w:val="FootnoteReference"/>
          <w:noProof/>
        </w:rPr>
        <w:footnoteReference w:id="17"/>
      </w:r>
      <w:r w:rsidRPr="00515CA2">
        <w:rPr>
          <w:noProof/>
        </w:rPr>
        <w:t>.</w:t>
      </w:r>
    </w:p>
    <w:p w:rsidR="00640A33" w:rsidRPr="00515CA2" w:rsidRDefault="00A508C2" w:rsidP="00640A33">
      <w:pPr>
        <w:pStyle w:val="ManualNumPar1"/>
        <w:rPr>
          <w:noProof/>
        </w:rPr>
      </w:pPr>
      <w:r>
        <w:rPr>
          <w:noProof/>
        </w:rPr>
        <w:t>18.</w:t>
      </w:r>
      <w:r>
        <w:rPr>
          <w:noProof/>
        </w:rPr>
        <w:tab/>
      </w:r>
      <w:bookmarkStart w:id="13" w:name="_Hlk219712684"/>
      <w:r w:rsidRPr="00515CA2">
        <w:rPr>
          <w:noProof/>
        </w:rPr>
        <w:t>În pofida înaltei lor specializări în metalurgie, galvanizare și întreținere în industria grea, tranzițiile profesionale ale lucrătorilor Liberty sunt afectate de vârsta înaintată (52 % dintre lucrători au vârsta de 55 de ani sau mai mult, iar una din două persoane din această grupă are vârsta de 60 de ani sau mai mult), cu mulți ani de vechime în aceeași întreprindere</w:t>
      </w:r>
      <w:bookmarkEnd w:id="13"/>
      <w:r w:rsidRPr="00515CA2">
        <w:rPr>
          <w:noProof/>
        </w:rPr>
        <w:t xml:space="preserve"> (peste 70 % dintre lucrători au o vechime cuprinsă între 24 și 40 de ani). Prin urmare, acești lucrători au nevoie de ajutor personalizat pentru a depăși dificultățile.</w:t>
      </w:r>
    </w:p>
    <w:p w:rsidR="001A62D7" w:rsidRPr="00515CA2" w:rsidRDefault="001A62D7" w:rsidP="001A62D7">
      <w:pPr>
        <w:pStyle w:val="ManualHeading2"/>
        <w:rPr>
          <w:noProof/>
        </w:rPr>
      </w:pPr>
      <w:r w:rsidRPr="00515CA2">
        <w:rPr>
          <w:noProof/>
        </w:rPr>
        <w:t>Aplicarea Cadrului de calitate al UE pentru anticiparea schimbărilor și a restructurării (QFR)</w:t>
      </w:r>
    </w:p>
    <w:p w:rsidR="002F085B" w:rsidRPr="00515CA2" w:rsidRDefault="0013165F" w:rsidP="00AE7D04">
      <w:pPr>
        <w:pStyle w:val="ManualNumPar1"/>
        <w:rPr>
          <w:noProof/>
        </w:rPr>
      </w:pPr>
      <w:r>
        <w:rPr>
          <w:noProof/>
        </w:rPr>
        <w:t>19.</w:t>
      </w:r>
      <w:r>
        <w:rPr>
          <w:noProof/>
        </w:rPr>
        <w:tab/>
      </w:r>
      <w:r w:rsidRPr="00515CA2">
        <w:rPr>
          <w:noProof/>
        </w:rPr>
        <w:t>Belgia a descris modul în care au fost luate în considerare recomandările prevăzute în Cadrul de calitate al UE pentru anticiparea schimbărilor și a restructurării.</w:t>
      </w:r>
    </w:p>
    <w:p w:rsidR="001A62D7" w:rsidRPr="00515CA2" w:rsidRDefault="002F085B" w:rsidP="00AE7D04">
      <w:pPr>
        <w:pStyle w:val="ManualNumPar1"/>
        <w:rPr>
          <w:noProof/>
        </w:rPr>
      </w:pPr>
      <w:r>
        <w:rPr>
          <w:noProof/>
        </w:rPr>
        <w:t>20.</w:t>
      </w:r>
      <w:r>
        <w:rPr>
          <w:noProof/>
        </w:rPr>
        <w:tab/>
      </w:r>
      <w:r w:rsidRPr="00515CA2">
        <w:rPr>
          <w:noProof/>
        </w:rPr>
        <w:t>Belgia a raportat că legislația națională a muncii privind gestionarea activă a restructurării</w:t>
      </w:r>
      <w:r w:rsidRPr="00515CA2">
        <w:rPr>
          <w:rStyle w:val="FootnoteReference"/>
          <w:noProof/>
        </w:rPr>
        <w:footnoteReference w:id="18"/>
      </w:r>
      <w:r w:rsidRPr="00515CA2">
        <w:rPr>
          <w:noProof/>
        </w:rPr>
        <w:t xml:space="preserve"> impune întreprinderilor care realizează restructurări să înființeze o unitate de ocupare a forței de muncă, al cărei scop este acela de a oferi lucrătorilor disponibilizați în contextul concedierilor colective 30 de ore de servicii de plasare pe piața muncii într-o perioadă de trei luni (60 de ore într-o perioadă de șase luni în cazul lucrătorilor cu vârsta mai mare de 45 de ani). Totuși, această obligație juridică nu se aplică în caz de faliment. Prin urmare, serviciile de plasare pe piața muncii a personalului disponibilizat și serviciile de orientare profesională incluse în pachetul de măsuri descris mai jos la punctul 24 înlocuiesc și extind serviciile de consiliere și de plasare pe piața muncii pe care acești lucrători disponibilizați nu le primesc.</w:t>
      </w:r>
    </w:p>
    <w:p w:rsidR="00803197" w:rsidRPr="00515CA2" w:rsidRDefault="005B0EC2" w:rsidP="00803197">
      <w:pPr>
        <w:pStyle w:val="ManualNumPar1"/>
        <w:rPr>
          <w:noProof/>
        </w:rPr>
      </w:pPr>
      <w:r>
        <w:rPr>
          <w:noProof/>
        </w:rPr>
        <w:t>21.</w:t>
      </w:r>
      <w:r>
        <w:rPr>
          <w:noProof/>
        </w:rPr>
        <w:tab/>
      </w:r>
      <w:r w:rsidRPr="00515CA2">
        <w:rPr>
          <w:noProof/>
        </w:rPr>
        <w:t>Legislația regională din</w:t>
      </w:r>
      <w:r w:rsidR="00BD1445" w:rsidRPr="00515CA2">
        <w:rPr>
          <w:noProof/>
        </w:rPr>
        <w:t xml:space="preserve"> </w:t>
      </w:r>
      <w:r w:rsidRPr="00515CA2">
        <w:rPr>
          <w:noProof/>
        </w:rPr>
        <w:t>Regiunea Valonă</w:t>
      </w:r>
      <w:r w:rsidRPr="00515CA2">
        <w:rPr>
          <w:rStyle w:val="FootnoteReference"/>
          <w:noProof/>
        </w:rPr>
        <w:footnoteReference w:id="19"/>
      </w:r>
      <w:r w:rsidRPr="00515CA2">
        <w:rPr>
          <w:noProof/>
        </w:rPr>
        <w:t xml:space="preserve"> prevede un sprijin specific pentru lucrătorii concediați, sub forma </w:t>
      </w:r>
      <w:bookmarkStart w:id="14" w:name="_Hlk215169153"/>
      <w:r w:rsidRPr="00515CA2">
        <w:rPr>
          <w:noProof/>
        </w:rPr>
        <w:t>unei unități de reconversie profesională (</w:t>
      </w:r>
      <w:r w:rsidRPr="00515CA2">
        <w:rPr>
          <w:i/>
          <w:noProof/>
        </w:rPr>
        <w:t>cellule de reconversion</w:t>
      </w:r>
      <w:r w:rsidRPr="00515CA2">
        <w:rPr>
          <w:noProof/>
        </w:rPr>
        <w:t>)</w:t>
      </w:r>
      <w:r w:rsidRPr="00515CA2">
        <w:rPr>
          <w:rStyle w:val="FootnoteReference"/>
          <w:noProof/>
        </w:rPr>
        <w:footnoteReference w:id="20"/>
      </w:r>
      <w:bookmarkEnd w:id="14"/>
      <w:r w:rsidRPr="00515CA2">
        <w:rPr>
          <w:noProof/>
        </w:rPr>
        <w:t xml:space="preserve"> înființate de Serviciul public regional pentru ocuparea forței de muncă și formare profesională (Forem) la cererea organizațiilor de reprezentanți ai lucrătorilor. Unitatea de reconversie profesională nu constituie o obligație nici pentru angajator, nici pentru Forem. Punerea în aplicare a măsurilor cofinanțate prin FEG va fi gestionată prin intermediul unei astfel de unități de reconversie profesională.</w:t>
      </w:r>
    </w:p>
    <w:p w:rsidR="001A62D7" w:rsidRPr="00515CA2" w:rsidRDefault="001A62D7" w:rsidP="00AE7D04">
      <w:pPr>
        <w:pStyle w:val="ManualNumPar1"/>
        <w:rPr>
          <w:noProof/>
        </w:rPr>
      </w:pPr>
      <w:r>
        <w:rPr>
          <w:noProof/>
        </w:rPr>
        <w:t>22.</w:t>
      </w:r>
      <w:r>
        <w:rPr>
          <w:noProof/>
        </w:rPr>
        <w:tab/>
      </w:r>
      <w:r w:rsidRPr="00515CA2">
        <w:rPr>
          <w:noProof/>
        </w:rPr>
        <w:t xml:space="preserve">În ceea ce privește activitățile întreprinse pentru a sprijini lucrătorii disponibilizați, Belgia a raportat că unitatea de reconversie profesională a fost înființată la 1 iunie 2025, la scurt timp după primele concedieri. </w:t>
      </w:r>
    </w:p>
    <w:p w:rsidR="001A62D7" w:rsidRPr="00515CA2" w:rsidRDefault="001A62D7" w:rsidP="001A62D7">
      <w:pPr>
        <w:pStyle w:val="ManualHeading3"/>
        <w:rPr>
          <w:noProof/>
        </w:rPr>
      </w:pPr>
      <w:r w:rsidRPr="00515CA2">
        <w:rPr>
          <w:noProof/>
        </w:rPr>
        <w:lastRenderedPageBreak/>
        <w:t>Complementaritatea cu acțiuni finanțate din fonduri naționale sau din fonduri ale Uniunii</w:t>
      </w:r>
    </w:p>
    <w:p w:rsidR="001A62D7" w:rsidRPr="00515CA2" w:rsidRDefault="0013165F" w:rsidP="00AE7D04">
      <w:pPr>
        <w:pStyle w:val="ManualNumPar1"/>
        <w:rPr>
          <w:noProof/>
        </w:rPr>
      </w:pPr>
      <w:r>
        <w:rPr>
          <w:noProof/>
        </w:rPr>
        <w:t>23.</w:t>
      </w:r>
      <w:r>
        <w:rPr>
          <w:noProof/>
        </w:rPr>
        <w:tab/>
      </w:r>
      <w:r w:rsidRPr="00515CA2">
        <w:rPr>
          <w:noProof/>
        </w:rPr>
        <w:t>Belgia a confirmat faptul că măsurile descrise mai jos care primesc o contribuție financiară din partea FEG nu vor beneficia și de contribuții financiare din partea altor instrumente financiare ale Uniunii.</w:t>
      </w:r>
    </w:p>
    <w:p w:rsidR="001A62D7" w:rsidRPr="00515CA2" w:rsidRDefault="001A62D7" w:rsidP="00AE7D04">
      <w:pPr>
        <w:pStyle w:val="ManualNumPar1"/>
        <w:rPr>
          <w:noProof/>
        </w:rPr>
      </w:pPr>
      <w:r>
        <w:rPr>
          <w:noProof/>
        </w:rPr>
        <w:t>24.</w:t>
      </w:r>
      <w:r>
        <w:rPr>
          <w:noProof/>
        </w:rPr>
        <w:tab/>
      </w:r>
      <w:r w:rsidRPr="00515CA2">
        <w:rPr>
          <w:noProof/>
        </w:rPr>
        <w:t>Pachetul coordonat de servicii personalizate completează acțiunile finanțate prin alte fonduri naționale sau ale UE.</w:t>
      </w:r>
    </w:p>
    <w:p w:rsidR="001A62D7" w:rsidRPr="00515CA2" w:rsidRDefault="001A62D7" w:rsidP="001A62D7">
      <w:pPr>
        <w:pStyle w:val="ManualHeading3"/>
        <w:tabs>
          <w:tab w:val="clear" w:pos="850"/>
          <w:tab w:val="left" w:pos="0"/>
        </w:tabs>
        <w:ind w:left="0" w:firstLine="0"/>
        <w:rPr>
          <w:noProof/>
          <w:u w:val="single"/>
        </w:rPr>
      </w:pPr>
      <w:r w:rsidRPr="00515CA2">
        <w:rPr>
          <w:noProof/>
        </w:rPr>
        <w:t>Proceduri de consultare a beneficiarilor vizați sau a reprezentanților acestora ori a partenerilor sociali, precum și a autorităților locale și regionale</w:t>
      </w:r>
    </w:p>
    <w:p w:rsidR="001A62D7" w:rsidRPr="00515CA2" w:rsidRDefault="005302D3" w:rsidP="00AE7D04">
      <w:pPr>
        <w:pStyle w:val="ManualNumPar1"/>
        <w:rPr>
          <w:noProof/>
        </w:rPr>
      </w:pPr>
      <w:r>
        <w:rPr>
          <w:noProof/>
        </w:rPr>
        <w:t>25.</w:t>
      </w:r>
      <w:r>
        <w:rPr>
          <w:noProof/>
        </w:rPr>
        <w:tab/>
      </w:r>
      <w:r w:rsidRPr="00515CA2">
        <w:rPr>
          <w:noProof/>
        </w:rPr>
        <w:t>Belgia a indicat că pachetul coordonat de servicii personalizate a fost elaborat în consultare cu sindicatele, în conformitate cu articolul 7 alineatul (4) din Regulamentul (UE) 2021/691.</w:t>
      </w:r>
    </w:p>
    <w:p w:rsidR="001A62D7" w:rsidRPr="00515CA2" w:rsidRDefault="005302D3" w:rsidP="00AE7D04">
      <w:pPr>
        <w:pStyle w:val="ManualNumPar1"/>
        <w:rPr>
          <w:noProof/>
        </w:rPr>
      </w:pPr>
      <w:r>
        <w:rPr>
          <w:noProof/>
        </w:rPr>
        <w:t>26.</w:t>
      </w:r>
      <w:r>
        <w:rPr>
          <w:noProof/>
        </w:rPr>
        <w:tab/>
      </w:r>
      <w:r w:rsidRPr="00515CA2">
        <w:rPr>
          <w:noProof/>
        </w:rPr>
        <w:t>În cadrul unei reuniuni care a avut loc la 14 iulie 2025, Federația generală a muncii din Belgia (FGTB)</w:t>
      </w:r>
      <w:r w:rsidRPr="00515CA2">
        <w:rPr>
          <w:rStyle w:val="FootnoteReference"/>
          <w:noProof/>
        </w:rPr>
        <w:footnoteReference w:id="21"/>
      </w:r>
      <w:r w:rsidRPr="00515CA2">
        <w:rPr>
          <w:noProof/>
        </w:rPr>
        <w:t xml:space="preserve"> și Confederația sindicatelor creștine (CSC)</w:t>
      </w:r>
      <w:r w:rsidRPr="00515CA2">
        <w:rPr>
          <w:rStyle w:val="FootnoteReference"/>
          <w:noProof/>
        </w:rPr>
        <w:footnoteReference w:id="22"/>
      </w:r>
      <w:r w:rsidRPr="00515CA2">
        <w:rPr>
          <w:noProof/>
        </w:rPr>
        <w:t xml:space="preserve"> au fost consultate în special cu privire la nevoile lucrătorilor în ceea ce privește perfecționarea și recalificarea. S-a solicitat, de asemenea, contribuția reprezentanților lucrătorilor cu privire la cele mai adecvate modalități de furnizare a sprijinului din partea FEG.</w:t>
      </w:r>
    </w:p>
    <w:p w:rsidR="001A62D7" w:rsidRPr="00515CA2" w:rsidRDefault="001A62D7" w:rsidP="001A62D7">
      <w:pPr>
        <w:pStyle w:val="ManualHeading2"/>
        <w:rPr>
          <w:noProof/>
        </w:rPr>
      </w:pPr>
      <w:r w:rsidRPr="00515CA2">
        <w:rPr>
          <w:noProof/>
        </w:rPr>
        <w:t>Beneficiarii vizați și măsurile propuse</w:t>
      </w:r>
    </w:p>
    <w:p w:rsidR="001A62D7" w:rsidRPr="00515CA2" w:rsidRDefault="001A62D7" w:rsidP="001A62D7">
      <w:pPr>
        <w:pStyle w:val="ManualHeading3"/>
        <w:rPr>
          <w:noProof/>
        </w:rPr>
      </w:pPr>
      <w:r w:rsidRPr="00515CA2">
        <w:rPr>
          <w:noProof/>
        </w:rPr>
        <w:t>Beneficiarii vizați</w:t>
      </w:r>
    </w:p>
    <w:p w:rsidR="001A62D7" w:rsidRPr="00515CA2" w:rsidRDefault="00580012" w:rsidP="00AE7D04">
      <w:pPr>
        <w:pStyle w:val="ManualNumPar1"/>
        <w:rPr>
          <w:noProof/>
        </w:rPr>
      </w:pPr>
      <w:r>
        <w:rPr>
          <w:noProof/>
        </w:rPr>
        <w:t>27.</w:t>
      </w:r>
      <w:r>
        <w:rPr>
          <w:noProof/>
        </w:rPr>
        <w:tab/>
      </w:r>
      <w:r w:rsidRPr="00515CA2">
        <w:rPr>
          <w:noProof/>
        </w:rPr>
        <w:t>Se preconizează că vor participa la măsuri toți cei 507 lucrători disponibilizați. În conformitate cu articolul 8 alineatul (7) litera (f) din Regulamentul (UE) 2021/691, defalcarea acestor lucrători în funcție de gen, grupă de vârstă și nivel de studii este următoarea:</w:t>
      </w:r>
    </w:p>
    <w:tbl>
      <w:tblPr>
        <w:tblW w:w="0" w:type="auto"/>
        <w:jc w:val="center"/>
        <w:tblLook w:val="04A0" w:firstRow="1" w:lastRow="0" w:firstColumn="1" w:lastColumn="0" w:noHBand="0" w:noVBand="1"/>
      </w:tblPr>
      <w:tblGrid>
        <w:gridCol w:w="1496"/>
        <w:gridCol w:w="2063"/>
        <w:gridCol w:w="1176"/>
        <w:gridCol w:w="1176"/>
      </w:tblGrid>
      <w:tr w:rsidR="001A62D7" w:rsidRPr="00515CA2" w:rsidTr="001D5990">
        <w:trPr>
          <w:jc w:val="center"/>
        </w:trPr>
        <w:tc>
          <w:tcPr>
            <w:tcW w:w="3559" w:type="dxa"/>
            <w:gridSpan w:val="2"/>
            <w:tcBorders>
              <w:top w:val="single" w:sz="4" w:space="0" w:color="auto"/>
              <w:left w:val="nil"/>
              <w:bottom w:val="single" w:sz="4" w:space="0" w:color="auto"/>
              <w:right w:val="nil"/>
            </w:tcBorders>
            <w:hideMark/>
          </w:tcPr>
          <w:p w:rsidR="001A62D7" w:rsidRPr="00515CA2" w:rsidRDefault="001A62D7" w:rsidP="001D5990">
            <w:pPr>
              <w:spacing w:before="60" w:after="60"/>
              <w:jc w:val="center"/>
              <w:rPr>
                <w:noProof/>
              </w:rPr>
            </w:pPr>
            <w:r w:rsidRPr="00515CA2">
              <w:rPr>
                <w:noProof/>
              </w:rPr>
              <w:t>Categorie</w:t>
            </w:r>
          </w:p>
        </w:tc>
        <w:tc>
          <w:tcPr>
            <w:tcW w:w="2352" w:type="dxa"/>
            <w:gridSpan w:val="2"/>
            <w:tcBorders>
              <w:top w:val="single" w:sz="4" w:space="0" w:color="auto"/>
              <w:left w:val="nil"/>
              <w:bottom w:val="single" w:sz="4" w:space="0" w:color="auto"/>
              <w:right w:val="nil"/>
            </w:tcBorders>
            <w:hideMark/>
          </w:tcPr>
          <w:p w:rsidR="001A62D7" w:rsidRPr="00515CA2" w:rsidRDefault="001A62D7" w:rsidP="001D5990">
            <w:pPr>
              <w:spacing w:before="60" w:after="60"/>
              <w:jc w:val="center"/>
              <w:rPr>
                <w:noProof/>
              </w:rPr>
            </w:pPr>
            <w:r w:rsidRPr="00515CA2">
              <w:rPr>
                <w:noProof/>
              </w:rPr>
              <w:t xml:space="preserve">Numărul </w:t>
            </w:r>
            <w:r w:rsidRPr="00515CA2">
              <w:rPr>
                <w:noProof/>
              </w:rPr>
              <w:br/>
              <w:t>beneficiarilor preconizați</w:t>
            </w:r>
          </w:p>
        </w:tc>
      </w:tr>
      <w:tr w:rsidR="001A62D7" w:rsidRPr="00515CA2" w:rsidTr="001D5990">
        <w:trPr>
          <w:jc w:val="center"/>
        </w:trPr>
        <w:tc>
          <w:tcPr>
            <w:tcW w:w="1496" w:type="dxa"/>
            <w:tcBorders>
              <w:top w:val="single" w:sz="4" w:space="0" w:color="auto"/>
              <w:left w:val="nil"/>
              <w:right w:val="nil"/>
            </w:tcBorders>
            <w:hideMark/>
          </w:tcPr>
          <w:p w:rsidR="001A62D7" w:rsidRPr="00515CA2" w:rsidRDefault="001A62D7" w:rsidP="001D5990">
            <w:pPr>
              <w:spacing w:before="60" w:after="60"/>
              <w:rPr>
                <w:noProof/>
              </w:rPr>
            </w:pPr>
            <w:r w:rsidRPr="00515CA2">
              <w:rPr>
                <w:noProof/>
              </w:rPr>
              <w:t>Gen:</w:t>
            </w:r>
          </w:p>
        </w:tc>
        <w:tc>
          <w:tcPr>
            <w:tcW w:w="2063" w:type="dxa"/>
            <w:tcBorders>
              <w:top w:val="single" w:sz="4" w:space="0" w:color="auto"/>
              <w:left w:val="nil"/>
              <w:right w:val="nil"/>
            </w:tcBorders>
            <w:hideMark/>
          </w:tcPr>
          <w:p w:rsidR="001A62D7" w:rsidRPr="00515CA2" w:rsidRDefault="001A62D7" w:rsidP="001D5990">
            <w:pPr>
              <w:spacing w:before="60" w:after="60"/>
              <w:rPr>
                <w:noProof/>
              </w:rPr>
            </w:pPr>
            <w:r w:rsidRPr="00515CA2">
              <w:rPr>
                <w:noProof/>
              </w:rPr>
              <w:t>Bărbați:</w:t>
            </w:r>
          </w:p>
        </w:tc>
        <w:tc>
          <w:tcPr>
            <w:tcW w:w="1176" w:type="dxa"/>
            <w:tcBorders>
              <w:top w:val="single" w:sz="4" w:space="0" w:color="auto"/>
              <w:left w:val="nil"/>
              <w:right w:val="nil"/>
            </w:tcBorders>
            <w:hideMark/>
          </w:tcPr>
          <w:p w:rsidR="001A62D7" w:rsidRPr="00515CA2" w:rsidRDefault="003556B4" w:rsidP="001D5990">
            <w:pPr>
              <w:spacing w:before="60" w:after="60"/>
              <w:jc w:val="right"/>
              <w:rPr>
                <w:noProof/>
              </w:rPr>
            </w:pPr>
            <w:r w:rsidRPr="00515CA2">
              <w:rPr>
                <w:noProof/>
              </w:rPr>
              <w:t>468</w:t>
            </w:r>
          </w:p>
        </w:tc>
        <w:tc>
          <w:tcPr>
            <w:tcW w:w="1176" w:type="dxa"/>
            <w:tcBorders>
              <w:top w:val="single" w:sz="4" w:space="0" w:color="auto"/>
              <w:left w:val="nil"/>
              <w:right w:val="nil"/>
            </w:tcBorders>
            <w:hideMark/>
          </w:tcPr>
          <w:p w:rsidR="001A62D7" w:rsidRPr="00515CA2" w:rsidRDefault="001A62D7" w:rsidP="001D5990">
            <w:pPr>
              <w:spacing w:before="60" w:after="60"/>
              <w:jc w:val="right"/>
              <w:rPr>
                <w:noProof/>
              </w:rPr>
            </w:pPr>
            <w:r w:rsidRPr="00515CA2">
              <w:rPr>
                <w:noProof/>
              </w:rPr>
              <w:t>(92,3 %)</w:t>
            </w:r>
          </w:p>
        </w:tc>
      </w:tr>
      <w:tr w:rsidR="001A62D7" w:rsidRPr="00515CA2" w:rsidTr="001D5990">
        <w:trPr>
          <w:jc w:val="center"/>
        </w:trPr>
        <w:tc>
          <w:tcPr>
            <w:tcW w:w="1496" w:type="dxa"/>
            <w:tcBorders>
              <w:top w:val="nil"/>
              <w:left w:val="nil"/>
              <w:right w:val="nil"/>
            </w:tcBorders>
          </w:tcPr>
          <w:p w:rsidR="001A62D7" w:rsidRPr="00515CA2" w:rsidRDefault="001A62D7" w:rsidP="001D5990">
            <w:pPr>
              <w:spacing w:before="60" w:after="60"/>
              <w:rPr>
                <w:noProof/>
              </w:rPr>
            </w:pPr>
          </w:p>
        </w:tc>
        <w:tc>
          <w:tcPr>
            <w:tcW w:w="2063" w:type="dxa"/>
            <w:tcBorders>
              <w:top w:val="nil"/>
              <w:left w:val="nil"/>
              <w:right w:val="nil"/>
            </w:tcBorders>
          </w:tcPr>
          <w:p w:rsidR="001A62D7" w:rsidRPr="00515CA2" w:rsidRDefault="001A62D7" w:rsidP="001D5990">
            <w:pPr>
              <w:spacing w:before="60" w:after="60"/>
              <w:rPr>
                <w:rFonts w:eastAsia="Calibri"/>
                <w:noProof/>
              </w:rPr>
            </w:pPr>
            <w:r w:rsidRPr="00515CA2">
              <w:rPr>
                <w:noProof/>
              </w:rPr>
              <w:t>Femei:</w:t>
            </w:r>
          </w:p>
        </w:tc>
        <w:tc>
          <w:tcPr>
            <w:tcW w:w="1176" w:type="dxa"/>
          </w:tcPr>
          <w:p w:rsidR="001A62D7" w:rsidRPr="00515CA2" w:rsidRDefault="003556B4" w:rsidP="001D5990">
            <w:pPr>
              <w:spacing w:before="60" w:after="60"/>
              <w:jc w:val="right"/>
              <w:rPr>
                <w:noProof/>
              </w:rPr>
            </w:pPr>
            <w:r w:rsidRPr="00515CA2">
              <w:rPr>
                <w:noProof/>
              </w:rPr>
              <w:t>39</w:t>
            </w:r>
          </w:p>
        </w:tc>
        <w:tc>
          <w:tcPr>
            <w:tcW w:w="1176" w:type="dxa"/>
          </w:tcPr>
          <w:p w:rsidR="001A62D7" w:rsidRPr="00515CA2" w:rsidRDefault="001A62D7" w:rsidP="001D5990">
            <w:pPr>
              <w:spacing w:before="60" w:after="60"/>
              <w:jc w:val="right"/>
              <w:rPr>
                <w:rFonts w:eastAsia="Calibri"/>
                <w:noProof/>
              </w:rPr>
            </w:pPr>
            <w:r w:rsidRPr="00515CA2">
              <w:rPr>
                <w:noProof/>
              </w:rPr>
              <w:t>(7,7 %)</w:t>
            </w:r>
          </w:p>
        </w:tc>
      </w:tr>
      <w:tr w:rsidR="001A62D7" w:rsidRPr="00515CA2" w:rsidTr="001D5990">
        <w:trPr>
          <w:jc w:val="center"/>
        </w:trPr>
        <w:tc>
          <w:tcPr>
            <w:tcW w:w="1496" w:type="dxa"/>
            <w:tcBorders>
              <w:left w:val="nil"/>
              <w:bottom w:val="single" w:sz="4" w:space="0" w:color="auto"/>
              <w:right w:val="nil"/>
            </w:tcBorders>
          </w:tcPr>
          <w:p w:rsidR="001A62D7" w:rsidRPr="00515CA2" w:rsidRDefault="001A62D7" w:rsidP="001D5990">
            <w:pPr>
              <w:spacing w:before="60" w:after="60"/>
              <w:rPr>
                <w:noProof/>
              </w:rPr>
            </w:pPr>
          </w:p>
        </w:tc>
        <w:tc>
          <w:tcPr>
            <w:tcW w:w="2063" w:type="dxa"/>
            <w:tcBorders>
              <w:left w:val="nil"/>
              <w:bottom w:val="single" w:sz="4" w:space="0" w:color="auto"/>
              <w:right w:val="nil"/>
            </w:tcBorders>
          </w:tcPr>
          <w:p w:rsidR="001A62D7" w:rsidRPr="00515CA2" w:rsidRDefault="001A62D7" w:rsidP="001D5990">
            <w:pPr>
              <w:spacing w:before="60" w:after="60"/>
              <w:rPr>
                <w:noProof/>
              </w:rPr>
            </w:pPr>
            <w:r w:rsidRPr="00515CA2">
              <w:rPr>
                <w:noProof/>
              </w:rPr>
              <w:t>Persoane non-binare</w:t>
            </w:r>
          </w:p>
        </w:tc>
        <w:tc>
          <w:tcPr>
            <w:tcW w:w="1176" w:type="dxa"/>
            <w:tcBorders>
              <w:bottom w:val="single" w:sz="4" w:space="0" w:color="auto"/>
            </w:tcBorders>
            <w:hideMark/>
          </w:tcPr>
          <w:p w:rsidR="001A62D7" w:rsidRPr="00515CA2" w:rsidRDefault="003556B4" w:rsidP="001D5990">
            <w:pPr>
              <w:spacing w:before="60" w:after="60"/>
              <w:jc w:val="right"/>
              <w:rPr>
                <w:noProof/>
              </w:rPr>
            </w:pPr>
            <w:r w:rsidRPr="00515CA2">
              <w:rPr>
                <w:noProof/>
              </w:rPr>
              <w:t>0</w:t>
            </w:r>
          </w:p>
        </w:tc>
        <w:tc>
          <w:tcPr>
            <w:tcW w:w="1176" w:type="dxa"/>
            <w:tcBorders>
              <w:bottom w:val="single" w:sz="4" w:space="0" w:color="auto"/>
            </w:tcBorders>
            <w:hideMark/>
          </w:tcPr>
          <w:p w:rsidR="001A62D7" w:rsidRPr="00515CA2" w:rsidRDefault="001A62D7" w:rsidP="001D5990">
            <w:pPr>
              <w:spacing w:before="60" w:after="60"/>
              <w:jc w:val="right"/>
              <w:rPr>
                <w:noProof/>
              </w:rPr>
            </w:pPr>
            <w:r w:rsidRPr="00515CA2">
              <w:rPr>
                <w:noProof/>
              </w:rPr>
              <w:t>(0,0 %)</w:t>
            </w:r>
          </w:p>
        </w:tc>
      </w:tr>
      <w:tr w:rsidR="001A62D7" w:rsidRPr="00515CA2" w:rsidTr="001D5990">
        <w:trPr>
          <w:jc w:val="center"/>
        </w:trPr>
        <w:tc>
          <w:tcPr>
            <w:tcW w:w="1496" w:type="dxa"/>
            <w:tcBorders>
              <w:top w:val="single" w:sz="4" w:space="0" w:color="auto"/>
              <w:left w:val="nil"/>
              <w:bottom w:val="nil"/>
              <w:right w:val="nil"/>
            </w:tcBorders>
            <w:hideMark/>
          </w:tcPr>
          <w:p w:rsidR="001A62D7" w:rsidRPr="00515CA2" w:rsidRDefault="001A62D7" w:rsidP="001D5990">
            <w:pPr>
              <w:spacing w:before="60" w:after="60"/>
              <w:rPr>
                <w:noProof/>
              </w:rPr>
            </w:pPr>
            <w:r w:rsidRPr="00515CA2">
              <w:rPr>
                <w:noProof/>
              </w:rPr>
              <w:t>Grupa de vârstă:</w:t>
            </w:r>
          </w:p>
        </w:tc>
        <w:tc>
          <w:tcPr>
            <w:tcW w:w="2063" w:type="dxa"/>
            <w:tcBorders>
              <w:top w:val="single" w:sz="4" w:space="0" w:color="auto"/>
              <w:left w:val="nil"/>
              <w:bottom w:val="nil"/>
              <w:right w:val="nil"/>
            </w:tcBorders>
            <w:hideMark/>
          </w:tcPr>
          <w:p w:rsidR="001A62D7" w:rsidRPr="00515CA2" w:rsidRDefault="001A62D7" w:rsidP="001D5990">
            <w:pPr>
              <w:spacing w:before="60" w:after="60"/>
              <w:rPr>
                <w:noProof/>
              </w:rPr>
            </w:pPr>
            <w:r w:rsidRPr="00515CA2">
              <w:rPr>
                <w:noProof/>
              </w:rPr>
              <w:t>Sub 30 de ani:</w:t>
            </w:r>
          </w:p>
        </w:tc>
        <w:tc>
          <w:tcPr>
            <w:tcW w:w="1176" w:type="dxa"/>
            <w:tcBorders>
              <w:top w:val="single" w:sz="4" w:space="0" w:color="auto"/>
            </w:tcBorders>
            <w:hideMark/>
          </w:tcPr>
          <w:p w:rsidR="001A62D7" w:rsidRPr="00515CA2" w:rsidRDefault="003556B4" w:rsidP="001D5990">
            <w:pPr>
              <w:spacing w:before="60" w:after="60"/>
              <w:jc w:val="right"/>
              <w:rPr>
                <w:noProof/>
              </w:rPr>
            </w:pPr>
            <w:r w:rsidRPr="00515CA2">
              <w:rPr>
                <w:noProof/>
              </w:rPr>
              <w:t>4</w:t>
            </w:r>
          </w:p>
        </w:tc>
        <w:tc>
          <w:tcPr>
            <w:tcW w:w="1176" w:type="dxa"/>
            <w:tcBorders>
              <w:top w:val="single" w:sz="4" w:space="0" w:color="auto"/>
            </w:tcBorders>
            <w:hideMark/>
          </w:tcPr>
          <w:p w:rsidR="001A62D7" w:rsidRPr="00515CA2" w:rsidRDefault="001A62D7" w:rsidP="001D5990">
            <w:pPr>
              <w:spacing w:before="60" w:after="60"/>
              <w:jc w:val="right"/>
              <w:rPr>
                <w:noProof/>
              </w:rPr>
            </w:pPr>
            <w:r w:rsidRPr="00515CA2">
              <w:rPr>
                <w:noProof/>
              </w:rPr>
              <w:t>(0,8 %)</w:t>
            </w:r>
          </w:p>
        </w:tc>
      </w:tr>
      <w:tr w:rsidR="001A62D7" w:rsidRPr="00515CA2" w:rsidTr="001D5990">
        <w:trPr>
          <w:jc w:val="center"/>
        </w:trPr>
        <w:tc>
          <w:tcPr>
            <w:tcW w:w="1496" w:type="dxa"/>
          </w:tcPr>
          <w:p w:rsidR="001A62D7" w:rsidRPr="00515CA2" w:rsidRDefault="001A62D7" w:rsidP="001D5990">
            <w:pPr>
              <w:spacing w:before="60" w:after="60"/>
              <w:rPr>
                <w:noProof/>
              </w:rPr>
            </w:pPr>
          </w:p>
        </w:tc>
        <w:tc>
          <w:tcPr>
            <w:tcW w:w="2063" w:type="dxa"/>
            <w:hideMark/>
          </w:tcPr>
          <w:p w:rsidR="001A62D7" w:rsidRPr="00515CA2" w:rsidRDefault="001A62D7" w:rsidP="001D5990">
            <w:pPr>
              <w:spacing w:before="60" w:after="60"/>
              <w:rPr>
                <w:noProof/>
              </w:rPr>
            </w:pPr>
            <w:r w:rsidRPr="00515CA2">
              <w:rPr>
                <w:noProof/>
              </w:rPr>
              <w:t>30-54 de ani:</w:t>
            </w:r>
          </w:p>
        </w:tc>
        <w:tc>
          <w:tcPr>
            <w:tcW w:w="1176" w:type="dxa"/>
            <w:hideMark/>
          </w:tcPr>
          <w:p w:rsidR="001A62D7" w:rsidRPr="00515CA2" w:rsidRDefault="003556B4" w:rsidP="001D5990">
            <w:pPr>
              <w:spacing w:before="60" w:after="60"/>
              <w:jc w:val="right"/>
              <w:rPr>
                <w:noProof/>
              </w:rPr>
            </w:pPr>
            <w:r w:rsidRPr="00515CA2">
              <w:rPr>
                <w:noProof/>
              </w:rPr>
              <w:t>242</w:t>
            </w:r>
          </w:p>
        </w:tc>
        <w:tc>
          <w:tcPr>
            <w:tcW w:w="1176" w:type="dxa"/>
            <w:hideMark/>
          </w:tcPr>
          <w:p w:rsidR="001A62D7" w:rsidRPr="00515CA2" w:rsidRDefault="001A62D7" w:rsidP="001D5990">
            <w:pPr>
              <w:spacing w:before="60" w:after="60"/>
              <w:jc w:val="right"/>
              <w:rPr>
                <w:noProof/>
              </w:rPr>
            </w:pPr>
            <w:r w:rsidRPr="00515CA2">
              <w:rPr>
                <w:noProof/>
              </w:rPr>
              <w:t>(47,7 %)</w:t>
            </w:r>
          </w:p>
        </w:tc>
      </w:tr>
      <w:tr w:rsidR="001A62D7" w:rsidRPr="00515CA2" w:rsidTr="001D5990">
        <w:trPr>
          <w:jc w:val="center"/>
        </w:trPr>
        <w:tc>
          <w:tcPr>
            <w:tcW w:w="1496" w:type="dxa"/>
          </w:tcPr>
          <w:p w:rsidR="001A62D7" w:rsidRPr="00515CA2" w:rsidRDefault="001A62D7" w:rsidP="001D5990">
            <w:pPr>
              <w:spacing w:before="60" w:after="60"/>
              <w:rPr>
                <w:noProof/>
              </w:rPr>
            </w:pPr>
          </w:p>
        </w:tc>
        <w:tc>
          <w:tcPr>
            <w:tcW w:w="2063" w:type="dxa"/>
            <w:hideMark/>
          </w:tcPr>
          <w:p w:rsidR="001A62D7" w:rsidRPr="00515CA2" w:rsidRDefault="001A62D7" w:rsidP="001D5990">
            <w:pPr>
              <w:spacing w:before="60" w:after="60"/>
              <w:jc w:val="left"/>
              <w:rPr>
                <w:noProof/>
              </w:rPr>
            </w:pPr>
            <w:r w:rsidRPr="00515CA2">
              <w:rPr>
                <w:noProof/>
              </w:rPr>
              <w:t>Peste 54 de ani:</w:t>
            </w:r>
          </w:p>
        </w:tc>
        <w:tc>
          <w:tcPr>
            <w:tcW w:w="1176" w:type="dxa"/>
            <w:hideMark/>
          </w:tcPr>
          <w:p w:rsidR="001A62D7" w:rsidRPr="00515CA2" w:rsidRDefault="003556B4" w:rsidP="001D5990">
            <w:pPr>
              <w:spacing w:before="60" w:after="60"/>
              <w:jc w:val="right"/>
              <w:rPr>
                <w:noProof/>
              </w:rPr>
            </w:pPr>
            <w:r w:rsidRPr="00515CA2">
              <w:rPr>
                <w:noProof/>
              </w:rPr>
              <w:t>261</w:t>
            </w:r>
          </w:p>
        </w:tc>
        <w:tc>
          <w:tcPr>
            <w:tcW w:w="1176" w:type="dxa"/>
            <w:hideMark/>
          </w:tcPr>
          <w:p w:rsidR="001A62D7" w:rsidRPr="00515CA2" w:rsidRDefault="001A62D7" w:rsidP="001D5990">
            <w:pPr>
              <w:spacing w:before="60" w:after="60"/>
              <w:jc w:val="right"/>
              <w:rPr>
                <w:noProof/>
              </w:rPr>
            </w:pPr>
            <w:r w:rsidRPr="00515CA2">
              <w:rPr>
                <w:noProof/>
              </w:rPr>
              <w:t>(51,5 %)</w:t>
            </w:r>
          </w:p>
        </w:tc>
      </w:tr>
      <w:tr w:rsidR="001A62D7" w:rsidRPr="00515CA2" w:rsidTr="001D5990">
        <w:trPr>
          <w:jc w:val="center"/>
        </w:trPr>
        <w:tc>
          <w:tcPr>
            <w:tcW w:w="1496" w:type="dxa"/>
            <w:tcBorders>
              <w:top w:val="single" w:sz="4" w:space="0" w:color="auto"/>
              <w:left w:val="nil"/>
              <w:bottom w:val="nil"/>
              <w:right w:val="nil"/>
            </w:tcBorders>
          </w:tcPr>
          <w:p w:rsidR="001A62D7" w:rsidRPr="00515CA2" w:rsidRDefault="001A62D7" w:rsidP="001D5990">
            <w:pPr>
              <w:spacing w:before="60" w:after="60"/>
              <w:rPr>
                <w:noProof/>
              </w:rPr>
            </w:pPr>
            <w:r w:rsidRPr="00515CA2">
              <w:rPr>
                <w:noProof/>
              </w:rPr>
              <w:t>Nivelul de instruire</w:t>
            </w:r>
          </w:p>
        </w:tc>
        <w:tc>
          <w:tcPr>
            <w:tcW w:w="2063" w:type="dxa"/>
            <w:tcBorders>
              <w:top w:val="single" w:sz="4" w:space="0" w:color="auto"/>
              <w:left w:val="nil"/>
              <w:bottom w:val="nil"/>
              <w:right w:val="nil"/>
            </w:tcBorders>
          </w:tcPr>
          <w:p w:rsidR="001A62D7" w:rsidRPr="00515CA2" w:rsidRDefault="001A62D7" w:rsidP="001D5990">
            <w:pPr>
              <w:spacing w:before="60" w:after="60"/>
              <w:rPr>
                <w:noProof/>
              </w:rPr>
            </w:pPr>
            <w:r w:rsidRPr="00515CA2">
              <w:rPr>
                <w:noProof/>
              </w:rPr>
              <w:t>Învățământ secundar inferior sau sub acest nivel</w:t>
            </w:r>
            <w:r w:rsidRPr="00515CA2">
              <w:rPr>
                <w:rStyle w:val="FootnoteReference"/>
                <w:noProof/>
              </w:rPr>
              <w:footnoteReference w:id="23"/>
            </w:r>
            <w:r w:rsidRPr="00515CA2">
              <w:rPr>
                <w:noProof/>
              </w:rPr>
              <w:t xml:space="preserve"> </w:t>
            </w:r>
          </w:p>
        </w:tc>
        <w:tc>
          <w:tcPr>
            <w:tcW w:w="1176" w:type="dxa"/>
            <w:tcBorders>
              <w:top w:val="single" w:sz="4" w:space="0" w:color="auto"/>
              <w:left w:val="nil"/>
              <w:bottom w:val="nil"/>
              <w:right w:val="nil"/>
            </w:tcBorders>
          </w:tcPr>
          <w:p w:rsidR="001A62D7" w:rsidRPr="00515CA2" w:rsidRDefault="003556B4" w:rsidP="001D5990">
            <w:pPr>
              <w:spacing w:before="60" w:after="60"/>
              <w:jc w:val="right"/>
              <w:rPr>
                <w:noProof/>
              </w:rPr>
            </w:pPr>
            <w:r w:rsidRPr="00515CA2">
              <w:rPr>
                <w:noProof/>
              </w:rPr>
              <w:t>70</w:t>
            </w:r>
          </w:p>
        </w:tc>
        <w:tc>
          <w:tcPr>
            <w:tcW w:w="1176" w:type="dxa"/>
            <w:tcBorders>
              <w:top w:val="single" w:sz="4" w:space="0" w:color="auto"/>
              <w:left w:val="nil"/>
              <w:bottom w:val="nil"/>
              <w:right w:val="nil"/>
            </w:tcBorders>
          </w:tcPr>
          <w:p w:rsidR="001A62D7" w:rsidRPr="00515CA2" w:rsidRDefault="001A62D7" w:rsidP="001D5990">
            <w:pPr>
              <w:spacing w:before="60" w:after="60"/>
              <w:jc w:val="right"/>
              <w:rPr>
                <w:rFonts w:eastAsia="Calibri"/>
                <w:noProof/>
              </w:rPr>
            </w:pPr>
            <w:r w:rsidRPr="00515CA2">
              <w:rPr>
                <w:noProof/>
              </w:rPr>
              <w:t>(13,8 %)</w:t>
            </w:r>
          </w:p>
        </w:tc>
      </w:tr>
      <w:tr w:rsidR="001A62D7" w:rsidRPr="00515CA2" w:rsidTr="001D5990">
        <w:trPr>
          <w:jc w:val="center"/>
        </w:trPr>
        <w:tc>
          <w:tcPr>
            <w:tcW w:w="1496" w:type="dxa"/>
            <w:tcBorders>
              <w:top w:val="nil"/>
              <w:left w:val="nil"/>
              <w:right w:val="nil"/>
            </w:tcBorders>
          </w:tcPr>
          <w:p w:rsidR="001A62D7" w:rsidRPr="00515CA2" w:rsidRDefault="001A62D7" w:rsidP="001D5990">
            <w:pPr>
              <w:spacing w:before="60" w:after="60"/>
              <w:rPr>
                <w:noProof/>
              </w:rPr>
            </w:pPr>
          </w:p>
        </w:tc>
        <w:tc>
          <w:tcPr>
            <w:tcW w:w="2063" w:type="dxa"/>
            <w:tcBorders>
              <w:top w:val="nil"/>
              <w:left w:val="nil"/>
              <w:right w:val="nil"/>
            </w:tcBorders>
          </w:tcPr>
          <w:p w:rsidR="001A62D7" w:rsidRPr="00515CA2" w:rsidRDefault="001A62D7" w:rsidP="001D5990">
            <w:pPr>
              <w:spacing w:before="60" w:after="60"/>
              <w:rPr>
                <w:noProof/>
              </w:rPr>
            </w:pPr>
            <w:r w:rsidRPr="00515CA2">
              <w:rPr>
                <w:noProof/>
              </w:rPr>
              <w:t>Învățământ liceal</w:t>
            </w:r>
            <w:r w:rsidRPr="00515CA2">
              <w:rPr>
                <w:rStyle w:val="FootnoteReference"/>
                <w:noProof/>
              </w:rPr>
              <w:footnoteReference w:id="24"/>
            </w:r>
            <w:r w:rsidRPr="00515CA2">
              <w:rPr>
                <w:noProof/>
              </w:rPr>
              <w:t xml:space="preserve"> sau postliceal</w:t>
            </w:r>
            <w:r w:rsidRPr="00515CA2">
              <w:rPr>
                <w:rStyle w:val="FootnoteReference"/>
                <w:noProof/>
              </w:rPr>
              <w:footnoteReference w:id="25"/>
            </w:r>
          </w:p>
        </w:tc>
        <w:tc>
          <w:tcPr>
            <w:tcW w:w="1176" w:type="dxa"/>
            <w:tcBorders>
              <w:top w:val="nil"/>
              <w:left w:val="nil"/>
              <w:right w:val="nil"/>
            </w:tcBorders>
          </w:tcPr>
          <w:p w:rsidR="001A62D7" w:rsidRPr="00515CA2" w:rsidRDefault="003556B4" w:rsidP="001D5990">
            <w:pPr>
              <w:spacing w:before="60" w:after="60"/>
              <w:jc w:val="right"/>
              <w:rPr>
                <w:noProof/>
              </w:rPr>
            </w:pPr>
            <w:r w:rsidRPr="00515CA2">
              <w:rPr>
                <w:noProof/>
              </w:rPr>
              <w:t>280</w:t>
            </w:r>
          </w:p>
        </w:tc>
        <w:tc>
          <w:tcPr>
            <w:tcW w:w="1176" w:type="dxa"/>
            <w:tcBorders>
              <w:top w:val="nil"/>
              <w:left w:val="nil"/>
              <w:right w:val="nil"/>
            </w:tcBorders>
          </w:tcPr>
          <w:p w:rsidR="001A62D7" w:rsidRPr="00515CA2" w:rsidRDefault="001A62D7" w:rsidP="001D5990">
            <w:pPr>
              <w:spacing w:before="60" w:after="60"/>
              <w:jc w:val="right"/>
              <w:rPr>
                <w:rFonts w:eastAsia="Calibri"/>
                <w:noProof/>
              </w:rPr>
            </w:pPr>
            <w:r w:rsidRPr="00515CA2">
              <w:rPr>
                <w:noProof/>
              </w:rPr>
              <w:t>(55,2 %)</w:t>
            </w:r>
          </w:p>
        </w:tc>
      </w:tr>
      <w:tr w:rsidR="001A62D7" w:rsidRPr="00515CA2" w:rsidTr="001D5990">
        <w:trPr>
          <w:jc w:val="center"/>
        </w:trPr>
        <w:tc>
          <w:tcPr>
            <w:tcW w:w="1496" w:type="dxa"/>
            <w:tcBorders>
              <w:top w:val="nil"/>
              <w:left w:val="nil"/>
              <w:bottom w:val="single" w:sz="4" w:space="0" w:color="auto"/>
              <w:right w:val="nil"/>
            </w:tcBorders>
          </w:tcPr>
          <w:p w:rsidR="001A62D7" w:rsidRPr="00515CA2" w:rsidRDefault="001A62D7" w:rsidP="001D5990">
            <w:pPr>
              <w:spacing w:before="60" w:after="60"/>
              <w:rPr>
                <w:noProof/>
              </w:rPr>
            </w:pPr>
          </w:p>
        </w:tc>
        <w:tc>
          <w:tcPr>
            <w:tcW w:w="2063" w:type="dxa"/>
            <w:tcBorders>
              <w:top w:val="nil"/>
              <w:left w:val="nil"/>
              <w:bottom w:val="single" w:sz="4" w:space="0" w:color="auto"/>
              <w:right w:val="nil"/>
            </w:tcBorders>
          </w:tcPr>
          <w:p w:rsidR="001A62D7" w:rsidRPr="00515CA2" w:rsidRDefault="001A62D7" w:rsidP="001D5990">
            <w:pPr>
              <w:spacing w:before="60" w:after="60"/>
              <w:rPr>
                <w:noProof/>
              </w:rPr>
            </w:pPr>
            <w:r w:rsidRPr="00515CA2">
              <w:rPr>
                <w:noProof/>
              </w:rPr>
              <w:t>Învățământ terțiar</w:t>
            </w:r>
            <w:r w:rsidRPr="00515CA2">
              <w:rPr>
                <w:rStyle w:val="FootnoteReference"/>
                <w:noProof/>
              </w:rPr>
              <w:footnoteReference w:id="26"/>
            </w:r>
          </w:p>
        </w:tc>
        <w:tc>
          <w:tcPr>
            <w:tcW w:w="1176" w:type="dxa"/>
            <w:tcBorders>
              <w:top w:val="nil"/>
              <w:left w:val="nil"/>
              <w:bottom w:val="single" w:sz="4" w:space="0" w:color="auto"/>
              <w:right w:val="nil"/>
            </w:tcBorders>
          </w:tcPr>
          <w:p w:rsidR="001A62D7" w:rsidRPr="00515CA2" w:rsidRDefault="003556B4" w:rsidP="001D5990">
            <w:pPr>
              <w:spacing w:before="60" w:after="60"/>
              <w:jc w:val="right"/>
              <w:rPr>
                <w:noProof/>
              </w:rPr>
            </w:pPr>
            <w:r w:rsidRPr="00515CA2">
              <w:rPr>
                <w:noProof/>
              </w:rPr>
              <w:t>157</w:t>
            </w:r>
          </w:p>
        </w:tc>
        <w:tc>
          <w:tcPr>
            <w:tcW w:w="1176" w:type="dxa"/>
            <w:tcBorders>
              <w:top w:val="nil"/>
              <w:left w:val="nil"/>
              <w:bottom w:val="single" w:sz="4" w:space="0" w:color="auto"/>
              <w:right w:val="nil"/>
            </w:tcBorders>
          </w:tcPr>
          <w:p w:rsidR="001A62D7" w:rsidRPr="00515CA2" w:rsidRDefault="001A62D7" w:rsidP="001D5990">
            <w:pPr>
              <w:spacing w:before="60" w:after="60"/>
              <w:jc w:val="right"/>
              <w:rPr>
                <w:rFonts w:eastAsia="Calibri"/>
                <w:noProof/>
              </w:rPr>
            </w:pPr>
            <w:r w:rsidRPr="00515CA2">
              <w:rPr>
                <w:noProof/>
              </w:rPr>
              <w:t>(31,0 %)</w:t>
            </w:r>
          </w:p>
        </w:tc>
      </w:tr>
    </w:tbl>
    <w:p w:rsidR="001A62D7" w:rsidRPr="00515CA2" w:rsidRDefault="001A62D7" w:rsidP="001A62D7">
      <w:pPr>
        <w:pStyle w:val="ManualHeading3"/>
        <w:rPr>
          <w:noProof/>
          <w:u w:val="single"/>
        </w:rPr>
      </w:pPr>
      <w:r w:rsidRPr="00515CA2">
        <w:rPr>
          <w:noProof/>
        </w:rPr>
        <w:t>Măsurile propuse</w:t>
      </w:r>
    </w:p>
    <w:p w:rsidR="001A62D7" w:rsidRPr="00515CA2" w:rsidRDefault="001A62D7" w:rsidP="00AE7D04">
      <w:pPr>
        <w:pStyle w:val="ManualNumPar1"/>
        <w:rPr>
          <w:noProof/>
        </w:rPr>
      </w:pPr>
      <w:r>
        <w:rPr>
          <w:noProof/>
        </w:rPr>
        <w:t>28.</w:t>
      </w:r>
      <w:r>
        <w:rPr>
          <w:noProof/>
        </w:rPr>
        <w:tab/>
      </w:r>
      <w:bookmarkStart w:id="15" w:name="_Ref372214239"/>
      <w:r w:rsidRPr="00515CA2">
        <w:rPr>
          <w:noProof/>
        </w:rPr>
        <w:t xml:space="preserve">În conformitate cu articolul 8 alineatul (7) litera (h) din Regulamentul (UE) 2021/691, pachetul coordonat personalizat care urmează să fie pus la dispoziția lucrătorilor disponibilizați constă în următoarele măsuri: </w:t>
      </w:r>
      <w:bookmarkEnd w:id="15"/>
    </w:p>
    <w:p w:rsidR="00E13EF1" w:rsidRPr="00515CA2" w:rsidRDefault="00E13EF1" w:rsidP="006E2777">
      <w:pPr>
        <w:pStyle w:val="Tiret1"/>
        <w:numPr>
          <w:ilvl w:val="0"/>
          <w:numId w:val="20"/>
        </w:numPr>
        <w:rPr>
          <w:noProof/>
        </w:rPr>
      </w:pPr>
      <w:r w:rsidRPr="00515CA2">
        <w:rPr>
          <w:noProof/>
          <w:u w:val="single"/>
        </w:rPr>
        <w:t>Plasarea personalului disponibilizat și orientare profesională:</w:t>
      </w:r>
      <w:r w:rsidRPr="00515CA2">
        <w:rPr>
          <w:noProof/>
        </w:rPr>
        <w:t xml:space="preserve"> Aceste servicii sunt furnizate de o echipă formată din consilieri profesionali specializați în evenimente de restructurare și din asistenți sociali care provin, în general, din rândul reprezentanților angajaților întreprinderii.</w:t>
      </w:r>
    </w:p>
    <w:p w:rsidR="001A62D7" w:rsidRPr="00515CA2" w:rsidRDefault="00E13EF1" w:rsidP="00E13EF1">
      <w:pPr>
        <w:pStyle w:val="Text2"/>
        <w:rPr>
          <w:noProof/>
        </w:rPr>
      </w:pPr>
      <w:r w:rsidRPr="00515CA2">
        <w:rPr>
          <w:noProof/>
        </w:rPr>
        <w:t>Consilierii oferă servicii de plasare pe piața muncii a personalului disponibilizat și sprijin pentru orientare, formare și reintegrare profesională prin sesiuni de consiliere și îndrumare individuală și colectivă, în timp ce asistenții sociali oferă sprijin pentru procedurile administrative legate de schimbarea statutului profesional și contribuie la menținerea relațiilor dintre lucrători așa cum erau atunci când lucrau la Liberty.</w:t>
      </w:r>
    </w:p>
    <w:p w:rsidR="001A62D7" w:rsidRPr="00515CA2" w:rsidRDefault="00B5414C" w:rsidP="001A62D7">
      <w:pPr>
        <w:pStyle w:val="Tiret1"/>
        <w:rPr>
          <w:noProof/>
        </w:rPr>
      </w:pPr>
      <w:r w:rsidRPr="00515CA2">
        <w:rPr>
          <w:noProof/>
          <w:u w:val="single"/>
        </w:rPr>
        <w:t>Formare, recalificare și formare profesională:</w:t>
      </w:r>
      <w:r w:rsidRPr="00515CA2">
        <w:rPr>
          <w:noProof/>
        </w:rPr>
        <w:t xml:space="preserve"> Vor fi oferite cursuri de formare specifice pentru a răspunde nevoilor identificate ale lucrătorilor, după realizarea profilului și stabilirea unui acord cu consilierii profesionali cu privire la proiectele individuale. Aceste cursuri vin în completarea ofertei standard de instruire a serviciului Forem și a partenerilor săi. Lucrătorilor li se oferă, de asemenea, două module informatice specifice pentru a dobândi autonomie digitală și pentru a o consolida.</w:t>
      </w:r>
    </w:p>
    <w:p w:rsidR="00580012" w:rsidRPr="00515CA2" w:rsidRDefault="00B5414C" w:rsidP="00580012">
      <w:pPr>
        <w:pStyle w:val="Tiret1"/>
        <w:rPr>
          <w:noProof/>
        </w:rPr>
      </w:pPr>
      <w:r w:rsidRPr="00515CA2">
        <w:rPr>
          <w:noProof/>
          <w:u w:val="single"/>
        </w:rPr>
        <w:t>Sprijin pentru înființarea de întreprinderi:</w:t>
      </w:r>
      <w:r w:rsidRPr="00515CA2">
        <w:rPr>
          <w:noProof/>
        </w:rPr>
        <w:t xml:space="preserve"> Măsura se adresează lucrătorilor care doresc să își deschidă propria afacere. Aceasta va cuprinde o etapă de diagnosticare și orientare, acțiuni de conștientizare cu privire la antreprenoriat, sesiuni de informare privind potențialul de înființare a întreprinderilor prin diagnostice economice teritoriale și relaționarea cu antreprenori relevanți și cu îndrumători autorizați în deschiderea de afaceri.</w:t>
      </w:r>
    </w:p>
    <w:p w:rsidR="00580012" w:rsidRPr="00515CA2" w:rsidRDefault="00EC11EE" w:rsidP="00580012">
      <w:pPr>
        <w:pStyle w:val="Tiret1"/>
        <w:rPr>
          <w:noProof/>
        </w:rPr>
      </w:pPr>
      <w:r w:rsidRPr="00515CA2">
        <w:rPr>
          <w:noProof/>
          <w:u w:val="single"/>
        </w:rPr>
        <w:t>Contribuție la înființarea unei întreprinderi:</w:t>
      </w:r>
      <w:r w:rsidRPr="00515CA2">
        <w:rPr>
          <w:noProof/>
        </w:rPr>
        <w:t xml:space="preserve"> Lucrătorii care își deschid o afacere sau încep o activitate independentă vor primi o contribuție de până la 15 000 EUR. Contribuția va fi plătită în două tranșe, după prezentarea documentelor justificative care atestă începerea și dezvoltarea activității economice.</w:t>
      </w:r>
    </w:p>
    <w:p w:rsidR="00580012" w:rsidRPr="00515CA2" w:rsidRDefault="00EC11EE" w:rsidP="001A62D7">
      <w:pPr>
        <w:pStyle w:val="Tiret1"/>
        <w:rPr>
          <w:noProof/>
        </w:rPr>
      </w:pPr>
      <w:r w:rsidRPr="00515CA2">
        <w:rPr>
          <w:noProof/>
          <w:u w:val="single"/>
        </w:rPr>
        <w:t>Stimulente și alocații:</w:t>
      </w:r>
      <w:r w:rsidRPr="00515CA2">
        <w:rPr>
          <w:noProof/>
        </w:rPr>
        <w:t xml:space="preserve"> </w:t>
      </w:r>
      <w:r w:rsidRPr="00515CA2">
        <w:rPr>
          <w:b/>
          <w:noProof/>
        </w:rPr>
        <w:t>(1) Alocații pentru căutarea unui loc de muncă.</w:t>
      </w:r>
      <w:r w:rsidRPr="00515CA2">
        <w:rPr>
          <w:noProof/>
        </w:rPr>
        <w:t xml:space="preserve"> Lucrătorii vor primi 2 EUR pe oră de participare efectivă la activități de căutare a unui loc de muncă care au dreptul la alocație. </w:t>
      </w:r>
      <w:r w:rsidRPr="00515CA2">
        <w:rPr>
          <w:b/>
          <w:noProof/>
        </w:rPr>
        <w:t>(2) Alocație pentru reîntoarcerea la școală.</w:t>
      </w:r>
      <w:r w:rsidRPr="00515CA2">
        <w:rPr>
          <w:noProof/>
        </w:rPr>
        <w:t xml:space="preserve"> Se va acorda o alocație lunară de 350 EUR lucrătorilor care urmează studii secundare și terțiare cu frecvență completă sau cursuri de calificare pentru dobândirea competențelor necesare ocupării unor locuri de muncă solicitate în cazul cărora recrutarea este dificilă sau legată de </w:t>
      </w:r>
      <w:r w:rsidRPr="00515CA2">
        <w:rPr>
          <w:noProof/>
        </w:rPr>
        <w:lastRenderedPageBreak/>
        <w:t>funcții critice</w:t>
      </w:r>
      <w:r w:rsidRPr="00515CA2">
        <w:rPr>
          <w:rStyle w:val="FootnoteReference"/>
          <w:noProof/>
        </w:rPr>
        <w:footnoteReference w:id="27"/>
      </w:r>
      <w:r w:rsidRPr="00515CA2">
        <w:rPr>
          <w:noProof/>
        </w:rPr>
        <w:t xml:space="preserve">. </w:t>
      </w:r>
      <w:r w:rsidRPr="00515CA2">
        <w:rPr>
          <w:b/>
          <w:noProof/>
        </w:rPr>
        <w:t>(3) Alocație pentru înființarea de întreprinderi.</w:t>
      </w:r>
      <w:r w:rsidRPr="00515CA2">
        <w:rPr>
          <w:noProof/>
        </w:rPr>
        <w:t xml:space="preserve"> Pentru a sprijini lucrătorii pe durata înființării unei întreprinderi, se va acorda o indemnizație lunară de 350 EUR pentru o perioadă maximă de 12 luni sau de până la 18 luni, în anumite condiții.</w:t>
      </w:r>
    </w:p>
    <w:p w:rsidR="001A62D7" w:rsidRPr="00515CA2" w:rsidRDefault="00E13EF1" w:rsidP="00B100CF">
      <w:pPr>
        <w:pStyle w:val="ManualNumPar1"/>
        <w:rPr>
          <w:noProof/>
        </w:rPr>
      </w:pPr>
      <w:r>
        <w:rPr>
          <w:noProof/>
        </w:rPr>
        <w:t>29.</w:t>
      </w:r>
      <w:r>
        <w:rPr>
          <w:noProof/>
        </w:rPr>
        <w:tab/>
      </w:r>
      <w:r w:rsidRPr="00515CA2">
        <w:rPr>
          <w:noProof/>
        </w:rPr>
        <w:t>Cursurile de formare pentru dobândirea și consolidarea autonomiei digitale menționate mai sus, care completează formarea standard a Forem pentru dezvoltarea competențelor digitale, împreună cu un modul privind economia circulară și utilizarea eficientă a resurselor, contribuie la diseminarea competențelor necesare în era industrială digitală și într-o economie eficientă din punctul de vedere al utilizării resurselor, astfel cum se prevede la articolul 7 alineatul (2) din Regulamentul (UE) 2021/691. Modulul privind economia circulară și utilizarea eficientă a resurselor, realizat pentru foștii lucrători ai Swissport (EGF/2020/005 BE)</w:t>
      </w:r>
      <w:r w:rsidRPr="00515CA2">
        <w:rPr>
          <w:rStyle w:val="FootnoteReference"/>
          <w:noProof/>
        </w:rPr>
        <w:footnoteReference w:id="28"/>
      </w:r>
      <w:r w:rsidRPr="00515CA2">
        <w:rPr>
          <w:noProof/>
        </w:rPr>
        <w:t>, face parte în prezent din oferta standard de instruire a serviciului Forem, cofinanțată prin FSE+. Prin urmare, acesta nu este cuprins în bugetul propunerii de față. Modulul privind economia circulară este completat de un modul privind economia socială, dezvoltat, de asemenea, în cadrul unui caz FEG</w:t>
      </w:r>
      <w:r w:rsidRPr="00515CA2">
        <w:rPr>
          <w:rStyle w:val="FootnoteReference"/>
          <w:noProof/>
        </w:rPr>
        <w:footnoteReference w:id="29"/>
      </w:r>
      <w:r w:rsidRPr="00515CA2">
        <w:rPr>
          <w:noProof/>
        </w:rPr>
        <w:t xml:space="preserve">. </w:t>
      </w:r>
    </w:p>
    <w:p w:rsidR="001A62D7" w:rsidRPr="00515CA2" w:rsidRDefault="001A62D7" w:rsidP="00AE7D04">
      <w:pPr>
        <w:pStyle w:val="ManualNumPar1"/>
        <w:rPr>
          <w:noProof/>
        </w:rPr>
      </w:pPr>
      <w:r>
        <w:rPr>
          <w:noProof/>
        </w:rPr>
        <w:t>30.</w:t>
      </w:r>
      <w:r>
        <w:rPr>
          <w:noProof/>
        </w:rPr>
        <w:tab/>
      </w:r>
      <w:bookmarkStart w:id="16" w:name="_Ref372214242"/>
      <w:r w:rsidRPr="00515CA2">
        <w:rPr>
          <w:noProof/>
        </w:rPr>
        <w:t xml:space="preserve">Acțiunile propuse, descrise în prezentul document, constituie măsuri active de ocupare a forței de muncă ce se încadrează la acțiunile eligibile prevăzute la articolul 7 din Regulamentul (UE) 2021/691. Aceste acțiuni nu înlocuiesc măsurile pasive de protecție socială. </w:t>
      </w:r>
    </w:p>
    <w:p w:rsidR="001A62D7" w:rsidRPr="00515CA2" w:rsidRDefault="00CA45AC" w:rsidP="00AE7D04">
      <w:pPr>
        <w:pStyle w:val="ManualNumPar1"/>
        <w:rPr>
          <w:noProof/>
        </w:rPr>
      </w:pPr>
      <w:r>
        <w:rPr>
          <w:noProof/>
        </w:rPr>
        <w:t>31.</w:t>
      </w:r>
      <w:r>
        <w:rPr>
          <w:noProof/>
        </w:rPr>
        <w:tab/>
      </w:r>
      <w:r w:rsidRPr="00515CA2">
        <w:rPr>
          <w:noProof/>
        </w:rPr>
        <w:t>Belgia a furnizat informațiile necesare privind măsurile de care este responsabilă întreprinderea vizată în temeiul legislației naționale sau al contractelor colective de muncă. În conformitate cu articolul 9 alineatul (1) din Regulamentul (UE) 2021/691, Belgia a confirmat că măsurile respective nu vor fi înlocuite cu o contribuție financiară din partea FEG.</w:t>
      </w:r>
      <w:bookmarkEnd w:id="16"/>
    </w:p>
    <w:p w:rsidR="001A62D7" w:rsidRPr="00515CA2" w:rsidRDefault="001A62D7" w:rsidP="001A62D7">
      <w:pPr>
        <w:pStyle w:val="ManualHeading3"/>
        <w:rPr>
          <w:noProof/>
        </w:rPr>
      </w:pPr>
      <w:r w:rsidRPr="00515CA2">
        <w:rPr>
          <w:noProof/>
        </w:rPr>
        <w:t>Buget estimat</w:t>
      </w:r>
    </w:p>
    <w:p w:rsidR="001A62D7" w:rsidRPr="00515CA2" w:rsidRDefault="001A62D7" w:rsidP="00AE7D04">
      <w:pPr>
        <w:pStyle w:val="ManualNumPar1"/>
        <w:rPr>
          <w:noProof/>
        </w:rPr>
      </w:pPr>
      <w:r>
        <w:rPr>
          <w:noProof/>
        </w:rPr>
        <w:t>32.</w:t>
      </w:r>
      <w:r>
        <w:rPr>
          <w:noProof/>
        </w:rPr>
        <w:tab/>
      </w:r>
      <w:r w:rsidRPr="00515CA2">
        <w:rPr>
          <w:noProof/>
        </w:rPr>
        <w:t>Costurile totale estimate sunt de 2 392 788</w:t>
      </w:r>
      <w:r w:rsidR="00BD1445" w:rsidRPr="00515CA2">
        <w:rPr>
          <w:noProof/>
        </w:rPr>
        <w:t> </w:t>
      </w:r>
      <w:r w:rsidRPr="00515CA2">
        <w:rPr>
          <w:noProof/>
        </w:rPr>
        <w:t>EUR, incluzând cheltuieli pentru servicii personalizate de 2 358 922</w:t>
      </w:r>
      <w:r w:rsidR="00BD1445" w:rsidRPr="00515CA2">
        <w:rPr>
          <w:noProof/>
        </w:rPr>
        <w:t> </w:t>
      </w:r>
      <w:r w:rsidRPr="00515CA2">
        <w:rPr>
          <w:noProof/>
        </w:rPr>
        <w:t>EUR și cheltuieli pentru activitățile de pregătire, gestionare, informare și publicitate, control și raportare de 33 866</w:t>
      </w:r>
      <w:r w:rsidR="00BD1445" w:rsidRPr="00515CA2">
        <w:rPr>
          <w:noProof/>
        </w:rPr>
        <w:t> </w:t>
      </w:r>
      <w:r w:rsidRPr="00515CA2">
        <w:rPr>
          <w:noProof/>
        </w:rPr>
        <w:t>EUR.</w:t>
      </w:r>
    </w:p>
    <w:p w:rsidR="001A62D7" w:rsidRPr="00515CA2" w:rsidRDefault="001A62D7" w:rsidP="00AE7D04">
      <w:pPr>
        <w:pStyle w:val="ManualNumPar1"/>
        <w:rPr>
          <w:noProof/>
        </w:rPr>
      </w:pPr>
      <w:r>
        <w:rPr>
          <w:noProof/>
        </w:rPr>
        <w:t>33.</w:t>
      </w:r>
      <w:r>
        <w:rPr>
          <w:noProof/>
        </w:rPr>
        <w:tab/>
      </w:r>
      <w:bookmarkStart w:id="17" w:name="_Ref372550770"/>
      <w:r w:rsidRPr="00515CA2">
        <w:rPr>
          <w:noProof/>
        </w:rPr>
        <w:t>Contribuția financiară totală solicitată din partea FEG este de 2 033 869 EUR (85 % din costurile totale).</w:t>
      </w:r>
      <w:bookmarkEnd w:id="17"/>
    </w:p>
    <w:p w:rsidR="001A62D7" w:rsidRPr="00515CA2" w:rsidRDefault="001A62D7" w:rsidP="00AE7D04">
      <w:pPr>
        <w:pStyle w:val="ManualNumPar1"/>
        <w:rPr>
          <w:noProof/>
        </w:rPr>
      </w:pPr>
      <w:r>
        <w:rPr>
          <w:noProof/>
        </w:rPr>
        <w:t>34.</w:t>
      </w:r>
      <w:r>
        <w:rPr>
          <w:noProof/>
        </w:rPr>
        <w:tab/>
      </w:r>
      <w:r w:rsidRPr="00515CA2">
        <w:rPr>
          <w:noProof/>
        </w:rPr>
        <w:t>În conformitate cu articolul 8 alineatul (7) litera (m) din Regulamentul (UE) 2021/691, Belgia a precizat că prefinanțarea și cofinanțarea națională sunt asigurate de Région Wallone și Forem.</w:t>
      </w:r>
    </w:p>
    <w:tbl>
      <w:tblPr>
        <w:tblW w:w="0" w:type="auto"/>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1548"/>
        <w:gridCol w:w="1548"/>
        <w:gridCol w:w="1548"/>
      </w:tblGrid>
      <w:tr w:rsidR="001B0175" w:rsidRPr="00515CA2" w:rsidTr="001B0175">
        <w:tc>
          <w:tcPr>
            <w:tcW w:w="4644" w:type="dxa"/>
            <w:shd w:val="clear" w:color="auto" w:fill="auto"/>
            <w:vAlign w:val="center"/>
          </w:tcPr>
          <w:p w:rsidR="001A62D7" w:rsidRPr="00515CA2" w:rsidRDefault="001A62D7" w:rsidP="001D5990">
            <w:pPr>
              <w:spacing w:before="60" w:after="60"/>
              <w:jc w:val="center"/>
              <w:rPr>
                <w:rFonts w:eastAsia="Times New Roman"/>
                <w:noProof/>
                <w:sz w:val="22"/>
              </w:rPr>
            </w:pPr>
            <w:r w:rsidRPr="00515CA2">
              <w:rPr>
                <w:noProof/>
                <w:sz w:val="22"/>
              </w:rPr>
              <w:t>Măsuri</w:t>
            </w:r>
          </w:p>
        </w:tc>
        <w:tc>
          <w:tcPr>
            <w:tcW w:w="1548" w:type="dxa"/>
            <w:shd w:val="clear" w:color="auto" w:fill="auto"/>
            <w:vAlign w:val="center"/>
          </w:tcPr>
          <w:p w:rsidR="001A62D7" w:rsidRPr="00515CA2" w:rsidRDefault="001A62D7" w:rsidP="001D5990">
            <w:pPr>
              <w:spacing w:before="60" w:after="60"/>
              <w:jc w:val="center"/>
              <w:rPr>
                <w:rFonts w:eastAsia="Times New Roman"/>
                <w:noProof/>
                <w:sz w:val="22"/>
              </w:rPr>
            </w:pPr>
            <w:r w:rsidRPr="00515CA2">
              <w:rPr>
                <w:noProof/>
                <w:sz w:val="22"/>
              </w:rPr>
              <w:t>Numărul de participanți estimat</w:t>
            </w:r>
          </w:p>
        </w:tc>
        <w:tc>
          <w:tcPr>
            <w:tcW w:w="1548" w:type="dxa"/>
            <w:shd w:val="clear" w:color="auto" w:fill="auto"/>
            <w:vAlign w:val="center"/>
          </w:tcPr>
          <w:p w:rsidR="001A62D7" w:rsidRPr="00515CA2" w:rsidRDefault="001A62D7" w:rsidP="001D5990">
            <w:pPr>
              <w:spacing w:before="60" w:after="60"/>
              <w:jc w:val="center"/>
              <w:rPr>
                <w:rFonts w:eastAsia="Times New Roman"/>
                <w:noProof/>
                <w:sz w:val="22"/>
              </w:rPr>
            </w:pPr>
            <w:r w:rsidRPr="00515CA2">
              <w:rPr>
                <w:noProof/>
                <w:sz w:val="22"/>
              </w:rPr>
              <w:t>Costul estimat per participant</w:t>
            </w:r>
            <w:r w:rsidRPr="00515CA2">
              <w:rPr>
                <w:noProof/>
              </w:rPr>
              <w:t xml:space="preserve"> </w:t>
            </w:r>
            <w:r w:rsidRPr="00515CA2">
              <w:rPr>
                <w:noProof/>
              </w:rPr>
              <w:br/>
            </w:r>
            <w:r w:rsidRPr="00515CA2">
              <w:rPr>
                <w:i/>
                <w:noProof/>
                <w:sz w:val="22"/>
              </w:rPr>
              <w:t>(EUR)</w:t>
            </w:r>
            <w:r w:rsidRPr="00515CA2">
              <w:rPr>
                <w:rStyle w:val="FootnoteReference"/>
                <w:rFonts w:eastAsia="Times New Roman"/>
                <w:i/>
                <w:noProof/>
                <w:sz w:val="22"/>
              </w:rPr>
              <w:footnoteReference w:id="30"/>
            </w:r>
          </w:p>
        </w:tc>
        <w:tc>
          <w:tcPr>
            <w:tcW w:w="1548" w:type="dxa"/>
            <w:shd w:val="clear" w:color="auto" w:fill="auto"/>
            <w:vAlign w:val="center"/>
          </w:tcPr>
          <w:p w:rsidR="001A62D7" w:rsidRPr="00515CA2" w:rsidRDefault="001A62D7" w:rsidP="001D5990">
            <w:pPr>
              <w:spacing w:before="60" w:after="60"/>
              <w:jc w:val="center"/>
              <w:rPr>
                <w:rFonts w:eastAsia="Times New Roman"/>
                <w:noProof/>
                <w:sz w:val="22"/>
              </w:rPr>
            </w:pPr>
            <w:r w:rsidRPr="00515CA2">
              <w:rPr>
                <w:noProof/>
                <w:sz w:val="22"/>
              </w:rPr>
              <w:t>Costuri totale estimate</w:t>
            </w:r>
          </w:p>
          <w:p w:rsidR="001A62D7" w:rsidRPr="00515CA2" w:rsidRDefault="001A62D7" w:rsidP="001D5990">
            <w:pPr>
              <w:spacing w:before="60" w:after="60"/>
              <w:jc w:val="center"/>
              <w:rPr>
                <w:rFonts w:eastAsia="Times New Roman"/>
                <w:noProof/>
                <w:sz w:val="22"/>
              </w:rPr>
            </w:pPr>
            <w:r w:rsidRPr="00515CA2">
              <w:rPr>
                <w:i/>
                <w:noProof/>
                <w:sz w:val="22"/>
              </w:rPr>
              <w:t>(EUR)</w:t>
            </w:r>
            <w:r w:rsidRPr="00515CA2">
              <w:rPr>
                <w:rStyle w:val="FootnoteReference"/>
                <w:rFonts w:eastAsia="Times New Roman"/>
                <w:i/>
                <w:noProof/>
                <w:sz w:val="22"/>
              </w:rPr>
              <w:footnoteReference w:id="31"/>
            </w:r>
            <w:r w:rsidRPr="00515CA2">
              <w:rPr>
                <w:i/>
                <w:noProof/>
                <w:sz w:val="22"/>
              </w:rPr>
              <w:t xml:space="preserve"> </w:t>
            </w:r>
          </w:p>
        </w:tc>
      </w:tr>
      <w:tr w:rsidR="001A62D7" w:rsidRPr="00515CA2" w:rsidTr="00B951E3">
        <w:tc>
          <w:tcPr>
            <w:tcW w:w="9288" w:type="dxa"/>
            <w:gridSpan w:val="4"/>
            <w:shd w:val="clear" w:color="auto" w:fill="auto"/>
          </w:tcPr>
          <w:p w:rsidR="001A62D7" w:rsidRPr="00515CA2" w:rsidRDefault="001A62D7" w:rsidP="001D5990">
            <w:pPr>
              <w:spacing w:before="60" w:after="60"/>
              <w:jc w:val="left"/>
              <w:rPr>
                <w:rFonts w:eastAsia="Times New Roman"/>
                <w:noProof/>
                <w:sz w:val="22"/>
              </w:rPr>
            </w:pPr>
            <w:r w:rsidRPr="00515CA2">
              <w:rPr>
                <w:noProof/>
                <w:sz w:val="22"/>
              </w:rPr>
              <w:t>Servicii personalizate [măsuri în temeiul articolului 7 alineatul (2)</w:t>
            </w:r>
            <w:r w:rsidRPr="00515CA2">
              <w:rPr>
                <w:noProof/>
              </w:rPr>
              <w:t xml:space="preserve"> al doilea paragraf </w:t>
            </w:r>
            <w:r w:rsidRPr="00515CA2">
              <w:rPr>
                <w:noProof/>
                <w:sz w:val="22"/>
              </w:rPr>
              <w:t xml:space="preserve">litera (a) din </w:t>
            </w:r>
            <w:r w:rsidRPr="00515CA2">
              <w:rPr>
                <w:noProof/>
                <w:sz w:val="22"/>
              </w:rPr>
              <w:lastRenderedPageBreak/>
              <w:t>Regulamentul (UE) 2021/691]</w:t>
            </w:r>
          </w:p>
        </w:tc>
      </w:tr>
      <w:tr w:rsidR="001B0175" w:rsidRPr="00515CA2" w:rsidTr="001B0175">
        <w:trPr>
          <w:trHeight w:val="802"/>
        </w:trPr>
        <w:tc>
          <w:tcPr>
            <w:tcW w:w="4644" w:type="dxa"/>
            <w:tcBorders>
              <w:top w:val="single" w:sz="4" w:space="0" w:color="auto"/>
              <w:left w:val="nil"/>
              <w:bottom w:val="single" w:sz="4" w:space="0" w:color="auto"/>
              <w:right w:val="single" w:sz="4" w:space="0" w:color="auto"/>
            </w:tcBorders>
            <w:vAlign w:val="center"/>
            <w:hideMark/>
          </w:tcPr>
          <w:p w:rsidR="001B0175" w:rsidRPr="00515CA2" w:rsidRDefault="002419C9" w:rsidP="00EC2FA7">
            <w:pPr>
              <w:spacing w:before="60" w:after="60"/>
              <w:jc w:val="left"/>
              <w:rPr>
                <w:noProof/>
              </w:rPr>
            </w:pPr>
            <w:r w:rsidRPr="00515CA2">
              <w:rPr>
                <w:noProof/>
              </w:rPr>
              <w:lastRenderedPageBreak/>
              <w:t>Plasarea personalului disponibilizat și orientarea profesională</w:t>
            </w:r>
            <w:r w:rsidRPr="00515CA2">
              <w:rPr>
                <w:i/>
                <w:noProof/>
              </w:rPr>
              <w:t>(reconversion:accompagnement/orientation/mobilisation)</w:t>
            </w:r>
          </w:p>
        </w:tc>
        <w:tc>
          <w:tcPr>
            <w:tcW w:w="1548" w:type="dxa"/>
            <w:tcBorders>
              <w:top w:val="single" w:sz="4" w:space="0" w:color="auto"/>
              <w:left w:val="single" w:sz="4" w:space="0" w:color="auto"/>
              <w:bottom w:val="single" w:sz="4" w:space="0" w:color="auto"/>
              <w:right w:val="single" w:sz="4" w:space="0" w:color="auto"/>
            </w:tcBorders>
            <w:vAlign w:val="center"/>
            <w:hideMark/>
          </w:tcPr>
          <w:p w:rsidR="001B0175" w:rsidRPr="00515CA2" w:rsidRDefault="00A10101" w:rsidP="00EC2FA7">
            <w:pPr>
              <w:spacing w:before="60" w:after="60"/>
              <w:jc w:val="center"/>
              <w:rPr>
                <w:noProof/>
              </w:rPr>
            </w:pPr>
            <w:r w:rsidRPr="00515CA2">
              <w:rPr>
                <w:noProof/>
              </w:rPr>
              <w:t>507</w:t>
            </w:r>
          </w:p>
        </w:tc>
        <w:tc>
          <w:tcPr>
            <w:tcW w:w="1548" w:type="dxa"/>
            <w:tcBorders>
              <w:top w:val="single" w:sz="4" w:space="0" w:color="auto"/>
              <w:left w:val="single" w:sz="4" w:space="0" w:color="auto"/>
              <w:bottom w:val="single" w:sz="4" w:space="0" w:color="auto"/>
              <w:right w:val="single" w:sz="4" w:space="0" w:color="auto"/>
            </w:tcBorders>
            <w:vAlign w:val="center"/>
            <w:hideMark/>
          </w:tcPr>
          <w:p w:rsidR="001B0175" w:rsidRPr="00515CA2" w:rsidRDefault="00A10101" w:rsidP="00EC2FA7">
            <w:pPr>
              <w:spacing w:before="60" w:after="60"/>
              <w:jc w:val="center"/>
              <w:rPr>
                <w:noProof/>
              </w:rPr>
            </w:pPr>
            <w:r w:rsidRPr="00515CA2">
              <w:rPr>
                <w:noProof/>
              </w:rPr>
              <w:t>2 329</w:t>
            </w:r>
          </w:p>
        </w:tc>
        <w:tc>
          <w:tcPr>
            <w:tcW w:w="1548" w:type="dxa"/>
            <w:tcBorders>
              <w:top w:val="single" w:sz="4" w:space="0" w:color="auto"/>
              <w:left w:val="single" w:sz="4" w:space="0" w:color="auto"/>
              <w:bottom w:val="single" w:sz="4" w:space="0" w:color="auto"/>
              <w:right w:val="nil"/>
            </w:tcBorders>
            <w:vAlign w:val="center"/>
            <w:hideMark/>
          </w:tcPr>
          <w:p w:rsidR="001B0175" w:rsidRPr="00515CA2" w:rsidRDefault="00A10101" w:rsidP="00EC2FA7">
            <w:pPr>
              <w:spacing w:before="60" w:after="60"/>
              <w:jc w:val="center"/>
              <w:rPr>
                <w:noProof/>
              </w:rPr>
            </w:pPr>
            <w:r w:rsidRPr="00515CA2">
              <w:rPr>
                <w:noProof/>
              </w:rPr>
              <w:t>1 180 583</w:t>
            </w:r>
          </w:p>
        </w:tc>
      </w:tr>
      <w:tr w:rsidR="001B0175" w:rsidRPr="00515CA2" w:rsidTr="001B0175">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515CA2" w:rsidRDefault="00F51D6A" w:rsidP="001D5990">
            <w:pPr>
              <w:spacing w:before="60" w:after="60"/>
              <w:jc w:val="left"/>
              <w:rPr>
                <w:noProof/>
              </w:rPr>
            </w:pPr>
            <w:r w:rsidRPr="00515CA2">
              <w:rPr>
                <w:noProof/>
              </w:rPr>
              <w:t>Formare și recalificare</w:t>
            </w:r>
            <w:r w:rsidR="00BD1445" w:rsidRPr="00515CA2">
              <w:rPr>
                <w:noProof/>
              </w:rPr>
              <w:t xml:space="preserve"> </w:t>
            </w:r>
            <w:r w:rsidRPr="00515CA2">
              <w:rPr>
                <w:noProof/>
              </w:rPr>
              <w:br/>
            </w:r>
            <w:r w:rsidRPr="00515CA2">
              <w:rPr>
                <w:i/>
                <w:noProof/>
              </w:rPr>
              <w:t>(cursuri și module specifice)</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15CA2" w:rsidRDefault="00A10101" w:rsidP="001D5990">
            <w:pPr>
              <w:spacing w:before="60" w:after="60"/>
              <w:jc w:val="center"/>
              <w:rPr>
                <w:noProof/>
              </w:rPr>
            </w:pPr>
            <w:r w:rsidRPr="00515CA2">
              <w:rPr>
                <w:noProof/>
              </w:rPr>
              <w:t>250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15CA2" w:rsidRDefault="00A10101" w:rsidP="001D5990">
            <w:pPr>
              <w:spacing w:before="60" w:after="60"/>
              <w:jc w:val="center"/>
              <w:rPr>
                <w:noProof/>
              </w:rPr>
            </w:pPr>
            <w:r w:rsidRPr="00515CA2">
              <w:rPr>
                <w:noProof/>
              </w:rPr>
              <w:t>1 801</w:t>
            </w:r>
          </w:p>
        </w:tc>
        <w:tc>
          <w:tcPr>
            <w:tcW w:w="1548" w:type="dxa"/>
            <w:tcBorders>
              <w:top w:val="single" w:sz="4" w:space="0" w:color="auto"/>
              <w:left w:val="single" w:sz="4" w:space="0" w:color="auto"/>
              <w:bottom w:val="single" w:sz="4" w:space="0" w:color="auto"/>
              <w:right w:val="nil"/>
            </w:tcBorders>
            <w:vAlign w:val="center"/>
            <w:hideMark/>
          </w:tcPr>
          <w:p w:rsidR="001A62D7" w:rsidRPr="00515CA2" w:rsidRDefault="00A10101" w:rsidP="001D5990">
            <w:pPr>
              <w:spacing w:before="60" w:after="60"/>
              <w:jc w:val="center"/>
              <w:rPr>
                <w:noProof/>
              </w:rPr>
            </w:pPr>
            <w:r w:rsidRPr="00515CA2">
              <w:rPr>
                <w:noProof/>
              </w:rPr>
              <w:t>450 170</w:t>
            </w:r>
          </w:p>
        </w:tc>
      </w:tr>
      <w:tr w:rsidR="001B0175" w:rsidRPr="00515CA2" w:rsidTr="001B0175">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515CA2" w:rsidRDefault="00EC11EE" w:rsidP="001D5990">
            <w:pPr>
              <w:spacing w:before="60" w:after="60"/>
              <w:jc w:val="left"/>
              <w:rPr>
                <w:noProof/>
              </w:rPr>
            </w:pPr>
            <w:r w:rsidRPr="00515CA2">
              <w:rPr>
                <w:noProof/>
              </w:rPr>
              <w:t xml:space="preserve">Promovarea antreprenoriatului </w:t>
            </w:r>
            <w:r w:rsidRPr="00515CA2">
              <w:rPr>
                <w:noProof/>
              </w:rPr>
              <w:br/>
              <w:t>(</w:t>
            </w:r>
            <w:r w:rsidRPr="00515CA2">
              <w:rPr>
                <w:i/>
                <w:noProof/>
              </w:rPr>
              <w:t>Accompagnement entrepreneuriat)</w:t>
            </w:r>
            <w:r w:rsidRPr="00515CA2">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15CA2" w:rsidRDefault="00A10101" w:rsidP="001D5990">
            <w:pPr>
              <w:spacing w:before="60" w:after="60"/>
              <w:jc w:val="center"/>
              <w:rPr>
                <w:noProof/>
              </w:rPr>
            </w:pPr>
            <w:r w:rsidRPr="00515CA2">
              <w:rPr>
                <w:noProof/>
              </w:rPr>
              <w:t>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15CA2" w:rsidRDefault="00A10101" w:rsidP="001D5990">
            <w:pPr>
              <w:spacing w:before="60" w:after="60"/>
              <w:jc w:val="center"/>
              <w:rPr>
                <w:noProof/>
              </w:rPr>
            </w:pPr>
            <w:r w:rsidRPr="00515CA2">
              <w:rPr>
                <w:noProof/>
              </w:rPr>
              <w:t>1 231</w:t>
            </w:r>
          </w:p>
        </w:tc>
        <w:tc>
          <w:tcPr>
            <w:tcW w:w="1548" w:type="dxa"/>
            <w:tcBorders>
              <w:top w:val="single" w:sz="4" w:space="0" w:color="auto"/>
              <w:left w:val="single" w:sz="4" w:space="0" w:color="auto"/>
              <w:bottom w:val="single" w:sz="4" w:space="0" w:color="auto"/>
              <w:right w:val="nil"/>
            </w:tcBorders>
            <w:vAlign w:val="center"/>
            <w:hideMark/>
          </w:tcPr>
          <w:p w:rsidR="001A62D7" w:rsidRPr="00515CA2" w:rsidRDefault="00A10101" w:rsidP="001D5990">
            <w:pPr>
              <w:spacing w:before="60" w:after="60"/>
              <w:jc w:val="center"/>
              <w:rPr>
                <w:noProof/>
              </w:rPr>
            </w:pPr>
            <w:r w:rsidRPr="00515CA2">
              <w:rPr>
                <w:noProof/>
              </w:rPr>
              <w:t>61 569</w:t>
            </w:r>
          </w:p>
        </w:tc>
      </w:tr>
      <w:tr w:rsidR="001B0175" w:rsidRPr="00515CA2" w:rsidTr="001B0175">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515CA2" w:rsidRDefault="00EC11EE" w:rsidP="001D5990">
            <w:pPr>
              <w:spacing w:before="60" w:after="60"/>
              <w:jc w:val="left"/>
              <w:rPr>
                <w:noProof/>
              </w:rPr>
            </w:pPr>
            <w:r w:rsidRPr="00515CA2">
              <w:rPr>
                <w:noProof/>
              </w:rPr>
              <w:t xml:space="preserve">Contribuție la înființarea unei întreprinderi </w:t>
            </w:r>
            <w:r w:rsidRPr="00515CA2">
              <w:rPr>
                <w:noProof/>
              </w:rPr>
              <w:br/>
            </w:r>
            <w:r w:rsidRPr="00515CA2">
              <w:rPr>
                <w:i/>
                <w:noProof/>
              </w:rPr>
              <w:t>(bourse de lancement)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15CA2" w:rsidRDefault="00A10101" w:rsidP="001D5990">
            <w:pPr>
              <w:spacing w:before="60" w:after="60"/>
              <w:jc w:val="center"/>
              <w:rPr>
                <w:noProof/>
              </w:rPr>
            </w:pPr>
            <w:r w:rsidRPr="00515CA2">
              <w:rPr>
                <w:noProof/>
              </w:rPr>
              <w:t>32</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15CA2" w:rsidRDefault="00A10101" w:rsidP="001D5990">
            <w:pPr>
              <w:spacing w:before="60" w:after="60"/>
              <w:jc w:val="center"/>
              <w:rPr>
                <w:noProof/>
              </w:rPr>
            </w:pPr>
            <w:r w:rsidRPr="00515CA2">
              <w:rPr>
                <w:noProof/>
              </w:rPr>
              <w:t>10 000</w:t>
            </w:r>
          </w:p>
        </w:tc>
        <w:tc>
          <w:tcPr>
            <w:tcW w:w="1548" w:type="dxa"/>
            <w:tcBorders>
              <w:top w:val="single" w:sz="4" w:space="0" w:color="auto"/>
              <w:left w:val="single" w:sz="4" w:space="0" w:color="auto"/>
              <w:bottom w:val="single" w:sz="4" w:space="0" w:color="auto"/>
              <w:right w:val="nil"/>
            </w:tcBorders>
            <w:vAlign w:val="center"/>
            <w:hideMark/>
          </w:tcPr>
          <w:p w:rsidR="001A62D7" w:rsidRPr="00515CA2" w:rsidRDefault="00A10101" w:rsidP="001D5990">
            <w:pPr>
              <w:spacing w:before="60" w:after="60"/>
              <w:jc w:val="center"/>
              <w:rPr>
                <w:noProof/>
              </w:rPr>
            </w:pPr>
            <w:r w:rsidRPr="00515CA2">
              <w:rPr>
                <w:noProof/>
              </w:rPr>
              <w:t>320 000</w:t>
            </w:r>
          </w:p>
        </w:tc>
      </w:tr>
      <w:tr w:rsidR="001B0175" w:rsidRPr="00515CA2" w:rsidTr="001B0175">
        <w:trPr>
          <w:trHeight w:val="398"/>
        </w:trPr>
        <w:tc>
          <w:tcPr>
            <w:tcW w:w="4644" w:type="dxa"/>
            <w:vMerge w:val="restart"/>
            <w:shd w:val="clear" w:color="auto" w:fill="auto"/>
            <w:vAlign w:val="center"/>
          </w:tcPr>
          <w:p w:rsidR="001A62D7" w:rsidRPr="00515CA2" w:rsidRDefault="001A62D7" w:rsidP="001D5990">
            <w:pPr>
              <w:spacing w:before="60" w:after="60"/>
              <w:jc w:val="right"/>
              <w:rPr>
                <w:rFonts w:eastAsia="Times New Roman"/>
                <w:noProof/>
                <w:sz w:val="22"/>
              </w:rPr>
            </w:pPr>
            <w:r w:rsidRPr="00515CA2">
              <w:rPr>
                <w:noProof/>
                <w:sz w:val="22"/>
              </w:rPr>
              <w:t>Subtotal (a):</w:t>
            </w:r>
          </w:p>
          <w:p w:rsidR="001A62D7" w:rsidRPr="00515CA2" w:rsidRDefault="001A62D7" w:rsidP="001D5990">
            <w:pPr>
              <w:spacing w:before="60" w:after="60"/>
              <w:jc w:val="right"/>
              <w:rPr>
                <w:rFonts w:eastAsia="Times New Roman"/>
                <w:noProof/>
                <w:sz w:val="22"/>
              </w:rPr>
            </w:pPr>
            <w:r w:rsidRPr="00515CA2">
              <w:rPr>
                <w:noProof/>
                <w:sz w:val="22"/>
              </w:rPr>
              <w:t xml:space="preserve">Procentaj din pachetul de servicii personalizate </w:t>
            </w:r>
          </w:p>
        </w:tc>
        <w:tc>
          <w:tcPr>
            <w:tcW w:w="3096" w:type="dxa"/>
            <w:gridSpan w:val="2"/>
            <w:vMerge w:val="restart"/>
            <w:shd w:val="clear" w:color="auto" w:fill="D9D9D9"/>
            <w:vAlign w:val="center"/>
          </w:tcPr>
          <w:p w:rsidR="001A62D7" w:rsidRPr="00515CA2" w:rsidRDefault="001A62D7" w:rsidP="001D5990">
            <w:pPr>
              <w:spacing w:before="60" w:after="60"/>
              <w:jc w:val="center"/>
              <w:rPr>
                <w:rFonts w:eastAsia="Times New Roman"/>
                <w:noProof/>
                <w:sz w:val="22"/>
              </w:rPr>
            </w:pPr>
            <w:r w:rsidRPr="00515CA2">
              <w:rPr>
                <w:noProof/>
                <w:sz w:val="22"/>
              </w:rPr>
              <w:t>–</w:t>
            </w:r>
          </w:p>
        </w:tc>
        <w:tc>
          <w:tcPr>
            <w:tcW w:w="1548" w:type="dxa"/>
            <w:tcBorders>
              <w:bottom w:val="nil"/>
            </w:tcBorders>
            <w:shd w:val="clear" w:color="auto" w:fill="auto"/>
            <w:vAlign w:val="center"/>
          </w:tcPr>
          <w:p w:rsidR="001A62D7" w:rsidRPr="00515CA2" w:rsidRDefault="00CA5DE4" w:rsidP="001D5990">
            <w:pPr>
              <w:spacing w:before="60" w:after="60"/>
              <w:jc w:val="center"/>
              <w:rPr>
                <w:rFonts w:eastAsia="Times New Roman"/>
                <w:noProof/>
                <w:sz w:val="22"/>
              </w:rPr>
            </w:pPr>
            <w:r w:rsidRPr="00515CA2">
              <w:rPr>
                <w:noProof/>
              </w:rPr>
              <w:t>2 012 322</w:t>
            </w:r>
          </w:p>
        </w:tc>
      </w:tr>
      <w:tr w:rsidR="001B0175" w:rsidRPr="00515CA2" w:rsidTr="001B0175">
        <w:trPr>
          <w:trHeight w:val="397"/>
        </w:trPr>
        <w:tc>
          <w:tcPr>
            <w:tcW w:w="4644" w:type="dxa"/>
            <w:vMerge/>
            <w:shd w:val="clear" w:color="auto" w:fill="auto"/>
            <w:vAlign w:val="center"/>
          </w:tcPr>
          <w:p w:rsidR="001A62D7" w:rsidRPr="00515CA2"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515CA2"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515CA2" w:rsidRDefault="001A62D7" w:rsidP="001D5990">
            <w:pPr>
              <w:spacing w:before="60" w:after="60"/>
              <w:jc w:val="center"/>
              <w:rPr>
                <w:rFonts w:eastAsia="Times New Roman"/>
                <w:noProof/>
                <w:sz w:val="22"/>
              </w:rPr>
            </w:pPr>
            <w:r w:rsidRPr="00515CA2">
              <w:rPr>
                <w:noProof/>
                <w:sz w:val="22"/>
              </w:rPr>
              <w:t>(</w:t>
            </w:r>
            <w:r w:rsidRPr="00515CA2">
              <w:rPr>
                <w:noProof/>
              </w:rPr>
              <w:t>85,30</w:t>
            </w:r>
            <w:r w:rsidR="00BD1445" w:rsidRPr="00515CA2">
              <w:rPr>
                <w:noProof/>
              </w:rPr>
              <w:t> </w:t>
            </w:r>
            <w:r w:rsidRPr="00515CA2">
              <w:rPr>
                <w:noProof/>
                <w:sz w:val="22"/>
              </w:rPr>
              <w:t>%)</w:t>
            </w:r>
          </w:p>
        </w:tc>
      </w:tr>
      <w:tr w:rsidR="001A62D7" w:rsidRPr="00515CA2" w:rsidTr="00B951E3">
        <w:tc>
          <w:tcPr>
            <w:tcW w:w="9288" w:type="dxa"/>
            <w:gridSpan w:val="4"/>
            <w:shd w:val="clear" w:color="auto" w:fill="auto"/>
            <w:vAlign w:val="center"/>
          </w:tcPr>
          <w:p w:rsidR="001A62D7" w:rsidRPr="00515CA2" w:rsidRDefault="001A62D7" w:rsidP="001D5990">
            <w:pPr>
              <w:spacing w:before="60" w:after="60"/>
              <w:jc w:val="left"/>
              <w:rPr>
                <w:noProof/>
                <w:sz w:val="22"/>
              </w:rPr>
            </w:pPr>
            <w:r w:rsidRPr="00515CA2">
              <w:rPr>
                <w:noProof/>
              </w:rPr>
              <w:t>Alocații și stimulente [măsuri în temeiul articolului 7 alineatul (2) al doilea paragraf litera (b) din Regulamentul (UE) 2021/691]</w:t>
            </w:r>
          </w:p>
        </w:tc>
      </w:tr>
      <w:tr w:rsidR="00B951E3" w:rsidRPr="00515CA2" w:rsidTr="00D43598">
        <w:trPr>
          <w:trHeight w:val="802"/>
        </w:trPr>
        <w:tc>
          <w:tcPr>
            <w:tcW w:w="4644" w:type="dxa"/>
            <w:tcBorders>
              <w:top w:val="single" w:sz="4" w:space="0" w:color="auto"/>
              <w:left w:val="nil"/>
              <w:bottom w:val="single" w:sz="4" w:space="0" w:color="auto"/>
              <w:right w:val="single" w:sz="4" w:space="0" w:color="auto"/>
            </w:tcBorders>
            <w:vAlign w:val="center"/>
            <w:hideMark/>
          </w:tcPr>
          <w:p w:rsidR="00B951E3" w:rsidRPr="00515CA2" w:rsidRDefault="005506DB" w:rsidP="00D43598">
            <w:pPr>
              <w:spacing w:before="60" w:after="60"/>
              <w:jc w:val="left"/>
              <w:rPr>
                <w:noProof/>
              </w:rPr>
            </w:pPr>
            <w:r w:rsidRPr="00515CA2">
              <w:rPr>
                <w:noProof/>
              </w:rPr>
              <w:t xml:space="preserve">Alocații </w:t>
            </w:r>
            <w:r w:rsidRPr="00515CA2">
              <w:rPr>
                <w:noProof/>
              </w:rPr>
              <w:br/>
              <w:t>(</w:t>
            </w:r>
            <w:r w:rsidRPr="00515CA2">
              <w:rPr>
                <w:i/>
                <w:noProof/>
              </w:rPr>
              <w:t>allocation de recherche d'emploie, de reprise d'études et d'entrepreneuriat)</w:t>
            </w:r>
            <w:r w:rsidRPr="00515CA2">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B951E3" w:rsidRPr="00515CA2" w:rsidRDefault="005506DB" w:rsidP="00D43598">
            <w:pPr>
              <w:spacing w:before="60" w:after="60"/>
              <w:jc w:val="center"/>
              <w:rPr>
                <w:noProof/>
              </w:rPr>
            </w:pPr>
            <w:r w:rsidRPr="00515CA2">
              <w:rPr>
                <w:noProof/>
              </w:rPr>
              <w:t>507</w:t>
            </w:r>
          </w:p>
        </w:tc>
        <w:tc>
          <w:tcPr>
            <w:tcW w:w="1548" w:type="dxa"/>
            <w:tcBorders>
              <w:top w:val="single" w:sz="4" w:space="0" w:color="auto"/>
              <w:left w:val="single" w:sz="4" w:space="0" w:color="auto"/>
              <w:bottom w:val="single" w:sz="4" w:space="0" w:color="auto"/>
              <w:right w:val="single" w:sz="4" w:space="0" w:color="auto"/>
            </w:tcBorders>
            <w:vAlign w:val="center"/>
            <w:hideMark/>
          </w:tcPr>
          <w:p w:rsidR="00B951E3" w:rsidRPr="00515CA2" w:rsidRDefault="00CA5DE4" w:rsidP="00D43598">
            <w:pPr>
              <w:spacing w:before="60" w:after="60"/>
              <w:jc w:val="center"/>
              <w:rPr>
                <w:noProof/>
              </w:rPr>
            </w:pPr>
            <w:r w:rsidRPr="00515CA2">
              <w:rPr>
                <w:noProof/>
              </w:rPr>
              <w:t>684</w:t>
            </w:r>
          </w:p>
        </w:tc>
        <w:tc>
          <w:tcPr>
            <w:tcW w:w="1548" w:type="dxa"/>
            <w:tcBorders>
              <w:top w:val="single" w:sz="4" w:space="0" w:color="auto"/>
              <w:left w:val="single" w:sz="4" w:space="0" w:color="auto"/>
              <w:bottom w:val="single" w:sz="4" w:space="0" w:color="auto"/>
              <w:right w:val="nil"/>
            </w:tcBorders>
            <w:vAlign w:val="center"/>
            <w:hideMark/>
          </w:tcPr>
          <w:p w:rsidR="00B951E3" w:rsidRPr="00515CA2" w:rsidRDefault="00CA5DE4" w:rsidP="00D43598">
            <w:pPr>
              <w:spacing w:before="60" w:after="60"/>
              <w:jc w:val="center"/>
              <w:rPr>
                <w:noProof/>
              </w:rPr>
            </w:pPr>
            <w:r w:rsidRPr="00515CA2">
              <w:rPr>
                <w:noProof/>
              </w:rPr>
              <w:t>346 600</w:t>
            </w:r>
          </w:p>
        </w:tc>
      </w:tr>
      <w:tr w:rsidR="001B0175" w:rsidRPr="00515CA2" w:rsidTr="001B0175">
        <w:trPr>
          <w:trHeight w:val="203"/>
        </w:trPr>
        <w:tc>
          <w:tcPr>
            <w:tcW w:w="4644" w:type="dxa"/>
            <w:vMerge w:val="restart"/>
            <w:shd w:val="clear" w:color="auto" w:fill="auto"/>
            <w:vAlign w:val="center"/>
          </w:tcPr>
          <w:p w:rsidR="001A62D7" w:rsidRPr="00515CA2" w:rsidRDefault="001A62D7" w:rsidP="001D5990">
            <w:pPr>
              <w:spacing w:before="60" w:after="60"/>
              <w:jc w:val="right"/>
              <w:rPr>
                <w:rFonts w:eastAsia="Times New Roman"/>
                <w:noProof/>
                <w:sz w:val="22"/>
              </w:rPr>
            </w:pPr>
            <w:r w:rsidRPr="00515CA2">
              <w:rPr>
                <w:noProof/>
                <w:sz w:val="22"/>
              </w:rPr>
              <w:t>Subtotal (b):</w:t>
            </w:r>
          </w:p>
          <w:p w:rsidR="001A62D7" w:rsidRPr="00515CA2" w:rsidRDefault="001A62D7" w:rsidP="001D5990">
            <w:pPr>
              <w:spacing w:before="60" w:after="60"/>
              <w:jc w:val="right"/>
              <w:rPr>
                <w:rFonts w:eastAsia="Times New Roman"/>
                <w:noProof/>
                <w:sz w:val="22"/>
              </w:rPr>
            </w:pPr>
            <w:r w:rsidRPr="00515CA2">
              <w:rPr>
                <w:noProof/>
                <w:sz w:val="22"/>
              </w:rPr>
              <w:t>Procentaj din pachetul de servicii personalizate</w:t>
            </w:r>
          </w:p>
        </w:tc>
        <w:tc>
          <w:tcPr>
            <w:tcW w:w="3096" w:type="dxa"/>
            <w:gridSpan w:val="2"/>
            <w:vMerge w:val="restart"/>
            <w:shd w:val="clear" w:color="auto" w:fill="D9D9D9"/>
            <w:vAlign w:val="center"/>
          </w:tcPr>
          <w:p w:rsidR="001A62D7" w:rsidRPr="00515CA2" w:rsidRDefault="001A62D7" w:rsidP="001D5990">
            <w:pPr>
              <w:spacing w:before="60" w:after="60"/>
              <w:jc w:val="center"/>
              <w:rPr>
                <w:rFonts w:eastAsia="Times New Roman"/>
                <w:noProof/>
                <w:sz w:val="22"/>
              </w:rPr>
            </w:pPr>
            <w:r w:rsidRPr="00515CA2">
              <w:rPr>
                <w:noProof/>
                <w:sz w:val="22"/>
              </w:rPr>
              <w:t>–</w:t>
            </w:r>
          </w:p>
        </w:tc>
        <w:tc>
          <w:tcPr>
            <w:tcW w:w="1548" w:type="dxa"/>
            <w:tcBorders>
              <w:bottom w:val="nil"/>
            </w:tcBorders>
            <w:shd w:val="clear" w:color="auto" w:fill="auto"/>
            <w:vAlign w:val="center"/>
          </w:tcPr>
          <w:p w:rsidR="001A62D7" w:rsidRPr="00515CA2" w:rsidRDefault="00CA5DE4" w:rsidP="001D5990">
            <w:pPr>
              <w:spacing w:before="60" w:after="60"/>
              <w:jc w:val="center"/>
              <w:rPr>
                <w:rFonts w:eastAsia="Times New Roman"/>
                <w:noProof/>
                <w:sz w:val="22"/>
              </w:rPr>
            </w:pPr>
            <w:r w:rsidRPr="00515CA2">
              <w:rPr>
                <w:noProof/>
              </w:rPr>
              <w:t>346 600</w:t>
            </w:r>
          </w:p>
        </w:tc>
      </w:tr>
      <w:tr w:rsidR="001B0175" w:rsidRPr="00515CA2" w:rsidTr="001B0175">
        <w:trPr>
          <w:trHeight w:val="202"/>
        </w:trPr>
        <w:tc>
          <w:tcPr>
            <w:tcW w:w="4644" w:type="dxa"/>
            <w:vMerge/>
            <w:shd w:val="clear" w:color="auto" w:fill="auto"/>
            <w:vAlign w:val="center"/>
          </w:tcPr>
          <w:p w:rsidR="001A62D7" w:rsidRPr="00515CA2"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515CA2"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515CA2" w:rsidRDefault="001A62D7" w:rsidP="001D5990">
            <w:pPr>
              <w:spacing w:before="60" w:after="60"/>
              <w:jc w:val="center"/>
              <w:rPr>
                <w:rFonts w:eastAsia="Times New Roman"/>
                <w:noProof/>
                <w:sz w:val="22"/>
              </w:rPr>
            </w:pPr>
            <w:r w:rsidRPr="00515CA2">
              <w:rPr>
                <w:noProof/>
                <w:sz w:val="22"/>
              </w:rPr>
              <w:t>(</w:t>
            </w:r>
            <w:r w:rsidRPr="00515CA2">
              <w:rPr>
                <w:noProof/>
              </w:rPr>
              <w:t>14,69</w:t>
            </w:r>
            <w:r w:rsidR="00BD1445" w:rsidRPr="00515CA2">
              <w:rPr>
                <w:noProof/>
              </w:rPr>
              <w:t> </w:t>
            </w:r>
            <w:r w:rsidRPr="00515CA2">
              <w:rPr>
                <w:noProof/>
                <w:sz w:val="22"/>
              </w:rPr>
              <w:t>%)</w:t>
            </w:r>
          </w:p>
        </w:tc>
      </w:tr>
      <w:tr w:rsidR="001A62D7" w:rsidRPr="00515CA2" w:rsidTr="00B951E3">
        <w:tc>
          <w:tcPr>
            <w:tcW w:w="9288" w:type="dxa"/>
            <w:gridSpan w:val="4"/>
            <w:shd w:val="clear" w:color="auto" w:fill="auto"/>
            <w:vAlign w:val="center"/>
          </w:tcPr>
          <w:p w:rsidR="001A62D7" w:rsidRPr="00515CA2" w:rsidRDefault="001A62D7" w:rsidP="001D5990">
            <w:pPr>
              <w:spacing w:before="60" w:after="60"/>
              <w:jc w:val="left"/>
              <w:rPr>
                <w:rFonts w:eastAsia="Times New Roman"/>
                <w:noProof/>
                <w:sz w:val="22"/>
              </w:rPr>
            </w:pPr>
            <w:r w:rsidRPr="00515CA2">
              <w:rPr>
                <w:noProof/>
                <w:sz w:val="22"/>
              </w:rPr>
              <w:t>Activități în temeiul articolului 7 alineatul (5) din Regulamentul (UE) 2021/691</w:t>
            </w:r>
          </w:p>
        </w:tc>
      </w:tr>
      <w:tr w:rsidR="001B0175" w:rsidRPr="00515CA2" w:rsidTr="001B0175">
        <w:tc>
          <w:tcPr>
            <w:tcW w:w="4644" w:type="dxa"/>
            <w:shd w:val="clear" w:color="auto" w:fill="auto"/>
          </w:tcPr>
          <w:p w:rsidR="001A62D7" w:rsidRPr="00515CA2" w:rsidRDefault="001A62D7" w:rsidP="001D5990">
            <w:pPr>
              <w:spacing w:before="60" w:after="60"/>
              <w:ind w:left="284"/>
              <w:jc w:val="left"/>
              <w:rPr>
                <w:rFonts w:eastAsia="Times New Roman"/>
                <w:noProof/>
                <w:sz w:val="22"/>
              </w:rPr>
            </w:pPr>
            <w:r w:rsidRPr="00515CA2">
              <w:rPr>
                <w:noProof/>
                <w:sz w:val="22"/>
              </w:rPr>
              <w:t>1. Activități de pregătire</w:t>
            </w:r>
          </w:p>
        </w:tc>
        <w:tc>
          <w:tcPr>
            <w:tcW w:w="3096" w:type="dxa"/>
            <w:gridSpan w:val="2"/>
            <w:shd w:val="clear" w:color="auto" w:fill="D9D9D9"/>
            <w:vAlign w:val="center"/>
          </w:tcPr>
          <w:p w:rsidR="001A62D7" w:rsidRPr="00515CA2" w:rsidRDefault="001A62D7" w:rsidP="001D5990">
            <w:pPr>
              <w:spacing w:before="60" w:after="60"/>
              <w:jc w:val="center"/>
              <w:rPr>
                <w:rFonts w:eastAsia="Times New Roman"/>
                <w:noProof/>
                <w:sz w:val="22"/>
              </w:rPr>
            </w:pPr>
            <w:r w:rsidRPr="00515CA2">
              <w:rPr>
                <w:noProof/>
                <w:sz w:val="22"/>
              </w:rPr>
              <w:t>–</w:t>
            </w:r>
          </w:p>
        </w:tc>
        <w:tc>
          <w:tcPr>
            <w:tcW w:w="1548" w:type="dxa"/>
            <w:shd w:val="clear" w:color="auto" w:fill="auto"/>
          </w:tcPr>
          <w:p w:rsidR="001A62D7" w:rsidRPr="00515CA2" w:rsidRDefault="00CA5DE4" w:rsidP="001D5990">
            <w:pPr>
              <w:spacing w:before="60" w:after="60"/>
              <w:jc w:val="center"/>
              <w:rPr>
                <w:rFonts w:eastAsia="Times New Roman"/>
                <w:noProof/>
                <w:sz w:val="22"/>
              </w:rPr>
            </w:pPr>
            <w:r w:rsidRPr="00515CA2">
              <w:rPr>
                <w:noProof/>
              </w:rPr>
              <w:t>0</w:t>
            </w:r>
          </w:p>
        </w:tc>
      </w:tr>
      <w:tr w:rsidR="001B0175" w:rsidRPr="00515CA2" w:rsidTr="001B0175">
        <w:tc>
          <w:tcPr>
            <w:tcW w:w="4644" w:type="dxa"/>
            <w:shd w:val="clear" w:color="auto" w:fill="auto"/>
          </w:tcPr>
          <w:p w:rsidR="001A62D7" w:rsidRPr="00515CA2" w:rsidRDefault="001A62D7" w:rsidP="001D5990">
            <w:pPr>
              <w:spacing w:before="60" w:after="60"/>
              <w:ind w:left="284"/>
              <w:jc w:val="left"/>
              <w:rPr>
                <w:rFonts w:eastAsia="Times New Roman"/>
                <w:noProof/>
                <w:sz w:val="22"/>
              </w:rPr>
            </w:pPr>
            <w:r w:rsidRPr="00515CA2">
              <w:rPr>
                <w:noProof/>
                <w:sz w:val="22"/>
              </w:rPr>
              <w:t>2. Gestionare</w:t>
            </w:r>
          </w:p>
        </w:tc>
        <w:tc>
          <w:tcPr>
            <w:tcW w:w="3096" w:type="dxa"/>
            <w:gridSpan w:val="2"/>
            <w:shd w:val="clear" w:color="auto" w:fill="D9D9D9"/>
            <w:vAlign w:val="center"/>
          </w:tcPr>
          <w:p w:rsidR="001A62D7" w:rsidRPr="00515CA2" w:rsidRDefault="001A62D7" w:rsidP="001D5990">
            <w:pPr>
              <w:spacing w:before="60" w:after="60"/>
              <w:jc w:val="center"/>
              <w:rPr>
                <w:rFonts w:eastAsia="Times New Roman"/>
                <w:noProof/>
                <w:sz w:val="22"/>
              </w:rPr>
            </w:pPr>
            <w:r w:rsidRPr="00515CA2">
              <w:rPr>
                <w:noProof/>
                <w:sz w:val="22"/>
              </w:rPr>
              <w:t>–</w:t>
            </w:r>
          </w:p>
        </w:tc>
        <w:tc>
          <w:tcPr>
            <w:tcW w:w="1548" w:type="dxa"/>
            <w:shd w:val="clear" w:color="auto" w:fill="auto"/>
          </w:tcPr>
          <w:p w:rsidR="001A62D7" w:rsidRPr="00515CA2" w:rsidRDefault="00CA5DE4" w:rsidP="001D5990">
            <w:pPr>
              <w:spacing w:before="60" w:after="60"/>
              <w:jc w:val="center"/>
              <w:rPr>
                <w:rFonts w:eastAsia="Times New Roman"/>
                <w:noProof/>
                <w:sz w:val="22"/>
              </w:rPr>
            </w:pPr>
            <w:r w:rsidRPr="00515CA2">
              <w:rPr>
                <w:noProof/>
              </w:rPr>
              <w:t>13 260</w:t>
            </w:r>
          </w:p>
        </w:tc>
      </w:tr>
      <w:tr w:rsidR="001B0175" w:rsidRPr="00515CA2" w:rsidTr="001B0175">
        <w:tc>
          <w:tcPr>
            <w:tcW w:w="4644" w:type="dxa"/>
            <w:shd w:val="clear" w:color="auto" w:fill="auto"/>
          </w:tcPr>
          <w:p w:rsidR="001A62D7" w:rsidRPr="00515CA2" w:rsidRDefault="001A62D7" w:rsidP="001D5990">
            <w:pPr>
              <w:spacing w:before="60" w:after="60"/>
              <w:ind w:left="284"/>
              <w:jc w:val="left"/>
              <w:rPr>
                <w:rFonts w:eastAsia="Times New Roman"/>
                <w:noProof/>
                <w:sz w:val="22"/>
              </w:rPr>
            </w:pPr>
            <w:r w:rsidRPr="00515CA2">
              <w:rPr>
                <w:noProof/>
                <w:sz w:val="22"/>
              </w:rPr>
              <w:t>3. Informare și publicitate</w:t>
            </w:r>
          </w:p>
        </w:tc>
        <w:tc>
          <w:tcPr>
            <w:tcW w:w="3096" w:type="dxa"/>
            <w:gridSpan w:val="2"/>
            <w:shd w:val="clear" w:color="auto" w:fill="D9D9D9"/>
            <w:vAlign w:val="center"/>
          </w:tcPr>
          <w:p w:rsidR="001A62D7" w:rsidRPr="00515CA2" w:rsidRDefault="001A62D7" w:rsidP="001D5990">
            <w:pPr>
              <w:spacing w:before="60" w:after="60"/>
              <w:jc w:val="center"/>
              <w:rPr>
                <w:rFonts w:eastAsia="Times New Roman"/>
                <w:noProof/>
                <w:sz w:val="22"/>
              </w:rPr>
            </w:pPr>
            <w:r w:rsidRPr="00515CA2">
              <w:rPr>
                <w:noProof/>
                <w:sz w:val="22"/>
              </w:rPr>
              <w:t>–</w:t>
            </w:r>
          </w:p>
        </w:tc>
        <w:tc>
          <w:tcPr>
            <w:tcW w:w="1548" w:type="dxa"/>
            <w:shd w:val="clear" w:color="auto" w:fill="auto"/>
          </w:tcPr>
          <w:p w:rsidR="001A62D7" w:rsidRPr="00515CA2" w:rsidRDefault="00CA5DE4" w:rsidP="001D5990">
            <w:pPr>
              <w:spacing w:before="60" w:after="60"/>
              <w:jc w:val="center"/>
              <w:rPr>
                <w:rFonts w:eastAsia="Times New Roman"/>
                <w:noProof/>
                <w:sz w:val="22"/>
              </w:rPr>
            </w:pPr>
            <w:r w:rsidRPr="00515CA2">
              <w:rPr>
                <w:noProof/>
              </w:rPr>
              <w:t>5 000</w:t>
            </w:r>
          </w:p>
        </w:tc>
      </w:tr>
      <w:tr w:rsidR="001B0175" w:rsidRPr="00515CA2" w:rsidTr="001B0175">
        <w:tc>
          <w:tcPr>
            <w:tcW w:w="4644" w:type="dxa"/>
            <w:shd w:val="clear" w:color="auto" w:fill="auto"/>
          </w:tcPr>
          <w:p w:rsidR="001A62D7" w:rsidRPr="00515CA2" w:rsidRDefault="001A62D7" w:rsidP="001D5990">
            <w:pPr>
              <w:spacing w:before="60" w:after="60"/>
              <w:ind w:left="284"/>
              <w:jc w:val="left"/>
              <w:rPr>
                <w:rFonts w:eastAsia="Times New Roman"/>
                <w:noProof/>
                <w:sz w:val="22"/>
              </w:rPr>
            </w:pPr>
            <w:r w:rsidRPr="00515CA2">
              <w:rPr>
                <w:noProof/>
                <w:sz w:val="22"/>
              </w:rPr>
              <w:t>4. Control și raportare</w:t>
            </w:r>
          </w:p>
        </w:tc>
        <w:tc>
          <w:tcPr>
            <w:tcW w:w="3096" w:type="dxa"/>
            <w:gridSpan w:val="2"/>
            <w:shd w:val="clear" w:color="auto" w:fill="D9D9D9"/>
            <w:vAlign w:val="center"/>
          </w:tcPr>
          <w:p w:rsidR="001A62D7" w:rsidRPr="00515CA2" w:rsidRDefault="001A62D7" w:rsidP="001D5990">
            <w:pPr>
              <w:spacing w:before="60" w:after="60"/>
              <w:jc w:val="center"/>
              <w:rPr>
                <w:rFonts w:eastAsia="Times New Roman"/>
                <w:noProof/>
                <w:sz w:val="22"/>
              </w:rPr>
            </w:pPr>
            <w:r w:rsidRPr="00515CA2">
              <w:rPr>
                <w:noProof/>
                <w:sz w:val="22"/>
              </w:rPr>
              <w:t>–</w:t>
            </w:r>
          </w:p>
        </w:tc>
        <w:tc>
          <w:tcPr>
            <w:tcW w:w="1548" w:type="dxa"/>
            <w:tcBorders>
              <w:bottom w:val="single" w:sz="4" w:space="0" w:color="auto"/>
            </w:tcBorders>
            <w:shd w:val="clear" w:color="auto" w:fill="auto"/>
          </w:tcPr>
          <w:p w:rsidR="001A62D7" w:rsidRPr="00515CA2" w:rsidRDefault="00CA5DE4" w:rsidP="001D5990">
            <w:pPr>
              <w:spacing w:before="60" w:after="60"/>
              <w:jc w:val="center"/>
              <w:rPr>
                <w:rFonts w:eastAsia="Times New Roman"/>
                <w:noProof/>
                <w:sz w:val="22"/>
              </w:rPr>
            </w:pPr>
            <w:r w:rsidRPr="00515CA2">
              <w:rPr>
                <w:noProof/>
              </w:rPr>
              <w:t>15 606</w:t>
            </w:r>
          </w:p>
        </w:tc>
      </w:tr>
      <w:tr w:rsidR="001B0175" w:rsidRPr="00515CA2" w:rsidTr="001B0175">
        <w:trPr>
          <w:trHeight w:val="203"/>
        </w:trPr>
        <w:tc>
          <w:tcPr>
            <w:tcW w:w="4644" w:type="dxa"/>
            <w:vMerge w:val="restart"/>
            <w:shd w:val="clear" w:color="auto" w:fill="auto"/>
            <w:vAlign w:val="center"/>
          </w:tcPr>
          <w:p w:rsidR="001A62D7" w:rsidRPr="00515CA2" w:rsidRDefault="001A62D7" w:rsidP="001D5990">
            <w:pPr>
              <w:spacing w:before="60" w:after="60"/>
              <w:jc w:val="right"/>
              <w:rPr>
                <w:rFonts w:eastAsia="Times New Roman"/>
                <w:noProof/>
                <w:sz w:val="22"/>
              </w:rPr>
            </w:pPr>
            <w:r w:rsidRPr="00515CA2">
              <w:rPr>
                <w:noProof/>
                <w:sz w:val="22"/>
              </w:rPr>
              <w:t>Subtotal (c):</w:t>
            </w:r>
          </w:p>
          <w:p w:rsidR="001A62D7" w:rsidRPr="00515CA2" w:rsidRDefault="001A62D7" w:rsidP="001D5990">
            <w:pPr>
              <w:spacing w:before="60" w:after="60"/>
              <w:jc w:val="right"/>
              <w:rPr>
                <w:rFonts w:eastAsia="Times New Roman"/>
                <w:noProof/>
                <w:sz w:val="22"/>
              </w:rPr>
            </w:pPr>
            <w:r w:rsidRPr="00515CA2">
              <w:rPr>
                <w:noProof/>
                <w:sz w:val="22"/>
              </w:rPr>
              <w:t>Procentaj din costurile totale:</w:t>
            </w:r>
          </w:p>
        </w:tc>
        <w:tc>
          <w:tcPr>
            <w:tcW w:w="3096" w:type="dxa"/>
            <w:gridSpan w:val="2"/>
            <w:vMerge w:val="restart"/>
            <w:shd w:val="clear" w:color="auto" w:fill="D9D9D9"/>
            <w:vAlign w:val="center"/>
          </w:tcPr>
          <w:p w:rsidR="001A62D7" w:rsidRPr="00515CA2" w:rsidRDefault="001A62D7" w:rsidP="001D5990">
            <w:pPr>
              <w:spacing w:before="0" w:after="0"/>
              <w:jc w:val="center"/>
              <w:rPr>
                <w:rFonts w:eastAsia="Times New Roman"/>
                <w:noProof/>
                <w:sz w:val="22"/>
              </w:rPr>
            </w:pPr>
            <w:r w:rsidRPr="00515CA2">
              <w:rPr>
                <w:noProof/>
                <w:sz w:val="22"/>
              </w:rPr>
              <w:t>–</w:t>
            </w:r>
          </w:p>
        </w:tc>
        <w:tc>
          <w:tcPr>
            <w:tcW w:w="1548" w:type="dxa"/>
            <w:tcBorders>
              <w:bottom w:val="nil"/>
            </w:tcBorders>
            <w:shd w:val="clear" w:color="auto" w:fill="auto"/>
            <w:vAlign w:val="center"/>
          </w:tcPr>
          <w:p w:rsidR="001A62D7" w:rsidRPr="00515CA2" w:rsidRDefault="00E1077D" w:rsidP="001D5990">
            <w:pPr>
              <w:spacing w:before="60" w:after="60"/>
              <w:jc w:val="center"/>
              <w:rPr>
                <w:rFonts w:eastAsia="Times New Roman"/>
                <w:noProof/>
                <w:sz w:val="22"/>
              </w:rPr>
            </w:pPr>
            <w:r w:rsidRPr="00515CA2">
              <w:rPr>
                <w:noProof/>
              </w:rPr>
              <w:t>33 866</w:t>
            </w:r>
          </w:p>
        </w:tc>
      </w:tr>
      <w:tr w:rsidR="001B0175" w:rsidRPr="00515CA2" w:rsidTr="001B0175">
        <w:trPr>
          <w:trHeight w:val="202"/>
        </w:trPr>
        <w:tc>
          <w:tcPr>
            <w:tcW w:w="4644" w:type="dxa"/>
            <w:vMerge/>
            <w:shd w:val="clear" w:color="auto" w:fill="auto"/>
          </w:tcPr>
          <w:p w:rsidR="001A62D7" w:rsidRPr="00515CA2"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515CA2"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515CA2" w:rsidRDefault="001A62D7" w:rsidP="001D5990">
            <w:pPr>
              <w:spacing w:before="60" w:after="60"/>
              <w:jc w:val="center"/>
              <w:rPr>
                <w:rFonts w:eastAsia="Times New Roman"/>
                <w:noProof/>
                <w:sz w:val="22"/>
              </w:rPr>
            </w:pPr>
            <w:r w:rsidRPr="00515CA2">
              <w:rPr>
                <w:noProof/>
                <w:sz w:val="22"/>
              </w:rPr>
              <w:t>(</w:t>
            </w:r>
            <w:r w:rsidRPr="00515CA2">
              <w:rPr>
                <w:noProof/>
              </w:rPr>
              <w:t>1,42</w:t>
            </w:r>
            <w:r w:rsidR="00BD1445" w:rsidRPr="00515CA2">
              <w:rPr>
                <w:noProof/>
              </w:rPr>
              <w:t> </w:t>
            </w:r>
            <w:r w:rsidRPr="00515CA2">
              <w:rPr>
                <w:noProof/>
                <w:sz w:val="22"/>
              </w:rPr>
              <w:t>%)</w:t>
            </w:r>
          </w:p>
        </w:tc>
      </w:tr>
      <w:tr w:rsidR="001B0175" w:rsidRPr="00515CA2" w:rsidTr="001B0175">
        <w:tc>
          <w:tcPr>
            <w:tcW w:w="4644" w:type="dxa"/>
            <w:shd w:val="clear" w:color="auto" w:fill="auto"/>
          </w:tcPr>
          <w:p w:rsidR="001A62D7" w:rsidRPr="00515CA2" w:rsidRDefault="001A62D7" w:rsidP="001D5990">
            <w:pPr>
              <w:spacing w:before="60" w:after="60"/>
              <w:jc w:val="left"/>
              <w:rPr>
                <w:rFonts w:eastAsia="Times New Roman"/>
                <w:noProof/>
                <w:sz w:val="22"/>
              </w:rPr>
            </w:pPr>
            <w:r w:rsidRPr="00515CA2">
              <w:rPr>
                <w:noProof/>
                <w:sz w:val="22"/>
              </w:rPr>
              <w:t>Costuri totale (a + b + c):</w:t>
            </w:r>
          </w:p>
        </w:tc>
        <w:tc>
          <w:tcPr>
            <w:tcW w:w="3096" w:type="dxa"/>
            <w:gridSpan w:val="2"/>
            <w:shd w:val="clear" w:color="auto" w:fill="D9D9D9"/>
            <w:vAlign w:val="center"/>
          </w:tcPr>
          <w:p w:rsidR="001A62D7" w:rsidRPr="00515CA2" w:rsidRDefault="001A62D7" w:rsidP="001D5990">
            <w:pPr>
              <w:spacing w:before="60" w:after="60"/>
              <w:jc w:val="center"/>
              <w:rPr>
                <w:rFonts w:eastAsia="Times New Roman"/>
                <w:noProof/>
                <w:sz w:val="22"/>
              </w:rPr>
            </w:pPr>
            <w:r w:rsidRPr="00515CA2">
              <w:rPr>
                <w:noProof/>
                <w:sz w:val="22"/>
              </w:rPr>
              <w:t>–</w:t>
            </w:r>
          </w:p>
        </w:tc>
        <w:tc>
          <w:tcPr>
            <w:tcW w:w="1548" w:type="dxa"/>
            <w:shd w:val="clear" w:color="auto" w:fill="auto"/>
          </w:tcPr>
          <w:p w:rsidR="001A62D7" w:rsidRPr="00515CA2" w:rsidRDefault="00D00BAE" w:rsidP="001D5990">
            <w:pPr>
              <w:spacing w:before="60" w:after="60"/>
              <w:jc w:val="center"/>
              <w:rPr>
                <w:noProof/>
                <w:sz w:val="22"/>
              </w:rPr>
            </w:pPr>
            <w:r w:rsidRPr="00515CA2">
              <w:rPr>
                <w:noProof/>
              </w:rPr>
              <w:t>2 392 788</w:t>
            </w:r>
          </w:p>
        </w:tc>
      </w:tr>
      <w:tr w:rsidR="001B0175" w:rsidRPr="00515CA2" w:rsidTr="001B0175">
        <w:tc>
          <w:tcPr>
            <w:tcW w:w="4644" w:type="dxa"/>
            <w:shd w:val="clear" w:color="auto" w:fill="auto"/>
          </w:tcPr>
          <w:p w:rsidR="001A62D7" w:rsidRPr="00515CA2" w:rsidRDefault="001A62D7" w:rsidP="001D5990">
            <w:pPr>
              <w:spacing w:before="60" w:after="60"/>
              <w:jc w:val="left"/>
              <w:rPr>
                <w:rFonts w:eastAsia="Times New Roman"/>
                <w:noProof/>
                <w:sz w:val="22"/>
              </w:rPr>
            </w:pPr>
            <w:r w:rsidRPr="00515CA2">
              <w:rPr>
                <w:noProof/>
                <w:sz w:val="22"/>
              </w:rPr>
              <w:t>Contribuția din partea FEG (</w:t>
            </w:r>
            <w:r w:rsidRPr="00515CA2">
              <w:rPr>
                <w:noProof/>
              </w:rPr>
              <w:t>85</w:t>
            </w:r>
            <w:r w:rsidRPr="00515CA2">
              <w:rPr>
                <w:noProof/>
                <w:sz w:val="22"/>
              </w:rPr>
              <w:t> % din costurile totale)</w:t>
            </w:r>
          </w:p>
        </w:tc>
        <w:tc>
          <w:tcPr>
            <w:tcW w:w="3096" w:type="dxa"/>
            <w:gridSpan w:val="2"/>
            <w:shd w:val="clear" w:color="auto" w:fill="D9D9D9"/>
            <w:vAlign w:val="center"/>
          </w:tcPr>
          <w:p w:rsidR="001A62D7" w:rsidRPr="00515CA2" w:rsidRDefault="001A62D7" w:rsidP="001D5990">
            <w:pPr>
              <w:spacing w:before="60" w:after="60"/>
              <w:jc w:val="center"/>
              <w:rPr>
                <w:rFonts w:eastAsia="Times New Roman"/>
                <w:noProof/>
                <w:sz w:val="22"/>
              </w:rPr>
            </w:pPr>
            <w:r w:rsidRPr="00515CA2">
              <w:rPr>
                <w:noProof/>
                <w:sz w:val="22"/>
              </w:rPr>
              <w:t>–</w:t>
            </w:r>
          </w:p>
        </w:tc>
        <w:tc>
          <w:tcPr>
            <w:tcW w:w="1548" w:type="dxa"/>
            <w:shd w:val="clear" w:color="auto" w:fill="auto"/>
          </w:tcPr>
          <w:p w:rsidR="001A62D7" w:rsidRPr="00515CA2" w:rsidRDefault="00E1077D" w:rsidP="001D5990">
            <w:pPr>
              <w:spacing w:before="60" w:after="60"/>
              <w:jc w:val="center"/>
              <w:rPr>
                <w:rFonts w:eastAsia="Times New Roman"/>
                <w:noProof/>
                <w:sz w:val="22"/>
              </w:rPr>
            </w:pPr>
            <w:r w:rsidRPr="00515CA2">
              <w:rPr>
                <w:noProof/>
              </w:rPr>
              <w:t>2 033 869</w:t>
            </w:r>
          </w:p>
        </w:tc>
      </w:tr>
    </w:tbl>
    <w:p w:rsidR="001A62D7" w:rsidRPr="00515CA2" w:rsidRDefault="001A62D7" w:rsidP="00AE7D04">
      <w:pPr>
        <w:pStyle w:val="ManualNumPar1"/>
        <w:rPr>
          <w:noProof/>
          <w:szCs w:val="20"/>
        </w:rPr>
      </w:pPr>
      <w:r>
        <w:rPr>
          <w:noProof/>
        </w:rPr>
        <w:t>35.</w:t>
      </w:r>
      <w:r>
        <w:rPr>
          <w:noProof/>
        </w:rPr>
        <w:tab/>
      </w:r>
      <w:r w:rsidRPr="00515CA2">
        <w:rPr>
          <w:noProof/>
        </w:rPr>
        <w:t>Costurile măsurilor identificate în tabelul de mai sus ca măsuri adoptate în temeiul articolului 7 alineatul (2) al doilea paragraf litera (b) din Regulamentul (UE) 2021/691 nu depășesc 35 % din costurile totale ale pachetului coordonat de servicii personalizate. Belgia a confirmat că aceste măsuri sunt condiționate de participarea activă a beneficiarilor vizați la activități de căutare a unui loc de muncă sau de formare.</w:t>
      </w:r>
    </w:p>
    <w:p w:rsidR="001A62D7" w:rsidRPr="00515CA2" w:rsidRDefault="001A62D7" w:rsidP="00AE7D04">
      <w:pPr>
        <w:pStyle w:val="ManualNumPar1"/>
        <w:rPr>
          <w:noProof/>
        </w:rPr>
      </w:pPr>
      <w:r>
        <w:rPr>
          <w:noProof/>
        </w:rPr>
        <w:t>36.</w:t>
      </w:r>
      <w:r>
        <w:rPr>
          <w:noProof/>
        </w:rPr>
        <w:tab/>
      </w:r>
      <w:r w:rsidRPr="00515CA2">
        <w:rPr>
          <w:noProof/>
        </w:rPr>
        <w:t xml:space="preserve">În conformitate cu articolul 7 alineatul (2) al patrulea paragraf din Regulamentul (UE) 2021/691, Belgia a confirmat că costurile investițiilor pentru desfășurarea de </w:t>
      </w:r>
      <w:r w:rsidRPr="00515CA2">
        <w:rPr>
          <w:noProof/>
        </w:rPr>
        <w:lastRenderedPageBreak/>
        <w:t>activități independente, înființarea de noi întreprinderi și preluarea întreprinderilor de către angajați nu vor depăși 22 000 EUR per beneficiar.</w:t>
      </w:r>
    </w:p>
    <w:p w:rsidR="001A62D7" w:rsidRPr="00515CA2" w:rsidRDefault="001A62D7" w:rsidP="001A62D7">
      <w:pPr>
        <w:pStyle w:val="ManualHeading3"/>
        <w:rPr>
          <w:noProof/>
        </w:rPr>
      </w:pPr>
      <w:r w:rsidRPr="00515CA2">
        <w:rPr>
          <w:noProof/>
        </w:rPr>
        <w:t>Perioada de eligibilitate a cheltuielilor</w:t>
      </w:r>
    </w:p>
    <w:p w:rsidR="001A62D7" w:rsidRPr="00515CA2" w:rsidRDefault="00A00F6A" w:rsidP="00AE7D04">
      <w:pPr>
        <w:pStyle w:val="ManualNumPar1"/>
        <w:rPr>
          <w:noProof/>
        </w:rPr>
      </w:pPr>
      <w:r>
        <w:rPr>
          <w:noProof/>
        </w:rPr>
        <w:t>37.</w:t>
      </w:r>
      <w:r>
        <w:rPr>
          <w:noProof/>
        </w:rPr>
        <w:tab/>
      </w:r>
      <w:r w:rsidRPr="00515CA2">
        <w:rPr>
          <w:noProof/>
        </w:rPr>
        <w:t>Belgia a început prestarea serviciilor personalizate către beneficiarii vizați la 1 iunie 2025. Prin urmare, cheltuielile aferente măsurilor vor fi eligibile pentru o contribuție financiară din FEG începând cu 1 iunie 2025, pentru o perioadă de 24 de luni de la data intrării în vigoare a deciziei de finanțare.</w:t>
      </w:r>
    </w:p>
    <w:p w:rsidR="001A62D7" w:rsidRPr="00515CA2" w:rsidRDefault="00580012" w:rsidP="00AE7D04">
      <w:pPr>
        <w:pStyle w:val="ManualNumPar1"/>
        <w:rPr>
          <w:noProof/>
        </w:rPr>
      </w:pPr>
      <w:r>
        <w:rPr>
          <w:noProof/>
        </w:rPr>
        <w:t>38.</w:t>
      </w:r>
      <w:r>
        <w:rPr>
          <w:noProof/>
        </w:rPr>
        <w:tab/>
      </w:r>
      <w:r w:rsidRPr="00515CA2">
        <w:rPr>
          <w:noProof/>
        </w:rPr>
        <w:t xml:space="preserve">Belgia a început plata cheltuielilor administrative pentru punerea în aplicare a FEG la 22 aprilie 2025. Prin urmare, cheltuielile pentru activitățile de pregătire, gestionare, informare și publicitate, control și raportare sunt eligibile pentru o contribuție financiară din FEG de la 22 aprilie 2025, pentru o perioadă de 31 de luni de la data intrării în vigoare a deciziei de finanțare. </w:t>
      </w:r>
    </w:p>
    <w:p w:rsidR="001A62D7" w:rsidRPr="00515CA2" w:rsidRDefault="001A62D7" w:rsidP="001A62D7">
      <w:pPr>
        <w:pStyle w:val="ManualHeading2"/>
        <w:rPr>
          <w:noProof/>
        </w:rPr>
      </w:pPr>
      <w:r w:rsidRPr="00515CA2">
        <w:rPr>
          <w:noProof/>
        </w:rPr>
        <w:t>Sisteme de gestionare și control</w:t>
      </w:r>
    </w:p>
    <w:p w:rsidR="001A62D7" w:rsidRPr="00515CA2" w:rsidRDefault="001A62D7" w:rsidP="00AE7D04">
      <w:pPr>
        <w:pStyle w:val="ManualNumPar1"/>
        <w:rPr>
          <w:noProof/>
        </w:rPr>
      </w:pPr>
      <w:r>
        <w:rPr>
          <w:noProof/>
        </w:rPr>
        <w:t>39.</w:t>
      </w:r>
      <w:r>
        <w:rPr>
          <w:noProof/>
        </w:rPr>
        <w:tab/>
      </w:r>
      <w:r w:rsidRPr="00515CA2">
        <w:rPr>
          <w:noProof/>
        </w:rPr>
        <w:t>Cererea conține o descriere a sistemului de gestionare și control prevăzut la articolul 23 din Regulamentul (UE) 2021/691, care precizează responsabilitățile organismelor implicate. Belgia a notificat Comisiei faptul că această contribuție financiară va fi gestionată și controlată de către aceleași organisme care asigură gestionarea și controlul FSE+ în Regiunea Valonă.</w:t>
      </w:r>
    </w:p>
    <w:p w:rsidR="001A62D7" w:rsidRPr="00515CA2" w:rsidRDefault="001A62D7" w:rsidP="001A62D7">
      <w:pPr>
        <w:pStyle w:val="ManualHeading2"/>
        <w:rPr>
          <w:noProof/>
        </w:rPr>
      </w:pPr>
      <w:r w:rsidRPr="00515CA2">
        <w:rPr>
          <w:noProof/>
        </w:rPr>
        <w:t>Angajamentele asumate de statul membru în cauză</w:t>
      </w:r>
    </w:p>
    <w:p w:rsidR="001A62D7" w:rsidRPr="00515CA2" w:rsidRDefault="005E4A90" w:rsidP="00AE7D04">
      <w:pPr>
        <w:pStyle w:val="ManualNumPar1"/>
        <w:rPr>
          <w:noProof/>
        </w:rPr>
      </w:pPr>
      <w:r>
        <w:rPr>
          <w:noProof/>
        </w:rPr>
        <w:t>40.</w:t>
      </w:r>
      <w:r>
        <w:rPr>
          <w:noProof/>
        </w:rPr>
        <w:tab/>
      </w:r>
      <w:r w:rsidRPr="00515CA2">
        <w:rPr>
          <w:noProof/>
        </w:rPr>
        <w:t xml:space="preserve">Belgia a oferit toate garanțiile necesare cu privire la următoarele: </w:t>
      </w:r>
    </w:p>
    <w:p w:rsidR="001A62D7" w:rsidRPr="00515CA2" w:rsidRDefault="001A62D7" w:rsidP="001A62D7">
      <w:pPr>
        <w:pStyle w:val="Tiret1"/>
        <w:rPr>
          <w:noProof/>
        </w:rPr>
      </w:pPr>
      <w:r w:rsidRPr="00515CA2">
        <w:rPr>
          <w:noProof/>
        </w:rPr>
        <w:t>în contextul accesului la măsurile propuse și al punerii în aplicare a acestora, vor fi respectate principiul egalității de tratament și principiul nediscriminării,</w:t>
      </w:r>
    </w:p>
    <w:p w:rsidR="001A62D7" w:rsidRPr="00515CA2" w:rsidRDefault="001A62D7" w:rsidP="001A62D7">
      <w:pPr>
        <w:pStyle w:val="Tiret1"/>
        <w:rPr>
          <w:noProof/>
        </w:rPr>
      </w:pPr>
      <w:r w:rsidRPr="00515CA2">
        <w:rPr>
          <w:noProof/>
        </w:rPr>
        <w:t>au fost îndeplinite cerințele prevăzute de legislația națională și de legislația UE în ceea ce privește concedierile colective,</w:t>
      </w:r>
    </w:p>
    <w:p w:rsidR="001A62D7" w:rsidRPr="00515CA2" w:rsidRDefault="001A62D7" w:rsidP="001A62D7">
      <w:pPr>
        <w:pStyle w:val="Tiret1"/>
        <w:rPr>
          <w:noProof/>
        </w:rPr>
      </w:pPr>
      <w:r w:rsidRPr="00515CA2">
        <w:rPr>
          <w:noProof/>
        </w:rPr>
        <w:t>se va evita orice fel de dublă finanțare,</w:t>
      </w:r>
    </w:p>
    <w:p w:rsidR="001A62D7" w:rsidRPr="00515CA2" w:rsidRDefault="001A62D7" w:rsidP="001A62D7">
      <w:pPr>
        <w:pStyle w:val="Tiret1"/>
        <w:rPr>
          <w:noProof/>
        </w:rPr>
      </w:pPr>
      <w:r w:rsidRPr="00515CA2">
        <w:rPr>
          <w:noProof/>
        </w:rPr>
        <w:t>contribuția financiară din partea FEG va respecta normele procedurale și de fond ale Uniunii privind ajutoarele de stat.</w:t>
      </w:r>
    </w:p>
    <w:p w:rsidR="001A62D7" w:rsidRPr="00515CA2" w:rsidRDefault="001A62D7" w:rsidP="001A62D7">
      <w:pPr>
        <w:pStyle w:val="ManualHeading1"/>
        <w:rPr>
          <w:noProof/>
        </w:rPr>
      </w:pPr>
      <w:r w:rsidRPr="00515CA2">
        <w:rPr>
          <w:noProof/>
        </w:rPr>
        <w:t>IMPLICAȚII BUGETARE</w:t>
      </w:r>
    </w:p>
    <w:p w:rsidR="001A62D7" w:rsidRPr="00515CA2" w:rsidRDefault="001A62D7" w:rsidP="001A62D7">
      <w:pPr>
        <w:pStyle w:val="ManualHeading2"/>
        <w:rPr>
          <w:noProof/>
        </w:rPr>
      </w:pPr>
      <w:r w:rsidRPr="00515CA2">
        <w:rPr>
          <w:noProof/>
        </w:rPr>
        <w:t>Propunerea bugetară</w:t>
      </w:r>
    </w:p>
    <w:p w:rsidR="001A62D7" w:rsidRPr="00515CA2" w:rsidRDefault="001A62D7" w:rsidP="00AE7D04">
      <w:pPr>
        <w:pStyle w:val="ManualNumPar1"/>
        <w:rPr>
          <w:noProof/>
        </w:rPr>
      </w:pPr>
      <w:r>
        <w:rPr>
          <w:noProof/>
        </w:rPr>
        <w:t>41.</w:t>
      </w:r>
      <w:r>
        <w:rPr>
          <w:noProof/>
        </w:rPr>
        <w:tab/>
      </w:r>
      <w:r w:rsidRPr="00515CA2">
        <w:rPr>
          <w:noProof/>
        </w:rPr>
        <w:t>FEG nu trebuie să depășească un cuantum anual de maximum 30 de milioane EUR (la prețurile din 2018), astfel cum se prevede la articolul 8 din Regulamentul (UE, Euratom) 2020/2093 al Consiliului din 17 decembrie 2020 de stabilire a cadrului financiar multianual pentru perioada 2021-2027</w:t>
      </w:r>
      <w:r w:rsidRPr="00515CA2">
        <w:rPr>
          <w:rStyle w:val="FootnoteReference"/>
          <w:noProof/>
        </w:rPr>
        <w:footnoteReference w:id="32"/>
      </w:r>
      <w:r w:rsidRPr="00515CA2">
        <w:rPr>
          <w:noProof/>
        </w:rPr>
        <w:t xml:space="preserve"> modificat prin Regulamentul (UE, Euratom) 2024/765 al Consiliului din 29 februarie 2024</w:t>
      </w:r>
      <w:r w:rsidRPr="00515CA2">
        <w:rPr>
          <w:rStyle w:val="FootnoteReference"/>
          <w:noProof/>
        </w:rPr>
        <w:footnoteReference w:id="33"/>
      </w:r>
      <w:r w:rsidRPr="00515CA2">
        <w:rPr>
          <w:noProof/>
        </w:rPr>
        <w:t>.</w:t>
      </w:r>
    </w:p>
    <w:p w:rsidR="001A62D7" w:rsidRPr="00515CA2" w:rsidRDefault="001A62D7" w:rsidP="00AE7D04">
      <w:pPr>
        <w:pStyle w:val="ManualNumPar1"/>
        <w:rPr>
          <w:rFonts w:eastAsia="Calibri"/>
          <w:noProof/>
        </w:rPr>
      </w:pPr>
      <w:r>
        <w:rPr>
          <w:noProof/>
        </w:rPr>
        <w:t>42.</w:t>
      </w:r>
      <w:r>
        <w:rPr>
          <w:noProof/>
        </w:rPr>
        <w:tab/>
      </w:r>
      <w:r w:rsidRPr="00515CA2">
        <w:rPr>
          <w:noProof/>
        </w:rPr>
        <w:t>După examinarea cererii în conformitate cu condițiile stabilite la articolul 13 alineatele (1) și (2) din Regulamentul (UE) 2021/691 și luând în considerare numărul de beneficiari vizați, măsurile propuse și costurile estimate, Comisia propune mobilizarea FEG pentru suma de 2 033 869 EUR, reprezentând 85 % din costurile totale ale măsurilor propuse, cu scopul de a furniza o contribuție financiară ca răspuns la cererea menționată.</w:t>
      </w:r>
    </w:p>
    <w:p w:rsidR="001A62D7" w:rsidRPr="00515CA2" w:rsidRDefault="001A62D7" w:rsidP="00AE7D04">
      <w:pPr>
        <w:pStyle w:val="ManualNumPar1"/>
        <w:rPr>
          <w:rFonts w:eastAsia="Times New Roman"/>
          <w:noProof/>
        </w:rPr>
      </w:pPr>
      <w:r>
        <w:rPr>
          <w:noProof/>
        </w:rPr>
        <w:lastRenderedPageBreak/>
        <w:t>43.</w:t>
      </w:r>
      <w:r>
        <w:rPr>
          <w:noProof/>
        </w:rPr>
        <w:tab/>
      </w:r>
      <w:r w:rsidRPr="00515CA2">
        <w:rPr>
          <w:noProof/>
        </w:rPr>
        <w:t>Decizia propusă privind mobilizarea FEG va fi adoptată în comun de Parlamentul European și de Consiliu, în conformitate cu articolul 15 alineatul (1) primul paragraf a doua teză din Regulamentul (UE) 2021/691 și astfel cum se prevede la punctul 9 din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515CA2">
        <w:rPr>
          <w:rStyle w:val="FootnoteReference"/>
          <w:noProof/>
        </w:rPr>
        <w:footnoteReference w:id="34"/>
      </w:r>
      <w:r w:rsidRPr="00515CA2">
        <w:rPr>
          <w:noProof/>
        </w:rPr>
        <w:t>.</w:t>
      </w:r>
    </w:p>
    <w:p w:rsidR="001A62D7" w:rsidRPr="00515CA2" w:rsidRDefault="001A62D7" w:rsidP="001A62D7">
      <w:pPr>
        <w:pStyle w:val="ManualHeading2"/>
        <w:rPr>
          <w:noProof/>
        </w:rPr>
      </w:pPr>
      <w:r w:rsidRPr="00515CA2">
        <w:rPr>
          <w:noProof/>
        </w:rPr>
        <w:t>Acte conexe</w:t>
      </w:r>
    </w:p>
    <w:p w:rsidR="001A62D7" w:rsidRPr="00515CA2" w:rsidRDefault="001A62D7" w:rsidP="00AE7D04">
      <w:pPr>
        <w:pStyle w:val="ManualNumPar1"/>
        <w:rPr>
          <w:noProof/>
        </w:rPr>
      </w:pPr>
      <w:r>
        <w:rPr>
          <w:noProof/>
        </w:rPr>
        <w:t>44.</w:t>
      </w:r>
      <w:r>
        <w:rPr>
          <w:noProof/>
        </w:rPr>
        <w:tab/>
      </w:r>
      <w:r w:rsidRPr="00515CA2">
        <w:rPr>
          <w:noProof/>
        </w:rPr>
        <w:t>În același timp cu prezentarea acestei propuneri de decizie privind mobilizarea FEG, Comisia va prezenta Parlamentului European și Consiliului o propunere de transfer al sumei de 2 033 869 EUR către linia bugetară relevantă.</w:t>
      </w:r>
    </w:p>
    <w:p w:rsidR="001A62D7" w:rsidRPr="00515CA2" w:rsidRDefault="001A62D7" w:rsidP="00AE7D04">
      <w:pPr>
        <w:pStyle w:val="ManualNumPar1"/>
        <w:rPr>
          <w:noProof/>
        </w:rPr>
      </w:pPr>
      <w:r>
        <w:rPr>
          <w:noProof/>
        </w:rPr>
        <w:t>45.</w:t>
      </w:r>
      <w:r>
        <w:rPr>
          <w:noProof/>
        </w:rPr>
        <w:tab/>
      </w:r>
      <w:r w:rsidRPr="00515CA2">
        <w:rPr>
          <w:noProof/>
        </w:rPr>
        <w:t>Concomitent cu adoptarea prezentei propuneri de decizie privind mobilizarea FEG, Comisia a adoptat o decizie privind o contribuție financiară, care constituie o decizie de finanțare în sensul articolului 110 din Regulamentul (UE, Euratom) 2024/2509</w:t>
      </w:r>
      <w:r w:rsidRPr="00515CA2">
        <w:rPr>
          <w:rStyle w:val="FootnoteReference"/>
          <w:noProof/>
        </w:rPr>
        <w:footnoteReference w:id="35"/>
      </w:r>
      <w:r w:rsidRPr="00515CA2">
        <w:rPr>
          <w:noProof/>
        </w:rPr>
        <w:t>. Respectiva decizie de finanțare va intra în vigoare la data la care Comisiei i se notifică aprobarea transferului bugetar de către Parlamentul European și Consiliu în conformitate cu articolul 15 alineatul (2) primul paragraf din Regulamentul (UE) 2021/691.</w:t>
      </w:r>
    </w:p>
    <w:p w:rsidR="001A62D7" w:rsidRPr="00515CA2" w:rsidRDefault="001A62D7" w:rsidP="001A62D7">
      <w:pPr>
        <w:rPr>
          <w:noProof/>
        </w:rPr>
        <w:sectPr w:rsidR="001A62D7" w:rsidRPr="00515CA2" w:rsidSect="00B70905">
          <w:pgSz w:w="11907" w:h="16839"/>
          <w:pgMar w:top="1134" w:right="1417" w:bottom="1134" w:left="1417" w:header="709" w:footer="709" w:gutter="0"/>
          <w:pgNumType w:start="1"/>
          <w:cols w:space="708"/>
          <w:docGrid w:linePitch="360"/>
        </w:sectPr>
      </w:pPr>
    </w:p>
    <w:p w:rsidR="005E1D5A" w:rsidRDefault="00E1224B">
      <w:pPr>
        <w:pStyle w:val="Rfrenceinterinstitutionnelle"/>
        <w:rPr>
          <w:noProof/>
        </w:rPr>
      </w:pPr>
      <w:r>
        <w:rPr>
          <w:noProof/>
        </w:rPr>
        <w:lastRenderedPageBreak/>
        <w:t>2026/0066 (BUD)</w:t>
      </w:r>
    </w:p>
    <w:p w:rsidR="001A62D7" w:rsidRPr="00515CA2" w:rsidRDefault="00B81E3D" w:rsidP="00B81E3D">
      <w:pPr>
        <w:pStyle w:val="Statut"/>
        <w:rPr>
          <w:noProof/>
        </w:rPr>
      </w:pPr>
      <w:r w:rsidRPr="00515CA2">
        <w:rPr>
          <w:noProof/>
        </w:rPr>
        <w:t>Propunere de</w:t>
      </w:r>
    </w:p>
    <w:p w:rsidR="001A62D7" w:rsidRPr="00515CA2" w:rsidRDefault="00B81E3D" w:rsidP="00B81E3D">
      <w:pPr>
        <w:pStyle w:val="Typedudocument"/>
        <w:rPr>
          <w:noProof/>
        </w:rPr>
      </w:pPr>
      <w:r w:rsidRPr="00515CA2">
        <w:rPr>
          <w:noProof/>
        </w:rPr>
        <w:t>DECIZIE A PARLAMENTULUI EUROPEAN ȘI A CONSILIULUI</w:t>
      </w:r>
    </w:p>
    <w:p w:rsidR="001A62D7" w:rsidRPr="00515CA2" w:rsidRDefault="00B81E3D" w:rsidP="00B81E3D">
      <w:pPr>
        <w:pStyle w:val="Titreobjet"/>
        <w:rPr>
          <w:noProof/>
        </w:rPr>
      </w:pPr>
      <w:r w:rsidRPr="00515CA2">
        <w:rPr>
          <w:noProof/>
        </w:rPr>
        <w:t>privind mobilizarea Fondului european de ajustare la globalizare pentru lucrătorii disponibilizați în urma unei cereri din partea Belgiei - EGF/2025/008 BE/Liberty</w:t>
      </w:r>
    </w:p>
    <w:p w:rsidR="001A62D7" w:rsidRPr="00515CA2" w:rsidRDefault="001A62D7" w:rsidP="001A62D7">
      <w:pPr>
        <w:pStyle w:val="Institutionquiagit"/>
        <w:rPr>
          <w:noProof/>
        </w:rPr>
      </w:pPr>
      <w:r w:rsidRPr="00515CA2">
        <w:rPr>
          <w:noProof/>
        </w:rPr>
        <w:t>PARLAMENTUL EUROPEAN ȘI CONSILIUL UNIUNII EUROPENE,</w:t>
      </w:r>
    </w:p>
    <w:p w:rsidR="001A62D7" w:rsidRPr="00515CA2" w:rsidRDefault="001A62D7" w:rsidP="001A62D7">
      <w:pPr>
        <w:rPr>
          <w:noProof/>
        </w:rPr>
      </w:pPr>
      <w:r w:rsidRPr="00515CA2">
        <w:rPr>
          <w:noProof/>
        </w:rPr>
        <w:t>având în vedere Tratatul privind funcționarea Uniunii Europene,</w:t>
      </w:r>
    </w:p>
    <w:p w:rsidR="001A62D7" w:rsidRPr="00515CA2" w:rsidRDefault="001A62D7" w:rsidP="001A62D7">
      <w:pPr>
        <w:rPr>
          <w:noProof/>
        </w:rPr>
      </w:pPr>
      <w:r w:rsidRPr="00515CA2">
        <w:rPr>
          <w:noProof/>
        </w:rPr>
        <w:t>având în vedere Regulamentul (UE) 2021/691 al Parlamentului European și al Consiliului din 28 aprilie 2021 privind Fondul european de ajustare la globalizare pentru lucrătorii disponibilizați (FEG) și de abrogare a Regulamentului (UE) nr. 1309/2013</w:t>
      </w:r>
      <w:r w:rsidRPr="00515CA2">
        <w:rPr>
          <w:rStyle w:val="FootnoteReference"/>
          <w:noProof/>
        </w:rPr>
        <w:footnoteReference w:id="36"/>
      </w:r>
      <w:r w:rsidRPr="00515CA2">
        <w:rPr>
          <w:noProof/>
        </w:rPr>
        <w:t>, în special articolul 15 alineatul (1) primul paragraf,</w:t>
      </w:r>
    </w:p>
    <w:p w:rsidR="001A62D7" w:rsidRPr="00515CA2" w:rsidRDefault="001A62D7" w:rsidP="001A62D7">
      <w:pPr>
        <w:rPr>
          <w:noProof/>
        </w:rPr>
      </w:pPr>
      <w:r w:rsidRPr="00515CA2">
        <w:rPr>
          <w:noProof/>
        </w:rPr>
        <w:t>având în vedere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515CA2">
        <w:rPr>
          <w:rStyle w:val="FootnoteReference"/>
          <w:noProof/>
        </w:rPr>
        <w:footnoteReference w:id="37"/>
      </w:r>
      <w:r w:rsidRPr="00515CA2">
        <w:rPr>
          <w:noProof/>
        </w:rPr>
        <w:t>, în special punctul 9,</w:t>
      </w:r>
    </w:p>
    <w:p w:rsidR="001A62D7" w:rsidRPr="00515CA2" w:rsidRDefault="001A62D7" w:rsidP="001A62D7">
      <w:pPr>
        <w:rPr>
          <w:noProof/>
        </w:rPr>
      </w:pPr>
      <w:r w:rsidRPr="00515CA2">
        <w:rPr>
          <w:noProof/>
        </w:rPr>
        <w:t>având în vedere propunerea Comisiei Europene,</w:t>
      </w:r>
    </w:p>
    <w:p w:rsidR="001A62D7" w:rsidRPr="00515CA2" w:rsidRDefault="001A62D7" w:rsidP="001A62D7">
      <w:pPr>
        <w:rPr>
          <w:noProof/>
        </w:rPr>
      </w:pPr>
      <w:r w:rsidRPr="00515CA2">
        <w:rPr>
          <w:noProof/>
        </w:rPr>
        <w:t>întrucât:</w:t>
      </w:r>
    </w:p>
    <w:p w:rsidR="001A62D7" w:rsidRPr="00515CA2" w:rsidRDefault="001A62D7" w:rsidP="00AE7D04">
      <w:pPr>
        <w:pStyle w:val="ManualConsidrant"/>
        <w:rPr>
          <w:noProof/>
        </w:rPr>
      </w:pPr>
      <w:r>
        <w:rPr>
          <w:noProof/>
        </w:rPr>
        <w:t>(1)</w:t>
      </w:r>
      <w:r>
        <w:rPr>
          <w:noProof/>
        </w:rPr>
        <w:tab/>
      </w:r>
      <w:r w:rsidRPr="00515CA2">
        <w:rPr>
          <w:noProof/>
        </w:rPr>
        <w:t xml:space="preserve">Fondul european de ajustare la globalizare pentru lucrătorii disponibilizați (FEG) urmărește să demonstreze solidaritatea și să promoveze locuri de muncă decente și sustenabile în Uniune, oferind sprijin lucrătorilor concediați și lucrătorilor independenți a căror activitate a încetat în cazul unor evenimente majore de restructurare și ajutându-i să revină cât mai curând posibil la locuri de muncă decente și sustenabile. </w:t>
      </w:r>
    </w:p>
    <w:p w:rsidR="001A62D7" w:rsidRPr="00515CA2" w:rsidRDefault="001A62D7" w:rsidP="00AE7D04">
      <w:pPr>
        <w:pStyle w:val="ManualConsidrant"/>
        <w:rPr>
          <w:noProof/>
        </w:rPr>
      </w:pPr>
      <w:r>
        <w:rPr>
          <w:noProof/>
        </w:rPr>
        <w:t>(2)</w:t>
      </w:r>
      <w:r>
        <w:rPr>
          <w:noProof/>
        </w:rPr>
        <w:tab/>
      </w:r>
      <w:r w:rsidRPr="00515CA2">
        <w:rPr>
          <w:noProof/>
        </w:rPr>
        <w:t>FEG nu trebuie să depășească un cuantum anual de maximum 30 de milioane EUR (la prețurile din 2018), astfel cum se prevede la articolul 8 din Regulamentul (UE, Euratom) 2020/2093 al Consiliului</w:t>
      </w:r>
      <w:r w:rsidRPr="00515CA2">
        <w:rPr>
          <w:rStyle w:val="FootnoteReference"/>
          <w:noProof/>
        </w:rPr>
        <w:footnoteReference w:id="38"/>
      </w:r>
      <w:r w:rsidRPr="00515CA2">
        <w:rPr>
          <w:noProof/>
        </w:rPr>
        <w:t>, modificat prin Regulamentul (UE, Euratom) 2024/765 al Consiliului</w:t>
      </w:r>
      <w:r w:rsidRPr="00515CA2">
        <w:rPr>
          <w:rStyle w:val="FootnoteReference"/>
          <w:noProof/>
        </w:rPr>
        <w:footnoteReference w:id="39"/>
      </w:r>
      <w:r w:rsidRPr="00515CA2">
        <w:rPr>
          <w:noProof/>
        </w:rPr>
        <w:t>, și la articolul 16 din Regulamentul (UE) 2021/691.</w:t>
      </w:r>
    </w:p>
    <w:p w:rsidR="00B55C2C" w:rsidRPr="00515CA2" w:rsidRDefault="001A62D7" w:rsidP="00B55C2C">
      <w:pPr>
        <w:pStyle w:val="ManualConsidrant"/>
        <w:rPr>
          <w:noProof/>
        </w:rPr>
      </w:pPr>
      <w:r>
        <w:rPr>
          <w:noProof/>
        </w:rPr>
        <w:t>(3)</w:t>
      </w:r>
      <w:r>
        <w:rPr>
          <w:noProof/>
        </w:rPr>
        <w:tab/>
      </w:r>
      <w:r w:rsidRPr="00515CA2">
        <w:rPr>
          <w:noProof/>
        </w:rPr>
        <w:t xml:space="preserve">La 13 noiembrie 2025, Belgia a depus o cerere de mobilizare a FEG în conformitate cu articolul 8 alineatul (1) din Regulamentul (UE) 2021/691, referitoare la disponibilizările unor lucrători de la Liberty Galaţi Belgian Branch din Belgia. Cererea a fost completată cu informații suplimentare furnizate în conformitate cu articolul 8 alineatul (5) din Regulamentul (UE) 2021/691. Se consideră că cererea respectivă îndeplinește condițiile de acordare a unei contribuții financiare din FEG, astfel cum sunt prevăzute la articolul 13 din Regulamentul (UE) 2021/691, pe baza evaluării </w:t>
      </w:r>
      <w:r w:rsidRPr="00515CA2">
        <w:rPr>
          <w:noProof/>
        </w:rPr>
        <w:lastRenderedPageBreak/>
        <w:t>efectuate de Comisie în propunerea de decizie de mobilizare a Parlamentului European și a Consiliului</w:t>
      </w:r>
      <w:r w:rsidRPr="00515CA2">
        <w:rPr>
          <w:rStyle w:val="FootnoteReference"/>
          <w:iCs/>
          <w:noProof/>
        </w:rPr>
        <w:footnoteReference w:id="40"/>
      </w:r>
      <w:r w:rsidRPr="00515CA2">
        <w:rPr>
          <w:noProof/>
        </w:rPr>
        <w:t>.</w:t>
      </w:r>
    </w:p>
    <w:p w:rsidR="001A62D7" w:rsidRPr="00515CA2" w:rsidRDefault="001A62D7" w:rsidP="00AE7D04">
      <w:pPr>
        <w:pStyle w:val="ManualConsidrant"/>
        <w:rPr>
          <w:noProof/>
        </w:rPr>
      </w:pPr>
      <w:r>
        <w:rPr>
          <w:noProof/>
        </w:rPr>
        <w:t>(4)</w:t>
      </w:r>
      <w:r>
        <w:rPr>
          <w:noProof/>
        </w:rPr>
        <w:tab/>
      </w:r>
      <w:r w:rsidRPr="00515CA2">
        <w:rPr>
          <w:noProof/>
        </w:rPr>
        <w:t>Prin urmare, este necesară mobilizarea FEG pentru a se furniza o contribuție financiară în valoare de 2 033 869 EUR ca urmare a cererii depuse de Belgia.</w:t>
      </w:r>
    </w:p>
    <w:p w:rsidR="001A62D7" w:rsidRPr="00515CA2" w:rsidRDefault="001A62D7" w:rsidP="00AE7D04">
      <w:pPr>
        <w:pStyle w:val="ManualConsidrant"/>
        <w:rPr>
          <w:noProof/>
        </w:rPr>
      </w:pPr>
      <w:r>
        <w:rPr>
          <w:noProof/>
        </w:rPr>
        <w:t>(5)</w:t>
      </w:r>
      <w:r>
        <w:rPr>
          <w:noProof/>
        </w:rPr>
        <w:tab/>
      </w:r>
      <w:r w:rsidRPr="00515CA2">
        <w:rPr>
          <w:noProof/>
        </w:rPr>
        <w:t>Pentru a se reduce la minimum timpul necesar pentru mobilizarea FEG, prezenta decizie trebuie să se aplice de la data adoptării,</w:t>
      </w:r>
    </w:p>
    <w:p w:rsidR="001A62D7" w:rsidRPr="00515CA2" w:rsidRDefault="001A62D7" w:rsidP="001A62D7">
      <w:pPr>
        <w:pStyle w:val="Formuledadoption"/>
        <w:rPr>
          <w:noProof/>
        </w:rPr>
      </w:pPr>
      <w:r w:rsidRPr="00515CA2">
        <w:rPr>
          <w:noProof/>
        </w:rPr>
        <w:t xml:space="preserve">ADOPTĂ PREZENTA DECIZIE: </w:t>
      </w:r>
    </w:p>
    <w:p w:rsidR="001A62D7" w:rsidRPr="00515CA2" w:rsidRDefault="001A62D7" w:rsidP="001A62D7">
      <w:pPr>
        <w:pStyle w:val="Titrearticle"/>
        <w:rPr>
          <w:noProof/>
        </w:rPr>
      </w:pPr>
      <w:r w:rsidRPr="00515CA2">
        <w:rPr>
          <w:noProof/>
        </w:rPr>
        <w:t>Articolul 1</w:t>
      </w:r>
    </w:p>
    <w:p w:rsidR="001A62D7" w:rsidRPr="00515CA2" w:rsidRDefault="001A62D7" w:rsidP="001A62D7">
      <w:pPr>
        <w:rPr>
          <w:noProof/>
        </w:rPr>
      </w:pPr>
      <w:r w:rsidRPr="00515CA2">
        <w:rPr>
          <w:noProof/>
        </w:rPr>
        <w:t>În cadrul bugetului general al Uniunii aferent exercițiului financiar 2026, Fondul european de ajustare la globalizare pentru lucrătorii disponibilizați se mobilizează pentru a se furniza cuantumul de 2 033 869 EUR, sub formă de credite de angajament și de credite de plată.</w:t>
      </w:r>
    </w:p>
    <w:p w:rsidR="001A62D7" w:rsidRPr="00515CA2" w:rsidRDefault="001A62D7" w:rsidP="00073CA3">
      <w:pPr>
        <w:pStyle w:val="Titrearticle"/>
        <w:rPr>
          <w:noProof/>
        </w:rPr>
      </w:pPr>
      <w:r w:rsidRPr="00515CA2">
        <w:rPr>
          <w:noProof/>
        </w:rPr>
        <w:t>Articolul 2</w:t>
      </w:r>
    </w:p>
    <w:p w:rsidR="001A62D7" w:rsidRPr="00515CA2" w:rsidRDefault="001A62D7" w:rsidP="001A62D7">
      <w:pPr>
        <w:keepNext/>
        <w:keepLines/>
        <w:rPr>
          <w:noProof/>
        </w:rPr>
      </w:pPr>
      <w:r w:rsidRPr="00515CA2">
        <w:rPr>
          <w:noProof/>
        </w:rPr>
        <w:t xml:space="preserve">Prezenta decizie intră în vigoare la data publicării în Jurnalul Oficial al Uniunii Europene. Prezenta decizie se aplică de la </w:t>
      </w:r>
      <w:r w:rsidRPr="00515CA2">
        <w:rPr>
          <w:noProof/>
          <w:color w:val="FF0000"/>
        </w:rPr>
        <w:t>[</w:t>
      </w:r>
      <w:r w:rsidRPr="00515CA2">
        <w:rPr>
          <w:i/>
          <w:noProof/>
          <w:color w:val="FF0000"/>
        </w:rPr>
        <w:t>data adoptării</w:t>
      </w:r>
      <w:r w:rsidRPr="00515CA2">
        <w:rPr>
          <w:noProof/>
          <w:color w:val="FF0000"/>
        </w:rPr>
        <w:t>]</w:t>
      </w:r>
      <w:r w:rsidRPr="00515CA2">
        <w:rPr>
          <w:rStyle w:val="FootnoteReference"/>
          <w:noProof/>
          <w:color w:val="FF0000"/>
        </w:rPr>
        <w:footnoteReference w:customMarkFollows="1" w:id="41"/>
        <w:t>*</w:t>
      </w:r>
      <w:r w:rsidRPr="00515CA2">
        <w:rPr>
          <w:noProof/>
        </w:rPr>
        <w:t>.</w:t>
      </w:r>
    </w:p>
    <w:p w:rsidR="001A62D7" w:rsidRPr="00515CA2" w:rsidRDefault="00B81E3D" w:rsidP="00073CA3">
      <w:pPr>
        <w:pStyle w:val="Fait"/>
        <w:rPr>
          <w:noProof/>
        </w:rPr>
      </w:pPr>
      <w:r>
        <w:rPr>
          <w:noProof/>
        </w:rPr>
        <w:t>Adoptată la Bruxelles,</w:t>
      </w:r>
    </w:p>
    <w:p w:rsidR="001A62D7" w:rsidRPr="00515CA2" w:rsidRDefault="001A62D7" w:rsidP="00073CA3">
      <w:pPr>
        <w:pStyle w:val="Institutionquisigne"/>
        <w:rPr>
          <w:noProof/>
        </w:rPr>
      </w:pPr>
      <w:r w:rsidRPr="00515CA2">
        <w:rPr>
          <w:noProof/>
        </w:rPr>
        <w:t>Pentru Parlamentul European</w:t>
      </w:r>
      <w:r w:rsidRPr="00515CA2">
        <w:rPr>
          <w:noProof/>
        </w:rPr>
        <w:tab/>
        <w:t>Pentru Consiliu</w:t>
      </w:r>
    </w:p>
    <w:p w:rsidR="001A62D7" w:rsidRPr="00515CA2" w:rsidRDefault="001A62D7" w:rsidP="001A62D7">
      <w:pPr>
        <w:pStyle w:val="Personnequisigne"/>
        <w:rPr>
          <w:noProof/>
        </w:rPr>
      </w:pPr>
      <w:r w:rsidRPr="00515CA2">
        <w:rPr>
          <w:noProof/>
        </w:rPr>
        <w:t>Președinta</w:t>
      </w:r>
      <w:r w:rsidRPr="00515CA2">
        <w:rPr>
          <w:noProof/>
        </w:rPr>
        <w:tab/>
        <w:t xml:space="preserve">Președintele </w:t>
      </w:r>
      <w:r w:rsidRPr="00515CA2">
        <w:rPr>
          <w:noProof/>
        </w:rPr>
        <w:br/>
      </w:r>
    </w:p>
    <w:sectPr w:rsidR="001A62D7" w:rsidRPr="00515CA2" w:rsidSect="00B7090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2D7" w:rsidRPr="00515CA2" w:rsidRDefault="001A62D7" w:rsidP="001A62D7">
      <w:pPr>
        <w:spacing w:before="0" w:after="0"/>
      </w:pPr>
      <w:r w:rsidRPr="00515CA2">
        <w:separator/>
      </w:r>
    </w:p>
  </w:endnote>
  <w:endnote w:type="continuationSeparator" w:id="0">
    <w:p w:rsidR="001A62D7" w:rsidRPr="00515CA2" w:rsidRDefault="001A62D7" w:rsidP="001A62D7">
      <w:pPr>
        <w:spacing w:before="0" w:after="0"/>
      </w:pPr>
      <w:r w:rsidRPr="00515C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905" w:rsidRPr="00B70905" w:rsidRDefault="00B70905" w:rsidP="00B70905">
    <w:pPr>
      <w:pStyle w:val="Footer"/>
      <w:rPr>
        <w:rFonts w:ascii="Arial" w:hAnsi="Arial" w:cs="Arial"/>
        <w:b/>
        <w:sz w:val="48"/>
      </w:rPr>
    </w:pPr>
    <w:r w:rsidRPr="00B70905">
      <w:rPr>
        <w:rFonts w:ascii="Arial" w:hAnsi="Arial" w:cs="Arial"/>
        <w:b/>
        <w:sz w:val="48"/>
      </w:rPr>
      <w:t>RO</w:t>
    </w:r>
    <w:r w:rsidRPr="00B70905">
      <w:rPr>
        <w:rFonts w:ascii="Arial" w:hAnsi="Arial" w:cs="Arial"/>
        <w:b/>
        <w:sz w:val="48"/>
      </w:rPr>
      <w:tab/>
    </w:r>
    <w:r w:rsidRPr="00B70905">
      <w:rPr>
        <w:rFonts w:ascii="Arial" w:hAnsi="Arial" w:cs="Arial"/>
        <w:b/>
        <w:sz w:val="48"/>
      </w:rPr>
      <w:tab/>
    </w:r>
    <w:r w:rsidRPr="00B70905">
      <w:tab/>
    </w:r>
    <w:r w:rsidRPr="00B7090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905" w:rsidRPr="00B70905" w:rsidRDefault="00B70905" w:rsidP="00B70905">
    <w:pPr>
      <w:pStyle w:val="Footer"/>
      <w:rPr>
        <w:rFonts w:ascii="Arial" w:hAnsi="Arial" w:cs="Arial"/>
        <w:b/>
        <w:sz w:val="48"/>
      </w:rPr>
    </w:pPr>
    <w:r w:rsidRPr="00B70905">
      <w:rPr>
        <w:rFonts w:ascii="Arial" w:hAnsi="Arial" w:cs="Arial"/>
        <w:b/>
        <w:sz w:val="48"/>
      </w:rPr>
      <w:t>RO</w:t>
    </w:r>
    <w:r w:rsidRPr="00B70905">
      <w:rPr>
        <w:rFonts w:ascii="Arial" w:hAnsi="Arial" w:cs="Arial"/>
        <w:b/>
        <w:sz w:val="48"/>
      </w:rPr>
      <w:tab/>
    </w:r>
    <w:r w:rsidRPr="00B70905">
      <w:rPr>
        <w:rFonts w:ascii="Arial" w:hAnsi="Arial" w:cs="Arial"/>
        <w:b/>
        <w:sz w:val="48"/>
      </w:rPr>
      <w:tab/>
    </w:r>
    <w:r w:rsidRPr="00B70905">
      <w:tab/>
    </w:r>
    <w:r w:rsidRPr="00B7090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905" w:rsidRDefault="00B709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905" w:rsidRPr="00B70905" w:rsidRDefault="00B70905" w:rsidP="00B70905">
    <w:pPr>
      <w:pStyle w:val="Footer"/>
      <w:rPr>
        <w:rFonts w:ascii="Arial" w:hAnsi="Arial" w:cs="Arial"/>
        <w:b/>
        <w:sz w:val="48"/>
      </w:rPr>
    </w:pPr>
    <w:r w:rsidRPr="00B70905">
      <w:rPr>
        <w:rFonts w:ascii="Arial" w:hAnsi="Arial" w:cs="Arial"/>
        <w:b/>
        <w:sz w:val="48"/>
      </w:rPr>
      <w:t>RO</w:t>
    </w:r>
    <w:r w:rsidRPr="00B70905">
      <w:rPr>
        <w:rFonts w:ascii="Arial" w:hAnsi="Arial" w:cs="Arial"/>
        <w:b/>
        <w:sz w:val="48"/>
      </w:rPr>
      <w:tab/>
    </w:r>
    <w:r>
      <w:fldChar w:fldCharType="begin"/>
    </w:r>
    <w:r>
      <w:instrText xml:space="preserve"> PAGE  \* MERGEFORMAT </w:instrText>
    </w:r>
    <w:r>
      <w:fldChar w:fldCharType="separate"/>
    </w:r>
    <w:r w:rsidR="00073CA3">
      <w:rPr>
        <w:noProof/>
      </w:rPr>
      <w:t>10</w:t>
    </w:r>
    <w:r>
      <w:fldChar w:fldCharType="end"/>
    </w:r>
    <w:r>
      <w:tab/>
    </w:r>
    <w:r w:rsidRPr="00B70905">
      <w:tab/>
    </w:r>
    <w:r w:rsidRPr="00B7090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905" w:rsidRDefault="00B70905" w:rsidP="00B709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2D7" w:rsidRPr="00515CA2" w:rsidRDefault="001A62D7" w:rsidP="001A62D7">
      <w:pPr>
        <w:spacing w:before="0" w:after="0"/>
      </w:pPr>
      <w:r w:rsidRPr="00515CA2">
        <w:separator/>
      </w:r>
    </w:p>
  </w:footnote>
  <w:footnote w:type="continuationSeparator" w:id="0">
    <w:p w:rsidR="001A62D7" w:rsidRPr="00515CA2" w:rsidRDefault="001A62D7" w:rsidP="001A62D7">
      <w:pPr>
        <w:spacing w:before="0" w:after="0"/>
      </w:pPr>
      <w:r w:rsidRPr="00515CA2">
        <w:continuationSeparator/>
      </w:r>
    </w:p>
  </w:footnote>
  <w:footnote w:id="1">
    <w:p w:rsidR="001A62D7" w:rsidRPr="00515CA2" w:rsidRDefault="001A62D7" w:rsidP="001A62D7">
      <w:pPr>
        <w:pStyle w:val="FootnoteText"/>
      </w:pPr>
      <w:r w:rsidRPr="00515CA2">
        <w:rPr>
          <w:rStyle w:val="FootnoteReference"/>
        </w:rPr>
        <w:footnoteRef/>
      </w:r>
      <w:r w:rsidRPr="00515CA2">
        <w:tab/>
        <w:t>JO L 153, 3.5.2021, p. 48.</w:t>
      </w:r>
    </w:p>
  </w:footnote>
  <w:footnote w:id="2">
    <w:p w:rsidR="00546BF7" w:rsidRPr="00515CA2" w:rsidRDefault="00546BF7">
      <w:pPr>
        <w:pStyle w:val="FootnoteText"/>
      </w:pPr>
      <w:r w:rsidRPr="00515CA2">
        <w:rPr>
          <w:rStyle w:val="FootnoteReference"/>
        </w:rPr>
        <w:footnoteRef/>
      </w:r>
      <w:r w:rsidRPr="00515CA2">
        <w:tab/>
        <w:t>„Liberty Galaţi Belgian Branch” este denumirea comercială a sucursalei belgiene a societății pe acțiuni Liberty Galați înregistrate în România.</w:t>
      </w:r>
    </w:p>
  </w:footnote>
  <w:footnote w:id="3">
    <w:p w:rsidR="001A62D7" w:rsidRPr="00515CA2" w:rsidRDefault="001A62D7" w:rsidP="001A62D7">
      <w:pPr>
        <w:pStyle w:val="FootnoteText"/>
      </w:pPr>
      <w:r w:rsidRPr="00515CA2">
        <w:rPr>
          <w:rStyle w:val="FootnoteReference"/>
        </w:rPr>
        <w:footnoteRef/>
      </w:r>
      <w:r w:rsidRPr="00515CA2">
        <w:tab/>
        <w:t>Regulamentul Delegat (UE) 2019/1755 al Comisiei din 8 august 2019 de modificare a anexelor la Regulamentul (CE) nr. 1059/2003 al Parlamentului European și al Consiliului privind instituirea unui nomenclator comun al unităților teritoriale de statistică (NUTS). JO L 270, 24.10.2019, p. 1.</w:t>
      </w:r>
    </w:p>
  </w:footnote>
  <w:footnote w:id="4">
    <w:p w:rsidR="001A62D7" w:rsidRPr="00515CA2" w:rsidRDefault="001A62D7" w:rsidP="001A62D7">
      <w:pPr>
        <w:pStyle w:val="FootnoteText"/>
      </w:pPr>
      <w:r w:rsidRPr="00515CA2">
        <w:rPr>
          <w:rStyle w:val="FootnoteReference"/>
        </w:rPr>
        <w:footnoteRef/>
      </w:r>
      <w:r w:rsidRPr="00515CA2">
        <w:tab/>
        <w:t>JO L 393, 30.12.2006, p. 1.</w:t>
      </w:r>
    </w:p>
  </w:footnote>
  <w:footnote w:id="5">
    <w:p w:rsidR="001A62D7" w:rsidRPr="00515CA2" w:rsidRDefault="001A62D7" w:rsidP="001A62D7">
      <w:pPr>
        <w:pStyle w:val="FootnoteText"/>
      </w:pPr>
      <w:r w:rsidRPr="00515CA2">
        <w:rPr>
          <w:rStyle w:val="FootnoteReference"/>
        </w:rPr>
        <w:footnoteRef/>
      </w:r>
      <w:r w:rsidRPr="00515CA2">
        <w:tab/>
        <w:t>În conformitate cu articolul 7 alineatul (5) din Regulamentul (UE) 2021/691.</w:t>
      </w:r>
    </w:p>
  </w:footnote>
  <w:footnote w:id="6">
    <w:p w:rsidR="00E700C8" w:rsidRPr="00515CA2" w:rsidRDefault="00E700C8">
      <w:pPr>
        <w:pStyle w:val="FootnoteText"/>
      </w:pPr>
      <w:r w:rsidRPr="00515CA2">
        <w:rPr>
          <w:rStyle w:val="FootnoteReference"/>
        </w:rPr>
        <w:footnoteRef/>
      </w:r>
      <w:r w:rsidRPr="00515CA2">
        <w:tab/>
        <w:t xml:space="preserve">Conglomeratul GFG Alliance deține Liberty Steel Group. </w:t>
      </w:r>
    </w:p>
  </w:footnote>
  <w:footnote w:id="7">
    <w:p w:rsidR="00036806" w:rsidRPr="00515CA2" w:rsidRDefault="00036806">
      <w:pPr>
        <w:pStyle w:val="FootnoteText"/>
      </w:pPr>
      <w:r w:rsidRPr="00515CA2">
        <w:rPr>
          <w:rStyle w:val="FootnoteReference"/>
        </w:rPr>
        <w:footnoteRef/>
      </w:r>
      <w:r w:rsidRPr="00515CA2">
        <w:tab/>
        <w:t>Moniteur Belge 28.4.2025, 45387.</w:t>
      </w:r>
    </w:p>
  </w:footnote>
  <w:footnote w:id="8">
    <w:p w:rsidR="006D546F" w:rsidRPr="00515CA2" w:rsidRDefault="006D546F">
      <w:pPr>
        <w:pStyle w:val="FootnoteText"/>
      </w:pPr>
      <w:r w:rsidRPr="00515CA2">
        <w:rPr>
          <w:rStyle w:val="FootnoteReference"/>
        </w:rPr>
        <w:footnoteRef/>
      </w:r>
      <w:r w:rsidRPr="00515CA2">
        <w:tab/>
        <w:t>Rata locurilor de muncă din sectorul siderurgic este proporția locurilor de muncă directe din sectorul siderurgic la 100</w:t>
      </w:r>
      <w:r w:rsidR="00BD1445" w:rsidRPr="00515CA2">
        <w:t> </w:t>
      </w:r>
      <w:r w:rsidRPr="00515CA2">
        <w:t>000 de locuitori.</w:t>
      </w:r>
    </w:p>
  </w:footnote>
  <w:footnote w:id="9">
    <w:p w:rsidR="000B5F51" w:rsidRPr="00515CA2" w:rsidRDefault="000B5F51">
      <w:pPr>
        <w:pStyle w:val="FootnoteText"/>
      </w:pPr>
      <w:r w:rsidRPr="00515CA2">
        <w:rPr>
          <w:rStyle w:val="FootnoteReference"/>
        </w:rPr>
        <w:footnoteRef/>
      </w:r>
      <w:r w:rsidRPr="00515CA2">
        <w:tab/>
        <w:t xml:space="preserve">European Steel Association (EUROFER). </w:t>
      </w:r>
      <w:hyperlink r:id="rId1" w:history="1">
        <w:r w:rsidRPr="00515CA2">
          <w:rPr>
            <w:rStyle w:val="Hyperlink"/>
          </w:rPr>
          <w:t>European steel in figures 2025</w:t>
        </w:r>
      </w:hyperlink>
      <w:r w:rsidRPr="00515CA2">
        <w:t xml:space="preserve"> (Sectorul siderurgic european 2025 în cifre).</w:t>
      </w:r>
    </w:p>
  </w:footnote>
  <w:footnote w:id="10">
    <w:p w:rsidR="00D924F0" w:rsidRPr="00515CA2" w:rsidRDefault="00D924F0">
      <w:pPr>
        <w:pStyle w:val="FootnoteText"/>
      </w:pPr>
      <w:r w:rsidRPr="00515CA2">
        <w:rPr>
          <w:rStyle w:val="FootnoteReference"/>
        </w:rPr>
        <w:footnoteRef/>
      </w:r>
      <w:r w:rsidRPr="00515CA2">
        <w:tab/>
        <w:t>COM(2023) 69</w:t>
      </w:r>
      <w:r w:rsidR="00BD1445" w:rsidRPr="00515CA2">
        <w:t>.</w:t>
      </w:r>
    </w:p>
  </w:footnote>
  <w:footnote w:id="11">
    <w:p w:rsidR="00D924F0" w:rsidRPr="00515CA2" w:rsidRDefault="00D924F0">
      <w:pPr>
        <w:pStyle w:val="FootnoteText"/>
      </w:pPr>
      <w:r w:rsidRPr="00515CA2">
        <w:rPr>
          <w:rStyle w:val="FootnoteReference"/>
        </w:rPr>
        <w:footnoteRef/>
      </w:r>
      <w:r w:rsidRPr="00515CA2">
        <w:tab/>
        <w:t>COM(2023) 470</w:t>
      </w:r>
      <w:r w:rsidR="00BD1445" w:rsidRPr="00515CA2">
        <w:t>.</w:t>
      </w:r>
      <w:r w:rsidRPr="00515CA2">
        <w:t xml:space="preserve"> </w:t>
      </w:r>
    </w:p>
  </w:footnote>
  <w:footnote w:id="12">
    <w:p w:rsidR="002E5201" w:rsidRPr="00515CA2" w:rsidRDefault="002E5201">
      <w:pPr>
        <w:pStyle w:val="FootnoteText"/>
      </w:pPr>
      <w:r w:rsidRPr="00515CA2">
        <w:rPr>
          <w:rStyle w:val="FootnoteReference"/>
        </w:rPr>
        <w:footnoteRef/>
      </w:r>
      <w:r w:rsidRPr="00515CA2">
        <w:tab/>
      </w:r>
      <w:hyperlink r:id="rId2" w:history="1">
        <w:r w:rsidRPr="00515CA2">
          <w:rPr>
            <w:rStyle w:val="Hyperlink"/>
          </w:rPr>
          <w:t>Eurostat.</w:t>
        </w:r>
      </w:hyperlink>
    </w:p>
  </w:footnote>
  <w:footnote w:id="13">
    <w:p w:rsidR="005D52E3" w:rsidRPr="00515CA2" w:rsidRDefault="005D52E3" w:rsidP="005029B5">
      <w:pPr>
        <w:spacing w:before="0" w:after="0"/>
        <w:rPr>
          <w:sz w:val="20"/>
          <w:szCs w:val="20"/>
        </w:rPr>
      </w:pPr>
      <w:r w:rsidRPr="00515CA2">
        <w:rPr>
          <w:rStyle w:val="FootnoteReference"/>
        </w:rPr>
        <w:footnoteRef/>
      </w:r>
      <w:r w:rsidRPr="00515CA2">
        <w:tab/>
      </w:r>
      <w:hyperlink r:id="rId3" w:anchor="panel-12" w:history="1">
        <w:r w:rsidRPr="00515CA2">
          <w:rPr>
            <w:rStyle w:val="Hyperlink"/>
            <w:sz w:val="20"/>
          </w:rPr>
          <w:t>Statbel.</w:t>
        </w:r>
      </w:hyperlink>
      <w:hyperlink r:id="rId4" w:anchor="panel-12" w:history="1">
        <w:r w:rsidRPr="00515CA2">
          <w:rPr>
            <w:rStyle w:val="Hyperlink"/>
            <w:sz w:val="20"/>
          </w:rPr>
          <w:t xml:space="preserve"> Emploi et chômage (9.9.2025)</w:t>
        </w:r>
      </w:hyperlink>
      <w:r w:rsidRPr="00515CA2">
        <w:t xml:space="preserve"> </w:t>
      </w:r>
      <w:r w:rsidRPr="00515CA2">
        <w:rPr>
          <w:sz w:val="20"/>
          <w:szCs w:val="20"/>
        </w:rPr>
        <w:t>(Ocuparea forței de muncă și șomajul).</w:t>
      </w:r>
    </w:p>
  </w:footnote>
  <w:footnote w:id="14">
    <w:p w:rsidR="0000022B" w:rsidRPr="00515CA2" w:rsidRDefault="0000022B" w:rsidP="005029B5">
      <w:pPr>
        <w:spacing w:before="0" w:after="0"/>
        <w:rPr>
          <w:sz w:val="20"/>
          <w:szCs w:val="20"/>
        </w:rPr>
      </w:pPr>
      <w:r w:rsidRPr="00515CA2">
        <w:rPr>
          <w:rStyle w:val="FootnoteReference"/>
        </w:rPr>
        <w:footnoteRef/>
      </w:r>
      <w:r w:rsidRPr="00515CA2">
        <w:tab/>
      </w:r>
      <w:hyperlink r:id="rId5" w:anchor="panel-12" w:history="1">
        <w:r w:rsidRPr="00515CA2">
          <w:rPr>
            <w:rStyle w:val="Hyperlink"/>
            <w:sz w:val="20"/>
          </w:rPr>
          <w:t>Statbel.</w:t>
        </w:r>
      </w:hyperlink>
      <w:hyperlink r:id="rId6" w:anchor="panel-12" w:history="1">
        <w:r w:rsidRPr="00515CA2">
          <w:rPr>
            <w:rStyle w:val="Hyperlink"/>
            <w:sz w:val="20"/>
          </w:rPr>
          <w:t xml:space="preserve"> Emploi et chômage (9.9.2025)</w:t>
        </w:r>
      </w:hyperlink>
      <w:r w:rsidRPr="00515CA2">
        <w:t xml:space="preserve"> </w:t>
      </w:r>
      <w:r w:rsidRPr="00515CA2">
        <w:rPr>
          <w:sz w:val="20"/>
          <w:szCs w:val="20"/>
        </w:rPr>
        <w:t>(Ocuparea forței de muncă și șomajul).</w:t>
      </w:r>
    </w:p>
  </w:footnote>
  <w:footnote w:id="15">
    <w:p w:rsidR="00915104" w:rsidRPr="00515CA2" w:rsidRDefault="00915104">
      <w:pPr>
        <w:pStyle w:val="FootnoteText"/>
      </w:pPr>
      <w:r w:rsidRPr="00515CA2">
        <w:rPr>
          <w:rStyle w:val="FootnoteReference"/>
        </w:rPr>
        <w:footnoteRef/>
      </w:r>
      <w:r w:rsidRPr="00515CA2">
        <w:tab/>
      </w:r>
      <w:hyperlink r:id="rId7" w:history="1">
        <w:r w:rsidRPr="00515CA2">
          <w:rPr>
            <w:rStyle w:val="Hyperlink"/>
          </w:rPr>
          <w:t>Eurostat.</w:t>
        </w:r>
      </w:hyperlink>
    </w:p>
  </w:footnote>
  <w:footnote w:id="16">
    <w:p w:rsidR="00F10A52" w:rsidRPr="00515CA2" w:rsidRDefault="00F10A52">
      <w:pPr>
        <w:pStyle w:val="FootnoteText"/>
      </w:pPr>
      <w:r w:rsidRPr="00515CA2">
        <w:rPr>
          <w:rStyle w:val="FootnoteReference"/>
        </w:rPr>
        <w:footnoteRef/>
      </w:r>
      <w:r w:rsidRPr="00515CA2">
        <w:tab/>
      </w:r>
      <w:hyperlink r:id="rId8" w:history="1">
        <w:r w:rsidRPr="00515CA2">
          <w:rPr>
            <w:rStyle w:val="Hyperlink"/>
          </w:rPr>
          <w:t>Statbel.</w:t>
        </w:r>
      </w:hyperlink>
      <w:hyperlink r:id="rId9" w:history="1">
        <w:r w:rsidRPr="00515CA2">
          <w:rPr>
            <w:rStyle w:val="Hyperlink"/>
          </w:rPr>
          <w:t xml:space="preserve"> Employment rate by age group</w:t>
        </w:r>
      </w:hyperlink>
      <w:r w:rsidRPr="00515CA2">
        <w:t xml:space="preserve"> (Rata ocupării forței de muncă pe grupe de vârstă).</w:t>
      </w:r>
    </w:p>
  </w:footnote>
  <w:footnote w:id="17">
    <w:p w:rsidR="005F26CA" w:rsidRPr="00515CA2" w:rsidRDefault="005F26CA">
      <w:pPr>
        <w:pStyle w:val="FootnoteText"/>
      </w:pPr>
      <w:r w:rsidRPr="00515CA2">
        <w:rPr>
          <w:rStyle w:val="FootnoteReference"/>
        </w:rPr>
        <w:footnoteRef/>
      </w:r>
      <w:r w:rsidRPr="00515CA2">
        <w:tab/>
        <w:t xml:space="preserve">Le Forem. </w:t>
      </w:r>
      <w:r w:rsidRPr="00515CA2">
        <w:rPr>
          <w:i/>
        </w:rPr>
        <w:t>Photo locale de la demande d’emploi (août 2025)</w:t>
      </w:r>
      <w:r w:rsidRPr="00515CA2">
        <w:t xml:space="preserve"> - Situația locală a cererii de locuri de muncă (august 2025).</w:t>
      </w:r>
    </w:p>
  </w:footnote>
  <w:footnote w:id="18">
    <w:p w:rsidR="00E50399" w:rsidRPr="00515CA2" w:rsidRDefault="00E50399">
      <w:pPr>
        <w:pStyle w:val="FootnoteText"/>
      </w:pPr>
      <w:r w:rsidRPr="00515CA2">
        <w:rPr>
          <w:rStyle w:val="FootnoteReference"/>
        </w:rPr>
        <w:footnoteRef/>
      </w:r>
      <w:r w:rsidRPr="00515CA2">
        <w:tab/>
        <w:t>Decretul regal (</w:t>
      </w:r>
      <w:r w:rsidRPr="00515CA2">
        <w:rPr>
          <w:i/>
        </w:rPr>
        <w:t>Arrêté Royal</w:t>
      </w:r>
      <w:r w:rsidRPr="00515CA2">
        <w:t>) din 10 noiembrie 2006 de modificare a Decretului regal din 9 martie 2006.</w:t>
      </w:r>
    </w:p>
  </w:footnote>
  <w:footnote w:id="19">
    <w:p w:rsidR="004419E9" w:rsidRPr="00515CA2" w:rsidRDefault="004419E9">
      <w:pPr>
        <w:pStyle w:val="FootnoteText"/>
      </w:pPr>
      <w:r w:rsidRPr="00515CA2">
        <w:rPr>
          <w:rStyle w:val="FootnoteReference"/>
        </w:rPr>
        <w:footnoteRef/>
      </w:r>
      <w:r w:rsidRPr="00515CA2">
        <w:tab/>
        <w:t>Decretul din 29 ianuarie 2004 al Guvernului Regiunii Valone, astfel cum a fost modificat prin Decretul din 30 aprilie 2009.</w:t>
      </w:r>
    </w:p>
  </w:footnote>
  <w:footnote w:id="20">
    <w:p w:rsidR="005B0EC2" w:rsidRPr="00515CA2" w:rsidRDefault="005B0EC2">
      <w:pPr>
        <w:pStyle w:val="FootnoteText"/>
      </w:pPr>
      <w:r w:rsidRPr="00515CA2">
        <w:rPr>
          <w:rStyle w:val="FootnoteReference"/>
        </w:rPr>
        <w:footnoteRef/>
      </w:r>
      <w:r w:rsidRPr="00515CA2">
        <w:tab/>
      </w:r>
      <w:r w:rsidRPr="00515CA2">
        <w:rPr>
          <w:rStyle w:val="Hyperlink"/>
        </w:rPr>
        <w:t xml:space="preserve">Le </w:t>
      </w:r>
      <w:hyperlink r:id="rId10" w:history="1">
        <w:r w:rsidRPr="00515CA2">
          <w:rPr>
            <w:rStyle w:val="Hyperlink"/>
          </w:rPr>
          <w:t>Forem.</w:t>
        </w:r>
      </w:hyperlink>
      <w:hyperlink r:id="rId11" w:history="1">
        <w:r w:rsidRPr="00515CA2">
          <w:rPr>
            <w:rStyle w:val="Hyperlink"/>
          </w:rPr>
          <w:t>Eveniment de restructurare:</w:t>
        </w:r>
      </w:hyperlink>
      <w:hyperlink r:id="rId12" w:history="1">
        <w:r w:rsidRPr="00515CA2">
          <w:rPr>
            <w:rStyle w:val="Hyperlink"/>
          </w:rPr>
          <w:t>unitățile de reconversie profesională</w:t>
        </w:r>
        <w:r w:rsidRPr="00515CA2">
          <w:rPr>
            <w:rStyle w:val="Hyperlink"/>
            <w:color w:val="auto"/>
            <w:u w:val="none"/>
          </w:rPr>
          <w:t>.</w:t>
        </w:r>
      </w:hyperlink>
    </w:p>
  </w:footnote>
  <w:footnote w:id="21">
    <w:p w:rsidR="000621D5" w:rsidRPr="00515CA2" w:rsidRDefault="000621D5" w:rsidP="000621D5">
      <w:pPr>
        <w:pStyle w:val="FootnoteText"/>
      </w:pPr>
      <w:r w:rsidRPr="00515CA2">
        <w:rPr>
          <w:rStyle w:val="FootnoteReference"/>
        </w:rPr>
        <w:footnoteRef/>
      </w:r>
      <w:r w:rsidRPr="00515CA2">
        <w:tab/>
        <w:t>Fédération générale du travail de Belgique.</w:t>
      </w:r>
    </w:p>
  </w:footnote>
  <w:footnote w:id="22">
    <w:p w:rsidR="00457FE1" w:rsidRPr="00515CA2" w:rsidRDefault="00457FE1">
      <w:pPr>
        <w:pStyle w:val="FootnoteText"/>
      </w:pPr>
      <w:r w:rsidRPr="00515CA2">
        <w:rPr>
          <w:rStyle w:val="FootnoteReference"/>
        </w:rPr>
        <w:footnoteRef/>
      </w:r>
      <w:r w:rsidRPr="00515CA2">
        <w:tab/>
        <w:t>Conféderation des syndicats chrétiens.</w:t>
      </w:r>
    </w:p>
  </w:footnote>
  <w:footnote w:id="23">
    <w:p w:rsidR="001A62D7" w:rsidRPr="00515CA2" w:rsidRDefault="001A62D7" w:rsidP="001A62D7">
      <w:pPr>
        <w:pStyle w:val="FootnoteText"/>
      </w:pPr>
      <w:r w:rsidRPr="00515CA2">
        <w:rPr>
          <w:rStyle w:val="FootnoteReference"/>
        </w:rPr>
        <w:footnoteRef/>
      </w:r>
      <w:r w:rsidRPr="00515CA2">
        <w:tab/>
        <w:t>ISCED 0-2</w:t>
      </w:r>
      <w:r w:rsidR="00BD1445" w:rsidRPr="00515CA2">
        <w:t>.</w:t>
      </w:r>
    </w:p>
  </w:footnote>
  <w:footnote w:id="24">
    <w:p w:rsidR="001A62D7" w:rsidRPr="00515CA2" w:rsidRDefault="001A62D7" w:rsidP="001A62D7">
      <w:pPr>
        <w:pStyle w:val="FootnoteText"/>
      </w:pPr>
      <w:r w:rsidRPr="00515CA2">
        <w:rPr>
          <w:rStyle w:val="FootnoteReference"/>
        </w:rPr>
        <w:footnoteRef/>
      </w:r>
      <w:r w:rsidRPr="00515CA2">
        <w:tab/>
        <w:t>ISCED 3</w:t>
      </w:r>
      <w:r w:rsidR="00BD1445" w:rsidRPr="00515CA2">
        <w:t>.</w:t>
      </w:r>
    </w:p>
  </w:footnote>
  <w:footnote w:id="25">
    <w:p w:rsidR="001A62D7" w:rsidRPr="00515CA2" w:rsidRDefault="001A62D7" w:rsidP="001A62D7">
      <w:pPr>
        <w:pStyle w:val="FootnoteText"/>
      </w:pPr>
      <w:r w:rsidRPr="00515CA2">
        <w:rPr>
          <w:rStyle w:val="FootnoteReference"/>
        </w:rPr>
        <w:footnoteRef/>
      </w:r>
      <w:r w:rsidRPr="00515CA2">
        <w:tab/>
        <w:t>ISCED 4</w:t>
      </w:r>
      <w:r w:rsidR="00BD1445" w:rsidRPr="00515CA2">
        <w:t>.</w:t>
      </w:r>
    </w:p>
  </w:footnote>
  <w:footnote w:id="26">
    <w:p w:rsidR="001A62D7" w:rsidRPr="00515CA2" w:rsidRDefault="001A62D7" w:rsidP="001A62D7">
      <w:pPr>
        <w:pStyle w:val="FootnoteText"/>
      </w:pPr>
      <w:r w:rsidRPr="00515CA2">
        <w:rPr>
          <w:rStyle w:val="FootnoteReference"/>
        </w:rPr>
        <w:footnoteRef/>
      </w:r>
      <w:r w:rsidRPr="00515CA2">
        <w:tab/>
        <w:t>ISCED 5-8</w:t>
      </w:r>
      <w:r w:rsidR="00BD1445" w:rsidRPr="00515CA2">
        <w:t>.</w:t>
      </w:r>
    </w:p>
  </w:footnote>
  <w:footnote w:id="27">
    <w:p w:rsidR="002B5890" w:rsidRPr="00515CA2" w:rsidRDefault="002B5890">
      <w:pPr>
        <w:pStyle w:val="FootnoteText"/>
      </w:pPr>
      <w:r w:rsidRPr="00515CA2">
        <w:rPr>
          <w:rStyle w:val="FootnoteReference"/>
        </w:rPr>
        <w:footnoteRef/>
      </w:r>
      <w:r w:rsidRPr="00515CA2">
        <w:tab/>
      </w:r>
      <w:hyperlink r:id="rId13" w:history="1">
        <w:r w:rsidRPr="00515CA2">
          <w:rPr>
            <w:rStyle w:val="Hyperlink"/>
          </w:rPr>
          <w:t>Lista locurilor de muncă pentru care există cerere, dar sunt greu de ocupat, sau care implică funcții esențiale.</w:t>
        </w:r>
      </w:hyperlink>
      <w:hyperlink r:id="rId14" w:history="1">
        <w:r w:rsidRPr="00515CA2">
          <w:rPr>
            <w:rStyle w:val="Hyperlink"/>
          </w:rPr>
          <w:t xml:space="preserve"> „Métiers en tension de recrutement en Wallonie.</w:t>
        </w:r>
      </w:hyperlink>
      <w:hyperlink r:id="rId15" w:history="1">
        <w:r w:rsidRPr="00515CA2">
          <w:rPr>
            <w:rStyle w:val="Hyperlink"/>
          </w:rPr>
          <w:t xml:space="preserve"> Liste des métiers/fonctions critiques et en pénurie”</w:t>
        </w:r>
      </w:hyperlink>
      <w:hyperlink r:id="rId16" w:history="1">
        <w:r w:rsidRPr="00515CA2">
          <w:rPr>
            <w:rStyle w:val="Hyperlink"/>
          </w:rPr>
          <w:t xml:space="preserve"> Le Forem 2025</w:t>
        </w:r>
      </w:hyperlink>
      <w:r w:rsidRPr="00515CA2">
        <w:rPr>
          <w:rStyle w:val="Hyperlink"/>
        </w:rPr>
        <w:t>.</w:t>
      </w:r>
    </w:p>
  </w:footnote>
  <w:footnote w:id="28">
    <w:p w:rsidR="002F085B" w:rsidRPr="00515CA2" w:rsidRDefault="002F085B" w:rsidP="002F085B">
      <w:pPr>
        <w:pStyle w:val="FootnoteText"/>
      </w:pPr>
      <w:r w:rsidRPr="00515CA2">
        <w:rPr>
          <w:rStyle w:val="FootnoteReference"/>
        </w:rPr>
        <w:footnoteRef/>
      </w:r>
      <w:r w:rsidRPr="00515CA2">
        <w:tab/>
        <w:t>COM(2021) 212.</w:t>
      </w:r>
    </w:p>
  </w:footnote>
  <w:footnote w:id="29">
    <w:p w:rsidR="002F085B" w:rsidRPr="00515CA2" w:rsidRDefault="002F085B" w:rsidP="002F085B">
      <w:pPr>
        <w:pStyle w:val="FootnoteText"/>
      </w:pPr>
      <w:r w:rsidRPr="00515CA2">
        <w:rPr>
          <w:rStyle w:val="FootnoteReference"/>
        </w:rPr>
        <w:footnoteRef/>
      </w:r>
      <w:r w:rsidRPr="00515CA2">
        <w:tab/>
        <w:t>EGF/2022/002 BE/TNT. COM(2023) 69</w:t>
      </w:r>
      <w:r w:rsidR="00BD1445" w:rsidRPr="00515CA2">
        <w:t>.</w:t>
      </w:r>
    </w:p>
  </w:footnote>
  <w:footnote w:id="30">
    <w:p w:rsidR="001A62D7" w:rsidRPr="00515CA2" w:rsidRDefault="001A62D7" w:rsidP="001A62D7">
      <w:pPr>
        <w:pStyle w:val="FootnoteText"/>
      </w:pPr>
      <w:r w:rsidRPr="00515CA2">
        <w:rPr>
          <w:rStyle w:val="FootnoteReference"/>
        </w:rPr>
        <w:footnoteRef/>
      </w:r>
      <w:r w:rsidRPr="00515CA2">
        <w:tab/>
        <w:t>Pentru a se evita zecimalele, costurile estimate per lucrător au fost rotunjite. Cu toate acestea, rotunjirile nu au niciun impact asupra costului total al fiecărei măsuri, care nu diferă de cel indicat în cererea prezentată de Belgia.</w:t>
      </w:r>
    </w:p>
  </w:footnote>
  <w:footnote w:id="31">
    <w:p w:rsidR="001A62D7" w:rsidRPr="00515CA2" w:rsidRDefault="001A62D7" w:rsidP="001A62D7">
      <w:pPr>
        <w:pStyle w:val="FootnoteText"/>
      </w:pPr>
      <w:r w:rsidRPr="00515CA2">
        <w:rPr>
          <w:rStyle w:val="FootnoteReference"/>
        </w:rPr>
        <w:footnoteRef/>
      </w:r>
      <w:r w:rsidRPr="00515CA2">
        <w:tab/>
        <w:t>Totalurile nu corespund exact din cauza rotunjirilor.</w:t>
      </w:r>
    </w:p>
  </w:footnote>
  <w:footnote w:id="32">
    <w:p w:rsidR="001A62D7" w:rsidRPr="00515CA2" w:rsidRDefault="001A62D7" w:rsidP="001A62D7">
      <w:pPr>
        <w:pStyle w:val="FootnoteText"/>
      </w:pPr>
      <w:r w:rsidRPr="00515CA2">
        <w:rPr>
          <w:rStyle w:val="FootnoteReference"/>
        </w:rPr>
        <w:footnoteRef/>
      </w:r>
      <w:r w:rsidRPr="00515CA2">
        <w:tab/>
        <w:t>JO L 433 I, 22.12.2020, p. 11.</w:t>
      </w:r>
    </w:p>
  </w:footnote>
  <w:footnote w:id="33">
    <w:p w:rsidR="001A62D7" w:rsidRPr="00515CA2" w:rsidRDefault="001A62D7" w:rsidP="001A62D7">
      <w:pPr>
        <w:pStyle w:val="FootnoteText"/>
      </w:pPr>
      <w:r w:rsidRPr="00515CA2">
        <w:rPr>
          <w:rStyle w:val="FootnoteReference"/>
        </w:rPr>
        <w:footnoteRef/>
      </w:r>
      <w:r w:rsidRPr="00515CA2">
        <w:tab/>
        <w:t xml:space="preserve">JO L, 2024/765, 29.2.2024, ELI: http://data.europa.eu/eli/reg/2024/765/oj. </w:t>
      </w:r>
    </w:p>
  </w:footnote>
  <w:footnote w:id="34">
    <w:p w:rsidR="001A62D7" w:rsidRPr="00515CA2" w:rsidRDefault="001A62D7" w:rsidP="001A62D7">
      <w:pPr>
        <w:pStyle w:val="FootnoteText"/>
      </w:pPr>
      <w:r w:rsidRPr="00515CA2">
        <w:rPr>
          <w:rStyle w:val="FootnoteReference"/>
        </w:rPr>
        <w:footnoteRef/>
      </w:r>
      <w:r w:rsidRPr="00515CA2">
        <w:tab/>
        <w:t>JO L 433 I, 22.12.2020, p. 28.</w:t>
      </w:r>
    </w:p>
  </w:footnote>
  <w:footnote w:id="35">
    <w:p w:rsidR="001A62D7" w:rsidRPr="00515CA2" w:rsidRDefault="001A62D7" w:rsidP="001A62D7">
      <w:pPr>
        <w:pStyle w:val="FootnoteText"/>
      </w:pPr>
      <w:r w:rsidRPr="00515CA2">
        <w:rPr>
          <w:rStyle w:val="FootnoteReference"/>
        </w:rPr>
        <w:footnoteRef/>
      </w:r>
      <w:r w:rsidRPr="00515CA2">
        <w:tab/>
        <w:t>Regulamentul (UE, Euratom) 2024/2509 al Parlamentului European și al Consiliului din 23 septembrie 2024 privind normele financiare aplicabile bugetului general al Uniunii (reformare), JO L, 2024/2509, ELI: http://data.europa.eu/eli/reg/2024/2509/oj26.9.2024.</w:t>
      </w:r>
    </w:p>
  </w:footnote>
  <w:footnote w:id="36">
    <w:p w:rsidR="001A62D7" w:rsidRPr="00515CA2" w:rsidRDefault="001A62D7" w:rsidP="001A62D7">
      <w:pPr>
        <w:pStyle w:val="FootnoteText"/>
      </w:pPr>
      <w:r w:rsidRPr="00515CA2">
        <w:rPr>
          <w:rStyle w:val="FootnoteReference"/>
        </w:rPr>
        <w:footnoteRef/>
      </w:r>
      <w:r w:rsidRPr="00515CA2">
        <w:tab/>
        <w:t>JO L 153, 3.5.2021, p. 48.</w:t>
      </w:r>
    </w:p>
  </w:footnote>
  <w:footnote w:id="37">
    <w:p w:rsidR="001A62D7" w:rsidRPr="00515CA2" w:rsidRDefault="001A62D7" w:rsidP="001A62D7">
      <w:pPr>
        <w:pStyle w:val="FootnoteText"/>
      </w:pPr>
      <w:r w:rsidRPr="00515CA2">
        <w:rPr>
          <w:rStyle w:val="FootnoteReference"/>
        </w:rPr>
        <w:footnoteRef/>
      </w:r>
      <w:r w:rsidRPr="00515CA2">
        <w:tab/>
        <w:t>JO L 433 I, 22.12.2020, p. 28.</w:t>
      </w:r>
    </w:p>
  </w:footnote>
  <w:footnote w:id="38">
    <w:p w:rsidR="001A62D7" w:rsidRPr="00515CA2" w:rsidRDefault="001A62D7" w:rsidP="001A62D7">
      <w:pPr>
        <w:pStyle w:val="FootnoteText"/>
      </w:pPr>
      <w:r w:rsidRPr="00515CA2">
        <w:rPr>
          <w:rStyle w:val="FootnoteReference"/>
        </w:rPr>
        <w:footnoteRef/>
      </w:r>
      <w:r w:rsidRPr="00515CA2">
        <w:tab/>
        <w:t>Regulamentul (UE, Euratom) 2020/2093 al Consiliului din 17 decembrie 2020 de stabilire a cadrului financiar multianual pentru perioada 2021-2027 (JO L 433 I, 22.12.2020, p. 11).</w:t>
      </w:r>
    </w:p>
  </w:footnote>
  <w:footnote w:id="39">
    <w:p w:rsidR="001A62D7" w:rsidRPr="00515CA2" w:rsidRDefault="001A62D7" w:rsidP="001A62D7">
      <w:pPr>
        <w:pStyle w:val="FootnoteText"/>
      </w:pPr>
      <w:r w:rsidRPr="00515CA2">
        <w:rPr>
          <w:rStyle w:val="FootnoteReference"/>
        </w:rPr>
        <w:footnoteRef/>
      </w:r>
      <w:r w:rsidRPr="00515CA2">
        <w:tab/>
        <w:t>JO L, 2024/765, 29.2.2024, ELI: http://data.europa.eu/eli/reg/2024/765/oj.</w:t>
      </w:r>
    </w:p>
  </w:footnote>
  <w:footnote w:id="40">
    <w:p w:rsidR="001A62D7" w:rsidRPr="00515CA2" w:rsidRDefault="001A62D7" w:rsidP="001A62D7">
      <w:pPr>
        <w:pStyle w:val="FootnoteText"/>
      </w:pPr>
      <w:r w:rsidRPr="00515CA2">
        <w:rPr>
          <w:rStyle w:val="FootnoteReference"/>
        </w:rPr>
        <w:footnoteRef/>
      </w:r>
      <w:r w:rsidRPr="00515CA2">
        <w:tab/>
        <w:t>COM(2026) 4.</w:t>
      </w:r>
    </w:p>
  </w:footnote>
  <w:footnote w:id="41">
    <w:p w:rsidR="00281AE4" w:rsidRPr="00B81E3D" w:rsidRDefault="00281AE4">
      <w:pPr>
        <w:pStyle w:val="FootnoteText"/>
        <w:rPr>
          <w:lang w:val="fr-FR"/>
        </w:rPr>
      </w:pPr>
      <w:r w:rsidRPr="00515CA2">
        <w:rPr>
          <w:rStyle w:val="FootnoteReference"/>
        </w:rPr>
        <w:t>*</w:t>
      </w:r>
      <w:r w:rsidRPr="00515CA2">
        <w:tab/>
      </w:r>
      <w:r w:rsidRPr="00515CA2">
        <w:rPr>
          <w:color w:val="FF0000"/>
        </w:rPr>
        <w:t>Data urmează să fie introdusă de către Parlament înainte de publicarea în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905" w:rsidRDefault="00B709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905" w:rsidRDefault="00B709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4"/>
  </w:num>
  <w:num w:numId="20">
    <w:abstractNumId w:val="12"/>
    <w:lvlOverride w:ilvl="0">
      <w:startOverride w:val="1"/>
    </w:lvlOverride>
  </w:num>
  <w:num w:numId="21">
    <w:abstractNumId w:val="23"/>
  </w:num>
  <w:num w:numId="22">
    <w:abstractNumId w:val="12"/>
  </w:num>
  <w:num w:numId="23">
    <w:abstractNumId w:val="26"/>
  </w:num>
  <w:num w:numId="24">
    <w:abstractNumId w:val="6"/>
  </w:num>
  <w:num w:numId="25">
    <w:abstractNumId w:val="13"/>
  </w:num>
  <w:num w:numId="26">
    <w:abstractNumId w:val="14"/>
  </w:num>
  <w:num w:numId="27">
    <w:abstractNumId w:val="4"/>
  </w:num>
  <w:num w:numId="28">
    <w:abstractNumId w:val="25"/>
  </w:num>
  <w:num w:numId="29">
    <w:abstractNumId w:val="3"/>
  </w:num>
  <w:num w:numId="30">
    <w:abstractNumId w:val="15"/>
  </w:num>
  <w:num w:numId="31">
    <w:abstractNumId w:val="21"/>
  </w:num>
  <w:num w:numId="32">
    <w:abstractNumId w:val="22"/>
  </w:num>
  <w:num w:numId="33">
    <w:abstractNumId w:val="5"/>
  </w:num>
  <w:num w:numId="34">
    <w:abstractNumId w:val="19"/>
  </w:num>
  <w:num w:numId="35">
    <w:abstractNumId w:val="30"/>
  </w:num>
  <w:num w:numId="36">
    <w:abstractNumId w:val="23"/>
  </w:num>
  <w:num w:numId="37">
    <w:abstractNumId w:val="12"/>
  </w:num>
  <w:num w:numId="38">
    <w:abstractNumId w:val="26"/>
  </w:num>
  <w:num w:numId="39">
    <w:abstractNumId w:val="6"/>
  </w:num>
  <w:num w:numId="40">
    <w:abstractNumId w:val="13"/>
  </w:num>
  <w:num w:numId="41">
    <w:abstractNumId w:val="14"/>
  </w:num>
  <w:num w:numId="42">
    <w:abstractNumId w:val="4"/>
  </w:num>
  <w:num w:numId="43">
    <w:abstractNumId w:val="25"/>
  </w:num>
  <w:num w:numId="44">
    <w:abstractNumId w:val="3"/>
  </w:num>
  <w:num w:numId="45">
    <w:abstractNumId w:val="15"/>
  </w:num>
  <w:num w:numId="46">
    <w:abstractNumId w:val="21"/>
  </w:num>
  <w:num w:numId="47">
    <w:abstractNumId w:val="22"/>
  </w:num>
  <w:num w:numId="48">
    <w:abstractNumId w:val="5"/>
  </w:num>
  <w:num w:numId="49">
    <w:abstractNumId w:val="19"/>
  </w:num>
  <w:num w:numId="50">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3 07:55: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EC22DC7-4526-430F-BD01-A5084B1DFED4"/>
    <w:docVar w:name="LW_COVERPAGE_TYPE" w:val="1"/>
    <w:docVar w:name="LW_CreatedUtc" w:val="2025-02-03T12:09:04.7855178Z"/>
    <w:docVar w:name="LW_CROSSREFERENCE" w:val="&lt;UNUSED&gt;"/>
    <w:docVar w:name="LW_DocType" w:val="COM"/>
    <w:docVar w:name="LW_EMISSION" w:val="2.3.2026"/>
    <w:docVar w:name="LW_EMISSION_ISODATE" w:val="2026-03-02"/>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066"/>
    <w:docVar w:name="LW_REF.II.NEW.CP_YEAR" w:val="2026"/>
    <w:docVar w:name="LW_REF.INST.NEW" w:val="COM"/>
    <w:docVar w:name="LW_REF.INST.NEW_ADOPTED" w:val="final"/>
    <w:docVar w:name="LW_REF.INST.NEW_TEXT" w:val="(2026) 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mobilizarea Fondului european de ajustare la globalizare pentru lucr\u259?torii disponibiliza\u539?i în urma unei cereri din partea Belgiei - EGF/2025/008 BE/Liberty"/>
    <w:docVar w:name="LW_TYPE.DOC.CP" w:val="DECIZIE A PARLAMENTULUI EUROPEAN \u536?I A CONSILIULUI"/>
    <w:docVar w:name="LwApiVersions" w:val="LW4CoDe 1.24.5.0; LW 9.2, Build 20251112"/>
  </w:docVars>
  <w:rsids>
    <w:rsidRoot w:val="001A62D7"/>
    <w:rsid w:val="0000022B"/>
    <w:rsid w:val="0001225C"/>
    <w:rsid w:val="00012AE9"/>
    <w:rsid w:val="000171AE"/>
    <w:rsid w:val="0003030F"/>
    <w:rsid w:val="00036806"/>
    <w:rsid w:val="00040A87"/>
    <w:rsid w:val="00042EEB"/>
    <w:rsid w:val="00047187"/>
    <w:rsid w:val="000554AE"/>
    <w:rsid w:val="00060092"/>
    <w:rsid w:val="000621D5"/>
    <w:rsid w:val="00071BFA"/>
    <w:rsid w:val="00073CA3"/>
    <w:rsid w:val="00095247"/>
    <w:rsid w:val="000B5F51"/>
    <w:rsid w:val="000C0C57"/>
    <w:rsid w:val="000C23D3"/>
    <w:rsid w:val="000D5B2B"/>
    <w:rsid w:val="000E54A7"/>
    <w:rsid w:val="001065F5"/>
    <w:rsid w:val="001238EF"/>
    <w:rsid w:val="0013165F"/>
    <w:rsid w:val="0013666E"/>
    <w:rsid w:val="00154495"/>
    <w:rsid w:val="0018266C"/>
    <w:rsid w:val="0018782F"/>
    <w:rsid w:val="001909D2"/>
    <w:rsid w:val="001948CA"/>
    <w:rsid w:val="00197613"/>
    <w:rsid w:val="001A1BC0"/>
    <w:rsid w:val="001A62D7"/>
    <w:rsid w:val="001B0175"/>
    <w:rsid w:val="001C3001"/>
    <w:rsid w:val="001D1B04"/>
    <w:rsid w:val="001D2F7A"/>
    <w:rsid w:val="001E1326"/>
    <w:rsid w:val="001E349D"/>
    <w:rsid w:val="001F1394"/>
    <w:rsid w:val="002012F5"/>
    <w:rsid w:val="002077A7"/>
    <w:rsid w:val="002102E3"/>
    <w:rsid w:val="00213164"/>
    <w:rsid w:val="0022114D"/>
    <w:rsid w:val="002244AE"/>
    <w:rsid w:val="00233DC7"/>
    <w:rsid w:val="00241826"/>
    <w:rsid w:val="002419C9"/>
    <w:rsid w:val="00241BA6"/>
    <w:rsid w:val="00247779"/>
    <w:rsid w:val="00277FCC"/>
    <w:rsid w:val="00281AE4"/>
    <w:rsid w:val="002826DE"/>
    <w:rsid w:val="00285BEE"/>
    <w:rsid w:val="0029290D"/>
    <w:rsid w:val="0029533F"/>
    <w:rsid w:val="002A0B01"/>
    <w:rsid w:val="002A4C4D"/>
    <w:rsid w:val="002B07C7"/>
    <w:rsid w:val="002B19B5"/>
    <w:rsid w:val="002B30AF"/>
    <w:rsid w:val="002B5890"/>
    <w:rsid w:val="002C667E"/>
    <w:rsid w:val="002D407A"/>
    <w:rsid w:val="002E2EE6"/>
    <w:rsid w:val="002E5201"/>
    <w:rsid w:val="002E7526"/>
    <w:rsid w:val="002F085B"/>
    <w:rsid w:val="002F0916"/>
    <w:rsid w:val="003008C6"/>
    <w:rsid w:val="00302BC1"/>
    <w:rsid w:val="0031534C"/>
    <w:rsid w:val="00320AAE"/>
    <w:rsid w:val="0033344A"/>
    <w:rsid w:val="003556B4"/>
    <w:rsid w:val="00360210"/>
    <w:rsid w:val="003608AA"/>
    <w:rsid w:val="0036211F"/>
    <w:rsid w:val="003841FC"/>
    <w:rsid w:val="003A62E1"/>
    <w:rsid w:val="003D3D6D"/>
    <w:rsid w:val="003F5EC6"/>
    <w:rsid w:val="004152E7"/>
    <w:rsid w:val="00416471"/>
    <w:rsid w:val="00416F0B"/>
    <w:rsid w:val="0042015D"/>
    <w:rsid w:val="004251E7"/>
    <w:rsid w:val="0042648E"/>
    <w:rsid w:val="004419E9"/>
    <w:rsid w:val="00457FE1"/>
    <w:rsid w:val="00463C7D"/>
    <w:rsid w:val="00470CDD"/>
    <w:rsid w:val="004936D2"/>
    <w:rsid w:val="00496009"/>
    <w:rsid w:val="004A0546"/>
    <w:rsid w:val="004B0869"/>
    <w:rsid w:val="004B1AA6"/>
    <w:rsid w:val="004D028F"/>
    <w:rsid w:val="004F5528"/>
    <w:rsid w:val="005029B5"/>
    <w:rsid w:val="00503A5D"/>
    <w:rsid w:val="00515CA2"/>
    <w:rsid w:val="00516125"/>
    <w:rsid w:val="00521CC5"/>
    <w:rsid w:val="00525F3A"/>
    <w:rsid w:val="005302D3"/>
    <w:rsid w:val="00532962"/>
    <w:rsid w:val="00543082"/>
    <w:rsid w:val="00546BF7"/>
    <w:rsid w:val="005506DB"/>
    <w:rsid w:val="005705CA"/>
    <w:rsid w:val="00580012"/>
    <w:rsid w:val="005A4ADD"/>
    <w:rsid w:val="005B0EC2"/>
    <w:rsid w:val="005B1EB6"/>
    <w:rsid w:val="005B5E5A"/>
    <w:rsid w:val="005D52E3"/>
    <w:rsid w:val="005E047F"/>
    <w:rsid w:val="005E0EA9"/>
    <w:rsid w:val="005E1D5A"/>
    <w:rsid w:val="005E4A90"/>
    <w:rsid w:val="005E5444"/>
    <w:rsid w:val="005F26CA"/>
    <w:rsid w:val="006069DD"/>
    <w:rsid w:val="00625A8E"/>
    <w:rsid w:val="00626CC6"/>
    <w:rsid w:val="00640A33"/>
    <w:rsid w:val="006434F9"/>
    <w:rsid w:val="00645692"/>
    <w:rsid w:val="006610FB"/>
    <w:rsid w:val="00667BE1"/>
    <w:rsid w:val="00695B7B"/>
    <w:rsid w:val="006A13DE"/>
    <w:rsid w:val="006B05B2"/>
    <w:rsid w:val="006D546F"/>
    <w:rsid w:val="006E2777"/>
    <w:rsid w:val="006E64D1"/>
    <w:rsid w:val="00710896"/>
    <w:rsid w:val="00716B1F"/>
    <w:rsid w:val="00731699"/>
    <w:rsid w:val="00736E61"/>
    <w:rsid w:val="007540FF"/>
    <w:rsid w:val="00772772"/>
    <w:rsid w:val="00773331"/>
    <w:rsid w:val="00783F65"/>
    <w:rsid w:val="0079178B"/>
    <w:rsid w:val="007932EF"/>
    <w:rsid w:val="007A0C2F"/>
    <w:rsid w:val="007A11BE"/>
    <w:rsid w:val="007B508B"/>
    <w:rsid w:val="007C116C"/>
    <w:rsid w:val="007C45B4"/>
    <w:rsid w:val="007E05B0"/>
    <w:rsid w:val="007E1F2F"/>
    <w:rsid w:val="00803197"/>
    <w:rsid w:val="00816030"/>
    <w:rsid w:val="00842DE2"/>
    <w:rsid w:val="00874D22"/>
    <w:rsid w:val="008776DF"/>
    <w:rsid w:val="00877C5B"/>
    <w:rsid w:val="00880D05"/>
    <w:rsid w:val="008820A0"/>
    <w:rsid w:val="008A173B"/>
    <w:rsid w:val="008A2914"/>
    <w:rsid w:val="008B6E00"/>
    <w:rsid w:val="008D2433"/>
    <w:rsid w:val="008E1474"/>
    <w:rsid w:val="008E262B"/>
    <w:rsid w:val="008E4D8E"/>
    <w:rsid w:val="008F2710"/>
    <w:rsid w:val="009147E2"/>
    <w:rsid w:val="00914FE7"/>
    <w:rsid w:val="00915104"/>
    <w:rsid w:val="00915573"/>
    <w:rsid w:val="009261A3"/>
    <w:rsid w:val="00930D65"/>
    <w:rsid w:val="00932C55"/>
    <w:rsid w:val="0097444D"/>
    <w:rsid w:val="009856EF"/>
    <w:rsid w:val="00995229"/>
    <w:rsid w:val="009A476A"/>
    <w:rsid w:val="009B526B"/>
    <w:rsid w:val="009D066B"/>
    <w:rsid w:val="009E3E49"/>
    <w:rsid w:val="00A00F6A"/>
    <w:rsid w:val="00A10101"/>
    <w:rsid w:val="00A165DD"/>
    <w:rsid w:val="00A34BF0"/>
    <w:rsid w:val="00A508C2"/>
    <w:rsid w:val="00A5466A"/>
    <w:rsid w:val="00A610C0"/>
    <w:rsid w:val="00A67034"/>
    <w:rsid w:val="00A73C20"/>
    <w:rsid w:val="00A748C9"/>
    <w:rsid w:val="00AA1028"/>
    <w:rsid w:val="00AA7650"/>
    <w:rsid w:val="00AE2AA8"/>
    <w:rsid w:val="00AE7D04"/>
    <w:rsid w:val="00B100CF"/>
    <w:rsid w:val="00B10303"/>
    <w:rsid w:val="00B17A01"/>
    <w:rsid w:val="00B20D69"/>
    <w:rsid w:val="00B26166"/>
    <w:rsid w:val="00B3426C"/>
    <w:rsid w:val="00B3474F"/>
    <w:rsid w:val="00B5414C"/>
    <w:rsid w:val="00B55474"/>
    <w:rsid w:val="00B55C2C"/>
    <w:rsid w:val="00B70905"/>
    <w:rsid w:val="00B81E3D"/>
    <w:rsid w:val="00B866E8"/>
    <w:rsid w:val="00B93634"/>
    <w:rsid w:val="00B951E3"/>
    <w:rsid w:val="00BB3133"/>
    <w:rsid w:val="00BC5BFA"/>
    <w:rsid w:val="00BD1445"/>
    <w:rsid w:val="00BD388F"/>
    <w:rsid w:val="00BE0027"/>
    <w:rsid w:val="00BF176D"/>
    <w:rsid w:val="00C01961"/>
    <w:rsid w:val="00C12301"/>
    <w:rsid w:val="00C166B8"/>
    <w:rsid w:val="00C2027B"/>
    <w:rsid w:val="00C3050F"/>
    <w:rsid w:val="00C33AEF"/>
    <w:rsid w:val="00C428BF"/>
    <w:rsid w:val="00C46D8F"/>
    <w:rsid w:val="00C771BD"/>
    <w:rsid w:val="00C81C4C"/>
    <w:rsid w:val="00C856DF"/>
    <w:rsid w:val="00CA45AC"/>
    <w:rsid w:val="00CA5DE4"/>
    <w:rsid w:val="00CA7EE1"/>
    <w:rsid w:val="00CB7408"/>
    <w:rsid w:val="00CC2D25"/>
    <w:rsid w:val="00CF09CE"/>
    <w:rsid w:val="00CF69BF"/>
    <w:rsid w:val="00CF6FE9"/>
    <w:rsid w:val="00D00BAE"/>
    <w:rsid w:val="00D041D7"/>
    <w:rsid w:val="00D1329E"/>
    <w:rsid w:val="00D20381"/>
    <w:rsid w:val="00D24FA0"/>
    <w:rsid w:val="00D273B0"/>
    <w:rsid w:val="00D31FD1"/>
    <w:rsid w:val="00D35981"/>
    <w:rsid w:val="00D51A37"/>
    <w:rsid w:val="00D54F1D"/>
    <w:rsid w:val="00D6152A"/>
    <w:rsid w:val="00D659FB"/>
    <w:rsid w:val="00D86BBA"/>
    <w:rsid w:val="00D87868"/>
    <w:rsid w:val="00D924F0"/>
    <w:rsid w:val="00DC465E"/>
    <w:rsid w:val="00DD02FD"/>
    <w:rsid w:val="00DF53F0"/>
    <w:rsid w:val="00E1077D"/>
    <w:rsid w:val="00E1163B"/>
    <w:rsid w:val="00E13EF1"/>
    <w:rsid w:val="00E346FB"/>
    <w:rsid w:val="00E50399"/>
    <w:rsid w:val="00E700C8"/>
    <w:rsid w:val="00E83C10"/>
    <w:rsid w:val="00E87E4A"/>
    <w:rsid w:val="00EA2966"/>
    <w:rsid w:val="00EB5360"/>
    <w:rsid w:val="00EC11EE"/>
    <w:rsid w:val="00F0417E"/>
    <w:rsid w:val="00F10A52"/>
    <w:rsid w:val="00F1711F"/>
    <w:rsid w:val="00F27843"/>
    <w:rsid w:val="00F362D6"/>
    <w:rsid w:val="00F51D6A"/>
    <w:rsid w:val="00F56F53"/>
    <w:rsid w:val="00F65D5D"/>
    <w:rsid w:val="00F67013"/>
    <w:rsid w:val="00F76D74"/>
    <w:rsid w:val="00FA5322"/>
    <w:rsid w:val="00FB1F30"/>
    <w:rsid w:val="00FB540F"/>
    <w:rsid w:val="00FC38F8"/>
    <w:rsid w:val="00FC563C"/>
    <w:rsid w:val="00FD19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ro-RO"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ro-RO"/>
    </w:rPr>
  </w:style>
  <w:style w:type="character" w:customStyle="1" w:styleId="FooterCoverPageChar">
    <w:name w:val="Footer Cover Page Char"/>
    <w:link w:val="FooterCoverPage"/>
    <w:rsid w:val="001A62D7"/>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ro-RO" w:eastAsia="en-GB"/>
    </w:rPr>
  </w:style>
  <w:style w:type="character" w:customStyle="1" w:styleId="FooterSensitivityChar">
    <w:name w:val="Footer Sensitivity Char"/>
    <w:rsid w:val="001A62D7"/>
    <w:rPr>
      <w:rFonts w:ascii="Times New Roman" w:hAnsi="Times New Roman" w:cs="Times New Roman"/>
      <w:b/>
      <w:sz w:val="32"/>
      <w:lang w:val="ro-RO"/>
    </w:rPr>
  </w:style>
  <w:style w:type="character" w:customStyle="1" w:styleId="HeaderSensitivityChar">
    <w:name w:val="Header Sensitivity Char"/>
    <w:rsid w:val="001A62D7"/>
    <w:rPr>
      <w:rFonts w:ascii="Times New Roman" w:hAnsi="Times New Roman" w:cs="Times New Roman"/>
      <w:b/>
      <w:sz w:val="32"/>
      <w:lang w:val="ro-RO"/>
    </w:rPr>
  </w:style>
  <w:style w:type="character" w:customStyle="1" w:styleId="HeaderSensitivityRightChar">
    <w:name w:val="Header Sensitivity Right Char"/>
    <w:rsid w:val="001A62D7"/>
    <w:rPr>
      <w:rFonts w:ascii="Times New Roman" w:hAnsi="Times New Roman" w:cs="Times New Roman"/>
      <w:sz w:val="28"/>
      <w:lang w:val="ro-RO"/>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B70905"/>
    <w:rPr>
      <w:rFonts w:ascii="Times New Roman" w:hAnsi="Times New Roman" w:cs="Times New Roman"/>
      <w:sz w:val="24"/>
      <w:lang w:val="ro-RO"/>
    </w:rPr>
  </w:style>
  <w:style w:type="character" w:customStyle="1" w:styleId="FooterChar">
    <w:name w:val="Footer Char"/>
    <w:basedOn w:val="DefaultParagraphFont"/>
    <w:link w:val="Footer"/>
    <w:uiPriority w:val="99"/>
    <w:rsid w:val="00B7090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7090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70905"/>
    <w:pPr>
      <w:spacing w:before="0"/>
      <w:jc w:val="right"/>
    </w:pPr>
    <w:rPr>
      <w:sz w:val="28"/>
    </w:rPr>
  </w:style>
  <w:style w:type="paragraph" w:customStyle="1" w:styleId="FooterSensitivity">
    <w:name w:val="Footer Sensitivity"/>
    <w:basedOn w:val="Normal"/>
    <w:rsid w:val="00B7090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70905"/>
    <w:pPr>
      <w:tabs>
        <w:tab w:val="center" w:pos="4535"/>
        <w:tab w:val="right" w:pos="9071"/>
      </w:tabs>
      <w:spacing w:before="0"/>
    </w:pPr>
  </w:style>
  <w:style w:type="paragraph" w:customStyle="1" w:styleId="HeaderLandscape">
    <w:name w:val="HeaderLandscape"/>
    <w:basedOn w:val="Normal"/>
    <w:rsid w:val="00B70905"/>
    <w:pPr>
      <w:tabs>
        <w:tab w:val="center" w:pos="7285"/>
        <w:tab w:val="right" w:pos="14003"/>
      </w:tabs>
      <w:spacing w:before="0"/>
    </w:pPr>
  </w:style>
  <w:style w:type="paragraph" w:styleId="Footer">
    <w:name w:val="footer"/>
    <w:basedOn w:val="Normal"/>
    <w:link w:val="FooterChar"/>
    <w:uiPriority w:val="99"/>
    <w:unhideWhenUsed/>
    <w:rsid w:val="00B7090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7090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bestat.statbel.fgov.be/bestat/crosstable.xhtml?view=9ef9d888-ffdb-4826-9f5e-6a637259f1c9" TargetMode="External"/><Relationship Id="rId13" Type="http://schemas.openxmlformats.org/officeDocument/2006/relationships/hyperlink" Target="https://www.leforem.be/documents/citoyens/penuries-liste-metiers.pdf" TargetMode="External"/><Relationship Id="rId3" Type="http://schemas.openxmlformats.org/officeDocument/2006/relationships/hyperlink" Target="https://statbel.fgov.be/fr/themes/emploi-formation/marche-du-travail/emploi-et-chomage" TargetMode="External"/><Relationship Id="rId7" Type="http://schemas.openxmlformats.org/officeDocument/2006/relationships/hyperlink" Target="https://ec.europa.eu/eurostat/web/products-eurostat-news/w/ddn-20250912-1" TargetMode="External"/><Relationship Id="rId12" Type="http://schemas.openxmlformats.org/officeDocument/2006/relationships/hyperlink" Target="https://www.leforem.be/a-propos/reconversions-collectives.html" TargetMode="External"/><Relationship Id="rId2" Type="http://schemas.openxmlformats.org/officeDocument/2006/relationships/hyperlink" Target="https://ec.europa.eu/eurostat/web/products-euro-indicators/w/3-02102025-ap" TargetMode="External"/><Relationship Id="rId16" Type="http://schemas.openxmlformats.org/officeDocument/2006/relationships/hyperlink" Target="https://www.leforem.be/documents/citoyens/penuries-liste-metiers.pdf" TargetMode="External"/><Relationship Id="rId1" Type="http://schemas.openxmlformats.org/officeDocument/2006/relationships/hyperlink" Target="https://www.eurofer.eu/assets/publications/brochures-booklets-and-factsheets/european-steel-in-figures-2025/European-Steel-in-Figures-2025_23062025.pdf" TargetMode="External"/><Relationship Id="rId6" Type="http://schemas.openxmlformats.org/officeDocument/2006/relationships/hyperlink" Target="https://statbel.fgov.be/fr/themes/emploi-formation/marche-du-travail/emploi-et-chomage" TargetMode="External"/><Relationship Id="rId11" Type="http://schemas.openxmlformats.org/officeDocument/2006/relationships/hyperlink" Target="https://www.leforem.be/a-propos/reconversions-collectives.html" TargetMode="External"/><Relationship Id="rId5" Type="http://schemas.openxmlformats.org/officeDocument/2006/relationships/hyperlink" Target="https://statbel.fgov.be/fr/themes/emploi-formation/marche-du-travail/emploi-et-chomage" TargetMode="External"/><Relationship Id="rId15" Type="http://schemas.openxmlformats.org/officeDocument/2006/relationships/hyperlink" Target="https://www.leforem.be/documents/citoyens/penuries-liste-metiers.pdf" TargetMode="External"/><Relationship Id="rId10" Type="http://schemas.openxmlformats.org/officeDocument/2006/relationships/hyperlink" Target="https://www.leforem.be/a-propos/reconversions-collectives.html" TargetMode="External"/><Relationship Id="rId4" Type="http://schemas.openxmlformats.org/officeDocument/2006/relationships/hyperlink" Target="https://statbel.fgov.be/fr/themes/emploi-formation/marche-du-travail/emploi-et-chomage" TargetMode="External"/><Relationship Id="rId9" Type="http://schemas.openxmlformats.org/officeDocument/2006/relationships/hyperlink" Target="https://bestat.statbel.fgov.be/bestat/crosstable.xhtml?view=9ef9d888-ffdb-4826-9f5e-6a637259f1c9" TargetMode="External"/><Relationship Id="rId14" Type="http://schemas.openxmlformats.org/officeDocument/2006/relationships/hyperlink" Target="https://www.leforem.be/documents/citoyens/penuries-liste-metier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92927-25C1-4B4E-B0E8-D01436A16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35</TotalTime>
  <Pages>10</Pages>
  <Words>3977</Words>
  <Characters>22674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dcterms:created xsi:type="dcterms:W3CDTF">2026-02-18T09:36:00Z</dcterms:created>
  <dcterms:modified xsi:type="dcterms:W3CDTF">2026-02-23T06:55:00Z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