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786D06" w14:textId="0CACC841" w:rsidR="004162F0" w:rsidRDefault="00FC6751" w:rsidP="00FC6751">
      <w:pPr>
        <w:pStyle w:val="Pagedecouverture"/>
        <w:rPr>
          <w:noProof/>
        </w:rPr>
      </w:pPr>
      <w:bookmarkStart w:id="0" w:name="LW_BM_COVERPAGE"/>
      <w:r>
        <w:rPr>
          <w:noProof/>
        </w:rPr>
        <w:pict w14:anchorId="78B6C7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5561DF6-7BC3-4716-9F07-9631F428F5B0" style="width:455.25pt;height:387pt">
            <v:imagedata r:id="rId8" o:title=""/>
          </v:shape>
        </w:pict>
      </w:r>
    </w:p>
    <w:bookmarkEnd w:id="0"/>
    <w:p w14:paraId="2296792A" w14:textId="77777777" w:rsidR="004162F0" w:rsidRDefault="004162F0" w:rsidP="004162F0">
      <w:pPr>
        <w:rPr>
          <w:noProof/>
        </w:rPr>
        <w:sectPr w:rsidR="004162F0" w:rsidSect="00FC6751">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54508FCE" w14:textId="77777777" w:rsidR="00473A1A" w:rsidRPr="004A2B75" w:rsidRDefault="00473A1A" w:rsidP="00473A1A">
      <w:pPr>
        <w:spacing w:line="240" w:lineRule="auto"/>
        <w:jc w:val="center"/>
        <w:rPr>
          <w:rFonts w:asciiTheme="majorBidi" w:hAnsiTheme="majorBidi" w:cstheme="majorBidi"/>
          <w:b/>
          <w:bCs/>
          <w:noProof/>
        </w:rPr>
      </w:pPr>
      <w:bookmarkStart w:id="1" w:name="_GoBack"/>
      <w:bookmarkEnd w:id="1"/>
      <w:r w:rsidRPr="004A2B75">
        <w:rPr>
          <w:rFonts w:asciiTheme="majorBidi" w:hAnsiTheme="majorBidi" w:cstheme="majorBidi"/>
          <w:b/>
          <w:bCs/>
          <w:i/>
          <w:iCs/>
          <w:noProof/>
        </w:rPr>
        <w:lastRenderedPageBreak/>
        <w:t>ANNEX </w:t>
      </w:r>
      <w:r>
        <w:rPr>
          <w:rFonts w:asciiTheme="majorBidi" w:hAnsiTheme="majorBidi" w:cstheme="majorBidi"/>
          <w:b/>
          <w:bCs/>
          <w:i/>
          <w:iCs/>
          <w:noProof/>
        </w:rPr>
        <w:t>I</w:t>
      </w:r>
    </w:p>
    <w:p w14:paraId="18F57E3D" w14:textId="77777777" w:rsidR="00D01091" w:rsidRDefault="00473A1A" w:rsidP="00473A1A">
      <w:pPr>
        <w:spacing w:after="0" w:line="240" w:lineRule="auto"/>
        <w:jc w:val="center"/>
        <w:rPr>
          <w:rFonts w:asciiTheme="majorBidi" w:hAnsiTheme="majorBidi" w:cstheme="majorBidi"/>
          <w:b/>
          <w:bCs/>
          <w:noProof/>
          <w:u w:val="single"/>
        </w:rPr>
      </w:pPr>
      <w:r w:rsidRPr="004A2B75">
        <w:rPr>
          <w:rFonts w:asciiTheme="majorBidi" w:hAnsiTheme="majorBidi" w:cstheme="majorBidi"/>
          <w:b/>
          <w:bCs/>
          <w:noProof/>
          <w:u w:val="single"/>
        </w:rPr>
        <w:t>Monitoring framework for open source</w:t>
      </w:r>
    </w:p>
    <w:p w14:paraId="44CFC38F" w14:textId="77777777" w:rsidR="00473A1A" w:rsidRPr="004A2B75" w:rsidRDefault="00473A1A" w:rsidP="00473A1A">
      <w:pPr>
        <w:spacing w:after="0" w:line="240" w:lineRule="auto"/>
        <w:jc w:val="center"/>
        <w:rPr>
          <w:rFonts w:asciiTheme="majorBidi" w:hAnsiTheme="majorBidi" w:cstheme="majorBidi"/>
          <w:b/>
          <w:bCs/>
          <w:noProof/>
          <w:u w:val="single"/>
        </w:rPr>
      </w:pPr>
    </w:p>
    <w:p w14:paraId="718E2C7F" w14:textId="77777777" w:rsidR="00473A1A" w:rsidRPr="00936668" w:rsidRDefault="00473A1A" w:rsidP="00473A1A">
      <w:pPr>
        <w:spacing w:after="0" w:line="240" w:lineRule="auto"/>
        <w:rPr>
          <w:rFonts w:asciiTheme="majorBidi" w:eastAsia="Times New Roman" w:hAnsiTheme="majorBidi" w:cstheme="majorBidi"/>
          <w:noProof/>
        </w:rPr>
      </w:pPr>
      <w:r w:rsidRPr="00936668">
        <w:rPr>
          <w:rFonts w:asciiTheme="majorBidi" w:eastAsia="Times New Roman" w:hAnsiTheme="majorBidi" w:cstheme="majorBidi"/>
          <w:noProof/>
          <w:lang w:val="en-IE"/>
        </w:rPr>
        <w:t xml:space="preserve">The monitoring framework consists of the following </w:t>
      </w:r>
      <w:r>
        <w:rPr>
          <w:rFonts w:asciiTheme="majorBidi" w:eastAsia="Times New Roman" w:hAnsiTheme="majorBidi" w:cstheme="majorBidi"/>
          <w:noProof/>
          <w:lang w:val="en-IE"/>
        </w:rPr>
        <w:t>Key Performance Indicators (KPIs)</w:t>
      </w:r>
      <w:r w:rsidRPr="00936668">
        <w:rPr>
          <w:rFonts w:asciiTheme="majorBidi" w:eastAsia="Times New Roman" w:hAnsiTheme="majorBidi" w:cstheme="majorBidi"/>
          <w:noProof/>
          <w:lang w:val="en-IE"/>
        </w:rPr>
        <w:t>:</w:t>
      </w:r>
    </w:p>
    <w:p w14:paraId="764E0563" w14:textId="77777777" w:rsidR="00473A1A" w:rsidRPr="004A2B75" w:rsidRDefault="00473A1A" w:rsidP="00473A1A">
      <w:pPr>
        <w:spacing w:after="0" w:line="240" w:lineRule="auto"/>
        <w:rPr>
          <w:rFonts w:asciiTheme="majorBidi" w:eastAsia="Times New Roman" w:hAnsiTheme="majorBidi" w:cstheme="majorBidi"/>
          <w:noProof/>
        </w:rPr>
      </w:pPr>
    </w:p>
    <w:p w14:paraId="2A318D8B" w14:textId="77777777" w:rsidR="00473A1A" w:rsidRPr="004A2B75" w:rsidRDefault="00473A1A" w:rsidP="00473A1A">
      <w:pPr>
        <w:pStyle w:val="ListParagraph"/>
        <w:numPr>
          <w:ilvl w:val="0"/>
          <w:numId w:val="13"/>
        </w:numPr>
        <w:spacing w:after="0" w:line="240" w:lineRule="auto"/>
        <w:jc w:val="both"/>
        <w:rPr>
          <w:rFonts w:asciiTheme="majorBidi" w:eastAsia="Times New Roman" w:hAnsiTheme="majorBidi" w:cstheme="majorBidi"/>
          <w:noProof/>
        </w:rPr>
      </w:pPr>
      <w:r w:rsidRPr="004A2B75">
        <w:rPr>
          <w:rFonts w:asciiTheme="majorBidi" w:eastAsia="Times New Roman" w:hAnsiTheme="majorBidi" w:cstheme="majorBidi"/>
          <w:noProof/>
          <w:lang w:val="en-IE"/>
        </w:rPr>
        <w:t>Share of relevant EU digital calls that explicitly include open source and/or open models in scope.</w:t>
      </w:r>
    </w:p>
    <w:p w14:paraId="4A0FDA99" w14:textId="77777777" w:rsidR="00473A1A" w:rsidRPr="004A2B75" w:rsidRDefault="00473A1A" w:rsidP="00473A1A">
      <w:pPr>
        <w:pStyle w:val="ListParagraph"/>
        <w:numPr>
          <w:ilvl w:val="0"/>
          <w:numId w:val="13"/>
        </w:numPr>
        <w:spacing w:after="0" w:line="240" w:lineRule="auto"/>
        <w:jc w:val="both"/>
        <w:rPr>
          <w:rFonts w:asciiTheme="majorBidi" w:eastAsia="Times New Roman" w:hAnsiTheme="majorBidi" w:cstheme="majorBidi"/>
          <w:noProof/>
        </w:rPr>
      </w:pPr>
      <w:r w:rsidRPr="004A2B75">
        <w:rPr>
          <w:rFonts w:asciiTheme="majorBidi" w:eastAsia="Times New Roman" w:hAnsiTheme="majorBidi" w:cstheme="majorBidi"/>
          <w:noProof/>
          <w:lang w:val="en-IE"/>
        </w:rPr>
        <w:t>Share of awarded projects under relevant calls that commit to, or deliver, open source/open model outputs.</w:t>
      </w:r>
    </w:p>
    <w:p w14:paraId="5D41F5E6" w14:textId="77777777" w:rsidR="00473A1A" w:rsidRPr="004A2B75" w:rsidRDefault="00473A1A" w:rsidP="00473A1A">
      <w:pPr>
        <w:pStyle w:val="ListParagraph"/>
        <w:numPr>
          <w:ilvl w:val="0"/>
          <w:numId w:val="13"/>
        </w:numPr>
        <w:spacing w:after="0" w:line="240" w:lineRule="auto"/>
        <w:jc w:val="both"/>
        <w:rPr>
          <w:rFonts w:asciiTheme="majorBidi" w:eastAsia="Times New Roman" w:hAnsiTheme="majorBidi" w:cstheme="majorBidi"/>
          <w:noProof/>
        </w:rPr>
      </w:pPr>
      <w:r w:rsidRPr="004A2B75">
        <w:rPr>
          <w:rFonts w:asciiTheme="majorBidi" w:eastAsia="Times New Roman" w:hAnsiTheme="majorBidi" w:cstheme="majorBidi"/>
          <w:noProof/>
          <w:lang w:val="en-IE"/>
        </w:rPr>
        <w:t xml:space="preserve">Share of dependencies on the EU critical-dependencies list that receive active support through the </w:t>
      </w:r>
      <w:r>
        <w:rPr>
          <w:rFonts w:asciiTheme="majorBidi" w:eastAsia="Times New Roman" w:hAnsiTheme="majorBidi" w:cstheme="majorBidi"/>
          <w:noProof/>
          <w:lang w:val="en-IE"/>
        </w:rPr>
        <w:t>Open Source</w:t>
      </w:r>
      <w:r w:rsidRPr="004A2B75">
        <w:rPr>
          <w:rFonts w:asciiTheme="majorBidi" w:eastAsia="Times New Roman" w:hAnsiTheme="majorBidi" w:cstheme="majorBidi"/>
          <w:noProof/>
          <w:lang w:val="en-IE"/>
        </w:rPr>
        <w:t xml:space="preserve"> Maintenance Instrument.</w:t>
      </w:r>
    </w:p>
    <w:p w14:paraId="46835BFC" w14:textId="77777777" w:rsidR="00473A1A" w:rsidRPr="004A2B75" w:rsidRDefault="00473A1A" w:rsidP="00473A1A">
      <w:pPr>
        <w:pStyle w:val="ListParagraph"/>
        <w:numPr>
          <w:ilvl w:val="0"/>
          <w:numId w:val="13"/>
        </w:numPr>
        <w:spacing w:after="0" w:line="240" w:lineRule="auto"/>
        <w:jc w:val="both"/>
        <w:rPr>
          <w:rFonts w:asciiTheme="majorBidi" w:eastAsia="Times New Roman" w:hAnsiTheme="majorBidi" w:cstheme="majorBidi"/>
          <w:noProof/>
        </w:rPr>
      </w:pPr>
      <w:r w:rsidRPr="004A2B75">
        <w:rPr>
          <w:rFonts w:asciiTheme="majorBidi" w:eastAsia="Times New Roman" w:hAnsiTheme="majorBidi" w:cstheme="majorBidi"/>
          <w:noProof/>
          <w:lang w:val="en-IE"/>
        </w:rPr>
        <w:t xml:space="preserve">Number of EU public authorities that used Commission guidance or support mechanisms for </w:t>
      </w:r>
      <w:r>
        <w:rPr>
          <w:rFonts w:asciiTheme="majorBidi" w:eastAsia="Times New Roman" w:hAnsiTheme="majorBidi" w:cstheme="majorBidi"/>
          <w:noProof/>
          <w:lang w:val="en-IE"/>
        </w:rPr>
        <w:t>open source</w:t>
      </w:r>
      <w:r w:rsidRPr="004A2B75">
        <w:rPr>
          <w:rFonts w:asciiTheme="majorBidi" w:eastAsia="Times New Roman" w:hAnsiTheme="majorBidi" w:cstheme="majorBidi"/>
          <w:noProof/>
          <w:lang w:val="en-IE"/>
        </w:rPr>
        <w:t xml:space="preserve"> procurement, migration, or evaluation.</w:t>
      </w:r>
    </w:p>
    <w:p w14:paraId="386CADCF" w14:textId="77777777" w:rsidR="00473A1A" w:rsidRPr="004A2B75" w:rsidRDefault="00473A1A" w:rsidP="00473A1A">
      <w:pPr>
        <w:pStyle w:val="ListParagraph"/>
        <w:numPr>
          <w:ilvl w:val="0"/>
          <w:numId w:val="13"/>
        </w:numPr>
        <w:spacing w:after="0" w:line="240" w:lineRule="auto"/>
        <w:jc w:val="both"/>
        <w:rPr>
          <w:rFonts w:asciiTheme="majorBidi" w:eastAsia="Times New Roman" w:hAnsiTheme="majorBidi" w:cstheme="majorBidi"/>
          <w:noProof/>
        </w:rPr>
      </w:pPr>
      <w:r w:rsidRPr="004A2B75">
        <w:rPr>
          <w:rFonts w:asciiTheme="majorBidi" w:eastAsia="Times New Roman" w:hAnsiTheme="majorBidi" w:cstheme="majorBidi"/>
          <w:noProof/>
          <w:lang w:val="en-IE"/>
        </w:rPr>
        <w:t>Number of EU-based stewardship organisations or foundations in priority areas newly established or receiving EU-supported capacity-building or financial support.</w:t>
      </w:r>
    </w:p>
    <w:p w14:paraId="3C54C12E" w14:textId="77777777" w:rsidR="00473A1A" w:rsidRPr="004A2B75" w:rsidRDefault="00473A1A" w:rsidP="00473A1A">
      <w:pPr>
        <w:pStyle w:val="ListParagraph"/>
        <w:numPr>
          <w:ilvl w:val="0"/>
          <w:numId w:val="13"/>
        </w:numPr>
        <w:spacing w:after="0" w:line="240" w:lineRule="auto"/>
        <w:jc w:val="both"/>
        <w:rPr>
          <w:rFonts w:asciiTheme="majorBidi" w:eastAsia="Times New Roman" w:hAnsiTheme="majorBidi" w:cstheme="majorBidi"/>
          <w:noProof/>
        </w:rPr>
      </w:pPr>
      <w:r w:rsidRPr="004A2B75">
        <w:rPr>
          <w:rFonts w:asciiTheme="majorBidi" w:eastAsia="Times New Roman" w:hAnsiTheme="majorBidi" w:cstheme="majorBidi"/>
          <w:noProof/>
          <w:lang w:val="en-IE"/>
        </w:rPr>
        <w:t xml:space="preserve">Number of </w:t>
      </w:r>
      <w:r>
        <w:rPr>
          <w:rFonts w:asciiTheme="majorBidi" w:eastAsia="Times New Roman" w:hAnsiTheme="majorBidi" w:cstheme="majorBidi"/>
          <w:noProof/>
          <w:lang w:val="en-IE"/>
        </w:rPr>
        <w:t>open source</w:t>
      </w:r>
      <w:r w:rsidRPr="004A2B75">
        <w:rPr>
          <w:rFonts w:asciiTheme="majorBidi" w:eastAsia="Times New Roman" w:hAnsiTheme="majorBidi" w:cstheme="majorBidi"/>
          <w:noProof/>
          <w:lang w:val="en-IE"/>
        </w:rPr>
        <w:t xml:space="preserve"> organisations and experts participating in European standardisation work related to EU digital policy priorities.</w:t>
      </w:r>
    </w:p>
    <w:p w14:paraId="1A83D988" w14:textId="77777777" w:rsidR="00473A1A" w:rsidRPr="004A2B75" w:rsidRDefault="00473A1A" w:rsidP="00473A1A">
      <w:pPr>
        <w:pStyle w:val="ListParagraph"/>
        <w:numPr>
          <w:ilvl w:val="0"/>
          <w:numId w:val="13"/>
        </w:numPr>
        <w:spacing w:after="0" w:line="240" w:lineRule="auto"/>
        <w:jc w:val="both"/>
        <w:rPr>
          <w:rFonts w:asciiTheme="majorBidi" w:eastAsia="Times New Roman" w:hAnsiTheme="majorBidi" w:cstheme="majorBidi"/>
          <w:noProof/>
        </w:rPr>
      </w:pPr>
      <w:r w:rsidRPr="004A2B75">
        <w:rPr>
          <w:rFonts w:asciiTheme="majorBidi" w:eastAsia="Times New Roman" w:hAnsiTheme="majorBidi" w:cstheme="majorBidi"/>
          <w:noProof/>
          <w:lang w:val="en-IE"/>
        </w:rPr>
        <w:t xml:space="preserve">Number of </w:t>
      </w:r>
      <w:r>
        <w:rPr>
          <w:rFonts w:asciiTheme="majorBidi" w:eastAsia="Times New Roman" w:hAnsiTheme="majorBidi" w:cstheme="majorBidi"/>
          <w:noProof/>
          <w:lang w:val="en-IE"/>
        </w:rPr>
        <w:t>open source</w:t>
      </w:r>
      <w:r w:rsidRPr="004A2B75">
        <w:rPr>
          <w:rFonts w:asciiTheme="majorBidi" w:eastAsia="Times New Roman" w:hAnsiTheme="majorBidi" w:cstheme="majorBidi"/>
          <w:noProof/>
          <w:lang w:val="en-IE"/>
        </w:rPr>
        <w:t xml:space="preserve"> reference implementations of European standards that support EU digital legislation or policy priorities.</w:t>
      </w:r>
    </w:p>
    <w:p w14:paraId="4F3CE563" w14:textId="77777777" w:rsidR="00473A1A" w:rsidRPr="004A2B75" w:rsidRDefault="00473A1A" w:rsidP="00473A1A">
      <w:pPr>
        <w:pStyle w:val="ListParagraph"/>
        <w:numPr>
          <w:ilvl w:val="0"/>
          <w:numId w:val="13"/>
        </w:numPr>
        <w:spacing w:after="0" w:line="240" w:lineRule="auto"/>
        <w:jc w:val="both"/>
        <w:rPr>
          <w:rFonts w:asciiTheme="majorBidi" w:eastAsia="Times New Roman" w:hAnsiTheme="majorBidi" w:cstheme="majorBidi"/>
          <w:noProof/>
        </w:rPr>
      </w:pPr>
      <w:r w:rsidRPr="004A2B75">
        <w:rPr>
          <w:rFonts w:asciiTheme="majorBidi" w:eastAsia="Times New Roman" w:hAnsiTheme="majorBidi" w:cstheme="majorBidi"/>
          <w:noProof/>
          <w:lang w:val="en-IE"/>
        </w:rPr>
        <w:t xml:space="preserve">Number of partner-country deployments or reuse cases of EU-supported </w:t>
      </w:r>
      <w:r>
        <w:rPr>
          <w:rFonts w:asciiTheme="majorBidi" w:eastAsia="Times New Roman" w:hAnsiTheme="majorBidi" w:cstheme="majorBidi"/>
          <w:noProof/>
          <w:lang w:val="en-IE"/>
        </w:rPr>
        <w:t>open source</w:t>
      </w:r>
      <w:r w:rsidRPr="004A2B75">
        <w:rPr>
          <w:rFonts w:asciiTheme="majorBidi" w:eastAsia="Times New Roman" w:hAnsiTheme="majorBidi" w:cstheme="majorBidi"/>
          <w:noProof/>
          <w:lang w:val="en-IE"/>
        </w:rPr>
        <w:t xml:space="preserve"> solutions under the EU Tech Business Offer.</w:t>
      </w:r>
    </w:p>
    <w:p w14:paraId="6E38DC88" w14:textId="77777777" w:rsidR="00473A1A" w:rsidRPr="004A2B75" w:rsidRDefault="00473A1A" w:rsidP="00473A1A">
      <w:pPr>
        <w:pStyle w:val="ListParagraph"/>
        <w:numPr>
          <w:ilvl w:val="0"/>
          <w:numId w:val="13"/>
        </w:numPr>
        <w:spacing w:after="0" w:line="240" w:lineRule="auto"/>
        <w:jc w:val="both"/>
        <w:rPr>
          <w:rFonts w:asciiTheme="majorBidi" w:eastAsia="Times New Roman" w:hAnsiTheme="majorBidi" w:cstheme="majorBidi"/>
          <w:noProof/>
        </w:rPr>
      </w:pPr>
      <w:r w:rsidRPr="004A2B75">
        <w:rPr>
          <w:rFonts w:asciiTheme="majorBidi" w:eastAsia="Times New Roman" w:hAnsiTheme="majorBidi" w:cstheme="majorBidi"/>
          <w:noProof/>
          <w:lang w:val="en-IE"/>
        </w:rPr>
        <w:t>Operational establishment of the European Digital Public Infrastructure Foundation, number of projects and tracks under its stewardship, and number of Member States, contributors, and member organisations participating in its governance.</w:t>
      </w:r>
    </w:p>
    <w:p w14:paraId="167137E2" w14:textId="77777777" w:rsidR="00473A1A" w:rsidRPr="004A2B75" w:rsidRDefault="00473A1A" w:rsidP="00473A1A">
      <w:pPr>
        <w:pStyle w:val="ListParagraph"/>
        <w:numPr>
          <w:ilvl w:val="0"/>
          <w:numId w:val="13"/>
        </w:numPr>
        <w:spacing w:after="0" w:line="240" w:lineRule="auto"/>
        <w:jc w:val="both"/>
        <w:rPr>
          <w:rFonts w:asciiTheme="majorBidi" w:eastAsia="Times New Roman" w:hAnsiTheme="majorBidi" w:cstheme="majorBidi"/>
          <w:noProof/>
        </w:rPr>
      </w:pPr>
      <w:r w:rsidRPr="004A2B75">
        <w:rPr>
          <w:rFonts w:asciiTheme="majorBidi" w:eastAsia="Times New Roman" w:hAnsiTheme="majorBidi" w:cstheme="majorBidi"/>
          <w:noProof/>
          <w:lang w:val="en-IE"/>
        </w:rPr>
        <w:t>Number of solutions assessed under the EU sovereign solutions assessment framework and the voluntary EU assessment framework for open source.</w:t>
      </w:r>
    </w:p>
    <w:p w14:paraId="107990ED" w14:textId="77777777" w:rsidR="00473A1A" w:rsidRPr="004A2B75" w:rsidRDefault="00473A1A" w:rsidP="00473A1A">
      <w:pPr>
        <w:pStyle w:val="ListParagraph"/>
        <w:numPr>
          <w:ilvl w:val="0"/>
          <w:numId w:val="13"/>
        </w:numPr>
        <w:spacing w:after="0" w:line="240" w:lineRule="auto"/>
        <w:jc w:val="both"/>
        <w:rPr>
          <w:rFonts w:asciiTheme="majorBidi" w:eastAsia="Times New Roman" w:hAnsiTheme="majorBidi" w:cstheme="majorBidi"/>
          <w:noProof/>
        </w:rPr>
      </w:pPr>
      <w:r w:rsidRPr="004A2B75">
        <w:rPr>
          <w:rFonts w:asciiTheme="majorBidi" w:eastAsia="Times New Roman" w:hAnsiTheme="majorBidi" w:cstheme="majorBidi"/>
          <w:noProof/>
          <w:lang w:val="en-IE"/>
        </w:rPr>
        <w:t xml:space="preserve">Number of learners, programmes, and mobility actions supported on </w:t>
      </w:r>
      <w:r>
        <w:rPr>
          <w:rFonts w:asciiTheme="majorBidi" w:eastAsia="Times New Roman" w:hAnsiTheme="majorBidi" w:cstheme="majorBidi"/>
          <w:noProof/>
          <w:lang w:val="en-IE"/>
        </w:rPr>
        <w:t>open source</w:t>
      </w:r>
      <w:r w:rsidRPr="004A2B75">
        <w:rPr>
          <w:rFonts w:asciiTheme="majorBidi" w:eastAsia="Times New Roman" w:hAnsiTheme="majorBidi" w:cstheme="majorBidi"/>
          <w:noProof/>
          <w:lang w:val="en-IE"/>
        </w:rPr>
        <w:t xml:space="preserve"> software skills, collaborative </w:t>
      </w:r>
      <w:r>
        <w:rPr>
          <w:rFonts w:asciiTheme="majorBidi" w:eastAsia="Times New Roman" w:hAnsiTheme="majorBidi" w:cstheme="majorBidi"/>
          <w:noProof/>
          <w:lang w:val="en-IE"/>
        </w:rPr>
        <w:t>open source</w:t>
      </w:r>
      <w:r w:rsidRPr="004A2B75">
        <w:rPr>
          <w:rFonts w:asciiTheme="majorBidi" w:eastAsia="Times New Roman" w:hAnsiTheme="majorBidi" w:cstheme="majorBidi"/>
          <w:noProof/>
          <w:lang w:val="en-IE"/>
        </w:rPr>
        <w:t xml:space="preserve"> development, community governance, stewardship, and sustainability models.</w:t>
      </w:r>
    </w:p>
    <w:p w14:paraId="22B993F0" w14:textId="77777777" w:rsidR="00473A1A" w:rsidRPr="00E72596" w:rsidRDefault="00473A1A" w:rsidP="00473A1A">
      <w:pPr>
        <w:pStyle w:val="ListParagraph"/>
        <w:numPr>
          <w:ilvl w:val="0"/>
          <w:numId w:val="13"/>
        </w:numPr>
        <w:spacing w:after="0" w:line="240" w:lineRule="auto"/>
        <w:jc w:val="both"/>
        <w:rPr>
          <w:rFonts w:asciiTheme="majorBidi" w:eastAsia="Times New Roman" w:hAnsiTheme="majorBidi" w:cstheme="majorBidi"/>
          <w:noProof/>
        </w:rPr>
      </w:pPr>
      <w:r w:rsidRPr="004A2B75">
        <w:rPr>
          <w:rFonts w:asciiTheme="majorBidi" w:eastAsia="Times New Roman" w:hAnsiTheme="majorBidi" w:cstheme="majorBidi"/>
          <w:noProof/>
          <w:lang w:val="en-IE"/>
        </w:rPr>
        <w:t xml:space="preserve">Number of EU-based </w:t>
      </w:r>
      <w:r>
        <w:rPr>
          <w:rFonts w:asciiTheme="majorBidi" w:eastAsia="Times New Roman" w:hAnsiTheme="majorBidi" w:cstheme="majorBidi"/>
          <w:noProof/>
          <w:lang w:val="en-IE"/>
        </w:rPr>
        <w:t>open source</w:t>
      </w:r>
      <w:r w:rsidRPr="004A2B75">
        <w:rPr>
          <w:rFonts w:asciiTheme="majorBidi" w:eastAsia="Times New Roman" w:hAnsiTheme="majorBidi" w:cstheme="majorBidi"/>
          <w:noProof/>
          <w:lang w:val="en-IE"/>
        </w:rPr>
        <w:t xml:space="preserve"> companies and start-ups receiving support through </w:t>
      </w:r>
      <w:r w:rsidRPr="00E72596">
        <w:rPr>
          <w:rFonts w:asciiTheme="majorBidi" w:eastAsia="Times New Roman" w:hAnsiTheme="majorBidi" w:cstheme="majorBidi"/>
          <w:noProof/>
          <w:lang w:val="en-IE"/>
        </w:rPr>
        <w:t>Strategy-backed scale-up, accelerator, or related support actions.</w:t>
      </w:r>
    </w:p>
    <w:p w14:paraId="446D2EBC" w14:textId="77777777" w:rsidR="00473A1A" w:rsidRPr="00E72596" w:rsidRDefault="00473A1A" w:rsidP="00473A1A">
      <w:pPr>
        <w:pStyle w:val="ListParagraph"/>
        <w:numPr>
          <w:ilvl w:val="0"/>
          <w:numId w:val="13"/>
        </w:numPr>
        <w:spacing w:after="0" w:line="240" w:lineRule="auto"/>
        <w:contextualSpacing w:val="0"/>
        <w:jc w:val="both"/>
        <w:rPr>
          <w:rFonts w:ascii="Times New Roman" w:hAnsi="Times New Roman" w:cs="Times New Roman"/>
          <w:noProof/>
          <w:lang w:val="en-US"/>
        </w:rPr>
      </w:pPr>
      <w:r w:rsidRPr="00E72596">
        <w:rPr>
          <w:rFonts w:ascii="Times New Roman" w:hAnsi="Times New Roman" w:cs="Times New Roman"/>
          <w:noProof/>
          <w:lang w:val="en-US"/>
        </w:rPr>
        <w:t>Annual number of recorded download events of Open Internet Stack</w:t>
      </w:r>
      <w:r>
        <w:rPr>
          <w:rFonts w:ascii="Times New Roman" w:hAnsi="Times New Roman" w:cs="Times New Roman"/>
          <w:noProof/>
          <w:lang w:val="en-US"/>
        </w:rPr>
        <w:t xml:space="preserve"> (OIS)</w:t>
      </w:r>
      <w:r w:rsidRPr="00E72596">
        <w:rPr>
          <w:rFonts w:ascii="Times New Roman" w:hAnsi="Times New Roman" w:cs="Times New Roman"/>
          <w:noProof/>
          <w:lang w:val="en-US"/>
        </w:rPr>
        <w:t xml:space="preserve"> components from official distribution channels, and year-on-year percentage change, using the first full year after the launch of the first operational OIS release as the baseline.</w:t>
      </w:r>
    </w:p>
    <w:p w14:paraId="2BA6C641" w14:textId="77777777" w:rsidR="00473A1A" w:rsidRPr="00E72596" w:rsidRDefault="00473A1A" w:rsidP="00473A1A">
      <w:pPr>
        <w:pStyle w:val="ListParagraph"/>
        <w:numPr>
          <w:ilvl w:val="0"/>
          <w:numId w:val="13"/>
        </w:numPr>
        <w:spacing w:after="0" w:line="240" w:lineRule="auto"/>
        <w:contextualSpacing w:val="0"/>
        <w:jc w:val="both"/>
        <w:rPr>
          <w:rFonts w:ascii="Times New Roman" w:hAnsi="Times New Roman" w:cs="Times New Roman"/>
          <w:noProof/>
          <w:lang w:val="en-US"/>
        </w:rPr>
      </w:pPr>
      <w:r w:rsidRPr="00E72596">
        <w:rPr>
          <w:rFonts w:ascii="Times New Roman" w:hAnsi="Times New Roman" w:cs="Times New Roman"/>
          <w:noProof/>
          <w:lang w:val="en-US"/>
        </w:rPr>
        <w:t>Open source readiness scoreboard for EU public authorities.</w:t>
      </w:r>
    </w:p>
    <w:p w14:paraId="38106AEE" w14:textId="77777777" w:rsidR="00473A1A" w:rsidRDefault="00473A1A" w:rsidP="00473A1A">
      <w:pPr>
        <w:spacing w:after="0" w:line="240" w:lineRule="auto"/>
        <w:rPr>
          <w:rFonts w:asciiTheme="majorBidi" w:eastAsia="Times New Roman" w:hAnsiTheme="majorBidi" w:cstheme="majorBidi"/>
          <w:noProof/>
        </w:rPr>
      </w:pPr>
    </w:p>
    <w:p w14:paraId="68E2F297" w14:textId="77777777" w:rsidR="00473A1A" w:rsidRDefault="00473A1A" w:rsidP="00473A1A">
      <w:pPr>
        <w:rPr>
          <w:rFonts w:asciiTheme="majorBidi" w:eastAsia="Times New Roman" w:hAnsiTheme="majorBidi" w:cstheme="majorBidi"/>
          <w:noProof/>
        </w:rPr>
      </w:pPr>
      <w:r>
        <w:rPr>
          <w:rFonts w:asciiTheme="majorBidi" w:eastAsia="Times New Roman" w:hAnsiTheme="majorBidi" w:cstheme="majorBidi"/>
          <w:noProof/>
        </w:rPr>
        <w:br w:type="page"/>
      </w:r>
    </w:p>
    <w:p w14:paraId="65818BA8" w14:textId="1CABF793" w:rsidR="00473A1A" w:rsidRPr="004A2B75" w:rsidRDefault="00473A1A" w:rsidP="00473A1A">
      <w:pPr>
        <w:spacing w:line="240" w:lineRule="auto"/>
        <w:jc w:val="center"/>
        <w:rPr>
          <w:rFonts w:asciiTheme="majorBidi" w:hAnsiTheme="majorBidi" w:cstheme="majorBidi"/>
          <w:b/>
          <w:bCs/>
          <w:noProof/>
          <w:u w:val="single"/>
        </w:rPr>
      </w:pPr>
      <w:r w:rsidRPr="004A2B75">
        <w:rPr>
          <w:rFonts w:asciiTheme="majorBidi" w:hAnsiTheme="majorBidi" w:cstheme="majorBidi"/>
          <w:b/>
          <w:bCs/>
          <w:i/>
          <w:iCs/>
          <w:noProof/>
        </w:rPr>
        <w:t>ANNEX </w:t>
      </w:r>
      <w:r>
        <w:rPr>
          <w:rFonts w:asciiTheme="majorBidi" w:hAnsiTheme="majorBidi" w:cstheme="majorBidi"/>
          <w:b/>
          <w:bCs/>
          <w:i/>
          <w:iCs/>
          <w:noProof/>
        </w:rPr>
        <w:t>II</w:t>
      </w:r>
    </w:p>
    <w:p w14:paraId="35D78F16" w14:textId="77777777" w:rsidR="00473A1A" w:rsidRPr="004A2B75" w:rsidRDefault="00473A1A" w:rsidP="00473A1A">
      <w:pPr>
        <w:spacing w:after="0" w:line="240" w:lineRule="auto"/>
        <w:jc w:val="center"/>
        <w:rPr>
          <w:rFonts w:asciiTheme="majorBidi" w:hAnsiTheme="majorBidi" w:cstheme="majorBidi"/>
          <w:noProof/>
        </w:rPr>
      </w:pPr>
      <w:r w:rsidRPr="004A2B75">
        <w:rPr>
          <w:rFonts w:asciiTheme="majorBidi" w:hAnsiTheme="majorBidi" w:cstheme="majorBidi"/>
          <w:b/>
          <w:bCs/>
          <w:noProof/>
          <w:u w:val="single"/>
        </w:rPr>
        <w:t>Ongoing Commission actions supporting open source</w:t>
      </w:r>
    </w:p>
    <w:p w14:paraId="29991DC7" w14:textId="77777777" w:rsidR="00473A1A" w:rsidRPr="004A2B75" w:rsidRDefault="00473A1A" w:rsidP="00473A1A">
      <w:pPr>
        <w:spacing w:after="0" w:line="240" w:lineRule="auto"/>
        <w:jc w:val="center"/>
        <w:rPr>
          <w:rFonts w:asciiTheme="majorBidi" w:hAnsiTheme="majorBidi" w:cstheme="majorBidi"/>
          <w:b/>
          <w:bCs/>
          <w:noProof/>
          <w:u w:val="single"/>
        </w:rPr>
      </w:pPr>
    </w:p>
    <w:p w14:paraId="72182C83" w14:textId="77777777" w:rsidR="00473A1A" w:rsidRPr="004A2B75" w:rsidRDefault="00473A1A" w:rsidP="00200744">
      <w:pPr>
        <w:shd w:val="clear" w:color="auto" w:fill="FFFFFF" w:themeFill="background1"/>
        <w:spacing w:after="120" w:line="240" w:lineRule="auto"/>
        <w:jc w:val="both"/>
        <w:rPr>
          <w:rFonts w:asciiTheme="majorBidi" w:eastAsia="Times New Roman" w:hAnsiTheme="majorBidi" w:cstheme="majorBidi"/>
          <w:noProof/>
        </w:rPr>
      </w:pPr>
      <w:r w:rsidRPr="004A2B75">
        <w:rPr>
          <w:rFonts w:asciiTheme="majorBidi" w:eastAsia="Times New Roman" w:hAnsiTheme="majorBidi" w:cstheme="majorBidi"/>
          <w:noProof/>
        </w:rPr>
        <w:t xml:space="preserve">The </w:t>
      </w:r>
      <w:r w:rsidRPr="00E66EA3">
        <w:rPr>
          <w:rFonts w:asciiTheme="majorBidi" w:eastAsia="Times New Roman" w:hAnsiTheme="majorBidi" w:cstheme="majorBidi"/>
          <w:b/>
          <w:bCs/>
          <w:noProof/>
        </w:rPr>
        <w:t>Next Generation Internet initiative (NGI)</w:t>
      </w:r>
      <w:r>
        <w:rPr>
          <w:rStyle w:val="FootnoteReference"/>
          <w:rFonts w:asciiTheme="majorBidi" w:eastAsia="Times New Roman" w:hAnsiTheme="majorBidi" w:cstheme="majorBidi"/>
          <w:b/>
          <w:bCs/>
          <w:noProof/>
        </w:rPr>
        <w:footnoteReference w:id="1"/>
      </w:r>
      <w:r w:rsidRPr="004A2B75">
        <w:rPr>
          <w:rFonts w:asciiTheme="majorBidi" w:eastAsia="Times New Roman" w:hAnsiTheme="majorBidi" w:cstheme="majorBidi"/>
          <w:noProof/>
        </w:rPr>
        <w:t xml:space="preserve"> is a major </w:t>
      </w:r>
      <w:r>
        <w:rPr>
          <w:rFonts w:asciiTheme="majorBidi" w:eastAsia="Times New Roman" w:hAnsiTheme="majorBidi" w:cstheme="majorBidi"/>
          <w:noProof/>
        </w:rPr>
        <w:t>open source</w:t>
      </w:r>
      <w:r w:rsidRPr="004A2B75">
        <w:rPr>
          <w:rFonts w:asciiTheme="majorBidi" w:eastAsia="Times New Roman" w:hAnsiTheme="majorBidi" w:cstheme="majorBidi"/>
          <w:noProof/>
        </w:rPr>
        <w:t xml:space="preserve"> European initiative because it focused on providing financial support accessible by small businesses and developers. It was launched in 2018 and mobilised about </w:t>
      </w:r>
      <w:r>
        <w:rPr>
          <w:rFonts w:asciiTheme="majorBidi" w:eastAsia="Times New Roman" w:hAnsiTheme="majorBidi" w:cstheme="majorBidi"/>
          <w:noProof/>
        </w:rPr>
        <w:t xml:space="preserve">EUR </w:t>
      </w:r>
      <w:r w:rsidRPr="004A2B75">
        <w:rPr>
          <w:rFonts w:asciiTheme="majorBidi" w:eastAsia="Times New Roman" w:hAnsiTheme="majorBidi" w:cstheme="majorBidi"/>
          <w:noProof/>
        </w:rPr>
        <w:t>190</w:t>
      </w:r>
      <w:r>
        <w:rPr>
          <w:rFonts w:asciiTheme="majorBidi" w:eastAsia="Times New Roman" w:hAnsiTheme="majorBidi" w:cstheme="majorBidi"/>
          <w:noProof/>
        </w:rPr>
        <w:t xml:space="preserve"> million</w:t>
      </w:r>
      <w:r w:rsidRPr="004A2B75">
        <w:rPr>
          <w:rFonts w:asciiTheme="majorBidi" w:eastAsia="Times New Roman" w:hAnsiTheme="majorBidi" w:cstheme="majorBidi"/>
          <w:noProof/>
        </w:rPr>
        <w:t xml:space="preserve"> through Horizon 2020 and Horizon Europe. It funded more than 1700 grass-root projects to develop internet technologies - from open hardware to operating systems and virtualisation, electronic identities and applications. In terms of output, it is delivering tools progressively allowing citizens and businesses to choose non-proprietary solutions alternative to big Tech and to exert effectively their rights enshrined in EU laws, for example in the areas of privacy, consumer protection and user choice regarding platforms services. According to a Gartner Study</w:t>
      </w:r>
      <w:r>
        <w:rPr>
          <w:rStyle w:val="FootnoteReference"/>
          <w:rFonts w:asciiTheme="majorBidi" w:eastAsia="Times New Roman" w:hAnsiTheme="majorBidi" w:cstheme="majorBidi"/>
          <w:noProof/>
        </w:rPr>
        <w:footnoteReference w:id="2"/>
      </w:r>
      <w:r w:rsidRPr="004A2B75">
        <w:rPr>
          <w:rFonts w:asciiTheme="majorBidi" w:eastAsia="Times New Roman" w:hAnsiTheme="majorBidi" w:cstheme="majorBidi"/>
          <w:noProof/>
        </w:rPr>
        <w:t>, 57% of NGI-funded projects provide alternatives to existing market solutions, challenging industry giants and bolstering EU digital sovereignty. 74% of projects successfully follow through after the first NGI funding. Post-funding, NGI projects continue to operate, showcasing their sustainability. Additionally, 32% of the projects have secured renewed or additional funding. 76% of NGI projects have an active community, indicating a significant level of reuse, with an estimated 80,000-strong ecosystem of contributors, individuals actively supporting NGI projects through code, testing, and bug reporting. NGI funded solutions are widely accessible through public repositories (84%), distribution platforms and app stores (34%) or both (29%), which drives their re-use/usage.</w:t>
      </w:r>
    </w:p>
    <w:p w14:paraId="247099E6" w14:textId="77777777" w:rsidR="00473A1A" w:rsidRPr="004A2B75" w:rsidRDefault="00473A1A" w:rsidP="00200744">
      <w:pPr>
        <w:spacing w:after="120" w:line="240" w:lineRule="auto"/>
        <w:jc w:val="both"/>
        <w:rPr>
          <w:rFonts w:asciiTheme="majorBidi" w:eastAsia="Times New Roman" w:hAnsiTheme="majorBidi" w:cstheme="majorBidi"/>
          <w:noProof/>
        </w:rPr>
      </w:pPr>
      <w:r w:rsidRPr="004A2B75">
        <w:rPr>
          <w:rFonts w:asciiTheme="majorBidi" w:eastAsia="Times New Roman" w:hAnsiTheme="majorBidi" w:cstheme="majorBidi"/>
          <w:noProof/>
        </w:rPr>
        <w:t xml:space="preserve">NGI projects demonstrate a strong degree of impact on enabling different EU legislations, with a focus on supporting </w:t>
      </w:r>
      <w:r>
        <w:rPr>
          <w:rFonts w:asciiTheme="majorBidi" w:eastAsia="Times New Roman" w:hAnsiTheme="majorBidi" w:cstheme="majorBidi"/>
          <w:noProof/>
        </w:rPr>
        <w:t>General Data Protection Regulation (</w:t>
      </w:r>
      <w:r w:rsidRPr="004A2B75">
        <w:rPr>
          <w:rFonts w:asciiTheme="majorBidi" w:eastAsia="Times New Roman" w:hAnsiTheme="majorBidi" w:cstheme="majorBidi"/>
          <w:noProof/>
        </w:rPr>
        <w:t>GDPR</w:t>
      </w:r>
      <w:r>
        <w:rPr>
          <w:rFonts w:asciiTheme="majorBidi" w:eastAsia="Times New Roman" w:hAnsiTheme="majorBidi" w:cstheme="majorBidi"/>
          <w:noProof/>
        </w:rPr>
        <w:t>)</w:t>
      </w:r>
      <w:r w:rsidRPr="004A2B75">
        <w:rPr>
          <w:rFonts w:asciiTheme="majorBidi" w:eastAsia="Times New Roman" w:hAnsiTheme="majorBidi" w:cstheme="majorBidi"/>
          <w:noProof/>
        </w:rPr>
        <w:t xml:space="preserve"> compliance (39%), the Digital Services Act (DSA) and Digital Market Act (DMA) (23%), the Cyber Resilience Act (30%), EU digital identity initiatives (15%), ensuring freedom of choice online (47%), and supporting the concept of digital commons (44%). Current NGI projects will be concluded by 2027.</w:t>
      </w:r>
    </w:p>
    <w:p w14:paraId="0ECCCD39" w14:textId="77777777" w:rsidR="00473A1A" w:rsidRPr="004A2B75" w:rsidRDefault="00473A1A" w:rsidP="00200744">
      <w:pPr>
        <w:spacing w:after="120" w:line="240" w:lineRule="auto"/>
        <w:jc w:val="both"/>
        <w:rPr>
          <w:rFonts w:asciiTheme="majorBidi" w:eastAsia="Times New Roman" w:hAnsiTheme="majorBidi" w:cstheme="majorBidi"/>
          <w:noProof/>
        </w:rPr>
      </w:pPr>
      <w:r w:rsidRPr="004A2B75">
        <w:rPr>
          <w:rFonts w:asciiTheme="majorBidi" w:eastAsia="Times New Roman" w:hAnsiTheme="majorBidi" w:cstheme="majorBidi"/>
          <w:noProof/>
        </w:rPr>
        <w:t xml:space="preserve">The Commission has also developed </w:t>
      </w:r>
      <w:r w:rsidRPr="004A2B75">
        <w:rPr>
          <w:rFonts w:asciiTheme="majorBidi" w:eastAsia="Times New Roman" w:hAnsiTheme="majorBidi" w:cstheme="majorBidi"/>
          <w:b/>
          <w:bCs/>
          <w:noProof/>
        </w:rPr>
        <w:t>Simpl</w:t>
      </w:r>
      <w:r>
        <w:rPr>
          <w:rStyle w:val="FootnoteReference"/>
          <w:rFonts w:asciiTheme="majorBidi" w:eastAsia="Times New Roman" w:hAnsiTheme="majorBidi" w:cstheme="majorBidi"/>
          <w:b/>
          <w:bCs/>
          <w:noProof/>
        </w:rPr>
        <w:footnoteReference w:id="3"/>
      </w:r>
      <w:r w:rsidRPr="004A2B75">
        <w:rPr>
          <w:rFonts w:asciiTheme="majorBidi" w:eastAsia="Times New Roman" w:hAnsiTheme="majorBidi" w:cstheme="majorBidi"/>
          <w:b/>
          <w:bCs/>
          <w:noProof/>
        </w:rPr>
        <w:t>,</w:t>
      </w:r>
      <w:r w:rsidRPr="004A2B75">
        <w:rPr>
          <w:rFonts w:asciiTheme="majorBidi" w:eastAsia="Times New Roman" w:hAnsiTheme="majorBidi" w:cstheme="majorBidi"/>
          <w:noProof/>
        </w:rPr>
        <w:t xml:space="preserve"> the </w:t>
      </w:r>
      <w:r>
        <w:rPr>
          <w:rFonts w:asciiTheme="majorBidi" w:eastAsia="Times New Roman" w:hAnsiTheme="majorBidi" w:cstheme="majorBidi"/>
          <w:noProof/>
        </w:rPr>
        <w:t xml:space="preserve">EUR </w:t>
      </w:r>
      <w:r w:rsidRPr="004A2B75">
        <w:rPr>
          <w:rFonts w:asciiTheme="majorBidi" w:eastAsia="Times New Roman" w:hAnsiTheme="majorBidi" w:cstheme="majorBidi"/>
          <w:noProof/>
        </w:rPr>
        <w:t>156</w:t>
      </w:r>
      <w:r>
        <w:rPr>
          <w:rFonts w:asciiTheme="majorBidi" w:eastAsia="Times New Roman" w:hAnsiTheme="majorBidi" w:cstheme="majorBidi"/>
          <w:noProof/>
        </w:rPr>
        <w:t xml:space="preserve"> million</w:t>
      </w:r>
      <w:r w:rsidRPr="004A2B75">
        <w:rPr>
          <w:rFonts w:asciiTheme="majorBidi" w:eastAsia="Times New Roman" w:hAnsiTheme="majorBidi" w:cstheme="majorBidi"/>
          <w:noProof/>
        </w:rPr>
        <w:t xml:space="preserve"> </w:t>
      </w:r>
      <w:r>
        <w:rPr>
          <w:rFonts w:asciiTheme="majorBidi" w:eastAsia="Times New Roman" w:hAnsiTheme="majorBidi" w:cstheme="majorBidi"/>
          <w:noProof/>
        </w:rPr>
        <w:t>open source</w:t>
      </w:r>
      <w:r w:rsidRPr="004A2B75">
        <w:rPr>
          <w:rFonts w:asciiTheme="majorBidi" w:eastAsia="Times New Roman" w:hAnsiTheme="majorBidi" w:cstheme="majorBidi"/>
          <w:noProof/>
        </w:rPr>
        <w:t xml:space="preserve"> software, to operate data spaces</w:t>
      </w:r>
      <w:r w:rsidRPr="004A2B75">
        <w:rPr>
          <w:rFonts w:asciiTheme="majorBidi" w:eastAsia="Times New Roman" w:hAnsiTheme="majorBidi" w:cstheme="majorBidi"/>
          <w:b/>
          <w:bCs/>
          <w:noProof/>
        </w:rPr>
        <w:t xml:space="preserve"> </w:t>
      </w:r>
      <w:r w:rsidRPr="004A2B75">
        <w:rPr>
          <w:rFonts w:asciiTheme="majorBidi" w:eastAsia="Times New Roman" w:hAnsiTheme="majorBidi" w:cstheme="majorBidi"/>
          <w:noProof/>
        </w:rPr>
        <w:t>and to allow Member States to share their respective computing infrastructure through the EuroCloud initiative. It is currently part of the AI Continent Action Plan and where technically appropriate, it should be considered as a reference for the implementation of EU-supported data space deployments and related cloud to reduce fragmentation and strengthen interoperability.</w:t>
      </w:r>
    </w:p>
    <w:p w14:paraId="61E9ADD1" w14:textId="77777777" w:rsidR="00473A1A" w:rsidRPr="004A2B75" w:rsidRDefault="00473A1A" w:rsidP="00200744">
      <w:pPr>
        <w:spacing w:after="120" w:line="240" w:lineRule="auto"/>
        <w:jc w:val="both"/>
        <w:rPr>
          <w:rFonts w:asciiTheme="majorBidi" w:eastAsia="Times New Roman" w:hAnsiTheme="majorBidi" w:cstheme="majorBidi"/>
          <w:noProof/>
        </w:rPr>
      </w:pPr>
      <w:r w:rsidRPr="004A2B75">
        <w:rPr>
          <w:rFonts w:asciiTheme="majorBidi" w:eastAsia="Times New Roman" w:hAnsiTheme="majorBidi" w:cstheme="majorBidi"/>
          <w:b/>
          <w:bCs/>
          <w:noProof/>
        </w:rPr>
        <w:t>GenAI4EU</w:t>
      </w:r>
      <w:r w:rsidRPr="00AF45F9">
        <w:rPr>
          <w:rStyle w:val="FootnoteReference"/>
          <w:rFonts w:asciiTheme="majorBidi" w:eastAsia="Times New Roman" w:hAnsiTheme="majorBidi" w:cstheme="majorBidi"/>
          <w:noProof/>
        </w:rPr>
        <w:footnoteReference w:id="4"/>
      </w:r>
      <w:r w:rsidRPr="004A2B75">
        <w:rPr>
          <w:rFonts w:asciiTheme="majorBidi" w:eastAsia="Times New Roman" w:hAnsiTheme="majorBidi" w:cstheme="majorBidi"/>
          <w:b/>
          <w:bCs/>
          <w:noProof/>
        </w:rPr>
        <w:t>:</w:t>
      </w:r>
      <w:r w:rsidRPr="004A2B75">
        <w:rPr>
          <w:rFonts w:asciiTheme="majorBidi" w:eastAsia="Times New Roman" w:hAnsiTheme="majorBidi" w:cstheme="majorBidi"/>
          <w:noProof/>
        </w:rPr>
        <w:t xml:space="preserve"> </w:t>
      </w:r>
      <w:r>
        <w:rPr>
          <w:rFonts w:asciiTheme="majorBidi" w:eastAsia="Times New Roman" w:hAnsiTheme="majorBidi" w:cstheme="majorBidi"/>
          <w:noProof/>
        </w:rPr>
        <w:t>I</w:t>
      </w:r>
      <w:r w:rsidRPr="004A2B75">
        <w:rPr>
          <w:rFonts w:asciiTheme="majorBidi" w:eastAsia="Times New Roman" w:hAnsiTheme="majorBidi" w:cstheme="majorBidi"/>
          <w:noProof/>
        </w:rPr>
        <w:t xml:space="preserve">n the context of the GenAI4EU initiative, boosting the development of generative AI “Made in Europe”, the European Commission has significantly stepped up its efforts to support the development of AI models, with </w:t>
      </w:r>
      <w:r>
        <w:rPr>
          <w:rFonts w:asciiTheme="majorBidi" w:eastAsia="Times New Roman" w:hAnsiTheme="majorBidi" w:cstheme="majorBidi"/>
          <w:noProof/>
        </w:rPr>
        <w:t>open source</w:t>
      </w:r>
      <w:r w:rsidRPr="004A2B75">
        <w:rPr>
          <w:rFonts w:asciiTheme="majorBidi" w:eastAsia="Times New Roman" w:hAnsiTheme="majorBidi" w:cstheme="majorBidi"/>
          <w:noProof/>
        </w:rPr>
        <w:t xml:space="preserve"> AI models as a core principle. </w:t>
      </w:r>
      <w:r w:rsidRPr="004A2B75">
        <w:rPr>
          <w:rFonts w:asciiTheme="majorBidi" w:eastAsia="Times New Roman" w:hAnsiTheme="majorBidi" w:cstheme="majorBidi"/>
          <w:b/>
          <w:bCs/>
          <w:noProof/>
        </w:rPr>
        <w:t>Through Horizon Europe, the Commission has allocated 50 million euros to advance open AI models.</w:t>
      </w:r>
    </w:p>
    <w:p w14:paraId="5CBE07E9" w14:textId="77777777" w:rsidR="00473A1A" w:rsidRPr="004A2B75" w:rsidRDefault="00473A1A" w:rsidP="00200744">
      <w:pPr>
        <w:spacing w:after="120" w:line="240" w:lineRule="auto"/>
        <w:jc w:val="both"/>
        <w:rPr>
          <w:rFonts w:asciiTheme="majorBidi" w:eastAsia="Times New Roman" w:hAnsiTheme="majorBidi" w:cstheme="majorBidi"/>
          <w:noProof/>
        </w:rPr>
      </w:pPr>
      <w:r>
        <w:rPr>
          <w:rFonts w:asciiTheme="majorBidi" w:eastAsia="Times New Roman" w:hAnsiTheme="majorBidi" w:cstheme="majorBidi"/>
          <w:b/>
          <w:bCs/>
          <w:noProof/>
        </w:rPr>
        <w:t>O</w:t>
      </w:r>
      <w:r w:rsidRPr="004A2B75">
        <w:rPr>
          <w:rFonts w:asciiTheme="majorBidi" w:eastAsia="Times New Roman" w:hAnsiTheme="majorBidi" w:cstheme="majorBidi"/>
          <w:b/>
          <w:bCs/>
          <w:noProof/>
        </w:rPr>
        <w:t>penEuroLLM</w:t>
      </w:r>
      <w:r w:rsidRPr="00AF45F9">
        <w:rPr>
          <w:rStyle w:val="FootnoteReference"/>
          <w:rFonts w:asciiTheme="majorBidi" w:eastAsia="Times New Roman" w:hAnsiTheme="majorBidi" w:cstheme="majorBidi"/>
          <w:noProof/>
        </w:rPr>
        <w:footnoteReference w:id="5"/>
      </w:r>
      <w:r w:rsidRPr="004A2B75">
        <w:rPr>
          <w:rFonts w:asciiTheme="majorBidi" w:eastAsia="Times New Roman" w:hAnsiTheme="majorBidi" w:cstheme="majorBidi"/>
          <w:b/>
          <w:bCs/>
          <w:noProof/>
        </w:rPr>
        <w:t xml:space="preserve">: </w:t>
      </w:r>
      <w:r w:rsidRPr="004A2B75">
        <w:rPr>
          <w:rFonts w:asciiTheme="majorBidi" w:eastAsia="Times New Roman" w:hAnsiTheme="majorBidi" w:cstheme="majorBidi"/>
          <w:noProof/>
        </w:rPr>
        <w:t xml:space="preserve"> To secure European leadership in generative AI and reduce reliance on third-country proprietary black boxes, the </w:t>
      </w:r>
      <w:r w:rsidRPr="004A2B75">
        <w:rPr>
          <w:rFonts w:asciiTheme="majorBidi" w:eastAsia="Times New Roman" w:hAnsiTheme="majorBidi" w:cstheme="majorBidi"/>
          <w:b/>
          <w:bCs/>
          <w:noProof/>
        </w:rPr>
        <w:t xml:space="preserve">Digital Europe Programme is co-investing 20 million euros, out of a total project cost of </w:t>
      </w:r>
      <w:r>
        <w:rPr>
          <w:rFonts w:asciiTheme="majorBidi" w:eastAsia="Times New Roman" w:hAnsiTheme="majorBidi" w:cstheme="majorBidi"/>
          <w:b/>
          <w:bCs/>
          <w:noProof/>
        </w:rPr>
        <w:t xml:space="preserve">EUR </w:t>
      </w:r>
      <w:r w:rsidRPr="004A2B75">
        <w:rPr>
          <w:rFonts w:asciiTheme="majorBidi" w:eastAsia="Times New Roman" w:hAnsiTheme="majorBidi" w:cstheme="majorBidi"/>
          <w:b/>
          <w:bCs/>
          <w:noProof/>
        </w:rPr>
        <w:t>38 million,</w:t>
      </w:r>
      <w:r w:rsidRPr="004A2B75">
        <w:rPr>
          <w:rFonts w:asciiTheme="majorBidi" w:eastAsia="Times New Roman" w:hAnsiTheme="majorBidi" w:cstheme="majorBidi"/>
          <w:noProof/>
        </w:rPr>
        <w:t xml:space="preserve"> into the openEuroLLM project. This flagship initiative aims to deliver high performing, "truly open" European foundation models that natively cover all 24 official EU languages. Moving beyond merely releasing model weights, openEuroLLM ensures full transparency by open sourcing the pre-training datasets, training pipelines, and evaluation metrics. Leveraging the massive computing power of the EuroHPC network, these models are designed from the ground up to be fully compliant with European regulatory frameworks, including the </w:t>
      </w:r>
      <w:r>
        <w:rPr>
          <w:rFonts w:asciiTheme="majorBidi" w:eastAsia="Times New Roman" w:hAnsiTheme="majorBidi" w:cstheme="majorBidi"/>
          <w:noProof/>
        </w:rPr>
        <w:t>General Data Protection Regulation (GDPR)</w:t>
      </w:r>
      <w:r w:rsidRPr="004A2B75">
        <w:rPr>
          <w:rFonts w:asciiTheme="majorBidi" w:eastAsia="Times New Roman" w:hAnsiTheme="majorBidi" w:cstheme="majorBidi"/>
          <w:noProof/>
        </w:rPr>
        <w:t xml:space="preserve"> and the AI Act. Recognized with the Strategic Technologies for Europe Platform (STEP) Seal, openEuroLLM provides European SMEs, researchers, and public administrations with a secure, sovereign, and culturally representative baseline to build and scale competitive AI applications.</w:t>
      </w:r>
    </w:p>
    <w:p w14:paraId="01425F73" w14:textId="77777777" w:rsidR="00473A1A" w:rsidRPr="004A2B75" w:rsidRDefault="00473A1A" w:rsidP="00200744">
      <w:pPr>
        <w:spacing w:after="120" w:line="240" w:lineRule="auto"/>
        <w:jc w:val="both"/>
        <w:rPr>
          <w:rFonts w:asciiTheme="majorBidi" w:eastAsia="Times New Roman" w:hAnsiTheme="majorBidi" w:cstheme="majorBidi"/>
          <w:noProof/>
        </w:rPr>
      </w:pPr>
      <w:r w:rsidRPr="004A2B75">
        <w:rPr>
          <w:rFonts w:asciiTheme="majorBidi" w:eastAsia="Times New Roman" w:hAnsiTheme="majorBidi" w:cstheme="majorBidi"/>
          <w:b/>
          <w:bCs/>
          <w:noProof/>
        </w:rPr>
        <w:t>AI-on-Demand (AIoD) Platform</w:t>
      </w:r>
      <w:r w:rsidRPr="00AF45F9">
        <w:rPr>
          <w:rStyle w:val="FootnoteReference"/>
          <w:rFonts w:asciiTheme="majorBidi" w:eastAsia="Times New Roman" w:hAnsiTheme="majorBidi" w:cstheme="majorBidi"/>
          <w:noProof/>
        </w:rPr>
        <w:footnoteReference w:id="6"/>
      </w:r>
      <w:r w:rsidRPr="004A2B75">
        <w:rPr>
          <w:rFonts w:asciiTheme="majorBidi" w:eastAsia="Times New Roman" w:hAnsiTheme="majorBidi" w:cstheme="majorBidi"/>
          <w:b/>
          <w:bCs/>
          <w:noProof/>
        </w:rPr>
        <w:t>:</w:t>
      </w:r>
      <w:r w:rsidRPr="004A2B75">
        <w:rPr>
          <w:rFonts w:asciiTheme="majorBidi" w:eastAsia="Times New Roman" w:hAnsiTheme="majorBidi" w:cstheme="majorBidi"/>
          <w:noProof/>
        </w:rPr>
        <w:t xml:space="preserve"> the AI-on-Demand platform provides a centralized, </w:t>
      </w:r>
      <w:r>
        <w:rPr>
          <w:rFonts w:asciiTheme="majorBidi" w:eastAsia="Times New Roman" w:hAnsiTheme="majorBidi" w:cstheme="majorBidi"/>
          <w:noProof/>
        </w:rPr>
        <w:t>open source</w:t>
      </w:r>
      <w:r w:rsidRPr="004A2B75">
        <w:rPr>
          <w:rFonts w:asciiTheme="majorBidi" w:eastAsia="Times New Roman" w:hAnsiTheme="majorBidi" w:cstheme="majorBidi"/>
          <w:noProof/>
        </w:rPr>
        <w:t xml:space="preserve"> infrastructure bridging advanced research and market deployment. On the research side, the platform systematically gathers, catalogues, and ensures the widespread distribution of models, datasets, and algorithms generated by AI-focused Horizon Europe projects, preventing fragmentation of publicly funded innovation. Crucially, the platform operates in a strategic, two-way synergy with the network of </w:t>
      </w:r>
      <w:r w:rsidRPr="004A2B75">
        <w:rPr>
          <w:rFonts w:asciiTheme="majorBidi" w:eastAsia="Times New Roman" w:hAnsiTheme="majorBidi" w:cstheme="majorBidi"/>
          <w:b/>
          <w:bCs/>
          <w:noProof/>
        </w:rPr>
        <w:t>European Digital Innovation Hubs (EDIHs)</w:t>
      </w:r>
      <w:r w:rsidRPr="004A2B75">
        <w:rPr>
          <w:rFonts w:asciiTheme="majorBidi" w:eastAsia="Times New Roman" w:hAnsiTheme="majorBidi" w:cstheme="majorBidi"/>
          <w:noProof/>
        </w:rPr>
        <w:t xml:space="preserve">. It harvests locally developed </w:t>
      </w:r>
      <w:r>
        <w:rPr>
          <w:rFonts w:asciiTheme="majorBidi" w:eastAsia="Times New Roman" w:hAnsiTheme="majorBidi" w:cstheme="majorBidi"/>
          <w:noProof/>
        </w:rPr>
        <w:t>open source</w:t>
      </w:r>
      <w:r w:rsidRPr="004A2B75">
        <w:rPr>
          <w:rFonts w:asciiTheme="majorBidi" w:eastAsia="Times New Roman" w:hAnsiTheme="majorBidi" w:cstheme="majorBidi"/>
          <w:noProof/>
        </w:rPr>
        <w:t xml:space="preserve"> solutions from regional EDIHs to provide them with EU-wide visibility and distribution. Simultaneously, it equips EDIHs with mature, European-level AI building blocks to deploy to their local SME and public sector clients. This bidirectional flow not only drives market adoption but provides the critical attention and client base necessary to secure the mid-to-long-term sustainability of European </w:t>
      </w:r>
      <w:r>
        <w:rPr>
          <w:rFonts w:asciiTheme="majorBidi" w:eastAsia="Times New Roman" w:hAnsiTheme="majorBidi" w:cstheme="majorBidi"/>
          <w:noProof/>
        </w:rPr>
        <w:t>open source</w:t>
      </w:r>
      <w:r w:rsidRPr="004A2B75">
        <w:rPr>
          <w:rFonts w:asciiTheme="majorBidi" w:eastAsia="Times New Roman" w:hAnsiTheme="majorBidi" w:cstheme="majorBidi"/>
          <w:noProof/>
        </w:rPr>
        <w:t xml:space="preserve"> AI assets.</w:t>
      </w:r>
    </w:p>
    <w:p w14:paraId="6A545E2C" w14:textId="77777777" w:rsidR="00473A1A" w:rsidRPr="004A2B75" w:rsidRDefault="00473A1A" w:rsidP="00200744">
      <w:pPr>
        <w:spacing w:after="120" w:line="240" w:lineRule="auto"/>
        <w:jc w:val="both"/>
        <w:rPr>
          <w:rFonts w:asciiTheme="majorBidi" w:eastAsia="Times New Roman" w:hAnsiTheme="majorBidi" w:cstheme="majorBidi"/>
          <w:noProof/>
        </w:rPr>
      </w:pPr>
      <w:r w:rsidRPr="004A2B75">
        <w:rPr>
          <w:rFonts w:asciiTheme="majorBidi" w:eastAsia="Times New Roman" w:hAnsiTheme="majorBidi" w:cstheme="majorBidi"/>
          <w:b/>
          <w:bCs/>
          <w:noProof/>
        </w:rPr>
        <w:t>ELLIOT</w:t>
      </w:r>
      <w:r w:rsidRPr="00AF45F9">
        <w:rPr>
          <w:rStyle w:val="FootnoteReference"/>
          <w:rFonts w:asciiTheme="majorBidi" w:eastAsia="Times New Roman" w:hAnsiTheme="majorBidi" w:cstheme="majorBidi"/>
          <w:noProof/>
        </w:rPr>
        <w:footnoteReference w:id="7"/>
      </w:r>
      <w:r w:rsidRPr="004A2B75">
        <w:rPr>
          <w:rFonts w:asciiTheme="majorBidi" w:eastAsia="Times New Roman" w:hAnsiTheme="majorBidi" w:cstheme="majorBidi"/>
          <w:noProof/>
        </w:rPr>
        <w:t xml:space="preserve">: </w:t>
      </w:r>
      <w:r>
        <w:rPr>
          <w:rFonts w:asciiTheme="majorBidi" w:eastAsia="Times New Roman" w:hAnsiTheme="majorBidi" w:cstheme="majorBidi"/>
          <w:noProof/>
        </w:rPr>
        <w:t>An</w:t>
      </w:r>
      <w:r w:rsidRPr="004A2B75">
        <w:rPr>
          <w:rFonts w:asciiTheme="majorBidi" w:eastAsia="Times New Roman" w:hAnsiTheme="majorBidi" w:cstheme="majorBidi"/>
          <w:noProof/>
        </w:rPr>
        <w:t xml:space="preserve"> </w:t>
      </w:r>
      <w:r>
        <w:rPr>
          <w:rFonts w:asciiTheme="majorBidi" w:eastAsia="Times New Roman" w:hAnsiTheme="majorBidi" w:cstheme="majorBidi"/>
          <w:noProof/>
        </w:rPr>
        <w:t xml:space="preserve">EUR </w:t>
      </w:r>
      <w:r w:rsidRPr="004A2B75">
        <w:rPr>
          <w:rFonts w:asciiTheme="majorBidi" w:eastAsia="Times New Roman" w:hAnsiTheme="majorBidi" w:cstheme="majorBidi"/>
          <w:noProof/>
        </w:rPr>
        <w:t xml:space="preserve">25 million Horizon Europe project that focuses on the development of multimodal generalist models capable of learning across a wide variety of data types, such as text, images, video, sensor data, satellite feeds, and transferring that knowledge to diverse downstream tasks. ELLIOT aims to produce </w:t>
      </w:r>
      <w:r w:rsidRPr="004A2B75">
        <w:rPr>
          <w:rFonts w:asciiTheme="majorBidi" w:eastAsia="Times New Roman" w:hAnsiTheme="majorBidi" w:cstheme="majorBidi"/>
          <w:b/>
          <w:bCs/>
          <w:noProof/>
        </w:rPr>
        <w:t>models, datasets, and training pipelines</w:t>
      </w:r>
      <w:r w:rsidRPr="004A2B75">
        <w:rPr>
          <w:rFonts w:asciiTheme="majorBidi" w:eastAsia="Times New Roman" w:hAnsiTheme="majorBidi" w:cstheme="majorBidi"/>
          <w:noProof/>
        </w:rPr>
        <w:t xml:space="preserve"> that are fully </w:t>
      </w:r>
      <w:r>
        <w:rPr>
          <w:rFonts w:asciiTheme="majorBidi" w:eastAsia="Times New Roman" w:hAnsiTheme="majorBidi" w:cstheme="majorBidi"/>
          <w:b/>
          <w:bCs/>
          <w:noProof/>
        </w:rPr>
        <w:t>open source</w:t>
      </w:r>
      <w:r w:rsidRPr="004A2B75">
        <w:rPr>
          <w:rFonts w:asciiTheme="majorBidi" w:eastAsia="Times New Roman" w:hAnsiTheme="majorBidi" w:cstheme="majorBidi"/>
          <w:noProof/>
        </w:rPr>
        <w:t xml:space="preserve"> and reproducible.</w:t>
      </w:r>
    </w:p>
    <w:p w14:paraId="41AD9BF2" w14:textId="041252A5" w:rsidR="00473A1A" w:rsidRDefault="00473A1A" w:rsidP="00200744">
      <w:pPr>
        <w:pStyle w:val="Standard"/>
        <w:spacing w:after="120"/>
        <w:jc w:val="both"/>
        <w:rPr>
          <w:rFonts w:asciiTheme="majorBidi" w:eastAsia="Times New Roman" w:hAnsiTheme="majorBidi" w:cstheme="majorBidi"/>
          <w:noProof/>
        </w:rPr>
      </w:pPr>
      <w:r w:rsidRPr="3101FF1C">
        <w:rPr>
          <w:rFonts w:asciiTheme="majorBidi" w:eastAsia="Times New Roman" w:hAnsiTheme="majorBidi" w:cstheme="majorBidi"/>
          <w:b/>
          <w:bCs/>
          <w:noProof/>
        </w:rPr>
        <w:t>European Open Science Cloud (EOSC)</w:t>
      </w:r>
      <w:r w:rsidRPr="3101FF1C">
        <w:rPr>
          <w:rStyle w:val="FootnoteReference"/>
          <w:rFonts w:asciiTheme="majorBidi" w:eastAsia="Times New Roman" w:hAnsiTheme="majorBidi" w:cstheme="majorBidi"/>
          <w:noProof/>
        </w:rPr>
        <w:footnoteReference w:id="8"/>
      </w:r>
      <w:r w:rsidRPr="3101FF1C">
        <w:rPr>
          <w:rFonts w:asciiTheme="majorBidi" w:eastAsia="Times New Roman" w:hAnsiTheme="majorBidi" w:cstheme="majorBidi"/>
          <w:noProof/>
        </w:rPr>
        <w:t xml:space="preserve">: </w:t>
      </w:r>
      <w:r w:rsidR="005B48C3" w:rsidRPr="3101FF1C">
        <w:rPr>
          <w:rFonts w:asciiTheme="majorBidi" w:eastAsia="Times New Roman" w:hAnsiTheme="majorBidi" w:cstheme="majorBidi"/>
          <w:noProof/>
        </w:rPr>
        <w:t>As the Common European Data Space for Research and Innovation, EOSC federates research data and scientific services from data repositories, research infrastructures and scientific service providers across Europe, using open standards and interoperability frameworks</w:t>
      </w:r>
      <w:r w:rsidR="00BD17AA" w:rsidRPr="3101FF1C">
        <w:rPr>
          <w:rFonts w:asciiTheme="majorBidi" w:eastAsia="Times New Roman" w:hAnsiTheme="majorBidi" w:cstheme="majorBidi"/>
          <w:noProof/>
        </w:rPr>
        <w:t xml:space="preserve">. This </w:t>
      </w:r>
      <w:r w:rsidR="005B48C3" w:rsidRPr="3101FF1C" w:rsidDel="005B48C3">
        <w:rPr>
          <w:rFonts w:asciiTheme="majorBidi" w:eastAsia="Times New Roman" w:hAnsiTheme="majorBidi" w:cstheme="majorBidi"/>
          <w:noProof/>
        </w:rPr>
        <w:t xml:space="preserve"> </w:t>
      </w:r>
      <w:r w:rsidRPr="3101FF1C">
        <w:rPr>
          <w:rFonts w:asciiTheme="majorBidi" w:eastAsia="Times New Roman" w:hAnsiTheme="majorBidi" w:cstheme="majorBidi"/>
          <w:noProof/>
        </w:rPr>
        <w:t xml:space="preserve">provides researchers and innovators of Europe with an open and trusted multi-disciplinary environment to publish, find and reuse data, tools and services. </w:t>
      </w:r>
    </w:p>
    <w:p w14:paraId="5F6382F8" w14:textId="06B9C652" w:rsidR="00A00B50" w:rsidRPr="00121C16" w:rsidRDefault="00A00B50" w:rsidP="00200744">
      <w:pPr>
        <w:pStyle w:val="Standard"/>
        <w:spacing w:after="120"/>
        <w:jc w:val="both"/>
        <w:rPr>
          <w:rFonts w:asciiTheme="majorBidi" w:eastAsia="Times New Roman" w:hAnsiTheme="majorBidi" w:cstheme="majorBidi"/>
          <w:noProof/>
        </w:rPr>
      </w:pPr>
      <w:r w:rsidRPr="3101FF1C">
        <w:rPr>
          <w:rFonts w:asciiTheme="majorBidi" w:eastAsia="Times New Roman" w:hAnsiTheme="majorBidi" w:cstheme="majorBidi"/>
          <w:b/>
          <w:bCs/>
          <w:noProof/>
        </w:rPr>
        <w:t>A services and business incubator for geospatial open source developments</w:t>
      </w:r>
      <w:r w:rsidR="00856AD3">
        <w:rPr>
          <w:rStyle w:val="FootnoteReference"/>
          <w:rFonts w:asciiTheme="majorBidi" w:eastAsia="Times New Roman" w:hAnsiTheme="majorBidi" w:cstheme="majorBidi"/>
          <w:noProof/>
        </w:rPr>
        <w:footnoteReference w:id="9"/>
      </w:r>
      <w:r w:rsidR="00D65507" w:rsidRPr="3101FF1C">
        <w:rPr>
          <w:rFonts w:asciiTheme="majorBidi" w:eastAsia="Times New Roman" w:hAnsiTheme="majorBidi" w:cstheme="majorBidi"/>
          <w:b/>
          <w:bCs/>
          <w:noProof/>
        </w:rPr>
        <w:t xml:space="preserve">: </w:t>
      </w:r>
      <w:r w:rsidR="00121C16" w:rsidRPr="3101FF1C">
        <w:rPr>
          <w:rFonts w:asciiTheme="majorBidi" w:eastAsia="Times New Roman" w:hAnsiTheme="majorBidi" w:cstheme="majorBidi"/>
          <w:noProof/>
        </w:rPr>
        <w:t>In line with the EU Startup and Scale Up Strategy, the European Commission established a EUR 6 million Horizon Europe support action setting up a business incubation and support hub for the open-source geospatial sector, planned to launch in Q1 2027. The hub establishes a single-entry point to foster entrepreneurship and sustained open development across critical geospatial open-source initiatives and uses the FSTP Instrument for effective and wide community reach.</w:t>
      </w:r>
    </w:p>
    <w:p w14:paraId="3C446FAD" w14:textId="77777777" w:rsidR="00473A1A" w:rsidRPr="004A2B75" w:rsidRDefault="00473A1A" w:rsidP="00200744">
      <w:pPr>
        <w:pStyle w:val="Standard"/>
        <w:spacing w:after="120"/>
        <w:jc w:val="both"/>
        <w:rPr>
          <w:rFonts w:asciiTheme="majorBidi" w:eastAsia="Times New Roman" w:hAnsiTheme="majorBidi" w:cstheme="majorBidi"/>
          <w:noProof/>
        </w:rPr>
      </w:pPr>
      <w:r w:rsidRPr="004A2B75">
        <w:rPr>
          <w:rFonts w:asciiTheme="majorBidi" w:eastAsia="Times New Roman" w:hAnsiTheme="majorBidi" w:cstheme="majorBidi"/>
          <w:b/>
          <w:bCs/>
          <w:noProof/>
        </w:rPr>
        <w:t>Destination Earth</w:t>
      </w:r>
      <w:r>
        <w:rPr>
          <w:rStyle w:val="FootnoteReference"/>
          <w:rFonts w:asciiTheme="majorBidi" w:eastAsia="Times New Roman" w:hAnsiTheme="majorBidi" w:cstheme="majorBidi"/>
          <w:noProof/>
        </w:rPr>
        <w:footnoteReference w:id="10"/>
      </w:r>
      <w:r w:rsidRPr="004A2B75">
        <w:rPr>
          <w:rFonts w:asciiTheme="majorBidi" w:eastAsia="Times New Roman" w:hAnsiTheme="majorBidi" w:cstheme="majorBidi"/>
          <w:noProof/>
        </w:rPr>
        <w:t xml:space="preserve">: Supported by </w:t>
      </w:r>
      <w:r>
        <w:rPr>
          <w:rFonts w:asciiTheme="majorBidi" w:eastAsia="Times New Roman" w:hAnsiTheme="majorBidi" w:cstheme="majorBidi"/>
          <w:noProof/>
        </w:rPr>
        <w:t xml:space="preserve">EUR </w:t>
      </w:r>
      <w:r w:rsidRPr="004A2B75">
        <w:rPr>
          <w:rFonts w:asciiTheme="majorBidi" w:eastAsia="Times New Roman" w:hAnsiTheme="majorBidi" w:cstheme="majorBidi"/>
          <w:noProof/>
        </w:rPr>
        <w:t xml:space="preserve">150 million of EU funding, this project aims to create a highly accurate replica of the Earth (Digital Twin), allowing for precise simulation of natural phenomena, hazards and the related human activities. Through this, users can decide on actionable adaption strategies and mitigating measures. Software developed under contracts with </w:t>
      </w:r>
      <w:r>
        <w:rPr>
          <w:rFonts w:asciiTheme="majorBidi" w:eastAsia="Times New Roman" w:hAnsiTheme="majorBidi" w:cstheme="majorBidi"/>
          <w:noProof/>
        </w:rPr>
        <w:t>the European Centre for Medium-Range Weather Forecasts (</w:t>
      </w:r>
      <w:r w:rsidRPr="004A2B75">
        <w:rPr>
          <w:rFonts w:asciiTheme="majorBidi" w:eastAsia="Times New Roman" w:hAnsiTheme="majorBidi" w:cstheme="majorBidi"/>
          <w:noProof/>
        </w:rPr>
        <w:t>ECMWF</w:t>
      </w:r>
      <w:r>
        <w:rPr>
          <w:rFonts w:asciiTheme="majorBidi" w:eastAsia="Times New Roman" w:hAnsiTheme="majorBidi" w:cstheme="majorBidi"/>
          <w:noProof/>
        </w:rPr>
        <w:t>)</w:t>
      </w:r>
      <w:r w:rsidRPr="004A2B75">
        <w:rPr>
          <w:rFonts w:asciiTheme="majorBidi" w:eastAsia="Times New Roman" w:hAnsiTheme="majorBidi" w:cstheme="majorBidi"/>
          <w:noProof/>
        </w:rPr>
        <w:t xml:space="preserve">, </w:t>
      </w:r>
      <w:r>
        <w:rPr>
          <w:rFonts w:asciiTheme="majorBidi" w:eastAsia="Times New Roman" w:hAnsiTheme="majorBidi" w:cstheme="majorBidi"/>
          <w:noProof/>
        </w:rPr>
        <w:t>the European Space Agency (</w:t>
      </w:r>
      <w:r w:rsidRPr="004A2B75">
        <w:rPr>
          <w:rFonts w:asciiTheme="majorBidi" w:eastAsia="Times New Roman" w:hAnsiTheme="majorBidi" w:cstheme="majorBidi"/>
          <w:noProof/>
        </w:rPr>
        <w:t>ESA</w:t>
      </w:r>
      <w:r>
        <w:rPr>
          <w:rFonts w:asciiTheme="majorBidi" w:eastAsia="Times New Roman" w:hAnsiTheme="majorBidi" w:cstheme="majorBidi"/>
          <w:noProof/>
        </w:rPr>
        <w:t>)</w:t>
      </w:r>
      <w:r w:rsidRPr="004A2B75">
        <w:rPr>
          <w:rFonts w:asciiTheme="majorBidi" w:eastAsia="Times New Roman" w:hAnsiTheme="majorBidi" w:cstheme="majorBidi"/>
          <w:noProof/>
        </w:rPr>
        <w:t xml:space="preserve"> and </w:t>
      </w:r>
      <w:r>
        <w:rPr>
          <w:rFonts w:asciiTheme="majorBidi" w:eastAsia="Times New Roman" w:hAnsiTheme="majorBidi" w:cstheme="majorBidi"/>
          <w:noProof/>
        </w:rPr>
        <w:t>the European Organisation for the Exploitation of Meteorological Satellites (</w:t>
      </w:r>
      <w:r w:rsidRPr="004A2B75">
        <w:rPr>
          <w:rFonts w:asciiTheme="majorBidi" w:eastAsia="Times New Roman" w:hAnsiTheme="majorBidi" w:cstheme="majorBidi"/>
          <w:noProof/>
        </w:rPr>
        <w:t>EUMETSAT</w:t>
      </w:r>
      <w:r>
        <w:rPr>
          <w:rFonts w:asciiTheme="majorBidi" w:eastAsia="Times New Roman" w:hAnsiTheme="majorBidi" w:cstheme="majorBidi"/>
          <w:noProof/>
        </w:rPr>
        <w:t>)</w:t>
      </w:r>
      <w:r w:rsidRPr="004A2B75">
        <w:rPr>
          <w:rFonts w:asciiTheme="majorBidi" w:eastAsia="Times New Roman" w:hAnsiTheme="majorBidi" w:cstheme="majorBidi"/>
          <w:noProof/>
        </w:rPr>
        <w:t xml:space="preserve"> is shared online, following </w:t>
      </w:r>
      <w:r>
        <w:rPr>
          <w:rFonts w:asciiTheme="majorBidi" w:eastAsia="Times New Roman" w:hAnsiTheme="majorBidi" w:cstheme="majorBidi"/>
          <w:noProof/>
        </w:rPr>
        <w:t>open source</w:t>
      </w:r>
      <w:r w:rsidRPr="004A2B75">
        <w:rPr>
          <w:rFonts w:asciiTheme="majorBidi" w:eastAsia="Times New Roman" w:hAnsiTheme="majorBidi" w:cstheme="majorBidi"/>
          <w:noProof/>
        </w:rPr>
        <w:t xml:space="preserve"> principles, allowing for community reviews and contributions.</w:t>
      </w:r>
    </w:p>
    <w:p w14:paraId="287D14BE" w14:textId="1ED95A40" w:rsidR="00473A1A" w:rsidRPr="004A2B75" w:rsidRDefault="00473A1A" w:rsidP="00200744">
      <w:pPr>
        <w:pStyle w:val="Standard"/>
        <w:spacing w:after="120"/>
        <w:jc w:val="both"/>
        <w:rPr>
          <w:rFonts w:asciiTheme="majorBidi" w:eastAsia="Times New Roman" w:hAnsiTheme="majorBidi" w:cstheme="majorBidi"/>
          <w:noProof/>
        </w:rPr>
      </w:pPr>
      <w:r w:rsidRPr="3101FF1C">
        <w:rPr>
          <w:rFonts w:asciiTheme="majorBidi" w:eastAsia="Times New Roman" w:hAnsiTheme="majorBidi" w:cstheme="majorBidi"/>
          <w:b/>
          <w:bCs/>
          <w:noProof/>
        </w:rPr>
        <w:t>European Organisation for Nuclear Research (CERN)</w:t>
      </w:r>
      <w:r w:rsidRPr="3101FF1C">
        <w:rPr>
          <w:rStyle w:val="FootnoteReference"/>
          <w:rFonts w:asciiTheme="majorBidi" w:eastAsia="Times New Roman" w:hAnsiTheme="majorBidi" w:cstheme="majorBidi"/>
          <w:noProof/>
        </w:rPr>
        <w:footnoteReference w:id="11"/>
      </w:r>
      <w:r w:rsidRPr="3101FF1C">
        <w:rPr>
          <w:rFonts w:asciiTheme="majorBidi" w:eastAsia="Times New Roman" w:hAnsiTheme="majorBidi" w:cstheme="majorBidi"/>
          <w:noProof/>
        </w:rPr>
        <w:t xml:space="preserve">: A leading European success story for open source and open science. CERN has developed and scaled widely used open infrastructures such as </w:t>
      </w:r>
      <w:r w:rsidRPr="3101FF1C">
        <w:rPr>
          <w:rFonts w:asciiTheme="majorBidi" w:eastAsia="Times New Roman" w:hAnsiTheme="majorBidi" w:cstheme="majorBidi"/>
          <w:b/>
          <w:bCs/>
          <w:noProof/>
        </w:rPr>
        <w:t>ROOT</w:t>
      </w:r>
      <w:r w:rsidRPr="3101FF1C">
        <w:rPr>
          <w:rFonts w:asciiTheme="majorBidi" w:eastAsia="Times New Roman" w:hAnsiTheme="majorBidi" w:cstheme="majorBidi"/>
          <w:noProof/>
        </w:rPr>
        <w:t xml:space="preserve">, its open source data analysis framework, which today handles more than </w:t>
      </w:r>
      <w:r w:rsidRPr="3101FF1C">
        <w:rPr>
          <w:rFonts w:asciiTheme="majorBidi" w:eastAsia="Times New Roman" w:hAnsiTheme="majorBidi" w:cstheme="majorBidi"/>
          <w:b/>
          <w:bCs/>
          <w:noProof/>
        </w:rPr>
        <w:t>2 exabytes</w:t>
      </w:r>
      <w:r w:rsidRPr="3101FF1C">
        <w:rPr>
          <w:rFonts w:asciiTheme="majorBidi" w:eastAsia="Times New Roman" w:hAnsiTheme="majorBidi" w:cstheme="majorBidi"/>
          <w:noProof/>
        </w:rPr>
        <w:t xml:space="preserve"> of data and was used in major scientific breakthroughs such as the Higgs boson discovery. It also co-developed </w:t>
      </w:r>
      <w:r w:rsidRPr="3101FF1C">
        <w:rPr>
          <w:rFonts w:asciiTheme="majorBidi" w:eastAsia="Times New Roman" w:hAnsiTheme="majorBidi" w:cstheme="majorBidi"/>
          <w:b/>
          <w:bCs/>
          <w:noProof/>
        </w:rPr>
        <w:t>Zenodo</w:t>
      </w:r>
      <w:r w:rsidRPr="3101FF1C">
        <w:rPr>
          <w:rFonts w:asciiTheme="majorBidi" w:eastAsia="Times New Roman" w:hAnsiTheme="majorBidi" w:cstheme="majorBidi"/>
          <w:noProof/>
        </w:rPr>
        <w:t xml:space="preserve"> with Open Access Infrastructure for Research in Europe (OpenAIRE), a widely used open repository for making research outputs citable and reusable, and created the </w:t>
      </w:r>
      <w:r w:rsidRPr="3101FF1C">
        <w:rPr>
          <w:rFonts w:asciiTheme="majorBidi" w:eastAsia="Times New Roman" w:hAnsiTheme="majorBidi" w:cstheme="majorBidi"/>
          <w:b/>
          <w:bCs/>
          <w:noProof/>
        </w:rPr>
        <w:t>CERN Open Hardware Licence</w:t>
      </w:r>
      <w:r w:rsidRPr="3101FF1C">
        <w:rPr>
          <w:rFonts w:asciiTheme="majorBidi" w:eastAsia="Times New Roman" w:hAnsiTheme="majorBidi" w:cstheme="majorBidi"/>
          <w:noProof/>
        </w:rPr>
        <w:t xml:space="preserve">, which helped pioneer open source hardware sharing. Since 2023, CERN’s </w:t>
      </w:r>
      <w:r w:rsidRPr="3101FF1C">
        <w:rPr>
          <w:rFonts w:asciiTheme="majorBidi" w:eastAsia="Times New Roman" w:hAnsiTheme="majorBidi" w:cstheme="majorBidi"/>
          <w:b/>
          <w:bCs/>
          <w:noProof/>
        </w:rPr>
        <w:t>Open source Programme Office (OSPO)</w:t>
      </w:r>
      <w:r w:rsidRPr="3101FF1C">
        <w:rPr>
          <w:rFonts w:asciiTheme="majorBidi" w:eastAsia="Times New Roman" w:hAnsiTheme="majorBidi" w:cstheme="majorBidi"/>
          <w:noProof/>
        </w:rPr>
        <w:t xml:space="preserve"> has further strengthened this model by supporting software and hardware release, reuse, and collaboration across science and industry.</w:t>
      </w:r>
      <w:r w:rsidR="00A12186" w:rsidRPr="3101FF1C">
        <w:rPr>
          <w:rFonts w:asciiTheme="majorBidi" w:eastAsia="Times New Roman" w:hAnsiTheme="majorBidi" w:cstheme="majorBidi"/>
          <w:noProof/>
        </w:rPr>
        <w:t xml:space="preserve"> From 2026, CERN will also host Open Research Europe, Europe’s non-profit, open access scientific publishing platform.</w:t>
      </w:r>
    </w:p>
    <w:p w14:paraId="61918F25" w14:textId="77777777" w:rsidR="00473A1A" w:rsidRPr="004A2B75" w:rsidRDefault="00473A1A" w:rsidP="00200744">
      <w:pPr>
        <w:spacing w:after="120" w:line="240" w:lineRule="auto"/>
        <w:jc w:val="both"/>
        <w:rPr>
          <w:rFonts w:asciiTheme="majorBidi" w:eastAsia="Times New Roman" w:hAnsiTheme="majorBidi" w:cstheme="majorBidi"/>
          <w:noProof/>
        </w:rPr>
      </w:pPr>
      <w:r w:rsidRPr="004A2B75">
        <w:rPr>
          <w:rFonts w:asciiTheme="majorBidi" w:eastAsia="Times New Roman" w:hAnsiTheme="majorBidi" w:cstheme="majorBidi"/>
          <w:b/>
          <w:bCs/>
          <w:noProof/>
        </w:rPr>
        <w:t>Diversibus Viis Plurima Solvo</w:t>
      </w:r>
      <w:r>
        <w:rPr>
          <w:rFonts w:asciiTheme="majorBidi" w:eastAsia="Times New Roman" w:hAnsiTheme="majorBidi" w:cstheme="majorBidi"/>
          <w:b/>
          <w:bCs/>
          <w:noProof/>
        </w:rPr>
        <w:t xml:space="preserve"> (</w:t>
      </w:r>
      <w:r w:rsidRPr="004A2B75">
        <w:rPr>
          <w:rFonts w:asciiTheme="majorBidi" w:eastAsia="Times New Roman" w:hAnsiTheme="majorBidi" w:cstheme="majorBidi"/>
          <w:b/>
          <w:bCs/>
          <w:noProof/>
        </w:rPr>
        <w:t>DVPS)</w:t>
      </w:r>
      <w:r w:rsidRPr="004E5F8E">
        <w:rPr>
          <w:rStyle w:val="FootnoteReference"/>
          <w:rFonts w:asciiTheme="majorBidi" w:eastAsia="Times New Roman" w:hAnsiTheme="majorBidi" w:cstheme="majorBidi"/>
          <w:noProof/>
        </w:rPr>
        <w:footnoteReference w:id="12"/>
      </w:r>
      <w:r w:rsidRPr="004A2B75">
        <w:rPr>
          <w:rFonts w:asciiTheme="majorBidi" w:eastAsia="Times New Roman" w:hAnsiTheme="majorBidi" w:cstheme="majorBidi"/>
          <w:b/>
          <w:bCs/>
          <w:noProof/>
        </w:rPr>
        <w:t xml:space="preserve">: </w:t>
      </w:r>
      <w:r w:rsidRPr="004A2B75">
        <w:rPr>
          <w:rFonts w:asciiTheme="majorBidi" w:eastAsia="Times New Roman" w:hAnsiTheme="majorBidi" w:cstheme="majorBidi"/>
          <w:noProof/>
        </w:rPr>
        <w:t xml:space="preserve">Supported by a </w:t>
      </w:r>
      <w:r>
        <w:rPr>
          <w:rFonts w:asciiTheme="majorBidi" w:eastAsia="Times New Roman" w:hAnsiTheme="majorBidi" w:cstheme="majorBidi"/>
          <w:noProof/>
        </w:rPr>
        <w:t xml:space="preserve">EUR </w:t>
      </w:r>
      <w:r w:rsidRPr="004A2B75">
        <w:rPr>
          <w:rFonts w:asciiTheme="majorBidi" w:eastAsia="Times New Roman" w:hAnsiTheme="majorBidi" w:cstheme="majorBidi"/>
          <w:noProof/>
        </w:rPr>
        <w:t xml:space="preserve">29 million grant under the Horizon Europe programme, the DVPS initiative is a flagship effort to secure leadership in open multimodal Foundation Models. Coordinated by a consortium of 20 leading European academic and industrial partners, the project directly tackles the EU’s digital sovereignty and competitiveness agendas by developing By releasing its foundation models, datasets, and infrastructure under open licenses, DVPS provides European startups, researchers, and public administrations with a powerful, transparent alternative to proprietary, third-country AI models, with immediate </w:t>
      </w:r>
      <w:r>
        <w:rPr>
          <w:rFonts w:asciiTheme="majorBidi" w:eastAsia="Times New Roman" w:hAnsiTheme="majorBidi" w:cstheme="majorBidi"/>
          <w:noProof/>
        </w:rPr>
        <w:t>open source</w:t>
      </w:r>
      <w:r w:rsidRPr="004A2B75">
        <w:rPr>
          <w:rFonts w:asciiTheme="majorBidi" w:eastAsia="Times New Roman" w:hAnsiTheme="majorBidi" w:cstheme="majorBidi"/>
          <w:noProof/>
        </w:rPr>
        <w:t xml:space="preserve"> applications planned for critical sectors like cardiology, earth observation, and inclusive language technologies.</w:t>
      </w:r>
    </w:p>
    <w:p w14:paraId="282D5B48" w14:textId="77777777" w:rsidR="00473A1A" w:rsidRPr="004A2B75" w:rsidRDefault="00473A1A" w:rsidP="00200744">
      <w:pPr>
        <w:spacing w:after="120" w:line="240" w:lineRule="auto"/>
        <w:jc w:val="both"/>
        <w:rPr>
          <w:rFonts w:asciiTheme="majorBidi" w:eastAsia="Times New Roman" w:hAnsiTheme="majorBidi" w:cstheme="majorBidi"/>
          <w:noProof/>
        </w:rPr>
      </w:pPr>
      <w:r w:rsidRPr="004A2B75">
        <w:rPr>
          <w:rFonts w:asciiTheme="majorBidi" w:eastAsia="Times New Roman" w:hAnsiTheme="majorBidi" w:cstheme="majorBidi"/>
          <w:b/>
          <w:bCs/>
          <w:noProof/>
        </w:rPr>
        <w:t xml:space="preserve">Cybersecurity: </w:t>
      </w:r>
      <w:r w:rsidRPr="004A2B75">
        <w:rPr>
          <w:rFonts w:asciiTheme="majorBidi" w:eastAsia="Times New Roman" w:hAnsiTheme="majorBidi" w:cstheme="majorBidi"/>
          <w:noProof/>
        </w:rPr>
        <w:t xml:space="preserve">All Cybersecurity funding actions in Horizon Europe and Digital Europe </w:t>
      </w:r>
      <w:r>
        <w:rPr>
          <w:rFonts w:asciiTheme="majorBidi" w:eastAsia="Times New Roman" w:hAnsiTheme="majorBidi" w:cstheme="majorBidi"/>
          <w:noProof/>
        </w:rPr>
        <w:t>P</w:t>
      </w:r>
      <w:r w:rsidRPr="004A2B75">
        <w:rPr>
          <w:rFonts w:asciiTheme="majorBidi" w:eastAsia="Times New Roman" w:hAnsiTheme="majorBidi" w:cstheme="majorBidi"/>
          <w:noProof/>
        </w:rPr>
        <w:t>rogramme</w:t>
      </w:r>
      <w:r>
        <w:rPr>
          <w:rFonts w:asciiTheme="majorBidi" w:eastAsia="Times New Roman" w:hAnsiTheme="majorBidi" w:cstheme="majorBidi"/>
          <w:noProof/>
        </w:rPr>
        <w:t xml:space="preserve"> (DEP)</w:t>
      </w:r>
      <w:r w:rsidRPr="004A2B75">
        <w:rPr>
          <w:rFonts w:asciiTheme="majorBidi" w:eastAsia="Times New Roman" w:hAnsiTheme="majorBidi" w:cstheme="majorBidi"/>
          <w:noProof/>
        </w:rPr>
        <w:t xml:space="preserve"> recognize </w:t>
      </w:r>
      <w:r>
        <w:rPr>
          <w:rFonts w:asciiTheme="majorBidi" w:eastAsia="Times New Roman" w:hAnsiTheme="majorBidi" w:cstheme="majorBidi"/>
          <w:noProof/>
        </w:rPr>
        <w:t>open source</w:t>
      </w:r>
      <w:r w:rsidRPr="004A2B75">
        <w:rPr>
          <w:rFonts w:asciiTheme="majorBidi" w:eastAsia="Times New Roman" w:hAnsiTheme="majorBidi" w:cstheme="majorBidi"/>
          <w:noProof/>
        </w:rPr>
        <w:t xml:space="preserve"> approaches as viable business models, leaving stakeholders the voluntary choice to adopt them.</w:t>
      </w:r>
    </w:p>
    <w:p w14:paraId="6F138EA7" w14:textId="77777777" w:rsidR="00473A1A" w:rsidRPr="004A2B75" w:rsidRDefault="00473A1A" w:rsidP="00200744">
      <w:pPr>
        <w:spacing w:after="120" w:line="240" w:lineRule="auto"/>
        <w:jc w:val="both"/>
        <w:rPr>
          <w:rFonts w:asciiTheme="majorBidi" w:eastAsia="Times New Roman" w:hAnsiTheme="majorBidi" w:cstheme="majorBidi"/>
          <w:noProof/>
        </w:rPr>
      </w:pPr>
      <w:r w:rsidRPr="111CFA90">
        <w:rPr>
          <w:rFonts w:asciiTheme="majorBidi" w:eastAsia="Times New Roman" w:hAnsiTheme="majorBidi" w:cstheme="majorBidi"/>
          <w:noProof/>
        </w:rPr>
        <w:t>As part of the implementation of the Cyber Resilience Act</w:t>
      </w:r>
      <w:r>
        <w:rPr>
          <w:rFonts w:asciiTheme="majorBidi" w:eastAsia="Times New Roman" w:hAnsiTheme="majorBidi" w:cstheme="majorBidi"/>
          <w:noProof/>
        </w:rPr>
        <w:t xml:space="preserve"> (CRA)</w:t>
      </w:r>
      <w:r w:rsidRPr="111CFA90">
        <w:rPr>
          <w:rFonts w:asciiTheme="majorBidi" w:eastAsia="Times New Roman" w:hAnsiTheme="majorBidi" w:cstheme="majorBidi"/>
          <w:noProof/>
        </w:rPr>
        <w:t xml:space="preserve">, the EU’s flagship product security regulation, the Commission has procured services to support with the development of voluntary security attestations for </w:t>
      </w:r>
      <w:r>
        <w:rPr>
          <w:rFonts w:asciiTheme="majorBidi" w:eastAsia="Times New Roman" w:hAnsiTheme="majorBidi" w:cstheme="majorBidi"/>
          <w:noProof/>
        </w:rPr>
        <w:t>open source</w:t>
      </w:r>
      <w:r w:rsidRPr="111CFA90">
        <w:rPr>
          <w:rFonts w:asciiTheme="majorBidi" w:eastAsia="Times New Roman" w:hAnsiTheme="majorBidi" w:cstheme="majorBidi"/>
          <w:noProof/>
        </w:rPr>
        <w:t xml:space="preserve"> software projects and is working on guidance regarding the definition and obligations of </w:t>
      </w:r>
      <w:r>
        <w:rPr>
          <w:rFonts w:asciiTheme="majorBidi" w:eastAsia="Times New Roman" w:hAnsiTheme="majorBidi" w:cstheme="majorBidi"/>
          <w:noProof/>
        </w:rPr>
        <w:t>open source</w:t>
      </w:r>
      <w:r w:rsidRPr="111CFA90">
        <w:rPr>
          <w:rFonts w:asciiTheme="majorBidi" w:eastAsia="Times New Roman" w:hAnsiTheme="majorBidi" w:cstheme="majorBidi"/>
          <w:noProof/>
        </w:rPr>
        <w:t xml:space="preserve"> software stewards under the legislation. Additionally, the Commission has facilitated the participation of </w:t>
      </w:r>
      <w:r>
        <w:rPr>
          <w:rFonts w:asciiTheme="majorBidi" w:eastAsia="Times New Roman" w:hAnsiTheme="majorBidi" w:cstheme="majorBidi"/>
          <w:noProof/>
        </w:rPr>
        <w:t>open source</w:t>
      </w:r>
      <w:r w:rsidRPr="111CFA90">
        <w:rPr>
          <w:rFonts w:asciiTheme="majorBidi" w:eastAsia="Times New Roman" w:hAnsiTheme="majorBidi" w:cstheme="majorBidi"/>
          <w:noProof/>
        </w:rPr>
        <w:t xml:space="preserve"> communities in the development of harmonised standards, including by providing individual grants via the DEP-funded </w:t>
      </w:r>
      <w:r w:rsidRPr="111CFA90">
        <w:rPr>
          <w:rFonts w:asciiTheme="majorBidi" w:eastAsia="Times New Roman" w:hAnsiTheme="majorBidi" w:cstheme="majorBidi"/>
          <w:b/>
          <w:bCs/>
          <w:noProof/>
        </w:rPr>
        <w:t>Cyberstand.eu project</w:t>
      </w:r>
      <w:r w:rsidRPr="004B5F8E">
        <w:rPr>
          <w:rStyle w:val="FootnoteReference"/>
          <w:rFonts w:asciiTheme="majorBidi" w:eastAsia="Times New Roman" w:hAnsiTheme="majorBidi" w:cstheme="majorBidi"/>
          <w:noProof/>
        </w:rPr>
        <w:footnoteReference w:id="13"/>
      </w:r>
      <w:r w:rsidRPr="111CFA90">
        <w:rPr>
          <w:rFonts w:asciiTheme="majorBidi" w:eastAsia="Times New Roman" w:hAnsiTheme="majorBidi" w:cstheme="majorBidi"/>
          <w:noProof/>
        </w:rPr>
        <w:t xml:space="preserve"> and working with the European standardisation organisations</w:t>
      </w:r>
      <w:r>
        <w:rPr>
          <w:rFonts w:asciiTheme="majorBidi" w:eastAsia="Times New Roman" w:hAnsiTheme="majorBidi" w:cstheme="majorBidi"/>
          <w:noProof/>
        </w:rPr>
        <w:t xml:space="preserve">, such as European Committee for Standardisation </w:t>
      </w:r>
      <w:r w:rsidRPr="111CFA90">
        <w:rPr>
          <w:rFonts w:asciiTheme="majorBidi" w:eastAsia="Times New Roman" w:hAnsiTheme="majorBidi" w:cstheme="majorBidi"/>
          <w:noProof/>
        </w:rPr>
        <w:t>(CEN</w:t>
      </w:r>
      <w:r>
        <w:rPr>
          <w:rFonts w:asciiTheme="majorBidi" w:eastAsia="Times New Roman" w:hAnsiTheme="majorBidi" w:cstheme="majorBidi"/>
          <w:noProof/>
        </w:rPr>
        <w:t>)</w:t>
      </w:r>
      <w:r w:rsidRPr="111CFA90">
        <w:rPr>
          <w:rFonts w:asciiTheme="majorBidi" w:eastAsia="Times New Roman" w:hAnsiTheme="majorBidi" w:cstheme="majorBidi"/>
          <w:noProof/>
        </w:rPr>
        <w:t xml:space="preserve">, </w:t>
      </w:r>
      <w:r>
        <w:rPr>
          <w:rFonts w:asciiTheme="majorBidi" w:eastAsia="Times New Roman" w:hAnsiTheme="majorBidi" w:cstheme="majorBidi"/>
          <w:noProof/>
        </w:rPr>
        <w:t>European Committee for Electrotechnical Standardisation (</w:t>
      </w:r>
      <w:r w:rsidRPr="111CFA90">
        <w:rPr>
          <w:rFonts w:asciiTheme="majorBidi" w:eastAsia="Times New Roman" w:hAnsiTheme="majorBidi" w:cstheme="majorBidi"/>
          <w:noProof/>
        </w:rPr>
        <w:t>Cenelec</w:t>
      </w:r>
      <w:r>
        <w:rPr>
          <w:rFonts w:asciiTheme="majorBidi" w:eastAsia="Times New Roman" w:hAnsiTheme="majorBidi" w:cstheme="majorBidi"/>
          <w:noProof/>
        </w:rPr>
        <w:t>)</w:t>
      </w:r>
      <w:r w:rsidRPr="111CFA90">
        <w:rPr>
          <w:rFonts w:asciiTheme="majorBidi" w:eastAsia="Times New Roman" w:hAnsiTheme="majorBidi" w:cstheme="majorBidi"/>
          <w:noProof/>
        </w:rPr>
        <w:t xml:space="preserve"> and </w:t>
      </w:r>
      <w:r>
        <w:rPr>
          <w:rFonts w:asciiTheme="majorBidi" w:eastAsia="Times New Roman" w:hAnsiTheme="majorBidi" w:cstheme="majorBidi"/>
          <w:noProof/>
        </w:rPr>
        <w:t>European Telecommunications Standards Institute (</w:t>
      </w:r>
      <w:r w:rsidRPr="111CFA90">
        <w:rPr>
          <w:rFonts w:asciiTheme="majorBidi" w:eastAsia="Times New Roman" w:hAnsiTheme="majorBidi" w:cstheme="majorBidi"/>
          <w:noProof/>
        </w:rPr>
        <w:t xml:space="preserve">ETSI) to promote and ensure the participation of </w:t>
      </w:r>
      <w:r>
        <w:rPr>
          <w:rFonts w:asciiTheme="majorBidi" w:eastAsia="Times New Roman" w:hAnsiTheme="majorBidi" w:cstheme="majorBidi"/>
          <w:noProof/>
        </w:rPr>
        <w:t>open source</w:t>
      </w:r>
      <w:r w:rsidRPr="111CFA90">
        <w:rPr>
          <w:rFonts w:asciiTheme="majorBidi" w:eastAsia="Times New Roman" w:hAnsiTheme="majorBidi" w:cstheme="majorBidi"/>
          <w:noProof/>
        </w:rPr>
        <w:t xml:space="preserve"> contributors. Through the DEP, the Commission has also funded several projects aimed at developing a range of </w:t>
      </w:r>
      <w:r>
        <w:rPr>
          <w:rFonts w:asciiTheme="majorBidi" w:eastAsia="Times New Roman" w:hAnsiTheme="majorBidi" w:cstheme="majorBidi"/>
          <w:noProof/>
        </w:rPr>
        <w:t>open source</w:t>
      </w:r>
      <w:r w:rsidRPr="111CFA90">
        <w:rPr>
          <w:rFonts w:asciiTheme="majorBidi" w:eastAsia="Times New Roman" w:hAnsiTheme="majorBidi" w:cstheme="majorBidi"/>
          <w:noProof/>
        </w:rPr>
        <w:t xml:space="preserve"> tools to support compliance with the CRA.</w:t>
      </w:r>
    </w:p>
    <w:p w14:paraId="5C549108" w14:textId="77777777" w:rsidR="00473A1A" w:rsidRPr="004A2B75" w:rsidRDefault="00473A1A" w:rsidP="00200744">
      <w:pPr>
        <w:spacing w:after="120" w:line="240" w:lineRule="auto"/>
        <w:jc w:val="both"/>
        <w:rPr>
          <w:rFonts w:asciiTheme="majorBidi" w:eastAsia="Times New Roman" w:hAnsiTheme="majorBidi" w:cstheme="majorBidi"/>
          <w:noProof/>
        </w:rPr>
      </w:pPr>
      <w:r w:rsidRPr="004A2B75">
        <w:rPr>
          <w:rFonts w:asciiTheme="majorBidi" w:eastAsia="Times New Roman" w:hAnsiTheme="majorBidi" w:cstheme="majorBidi"/>
          <w:b/>
          <w:bCs/>
          <w:noProof/>
        </w:rPr>
        <w:t xml:space="preserve">Chips: </w:t>
      </w:r>
      <w:r w:rsidRPr="004A2B75">
        <w:rPr>
          <w:rFonts w:asciiTheme="majorBidi" w:eastAsia="Times New Roman" w:hAnsiTheme="majorBidi" w:cstheme="majorBidi"/>
          <w:noProof/>
        </w:rPr>
        <w:t xml:space="preserve">In terms of open source initiatives, the majority focus on open source hardware, with a strong emphasis on RISC-V. RISC-V processors are already deployed globally, and Europe (also by investing around 500 Million in open RISC-V via the Chips </w:t>
      </w:r>
      <w:r>
        <w:rPr>
          <w:rFonts w:asciiTheme="majorBidi" w:eastAsia="Times New Roman" w:hAnsiTheme="majorBidi" w:cstheme="majorBidi"/>
          <w:noProof/>
        </w:rPr>
        <w:t>Joint Undertaking</w:t>
      </w:r>
      <w:r>
        <w:rPr>
          <w:rStyle w:val="FootnoteReference"/>
          <w:rFonts w:asciiTheme="majorBidi" w:eastAsia="Times New Roman" w:hAnsiTheme="majorBidi" w:cstheme="majorBidi"/>
          <w:noProof/>
        </w:rPr>
        <w:footnoteReference w:id="14"/>
      </w:r>
      <w:r w:rsidRPr="004A2B75">
        <w:rPr>
          <w:rFonts w:asciiTheme="majorBidi" w:eastAsia="Times New Roman" w:hAnsiTheme="majorBidi" w:cstheme="majorBidi"/>
          <w:noProof/>
        </w:rPr>
        <w:t xml:space="preserve">) has an opportunity to strengthen its position in the next generation of RISC-V based System-on-Chip designs and the supporting open toolchains. Future EU action should focus on open building blocks that reduce dependencies, such as open </w:t>
      </w:r>
      <w:r>
        <w:rPr>
          <w:rFonts w:asciiTheme="majorBidi" w:eastAsia="Times New Roman" w:hAnsiTheme="majorBidi" w:cstheme="majorBidi"/>
          <w:noProof/>
        </w:rPr>
        <w:t>Intellectual Property (IP)</w:t>
      </w:r>
      <w:r w:rsidRPr="004A2B75">
        <w:rPr>
          <w:rFonts w:asciiTheme="majorBidi" w:eastAsia="Times New Roman" w:hAnsiTheme="majorBidi" w:cstheme="majorBidi"/>
          <w:noProof/>
        </w:rPr>
        <w:t xml:space="preserve"> blocks, verification and reference designs, compiler and toolchain components, and selected electronic design automation capabilities, in coordination with Member States and industry initiatives already underway. </w:t>
      </w:r>
    </w:p>
    <w:p w14:paraId="334CBD31" w14:textId="77777777" w:rsidR="00473A1A" w:rsidRPr="004A2B75" w:rsidRDefault="00473A1A" w:rsidP="00200744">
      <w:pPr>
        <w:spacing w:after="120" w:line="240" w:lineRule="auto"/>
        <w:jc w:val="both"/>
        <w:rPr>
          <w:rFonts w:asciiTheme="majorBidi" w:eastAsia="Times New Roman" w:hAnsiTheme="majorBidi" w:cstheme="majorBidi"/>
          <w:noProof/>
        </w:rPr>
      </w:pPr>
      <w:r>
        <w:rPr>
          <w:rFonts w:asciiTheme="majorBidi" w:eastAsia="Times New Roman" w:hAnsiTheme="majorBidi" w:cstheme="majorBidi"/>
          <w:b/>
          <w:bCs/>
          <w:noProof/>
        </w:rPr>
        <w:t>Internet of Things (IoT)</w:t>
      </w:r>
      <w:r w:rsidRPr="004A2B75">
        <w:rPr>
          <w:rFonts w:asciiTheme="majorBidi" w:eastAsia="Times New Roman" w:hAnsiTheme="majorBidi" w:cstheme="majorBidi"/>
          <w:b/>
          <w:bCs/>
          <w:noProof/>
        </w:rPr>
        <w:t>-Edge Computing</w:t>
      </w:r>
      <w:r>
        <w:rPr>
          <w:rStyle w:val="FootnoteReference"/>
          <w:rFonts w:asciiTheme="majorBidi" w:eastAsia="Times New Roman" w:hAnsiTheme="majorBidi" w:cstheme="majorBidi"/>
          <w:b/>
          <w:bCs/>
          <w:noProof/>
        </w:rPr>
        <w:footnoteReference w:id="15"/>
      </w:r>
      <w:r w:rsidRPr="004A2B75">
        <w:rPr>
          <w:rFonts w:asciiTheme="majorBidi" w:eastAsia="Times New Roman" w:hAnsiTheme="majorBidi" w:cstheme="majorBidi"/>
          <w:noProof/>
        </w:rPr>
        <w:t>: In line with Europe’s data, green and industrial strategies, for capitalising on the paradigm shift towards edge computing, more than 250 Mill. € have been spent under Horizon Europe on the development and deployment of the next generation cloud-edge computing components, meta operating systems and IoT-edge platforms that enable this transition to a compute continuum with strong capacities at the edge and far edge in a trustworthy manner. Main achievements have been to establish the European supply and value chains in cloud to edge computing to Internet of Things (IoT) by integrating relevant elements of computing, connectivity, IoT, AI as well as to enhance performance and system autonomy enabled by AI required to support future hyper-distributed applications.</w:t>
      </w:r>
    </w:p>
    <w:p w14:paraId="2202E01D" w14:textId="77777777" w:rsidR="00473A1A" w:rsidRPr="004A2B75" w:rsidRDefault="00473A1A" w:rsidP="00200744">
      <w:pPr>
        <w:spacing w:after="120" w:line="240" w:lineRule="auto"/>
        <w:jc w:val="both"/>
        <w:rPr>
          <w:rFonts w:asciiTheme="majorBidi" w:eastAsia="Times New Roman" w:hAnsiTheme="majorBidi" w:cstheme="majorBidi"/>
          <w:noProof/>
        </w:rPr>
      </w:pPr>
      <w:r w:rsidRPr="004A2B75">
        <w:rPr>
          <w:rFonts w:asciiTheme="majorBidi" w:eastAsia="Times New Roman" w:hAnsiTheme="majorBidi" w:cstheme="majorBidi"/>
          <w:b/>
          <w:bCs/>
          <w:noProof/>
        </w:rPr>
        <w:t>Software-Defined Vehicles (SDVs)</w:t>
      </w:r>
      <w:r w:rsidRPr="000A6033">
        <w:rPr>
          <w:rStyle w:val="FootnoteReference"/>
          <w:rFonts w:asciiTheme="majorBidi" w:eastAsia="Times New Roman" w:hAnsiTheme="majorBidi" w:cstheme="majorBidi"/>
          <w:noProof/>
        </w:rPr>
        <w:footnoteReference w:id="16"/>
      </w:r>
      <w:r w:rsidRPr="004A2B75">
        <w:rPr>
          <w:rFonts w:asciiTheme="majorBidi" w:eastAsia="Times New Roman" w:hAnsiTheme="majorBidi" w:cstheme="majorBidi"/>
          <w:noProof/>
        </w:rPr>
        <w:t xml:space="preserve">: Under the Chips Joint Undertaking, the EU is providing around 250 million complemented by a similar amount from participating Member States for </w:t>
      </w:r>
      <w:r>
        <w:rPr>
          <w:rFonts w:asciiTheme="majorBidi" w:eastAsia="Times New Roman" w:hAnsiTheme="majorBidi" w:cstheme="majorBidi"/>
          <w:noProof/>
        </w:rPr>
        <w:t>open source</w:t>
      </w:r>
      <w:r w:rsidRPr="004A2B75">
        <w:rPr>
          <w:rFonts w:asciiTheme="majorBidi" w:eastAsia="Times New Roman" w:hAnsiTheme="majorBidi" w:cstheme="majorBidi"/>
          <w:noProof/>
        </w:rPr>
        <w:t xml:space="preserve"> building blocks, interfaces and DevOps toolchains for SDVs</w:t>
      </w:r>
      <w:r>
        <w:rPr>
          <w:rFonts w:asciiTheme="majorBidi" w:eastAsia="Times New Roman" w:hAnsiTheme="majorBidi" w:cstheme="majorBidi"/>
          <w:noProof/>
        </w:rPr>
        <w:t>.</w:t>
      </w:r>
      <w:r w:rsidRPr="004A2B75">
        <w:rPr>
          <w:rFonts w:asciiTheme="majorBidi" w:eastAsia="Times New Roman" w:hAnsiTheme="majorBidi" w:cstheme="majorBidi"/>
          <w:noProof/>
        </w:rPr>
        <w:t xml:space="preserve"> These actions will be connected to scale-up mechanisms such as testing and validation, integration support, certification pathways and procurement readiness to translate </w:t>
      </w:r>
      <w:r>
        <w:rPr>
          <w:rFonts w:asciiTheme="majorBidi" w:eastAsia="Times New Roman" w:hAnsiTheme="majorBidi" w:cstheme="majorBidi"/>
          <w:noProof/>
        </w:rPr>
        <w:t>Research and Innovation (R&amp;I)</w:t>
      </w:r>
      <w:r w:rsidRPr="004A2B75">
        <w:rPr>
          <w:rFonts w:asciiTheme="majorBidi" w:eastAsia="Times New Roman" w:hAnsiTheme="majorBidi" w:cstheme="majorBidi"/>
          <w:noProof/>
        </w:rPr>
        <w:t xml:space="preserve"> outputs into industrial deployment and interoperability at European level while reducing dependency risks.</w:t>
      </w:r>
    </w:p>
    <w:p w14:paraId="635C6DCF" w14:textId="77777777" w:rsidR="00473A1A" w:rsidRPr="004A2B75" w:rsidRDefault="00473A1A" w:rsidP="00200744">
      <w:pPr>
        <w:spacing w:after="120" w:line="240" w:lineRule="auto"/>
        <w:jc w:val="both"/>
        <w:rPr>
          <w:rFonts w:asciiTheme="majorBidi" w:eastAsia="Aptos" w:hAnsiTheme="majorBidi" w:cstheme="majorBidi"/>
          <w:noProof/>
        </w:rPr>
      </w:pPr>
      <w:r w:rsidRPr="004A2B75">
        <w:rPr>
          <w:rFonts w:asciiTheme="majorBidi" w:eastAsia="Times New Roman" w:hAnsiTheme="majorBidi" w:cstheme="majorBidi"/>
          <w:b/>
          <w:bCs/>
          <w:noProof/>
        </w:rPr>
        <w:t>AI for public good and Local Digital Twins</w:t>
      </w:r>
      <w:r w:rsidRPr="004A2B75">
        <w:rPr>
          <w:rFonts w:asciiTheme="majorBidi" w:eastAsia="Times New Roman" w:hAnsiTheme="majorBidi" w:cstheme="majorBidi"/>
          <w:noProof/>
        </w:rPr>
        <w:t xml:space="preserve">: The Commission has procured the development of innovative </w:t>
      </w:r>
      <w:r>
        <w:rPr>
          <w:rFonts w:asciiTheme="majorBidi" w:eastAsia="Times New Roman" w:hAnsiTheme="majorBidi" w:cstheme="majorBidi"/>
          <w:noProof/>
        </w:rPr>
        <w:t>open source</w:t>
      </w:r>
      <w:r w:rsidRPr="004A2B75">
        <w:rPr>
          <w:rFonts w:asciiTheme="majorBidi" w:eastAsia="Times New Roman" w:hAnsiTheme="majorBidi" w:cstheme="majorBidi"/>
          <w:noProof/>
        </w:rPr>
        <w:t xml:space="preserve"> AI models to address critical scenarios for cities and governments to strengthen EU’s capabilities and protect its technological sovereignt</w:t>
      </w:r>
      <w:r w:rsidRPr="004A2B75">
        <w:rPr>
          <w:rFonts w:asciiTheme="majorBidi" w:eastAsia="Aptos" w:hAnsiTheme="majorBidi" w:cstheme="majorBidi"/>
          <w:noProof/>
        </w:rPr>
        <w:t>y. In the context of the AI for public good initiative</w:t>
      </w:r>
      <w:r>
        <w:rPr>
          <w:rStyle w:val="FootnoteReference"/>
          <w:rFonts w:asciiTheme="majorBidi" w:eastAsia="Aptos" w:hAnsiTheme="majorBidi" w:cstheme="majorBidi"/>
          <w:noProof/>
        </w:rPr>
        <w:footnoteReference w:id="17"/>
      </w:r>
      <w:r w:rsidRPr="004A2B75">
        <w:rPr>
          <w:rFonts w:asciiTheme="majorBidi" w:eastAsia="Aptos" w:hAnsiTheme="majorBidi" w:cstheme="majorBidi"/>
          <w:noProof/>
        </w:rPr>
        <w:t xml:space="preserve"> and the GenAI for Africa</w:t>
      </w:r>
      <w:r>
        <w:rPr>
          <w:rStyle w:val="FootnoteReference"/>
          <w:rFonts w:asciiTheme="majorBidi" w:eastAsia="Aptos" w:hAnsiTheme="majorBidi" w:cstheme="majorBidi"/>
          <w:noProof/>
        </w:rPr>
        <w:footnoteReference w:id="18"/>
      </w:r>
      <w:r w:rsidRPr="004A2B75">
        <w:rPr>
          <w:rFonts w:asciiTheme="majorBidi" w:eastAsia="Aptos" w:hAnsiTheme="majorBidi" w:cstheme="majorBidi"/>
          <w:noProof/>
        </w:rPr>
        <w:t xml:space="preserve">, the European Commission develops advanced open source-based AI models and platforms to tackle critical challenges in the areas of climate change, energy insecurity, natural disasters, agriculture optimization, urban planning, digital skills and health. </w:t>
      </w:r>
    </w:p>
    <w:p w14:paraId="6BED7DA8" w14:textId="77777777" w:rsidR="00473A1A" w:rsidRPr="004A2B75" w:rsidRDefault="00473A1A" w:rsidP="00200744">
      <w:pPr>
        <w:spacing w:after="120" w:line="240" w:lineRule="auto"/>
        <w:jc w:val="both"/>
        <w:rPr>
          <w:rFonts w:asciiTheme="majorBidi" w:eastAsia="Times New Roman" w:hAnsiTheme="majorBidi" w:cstheme="majorBidi"/>
          <w:noProof/>
        </w:rPr>
      </w:pPr>
      <w:r w:rsidRPr="111CFA90">
        <w:rPr>
          <w:rFonts w:asciiTheme="majorBidi" w:eastAsia="Times New Roman" w:hAnsiTheme="majorBidi" w:cstheme="majorBidi"/>
          <w:b/>
          <w:bCs/>
          <w:noProof/>
        </w:rPr>
        <w:t xml:space="preserve">The </w:t>
      </w:r>
      <w:r>
        <w:rPr>
          <w:rFonts w:asciiTheme="majorBidi" w:eastAsia="Times New Roman" w:hAnsiTheme="majorBidi" w:cstheme="majorBidi"/>
          <w:b/>
          <w:bCs/>
          <w:noProof/>
        </w:rPr>
        <w:t>Networked Local Digital Twins towards</w:t>
      </w:r>
      <w:r w:rsidRPr="111CFA90">
        <w:rPr>
          <w:rFonts w:asciiTheme="majorBidi" w:eastAsia="Times New Roman" w:hAnsiTheme="majorBidi" w:cstheme="majorBidi"/>
          <w:b/>
          <w:bCs/>
          <w:noProof/>
        </w:rPr>
        <w:t xml:space="preserve"> CitiV</w:t>
      </w:r>
      <w:r>
        <w:rPr>
          <w:rFonts w:asciiTheme="majorBidi" w:eastAsia="Times New Roman" w:hAnsiTheme="majorBidi" w:cstheme="majorBidi"/>
          <w:b/>
          <w:bCs/>
          <w:noProof/>
        </w:rPr>
        <w:t>ERSE European Digital Infrastructure Consortium (LDT CitiVERSE EDIC)</w:t>
      </w:r>
      <w:r w:rsidRPr="007F2AE7">
        <w:rPr>
          <w:rStyle w:val="FootnoteReference"/>
          <w:rFonts w:asciiTheme="majorBidi" w:eastAsia="Times New Roman" w:hAnsiTheme="majorBidi" w:cstheme="majorBidi"/>
          <w:noProof/>
        </w:rPr>
        <w:footnoteReference w:id="19"/>
      </w:r>
      <w:r w:rsidRPr="007F2AE7">
        <w:rPr>
          <w:rFonts w:asciiTheme="majorBidi" w:eastAsia="Times New Roman" w:hAnsiTheme="majorBidi" w:cstheme="majorBidi"/>
          <w:noProof/>
        </w:rPr>
        <w:t xml:space="preserve"> </w:t>
      </w:r>
      <w:r w:rsidRPr="111CFA90">
        <w:rPr>
          <w:rFonts w:asciiTheme="majorBidi" w:eastAsia="Times New Roman" w:hAnsiTheme="majorBidi" w:cstheme="majorBidi"/>
          <w:noProof/>
        </w:rPr>
        <w:t xml:space="preserve">provides a key mechanism for making a reality of the Apply AI Strategy - by putting AI tools into the hands of local administrations and municipalities to improve decision-making; and provide reusable </w:t>
      </w:r>
      <w:r>
        <w:rPr>
          <w:rFonts w:asciiTheme="majorBidi" w:eastAsia="Times New Roman" w:hAnsiTheme="majorBidi" w:cstheme="majorBidi"/>
          <w:noProof/>
        </w:rPr>
        <w:t>open source</w:t>
      </w:r>
      <w:r w:rsidRPr="111CFA90">
        <w:rPr>
          <w:rFonts w:asciiTheme="majorBidi" w:eastAsia="Times New Roman" w:hAnsiTheme="majorBidi" w:cstheme="majorBidi"/>
          <w:noProof/>
        </w:rPr>
        <w:t xml:space="preserve"> solutions that address challenges such as the impact of changing traffic conditions on air quality, decarbonisation and congestion.</w:t>
      </w:r>
    </w:p>
    <w:p w14:paraId="10FA7F9C" w14:textId="77777777" w:rsidR="00473A1A" w:rsidRPr="00FB723F" w:rsidRDefault="00473A1A" w:rsidP="00200744">
      <w:pPr>
        <w:spacing w:after="120" w:line="240" w:lineRule="auto"/>
        <w:jc w:val="both"/>
        <w:rPr>
          <w:rFonts w:asciiTheme="majorBidi" w:eastAsia="Times New Roman" w:hAnsiTheme="majorBidi" w:cstheme="majorBidi"/>
          <w:noProof/>
        </w:rPr>
      </w:pPr>
      <w:r w:rsidRPr="006A64CA">
        <w:rPr>
          <w:rFonts w:asciiTheme="majorBidi" w:eastAsia="Times New Roman" w:hAnsiTheme="majorBidi" w:cstheme="majorBidi"/>
          <w:b/>
          <w:bCs/>
          <w:noProof/>
        </w:rPr>
        <w:t>Digital Identity</w:t>
      </w:r>
      <w:r w:rsidRPr="006A64CA">
        <w:rPr>
          <w:rFonts w:asciiTheme="majorBidi" w:eastAsia="Times New Roman" w:hAnsiTheme="majorBidi" w:cstheme="majorBidi"/>
          <w:noProof/>
        </w:rPr>
        <w:t>: The </w:t>
      </w:r>
      <w:r w:rsidRPr="00614616">
        <w:rPr>
          <w:rFonts w:asciiTheme="majorBidi" w:eastAsia="Times New Roman" w:hAnsiTheme="majorBidi" w:cstheme="majorBidi"/>
          <w:b/>
          <w:bCs/>
          <w:noProof/>
        </w:rPr>
        <w:t>European Digital Identity</w:t>
      </w:r>
      <w:r>
        <w:rPr>
          <w:rFonts w:asciiTheme="majorBidi" w:eastAsia="Times New Roman" w:hAnsiTheme="majorBidi" w:cstheme="majorBidi"/>
          <w:b/>
          <w:bCs/>
          <w:noProof/>
        </w:rPr>
        <w:t xml:space="preserve"> </w:t>
      </w:r>
      <w:r w:rsidRPr="00614616">
        <w:rPr>
          <w:rFonts w:asciiTheme="majorBidi" w:eastAsia="Times New Roman" w:hAnsiTheme="majorBidi" w:cstheme="majorBidi"/>
          <w:b/>
          <w:bCs/>
          <w:noProof/>
        </w:rPr>
        <w:t>Regulation</w:t>
      </w:r>
      <w:r>
        <w:rPr>
          <w:rFonts w:asciiTheme="majorBidi" w:eastAsia="Times New Roman" w:hAnsiTheme="majorBidi" w:cstheme="majorBidi"/>
          <w:b/>
          <w:bCs/>
          <w:noProof/>
        </w:rPr>
        <w:t xml:space="preserve"> (EUDIR)</w:t>
      </w:r>
      <w:r w:rsidRPr="001E5692">
        <w:rPr>
          <w:rStyle w:val="FootnoteReference"/>
          <w:rFonts w:asciiTheme="majorBidi" w:eastAsia="Times New Roman" w:hAnsiTheme="majorBidi" w:cstheme="majorBidi"/>
          <w:noProof/>
        </w:rPr>
        <w:footnoteReference w:id="20"/>
      </w:r>
      <w:r w:rsidRPr="00614616">
        <w:rPr>
          <w:rFonts w:asciiTheme="majorBidi" w:eastAsia="Times New Roman" w:hAnsiTheme="majorBidi" w:cstheme="majorBidi"/>
          <w:b/>
          <w:bCs/>
          <w:noProof/>
        </w:rPr>
        <w:t xml:space="preserve"> </w:t>
      </w:r>
      <w:r w:rsidRPr="006A64CA">
        <w:rPr>
          <w:rFonts w:asciiTheme="majorBidi" w:eastAsia="Times New Roman" w:hAnsiTheme="majorBidi" w:cstheme="majorBidi"/>
          <w:noProof/>
        </w:rPr>
        <w:t xml:space="preserve">makes open source a legal default for the </w:t>
      </w:r>
      <w:r>
        <w:rPr>
          <w:rFonts w:asciiTheme="majorBidi" w:eastAsia="Times New Roman" w:hAnsiTheme="majorBidi" w:cstheme="majorBidi"/>
          <w:noProof/>
        </w:rPr>
        <w:t>European Digital Identity (</w:t>
      </w:r>
      <w:r w:rsidRPr="00614616">
        <w:rPr>
          <w:rFonts w:asciiTheme="majorBidi" w:eastAsia="Times New Roman" w:hAnsiTheme="majorBidi" w:cstheme="majorBidi"/>
          <w:b/>
          <w:bCs/>
          <w:noProof/>
        </w:rPr>
        <w:t>EUDI</w:t>
      </w:r>
      <w:r>
        <w:rPr>
          <w:rFonts w:asciiTheme="majorBidi" w:eastAsia="Times New Roman" w:hAnsiTheme="majorBidi" w:cstheme="majorBidi"/>
          <w:b/>
          <w:bCs/>
          <w:noProof/>
        </w:rPr>
        <w:t>)</w:t>
      </w:r>
      <w:r w:rsidRPr="00614616">
        <w:rPr>
          <w:rFonts w:asciiTheme="majorBidi" w:eastAsia="Times New Roman" w:hAnsiTheme="majorBidi" w:cstheme="majorBidi"/>
          <w:b/>
          <w:bCs/>
          <w:noProof/>
        </w:rPr>
        <w:t xml:space="preserve"> Wallet</w:t>
      </w:r>
      <w:r w:rsidRPr="006A64CA">
        <w:rPr>
          <w:rFonts w:asciiTheme="majorBidi" w:eastAsia="Times New Roman" w:hAnsiTheme="majorBidi" w:cstheme="majorBidi"/>
          <w:noProof/>
        </w:rPr>
        <w:t xml:space="preserve">: application software components must be open source, with only narrowly justified exceptions This embeds open source in a core piece of European digital public infrastructure and provides long-term legal certainty, auditability, and reuse for the ecosystem. These obligations are progressively specified through implementing acts, turning policy intent into enforceable technical requirements. The </w:t>
      </w:r>
      <w:r>
        <w:rPr>
          <w:rFonts w:asciiTheme="majorBidi" w:eastAsia="Times New Roman" w:hAnsiTheme="majorBidi" w:cstheme="majorBidi"/>
          <w:noProof/>
        </w:rPr>
        <w:t>European Business Wallet (</w:t>
      </w:r>
      <w:r w:rsidRPr="006A64CA">
        <w:rPr>
          <w:rFonts w:asciiTheme="majorBidi" w:eastAsia="Times New Roman" w:hAnsiTheme="majorBidi" w:cstheme="majorBidi"/>
          <w:noProof/>
        </w:rPr>
        <w:t>EBW</w:t>
      </w:r>
      <w:r>
        <w:rPr>
          <w:rFonts w:asciiTheme="majorBidi" w:eastAsia="Times New Roman" w:hAnsiTheme="majorBidi" w:cstheme="majorBidi"/>
          <w:noProof/>
        </w:rPr>
        <w:t>)</w:t>
      </w:r>
      <w:r w:rsidRPr="006A64CA">
        <w:rPr>
          <w:rFonts w:asciiTheme="majorBidi" w:eastAsia="Times New Roman" w:hAnsiTheme="majorBidi" w:cstheme="majorBidi"/>
          <w:noProof/>
        </w:rPr>
        <w:t xml:space="preserve"> initiative</w:t>
      </w:r>
      <w:r>
        <w:rPr>
          <w:rStyle w:val="FootnoteReference"/>
          <w:rFonts w:asciiTheme="majorBidi" w:eastAsia="Times New Roman" w:hAnsiTheme="majorBidi" w:cstheme="majorBidi"/>
          <w:noProof/>
        </w:rPr>
        <w:footnoteReference w:id="21"/>
      </w:r>
      <w:r w:rsidRPr="006A64CA">
        <w:rPr>
          <w:rFonts w:asciiTheme="majorBidi" w:eastAsia="Times New Roman" w:hAnsiTheme="majorBidi" w:cstheme="majorBidi"/>
          <w:noProof/>
        </w:rPr>
        <w:t xml:space="preserve"> does not impose an explicit </w:t>
      </w:r>
      <w:r>
        <w:rPr>
          <w:rFonts w:asciiTheme="majorBidi" w:eastAsia="Times New Roman" w:hAnsiTheme="majorBidi" w:cstheme="majorBidi"/>
          <w:noProof/>
        </w:rPr>
        <w:t>open source</w:t>
      </w:r>
      <w:r w:rsidRPr="006A64CA">
        <w:rPr>
          <w:rFonts w:asciiTheme="majorBidi" w:eastAsia="Times New Roman" w:hAnsiTheme="majorBidi" w:cstheme="majorBidi"/>
          <w:noProof/>
        </w:rPr>
        <w:t xml:space="preserve"> licensing obligation, reflecting its private-sector focus. However, it mandates reuse of EUDIR standards, trust framework components, and open formats. To ensure long-term independent stewardship of the EUDI Wallet and EBW reference implementations or </w:t>
      </w:r>
      <w:r>
        <w:rPr>
          <w:rFonts w:asciiTheme="majorBidi" w:eastAsia="Times New Roman" w:hAnsiTheme="majorBidi" w:cstheme="majorBidi"/>
          <w:noProof/>
        </w:rPr>
        <w:t>open source</w:t>
      </w:r>
      <w:r w:rsidRPr="006A64CA">
        <w:rPr>
          <w:rFonts w:asciiTheme="majorBidi" w:eastAsia="Times New Roman" w:hAnsiTheme="majorBidi" w:cstheme="majorBidi"/>
          <w:noProof/>
        </w:rPr>
        <w:t xml:space="preserve"> components, custody of the corresponding </w:t>
      </w:r>
      <w:r>
        <w:rPr>
          <w:rFonts w:asciiTheme="majorBidi" w:eastAsia="Times New Roman" w:hAnsiTheme="majorBidi" w:cstheme="majorBidi"/>
          <w:noProof/>
        </w:rPr>
        <w:t>open source</w:t>
      </w:r>
      <w:r w:rsidRPr="006A64CA">
        <w:rPr>
          <w:rFonts w:asciiTheme="majorBidi" w:eastAsia="Times New Roman" w:hAnsiTheme="majorBidi" w:cstheme="majorBidi"/>
          <w:noProof/>
        </w:rPr>
        <w:t xml:space="preserve"> repositories will be transferred to the European Digital Public Infrastructure Foundation, as set out in Section 2.1. The Foundation will also host, under a dedicated AI track, the </w:t>
      </w:r>
      <w:r>
        <w:rPr>
          <w:rFonts w:asciiTheme="majorBidi" w:eastAsia="Times New Roman" w:hAnsiTheme="majorBidi" w:cstheme="majorBidi"/>
          <w:noProof/>
        </w:rPr>
        <w:t>open source</w:t>
      </w:r>
      <w:r w:rsidRPr="006A64CA">
        <w:rPr>
          <w:rFonts w:asciiTheme="majorBidi" w:eastAsia="Times New Roman" w:hAnsiTheme="majorBidi" w:cstheme="majorBidi"/>
          <w:noProof/>
        </w:rPr>
        <w:t xml:space="preserve"> AI assets referred to in the same section.</w:t>
      </w:r>
      <w:r w:rsidRPr="004A2B75">
        <w:rPr>
          <w:rFonts w:asciiTheme="majorBidi" w:eastAsia="Times New Roman" w:hAnsiTheme="majorBidi" w:cstheme="majorBidi"/>
          <w:noProof/>
        </w:rPr>
        <w:t xml:space="preserve"> This regulatory design strongly favours interoperable and transparent solutions, creating structural advantages for </w:t>
      </w:r>
      <w:r>
        <w:rPr>
          <w:rFonts w:asciiTheme="majorBidi" w:eastAsia="Times New Roman" w:hAnsiTheme="majorBidi" w:cstheme="majorBidi"/>
          <w:noProof/>
        </w:rPr>
        <w:t>open source</w:t>
      </w:r>
      <w:r w:rsidRPr="004A2B75">
        <w:rPr>
          <w:rFonts w:asciiTheme="majorBidi" w:eastAsia="Times New Roman" w:hAnsiTheme="majorBidi" w:cstheme="majorBidi"/>
          <w:noProof/>
        </w:rPr>
        <w:t xml:space="preserve"> implementations even where licensing remains market-driven.</w:t>
      </w:r>
      <w:r w:rsidRPr="004A2B75">
        <w:rPr>
          <w:rFonts w:asciiTheme="majorBidi" w:eastAsia="Times New Roman" w:hAnsiTheme="majorBidi" w:cstheme="majorBidi"/>
          <w:strike/>
          <w:noProof/>
        </w:rPr>
        <w:t xml:space="preserve"> </w:t>
      </w:r>
    </w:p>
    <w:p w14:paraId="74FE3499" w14:textId="77777777" w:rsidR="00473A1A" w:rsidRPr="004A2B75" w:rsidRDefault="00473A1A" w:rsidP="00200744">
      <w:pPr>
        <w:spacing w:after="120" w:line="240" w:lineRule="auto"/>
        <w:jc w:val="both"/>
        <w:rPr>
          <w:rFonts w:asciiTheme="majorBidi" w:eastAsia="Times New Roman" w:hAnsiTheme="majorBidi" w:cstheme="majorBidi"/>
          <w:noProof/>
        </w:rPr>
      </w:pPr>
      <w:r w:rsidRPr="004A2B75">
        <w:rPr>
          <w:rFonts w:asciiTheme="majorBidi" w:eastAsia="Times New Roman" w:hAnsiTheme="majorBidi" w:cstheme="majorBidi"/>
          <w:noProof/>
        </w:rPr>
        <w:t xml:space="preserve">Additionally, the EUDI Wallet is supported by a shared Architecture and Reference Framework (ARF), which acts as a complement to the implementing acts in establishing the technical baseline across Member States. Together with a Commission-backed </w:t>
      </w:r>
      <w:r>
        <w:rPr>
          <w:rFonts w:asciiTheme="majorBidi" w:eastAsia="Times New Roman" w:hAnsiTheme="majorBidi" w:cstheme="majorBidi"/>
          <w:noProof/>
        </w:rPr>
        <w:t>open source</w:t>
      </w:r>
      <w:r w:rsidRPr="004A2B75">
        <w:rPr>
          <w:rFonts w:asciiTheme="majorBidi" w:eastAsia="Times New Roman" w:hAnsiTheme="majorBidi" w:cstheme="majorBidi"/>
          <w:noProof/>
        </w:rPr>
        <w:t xml:space="preserve"> reference implementation, this reduces fragmentation, lowers entry barriers, and anchors interoperability in running software rather than abstract specifications. The collaborative development model further increases reuse of </w:t>
      </w:r>
      <w:r>
        <w:rPr>
          <w:rFonts w:asciiTheme="majorBidi" w:eastAsia="Times New Roman" w:hAnsiTheme="majorBidi" w:cstheme="majorBidi"/>
          <w:noProof/>
        </w:rPr>
        <w:t>open source</w:t>
      </w:r>
      <w:r w:rsidRPr="004A2B75">
        <w:rPr>
          <w:rFonts w:asciiTheme="majorBidi" w:eastAsia="Times New Roman" w:hAnsiTheme="majorBidi" w:cstheme="majorBidi"/>
          <w:noProof/>
        </w:rPr>
        <w:t xml:space="preserve"> building blocks beyond the EUDI context. EBW builds directly on the same EUDI technical foundations. While it does not introduce a separate reference implementation, EBW solutions must reuse EUDI standards and components. As a result, existing EUDI </w:t>
      </w:r>
      <w:r>
        <w:rPr>
          <w:rFonts w:asciiTheme="majorBidi" w:eastAsia="Times New Roman" w:hAnsiTheme="majorBidi" w:cstheme="majorBidi"/>
          <w:noProof/>
        </w:rPr>
        <w:t>open source</w:t>
      </w:r>
      <w:r w:rsidRPr="004A2B75">
        <w:rPr>
          <w:rFonts w:asciiTheme="majorBidi" w:eastAsia="Times New Roman" w:hAnsiTheme="majorBidi" w:cstheme="majorBidi"/>
          <w:noProof/>
        </w:rPr>
        <w:t xml:space="preserve"> implementations can be directly extended for business use cases, increasing downstream reuse without creating parallel codebases.</w:t>
      </w:r>
    </w:p>
    <w:p w14:paraId="5734C2DF" w14:textId="77777777" w:rsidR="00473A1A" w:rsidRPr="004A2B75" w:rsidRDefault="00473A1A" w:rsidP="00200744">
      <w:pPr>
        <w:spacing w:after="120" w:line="240" w:lineRule="auto"/>
        <w:jc w:val="both"/>
        <w:rPr>
          <w:rFonts w:asciiTheme="majorBidi" w:eastAsia="Times New Roman" w:hAnsiTheme="majorBidi" w:cstheme="majorBidi"/>
          <w:noProof/>
        </w:rPr>
      </w:pPr>
      <w:r w:rsidRPr="00FB723F">
        <w:rPr>
          <w:rFonts w:asciiTheme="majorBidi" w:eastAsia="Times New Roman" w:hAnsiTheme="majorBidi" w:cstheme="majorBidi"/>
          <w:b/>
          <w:bCs/>
          <w:noProof/>
        </w:rPr>
        <w:t>Age Verification</w:t>
      </w:r>
      <w:r>
        <w:rPr>
          <w:rStyle w:val="FootnoteReference"/>
          <w:rFonts w:asciiTheme="majorBidi" w:eastAsia="Times New Roman" w:hAnsiTheme="majorBidi" w:cstheme="majorBidi"/>
          <w:b/>
          <w:bCs/>
          <w:noProof/>
        </w:rPr>
        <w:footnoteReference w:id="22"/>
      </w:r>
      <w:r w:rsidRPr="004A2B75">
        <w:rPr>
          <w:rFonts w:asciiTheme="majorBidi" w:eastAsia="Times New Roman" w:hAnsiTheme="majorBidi" w:cstheme="majorBidi"/>
          <w:noProof/>
        </w:rPr>
        <w:t xml:space="preserve">: The European Commission has developed a fully </w:t>
      </w:r>
      <w:r>
        <w:rPr>
          <w:rFonts w:asciiTheme="majorBidi" w:eastAsia="Times New Roman" w:hAnsiTheme="majorBidi" w:cstheme="majorBidi"/>
          <w:noProof/>
        </w:rPr>
        <w:t>open source</w:t>
      </w:r>
      <w:r w:rsidRPr="004A2B75">
        <w:rPr>
          <w:rFonts w:asciiTheme="majorBidi" w:eastAsia="Times New Roman" w:hAnsiTheme="majorBidi" w:cstheme="majorBidi"/>
          <w:noProof/>
        </w:rPr>
        <w:t xml:space="preserve">, robust and privacy preserving age verification solution implementing the Age Verification Blueprint which is a profile based on the technical specifications and architecture of the </w:t>
      </w:r>
      <w:r>
        <w:rPr>
          <w:rFonts w:asciiTheme="majorBidi" w:eastAsia="Times New Roman" w:hAnsiTheme="majorBidi" w:cstheme="majorBidi"/>
          <w:noProof/>
        </w:rPr>
        <w:t>European Digital Identity Wallet (EUDIW)</w:t>
      </w:r>
      <w:r w:rsidRPr="004A2B75">
        <w:rPr>
          <w:rFonts w:asciiTheme="majorBidi" w:eastAsia="Times New Roman" w:hAnsiTheme="majorBidi" w:cstheme="majorBidi"/>
          <w:noProof/>
        </w:rPr>
        <w:t xml:space="preserve">. It includes support for Zero Knowledge Proofs using </w:t>
      </w:r>
      <w:r>
        <w:rPr>
          <w:rFonts w:asciiTheme="majorBidi" w:eastAsia="Times New Roman" w:hAnsiTheme="majorBidi" w:cstheme="majorBidi"/>
          <w:noProof/>
        </w:rPr>
        <w:t>open source</w:t>
      </w:r>
      <w:r w:rsidRPr="004A2B75">
        <w:rPr>
          <w:rFonts w:asciiTheme="majorBidi" w:eastAsia="Times New Roman" w:hAnsiTheme="majorBidi" w:cstheme="majorBidi"/>
          <w:noProof/>
        </w:rPr>
        <w:t xml:space="preserve"> libraries. This age verification solution is now ready for adoption by Member States and other actors.  </w:t>
      </w:r>
    </w:p>
    <w:p w14:paraId="1E24D76E" w14:textId="6153A628" w:rsidR="00473A1A" w:rsidRPr="005361C1" w:rsidRDefault="00473A1A" w:rsidP="00A149D3">
      <w:pPr>
        <w:spacing w:line="240" w:lineRule="auto"/>
        <w:jc w:val="both"/>
        <w:rPr>
          <w:rFonts w:asciiTheme="majorBidi" w:hAnsiTheme="majorBidi" w:cstheme="majorBidi"/>
          <w:noProof/>
        </w:rPr>
      </w:pPr>
      <w:r w:rsidRPr="3101FF1C">
        <w:rPr>
          <w:rFonts w:asciiTheme="majorBidi" w:hAnsiTheme="majorBidi" w:cstheme="majorBidi"/>
          <w:b/>
          <w:bCs/>
          <w:noProof/>
        </w:rPr>
        <w:t>code.europa.eu</w:t>
      </w:r>
      <w:r w:rsidRPr="3101FF1C">
        <w:rPr>
          <w:rFonts w:asciiTheme="majorBidi" w:hAnsiTheme="majorBidi" w:cstheme="majorBidi"/>
          <w:noProof/>
        </w:rPr>
        <w:t xml:space="preserve">: the European Commission’s open source collaboration and code-hosting platform, supporting cross-institutional development and reuse. As of end of </w:t>
      </w:r>
      <w:r w:rsidR="00AE5F07" w:rsidRPr="3101FF1C">
        <w:rPr>
          <w:rFonts w:asciiTheme="majorBidi" w:hAnsiTheme="majorBidi" w:cstheme="majorBidi"/>
          <w:noProof/>
        </w:rPr>
        <w:t>May</w:t>
      </w:r>
      <w:r w:rsidRPr="3101FF1C">
        <w:rPr>
          <w:rFonts w:asciiTheme="majorBidi" w:hAnsiTheme="majorBidi" w:cstheme="majorBidi"/>
          <w:noProof/>
        </w:rPr>
        <w:t xml:space="preserve"> 2026, it counted </w:t>
      </w:r>
      <w:r w:rsidR="0059627D" w:rsidRPr="3101FF1C">
        <w:rPr>
          <w:rFonts w:asciiTheme="majorBidi" w:hAnsiTheme="majorBidi" w:cstheme="majorBidi"/>
          <w:noProof/>
        </w:rPr>
        <w:t xml:space="preserve">over </w:t>
      </w:r>
      <w:r w:rsidR="00057AEB" w:rsidRPr="3101FF1C">
        <w:rPr>
          <w:rFonts w:asciiTheme="majorBidi" w:hAnsiTheme="majorBidi" w:cstheme="majorBidi"/>
          <w:noProof/>
        </w:rPr>
        <w:t xml:space="preserve">4500 </w:t>
      </w:r>
      <w:r w:rsidRPr="3101FF1C">
        <w:rPr>
          <w:rFonts w:asciiTheme="majorBidi" w:hAnsiTheme="majorBidi" w:cstheme="majorBidi"/>
          <w:noProof/>
        </w:rPr>
        <w:t xml:space="preserve">registered users, hosted </w:t>
      </w:r>
      <w:r w:rsidR="001008D1" w:rsidRPr="3101FF1C">
        <w:rPr>
          <w:rFonts w:asciiTheme="majorBidi" w:hAnsiTheme="majorBidi" w:cstheme="majorBidi"/>
          <w:noProof/>
        </w:rPr>
        <w:t>1280</w:t>
      </w:r>
      <w:r w:rsidRPr="3101FF1C">
        <w:rPr>
          <w:rFonts w:asciiTheme="majorBidi" w:hAnsiTheme="majorBidi" w:cstheme="majorBidi"/>
          <w:noProof/>
        </w:rPr>
        <w:t xml:space="preserve"> code repositories, and supported 18 EU institutions, agencies and bodies (EUIBAs), underlining its growing role as shared public infrastructure for open source collaboration in the EU.</w:t>
      </w:r>
    </w:p>
    <w:p w14:paraId="06695874" w14:textId="77777777" w:rsidR="00473A1A" w:rsidRPr="005361C1" w:rsidRDefault="00473A1A" w:rsidP="00A149D3">
      <w:pPr>
        <w:spacing w:line="240" w:lineRule="auto"/>
        <w:jc w:val="both"/>
        <w:rPr>
          <w:rFonts w:asciiTheme="majorBidi" w:hAnsiTheme="majorBidi" w:cstheme="majorBidi"/>
          <w:noProof/>
        </w:rPr>
      </w:pPr>
      <w:r w:rsidRPr="3101FF1C">
        <w:rPr>
          <w:rFonts w:asciiTheme="majorBidi" w:hAnsiTheme="majorBidi" w:cstheme="majorBidi"/>
          <w:b/>
          <w:bCs/>
          <w:noProof/>
        </w:rPr>
        <w:t>Interoperable Europe Portal</w:t>
      </w:r>
      <w:r w:rsidRPr="3101FF1C">
        <w:rPr>
          <w:rFonts w:asciiTheme="majorBidi" w:hAnsiTheme="majorBidi" w:cstheme="majorBidi"/>
          <w:noProof/>
        </w:rPr>
        <w:t>: the EU’s central platform for interoperability, collaboration and reuse across public administrations. It supports open source deployment and ecosystem development by hosting the EU Open Source Solutions Catalogue and the EU Interoperability Solutions Catalogue, while also serving as a hub for interoperability governance, documentation and collaboration through the Interoperable Europe Community established under the Interoperable Europe Act.</w:t>
      </w:r>
    </w:p>
    <w:p w14:paraId="1273042E" w14:textId="44FB905A" w:rsidR="00473A1A" w:rsidRPr="005361C1" w:rsidRDefault="00473A1A" w:rsidP="00A149D3">
      <w:pPr>
        <w:spacing w:line="240" w:lineRule="auto"/>
        <w:jc w:val="both"/>
        <w:rPr>
          <w:rFonts w:asciiTheme="majorBidi" w:hAnsiTheme="majorBidi" w:cstheme="majorBidi"/>
          <w:noProof/>
        </w:rPr>
      </w:pPr>
      <w:r w:rsidRPr="3101FF1C">
        <w:rPr>
          <w:rFonts w:asciiTheme="majorBidi" w:hAnsiTheme="majorBidi" w:cstheme="majorBidi"/>
          <w:b/>
          <w:bCs/>
          <w:noProof/>
        </w:rPr>
        <w:t>EU Open Source Solutions Catalogue</w:t>
      </w:r>
      <w:r w:rsidRPr="3101FF1C">
        <w:rPr>
          <w:rFonts w:asciiTheme="majorBidi" w:hAnsiTheme="majorBidi" w:cstheme="majorBidi"/>
          <w:noProof/>
        </w:rPr>
        <w:t xml:space="preserve">: launched in March 2025, the Catalogue serves as a central access point for opensource solutions developed, shared or reused by EU institutions and Member States. As of </w:t>
      </w:r>
      <w:r w:rsidR="005268E3" w:rsidRPr="3101FF1C">
        <w:rPr>
          <w:rFonts w:asciiTheme="majorBidi" w:hAnsiTheme="majorBidi" w:cstheme="majorBidi"/>
          <w:noProof/>
        </w:rPr>
        <w:t xml:space="preserve">May </w:t>
      </w:r>
      <w:r w:rsidRPr="3101FF1C">
        <w:rPr>
          <w:rFonts w:asciiTheme="majorBidi" w:hAnsiTheme="majorBidi" w:cstheme="majorBidi"/>
          <w:noProof/>
        </w:rPr>
        <w:t xml:space="preserve">2026, it listed </w:t>
      </w:r>
      <w:r w:rsidR="000B46F3" w:rsidRPr="3101FF1C">
        <w:rPr>
          <w:rFonts w:asciiTheme="majorBidi" w:hAnsiTheme="majorBidi" w:cstheme="majorBidi"/>
          <w:noProof/>
        </w:rPr>
        <w:t xml:space="preserve">1047 </w:t>
      </w:r>
      <w:r w:rsidRPr="3101FF1C">
        <w:rPr>
          <w:rFonts w:asciiTheme="majorBidi" w:hAnsiTheme="majorBidi" w:cstheme="majorBidi"/>
          <w:noProof/>
        </w:rPr>
        <w:t xml:space="preserve">solutions, including solutions federated from code.europa.eu and </w:t>
      </w:r>
      <w:r w:rsidR="0001043E" w:rsidRPr="3101FF1C">
        <w:rPr>
          <w:rFonts w:asciiTheme="majorBidi" w:hAnsiTheme="majorBidi" w:cstheme="majorBidi"/>
          <w:noProof/>
        </w:rPr>
        <w:t xml:space="preserve">eleven  </w:t>
      </w:r>
      <w:r w:rsidRPr="3101FF1C">
        <w:rPr>
          <w:rFonts w:asciiTheme="majorBidi" w:hAnsiTheme="majorBidi" w:cstheme="majorBidi"/>
          <w:noProof/>
        </w:rPr>
        <w:t>Member State catalogues, plus  individually indexed solutions.</w:t>
      </w:r>
    </w:p>
    <w:p w14:paraId="6174085D" w14:textId="77777777" w:rsidR="00473A1A" w:rsidRPr="005361C1" w:rsidRDefault="00473A1A" w:rsidP="00A149D3">
      <w:pPr>
        <w:spacing w:line="240" w:lineRule="auto"/>
        <w:jc w:val="both"/>
        <w:rPr>
          <w:rFonts w:asciiTheme="majorBidi" w:hAnsiTheme="majorBidi" w:cstheme="majorBidi"/>
          <w:noProof/>
        </w:rPr>
      </w:pPr>
      <w:r w:rsidRPr="3101FF1C">
        <w:rPr>
          <w:rFonts w:asciiTheme="majorBidi" w:hAnsiTheme="majorBidi" w:cstheme="majorBidi"/>
          <w:b/>
          <w:bCs/>
          <w:noProof/>
        </w:rPr>
        <w:t>Licensing Assistant and Compatibility Checker</w:t>
      </w:r>
      <w:r w:rsidRPr="3101FF1C">
        <w:rPr>
          <w:rFonts w:asciiTheme="majorBidi" w:hAnsiTheme="majorBidi" w:cstheme="majorBidi"/>
          <w:noProof/>
        </w:rPr>
        <w:t>: available through the Interoperable Europe Portal, these Commission tools support open source deployment by helping users compare, select and combine open source licences with greater legal certainty. The Licensing Assistant provides structured licence information and SPDX links, while the Compatibility Checker helps assess whether differently licensed components can be combined and redistributed.</w:t>
      </w:r>
    </w:p>
    <w:p w14:paraId="3B71C5B5" w14:textId="77777777" w:rsidR="00473A1A" w:rsidRPr="005361C1" w:rsidRDefault="00473A1A" w:rsidP="00A149D3">
      <w:pPr>
        <w:spacing w:line="240" w:lineRule="auto"/>
        <w:jc w:val="both"/>
        <w:rPr>
          <w:rFonts w:asciiTheme="majorBidi" w:hAnsiTheme="majorBidi" w:cstheme="majorBidi"/>
          <w:noProof/>
        </w:rPr>
      </w:pPr>
      <w:r w:rsidRPr="3101FF1C">
        <w:rPr>
          <w:rFonts w:asciiTheme="majorBidi" w:hAnsiTheme="majorBidi" w:cstheme="majorBidi"/>
          <w:b/>
          <w:bCs/>
          <w:noProof/>
        </w:rPr>
        <w:t>OSOR</w:t>
      </w:r>
      <w:r w:rsidRPr="3101FF1C">
        <w:rPr>
          <w:rFonts w:asciiTheme="majorBidi" w:hAnsiTheme="majorBidi" w:cstheme="majorBidi"/>
          <w:noProof/>
        </w:rPr>
        <w:t>: the Commission’s Open Source Observatory, hosted on the Interoperable Europe Portal, supports open source deployment in the public sector by providing news, studies, guidance, events and exchange on free and open source software. Through resources such as the OSOR Handbook, newsletters, events and training developed with the Interoperable Europe Academy, it helps strengthen awareness, capacity and informed adoption of open source in European public administrations.</w:t>
      </w:r>
    </w:p>
    <w:p w14:paraId="16BA7624" w14:textId="1D1BCFF8" w:rsidR="00473A1A" w:rsidRPr="005361C1" w:rsidRDefault="00473A1A" w:rsidP="00A149D3">
      <w:pPr>
        <w:spacing w:line="240" w:lineRule="auto"/>
        <w:jc w:val="both"/>
        <w:rPr>
          <w:rFonts w:asciiTheme="majorBidi" w:hAnsiTheme="majorBidi" w:cstheme="majorBidi"/>
          <w:noProof/>
        </w:rPr>
      </w:pPr>
      <w:r w:rsidRPr="3101FF1C">
        <w:rPr>
          <w:rFonts w:asciiTheme="majorBidi" w:hAnsiTheme="majorBidi" w:cstheme="majorBidi"/>
          <w:b/>
          <w:bCs/>
          <w:noProof/>
        </w:rPr>
        <w:t>EU OSPO Network</w:t>
      </w:r>
      <w:r w:rsidRPr="3101FF1C">
        <w:rPr>
          <w:rFonts w:asciiTheme="majorBidi" w:hAnsiTheme="majorBidi" w:cstheme="majorBidi"/>
          <w:noProof/>
        </w:rPr>
        <w:t xml:space="preserve">: a European Commission-supported collaboration network bringing together Open Source Programme Offices and similar organisations across EU public services to advance the strategic use, governance and release of open source software. Facilitated by the Commission’s Open Source Programme Office, it supports exchange and alignment on open source collaboration. As of </w:t>
      </w:r>
      <w:r w:rsidR="00402AD5" w:rsidRPr="3101FF1C">
        <w:rPr>
          <w:rFonts w:asciiTheme="majorBidi" w:hAnsiTheme="majorBidi" w:cstheme="majorBidi"/>
          <w:noProof/>
        </w:rPr>
        <w:t xml:space="preserve">May </w:t>
      </w:r>
      <w:r w:rsidRPr="3101FF1C">
        <w:rPr>
          <w:rFonts w:asciiTheme="majorBidi" w:hAnsiTheme="majorBidi" w:cstheme="majorBidi"/>
          <w:noProof/>
        </w:rPr>
        <w:t>2026, the network comprised 25 members from 11 EU countries.</w:t>
      </w:r>
    </w:p>
    <w:p w14:paraId="0A52FE33" w14:textId="432BE5F0" w:rsidR="00473A1A" w:rsidRPr="005361C1" w:rsidRDefault="00473A1A" w:rsidP="00A149D3">
      <w:pPr>
        <w:spacing w:line="240" w:lineRule="auto"/>
        <w:jc w:val="both"/>
        <w:rPr>
          <w:rFonts w:asciiTheme="majorBidi" w:hAnsiTheme="majorBidi" w:cstheme="majorBidi"/>
          <w:noProof/>
        </w:rPr>
      </w:pPr>
      <w:r w:rsidRPr="3101FF1C">
        <w:rPr>
          <w:rFonts w:asciiTheme="majorBidi" w:hAnsiTheme="majorBidi" w:cstheme="majorBidi"/>
          <w:b/>
          <w:bCs/>
          <w:noProof/>
        </w:rPr>
        <w:t>Interoperable Europe Academy and Seasonal School</w:t>
      </w:r>
      <w:r w:rsidRPr="3101FF1C">
        <w:rPr>
          <w:rFonts w:asciiTheme="majorBidi" w:hAnsiTheme="majorBidi" w:cstheme="majorBidi"/>
          <w:noProof/>
        </w:rPr>
        <w:t>: the European Commission’s learning and capacity-building offer for digital interoperability and open source in the public sector. The Academy provides more than 50 free online courses on topics such as open source governance and licensing, including the EUPL, as well as the European Interoperability Framework and  the Interoperable Europe Act . It had reached 44 000 enrolments by the end of 2025. The Seasonal School complements this with an annual event bringing together students, public servants and researchers for practical learning on interoperability, reuse, open source and licensing.</w:t>
      </w:r>
    </w:p>
    <w:p w14:paraId="2CEEAA11" w14:textId="77777777" w:rsidR="00473A1A" w:rsidRPr="005361C1" w:rsidRDefault="00473A1A" w:rsidP="00A149D3">
      <w:pPr>
        <w:spacing w:line="240" w:lineRule="auto"/>
        <w:jc w:val="both"/>
        <w:rPr>
          <w:rFonts w:asciiTheme="majorBidi" w:hAnsiTheme="majorBidi" w:cstheme="majorBidi"/>
          <w:noProof/>
        </w:rPr>
      </w:pPr>
      <w:r w:rsidRPr="3101FF1C">
        <w:rPr>
          <w:rFonts w:asciiTheme="majorBidi" w:hAnsiTheme="majorBidi" w:cstheme="majorBidi"/>
          <w:b/>
          <w:bCs/>
          <w:noProof/>
        </w:rPr>
        <w:t>Bug Bounties Programme</w:t>
      </w:r>
      <w:r w:rsidRPr="3101FF1C">
        <w:rPr>
          <w:rFonts w:asciiTheme="majorBidi" w:hAnsiTheme="majorBidi" w:cstheme="majorBidi"/>
          <w:noProof/>
        </w:rPr>
        <w:t>: an initiative supporting open source deployment and the resilience of the wider open ecosystem by funding coordinated vulnerability discovery and disclosure for open source software used by the Commission and other European public administrations. Following earlier actions under EU-FOSSA and later OSPO-led rounds, the Commission renewed this support in 2025 through a framework contract for new bug bounty and vulnerability disclosure activities targeting open source solutions relevant to the European public sector.</w:t>
      </w:r>
    </w:p>
    <w:p w14:paraId="607E1362" w14:textId="77777777" w:rsidR="0043693E" w:rsidRDefault="00473A1A" w:rsidP="00A149D3">
      <w:pPr>
        <w:spacing w:line="240" w:lineRule="auto"/>
        <w:jc w:val="both"/>
        <w:rPr>
          <w:rFonts w:asciiTheme="majorBidi" w:hAnsiTheme="majorBidi" w:cstheme="majorBidi"/>
          <w:noProof/>
        </w:rPr>
      </w:pPr>
      <w:r w:rsidRPr="3101FF1C">
        <w:rPr>
          <w:rFonts w:asciiTheme="majorBidi" w:hAnsiTheme="majorBidi" w:cstheme="majorBidi"/>
          <w:b/>
          <w:bCs/>
          <w:noProof/>
        </w:rPr>
        <w:t>Study on Critical Open Source Software</w:t>
      </w:r>
      <w:r w:rsidRPr="3101FF1C">
        <w:rPr>
          <w:rFonts w:asciiTheme="majorBidi" w:hAnsiTheme="majorBidi" w:cstheme="majorBidi"/>
          <w:noProof/>
        </w:rPr>
        <w:t>: a European Commission study, to be published soon, identifying open source components most critical to EU public administrations and the risks linked to their widespread use. It highlights challenges around sustainability, governance and dependency concentration, assesses tools and practices to improve visibility and risk management, including SBOM-based approaches, and identifies candidates for EU-level bug bounty programmes.</w:t>
      </w:r>
    </w:p>
    <w:p w14:paraId="3193A8F7" w14:textId="12EBA29B" w:rsidR="00780AFF" w:rsidRPr="00A149D3" w:rsidRDefault="0043693E" w:rsidP="00A149D3">
      <w:pPr>
        <w:spacing w:line="240" w:lineRule="auto"/>
        <w:jc w:val="both"/>
        <w:rPr>
          <w:rFonts w:asciiTheme="majorBidi" w:hAnsiTheme="majorBidi"/>
          <w:noProof/>
        </w:rPr>
      </w:pPr>
      <w:r w:rsidRPr="3101FF1C">
        <w:rPr>
          <w:rFonts w:asciiTheme="majorBidi" w:hAnsiTheme="majorBidi" w:cstheme="majorBidi"/>
          <w:b/>
          <w:bCs/>
          <w:noProof/>
        </w:rPr>
        <w:t>Open-Source Ecosystem Enablement for public services innovation:</w:t>
      </w:r>
      <w:r w:rsidRPr="3101FF1C">
        <w:rPr>
          <w:rFonts w:asciiTheme="majorBidi" w:hAnsiTheme="majorBidi" w:cstheme="majorBidi"/>
          <w:noProof/>
        </w:rPr>
        <w:t xml:space="preserve"> an EU funded program under NDICI Global Europe (3 MEUR) is enhancing the capacity of local and regional public and private actors in 25 partner countries27 to adopt open-source solutions for delivering digital government services. It implements capacity strengthening, sets up Open-Source Program Offices in pilot countries (Kenya and Trinidad &amp;Tobago) and a new Global Open-Source for Public Services Knowledge Hub. </w:t>
      </w:r>
    </w:p>
    <w:sectPr w:rsidR="00780AFF" w:rsidRPr="00A149D3" w:rsidSect="004162F0">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9DA18D" w14:textId="77777777" w:rsidR="005921B2" w:rsidRDefault="005921B2" w:rsidP="00B105F2">
      <w:pPr>
        <w:spacing w:after="0" w:line="240" w:lineRule="auto"/>
      </w:pPr>
      <w:r>
        <w:separator/>
      </w:r>
    </w:p>
  </w:endnote>
  <w:endnote w:type="continuationSeparator" w:id="0">
    <w:p w14:paraId="13C25E8C" w14:textId="77777777" w:rsidR="005921B2" w:rsidRDefault="005921B2" w:rsidP="00B105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56B021" w14:textId="28720B53" w:rsidR="00FC6751" w:rsidRPr="00FC6751" w:rsidRDefault="00FC6751" w:rsidP="00FC6751">
    <w:pPr>
      <w:pStyle w:val="FooterCoverPage"/>
      <w:rPr>
        <w:rFonts w:ascii="Arial" w:hAnsi="Arial" w:cs="Arial"/>
        <w:b/>
        <w:sz w:val="48"/>
      </w:rPr>
    </w:pPr>
    <w:r w:rsidRPr="00FC6751">
      <w:rPr>
        <w:rFonts w:ascii="Arial" w:hAnsi="Arial" w:cs="Arial"/>
        <w:b/>
        <w:sz w:val="48"/>
      </w:rPr>
      <w:t>EN</w:t>
    </w:r>
    <w:r w:rsidRPr="00FC6751">
      <w:rPr>
        <w:rFonts w:ascii="Arial" w:hAnsi="Arial" w:cs="Arial"/>
        <w:b/>
        <w:sz w:val="48"/>
      </w:rPr>
      <w:tab/>
    </w:r>
    <w:r w:rsidRPr="00FC6751">
      <w:rPr>
        <w:rFonts w:ascii="Arial" w:hAnsi="Arial" w:cs="Arial"/>
        <w:b/>
        <w:sz w:val="48"/>
      </w:rPr>
      <w:tab/>
    </w:r>
    <w:r w:rsidRPr="00FC6751">
      <w:tab/>
    </w:r>
    <w:r w:rsidRPr="00FC6751">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787C2" w14:textId="60A65702" w:rsidR="00FC6751" w:rsidRPr="00FC6751" w:rsidRDefault="00FC6751" w:rsidP="00FC6751">
    <w:pPr>
      <w:pStyle w:val="FooterCoverPage"/>
      <w:rPr>
        <w:rFonts w:ascii="Arial" w:hAnsi="Arial" w:cs="Arial"/>
        <w:b/>
        <w:sz w:val="48"/>
      </w:rPr>
    </w:pPr>
    <w:r w:rsidRPr="00FC6751">
      <w:rPr>
        <w:rFonts w:ascii="Arial" w:hAnsi="Arial" w:cs="Arial"/>
        <w:b/>
        <w:sz w:val="48"/>
      </w:rPr>
      <w:t>EN</w:t>
    </w:r>
    <w:r w:rsidRPr="00FC6751">
      <w:rPr>
        <w:rFonts w:ascii="Arial" w:hAnsi="Arial" w:cs="Arial"/>
        <w:b/>
        <w:sz w:val="48"/>
      </w:rPr>
      <w:tab/>
    </w:r>
    <w:r w:rsidRPr="00FC6751">
      <w:rPr>
        <w:rFonts w:ascii="Arial" w:hAnsi="Arial" w:cs="Arial"/>
        <w:b/>
        <w:sz w:val="48"/>
      </w:rPr>
      <w:tab/>
    </w:r>
    <w:r w:rsidRPr="00FC6751">
      <w:tab/>
    </w:r>
    <w:r w:rsidRPr="00FC6751">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059C5" w14:textId="77777777" w:rsidR="00FC6751" w:rsidRPr="00FC6751" w:rsidRDefault="00FC6751" w:rsidP="00FC675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AC3EF" w14:textId="77777777" w:rsidR="004162F0" w:rsidRDefault="004162F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6263095"/>
      <w:docPartObj>
        <w:docPartGallery w:val="Page Numbers (Bottom of Page)"/>
        <w:docPartUnique/>
      </w:docPartObj>
    </w:sdtPr>
    <w:sdtEndPr/>
    <w:sdtContent>
      <w:p w14:paraId="665870A3" w14:textId="07563308" w:rsidR="004162F0" w:rsidRPr="00674961" w:rsidRDefault="004162F0">
        <w:pPr>
          <w:pStyle w:val="Footer"/>
          <w:jc w:val="center"/>
        </w:pPr>
        <w:r w:rsidRPr="00681DAE">
          <w:fldChar w:fldCharType="begin"/>
        </w:r>
        <w:r w:rsidRPr="00674961">
          <w:instrText xml:space="preserve"> PAGE   \* MERGEFORMAT </w:instrText>
        </w:r>
        <w:r w:rsidRPr="00681DAE">
          <w:fldChar w:fldCharType="separate"/>
        </w:r>
        <w:r w:rsidR="00FC6751">
          <w:rPr>
            <w:noProof/>
          </w:rPr>
          <w:t>1</w:t>
        </w:r>
        <w:r w:rsidRPr="00681DAE">
          <w:fldChar w:fldCharType="end"/>
        </w:r>
      </w:p>
    </w:sdtContent>
  </w:sdt>
  <w:p w14:paraId="69E5FD32" w14:textId="77777777" w:rsidR="004162F0" w:rsidRPr="00674961" w:rsidRDefault="004162F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E016B" w14:textId="77777777" w:rsidR="004162F0" w:rsidRDefault="004162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7FC0F3" w14:textId="77777777" w:rsidR="005921B2" w:rsidRDefault="005921B2" w:rsidP="00B105F2">
      <w:pPr>
        <w:spacing w:after="0" w:line="240" w:lineRule="auto"/>
      </w:pPr>
      <w:r>
        <w:separator/>
      </w:r>
    </w:p>
  </w:footnote>
  <w:footnote w:type="continuationSeparator" w:id="0">
    <w:p w14:paraId="7EBA5AED" w14:textId="77777777" w:rsidR="005921B2" w:rsidRDefault="005921B2" w:rsidP="00B105F2">
      <w:pPr>
        <w:spacing w:after="0" w:line="240" w:lineRule="auto"/>
      </w:pPr>
      <w:r>
        <w:continuationSeparator/>
      </w:r>
    </w:p>
  </w:footnote>
  <w:footnote w:id="1">
    <w:p w14:paraId="5E0FACCC" w14:textId="7B58A351" w:rsidR="00473A1A" w:rsidRPr="00A149D3" w:rsidRDefault="00473A1A" w:rsidP="00A149D3">
      <w:pPr>
        <w:pStyle w:val="FootnoteText"/>
        <w:ind w:left="0" w:firstLine="0"/>
        <w:rPr>
          <w:color w:val="000000" w:themeColor="text1"/>
        </w:rPr>
      </w:pPr>
      <w:r w:rsidRPr="00A149D3">
        <w:rPr>
          <w:rStyle w:val="FootnoteReference"/>
          <w:color w:val="000000" w:themeColor="text1"/>
        </w:rPr>
        <w:footnoteRef/>
      </w:r>
      <w:r w:rsidRPr="00752CFA">
        <w:rPr>
          <w:color w:val="000000" w:themeColor="text1"/>
        </w:rPr>
        <w:t xml:space="preserve"> </w:t>
      </w:r>
      <w:hyperlink r:id="rId1" w:history="1">
        <w:r w:rsidRPr="00752CFA">
          <w:rPr>
            <w:rStyle w:val="Hyperlink"/>
            <w:color w:val="000000" w:themeColor="text1"/>
          </w:rPr>
          <w:t>Next Generation Internet</w:t>
        </w:r>
      </w:hyperlink>
      <w:r w:rsidR="00752CFA" w:rsidRPr="00752CFA">
        <w:rPr>
          <w:color w:val="000000" w:themeColor="text1"/>
        </w:rPr>
        <w:t>.</w:t>
      </w:r>
    </w:p>
  </w:footnote>
  <w:footnote w:id="2">
    <w:p w14:paraId="1A64FB95" w14:textId="127E6738" w:rsidR="00473A1A" w:rsidRPr="00A149D3" w:rsidRDefault="00473A1A" w:rsidP="00A149D3">
      <w:pPr>
        <w:pStyle w:val="FootnoteText"/>
        <w:ind w:left="0" w:firstLine="0"/>
        <w:rPr>
          <w:color w:val="000000" w:themeColor="text1"/>
        </w:rPr>
      </w:pPr>
      <w:r w:rsidRPr="00A149D3">
        <w:rPr>
          <w:rStyle w:val="FootnoteReference"/>
          <w:color w:val="000000" w:themeColor="text1"/>
        </w:rPr>
        <w:footnoteRef/>
      </w:r>
      <w:r w:rsidRPr="00752CFA">
        <w:rPr>
          <w:color w:val="000000" w:themeColor="text1"/>
        </w:rPr>
        <w:t xml:space="preserve"> </w:t>
      </w:r>
      <w:hyperlink r:id="rId2" w:history="1">
        <w:r w:rsidRPr="00752CFA">
          <w:rPr>
            <w:rStyle w:val="Hyperlink"/>
            <w:color w:val="000000" w:themeColor="text1"/>
          </w:rPr>
          <w:t>Gartner Stud</w:t>
        </w:r>
        <w:r w:rsidR="00752CFA" w:rsidRPr="00752CFA">
          <w:rPr>
            <w:rStyle w:val="Hyperlink"/>
            <w:color w:val="000000" w:themeColor="text1"/>
          </w:rPr>
          <w:t>y.</w:t>
        </w:r>
      </w:hyperlink>
    </w:p>
  </w:footnote>
  <w:footnote w:id="3">
    <w:p w14:paraId="2F144511" w14:textId="77777777" w:rsidR="00473A1A" w:rsidRPr="00A149D3" w:rsidRDefault="00473A1A" w:rsidP="00A149D3">
      <w:pPr>
        <w:pStyle w:val="FootnoteText"/>
        <w:ind w:left="0" w:firstLine="0"/>
        <w:rPr>
          <w:color w:val="000000" w:themeColor="text1"/>
          <w:lang w:val="en-US"/>
        </w:rPr>
      </w:pPr>
      <w:r w:rsidRPr="00A149D3">
        <w:rPr>
          <w:rStyle w:val="FootnoteReference"/>
          <w:color w:val="000000" w:themeColor="text1"/>
        </w:rPr>
        <w:footnoteRef/>
      </w:r>
      <w:r w:rsidRPr="00A149D3">
        <w:rPr>
          <w:color w:val="000000" w:themeColor="text1"/>
        </w:rPr>
        <w:t xml:space="preserve"> </w:t>
      </w:r>
      <w:r w:rsidRPr="00752CFA">
        <w:rPr>
          <w:color w:val="000000" w:themeColor="text1"/>
        </w:rPr>
        <w:t>First released in December 2024, SIMPL is a part of the AI Continent Action plan and the Commission has committed to continue development.</w:t>
      </w:r>
    </w:p>
  </w:footnote>
  <w:footnote w:id="4">
    <w:p w14:paraId="37AA7105" w14:textId="164A8E83" w:rsidR="00473A1A" w:rsidRPr="00A149D3" w:rsidRDefault="00473A1A" w:rsidP="00A149D3">
      <w:pPr>
        <w:pStyle w:val="FootnoteText"/>
        <w:ind w:left="0" w:firstLine="0"/>
        <w:rPr>
          <w:color w:val="000000" w:themeColor="text1"/>
          <w:lang w:val="fr-BE"/>
        </w:rPr>
      </w:pPr>
      <w:r w:rsidRPr="00A149D3">
        <w:rPr>
          <w:rStyle w:val="FootnoteReference"/>
          <w:color w:val="000000" w:themeColor="text1"/>
        </w:rPr>
        <w:footnoteRef/>
      </w:r>
      <w:r w:rsidRPr="00752CFA">
        <w:rPr>
          <w:color w:val="000000" w:themeColor="text1"/>
          <w:lang w:val="fr-BE"/>
        </w:rPr>
        <w:t xml:space="preserve"> </w:t>
      </w:r>
      <w:hyperlink r:id="rId3" w:history="1">
        <w:r w:rsidRPr="00752CFA">
          <w:rPr>
            <w:rStyle w:val="Hyperlink"/>
            <w:color w:val="000000" w:themeColor="text1"/>
            <w:lang w:val="fr-BE"/>
          </w:rPr>
          <w:t>GenAI4EU</w:t>
        </w:r>
        <w:r w:rsidR="00752CFA" w:rsidRPr="00752CFA">
          <w:rPr>
            <w:rStyle w:val="Hyperlink"/>
            <w:color w:val="000000" w:themeColor="text1"/>
            <w:lang w:val="fr-BE"/>
          </w:rPr>
          <w:t>.</w:t>
        </w:r>
      </w:hyperlink>
    </w:p>
  </w:footnote>
  <w:footnote w:id="5">
    <w:p w14:paraId="20BEB079" w14:textId="4549EFC9" w:rsidR="00473A1A" w:rsidRDefault="00473A1A" w:rsidP="00A149D3">
      <w:pPr>
        <w:pStyle w:val="FootnoteText"/>
        <w:ind w:left="0" w:firstLine="0"/>
        <w:rPr>
          <w:lang w:val="fr-BE"/>
        </w:rPr>
      </w:pPr>
      <w:r w:rsidRPr="00A149D3">
        <w:rPr>
          <w:rStyle w:val="FootnoteReference"/>
          <w:color w:val="000000" w:themeColor="text1"/>
        </w:rPr>
        <w:footnoteRef/>
      </w:r>
      <w:r>
        <w:rPr>
          <w:color w:val="000000" w:themeColor="text1"/>
          <w:lang w:val="fr-BE"/>
        </w:rPr>
        <w:t xml:space="preserve"> </w:t>
      </w:r>
      <w:hyperlink r:id="rId4" w:history="1">
        <w:r>
          <w:rPr>
            <w:rStyle w:val="Hyperlink"/>
            <w:color w:val="000000" w:themeColor="text1"/>
            <w:lang w:val="fr-BE"/>
          </w:rPr>
          <w:t>OpenEuroLLM</w:t>
        </w:r>
      </w:hyperlink>
      <w:r w:rsidR="00752CFA">
        <w:rPr>
          <w:color w:val="000000" w:themeColor="text1"/>
          <w:lang w:val="fr-BE"/>
        </w:rPr>
        <w:t>.</w:t>
      </w:r>
    </w:p>
  </w:footnote>
  <w:footnote w:id="6">
    <w:p w14:paraId="4E84DBC3" w14:textId="4080D4B3" w:rsidR="00473A1A" w:rsidRDefault="00473A1A" w:rsidP="00473A1A">
      <w:pPr>
        <w:pStyle w:val="FootnoteText"/>
        <w:rPr>
          <w:color w:val="000000" w:themeColor="text1"/>
          <w:lang w:val="fr-BE"/>
        </w:rPr>
      </w:pPr>
      <w:r w:rsidRPr="00A149D3">
        <w:rPr>
          <w:rStyle w:val="FootnoteReference"/>
          <w:color w:val="000000" w:themeColor="text1"/>
        </w:rPr>
        <w:footnoteRef/>
      </w:r>
      <w:r>
        <w:rPr>
          <w:color w:val="000000" w:themeColor="text1"/>
          <w:lang w:val="fr-BE"/>
        </w:rPr>
        <w:t xml:space="preserve"> </w:t>
      </w:r>
      <w:hyperlink r:id="rId5" w:history="1">
        <w:r>
          <w:rPr>
            <w:rStyle w:val="Hyperlink"/>
            <w:color w:val="000000" w:themeColor="text1"/>
            <w:lang w:val="fr-BE"/>
          </w:rPr>
          <w:t>AI-on-Demand Platform</w:t>
        </w:r>
      </w:hyperlink>
      <w:r w:rsidR="00752CFA">
        <w:rPr>
          <w:color w:val="000000" w:themeColor="text1"/>
          <w:lang w:val="fr-BE"/>
        </w:rPr>
        <w:t>.</w:t>
      </w:r>
    </w:p>
  </w:footnote>
  <w:footnote w:id="7">
    <w:p w14:paraId="59EF9E75" w14:textId="296CB956" w:rsidR="00473A1A" w:rsidRDefault="00473A1A" w:rsidP="00473A1A">
      <w:pPr>
        <w:pStyle w:val="FootnoteText"/>
        <w:rPr>
          <w:color w:val="000000" w:themeColor="text1"/>
          <w:lang w:val="fr-BE"/>
        </w:rPr>
      </w:pPr>
      <w:r w:rsidRPr="00A149D3">
        <w:rPr>
          <w:rStyle w:val="FootnoteReference"/>
          <w:color w:val="000000" w:themeColor="text1"/>
        </w:rPr>
        <w:footnoteRef/>
      </w:r>
      <w:r>
        <w:rPr>
          <w:color w:val="000000" w:themeColor="text1"/>
          <w:lang w:val="fr-BE"/>
        </w:rPr>
        <w:t xml:space="preserve"> </w:t>
      </w:r>
      <w:hyperlink r:id="rId6" w:history="1">
        <w:r>
          <w:rPr>
            <w:rStyle w:val="Hyperlink"/>
            <w:color w:val="000000" w:themeColor="text1"/>
            <w:lang w:val="fr-BE"/>
          </w:rPr>
          <w:t>ELLIOT</w:t>
        </w:r>
      </w:hyperlink>
      <w:r w:rsidR="00752CFA">
        <w:rPr>
          <w:color w:val="000000" w:themeColor="text1"/>
          <w:lang w:val="fr-BE"/>
        </w:rPr>
        <w:t>.</w:t>
      </w:r>
    </w:p>
  </w:footnote>
  <w:footnote w:id="8">
    <w:p w14:paraId="589EC771" w14:textId="13760ED4" w:rsidR="00473A1A" w:rsidRPr="00A149D3" w:rsidRDefault="00473A1A" w:rsidP="00473A1A">
      <w:pPr>
        <w:pStyle w:val="FootnoteText"/>
        <w:rPr>
          <w:color w:val="000000" w:themeColor="text1"/>
          <w:lang w:val="en-US"/>
        </w:rPr>
      </w:pPr>
      <w:r w:rsidRPr="00A149D3">
        <w:rPr>
          <w:rStyle w:val="FootnoteReference"/>
          <w:color w:val="000000" w:themeColor="text1"/>
        </w:rPr>
        <w:footnoteRef/>
      </w:r>
      <w:r w:rsidRPr="00752CFA">
        <w:rPr>
          <w:color w:val="000000" w:themeColor="text1"/>
        </w:rPr>
        <w:t xml:space="preserve"> </w:t>
      </w:r>
      <w:hyperlink r:id="rId7" w:history="1">
        <w:r w:rsidRPr="00752CFA">
          <w:rPr>
            <w:rStyle w:val="Hyperlink"/>
            <w:color w:val="000000" w:themeColor="text1"/>
          </w:rPr>
          <w:t>European Open Science Cloud</w:t>
        </w:r>
      </w:hyperlink>
      <w:r w:rsidR="00752CFA" w:rsidRPr="00752CFA">
        <w:rPr>
          <w:color w:val="000000" w:themeColor="text1"/>
        </w:rPr>
        <w:t>.</w:t>
      </w:r>
    </w:p>
  </w:footnote>
  <w:footnote w:id="9">
    <w:p w14:paraId="6161D6BB" w14:textId="74F916A2" w:rsidR="00856AD3" w:rsidRPr="00A149D3" w:rsidRDefault="00856AD3">
      <w:pPr>
        <w:pStyle w:val="FootnoteText"/>
        <w:rPr>
          <w:color w:val="000000" w:themeColor="text1"/>
        </w:rPr>
      </w:pPr>
      <w:r w:rsidRPr="00A149D3">
        <w:rPr>
          <w:rStyle w:val="FootnoteReference"/>
          <w:color w:val="000000" w:themeColor="text1"/>
        </w:rPr>
        <w:footnoteRef/>
      </w:r>
      <w:r w:rsidR="3101FF1C" w:rsidRPr="00752CFA">
        <w:rPr>
          <w:color w:val="000000" w:themeColor="text1"/>
        </w:rPr>
        <w:t xml:space="preserve"> </w:t>
      </w:r>
      <w:hyperlink r:id="rId8" w:history="1">
        <w:r w:rsidR="3101FF1C" w:rsidRPr="00752CFA">
          <w:rPr>
            <w:rStyle w:val="Hyperlink"/>
            <w:color w:val="000000" w:themeColor="text1"/>
          </w:rPr>
          <w:t>HORIZON-CL6-2026-03-GOVERNANCE-06: EU Funding &amp; Tenders Portal</w:t>
        </w:r>
        <w:r w:rsidR="00752CFA" w:rsidRPr="00752CFA">
          <w:rPr>
            <w:rStyle w:val="Hyperlink"/>
            <w:color w:val="000000" w:themeColor="text1"/>
          </w:rPr>
          <w:t>.</w:t>
        </w:r>
      </w:hyperlink>
    </w:p>
  </w:footnote>
  <w:footnote w:id="10">
    <w:p w14:paraId="5E562B31" w14:textId="695D65CC" w:rsidR="00473A1A" w:rsidRPr="009C267C" w:rsidRDefault="00473A1A" w:rsidP="00473A1A">
      <w:pPr>
        <w:pStyle w:val="FootnoteText"/>
        <w:rPr>
          <w:lang w:val="en-US"/>
        </w:rPr>
      </w:pPr>
      <w:r w:rsidRPr="00A149D3">
        <w:rPr>
          <w:rStyle w:val="FootnoteReference"/>
          <w:color w:val="000000" w:themeColor="text1"/>
        </w:rPr>
        <w:footnoteRef/>
      </w:r>
      <w:r w:rsidRPr="00752CFA">
        <w:rPr>
          <w:color w:val="000000" w:themeColor="text1"/>
          <w:lang w:val="en-US"/>
        </w:rPr>
        <w:t xml:space="preserve"> </w:t>
      </w:r>
      <w:hyperlink r:id="rId9" w:history="1">
        <w:r w:rsidRPr="00752CFA">
          <w:rPr>
            <w:rStyle w:val="Hyperlink"/>
            <w:color w:val="000000" w:themeColor="text1"/>
            <w:lang w:val="en-US"/>
          </w:rPr>
          <w:t>Destination Earth</w:t>
        </w:r>
      </w:hyperlink>
      <w:r w:rsidR="00752CFA" w:rsidRPr="00752CFA">
        <w:rPr>
          <w:color w:val="000000" w:themeColor="text1"/>
          <w:lang w:val="en-US"/>
        </w:rPr>
        <w:t>.</w:t>
      </w:r>
    </w:p>
  </w:footnote>
  <w:footnote w:id="11">
    <w:p w14:paraId="2AC3DB48" w14:textId="3F172916" w:rsidR="00473A1A" w:rsidRPr="00A149D3" w:rsidRDefault="00473A1A" w:rsidP="00473A1A">
      <w:pPr>
        <w:pStyle w:val="FootnoteText"/>
        <w:rPr>
          <w:color w:val="000000" w:themeColor="text1"/>
          <w:lang w:val="en-IE"/>
        </w:rPr>
      </w:pPr>
      <w:r w:rsidRPr="00A149D3">
        <w:rPr>
          <w:rStyle w:val="FootnoteReference"/>
          <w:color w:val="000000" w:themeColor="text1"/>
        </w:rPr>
        <w:footnoteRef/>
      </w:r>
      <w:r w:rsidRPr="00752CFA">
        <w:rPr>
          <w:color w:val="000000" w:themeColor="text1"/>
          <w:lang w:val="en-IE"/>
        </w:rPr>
        <w:t xml:space="preserve"> </w:t>
      </w:r>
      <w:hyperlink r:id="rId10" w:history="1">
        <w:r w:rsidRPr="00752CFA">
          <w:rPr>
            <w:rStyle w:val="Hyperlink"/>
            <w:color w:val="000000" w:themeColor="text1"/>
            <w:lang w:val="en-IE"/>
          </w:rPr>
          <w:t>CERN</w:t>
        </w:r>
      </w:hyperlink>
      <w:r w:rsidR="00752CFA" w:rsidRPr="00752CFA">
        <w:rPr>
          <w:color w:val="000000" w:themeColor="text1"/>
          <w:lang w:val="en-IE"/>
        </w:rPr>
        <w:t>.</w:t>
      </w:r>
    </w:p>
  </w:footnote>
  <w:footnote w:id="12">
    <w:p w14:paraId="36C022E3" w14:textId="769012FF" w:rsidR="00473A1A" w:rsidRDefault="00473A1A" w:rsidP="00473A1A">
      <w:pPr>
        <w:pStyle w:val="FootnoteText"/>
        <w:rPr>
          <w:color w:val="000000" w:themeColor="text1"/>
          <w:lang w:val="en-IE"/>
        </w:rPr>
      </w:pPr>
      <w:r w:rsidRPr="00A149D3">
        <w:rPr>
          <w:rStyle w:val="FootnoteReference"/>
          <w:color w:val="000000" w:themeColor="text1"/>
        </w:rPr>
        <w:footnoteRef/>
      </w:r>
      <w:r>
        <w:rPr>
          <w:color w:val="000000" w:themeColor="text1"/>
          <w:lang w:val="en-IE"/>
        </w:rPr>
        <w:t xml:space="preserve"> </w:t>
      </w:r>
      <w:hyperlink r:id="rId11" w:history="1">
        <w:r>
          <w:rPr>
            <w:rStyle w:val="Hyperlink"/>
            <w:color w:val="000000" w:themeColor="text1"/>
            <w:lang w:val="en-IE"/>
          </w:rPr>
          <w:t>Diversibus Viis Plurima Solvo</w:t>
        </w:r>
      </w:hyperlink>
      <w:r w:rsidR="00752CFA">
        <w:rPr>
          <w:color w:val="000000" w:themeColor="text1"/>
          <w:lang w:val="en-IE"/>
        </w:rPr>
        <w:t>.</w:t>
      </w:r>
      <w:r>
        <w:rPr>
          <w:color w:val="000000" w:themeColor="text1"/>
          <w:lang w:val="en-IE"/>
        </w:rPr>
        <w:t xml:space="preserve"> </w:t>
      </w:r>
    </w:p>
  </w:footnote>
  <w:footnote w:id="13">
    <w:p w14:paraId="04072E1E" w14:textId="1035B0F5" w:rsidR="00473A1A" w:rsidRPr="00A149D3" w:rsidRDefault="00473A1A" w:rsidP="00473A1A">
      <w:pPr>
        <w:pStyle w:val="FootnoteText"/>
        <w:rPr>
          <w:color w:val="000000" w:themeColor="text1"/>
          <w:lang w:val="en-IE"/>
        </w:rPr>
      </w:pPr>
      <w:r w:rsidRPr="00A149D3">
        <w:rPr>
          <w:rStyle w:val="FootnoteReference"/>
          <w:color w:val="000000" w:themeColor="text1"/>
        </w:rPr>
        <w:footnoteRef/>
      </w:r>
      <w:r w:rsidRPr="00752CFA">
        <w:rPr>
          <w:color w:val="000000" w:themeColor="text1"/>
          <w:lang w:val="en-IE"/>
        </w:rPr>
        <w:t xml:space="preserve"> </w:t>
      </w:r>
      <w:hyperlink r:id="rId12" w:history="1">
        <w:r w:rsidRPr="00752CFA">
          <w:rPr>
            <w:rStyle w:val="Hyperlink"/>
            <w:color w:val="000000" w:themeColor="text1"/>
            <w:lang w:val="en-IE"/>
          </w:rPr>
          <w:t>Cyberstand.eu</w:t>
        </w:r>
      </w:hyperlink>
      <w:r w:rsidR="00752CFA" w:rsidRPr="00752CFA">
        <w:rPr>
          <w:color w:val="000000" w:themeColor="text1"/>
          <w:lang w:val="en-IE"/>
        </w:rPr>
        <w:t>.</w:t>
      </w:r>
    </w:p>
  </w:footnote>
  <w:footnote w:id="14">
    <w:p w14:paraId="2280EB99" w14:textId="76D26544" w:rsidR="00473A1A" w:rsidRPr="00C7130F" w:rsidRDefault="00473A1A" w:rsidP="00473A1A">
      <w:pPr>
        <w:pStyle w:val="FootnoteText"/>
        <w:rPr>
          <w:lang w:val="en-US"/>
        </w:rPr>
      </w:pPr>
      <w:r w:rsidRPr="00A149D3">
        <w:rPr>
          <w:rStyle w:val="FootnoteReference"/>
          <w:color w:val="000000" w:themeColor="text1"/>
        </w:rPr>
        <w:footnoteRef/>
      </w:r>
      <w:r w:rsidRPr="00752CFA">
        <w:rPr>
          <w:color w:val="000000" w:themeColor="text1"/>
          <w:lang w:val="en-US"/>
        </w:rPr>
        <w:t xml:space="preserve"> </w:t>
      </w:r>
      <w:hyperlink r:id="rId13" w:history="1">
        <w:r w:rsidRPr="00752CFA">
          <w:rPr>
            <w:rStyle w:val="Hyperlink"/>
            <w:color w:val="000000" w:themeColor="text1"/>
            <w:lang w:val="en-US"/>
          </w:rPr>
          <w:t>Chips Joint Undertaking</w:t>
        </w:r>
      </w:hyperlink>
      <w:r w:rsidR="00752CFA" w:rsidRPr="00752CFA">
        <w:rPr>
          <w:color w:val="000000" w:themeColor="text1"/>
          <w:lang w:val="en-US"/>
        </w:rPr>
        <w:t>.</w:t>
      </w:r>
    </w:p>
  </w:footnote>
  <w:footnote w:id="15">
    <w:p w14:paraId="46DB16FC" w14:textId="314CF4F2" w:rsidR="00473A1A" w:rsidRPr="00A149D3" w:rsidRDefault="00473A1A" w:rsidP="00473A1A">
      <w:pPr>
        <w:pStyle w:val="FootnoteText"/>
        <w:rPr>
          <w:color w:val="000000" w:themeColor="text1"/>
          <w:lang w:val="en-US"/>
        </w:rPr>
      </w:pPr>
      <w:r w:rsidRPr="00A149D3">
        <w:rPr>
          <w:rStyle w:val="FootnoteReference"/>
          <w:color w:val="000000" w:themeColor="text1"/>
        </w:rPr>
        <w:footnoteRef/>
      </w:r>
      <w:r w:rsidRPr="00406C2C">
        <w:rPr>
          <w:color w:val="000000" w:themeColor="text1"/>
          <w:lang w:val="en-US"/>
        </w:rPr>
        <w:t xml:space="preserve"> </w:t>
      </w:r>
      <w:hyperlink r:id="rId14" w:history="1">
        <w:r w:rsidRPr="00406C2C">
          <w:rPr>
            <w:rStyle w:val="Hyperlink"/>
            <w:color w:val="000000" w:themeColor="text1"/>
            <w:lang w:val="en-US"/>
          </w:rPr>
          <w:t>Internet of Things-Edge Computing</w:t>
        </w:r>
      </w:hyperlink>
      <w:r w:rsidR="00406C2C" w:rsidRPr="00406C2C">
        <w:rPr>
          <w:color w:val="000000" w:themeColor="text1"/>
          <w:lang w:val="en-US"/>
        </w:rPr>
        <w:t>.</w:t>
      </w:r>
    </w:p>
  </w:footnote>
  <w:footnote w:id="16">
    <w:p w14:paraId="5E0DA98C" w14:textId="54FC1C05" w:rsidR="00473A1A" w:rsidRPr="00A149D3" w:rsidRDefault="00473A1A" w:rsidP="00473A1A">
      <w:pPr>
        <w:pStyle w:val="FootnoteText"/>
        <w:rPr>
          <w:color w:val="000000" w:themeColor="text1"/>
          <w:lang w:val="en-US"/>
        </w:rPr>
      </w:pPr>
      <w:r w:rsidRPr="00A149D3">
        <w:rPr>
          <w:rStyle w:val="FootnoteReference"/>
          <w:color w:val="000000" w:themeColor="text1"/>
        </w:rPr>
        <w:footnoteRef/>
      </w:r>
      <w:r w:rsidRPr="00406C2C">
        <w:rPr>
          <w:color w:val="000000" w:themeColor="text1"/>
        </w:rPr>
        <w:t xml:space="preserve"> </w:t>
      </w:r>
      <w:hyperlink r:id="rId15" w:history="1">
        <w:r w:rsidRPr="00406C2C">
          <w:rPr>
            <w:rStyle w:val="Hyperlink"/>
            <w:color w:val="000000" w:themeColor="text1"/>
          </w:rPr>
          <w:t>Software-Defined Vehicles</w:t>
        </w:r>
        <w:r w:rsidR="00406C2C" w:rsidRPr="00406C2C">
          <w:rPr>
            <w:rStyle w:val="Hyperlink"/>
            <w:color w:val="000000" w:themeColor="text1"/>
          </w:rPr>
          <w:t>.</w:t>
        </w:r>
      </w:hyperlink>
    </w:p>
  </w:footnote>
  <w:footnote w:id="17">
    <w:p w14:paraId="4D2E3E32" w14:textId="35DA2821" w:rsidR="00473A1A" w:rsidRPr="00A149D3" w:rsidRDefault="00473A1A" w:rsidP="00473A1A">
      <w:pPr>
        <w:pStyle w:val="FootnoteText"/>
        <w:rPr>
          <w:color w:val="000000" w:themeColor="text1"/>
          <w:lang w:val="en-US"/>
        </w:rPr>
      </w:pPr>
      <w:r w:rsidRPr="00A149D3">
        <w:rPr>
          <w:rStyle w:val="FootnoteReference"/>
          <w:color w:val="000000" w:themeColor="text1"/>
        </w:rPr>
        <w:footnoteRef/>
      </w:r>
      <w:r w:rsidRPr="00406C2C">
        <w:rPr>
          <w:color w:val="000000" w:themeColor="text1"/>
        </w:rPr>
        <w:t xml:space="preserve"> </w:t>
      </w:r>
      <w:hyperlink r:id="rId16" w:history="1">
        <w:r w:rsidRPr="00406C2C">
          <w:rPr>
            <w:rStyle w:val="Hyperlink"/>
            <w:color w:val="000000" w:themeColor="text1"/>
            <w:lang w:val="en-US"/>
          </w:rPr>
          <w:t>AI for public good</w:t>
        </w:r>
      </w:hyperlink>
      <w:r w:rsidR="00406C2C" w:rsidRPr="00406C2C">
        <w:rPr>
          <w:color w:val="000000" w:themeColor="text1"/>
          <w:lang w:val="en-US"/>
        </w:rPr>
        <w:t>.</w:t>
      </w:r>
    </w:p>
  </w:footnote>
  <w:footnote w:id="18">
    <w:p w14:paraId="0214D1F2" w14:textId="454335EE" w:rsidR="00473A1A" w:rsidRPr="00A149D3" w:rsidRDefault="00473A1A" w:rsidP="00473A1A">
      <w:pPr>
        <w:pStyle w:val="FootnoteText"/>
        <w:rPr>
          <w:color w:val="000000" w:themeColor="text1"/>
          <w:lang w:val="en-US"/>
        </w:rPr>
      </w:pPr>
      <w:r w:rsidRPr="00A149D3">
        <w:rPr>
          <w:rStyle w:val="FootnoteReference"/>
          <w:color w:val="000000" w:themeColor="text1"/>
        </w:rPr>
        <w:footnoteRef/>
      </w:r>
      <w:r w:rsidRPr="00406C2C">
        <w:rPr>
          <w:color w:val="000000" w:themeColor="text1"/>
        </w:rPr>
        <w:t xml:space="preserve"> </w:t>
      </w:r>
      <w:hyperlink r:id="rId17" w:history="1">
        <w:r w:rsidRPr="00406C2C">
          <w:rPr>
            <w:rStyle w:val="Hyperlink"/>
            <w:color w:val="000000" w:themeColor="text1"/>
            <w:lang w:val="en-US"/>
          </w:rPr>
          <w:t>GenAI for Africa</w:t>
        </w:r>
        <w:r w:rsidR="00406C2C" w:rsidRPr="00406C2C">
          <w:rPr>
            <w:rStyle w:val="Hyperlink"/>
            <w:color w:val="000000" w:themeColor="text1"/>
            <w:lang w:val="en-US"/>
          </w:rPr>
          <w:t>.</w:t>
        </w:r>
      </w:hyperlink>
    </w:p>
  </w:footnote>
  <w:footnote w:id="19">
    <w:p w14:paraId="73C6D2DB" w14:textId="1F62EEA9" w:rsidR="00473A1A" w:rsidRPr="00A149D3" w:rsidRDefault="00473A1A" w:rsidP="00473A1A">
      <w:pPr>
        <w:pStyle w:val="FootnoteText"/>
        <w:rPr>
          <w:color w:val="000000" w:themeColor="text1"/>
          <w:lang w:val="en-US"/>
        </w:rPr>
      </w:pPr>
      <w:r w:rsidRPr="00A149D3">
        <w:rPr>
          <w:rStyle w:val="FootnoteReference"/>
          <w:color w:val="000000" w:themeColor="text1"/>
        </w:rPr>
        <w:footnoteRef/>
      </w:r>
      <w:r w:rsidRPr="00406C2C">
        <w:rPr>
          <w:color w:val="000000" w:themeColor="text1"/>
        </w:rPr>
        <w:t xml:space="preserve"> </w:t>
      </w:r>
      <w:hyperlink r:id="rId18" w:history="1">
        <w:r w:rsidRPr="00406C2C">
          <w:rPr>
            <w:rStyle w:val="Hyperlink"/>
            <w:color w:val="000000" w:themeColor="text1"/>
          </w:rPr>
          <w:t>Networked Local Digital Twins towards CitiVERSE European Digital Infrastructure Consortium</w:t>
        </w:r>
        <w:r w:rsidR="00406C2C" w:rsidRPr="00406C2C">
          <w:rPr>
            <w:rStyle w:val="Hyperlink"/>
            <w:color w:val="000000" w:themeColor="text1"/>
          </w:rPr>
          <w:t>.</w:t>
        </w:r>
      </w:hyperlink>
    </w:p>
  </w:footnote>
  <w:footnote w:id="20">
    <w:p w14:paraId="2D940044" w14:textId="5DF1C0EC" w:rsidR="00473A1A" w:rsidRPr="00A149D3" w:rsidRDefault="00473A1A" w:rsidP="00473A1A">
      <w:pPr>
        <w:pStyle w:val="FootnoteText"/>
        <w:rPr>
          <w:color w:val="000000" w:themeColor="text1"/>
          <w:lang w:val="en-US"/>
        </w:rPr>
      </w:pPr>
      <w:r w:rsidRPr="00A149D3">
        <w:rPr>
          <w:rStyle w:val="FootnoteReference"/>
          <w:color w:val="000000" w:themeColor="text1"/>
        </w:rPr>
        <w:footnoteRef/>
      </w:r>
      <w:r w:rsidRPr="00406C2C">
        <w:rPr>
          <w:color w:val="000000" w:themeColor="text1"/>
        </w:rPr>
        <w:t xml:space="preserve"> </w:t>
      </w:r>
      <w:hyperlink r:id="rId19" w:history="1">
        <w:r w:rsidRPr="00406C2C">
          <w:rPr>
            <w:rStyle w:val="Hyperlink"/>
            <w:color w:val="000000" w:themeColor="text1"/>
            <w:lang w:val="en-US"/>
          </w:rPr>
          <w:t>European Digital Identity Regulation</w:t>
        </w:r>
      </w:hyperlink>
      <w:r w:rsidR="00406C2C" w:rsidRPr="00406C2C">
        <w:rPr>
          <w:color w:val="000000" w:themeColor="text1"/>
          <w:lang w:val="en-US"/>
        </w:rPr>
        <w:t>.</w:t>
      </w:r>
    </w:p>
  </w:footnote>
  <w:footnote w:id="21">
    <w:p w14:paraId="21DB000E" w14:textId="247FB020" w:rsidR="00473A1A" w:rsidRPr="002263EE" w:rsidRDefault="00473A1A" w:rsidP="00473A1A">
      <w:pPr>
        <w:pStyle w:val="FootnoteText"/>
        <w:rPr>
          <w:lang w:val="en-US"/>
        </w:rPr>
      </w:pPr>
      <w:r w:rsidRPr="00A149D3">
        <w:rPr>
          <w:rStyle w:val="FootnoteReference"/>
          <w:color w:val="000000" w:themeColor="text1"/>
        </w:rPr>
        <w:footnoteRef/>
      </w:r>
      <w:r w:rsidRPr="00406C2C">
        <w:rPr>
          <w:color w:val="000000" w:themeColor="text1"/>
        </w:rPr>
        <w:t xml:space="preserve"> </w:t>
      </w:r>
      <w:hyperlink r:id="rId20" w:history="1">
        <w:r w:rsidRPr="00406C2C">
          <w:rPr>
            <w:rStyle w:val="Hyperlink"/>
            <w:color w:val="000000" w:themeColor="text1"/>
            <w:lang w:val="en-US"/>
          </w:rPr>
          <w:t>European Business Wallet</w:t>
        </w:r>
        <w:r w:rsidR="00406C2C" w:rsidRPr="00406C2C">
          <w:rPr>
            <w:rStyle w:val="Hyperlink"/>
            <w:color w:val="000000" w:themeColor="text1"/>
            <w:lang w:val="en-US"/>
          </w:rPr>
          <w:t>.</w:t>
        </w:r>
      </w:hyperlink>
    </w:p>
  </w:footnote>
  <w:footnote w:id="22">
    <w:p w14:paraId="699DDA45" w14:textId="472F01D7" w:rsidR="00473A1A" w:rsidRPr="004D736A" w:rsidRDefault="00473A1A" w:rsidP="00A149D3">
      <w:pPr>
        <w:pStyle w:val="FootnoteText"/>
        <w:ind w:left="0" w:firstLine="0"/>
        <w:jc w:val="left"/>
        <w:rPr>
          <w:lang w:val="en-US"/>
        </w:rPr>
      </w:pPr>
      <w:r w:rsidRPr="00A149D3">
        <w:rPr>
          <w:rStyle w:val="FootnoteReference"/>
          <w:color w:val="000000" w:themeColor="text1"/>
        </w:rPr>
        <w:footnoteRef/>
      </w:r>
      <w:r w:rsidRPr="00406C2C">
        <w:rPr>
          <w:color w:val="000000" w:themeColor="text1"/>
        </w:rPr>
        <w:t xml:space="preserve"> </w:t>
      </w:r>
      <w:hyperlink r:id="rId21" w:history="1">
        <w:r w:rsidR="00406C2C" w:rsidRPr="00406C2C">
          <w:rPr>
            <w:rStyle w:val="Hyperlink"/>
            <w:color w:val="000000" w:themeColor="text1"/>
          </w:rPr>
          <w:t>The Age Verifiation Manual.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680C5B" w14:textId="77777777" w:rsidR="00FC6751" w:rsidRPr="00FC6751" w:rsidRDefault="00FC6751" w:rsidP="00FC675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AA64EB" w14:textId="77777777" w:rsidR="00FC6751" w:rsidRPr="00FC6751" w:rsidRDefault="00FC6751" w:rsidP="00FC675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50837F" w14:textId="77777777" w:rsidR="00FC6751" w:rsidRPr="00FC6751" w:rsidRDefault="00FC6751" w:rsidP="00FC675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46AD7A" w14:textId="77777777" w:rsidR="004162F0" w:rsidRDefault="004162F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626670" w14:textId="77777777" w:rsidR="004162F0" w:rsidRDefault="004162F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B78DB" w14:textId="77777777" w:rsidR="004162F0" w:rsidRDefault="004162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A0F7F"/>
    <w:multiLevelType w:val="multilevel"/>
    <w:tmpl w:val="6D4A2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DF1075"/>
    <w:multiLevelType w:val="hybridMultilevel"/>
    <w:tmpl w:val="6F349482"/>
    <w:lvl w:ilvl="0" w:tplc="EBEA2694">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1E7225D"/>
    <w:multiLevelType w:val="multilevel"/>
    <w:tmpl w:val="2696C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0EB93A"/>
    <w:multiLevelType w:val="hybridMultilevel"/>
    <w:tmpl w:val="FFFFFFFF"/>
    <w:lvl w:ilvl="0" w:tplc="4C92062A">
      <w:start w:val="1"/>
      <w:numFmt w:val="bullet"/>
      <w:lvlText w:val=""/>
      <w:lvlJc w:val="left"/>
      <w:pPr>
        <w:ind w:left="720" w:hanging="360"/>
      </w:pPr>
      <w:rPr>
        <w:rFonts w:ascii="Symbol" w:hAnsi="Symbol" w:hint="default"/>
      </w:rPr>
    </w:lvl>
    <w:lvl w:ilvl="1" w:tplc="E6062F10">
      <w:start w:val="1"/>
      <w:numFmt w:val="bullet"/>
      <w:lvlText w:val="o"/>
      <w:lvlJc w:val="left"/>
      <w:pPr>
        <w:ind w:left="1440" w:hanging="360"/>
      </w:pPr>
      <w:rPr>
        <w:rFonts w:ascii="Courier New" w:hAnsi="Courier New" w:hint="default"/>
      </w:rPr>
    </w:lvl>
    <w:lvl w:ilvl="2" w:tplc="F8AEC344">
      <w:start w:val="1"/>
      <w:numFmt w:val="bullet"/>
      <w:lvlText w:val=""/>
      <w:lvlJc w:val="left"/>
      <w:pPr>
        <w:ind w:left="2160" w:hanging="360"/>
      </w:pPr>
      <w:rPr>
        <w:rFonts w:ascii="Wingdings" w:hAnsi="Wingdings" w:hint="default"/>
      </w:rPr>
    </w:lvl>
    <w:lvl w:ilvl="3" w:tplc="8F3C908E">
      <w:start w:val="1"/>
      <w:numFmt w:val="bullet"/>
      <w:lvlText w:val=""/>
      <w:lvlJc w:val="left"/>
      <w:pPr>
        <w:ind w:left="2880" w:hanging="360"/>
      </w:pPr>
      <w:rPr>
        <w:rFonts w:ascii="Symbol" w:hAnsi="Symbol" w:hint="default"/>
      </w:rPr>
    </w:lvl>
    <w:lvl w:ilvl="4" w:tplc="28BC2A00">
      <w:start w:val="1"/>
      <w:numFmt w:val="bullet"/>
      <w:lvlText w:val="o"/>
      <w:lvlJc w:val="left"/>
      <w:pPr>
        <w:ind w:left="3600" w:hanging="360"/>
      </w:pPr>
      <w:rPr>
        <w:rFonts w:ascii="Courier New" w:hAnsi="Courier New" w:hint="default"/>
      </w:rPr>
    </w:lvl>
    <w:lvl w:ilvl="5" w:tplc="861C7D70">
      <w:start w:val="1"/>
      <w:numFmt w:val="bullet"/>
      <w:lvlText w:val=""/>
      <w:lvlJc w:val="left"/>
      <w:pPr>
        <w:ind w:left="4320" w:hanging="360"/>
      </w:pPr>
      <w:rPr>
        <w:rFonts w:ascii="Wingdings" w:hAnsi="Wingdings" w:hint="default"/>
      </w:rPr>
    </w:lvl>
    <w:lvl w:ilvl="6" w:tplc="BAD4E1A0">
      <w:start w:val="1"/>
      <w:numFmt w:val="bullet"/>
      <w:lvlText w:val=""/>
      <w:lvlJc w:val="left"/>
      <w:pPr>
        <w:ind w:left="5040" w:hanging="360"/>
      </w:pPr>
      <w:rPr>
        <w:rFonts w:ascii="Symbol" w:hAnsi="Symbol" w:hint="default"/>
      </w:rPr>
    </w:lvl>
    <w:lvl w:ilvl="7" w:tplc="555E7E16">
      <w:start w:val="1"/>
      <w:numFmt w:val="bullet"/>
      <w:lvlText w:val="o"/>
      <w:lvlJc w:val="left"/>
      <w:pPr>
        <w:ind w:left="5760" w:hanging="360"/>
      </w:pPr>
      <w:rPr>
        <w:rFonts w:ascii="Courier New" w:hAnsi="Courier New" w:hint="default"/>
      </w:rPr>
    </w:lvl>
    <w:lvl w:ilvl="8" w:tplc="AA10AD58">
      <w:start w:val="1"/>
      <w:numFmt w:val="bullet"/>
      <w:lvlText w:val=""/>
      <w:lvlJc w:val="left"/>
      <w:pPr>
        <w:ind w:left="6480" w:hanging="360"/>
      </w:pPr>
      <w:rPr>
        <w:rFonts w:ascii="Wingdings" w:hAnsi="Wingdings" w:hint="default"/>
      </w:rPr>
    </w:lvl>
  </w:abstractNum>
  <w:abstractNum w:abstractNumId="4" w15:restartNumberingAfterBreak="0">
    <w:nsid w:val="09FF37E0"/>
    <w:multiLevelType w:val="multilevel"/>
    <w:tmpl w:val="90C2E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480B56"/>
    <w:multiLevelType w:val="multilevel"/>
    <w:tmpl w:val="16DC3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2130A5"/>
    <w:multiLevelType w:val="multilevel"/>
    <w:tmpl w:val="E0444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54538B9"/>
    <w:multiLevelType w:val="hybridMultilevel"/>
    <w:tmpl w:val="491881F0"/>
    <w:lvl w:ilvl="0" w:tplc="18090001">
      <w:start w:val="1"/>
      <w:numFmt w:val="bullet"/>
      <w:lvlText w:val=""/>
      <w:lvlJc w:val="left"/>
      <w:pPr>
        <w:ind w:left="1080" w:hanging="72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B856579"/>
    <w:multiLevelType w:val="multilevel"/>
    <w:tmpl w:val="2EC6D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38F2F05"/>
    <w:multiLevelType w:val="multilevel"/>
    <w:tmpl w:val="36420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6D84332"/>
    <w:multiLevelType w:val="multilevel"/>
    <w:tmpl w:val="39DAC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B7A66BB"/>
    <w:multiLevelType w:val="multilevel"/>
    <w:tmpl w:val="B3F0A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05062A0"/>
    <w:multiLevelType w:val="multilevel"/>
    <w:tmpl w:val="A0C8A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1455339"/>
    <w:multiLevelType w:val="multilevel"/>
    <w:tmpl w:val="0AEC6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D2F0580"/>
    <w:multiLevelType w:val="multilevel"/>
    <w:tmpl w:val="532EA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2"/>
  </w:num>
  <w:num w:numId="2">
    <w:abstractNumId w:val="14"/>
  </w:num>
  <w:num w:numId="3">
    <w:abstractNumId w:val="5"/>
  </w:num>
  <w:num w:numId="4">
    <w:abstractNumId w:val="8"/>
  </w:num>
  <w:num w:numId="5">
    <w:abstractNumId w:val="11"/>
  </w:num>
  <w:num w:numId="6">
    <w:abstractNumId w:val="6"/>
  </w:num>
  <w:num w:numId="7">
    <w:abstractNumId w:val="9"/>
  </w:num>
  <w:num w:numId="8">
    <w:abstractNumId w:val="0"/>
  </w:num>
  <w:num w:numId="9">
    <w:abstractNumId w:val="10"/>
  </w:num>
  <w:num w:numId="10">
    <w:abstractNumId w:val="4"/>
  </w:num>
  <w:num w:numId="11">
    <w:abstractNumId w:val="2"/>
  </w:num>
  <w:num w:numId="12">
    <w:abstractNumId w:val="13"/>
  </w:num>
  <w:num w:numId="13">
    <w:abstractNumId w:val="3"/>
  </w:num>
  <w:num w:numId="14">
    <w:abstractNumId w:val="7"/>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to the "/>
    <w:docVar w:name="LW_ANNEX_NBR_FIRST" w:val="1"/>
    <w:docVar w:name="LW_ANNEX_NBR_LAST" w:val="2"/>
    <w:docVar w:name="LW_ANNEX_UNIQUE" w:val="0"/>
    <w:docVar w:name="LW_CORRIGENDUM" w:val="&lt;UNUSED&gt;"/>
    <w:docVar w:name="LW_COVERPAGE_EXISTS" w:val="True"/>
    <w:docVar w:name="LW_COVERPAGE_GUID" w:val="B5561DF6-7BC3-4716-9F07-9631F428F5B0"/>
    <w:docVar w:name="LW_COVERPAGE_TYPE" w:val="1"/>
    <w:docVar w:name="LW_CROSSREFERENCE" w:val="&lt;UNUSED&gt;"/>
    <w:docVar w:name="LW_DocType" w:val="NORMAL"/>
    <w:docVar w:name="LW_EMISSION" w:val="3.6.2026"/>
    <w:docVar w:name="LW_EMISSION_ISODATE" w:val="2026-06-03"/>
    <w:docVar w:name="LW_EMISSION_LOCATION" w:val="BRX"/>
    <w:docVar w:name="LW_EMISSION_PREFIX" w:val="Brussels, "/>
    <w:docVar w:name="LW_EMISSION_SUFFIX" w:val=" "/>
    <w:docVar w:name="LW_ID_DOCTYPE_NONLW" w:val="CP-039"/>
    <w:docVar w:name="LW_LANGUE" w:val="EN"/>
    <w:docVar w:name="LW_LEVEL_OF_SENSITIVITY" w:val="Standard treatment"/>
    <w:docVar w:name="LW_NOM.INST" w:val="EUROPEAN COMMISSION"/>
    <w:docVar w:name="LW_NOM.INST_JOINTDOC" w:val="&lt;EMPTY&gt;"/>
    <w:docVar w:name="LW_OBJETACTEPRINCIPAL.CP" w:val="on European Tech Sovereignty, accompanied by an EU Open Source Strategy"/>
    <w:docVar w:name="LW_PART_NBR" w:val="&lt;UNUSED&gt;"/>
    <w:docVar w:name="LW_PART_NBR_TOTAL" w:val="&lt;UNUSED&gt;"/>
    <w:docVar w:name="LW_REF.INST.NEW" w:val="COM"/>
    <w:docVar w:name="LW_REF.INST.NEW_ADOPTED" w:val="final"/>
    <w:docVar w:name="LW_REF.INST.NEW_TEXT" w:val="(2026) 50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S_x000b_"/>
    <w:docVar w:name="LW_TYPEACTEPRINCIPAL.CP" w:val="COMMUNICATION FROM THE COMMISSION TO THE EUROPEAN PARLIAMENT, THE COUNCIL, THE EUROPEAN ECONOMIC AND SOCIAL COMMITTEE AND THE COMMITTEE OF THE REGIONS_x000b_"/>
    <w:docVar w:name="LwApiVersions" w:val="LW4CoDe 1.24.5.0; LW 9.2, Build 20251112"/>
  </w:docVars>
  <w:rsids>
    <w:rsidRoot w:val="00C52924"/>
    <w:rsid w:val="0001043E"/>
    <w:rsid w:val="00026D49"/>
    <w:rsid w:val="00042903"/>
    <w:rsid w:val="00045A44"/>
    <w:rsid w:val="00057AEB"/>
    <w:rsid w:val="000746B9"/>
    <w:rsid w:val="000765CA"/>
    <w:rsid w:val="00076DED"/>
    <w:rsid w:val="000837FE"/>
    <w:rsid w:val="00085A0A"/>
    <w:rsid w:val="00094A7D"/>
    <w:rsid w:val="000A0D71"/>
    <w:rsid w:val="000A3554"/>
    <w:rsid w:val="000B46F3"/>
    <w:rsid w:val="000C002C"/>
    <w:rsid w:val="000C64D8"/>
    <w:rsid w:val="000E0347"/>
    <w:rsid w:val="000E4B77"/>
    <w:rsid w:val="000F2A82"/>
    <w:rsid w:val="000F491D"/>
    <w:rsid w:val="001008D1"/>
    <w:rsid w:val="00105075"/>
    <w:rsid w:val="0011391F"/>
    <w:rsid w:val="00121C16"/>
    <w:rsid w:val="00122BA4"/>
    <w:rsid w:val="001378F9"/>
    <w:rsid w:val="00143767"/>
    <w:rsid w:val="0015528A"/>
    <w:rsid w:val="001559E4"/>
    <w:rsid w:val="00163ACD"/>
    <w:rsid w:val="00172A56"/>
    <w:rsid w:val="001B0948"/>
    <w:rsid w:val="001B0B96"/>
    <w:rsid w:val="001B79D9"/>
    <w:rsid w:val="001D670C"/>
    <w:rsid w:val="001F25AF"/>
    <w:rsid w:val="001F5582"/>
    <w:rsid w:val="00200744"/>
    <w:rsid w:val="0020083F"/>
    <w:rsid w:val="00245FE1"/>
    <w:rsid w:val="00262CE6"/>
    <w:rsid w:val="00265346"/>
    <w:rsid w:val="0027282F"/>
    <w:rsid w:val="00290FA7"/>
    <w:rsid w:val="00295622"/>
    <w:rsid w:val="002A17C5"/>
    <w:rsid w:val="002C7459"/>
    <w:rsid w:val="002E2E7F"/>
    <w:rsid w:val="002E4F84"/>
    <w:rsid w:val="002F4083"/>
    <w:rsid w:val="00307049"/>
    <w:rsid w:val="00307FCD"/>
    <w:rsid w:val="00317586"/>
    <w:rsid w:val="00335EC1"/>
    <w:rsid w:val="0034078A"/>
    <w:rsid w:val="0035254D"/>
    <w:rsid w:val="003541AD"/>
    <w:rsid w:val="003560B9"/>
    <w:rsid w:val="003608AA"/>
    <w:rsid w:val="00364A77"/>
    <w:rsid w:val="003A34EE"/>
    <w:rsid w:val="003A3603"/>
    <w:rsid w:val="003D0BC4"/>
    <w:rsid w:val="003D2A1B"/>
    <w:rsid w:val="003D348C"/>
    <w:rsid w:val="003D54F5"/>
    <w:rsid w:val="003D5EEB"/>
    <w:rsid w:val="00402AD5"/>
    <w:rsid w:val="00403FD8"/>
    <w:rsid w:val="00406C2C"/>
    <w:rsid w:val="004162F0"/>
    <w:rsid w:val="0042091A"/>
    <w:rsid w:val="00431168"/>
    <w:rsid w:val="004348B4"/>
    <w:rsid w:val="0043693E"/>
    <w:rsid w:val="00437097"/>
    <w:rsid w:val="00463CEE"/>
    <w:rsid w:val="00473A1A"/>
    <w:rsid w:val="00494CC8"/>
    <w:rsid w:val="00497C22"/>
    <w:rsid w:val="004B3E77"/>
    <w:rsid w:val="004B64A3"/>
    <w:rsid w:val="004D2CCA"/>
    <w:rsid w:val="004D3859"/>
    <w:rsid w:val="004D42B2"/>
    <w:rsid w:val="004E670F"/>
    <w:rsid w:val="00510085"/>
    <w:rsid w:val="0051798C"/>
    <w:rsid w:val="005268E3"/>
    <w:rsid w:val="00530425"/>
    <w:rsid w:val="0053201D"/>
    <w:rsid w:val="0054205A"/>
    <w:rsid w:val="00544A0B"/>
    <w:rsid w:val="0056330E"/>
    <w:rsid w:val="005918D4"/>
    <w:rsid w:val="005921B2"/>
    <w:rsid w:val="0059627D"/>
    <w:rsid w:val="005B08B7"/>
    <w:rsid w:val="005B48C2"/>
    <w:rsid w:val="005B48C3"/>
    <w:rsid w:val="005C57D6"/>
    <w:rsid w:val="005D41EB"/>
    <w:rsid w:val="005E3649"/>
    <w:rsid w:val="005E6583"/>
    <w:rsid w:val="006204B6"/>
    <w:rsid w:val="00643BAA"/>
    <w:rsid w:val="00645ED0"/>
    <w:rsid w:val="00651F8E"/>
    <w:rsid w:val="00656F2B"/>
    <w:rsid w:val="00675046"/>
    <w:rsid w:val="00691E45"/>
    <w:rsid w:val="00692309"/>
    <w:rsid w:val="00693A0C"/>
    <w:rsid w:val="006A3797"/>
    <w:rsid w:val="006B5F70"/>
    <w:rsid w:val="006C214A"/>
    <w:rsid w:val="006C5848"/>
    <w:rsid w:val="006C66B9"/>
    <w:rsid w:val="006E25EB"/>
    <w:rsid w:val="006E7204"/>
    <w:rsid w:val="0070033D"/>
    <w:rsid w:val="00703146"/>
    <w:rsid w:val="0071713B"/>
    <w:rsid w:val="00746FBA"/>
    <w:rsid w:val="00752CFA"/>
    <w:rsid w:val="00753C4B"/>
    <w:rsid w:val="007647AB"/>
    <w:rsid w:val="007667B9"/>
    <w:rsid w:val="00780AFF"/>
    <w:rsid w:val="007C2710"/>
    <w:rsid w:val="007C7455"/>
    <w:rsid w:val="007D0E1E"/>
    <w:rsid w:val="007D3C12"/>
    <w:rsid w:val="007E08CA"/>
    <w:rsid w:val="007F7E86"/>
    <w:rsid w:val="00803BBD"/>
    <w:rsid w:val="0080544D"/>
    <w:rsid w:val="008169EA"/>
    <w:rsid w:val="008231D6"/>
    <w:rsid w:val="00833840"/>
    <w:rsid w:val="00835A7A"/>
    <w:rsid w:val="00846874"/>
    <w:rsid w:val="00856AD3"/>
    <w:rsid w:val="00875FCA"/>
    <w:rsid w:val="008821C4"/>
    <w:rsid w:val="00883F3A"/>
    <w:rsid w:val="0089418E"/>
    <w:rsid w:val="008B19AF"/>
    <w:rsid w:val="008C2D0E"/>
    <w:rsid w:val="008D5A53"/>
    <w:rsid w:val="008E2AE8"/>
    <w:rsid w:val="008E7E4C"/>
    <w:rsid w:val="008F2324"/>
    <w:rsid w:val="008F3017"/>
    <w:rsid w:val="008F5408"/>
    <w:rsid w:val="00900A24"/>
    <w:rsid w:val="0096580B"/>
    <w:rsid w:val="009772A1"/>
    <w:rsid w:val="00981766"/>
    <w:rsid w:val="009820B5"/>
    <w:rsid w:val="009A79F5"/>
    <w:rsid w:val="009C611A"/>
    <w:rsid w:val="00A00B50"/>
    <w:rsid w:val="00A06201"/>
    <w:rsid w:val="00A12186"/>
    <w:rsid w:val="00A128EB"/>
    <w:rsid w:val="00A149D3"/>
    <w:rsid w:val="00A37C76"/>
    <w:rsid w:val="00A6517C"/>
    <w:rsid w:val="00A702AD"/>
    <w:rsid w:val="00A71A6B"/>
    <w:rsid w:val="00A816D7"/>
    <w:rsid w:val="00A838A5"/>
    <w:rsid w:val="00AA0416"/>
    <w:rsid w:val="00AD682F"/>
    <w:rsid w:val="00AD7F60"/>
    <w:rsid w:val="00AE5F07"/>
    <w:rsid w:val="00AE6669"/>
    <w:rsid w:val="00B105F2"/>
    <w:rsid w:val="00B21B58"/>
    <w:rsid w:val="00B44BA2"/>
    <w:rsid w:val="00B46F30"/>
    <w:rsid w:val="00B55B10"/>
    <w:rsid w:val="00B76ABC"/>
    <w:rsid w:val="00B77137"/>
    <w:rsid w:val="00B8511F"/>
    <w:rsid w:val="00B934F1"/>
    <w:rsid w:val="00BA0E72"/>
    <w:rsid w:val="00BD17AA"/>
    <w:rsid w:val="00BD703B"/>
    <w:rsid w:val="00BF27B5"/>
    <w:rsid w:val="00BF60B0"/>
    <w:rsid w:val="00C00DEC"/>
    <w:rsid w:val="00C223FA"/>
    <w:rsid w:val="00C27D79"/>
    <w:rsid w:val="00C52924"/>
    <w:rsid w:val="00C63616"/>
    <w:rsid w:val="00C8066E"/>
    <w:rsid w:val="00C81F86"/>
    <w:rsid w:val="00CA4902"/>
    <w:rsid w:val="00CC3E0F"/>
    <w:rsid w:val="00CD2C02"/>
    <w:rsid w:val="00CE2464"/>
    <w:rsid w:val="00D01091"/>
    <w:rsid w:val="00D14587"/>
    <w:rsid w:val="00D35012"/>
    <w:rsid w:val="00D36726"/>
    <w:rsid w:val="00D46A72"/>
    <w:rsid w:val="00D65507"/>
    <w:rsid w:val="00D8298D"/>
    <w:rsid w:val="00DB0EF7"/>
    <w:rsid w:val="00DB23FC"/>
    <w:rsid w:val="00DB708A"/>
    <w:rsid w:val="00DD456F"/>
    <w:rsid w:val="00E00049"/>
    <w:rsid w:val="00E100D2"/>
    <w:rsid w:val="00E53545"/>
    <w:rsid w:val="00E6071D"/>
    <w:rsid w:val="00E7002C"/>
    <w:rsid w:val="00E7516F"/>
    <w:rsid w:val="00EA3FF8"/>
    <w:rsid w:val="00EA4477"/>
    <w:rsid w:val="00EA6BC0"/>
    <w:rsid w:val="00EA72DA"/>
    <w:rsid w:val="00EB4389"/>
    <w:rsid w:val="00EB5902"/>
    <w:rsid w:val="00ED2EF3"/>
    <w:rsid w:val="00EF0396"/>
    <w:rsid w:val="00EF5073"/>
    <w:rsid w:val="00EF7CCB"/>
    <w:rsid w:val="00F05B34"/>
    <w:rsid w:val="00F20D81"/>
    <w:rsid w:val="00F307C5"/>
    <w:rsid w:val="00F41694"/>
    <w:rsid w:val="00F54804"/>
    <w:rsid w:val="00F8258F"/>
    <w:rsid w:val="00F835FB"/>
    <w:rsid w:val="00F87CBC"/>
    <w:rsid w:val="00F95A73"/>
    <w:rsid w:val="00FA0B85"/>
    <w:rsid w:val="00FA5919"/>
    <w:rsid w:val="00FC14FB"/>
    <w:rsid w:val="00FC44D9"/>
    <w:rsid w:val="00FC62D5"/>
    <w:rsid w:val="00FC6751"/>
    <w:rsid w:val="00FD5DF6"/>
    <w:rsid w:val="11A659DF"/>
    <w:rsid w:val="24D20850"/>
    <w:rsid w:val="3101FF1C"/>
    <w:rsid w:val="3257A88C"/>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377ABF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05F2"/>
    <w:rPr>
      <w:lang w:val="en-GB"/>
    </w:rPr>
  </w:style>
  <w:style w:type="paragraph" w:styleId="Heading1">
    <w:name w:val="heading 1"/>
    <w:basedOn w:val="Normal"/>
    <w:next w:val="Normal"/>
    <w:link w:val="Heading1Char"/>
    <w:uiPriority w:val="9"/>
    <w:qFormat/>
    <w:rsid w:val="00C529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29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29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29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29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29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29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29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29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29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29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29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29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29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29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29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29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2924"/>
    <w:rPr>
      <w:rFonts w:eastAsiaTheme="majorEastAsia" w:cstheme="majorBidi"/>
      <w:color w:val="272727" w:themeColor="text1" w:themeTint="D8"/>
    </w:rPr>
  </w:style>
  <w:style w:type="paragraph" w:styleId="Title">
    <w:name w:val="Title"/>
    <w:basedOn w:val="Normal"/>
    <w:next w:val="Normal"/>
    <w:link w:val="TitleChar"/>
    <w:uiPriority w:val="10"/>
    <w:qFormat/>
    <w:rsid w:val="00C529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29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29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29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2924"/>
    <w:pPr>
      <w:spacing w:before="160"/>
      <w:jc w:val="center"/>
    </w:pPr>
    <w:rPr>
      <w:i/>
      <w:iCs/>
      <w:color w:val="404040" w:themeColor="text1" w:themeTint="BF"/>
    </w:rPr>
  </w:style>
  <w:style w:type="character" w:customStyle="1" w:styleId="QuoteChar">
    <w:name w:val="Quote Char"/>
    <w:basedOn w:val="DefaultParagraphFont"/>
    <w:link w:val="Quote"/>
    <w:uiPriority w:val="29"/>
    <w:rsid w:val="00C52924"/>
    <w:rPr>
      <w:i/>
      <w:iCs/>
      <w:color w:val="404040" w:themeColor="text1" w:themeTint="BF"/>
    </w:rPr>
  </w:style>
  <w:style w:type="paragraph" w:styleId="ListParagraph">
    <w:name w:val="List Paragraph"/>
    <w:basedOn w:val="Normal"/>
    <w:uiPriority w:val="34"/>
    <w:qFormat/>
    <w:rsid w:val="00C52924"/>
    <w:pPr>
      <w:ind w:left="720"/>
      <w:contextualSpacing/>
    </w:pPr>
  </w:style>
  <w:style w:type="character" w:styleId="IntenseEmphasis">
    <w:name w:val="Intense Emphasis"/>
    <w:basedOn w:val="DefaultParagraphFont"/>
    <w:uiPriority w:val="21"/>
    <w:qFormat/>
    <w:rsid w:val="00C52924"/>
    <w:rPr>
      <w:i/>
      <w:iCs/>
      <w:color w:val="0F4761" w:themeColor="accent1" w:themeShade="BF"/>
    </w:rPr>
  </w:style>
  <w:style w:type="paragraph" w:styleId="IntenseQuote">
    <w:name w:val="Intense Quote"/>
    <w:basedOn w:val="Normal"/>
    <w:next w:val="Normal"/>
    <w:link w:val="IntenseQuoteChar"/>
    <w:uiPriority w:val="30"/>
    <w:qFormat/>
    <w:rsid w:val="00C529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2924"/>
    <w:rPr>
      <w:i/>
      <w:iCs/>
      <w:color w:val="0F4761" w:themeColor="accent1" w:themeShade="BF"/>
    </w:rPr>
  </w:style>
  <w:style w:type="character" w:styleId="IntenseReference">
    <w:name w:val="Intense Reference"/>
    <w:basedOn w:val="DefaultParagraphFont"/>
    <w:uiPriority w:val="32"/>
    <w:qFormat/>
    <w:rsid w:val="00C52924"/>
    <w:rPr>
      <w:b/>
      <w:bCs/>
      <w:smallCaps/>
      <w:color w:val="0F4761" w:themeColor="accent1" w:themeShade="BF"/>
      <w:spacing w:val="5"/>
    </w:rPr>
  </w:style>
  <w:style w:type="paragraph" w:styleId="Header">
    <w:name w:val="header"/>
    <w:basedOn w:val="Normal"/>
    <w:link w:val="HeaderChar"/>
    <w:uiPriority w:val="99"/>
    <w:unhideWhenUsed/>
    <w:rsid w:val="00B105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05F2"/>
    <w:rPr>
      <w:lang w:val="en-GB"/>
    </w:rPr>
  </w:style>
  <w:style w:type="paragraph" w:styleId="Footer">
    <w:name w:val="footer"/>
    <w:basedOn w:val="Normal"/>
    <w:link w:val="FooterChar"/>
    <w:uiPriority w:val="99"/>
    <w:unhideWhenUsed/>
    <w:rsid w:val="00B105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05F2"/>
    <w:rPr>
      <w:lang w:val="en-GB"/>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link w:val="CharCharChar1"/>
    <w:uiPriority w:val="99"/>
    <w:qFormat/>
    <w:rsid w:val="00B105F2"/>
    <w:rPr>
      <w:vertAlign w:val="superscript"/>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Spacing"/>
    <w:next w:val="NoSpacing"/>
    <w:link w:val="FootnoteTextChar"/>
    <w:uiPriority w:val="99"/>
    <w:qFormat/>
    <w:rsid w:val="00B105F2"/>
    <w:pPr>
      <w:ind w:left="357" w:hanging="357"/>
      <w:jc w:val="both"/>
    </w:pPr>
    <w:rPr>
      <w:rFonts w:ascii="Times New Roman" w:eastAsia="Times New Roman" w:hAnsi="Times New Roman" w:cs="Times New Roman"/>
      <w:kern w:val="0"/>
      <w:sz w:val="18"/>
      <w:szCs w:val="20"/>
      <w:lang w:eastAsia="en-IE"/>
      <w14:ligatures w14:val="none"/>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B105F2"/>
    <w:rPr>
      <w:rFonts w:ascii="Times New Roman" w:eastAsia="Times New Roman" w:hAnsi="Times New Roman" w:cs="Times New Roman"/>
      <w:kern w:val="0"/>
      <w:sz w:val="18"/>
      <w:szCs w:val="20"/>
      <w:lang w:val="en-GB" w:eastAsia="en-IE"/>
      <w14:ligatures w14:val="none"/>
    </w:rPr>
  </w:style>
  <w:style w:type="paragraph" w:customStyle="1" w:styleId="Standard">
    <w:name w:val="Standard"/>
    <w:rsid w:val="00B105F2"/>
    <w:pPr>
      <w:suppressAutoHyphens/>
      <w:autoSpaceDN w:val="0"/>
      <w:spacing w:after="0" w:line="240" w:lineRule="auto"/>
      <w:textAlignment w:val="baseline"/>
    </w:pPr>
    <w:rPr>
      <w:rFonts w:ascii="Liberation Serif" w:eastAsia="NSimSun" w:hAnsi="Liberation Serif" w:cs="Lucida Sans"/>
      <w:kern w:val="3"/>
      <w:lang w:val="en-GB" w:eastAsia="zh-CN" w:bidi="hi-IN"/>
      <w14:ligatures w14:val="none"/>
    </w:rPr>
  </w:style>
  <w:style w:type="paragraph" w:customStyle="1" w:styleId="CharCharChar1">
    <w:name w:val="Char Char Char1"/>
    <w:basedOn w:val="Normal"/>
    <w:link w:val="FootnoteReference"/>
    <w:uiPriority w:val="99"/>
    <w:rsid w:val="00B105F2"/>
    <w:pPr>
      <w:spacing w:line="240" w:lineRule="exact"/>
      <w:jc w:val="both"/>
    </w:pPr>
    <w:rPr>
      <w:vertAlign w:val="superscript"/>
      <w:lang w:val="en-IE"/>
    </w:rPr>
  </w:style>
  <w:style w:type="paragraph" w:styleId="NoSpacing">
    <w:name w:val="No Spacing"/>
    <w:uiPriority w:val="1"/>
    <w:qFormat/>
    <w:rsid w:val="00B105F2"/>
    <w:pPr>
      <w:spacing w:after="0" w:line="240" w:lineRule="auto"/>
    </w:pPr>
    <w:rPr>
      <w:lang w:val="en-GB"/>
    </w:rPr>
  </w:style>
  <w:style w:type="character" w:customStyle="1" w:styleId="Marker">
    <w:name w:val="Marker"/>
    <w:basedOn w:val="DefaultParagraphFont"/>
    <w:rsid w:val="004162F0"/>
    <w:rPr>
      <w:color w:val="0000FF"/>
      <w:shd w:val="clear" w:color="auto" w:fill="auto"/>
    </w:rPr>
  </w:style>
  <w:style w:type="paragraph" w:customStyle="1" w:styleId="Pagedecouverture">
    <w:name w:val="Page de couverture"/>
    <w:basedOn w:val="Normal"/>
    <w:next w:val="Normal"/>
    <w:rsid w:val="004162F0"/>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4162F0"/>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4162F0"/>
    <w:rPr>
      <w:rFonts w:ascii="Times New Roman" w:hAnsi="Times New Roman" w:cs="Times New Roman"/>
      <w:lang w:val="en-GB"/>
    </w:rPr>
  </w:style>
  <w:style w:type="paragraph" w:customStyle="1" w:styleId="FooterSensitivity">
    <w:name w:val="Footer Sensitivity"/>
    <w:basedOn w:val="Normal"/>
    <w:link w:val="FooterSensitivityChar"/>
    <w:rsid w:val="004162F0"/>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4162F0"/>
    <w:rPr>
      <w:rFonts w:ascii="Times New Roman" w:hAnsi="Times New Roman" w:cs="Times New Roman"/>
      <w:b/>
      <w:sz w:val="32"/>
      <w:lang w:val="en-GB"/>
    </w:rPr>
  </w:style>
  <w:style w:type="paragraph" w:customStyle="1" w:styleId="HeaderCoverPage">
    <w:name w:val="Header Cover Page"/>
    <w:basedOn w:val="Normal"/>
    <w:link w:val="HeaderCoverPageChar"/>
    <w:rsid w:val="004162F0"/>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4162F0"/>
    <w:rPr>
      <w:rFonts w:ascii="Times New Roman" w:hAnsi="Times New Roman" w:cs="Times New Roman"/>
      <w:lang w:val="en-GB"/>
    </w:rPr>
  </w:style>
  <w:style w:type="paragraph" w:customStyle="1" w:styleId="HeaderSensitivity">
    <w:name w:val="Header Sensitivity"/>
    <w:basedOn w:val="Normal"/>
    <w:link w:val="HeaderSensitivityChar"/>
    <w:rsid w:val="004162F0"/>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4162F0"/>
    <w:rPr>
      <w:rFonts w:ascii="Times New Roman" w:hAnsi="Times New Roman" w:cs="Times New Roman"/>
      <w:b/>
      <w:sz w:val="32"/>
      <w:lang w:val="en-GB"/>
    </w:rPr>
  </w:style>
  <w:style w:type="paragraph" w:customStyle="1" w:styleId="HeaderSensitivityRight">
    <w:name w:val="Header Sensitivity Right"/>
    <w:basedOn w:val="Normal"/>
    <w:link w:val="HeaderSensitivityRightChar"/>
    <w:rsid w:val="00094A7D"/>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4162F0"/>
    <w:rPr>
      <w:rFonts w:ascii="Times New Roman" w:hAnsi="Times New Roman" w:cs="Times New Roman"/>
      <w:sz w:val="28"/>
      <w:lang w:val="en-GB"/>
    </w:rPr>
  </w:style>
  <w:style w:type="paragraph" w:styleId="Revision">
    <w:name w:val="Revision"/>
    <w:hidden/>
    <w:uiPriority w:val="99"/>
    <w:semiHidden/>
    <w:rsid w:val="009820B5"/>
    <w:pPr>
      <w:spacing w:after="0" w:line="240" w:lineRule="auto"/>
    </w:pPr>
    <w:rPr>
      <w:lang w:val="en-GB"/>
    </w:rPr>
  </w:style>
  <w:style w:type="character" w:styleId="CommentReference">
    <w:name w:val="annotation reference"/>
    <w:basedOn w:val="DefaultParagraphFont"/>
    <w:uiPriority w:val="99"/>
    <w:semiHidden/>
    <w:unhideWhenUsed/>
    <w:rsid w:val="00403FD8"/>
    <w:rPr>
      <w:sz w:val="16"/>
      <w:szCs w:val="16"/>
    </w:rPr>
  </w:style>
  <w:style w:type="paragraph" w:styleId="CommentText">
    <w:name w:val="annotation text"/>
    <w:basedOn w:val="Normal"/>
    <w:link w:val="CommentTextChar"/>
    <w:uiPriority w:val="99"/>
    <w:unhideWhenUsed/>
    <w:rsid w:val="00403FD8"/>
    <w:pPr>
      <w:spacing w:line="240" w:lineRule="auto"/>
    </w:pPr>
    <w:rPr>
      <w:sz w:val="20"/>
      <w:szCs w:val="20"/>
    </w:rPr>
  </w:style>
  <w:style w:type="character" w:customStyle="1" w:styleId="CommentTextChar">
    <w:name w:val="Comment Text Char"/>
    <w:basedOn w:val="DefaultParagraphFont"/>
    <w:link w:val="CommentText"/>
    <w:uiPriority w:val="99"/>
    <w:rsid w:val="00403FD8"/>
    <w:rPr>
      <w:sz w:val="20"/>
      <w:szCs w:val="20"/>
      <w:lang w:val="en-GB"/>
    </w:rPr>
  </w:style>
  <w:style w:type="paragraph" w:styleId="CommentSubject">
    <w:name w:val="annotation subject"/>
    <w:basedOn w:val="CommentText"/>
    <w:next w:val="CommentText"/>
    <w:link w:val="CommentSubjectChar"/>
    <w:uiPriority w:val="99"/>
    <w:semiHidden/>
    <w:unhideWhenUsed/>
    <w:rsid w:val="00403FD8"/>
    <w:rPr>
      <w:b/>
      <w:bCs/>
    </w:rPr>
  </w:style>
  <w:style w:type="character" w:customStyle="1" w:styleId="CommentSubjectChar">
    <w:name w:val="Comment Subject Char"/>
    <w:basedOn w:val="CommentTextChar"/>
    <w:link w:val="CommentSubject"/>
    <w:uiPriority w:val="99"/>
    <w:semiHidden/>
    <w:rsid w:val="00403FD8"/>
    <w:rPr>
      <w:b/>
      <w:bCs/>
      <w:sz w:val="20"/>
      <w:szCs w:val="20"/>
      <w:lang w:val="en-GB"/>
    </w:rPr>
  </w:style>
  <w:style w:type="character" w:styleId="Hyperlink">
    <w:name w:val="Hyperlink"/>
    <w:basedOn w:val="DefaultParagraphFont"/>
    <w:uiPriority w:val="99"/>
    <w:unhideWhenUsed/>
    <w:rsid w:val="00856AD3"/>
    <w:rPr>
      <w:color w:val="467886" w:themeColor="hyperlink"/>
      <w:u w:val="single"/>
    </w:rPr>
  </w:style>
  <w:style w:type="character" w:customStyle="1" w:styleId="UnresolvedMention1">
    <w:name w:val="Unresolved Mention1"/>
    <w:basedOn w:val="DefaultParagraphFont"/>
    <w:uiPriority w:val="99"/>
    <w:semiHidden/>
    <w:unhideWhenUsed/>
    <w:rsid w:val="00856AD3"/>
    <w:rPr>
      <w:color w:val="605E5C"/>
      <w:shd w:val="clear" w:color="auto" w:fill="E1DFDD"/>
    </w:rPr>
  </w:style>
  <w:style w:type="character" w:customStyle="1" w:styleId="UnresolvedMention">
    <w:name w:val="Unresolved Mention"/>
    <w:basedOn w:val="DefaultParagraphFont"/>
    <w:uiPriority w:val="99"/>
    <w:semiHidden/>
    <w:unhideWhenUsed/>
    <w:rsid w:val="00752CFA"/>
    <w:rPr>
      <w:color w:val="605E5C"/>
      <w:shd w:val="clear" w:color="auto" w:fill="E1DFDD"/>
    </w:rPr>
  </w:style>
  <w:style w:type="character" w:styleId="FollowedHyperlink">
    <w:name w:val="FollowedHyperlink"/>
    <w:basedOn w:val="DefaultParagraphFont"/>
    <w:uiPriority w:val="99"/>
    <w:semiHidden/>
    <w:unhideWhenUsed/>
    <w:rsid w:val="00752CFA"/>
    <w:rPr>
      <w:color w:val="96607D" w:themeColor="followedHyperlink"/>
      <w:u w:val="single"/>
    </w:rPr>
  </w:style>
  <w:style w:type="paragraph" w:customStyle="1" w:styleId="Disclaimer">
    <w:name w:val="Disclaimer"/>
    <w:basedOn w:val="Normal"/>
    <w:rsid w:val="00094A7D"/>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Cs w:val="22"/>
      <w14:ligatures w14:val="none"/>
    </w:rPr>
  </w:style>
  <w:style w:type="paragraph" w:customStyle="1" w:styleId="SecurityMarking">
    <w:name w:val="SecurityMarking"/>
    <w:basedOn w:val="Normal"/>
    <w:rsid w:val="00094A7D"/>
    <w:pPr>
      <w:spacing w:after="0" w:line="276" w:lineRule="auto"/>
      <w:ind w:left="5103"/>
    </w:pPr>
    <w:rPr>
      <w:rFonts w:ascii="Times New Roman" w:hAnsi="Times New Roman" w:cs="Times New Roman"/>
      <w:kern w:val="0"/>
      <w:sz w:val="28"/>
      <w:szCs w:val="22"/>
      <w14:ligatures w14:val="none"/>
    </w:rPr>
  </w:style>
  <w:style w:type="paragraph" w:customStyle="1" w:styleId="DateMarking">
    <w:name w:val="DateMarking"/>
    <w:basedOn w:val="Normal"/>
    <w:rsid w:val="00094A7D"/>
    <w:pPr>
      <w:spacing w:after="0" w:line="276" w:lineRule="auto"/>
      <w:ind w:left="5103"/>
    </w:pPr>
    <w:rPr>
      <w:rFonts w:ascii="Times New Roman" w:hAnsi="Times New Roman" w:cs="Times New Roman"/>
      <w:i/>
      <w:kern w:val="0"/>
      <w:sz w:val="28"/>
      <w:szCs w:val="22"/>
      <w14:ligatures w14:val="none"/>
    </w:rPr>
  </w:style>
  <w:style w:type="paragraph" w:customStyle="1" w:styleId="ReleasableTo">
    <w:name w:val="ReleasableTo"/>
    <w:basedOn w:val="Normal"/>
    <w:rsid w:val="00094A7D"/>
    <w:pPr>
      <w:spacing w:after="0" w:line="276" w:lineRule="auto"/>
      <w:ind w:left="5103"/>
    </w:pPr>
    <w:rPr>
      <w:rFonts w:ascii="Times New Roman" w:hAnsi="Times New Roman" w:cs="Times New Roman"/>
      <w:i/>
      <w:kern w:val="0"/>
      <w:sz w:val="28"/>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info/funding-tenders/opportunities/portal/screen/opportunities/topic-details/HORIZON-CL6-2026-03-GOVERNANCE-06?isExactMatch=true&amp;status=31094501,31094502,31094503&amp;callIdentifier=HORIZON-CL6-2026-03&amp;order=DESC&amp;pageNumber=1&amp;pageSize=50&amp;sortBy=startDate" TargetMode="External"/><Relationship Id="rId13" Type="http://schemas.openxmlformats.org/officeDocument/2006/relationships/hyperlink" Target="https://www.chips-ju.europa.eu/" TargetMode="External"/><Relationship Id="rId18" Type="http://schemas.openxmlformats.org/officeDocument/2006/relationships/hyperlink" Target="https://ldtcitiverse-edic.eu/" TargetMode="External"/><Relationship Id="rId3" Type="http://schemas.openxmlformats.org/officeDocument/2006/relationships/hyperlink" Target="https://digital-strategy.ec.europa.eu/en/policies/genai4eu" TargetMode="External"/><Relationship Id="rId21" Type="http://schemas.openxmlformats.org/officeDocument/2006/relationships/hyperlink" Target="https://ec.europa.eu/digital-building-blocks/sites/spaces/EUDIGITALIDENTITYWALLET/pages/930450954/The+Age+Verification+Manual" TargetMode="External"/><Relationship Id="rId7" Type="http://schemas.openxmlformats.org/officeDocument/2006/relationships/hyperlink" Target="https://cordis.europa.eu/project/id/101017536" TargetMode="External"/><Relationship Id="rId12" Type="http://schemas.openxmlformats.org/officeDocument/2006/relationships/hyperlink" Target="https://cyberstand.eu/" TargetMode="External"/><Relationship Id="rId17" Type="http://schemas.openxmlformats.org/officeDocument/2006/relationships/hyperlink" Target="https://cordis.europa.eu/programme/id/HORIZON_HORIZON-CL4-2025-04-HUMAN-08" TargetMode="External"/><Relationship Id="rId2" Type="http://schemas.openxmlformats.org/officeDocument/2006/relationships/hyperlink" Target="https://op.europa.eu/en/publication-detail/-/publication/257ae66f-23c7-11ef-a195-01aa75ed71a1/language-en" TargetMode="External"/><Relationship Id="rId16" Type="http://schemas.openxmlformats.org/officeDocument/2006/relationships/hyperlink" Target="https://digital-strategy.ec.europa.eu/en/factpages/ai-public-good" TargetMode="External"/><Relationship Id="rId20" Type="http://schemas.openxmlformats.org/officeDocument/2006/relationships/hyperlink" Target="https://digital-strategy.ec.europa.eu/en/policies/business-wallets" TargetMode="External"/><Relationship Id="rId1" Type="http://schemas.openxmlformats.org/officeDocument/2006/relationships/hyperlink" Target="https://ngi.eu/" TargetMode="External"/><Relationship Id="rId6" Type="http://schemas.openxmlformats.org/officeDocument/2006/relationships/hyperlink" Target="https://cordis.europa.eu/project/id/101214398" TargetMode="External"/><Relationship Id="rId11" Type="http://schemas.openxmlformats.org/officeDocument/2006/relationships/hyperlink" Target="https://cordis.europa.eu/project/id/101213369" TargetMode="External"/><Relationship Id="rId5" Type="http://schemas.openxmlformats.org/officeDocument/2006/relationships/hyperlink" Target="https://cordis.europa.eu/project/id/101070000" TargetMode="External"/><Relationship Id="rId15" Type="http://schemas.openxmlformats.org/officeDocument/2006/relationships/hyperlink" Target="https://www.chips-ju.europa.eu/News-detail/?id=4b71b8f0-72fa-ef11-bae2-000d3ab0a56e" TargetMode="External"/><Relationship Id="rId10" Type="http://schemas.openxmlformats.org/officeDocument/2006/relationships/hyperlink" Target="https://home.cern/" TargetMode="External"/><Relationship Id="rId19" Type="http://schemas.openxmlformats.org/officeDocument/2006/relationships/hyperlink" Target="https://digital-strategy.ec.europa.eu/en/policies/eudi-regulation" TargetMode="External"/><Relationship Id="rId4" Type="http://schemas.openxmlformats.org/officeDocument/2006/relationships/hyperlink" Target="https://strategic-technologies.europa.eu/step-results/step-stories/openeurollm_en" TargetMode="External"/><Relationship Id="rId9" Type="http://schemas.openxmlformats.org/officeDocument/2006/relationships/hyperlink" Target="https://cordis.europa.eu/project/id/101187992" TargetMode="External"/><Relationship Id="rId14" Type="http://schemas.openxmlformats.org/officeDocument/2006/relationships/hyperlink" Target="https://digital-strategy.ec.europa.eu/en/policies/iot-inves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91339B-4079-4C2B-9FCC-491E5A708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3430</Words>
  <Characters>19557</Characters>
  <Application>Microsoft Office Word</Application>
  <DocSecurity>0</DocSecurity>
  <Lines>162</Lines>
  <Paragraphs>45</Paragraphs>
  <ScaleCrop>false</ScaleCrop>
  <Manager/>
  <Company/>
  <LinksUpToDate>false</LinksUpToDate>
  <CharactersWithSpaces>22942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2026-06-02T16:16:00Z</dcterms:created>
  <dcterms:modified xsi:type="dcterms:W3CDTF">2026-06-02T16:27:00Z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2026-06-02T11:12:39Z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e834c45e-4ce1-4f88-ad22-644b7211b147</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First annex">
    <vt:lpwstr>1</vt:lpwstr>
  </property>
  <property fmtid="{D5CDD505-2E9C-101B-9397-08002B2CF9AE}" pid="14" name="Last annex">
    <vt:lpwstr>2</vt:lpwstr>
  </property>
  <property fmtid="{D5CDD505-2E9C-101B-9397-08002B2CF9AE}" pid="15" name="Unique annex">
    <vt:lpwstr>0</vt:lpwstr>
  </property>
  <property fmtid="{D5CDD505-2E9C-101B-9397-08002B2CF9AE}" pid="16" name="Part">
    <vt:lpwstr>&lt;UNUSED&gt;</vt:lpwstr>
  </property>
  <property fmtid="{D5CDD505-2E9C-101B-9397-08002B2CF9AE}" pid="17" name="Total parts">
    <vt:lpwstr>&lt;UNUSED&gt;</vt:lpwstr>
  </property>
  <property fmtid="{D5CDD505-2E9C-101B-9397-08002B2CF9AE}" pid="18" name="CPTemplateID">
    <vt:lpwstr>CP-039</vt:lpwstr>
  </property>
</Properties>
</file>