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DC546E5-CC28-4955-A60C-CFC1CC403EA5" style="width:455.25pt;height:414.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line="240" w:lineRule="auto"/>
        <w:jc w:val="center"/>
        <w:rPr>
          <w:rFonts w:asciiTheme="majorBidi" w:hAnsiTheme="majorBidi" w:cstheme="majorBidi"/>
          <w:b/>
          <w:bCs/>
          <w:noProof/>
        </w:rPr>
      </w:pPr>
      <w:r>
        <w:rPr>
          <w:rFonts w:asciiTheme="majorBidi" w:hAnsiTheme="majorBidi"/>
          <w:b/>
          <w:i/>
          <w:noProof/>
        </w:rPr>
        <w:lastRenderedPageBreak/>
        <w:t>ANEXA I</w:t>
      </w:r>
    </w:p>
    <w:p>
      <w:pPr>
        <w:spacing w:after="0" w:line="240" w:lineRule="auto"/>
        <w:jc w:val="center"/>
        <w:rPr>
          <w:rFonts w:asciiTheme="majorBidi" w:hAnsiTheme="majorBidi" w:cstheme="majorBidi"/>
          <w:b/>
          <w:bCs/>
          <w:noProof/>
          <w:u w:val="single"/>
        </w:rPr>
      </w:pPr>
      <w:r>
        <w:rPr>
          <w:rFonts w:asciiTheme="majorBidi" w:hAnsiTheme="majorBidi"/>
          <w:b/>
          <w:noProof/>
          <w:u w:val="single"/>
        </w:rPr>
        <w:t>Cadrul de monitorizare pentru sursele deschise</w:t>
      </w:r>
    </w:p>
    <w:p>
      <w:pPr>
        <w:spacing w:after="0" w:line="240" w:lineRule="auto"/>
        <w:jc w:val="center"/>
        <w:rPr>
          <w:rFonts w:asciiTheme="majorBidi" w:hAnsiTheme="majorBidi" w:cstheme="majorBidi"/>
          <w:b/>
          <w:bCs/>
          <w:noProof/>
          <w:u w:val="single"/>
        </w:rPr>
      </w:pPr>
    </w:p>
    <w:p>
      <w:pPr>
        <w:spacing w:after="0" w:line="240" w:lineRule="auto"/>
        <w:rPr>
          <w:rFonts w:asciiTheme="majorBidi" w:eastAsia="Times New Roman" w:hAnsiTheme="majorBidi" w:cstheme="majorBidi"/>
          <w:noProof/>
        </w:rPr>
      </w:pPr>
      <w:r>
        <w:rPr>
          <w:rFonts w:asciiTheme="majorBidi" w:hAnsiTheme="majorBidi"/>
          <w:noProof/>
        </w:rPr>
        <w:t>Cadrul de monitorizare constă în următorii indicatori-cheie de performanță (ICP):</w:t>
      </w:r>
    </w:p>
    <w:p>
      <w:pPr>
        <w:spacing w:after="0" w:line="240" w:lineRule="auto"/>
        <w:rPr>
          <w:rFonts w:asciiTheme="majorBidi" w:eastAsia="Times New Roman" w:hAnsiTheme="majorBidi" w:cstheme="majorBidi"/>
          <w:noProof/>
        </w:rPr>
      </w:pP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ponderea cererilor de propuneri relevante ale UE în domeniul digital care includ în mod explicit modele cu sursă deschisă și/sau modele deschise în domeniul de aplicare;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ponderea proiectelor atribuite în cadrul cererilor de propuneri relevante care se angajează să furnizeze sau furnizează rezultate ale modelului cu sursă deschisă/deschis;</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ponderea dependențelor de lista dependențelor critice a UE care beneficiază de sprijin activ prin intermediul instrumentului de întreținere a soluțiilor cu sursă deschisă;</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autorități publice din UE care au utilizat orientările sau mecanismele de sprijin ale Comisiei pentru achiziții publice de soluții cu sursă deschisă, migrație sau evaluare;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fundații sau organizații de administrare cu sediul în UE în domenii prioritare nou înființate sau care primesc sprijin financiar sau pentru consolidarea capacităților din partea UE;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organizații și experți din domeniul soluțiilor cu sursă deschisă care participă la activitatea de standardizare europeană legată de prioritățile politicii digitale a UE;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implementări de referință cu sursă deschisă ale standardelor europene care sprijină legislația sau prioritățile de politică ale UE în domeniul digital;</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implementări sau de cazuri de reutilizare în țări partenere a soluțiilor cu sursă deschisă sprijinite de UE în cadrul ofertei comerciale a UE în domeniul tehnologiei;</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înființarea operațională a Fundației pentru infrastructura publică digitală europeană, numărul de proiecte și de fluxuri de lucru administrate de aceasta, precum și numărul de state membre, contribuitori și organizații membre care participă la guvernanța acesteia;</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soluții evaluate în temeiul cadrului UE de evaluare a soluțiilor suverane și al cadrului voluntar de evaluare al UE pentru sursele deschise;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cursanți, programe și acțiuni de mobilitate sprijinite în ceea ce privește competențele în materie de software cu sursă deschisă, dezvoltarea colaborativă de soluții cu sursă deschisă, modelele de guvernanță, de administrare și de durabilitate ale comunităților;</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numărul de întreprinderi și de start-upuri din domeniul soluțiilor cu sursă deschisă cu sediul în UE care primesc sprijin prin acțiuni de extindere, accelerare sau acțiuni de sprijin conexe susținute de strategie;</w:t>
      </w:r>
    </w:p>
    <w:p>
      <w:pPr>
        <w:pStyle w:val="ListParagraph"/>
        <w:numPr>
          <w:ilvl w:val="0"/>
          <w:numId w:val="13"/>
        </w:numPr>
        <w:spacing w:after="0" w:line="240" w:lineRule="auto"/>
        <w:contextualSpacing w:val="0"/>
        <w:jc w:val="both"/>
        <w:rPr>
          <w:rFonts w:ascii="Times New Roman" w:hAnsi="Times New Roman" w:cs="Times New Roman"/>
          <w:noProof/>
        </w:rPr>
      </w:pPr>
      <w:r>
        <w:rPr>
          <w:rFonts w:ascii="Times New Roman" w:hAnsi="Times New Roman"/>
          <w:noProof/>
        </w:rPr>
        <w:t>numărul anual de evenimente de descărcare înregistrate ale componentelor ansamblului deschis de protocoale fundamentale ale internetului (</w:t>
      </w:r>
      <w:r>
        <w:rPr>
          <w:rFonts w:ascii="Times New Roman" w:hAnsi="Times New Roman"/>
          <w:i/>
          <w:noProof/>
        </w:rPr>
        <w:t>Open Internet Stack – OIS</w:t>
      </w:r>
      <w:r>
        <w:rPr>
          <w:rFonts w:ascii="Times New Roman" w:hAnsi="Times New Roman"/>
          <w:noProof/>
        </w:rPr>
        <w:t>) de pe canalele de distribuție oficiale și variația procentuală de la an la an, utilizând ca referință primul an complet de la lansarea primei versiuni operaționale a OIS;</w:t>
      </w:r>
    </w:p>
    <w:p>
      <w:pPr>
        <w:pStyle w:val="ListParagraph"/>
        <w:numPr>
          <w:ilvl w:val="0"/>
          <w:numId w:val="13"/>
        </w:numPr>
        <w:spacing w:after="0" w:line="240" w:lineRule="auto"/>
        <w:contextualSpacing w:val="0"/>
        <w:jc w:val="both"/>
        <w:rPr>
          <w:rFonts w:ascii="Times New Roman" w:hAnsi="Times New Roman" w:cs="Times New Roman"/>
          <w:noProof/>
        </w:rPr>
      </w:pPr>
      <w:r>
        <w:rPr>
          <w:rFonts w:ascii="Times New Roman" w:hAnsi="Times New Roman"/>
          <w:noProof/>
        </w:rPr>
        <w:t>tabloul de bord privind disponibilitatea soluțiilor cu sursă deschisă pentru autoritățile publice din UE.</w:t>
      </w:r>
    </w:p>
    <w:p>
      <w:pPr>
        <w:spacing w:after="0" w:line="240" w:lineRule="auto"/>
        <w:rPr>
          <w:rFonts w:asciiTheme="majorBidi" w:eastAsia="Times New Roman" w:hAnsiTheme="majorBidi" w:cstheme="majorBidi"/>
          <w:noProof/>
        </w:rPr>
      </w:pPr>
    </w:p>
    <w:p>
      <w:pPr>
        <w:rPr>
          <w:rFonts w:asciiTheme="majorBidi" w:eastAsia="Times New Roman" w:hAnsiTheme="majorBidi" w:cstheme="majorBidi"/>
          <w:noProof/>
        </w:rPr>
      </w:pPr>
      <w:r>
        <w:rPr>
          <w:noProof/>
        </w:rPr>
        <w:br w:type="page"/>
      </w:r>
    </w:p>
    <w:p>
      <w:pPr>
        <w:spacing w:line="240" w:lineRule="auto"/>
        <w:jc w:val="center"/>
        <w:rPr>
          <w:rFonts w:asciiTheme="majorBidi" w:hAnsiTheme="majorBidi" w:cstheme="majorBidi"/>
          <w:b/>
          <w:bCs/>
          <w:noProof/>
          <w:u w:val="single"/>
        </w:rPr>
      </w:pPr>
      <w:r>
        <w:rPr>
          <w:rFonts w:asciiTheme="majorBidi" w:hAnsiTheme="majorBidi"/>
          <w:b/>
          <w:i/>
          <w:noProof/>
        </w:rPr>
        <w:lastRenderedPageBreak/>
        <w:t>ANEXA II</w:t>
      </w:r>
    </w:p>
    <w:p>
      <w:pPr>
        <w:spacing w:after="0" w:line="240" w:lineRule="auto"/>
        <w:jc w:val="center"/>
        <w:rPr>
          <w:rFonts w:asciiTheme="majorBidi" w:hAnsiTheme="majorBidi" w:cstheme="majorBidi"/>
          <w:noProof/>
        </w:rPr>
      </w:pPr>
      <w:r>
        <w:rPr>
          <w:rFonts w:asciiTheme="majorBidi" w:hAnsiTheme="majorBidi"/>
          <w:b/>
          <w:noProof/>
          <w:u w:val="single"/>
        </w:rPr>
        <w:t>Acțiuni în curs ale Comisiei de sprijinire a surselor deschise</w:t>
      </w:r>
    </w:p>
    <w:p>
      <w:pPr>
        <w:spacing w:after="0" w:line="240" w:lineRule="auto"/>
        <w:jc w:val="center"/>
        <w:rPr>
          <w:rFonts w:asciiTheme="majorBidi" w:hAnsiTheme="majorBidi" w:cstheme="majorBidi"/>
          <w:b/>
          <w:bCs/>
          <w:noProof/>
          <w:u w:val="single"/>
        </w:rPr>
      </w:pPr>
    </w:p>
    <w:p>
      <w:pPr>
        <w:shd w:val="clear" w:color="auto" w:fill="FFFFFF" w:themeFill="background1"/>
        <w:spacing w:after="120" w:line="240" w:lineRule="auto"/>
        <w:jc w:val="both"/>
        <w:rPr>
          <w:rFonts w:asciiTheme="majorBidi" w:eastAsia="Times New Roman" w:hAnsiTheme="majorBidi" w:cstheme="majorBidi"/>
          <w:noProof/>
        </w:rPr>
      </w:pPr>
      <w:r>
        <w:rPr>
          <w:rFonts w:asciiTheme="majorBidi" w:hAnsiTheme="majorBidi"/>
          <w:b/>
          <w:noProof/>
        </w:rPr>
        <w:t>Inițiativa referitoare la internetul de nouă generație (NGI)</w:t>
      </w:r>
      <w:r>
        <w:rPr>
          <w:rStyle w:val="FootnoteReference"/>
          <w:rFonts w:asciiTheme="majorBidi" w:eastAsia="Times New Roman" w:hAnsiTheme="majorBidi" w:cstheme="majorBidi"/>
          <w:b/>
          <w:bCs/>
          <w:noProof/>
        </w:rPr>
        <w:footnoteReference w:id="1"/>
      </w:r>
      <w:r>
        <w:rPr>
          <w:rFonts w:asciiTheme="majorBidi" w:hAnsiTheme="majorBidi"/>
          <w:noProof/>
        </w:rPr>
        <w:t xml:space="preserve"> este o inițiativă europeană majoră cu sursă deschisă, deoarece s-a axat pe furnizarea de sprijin financiar accesibil întreprinderilor mici și dezvoltatorilor. Aceasta a fost lansată în 2018 și a mobilizat aproximativ 190 de milioane EUR prin intermediul programelor Orizont 2020 și Orizont Europa. Ea a finanțat peste 1 700 de proiecte locale de dezvoltare a tehnologiilor internet – de la hardware cu sursă deschisă la sisteme de operare și virtualizare, identități electronice și aplicații. În ceea ce privește rezultatele, inițiativa furnizează treptat instrumente care le permit cetățenilor și întreprinderilor să aleagă soluții care nu fac obiectul unui drept de proprietate ca alternative la marile tehnologii și să își exercite efectiv drepturile consacrate în legislația UE, de exemplu în domeniul vieții private, al protecției consumatorilor și al opțiunilor utilizatorilor în ceea ce privește serviciile platformelor. Potrivit unui studiu Gartner</w:t>
      </w:r>
      <w:r>
        <w:rPr>
          <w:rStyle w:val="FootnoteReference"/>
          <w:rFonts w:asciiTheme="majorBidi" w:eastAsia="Times New Roman" w:hAnsiTheme="majorBidi" w:cstheme="majorBidi"/>
          <w:noProof/>
        </w:rPr>
        <w:footnoteReference w:id="2"/>
      </w:r>
      <w:r>
        <w:rPr>
          <w:rFonts w:asciiTheme="majorBidi" w:hAnsiTheme="majorBidi"/>
          <w:noProof/>
        </w:rPr>
        <w:t>, 57 % din proiectele finanțate prin NGI oferă alternative la soluțiile existente pe piață, lansând provocări giganților din industrie și consolidând suveranitatea digitală a UE. 74 % din proiecte se deruleze în continuare cu succes după prima finanțare NGI. După finanțare, proiectele NGI se derulează în continuare, demonstrându-și durabilitatea. În plus, 32 % dintre proiecte au obținut finanțare reînnoită sau suplimentară. 76 % dintre proiectele NGI au o comunitate activă, ceea ce indică un nivel semnificativ de reutilizare, cu un ecosistem estimat de 80 000 de contribuitori, persoane fizice care sprijină în mod activ proiectele NGI prin coduri, testare și raportarea bug-urilor. Soluțiile finanțate prin NGI sunt accesibile pe scară largă prin intermediul registrelor publice (84 %), al platformelor de distribuție și al magazinelor de aplicații (34 %) sau al ambelor modalități (29 %), ceea ce stimulează reutilizarea/utilizarea acestora.</w:t>
      </w:r>
    </w:p>
    <w:p>
      <w:pPr>
        <w:spacing w:after="120" w:line="240" w:lineRule="auto"/>
        <w:jc w:val="both"/>
        <w:rPr>
          <w:rFonts w:asciiTheme="majorBidi" w:eastAsia="Times New Roman" w:hAnsiTheme="majorBidi" w:cstheme="majorBidi"/>
          <w:noProof/>
        </w:rPr>
      </w:pPr>
      <w:r>
        <w:rPr>
          <w:rFonts w:asciiTheme="majorBidi" w:hAnsiTheme="majorBidi"/>
          <w:noProof/>
        </w:rPr>
        <w:t>Proiectele NGI demonstrează un grad ridicat de impact asupra facilitării diferitelor acte legislative ale UE, cu accent pe sprijinirea respectării Regulamentului general privind protecția datelor (RGPD) (39 %), a Regulamentului privind serviciile digitale (DSA) și a Regulamentului privind piețele digitale (DMA) (23 %), a Regulamentului privind reziliența cibernetică (30 %), a inițiativelor UE privind identitatea digitală (15 %), pe asigurarea libertății de alegere online (47 %) și pe sprijinirea conceptului de bunuri digitale comune (44 %). Proiectele NGI actuale vor fi finalizate până în 2027.</w:t>
      </w:r>
    </w:p>
    <w:p>
      <w:pPr>
        <w:spacing w:after="120" w:line="240" w:lineRule="auto"/>
        <w:jc w:val="both"/>
        <w:rPr>
          <w:rFonts w:asciiTheme="majorBidi" w:eastAsia="Times New Roman" w:hAnsiTheme="majorBidi" w:cstheme="majorBidi"/>
          <w:noProof/>
        </w:rPr>
      </w:pPr>
      <w:r>
        <w:rPr>
          <w:rFonts w:asciiTheme="majorBidi" w:hAnsiTheme="majorBidi"/>
          <w:noProof/>
        </w:rPr>
        <w:t xml:space="preserve">De asemenea, Comisia a dezvoltat </w:t>
      </w:r>
      <w:r>
        <w:rPr>
          <w:rFonts w:asciiTheme="majorBidi" w:hAnsiTheme="majorBidi"/>
          <w:b/>
          <w:noProof/>
        </w:rPr>
        <w:t>Simpl</w:t>
      </w:r>
      <w:r>
        <w:rPr>
          <w:rStyle w:val="FootnoteReference"/>
          <w:rFonts w:asciiTheme="majorBidi" w:eastAsia="Times New Roman" w:hAnsiTheme="majorBidi" w:cstheme="majorBidi"/>
          <w:b/>
          <w:bCs/>
          <w:noProof/>
        </w:rPr>
        <w:footnoteReference w:id="3"/>
      </w:r>
      <w:r>
        <w:rPr>
          <w:rFonts w:asciiTheme="majorBidi" w:hAnsiTheme="majorBidi"/>
          <w:noProof/>
        </w:rPr>
        <w:t>, software-ul cu sursă deschisă în valoare de 156 de milioane EUR, pentru a exploata spațiile de date și pentru a le permite statelor membre să își partajeze infrastructura de calcul prin intermediul inițiativei EuroCloud. În prezent, acesta face parte din Planul de acțiune privind continentul IA și, dacă este adecvat din punct de vedere tehnic, ar trebui să fie considerat o referință pentru punerea în aplicare a implementărilor spațiului de date sprijinite de UE și a tehnologiilor de tip cloud aferente pentru a reduce fragmentarea și a consolida interoperabilitatea.</w:t>
      </w:r>
    </w:p>
    <w:p>
      <w:pPr>
        <w:spacing w:after="120" w:line="240" w:lineRule="auto"/>
        <w:jc w:val="both"/>
        <w:rPr>
          <w:rFonts w:asciiTheme="majorBidi" w:eastAsia="Times New Roman" w:hAnsiTheme="majorBidi" w:cstheme="majorBidi"/>
          <w:noProof/>
        </w:rPr>
      </w:pPr>
      <w:r>
        <w:rPr>
          <w:rFonts w:asciiTheme="majorBidi" w:hAnsiTheme="majorBidi"/>
          <w:b/>
          <w:noProof/>
        </w:rPr>
        <w:t>GenAI4EU</w:t>
      </w:r>
      <w:r>
        <w:rPr>
          <w:rStyle w:val="FootnoteReference"/>
          <w:rFonts w:asciiTheme="majorBidi" w:eastAsia="Times New Roman" w:hAnsiTheme="majorBidi" w:cstheme="majorBidi"/>
          <w:noProof/>
        </w:rPr>
        <w:footnoteReference w:id="4"/>
      </w:r>
      <w:r>
        <w:rPr>
          <w:rFonts w:asciiTheme="majorBidi" w:hAnsiTheme="majorBidi"/>
          <w:b/>
          <w:noProof/>
        </w:rPr>
        <w:t>:</w:t>
      </w:r>
      <w:r>
        <w:rPr>
          <w:rFonts w:asciiTheme="majorBidi" w:hAnsiTheme="majorBidi"/>
          <w:noProof/>
        </w:rPr>
        <w:t xml:space="preserve"> în contextul inițiativei GenAI4EU, care stimulează dezvoltarea IA generative „fabricată în Europa”, Comisia Europeană și-a intensificat în mod semnificativ eforturile de sprijinire a dezvoltării modelelor de IA, având ca principiu de bază modelele de IA cu sursă deschisă. </w:t>
      </w:r>
      <w:r>
        <w:rPr>
          <w:rFonts w:asciiTheme="majorBidi" w:hAnsiTheme="majorBidi"/>
          <w:b/>
          <w:noProof/>
        </w:rPr>
        <w:t>Prin intermediul programului Orizont Europa, Comisia a alocat 50 de milioane EUR pentru a promova modele de IA deschise.</w:t>
      </w:r>
    </w:p>
    <w:p>
      <w:pPr>
        <w:spacing w:after="120" w:line="240" w:lineRule="auto"/>
        <w:jc w:val="both"/>
        <w:rPr>
          <w:rFonts w:asciiTheme="majorBidi" w:eastAsia="Times New Roman" w:hAnsiTheme="majorBidi" w:cstheme="majorBidi"/>
          <w:noProof/>
        </w:rPr>
      </w:pPr>
      <w:r>
        <w:rPr>
          <w:rFonts w:asciiTheme="majorBidi" w:hAnsiTheme="majorBidi"/>
          <w:b/>
          <w:noProof/>
        </w:rPr>
        <w:lastRenderedPageBreak/>
        <w:t>OpenEuroLLM</w:t>
      </w:r>
      <w:r>
        <w:rPr>
          <w:rStyle w:val="FootnoteReference"/>
          <w:rFonts w:asciiTheme="majorBidi" w:eastAsia="Times New Roman" w:hAnsiTheme="majorBidi" w:cstheme="majorBidi"/>
          <w:noProof/>
        </w:rPr>
        <w:footnoteReference w:id="5"/>
      </w:r>
      <w:r>
        <w:rPr>
          <w:rFonts w:asciiTheme="majorBidi" w:hAnsiTheme="majorBidi"/>
          <w:b/>
          <w:noProof/>
        </w:rPr>
        <w:t xml:space="preserve">: </w:t>
      </w:r>
      <w:r>
        <w:rPr>
          <w:rFonts w:asciiTheme="majorBidi" w:hAnsiTheme="majorBidi"/>
          <w:noProof/>
        </w:rPr>
        <w:t xml:space="preserve">pentru a asigura poziția de lider a Europei în domeniul IA generative și pentru a reduce dependența de sistemele de tip „cutie neagră” care fac obiectul unui drept de proprietate din țări terțe, </w:t>
      </w:r>
      <w:r>
        <w:rPr>
          <w:rFonts w:asciiTheme="majorBidi" w:hAnsiTheme="majorBidi"/>
          <w:b/>
          <w:noProof/>
        </w:rPr>
        <w:t>programul „Europa digitală” co-investește 20 de milioane EUR, dintr-un cost total al proiectului de 38 de milioane EUR</w:t>
      </w:r>
      <w:r>
        <w:rPr>
          <w:rFonts w:asciiTheme="majorBidi" w:hAnsiTheme="majorBidi"/>
          <w:noProof/>
        </w:rPr>
        <w:t>, în proiectul OpenEuroLLM. Această inițiativă emblematică urmărește să ofere modele europene de uz general de înaltă performanță, „cu adevărat deschise”, care să acopere, în mod nativ, toate cele 24 de limbi oficiale ale UE. Dincolo de simpla publicare a ponderilor modelelor, OpenEuroLLM asigură transparența deplină prin furnizarea deschisă a seturilor de date anterioare antrenării, a fluxurile de antrenare și a indicatorilor de evaluare. Valorificând puterea masivă de calcul a rețelei EuroHPC, aceste modele sunt concepute de la zero pentru a fi pe deplin conforme cu cadrele de reglementare europene, inclusiv cu Regulamentul general privind protecția datelor (RGPD) și cu Regulamentul privind IA. Recunoscută cu marca platformei Tehnologii strategice pentru Europa (STEP), OpenEuroLLM le oferă IMM-urilor, cercetătorilor și administrațiilor publice europene un nivel de referință sigur, suveran și reprezentativ din punct de vedere cultural pentru a construi și a extinde aplicații de IA competitive.</w:t>
      </w:r>
    </w:p>
    <w:p>
      <w:pPr>
        <w:spacing w:after="120" w:line="240" w:lineRule="auto"/>
        <w:jc w:val="both"/>
        <w:rPr>
          <w:rFonts w:asciiTheme="majorBidi" w:eastAsia="Times New Roman" w:hAnsiTheme="majorBidi" w:cstheme="majorBidi"/>
          <w:noProof/>
        </w:rPr>
      </w:pPr>
      <w:r>
        <w:rPr>
          <w:rFonts w:asciiTheme="majorBidi" w:hAnsiTheme="majorBidi"/>
          <w:b/>
          <w:noProof/>
        </w:rPr>
        <w:t>Platforma de IA la cerere (AIOD)</w:t>
      </w:r>
      <w:r>
        <w:rPr>
          <w:rStyle w:val="FootnoteReference"/>
          <w:rFonts w:asciiTheme="majorBidi" w:eastAsia="Times New Roman" w:hAnsiTheme="majorBidi" w:cstheme="majorBidi"/>
          <w:noProof/>
        </w:rPr>
        <w:footnoteReference w:id="6"/>
      </w:r>
      <w:r>
        <w:rPr>
          <w:rFonts w:asciiTheme="majorBidi" w:hAnsiTheme="majorBidi"/>
          <w:b/>
          <w:noProof/>
        </w:rPr>
        <w:t>:</w:t>
      </w:r>
      <w:r>
        <w:rPr>
          <w:rFonts w:asciiTheme="majorBidi" w:hAnsiTheme="majorBidi"/>
          <w:noProof/>
        </w:rPr>
        <w:t xml:space="preserve"> platforma de IA la cerere oferă o infrastructură centralizată, cu sursă deschisă, care face legătura între cercetarea avansată și implementarea pe piață. În ceea ce privește cercetarea, platforma colectează în mod sistematic, cataloghează și asigură distribuția la scară largă a modelelor, a seturilor de date și a algoritmilor generați de proiectele Orizont Europa axate pe IA, prevenind fragmentarea inovării finanțate din fonduri publice. În mod esențial, platforma funcționează într-o sinergie bidirecțională strategică cu rețeaua de </w:t>
      </w:r>
      <w:r>
        <w:rPr>
          <w:rFonts w:asciiTheme="majorBidi" w:hAnsiTheme="majorBidi"/>
          <w:b/>
          <w:noProof/>
        </w:rPr>
        <w:t>centre europene de inovare digitală (EDIH)</w:t>
      </w:r>
      <w:r>
        <w:rPr>
          <w:rFonts w:asciiTheme="majorBidi" w:hAnsiTheme="majorBidi"/>
          <w:noProof/>
        </w:rPr>
        <w:t>. Acesta colectează soluții cu sursă deschisă dezvoltate la nivel local de la centrele europene de inovare digitală regionale pentru a le oferi vizibilitate și distribuție la nivelul UE. În același timp, platforma dotează centrele europene de inovare digitală cu elemente constitutive de IA mature, la nivel european, pentru a fi implementate în rândul IMM-urilor locale și al clienților lor din sectorul public. Acest flux bidirecțional nu numai că stimulează adoptarea pe piață, ci oferă atenția critică și baza de clienți necesare pentru a asigura durabilitatea pe termen mediu și lung a activelor europene de IA cu sursă deschisă.</w:t>
      </w:r>
    </w:p>
    <w:p>
      <w:pPr>
        <w:spacing w:after="120" w:line="240" w:lineRule="auto"/>
        <w:jc w:val="both"/>
        <w:rPr>
          <w:rFonts w:asciiTheme="majorBidi" w:eastAsia="Times New Roman" w:hAnsiTheme="majorBidi" w:cstheme="majorBidi"/>
          <w:noProof/>
        </w:rPr>
      </w:pPr>
      <w:r>
        <w:rPr>
          <w:rFonts w:asciiTheme="majorBidi" w:hAnsiTheme="majorBidi"/>
          <w:b/>
          <w:noProof/>
        </w:rPr>
        <w:t>ELLIOT</w:t>
      </w:r>
      <w:r>
        <w:rPr>
          <w:rStyle w:val="FootnoteReference"/>
          <w:rFonts w:asciiTheme="majorBidi" w:eastAsia="Times New Roman" w:hAnsiTheme="majorBidi" w:cstheme="majorBidi"/>
          <w:noProof/>
        </w:rPr>
        <w:footnoteReference w:id="7"/>
      </w:r>
      <w:r>
        <w:rPr>
          <w:rFonts w:asciiTheme="majorBidi" w:hAnsiTheme="majorBidi"/>
          <w:noProof/>
        </w:rPr>
        <w:t xml:space="preserve">: un proiect Orizont Europa în valoare de 25 de milioane EUR, care se axează pe dezvoltarea unor modele multimodale generaliste capabile să învețe dintr-o gamă largă de tipuri de date, cum ar fi texte, imagini, materiale video, date provenite de la senzori, fluxuri prin satelit și să transfere aceste cunoștințe către diverse sarcini din aval. ELLIOT urmărește să producă </w:t>
      </w:r>
      <w:r>
        <w:rPr>
          <w:rFonts w:asciiTheme="majorBidi" w:hAnsiTheme="majorBidi"/>
          <w:b/>
          <w:noProof/>
        </w:rPr>
        <w:t>modele, seturi de date și fluxuri de antrenare</w:t>
      </w:r>
      <w:r>
        <w:rPr>
          <w:rFonts w:asciiTheme="majorBidi" w:hAnsiTheme="majorBidi"/>
          <w:noProof/>
        </w:rPr>
        <w:t xml:space="preserve"> care să fie pe deplin </w:t>
      </w:r>
      <w:r>
        <w:rPr>
          <w:rFonts w:asciiTheme="majorBidi" w:hAnsiTheme="majorBidi"/>
          <w:b/>
          <w:noProof/>
        </w:rPr>
        <w:t>cu sursă deschisă</w:t>
      </w:r>
      <w:r>
        <w:rPr>
          <w:rFonts w:asciiTheme="majorBidi" w:hAnsiTheme="majorBidi"/>
          <w:noProof/>
        </w:rPr>
        <w:t xml:space="preserve"> și reproductibile.</w:t>
      </w:r>
    </w:p>
    <w:p>
      <w:pPr>
        <w:pStyle w:val="Standard"/>
        <w:spacing w:after="120"/>
        <w:jc w:val="both"/>
        <w:rPr>
          <w:rFonts w:asciiTheme="majorBidi" w:eastAsia="Times New Roman" w:hAnsiTheme="majorBidi" w:cstheme="majorBidi"/>
          <w:noProof/>
        </w:rPr>
      </w:pPr>
      <w:r>
        <w:rPr>
          <w:rFonts w:asciiTheme="majorBidi" w:hAnsiTheme="majorBidi"/>
          <w:b/>
          <w:noProof/>
        </w:rPr>
        <w:t>Cloudul european pentru știința deschisă (EOSC)</w:t>
      </w:r>
      <w:r>
        <w:rPr>
          <w:rStyle w:val="FootnoteReference"/>
          <w:rFonts w:asciiTheme="majorBidi" w:eastAsia="Times New Roman" w:hAnsiTheme="majorBidi" w:cstheme="majorBidi"/>
          <w:noProof/>
        </w:rPr>
        <w:footnoteReference w:id="8"/>
      </w:r>
      <w:r>
        <w:rPr>
          <w:rFonts w:asciiTheme="majorBidi" w:hAnsiTheme="majorBidi"/>
          <w:noProof/>
        </w:rPr>
        <w:t xml:space="preserve">: în calitate de spațiu european comun al datelor pentru cercetare și inovare, EOSC reunește date de cercetare și servicii științifice din registre de date, infrastructuri de cercetare și furnizori de servicii științifice din întreaga Europă, utilizând standarde deschise și cadre de interoperabilitate. Acesta le oferă cercetătorilor și inovatorilor din Europa un mediu multidisciplinar deschis și de încredere pentru a publica, a găsi și a reutiliza date, instrumente și servicii. </w:t>
      </w:r>
    </w:p>
    <w:p>
      <w:pPr>
        <w:pStyle w:val="Standard"/>
        <w:spacing w:after="120"/>
        <w:jc w:val="both"/>
        <w:rPr>
          <w:rFonts w:asciiTheme="majorBidi" w:eastAsia="Times New Roman" w:hAnsiTheme="majorBidi" w:cstheme="majorBidi"/>
          <w:noProof/>
        </w:rPr>
      </w:pPr>
      <w:r>
        <w:rPr>
          <w:rFonts w:asciiTheme="majorBidi" w:hAnsiTheme="majorBidi"/>
          <w:b/>
          <w:noProof/>
        </w:rPr>
        <w:t>Un incubator de servicii și de afaceri pentru dezvoltări geospațiale cu sursă deschisă</w:t>
      </w:r>
      <w:r>
        <w:rPr>
          <w:rStyle w:val="FootnoteReference"/>
          <w:rFonts w:asciiTheme="majorBidi" w:eastAsia="Times New Roman" w:hAnsiTheme="majorBidi" w:cstheme="majorBidi"/>
          <w:noProof/>
        </w:rPr>
        <w:footnoteReference w:id="9"/>
      </w:r>
      <w:r>
        <w:rPr>
          <w:rFonts w:asciiTheme="majorBidi" w:hAnsiTheme="majorBidi"/>
          <w:b/>
          <w:noProof/>
        </w:rPr>
        <w:t xml:space="preserve">: </w:t>
      </w:r>
      <w:r>
        <w:rPr>
          <w:rFonts w:asciiTheme="majorBidi" w:hAnsiTheme="majorBidi"/>
          <w:noProof/>
        </w:rPr>
        <w:t xml:space="preserve">în conformitate cu Strategia UE privind start-upurile și întreprinderile în faza de extindere, Comisia Europeană a instituit o acțiune de sprijin în valoare de 6 milioane EUR în cadrul </w:t>
      </w:r>
      <w:r>
        <w:rPr>
          <w:rFonts w:asciiTheme="majorBidi" w:hAnsiTheme="majorBidi"/>
          <w:noProof/>
        </w:rPr>
        <w:lastRenderedPageBreak/>
        <w:t>programului Orizont Europa, prin care se instituie un centru de incubare de afaceri și de sprijin pentru sectorul geospațial cu sursă deschisă, planificat să fie lansat în T1 2027. Platforma instituie un punct unic de intrare pentru a promova antreprenoriatul și dezvoltarea deschisă susținută în cadrul inițiativelor geospațiale critice cu sursă deschisă și utilizează instrumentul de sprijin financiar acordat terților pentru o acoperire eficace și amplă a comunităților.</w:t>
      </w:r>
    </w:p>
    <w:p>
      <w:pPr>
        <w:pStyle w:val="Standard"/>
        <w:spacing w:after="120"/>
        <w:jc w:val="both"/>
        <w:rPr>
          <w:rFonts w:asciiTheme="majorBidi" w:eastAsia="Times New Roman" w:hAnsiTheme="majorBidi" w:cstheme="majorBidi"/>
          <w:noProof/>
        </w:rPr>
      </w:pPr>
      <w:r>
        <w:rPr>
          <w:rFonts w:asciiTheme="majorBidi" w:hAnsiTheme="majorBidi"/>
          <w:b/>
          <w:noProof/>
        </w:rPr>
        <w:t>Destinația Pământ</w:t>
      </w:r>
      <w:r>
        <w:rPr>
          <w:rStyle w:val="FootnoteReference"/>
          <w:rFonts w:asciiTheme="majorBidi" w:eastAsia="Times New Roman" w:hAnsiTheme="majorBidi" w:cstheme="majorBidi"/>
          <w:noProof/>
        </w:rPr>
        <w:footnoteReference w:id="10"/>
      </w:r>
      <w:r>
        <w:rPr>
          <w:rFonts w:asciiTheme="majorBidi" w:hAnsiTheme="majorBidi"/>
          <w:noProof/>
        </w:rPr>
        <w:t>: sprijinit cu finanțare din partea UE în valoare de 150 de milioane EUR, acest proiect urmărește să creeze o replică foarte precisă a Pământului (un geamăn digital), care să permită simularea precisă a fenomenelor naturale, a pericolelor și a activităților umane conexe. În acest fel, utilizatorii pot decide cu privire la strategii de adaptare și la măsuri de atenuare realizabile. Software-ul dezvoltat în temeiul contractelor cu Centrul european pentru prognoze meteorologice pe termen mediu (CPMTM), Agenția Spațială Europeană (ESA) și Organizația Europeană pentru Exploatarea Sateliților Meteorologici (EUMETSAT) este partajat online, urmând principiile sursei deschise și permițând evaluări și contribuții comunitare.</w:t>
      </w:r>
    </w:p>
    <w:p>
      <w:pPr>
        <w:pStyle w:val="Standard"/>
        <w:spacing w:after="120"/>
        <w:jc w:val="both"/>
        <w:rPr>
          <w:rFonts w:asciiTheme="majorBidi" w:eastAsia="Times New Roman" w:hAnsiTheme="majorBidi" w:cstheme="majorBidi"/>
          <w:noProof/>
        </w:rPr>
      </w:pPr>
      <w:r>
        <w:rPr>
          <w:rFonts w:asciiTheme="majorBidi" w:hAnsiTheme="majorBidi"/>
          <w:b/>
          <w:noProof/>
        </w:rPr>
        <w:t>Organizația Europeană pentru Cercetare Nucleară (CERN)</w:t>
      </w:r>
      <w:r>
        <w:rPr>
          <w:rStyle w:val="FootnoteReference"/>
          <w:rFonts w:asciiTheme="majorBidi" w:eastAsia="Times New Roman" w:hAnsiTheme="majorBidi" w:cstheme="majorBidi"/>
          <w:noProof/>
        </w:rPr>
        <w:footnoteReference w:id="11"/>
      </w:r>
      <w:r>
        <w:rPr>
          <w:rFonts w:asciiTheme="majorBidi" w:hAnsiTheme="majorBidi"/>
          <w:noProof/>
        </w:rPr>
        <w:t xml:space="preserve">: o poveste europeană de succes pentru știința deschisă și cu sursă deschisă. CERN a dezvoltat și a extins infrastructuri deschise utilizate la scară largă, cum ar fi </w:t>
      </w:r>
      <w:r>
        <w:rPr>
          <w:rFonts w:asciiTheme="majorBidi" w:hAnsiTheme="majorBidi"/>
          <w:b/>
          <w:noProof/>
        </w:rPr>
        <w:t>ROOT</w:t>
      </w:r>
      <w:r>
        <w:rPr>
          <w:rFonts w:asciiTheme="majorBidi" w:hAnsiTheme="majorBidi"/>
          <w:noProof/>
        </w:rPr>
        <w:t xml:space="preserve">, cadrul său de analiză a datelor cu sursă deschisă, care gestionează în prezent peste </w:t>
      </w:r>
      <w:r>
        <w:rPr>
          <w:rFonts w:asciiTheme="majorBidi" w:hAnsiTheme="majorBidi"/>
          <w:b/>
          <w:noProof/>
        </w:rPr>
        <w:t>2 exabiți</w:t>
      </w:r>
      <w:r>
        <w:rPr>
          <w:rFonts w:asciiTheme="majorBidi" w:hAnsiTheme="majorBidi"/>
          <w:noProof/>
        </w:rPr>
        <w:t xml:space="preserve"> de date și care a fost utilizat în descoperiri științifice majore, cum ar fi descoperirea bosonului Higgs. De asemenea, aceasta a dezvoltat în comun </w:t>
      </w:r>
      <w:r>
        <w:rPr>
          <w:rFonts w:asciiTheme="majorBidi" w:hAnsiTheme="majorBidi"/>
          <w:b/>
          <w:noProof/>
        </w:rPr>
        <w:t>Zenodo</w:t>
      </w:r>
      <w:r>
        <w:rPr>
          <w:rFonts w:asciiTheme="majorBidi" w:hAnsiTheme="majorBidi"/>
          <w:noProof/>
        </w:rPr>
        <w:t xml:space="preserve"> împreună cu Infrastructura cu acces liber pentru cercetare în Europa (OpenAIRE), un registru deschis utilizat la scară largă pentru a face rezultatele cercetării citabile și reutilizabile, și a creat </w:t>
      </w:r>
      <w:r>
        <w:rPr>
          <w:rFonts w:asciiTheme="majorBidi" w:hAnsiTheme="majorBidi"/>
          <w:b/>
          <w:noProof/>
        </w:rPr>
        <w:t>Licența CERN de hardware cu sursă deschisă</w:t>
      </w:r>
      <w:r>
        <w:rPr>
          <w:rFonts w:asciiTheme="majorBidi" w:hAnsiTheme="majorBidi"/>
          <w:noProof/>
        </w:rPr>
        <w:t xml:space="preserve">, care a contribuit la pionieratul partajării hardware-ului cu sursă deschisă. Începând din 2023, </w:t>
      </w:r>
      <w:r>
        <w:rPr>
          <w:rFonts w:asciiTheme="majorBidi" w:hAnsiTheme="majorBidi"/>
          <w:b/>
          <w:noProof/>
        </w:rPr>
        <w:t>biroul pentru programe cu sursă deschisă (OSPO)</w:t>
      </w:r>
      <w:r>
        <w:rPr>
          <w:rFonts w:asciiTheme="majorBidi" w:hAnsiTheme="majorBidi"/>
          <w:noProof/>
        </w:rPr>
        <w:t xml:space="preserve"> al CERN a consolidat și mai mult acest model prin sprijinirea lansării și a reutilizării de software și hardware, precum și a colaborării în această privință între mediul științific și industrie. Începând din 2026, CERN va găzdui, de asemenea, platforma „Open Research Europe”, platforma europeană de publicare științifică fără scop lucrativ și cu acces liber.</w:t>
      </w:r>
    </w:p>
    <w:p>
      <w:pPr>
        <w:spacing w:after="120" w:line="240" w:lineRule="auto"/>
        <w:jc w:val="both"/>
        <w:rPr>
          <w:rFonts w:asciiTheme="majorBidi" w:eastAsia="Times New Roman" w:hAnsiTheme="majorBidi" w:cstheme="majorBidi"/>
          <w:noProof/>
        </w:rPr>
      </w:pPr>
      <w:r>
        <w:rPr>
          <w:rFonts w:asciiTheme="majorBidi" w:hAnsiTheme="majorBidi"/>
          <w:b/>
          <w:noProof/>
        </w:rPr>
        <w:t>Diversibus Viis Plurima Solvo (DVPS)</w:t>
      </w:r>
      <w:r>
        <w:rPr>
          <w:rStyle w:val="FootnoteReference"/>
          <w:rFonts w:asciiTheme="majorBidi" w:eastAsia="Times New Roman" w:hAnsiTheme="majorBidi" w:cstheme="majorBidi"/>
          <w:noProof/>
        </w:rPr>
        <w:footnoteReference w:id="12"/>
      </w:r>
      <w:r>
        <w:rPr>
          <w:rFonts w:asciiTheme="majorBidi" w:hAnsiTheme="majorBidi"/>
          <w:b/>
          <w:noProof/>
        </w:rPr>
        <w:t xml:space="preserve">: </w:t>
      </w:r>
      <w:r>
        <w:rPr>
          <w:rFonts w:asciiTheme="majorBidi" w:hAnsiTheme="majorBidi"/>
          <w:noProof/>
        </w:rPr>
        <w:t>sprijinită printr-un grant în valoare de 29 de milioane EUR în cadrul programului Orizont Europa, inițiativa DVPS reprezintă un efort emblematic de asigurare a poziției de lider în ceea ce privește modelele de uz general multimodale deschise. Coordonat de un consorțiu format din 20 de parteneri europeni de prim rang din mediul academic și din sectorul industrial, proiectul abordează în mod direct agendele UE privind suveranitatea digitală și competitivitatea prin dezvoltarea modelelor sale de uz general, a seturilor sale de date și a infrastructurii sale în temeiul unor licențe deschise, DVPS oferindu-le start-upurilor, cercetătorilor și administrațiilor publice europene o alternativă puternică și transparentă la modelele de IA care fac obiectul unui drept de proprietate din țări terțe, cu aplicații cu sursă deschisă imediate planificate pentru sectoare critice, cum ar fi cardiologia, observarea Pământului și tehnologiile limbajului incluziv.</w:t>
      </w:r>
    </w:p>
    <w:p>
      <w:pPr>
        <w:spacing w:after="120" w:line="240" w:lineRule="auto"/>
        <w:jc w:val="both"/>
        <w:rPr>
          <w:rFonts w:asciiTheme="majorBidi" w:eastAsia="Times New Roman" w:hAnsiTheme="majorBidi" w:cstheme="majorBidi"/>
          <w:noProof/>
        </w:rPr>
      </w:pPr>
      <w:r>
        <w:rPr>
          <w:rFonts w:asciiTheme="majorBidi" w:hAnsiTheme="majorBidi"/>
          <w:b/>
          <w:noProof/>
        </w:rPr>
        <w:t xml:space="preserve">Securitate cibernetică: </w:t>
      </w:r>
      <w:r>
        <w:rPr>
          <w:rFonts w:asciiTheme="majorBidi" w:hAnsiTheme="majorBidi"/>
          <w:noProof/>
        </w:rPr>
        <w:t>toate acțiunile de finanțare a securității cibernetice din cadrul Orizont Europa și al programului „Europa digitală” recunosc abordările cu sursă deschisă ca modele de afaceri viabile, lăsând părților interesate opțiunea voluntară de a le adopta.</w:t>
      </w:r>
    </w:p>
    <w:p>
      <w:pPr>
        <w:spacing w:after="120" w:line="240" w:lineRule="auto"/>
        <w:jc w:val="both"/>
        <w:rPr>
          <w:rFonts w:asciiTheme="majorBidi" w:eastAsia="Times New Roman" w:hAnsiTheme="majorBidi" w:cstheme="majorBidi"/>
          <w:noProof/>
        </w:rPr>
      </w:pPr>
      <w:r>
        <w:rPr>
          <w:rFonts w:asciiTheme="majorBidi" w:hAnsiTheme="majorBidi"/>
          <w:noProof/>
        </w:rPr>
        <w:t xml:space="preserve">Ca parte a punerii în aplicare a Regulamentului privind reziliența cibernetică, regulamentul emblematic al UE privind securitatea produselor, Comisia a achiziționat servicii pentru a sprijini elaborarea de atestări voluntare de securitate pentru proiectele de software cu sursă </w:t>
      </w:r>
      <w:r>
        <w:rPr>
          <w:rFonts w:asciiTheme="majorBidi" w:hAnsiTheme="majorBidi"/>
          <w:noProof/>
        </w:rPr>
        <w:lastRenderedPageBreak/>
        <w:t xml:space="preserve">deschisă și lucrează la orientări privind definirea și obligațiile administratorilor de software cu sursă deschisă în temeiul legislației. În plus, Comisia a facilitat participarea comunităților de dezvoltare a soluțiilor cu sursă deschisă la elaborarea de standarde armonizate, inclusiv prin acordarea de granturi individuale prin intermediul </w:t>
      </w:r>
      <w:r>
        <w:rPr>
          <w:rFonts w:asciiTheme="majorBidi" w:hAnsiTheme="majorBidi"/>
          <w:b/>
          <w:noProof/>
        </w:rPr>
        <w:t>proiectului Cyberstand.eu</w:t>
      </w:r>
      <w:r>
        <w:rPr>
          <w:rStyle w:val="FootnoteReference"/>
          <w:rFonts w:asciiTheme="majorBidi" w:eastAsia="Times New Roman" w:hAnsiTheme="majorBidi" w:cstheme="majorBidi"/>
          <w:noProof/>
        </w:rPr>
        <w:footnoteReference w:id="13"/>
      </w:r>
      <w:r>
        <w:rPr>
          <w:rFonts w:asciiTheme="majorBidi" w:hAnsiTheme="majorBidi"/>
          <w:noProof/>
        </w:rPr>
        <w:t xml:space="preserve"> finanțat de programul „Europa digitală” și prin colaborarea cu organizațiile europene de standardizare, cum ar fi Comitetul European de Standardizare (CEN), Comitetul European de Standardizare în Electrotehnică (Cenelec) și Institutul European de Standardizare în Telecomunicații (ETSI), pentru a promova și a asigura participarea contributorilor la sursa deschisă. Prin intermediul programului „Europa digitală”, Comisia a finanțat, de asemenea, mai multe proiecte care vizează dezvoltarea unei serii de instrumente cu sursă deschisă pentru a sprijini respectarea Regulamentului privind reziliența cibernetică.</w:t>
      </w:r>
    </w:p>
    <w:p>
      <w:pPr>
        <w:spacing w:after="120" w:line="240" w:lineRule="auto"/>
        <w:jc w:val="both"/>
        <w:rPr>
          <w:rFonts w:asciiTheme="majorBidi" w:eastAsia="Times New Roman" w:hAnsiTheme="majorBidi" w:cstheme="majorBidi"/>
          <w:noProof/>
        </w:rPr>
      </w:pPr>
      <w:r>
        <w:rPr>
          <w:rFonts w:asciiTheme="majorBidi" w:hAnsiTheme="majorBidi"/>
          <w:b/>
          <w:noProof/>
        </w:rPr>
        <w:t xml:space="preserve">Cipurile: </w:t>
      </w:r>
      <w:r>
        <w:rPr>
          <w:rFonts w:asciiTheme="majorBidi" w:hAnsiTheme="majorBidi"/>
          <w:noProof/>
        </w:rPr>
        <w:t>în ceea ce privește inițiativele în domeniul surselor deschise, majoritatea acestora se axează pe hardware cu sursă deschisă, cu un accent puternic pe RISC-V. Procesoarele RISC-V sunt deja implementate la nivel mondial, iar Europa (inclusiv prin investiții de aproximativ 500 de milioane EUR în RISC-V deschise prin intermediul întreprinderii comune pentru cipuri</w:t>
      </w:r>
      <w:r>
        <w:rPr>
          <w:rStyle w:val="FootnoteReference"/>
          <w:rFonts w:asciiTheme="majorBidi" w:eastAsia="Times New Roman" w:hAnsiTheme="majorBidi" w:cstheme="majorBidi"/>
          <w:noProof/>
        </w:rPr>
        <w:footnoteReference w:id="14"/>
      </w:r>
      <w:r>
        <w:rPr>
          <w:rFonts w:asciiTheme="majorBidi" w:hAnsiTheme="majorBidi"/>
          <w:noProof/>
        </w:rPr>
        <w:t xml:space="preserve">) are posibilitatea de a-și consolida poziția în următoarea generație de modele de sisteme pe cipuri bazate pe RISC-V și în lanțurile de instrumente deschise de sprijin. Acțiunile viitoare ale UE ar trebui să se concentreze asupra elementelor constitutive deschise care reduc dependențele, cum ar fi elementele constitutive ale proprietății intelectuale (PI) deschise, proiectele de verificare și de referință, componentele compilatorului și ale setului de instrumente, precum și capabilitățile selectate de automatizare a proiectării electronice, în coordonare cu statele membre și cu inițiativele industriale deja în curs. </w:t>
      </w:r>
    </w:p>
    <w:p>
      <w:pPr>
        <w:spacing w:after="120" w:line="240" w:lineRule="auto"/>
        <w:jc w:val="both"/>
        <w:rPr>
          <w:rFonts w:asciiTheme="majorBidi" w:eastAsia="Times New Roman" w:hAnsiTheme="majorBidi" w:cstheme="majorBidi"/>
          <w:noProof/>
        </w:rPr>
      </w:pPr>
      <w:r>
        <w:rPr>
          <w:rFonts w:asciiTheme="majorBidi" w:hAnsiTheme="majorBidi"/>
          <w:b/>
          <w:noProof/>
        </w:rPr>
        <w:t>Internetul obiectelor (IoT) – edge computing</w:t>
      </w:r>
      <w:r>
        <w:rPr>
          <w:rStyle w:val="FootnoteReference"/>
          <w:rFonts w:asciiTheme="majorBidi" w:eastAsia="Times New Roman" w:hAnsiTheme="majorBidi" w:cstheme="majorBidi"/>
          <w:b/>
          <w:bCs/>
          <w:noProof/>
        </w:rPr>
        <w:footnoteReference w:id="15"/>
      </w:r>
      <w:r>
        <w:rPr>
          <w:rFonts w:asciiTheme="majorBidi" w:hAnsiTheme="majorBidi"/>
          <w:noProof/>
        </w:rPr>
        <w:t>: în conformitate cu datele, strategiile verzi și industriale ale Europei, pentru valorificarea schimbării de paradigmă către tehnica de edge computing, s-au cheltuit peste 250 de milioane EUR în cadrul programului Orizont Europa pentru dezvoltarea și implementarea următoarei generații de componente de edge computing, metasisteme de operare și platforme de margine a IoT care permit această tranziție către un continuum de calcul cu capacități puternice la marginea rețelei și la marginea îndepărtată a rețelei într-un mod fiabil. Principalele realizări au fost crearea lanțurilor valorice și de aprovizionare europene în domeniul calculul de tip cloud-to-edge și al internetului obiectelor (IoT) prin integrarea elementelor relevante de calcul, conectivitate, IoT, IA, precum și consolidarea performanței și a autonomiei sistemului facilitate de IA, necesare pentru a sprijini viitoarele aplicații hiperdistribuite.</w:t>
      </w:r>
    </w:p>
    <w:p>
      <w:pPr>
        <w:spacing w:after="120" w:line="240" w:lineRule="auto"/>
        <w:jc w:val="both"/>
        <w:rPr>
          <w:rFonts w:asciiTheme="majorBidi" w:eastAsia="Times New Roman" w:hAnsiTheme="majorBidi" w:cstheme="majorBidi"/>
          <w:noProof/>
        </w:rPr>
      </w:pPr>
      <w:r>
        <w:rPr>
          <w:rFonts w:asciiTheme="majorBidi" w:hAnsiTheme="majorBidi"/>
          <w:b/>
          <w:noProof/>
        </w:rPr>
        <w:t>Vehicule definite prin software (SDV)</w:t>
      </w:r>
      <w:r>
        <w:rPr>
          <w:rStyle w:val="FootnoteReference"/>
          <w:rFonts w:asciiTheme="majorBidi" w:eastAsia="Times New Roman" w:hAnsiTheme="majorBidi" w:cstheme="majorBidi"/>
          <w:noProof/>
        </w:rPr>
        <w:footnoteReference w:id="16"/>
      </w:r>
      <w:r>
        <w:rPr>
          <w:rFonts w:asciiTheme="majorBidi" w:hAnsiTheme="majorBidi"/>
          <w:noProof/>
        </w:rPr>
        <w:t>: în cadrul întreprinderii comune pentru cipuri, UE pune la dispoziție aproximativ 250 de milioane EUR, la care se adaugă o sumă similară din partea statelor membre participante pentru componente, interfețe și seturi de instrumente DevOps cu sursă deschisă pentru SDV. Aceste acțiuni vor fi conectate la mecanisme de extindere, cum ar fi testarea și validarea, sprijinul pentru integrare, căile de certificare și pregătirea pentru achiziții publice pentru a transpune rezultatele cercetării și inovării (C&amp;I) în implementare industrială și interoperabilitate la nivel european, reducând în același timp riscurile de dependență.</w:t>
      </w:r>
    </w:p>
    <w:p>
      <w:pPr>
        <w:spacing w:after="120" w:line="240" w:lineRule="auto"/>
        <w:jc w:val="both"/>
        <w:rPr>
          <w:rFonts w:asciiTheme="majorBidi" w:eastAsia="Aptos" w:hAnsiTheme="majorBidi" w:cstheme="majorBidi"/>
          <w:noProof/>
        </w:rPr>
      </w:pPr>
      <w:r>
        <w:rPr>
          <w:rFonts w:asciiTheme="majorBidi" w:hAnsiTheme="majorBidi"/>
          <w:b/>
          <w:noProof/>
        </w:rPr>
        <w:t>IA pentru binele public și gemenii digitali locali</w:t>
      </w:r>
      <w:r>
        <w:rPr>
          <w:rFonts w:asciiTheme="majorBidi" w:hAnsiTheme="majorBidi"/>
          <w:noProof/>
        </w:rPr>
        <w:t xml:space="preserve">: Comisia a achiziționat servicii de dezvoltare a unor modele inovatoare de IA cu sursă deschisă pentru a aborda scenarii critice pentru ca orașele și administrațiile publice să consolideze capabilitățile UE și să își protejeze </w:t>
      </w:r>
      <w:r>
        <w:rPr>
          <w:rFonts w:asciiTheme="majorBidi" w:hAnsiTheme="majorBidi"/>
          <w:noProof/>
        </w:rPr>
        <w:lastRenderedPageBreak/>
        <w:t>suveranitatea tehnologică. În contextul inițiativei „IA pentru binele public”</w:t>
      </w:r>
      <w:r>
        <w:rPr>
          <w:rStyle w:val="FootnoteReference"/>
          <w:rFonts w:asciiTheme="majorBidi" w:eastAsia="Aptos" w:hAnsiTheme="majorBidi" w:cstheme="majorBidi"/>
          <w:noProof/>
        </w:rPr>
        <w:footnoteReference w:id="17"/>
      </w:r>
      <w:r>
        <w:rPr>
          <w:rFonts w:asciiTheme="majorBidi" w:hAnsiTheme="majorBidi"/>
          <w:noProof/>
        </w:rPr>
        <w:t xml:space="preserve"> și al GenAI pentru Africa</w:t>
      </w:r>
      <w:r>
        <w:rPr>
          <w:rStyle w:val="FootnoteReference"/>
          <w:rFonts w:asciiTheme="majorBidi" w:eastAsia="Aptos" w:hAnsiTheme="majorBidi" w:cstheme="majorBidi"/>
          <w:noProof/>
        </w:rPr>
        <w:footnoteReference w:id="18"/>
      </w:r>
      <w:r>
        <w:rPr>
          <w:rFonts w:asciiTheme="majorBidi" w:hAnsiTheme="majorBidi"/>
          <w:noProof/>
        </w:rPr>
        <w:t xml:space="preserve">, Comisia Europeană dezvoltă modele și platforme avansate de IA cu sursă deschisă pentru a aborda provocările critice în domeniul schimbărilor climatice, al insecurității energetice, al dezastrelor naturale, al optimizării agriculturii, al planificării urbane, al competențelor digitale și al sănătății. </w:t>
      </w:r>
    </w:p>
    <w:p>
      <w:pPr>
        <w:spacing w:after="120" w:line="240" w:lineRule="auto"/>
        <w:jc w:val="both"/>
        <w:rPr>
          <w:rFonts w:asciiTheme="majorBidi" w:eastAsia="Times New Roman" w:hAnsiTheme="majorBidi" w:cstheme="majorBidi"/>
          <w:noProof/>
        </w:rPr>
      </w:pPr>
      <w:r>
        <w:rPr>
          <w:rFonts w:asciiTheme="majorBidi" w:hAnsiTheme="majorBidi"/>
          <w:b/>
          <w:noProof/>
        </w:rPr>
        <w:t>Consorțiul pentru o infrastructură digitală europeană pentru rețeaua de gemeni digitali ai orașului către CitiVERSE (LDT CitiVERSE EDIC)</w:t>
      </w:r>
      <w:r>
        <w:rPr>
          <w:rStyle w:val="FootnoteReference"/>
          <w:rFonts w:asciiTheme="majorBidi" w:eastAsia="Times New Roman" w:hAnsiTheme="majorBidi" w:cstheme="majorBidi"/>
          <w:noProof/>
        </w:rPr>
        <w:footnoteReference w:id="19"/>
      </w:r>
      <w:r>
        <w:rPr>
          <w:rFonts w:asciiTheme="majorBidi" w:hAnsiTheme="majorBidi"/>
          <w:noProof/>
        </w:rPr>
        <w:t xml:space="preserve"> oferă un mecanism esențial pentru ca Strategia privind aplicarea IA să devină realitate – prin punerea instrumentelor IA în mâinile administrațiilor locale și ale municipalităților pentru a îmbunătăți procesul decizional și pentru a oferi soluții reutilizabile cu sursă deschisă care să abordeze provocări precum impactul condițiilor de trafic în schimbare asupra calității aerului, a decarbonizării și a congestionării.</w:t>
      </w:r>
    </w:p>
    <w:p>
      <w:pPr>
        <w:spacing w:after="120" w:line="240" w:lineRule="auto"/>
        <w:jc w:val="both"/>
        <w:rPr>
          <w:rFonts w:asciiTheme="majorBidi" w:eastAsia="Times New Roman" w:hAnsiTheme="majorBidi" w:cstheme="majorBidi"/>
          <w:noProof/>
        </w:rPr>
      </w:pPr>
      <w:r>
        <w:rPr>
          <w:rFonts w:asciiTheme="majorBidi" w:hAnsiTheme="majorBidi"/>
          <w:b/>
          <w:noProof/>
        </w:rPr>
        <w:t>Identitatea digitală</w:t>
      </w:r>
      <w:r>
        <w:rPr>
          <w:rFonts w:asciiTheme="majorBidi" w:hAnsiTheme="majorBidi"/>
          <w:noProof/>
        </w:rPr>
        <w:t xml:space="preserve">: </w:t>
      </w:r>
      <w:r>
        <w:rPr>
          <w:rFonts w:asciiTheme="majorBidi" w:hAnsiTheme="majorBidi"/>
          <w:b/>
          <w:noProof/>
        </w:rPr>
        <w:t>Regulamentul privind identitatea digitală europeană (EUDIR)</w:t>
      </w:r>
      <w:r>
        <w:rPr>
          <w:rStyle w:val="FootnoteReference"/>
          <w:rFonts w:asciiTheme="majorBidi" w:eastAsia="Times New Roman" w:hAnsiTheme="majorBidi" w:cstheme="majorBidi"/>
          <w:noProof/>
        </w:rPr>
        <w:footnoteReference w:id="20"/>
      </w:r>
      <w:r>
        <w:rPr>
          <w:rFonts w:asciiTheme="majorBidi" w:hAnsiTheme="majorBidi"/>
          <w:noProof/>
        </w:rPr>
        <w:t xml:space="preserve"> stabilește sursa deschisă drept standard juridic implicit pentru </w:t>
      </w:r>
      <w:r>
        <w:rPr>
          <w:rFonts w:asciiTheme="majorBidi" w:hAnsiTheme="majorBidi"/>
          <w:b/>
          <w:noProof/>
        </w:rPr>
        <w:t>portofelul european pentru identitatea digitală</w:t>
      </w:r>
      <w:r>
        <w:rPr>
          <w:rFonts w:asciiTheme="majorBidi" w:hAnsiTheme="majorBidi"/>
          <w:noProof/>
        </w:rPr>
        <w:t>: componentele software ale aplicațiilor trebuie să fie cu sursă deschisă, cu doar unele excepții strict justificate. Această dispoziție încorporează sursa deschisă într-un element central al infrastructurii publice digitale europene și oferă securitate juridică pe termen lung, posibilitatea auditării și a reutilizării pentru ecosistem. Aceste obligații sunt specificate progresiv prin acte de punere în aplicare, transformând intenția de politică în cerințe tehnice executorii. Inițiativa privind portofelul european pentru întreprinderi</w:t>
      </w:r>
      <w:r>
        <w:rPr>
          <w:rStyle w:val="FootnoteReference"/>
          <w:rFonts w:asciiTheme="majorBidi" w:eastAsia="Times New Roman" w:hAnsiTheme="majorBidi" w:cstheme="majorBidi"/>
          <w:noProof/>
        </w:rPr>
        <w:footnoteReference w:id="21"/>
      </w:r>
      <w:r>
        <w:rPr>
          <w:rFonts w:asciiTheme="majorBidi" w:hAnsiTheme="majorBidi"/>
          <w:noProof/>
        </w:rPr>
        <w:t xml:space="preserve"> nu impune o obligație explicită legată de utilizarea licențelor cu sursă deschisă, reflectând orientarea sa către sectorul privat. Cu toate acestea, ea impune reutilizarea standardelor prevăzute de EUDIR, a componentelor cadrului de încredere și a formatelor deschise. Pentru a asigura administrarea independentă pe termen lung a implementărilor de referință ale portofelului european pentru identitatea digitală și ale portofelului european pentru întreprinderi sau a componentelor cu sursă deschisă, custodia registrelor de soluții cu sursă deschisă corespunzătoare va fi transferată Fundației pentru infrastructura publică digitală europeană, astfel cum se prevede în secțiunea 2.1. Fundația va găzdui, de asemenea, în cadrul unui flux dedicat de IA, activele IA cu sursă deschisă menționate în aceeași secțiune. Această structură de reglementare favorizează puternic soluțiile interoperabile și transparente, creând avantaje structurale pentru implementările de soluții cu sursă deschisă, chiar și în cazul în care acordarea licențelor rămâne determinată de piață.</w:t>
      </w:r>
      <w:r>
        <w:rPr>
          <w:rFonts w:asciiTheme="majorBidi" w:hAnsiTheme="majorBidi"/>
          <w:strike/>
          <w:noProof/>
        </w:rPr>
        <w:t xml:space="preserve"> </w:t>
      </w:r>
    </w:p>
    <w:p>
      <w:pPr>
        <w:spacing w:after="120" w:line="240" w:lineRule="auto"/>
        <w:jc w:val="both"/>
        <w:rPr>
          <w:rFonts w:asciiTheme="majorBidi" w:eastAsia="Times New Roman" w:hAnsiTheme="majorBidi" w:cstheme="majorBidi"/>
          <w:noProof/>
        </w:rPr>
      </w:pPr>
      <w:r>
        <w:rPr>
          <w:rFonts w:asciiTheme="majorBidi" w:hAnsiTheme="majorBidi"/>
          <w:noProof/>
        </w:rPr>
        <w:t xml:space="preserve">În plus, portofelul european pentru identitatea digitală este sprijinit de o arhitectură și un cadru de referință comune, care acționează ca o completare a actelor de punere în aplicare în ceea ce privește stabilirea nivelului de referință tehnic în toate statele membre. Împreună cu o implementare de referință cu sursă deschisă susținută de Comisie, acest lucru diminuează fragmentarea, reduce barierele la intrare și ancorează interoperabilitatea mai degrabă în exploatarea software-ului decât în specificații abstracte. Modelul de dezvoltare colaborativă sporește și mai mult reutilizarea componentelor cu sursă deschisă dincolo de contextul identității digitale europene. Portofelul european pentru întreprinderi se bazează direct pe aceleași fundamente tehnice ale identității digitale europene. Deși nu introduce o implementare de referință separată, soluțiile aferente portofelului european pentru întreprinderi trebuie să reutilizeze standardele și componentele aferente identității digitale europene. Prin urmare, implementările existente cu sursă deschisă aferente identității digitale europene pot fi extinse </w:t>
      </w:r>
      <w:r>
        <w:rPr>
          <w:rFonts w:asciiTheme="majorBidi" w:hAnsiTheme="majorBidi"/>
          <w:noProof/>
        </w:rPr>
        <w:lastRenderedPageBreak/>
        <w:t>direct pentru cazurile de utilizare comercială, sporind reutilizarea în aval fără a crea baze de coduri paralele.</w:t>
      </w:r>
    </w:p>
    <w:p>
      <w:pPr>
        <w:spacing w:after="120" w:line="240" w:lineRule="auto"/>
        <w:jc w:val="both"/>
        <w:rPr>
          <w:rFonts w:asciiTheme="majorBidi" w:eastAsia="Times New Roman" w:hAnsiTheme="majorBidi" w:cstheme="majorBidi"/>
          <w:noProof/>
        </w:rPr>
      </w:pPr>
      <w:r>
        <w:rPr>
          <w:rFonts w:asciiTheme="majorBidi" w:hAnsiTheme="majorBidi"/>
          <w:b/>
          <w:noProof/>
        </w:rPr>
        <w:t>Verificarea vârstei</w:t>
      </w:r>
      <w:r>
        <w:rPr>
          <w:rStyle w:val="FootnoteReference"/>
          <w:rFonts w:asciiTheme="majorBidi" w:eastAsia="Times New Roman" w:hAnsiTheme="majorBidi" w:cstheme="majorBidi"/>
          <w:b/>
          <w:bCs/>
          <w:noProof/>
        </w:rPr>
        <w:footnoteReference w:id="22"/>
      </w:r>
      <w:r>
        <w:rPr>
          <w:rFonts w:asciiTheme="majorBidi" w:hAnsiTheme="majorBidi"/>
          <w:noProof/>
        </w:rPr>
        <w:t xml:space="preserve">: Comisia Europeană a dezvoltat o soluție solidă de verificare a vârstei cu sursă deschisă, care protejează viața privată, implementând modelul de verificare a vârstei, care este un profil bazat pe specificațiile tehnice și arhitectura portofelului european pentru identitatea digitală. Aceasta include sprijin pentru furnizarea de dovezi fără divulgare de informații, utilizând biblioteci cu sursă deschisă. Această soluție de verificare a vârstei este acum gata de adoptare de către statele membre și de către alți actori. </w:t>
      </w:r>
    </w:p>
    <w:p>
      <w:pPr>
        <w:spacing w:line="240" w:lineRule="auto"/>
        <w:jc w:val="both"/>
        <w:rPr>
          <w:rFonts w:asciiTheme="majorBidi" w:hAnsiTheme="majorBidi" w:cstheme="majorBidi"/>
          <w:noProof/>
        </w:rPr>
      </w:pPr>
      <w:r>
        <w:rPr>
          <w:rFonts w:asciiTheme="majorBidi" w:hAnsiTheme="majorBidi"/>
          <w:b/>
          <w:noProof/>
        </w:rPr>
        <w:t>code.europa.eu</w:t>
      </w:r>
      <w:r>
        <w:rPr>
          <w:rFonts w:asciiTheme="majorBidi" w:hAnsiTheme="majorBidi"/>
          <w:noProof/>
        </w:rPr>
        <w:t>: platforma Comisiei Europene de colaborare în domeniul soluțiilor cu sursă deschisă și de găzduire de coduri, care sprijină dezvoltarea și reutilizarea interinstituțională. La sfârșitul lunii mai 2026, aceasta avea peste 4 500 de utilizatori înregistrați, găzduia 1 280 de registre de coduri și sprijinea 18 instituții, agenții și organisme ale UE, ceea ce subliniază rolul său din ce în ce mai important ca infrastructură publică comună pentru colaborarea în domeniul soluțiilor cu sursă deschisă din UE.</w:t>
      </w:r>
    </w:p>
    <w:p>
      <w:pPr>
        <w:spacing w:line="240" w:lineRule="auto"/>
        <w:jc w:val="both"/>
        <w:rPr>
          <w:rFonts w:asciiTheme="majorBidi" w:hAnsiTheme="majorBidi" w:cstheme="majorBidi"/>
          <w:noProof/>
        </w:rPr>
      </w:pPr>
      <w:r>
        <w:rPr>
          <w:rFonts w:asciiTheme="majorBidi" w:hAnsiTheme="majorBidi"/>
          <w:b/>
          <w:noProof/>
        </w:rPr>
        <w:t>Portalul Europa interoperabilă</w:t>
      </w:r>
      <w:r>
        <w:rPr>
          <w:rFonts w:asciiTheme="majorBidi" w:hAnsiTheme="majorBidi"/>
          <w:noProof/>
        </w:rPr>
        <w:t>: platforma centrală a UE pentru interoperabilitate, colaborare și reutilizare la nivelul tuturor administrațiilor publice. Aceasta sprijină implementarea surselor deschise și dezvoltarea ecosistemului prin găzduirea Catalogului UE al soluțiilor cu sursă deschisă și a Catalogului UE al soluțiilor de interoperabilitate, servind, în același timp, drept centru pentru guvernanța, documentarea și colaborarea în materie de interoperabilitate prin intermediul comunității Europei interoperabile instituite în temeiul Regulamentului privind Europa interoperabilă.</w:t>
      </w:r>
    </w:p>
    <w:p>
      <w:pPr>
        <w:spacing w:line="240" w:lineRule="auto"/>
        <w:jc w:val="both"/>
        <w:rPr>
          <w:rFonts w:asciiTheme="majorBidi" w:hAnsiTheme="majorBidi" w:cstheme="majorBidi"/>
          <w:noProof/>
        </w:rPr>
      </w:pPr>
      <w:r>
        <w:rPr>
          <w:rFonts w:asciiTheme="majorBidi" w:hAnsiTheme="majorBidi"/>
          <w:b/>
          <w:noProof/>
        </w:rPr>
        <w:t>Catalogul UE al soluțiilor cu sursă deschisă:</w:t>
      </w:r>
      <w:r>
        <w:rPr>
          <w:rFonts w:asciiTheme="majorBidi" w:hAnsiTheme="majorBidi"/>
          <w:noProof/>
        </w:rPr>
        <w:t xml:space="preserve"> lansat în martie 2025, catalogul servește drept punct central de acces pentru soluțiile cu sursă deschisă dezvoltate, partajate sau reutilizate de instituțiile UE și de statele membre. Începând din mai 2026, acesta include 1 047 de soluții, inclusiv soluții federate din code.europa.eu și din unsprezece cataloage ale statelor membre, plus soluții indexate individual.</w:t>
      </w:r>
    </w:p>
    <w:p>
      <w:pPr>
        <w:spacing w:line="240" w:lineRule="auto"/>
        <w:jc w:val="both"/>
        <w:rPr>
          <w:rFonts w:asciiTheme="majorBidi" w:hAnsiTheme="majorBidi" w:cstheme="majorBidi"/>
          <w:noProof/>
        </w:rPr>
      </w:pPr>
      <w:r>
        <w:rPr>
          <w:rFonts w:asciiTheme="majorBidi" w:hAnsiTheme="majorBidi"/>
          <w:b/>
          <w:noProof/>
        </w:rPr>
        <w:t>Asistentul pentru licențe și verificatorul de compatibilitate</w:t>
      </w:r>
      <w:r>
        <w:rPr>
          <w:rFonts w:asciiTheme="majorBidi" w:hAnsiTheme="majorBidi"/>
          <w:noProof/>
        </w:rPr>
        <w:t>: disponibile prin intermediul portalului Europa interoperabilă, aceste instrumente ale Comisiei sprijină implementarea surselor deschise, ajutând utilizatorii să compare, să selecteze și să combine licențele cu sursă deschisă cu o mai mare securitate juridică. Asistentul pentru licențe furnizează informații structurate privind licențele și linkuri SPDX, în timp ce verificatorul de compatibilitate ajută la evaluarea posibilității de combinare și redistribuire a componentelor care fac obiectul unor moduri diferite de acordare a licenței.</w:t>
      </w:r>
    </w:p>
    <w:p>
      <w:pPr>
        <w:spacing w:line="240" w:lineRule="auto"/>
        <w:jc w:val="both"/>
        <w:rPr>
          <w:rFonts w:asciiTheme="majorBidi" w:hAnsiTheme="majorBidi" w:cstheme="majorBidi"/>
          <w:noProof/>
        </w:rPr>
      </w:pPr>
      <w:r>
        <w:rPr>
          <w:rFonts w:asciiTheme="majorBidi" w:hAnsiTheme="majorBidi"/>
          <w:b/>
          <w:noProof/>
        </w:rPr>
        <w:t>OSOR</w:t>
      </w:r>
      <w:r>
        <w:rPr>
          <w:rFonts w:asciiTheme="majorBidi" w:hAnsiTheme="majorBidi"/>
          <w:noProof/>
        </w:rPr>
        <w:t>: Observatorul pentru soluții cu sursă deschisă al Comisiei, găzduit pe portalul Europa interoperabilă, sprijină implementarea surselor deschise în sectorul public prin punerea la dispoziție de noutăți, studii, orientări, evenimente și schimburi de software gratuit și cu sursă deschisă. Prin resurse precum Manualul OSOR, buletinele informative, evenimentele și formarea dezvoltate împreună cu Academia pentru Europa interoperabilă, acesta contribuie la consolidarea sensibilizării, a capacității și a adoptării în cunoștință de cauză a surselor deschise în administrațiile publice europene.</w:t>
      </w:r>
    </w:p>
    <w:p>
      <w:pPr>
        <w:spacing w:line="240" w:lineRule="auto"/>
        <w:jc w:val="both"/>
        <w:rPr>
          <w:rFonts w:asciiTheme="majorBidi" w:hAnsiTheme="majorBidi" w:cstheme="majorBidi"/>
          <w:noProof/>
        </w:rPr>
      </w:pPr>
      <w:r>
        <w:rPr>
          <w:rFonts w:asciiTheme="majorBidi" w:hAnsiTheme="majorBidi"/>
          <w:b/>
          <w:noProof/>
        </w:rPr>
        <w:t>Rețeaua OSPO a UE</w:t>
      </w:r>
      <w:r>
        <w:rPr>
          <w:rFonts w:asciiTheme="majorBidi" w:hAnsiTheme="majorBidi"/>
          <w:noProof/>
        </w:rPr>
        <w:t xml:space="preserve">: o rețea de colaborare sprijinită de Comisia Europeană, care reunește birouri pentru programe cu sursă deschisă și organizații similare din cadrul serviciilor publice ale UE pentru a promova utilizarea strategică, guvernanța și publicarea de software cu sursă deschisă. Facilitată de biroul pentru programe cu sursă deschisă al Comisiei, aceasta sprijină </w:t>
      </w:r>
      <w:r>
        <w:rPr>
          <w:rFonts w:asciiTheme="majorBidi" w:hAnsiTheme="majorBidi"/>
          <w:noProof/>
        </w:rPr>
        <w:lastRenderedPageBreak/>
        <w:t>schimbul și alinierea în ceea ce privește colaborarea în domeniul soluțiilor cu sursă deschisă. În mai 2026, rețeaua era formată din 25 de membri din 11 țări ale UE.</w:t>
      </w:r>
    </w:p>
    <w:p>
      <w:pPr>
        <w:spacing w:line="240" w:lineRule="auto"/>
        <w:jc w:val="both"/>
        <w:rPr>
          <w:rFonts w:asciiTheme="majorBidi" w:hAnsiTheme="majorBidi" w:cstheme="majorBidi"/>
          <w:noProof/>
        </w:rPr>
      </w:pPr>
      <w:r>
        <w:rPr>
          <w:rFonts w:asciiTheme="majorBidi" w:hAnsiTheme="majorBidi"/>
          <w:b/>
          <w:noProof/>
        </w:rPr>
        <w:t>Academia pentru Europa interoperabilă și școala sezonieră</w:t>
      </w:r>
      <w:r>
        <w:rPr>
          <w:rFonts w:asciiTheme="majorBidi" w:hAnsiTheme="majorBidi"/>
          <w:noProof/>
        </w:rPr>
        <w:t>: oferta Comisiei Europene de învățare și de consolidare a capacităților pentru interoperabilitatea digitală și sursele deschise în sectorul public. Academia oferă peste 50 de cursuri online gratuite pe teme precum guvernanța și acordarea de licențe în domeniul surselor deschise, inclusiv EUPL, precum și Cadrul european de interoperabilitate și Regulamentul privind Europa interoperabilă. Aceasta ajunsese la 44 000 de înscrieri până la sfârșitul anului 2025. Școala sezonieră completează acest eveniment cu un eveniment anual care reunește studenți, funcționari publici și cercetători pentru învățare practică privind interoperabilitatea, reutilizarea, sursele deschise și acordarea de licențe.</w:t>
      </w:r>
    </w:p>
    <w:p>
      <w:pPr>
        <w:spacing w:line="240" w:lineRule="auto"/>
        <w:jc w:val="both"/>
        <w:rPr>
          <w:rFonts w:asciiTheme="majorBidi" w:hAnsiTheme="majorBidi" w:cstheme="majorBidi"/>
          <w:noProof/>
        </w:rPr>
      </w:pPr>
      <w:r>
        <w:rPr>
          <w:rFonts w:asciiTheme="majorBidi" w:hAnsiTheme="majorBidi"/>
          <w:b/>
          <w:noProof/>
        </w:rPr>
        <w:t>Programul de stimulare a identificării bug-urilor</w:t>
      </w:r>
      <w:r>
        <w:rPr>
          <w:rFonts w:asciiTheme="majorBidi" w:hAnsiTheme="majorBidi"/>
          <w:noProof/>
        </w:rPr>
        <w:t>: o inițiativă de sprijinire a implementării surselor deschise și a rezilienței ecosistemului deschis mai amplu prin finanțarea descoperirii coordonate a vulnerabilităților și a divulgării lor pentru software-ul cu sursă deschisă utilizat de Comisie și de alte administrații publice europene. În urma acțiunilor anterioare din cadrul proiectului EU-FOSSA (auditarea software-ului liber și cu sursă deschisă) și a rundelor ulterioare conduse de OSPO, Comisia a reînnoit acest sprijin în 2025 prin intermediul unui contract-cadru pentru noi activități de detectare a bug-urilor și de divulgare a vulnerabilităților care vizează soluții cu sursă deschisă relevante pentru sectorul public european.</w:t>
      </w:r>
    </w:p>
    <w:p>
      <w:pPr>
        <w:spacing w:line="240" w:lineRule="auto"/>
        <w:jc w:val="both"/>
        <w:rPr>
          <w:rFonts w:asciiTheme="majorBidi" w:hAnsiTheme="majorBidi" w:cstheme="majorBidi"/>
          <w:noProof/>
        </w:rPr>
      </w:pPr>
      <w:r>
        <w:rPr>
          <w:rFonts w:asciiTheme="majorBidi" w:hAnsiTheme="majorBidi"/>
          <w:b/>
          <w:noProof/>
        </w:rPr>
        <w:t>Studiu privind software-ul cu sursă deschisă critic</w:t>
      </w:r>
      <w:r>
        <w:rPr>
          <w:rFonts w:asciiTheme="majorBidi" w:hAnsiTheme="majorBidi"/>
          <w:noProof/>
        </w:rPr>
        <w:t>: un studiu al Comisiei Europene, care urmează să fie publicat în curând, care vizează identificarea componentelor cu sursă deschisă de maximă importanță pentru administrațiile publice din UE și riscurile legate de utilizarea lor la scară largă. Acesta evidențiază provocările legate de durabilitate, guvernanță și concentrarea dependențelor, evaluează instrumentele și practicile de îmbunătățire a vizibilității și a gestionării riscurilor, inclusiv abordările bazate pe SBOM, și identifică respectivii candidați pentru programele de stimulare a identificării bug-urilor la nivelul UE.</w:t>
      </w:r>
    </w:p>
    <w:p>
      <w:pPr>
        <w:spacing w:line="240" w:lineRule="auto"/>
        <w:jc w:val="both"/>
        <w:rPr>
          <w:rFonts w:asciiTheme="majorBidi" w:hAnsiTheme="majorBidi"/>
          <w:noProof/>
        </w:rPr>
      </w:pPr>
      <w:r>
        <w:rPr>
          <w:rFonts w:asciiTheme="majorBidi" w:hAnsiTheme="majorBidi"/>
          <w:b/>
          <w:noProof/>
        </w:rPr>
        <w:t>Facilitarea ecosistemului soluțiilor cu sursă deschisă pentru inovarea în domeniul serviciilor publice:</w:t>
      </w:r>
      <w:r>
        <w:rPr>
          <w:rFonts w:asciiTheme="majorBidi" w:hAnsiTheme="majorBidi"/>
          <w:noProof/>
        </w:rPr>
        <w:t xml:space="preserve"> un program finanțat de UE în cadrul IVCDCI – Europa globală (3 milioane EUR) consolidează capacitatea actorilor publici și privați locali și regionali din 25 de țări partenere de a adopta soluții cu sursă deschisă pentru furnizarea de servicii guvernamentale digitale. Acesta pune în aplicare consolidarea capacităților și înființează birouri pentru programe cu sursă deschisă în țări-pilot (Kenya și Trinidad și Tobago) și un nou centru global de cunoștințe privind sursele deschise pentru serviciile publice. </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6309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1" w:history="1">
        <w:r>
          <w:rPr>
            <w:rStyle w:val="Hyperlink"/>
            <w:color w:val="000000" w:themeColor="text1"/>
          </w:rPr>
          <w:t>Internetul de nouă generație</w:t>
        </w:r>
      </w:hyperlink>
      <w:r>
        <w:t>.</w:t>
      </w:r>
    </w:p>
  </w:footnote>
  <w:footnote w:id="2">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2" w:history="1">
        <w:r>
          <w:rPr>
            <w:rStyle w:val="Hyperlink"/>
            <w:color w:val="000000" w:themeColor="text1"/>
          </w:rPr>
          <w:t>Studiul Gartner</w:t>
        </w:r>
      </w:hyperlink>
      <w:r>
        <w:t>.</w:t>
      </w:r>
    </w:p>
  </w:footnote>
  <w:footnote w:id="3">
    <w:p>
      <w:pPr>
        <w:pStyle w:val="FootnoteText"/>
        <w:ind w:left="0" w:firstLine="0"/>
        <w:rPr>
          <w:color w:val="000000" w:themeColor="text1"/>
        </w:rPr>
      </w:pPr>
      <w:r>
        <w:rPr>
          <w:rStyle w:val="FootnoteReference"/>
          <w:color w:val="000000" w:themeColor="text1"/>
        </w:rPr>
        <w:footnoteRef/>
      </w:r>
      <w:r>
        <w:rPr>
          <w:color w:val="000000" w:themeColor="text1"/>
        </w:rPr>
        <w:t xml:space="preserve"> Lansat în decembrie 2024, SIMPL face parte din Planul de acțiune privind continentul IA, Comisia angajându-se să continue dezvoltarea sa</w:t>
      </w:r>
      <w:r>
        <w:t>.</w:t>
      </w:r>
    </w:p>
  </w:footnote>
  <w:footnote w:id="4">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3" w:history="1">
        <w:r>
          <w:rPr>
            <w:rStyle w:val="Hyperlink"/>
            <w:color w:val="000000" w:themeColor="text1"/>
          </w:rPr>
          <w:t>GenAI4EU</w:t>
        </w:r>
      </w:hyperlink>
      <w:r>
        <w:t>.</w:t>
      </w:r>
    </w:p>
  </w:footnote>
  <w:footnote w:id="5">
    <w:p>
      <w:pPr>
        <w:pStyle w:val="FootnoteText"/>
        <w:ind w:left="0" w:firstLine="0"/>
      </w:pPr>
      <w:r>
        <w:rPr>
          <w:rStyle w:val="FootnoteReference"/>
          <w:color w:val="000000" w:themeColor="text1"/>
        </w:rPr>
        <w:footnoteRef/>
      </w:r>
      <w:r>
        <w:rPr>
          <w:color w:val="000000" w:themeColor="text1"/>
        </w:rPr>
        <w:t xml:space="preserve"> </w:t>
      </w:r>
      <w:hyperlink r:id="rId4" w:history="1">
        <w:r>
          <w:rPr>
            <w:rStyle w:val="Hyperlink"/>
            <w:color w:val="000000" w:themeColor="text1"/>
          </w:rPr>
          <w:t>OpenEuroLLM</w:t>
        </w:r>
      </w:hyperlink>
      <w:r>
        <w:t>.</w:t>
      </w:r>
    </w:p>
  </w:footnote>
  <w:footnote w:id="6">
    <w:p>
      <w:pPr>
        <w:pStyle w:val="FootnoteText"/>
        <w:rPr>
          <w:color w:val="000000" w:themeColor="text1"/>
        </w:rPr>
      </w:pPr>
      <w:r>
        <w:rPr>
          <w:rStyle w:val="FootnoteReference"/>
          <w:color w:val="000000" w:themeColor="text1"/>
        </w:rPr>
        <w:footnoteRef/>
      </w:r>
      <w:r>
        <w:rPr>
          <w:color w:val="000000" w:themeColor="text1"/>
        </w:rPr>
        <w:t xml:space="preserve"> </w:t>
      </w:r>
      <w:hyperlink r:id="rId5" w:history="1">
        <w:r>
          <w:rPr>
            <w:rStyle w:val="Hyperlink"/>
            <w:color w:val="000000" w:themeColor="text1"/>
          </w:rPr>
          <w:t>Platforma de IA la cerere</w:t>
        </w:r>
      </w:hyperlink>
      <w:r>
        <w:t>.</w:t>
      </w:r>
    </w:p>
  </w:footnote>
  <w:footnote w:id="7">
    <w:p>
      <w:pPr>
        <w:pStyle w:val="FootnoteText"/>
        <w:rPr>
          <w:color w:val="000000" w:themeColor="text1"/>
        </w:rPr>
      </w:pPr>
      <w:r>
        <w:rPr>
          <w:rStyle w:val="FootnoteReference"/>
          <w:color w:val="000000" w:themeColor="text1"/>
        </w:rPr>
        <w:footnoteRef/>
      </w:r>
      <w:r>
        <w:rPr>
          <w:color w:val="000000" w:themeColor="text1"/>
        </w:rPr>
        <w:t xml:space="preserve"> </w:t>
      </w:r>
      <w:hyperlink r:id="rId6" w:history="1">
        <w:r>
          <w:rPr>
            <w:rStyle w:val="Hyperlink"/>
            <w:color w:val="000000" w:themeColor="text1"/>
          </w:rPr>
          <w:t>ELLIOT</w:t>
        </w:r>
      </w:hyperlink>
      <w:r>
        <w:t>.</w:t>
      </w:r>
    </w:p>
  </w:footnote>
  <w:footnote w:id="8">
    <w:p>
      <w:pPr>
        <w:pStyle w:val="FootnoteText"/>
        <w:rPr>
          <w:color w:val="000000" w:themeColor="text1"/>
        </w:rPr>
      </w:pPr>
      <w:r>
        <w:rPr>
          <w:rStyle w:val="FootnoteReference"/>
          <w:color w:val="000000" w:themeColor="text1"/>
        </w:rPr>
        <w:footnoteRef/>
      </w:r>
      <w:r>
        <w:rPr>
          <w:color w:val="000000" w:themeColor="text1"/>
        </w:rPr>
        <w:t xml:space="preserve"> </w:t>
      </w:r>
      <w:hyperlink r:id="rId7" w:history="1">
        <w:r>
          <w:rPr>
            <w:rStyle w:val="Hyperlink"/>
            <w:color w:val="000000" w:themeColor="text1"/>
          </w:rPr>
          <w:t>Cloudul european pentru știința deschisă</w:t>
        </w:r>
      </w:hyperlink>
      <w:r>
        <w:t>.</w:t>
      </w:r>
    </w:p>
  </w:footnote>
  <w:footnote w:id="9">
    <w:p>
      <w:pPr>
        <w:pStyle w:val="FootnoteText"/>
        <w:rPr>
          <w:color w:val="000000" w:themeColor="text1"/>
        </w:rPr>
      </w:pPr>
      <w:r>
        <w:rPr>
          <w:rStyle w:val="FootnoteReference"/>
          <w:color w:val="000000" w:themeColor="text1"/>
        </w:rPr>
        <w:footnoteRef/>
      </w:r>
      <w:r>
        <w:rPr>
          <w:color w:val="000000" w:themeColor="text1"/>
        </w:rPr>
        <w:t xml:space="preserve"> </w:t>
      </w:r>
      <w:hyperlink r:id="rId8" w:history="1">
        <w:r>
          <w:rPr>
            <w:rStyle w:val="Hyperlink"/>
            <w:color w:val="000000" w:themeColor="text1"/>
          </w:rPr>
          <w:t>HORIZON-CL6-2026-03-GOVERNANCE-06:</w:t>
        </w:r>
      </w:hyperlink>
      <w:hyperlink r:id="rId9" w:history="1">
        <w:r>
          <w:rPr>
            <w:rStyle w:val="Hyperlink"/>
            <w:color w:val="000000" w:themeColor="text1"/>
          </w:rPr>
          <w:t>Portalul UE pentru oportunități de finanțare și ofertare</w:t>
        </w:r>
      </w:hyperlink>
      <w:r>
        <w:t>.</w:t>
      </w:r>
    </w:p>
  </w:footnote>
  <w:footnote w:id="10">
    <w:p>
      <w:pPr>
        <w:pStyle w:val="FootnoteText"/>
      </w:pPr>
      <w:r>
        <w:rPr>
          <w:rStyle w:val="FootnoteReference"/>
          <w:color w:val="000000" w:themeColor="text1"/>
        </w:rPr>
        <w:footnoteRef/>
      </w:r>
      <w:r>
        <w:rPr>
          <w:color w:val="000000" w:themeColor="text1"/>
        </w:rPr>
        <w:t xml:space="preserve"> </w:t>
      </w:r>
      <w:hyperlink r:id="rId10" w:history="1">
        <w:r>
          <w:rPr>
            <w:rStyle w:val="Hyperlink"/>
            <w:color w:val="000000" w:themeColor="text1"/>
          </w:rPr>
          <w:t>Destinația Pământ</w:t>
        </w:r>
      </w:hyperlink>
      <w:r>
        <w:t>.</w:t>
      </w:r>
    </w:p>
  </w:footnote>
  <w:footnote w:id="11">
    <w:p>
      <w:pPr>
        <w:pStyle w:val="FootnoteText"/>
        <w:rPr>
          <w:color w:val="000000" w:themeColor="text1"/>
        </w:rPr>
      </w:pPr>
      <w:r>
        <w:rPr>
          <w:rStyle w:val="FootnoteReference"/>
          <w:color w:val="000000" w:themeColor="text1"/>
        </w:rPr>
        <w:footnoteRef/>
      </w:r>
      <w:r>
        <w:rPr>
          <w:color w:val="000000" w:themeColor="text1"/>
        </w:rPr>
        <w:t xml:space="preserve"> </w:t>
      </w:r>
      <w:hyperlink r:id="rId11" w:history="1">
        <w:r>
          <w:rPr>
            <w:rStyle w:val="Hyperlink"/>
            <w:color w:val="000000" w:themeColor="text1"/>
          </w:rPr>
          <w:t>CERN</w:t>
        </w:r>
      </w:hyperlink>
      <w:r>
        <w:t>.</w:t>
      </w:r>
    </w:p>
  </w:footnote>
  <w:footnote w:id="12">
    <w:p>
      <w:pPr>
        <w:pStyle w:val="FootnoteText"/>
        <w:rPr>
          <w:color w:val="000000" w:themeColor="text1"/>
        </w:rPr>
      </w:pPr>
      <w:r>
        <w:rPr>
          <w:rStyle w:val="FootnoteReference"/>
          <w:color w:val="000000" w:themeColor="text1"/>
        </w:rPr>
        <w:footnoteRef/>
      </w:r>
      <w:r>
        <w:rPr>
          <w:color w:val="000000" w:themeColor="text1"/>
        </w:rPr>
        <w:t xml:space="preserve"> </w:t>
      </w:r>
      <w:hyperlink r:id="rId12" w:history="1">
        <w:r>
          <w:rPr>
            <w:rStyle w:val="Hyperlink"/>
            <w:color w:val="000000" w:themeColor="text1"/>
          </w:rPr>
          <w:t>Diversibus Viis Plurima Solvo</w:t>
        </w:r>
      </w:hyperlink>
      <w:r>
        <w:t>.</w:t>
      </w:r>
      <w:r>
        <w:rPr>
          <w:color w:val="000000" w:themeColor="text1"/>
        </w:rPr>
        <w:t xml:space="preserve"> </w:t>
      </w:r>
    </w:p>
  </w:footnote>
  <w:footnote w:id="13">
    <w:p>
      <w:pPr>
        <w:pStyle w:val="FootnoteText"/>
        <w:rPr>
          <w:color w:val="000000" w:themeColor="text1"/>
        </w:rPr>
      </w:pPr>
      <w:r>
        <w:rPr>
          <w:rStyle w:val="FootnoteReference"/>
          <w:color w:val="000000" w:themeColor="text1"/>
        </w:rPr>
        <w:footnoteRef/>
      </w:r>
      <w:r>
        <w:rPr>
          <w:color w:val="000000" w:themeColor="text1"/>
        </w:rPr>
        <w:t xml:space="preserve"> </w:t>
      </w:r>
      <w:hyperlink r:id="rId13" w:history="1">
        <w:r>
          <w:rPr>
            <w:rStyle w:val="Hyperlink"/>
            <w:color w:val="000000" w:themeColor="text1"/>
          </w:rPr>
          <w:t>Cyberstand.eu</w:t>
        </w:r>
      </w:hyperlink>
      <w:r>
        <w:t>.</w:t>
      </w:r>
    </w:p>
  </w:footnote>
  <w:footnote w:id="14">
    <w:p>
      <w:pPr>
        <w:pStyle w:val="FootnoteText"/>
      </w:pPr>
      <w:r>
        <w:rPr>
          <w:rStyle w:val="FootnoteReference"/>
          <w:color w:val="000000" w:themeColor="text1"/>
        </w:rPr>
        <w:footnoteRef/>
      </w:r>
      <w:r>
        <w:rPr>
          <w:color w:val="000000" w:themeColor="text1"/>
        </w:rPr>
        <w:t xml:space="preserve"> </w:t>
      </w:r>
      <w:hyperlink r:id="rId14" w:history="1">
        <w:r>
          <w:rPr>
            <w:rStyle w:val="Hyperlink"/>
            <w:color w:val="000000" w:themeColor="text1"/>
          </w:rPr>
          <w:t>Întreprinderea comună pentru cipuri</w:t>
        </w:r>
      </w:hyperlink>
      <w:r>
        <w:t>.</w:t>
      </w:r>
    </w:p>
  </w:footnote>
  <w:footnote w:id="15">
    <w:p>
      <w:pPr>
        <w:pStyle w:val="FootnoteText"/>
        <w:rPr>
          <w:color w:val="000000" w:themeColor="text1"/>
        </w:rPr>
      </w:pPr>
      <w:r>
        <w:rPr>
          <w:rStyle w:val="FootnoteReference"/>
          <w:color w:val="000000" w:themeColor="text1"/>
        </w:rPr>
        <w:footnoteRef/>
      </w:r>
      <w:r>
        <w:rPr>
          <w:color w:val="000000" w:themeColor="text1"/>
        </w:rPr>
        <w:t xml:space="preserve"> </w:t>
      </w:r>
      <w:hyperlink r:id="rId15" w:history="1">
        <w:r>
          <w:rPr>
            <w:rStyle w:val="Hyperlink"/>
            <w:color w:val="000000" w:themeColor="text1"/>
          </w:rPr>
          <w:t>Internetul obiectelor – edge computing</w:t>
        </w:r>
      </w:hyperlink>
      <w:r>
        <w:t>.</w:t>
      </w:r>
    </w:p>
  </w:footnote>
  <w:footnote w:id="16">
    <w:p>
      <w:pPr>
        <w:pStyle w:val="FootnoteText"/>
        <w:rPr>
          <w:color w:val="000000" w:themeColor="text1"/>
        </w:rPr>
      </w:pPr>
      <w:r>
        <w:rPr>
          <w:rStyle w:val="FootnoteReference"/>
          <w:color w:val="000000" w:themeColor="text1"/>
        </w:rPr>
        <w:footnoteRef/>
      </w:r>
      <w:r>
        <w:rPr>
          <w:color w:val="000000" w:themeColor="text1"/>
        </w:rPr>
        <w:t xml:space="preserve"> </w:t>
      </w:r>
      <w:hyperlink r:id="rId16" w:history="1">
        <w:r>
          <w:rPr>
            <w:rStyle w:val="Hyperlink"/>
            <w:color w:val="000000" w:themeColor="text1"/>
          </w:rPr>
          <w:t>Vehicule definite prin software</w:t>
        </w:r>
      </w:hyperlink>
      <w:r>
        <w:rPr>
          <w:u w:val="single"/>
        </w:rPr>
        <w:t>.</w:t>
      </w:r>
    </w:p>
  </w:footnote>
  <w:footnote w:id="17">
    <w:p>
      <w:pPr>
        <w:pStyle w:val="FootnoteText"/>
        <w:rPr>
          <w:color w:val="000000" w:themeColor="text1"/>
        </w:rPr>
      </w:pPr>
      <w:r>
        <w:rPr>
          <w:rStyle w:val="FootnoteReference"/>
          <w:color w:val="000000" w:themeColor="text1"/>
        </w:rPr>
        <w:footnoteRef/>
      </w:r>
      <w:r>
        <w:rPr>
          <w:color w:val="000000" w:themeColor="text1"/>
        </w:rPr>
        <w:t xml:space="preserve"> </w:t>
      </w:r>
      <w:hyperlink r:id="rId17" w:history="1">
        <w:r>
          <w:rPr>
            <w:rStyle w:val="Hyperlink"/>
            <w:color w:val="000000" w:themeColor="text1"/>
          </w:rPr>
          <w:t>IA pentru binele public</w:t>
        </w:r>
      </w:hyperlink>
      <w:r>
        <w:t>.</w:t>
      </w:r>
    </w:p>
  </w:footnote>
  <w:footnote w:id="18">
    <w:p>
      <w:pPr>
        <w:pStyle w:val="FootnoteText"/>
        <w:rPr>
          <w:color w:val="000000" w:themeColor="text1"/>
        </w:rPr>
      </w:pPr>
      <w:r>
        <w:rPr>
          <w:rStyle w:val="FootnoteReference"/>
          <w:color w:val="000000" w:themeColor="text1"/>
        </w:rPr>
        <w:footnoteRef/>
      </w:r>
      <w:r>
        <w:rPr>
          <w:color w:val="000000" w:themeColor="text1"/>
        </w:rPr>
        <w:t xml:space="preserve"> </w:t>
      </w:r>
      <w:hyperlink r:id="rId18" w:history="1">
        <w:r>
          <w:rPr>
            <w:rStyle w:val="Hyperlink"/>
            <w:color w:val="000000" w:themeColor="text1"/>
          </w:rPr>
          <w:t>GenAI pentru Africa</w:t>
        </w:r>
      </w:hyperlink>
      <w:r>
        <w:rPr>
          <w:u w:val="single"/>
        </w:rPr>
        <w:t>.</w:t>
      </w:r>
    </w:p>
  </w:footnote>
  <w:footnote w:id="19">
    <w:p>
      <w:pPr>
        <w:pStyle w:val="FootnoteText"/>
        <w:rPr>
          <w:color w:val="000000" w:themeColor="text1"/>
        </w:rPr>
      </w:pPr>
      <w:r>
        <w:rPr>
          <w:rStyle w:val="FootnoteReference"/>
          <w:color w:val="000000" w:themeColor="text1"/>
        </w:rPr>
        <w:footnoteRef/>
      </w:r>
      <w:r>
        <w:rPr>
          <w:color w:val="000000" w:themeColor="text1"/>
        </w:rPr>
        <w:t xml:space="preserve"> </w:t>
      </w:r>
      <w:hyperlink r:id="rId19" w:history="1">
        <w:r>
          <w:rPr>
            <w:rStyle w:val="Hyperlink"/>
            <w:color w:val="000000" w:themeColor="text1"/>
          </w:rPr>
          <w:t>Consorțiul pentru o infrastructură digitală europeană pentru rețeaua de gemeni digitali ai orașului către CitiVERSE</w:t>
        </w:r>
      </w:hyperlink>
      <w:r>
        <w:rPr>
          <w:u w:val="single"/>
        </w:rPr>
        <w:t>.</w:t>
      </w:r>
    </w:p>
  </w:footnote>
  <w:footnote w:id="20">
    <w:p>
      <w:pPr>
        <w:pStyle w:val="FootnoteText"/>
        <w:rPr>
          <w:color w:val="000000" w:themeColor="text1"/>
        </w:rPr>
      </w:pPr>
      <w:r>
        <w:rPr>
          <w:rStyle w:val="FootnoteReference"/>
          <w:color w:val="000000" w:themeColor="text1"/>
        </w:rPr>
        <w:footnoteRef/>
      </w:r>
      <w:r>
        <w:rPr>
          <w:color w:val="000000" w:themeColor="text1"/>
        </w:rPr>
        <w:t xml:space="preserve"> </w:t>
      </w:r>
      <w:hyperlink r:id="rId20" w:history="1">
        <w:r>
          <w:rPr>
            <w:rStyle w:val="Hyperlink"/>
            <w:color w:val="000000" w:themeColor="text1"/>
          </w:rPr>
          <w:t>Regulamentul privind identitatea digitală europeană</w:t>
        </w:r>
      </w:hyperlink>
      <w:r>
        <w:t>.</w:t>
      </w:r>
    </w:p>
  </w:footnote>
  <w:footnote w:id="21">
    <w:p>
      <w:pPr>
        <w:pStyle w:val="FootnoteText"/>
      </w:pPr>
      <w:r>
        <w:rPr>
          <w:rStyle w:val="FootnoteReference"/>
          <w:color w:val="000000" w:themeColor="text1"/>
        </w:rPr>
        <w:footnoteRef/>
      </w:r>
      <w:r>
        <w:rPr>
          <w:color w:val="000000" w:themeColor="text1"/>
        </w:rPr>
        <w:t xml:space="preserve"> </w:t>
      </w:r>
      <w:hyperlink r:id="rId21" w:history="1">
        <w:r>
          <w:rPr>
            <w:rStyle w:val="Hyperlink"/>
            <w:color w:val="000000" w:themeColor="text1"/>
          </w:rPr>
          <w:t>Portofelul european pentru întreprinderi</w:t>
        </w:r>
      </w:hyperlink>
      <w:r>
        <w:rPr>
          <w:u w:val="single"/>
        </w:rPr>
        <w:t>.</w:t>
      </w:r>
    </w:p>
  </w:footnote>
  <w:footnote w:id="22">
    <w:p>
      <w:pPr>
        <w:pStyle w:val="FootnoteText"/>
        <w:ind w:left="0" w:firstLine="0"/>
        <w:jc w:val="left"/>
      </w:pPr>
      <w:r>
        <w:rPr>
          <w:rStyle w:val="FootnoteReference"/>
          <w:color w:val="000000" w:themeColor="text1"/>
        </w:rPr>
        <w:footnoteRef/>
      </w:r>
      <w:r>
        <w:rPr>
          <w:color w:val="000000" w:themeColor="text1"/>
        </w:rPr>
        <w:t xml:space="preserve"> </w:t>
      </w:r>
      <w:hyperlink r:id="rId22" w:history="1">
        <w:r>
          <w:rPr>
            <w:rStyle w:val="Hyperlink"/>
            <w:color w:val="000000" w:themeColor="text1"/>
          </w:rPr>
          <w:t>Manualul de verificare a vârstei</w:t>
        </w:r>
      </w:hyperlink>
      <w:r>
        <w:rPr>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4"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4"/>
  </w:num>
  <w:num w:numId="3">
    <w:abstractNumId w:val="5"/>
  </w:num>
  <w:num w:numId="4">
    <w:abstractNumId w:val="8"/>
  </w:num>
  <w:num w:numId="5">
    <w:abstractNumId w:val="11"/>
  </w:num>
  <w:num w:numId="6">
    <w:abstractNumId w:val="6"/>
  </w:num>
  <w:num w:numId="7">
    <w:abstractNumId w:val="9"/>
  </w:num>
  <w:num w:numId="8">
    <w:abstractNumId w:val="0"/>
  </w:num>
  <w:num w:numId="9">
    <w:abstractNumId w:val="10"/>
  </w:num>
  <w:num w:numId="10">
    <w:abstractNumId w:val="4"/>
  </w:num>
  <w:num w:numId="11">
    <w:abstractNumId w:val="2"/>
  </w:num>
  <w:num w:numId="12">
    <w:abstractNumId w:val="13"/>
  </w:num>
  <w:num w:numId="13">
    <w:abstractNumId w:val="3"/>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w:docVar w:name="LW_ANNEX_NBR_FIRST" w:val="1"/>
    <w:docVar w:name="LW_ANNEX_NBR_LAST" w:val="2"/>
    <w:docVar w:name="LW_ANNEX_UNIQUE" w:val="0"/>
    <w:docVar w:name="LW_CORRIGENDUM" w:val="&lt;UNUSED&gt;"/>
    <w:docVar w:name="LW_COVERPAGE_EXISTS" w:val="True"/>
    <w:docVar w:name="LW_COVERPAGE_GUID" w:val="3DC546E5-CC28-4955-A60C-CFC1CC403EA5"/>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privind suveranitatea tehnologic\u259? european\u259?, înso\u539?it\u259? de o strategie a UE privind sursele deschise_x000d__x000b_"/>
    <w:docVar w:name="LW_PART_NBR" w:val="&lt;UNUSED&gt;"/>
    <w:docVar w:name="LW_PART_NBR_TOTAL" w:val="&lt;UNUSED&gt;"/>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COMUNICAREA COMISIEI C\u258?TRE PARLAMENTUL EUROPEAN, CONSILIU, COMITETUL ECONOMIC \u536?I SOCIAL EUROPEAN \u536?I COMITETUL REGIUNILOR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019AB671-EA73-4978-9DA6-6437FF17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uiPriority w:val="99"/>
    <w:qFormat/>
    <w:pPr>
      <w:ind w:left="357" w:hanging="357"/>
      <w:jc w:val="both"/>
    </w:pPr>
    <w:rPr>
      <w:rFonts w:ascii="Times New Roman" w:eastAsia="Times New Roman" w:hAnsi="Times New Roman" w:cs="Times New Roman"/>
      <w:kern w:val="0"/>
      <w:sz w:val="18"/>
      <w:szCs w:val="20"/>
      <w:lang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kern w:val="0"/>
      <w:sz w:val="18"/>
      <w:szCs w:val="20"/>
      <w:lang w:val="ro-RO" w:eastAsia="en-IE"/>
      <w14:ligatures w14:val="none"/>
    </w:rPr>
  </w:style>
  <w:style w:type="paragraph" w:customStyle="1" w:styleId="Standard">
    <w:name w:val="Standard"/>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6-2026-03-GOVERNANCE-06?isExactMatch=true&amp;status=31094501,31094502,31094503&amp;callIdentifier=HORIZON-CL6-2026-03&amp;order=DESC&amp;pageNumber=1&amp;pageSize=50&amp;sortBy=startDate" TargetMode="External"/><Relationship Id="rId13" Type="http://schemas.openxmlformats.org/officeDocument/2006/relationships/hyperlink" Target="https://cyberstand.eu/" TargetMode="External"/><Relationship Id="rId18" Type="http://schemas.openxmlformats.org/officeDocument/2006/relationships/hyperlink" Target="https://cordis.europa.eu/programme/id/HORIZON_HORIZON-CL4-2025-04-HUMAN-08" TargetMode="External"/><Relationship Id="rId3" Type="http://schemas.openxmlformats.org/officeDocument/2006/relationships/hyperlink" Target="https://digital-strategy.ec.europa.eu/en/policies/genai4eu" TargetMode="External"/><Relationship Id="rId21" Type="http://schemas.openxmlformats.org/officeDocument/2006/relationships/hyperlink" Target="https://digital-strategy.ec.europa.eu/en/policies/business-wallets" TargetMode="External"/><Relationship Id="rId7" Type="http://schemas.openxmlformats.org/officeDocument/2006/relationships/hyperlink" Target="https://cordis.europa.eu/project/id/101017536" TargetMode="External"/><Relationship Id="rId12" Type="http://schemas.openxmlformats.org/officeDocument/2006/relationships/hyperlink" Target="https://cordis.europa.eu/project/id/101213369" TargetMode="External"/><Relationship Id="rId17" Type="http://schemas.openxmlformats.org/officeDocument/2006/relationships/hyperlink" Target="https://digital-strategy.ec.europa.eu/en/factpages/ai-public-good" TargetMode="External"/><Relationship Id="rId2" Type="http://schemas.openxmlformats.org/officeDocument/2006/relationships/hyperlink" Target="https://op.europa.eu/en/publication-detail/-/publication/257ae66f-23c7-11ef-a195-01aa75ed71a1/language-en" TargetMode="External"/><Relationship Id="rId16" Type="http://schemas.openxmlformats.org/officeDocument/2006/relationships/hyperlink" Target="https://www.chips-ju.europa.eu/News-detail/?id=4b71b8f0-72fa-ef11-bae2-000d3ab0a56e" TargetMode="External"/><Relationship Id="rId20" Type="http://schemas.openxmlformats.org/officeDocument/2006/relationships/hyperlink" Target="https://digital-strategy.ec.europa.eu/ro/policies/eudi-regulation" TargetMode="External"/><Relationship Id="rId1" Type="http://schemas.openxmlformats.org/officeDocument/2006/relationships/hyperlink" Target="https://ngi.eu/" TargetMode="External"/><Relationship Id="rId6" Type="http://schemas.openxmlformats.org/officeDocument/2006/relationships/hyperlink" Target="https://cordis.europa.eu/project/id/101214398" TargetMode="External"/><Relationship Id="rId11" Type="http://schemas.openxmlformats.org/officeDocument/2006/relationships/hyperlink" Target="https://home.cern/" TargetMode="External"/><Relationship Id="rId5" Type="http://schemas.openxmlformats.org/officeDocument/2006/relationships/hyperlink" Target="https://cordis.europa.eu/project/id/101070000" TargetMode="External"/><Relationship Id="rId15" Type="http://schemas.openxmlformats.org/officeDocument/2006/relationships/hyperlink" Target="https://digital-strategy.ec.europa.eu/en/policies/iot-investing" TargetMode="External"/><Relationship Id="rId10" Type="http://schemas.openxmlformats.org/officeDocument/2006/relationships/hyperlink" Target="https://cordis.europa.eu/project/id/101187992" TargetMode="External"/><Relationship Id="rId19" Type="http://schemas.openxmlformats.org/officeDocument/2006/relationships/hyperlink" Target="https://ldtcitiverse-edic.eu/" TargetMode="External"/><Relationship Id="rId4" Type="http://schemas.openxmlformats.org/officeDocument/2006/relationships/hyperlink" Target="https://strategic-technologies.europa.eu/step-results/step-stories/openeurollm_en" TargetMode="External"/><Relationship Id="rId9" Type="http://schemas.openxmlformats.org/officeDocument/2006/relationships/hyperlink" Target="https://ec.europa.eu/info/funding-tenders/opportunities/portal/screen/opportunities/topic-details/HORIZON-CL6-2026-03-GOVERNANCE-06?isExactMatch=true&amp;status=31094501,31094502,31094503&amp;callIdentifier=HORIZON-CL6-2026-03&amp;order=DESC&amp;pageNumber=1&amp;pageSize=50&amp;sortBy=startDate" TargetMode="External"/><Relationship Id="rId14" Type="http://schemas.openxmlformats.org/officeDocument/2006/relationships/hyperlink" Target="https://www.chips-ju.europa.eu/" TargetMode="External"/><Relationship Id="rId22" Type="http://schemas.openxmlformats.org/officeDocument/2006/relationships/hyperlink" Target="https://ec.europa.eu/digital-building-blocks/sites/spaces/EUDIGITALIDENTITYWALLET/pages/930450954/The+Age+Verification+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1339B-4079-4C2B-9FCC-491E5A70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2026-06-02T16:16:00Z</dcterms:created>
  <dcterms:modified xsi:type="dcterms:W3CDTF">2026-09-16T12:21:00Z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2026-06-02T11:12:39Z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e834c45e-4ce1-4f88-ad22-644b7211b147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CPTemplateID">
    <vt:lpwstr>CP-039</vt:lpwstr>
  </property>
</Properties>
</file>