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F89071" w14:textId="7508F54C" w:rsidR="00A03D5B" w:rsidRPr="00046858" w:rsidRDefault="0001503D" w:rsidP="0001503D">
      <w:pPr>
        <w:pStyle w:val="Pagedecouverture"/>
        <w:rPr>
          <w:noProof/>
        </w:rPr>
      </w:pPr>
      <w:r>
        <w:rPr>
          <w:noProof/>
        </w:rPr>
        <w:pict w14:anchorId="467E4A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BD63DA6-CA9E-4893-BE69-A03D6F72038F" style="width:455.25pt;height:402.75pt">
            <v:imagedata r:id="rId11" o:title=""/>
          </v:shape>
        </w:pict>
      </w:r>
    </w:p>
    <w:p w14:paraId="05C9FBF9" w14:textId="77777777" w:rsidR="008E3751" w:rsidRPr="00046858" w:rsidRDefault="008E3751" w:rsidP="008E3751">
      <w:pPr>
        <w:rPr>
          <w:noProof/>
        </w:rPr>
        <w:sectPr w:rsidR="008E3751" w:rsidRPr="00046858" w:rsidSect="0001503D">
          <w:footerReference w:type="even" r:id="rId12"/>
          <w:footerReference w:type="default" r:id="rId13"/>
          <w:pgSz w:w="11907" w:h="16839"/>
          <w:pgMar w:top="1134" w:right="1417" w:bottom="1134" w:left="1417" w:header="709" w:footer="709" w:gutter="0"/>
          <w:pgNumType w:start="0"/>
          <w:cols w:space="720"/>
          <w:docGrid w:linePitch="360"/>
        </w:sectPr>
      </w:pPr>
    </w:p>
    <w:p w14:paraId="30D4266C" w14:textId="77777777" w:rsidR="00A03D5B" w:rsidRPr="00046858" w:rsidRDefault="00A03D5B" w:rsidP="0041561E">
      <w:pPr>
        <w:pStyle w:val="Exposdesmotifstitre"/>
        <w:rPr>
          <w:noProof/>
        </w:rPr>
      </w:pPr>
      <w:bookmarkStart w:id="0" w:name="_GoBack"/>
      <w:bookmarkEnd w:id="0"/>
      <w:r w:rsidRPr="00046858">
        <w:rPr>
          <w:noProof/>
        </w:rPr>
        <w:lastRenderedPageBreak/>
        <w:t>EXPUNERE DE MOTIVE</w:t>
      </w:r>
    </w:p>
    <w:p w14:paraId="55D2C218" w14:textId="77777777" w:rsidR="00A03D5B" w:rsidRPr="00046858" w:rsidRDefault="00A03D5B" w:rsidP="0041561E">
      <w:pPr>
        <w:pStyle w:val="ManualHeading1"/>
        <w:rPr>
          <w:noProof/>
        </w:rPr>
      </w:pPr>
      <w:r w:rsidRPr="00046858">
        <w:rPr>
          <w:noProof/>
        </w:rPr>
        <w:t>1.</w:t>
      </w:r>
      <w:r w:rsidRPr="00046858">
        <w:rPr>
          <w:noProof/>
        </w:rPr>
        <w:tab/>
        <w:t>CONTEXTUL PROPUNERII</w:t>
      </w:r>
    </w:p>
    <w:p w14:paraId="116CE9CA" w14:textId="77777777" w:rsidR="00A03D5B" w:rsidRPr="00046858" w:rsidRDefault="00A03D5B" w:rsidP="0041561E">
      <w:pPr>
        <w:pStyle w:val="ManualHeading2"/>
        <w:rPr>
          <w:rFonts w:eastAsia="Arial Unicode MS"/>
          <w:noProof/>
        </w:rPr>
      </w:pPr>
      <w:r w:rsidRPr="00046858">
        <w:rPr>
          <w:noProof/>
          <w:color w:val="000000"/>
          <w:bdr w:val="nil"/>
        </w:rPr>
        <w:t>•</w:t>
      </w:r>
      <w:r w:rsidRPr="00046858">
        <w:rPr>
          <w:noProof/>
        </w:rPr>
        <w:tab/>
        <w:t>Motivele și obiectivele propunerii</w:t>
      </w:r>
    </w:p>
    <w:p w14:paraId="1A51A069" w14:textId="4D3CD300" w:rsidR="00426AA0" w:rsidRPr="00046858" w:rsidRDefault="00426AA0" w:rsidP="00426AA0">
      <w:pPr>
        <w:spacing w:before="0"/>
        <w:rPr>
          <w:rFonts w:eastAsia="Times New Roman"/>
          <w:noProof/>
          <w:color w:val="000000" w:themeColor="text1"/>
        </w:rPr>
      </w:pPr>
      <w:r w:rsidRPr="00046858">
        <w:rPr>
          <w:noProof/>
          <w:color w:val="000000" w:themeColor="text1"/>
        </w:rPr>
        <w:t xml:space="preserve">Semiconductorii stau la baza tuturor tehnologiilor digitale, de la dispozitive purtabile inteligente și automobile la echipamente medicale, de apărare și </w:t>
      </w:r>
      <w:r w:rsidRPr="00046858">
        <w:rPr>
          <w:rStyle w:val="Added"/>
          <w:b w:val="0"/>
          <w:noProof/>
          <w:u w:val="none"/>
        </w:rPr>
        <w:t>esențiale pentru misiuni</w:t>
      </w:r>
      <w:r w:rsidRPr="00046858">
        <w:rPr>
          <w:noProof/>
          <w:color w:val="000000" w:themeColor="text1"/>
        </w:rPr>
        <w:t>, precum și la baza centrelor de date care alimentează revoluția inteligenței artificiale (IA)</w:t>
      </w:r>
      <w:r w:rsidRPr="00046858">
        <w:rPr>
          <w:noProof/>
        </w:rPr>
        <w:t>.</w:t>
      </w:r>
      <w:r w:rsidRPr="00046858">
        <w:rPr>
          <w:noProof/>
          <w:color w:val="000000" w:themeColor="text1"/>
        </w:rPr>
        <w:t xml:space="preserve"> Începând din 2020, o serie de deficite de aprovizionare și încercări de a constrânge din punct de vedere economic UE au evidențiat fragilitatea ecosistemului european al semiconductorilor și vulnerabilitatea industriilor sale care sunt utilizatori finali. Aceste perturbări au fost cauzate de crize la nivel mondial, cum ar fi pandemia de COVID-19, de șocuri individuale precum cazul Nexperia și de neconcordanța structurală persistentă dintre cerere și ofertă pe piața mondială. Împreună, acești factori au scos la iveală modul în care dependențele externe excesive pot face ca piețe întregi să fie vulnerabile.</w:t>
      </w:r>
    </w:p>
    <w:p w14:paraId="48838E32" w14:textId="77777777" w:rsidR="00426AA0" w:rsidRPr="00046858" w:rsidRDefault="00426AA0" w:rsidP="004215D8">
      <w:pPr>
        <w:rPr>
          <w:noProof/>
        </w:rPr>
      </w:pPr>
      <w:r w:rsidRPr="00046858">
        <w:rPr>
          <w:noProof/>
        </w:rPr>
        <w:t>În același timp, rivalitatea geopolitică tot mai mare, inclusiv tensiunile sino-americane, și apariția rapidă a IA au subliniat și mai mult importanța strategică a semiconductorilor. Cipurile de vârf, dar și cipurile de uz general au devenit din ce în ce mai mult un atu geopolitic esențial, iar de-a lungul lanțului valoric mondial al semiconductorilor au apărut mai multe puncte de blocaj. Acest lucru a accelerat cursa pentru controlul unor părți din aceste puncte de blocaj.</w:t>
      </w:r>
    </w:p>
    <w:p w14:paraId="79F2FAE3" w14:textId="77777777" w:rsidR="00426AA0" w:rsidRPr="00046858" w:rsidRDefault="00426AA0" w:rsidP="00426AA0">
      <w:pPr>
        <w:spacing w:before="0"/>
        <w:rPr>
          <w:rFonts w:eastAsia="Times New Roman"/>
          <w:noProof/>
          <w:color w:val="000000" w:themeColor="text1"/>
          <w:szCs w:val="24"/>
        </w:rPr>
      </w:pPr>
      <w:r w:rsidRPr="00046858">
        <w:rPr>
          <w:noProof/>
          <w:color w:val="000000" w:themeColor="text1"/>
        </w:rPr>
        <w:t>Amploarea tot mai mare a acestei industrii reflectă importanța sa geopolitică. Semiconductorii sunt al treilea cel mai comercializat produs de bază din lume – după petrol și vehicule – veniturile globale ajungând la 700,9 miliarde USD în 2025</w:t>
      </w:r>
      <w:r w:rsidRPr="00046858">
        <w:rPr>
          <w:rStyle w:val="FootnoteReference"/>
          <w:rFonts w:eastAsia="Times New Roman"/>
          <w:noProof/>
          <w:color w:val="000000" w:themeColor="text1"/>
        </w:rPr>
        <w:footnoteReference w:id="1"/>
      </w:r>
      <w:r w:rsidRPr="00046858">
        <w:rPr>
          <w:noProof/>
        </w:rPr>
        <w:t>.</w:t>
      </w:r>
      <w:r w:rsidRPr="00046858">
        <w:rPr>
          <w:noProof/>
          <w:color w:val="000000" w:themeColor="text1"/>
        </w:rPr>
        <w:t xml:space="preserve"> Se preconizează că piața va depăși </w:t>
      </w:r>
      <w:r w:rsidRPr="00046858">
        <w:rPr>
          <w:b/>
          <w:noProof/>
          <w:color w:val="000000" w:themeColor="text1"/>
        </w:rPr>
        <w:t>o mie de miliarde USD până în 2026</w:t>
      </w:r>
      <w:r w:rsidRPr="00046858">
        <w:rPr>
          <w:rStyle w:val="FootnoteReference"/>
          <w:rFonts w:eastAsia="Times New Roman"/>
          <w:noProof/>
          <w:color w:val="000000" w:themeColor="text1"/>
        </w:rPr>
        <w:footnoteReference w:id="2"/>
      </w:r>
      <w:r w:rsidRPr="00046858">
        <w:rPr>
          <w:b/>
          <w:noProof/>
          <w:color w:val="000000" w:themeColor="text1"/>
        </w:rPr>
        <w:t xml:space="preserve"> și va crește la 1,6 mii de miliarde USD până în 2030</w:t>
      </w:r>
      <w:r w:rsidRPr="00046858">
        <w:rPr>
          <w:rStyle w:val="FootnoteReference"/>
          <w:rFonts w:eastAsia="Times New Roman"/>
          <w:noProof/>
          <w:color w:val="000000" w:themeColor="text1"/>
        </w:rPr>
        <w:footnoteReference w:id="3"/>
      </w:r>
      <w:r w:rsidRPr="00046858">
        <w:rPr>
          <w:noProof/>
          <w:color w:val="000000" w:themeColor="text1"/>
        </w:rPr>
        <w:t xml:space="preserve">. În calitate de furnizor și catalizator esențial pentru aproape toate industriile moderne și pentru infrastructura care le sprijină, sectorul semiconductorilor a devenit o </w:t>
      </w:r>
      <w:r w:rsidRPr="00046858">
        <w:rPr>
          <w:b/>
          <w:noProof/>
          <w:color w:val="000000" w:themeColor="text1"/>
        </w:rPr>
        <w:t>resursă strategică</w:t>
      </w:r>
      <w:r w:rsidRPr="00046858">
        <w:rPr>
          <w:noProof/>
          <w:color w:val="000000" w:themeColor="text1"/>
        </w:rPr>
        <w:t xml:space="preserve">. Într-un mediu global mai tranzacțional și mai asertiv, această poziție îl transformă, de asemenea, într-o sursă potențială de </w:t>
      </w:r>
      <w:r w:rsidRPr="00046858">
        <w:rPr>
          <w:b/>
          <w:noProof/>
          <w:color w:val="000000" w:themeColor="text1"/>
        </w:rPr>
        <w:t>influență geopolitică</w:t>
      </w:r>
      <w:r w:rsidRPr="00046858">
        <w:rPr>
          <w:noProof/>
          <w:color w:val="000000" w:themeColor="text1"/>
        </w:rPr>
        <w:t>. Regiunile care nu dispun de capabilități semnificative în proiectarea sau fabricarea semiconductorilor riscă, prin urmare, să devină dependente de componente pe care alții le pot restricționa sau supune anumitor condiții.</w:t>
      </w:r>
    </w:p>
    <w:p w14:paraId="798FD7CA" w14:textId="77777777" w:rsidR="00426AA0" w:rsidRPr="00046858" w:rsidRDefault="00426AA0" w:rsidP="00426AA0">
      <w:pPr>
        <w:spacing w:before="0"/>
        <w:rPr>
          <w:rFonts w:eastAsia="Times New Roman"/>
          <w:noProof/>
          <w:color w:val="000000" w:themeColor="text1"/>
          <w:szCs w:val="24"/>
        </w:rPr>
      </w:pPr>
      <w:r w:rsidRPr="00046858">
        <w:rPr>
          <w:noProof/>
          <w:color w:val="000000" w:themeColor="text1"/>
        </w:rPr>
        <w:t xml:space="preserve">Regulamentul european privind cipurile propus în februarie 2022 a constituit </w:t>
      </w:r>
      <w:r w:rsidRPr="00046858">
        <w:rPr>
          <w:b/>
          <w:noProof/>
          <w:color w:val="000000" w:themeColor="text1"/>
        </w:rPr>
        <w:t>primul răspuns strategic al UE la vulnerabilitățile critice</w:t>
      </w:r>
      <w:r w:rsidRPr="00046858">
        <w:rPr>
          <w:noProof/>
          <w:color w:val="000000" w:themeColor="text1"/>
        </w:rPr>
        <w:t xml:space="preserve"> din lanțul valoric mondial al semiconductorilor, care au fost expuse de pandemia de COVID-19 și de intensificarea concurenței mondiale bazate pe subvenții din partea țărilor terțe. UE a decis că o </w:t>
      </w:r>
      <w:r w:rsidRPr="00046858">
        <w:rPr>
          <w:b/>
          <w:noProof/>
          <w:color w:val="000000" w:themeColor="text1"/>
        </w:rPr>
        <w:t xml:space="preserve">intervenție decisivă și coordonată este esențială </w:t>
      </w:r>
      <w:r w:rsidRPr="00046858">
        <w:rPr>
          <w:noProof/>
          <w:color w:val="000000" w:themeColor="text1"/>
        </w:rPr>
        <w:t xml:space="preserve">pentru a aborda dependențele structurale din propriul ecosistem al semiconductorilor și pentru a sprijini industria. Fără investiții substanțiale în cercetare și în capacitatea de producție și fără mecanisme adecvate de răspuns în situații de criză, Europa ar rămâne vulnerabilă din punct de vedere structural. Regulamentul privind cipurile a apărut într-o perioadă în care s-a pus </w:t>
      </w:r>
      <w:r w:rsidRPr="00046858">
        <w:rPr>
          <w:b/>
          <w:noProof/>
          <w:color w:val="000000" w:themeColor="text1"/>
        </w:rPr>
        <w:t xml:space="preserve">un accent puternic pe tranziția verde și pe cea digitală </w:t>
      </w:r>
      <w:r w:rsidRPr="00046858">
        <w:rPr>
          <w:noProof/>
          <w:color w:val="000000" w:themeColor="text1"/>
        </w:rPr>
        <w:t xml:space="preserve">și în contextul unui consens european tot mai larg cu privire la necesitatea de a consolida </w:t>
      </w:r>
      <w:r w:rsidRPr="00046858">
        <w:rPr>
          <w:b/>
          <w:noProof/>
          <w:color w:val="000000" w:themeColor="text1"/>
        </w:rPr>
        <w:lastRenderedPageBreak/>
        <w:t>competitivitatea economică a regiunii și de a inversa declinul capacității industriale</w:t>
      </w:r>
      <w:r w:rsidRPr="00046858">
        <w:rPr>
          <w:noProof/>
          <w:color w:val="000000" w:themeColor="text1"/>
        </w:rPr>
        <w:t>. Raportul Draghi din septembrie 2024 urma să clarifice ulterior aceste preocupări, făcând apel la o reînnoire industrială urgentă</w:t>
      </w:r>
      <w:r w:rsidRPr="00046858">
        <w:rPr>
          <w:rStyle w:val="FootnoteReference"/>
          <w:rFonts w:eastAsia="Times New Roman"/>
          <w:noProof/>
          <w:color w:val="000000" w:themeColor="text1"/>
          <w:szCs w:val="24"/>
        </w:rPr>
        <w:footnoteReference w:id="4"/>
      </w:r>
      <w:r w:rsidRPr="00046858">
        <w:rPr>
          <w:noProof/>
        </w:rPr>
        <w:t>.</w:t>
      </w:r>
    </w:p>
    <w:p w14:paraId="1E564E01" w14:textId="77777777" w:rsidR="00426AA0" w:rsidRPr="00046858" w:rsidRDefault="00426AA0" w:rsidP="00426AA0">
      <w:pPr>
        <w:spacing w:before="0"/>
        <w:rPr>
          <w:rFonts w:eastAsia="Times New Roman"/>
          <w:noProof/>
          <w:color w:val="000000" w:themeColor="text1"/>
          <w:szCs w:val="24"/>
        </w:rPr>
      </w:pPr>
      <w:r w:rsidRPr="00046858">
        <w:rPr>
          <w:noProof/>
          <w:color w:val="000000" w:themeColor="text1"/>
        </w:rPr>
        <w:t xml:space="preserve">Evaluarea Regulamentul european privind cipurile arată că </w:t>
      </w:r>
      <w:r w:rsidRPr="00046858">
        <w:rPr>
          <w:b/>
          <w:noProof/>
          <w:color w:val="000000" w:themeColor="text1"/>
        </w:rPr>
        <w:t>acesta a produs rezultate semnificative</w:t>
      </w:r>
      <w:r w:rsidRPr="00046858">
        <w:rPr>
          <w:noProof/>
          <w:color w:val="000000" w:themeColor="text1"/>
        </w:rPr>
        <w:t>.</w:t>
      </w:r>
      <w:r w:rsidRPr="00046858">
        <w:rPr>
          <w:b/>
          <w:noProof/>
          <w:color w:val="000000" w:themeColor="text1"/>
        </w:rPr>
        <w:t xml:space="preserve"> </w:t>
      </w:r>
      <w:r w:rsidRPr="00046858">
        <w:rPr>
          <w:noProof/>
          <w:color w:val="000000" w:themeColor="text1"/>
        </w:rPr>
        <w:t>Printre exemplele în acest sens se numără următoarele aspecte:</w:t>
      </w:r>
    </w:p>
    <w:p w14:paraId="6FFB4C4F" w14:textId="77777777" w:rsidR="00426AA0" w:rsidRPr="00046858" w:rsidRDefault="005D2A31" w:rsidP="00A13600">
      <w:pPr>
        <w:pStyle w:val="Bullet0"/>
        <w:numPr>
          <w:ilvl w:val="0"/>
          <w:numId w:val="19"/>
        </w:numPr>
        <w:rPr>
          <w:noProof/>
        </w:rPr>
      </w:pPr>
      <w:r w:rsidRPr="00046858">
        <w:rPr>
          <w:noProof/>
        </w:rPr>
        <w:t>au fost înființate infrastructuri care includ centre de competență, o platformă de proiectare embrionară și cinci linii-pilot de ultimă generație, care reprezintă unele dintre cele mai inovatoare infrastructuri tehnologice din lume;</w:t>
      </w:r>
    </w:p>
    <w:p w14:paraId="16AB6BA3" w14:textId="77777777" w:rsidR="00426AA0" w:rsidRPr="00046858" w:rsidRDefault="00426AA0" w:rsidP="009123F0">
      <w:pPr>
        <w:pStyle w:val="Bullet0"/>
        <w:rPr>
          <w:noProof/>
        </w:rPr>
      </w:pPr>
      <w:r w:rsidRPr="00046858">
        <w:rPr>
          <w:noProof/>
        </w:rPr>
        <w:t>s-au angajat peste 52 de miliarde EUR pentru investiții publice și private în instalații de producție în curs în cadrul pilonului II și</w:t>
      </w:r>
    </w:p>
    <w:p w14:paraId="494D0649" w14:textId="77777777" w:rsidR="00426AA0" w:rsidRPr="00046858" w:rsidRDefault="00426AA0" w:rsidP="009123F0">
      <w:pPr>
        <w:pStyle w:val="Bullet0"/>
        <w:rPr>
          <w:noProof/>
        </w:rPr>
      </w:pPr>
      <w:r w:rsidRPr="00046858">
        <w:rPr>
          <w:noProof/>
        </w:rPr>
        <w:t>s-a instituit un mecanism de coordonare și de răspuns în situații de criză în cadrul pilonului III prin intermediul Consiliului european pentru semiconductori (ESB), cu implicarea tuturor statelor membre și a Comisiei.</w:t>
      </w:r>
    </w:p>
    <w:p w14:paraId="2AF6EF98" w14:textId="77777777" w:rsidR="00426AA0" w:rsidRPr="00046858" w:rsidRDefault="00426AA0" w:rsidP="00426AA0">
      <w:pPr>
        <w:spacing w:before="0"/>
        <w:rPr>
          <w:rFonts w:eastAsia="Times New Roman"/>
          <w:noProof/>
          <w:color w:val="000000" w:themeColor="text1"/>
          <w:szCs w:val="24"/>
        </w:rPr>
      </w:pPr>
      <w:r w:rsidRPr="00046858">
        <w:rPr>
          <w:noProof/>
          <w:color w:val="000000" w:themeColor="text1"/>
        </w:rPr>
        <w:t xml:space="preserve">În pofida acestor progrese considerabile și a punctelor forte ale Uniunii în segmente-cheie ale lanțului valoric al semiconductorilor, cum ar fi producția de semiconductori de uz general (electronică de putere, microcontrolere, fotonică, senzori), echipamente de producție și materiale, </w:t>
      </w:r>
      <w:r w:rsidRPr="00046858">
        <w:rPr>
          <w:b/>
          <w:noProof/>
          <w:color w:val="000000" w:themeColor="text1"/>
        </w:rPr>
        <w:t xml:space="preserve">există în continuare lacune clare în materie de capabilități </w:t>
      </w:r>
      <w:r w:rsidRPr="00046858">
        <w:rPr>
          <w:noProof/>
          <w:color w:val="000000" w:themeColor="text1"/>
        </w:rPr>
        <w:t>care trebuie abordate în continuare.</w:t>
      </w:r>
    </w:p>
    <w:p w14:paraId="5E526239" w14:textId="77777777" w:rsidR="00426AA0" w:rsidRPr="00046858" w:rsidRDefault="00426AA0" w:rsidP="00426AA0">
      <w:pPr>
        <w:spacing w:before="0"/>
        <w:rPr>
          <w:rFonts w:eastAsia="Times New Roman"/>
          <w:noProof/>
          <w:color w:val="000000" w:themeColor="text1"/>
          <w:szCs w:val="24"/>
        </w:rPr>
      </w:pPr>
      <w:r w:rsidRPr="00046858">
        <w:rPr>
          <w:noProof/>
          <w:color w:val="000000" w:themeColor="text1"/>
        </w:rPr>
        <w:t>UE produce mai puțin de 10 %</w:t>
      </w:r>
      <w:r w:rsidRPr="00046858">
        <w:rPr>
          <w:rStyle w:val="FootnoteReference"/>
          <w:rFonts w:eastAsia="Times New Roman"/>
          <w:noProof/>
          <w:color w:val="000000" w:themeColor="text1"/>
        </w:rPr>
        <w:footnoteReference w:id="5"/>
      </w:r>
      <w:r w:rsidRPr="00046858">
        <w:rPr>
          <w:noProof/>
          <w:color w:val="000000" w:themeColor="text1"/>
        </w:rPr>
        <w:t xml:space="preserve"> din semiconductorii de la nivel mondial și este aproape în întregime dependentă de Statele Unite și Asia pentru cipurile cele mai avansate și de vârf de sub 5 nanometri – inclusiv în ceea ce privește cipurile de IA. Aceste dependențe structurale sporesc riscul de întreruperi ale aprovizionării, de presiune coercitivă și de șocuri sistemice care afectează sectoarele industriale cheie ale UE, de la industria autovehiculelor și a energiei la industria aerospațială și de apărare. În general, semiconductorii ilustrează urgența </w:t>
      </w:r>
      <w:r w:rsidRPr="00046858">
        <w:rPr>
          <w:b/>
          <w:noProof/>
          <w:color w:val="000000" w:themeColor="text1"/>
        </w:rPr>
        <w:t xml:space="preserve">provocării pe care o reprezintă suveranitatea tehnologică </w:t>
      </w:r>
      <w:r w:rsidRPr="00046858">
        <w:rPr>
          <w:noProof/>
          <w:color w:val="000000" w:themeColor="text1"/>
        </w:rPr>
        <w:t>a Europei.</w:t>
      </w:r>
    </w:p>
    <w:p w14:paraId="198F13E7" w14:textId="77777777" w:rsidR="00355410" w:rsidRPr="00046858" w:rsidRDefault="00355410" w:rsidP="00355410">
      <w:pPr>
        <w:rPr>
          <w:rStyle w:val="bzpyqfadein"/>
          <w:rFonts w:ascii="Times New Roman" w:hAnsi="Times New Roman" w:cs="Times New Roman"/>
          <w:noProof/>
          <w:sz w:val="24"/>
          <w:szCs w:val="24"/>
        </w:rPr>
      </w:pPr>
      <w:r w:rsidRPr="00046858">
        <w:rPr>
          <w:rStyle w:val="bzpyqfadein"/>
          <w:rFonts w:ascii="Times New Roman" w:hAnsi="Times New Roman"/>
          <w:noProof/>
          <w:sz w:val="24"/>
        </w:rPr>
        <w:t xml:space="preserve">Suveranitatea tehnologică a devenit un imperativ strategic pentru UE. Scopul este de a menține capacitatea Europei de a-și alege propria cale, de a reduce dependențele excesive și de a se asigura că infrastructurile și tehnologiile digitale critice rămân sigure, reziliente și aliniate la valorile europene. </w:t>
      </w:r>
    </w:p>
    <w:p w14:paraId="20FB4DAD" w14:textId="77777777" w:rsidR="00355410" w:rsidRPr="00046858" w:rsidRDefault="00F16460" w:rsidP="00355410">
      <w:pPr>
        <w:rPr>
          <w:noProof/>
          <w:szCs w:val="24"/>
        </w:rPr>
      </w:pPr>
      <w:r w:rsidRPr="00046858">
        <w:rPr>
          <w:rStyle w:val="bzpyqfadein"/>
          <w:rFonts w:ascii="Times New Roman" w:hAnsi="Times New Roman"/>
          <w:noProof/>
          <w:sz w:val="24"/>
        </w:rPr>
        <w:t xml:space="preserve">Prin urmare, Regulamentul privind cipurile 2.0 va face parte din </w:t>
      </w:r>
      <w:r w:rsidRPr="00046858">
        <w:rPr>
          <w:rStyle w:val="bzpyqfadein"/>
          <w:rFonts w:ascii="Times New Roman" w:hAnsi="Times New Roman"/>
          <w:b/>
          <w:noProof/>
          <w:sz w:val="24"/>
        </w:rPr>
        <w:t>pachetul privind suveranitatea tehnologică</w:t>
      </w:r>
      <w:r w:rsidRPr="00046858">
        <w:rPr>
          <w:rStyle w:val="bzpyqfadein"/>
          <w:rFonts w:ascii="Times New Roman" w:hAnsi="Times New Roman"/>
          <w:noProof/>
          <w:sz w:val="24"/>
        </w:rPr>
        <w:t xml:space="preserve">, împreună cu alte inițiative, cum ar fi </w:t>
      </w:r>
      <w:r w:rsidRPr="00046858">
        <w:rPr>
          <w:noProof/>
        </w:rPr>
        <w:t>Actul legislativ privind dezvoltarea tehnologiilor de tip cloud și a IA (CADA).</w:t>
      </w:r>
    </w:p>
    <w:p w14:paraId="63DFA7A2" w14:textId="77777777" w:rsidR="00355410" w:rsidRPr="00046858" w:rsidRDefault="00355410" w:rsidP="00355410">
      <w:pPr>
        <w:rPr>
          <w:noProof/>
          <w:szCs w:val="24"/>
        </w:rPr>
      </w:pPr>
      <w:r w:rsidRPr="00046858">
        <w:rPr>
          <w:rStyle w:val="bzpyqfadein"/>
          <w:rFonts w:ascii="Times New Roman" w:hAnsi="Times New Roman"/>
          <w:noProof/>
          <w:sz w:val="24"/>
        </w:rPr>
        <w:t>Abordarea Europei în ceea ce privește suveranitatea tehnologică se bazează pe deschidere, parteneriat și concurență loială. Consolidarea bazei tehnologice a UE îi permite acesteia să rămână deschisă și cooperantă, asigurându-și în același timp capacitatea de a acționa independent și de a-și proteja interesele, securitatea și principiile democratice.</w:t>
      </w:r>
    </w:p>
    <w:p w14:paraId="162EDE20" w14:textId="77777777" w:rsidR="00426AA0" w:rsidRPr="00046858" w:rsidRDefault="00426AA0" w:rsidP="00426AA0">
      <w:pPr>
        <w:spacing w:before="0"/>
        <w:rPr>
          <w:rFonts w:eastAsia="Times New Roman"/>
          <w:noProof/>
          <w:color w:val="000000" w:themeColor="text1"/>
          <w:szCs w:val="24"/>
        </w:rPr>
      </w:pPr>
      <w:r w:rsidRPr="00046858">
        <w:rPr>
          <w:noProof/>
          <w:color w:val="000000" w:themeColor="text1"/>
        </w:rPr>
        <w:t xml:space="preserve">În acest context, cele </w:t>
      </w:r>
      <w:r w:rsidRPr="00046858">
        <w:rPr>
          <w:b/>
          <w:noProof/>
          <w:color w:val="000000" w:themeColor="text1"/>
        </w:rPr>
        <w:t xml:space="preserve">două probleme esențiale </w:t>
      </w:r>
      <w:r w:rsidRPr="00046858">
        <w:rPr>
          <w:noProof/>
          <w:color w:val="000000" w:themeColor="text1"/>
        </w:rPr>
        <w:t>pe care revizuirea Regulamentului privind cipurile urmărește să le abordeze sunt:</w:t>
      </w:r>
    </w:p>
    <w:p w14:paraId="1F0C3729" w14:textId="77777777" w:rsidR="00426AA0" w:rsidRPr="00046858" w:rsidRDefault="00F16460" w:rsidP="000006E4">
      <w:pPr>
        <w:pStyle w:val="Point1"/>
        <w:rPr>
          <w:noProof/>
        </w:rPr>
      </w:pPr>
      <w:r w:rsidRPr="00046858">
        <w:rPr>
          <w:noProof/>
        </w:rPr>
        <w:lastRenderedPageBreak/>
        <w:t>(a)</w:t>
      </w:r>
      <w:r w:rsidRPr="00046858">
        <w:rPr>
          <w:noProof/>
        </w:rPr>
        <w:tab/>
        <w:t>dependența excesivă de țări terțe în ceea ce privește proiectarea și fabricarea semiconductorilor;</w:t>
      </w:r>
    </w:p>
    <w:p w14:paraId="32ACE8F3" w14:textId="77777777" w:rsidR="00426AA0" w:rsidRPr="00046858" w:rsidRDefault="00F16460" w:rsidP="000E57F1">
      <w:pPr>
        <w:pStyle w:val="Point1"/>
        <w:rPr>
          <w:noProof/>
        </w:rPr>
      </w:pPr>
      <w:r w:rsidRPr="00046858">
        <w:rPr>
          <w:noProof/>
        </w:rPr>
        <w:t>(b)</w:t>
      </w:r>
      <w:r w:rsidRPr="00046858">
        <w:rPr>
          <w:noProof/>
        </w:rPr>
        <w:tab/>
        <w:t>capabilități insuficiente de pregătire pentru situații de criză.</w:t>
      </w:r>
    </w:p>
    <w:p w14:paraId="2E718FF0" w14:textId="77777777" w:rsidR="009D42A3" w:rsidRPr="00046858" w:rsidRDefault="00523313" w:rsidP="009123F0">
      <w:pPr>
        <w:rPr>
          <w:noProof/>
        </w:rPr>
      </w:pPr>
      <w:r w:rsidRPr="00046858">
        <w:rPr>
          <w:noProof/>
        </w:rPr>
        <w:t xml:space="preserve">Pe baza obiectivelor stabilite în primul Regulament privind cipurile și pe baza unei analize a acestor provocări și a factorilor care stau la baza lor, au fost identificate </w:t>
      </w:r>
      <w:r w:rsidRPr="00046858">
        <w:rPr>
          <w:b/>
          <w:noProof/>
        </w:rPr>
        <w:t>două obiective generale pentru Regulamentul privind cipurile 2.0</w:t>
      </w:r>
      <w:r w:rsidRPr="00046858">
        <w:rPr>
          <w:noProof/>
        </w:rPr>
        <w:t>:</w:t>
      </w:r>
    </w:p>
    <w:p w14:paraId="55ABC5F9" w14:textId="353CA01C" w:rsidR="000567A9" w:rsidRPr="00046858" w:rsidRDefault="00283DA6">
      <w:pPr>
        <w:pStyle w:val="Point0"/>
        <w:rPr>
          <w:noProof/>
        </w:rPr>
      </w:pPr>
      <w:r w:rsidRPr="00046858">
        <w:rPr>
          <w:noProof/>
        </w:rPr>
        <w:t>(1)</w:t>
      </w:r>
      <w:r w:rsidRPr="00046858">
        <w:rPr>
          <w:noProof/>
        </w:rPr>
        <w:tab/>
        <w:t>Sporirea competitivității lanțului valoric european al semiconductorilor pentru a îmbunătăți suveranitatea tehnologică și reziliența. Aceasta înseamnă asigurarea condițiilor necesare pentru competitivitatea, suveranitatea tehnologică și reziliența UE în domeniul tehnologiilor semiconductorilor prin: (i) accelerarea implementării industriale a cercetării și inovării; (ii) asigurarea securității aprovizionării și (iii) reducerea dependențelor strategice în ceea ce privește tehnologiile de vârf și mature ale semiconductorilor.</w:t>
      </w:r>
    </w:p>
    <w:p w14:paraId="39D6CEDA" w14:textId="6120AFF0" w:rsidR="000567A9" w:rsidRPr="00046858" w:rsidRDefault="008E607A">
      <w:pPr>
        <w:pStyle w:val="Point0"/>
        <w:rPr>
          <w:noProof/>
        </w:rPr>
      </w:pPr>
      <w:r w:rsidRPr="00046858">
        <w:rPr>
          <w:noProof/>
        </w:rPr>
        <w:t>(2)</w:t>
      </w:r>
      <w:r w:rsidRPr="00046858">
        <w:rPr>
          <w:noProof/>
        </w:rPr>
        <w:tab/>
        <w:t>Îmbunătățirea pregătirii pentru situații de criză pentru a asigura securitatea aprovizionării UE. Aceasta înseamnă îmbunătățirea funcționării pieței interne prin îmbunătățirea pregătirii pentru situații de criză și prin crearea unui cadru juridic uniform pentru a proteja securitatea economică a Uniunii și pentru a spori caracterul indispensabil, reziliența și prosperitatea acesteia în domeniul tehnologiilor semiconductorilor.</w:t>
      </w:r>
    </w:p>
    <w:p w14:paraId="6F32AD02" w14:textId="77777777" w:rsidR="007927AD" w:rsidRPr="00046858" w:rsidRDefault="007927AD" w:rsidP="004A7A0C">
      <w:pPr>
        <w:pStyle w:val="ListNumber"/>
        <w:tabs>
          <w:tab w:val="clear" w:pos="709"/>
          <w:tab w:val="left" w:pos="454"/>
          <w:tab w:val="left" w:pos="720"/>
          <w:tab w:val="left" w:pos="1440"/>
        </w:tabs>
        <w:spacing w:before="0"/>
        <w:contextualSpacing/>
        <w:rPr>
          <w:i/>
          <w:iCs/>
          <w:noProof/>
          <w:color w:val="000000" w:themeColor="text1"/>
          <w:szCs w:val="24"/>
        </w:rPr>
      </w:pPr>
      <w:r w:rsidRPr="00046858">
        <w:rPr>
          <w:i/>
          <w:noProof/>
        </w:rPr>
        <w:t xml:space="preserve">Sporirea competitivității lanțului valoric european al semiconductorilor pentru a îmbunătăți suveranitatea tehnologică și reziliența </w:t>
      </w:r>
    </w:p>
    <w:p w14:paraId="06240903" w14:textId="77777777" w:rsidR="00433209" w:rsidRPr="00046858" w:rsidRDefault="00433209" w:rsidP="009123F0">
      <w:pPr>
        <w:rPr>
          <w:noProof/>
        </w:rPr>
      </w:pPr>
      <w:r w:rsidRPr="00046858">
        <w:rPr>
          <w:noProof/>
        </w:rPr>
        <w:t>Pe măsură ce devine din ce în ce mai dependentă de aprovizionarea străină cu semiconductori, UE este mai vulnerabilă la constrângerile externe, inclusiv la posibila „folosire drept armă” a dependențelor din lanțul de aprovizionare. Fără o bază industrială solidă în proiectarea și fabricarea semiconductorilor, UE ar putea să nu reușească să își transpună ecosistemul său puternic de cercetare și inovare în câștiguri de productivitate și în industrializarea la scară largă a noilor tehnologii.</w:t>
      </w:r>
    </w:p>
    <w:p w14:paraId="2F7A6AAB" w14:textId="77777777" w:rsidR="00433209" w:rsidRPr="00046858" w:rsidRDefault="00433209" w:rsidP="009123F0">
      <w:pPr>
        <w:rPr>
          <w:noProof/>
        </w:rPr>
      </w:pPr>
      <w:r w:rsidRPr="00046858">
        <w:rPr>
          <w:noProof/>
        </w:rPr>
        <w:t>În același timp, industriile utilizatoare europene se confruntă cu incertitudini semnificative în cadrul lanțului de aprovizionare, ceea ce determină niveluri mai ridicate ale stocurilor și frânează investițiile. Acest lucru, la rândul său, subminează competitivitatea generală a industriei prelucrătoare în cadrul UE. În plus, dependențele din lanțurile de aprovizionare cu semiconductori sporesc riscurile geopolitice și de securitate, în special în perioade de criză, când accesul la tehnologiile critice poate fi restricționat sau poate fi deturnat către alte regiuni.</w:t>
      </w:r>
    </w:p>
    <w:p w14:paraId="065AECE7" w14:textId="77777777" w:rsidR="000776E5" w:rsidRPr="00046858" w:rsidRDefault="00654BB0" w:rsidP="007927AD">
      <w:pPr>
        <w:spacing w:before="0"/>
        <w:rPr>
          <w:noProof/>
          <w:color w:val="000000" w:themeColor="text1"/>
          <w:szCs w:val="24"/>
        </w:rPr>
      </w:pPr>
      <w:r w:rsidRPr="00046858">
        <w:rPr>
          <w:noProof/>
          <w:color w:val="000000" w:themeColor="text1"/>
        </w:rPr>
        <w:t xml:space="preserve">În acest context, </w:t>
      </w:r>
      <w:r w:rsidRPr="00046858">
        <w:rPr>
          <w:b/>
          <w:noProof/>
          <w:color w:val="000000" w:themeColor="text1"/>
        </w:rPr>
        <w:t>Regulamentul inițial privind cipurile s-a axat în principal pe ofertă, însă Regulamentul privind cipurile 2.0 pune un accent mai mare pe măsurile axate pe cerere.</w:t>
      </w:r>
      <w:r w:rsidRPr="00046858">
        <w:rPr>
          <w:noProof/>
          <w:color w:val="000000" w:themeColor="text1"/>
        </w:rPr>
        <w:t xml:space="preserve"> Cele două dimensiuni se consolidează reciproc: cultivarea unei cereri locale solide contribuie la consolidarea ofertei locale de semiconductori. Astfel, extinderea combinată a cererii și a ofertei contribuie la o mai mare reziliență industrială, la lanțuri de aprovizionare mai scurte și mai sigure, la o autonomie strategică sporită și la o mai bună aliniere între capacitatea de producție europeană și nevoile industriilor-cheie.</w:t>
      </w:r>
    </w:p>
    <w:p w14:paraId="693F1808" w14:textId="77777777" w:rsidR="00426AA0" w:rsidRPr="00046858" w:rsidRDefault="00261601" w:rsidP="00426AA0">
      <w:pPr>
        <w:spacing w:before="0"/>
        <w:rPr>
          <w:noProof/>
          <w:color w:val="000000" w:themeColor="text1"/>
          <w:szCs w:val="24"/>
        </w:rPr>
      </w:pPr>
      <w:r w:rsidRPr="00046858">
        <w:rPr>
          <w:noProof/>
          <w:color w:val="000000" w:themeColor="text1"/>
        </w:rPr>
        <w:t xml:space="preserve">Această abordare este strâns legată de inițiative mai ample ale UE, în special de CADA, care include acțiuni de </w:t>
      </w:r>
      <w:r w:rsidRPr="00046858">
        <w:rPr>
          <w:b/>
          <w:noProof/>
          <w:color w:val="000000" w:themeColor="text1"/>
        </w:rPr>
        <w:t xml:space="preserve">stimulare a cererii de cipuri de IA de vârf </w:t>
      </w:r>
      <w:r w:rsidRPr="00046858">
        <w:rPr>
          <w:noProof/>
          <w:color w:val="000000" w:themeColor="text1"/>
        </w:rPr>
        <w:t xml:space="preserve">prin dezvoltarea de noi centre de date în întreaga Uniune. Se preconizează că aceste măsuri vor genera o cerere suplimentară de semiconductori, care poate sprijini scopurile și obiectivele Regulamentului revizuit privind </w:t>
      </w:r>
      <w:r w:rsidRPr="00046858">
        <w:rPr>
          <w:noProof/>
          <w:color w:val="000000" w:themeColor="text1"/>
        </w:rPr>
        <w:lastRenderedPageBreak/>
        <w:t xml:space="preserve">cipurile. </w:t>
      </w:r>
      <w:r w:rsidRPr="00046858">
        <w:rPr>
          <w:b/>
          <w:noProof/>
          <w:color w:val="000000" w:themeColor="text1"/>
        </w:rPr>
        <w:t>Comunicarea referitoare la Planul de acțiune privind continentul IA</w:t>
      </w:r>
      <w:r w:rsidRPr="00046858">
        <w:rPr>
          <w:rStyle w:val="FootnoteReference"/>
          <w:noProof/>
          <w:color w:val="000000" w:themeColor="text1"/>
          <w:szCs w:val="24"/>
        </w:rPr>
        <w:footnoteReference w:id="6"/>
      </w:r>
      <w:r w:rsidRPr="00046858">
        <w:rPr>
          <w:noProof/>
          <w:color w:val="000000" w:themeColor="text1"/>
        </w:rPr>
        <w:t xml:space="preserve"> prezintă modul în care, ca parte a efortului mai amplu de dezvoltare a </w:t>
      </w:r>
      <w:r w:rsidRPr="00046858">
        <w:rPr>
          <w:b/>
          <w:noProof/>
          <w:color w:val="000000" w:themeColor="text1"/>
        </w:rPr>
        <w:t>gigafabricilor de IA</w:t>
      </w:r>
      <w:r w:rsidRPr="00046858">
        <w:rPr>
          <w:noProof/>
          <w:color w:val="000000" w:themeColor="text1"/>
        </w:rPr>
        <w:t>, Uniunea urmărește să obțină autonomie strategică în proiectarea și producția de semiconductori de IA, să reducă dependențele de tehnologiile critice și să consolideze suveranitatea în ceea ce privește semiconductorii de vârf.</w:t>
      </w:r>
    </w:p>
    <w:p w14:paraId="3489DB00" w14:textId="77777777" w:rsidR="00426AA0" w:rsidRPr="00046858" w:rsidRDefault="00426AA0" w:rsidP="00426AA0">
      <w:pPr>
        <w:spacing w:before="0"/>
        <w:rPr>
          <w:rFonts w:eastAsia="Times New Roman"/>
          <w:noProof/>
          <w:color w:val="000000" w:themeColor="text1"/>
          <w:szCs w:val="24"/>
        </w:rPr>
      </w:pPr>
      <w:r w:rsidRPr="00046858">
        <w:rPr>
          <w:noProof/>
          <w:color w:val="000000" w:themeColor="text1"/>
        </w:rPr>
        <w:t xml:space="preserve">Consolidarea lanțului valoric al semiconductorilor din Europa – inclusiv în domenii critice pentru IA – este esențială pentru a sprijini obiectivele strategice ale Uniunii. În același timp, stimularea capacității de producție de </w:t>
      </w:r>
      <w:r w:rsidRPr="00046858">
        <w:rPr>
          <w:b/>
          <w:noProof/>
          <w:color w:val="000000" w:themeColor="text1"/>
        </w:rPr>
        <w:t xml:space="preserve">semiconductori de uz general </w:t>
      </w:r>
      <w:r w:rsidRPr="00046858">
        <w:rPr>
          <w:noProof/>
          <w:color w:val="000000" w:themeColor="text1"/>
        </w:rPr>
        <w:t xml:space="preserve">a Europei rămâne indispensabilă. Nodurile mature și specializate sunt vitale pentru ecosistemele industriale europene, cum ar fi </w:t>
      </w:r>
      <w:r w:rsidRPr="00046858">
        <w:rPr>
          <w:b/>
          <w:noProof/>
          <w:color w:val="000000" w:themeColor="text1"/>
        </w:rPr>
        <w:t xml:space="preserve">industria autovehiculelor, </w:t>
      </w:r>
      <w:r w:rsidRPr="00046858">
        <w:rPr>
          <w:rStyle w:val="Added"/>
          <w:noProof/>
          <w:u w:val="none"/>
        </w:rPr>
        <w:t>aeronautica</w:t>
      </w:r>
      <w:r w:rsidRPr="00046858">
        <w:rPr>
          <w:b/>
          <w:noProof/>
          <w:color w:val="000000" w:themeColor="text1"/>
        </w:rPr>
        <w:t>, apărarea, telecomunicațiile și tehnologia de tip cloud</w:t>
      </w:r>
      <w:r w:rsidRPr="00046858">
        <w:rPr>
          <w:noProof/>
          <w:color w:val="000000" w:themeColor="text1"/>
        </w:rPr>
        <w:t>, unde cererea de cipuri fiabile și specifice aplicațiilor continuă să crească</w:t>
      </w:r>
      <w:r w:rsidRPr="00046858">
        <w:rPr>
          <w:noProof/>
        </w:rPr>
        <w:t>.</w:t>
      </w:r>
      <w:r w:rsidRPr="00046858">
        <w:rPr>
          <w:noProof/>
          <w:color w:val="000000" w:themeColor="text1"/>
        </w:rPr>
        <w:t xml:space="preserve"> Prin urmare, consolidarea rezilienței în aceste segmente este esențială pentru protejarea bazei industriale a Europei și pentru reducerea dependențelor excesive. Sunt la fel de importante îmbunătățirea </w:t>
      </w:r>
      <w:r w:rsidRPr="00046858">
        <w:rPr>
          <w:b/>
          <w:noProof/>
          <w:color w:val="000000" w:themeColor="text1"/>
        </w:rPr>
        <w:t xml:space="preserve">capabilităților Europei de proiectare a cipurilor </w:t>
      </w:r>
      <w:r w:rsidRPr="00046858">
        <w:rPr>
          <w:noProof/>
          <w:color w:val="000000" w:themeColor="text1"/>
        </w:rPr>
        <w:t xml:space="preserve">și promovarea unei cooperări mai strânse între proiectanți, producători și industriile care sunt utilizatori finali, inclusiv prin </w:t>
      </w:r>
      <w:r w:rsidRPr="00046858">
        <w:rPr>
          <w:b/>
          <w:noProof/>
          <w:color w:val="000000" w:themeColor="text1"/>
        </w:rPr>
        <w:t xml:space="preserve">abordări de proiectare în comun </w:t>
      </w:r>
      <w:r w:rsidRPr="00046858">
        <w:rPr>
          <w:noProof/>
          <w:color w:val="000000" w:themeColor="text1"/>
        </w:rPr>
        <w:t>care să asigure optimizarea soluțiilor în materie de semiconductori pentru aplicațiile industriale și strategice.</w:t>
      </w:r>
    </w:p>
    <w:p w14:paraId="27A35EA7" w14:textId="77777777" w:rsidR="00426AA0" w:rsidRPr="00046858" w:rsidRDefault="00426AA0" w:rsidP="00791739">
      <w:pPr>
        <w:pStyle w:val="Text1"/>
        <w:ind w:left="0"/>
        <w:rPr>
          <w:rFonts w:eastAsia="Times New Roman"/>
          <w:noProof/>
          <w:color w:val="000000" w:themeColor="text1"/>
          <w:szCs w:val="24"/>
        </w:rPr>
      </w:pPr>
      <w:r w:rsidRPr="00046858">
        <w:rPr>
          <w:noProof/>
          <w:color w:val="000000" w:themeColor="text1"/>
        </w:rPr>
        <w:t xml:space="preserve">Pornind de la necesitatea de a consolida atât cererea, cât și oferta în ecosistemul european al semiconductorilor, Regulamentul privind cipurile 2.0 prevede, de asemenea, implementarea unor </w:t>
      </w:r>
      <w:r w:rsidRPr="00046858">
        <w:rPr>
          <w:b/>
          <w:noProof/>
          <w:color w:val="000000" w:themeColor="text1"/>
        </w:rPr>
        <w:t xml:space="preserve">proiecte strategice </w:t>
      </w:r>
      <w:r w:rsidRPr="00046858">
        <w:rPr>
          <w:noProof/>
          <w:color w:val="000000" w:themeColor="text1"/>
        </w:rPr>
        <w:t xml:space="preserve">de consolidare a segmentelor esențiale ale lanțului valoric al semiconductorilor din Uniune. Aceste proiecte vor fi considerate prioritare și vor fi sprijinite printr-o </w:t>
      </w:r>
      <w:r w:rsidRPr="00046858">
        <w:rPr>
          <w:b/>
          <w:noProof/>
          <w:color w:val="000000" w:themeColor="text1"/>
        </w:rPr>
        <w:t>combinație coordonată de investiții publice și private</w:t>
      </w:r>
      <w:r w:rsidRPr="00046858">
        <w:rPr>
          <w:noProof/>
          <w:color w:val="000000" w:themeColor="text1"/>
        </w:rPr>
        <w:t>, care să acopere producția suverană și avansată, proiectarea avansată a cipurilor și reziliența lanțului de aprovizionare. Această abordare completează măsurile descrise mai sus, consolidează integrarea transfrontalieră de-a lungul lanțului valoric și contribuie la consolidarea autonomiei strategice și a suveranității tehnologice a Europei.</w:t>
      </w:r>
    </w:p>
    <w:p w14:paraId="4172E35E" w14:textId="77777777" w:rsidR="00D259BB" w:rsidRPr="00046858" w:rsidRDefault="00D259BB" w:rsidP="00791739">
      <w:pPr>
        <w:pStyle w:val="Text1"/>
        <w:ind w:left="0"/>
        <w:rPr>
          <w:rFonts w:eastAsia="Times New Roman"/>
          <w:noProof/>
          <w:color w:val="000000" w:themeColor="text1"/>
          <w:szCs w:val="24"/>
        </w:rPr>
      </w:pPr>
      <w:r w:rsidRPr="00046858">
        <w:rPr>
          <w:noProof/>
          <w:color w:val="000000" w:themeColor="text1"/>
        </w:rPr>
        <w:t xml:space="preserve">În acest context și în cadrul instrumentului de coordonare a competitivității (CCT), un </w:t>
      </w:r>
      <w:r w:rsidRPr="00046858">
        <w:rPr>
          <w:b/>
          <w:noProof/>
          <w:color w:val="000000" w:themeColor="text1"/>
        </w:rPr>
        <w:t xml:space="preserve">proiect strategic privind producția avansată </w:t>
      </w:r>
      <w:r w:rsidRPr="00046858">
        <w:rPr>
          <w:noProof/>
          <w:color w:val="000000" w:themeColor="text1"/>
        </w:rPr>
        <w:t>va fi tratat cu cea mai mare prioritate pentru a sprijini producția de cipuri de IA și de alți semiconductori. Inițiativa urmărește înființarea primei instalații pentru semiconductori din Uniune care să combine fabricarea nodurilor de vârf cu integrarea cipurilor modulare (chiplets) și cu capabilități de încapsulare avansată tridimensională. S-ar putea avea în vedere o producție pilot în perioada 2030-2033.</w:t>
      </w:r>
    </w:p>
    <w:p w14:paraId="6F89578D" w14:textId="11860413" w:rsidR="00426AA0" w:rsidRPr="00046858" w:rsidRDefault="00426AA0" w:rsidP="00426AA0">
      <w:pPr>
        <w:spacing w:before="0"/>
        <w:rPr>
          <w:rFonts w:eastAsia="Times New Roman"/>
          <w:noProof/>
          <w:color w:val="000000" w:themeColor="text1"/>
        </w:rPr>
      </w:pPr>
      <w:r w:rsidRPr="00046858">
        <w:rPr>
          <w:noProof/>
          <w:color w:val="000000" w:themeColor="text1"/>
        </w:rPr>
        <w:t xml:space="preserve">Pentru a spori și mai mult reziliența ecosistemului, se clarifică domeniul de aplicare al dispozițiilor privind </w:t>
      </w:r>
      <w:r w:rsidRPr="00046858">
        <w:rPr>
          <w:rStyle w:val="Added"/>
          <w:noProof/>
          <w:u w:val="none"/>
        </w:rPr>
        <w:t>inițiativele de pionierat</w:t>
      </w:r>
      <w:r w:rsidRPr="00046858">
        <w:rPr>
          <w:noProof/>
        </w:rPr>
        <w:t>.</w:t>
      </w:r>
      <w:r w:rsidRPr="00046858">
        <w:rPr>
          <w:noProof/>
          <w:color w:val="000000" w:themeColor="text1"/>
        </w:rPr>
        <w:t xml:space="preserve"> Aceste dispoziții acoperă întregul lanț valoric al semiconductorilor, inclusiv </w:t>
      </w:r>
      <w:r w:rsidRPr="00046858">
        <w:rPr>
          <w:b/>
          <w:noProof/>
          <w:color w:val="000000" w:themeColor="text1"/>
        </w:rPr>
        <w:t>activitățile de proiectare a cipurilor axate pe producție, materialele specializate, echipamentele de producție, plăcile de circuite imprimate, încapsularea avansată și asamblarea</w:t>
      </w:r>
      <w:r w:rsidRPr="00046858">
        <w:rPr>
          <w:noProof/>
          <w:color w:val="000000" w:themeColor="text1"/>
        </w:rPr>
        <w:t>. Evaluarea caracterului de pionierat se va aplica</w:t>
      </w:r>
      <w:r w:rsidRPr="00046858">
        <w:rPr>
          <w:noProof/>
        </w:rPr>
        <w:t>, de asemenea, cofinanțării naționale a proiectelor strategice, în cazul în care proiectele strategice sunt, de asemenea, identificate ca fiind de pionierat, în conformitate cu normele în materie de concurență.</w:t>
      </w:r>
    </w:p>
    <w:p w14:paraId="02F0A43A" w14:textId="77777777" w:rsidR="00F3148C" w:rsidRPr="00046858" w:rsidRDefault="00F3148C" w:rsidP="00426AA0">
      <w:pPr>
        <w:spacing w:before="0"/>
        <w:rPr>
          <w:rFonts w:eastAsia="Times New Roman"/>
          <w:noProof/>
          <w:color w:val="000000" w:themeColor="text1"/>
          <w:szCs w:val="24"/>
        </w:rPr>
      </w:pPr>
      <w:r w:rsidRPr="00046858">
        <w:rPr>
          <w:noProof/>
          <w:color w:val="000000" w:themeColor="text1"/>
        </w:rPr>
        <w:t xml:space="preserve">Regulamentul privind cipurile 2.0 pune accentul pe </w:t>
      </w:r>
      <w:r w:rsidRPr="00046858">
        <w:rPr>
          <w:b/>
          <w:noProof/>
          <w:color w:val="000000" w:themeColor="text1"/>
        </w:rPr>
        <w:t>industrializarea mai rapidă a liniilor-pilot</w:t>
      </w:r>
      <w:r w:rsidRPr="00046858">
        <w:rPr>
          <w:noProof/>
          <w:color w:val="000000" w:themeColor="text1"/>
        </w:rPr>
        <w:t xml:space="preserve">, alături de transformarea instalațiilor de producție pilot de succes în capabilități de producție viabile din punct de vedere comercial. De asemenea, regulamentul adaugă </w:t>
      </w:r>
      <w:r w:rsidRPr="00046858">
        <w:rPr>
          <w:b/>
          <w:noProof/>
          <w:color w:val="000000" w:themeColor="text1"/>
        </w:rPr>
        <w:t xml:space="preserve">fotonica și circuitele integrate fotonice </w:t>
      </w:r>
      <w:r w:rsidRPr="00046858">
        <w:rPr>
          <w:noProof/>
          <w:color w:val="000000" w:themeColor="text1"/>
        </w:rPr>
        <w:t xml:space="preserve">la inițiativa consolidată „Cipuri pentru Europa” 2.0, deoarece acestea sunt tehnologii generice esențiale pentru o gamă largă de sectoare strategice, care includ telecomunicațiile, centrele de date, IA, sectorul sănătății, industria autovehiculelor și </w:t>
      </w:r>
      <w:r w:rsidRPr="00046858">
        <w:rPr>
          <w:noProof/>
          <w:color w:val="000000" w:themeColor="text1"/>
        </w:rPr>
        <w:lastRenderedPageBreak/>
        <w:t xml:space="preserve">tehnologiile cuantice. </w:t>
      </w:r>
      <w:r w:rsidRPr="00046858">
        <w:rPr>
          <w:b/>
          <w:noProof/>
          <w:color w:val="000000" w:themeColor="text1"/>
        </w:rPr>
        <w:t>Inițiativa „Cipuri pentru Europa”</w:t>
      </w:r>
      <w:r w:rsidRPr="00046858">
        <w:rPr>
          <w:noProof/>
          <w:color w:val="000000" w:themeColor="text1"/>
        </w:rPr>
        <w:t xml:space="preserve"> și-a demonstrat rolul vital în consolidarea poziției de lider a Uniunii în cercetarea, inovarea și implementarea industrială în domeniul semiconductorilor. Prin urmare, este esențial ca aceasta să continue. Prin susținerea instrumentelor dovedite – cum ar fi liniile-pilot, rețeaua centrelor de competență, platforma de proiectare și activitățile privind cipurile cuantice – inițiativa „Cipuri pentru Europa” 2.0 urmărește să asigure faptul că Europa își menține avantajul competitiv, accelerează producția la scară comercială și maximizează contribuția tehnologiilor semiconductorilor la durabilitate și suveranitate tehnologică.</w:t>
      </w:r>
    </w:p>
    <w:p w14:paraId="64D8FD0A" w14:textId="0648D4AE" w:rsidR="00426AA0" w:rsidRPr="00046858" w:rsidRDefault="00426AA0" w:rsidP="00426AA0">
      <w:pPr>
        <w:spacing w:before="0"/>
        <w:rPr>
          <w:rFonts w:eastAsia="Times New Roman"/>
          <w:noProof/>
          <w:color w:val="000000" w:themeColor="text1"/>
        </w:rPr>
      </w:pPr>
      <w:r w:rsidRPr="00046858">
        <w:rPr>
          <w:noProof/>
          <w:color w:val="000000" w:themeColor="text1"/>
        </w:rPr>
        <w:t xml:space="preserve">De asemenea, vor fi mobilizate măsuri complementare axate pe cerere pentru a accelera pătrunderea pe piață a tehnologiilor europene. </w:t>
      </w:r>
      <w:r w:rsidRPr="00046858">
        <w:rPr>
          <w:b/>
          <w:noProof/>
          <w:color w:val="000000" w:themeColor="text1"/>
        </w:rPr>
        <w:t>Achizițiile publice în domeniul inovării</w:t>
      </w:r>
      <w:r w:rsidRPr="00046858">
        <w:rPr>
          <w:noProof/>
          <w:color w:val="000000" w:themeColor="text1"/>
        </w:rPr>
        <w:t xml:space="preserve"> </w:t>
      </w:r>
      <w:r w:rsidRPr="00046858">
        <w:rPr>
          <w:b/>
          <w:noProof/>
          <w:color w:val="000000" w:themeColor="text1"/>
        </w:rPr>
        <w:t xml:space="preserve">și marile provocări </w:t>
      </w:r>
      <w:r w:rsidRPr="00046858">
        <w:rPr>
          <w:noProof/>
          <w:color w:val="000000" w:themeColor="text1"/>
        </w:rPr>
        <w:t xml:space="preserve">vor contribui la generarea cererii timpurii, vor permite implementări de referință și vor facilita intrarea mai rapidă pe piață a cipurilor avansate dezvoltate în Uniune. În plus, achizițiile publice care implică semiconductori </w:t>
      </w:r>
      <w:r w:rsidRPr="00046858">
        <w:rPr>
          <w:rStyle w:val="Added"/>
          <w:b w:val="0"/>
          <w:noProof/>
          <w:u w:val="none"/>
        </w:rPr>
        <w:t>în</w:t>
      </w:r>
      <w:r w:rsidRPr="00046858">
        <w:rPr>
          <w:rStyle w:val="Added"/>
          <w:noProof/>
          <w:u w:val="none"/>
        </w:rPr>
        <w:t xml:space="preserve"> </w:t>
      </w:r>
      <w:r w:rsidRPr="00046858">
        <w:rPr>
          <w:rStyle w:val="Added"/>
          <w:b w:val="0"/>
          <w:noProof/>
          <w:u w:val="none"/>
        </w:rPr>
        <w:t>infrastructuri, echipamente sau sisteme</w:t>
      </w:r>
      <w:r w:rsidRPr="00046858">
        <w:rPr>
          <w:noProof/>
          <w:color w:val="000000" w:themeColor="text1"/>
        </w:rPr>
        <w:t xml:space="preserve"> pot integra </w:t>
      </w:r>
      <w:r w:rsidRPr="00046858">
        <w:rPr>
          <w:rStyle w:val="Added"/>
          <w:b w:val="0"/>
          <w:noProof/>
          <w:u w:val="none"/>
        </w:rPr>
        <w:t>un</w:t>
      </w:r>
      <w:r w:rsidRPr="00046858">
        <w:rPr>
          <w:noProof/>
          <w:color w:val="000000" w:themeColor="text1"/>
        </w:rPr>
        <w:t xml:space="preserve"> criteriu legat de securitatea aprovizionării alături de considerente de preț, în cazul în care astfel de tehnologii sunt implementate în servicii esențiale sau în infrastructuri critice</w:t>
      </w:r>
      <w:r w:rsidRPr="00046858">
        <w:rPr>
          <w:noProof/>
        </w:rPr>
        <w:t>.</w:t>
      </w:r>
      <w:r w:rsidRPr="00046858">
        <w:rPr>
          <w:noProof/>
          <w:color w:val="000000" w:themeColor="text1"/>
        </w:rPr>
        <w:t xml:space="preserve"> Prin mobilizarea cererii publice într-un mod coordonat, aceste măsuri vor completa instrumentele axate pe ofertă, vor promova adoptarea de tehnologii sigure în întreaga Uniune și vor consolida securitatea și reziliența sectoarelor strategice din aval. În conformitate cu obiectivele Uniunii în materie de climă, mediu și energie, ar trebui să se acorde prioritate producției și exploatării de cipuri durabile și eficiente din punct de vedere energetic. Procedurile de autorizare vor trebui, de asemenea, să fie optimizate pentru a accelera implementarea industrială și pentru a menține competitivitatea internațională, în special pe baza propunerii Comisiei de regulament privind accelerarea evaluărilor de mediu. În paralel cu punerea în aplicare a Regulamentului privind cipurile și în perspectiva revizuirii Regulamentului privind securitatea cibernetică, o </w:t>
      </w:r>
      <w:r w:rsidRPr="00046858">
        <w:rPr>
          <w:b/>
          <w:noProof/>
          <w:color w:val="000000" w:themeColor="text1"/>
        </w:rPr>
        <w:t xml:space="preserve">evaluare a riscurilor în materie de securitate cibernetică </w:t>
      </w:r>
      <w:r w:rsidRPr="00046858">
        <w:rPr>
          <w:noProof/>
          <w:color w:val="000000" w:themeColor="text1"/>
        </w:rPr>
        <w:t>va analiza atât vulnerabilitățile tehnice, cât și factorii fără caracter tehnic care afectează securitatea cibernetică a semiconductorilor utilizați în achizițiile publice pentru anumite sectoare critice.</w:t>
      </w:r>
    </w:p>
    <w:p w14:paraId="73705CC5" w14:textId="77777777" w:rsidR="00E41803" w:rsidRPr="00046858" w:rsidRDefault="00E41803" w:rsidP="00426AA0">
      <w:pPr>
        <w:spacing w:before="0"/>
        <w:rPr>
          <w:rFonts w:eastAsia="Times New Roman"/>
          <w:noProof/>
          <w:color w:val="000000" w:themeColor="text1"/>
        </w:rPr>
      </w:pPr>
      <w:r w:rsidRPr="00046858">
        <w:rPr>
          <w:noProof/>
          <w:color w:val="000000" w:themeColor="text1"/>
        </w:rPr>
        <w:t xml:space="preserve">Pentru a stimula poziția de lider regional în lanțul valoric al semiconductorilor, prezenta propunere creează o etichetă de </w:t>
      </w:r>
      <w:r w:rsidRPr="00046858">
        <w:rPr>
          <w:b/>
          <w:noProof/>
          <w:color w:val="000000" w:themeColor="text1"/>
        </w:rPr>
        <w:t xml:space="preserve">regiune europeană de excelență în domeniul semiconductorilor </w:t>
      </w:r>
      <w:r w:rsidRPr="00046858">
        <w:rPr>
          <w:noProof/>
          <w:color w:val="000000" w:themeColor="text1"/>
        </w:rPr>
        <w:t>pentru regiunile cu un plan regional solid de investiții în domeniul semiconductorilor, aliniat la prioritățile strategice. Printre acestea se numără creșterea producției de semiconductori, colaborarea în domeniul cercetării și dezvoltării, dezvoltarea competențelor și infrastructura durabilă. Acest lucru ar semnala investitorilor internaționali că regiunea în cauză are un ecosistem cu potențial ridicat pentru activitățile legate de semiconductori.</w:t>
      </w:r>
    </w:p>
    <w:p w14:paraId="38A3F73D" w14:textId="77777777" w:rsidR="00A34CC6" w:rsidRPr="00046858" w:rsidRDefault="00A34CC6" w:rsidP="004A7A0C">
      <w:pPr>
        <w:pStyle w:val="ListNumber"/>
        <w:tabs>
          <w:tab w:val="clear" w:pos="709"/>
          <w:tab w:val="left" w:pos="454"/>
          <w:tab w:val="left" w:pos="720"/>
          <w:tab w:val="left" w:pos="1440"/>
        </w:tabs>
        <w:spacing w:before="0"/>
        <w:contextualSpacing/>
        <w:rPr>
          <w:rFonts w:eastAsia="Aptos"/>
          <w:i/>
          <w:noProof/>
        </w:rPr>
      </w:pPr>
      <w:r w:rsidRPr="00046858">
        <w:rPr>
          <w:i/>
          <w:noProof/>
        </w:rPr>
        <w:t xml:space="preserve">Îmbunătățirea pregătirii pentru situații de criză pentru a asigura securitatea aprovizionării UE </w:t>
      </w:r>
    </w:p>
    <w:p w14:paraId="0550BACD" w14:textId="12ECEDB8" w:rsidR="00426AA0" w:rsidRPr="00046858" w:rsidRDefault="00426AA0" w:rsidP="00426AA0">
      <w:pPr>
        <w:spacing w:before="0"/>
        <w:rPr>
          <w:rFonts w:eastAsia="Times New Roman"/>
          <w:noProof/>
          <w:color w:val="000000" w:themeColor="text1"/>
          <w:szCs w:val="24"/>
        </w:rPr>
      </w:pPr>
      <w:r w:rsidRPr="00046858">
        <w:rPr>
          <w:noProof/>
          <w:color w:val="000000" w:themeColor="text1"/>
        </w:rPr>
        <w:t xml:space="preserve">În pofida instrumentelor de monitorizare și de răspuns în situații de criză create în cadrul pilonului III al primului Regulament privind cipurile, există în continuare lacune semnificative în ceea ce privește capacitatea Uniunii de a aborda în mod eficace crizele aprovizionării cu semiconductori. UE nu dispune încă de mecanisme, instrumente și capacități instituționale suficient de dezvoltate pentru a anticipa și a evalua perturbările în timp util și în mod coordonat. </w:t>
      </w:r>
    </w:p>
    <w:p w14:paraId="051B0392" w14:textId="07D42B1A" w:rsidR="00AF44EA" w:rsidRPr="00046858" w:rsidRDefault="00426AA0" w:rsidP="00AF44EA">
      <w:pPr>
        <w:spacing w:before="0"/>
        <w:rPr>
          <w:rFonts w:eastAsia="Times New Roman"/>
          <w:noProof/>
          <w:color w:val="000000" w:themeColor="text1"/>
        </w:rPr>
      </w:pPr>
      <w:r w:rsidRPr="00046858">
        <w:rPr>
          <w:noProof/>
          <w:color w:val="000000" w:themeColor="text1"/>
        </w:rPr>
        <w:t xml:space="preserve">Pentru a </w:t>
      </w:r>
      <w:r w:rsidRPr="00046858">
        <w:rPr>
          <w:b/>
          <w:noProof/>
          <w:color w:val="000000" w:themeColor="text1"/>
        </w:rPr>
        <w:t>îmbunătăți gradul de pregătire în cadrul lanțului de aprovizionare cu semiconductori</w:t>
      </w:r>
      <w:r w:rsidRPr="00046858">
        <w:rPr>
          <w:noProof/>
          <w:color w:val="000000" w:themeColor="text1"/>
        </w:rPr>
        <w:t xml:space="preserve">, Comisia va sprijini instituirea unei </w:t>
      </w:r>
      <w:r w:rsidRPr="00046858">
        <w:rPr>
          <w:b/>
          <w:noProof/>
          <w:color w:val="000000" w:themeColor="text1"/>
        </w:rPr>
        <w:t>platforme B2B pentru lanțul de aprovizionare cu semiconductori</w:t>
      </w:r>
      <w:r w:rsidRPr="00046858">
        <w:rPr>
          <w:noProof/>
        </w:rPr>
        <w:t xml:space="preserve"> </w:t>
      </w:r>
      <w:r w:rsidRPr="00046858">
        <w:rPr>
          <w:b/>
          <w:noProof/>
          <w:color w:val="000000" w:themeColor="text1"/>
        </w:rPr>
        <w:t>(„platforma”)</w:t>
      </w:r>
      <w:r w:rsidRPr="00046858">
        <w:rPr>
          <w:noProof/>
          <w:color w:val="000000" w:themeColor="text1"/>
        </w:rPr>
        <w:t xml:space="preserve">, în cadrul căreia întreprinderile să poată face schimb </w:t>
      </w:r>
      <w:r w:rsidRPr="00046858">
        <w:rPr>
          <w:rStyle w:val="Added"/>
          <w:b w:val="0"/>
          <w:noProof/>
          <w:u w:val="none"/>
        </w:rPr>
        <w:t>de informații care nu sunt sensibile din punct de vedere comercial</w:t>
      </w:r>
      <w:r w:rsidRPr="00046858">
        <w:rPr>
          <w:noProof/>
          <w:color w:val="000000" w:themeColor="text1"/>
        </w:rPr>
        <w:t xml:space="preserve"> într-o formă </w:t>
      </w:r>
      <w:r w:rsidRPr="00046858">
        <w:rPr>
          <w:noProof/>
          <w:color w:val="000000" w:themeColor="text1"/>
        </w:rPr>
        <w:lastRenderedPageBreak/>
        <w:t>agregată</w:t>
      </w:r>
      <w:r w:rsidRPr="00046858">
        <w:rPr>
          <w:noProof/>
        </w:rPr>
        <w:t>.</w:t>
      </w:r>
      <w:r w:rsidRPr="00046858">
        <w:rPr>
          <w:noProof/>
          <w:color w:val="000000" w:themeColor="text1"/>
        </w:rPr>
        <w:t xml:space="preserve"> Acest lucru va contribui la crearea unui model digital al lanțului de aprovizionare, sporind vizibilitatea interdependențelor structurale, permițând identificarea sistematică a riscurilor și consolidând reziliența la perturbări. În cazul unor avertizări, Comisia ar putea solicita informații </w:t>
      </w:r>
      <w:r w:rsidRPr="00046858">
        <w:rPr>
          <w:rStyle w:val="Added"/>
          <w:b w:val="0"/>
          <w:noProof/>
          <w:u w:val="none"/>
        </w:rPr>
        <w:t>de la</w:t>
      </w:r>
      <w:r w:rsidRPr="00046858">
        <w:rPr>
          <w:noProof/>
          <w:color w:val="000000" w:themeColor="text1"/>
        </w:rPr>
        <w:t xml:space="preserve"> întreprinderi individuale și de la platformă</w:t>
      </w:r>
      <w:r w:rsidRPr="00046858">
        <w:rPr>
          <w:noProof/>
        </w:rPr>
        <w:t>.</w:t>
      </w:r>
      <w:r w:rsidRPr="00046858">
        <w:rPr>
          <w:noProof/>
          <w:color w:val="000000" w:themeColor="text1"/>
        </w:rPr>
        <w:t xml:space="preserve"> Aceste solicitări de informații trebuie să se limiteze strict la ceea ce este necesar și să fie proporționale. Întreprinderile care participă la platformă vor fi scutite de obligația de a răspunde la solicitările de informații. În paralel cu Regulamentul privind cipurile 2.0, Comisia va elabora, până în al doilea trimestru al anului 2027, un </w:t>
      </w:r>
      <w:r w:rsidRPr="00046858">
        <w:rPr>
          <w:b/>
          <w:noProof/>
          <w:color w:val="000000" w:themeColor="text1"/>
        </w:rPr>
        <w:t>Plan de acțiune al UE pentru gestionarea crizelor semiconductorilor</w:t>
      </w:r>
      <w:r w:rsidRPr="00046858">
        <w:rPr>
          <w:noProof/>
          <w:color w:val="000000" w:themeColor="text1"/>
        </w:rPr>
        <w:t xml:space="preserve">. Planul de acțiune va stabili proceduri, roluri și responsabilități clare în fazele anterioare crizei și în cele de criză și se va baza pe primul exercițiu de simulare privind perturbările lanțului de aprovizionare cu semiconductori desfășurat împreună cu statele membre în 2025. Aceste eforturi vor fi coerente cu Strategia europeană privind o Uniune a pregătirii și cu planul său de acțiune. </w:t>
      </w:r>
    </w:p>
    <w:p w14:paraId="7864BB3F" w14:textId="77777777" w:rsidR="00AF44EA" w:rsidRPr="00046858" w:rsidRDefault="00AF44EA" w:rsidP="00CE0CCF">
      <w:pPr>
        <w:spacing w:before="0"/>
        <w:rPr>
          <w:noProof/>
        </w:rPr>
      </w:pPr>
    </w:p>
    <w:p w14:paraId="4B705D77" w14:textId="77777777" w:rsidR="00A03D5B" w:rsidRPr="00046858" w:rsidRDefault="00A03D5B" w:rsidP="0041561E">
      <w:pPr>
        <w:pStyle w:val="ManualHeading2"/>
        <w:rPr>
          <w:rFonts w:eastAsia="Arial Unicode MS"/>
          <w:noProof/>
          <w:color w:val="000000"/>
          <w:u w:color="000000"/>
          <w:bdr w:val="nil"/>
        </w:rPr>
      </w:pPr>
      <w:r w:rsidRPr="00046858">
        <w:rPr>
          <w:noProof/>
          <w:color w:val="000000"/>
          <w:u w:color="000000"/>
          <w:bdr w:val="nil"/>
        </w:rPr>
        <w:t>•</w:t>
      </w:r>
      <w:r w:rsidRPr="00046858">
        <w:rPr>
          <w:noProof/>
        </w:rPr>
        <w:tab/>
        <w:t>Coerența cu dispozițiile de politică deja existente în domeniul de politică vizat</w:t>
      </w:r>
    </w:p>
    <w:p w14:paraId="30BE888E" w14:textId="77777777" w:rsidR="00CE0CCF" w:rsidRPr="00046858" w:rsidRDefault="00C93505" w:rsidP="008F0DBE">
      <w:pPr>
        <w:rPr>
          <w:noProof/>
          <w:color w:val="000000"/>
        </w:rPr>
      </w:pPr>
      <w:r w:rsidRPr="00046858">
        <w:rPr>
          <w:noProof/>
          <w:color w:val="000000"/>
        </w:rPr>
        <w:t xml:space="preserve">Semiconductorii sunt factori esențiali ai </w:t>
      </w:r>
      <w:r w:rsidRPr="00046858">
        <w:rPr>
          <w:rStyle w:val="Added"/>
          <w:b w:val="0"/>
          <w:noProof/>
          <w:u w:val="none"/>
        </w:rPr>
        <w:t>tranziției curate</w:t>
      </w:r>
      <w:r w:rsidRPr="00046858">
        <w:rPr>
          <w:noProof/>
        </w:rPr>
        <w:t xml:space="preserve"> și ai celei digitale.</w:t>
      </w:r>
      <w:r w:rsidRPr="00046858">
        <w:rPr>
          <w:noProof/>
          <w:color w:val="000000"/>
        </w:rPr>
        <w:t xml:space="preserve"> </w:t>
      </w:r>
      <w:r w:rsidRPr="00046858">
        <w:rPr>
          <w:noProof/>
        </w:rPr>
        <w:t>Importanța lor strategică pentru UE este amplificată și mai mult de tensiunile geopolitice, de actuala dependență excesivă a Uniunii de producția și proiectarea avansate și de folosirea tot mai frecventă drept armă a acestor dependențe de către țările terțe.</w:t>
      </w:r>
      <w:r w:rsidRPr="00046858">
        <w:rPr>
          <w:noProof/>
          <w:color w:val="000000"/>
        </w:rPr>
        <w:t xml:space="preserve"> </w:t>
      </w:r>
      <w:r w:rsidRPr="00046858">
        <w:rPr>
          <w:noProof/>
        </w:rPr>
        <w:t>În acest context, Regulamentul privind cipurile 2.0 este indispensabil pentru realizarea priorităților politice ale Comisiei, în special „Un nou plan pentru prosperitatea și competitivitatea sustenabile ale Europei” și „O nouă eră pentru apărarea și securitatea europeană”</w:t>
      </w:r>
      <w:r w:rsidRPr="00974943">
        <w:rPr>
          <w:rStyle w:val="FootnoteReference"/>
          <w:noProof/>
        </w:rPr>
        <w:footnoteReference w:id="7"/>
      </w:r>
      <w:r w:rsidRPr="00046858">
        <w:rPr>
          <w:noProof/>
        </w:rPr>
        <w:t>.</w:t>
      </w:r>
    </w:p>
    <w:p w14:paraId="18897FC3" w14:textId="77777777" w:rsidR="006F27FD" w:rsidRPr="00046858" w:rsidRDefault="006F27FD" w:rsidP="006F27FD">
      <w:pPr>
        <w:rPr>
          <w:noProof/>
        </w:rPr>
      </w:pPr>
      <w:r w:rsidRPr="00046858">
        <w:rPr>
          <w:noProof/>
        </w:rPr>
        <w:t xml:space="preserve">Propunerea de regulament privind cipurile 2.0 poate fi considerată un răspuns la necesitatea unor acțiuni urgente privind semiconductorii pentru a proteja viitorul UE ca putere economică și beneficiară a investițiilor, precum și ca pol de producție, astfel cum se recunoaște în </w:t>
      </w:r>
      <w:r w:rsidRPr="00046858">
        <w:rPr>
          <w:b/>
          <w:noProof/>
        </w:rPr>
        <w:t>Pactul pentru o industrie curată</w:t>
      </w:r>
      <w:r w:rsidRPr="00046858">
        <w:rPr>
          <w:rStyle w:val="FootnoteReference"/>
          <w:rFonts w:eastAsia="Arial Unicode MS"/>
          <w:noProof/>
        </w:rPr>
        <w:footnoteReference w:id="8"/>
      </w:r>
      <w:r w:rsidRPr="00046858">
        <w:rPr>
          <w:noProof/>
        </w:rPr>
        <w:t xml:space="preserve">, în </w:t>
      </w:r>
      <w:r w:rsidRPr="00046858">
        <w:rPr>
          <w:b/>
          <w:noProof/>
        </w:rPr>
        <w:t>Busola pentru competitivitatea UE</w:t>
      </w:r>
      <w:r w:rsidRPr="00046858">
        <w:rPr>
          <w:rStyle w:val="FootnoteReference"/>
          <w:rFonts w:eastAsia="Arial Unicode MS"/>
          <w:noProof/>
        </w:rPr>
        <w:footnoteReference w:id="9"/>
      </w:r>
      <w:r w:rsidRPr="00046858">
        <w:rPr>
          <w:b/>
          <w:noProof/>
        </w:rPr>
        <w:t xml:space="preserve"> </w:t>
      </w:r>
      <w:r w:rsidRPr="00046858">
        <w:rPr>
          <w:noProof/>
        </w:rPr>
        <w:t xml:space="preserve">și în Comunicarea comună privind </w:t>
      </w:r>
      <w:r w:rsidRPr="00046858">
        <w:rPr>
          <w:b/>
          <w:noProof/>
        </w:rPr>
        <w:t>consolidarea securității economice a UE</w:t>
      </w:r>
      <w:r w:rsidRPr="00046858">
        <w:rPr>
          <w:rStyle w:val="FootnoteReference"/>
          <w:rFonts w:eastAsia="Arial Unicode MS"/>
          <w:noProof/>
        </w:rPr>
        <w:footnoteReference w:id="10"/>
      </w:r>
      <w:r w:rsidRPr="00046858">
        <w:rPr>
          <w:noProof/>
        </w:rPr>
        <w:t>.</w:t>
      </w:r>
    </w:p>
    <w:p w14:paraId="6DF71CF3" w14:textId="77777777" w:rsidR="00873777" w:rsidRPr="00046858" w:rsidRDefault="00873777" w:rsidP="00873777">
      <w:pPr>
        <w:rPr>
          <w:noProof/>
        </w:rPr>
      </w:pPr>
      <w:r w:rsidRPr="00046858">
        <w:rPr>
          <w:noProof/>
        </w:rPr>
        <w:t>Propunerea este în concordanță cu viziunea generală în materie digitală, obiectivele și căile de urmat pentru transformarea digitală reușită a UE până în 2030, astfel cum sunt prezentate în Comunicarea Comisiei intitulată „</w:t>
      </w:r>
      <w:r w:rsidRPr="00046858">
        <w:rPr>
          <w:b/>
          <w:noProof/>
        </w:rPr>
        <w:t>Busola pentru dimensiunea digitală 2030: modelul european pentru deceniul digital</w:t>
      </w:r>
      <w:r w:rsidRPr="00046858">
        <w:rPr>
          <w:noProof/>
        </w:rPr>
        <w:t>” („Comunicarea privind Busola pentru dimensiunea digitală”)</w:t>
      </w:r>
      <w:r w:rsidRPr="00046858">
        <w:rPr>
          <w:rStyle w:val="FootnoteReference"/>
          <w:rFonts w:eastAsia="Times New Roman"/>
          <w:noProof/>
        </w:rPr>
        <w:footnoteReference w:id="11"/>
      </w:r>
      <w:r w:rsidRPr="00046858">
        <w:rPr>
          <w:noProof/>
        </w:rPr>
        <w:t>, precum și cu decizia ulterioară a Comisiei</w:t>
      </w:r>
      <w:r w:rsidRPr="00046858">
        <w:rPr>
          <w:rStyle w:val="CommentReference"/>
          <w:noProof/>
          <w:sz w:val="24"/>
        </w:rPr>
        <w:t xml:space="preserve"> </w:t>
      </w:r>
      <w:r w:rsidRPr="00046858">
        <w:rPr>
          <w:noProof/>
        </w:rPr>
        <w:t xml:space="preserve">referitoare la </w:t>
      </w:r>
      <w:r w:rsidRPr="00046858">
        <w:rPr>
          <w:b/>
          <w:noProof/>
        </w:rPr>
        <w:t>programul de politică privind deceniul digital</w:t>
      </w:r>
      <w:r w:rsidRPr="00046858">
        <w:rPr>
          <w:rStyle w:val="FootnoteReference"/>
          <w:rFonts w:eastAsia="Times New Roman"/>
          <w:noProof/>
        </w:rPr>
        <w:footnoteReference w:id="12"/>
      </w:r>
      <w:r w:rsidRPr="00046858">
        <w:rPr>
          <w:noProof/>
        </w:rPr>
        <w:t xml:space="preserve">, care conține un obiectiv specific legat de semiconductori. Prezenta propunere este menită să contribuie la dotarea Uniunii cu capabilitățile necesare pentru </w:t>
      </w:r>
      <w:r w:rsidRPr="00046858">
        <w:rPr>
          <w:noProof/>
        </w:rPr>
        <w:lastRenderedPageBreak/>
        <w:t>îndeplinirea obiectivului său prevăzut pentru 2030. Revizuirea programului de politică privind deceniul digital este planificată pentru iunie 2026</w:t>
      </w:r>
      <w:r w:rsidRPr="00046858">
        <w:rPr>
          <w:rStyle w:val="FootnoteReference"/>
          <w:rFonts w:eastAsia="Times New Roman"/>
          <w:noProof/>
        </w:rPr>
        <w:footnoteReference w:id="13"/>
      </w:r>
      <w:r w:rsidRPr="00046858">
        <w:rPr>
          <w:noProof/>
        </w:rPr>
        <w:t>.</w:t>
      </w:r>
    </w:p>
    <w:p w14:paraId="3C1E9090" w14:textId="77777777" w:rsidR="00AC776C" w:rsidRPr="00046858" w:rsidRDefault="00AC776C" w:rsidP="00AC776C">
      <w:pPr>
        <w:rPr>
          <w:noProof/>
        </w:rPr>
      </w:pPr>
      <w:r w:rsidRPr="00046858">
        <w:rPr>
          <w:noProof/>
        </w:rPr>
        <w:t xml:space="preserve">Prezenta propunere contribuie la punerea în aplicare a </w:t>
      </w:r>
      <w:r w:rsidRPr="00046858">
        <w:rPr>
          <w:b/>
          <w:noProof/>
        </w:rPr>
        <w:t>Declarației Coaliției Semicon</w:t>
      </w:r>
      <w:r w:rsidRPr="00046858">
        <w:rPr>
          <w:noProof/>
        </w:rPr>
        <w:t xml:space="preserve">, care </w:t>
      </w:r>
      <w:r w:rsidRPr="00046858">
        <w:rPr>
          <w:noProof/>
          <w:color w:val="000000" w:themeColor="text1"/>
        </w:rPr>
        <w:t>a fost semnată de miniștrii celor 27 de state membre la 29 septembrie 2025 și în care se solicită adoptarea unui Regulament privind cipurile 2.0 consolidat și orientat spre viitor cu scopul de a întări poziția Europei în lanțul valoric mondial al semiconductorilor</w:t>
      </w:r>
      <w:r w:rsidRPr="00046858">
        <w:rPr>
          <w:rStyle w:val="FootnoteReference"/>
          <w:rFonts w:eastAsia="Times New Roman"/>
          <w:noProof/>
          <w:color w:val="000000" w:themeColor="text1"/>
        </w:rPr>
        <w:footnoteReference w:id="14"/>
      </w:r>
      <w:r w:rsidRPr="00046858">
        <w:rPr>
          <w:noProof/>
        </w:rPr>
        <w:t>.</w:t>
      </w:r>
    </w:p>
    <w:p w14:paraId="7B9CA892" w14:textId="77777777" w:rsidR="00CE0CCF" w:rsidRPr="00046858" w:rsidRDefault="00CE0CCF" w:rsidP="008F0DBE">
      <w:pPr>
        <w:rPr>
          <w:noProof/>
        </w:rPr>
      </w:pPr>
      <w:r w:rsidRPr="00046858">
        <w:rPr>
          <w:noProof/>
        </w:rPr>
        <w:t xml:space="preserve">Propunerea împărtășește, de asemenea, unele dintre obiectivele </w:t>
      </w:r>
      <w:r w:rsidRPr="00046858">
        <w:rPr>
          <w:b/>
          <w:noProof/>
        </w:rPr>
        <w:t>Actului privind accelerarea industrială</w:t>
      </w:r>
      <w:r w:rsidRPr="00046858">
        <w:rPr>
          <w:rStyle w:val="FootnoteReference"/>
          <w:rFonts w:eastAsia="Times New Roman"/>
          <w:noProof/>
          <w:szCs w:val="24"/>
        </w:rPr>
        <w:footnoteReference w:id="15"/>
      </w:r>
      <w:r w:rsidRPr="00046858">
        <w:rPr>
          <w:noProof/>
        </w:rPr>
        <w:t>, care stabilește un cadru de măsuri de consolidare a competitivității UE, de accelerare a decarbonizării industriale și de stimulare a capabilităților de producție strategice.</w:t>
      </w:r>
    </w:p>
    <w:p w14:paraId="43FBD516" w14:textId="77777777" w:rsidR="00CE0CCF" w:rsidRPr="00046858" w:rsidRDefault="00CE0CCF" w:rsidP="008F0DBE">
      <w:pPr>
        <w:rPr>
          <w:rFonts w:eastAsia="Times New Roman"/>
          <w:b/>
          <w:bCs/>
          <w:noProof/>
          <w:szCs w:val="24"/>
        </w:rPr>
      </w:pPr>
      <w:r w:rsidRPr="00046858">
        <w:rPr>
          <w:noProof/>
        </w:rPr>
        <w:t xml:space="preserve">Propunerea este, în linii mari, în concordanță cu inițiativele UE care urmăresc obiective conexe, în special cu </w:t>
      </w:r>
      <w:r w:rsidRPr="00046858">
        <w:rPr>
          <w:b/>
          <w:noProof/>
        </w:rPr>
        <w:t>programul „Europa digitală”, Orizont Europa, Regulamentul privind materiile prime critice (CRMA)</w:t>
      </w:r>
      <w:r w:rsidRPr="00046858">
        <w:rPr>
          <w:rStyle w:val="FootnoteReference"/>
          <w:rFonts w:eastAsia="Times New Roman"/>
          <w:noProof/>
          <w:szCs w:val="24"/>
        </w:rPr>
        <w:footnoteReference w:id="16"/>
      </w:r>
      <w:r w:rsidRPr="00046858">
        <w:rPr>
          <w:noProof/>
        </w:rPr>
        <w:t xml:space="preserve">, precum și cu </w:t>
      </w:r>
      <w:r w:rsidRPr="00046858">
        <w:rPr>
          <w:b/>
          <w:noProof/>
        </w:rPr>
        <w:t xml:space="preserve">Fondul european de dezvoltare regională (FEDR), InvestEU </w:t>
      </w:r>
      <w:r w:rsidRPr="00046858">
        <w:rPr>
          <w:noProof/>
        </w:rPr>
        <w:t xml:space="preserve">și </w:t>
      </w:r>
      <w:r w:rsidRPr="00046858">
        <w:rPr>
          <w:b/>
          <w:noProof/>
        </w:rPr>
        <w:t>Erasmus+</w:t>
      </w:r>
      <w:r w:rsidRPr="00046858">
        <w:rPr>
          <w:noProof/>
        </w:rPr>
        <w:t>.</w:t>
      </w:r>
    </w:p>
    <w:p w14:paraId="2F2A8423" w14:textId="77777777" w:rsidR="00DB7BAB" w:rsidRPr="00046858" w:rsidRDefault="00DB7BAB" w:rsidP="00DB7BAB">
      <w:pPr>
        <w:rPr>
          <w:rFonts w:eastAsia="Times New Roman"/>
          <w:noProof/>
        </w:rPr>
      </w:pPr>
      <w:r w:rsidRPr="00046858">
        <w:rPr>
          <w:noProof/>
        </w:rPr>
        <w:t xml:space="preserve">Dintre inițiativele menționate mai sus, propunerea este deosebit de coerentă cu programele „Europa digitală” și Orizont Europa, care constituie cele două baze de finanțare ale pilonului I în actualul cadru financiar multianual. Programul „Europa digitală” oferă sprijin pentru infrastructurile digitale, în timp ce Orizont Europa sprijină cercetarea în amonte, proiectele-pilot și activitățile demonstrative. </w:t>
      </w:r>
    </w:p>
    <w:p w14:paraId="0D1BEFB6" w14:textId="77777777" w:rsidR="00952FF7" w:rsidRPr="00046858" w:rsidRDefault="00952FF7" w:rsidP="00952FF7">
      <w:pPr>
        <w:rPr>
          <w:rFonts w:eastAsia="Times New Roman"/>
          <w:noProof/>
        </w:rPr>
      </w:pPr>
      <w:r w:rsidRPr="00046858">
        <w:rPr>
          <w:noProof/>
        </w:rPr>
        <w:t>În plus, propunerea completează, de asemenea, Regulamentul privind materiile prime critice, întrucât ambele urmăresc autonomia strategică prin abordarea diferitelor segmente ale lanțului valoric: Regulamentul privind cipurile se axează pe proiectarea și fabricarea semiconductorilor, în timp ce Regulamentul privind materiile prime critice vizează materiile prime critice.</w:t>
      </w:r>
    </w:p>
    <w:p w14:paraId="03C7C70D" w14:textId="77777777" w:rsidR="00CE0CCF" w:rsidRPr="00046858" w:rsidRDefault="00CE0CCF" w:rsidP="008F0DBE">
      <w:pPr>
        <w:rPr>
          <w:rStyle w:val="Added"/>
          <w:noProof/>
        </w:rPr>
      </w:pPr>
      <w:r w:rsidRPr="00046858">
        <w:rPr>
          <w:noProof/>
        </w:rPr>
        <w:t xml:space="preserve">Regulamentul privind cipurile este în concordanță cu agendele UE privind autonomia strategică, securitatea economică și competitivitatea. Acesta se aliniază la </w:t>
      </w:r>
      <w:r w:rsidRPr="00046858">
        <w:rPr>
          <w:b/>
          <w:noProof/>
        </w:rPr>
        <w:t>Strategia europeană pentru securitate economică</w:t>
      </w:r>
      <w:r w:rsidRPr="00046858">
        <w:rPr>
          <w:rStyle w:val="FootnoteReference"/>
          <w:rFonts w:eastAsia="Times New Roman"/>
          <w:b/>
          <w:bCs/>
          <w:noProof/>
          <w:szCs w:val="24"/>
        </w:rPr>
        <w:footnoteReference w:id="17"/>
      </w:r>
      <w:r w:rsidRPr="00046858">
        <w:rPr>
          <w:noProof/>
        </w:rPr>
        <w:t xml:space="preserve">, </w:t>
      </w:r>
      <w:r w:rsidRPr="00046858">
        <w:rPr>
          <w:b/>
          <w:noProof/>
        </w:rPr>
        <w:t>la controlul exporturilor de produse cu dublă utilizare</w:t>
      </w:r>
      <w:r w:rsidRPr="00046858">
        <w:rPr>
          <w:rStyle w:val="FootnoteReference"/>
          <w:rFonts w:eastAsia="Times New Roman"/>
          <w:b/>
          <w:bCs/>
          <w:noProof/>
          <w:szCs w:val="24"/>
        </w:rPr>
        <w:footnoteReference w:id="18"/>
      </w:r>
      <w:r w:rsidRPr="00046858">
        <w:rPr>
          <w:noProof/>
        </w:rPr>
        <w:t xml:space="preserve">, la </w:t>
      </w:r>
      <w:r w:rsidRPr="00046858">
        <w:rPr>
          <w:b/>
          <w:noProof/>
        </w:rPr>
        <w:t>Regulamentul privind subvențiile străine</w:t>
      </w:r>
      <w:r w:rsidRPr="00046858">
        <w:rPr>
          <w:rStyle w:val="FootnoteReference"/>
          <w:rFonts w:eastAsia="Times New Roman"/>
          <w:b/>
          <w:bCs/>
          <w:noProof/>
          <w:szCs w:val="24"/>
        </w:rPr>
        <w:footnoteReference w:id="19"/>
      </w:r>
      <w:r w:rsidRPr="00046858">
        <w:rPr>
          <w:b/>
          <w:noProof/>
        </w:rPr>
        <w:t xml:space="preserve"> </w:t>
      </w:r>
      <w:r w:rsidRPr="00046858">
        <w:rPr>
          <w:noProof/>
        </w:rPr>
        <w:t xml:space="preserve">și la </w:t>
      </w:r>
      <w:r w:rsidRPr="00046858">
        <w:rPr>
          <w:b/>
          <w:noProof/>
        </w:rPr>
        <w:t>platforma „Tehnologii strategice pentru Europa” (STEP)</w:t>
      </w:r>
      <w:r w:rsidRPr="00046858">
        <w:rPr>
          <w:rStyle w:val="FootnoteReference"/>
          <w:rFonts w:eastAsia="Times New Roman"/>
          <w:noProof/>
          <w:szCs w:val="24"/>
        </w:rPr>
        <w:footnoteReference w:id="20"/>
      </w:r>
      <w:r w:rsidRPr="00046858">
        <w:rPr>
          <w:noProof/>
        </w:rPr>
        <w:t xml:space="preserve">. Împreună, aceste instrumente reduc dependențele strategice, consolidează capacitatea industrială </w:t>
      </w:r>
      <w:r w:rsidRPr="00046858">
        <w:rPr>
          <w:rStyle w:val="Added"/>
          <w:b w:val="0"/>
          <w:noProof/>
          <w:u w:val="none"/>
        </w:rPr>
        <w:t>și abordează denaturările cauzate de subvențiile străine pe piața unică</w:t>
      </w:r>
      <w:r w:rsidRPr="00046858">
        <w:rPr>
          <w:noProof/>
        </w:rPr>
        <w:t>.</w:t>
      </w:r>
    </w:p>
    <w:p w14:paraId="222BFE76" w14:textId="77777777" w:rsidR="00AB15A1" w:rsidRPr="00046858" w:rsidRDefault="00AB15A1" w:rsidP="00AB15A1">
      <w:pPr>
        <w:rPr>
          <w:rFonts w:eastAsia="Times New Roman"/>
          <w:noProof/>
        </w:rPr>
      </w:pPr>
      <w:r w:rsidRPr="00046858">
        <w:rPr>
          <w:noProof/>
        </w:rPr>
        <w:lastRenderedPageBreak/>
        <w:t xml:space="preserve">Propunerea este în concordanță cu legislația europeană în materie de securitate cibernetică. Anumite categorii de cipuri intră în domeniul de aplicare al </w:t>
      </w:r>
      <w:r w:rsidRPr="00046858">
        <w:rPr>
          <w:b/>
          <w:noProof/>
        </w:rPr>
        <w:t>Regulamentului privind reziliența cibernetică (CRA)</w:t>
      </w:r>
      <w:r w:rsidRPr="00046858">
        <w:rPr>
          <w:rStyle w:val="FootnoteReference"/>
          <w:rFonts w:eastAsia="Times New Roman"/>
          <w:noProof/>
        </w:rPr>
        <w:footnoteReference w:id="21"/>
      </w:r>
      <w:r w:rsidRPr="00046858">
        <w:rPr>
          <w:noProof/>
        </w:rPr>
        <w:t xml:space="preserve">, iar investițiile în temeiul Regulamentului privind cipurile vor urmări să promoveze obiectivele acestuia bazându-se pe forța industriei europene în segmentul de piață al cipurilor securizate. Propunerea va completa, de asemenea, propunerea de revizuire a </w:t>
      </w:r>
      <w:r w:rsidRPr="00046858">
        <w:rPr>
          <w:b/>
          <w:noProof/>
        </w:rPr>
        <w:t>Regulamentului privind securitatea cibernetică</w:t>
      </w:r>
      <w:r w:rsidRPr="00046858">
        <w:rPr>
          <w:noProof/>
        </w:rPr>
        <w:t>, prin adăugarea unei dimensiuni privind securitatea aprovizionării pentru achizițiile publice de semiconductori efectuate de entitățile critice.</w:t>
      </w:r>
    </w:p>
    <w:p w14:paraId="0CCDCC50" w14:textId="77777777" w:rsidR="00CE0CCF" w:rsidRPr="00046858" w:rsidRDefault="00CE0CCF" w:rsidP="008F0DBE">
      <w:pPr>
        <w:rPr>
          <w:rFonts w:eastAsia="Times New Roman"/>
          <w:noProof/>
          <w:szCs w:val="24"/>
        </w:rPr>
      </w:pPr>
      <w:r w:rsidRPr="00046858">
        <w:rPr>
          <w:b/>
          <w:noProof/>
        </w:rPr>
        <w:t xml:space="preserve">Planul de acțiune industrială pentru sectorul european al autovehiculelor </w:t>
      </w:r>
      <w:r w:rsidRPr="00046858">
        <w:rPr>
          <w:noProof/>
        </w:rPr>
        <w:t>a subliniat importanța industriei semiconductorilor pentru un sector al autovehiculelor inovator și digitalizat</w:t>
      </w:r>
      <w:r w:rsidRPr="00046858">
        <w:rPr>
          <w:rStyle w:val="FootnoteReference"/>
          <w:rFonts w:eastAsia="Times New Roman"/>
          <w:noProof/>
          <w:szCs w:val="24"/>
        </w:rPr>
        <w:footnoteReference w:id="22"/>
      </w:r>
      <w:r w:rsidRPr="00046858">
        <w:rPr>
          <w:noProof/>
        </w:rPr>
        <w:t>.</w:t>
      </w:r>
    </w:p>
    <w:p w14:paraId="4E23CB90" w14:textId="77777777" w:rsidR="00CE0CCF" w:rsidRPr="00046858" w:rsidRDefault="00AB15A1" w:rsidP="008F0DBE">
      <w:pPr>
        <w:rPr>
          <w:rStyle w:val="Added"/>
          <w:b w:val="0"/>
          <w:noProof/>
          <w:u w:val="none"/>
        </w:rPr>
      </w:pPr>
      <w:r w:rsidRPr="00046858">
        <w:rPr>
          <w:noProof/>
        </w:rPr>
        <w:t xml:space="preserve">Regulamentul privind cipurile 2.0 este, de asemenea, conceput în complementaritate cu alte inițiative, cum ar fi proiectele importante de interes european comun (PIIEC). În acest sens, pregătirea viitorului proiect </w:t>
      </w:r>
      <w:r w:rsidRPr="00046858">
        <w:rPr>
          <w:rStyle w:val="Added"/>
          <w:b w:val="0"/>
          <w:noProof/>
          <w:u w:val="none"/>
        </w:rPr>
        <w:t>candidat</w:t>
      </w:r>
      <w:r w:rsidRPr="00046858">
        <w:rPr>
          <w:noProof/>
        </w:rPr>
        <w:t xml:space="preserve"> PIIEC privind tehnologiile avansate ale semiconductorilor</w:t>
      </w:r>
      <w:r w:rsidRPr="00046858">
        <w:rPr>
          <w:rStyle w:val="FootnoteReference"/>
          <w:noProof/>
        </w:rPr>
        <w:footnoteReference w:id="23"/>
      </w:r>
      <w:r w:rsidRPr="00046858">
        <w:rPr>
          <w:noProof/>
        </w:rPr>
        <w:t xml:space="preserve"> este în deplină conformitate cu spiritul </w:t>
      </w:r>
      <w:r w:rsidRPr="00046858">
        <w:rPr>
          <w:b/>
          <w:noProof/>
        </w:rPr>
        <w:t>Regulamentului privind cipurile</w:t>
      </w:r>
      <w:r w:rsidRPr="00046858">
        <w:rPr>
          <w:noProof/>
        </w:rPr>
        <w:t xml:space="preserve">, prin abordarea primelor implementări industriale </w:t>
      </w:r>
      <w:r w:rsidRPr="00046858">
        <w:rPr>
          <w:rStyle w:val="Added"/>
          <w:b w:val="0"/>
          <w:noProof/>
          <w:u w:val="none"/>
        </w:rPr>
        <w:t>ale unor inovații revoluționare</w:t>
      </w:r>
      <w:r w:rsidRPr="00046858">
        <w:rPr>
          <w:noProof/>
        </w:rPr>
        <w:t>.</w:t>
      </w:r>
    </w:p>
    <w:p w14:paraId="4E453D7C" w14:textId="59ADE4B4" w:rsidR="00CE0CCF" w:rsidRPr="00046858" w:rsidRDefault="00E37D8F" w:rsidP="008F0DBE">
      <w:pPr>
        <w:rPr>
          <w:b/>
          <w:noProof/>
          <w:u w:val="single"/>
        </w:rPr>
      </w:pPr>
      <w:r w:rsidRPr="00046858">
        <w:rPr>
          <w:noProof/>
        </w:rPr>
        <w:t>Regulamentul privind cipurile 2.0 este conceput pentru a fi compatibil cu actualul cadru financiar multianual (CFM) (2021-2027) și cu următorul CFM (2028-2034), inclusiv cu Fondul european pentru competitivitate (FEC), cu Programul-cadru 10 (PC10) și cu planurile de parteneriat național și regional (PPNR). Arhitectura sa va permite acțiuni imediate, precum și un impact imediat în cadrul actualului CFM, asigurând în același timp continuitatea și scalabilitatea în următorul CFM. Propunerea nu anticipează rezultatul procesului legislativ în curs privind CFM și nici nu îi aduce atingere acestuia.</w:t>
      </w:r>
    </w:p>
    <w:p w14:paraId="5154A6A5" w14:textId="6208D6F0" w:rsidR="00CE0CCF" w:rsidRPr="00046858" w:rsidRDefault="00CE0CCF" w:rsidP="008F0DBE">
      <w:pPr>
        <w:rPr>
          <w:noProof/>
        </w:rPr>
      </w:pPr>
      <w:r w:rsidRPr="00046858">
        <w:rPr>
          <w:noProof/>
        </w:rPr>
        <w:t xml:space="preserve">În plus, Regulamentul privind cipurile 2.0 </w:t>
      </w:r>
      <w:r w:rsidRPr="00046858">
        <w:rPr>
          <w:rStyle w:val="Added"/>
          <w:b w:val="0"/>
          <w:noProof/>
          <w:u w:val="none"/>
        </w:rPr>
        <w:t>nu aduce atingere</w:t>
      </w:r>
      <w:r w:rsidRPr="00046858">
        <w:rPr>
          <w:noProof/>
        </w:rPr>
        <w:t xml:space="preserve"> normelor privind ajutoarele de stat și concurența</w:t>
      </w:r>
      <w:r w:rsidRPr="00046858">
        <w:rPr>
          <w:rStyle w:val="Added"/>
          <w:b w:val="0"/>
          <w:noProof/>
          <w:u w:val="none"/>
        </w:rPr>
        <w:t>,</w:t>
      </w:r>
      <w:r w:rsidRPr="00046858">
        <w:rPr>
          <w:rStyle w:val="Deleted"/>
          <w:noProof/>
        </w:rPr>
        <w:t xml:space="preserve"> </w:t>
      </w:r>
      <w:r w:rsidRPr="00046858">
        <w:rPr>
          <w:rStyle w:val="Added"/>
          <w:b w:val="0"/>
          <w:noProof/>
          <w:u w:val="none"/>
        </w:rPr>
        <w:t>inclusiv</w:t>
      </w:r>
      <w:r w:rsidRPr="00046858">
        <w:rPr>
          <w:noProof/>
        </w:rPr>
        <w:t xml:space="preserve"> cadrului pentru cercetare, dezvoltare și inovare și comunicării PIIEC, menținând în același timp obiectivele lor distincte. PIIEC și cadrul pentru cercetare, dezvoltare și inovare </w:t>
      </w:r>
      <w:r w:rsidRPr="00046858">
        <w:rPr>
          <w:rStyle w:val="Added"/>
          <w:b w:val="0"/>
          <w:noProof/>
          <w:u w:val="none"/>
        </w:rPr>
        <w:t>joacă</w:t>
      </w:r>
      <w:r w:rsidRPr="00046858">
        <w:rPr>
          <w:noProof/>
        </w:rPr>
        <w:t xml:space="preserve"> un rol central în sprijinirea cercetării, a dezvoltării, a inovării și a primei implementări industriale, în special pentru proiectele extrem de inovatoare și transfrontaliere cu efecte de propagare puternice.</w:t>
      </w:r>
    </w:p>
    <w:p w14:paraId="3789F7A9" w14:textId="77777777" w:rsidR="00CE0CCF" w:rsidRPr="00046858" w:rsidRDefault="00CE0CCF" w:rsidP="008F0DBE">
      <w:pPr>
        <w:rPr>
          <w:noProof/>
        </w:rPr>
      </w:pPr>
      <w:r w:rsidRPr="00046858">
        <w:rPr>
          <w:noProof/>
        </w:rPr>
        <w:t>Măsurile din cadrul Regulamentului privind cipurile 2.0 se vor baza pe această arhitectură prin clarificarea și perfecționarea în continuare a domeniului de aplicare al cadrului de pionierat aferent pilonului II, asigurându-se că întregul lanț valoric va fi acoperit.</w:t>
      </w:r>
    </w:p>
    <w:p w14:paraId="42EEE191" w14:textId="77777777" w:rsidR="00A03D5B" w:rsidRPr="00046858" w:rsidRDefault="00A03D5B" w:rsidP="0041561E">
      <w:pPr>
        <w:pStyle w:val="ManualHeading2"/>
        <w:rPr>
          <w:rFonts w:eastAsia="Arial Unicode MS"/>
          <w:noProof/>
        </w:rPr>
      </w:pPr>
      <w:r w:rsidRPr="00046858">
        <w:rPr>
          <w:noProof/>
          <w:color w:val="000000"/>
          <w:bdr w:val="nil"/>
        </w:rPr>
        <w:lastRenderedPageBreak/>
        <w:t>•</w:t>
      </w:r>
      <w:r w:rsidRPr="00046858">
        <w:rPr>
          <w:noProof/>
        </w:rPr>
        <w:tab/>
        <w:t>Coerența cu alte politici ale Uniunii</w:t>
      </w:r>
    </w:p>
    <w:p w14:paraId="615042FA" w14:textId="77777777" w:rsidR="106B2173" w:rsidRPr="00046858" w:rsidRDefault="106B2173" w:rsidP="4B688850">
      <w:pPr>
        <w:spacing w:before="0" w:after="240"/>
        <w:rPr>
          <w:noProof/>
        </w:rPr>
      </w:pPr>
      <w:r w:rsidRPr="00046858">
        <w:rPr>
          <w:noProof/>
        </w:rPr>
        <w:t xml:space="preserve">Propunerea este în concordanță cu strategia industrială și în materie de concurență a UE, astfel cum se reflectă în strategiile industriale și în raportul Draghi, și completează cadrele privind tranziția digitală și </w:t>
      </w:r>
      <w:r w:rsidRPr="00046858">
        <w:rPr>
          <w:rStyle w:val="Added"/>
          <w:b w:val="0"/>
          <w:noProof/>
          <w:u w:val="none"/>
        </w:rPr>
        <w:t>tranziția curată</w:t>
      </w:r>
      <w:r w:rsidRPr="00046858">
        <w:rPr>
          <w:noProof/>
        </w:rPr>
        <w:t>.</w:t>
      </w:r>
    </w:p>
    <w:p w14:paraId="5F265FB6" w14:textId="77777777" w:rsidR="106B2173" w:rsidRPr="00046858" w:rsidRDefault="106B2173" w:rsidP="4B688850">
      <w:pPr>
        <w:spacing w:after="0"/>
        <w:rPr>
          <w:noProof/>
        </w:rPr>
      </w:pPr>
      <w:r w:rsidRPr="00046858">
        <w:rPr>
          <w:noProof/>
        </w:rPr>
        <w:t xml:space="preserve">Prezenta propunere va face parte din </w:t>
      </w:r>
      <w:r w:rsidRPr="00046858">
        <w:rPr>
          <w:b/>
          <w:noProof/>
        </w:rPr>
        <w:t>pachetul privind suveranitatea tehnologică</w:t>
      </w:r>
      <w:r w:rsidRPr="00046858">
        <w:rPr>
          <w:noProof/>
        </w:rPr>
        <w:t xml:space="preserve">, împreună cu </w:t>
      </w:r>
      <w:r w:rsidRPr="00046858">
        <w:rPr>
          <w:b/>
          <w:noProof/>
          <w:color w:val="000000" w:themeColor="text1"/>
        </w:rPr>
        <w:t>Actul legislativ privind dezvoltarea tehnologiei de tip cloud și a IA</w:t>
      </w:r>
      <w:r w:rsidRPr="00046858">
        <w:rPr>
          <w:noProof/>
          <w:color w:val="000000" w:themeColor="text1"/>
        </w:rPr>
        <w:t xml:space="preserve"> (CADA) și cu o </w:t>
      </w:r>
      <w:r w:rsidRPr="00046858">
        <w:rPr>
          <w:b/>
          <w:noProof/>
          <w:color w:val="000000" w:themeColor="text1"/>
        </w:rPr>
        <w:t>foaie de parcurs strategică pentru digitalizare și IA în domeniul energiei</w:t>
      </w:r>
      <w:r w:rsidRPr="00046858">
        <w:rPr>
          <w:noProof/>
        </w:rPr>
        <w:t>.</w:t>
      </w:r>
      <w:r w:rsidRPr="00046858">
        <w:rPr>
          <w:b/>
          <w:noProof/>
          <w:color w:val="000000" w:themeColor="text1"/>
        </w:rPr>
        <w:t xml:space="preserve"> </w:t>
      </w:r>
      <w:r w:rsidRPr="00046858">
        <w:rPr>
          <w:noProof/>
          <w:color w:val="000000" w:themeColor="text1"/>
        </w:rPr>
        <w:t>Pachetul urmărește să asigure faptul că Uniunea își păstrează capacitatea de a decide în mod autonom, de a acționa în mod eficace și de a modela evoluțiile tehnologice globale, rămânând în același timp deschisă, competitivă și angajată în ceea ce privește cooperarea și normele internaționale.</w:t>
      </w:r>
    </w:p>
    <w:p w14:paraId="5E32C2B9" w14:textId="77777777" w:rsidR="4B688850" w:rsidRPr="00046858" w:rsidRDefault="106B2173" w:rsidP="005136A5">
      <w:pPr>
        <w:spacing w:after="0"/>
        <w:rPr>
          <w:noProof/>
        </w:rPr>
      </w:pPr>
      <w:r w:rsidRPr="00046858">
        <w:rPr>
          <w:noProof/>
        </w:rPr>
        <w:t xml:space="preserve">Va fi necesară coordonarea între Regulamentul privind cipurile și </w:t>
      </w:r>
      <w:r w:rsidRPr="00046858">
        <w:rPr>
          <w:b/>
          <w:noProof/>
        </w:rPr>
        <w:t>Fondul european pentru competitivitate (FEC)</w:t>
      </w:r>
      <w:r w:rsidRPr="00046858">
        <w:rPr>
          <w:rStyle w:val="FootnoteReference"/>
          <w:rFonts w:eastAsia="Times New Roman"/>
          <w:noProof/>
          <w:szCs w:val="24"/>
        </w:rPr>
        <w:footnoteReference w:id="24"/>
      </w:r>
      <w:r w:rsidRPr="00046858">
        <w:rPr>
          <w:noProof/>
        </w:rPr>
        <w:t xml:space="preserve"> propus și viitorul Act legislativ privind tehnologiile cuantice</w:t>
      </w:r>
      <w:r w:rsidRPr="00046858">
        <w:rPr>
          <w:rStyle w:val="FootnoteReference"/>
          <w:rFonts w:eastAsia="Times New Roman"/>
          <w:noProof/>
          <w:szCs w:val="24"/>
        </w:rPr>
        <w:footnoteReference w:id="25"/>
      </w:r>
      <w:r w:rsidRPr="00046858">
        <w:rPr>
          <w:noProof/>
        </w:rPr>
        <w:t>. Coerența cu Actul legislativ privind tehnologiile cuantice va oferi ocazia de a institui un cadru european cuprinzător de politică în domeniul tehnologiilor cuantice, care să valorifice la maximum sinergiile dintre mai multe instrumente.</w:t>
      </w:r>
    </w:p>
    <w:p w14:paraId="5C652BD7" w14:textId="77777777" w:rsidR="00A03D5B" w:rsidRPr="00046858" w:rsidRDefault="00A03D5B" w:rsidP="4B688850">
      <w:pPr>
        <w:pStyle w:val="ManualHeading1"/>
        <w:ind w:left="0" w:firstLine="0"/>
        <w:rPr>
          <w:noProof/>
        </w:rPr>
      </w:pPr>
      <w:r w:rsidRPr="00046858">
        <w:rPr>
          <w:noProof/>
        </w:rPr>
        <w:t>2.</w:t>
      </w:r>
      <w:r w:rsidRPr="00046858">
        <w:rPr>
          <w:noProof/>
        </w:rPr>
        <w:tab/>
        <w:t>TEMEI JURIDIC, SUBSIDIARITATE ȘI PROPORȚIONALITATE</w:t>
      </w:r>
    </w:p>
    <w:p w14:paraId="304FC1E1" w14:textId="77777777" w:rsidR="00A03D5B" w:rsidRPr="00046858" w:rsidRDefault="00A03D5B" w:rsidP="0041561E">
      <w:pPr>
        <w:pStyle w:val="ManualHeading2"/>
        <w:rPr>
          <w:rFonts w:eastAsia="Arial Unicode MS"/>
          <w:noProof/>
          <w:u w:color="000000"/>
          <w:bdr w:val="nil"/>
        </w:rPr>
      </w:pPr>
      <w:r w:rsidRPr="00046858">
        <w:rPr>
          <w:noProof/>
          <w:bdr w:val="nil"/>
        </w:rPr>
        <w:t>•</w:t>
      </w:r>
      <w:r w:rsidRPr="00046858">
        <w:rPr>
          <w:noProof/>
        </w:rPr>
        <w:tab/>
      </w:r>
      <w:r w:rsidRPr="00046858">
        <w:rPr>
          <w:noProof/>
          <w:bdr w:val="nil"/>
        </w:rPr>
        <w:t>Temeiul juridic</w:t>
      </w:r>
    </w:p>
    <w:p w14:paraId="7ECDA85B" w14:textId="77777777" w:rsidR="14872343" w:rsidRPr="00046858" w:rsidRDefault="00281FF8" w:rsidP="4B688850">
      <w:pPr>
        <w:rPr>
          <w:noProof/>
        </w:rPr>
      </w:pPr>
      <w:r w:rsidRPr="00046858">
        <w:rPr>
          <w:noProof/>
        </w:rPr>
        <w:t>La fel ca în cazul primului Regulament privind cipurile, temeiurile juridice pentru Regulamentul privind cipurile 2.0 sunt articolul 173 alineatul (3) și articolul 114 din Tratatul privind funcționarea Uniunii Europene (TFUE). Uniunea trebuie să contribuie la realizarea obiectivelor prevăzute la articolul 173 alineatul (1) prin politicile și acțiunile pe care le desfășoară. Articolul 173 alineatul (1) din TFUE prevede că obiectivele sunt asigurarea condițiilor necesare competitivității industriei Uniunii. În conformitate cu un sistem de piețe deschise și concurențiale, această acțiune urmărește: (i) să accelereze adaptarea industriei la schimbările structurale; (ii) să încurajeze un mediu favorabil inițiativei și dezvoltării întreprinderilor din întreaga Uniune și, în special, a întreprinderilor mici și mijlocii; (iii) să încurajeze un mediu propice cooperării dintre întreprinderi și (iv) să favorizeze o exploatare mai bună a potențialului industrial al politicilor de inovare, cercetare și dezvoltare tehnologică. Obiectivul articolului 114 din TFUE este instituirea și funcționarea pieței interne prin adoptarea de măsuri pentru apropierea normelor naționale.</w:t>
      </w:r>
    </w:p>
    <w:p w14:paraId="2AF651E7" w14:textId="66EC2813" w:rsidR="003629D7" w:rsidRPr="00046858" w:rsidRDefault="003629D7" w:rsidP="4B688850">
      <w:pPr>
        <w:rPr>
          <w:noProof/>
        </w:rPr>
      </w:pPr>
      <w:r w:rsidRPr="00046858">
        <w:rPr>
          <w:noProof/>
        </w:rPr>
        <w:t xml:space="preserve">Regulamentul privind cipurile 2.0 se bazează pe obiectivele actualului Regulament privind cipurile. Primul obiectiv specific al Regulamentului privind cipurile 2.0, care stă la baza pilonului I, este crearea unor capacități mari de inovare și a unor capabilități tehnologice adecvate în industria semiconductorilor pentru a accelera inovarea și a facilita adaptarea la aceasta. În plus, prin obiectivele care stau la baza pilonilor II și III, regulamentul urmărește să sporească reziliența și securitatea aprovizionării Uniunii în domeniul tehnologiilor semiconductorilor prin sprijinirea și coordonarea investițiilor în fabricarea de semiconductori </w:t>
      </w:r>
      <w:r w:rsidRPr="00046858">
        <w:rPr>
          <w:noProof/>
        </w:rPr>
        <w:lastRenderedPageBreak/>
        <w:t>avansați (pilonul II) și prin facilitarea coordonării monitorizării și a răspunsului în situații de criză (pilonul III).</w:t>
      </w:r>
    </w:p>
    <w:p w14:paraId="42D62388" w14:textId="43E445F6" w:rsidR="00873267" w:rsidRPr="00046858" w:rsidRDefault="00AA7DB4" w:rsidP="00873267">
      <w:pPr>
        <w:rPr>
          <w:noProof/>
        </w:rPr>
      </w:pPr>
      <w:r w:rsidRPr="00046858">
        <w:rPr>
          <w:noProof/>
        </w:rPr>
        <w:t>Temeiul juridic adecvat pentru primul obiectiv este articolul 173 alineatul (3) din TFUE. În cazul articolului 173 alineatul (3) din TFUE, acțiunile întreprinse nu ar trebui să implice armonizarea actelor cu putere de lege și a normelor administrative naționale, ci să consolideze competitivitatea și reziliența bazei industriale a semiconductorilor. Regulamentul privind cipurile 2.0 urmărește să consolideze forța și reziliența tehnologiei europene a semiconductorilor și a peisajului industrial european al semiconductorilor, stimulând potențialul de inovare al ecosistemului semiconductorilor în întreaga UE. Aceasta include reducerea dependenței de un număr mic de întreprinderi și regiuni din afara UE și extinderea capacității UE de a proiecta și fabrica semiconductori avansați. Inițiativa „Cipuri pentru Europa” (pilonul I), care va continua să fie sprijinită prin noua acțiune legislativă, este menită să contribuie la atingerea acestor obiective prin eliminarea decalajului dintre excelența în cercetare a UE și implementarea sa industrială eficace și durabilă.</w:t>
      </w:r>
    </w:p>
    <w:p w14:paraId="2C1DF7CB" w14:textId="77777777" w:rsidR="00A03D5B" w:rsidRPr="00046858" w:rsidRDefault="00A03D5B" w:rsidP="0041561E">
      <w:pPr>
        <w:pStyle w:val="ManualHeading2"/>
        <w:rPr>
          <w:rFonts w:eastAsia="Arial Unicode MS"/>
          <w:noProof/>
          <w:u w:color="000000"/>
          <w:bdr w:val="nil"/>
        </w:rPr>
      </w:pPr>
      <w:r w:rsidRPr="00046858">
        <w:rPr>
          <w:noProof/>
          <w:bdr w:val="nil"/>
        </w:rPr>
        <w:t>•</w:t>
      </w:r>
      <w:r w:rsidRPr="00046858">
        <w:rPr>
          <w:noProof/>
        </w:rPr>
        <w:tab/>
      </w:r>
      <w:r w:rsidRPr="00046858">
        <w:rPr>
          <w:noProof/>
          <w:bdr w:val="nil"/>
        </w:rPr>
        <w:t xml:space="preserve">Subsidiaritatea (în cazul competențelor neexclusive) </w:t>
      </w:r>
    </w:p>
    <w:p w14:paraId="14B7E2FE" w14:textId="77777777" w:rsidR="2BBE31C3" w:rsidRPr="00046858" w:rsidRDefault="2BBE31C3" w:rsidP="0D49437E">
      <w:pPr>
        <w:rPr>
          <w:noProof/>
        </w:rPr>
      </w:pPr>
      <w:r w:rsidRPr="00046858">
        <w:rPr>
          <w:noProof/>
        </w:rPr>
        <w:t>Obiectivele propunerii nu pot fi realizate de statele membre acționând în mod individual, deoarece problemele sunt de natură transfrontalieră și nu se limitează la un singur stat membru sau la un subgrup de state membre. Acțiunile propuse se axează pe domenii în care acțiunea la nivelul Uniunii are o valoare adăugată demonstrabilă datorită amplorii, rapidității și sferei eforturilor necesare.</w:t>
      </w:r>
    </w:p>
    <w:p w14:paraId="6D8BDF3F" w14:textId="77777777" w:rsidR="2BBE31C3" w:rsidRPr="00046858" w:rsidRDefault="2BBE31C3" w:rsidP="0D49437E">
      <w:pPr>
        <w:rPr>
          <w:noProof/>
        </w:rPr>
      </w:pPr>
      <w:r w:rsidRPr="00046858">
        <w:rPr>
          <w:noProof/>
        </w:rPr>
        <w:t>Furnizarea unui răspuns cuprinzător la criza semiconductorilor necesită o acțiune comună rapidă și coordonată din partea unei game largi de părți interesate, în cooperare cu statele membre. Niciun stat membru nu poate realiza acest lucru de unul singur. În plus, având în vedere complexitatea ecosistemului semiconductorilor, consecințele dependențelor structurale și ale deficitelor de cerere și ofertă ale Uniunii sunt atât de ample, încât intervenția UE este cea mai în măsură să abordeze aceste probleme.</w:t>
      </w:r>
    </w:p>
    <w:p w14:paraId="2A005DD6" w14:textId="77777777" w:rsidR="2BBE31C3" w:rsidRPr="00046858" w:rsidRDefault="2BBE31C3" w:rsidP="0D49437E">
      <w:pPr>
        <w:rPr>
          <w:noProof/>
        </w:rPr>
      </w:pPr>
      <w:r w:rsidRPr="00046858">
        <w:rPr>
          <w:noProof/>
        </w:rPr>
        <w:t>Acțiunea la nivelul Uniunii este în mod clar cea mai potrivită pentru a orienta actorii europeni către o viziune și o strategie de punere în aplicare comune. Acest lucru este esențial pentru a genera economii de scară și de gamă și pentru a produce masa critică necesară pentru capacități de vârf. De asemenea, aceasta va limita, dacă nu chiar va preveni, fragmentarea eforturilor, cursele pentru subvenții și soluțiile naționale sub nivelul optim.</w:t>
      </w:r>
    </w:p>
    <w:p w14:paraId="6B1CAE96" w14:textId="77777777" w:rsidR="2BBE31C3" w:rsidRPr="00046858" w:rsidRDefault="2BBE31C3" w:rsidP="0D49437E">
      <w:pPr>
        <w:spacing w:before="0" w:after="240"/>
        <w:rPr>
          <w:noProof/>
        </w:rPr>
      </w:pPr>
      <w:r w:rsidRPr="00046858">
        <w:rPr>
          <w:noProof/>
        </w:rPr>
        <w:t>În domeniile pe care le abordează prezenta propunere prin intermediul celor trei piloni ai săi este necesară o acțiune la nivelul Uniunii.</w:t>
      </w:r>
    </w:p>
    <w:p w14:paraId="46629426" w14:textId="77777777" w:rsidR="2BBE31C3" w:rsidRPr="00046858" w:rsidRDefault="2BBE31C3" w:rsidP="00A80CF7">
      <w:pPr>
        <w:pStyle w:val="Bullet0"/>
        <w:rPr>
          <w:noProof/>
        </w:rPr>
      </w:pPr>
      <w:r w:rsidRPr="00046858">
        <w:rPr>
          <w:noProof/>
        </w:rPr>
        <w:t xml:space="preserve">În ceea ce privește primul pilon (inițiativa „Cipuri pentru Europa” 2.0), inițiativa consolidată „Cipuri pentru Europa” 2.0 va continua să sprijine activitățile inițiativei „Cipuri pentru Europa”, instituită în temeiul primului Regulament privind cipurile. Aceasta înseamnă consolidarea capacităților tehnologice și inovarea la scară largă în întreaga Uniune pentru a permite dezvoltarea și implementarea tehnologiilor de ultimă generație și de generație următoare în domeniul semiconductorilor și în domeniul cuantic și pentru a aborda deficiențele structurale cronice ale Europei în materie de proiectare și producție. După </w:t>
      </w:r>
      <w:r w:rsidRPr="00046858">
        <w:rPr>
          <w:b/>
          <w:noProof/>
        </w:rPr>
        <w:t xml:space="preserve">două proiecte importante de interes european comun (PIIEC) de succes </w:t>
      </w:r>
      <w:r w:rsidRPr="00046858">
        <w:rPr>
          <w:noProof/>
        </w:rPr>
        <w:t xml:space="preserve">privind microelectronica, prin care se sprijină proiecte inovatoare transfrontaliere de-a lungul lanțului valoric al microelectronicii, este în curs de </w:t>
      </w:r>
      <w:r w:rsidRPr="00046858">
        <w:rPr>
          <w:rStyle w:val="Added"/>
          <w:b w:val="0"/>
          <w:noProof/>
          <w:u w:val="none"/>
        </w:rPr>
        <w:t>elaborare</w:t>
      </w:r>
      <w:r w:rsidRPr="00046858">
        <w:rPr>
          <w:noProof/>
        </w:rPr>
        <w:t xml:space="preserve"> un posibil </w:t>
      </w:r>
      <w:r w:rsidRPr="00046858">
        <w:rPr>
          <w:b/>
          <w:noProof/>
        </w:rPr>
        <w:t xml:space="preserve">al treilea PIIEC </w:t>
      </w:r>
      <w:r w:rsidRPr="00046858">
        <w:rPr>
          <w:noProof/>
        </w:rPr>
        <w:t xml:space="preserve">în acest domeniu. Aceste inițiative au o importanță strategică pentru sector. Cu toate acestea, în această etapă, este puțin probabil ca ele să abordeze în mod suficient consolidarea capacităților sub formă de linii-pilot și infrastructuri de proiectare. Acestea trebuie să fie puse la </w:t>
      </w:r>
      <w:r w:rsidRPr="00046858">
        <w:rPr>
          <w:noProof/>
        </w:rPr>
        <w:lastRenderedPageBreak/>
        <w:t>dispoziția tuturor părților terțe interesate din întreaga Europă și vor permite, de asemenea, Uniunii să joace un rol mai important într-un ecosistem global și interdependent. Astfel de instalații la scară largă pot fi realizate numai la nivelul Uniunii, având în vedere amploarea investițiilor și a know-how-ului necesare.</w:t>
      </w:r>
    </w:p>
    <w:p w14:paraId="4EDA3FC2" w14:textId="77777777" w:rsidR="00741089" w:rsidRPr="00046858" w:rsidRDefault="2BBE31C3" w:rsidP="00A80CF7">
      <w:pPr>
        <w:pStyle w:val="Bullet0"/>
        <w:rPr>
          <w:noProof/>
        </w:rPr>
      </w:pPr>
      <w:r w:rsidRPr="00046858">
        <w:rPr>
          <w:noProof/>
        </w:rPr>
        <w:t xml:space="preserve">În ceea ce privește al doilea pilon (Securitatea aprovizionării și a cererii), acțiunile care vizează accelerarea </w:t>
      </w:r>
      <w:r w:rsidRPr="00046858">
        <w:rPr>
          <w:b/>
          <w:noProof/>
        </w:rPr>
        <w:t xml:space="preserve">investițiilor în fabricarea semiconductorilor </w:t>
      </w:r>
      <w:r w:rsidRPr="00046858">
        <w:rPr>
          <w:noProof/>
        </w:rPr>
        <w:t xml:space="preserve">pot fi concepute și </w:t>
      </w:r>
      <w:r w:rsidRPr="00046858">
        <w:rPr>
          <w:rStyle w:val="Added"/>
          <w:b w:val="0"/>
          <w:noProof/>
          <w:u w:val="none"/>
        </w:rPr>
        <w:t xml:space="preserve">puse în aplicare </w:t>
      </w:r>
      <w:r w:rsidRPr="00046858">
        <w:rPr>
          <w:noProof/>
        </w:rPr>
        <w:t xml:space="preserve">în mod adecvat numai la nivelul Uniunii. Acest lucru se datorează amplorii investițiilor necesare și faptului că, prin definiție, aceste instalații de producție vor deservi întreaga piață internă, vor consolida întregul ecosistem și vor garanta securitatea aprovizionării în situații de criză. În plus, măsurile privind </w:t>
      </w:r>
      <w:r w:rsidRPr="00046858">
        <w:rPr>
          <w:b/>
          <w:noProof/>
        </w:rPr>
        <w:t xml:space="preserve">proiectele strategice </w:t>
      </w:r>
      <w:r w:rsidRPr="00046858">
        <w:rPr>
          <w:noProof/>
        </w:rPr>
        <w:t>ar urma să fie elaborate prin promovarea unei combinații de investiții publice și private, cu o pârghie privată ridicată.</w:t>
      </w:r>
    </w:p>
    <w:p w14:paraId="25CCDA08" w14:textId="77777777" w:rsidR="2BBE31C3" w:rsidRPr="00046858" w:rsidRDefault="2BBE31C3" w:rsidP="00A80CF7">
      <w:pPr>
        <w:pStyle w:val="Bullet0"/>
        <w:rPr>
          <w:noProof/>
        </w:rPr>
      </w:pPr>
      <w:r w:rsidRPr="00046858">
        <w:rPr>
          <w:noProof/>
        </w:rPr>
        <w:t xml:space="preserve">În ceea ce privește cel de al treilea pilon (Monitorizare și răspuns în situații de criză), </w:t>
      </w:r>
      <w:r w:rsidRPr="00046858">
        <w:rPr>
          <w:b/>
          <w:noProof/>
        </w:rPr>
        <w:t xml:space="preserve">cooperarea consolidată la nivelul Uniunii </w:t>
      </w:r>
      <w:r w:rsidRPr="00046858">
        <w:rPr>
          <w:noProof/>
        </w:rPr>
        <w:t xml:space="preserve">va asigura colectarea de informații operative necesare și comparabile. Împreună, statele membre și Comisia vor fi în măsură să anticipeze penuriile, să declanșeze stadiul de criză într-o situație de penurie gravă și să pună în aplicare măsurile necesare pentru a </w:t>
      </w:r>
      <w:r w:rsidRPr="00046858">
        <w:rPr>
          <w:b/>
          <w:noProof/>
        </w:rPr>
        <w:t>aborda o astfel de criză</w:t>
      </w:r>
      <w:r w:rsidRPr="00046858">
        <w:rPr>
          <w:noProof/>
        </w:rPr>
        <w:t xml:space="preserve"> cu mai multă eficacitate decât ar face-o un mozaic de măsuri naționale.</w:t>
      </w:r>
    </w:p>
    <w:p w14:paraId="3ED5359B" w14:textId="77777777" w:rsidR="00A03D5B" w:rsidRPr="00046858" w:rsidRDefault="00A03D5B" w:rsidP="0041561E">
      <w:pPr>
        <w:pStyle w:val="ManualHeading2"/>
        <w:rPr>
          <w:rFonts w:eastAsia="Arial Unicode MS"/>
          <w:noProof/>
          <w:u w:color="000000"/>
          <w:bdr w:val="nil"/>
        </w:rPr>
      </w:pPr>
      <w:r w:rsidRPr="00046858">
        <w:rPr>
          <w:noProof/>
          <w:bdr w:val="nil"/>
        </w:rPr>
        <w:t>•</w:t>
      </w:r>
      <w:r w:rsidRPr="00046858">
        <w:rPr>
          <w:noProof/>
        </w:rPr>
        <w:tab/>
      </w:r>
      <w:r w:rsidRPr="00046858">
        <w:rPr>
          <w:noProof/>
          <w:bdr w:val="nil"/>
        </w:rPr>
        <w:t>Proporționalitate</w:t>
      </w:r>
    </w:p>
    <w:p w14:paraId="147646D7" w14:textId="77777777" w:rsidR="20666785" w:rsidRPr="00046858" w:rsidRDefault="20666785" w:rsidP="7DAA4B80">
      <w:pPr>
        <w:rPr>
          <w:noProof/>
        </w:rPr>
      </w:pPr>
      <w:r w:rsidRPr="00046858">
        <w:rPr>
          <w:noProof/>
        </w:rPr>
        <w:t>Propunerea este menită să consolideze ecosistemul european al semiconductorilor prin: (i) pregătirea și monitorizarea pe termen scurt pentru a spori transparența lanțurilor de aprovizionare cu semiconductori; (ii) acțiuni pe termen mediu privind securitatea aprovizionării pentru a spori capacitatea de producție de semiconductori în Europa și (iii) acțiuni pe termen mai lung privind poziția de lider în domeniul tehnologiei și al inovării pentru a înființa instalații de proiectare și producție pentru tehnologiile avansate și emergente ale semiconductorilor.</w:t>
      </w:r>
    </w:p>
    <w:p w14:paraId="18885D2E" w14:textId="77777777" w:rsidR="20666785" w:rsidRPr="00046858" w:rsidRDefault="20666785" w:rsidP="7DAA4B80">
      <w:pPr>
        <w:rPr>
          <w:noProof/>
        </w:rPr>
      </w:pPr>
      <w:r w:rsidRPr="00046858">
        <w:rPr>
          <w:noProof/>
        </w:rPr>
        <w:t>În acest context, propunerea se axează pe părțile ecosistemului semiconductorilor care contribuie cel mai mult la reziliența lanțului de aprovizionare al Uniunii. Accentul pus pe ecosistemul semiconductorilor în sine, mai curând decât pe domeniul mai larg al componentelor și sistemelor electronice sau pe domeniile de aplicare care utilizează semiconductori și/sau componente și sisteme electronice, este menit să limiteze acțiunile la unul dintre punctele cele mai sensibile în prezent pentru economia și societatea europeană în general.</w:t>
      </w:r>
    </w:p>
    <w:p w14:paraId="426B7498" w14:textId="77777777" w:rsidR="20666785" w:rsidRPr="00046858" w:rsidRDefault="20666785" w:rsidP="7DAA4B80">
      <w:pPr>
        <w:rPr>
          <w:noProof/>
        </w:rPr>
      </w:pPr>
      <w:r w:rsidRPr="00046858">
        <w:rPr>
          <w:noProof/>
        </w:rPr>
        <w:t>Inițiativa „Cipuri pentru Europa” 2.0 instituie mecanismele necesare pentru a asigura competitivitatea și capacitatea de inovare pe termen mai lung a industriei europene prin: (i) capabilități de cercetare și proiectare, (ii) linii-pilot pentru testare și experimentare, (iii) capacități pentru cipuri cuantice și circuite integrate fotonice, (iv) centre de competență și (v) un fond pentru start-upuri, întreprinderile în curs de extindere și IMM-uri.</w:t>
      </w:r>
    </w:p>
    <w:p w14:paraId="2F64BE9E" w14:textId="03FA1B88" w:rsidR="20666785" w:rsidRPr="00046858" w:rsidRDefault="20666785" w:rsidP="7DAA4B80">
      <w:pPr>
        <w:rPr>
          <w:noProof/>
        </w:rPr>
      </w:pPr>
      <w:r w:rsidRPr="00046858">
        <w:rPr>
          <w:noProof/>
        </w:rPr>
        <w:t>Noile acțiuni privind securitatea aprovizionării menite să consolideze capacitatea de producție de semiconductori a Uniunii în cadrul pilonului II pot recunoaște o instalație drept o inițiativă europeană în domeniul tehnologiilor semiconductorilor. Pe baza unei astfel de recunoașteri, statele membre au obligația de a asigura acordarea prin proceduri rapide a autorizațiilor pentru aceste instalații și turnătorii.</w:t>
      </w:r>
    </w:p>
    <w:p w14:paraId="46F16D3E" w14:textId="77777777" w:rsidR="20666785" w:rsidRPr="00046858" w:rsidRDefault="20666785" w:rsidP="7DAA4B80">
      <w:pPr>
        <w:rPr>
          <w:noProof/>
        </w:rPr>
      </w:pPr>
      <w:r w:rsidRPr="00046858">
        <w:rPr>
          <w:noProof/>
        </w:rPr>
        <w:t>Noile acțiuni de pregătire din cadrul pilonului III se bazează pe monitorizare și schimbul de informații dintre statele membre și Uniune pentru a anticipa perturbările din lanțul de aprovizionare. În eventualitatea unor perturbări (anticipate), pot fi luate măsuri coordonate pentru a atenua sau a preveni penuriile de semiconductori și alte perturbări.</w:t>
      </w:r>
    </w:p>
    <w:p w14:paraId="36F8C60E" w14:textId="77777777" w:rsidR="00A03D5B" w:rsidRPr="00046858" w:rsidRDefault="00A03D5B" w:rsidP="0041561E">
      <w:pPr>
        <w:pStyle w:val="ManualHeading2"/>
        <w:rPr>
          <w:rFonts w:eastAsia="Arial Unicode MS"/>
          <w:noProof/>
          <w:u w:color="000000"/>
          <w:bdr w:val="nil"/>
        </w:rPr>
      </w:pPr>
      <w:r w:rsidRPr="00046858">
        <w:rPr>
          <w:noProof/>
          <w:bdr w:val="nil"/>
        </w:rPr>
        <w:lastRenderedPageBreak/>
        <w:t>•</w:t>
      </w:r>
      <w:r w:rsidRPr="00046858">
        <w:rPr>
          <w:noProof/>
        </w:rPr>
        <w:tab/>
      </w:r>
      <w:r w:rsidRPr="00046858">
        <w:rPr>
          <w:noProof/>
          <w:bdr w:val="nil"/>
        </w:rPr>
        <w:t>Alegerea instrumentului</w:t>
      </w:r>
    </w:p>
    <w:p w14:paraId="00D2DB76" w14:textId="77777777" w:rsidR="03F29C16" w:rsidRPr="00046858" w:rsidRDefault="03F29C16" w:rsidP="7DAA4B80">
      <w:pPr>
        <w:spacing w:before="0" w:after="240"/>
        <w:rPr>
          <w:noProof/>
        </w:rPr>
      </w:pPr>
      <w:r w:rsidRPr="00046858">
        <w:rPr>
          <w:noProof/>
        </w:rPr>
        <w:t>Un regulament este considerat instrumentul cel mai adecvat, deoarece permite stabilirea unor cerințe care se aplică direct autorităților naționale și operatorilor economici relevanți. Acest aspect va contribui la asigurarea faptului că respectivele cerințe sunt puse în aplicare în timp util și în mod armonizat, ceea ce va îmbunătăți nivelul de securitate juridică și va garanta continuitatea cu primul Regulament privind cipurile.</w:t>
      </w:r>
    </w:p>
    <w:p w14:paraId="3439DF36" w14:textId="77777777" w:rsidR="00C63F9F" w:rsidRPr="00046858" w:rsidRDefault="00C63F9F" w:rsidP="00C63F9F">
      <w:pPr>
        <w:spacing w:before="0" w:after="240"/>
        <w:rPr>
          <w:noProof/>
        </w:rPr>
      </w:pPr>
      <w:r w:rsidRPr="00046858">
        <w:rPr>
          <w:noProof/>
        </w:rPr>
        <w:t>Propunerea ia forma unui regulament al Parlamentului European și al Consiliului. Acesta este cel mai adecvat instrument juridic pentru pilonul I al propunerii de instituire a inițiativei „Cipuri pentru Europa” 2.0. Acest lucru se datorează faptului că numai un regulament, cu dispozițiile sale juridice direct aplicabile, poate oferi gradul de uniformitate necesar pentru a continua și a pune în aplicare o inițiativă a Uniunii menită să sprijine un sector industrial în întreaga piață internă. Alegerea unui regulament ca instrument juridic pentru pilonul II este justificată de necesitatea aplicării uniforme a noilor norme, în special a definiției inițiativelor europene în domeniul tehnologiilor semiconductorilor și a proiectelor strategice și de necesitatea unei proceduri uniforme pentru recunoașterea și sprijinirea acestora. În plus, un regulament este instrumentul cel mai adecvat pentru pilonul III, deoarece această parte ar trebui să prevadă un mecanism care să anticipeze și să remedieze perturbările grave ale aprovizionării cu semiconductori în Uniune. De asemenea, acest mecanism nu ar trebui să necesite transpunerea prin măsuri naționale și va fi direct aplicabil.</w:t>
      </w:r>
    </w:p>
    <w:p w14:paraId="2B34EDF1" w14:textId="77777777" w:rsidR="00A03D5B" w:rsidRPr="00046858" w:rsidRDefault="00A03D5B" w:rsidP="0041561E">
      <w:pPr>
        <w:pStyle w:val="ManualHeading1"/>
        <w:rPr>
          <w:noProof/>
        </w:rPr>
      </w:pPr>
      <w:r w:rsidRPr="00046858">
        <w:rPr>
          <w:noProof/>
        </w:rPr>
        <w:t>3.</w:t>
      </w:r>
      <w:r w:rsidRPr="00046858">
        <w:rPr>
          <w:noProof/>
        </w:rPr>
        <w:tab/>
        <w:t xml:space="preserve">REZULTATELE EVALUĂRILOR </w:t>
      </w:r>
      <w:r w:rsidRPr="00046858">
        <w:rPr>
          <w:i/>
          <w:noProof/>
        </w:rPr>
        <w:t>EX POST</w:t>
      </w:r>
      <w:r w:rsidRPr="00046858">
        <w:rPr>
          <w:noProof/>
        </w:rPr>
        <w:t>, ALE CONSULTĂRILOR CU PĂRȚILE INTERESATE ȘI ALE EVALUĂRILOR IMPACTULUI</w:t>
      </w:r>
    </w:p>
    <w:p w14:paraId="2898F4EE" w14:textId="77777777" w:rsidR="00A03D5B" w:rsidRPr="00046858" w:rsidRDefault="00A03D5B" w:rsidP="0041561E">
      <w:pPr>
        <w:pStyle w:val="ManualHeading2"/>
        <w:rPr>
          <w:rFonts w:eastAsia="Arial Unicode MS"/>
          <w:noProof/>
          <w:u w:color="000000"/>
          <w:bdr w:val="nil"/>
        </w:rPr>
      </w:pPr>
      <w:r w:rsidRPr="00046858">
        <w:rPr>
          <w:noProof/>
          <w:bdr w:val="nil"/>
        </w:rPr>
        <w:t>•</w:t>
      </w:r>
      <w:r w:rsidRPr="00046858">
        <w:rPr>
          <w:noProof/>
        </w:rPr>
        <w:tab/>
      </w:r>
      <w:r w:rsidRPr="00046858">
        <w:rPr>
          <w:noProof/>
          <w:bdr w:val="nil"/>
        </w:rPr>
        <w:t xml:space="preserve">Evaluările </w:t>
      </w:r>
      <w:r w:rsidRPr="00046858">
        <w:rPr>
          <w:i/>
          <w:noProof/>
          <w:bdr w:val="nil"/>
        </w:rPr>
        <w:t>ex post</w:t>
      </w:r>
      <w:r w:rsidRPr="00046858">
        <w:rPr>
          <w:noProof/>
          <w:bdr w:val="nil"/>
        </w:rPr>
        <w:t>/verificarea adecvării legislației existente</w:t>
      </w:r>
    </w:p>
    <w:p w14:paraId="0EF91D67" w14:textId="77777777" w:rsidR="009748E4" w:rsidRPr="00046858" w:rsidRDefault="006A1D40" w:rsidP="2ED731DA">
      <w:pPr>
        <w:spacing w:before="0" w:after="200"/>
        <w:rPr>
          <w:rFonts w:eastAsia="Times New Roman"/>
          <w:noProof/>
          <w:szCs w:val="24"/>
        </w:rPr>
      </w:pPr>
      <w:r w:rsidRPr="00046858">
        <w:rPr>
          <w:noProof/>
        </w:rPr>
        <w:t>În conformitate cu articolul 40 din Regulamentul privind cipurile, Comisia a prezentat Parlamentului European și Consiliului, până la 20 septembrie 2026, un prim raport privind evaluarea și revizuirea regulamentului. Scopul evaluării a fost de a obține o apreciere critică, imparțială și bazată pe dovezi a progreselor înregistrate de Regulamentul privind cipurile și a capacității acestuia de a consolida ecosistemul semiconductorilor din Uniune</w:t>
      </w:r>
      <w:r w:rsidRPr="00046858">
        <w:rPr>
          <w:rStyle w:val="FootnoteReference"/>
          <w:rFonts w:eastAsia="Times New Roman"/>
          <w:noProof/>
          <w:szCs w:val="24"/>
        </w:rPr>
        <w:footnoteReference w:id="26"/>
      </w:r>
      <w:r w:rsidRPr="00046858">
        <w:rPr>
          <w:noProof/>
        </w:rPr>
        <w:t>.</w:t>
      </w:r>
    </w:p>
    <w:p w14:paraId="05E9A677" w14:textId="77777777" w:rsidR="00CC2880" w:rsidRPr="00046858" w:rsidRDefault="00CC2880" w:rsidP="00CC2880">
      <w:pPr>
        <w:spacing w:before="0" w:after="200"/>
        <w:rPr>
          <w:rFonts w:eastAsia="Times New Roman"/>
          <w:noProof/>
        </w:rPr>
      </w:pPr>
      <w:r w:rsidRPr="00046858">
        <w:rPr>
          <w:noProof/>
        </w:rPr>
        <w:t>Evaluarea a acoperit cei trei piloni ai Regulamentului privind cipurile și elementele transversale dintre aceștia. Ea a examinat impactul Regulamentului privind cipurile asupra economiei, a guvernanței și a factorilor sociali și a inclus o evaluare a impactului Regulamentului privind cipurile 2.0. Evaluarea a identificat și a cuantificat costurile și beneficiile Regulamentului privind cipurile din cadrul fiecărui pilon. Aceasta a subliniat, de asemenea, lecțiile învățate din punerea sa în aplicare și a evidențiat problemele persistente și emergente care afectează funcționarea regulamentului. Evaluarea a acoperit perioada cuprinsă între intrarea în vigoare a Regulamentului privind cipurile la 21 septembrie 2023 și sfârșitul lunii noiembrie 2025.</w:t>
      </w:r>
    </w:p>
    <w:p w14:paraId="6FA3DB3D" w14:textId="77777777" w:rsidR="008F6FC6" w:rsidRPr="00046858" w:rsidRDefault="008F6FC6" w:rsidP="008F6FC6">
      <w:pPr>
        <w:spacing w:before="0" w:after="200"/>
        <w:rPr>
          <w:noProof/>
        </w:rPr>
      </w:pPr>
      <w:r w:rsidRPr="00046858">
        <w:rPr>
          <w:noProof/>
        </w:rPr>
        <w:t xml:space="preserve">În urma evaluării, s-a concluzionat că </w:t>
      </w:r>
      <w:r w:rsidRPr="00046858">
        <w:rPr>
          <w:b/>
          <w:noProof/>
        </w:rPr>
        <w:t xml:space="preserve">Regulamentul privind cipurile a fost esențial pentru crearea unui cadru european de reglementare și de politică pentru semiconductori </w:t>
      </w:r>
      <w:r w:rsidRPr="00046858">
        <w:rPr>
          <w:noProof/>
        </w:rPr>
        <w:t>care nu exista anterior și pentru realizarea acestui lucru într-o perioadă scurtă de timp. Acesta a mobilizat investiții publice și private substanțiale, a introdus infrastructuri de ultimă generație la nivelul UE și a instituit mecanisme de guvernanță pentru coordonare și pregătirea pentru situații de criză. Încrederea părților interesate în direcția strategică generală rămâne ridicată, iar regulamentul este perceput la scară largă ca un răspuns necesar la presiunile geopolitice, tehnologice și economice.</w:t>
      </w:r>
    </w:p>
    <w:p w14:paraId="7C1E9799" w14:textId="77777777" w:rsidR="00100F5B" w:rsidRPr="00046858" w:rsidRDefault="00100F5B" w:rsidP="00100F5B">
      <w:pPr>
        <w:spacing w:before="0" w:after="200"/>
        <w:rPr>
          <w:noProof/>
        </w:rPr>
      </w:pPr>
      <w:r w:rsidRPr="00046858">
        <w:rPr>
          <w:noProof/>
        </w:rPr>
        <w:lastRenderedPageBreak/>
        <w:t xml:space="preserve">În același timp, </w:t>
      </w:r>
      <w:r w:rsidRPr="00046858">
        <w:rPr>
          <w:b/>
          <w:noProof/>
        </w:rPr>
        <w:t>tranziția de la obținerea de rezultate la rezultate și efecte la nivel de sistem este încă în curs</w:t>
      </w:r>
      <w:r w:rsidRPr="00046858">
        <w:rPr>
          <w:noProof/>
        </w:rPr>
        <w:t>. Principalele constrângeri sunt mai degrabă structurale și economice decât operaționale. Ele se referă la capacitatea Uniunii de a industrializa inovarea, de a finanța întreprinderile în curs de extindere, de a consolida reziliența lanțului de aprovizionare și de a genera informații operative la nivel de sistem.</w:t>
      </w:r>
    </w:p>
    <w:p w14:paraId="3CAAC87C" w14:textId="77777777" w:rsidR="68D06F8C" w:rsidRPr="00046858" w:rsidRDefault="68D06F8C" w:rsidP="2ED731DA">
      <w:pPr>
        <w:spacing w:before="0" w:after="200"/>
        <w:rPr>
          <w:noProof/>
        </w:rPr>
      </w:pPr>
      <w:r w:rsidRPr="00046858">
        <w:rPr>
          <w:noProof/>
        </w:rPr>
        <w:t xml:space="preserve">Regulamentul a avut </w:t>
      </w:r>
      <w:r w:rsidRPr="00046858">
        <w:rPr>
          <w:b/>
          <w:noProof/>
        </w:rPr>
        <w:t>un rol esențial în dezvoltarea infrastructurilor tehnologice și a capacității de producție într-un stadiu incipient</w:t>
      </w:r>
      <w:r w:rsidRPr="00046858">
        <w:rPr>
          <w:noProof/>
        </w:rPr>
        <w:t>. Crearea unor linii-pilot, a unor centre de competență și a unor infrastructuri partajate la nivelul UE a asigurat un efort coordonat. Aceste inițiative îmbunătățesc deja accesul la instrumente avansate și sprijină o colaborare transfrontalieră puternică. Impactul altor componente (și anume proiectele-pilot de cipuri cuantice și platforma de proiectare) va deveni evident abia într-o etapă ulterioară. În orice caz, o gamă largă de părți interesate recunosc contribuția regulamentului la consolidarea bazei de cercetare și inovare a Europei și la îmbunătățirea coordonării dintre statele membre.</w:t>
      </w:r>
    </w:p>
    <w:p w14:paraId="7EDA1948" w14:textId="77777777" w:rsidR="68D06F8C" w:rsidRPr="00046858" w:rsidRDefault="68D06F8C" w:rsidP="2ED731DA">
      <w:pPr>
        <w:spacing w:before="0" w:after="200"/>
        <w:rPr>
          <w:noProof/>
        </w:rPr>
      </w:pPr>
      <w:r w:rsidRPr="00046858">
        <w:rPr>
          <w:noProof/>
        </w:rPr>
        <w:t xml:space="preserve">În schimb, </w:t>
      </w:r>
      <w:r w:rsidRPr="00046858">
        <w:rPr>
          <w:b/>
          <w:noProof/>
        </w:rPr>
        <w:t>progresele înregistrate în ceea ce privește implementarea producției și creșterea ulterioară a autonomiei strategice se află încă într-un stadiu incipient</w:t>
      </w:r>
      <w:r w:rsidRPr="00046858">
        <w:rPr>
          <w:noProof/>
        </w:rPr>
        <w:t>, parțial din cauza perioadelor lungi de timp dintre deciziile de investiții și producția efectivă în unități de producție. Europa rămâne dependentă din punct de vedere structural de furnizorii din afara UE în segmente critice, în special în ceea ce privește nodurile tehnologice avansate. Pierderea sau întârzierea unor proiecte majore de investiții demonstrează, de asemenea, că suveranitatea nu s-a îmbunătățit încă în mod semnificativ.</w:t>
      </w:r>
    </w:p>
    <w:p w14:paraId="1008D000" w14:textId="77777777" w:rsidR="00194259" w:rsidRPr="00046858" w:rsidRDefault="00194259" w:rsidP="00194259">
      <w:pPr>
        <w:spacing w:before="0" w:after="200"/>
        <w:rPr>
          <w:noProof/>
        </w:rPr>
      </w:pPr>
      <w:r w:rsidRPr="00046858">
        <w:rPr>
          <w:noProof/>
        </w:rPr>
        <w:t xml:space="preserve">În cadrul criteriilor de evaluare, </w:t>
      </w:r>
      <w:r w:rsidRPr="00046858">
        <w:rPr>
          <w:b/>
          <w:noProof/>
        </w:rPr>
        <w:t>decalajul dintre stadiul de laborator și stadiul de fabricare apare ca o provocare majoră</w:t>
      </w:r>
      <w:r w:rsidRPr="00046858">
        <w:rPr>
          <w:noProof/>
        </w:rPr>
        <w:t xml:space="preserve">. Regulamentul a reușit deja să aducă tehnologiile la niveluri mai ridicate de pregătire și – având în vedere intrarea sa recentă în vigoare – se preconizează că, în următorii ani, se vor materializa căi stabile către producția de masă. Multe rezultate funcționează eficace la nivel tehnic și vor genera capacitățile industriale necesare pentru a asigura ulterior aprovizionarea Europei. Provocarea cu care se confruntă UE nu mai este reprezentată în primul rând generarea de inovare, ci de </w:t>
      </w:r>
      <w:r w:rsidRPr="00046858">
        <w:rPr>
          <w:b/>
          <w:noProof/>
        </w:rPr>
        <w:t>industrializare și amploare</w:t>
      </w:r>
      <w:r w:rsidRPr="00046858">
        <w:rPr>
          <w:noProof/>
        </w:rPr>
        <w:t>.</w:t>
      </w:r>
    </w:p>
    <w:p w14:paraId="3D2058C2" w14:textId="77777777" w:rsidR="00B87B40" w:rsidRPr="00046858" w:rsidRDefault="00B87B40" w:rsidP="00B87B40">
      <w:pPr>
        <w:spacing w:before="0" w:after="200"/>
        <w:rPr>
          <w:noProof/>
        </w:rPr>
      </w:pPr>
      <w:r w:rsidRPr="00046858">
        <w:rPr>
          <w:noProof/>
        </w:rPr>
        <w:t xml:space="preserve">Evaluarea a constatat, de asemenea, că </w:t>
      </w:r>
      <w:r w:rsidRPr="00046858">
        <w:rPr>
          <w:b/>
          <w:noProof/>
        </w:rPr>
        <w:t>extinderea firmelor europene din domeniul semiconductorilor continuă să fie restricționată de capitalul privat limitat</w:t>
      </w:r>
      <w:r w:rsidRPr="00046858">
        <w:rPr>
          <w:noProof/>
        </w:rPr>
        <w:t xml:space="preserve">. Regulamentul a mobilizat niveluri fără precedent de finanțare publică, dar investițiile private (în special investițiile în stadiu avansat și investițiile instituționale) rămân insuficiente în comparație cu regiunile concurente. Sprijinul pentru întreprinderile în curs de extindere este limitat de caracteristicile structurale ale sistemului financiar european, inclusiv de lipsa unei uniuni reale a piețelor de capital, de normele existente pentru fondurile de pensii și de practicile conservatoare în materie de investiții. Acest lucru slăbește captarea valorii la nivel european și stimulează întreprinderile în curs de extindere să își relocalizeze sau să își vândă afacerea unor întreprinderi din afara UE. Regulamentul a îmbunătățit capacitatea de inovare într-un stadiu incipient, dar bugetul alocat Fondului pentru cipuri (partea aferentă instrumentului Accelerator al CEI) a fost epuizat în primii doi ani și s-a dovedit insuficient. Sunt necesare instrumente tematice cu capital răbdător pentru a ajuta start-upurile din domeniul semiconductorilor să se extindă și trebuie concepute măsuri mai ample pentru a crea condițiile necesare pentru apariția </w:t>
      </w:r>
      <w:r w:rsidRPr="00046858">
        <w:rPr>
          <w:rStyle w:val="Added"/>
          <w:b w:val="0"/>
          <w:noProof/>
          <w:u w:val="none"/>
        </w:rPr>
        <w:t>unor întreprinderi tehnologice cu potențial ridicat</w:t>
      </w:r>
      <w:r w:rsidRPr="00046858">
        <w:rPr>
          <w:noProof/>
        </w:rPr>
        <w:t>.</w:t>
      </w:r>
    </w:p>
    <w:p w14:paraId="1CF9CC44" w14:textId="77777777" w:rsidR="00334490" w:rsidRPr="00046858" w:rsidRDefault="00334490" w:rsidP="00334490">
      <w:pPr>
        <w:spacing w:before="0" w:after="200"/>
        <w:rPr>
          <w:noProof/>
        </w:rPr>
      </w:pPr>
      <w:r w:rsidRPr="00046858">
        <w:rPr>
          <w:noProof/>
        </w:rPr>
        <w:t xml:space="preserve">În plus, evaluarea a constatat că </w:t>
      </w:r>
      <w:r w:rsidRPr="00046858">
        <w:rPr>
          <w:b/>
          <w:noProof/>
        </w:rPr>
        <w:t>instrumentele actuale de la nivelul UE menite să abordeze vulnerabilitățile în materie de securitate a aprovizionării și de securitate economică sunt utile, dar ar trebui consolidate în continuare</w:t>
      </w:r>
      <w:r w:rsidRPr="00046858">
        <w:rPr>
          <w:noProof/>
        </w:rPr>
        <w:t xml:space="preserve">. Pe de o parte, implementarea producției este modelată în primul rând de deciziile de investiții ale industriei, sprijinite prin cadre naționale de finanțare. Deficiențele la nivelul cererii subminează și mai mult reziliența. Pe de altă parte, </w:t>
      </w:r>
      <w:r w:rsidRPr="00046858">
        <w:rPr>
          <w:noProof/>
        </w:rPr>
        <w:lastRenderedPageBreak/>
        <w:t>piețele fragmentate, volumele scăzute din sectoare-cheie și coordonarea limitată a achizițiilor publice reduc viabilitatea comercială a producției europene. Fără agregarea cererii și semnale de piață fiabile, noile capacități riscă să fie insuficient utilizate.</w:t>
      </w:r>
    </w:p>
    <w:p w14:paraId="361E129D" w14:textId="71A31973" w:rsidR="00427DE4" w:rsidRPr="00046858" w:rsidRDefault="00427DE4" w:rsidP="00427DE4">
      <w:pPr>
        <w:spacing w:before="0" w:after="200"/>
        <w:rPr>
          <w:noProof/>
        </w:rPr>
      </w:pPr>
      <w:r w:rsidRPr="00046858">
        <w:rPr>
          <w:noProof/>
        </w:rPr>
        <w:t xml:space="preserve">În sfârșit, evaluarea a concluzionat că </w:t>
      </w:r>
      <w:r w:rsidRPr="00046858">
        <w:rPr>
          <w:b/>
          <w:noProof/>
        </w:rPr>
        <w:t>înțelegerea de către UE a lanțurilor de aprovizionare cu semiconductori din UE și de la nivel mondial este prea limitată pentru a sprijini o pregătire solidă pentru situații de criză</w:t>
      </w:r>
      <w:r w:rsidRPr="00046858">
        <w:rPr>
          <w:noProof/>
        </w:rPr>
        <w:t>. ESB a îmbunătățit în mod substanțial coordonarea și au fost inițiate mecanisme de avertizare timpurie. Cu toate acestea, ar trebui avută în vedere o abordare mai integrată a monitorizării în ceea ce privește materialele, echipamentele, instrumentele de proiectare și utilizatorii din aval. Colectarea datelor rămâne fragmentată și sensibilă, limitând capacitatea de a anticipa perturbările. Prin urmare, pilonul III oferă doar o vizibilitate parțială la nivel de sistem.</w:t>
      </w:r>
    </w:p>
    <w:p w14:paraId="3ABCD692" w14:textId="77777777" w:rsidR="00C72DFF" w:rsidRPr="00046858" w:rsidRDefault="00C72DFF" w:rsidP="00C72DFF">
      <w:pPr>
        <w:pBdr>
          <w:top w:val="nil"/>
          <w:left w:val="nil"/>
          <w:bottom w:val="nil"/>
          <w:right w:val="nil"/>
          <w:between w:val="nil"/>
        </w:pBdr>
        <w:spacing w:before="0" w:after="240"/>
        <w:rPr>
          <w:noProof/>
        </w:rPr>
      </w:pPr>
      <w:r w:rsidRPr="00046858">
        <w:rPr>
          <w:noProof/>
        </w:rPr>
        <w:t>În general, Regulamentul privind cipurile și-a îndeplinit rapid și credibil obiectivul inițial de consolidare a capacității europene. Cu toate acestea, eficacitatea în ceea ce privește autonomia și reziliența depinde de capacitatea Europei de a transforma în prezent infrastructurile în rezultate industriale, inovarea în amploare și coordonarea în informații operative exploatabile.</w:t>
      </w:r>
    </w:p>
    <w:p w14:paraId="79806817" w14:textId="77777777" w:rsidR="00A03D5B" w:rsidRPr="00046858" w:rsidRDefault="00A03D5B" w:rsidP="0041561E">
      <w:pPr>
        <w:pStyle w:val="ManualHeading2"/>
        <w:rPr>
          <w:rFonts w:eastAsia="Arial Unicode MS"/>
          <w:noProof/>
          <w:u w:color="000000"/>
          <w:bdr w:val="nil"/>
        </w:rPr>
      </w:pPr>
      <w:r w:rsidRPr="00046858">
        <w:rPr>
          <w:noProof/>
          <w:u w:color="000000"/>
          <w:bdr w:val="nil"/>
        </w:rPr>
        <w:t>•</w:t>
      </w:r>
      <w:r w:rsidRPr="00046858">
        <w:rPr>
          <w:noProof/>
        </w:rPr>
        <w:tab/>
      </w:r>
      <w:r w:rsidRPr="00046858">
        <w:rPr>
          <w:noProof/>
          <w:u w:color="000000"/>
          <w:bdr w:val="nil"/>
        </w:rPr>
        <w:t>Consultarea părților interesate</w:t>
      </w:r>
    </w:p>
    <w:p w14:paraId="4E263E61" w14:textId="77777777" w:rsidR="00C0144C" w:rsidRPr="00046858" w:rsidRDefault="00C0144C" w:rsidP="00C0144C">
      <w:pPr>
        <w:pBdr>
          <w:top w:val="nil"/>
          <w:left w:val="nil"/>
          <w:bottom w:val="nil"/>
          <w:right w:val="nil"/>
          <w:between w:val="nil"/>
        </w:pBdr>
        <w:spacing w:before="0" w:after="240"/>
        <w:rPr>
          <w:rFonts w:eastAsia="Times New Roman"/>
          <w:noProof/>
          <w:szCs w:val="24"/>
        </w:rPr>
      </w:pPr>
      <w:r w:rsidRPr="00046858">
        <w:rPr>
          <w:noProof/>
        </w:rPr>
        <w:t>În conformitate cu Orientările privind o mai bună legiferare, Comisia a desfășurat un proces cuprinzător de consultare a părților interesate, cu scopul de a colecta informații fiabile apelând la o serie de metode, părți consultate și instrumente.</w:t>
      </w:r>
    </w:p>
    <w:p w14:paraId="2C33EB2D" w14:textId="77777777" w:rsidR="00C0144C" w:rsidRPr="00046858" w:rsidRDefault="00C0144C" w:rsidP="00C0144C">
      <w:pPr>
        <w:pBdr>
          <w:top w:val="nil"/>
          <w:left w:val="nil"/>
          <w:bottom w:val="nil"/>
          <w:right w:val="nil"/>
          <w:between w:val="nil"/>
        </w:pBdr>
        <w:spacing w:before="0" w:after="240"/>
        <w:rPr>
          <w:rFonts w:eastAsia="Times New Roman"/>
          <w:noProof/>
          <w:szCs w:val="24"/>
        </w:rPr>
      </w:pPr>
      <w:r w:rsidRPr="00046858">
        <w:rPr>
          <w:noProof/>
        </w:rPr>
        <w:t xml:space="preserve">Comisia a desfășurat mai multe activități: o </w:t>
      </w:r>
      <w:r w:rsidRPr="00046858">
        <w:rPr>
          <w:b/>
          <w:noProof/>
        </w:rPr>
        <w:t>consultare publică</w:t>
      </w:r>
      <w:r w:rsidRPr="00046858">
        <w:rPr>
          <w:noProof/>
        </w:rPr>
        <w:t xml:space="preserve"> în perioada 5 septembrie 2025-28 noiembrie 2025 (au fost transmise 105 răspunsuri și 39 de documente de poziție); o </w:t>
      </w:r>
      <w:r w:rsidRPr="00046858">
        <w:rPr>
          <w:b/>
          <w:noProof/>
        </w:rPr>
        <w:t xml:space="preserve">cerere de contribuții </w:t>
      </w:r>
      <w:r w:rsidRPr="00046858">
        <w:rPr>
          <w:noProof/>
        </w:rPr>
        <w:t>pentru evaluarea impactului (</w:t>
      </w:r>
      <w:r w:rsidRPr="00046858">
        <w:rPr>
          <w:noProof/>
          <w:color w:val="000000" w:themeColor="text1"/>
        </w:rPr>
        <w:t>209 răspunsuri și 85 de documente de poziție prezentate)</w:t>
      </w:r>
      <w:r w:rsidRPr="00046858">
        <w:rPr>
          <w:noProof/>
        </w:rPr>
        <w:t xml:space="preserve">; un </w:t>
      </w:r>
      <w:r w:rsidRPr="00046858">
        <w:rPr>
          <w:b/>
          <w:noProof/>
          <w:color w:val="000000" w:themeColor="text1"/>
        </w:rPr>
        <w:t xml:space="preserve">sondaj specific în rândul părților interesate </w:t>
      </w:r>
      <w:r w:rsidRPr="00046858">
        <w:rPr>
          <w:noProof/>
          <w:color w:val="000000" w:themeColor="text1"/>
        </w:rPr>
        <w:t>(64 de răspunsuri)</w:t>
      </w:r>
      <w:r w:rsidRPr="00046858">
        <w:rPr>
          <w:noProof/>
        </w:rPr>
        <w:t>;</w:t>
      </w:r>
      <w:r w:rsidRPr="00046858">
        <w:rPr>
          <w:noProof/>
          <w:color w:val="000000" w:themeColor="text1"/>
        </w:rPr>
        <w:t xml:space="preserve"> </w:t>
      </w:r>
      <w:r w:rsidRPr="00046858">
        <w:rPr>
          <w:b/>
          <w:noProof/>
          <w:color w:val="000000" w:themeColor="text1"/>
        </w:rPr>
        <w:t>interviuri</w:t>
      </w:r>
      <w:r w:rsidRPr="00046858">
        <w:rPr>
          <w:noProof/>
          <w:color w:val="000000" w:themeColor="text1"/>
        </w:rPr>
        <w:t xml:space="preserve"> (cu respondenți care reprezintă un spectru larg, selectat strategic, de organizații implicate în ecosistemul european al semiconductorilor sau afectate de acesta); </w:t>
      </w:r>
      <w:r w:rsidRPr="00046858">
        <w:rPr>
          <w:b/>
          <w:noProof/>
          <w:color w:val="000000" w:themeColor="text1"/>
        </w:rPr>
        <w:t>16</w:t>
      </w:r>
      <w:r w:rsidRPr="00046858">
        <w:rPr>
          <w:b/>
          <w:noProof/>
        </w:rPr>
        <w:t xml:space="preserve"> ateliere tematice </w:t>
      </w:r>
      <w:r w:rsidRPr="00046858">
        <w:rPr>
          <w:noProof/>
        </w:rPr>
        <w:t xml:space="preserve">desfășurate în perioada septembrie-decembrie 2025, cu participarea a diferite părți interesate din ecosistemul european al semiconductorilor; </w:t>
      </w:r>
      <w:r w:rsidRPr="00046858">
        <w:rPr>
          <w:b/>
          <w:noProof/>
        </w:rPr>
        <w:t xml:space="preserve">șase ateliere cu statele membre </w:t>
      </w:r>
      <w:r w:rsidRPr="00046858">
        <w:rPr>
          <w:noProof/>
        </w:rPr>
        <w:t>desfășurate în perioada ianuarie-martie 2026.</w:t>
      </w:r>
    </w:p>
    <w:p w14:paraId="5ED1F251" w14:textId="77777777" w:rsidR="00C0144C" w:rsidRPr="00046858" w:rsidRDefault="00C0144C" w:rsidP="00C0144C">
      <w:pPr>
        <w:spacing w:before="240" w:after="240"/>
        <w:rPr>
          <w:rFonts w:eastAsia="Times New Roman"/>
          <w:noProof/>
          <w:szCs w:val="24"/>
        </w:rPr>
      </w:pPr>
      <w:r w:rsidRPr="00046858">
        <w:rPr>
          <w:noProof/>
        </w:rPr>
        <w:t>Părțile interesate au evidențiat o dependență excesivă de furnizorii din afara Europei, în special pentru cipurile de înaltă performanță. Printre principalele obstacole în calea dezvoltării unui lanț valoric al cipurilor de IA în UE se numără capacitatea de producție insuficientă, instrumentele de investiții limitate, deficitul de forță calificată de muncă și cererea internă scăzută din partea întreprinderilor din domeniul hiperscalării și IA. De asemenea, au fost observate dezavantaje structurale în materie de costuri de-a lungul întregului lanț valoric: unitățile de producție cu sediul în UE se confruntă cu costuri de construcție și de exploatare mai mari, cu termene mai lungi de autorizare și de construcție și punere în funcțiune, precum și cu efecte de aglomerare mai slabe în comparație cu concurenții din Asia de Est.</w:t>
      </w:r>
    </w:p>
    <w:p w14:paraId="3749E684" w14:textId="77777777" w:rsidR="00C0144C" w:rsidRPr="00046858" w:rsidRDefault="00C0144C" w:rsidP="00C0144C">
      <w:pPr>
        <w:spacing w:before="240" w:after="240"/>
        <w:rPr>
          <w:rFonts w:eastAsia="Times New Roman"/>
          <w:noProof/>
          <w:szCs w:val="24"/>
        </w:rPr>
      </w:pPr>
      <w:r w:rsidRPr="00046858">
        <w:rPr>
          <w:noProof/>
        </w:rPr>
        <w:t>Constrângerile financiare exacerbează și mai mult aceste provocări. Lipsa capitalului de risc și a finanțării de risc a fost identificată ca fiind un obstacol major pentru firmele de proiectare, în timp ce producătorii de dispozitive integrate și alte firme orientate spre producție au indicat procedurile îndelungate de autorizare și costurile ridicate ale energiei ca fiind obstacole semnificative. În plus, persistă bariere sistemice, sub forma deficitelor de finanțare în stadiu avansat, a guvernanței fragmentate și a dependenței de turnătoriile din afara UE, în calea capacității întreprinderilor de a extinde prototipurile în produse comerciale – o problemă confirmată prin consultarea publică.</w:t>
      </w:r>
    </w:p>
    <w:p w14:paraId="291D2EAC" w14:textId="77777777" w:rsidR="00C0144C" w:rsidRPr="00046858" w:rsidRDefault="00C0144C" w:rsidP="00C0144C">
      <w:pPr>
        <w:spacing w:before="240" w:after="240"/>
        <w:rPr>
          <w:rFonts w:eastAsia="Times New Roman"/>
          <w:noProof/>
          <w:szCs w:val="24"/>
        </w:rPr>
      </w:pPr>
      <w:r w:rsidRPr="00046858">
        <w:rPr>
          <w:noProof/>
        </w:rPr>
        <w:lastRenderedPageBreak/>
        <w:t>Deficitul de competențe a devenit o preocupare transversală în rândul părților interesate. S-a subliniat faptul că programele de formare a competențelor în domeniul semiconductorilor necesită orizonturi de investiții de ordinul unui deceniu, însă multe inițiative relevante funcționează pe cicluri bugetare mai scurte, limitând impactul lor pe termen mai lung. Părțile interesate au subliniat, de asemenea, că se pot aduce îmbunătățiri în ceea ce privește coordonarea dintre UE și nivelurile naționale.</w:t>
      </w:r>
    </w:p>
    <w:p w14:paraId="5F94325B" w14:textId="77777777" w:rsidR="00C0144C" w:rsidRPr="00046858" w:rsidRDefault="00C0144C" w:rsidP="00C0144C">
      <w:pPr>
        <w:spacing w:before="0" w:after="0"/>
        <w:rPr>
          <w:rFonts w:eastAsia="Times New Roman"/>
          <w:noProof/>
          <w:szCs w:val="24"/>
        </w:rPr>
      </w:pPr>
      <w:r w:rsidRPr="00046858">
        <w:rPr>
          <w:noProof/>
        </w:rPr>
        <w:t>Rezultatele consultării publice sunt rezumate în raportul factual de sinteză publicat cu răspunsurile la cererea de contribuții pe portalul „Exprimați-vă părerea”.</w:t>
      </w:r>
    </w:p>
    <w:p w14:paraId="535CBDE6" w14:textId="77777777" w:rsidR="00A03D5B" w:rsidRPr="00046858" w:rsidRDefault="00A03D5B" w:rsidP="0041561E">
      <w:pPr>
        <w:pStyle w:val="ManualHeading2"/>
        <w:rPr>
          <w:rFonts w:eastAsia="Arial Unicode MS"/>
          <w:noProof/>
          <w:u w:color="000000"/>
          <w:bdr w:val="nil"/>
        </w:rPr>
      </w:pPr>
      <w:r w:rsidRPr="00046858">
        <w:rPr>
          <w:noProof/>
          <w:u w:color="000000"/>
          <w:bdr w:val="nil"/>
        </w:rPr>
        <w:t>•</w:t>
      </w:r>
      <w:r w:rsidRPr="00046858">
        <w:rPr>
          <w:noProof/>
        </w:rPr>
        <w:tab/>
      </w:r>
      <w:r w:rsidRPr="00046858">
        <w:rPr>
          <w:noProof/>
          <w:u w:color="000000"/>
          <w:bdr w:val="nil"/>
        </w:rPr>
        <w:t>Evaluarea impactului</w:t>
      </w:r>
    </w:p>
    <w:p w14:paraId="27EE0F86" w14:textId="77777777" w:rsidR="002C1156" w:rsidRPr="00046858" w:rsidRDefault="002C1156" w:rsidP="002C1156">
      <w:pPr>
        <w:rPr>
          <w:noProof/>
        </w:rPr>
      </w:pPr>
      <w:r w:rsidRPr="00046858">
        <w:rPr>
          <w:noProof/>
        </w:rPr>
        <w:t>În conformitate cu Orientările privind o mai bună legiferare, prezenta propunere de reglementare se bazează pe o evaluare a impactului care analizează problema și subproblemele legate de necesitatea de a consolida competitivitatea ecosistemelor semiconductorilor din UE. Evaluarea impactului identifică posibile opțiuni de politică pentru abordarea factorilor determinanți ai problemelor și evaluează impactul probabil al acestora. Evaluarea impactului a fost structurată astfel încât să reflecte consultarea grupului de coordonare interservicii al Comisiei în ceea ce privește Regulamentul privind cipurile 2.0.</w:t>
      </w:r>
    </w:p>
    <w:p w14:paraId="72D661E4" w14:textId="77777777" w:rsidR="00312D03" w:rsidRPr="00046858" w:rsidRDefault="00312D03" w:rsidP="00D93575">
      <w:pPr>
        <w:rPr>
          <w:noProof/>
        </w:rPr>
      </w:pPr>
      <w:r w:rsidRPr="00046858">
        <w:rPr>
          <w:noProof/>
        </w:rPr>
        <w:t>Evaluarea impactului a primit avizul nefavorabil al Comitetului de control normativ (CCN) la 28 ianuarie 2026. Comitetul a formulat următoarele recomandări:</w:t>
      </w:r>
    </w:p>
    <w:p w14:paraId="25765C58" w14:textId="77777777" w:rsidR="00312D03" w:rsidRPr="00046858" w:rsidRDefault="00157B21" w:rsidP="00133A9D">
      <w:pPr>
        <w:pStyle w:val="Bullet0"/>
        <w:rPr>
          <w:noProof/>
          <w:szCs w:val="24"/>
        </w:rPr>
      </w:pPr>
      <w:r w:rsidRPr="00046858">
        <w:rPr>
          <w:noProof/>
        </w:rPr>
        <w:t>dezvoltarea în continuare a analizei problemei, inclusiv o evaluare mai cuprinzătoare a capabilităților și a capacităților de producție actuale și necesare ale UE la nivelul elementelor critice ale lanțului valoric al semiconductorilor, atât pentru cipurile mature, cât și pentru cele de vârf;</w:t>
      </w:r>
    </w:p>
    <w:p w14:paraId="48C160D4" w14:textId="77777777" w:rsidR="00312D03" w:rsidRPr="00046858" w:rsidRDefault="00A8412C" w:rsidP="00133A9D">
      <w:pPr>
        <w:pStyle w:val="Bullet0"/>
        <w:rPr>
          <w:noProof/>
          <w:szCs w:val="24"/>
        </w:rPr>
      </w:pPr>
      <w:r w:rsidRPr="00046858">
        <w:rPr>
          <w:noProof/>
        </w:rPr>
        <w:t>clarificarea și o mai bună definire a obiectivelor, în special în ceea ce privește nivelul și domeniul de aplicare al suveranității tehnologice urmărite pentru diferite tipuri de cipuri;</w:t>
      </w:r>
    </w:p>
    <w:p w14:paraId="3DAC7C15" w14:textId="77777777" w:rsidR="00312D03" w:rsidRPr="00046858" w:rsidRDefault="003A3AA0" w:rsidP="00133A9D">
      <w:pPr>
        <w:pStyle w:val="Bullet0"/>
        <w:rPr>
          <w:noProof/>
          <w:szCs w:val="24"/>
        </w:rPr>
      </w:pPr>
      <w:r w:rsidRPr="00046858">
        <w:rPr>
          <w:noProof/>
        </w:rPr>
        <w:t>consolidarea logicii de intervenție prin demonstrarea clară a modului în care diferitele măsuri se leagă între ele, inclusiv axate pe ofertă și pe cerere, precum și a modului în care acestea contribuie în mod colectiv la atingerea nivelului dorit de suveranitate;</w:t>
      </w:r>
    </w:p>
    <w:p w14:paraId="1D210E05" w14:textId="77777777" w:rsidR="00312D03" w:rsidRPr="00046858" w:rsidRDefault="00CF37C4" w:rsidP="00133A9D">
      <w:pPr>
        <w:pStyle w:val="Bullet0"/>
        <w:rPr>
          <w:noProof/>
          <w:szCs w:val="24"/>
        </w:rPr>
      </w:pPr>
      <w:r w:rsidRPr="00046858">
        <w:rPr>
          <w:noProof/>
        </w:rPr>
        <w:t>definirea mai detaliată a măsurilor propuse pentru a permite evaluarea corespunzătoare a impactului acestora, inclusiv informații mai clare privind costurile totale ale intervenției, repartizarea acestor costuri și riscurile legate de potențialele ineficiențe în alocarea resurselor și</w:t>
      </w:r>
    </w:p>
    <w:p w14:paraId="182387DF" w14:textId="77777777" w:rsidR="00312D03" w:rsidRPr="00046858" w:rsidRDefault="00783045" w:rsidP="00133A9D">
      <w:pPr>
        <w:pStyle w:val="Bullet0"/>
        <w:rPr>
          <w:noProof/>
          <w:szCs w:val="24"/>
        </w:rPr>
      </w:pPr>
      <w:r w:rsidRPr="00046858">
        <w:rPr>
          <w:noProof/>
        </w:rPr>
        <w:t>îmbunătățirea transparenței în ceea ce privește incertitudinile legate de următorul CFM și furnizarea unei analize mai aprofundate a coerenței măsurilor cu inițiativele de politică existente și viitoare.</w:t>
      </w:r>
    </w:p>
    <w:p w14:paraId="26203661" w14:textId="77777777" w:rsidR="00312D03" w:rsidRPr="00046858" w:rsidRDefault="00312D03" w:rsidP="00312D03">
      <w:pPr>
        <w:pBdr>
          <w:top w:val="nil"/>
          <w:left w:val="nil"/>
          <w:bottom w:val="nil"/>
          <w:right w:val="nil"/>
          <w:between w:val="nil"/>
          <w:bar w:val="nil"/>
        </w:pBdr>
        <w:spacing w:before="0" w:after="240"/>
        <w:rPr>
          <w:noProof/>
        </w:rPr>
      </w:pPr>
      <w:r w:rsidRPr="00046858">
        <w:rPr>
          <w:noProof/>
        </w:rPr>
        <w:t>Toate punctele menționate mai sus au fost abordate în cel mai deplin mod posibil. Atunci când evaluarea revizuită a impactului a fost prezentată din nou, comitetul a emis un aviz favorabil cu rezerve la 30 martie 2026. Rezervele comitetului au vizat următoarele aspecte:</w:t>
      </w:r>
    </w:p>
    <w:p w14:paraId="3CD2DBD7" w14:textId="77777777" w:rsidR="00A92A28" w:rsidRPr="00046858" w:rsidRDefault="00246244" w:rsidP="00133A9D">
      <w:pPr>
        <w:pStyle w:val="Bullet0"/>
        <w:rPr>
          <w:noProof/>
          <w:szCs w:val="24"/>
        </w:rPr>
      </w:pPr>
      <w:r w:rsidRPr="00046858">
        <w:rPr>
          <w:noProof/>
        </w:rPr>
        <w:t>măsura de stimulare a cipurilor fiabile nu este descrisă suficient de detaliat pentru ca impactul său să fie evaluat în mod corespunzător;</w:t>
      </w:r>
    </w:p>
    <w:p w14:paraId="00488E37" w14:textId="77777777" w:rsidR="00527ACC" w:rsidRPr="00046858" w:rsidRDefault="0080533F" w:rsidP="00133A9D">
      <w:pPr>
        <w:pStyle w:val="Bullet0"/>
        <w:rPr>
          <w:noProof/>
        </w:rPr>
      </w:pPr>
      <w:r w:rsidRPr="00046858">
        <w:rPr>
          <w:noProof/>
        </w:rPr>
        <w:t>raportul nu analizează suficient coerența cu inițiativele și instrumentele de politică existente și viitoare și nu oferă o explicație clară a modului în care interacțiunea dintre măsurile axate pe ofertă și cele axate pe cerere va asigura sinergii;</w:t>
      </w:r>
    </w:p>
    <w:p w14:paraId="7A8495EA" w14:textId="77777777" w:rsidR="00527ACC" w:rsidRPr="00046858" w:rsidRDefault="00755B88" w:rsidP="00133A9D">
      <w:pPr>
        <w:pStyle w:val="Bullet0"/>
        <w:rPr>
          <w:noProof/>
          <w:szCs w:val="24"/>
        </w:rPr>
      </w:pPr>
      <w:r w:rsidRPr="00046858">
        <w:rPr>
          <w:noProof/>
        </w:rPr>
        <w:lastRenderedPageBreak/>
        <w:t>analiza riscului de alocare ineficientă a resurselor nu este suficient de dezvoltată.</w:t>
      </w:r>
    </w:p>
    <w:p w14:paraId="4B782C38" w14:textId="77777777" w:rsidR="00312D03" w:rsidRPr="00046858" w:rsidRDefault="00312D03" w:rsidP="00D93575">
      <w:pPr>
        <w:rPr>
          <w:noProof/>
        </w:rPr>
      </w:pPr>
      <w:r w:rsidRPr="00046858">
        <w:rPr>
          <w:noProof/>
        </w:rPr>
        <w:t>Avizele comitetului, evaluarea finală a impactului și rezumatul acesteia sunt publicate împreună cu prezenta propunere.</w:t>
      </w:r>
    </w:p>
    <w:p w14:paraId="5C452C18" w14:textId="77777777" w:rsidR="00312D03" w:rsidRPr="00046858" w:rsidRDefault="00312D03" w:rsidP="00D93575">
      <w:pPr>
        <w:rPr>
          <w:noProof/>
        </w:rPr>
      </w:pPr>
      <w:r w:rsidRPr="00046858">
        <w:rPr>
          <w:noProof/>
        </w:rPr>
        <w:t>Evaluarea impactului se bazează pe un set de trei obiective specifice care abordează factorii determinanți ai problemelor identificați. Aceasta stabilește trei opțiuni de politică pentru fiecare obiectiv specific, pe baza nivelului de intervenție politică, a domeniului de aplicare, a eficienței și a coerenței, precum și a principiilor proporționalității și subsidiarității.</w:t>
      </w:r>
    </w:p>
    <w:p w14:paraId="64B9870F" w14:textId="77777777" w:rsidR="00FE7C71" w:rsidRPr="00046858" w:rsidRDefault="00FE7C71" w:rsidP="00FE7C71">
      <w:pPr>
        <w:rPr>
          <w:noProof/>
        </w:rPr>
      </w:pPr>
      <w:r w:rsidRPr="00046858">
        <w:rPr>
          <w:b/>
          <w:noProof/>
        </w:rPr>
        <w:t>Opțiunea de politică 0 (OP0)</w:t>
      </w:r>
      <w:r w:rsidRPr="00046858">
        <w:rPr>
          <w:noProof/>
        </w:rPr>
        <w:t xml:space="preserve"> ar implica punerea în aplicare în continuare a actualului Regulament privind cipurile fără nicio modificare. Aceasta ar menține programul de cercetare, dezvoltare și inovare existent în cadrul pilonului I, precum și aceeași abordare în ceea ce privește sprijinirea investițiilor prin intermediul ajutoarelor de stat (utilizând cadrul „de pionierat” în temeiul normelor existente privind ajutoarele de stat). În cadrul pilonului II, nu ar urma să se constituie un buget suplimentar al Uniunii. În cadrul pilonului III, aceasta ar menține actualul mecanism de răspuns în situații de criză, care funcționează utilizând un regim voluntar de colectare a datelor din sectorul privat (cu excepția unei situații de criză). Această opțiune de politică nu ar urma să includă nicio măsură de politică prin care să se depășească domeniul de aplicare al Regulamentului existent privind cipurile.</w:t>
      </w:r>
    </w:p>
    <w:p w14:paraId="3C7F2B55" w14:textId="77777777" w:rsidR="007C7EA9" w:rsidRPr="00046858" w:rsidRDefault="007C7EA9" w:rsidP="007C7EA9">
      <w:pPr>
        <w:pBdr>
          <w:top w:val="nil"/>
          <w:left w:val="nil"/>
          <w:bottom w:val="nil"/>
          <w:right w:val="nil"/>
          <w:between w:val="nil"/>
        </w:pBdr>
        <w:spacing w:before="0" w:after="240"/>
        <w:rPr>
          <w:rFonts w:eastAsia="Times New Roman"/>
          <w:noProof/>
        </w:rPr>
      </w:pPr>
      <w:r w:rsidRPr="00046858">
        <w:rPr>
          <w:b/>
          <w:noProof/>
        </w:rPr>
        <w:t>Opțiunea de politică 1 (OP1) – abordarea de politică orizontală („favorabilă pieței”)</w:t>
      </w:r>
      <w:r w:rsidRPr="00046858">
        <w:rPr>
          <w:noProof/>
        </w:rPr>
        <w:t> – ar urma să se concentreze pe îmbunătățirea condițiilor-cadru generale. Acest lucru ar implica un sprijin sporit pentru cercetare, dezvoltare și inovare, investiții în competențe și crearea unui mediu de investiții favorabil.</w:t>
      </w:r>
      <w:r w:rsidRPr="00046858">
        <w:rPr>
          <w:b/>
          <w:noProof/>
        </w:rPr>
        <w:t xml:space="preserve"> Nu ar urma să se introducă nicio finanțare suplimentară la nivelul Uniunii pentru fabricarea și proiectarea la scară largă, în special pentru cipurile de IA.</w:t>
      </w:r>
      <w:r w:rsidRPr="00046858">
        <w:rPr>
          <w:noProof/>
        </w:rPr>
        <w:t xml:space="preserve"> În cadrul acestei abordări, pe termen lung, UE s-ar baza pe atragerea unor furnizori din afara UE capabili să fabrice cipuri de vârf, precum și a unor întreprinderi de proiectare la nivel mondial.</w:t>
      </w:r>
    </w:p>
    <w:p w14:paraId="75AE3065" w14:textId="7E62D33C" w:rsidR="00161506" w:rsidRPr="00046858" w:rsidRDefault="00161506" w:rsidP="00161506">
      <w:pPr>
        <w:pBdr>
          <w:top w:val="nil"/>
          <w:left w:val="nil"/>
          <w:bottom w:val="nil"/>
          <w:right w:val="nil"/>
          <w:between w:val="nil"/>
        </w:pBdr>
        <w:spacing w:before="0" w:after="240"/>
        <w:rPr>
          <w:rFonts w:eastAsia="Arial Unicode MS"/>
          <w:noProof/>
          <w:szCs w:val="24"/>
        </w:rPr>
      </w:pPr>
      <w:r w:rsidRPr="00046858">
        <w:rPr>
          <w:b/>
          <w:noProof/>
        </w:rPr>
        <w:t>Opțiunea de politică 2 (OP2) – abordarea de politică industrială verticală („proactivă”) – </w:t>
      </w:r>
      <w:r w:rsidRPr="00046858">
        <w:rPr>
          <w:noProof/>
        </w:rPr>
        <w:t xml:space="preserve">ar urma să se bazeze pe măsurile orizontale, completate însă cu intervenții financiare specifice, în special prin </w:t>
      </w:r>
      <w:r w:rsidRPr="00046858">
        <w:rPr>
          <w:b/>
          <w:noProof/>
        </w:rPr>
        <w:t>proiecte strategice</w:t>
      </w:r>
      <w:r w:rsidRPr="00046858">
        <w:rPr>
          <w:noProof/>
        </w:rPr>
        <w:t xml:space="preserve"> </w:t>
      </w:r>
      <w:r w:rsidRPr="00046858">
        <w:rPr>
          <w:rStyle w:val="Added"/>
          <w:b w:val="0"/>
          <w:noProof/>
          <w:u w:val="none"/>
        </w:rPr>
        <w:t>care pot fi</w:t>
      </w:r>
      <w:r w:rsidRPr="00046858">
        <w:rPr>
          <w:noProof/>
        </w:rPr>
        <w:t xml:space="preserve"> sprijinite în cadrul </w:t>
      </w:r>
      <w:r w:rsidRPr="00046858">
        <w:rPr>
          <w:b/>
          <w:noProof/>
        </w:rPr>
        <w:t xml:space="preserve">Fondului european pentru competitivitate </w:t>
      </w:r>
      <w:r w:rsidRPr="00046858">
        <w:rPr>
          <w:noProof/>
        </w:rPr>
        <w:t>propus. Această abordare se bazează pe activele tehnologice europene create în temeiul primului Regulament privind cipurile, în special liniile-pilot, și le transpune în implementare industrială. Prin introducerea unei dimensiuni clare la nivelul UE pentru finanțarea proiectelor industriale și prin facilitarea investițiilor transfrontaliere la nivelul întregului lanț valoric, această abordare ar urmări să reducă fragmentarea, consolidând în același timp competitivitatea, reziliența și suveranitatea tehnologică a Europei. Valoarea adăugată ar consta în încercarea de a crea tehnologie „fabricată în Europa”.</w:t>
      </w:r>
    </w:p>
    <w:p w14:paraId="36838EB3" w14:textId="77777777" w:rsidR="00163290" w:rsidRPr="00046858" w:rsidRDefault="00163290" w:rsidP="00163290">
      <w:pPr>
        <w:pBdr>
          <w:top w:val="nil"/>
          <w:left w:val="nil"/>
          <w:bottom w:val="nil"/>
          <w:right w:val="nil"/>
          <w:between w:val="nil"/>
        </w:pBdr>
        <w:spacing w:before="0" w:after="240"/>
        <w:rPr>
          <w:noProof/>
        </w:rPr>
      </w:pPr>
      <w:r w:rsidRPr="00046858">
        <w:rPr>
          <w:noProof/>
        </w:rPr>
        <w:t xml:space="preserve">În general, </w:t>
      </w:r>
      <w:r w:rsidRPr="00046858">
        <w:rPr>
          <w:b/>
          <w:noProof/>
        </w:rPr>
        <w:t>opțiunea preferată este OP2</w:t>
      </w:r>
      <w:r w:rsidRPr="00046858">
        <w:rPr>
          <w:noProof/>
        </w:rPr>
        <w:t>, deoarece oferă cel mai eficace și proporțional răspuns la problemele identificate, respectând în același timp subsidiaritatea și reducând la minimum sarcina administrativă. Aceasta răspunde constatărilor evaluării care solicită o integrare mai puternică între cercetare și inovare și activitățile de implementare industrială, căi mai rapide de industrializare și mecanisme mai eficace de obținere de informații operative privind lanțul de aprovizionare.</w:t>
      </w:r>
    </w:p>
    <w:p w14:paraId="7006342E" w14:textId="77777777" w:rsidR="00A03D5B" w:rsidRPr="00046858" w:rsidRDefault="00A03D5B" w:rsidP="0041561E">
      <w:pPr>
        <w:pStyle w:val="ManualHeading2"/>
        <w:rPr>
          <w:rFonts w:eastAsia="Arial Unicode MS"/>
          <w:noProof/>
          <w:u w:color="000000"/>
          <w:bdr w:val="nil"/>
        </w:rPr>
      </w:pPr>
      <w:r w:rsidRPr="00046858">
        <w:rPr>
          <w:noProof/>
          <w:u w:color="000000"/>
          <w:bdr w:val="nil"/>
        </w:rPr>
        <w:t>•</w:t>
      </w:r>
      <w:r w:rsidRPr="00046858">
        <w:rPr>
          <w:noProof/>
        </w:rPr>
        <w:tab/>
      </w:r>
      <w:r w:rsidRPr="00046858">
        <w:rPr>
          <w:noProof/>
          <w:u w:color="000000"/>
          <w:bdr w:val="nil"/>
        </w:rPr>
        <w:t>Adecvarea reglementărilor și simplificarea</w:t>
      </w:r>
    </w:p>
    <w:p w14:paraId="390CA9AB" w14:textId="0B824EC8" w:rsidR="00E41334" w:rsidRPr="00046858" w:rsidRDefault="00E41334" w:rsidP="00E41334">
      <w:pPr>
        <w:pBdr>
          <w:top w:val="nil"/>
          <w:left w:val="nil"/>
          <w:bottom w:val="nil"/>
          <w:right w:val="nil"/>
          <w:between w:val="nil"/>
          <w:bar w:val="nil"/>
        </w:pBdr>
        <w:spacing w:before="0" w:after="240"/>
        <w:rPr>
          <w:rFonts w:eastAsia="Arial Unicode MS"/>
          <w:noProof/>
        </w:rPr>
      </w:pPr>
      <w:r w:rsidRPr="00046858">
        <w:rPr>
          <w:noProof/>
        </w:rPr>
        <w:t xml:space="preserve">Opțiunea de politică preferată (OP2) asigură simplificarea prin introducerea unui cadru coordonat la nivelul UE pentru proiectele strategice. O rezervă unică de proiecte pentru investițiile la scară largă în domeniul semiconductorilor previne duplicarea etapelor </w:t>
      </w:r>
      <w:r w:rsidRPr="00046858">
        <w:rPr>
          <w:noProof/>
        </w:rPr>
        <w:lastRenderedPageBreak/>
        <w:t xml:space="preserve">administrative și documentarea repetitivă. Clarificarea domeniului de aplicare „de pionierat” simplifică și mai mult procedurile de pionierat atât pentru statele membre, cât și pentru întreprinderi. În plus, conceptul de consorțiu european pentru infrastructura cipurilor („ECIC”) va fi eliminat în temeiul Regulamentului privind cipurile 2.0 din motive de simplificare, deoarece nu a fost niciodată utilizat în temeiul regulamentului actual. Un alt câștig în materie de eficiență rezultă din proceduri de autorizare mai rapide și mai previzibile. Etapele de autorizare și de proiectare pentru instalațiile de semiconductori avansați din UE sunt, în medie, cu 7.5 luni mai lungi decât în principalele jurisdicții concurente. Presupunând că fiecare an de întârziere adaugă aproximativ 5 % la costul total al proiectului, acest lucru implică un cost suplimentar de aproximativ 3,125 % din investiția totală. De exemplu, aceasta ar corespunde unei sume de aproximativ 625 de milioane EUR pentru o uzină avansată de fabricare în valoare de 20 de miliarde EUR. Prin reducerea schimburilor iterative cu autoritățile și prin clarificarea căilor de autorizare, OP2 generează economii de costuri implicite substanțiale, care depășesc costurile legate de conformitate. Un alt beneficiu al simplificării este creat prin înlocuirea cererilor de informații ad-hoc generate de criză cu o </w:t>
      </w:r>
      <w:r w:rsidRPr="00046858">
        <w:rPr>
          <w:b/>
          <w:noProof/>
        </w:rPr>
        <w:t>platformă structurată B2B pentru lanțul de aprovizionare cu semiconductori</w:t>
      </w:r>
      <w:r w:rsidRPr="00046858">
        <w:rPr>
          <w:noProof/>
        </w:rPr>
        <w:t>. Acest lucru reduce duplicarea și îmbunătățește coordonarea dintre statele membre.</w:t>
      </w:r>
    </w:p>
    <w:p w14:paraId="35D5E0C2" w14:textId="77777777" w:rsidR="007A2403" w:rsidRPr="00046858" w:rsidRDefault="007A2403" w:rsidP="007A2403">
      <w:pPr>
        <w:rPr>
          <w:noProof/>
        </w:rPr>
      </w:pPr>
      <w:r w:rsidRPr="00046858">
        <w:rPr>
          <w:noProof/>
        </w:rPr>
        <w:t xml:space="preserve">În cadrul abordării bazate pe principiul numărului constant, OP2 creează o sarcină administrativă suplimentară limitată, compensată în mare măsură de simplificarea structurală. Noile cerințe introduse pentru întreprinderi constau în principal în divulgarea vulnerabilităților lanțului de aprovizionare. Acestea sunt estimate la până la 10 zile-persoană pe cerere, ceea ce corespunde unei sume de aproximativ 2 783 EUR pe întreprindere mare, cu costuri totale de până la 1,34 milioane EUR pe cerere într-un scenariu de acoperire integrală. Această sarcină este contrabalansată de elemente de reducere a cerințelor, sub forma unui număr mai mic de cereri de date urgente și redundante legate de criză, a unui schimb de informații raționalizat și a unui efort intern de monitorizare redus ca urmare a externalizării parțiale către platformă a activităților legate de informațiile de piață. Întreprinderile se confruntă cu o sarcină administrativă netă, care constă în demararea participării la platformă și în obligații de informare. Totuși, acestea vor fi compensate în mare măsură de securitatea aprovizionării pe care o va aduce acest schimb de date. În plus, în prima etapă, evaluările se vor efectua numai pe o bază calitativă, cu excepția cazului în care există o criză formală. </w:t>
      </w:r>
    </w:p>
    <w:p w14:paraId="691C51EF" w14:textId="77777777" w:rsidR="00A03D5B" w:rsidRPr="00046858" w:rsidRDefault="00A03D5B" w:rsidP="0041561E">
      <w:pPr>
        <w:pStyle w:val="ManualHeading2"/>
        <w:rPr>
          <w:rFonts w:eastAsia="Arial Unicode MS"/>
          <w:noProof/>
          <w:u w:color="000000"/>
          <w:bdr w:val="nil"/>
        </w:rPr>
      </w:pPr>
      <w:r w:rsidRPr="00046858">
        <w:rPr>
          <w:noProof/>
          <w:u w:color="000000"/>
          <w:bdr w:val="nil"/>
        </w:rPr>
        <w:t>•</w:t>
      </w:r>
      <w:r w:rsidRPr="00046858">
        <w:rPr>
          <w:noProof/>
        </w:rPr>
        <w:tab/>
      </w:r>
      <w:r w:rsidRPr="00046858">
        <w:rPr>
          <w:noProof/>
          <w:u w:color="000000"/>
          <w:bdr w:val="nil"/>
        </w:rPr>
        <w:t>Drepturile fundamentale</w:t>
      </w:r>
    </w:p>
    <w:p w14:paraId="7E802765" w14:textId="3AF9BCAA" w:rsidR="004F5113" w:rsidRPr="00046858" w:rsidRDefault="004F5113" w:rsidP="004F5113">
      <w:pPr>
        <w:pBdr>
          <w:top w:val="nil"/>
          <w:left w:val="nil"/>
          <w:bottom w:val="nil"/>
          <w:right w:val="nil"/>
          <w:between w:val="nil"/>
          <w:bar w:val="nil"/>
        </w:pBdr>
        <w:spacing w:before="0" w:after="240"/>
        <w:rPr>
          <w:rFonts w:eastAsia="Arial Unicode MS"/>
          <w:noProof/>
        </w:rPr>
      </w:pPr>
      <w:r w:rsidRPr="00046858">
        <w:rPr>
          <w:noProof/>
        </w:rPr>
        <w:t>Articolul 16 din Carta drepturilor fundamentale a Uniunii Europene („carta”) prevede libertatea de a desfășura o activitate comercială. Măsurile din cadrul pilonilor I și II ai prezentei propuneri creează capacitate de inovare și promovează securitatea aprovizionării cu semiconductori, ceea ce poate consolida libertatea de a desfășura o activitate comercială în conformitate cu dreptul Uniunii și cu legislațiile și practicile naționale. Cu toate acestea, unele măsuri din cadrul pilonului III au fost necesare pentru a aborda faptul că perturbările grave ale aprovizionării cu semiconductori în Uniune puteau îngrădi temporar libertatea de a desfășura o activitate comercială și libertatea contractuală, protejate de articolul 16, precum și dreptul de proprietate, protejat de articolul 17 din cartă. În conformitate cu articolul 52 alineatul (1) din cartă, orice restrângere a acestor drepturi prin prezenta propunere va fi prevăzută de lege și va respecta substanța acestor drepturi și libertăți și principiul proporționalității.</w:t>
      </w:r>
    </w:p>
    <w:p w14:paraId="15744B46" w14:textId="77777777" w:rsidR="00F43E0D" w:rsidRPr="00046858" w:rsidRDefault="00F43E0D" w:rsidP="00F43E0D">
      <w:pPr>
        <w:pBdr>
          <w:top w:val="nil"/>
          <w:left w:val="nil"/>
          <w:bottom w:val="nil"/>
          <w:right w:val="nil"/>
          <w:between w:val="nil"/>
          <w:bar w:val="nil"/>
        </w:pBdr>
        <w:spacing w:before="0" w:after="240"/>
        <w:rPr>
          <w:rFonts w:eastAsia="Arial Unicode MS"/>
          <w:noProof/>
        </w:rPr>
      </w:pPr>
      <w:r w:rsidRPr="00046858">
        <w:rPr>
          <w:noProof/>
        </w:rPr>
        <w:t xml:space="preserve">Obligația de a comunica informații specifice Comisiei, sub rezerva îndeplinirii anumitor condiții, respectă substanța libertății de a desfășura o activitate comercială și nu o va afecta în mod disproporționat (articolul 16 din cartă). Orice solicitare de informații servește obiectivului de interes general al Uniunii, deoarece permite identificarea unor măsuri potențiale de atenuare a unei crize provocate de o penurie de semiconductori. Aceste solicitări </w:t>
      </w:r>
      <w:r w:rsidRPr="00046858">
        <w:rPr>
          <w:noProof/>
        </w:rPr>
        <w:lastRenderedPageBreak/>
        <w:t>de informații sunt adecvate și eficace pentru atingerea obiectivului, deoarece furnizează informațiile necesare pentru evaluarea crizei în cauză. În principiu, Comisia solicită informații numai de la organizațiile reprezentative. În plus, aceasta poate adresa solicitări unor întreprinderi individuale numai dacă este necesar. Având în vedere consecințele economice și societale grave ale penuriilor de semiconductori și importanța măsurilor de atenuare, solicitările de informații sunt proporționale cu obiectivul urmărit. În plus, limitarea libertății de a desfășura o activitate comercială și a dreptului de proprietate sunt compensate prin garanții adecvate. O solicitare de informații poate fi lansată numai într-o situație de criză în care Comisia a declanșat stadiul de criză printr-un act de punere în aplicare.</w:t>
      </w:r>
    </w:p>
    <w:p w14:paraId="29788064" w14:textId="77777777" w:rsidR="003F4571" w:rsidRPr="00046858" w:rsidRDefault="003F4571" w:rsidP="003F4571">
      <w:pPr>
        <w:pBdr>
          <w:top w:val="nil"/>
          <w:left w:val="nil"/>
          <w:bottom w:val="nil"/>
          <w:right w:val="nil"/>
          <w:between w:val="nil"/>
          <w:bar w:val="nil"/>
        </w:pBdr>
        <w:spacing w:before="0" w:after="240"/>
        <w:rPr>
          <w:rFonts w:eastAsia="Arial Unicode MS"/>
          <w:noProof/>
        </w:rPr>
      </w:pPr>
      <w:r w:rsidRPr="00046858">
        <w:rPr>
          <w:noProof/>
        </w:rPr>
        <w:t>Obligația de a accepta comenzile prioritare și de a le acorda prioritate respectă substanța libertății de a desfășura o activitate comercială și a libertății contractuale (articolul 16 din cartă), precum și a dreptului de proprietate (articolul 17 din cartă) și nu le afectează în mod disproporționat. Această obligație servește obiectivului de interes general al Uniunii, deoarece asigură faptul că sectoarele critice afectate de perturbări ale aprovizionării ca urmare a unei penurii de semiconductori pot continua să funcționeze. Obligația este adecvată și eficace pentru atingerea acestui obiectiv deoarece asigură faptul că resursele disponibile sunt utilizate în mod preferențial pentru produsele furnizate acestor sectoare. Nicio altă măsură nu este la fel de eficace. Într-o situație de criză, este proporțional ca anumite întreprinderi să fie obligate să accepte și să acorde prioritate anumitor comenzi. Printre aceste întreprinderi se numără instalațiile de fabricare a semiconductorilor care au solicitat să fie recunoscute ca „inițiative europene în domeniul tehnologiilor semiconductorilor”, alte instalații de fabricare a semiconductorilor care au acceptat o astfel de posibilitate în schimbul primirii de sprijin public sau întreprinderi de-a lungul lanțului de aprovizionare cu semiconductori care au făcut obiectul unei comenzi prioritare dintr-o țară terță, în măsura în care este afectată securitatea aprovizionării sectoarelor critice. Printr-o serie de garanții adecvate, se asigură faptul că niciun impact negativ al obligației de a acorda prioritate asupra libertății de a desfășura o activitate comercială, a libertății contractuale sau a dreptului de proprietate nu constituie o încălcare a acestor drepturi. Obligația de a acorda prioritate anumitor comenzi poate fi impusă numai într-o situație de criză în care Comisia a declanșat stadiul de criză printr-un act de punere în aplicare. Întreprinderea în cauză poate solicita Comisiei revizuirea comenzii prioritare dacă nu este în măsură să execute comanda sau dacă executarea comenzii ar constitui o sarcină economică disproporționată și ar genera dificultăți deosebite. În plus, entitatea supusă obligației este exonerată de orice răspundere pentru daunele cauzate de încălcarea obligațiilor contractuale care rezultă din respectarea obligației.</w:t>
      </w:r>
    </w:p>
    <w:p w14:paraId="0EE24C81" w14:textId="77777777" w:rsidR="00A03D5B" w:rsidRPr="00046858" w:rsidRDefault="00A03D5B" w:rsidP="0041561E">
      <w:pPr>
        <w:pStyle w:val="ManualHeading1"/>
        <w:rPr>
          <w:noProof/>
        </w:rPr>
      </w:pPr>
      <w:r w:rsidRPr="00046858">
        <w:rPr>
          <w:noProof/>
        </w:rPr>
        <w:t>4.</w:t>
      </w:r>
      <w:r w:rsidRPr="00046858">
        <w:rPr>
          <w:noProof/>
        </w:rPr>
        <w:tab/>
        <w:t>IMPLICAȚII BUGETARE</w:t>
      </w:r>
    </w:p>
    <w:p w14:paraId="1A9DB1FB" w14:textId="77777777" w:rsidR="00A16271" w:rsidRPr="00046858" w:rsidRDefault="00A16271" w:rsidP="00A16271">
      <w:pPr>
        <w:pBdr>
          <w:top w:val="nil"/>
          <w:left w:val="nil"/>
          <w:bottom w:val="nil"/>
          <w:right w:val="nil"/>
          <w:between w:val="nil"/>
          <w:bar w:val="nil"/>
        </w:pBdr>
        <w:spacing w:before="0" w:after="240"/>
        <w:rPr>
          <w:rFonts w:eastAsia="Arial Unicode MS"/>
          <w:noProof/>
        </w:rPr>
      </w:pPr>
      <w:r w:rsidRPr="00046858">
        <w:rPr>
          <w:noProof/>
        </w:rPr>
        <w:t xml:space="preserve">Implicațiile bugetare sunt legate de personalul departamentelor Comisiei și de sprijinul pentru înființarea unei platforme B2B pentru lanțul de aprovizionare cu semiconductori. Propunerea necesită resurse umane pentru sarcinile prevăzute de aceasta ca revenindu-i Comisiei. Unele sarcini pot fi puse în aplicare prin redistribuirea personalului existent care îndeplinește în prezent sarcini similare, de exemplu legate de supravegherea programelor, de legătura cu părțile interesate și de raportarea pentru activitățile de cercetare și dezvoltare, precum și de consolidare a capacităților din cadrul pilonului I. Va fi necesar personal suplimentar pentru a îndeplini alte sarcini, de exemplu supravegherea proiectelor strategice, inclusiv monitorizarea jaloanelor și a rezultatelor, verificări ale conformității (ajutoare de stat, achiziții publice), coordonarea transfrontalieră cu statele membre, supravegherea administrativă (nefiscală) și raportarea către Consiliu/Parlament. În plus, propunerea implică sarcini suplimentare legate de Platforma B2B pentru lanțul de aprovizionare cu semiconductori, de exemplu monitorizarea lanțurilor de aprovizionare cu semiconductori, funcții de analiză și de pregătire </w:t>
      </w:r>
      <w:r w:rsidRPr="00046858">
        <w:rPr>
          <w:noProof/>
        </w:rPr>
        <w:lastRenderedPageBreak/>
        <w:t>pentru situații de criză, gestionarea solicitărilor de informații și verificarea și agregarea datelor în stadiul anterior crizei și coordonarea transsectorială cu părțile interesate din industrie.</w:t>
      </w:r>
    </w:p>
    <w:p w14:paraId="2EC197BE" w14:textId="77777777" w:rsidR="00F37DAB" w:rsidRPr="00046858" w:rsidRDefault="001B2914" w:rsidP="00DA5BB1">
      <w:pPr>
        <w:pBdr>
          <w:top w:val="nil"/>
          <w:left w:val="nil"/>
          <w:bottom w:val="nil"/>
          <w:right w:val="nil"/>
          <w:between w:val="nil"/>
          <w:bar w:val="nil"/>
        </w:pBdr>
        <w:spacing w:before="0" w:after="240"/>
        <w:rPr>
          <w:rFonts w:eastAsia="Arial Unicode MS"/>
          <w:noProof/>
        </w:rPr>
      </w:pPr>
      <w:r w:rsidRPr="00046858">
        <w:rPr>
          <w:noProof/>
        </w:rPr>
        <w:t>Sprijinul pentru înființarea și funcționarea unei platforme B2B pentru lanțul de aprovizionare cu semiconductori necesită cheltuieli operaționale de ordinul a 70 de milioane EUR. Comisia ar urma să ofere sprijinul necesar pentru platformă.</w:t>
      </w:r>
    </w:p>
    <w:p w14:paraId="53E71848" w14:textId="77777777" w:rsidR="00DA5BB1" w:rsidRPr="00046858" w:rsidRDefault="00DA5BB1" w:rsidP="00DA5BB1">
      <w:pPr>
        <w:pBdr>
          <w:top w:val="nil"/>
          <w:left w:val="nil"/>
          <w:bottom w:val="nil"/>
          <w:right w:val="nil"/>
          <w:between w:val="nil"/>
          <w:bar w:val="nil"/>
        </w:pBdr>
        <w:spacing w:before="0" w:after="240"/>
        <w:rPr>
          <w:rFonts w:eastAsia="Arial Unicode MS"/>
          <w:noProof/>
        </w:rPr>
      </w:pPr>
      <w:r w:rsidRPr="00046858">
        <w:rPr>
          <w:noProof/>
        </w:rPr>
        <w:t>Detalii suplimentare privind implicațiile bugetare sunt furnizate în fișa financiară legislativă și digitală anexată la prezenta propunere.</w:t>
      </w:r>
    </w:p>
    <w:p w14:paraId="639B6E33" w14:textId="77777777" w:rsidR="00A16271" w:rsidRPr="00046858" w:rsidRDefault="003863F5" w:rsidP="00DA5BB1">
      <w:pPr>
        <w:pBdr>
          <w:top w:val="nil"/>
          <w:left w:val="nil"/>
          <w:bottom w:val="nil"/>
          <w:right w:val="nil"/>
          <w:between w:val="nil"/>
          <w:bar w:val="nil"/>
        </w:pBdr>
        <w:spacing w:before="0" w:after="240"/>
        <w:rPr>
          <w:rFonts w:eastAsia="Arial Unicode MS"/>
          <w:noProof/>
        </w:rPr>
      </w:pPr>
      <w:r w:rsidRPr="00046858">
        <w:rPr>
          <w:noProof/>
        </w:rPr>
        <w:t>Pe lângă implicațiile bugetare menționate mai sus, bugetele operaționale și administrative pentru punerea în aplicare a inițiativei „Cipuri pentru Europa” 2.0 și a proiectelor strategice din CFM 2028-2034 pot fi solicitate numai într-o etapă ulterioară.</w:t>
      </w:r>
    </w:p>
    <w:p w14:paraId="5CDF97E2" w14:textId="77777777" w:rsidR="00A03D5B" w:rsidRPr="00046858" w:rsidRDefault="00A03D5B" w:rsidP="0041561E">
      <w:pPr>
        <w:pStyle w:val="ManualHeading1"/>
        <w:rPr>
          <w:noProof/>
        </w:rPr>
      </w:pPr>
      <w:r w:rsidRPr="00046858">
        <w:rPr>
          <w:noProof/>
        </w:rPr>
        <w:t>5.</w:t>
      </w:r>
      <w:r w:rsidRPr="00046858">
        <w:rPr>
          <w:noProof/>
        </w:rPr>
        <w:tab/>
        <w:t>ALTE ASPECTE</w:t>
      </w:r>
    </w:p>
    <w:p w14:paraId="08D28E86" w14:textId="77777777" w:rsidR="00A03D5B" w:rsidRPr="00046858" w:rsidRDefault="00A03D5B" w:rsidP="0041561E">
      <w:pPr>
        <w:pStyle w:val="ManualHeading2"/>
        <w:rPr>
          <w:rFonts w:eastAsia="Arial Unicode MS"/>
          <w:noProof/>
          <w:u w:color="000000"/>
          <w:bdr w:val="nil"/>
        </w:rPr>
      </w:pPr>
      <w:r w:rsidRPr="00046858">
        <w:rPr>
          <w:noProof/>
          <w:u w:color="000000"/>
          <w:bdr w:val="nil"/>
        </w:rPr>
        <w:t>•</w:t>
      </w:r>
      <w:r w:rsidRPr="00046858">
        <w:rPr>
          <w:noProof/>
        </w:rPr>
        <w:tab/>
      </w:r>
      <w:r w:rsidRPr="00046858">
        <w:rPr>
          <w:noProof/>
          <w:u w:color="000000"/>
          <w:bdr w:val="nil"/>
        </w:rPr>
        <w:t>Planuri de punere în aplicare și modalități de monitorizare, evaluare și raportare</w:t>
      </w:r>
    </w:p>
    <w:p w14:paraId="10B260DB" w14:textId="75447022" w:rsidR="00F6383D" w:rsidRPr="00046858" w:rsidRDefault="00F6383D" w:rsidP="00F6383D">
      <w:pPr>
        <w:rPr>
          <w:rFonts w:eastAsia="Aptos" w:cs="Arial"/>
          <w:noProof/>
        </w:rPr>
      </w:pPr>
      <w:r w:rsidRPr="00046858">
        <w:rPr>
          <w:noProof/>
        </w:rPr>
        <w:t xml:space="preserve">Comisia va fi responsabilă pentru monitorizarea periodică a punerii în aplicare a intervenției. Acest lucru poate fi susținut de studii externe și de date de piață și de date furnizate de state membre. Comisia va efectua o evaluare cuprinzătoare a eficacității, eficienței, coerenței, proporționalității și subsidiarității Regulamentului privind cipurile 2.0. </w:t>
      </w:r>
      <w:r w:rsidRPr="00046858">
        <w:rPr>
          <w:b/>
          <w:noProof/>
        </w:rPr>
        <w:t xml:space="preserve">Un raport de evaluare </w:t>
      </w:r>
      <w:r w:rsidRPr="00046858">
        <w:rPr>
          <w:noProof/>
        </w:rPr>
        <w:t xml:space="preserve">care prezintă principalele constatări va fi transmis Parlamentului European, Consiliului, Comitetului Economic și Social European și Comitetului Regiunilor în termen de </w:t>
      </w:r>
      <w:r w:rsidRPr="00046858">
        <w:rPr>
          <w:b/>
          <w:noProof/>
        </w:rPr>
        <w:t xml:space="preserve">patru până la cinci ani </w:t>
      </w:r>
      <w:r w:rsidRPr="00046858">
        <w:rPr>
          <w:noProof/>
        </w:rPr>
        <w:t>de la data aplicării actului legislativ. După caz, Comisia poate însoți acest raport cu propuneri de îmbunătățire sau de adaptare a Regulamentului privind cipurile 2.0.</w:t>
      </w:r>
    </w:p>
    <w:p w14:paraId="263A718D" w14:textId="77777777" w:rsidR="00F6383D" w:rsidRPr="00046858" w:rsidRDefault="00F6383D" w:rsidP="00F6383D">
      <w:pPr>
        <w:pBdr>
          <w:top w:val="nil"/>
          <w:left w:val="nil"/>
          <w:bottom w:val="nil"/>
          <w:right w:val="nil"/>
          <w:between w:val="nil"/>
        </w:pBdr>
        <w:spacing w:before="0" w:after="240"/>
        <w:rPr>
          <w:noProof/>
        </w:rPr>
      </w:pPr>
      <w:r w:rsidRPr="00046858">
        <w:rPr>
          <w:noProof/>
        </w:rPr>
        <w:t xml:space="preserve">Acest mecanism de revizuire urmează abordarea stabilită în primul Regulament privind cipurile. Acesta asigură continuitate, comparabilitatea rezultatelor și o perspectivă pe termen lung asupra rezultatelor politicii. Comisia, în strânsă cooperare cu statele membre, va monitoriza periodic punerea în aplicare și aplicarea dispozițiilor legale, acordând o atenție deosebită eficacității măsurilor adoptate. Activitățile de monitorizare se vor baza pe indicatori cantitativi și calitativi, pe baza datelor furnizate de părțile interesate din întregul lanț valoric al semiconductorilor, de statele membre și de organismele relevante ale UE. Succesul general al inițiativei va fi evaluat pe baza dovezilor privind consolidarea </w:t>
      </w:r>
      <w:r w:rsidRPr="00046858">
        <w:rPr>
          <w:b/>
          <w:noProof/>
        </w:rPr>
        <w:t>securității aprovizionării</w:t>
      </w:r>
      <w:r w:rsidRPr="00046858">
        <w:rPr>
          <w:noProof/>
        </w:rPr>
        <w:t>. Aceasta va include progrese în ceea ce privește aspecte cuantificabile relevante, cum ar fi cota UE din producția mondială de semiconductori și modificările concentrării pieței. Punerea în aplicare a Regulamentului privind cipurile 2.0 și a măsurilor de însoțire a acestuia va permite urmărirea sistematică a obiectivelor specifice, a beneficiilor preconizate și a impactului aferent.</w:t>
      </w:r>
    </w:p>
    <w:p w14:paraId="2B22E658" w14:textId="77777777" w:rsidR="00A03D5B" w:rsidRPr="00046858" w:rsidRDefault="00F6383D" w:rsidP="001F1763">
      <w:pPr>
        <w:rPr>
          <w:noProof/>
        </w:rPr>
      </w:pPr>
      <w:r w:rsidRPr="00046858">
        <w:rPr>
          <w:noProof/>
        </w:rPr>
        <w:t>Pentru a efectua evaluarea, statele membre și autoritățile naționale competente vor furniza Comisiei informațiile necesare și relevante, la cererea acesteia.</w:t>
      </w:r>
    </w:p>
    <w:p w14:paraId="74EB99AE" w14:textId="77777777" w:rsidR="00A03D5B" w:rsidRPr="00046858" w:rsidRDefault="00A03D5B" w:rsidP="0041561E">
      <w:pPr>
        <w:pStyle w:val="ManualHeading2"/>
        <w:rPr>
          <w:rFonts w:eastAsia="Arial Unicode MS"/>
          <w:noProof/>
          <w:u w:color="000000"/>
          <w:bdr w:val="nil"/>
        </w:rPr>
      </w:pPr>
      <w:r w:rsidRPr="00046858">
        <w:rPr>
          <w:noProof/>
          <w:u w:color="000000"/>
          <w:bdr w:val="nil"/>
        </w:rPr>
        <w:t>•</w:t>
      </w:r>
      <w:r w:rsidRPr="00046858">
        <w:rPr>
          <w:noProof/>
        </w:rPr>
        <w:tab/>
      </w:r>
      <w:r w:rsidRPr="00046858">
        <w:rPr>
          <w:noProof/>
          <w:u w:color="000000"/>
          <w:bdr w:val="nil"/>
        </w:rPr>
        <w:t>Explicarea detaliată a dispozițiilor specifice ale propunerii</w:t>
      </w:r>
    </w:p>
    <w:p w14:paraId="0D738EA4" w14:textId="77777777" w:rsidR="003A62C4" w:rsidRPr="00046858" w:rsidRDefault="003A62C4" w:rsidP="003A62C4">
      <w:pPr>
        <w:pStyle w:val="ManualNumPar2"/>
        <w:rPr>
          <w:noProof/>
        </w:rPr>
      </w:pPr>
      <w:r w:rsidRPr="00046858">
        <w:rPr>
          <w:noProof/>
        </w:rPr>
        <w:t>1.1.</w:t>
      </w:r>
      <w:r w:rsidRPr="00046858">
        <w:rPr>
          <w:noProof/>
        </w:rPr>
        <w:tab/>
        <w:t>Capitolul I – Dispoziții generale</w:t>
      </w:r>
    </w:p>
    <w:p w14:paraId="2533E8BF" w14:textId="77777777" w:rsidR="003A62C4" w:rsidRPr="00046858" w:rsidRDefault="003A62C4" w:rsidP="003A62C4">
      <w:pPr>
        <w:pStyle w:val="Text1"/>
        <w:ind w:left="0"/>
        <w:rPr>
          <w:noProof/>
        </w:rPr>
      </w:pPr>
      <w:r w:rsidRPr="00046858">
        <w:rPr>
          <w:b/>
          <w:noProof/>
        </w:rPr>
        <w:t xml:space="preserve">Capitolul I </w:t>
      </w:r>
      <w:r w:rsidRPr="00046858">
        <w:rPr>
          <w:noProof/>
        </w:rPr>
        <w:t xml:space="preserve">stabilește obiectul regulamentului. Acesta stabilește, de asemenea, definițiile utilizate în cadrul instrumentului. Regulamentul continuă și dezvoltă inițiativa „Cipuri pentru Europa” (în prezent inițiativa „Cipuri pentru Europa” 2.0). În cadrul pilonului I, acesta creează condițiile necesare pentru consolidarea capacității de inovare industrială a Uniunii și </w:t>
      </w:r>
      <w:r w:rsidRPr="00046858">
        <w:rPr>
          <w:noProof/>
        </w:rPr>
        <w:lastRenderedPageBreak/>
        <w:t>stabilește măsuri de stimulare a cererii. În cadrul pilonului II, acesta stabilește criteriile de recunoaștere a inițiativelor europene în domeniul tehnologiilor semiconductorilor care sunt inițiative de pionierat și a proiectelor strategice care promovează securitatea aprovizionării și reziliența ecosistemului semiconductorilor din Uniune. În cadrul pilonului III, acesta stabilește măsuri de îmbunătățire a mecanismului de coordonare între statele membre și Comisie, care a fost instituit inițial în temeiul Regulamentului (UE) 2023/1781 (Regulamentul privind cipurile).</w:t>
      </w:r>
    </w:p>
    <w:p w14:paraId="53749F95" w14:textId="77777777" w:rsidR="003A62C4" w:rsidRPr="00046858" w:rsidRDefault="003A62C4" w:rsidP="003A62C4">
      <w:pPr>
        <w:pStyle w:val="ManualNumPar2"/>
        <w:ind w:left="0" w:firstLine="0"/>
        <w:rPr>
          <w:noProof/>
        </w:rPr>
      </w:pPr>
      <w:r w:rsidRPr="00046858">
        <w:rPr>
          <w:noProof/>
        </w:rPr>
        <w:t>1.2.</w:t>
      </w:r>
      <w:r w:rsidRPr="00046858">
        <w:rPr>
          <w:noProof/>
        </w:rPr>
        <w:tab/>
        <w:t>Capitolul II – Inițiativa „Cipuri pentru Europa” 2.0</w:t>
      </w:r>
    </w:p>
    <w:p w14:paraId="3C1AF9CF" w14:textId="77777777" w:rsidR="003A62C4" w:rsidRPr="00046858" w:rsidRDefault="003A62C4" w:rsidP="003A62C4">
      <w:pPr>
        <w:pBdr>
          <w:top w:val="nil"/>
          <w:left w:val="nil"/>
          <w:bottom w:val="nil"/>
          <w:right w:val="nil"/>
          <w:between w:val="nil"/>
          <w:bar w:val="nil"/>
        </w:pBdr>
        <w:spacing w:before="0" w:after="240"/>
        <w:rPr>
          <w:noProof/>
        </w:rPr>
      </w:pPr>
      <w:r w:rsidRPr="00046858">
        <w:rPr>
          <w:b/>
          <w:noProof/>
        </w:rPr>
        <w:t xml:space="preserve">Capitolul II </w:t>
      </w:r>
      <w:r w:rsidRPr="00046858">
        <w:rPr>
          <w:noProof/>
        </w:rPr>
        <w:t>se axează pe inițiativa „Cipuri pentru Europa” 2.0, care urmărește să consolideze competitivitatea, reziliența și capacitatea de inovare a Uniunii. Prin investiții în inițiativa „Cipuri pentru Europa” 2.0, Uniunea ar trebui să devină mai eficace în ceea ce privește transformarea progreselor sale în materie de cercetare și tehnologie în tehnologii ale semiconductorilor de cea mai înaltă calitate, care să fie orientate către cerere, bazate pe aplicații, sigure și eficiente din punct de vedere energetic. În același timp, Uniunea ar trebui să acorde sectorului european al ofertei de semiconductori posibilitatea de a beneficia de aceste investiții.</w:t>
      </w:r>
    </w:p>
    <w:p w14:paraId="71EE5C81" w14:textId="77777777" w:rsidR="00326929" w:rsidRPr="00046858" w:rsidRDefault="003A62C4" w:rsidP="00326929">
      <w:pPr>
        <w:pBdr>
          <w:top w:val="nil"/>
          <w:left w:val="nil"/>
          <w:bottom w:val="nil"/>
          <w:right w:val="nil"/>
          <w:between w:val="nil"/>
          <w:bar w:val="nil"/>
        </w:pBdr>
        <w:spacing w:before="0" w:after="240"/>
        <w:rPr>
          <w:noProof/>
        </w:rPr>
      </w:pPr>
      <w:r w:rsidRPr="00046858">
        <w:rPr>
          <w:noProof/>
        </w:rPr>
        <w:t>În acest scop, acest capitol include dispozițiile și obiectivele generale ale inițiativei „Cipuri pentru Europa”, care a fost instituită inițial în temeiul Regulamentului (UE) 2023/1781. Inițiativa „Cipuri pentru Europa” 2.0 urmărește să sprijine consolidarea la scară largă a capacităților în întreaga Uniune în ceea ce privește tehnologiile semiconductorilor existente, de ultimă generație și de generație următoare. Inițiativa „Cipuri pentru Europa” 2.0 cuprinde în prezent șase componente: (1) capacitățile de proiectare pentru tehnologiile integrate ale semiconductorilor; (2) liniile-pilot pentru pregătirea instalațiilor inovatoare de producție, testare și experimentare; (3) dezvoltarea capacităților tehnologice și de inginerie avansate pentru accelerarea dezvoltării cipurilor cuantice; (4) o rețea a centrelor de competență și de dezvoltare a competențelor; (5) activitățile „Fondului pentru cipuri” pentru accesul la capital al start-upurilor, al întreprinderilor în curs de extindere și al IMM-urilor și (6) dezvoltarea și consolidarea capacităților avansate de proiectare, de creare de prototipuri și de implementare industrială pentru tehnologiile circuitelor integrate fotonice în întreaga Uniune. Inițiativa „Cipuri pentru Europa” 2.0 pune un accent puternic pe industrializare și pe măsurile de stimulare a cererii, cum ar fi marile provocări, forumul dedicat cererii și acceleratoarele cererii.</w:t>
      </w:r>
    </w:p>
    <w:p w14:paraId="605FA6B0" w14:textId="77777777" w:rsidR="003A62C4" w:rsidRPr="00046858" w:rsidRDefault="003A62C4" w:rsidP="003A62C4">
      <w:pPr>
        <w:pBdr>
          <w:top w:val="nil"/>
          <w:left w:val="nil"/>
          <w:bottom w:val="nil"/>
          <w:right w:val="nil"/>
          <w:between w:val="nil"/>
          <w:bar w:val="nil"/>
        </w:pBdr>
        <w:spacing w:before="0" w:after="240"/>
        <w:rPr>
          <w:noProof/>
        </w:rPr>
      </w:pPr>
      <w:r w:rsidRPr="00046858">
        <w:rPr>
          <w:noProof/>
        </w:rPr>
        <w:t>Inițiativa „Cipuri pentru Europa” 2.0 urmează să fie sprijinită prin finanțare din programul Orizont Europa și din programul „Europa digitală” în cadrul actualului CFM, în special al noului obiectiv specific nr. 6 al programului „Europa digitală”, și să fie pusă în aplicare în conformitate cu regulamentele de instituire a programelor respective și, după caz și fără a aduce atingere negocierilor privind CFM, a programelor care le vor succeda.</w:t>
      </w:r>
    </w:p>
    <w:p w14:paraId="508AA872" w14:textId="77777777" w:rsidR="003A62C4" w:rsidRPr="00046858" w:rsidRDefault="003A62C4" w:rsidP="003A62C4">
      <w:pPr>
        <w:pBdr>
          <w:top w:val="nil"/>
          <w:left w:val="nil"/>
          <w:bottom w:val="nil"/>
          <w:right w:val="nil"/>
          <w:between w:val="nil"/>
          <w:bar w:val="nil"/>
        </w:pBdr>
        <w:spacing w:before="0" w:after="240"/>
        <w:rPr>
          <w:noProof/>
        </w:rPr>
      </w:pPr>
      <w:r w:rsidRPr="00046858">
        <w:rPr>
          <w:noProof/>
        </w:rPr>
        <w:t>Regulamentul prevede un cadru procedural pentru a facilita finanțarea combinată de către statele membre, fără a aduce atingere normelor privind ajutoarele de stat, bugetului Uniunii și investițiilor private.</w:t>
      </w:r>
    </w:p>
    <w:p w14:paraId="726CF693" w14:textId="165FF767" w:rsidR="003A62C4" w:rsidRPr="00046858" w:rsidRDefault="003A62C4" w:rsidP="003A62C4">
      <w:pPr>
        <w:pBdr>
          <w:top w:val="nil"/>
          <w:left w:val="nil"/>
          <w:bottom w:val="nil"/>
          <w:right w:val="nil"/>
          <w:between w:val="nil"/>
          <w:bar w:val="nil"/>
        </w:pBdr>
        <w:spacing w:before="0" w:after="240"/>
        <w:rPr>
          <w:noProof/>
        </w:rPr>
      </w:pPr>
      <w:r w:rsidRPr="00046858">
        <w:rPr>
          <w:noProof/>
        </w:rPr>
        <w:t xml:space="preserve">Capitolul include, de asemenea, dispoziții privind punerea în aplicare. Punerea în aplicare a inițiativei „Cipuri pentru Europa” 2.0 va fi, de asemenea, încredințată în principal întreprinderii comune pentru cipuri și, după caz, întreprinderii comune sau oricărei alte entități sau inițiative similare care îi succedă acesteia, instituită prin dreptul Uniunii în temeiul unui cadru financiar multianual ulterior. Descrierea tehnică a acțiunilor este furnizată în anexa I. Anexa III include indicatori cuantificabili pentru monitorizarea punerii în aplicare și </w:t>
      </w:r>
      <w:r w:rsidRPr="00046858">
        <w:rPr>
          <w:noProof/>
        </w:rPr>
        <w:lastRenderedPageBreak/>
        <w:t>raportarea progreselor înregistrate de inițiativa „Cipuri pentru Europa” 2.0 în direcția realizării obiectivelor sale. Comisia este împuternicită să adopte acte delegate pentru a modifica lista indicatorilor cuantificabili. Inițiativa „Cipuri pentru Europa” 2.0 se bazează pe punctele forte existente ale Europei din cadrul lanțului valoric mondial al semiconductorilor și consolidează sinergiile cu acțiunile sprijinite în prezent de Uniune și de statele membre. Prin urmare, pentru a maximiza impactul său pozitiv, inițiativa „Cipuri pentru Europa” 2.0 ar trebui să permită crearea de sinergii cu programele Uniunii descrise în anexa IV.</w:t>
      </w:r>
    </w:p>
    <w:p w14:paraId="593C6B73" w14:textId="77777777" w:rsidR="003A62C4" w:rsidRPr="00046858" w:rsidRDefault="003A62C4" w:rsidP="003A62C4">
      <w:pPr>
        <w:pStyle w:val="ManualNumPar2"/>
        <w:rPr>
          <w:noProof/>
        </w:rPr>
      </w:pPr>
      <w:r w:rsidRPr="00046858">
        <w:rPr>
          <w:noProof/>
        </w:rPr>
        <w:t>1.3.</w:t>
      </w:r>
      <w:r w:rsidRPr="00046858">
        <w:rPr>
          <w:noProof/>
        </w:rPr>
        <w:tab/>
        <w:t>Capitolul III – Securitatea aprovizionării și a cererii</w:t>
      </w:r>
    </w:p>
    <w:p w14:paraId="7DF2F2F7" w14:textId="77777777" w:rsidR="003A62C4" w:rsidRPr="00046858" w:rsidRDefault="00DA1978" w:rsidP="003A62C4">
      <w:pPr>
        <w:pStyle w:val="Text1"/>
        <w:ind w:left="0"/>
        <w:rPr>
          <w:noProof/>
        </w:rPr>
      </w:pPr>
      <w:r w:rsidRPr="00046858">
        <w:rPr>
          <w:b/>
          <w:noProof/>
        </w:rPr>
        <w:t>Secțiunea 1 din capitolul III</w:t>
      </w:r>
      <w:r w:rsidRPr="00046858">
        <w:rPr>
          <w:noProof/>
        </w:rPr>
        <w:t xml:space="preserve"> stabilește cadrul pentru inițiativele europene în domeniul tehnologiilor semiconductorilor și proiectele strategice. Comisia poate recunoaște proiectele din cadrul lanțului valoric al semiconductorilor din Uniune sau dintr-o țară terță ca proiecte strategice, în cazul în care proiectele îndeplinesc următoarele criterii: creează valoare adăugată europeană prin contribuția substanțială la obiectivele de interes comun ale Uniunii, au o dimensiune transfrontalieră clară, contribuie la îmbunătățirea caracterului indispensabil, a rezilienței și a prosperității lanțului valoric al semiconductorilor din Uniune, și contribuie la creșterea semnificativă a suveranității tehnologice și a poziției de lider tehnologic a Europei.</w:t>
      </w:r>
    </w:p>
    <w:p w14:paraId="6C5FE5EA" w14:textId="77777777" w:rsidR="003A62C4" w:rsidRPr="00046858" w:rsidRDefault="003A62C4" w:rsidP="003A62C4">
      <w:pPr>
        <w:pStyle w:val="Text1"/>
        <w:ind w:left="0"/>
        <w:rPr>
          <w:noProof/>
        </w:rPr>
      </w:pPr>
      <w:r w:rsidRPr="00046858">
        <w:rPr>
          <w:noProof/>
        </w:rPr>
        <w:t>Domeniile tehnologice identificate ca potențiale domenii pentru recunoașterea proiectelor strategice sunt prevăzute în anexa II.</w:t>
      </w:r>
    </w:p>
    <w:p w14:paraId="36042956" w14:textId="77777777" w:rsidR="003A62C4" w:rsidRPr="00046858" w:rsidRDefault="00740E8D" w:rsidP="003A62C4">
      <w:pPr>
        <w:pStyle w:val="Text1"/>
        <w:ind w:left="0"/>
        <w:rPr>
          <w:b/>
          <w:noProof/>
        </w:rPr>
      </w:pPr>
      <w:r w:rsidRPr="00046858">
        <w:rPr>
          <w:b/>
          <w:noProof/>
        </w:rPr>
        <w:t>Secțiunea 2</w:t>
      </w:r>
      <w:r w:rsidRPr="00046858">
        <w:rPr>
          <w:noProof/>
        </w:rPr>
        <w:t xml:space="preserve"> din acest capitol stabilește dispoziții pentru accelerarea procedurilor de acordare a autorizațiilor pentru inițiativele europene în domeniul tehnologiilor semiconductorilor și pentru proiectele strategice. Aceasta descrie, de asemenea, utilizarea portofelelor europene pentru întreprinderi ca </w:t>
      </w:r>
      <w:r w:rsidRPr="00046858">
        <w:rPr>
          <w:rStyle w:val="Added"/>
          <w:b w:val="0"/>
          <w:noProof/>
          <w:u w:val="none"/>
        </w:rPr>
        <w:t>portaluri unice de acces</w:t>
      </w:r>
      <w:r w:rsidRPr="00046858">
        <w:rPr>
          <w:noProof/>
        </w:rPr>
        <w:t xml:space="preserve"> pentru depunerea unei cereri unice de autorizare pentru inițiativele europene în domeniul tehnologiilor semiconductorilor și proiectele strategice.</w:t>
      </w:r>
    </w:p>
    <w:p w14:paraId="58B28E4D" w14:textId="77777777" w:rsidR="003A62C4" w:rsidRPr="00046858" w:rsidRDefault="00D64332" w:rsidP="003A62C4">
      <w:pPr>
        <w:pStyle w:val="Text1"/>
        <w:ind w:left="0"/>
        <w:rPr>
          <w:noProof/>
        </w:rPr>
      </w:pPr>
      <w:r w:rsidRPr="00046858">
        <w:rPr>
          <w:b/>
          <w:noProof/>
        </w:rPr>
        <w:t>Secțiunea 3</w:t>
      </w:r>
      <w:r w:rsidRPr="00046858">
        <w:rPr>
          <w:noProof/>
        </w:rPr>
        <w:t xml:space="preserve"> din capitolul III descrie obiectivele etichetei de regiune europeană de excelență în domeniul semiconductorilor și stabilește viziunea și domeniul de aplicare al Planului de investiții al regiunilor europene ale semiconductorilor.</w:t>
      </w:r>
    </w:p>
    <w:p w14:paraId="5509F371" w14:textId="626DC1E7" w:rsidR="00D64AC6" w:rsidRPr="00046858" w:rsidRDefault="009D6F0C" w:rsidP="003A62C4">
      <w:pPr>
        <w:pStyle w:val="Text1"/>
        <w:ind w:left="0"/>
        <w:rPr>
          <w:noProof/>
        </w:rPr>
      </w:pPr>
      <w:r w:rsidRPr="00046858">
        <w:rPr>
          <w:b/>
          <w:noProof/>
        </w:rPr>
        <w:t>Secțiunea 4</w:t>
      </w:r>
      <w:r w:rsidRPr="00046858">
        <w:rPr>
          <w:noProof/>
        </w:rPr>
        <w:t xml:space="preserve"> din capitolul III se axează pe măsuri de </w:t>
      </w:r>
      <w:r w:rsidRPr="00046858">
        <w:rPr>
          <w:rStyle w:val="Added"/>
          <w:b w:val="0"/>
          <w:noProof/>
          <w:u w:val="none"/>
        </w:rPr>
        <w:t>sporire a rezilienței lanțului de aprovizionare</w:t>
      </w:r>
      <w:r w:rsidRPr="00046858">
        <w:rPr>
          <w:noProof/>
        </w:rPr>
        <w:t>, și anume pentru achizițiile publice de infrastructuri critice și în anumite sectoare ale economiei identificate ca fiind sectoare predispuse la riscuri.</w:t>
      </w:r>
    </w:p>
    <w:p w14:paraId="79CD1D39" w14:textId="77777777" w:rsidR="003A62C4" w:rsidRPr="00046858" w:rsidRDefault="003A62C4" w:rsidP="003A62C4">
      <w:pPr>
        <w:pStyle w:val="ManualNumPar2"/>
        <w:rPr>
          <w:noProof/>
        </w:rPr>
      </w:pPr>
      <w:r w:rsidRPr="00046858">
        <w:rPr>
          <w:noProof/>
        </w:rPr>
        <w:t>1.4.</w:t>
      </w:r>
      <w:r w:rsidRPr="00046858">
        <w:rPr>
          <w:noProof/>
        </w:rPr>
        <w:tab/>
        <w:t>Capitolul IV – Monitorizare și răspuns în situații de criză</w:t>
      </w:r>
    </w:p>
    <w:p w14:paraId="4CE7187B" w14:textId="77777777" w:rsidR="003A62C4" w:rsidRPr="00046858" w:rsidRDefault="003A62C4" w:rsidP="003A62C4">
      <w:pPr>
        <w:pStyle w:val="Text1"/>
        <w:ind w:left="0"/>
        <w:rPr>
          <w:b/>
          <w:bCs/>
          <w:noProof/>
        </w:rPr>
      </w:pPr>
      <w:r w:rsidRPr="00046858">
        <w:rPr>
          <w:b/>
          <w:noProof/>
        </w:rPr>
        <w:t xml:space="preserve">Capitolul IV </w:t>
      </w:r>
      <w:r w:rsidRPr="00046858">
        <w:rPr>
          <w:noProof/>
        </w:rPr>
        <w:t>conține un mecanism de monitorizare coordonată a lanțului valoric al semiconductorilor și de răspuns la perturbările aprovizionării cu semiconductori care afectează buna funcționare a pieței interne.</w:t>
      </w:r>
    </w:p>
    <w:p w14:paraId="58A2FB6D" w14:textId="31091194" w:rsidR="00891DE5" w:rsidRPr="00046858" w:rsidRDefault="003A62C4" w:rsidP="00891DE5">
      <w:pPr>
        <w:pStyle w:val="Text1"/>
        <w:ind w:left="0"/>
        <w:rPr>
          <w:noProof/>
        </w:rPr>
      </w:pPr>
      <w:r w:rsidRPr="00046858">
        <w:rPr>
          <w:b/>
          <w:noProof/>
        </w:rPr>
        <w:t>Secțiunea 1</w:t>
      </w:r>
      <w:r w:rsidRPr="00046858">
        <w:rPr>
          <w:noProof/>
        </w:rPr>
        <w:t xml:space="preserve"> stabilește un sistem cuprinzător de cartografiere strategică pentru sectorul semiconductorilor din UE, conceput pentru a identifica vulnerabilitățile, dependențele și nevoile viitoare de creștere a rezilienței lanțului de aprovizionare. Comisia, în colaborare cu ESB, trebuie să efectueze o analiză aprofundată care să acopere aspectele critice. Printre acestea se numără principalele industrii și infrastructuri dependente de semiconductori (de exemplu, sectorul sănătății, al apărării și cel digital), segmentele lanțului de aprovizionare (de la proiectare la fabricare și materiale), dependențele tehnologice (în special de țările terțe), deficitul de competențe și riscurile potențiale, inclusiv cele care decurg din investițiile insuficiente sau din perturbările geopolitice. Cartografierea evaluează, de asemenea, posibilele efecte ale intervențiilor în situații de criză (de exemplu, comenzile prioritare sau controlul exporturilor în temeiul articolelor 41-43). Rezultatele sunt comunicate în mod regulat către ESB pentru a fundamenta deciziile de politică.</w:t>
      </w:r>
    </w:p>
    <w:p w14:paraId="7F946F24" w14:textId="6C2A9FEE" w:rsidR="00F24AD2" w:rsidRPr="00046858" w:rsidRDefault="00891DE5" w:rsidP="00891DE5">
      <w:pPr>
        <w:pStyle w:val="Text1"/>
        <w:ind w:left="0"/>
        <w:rPr>
          <w:noProof/>
        </w:rPr>
      </w:pPr>
      <w:r w:rsidRPr="00046858">
        <w:rPr>
          <w:noProof/>
        </w:rPr>
        <w:lastRenderedPageBreak/>
        <w:t>Pentru a monitoriza în mod proactiv riscurile, Comisia trebuie să elaboreze și să actualizeze periodic o listă de indicatori de avertizare timpurie (de exemplu, blocaje în aprovizionare, creșteri bruște ale cererii sau tensiuni geopolitice) pe baza constatărilor cartografierii. Procesul se bazează în principal pe date disponibile public și pe date neconfidențiale furnizate de industrie. Cu toate acestea, Comisia poate solicita informații suplimentare voluntare de la firmele din domeniul semiconductorilor în cazul în care există lacune, utilizând canale standardizate și securizate pentru a proteja confidențialitatea. Toate datele colectate sunt tratate în conformitate cu norme stricte de confidențialitate (articolul 50), iar Comisia oferă orientări pentru a asigura un schimb de informații coerent și securizat. Cadrul și metodologia de cartografiere sunt, de asemenea, revizuite periodic pentru a se adapta la provocările în continuă evoluție ale sectorului. În sfârșit, acest sistem urmărește să anticipeze perturbările, să ghideze investițiile strategice și să consolideze autonomia UE în materie de semiconductori.</w:t>
      </w:r>
    </w:p>
    <w:p w14:paraId="7C78C384" w14:textId="77777777" w:rsidR="003A62C4" w:rsidRPr="00046858" w:rsidRDefault="003A62C4" w:rsidP="003A62C4">
      <w:pPr>
        <w:pStyle w:val="Text1"/>
        <w:ind w:left="0"/>
        <w:rPr>
          <w:noProof/>
        </w:rPr>
      </w:pPr>
      <w:r w:rsidRPr="00046858">
        <w:rPr>
          <w:b/>
          <w:noProof/>
        </w:rPr>
        <w:t>Secțiunea 1</w:t>
      </w:r>
      <w:r w:rsidRPr="00046858">
        <w:rPr>
          <w:noProof/>
        </w:rPr>
        <w:t xml:space="preserve"> descrie, de asemenea, structura și obiectivele Platformei B2B pentru lanțul de aprovizionare cu semiconductori.</w:t>
      </w:r>
      <w:r w:rsidRPr="00046858">
        <w:rPr>
          <w:b/>
          <w:noProof/>
          <w:color w:val="000000"/>
          <w:shd w:val="clear" w:color="auto" w:fill="FFFFFF"/>
        </w:rPr>
        <w:t xml:space="preserve"> </w:t>
      </w:r>
      <w:r w:rsidRPr="00046858">
        <w:rPr>
          <w:noProof/>
          <w:color w:val="000000"/>
          <w:shd w:val="clear" w:color="auto" w:fill="FFFFFF"/>
        </w:rPr>
        <w:t xml:space="preserve">Platforma va </w:t>
      </w:r>
      <w:r w:rsidRPr="00046858">
        <w:rPr>
          <w:noProof/>
        </w:rPr>
        <w:t>fi un geamăn digital al lanțului de aprovizionare cu semiconductori, obiectivul său fiind sporirea transparenței și a rezilienței acestuia. Reprezentantul legal al platformei va informa Comisia cu privire la perturbările actuale sau preconizate la nivelul lanțului de aprovizionare cu semiconductori.</w:t>
      </w:r>
    </w:p>
    <w:p w14:paraId="3FF1A081" w14:textId="048E6F0B" w:rsidR="003A62C4" w:rsidRPr="00046858" w:rsidRDefault="003A62C4" w:rsidP="003A62C4">
      <w:pPr>
        <w:pStyle w:val="Text1"/>
        <w:ind w:left="0"/>
        <w:rPr>
          <w:noProof/>
        </w:rPr>
      </w:pPr>
      <w:r w:rsidRPr="00046858">
        <w:rPr>
          <w:b/>
          <w:noProof/>
        </w:rPr>
        <w:t>Secțiunea 2</w:t>
      </w:r>
      <w:r w:rsidRPr="00046858">
        <w:rPr>
          <w:noProof/>
        </w:rPr>
        <w:t xml:space="preserve"> prevede normele de declanșare a stadiului de criză a semiconductorilor și detaliază măsurile de urgență care pot fi utilizate pentru a răspunde la situația de criză. </w:t>
      </w:r>
    </w:p>
    <w:p w14:paraId="33A750F4" w14:textId="4A9FE26A" w:rsidR="00AA4E21" w:rsidRPr="00046858" w:rsidRDefault="00AA4E21" w:rsidP="00AA4E21">
      <w:pPr>
        <w:pStyle w:val="Text1"/>
        <w:ind w:left="0"/>
        <w:rPr>
          <w:noProof/>
        </w:rPr>
      </w:pPr>
      <w:r w:rsidRPr="00046858">
        <w:rPr>
          <w:noProof/>
        </w:rPr>
        <w:t>Primul aspect este obligația autorităților naționale competente de a alerta Comisia cât mai curând posibil în cazul în care identifică un risc de perturbare gravă a aprovizionării sau alte amenințări credibile la adresa disponibilității semiconductorilor. Acest lucru declanșează o fază preventivă, în care Comisia trebuie să acționeze rapid prin convocarea unei reuniuni extraordinare a ESB. Rolul ESB include evaluarea gravității perturbării, inclusiv prin emiterea de solicitări preventive de informații și discutarea oportunității inițierii unei proceduri oficiale de criză. În plus, Comisia poate consulta țările terțe pentru a căuta soluții de cooperare și solicita autorităților naționale să evalueze pregătirea principalilor actori de pe piață.</w:t>
      </w:r>
    </w:p>
    <w:p w14:paraId="34D95D2F" w14:textId="41FFDB3B" w:rsidR="00AA4E21" w:rsidRPr="00046858" w:rsidRDefault="00AA4E21" w:rsidP="00AA4E21">
      <w:pPr>
        <w:pStyle w:val="Text1"/>
        <w:ind w:left="0"/>
        <w:rPr>
          <w:noProof/>
        </w:rPr>
      </w:pPr>
      <w:r w:rsidRPr="00046858">
        <w:rPr>
          <w:noProof/>
        </w:rPr>
        <w:t>În cazul în care achizițiile publice comune sunt considerate necesare, acestea trebuie să respecte normele UE privind achizițiile publice (Directivele </w:t>
      </w:r>
      <w:r w:rsidRPr="00046858">
        <w:rPr>
          <w:rStyle w:val="Added"/>
          <w:b w:val="0"/>
          <w:noProof/>
          <w:u w:val="none"/>
        </w:rPr>
        <w:t>2014/23/UE</w:t>
      </w:r>
      <w:r w:rsidRPr="00046858">
        <w:rPr>
          <w:noProof/>
        </w:rPr>
        <w:t>, 2014/24/UE și 2014/25/UE), asigurând transparența și concurența. Colectarea de informații este un alt instrument esențial. Comisia poate emite solicitări preventive de informații din partea Platformei B2B pentru lanțul de aprovizionare cu semiconductori, cu garanții pentru informațiile comerciale sensibile. De asemenea, Comisia poate emite solicitări preventive de informații adresate întreprinderilor individuale în cazul în care acestea nu participă la platformă. Răspunsurile sunt comunicate ESB și statelor membre relevante, asigurându-se informarea colectivă.</w:t>
      </w:r>
    </w:p>
    <w:p w14:paraId="11D8A4ED" w14:textId="77777777" w:rsidR="00AA4E21" w:rsidRPr="00046858" w:rsidRDefault="00AA4E21" w:rsidP="00AA4E21">
      <w:pPr>
        <w:pStyle w:val="Text1"/>
        <w:ind w:left="0"/>
        <w:rPr>
          <w:noProof/>
        </w:rPr>
      </w:pPr>
      <w:r w:rsidRPr="00046858">
        <w:rPr>
          <w:noProof/>
        </w:rPr>
        <w:t xml:space="preserve">Cadrul trece la un stadiu de criză numai dacă sunt îndeplinite două condiții: (1) perturbări grave ale lanțului de aprovizionare care cauzează penurii semnificative și (2) efecte grave asupra sectoarelor critice (de exemplu, sectorul sănătății, sectorul apărării sau infrastructura digitală) care amenință stabilitatea la nivelul societății, al economiei sau al securității. După consultarea ESB, Comisia îi poate propune Consiliului declanșarea stadiului de criză, acesta luând decizii în această privință cu majoritate calificată. Stadiul de criză durează până la 12 luni, cu posibile prelungiri, dacă se justifică, și necesită raportare periodică în acest sens către ESB și Parlamentul European. În această fază, statele membre trebuie să coordoneze măsurile naționale prin intermediul ESB pentru a evita răspunsurile fragmentate. După încheierea crizei, Comisia trebuie să actualizeze monitorizarea lanțului de aprovizionare în termen de șase luni, integrând lecțiile învățate. Dispozițiile care reglementează declanșarea </w:t>
      </w:r>
      <w:r w:rsidRPr="00046858">
        <w:rPr>
          <w:noProof/>
        </w:rPr>
        <w:lastRenderedPageBreak/>
        <w:t>stadiului de criză rămân neschimbate față de cele stabilite în Regulamentul privind cipurile, ca urmare a acordului colegiuitorilor, și rămân adecvate scopului.</w:t>
      </w:r>
    </w:p>
    <w:p w14:paraId="3F3BCB33" w14:textId="37FC818A" w:rsidR="00AA4E21" w:rsidRPr="00046858" w:rsidRDefault="00AA4E21" w:rsidP="00AA4E21">
      <w:pPr>
        <w:pStyle w:val="Text1"/>
        <w:ind w:left="0"/>
        <w:rPr>
          <w:noProof/>
        </w:rPr>
      </w:pPr>
      <w:r w:rsidRPr="00046858">
        <w:rPr>
          <w:b/>
          <w:noProof/>
        </w:rPr>
        <w:t>Secțiunea 3</w:t>
      </w:r>
      <w:r w:rsidRPr="00046858">
        <w:rPr>
          <w:noProof/>
        </w:rPr>
        <w:t xml:space="preserve"> stabilește măsurile necesare pentru a aborda crizele semiconductorilor din Uniune.</w:t>
      </w:r>
    </w:p>
    <w:p w14:paraId="73EF38B8" w14:textId="226133D8" w:rsidR="00AA4E21" w:rsidRPr="00046858" w:rsidRDefault="00AA4E21" w:rsidP="00AA4E21">
      <w:pPr>
        <w:pStyle w:val="Text1"/>
        <w:ind w:left="0"/>
        <w:rPr>
          <w:noProof/>
        </w:rPr>
      </w:pPr>
      <w:r w:rsidRPr="00046858">
        <w:rPr>
          <w:noProof/>
        </w:rPr>
        <w:t>În temeiul articolului 41, Comisia poate solicita date privind producția și perturbările de la întreprinderile din lanțul de aprovizionare cu semiconductori pentru a evalua criza și soluțiile potențiale. Solicitările trebuie să fie strict necesare și nu pot compromite securitatea națională.</w:t>
      </w:r>
    </w:p>
    <w:p w14:paraId="3B5FD8D7" w14:textId="433F2CAD" w:rsidR="00AA4E21" w:rsidRPr="00046858" w:rsidRDefault="00AA4E21" w:rsidP="00AA4E21">
      <w:pPr>
        <w:pStyle w:val="Text1"/>
        <w:ind w:left="0"/>
        <w:rPr>
          <w:noProof/>
        </w:rPr>
      </w:pPr>
      <w:r w:rsidRPr="00046858">
        <w:rPr>
          <w:noProof/>
        </w:rPr>
        <w:t xml:space="preserve">Articolul 42 îi permite Comisiei să oblige producătorii de semiconductori să acorde prioritate comenzilor de produse critice în situații de criză, depășind contractele existente. </w:t>
      </w:r>
    </w:p>
    <w:p w14:paraId="670E7C75" w14:textId="3493CBE7" w:rsidR="00AA4E21" w:rsidRPr="00046858" w:rsidRDefault="00AA4E21" w:rsidP="00AA4E21">
      <w:pPr>
        <w:pStyle w:val="Text1"/>
        <w:ind w:left="0"/>
        <w:rPr>
          <w:noProof/>
        </w:rPr>
      </w:pPr>
      <w:r w:rsidRPr="00046858">
        <w:rPr>
          <w:noProof/>
        </w:rPr>
        <w:t xml:space="preserve">Articolul 43 introduce achizițiile comune, în cadrul cărora Comisia acționează în calitate de cumpărător central pentru mai multe state membre care se confruntă cu penurii grave. Acest mecanism consolidează puterea de negociere și împiedică țările UE să concureze pentru resurse limitate. </w:t>
      </w:r>
    </w:p>
    <w:p w14:paraId="31C971DE" w14:textId="77777777" w:rsidR="003A62C4" w:rsidRPr="00046858" w:rsidRDefault="003A62C4" w:rsidP="003A62C4">
      <w:pPr>
        <w:pStyle w:val="Text1"/>
        <w:ind w:left="0"/>
        <w:rPr>
          <w:noProof/>
        </w:rPr>
      </w:pPr>
      <w:r w:rsidRPr="00046858">
        <w:rPr>
          <w:noProof/>
        </w:rPr>
        <w:t>Comisia este împuternicită să declanșeze stadiul de criză prin intermediul unui act de punere în aplicare atunci când dispune de dovezi concrete, serioase și fiabile privind existența unei crize a semiconductorilor. O criză a semiconductorilor apare atunci când există perturbări grave ale aprovizionării cu semiconductori, care conduc la penurii semnificative. Acestea conduc la efecte negative semnificative asupra unuia sau mai multor sectoare importante ale Uniunii sau împiedică furnizarea, repararea și întreținerea produselor esențiale utilizate de sectoarele critice. În actul de punere în aplicare se precizează durata stadiului de criză sau prelungirea acestuia. Înainte de expirarea stadiului de criză, Comisia trebuie să evalueze, ținând seama de avizul ESB, dacă stadiul de criză ar trebui prelungit. În stadiul de criză, ESB va organiza reuniuni extraordinare pentru a le permite statelor membre să colaboreze strâns cu Comisia și să coordoneze eventualele măsuri naționale luate cu privire la lanțul de aprovizionare cu semiconductori.</w:t>
      </w:r>
    </w:p>
    <w:p w14:paraId="18221191" w14:textId="77777777" w:rsidR="003A62C4" w:rsidRPr="00046858" w:rsidRDefault="003A62C4" w:rsidP="003A62C4">
      <w:pPr>
        <w:pStyle w:val="ManualNumPar2"/>
        <w:rPr>
          <w:noProof/>
        </w:rPr>
      </w:pPr>
      <w:r w:rsidRPr="00046858">
        <w:rPr>
          <w:noProof/>
        </w:rPr>
        <w:t>1.5.</w:t>
      </w:r>
      <w:r w:rsidRPr="00046858">
        <w:rPr>
          <w:noProof/>
        </w:rPr>
        <w:tab/>
        <w:t>Capitolul V – Guvernanța</w:t>
      </w:r>
    </w:p>
    <w:p w14:paraId="6E0898D4" w14:textId="2CB67CC4" w:rsidR="003A62C4" w:rsidRPr="00046858" w:rsidRDefault="003A62C4" w:rsidP="003A62C4">
      <w:pPr>
        <w:rPr>
          <w:noProof/>
        </w:rPr>
      </w:pPr>
      <w:r w:rsidRPr="00046858">
        <w:rPr>
          <w:b/>
          <w:noProof/>
        </w:rPr>
        <w:t>Capitolul V</w:t>
      </w:r>
      <w:r w:rsidRPr="00046858">
        <w:rPr>
          <w:noProof/>
        </w:rPr>
        <w:t xml:space="preserve"> stabilește cadrul pentru continuarea ESB, care este alcătuit din reprezentanți ai statelor membre și este prezidat de Comisie. ESB va oferi consiliere cu privire la inițiativa „Cipuri pentru Europa” 2.0 Consiliului autorităților publice al întreprinderii comune pentru cipuri (pilonul I). Acesta îi va oferi consiliere și asistență Comisiei în ceea ce privește evaluarea cererilor de inițiative europene în domeniul tehnologiilor semiconductorilor și proiecte strategice (pilonul II). ESB va desfășura un schimb de opinii cu Comisia cu privire la progresele înregistrate în punerea în aplicare a Planului de investiții al regiunilor semiconductorilor, va discuta și se va pregăti pentru identificarea sectoarelor și tehnologiilor critice specifice și abordarea aspectelor legate de monitorizare și de răspunsul în situații de criză (pilonul III). În sfârșit, acesta va oferi sprijin pentru aplicarea consecventă a regulamentului propus și va facilita cooperarea dintre statele membre. ESB va sprijini Comisia în ceea ce privește cooperarea internațională și parteneriatele strategice privind semiconductorii. De asemenea, acesta va asigura coordonarea și schimbul de informații cu structurile de criză relevante instituite în temeiul dreptului Uniunii. ESB se va reuni în diferite componențe și va organiza reuniuni separate pentru sarcinile care îi revin în temeiul pilonului Pilonul I și pentru sarcinile care îi revin în temeiul pilonilor II și III. Comisia poate stabili subgrupuri permanente sau temporare ale ESB și poate invita, în calitate de observatori în cadrul unor astfel de subgrupuri, organizații care reprezintă interesele industriei semiconductorilor și alte părți interesate. ESB ar trebui să se asigure că respectivul comitet director al Alianței industriale pentru semiconductori, care va prelua operațiunile Alianței </w:t>
      </w:r>
      <w:r w:rsidRPr="00046858">
        <w:rPr>
          <w:noProof/>
        </w:rPr>
        <w:lastRenderedPageBreak/>
        <w:t>industriale pentru procesoare și tehnologiile semiconductorilor, este invitat să prezinte actualizări cel puțin o dată pe an.</w:t>
      </w:r>
    </w:p>
    <w:p w14:paraId="5ADBDCD9" w14:textId="77777777" w:rsidR="003A62C4" w:rsidRPr="00046858" w:rsidRDefault="003A62C4" w:rsidP="003A62C4">
      <w:pPr>
        <w:rPr>
          <w:noProof/>
        </w:rPr>
      </w:pPr>
      <w:r w:rsidRPr="00046858">
        <w:rPr>
          <w:noProof/>
        </w:rPr>
        <w:t xml:space="preserve">La nivel național, statele membre vor desemna una sau mai multe autorități naționale competente și, dintre acestea, un punct unic de contact național în scopul punerii în aplicare a regulamentului. </w:t>
      </w:r>
    </w:p>
    <w:p w14:paraId="3FB456F6" w14:textId="54D849CB" w:rsidR="003A62C4" w:rsidRPr="00046858" w:rsidRDefault="003A62C4" w:rsidP="003A62C4">
      <w:pPr>
        <w:pStyle w:val="ManualNumPar2"/>
        <w:rPr>
          <w:noProof/>
        </w:rPr>
      </w:pPr>
      <w:r w:rsidRPr="00046858">
        <w:rPr>
          <w:noProof/>
        </w:rPr>
        <w:t>1.6.</w:t>
      </w:r>
      <w:r w:rsidRPr="00046858">
        <w:rPr>
          <w:noProof/>
        </w:rPr>
        <w:tab/>
        <w:t>Capitolele VI, VII și VIII – Dispoziții finale</w:t>
      </w:r>
    </w:p>
    <w:p w14:paraId="0478E4F3" w14:textId="77777777" w:rsidR="003A62C4" w:rsidRPr="00046858" w:rsidRDefault="003A62C4" w:rsidP="003A62C4">
      <w:pPr>
        <w:pStyle w:val="Text1"/>
        <w:ind w:left="0"/>
        <w:rPr>
          <w:noProof/>
        </w:rPr>
      </w:pPr>
      <w:r w:rsidRPr="00046858">
        <w:rPr>
          <w:b/>
          <w:noProof/>
        </w:rPr>
        <w:t>Capitolul VI</w:t>
      </w:r>
      <w:r w:rsidRPr="00046858">
        <w:rPr>
          <w:noProof/>
        </w:rPr>
        <w:t xml:space="preserve"> subliniază că toate părțile sunt obligate să respecte confidențialitatea informațiilor comerciale sensibile și a secretelor comerciale. Obligația vizează Comisia, autoritățile naționale competente și alte autorități ale statelor membre, precum și toți reprezentanții și experții care participă la reuniunile ESB și ale comitetului. În acest capitol sunt stabilite, de asemenea, norme privind aplicarea unor sancțiuni și amenzi eficace, proporționale și disuasive pentru nerespectarea obligațiilor care decurg din prezentul regulament, sub rezerva unor garanții adecvate. Comisia poate impune penalități cu titlu cominatoriu în cazul în care întreprinderile relevante nu acceptă și nu acordă prioritate anumitor comenzi în contextul unei crize a semiconductorilor. Mai mult, Comisia poate aplica amenzi unei întreprinderi care furnizează informații incorecte, incomplete sau înșelătoare sau care nu furnizează informațiile în termenul stabilit.</w:t>
      </w:r>
    </w:p>
    <w:p w14:paraId="2CF3FFFE" w14:textId="77777777" w:rsidR="003A62C4" w:rsidRPr="00046858" w:rsidRDefault="003A62C4" w:rsidP="003A62C4">
      <w:pPr>
        <w:pStyle w:val="Text1"/>
        <w:ind w:left="0"/>
        <w:rPr>
          <w:noProof/>
        </w:rPr>
      </w:pPr>
      <w:r w:rsidRPr="00046858">
        <w:rPr>
          <w:noProof/>
        </w:rPr>
        <w:t xml:space="preserve">În </w:t>
      </w:r>
      <w:r w:rsidRPr="00046858">
        <w:rPr>
          <w:b/>
          <w:noProof/>
        </w:rPr>
        <w:t>capitolul VII</w:t>
      </w:r>
      <w:r w:rsidRPr="00046858">
        <w:rPr>
          <w:noProof/>
        </w:rPr>
        <w:t xml:space="preserve"> sunt stabilite normele și condițiile pentru exercitarea competențelor de delegare și de executare. Propunerea împuternicește Comisia să adopte, atunci când este cazul, acte de punere în aplicare, pentru a permite specificarea procedurilor și a asigura aplicarea uniformă a regulamentului, și acte delegate pentru a modifica anexa I (activitățile prevăzute în aceasta, într-un mod coerent cu obiectivele inițiativei „Cipuri pentru Europa” 2.0) și anexa III (indicatorii cuantificabili și dispoziții privind stabilirea unui cadru de monitorizare și evaluare pentru a completa prezentul regulament).</w:t>
      </w:r>
    </w:p>
    <w:p w14:paraId="27B07237" w14:textId="77777777" w:rsidR="003A62C4" w:rsidRPr="00046858" w:rsidRDefault="003A62C4" w:rsidP="003A62C4">
      <w:pPr>
        <w:rPr>
          <w:noProof/>
        </w:rPr>
      </w:pPr>
      <w:r w:rsidRPr="00046858">
        <w:rPr>
          <w:b/>
          <w:noProof/>
        </w:rPr>
        <w:t>Capitolul VIII</w:t>
      </w:r>
      <w:r w:rsidRPr="00046858">
        <w:rPr>
          <w:noProof/>
        </w:rPr>
        <w:t xml:space="preserve"> prevede obligația Comisiei de a prezenta rapoarte periodice către Parlamentul European și Consiliu pentru evaluarea și revizuirea regulamentului.</w:t>
      </w:r>
    </w:p>
    <w:p w14:paraId="371A71A3" w14:textId="77777777" w:rsidR="00A03D5B" w:rsidRPr="00046858" w:rsidRDefault="00A03D5B" w:rsidP="0041561E">
      <w:pPr>
        <w:rPr>
          <w:noProof/>
        </w:rPr>
        <w:sectPr w:rsidR="00A03D5B" w:rsidRPr="00046858" w:rsidSect="0001503D">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pgNumType w:start="0"/>
          <w:cols w:space="720"/>
          <w:docGrid w:linePitch="360"/>
        </w:sectPr>
      </w:pPr>
    </w:p>
    <w:p w14:paraId="0C8642E6" w14:textId="711C7B1D" w:rsidR="00A94F39" w:rsidRPr="00046858" w:rsidRDefault="00046858" w:rsidP="00046858">
      <w:pPr>
        <w:pStyle w:val="Rfrenceinterinstitutionnelle"/>
        <w:rPr>
          <w:noProof/>
        </w:rPr>
      </w:pPr>
      <w:r>
        <w:rPr>
          <w:noProof/>
        </w:rPr>
        <w:lastRenderedPageBreak/>
        <w:t>2026/0139 (COD)</w:t>
      </w:r>
    </w:p>
    <w:p w14:paraId="15C12C60" w14:textId="1C9DE769" w:rsidR="00A03D5B" w:rsidRPr="00046858" w:rsidRDefault="00046858" w:rsidP="00046858">
      <w:pPr>
        <w:pStyle w:val="Statut"/>
        <w:rPr>
          <w:noProof/>
        </w:rPr>
      </w:pPr>
      <w:r w:rsidRPr="00046858">
        <w:rPr>
          <w:noProof/>
        </w:rPr>
        <w:t>Propunere de</w:t>
      </w:r>
    </w:p>
    <w:p w14:paraId="2ED028E8" w14:textId="12C5C86F" w:rsidR="00A03D5B" w:rsidRPr="00046858" w:rsidRDefault="00046858" w:rsidP="00046858">
      <w:pPr>
        <w:pStyle w:val="Typedudocument"/>
        <w:rPr>
          <w:noProof/>
        </w:rPr>
      </w:pPr>
      <w:r w:rsidRPr="00046858">
        <w:rPr>
          <w:noProof/>
        </w:rPr>
        <w:t>REGULAMENT AL PARLAMENTULUI EUROPEAN ȘI AL CONSILIULUI</w:t>
      </w:r>
    </w:p>
    <w:p w14:paraId="02BE1172" w14:textId="4C714FF8" w:rsidR="00A03D5B" w:rsidRPr="00046858" w:rsidRDefault="00046858" w:rsidP="00046858">
      <w:pPr>
        <w:pStyle w:val="Titreobjet"/>
        <w:rPr>
          <w:noProof/>
        </w:rPr>
      </w:pPr>
      <w:r w:rsidRPr="00046858">
        <w:rPr>
          <w:noProof/>
        </w:rPr>
        <w:t>privind un cadru de măsuri pentru consolidarea ecosistemului semiconductorilor din Uniune și de abrogare a Regulamentului (UE) 2023/1781 (Regulamentul privind cipurile 2.0)</w:t>
      </w:r>
    </w:p>
    <w:p w14:paraId="50AFE8A0" w14:textId="04C48FC3" w:rsidR="00A03D5B" w:rsidRPr="00046858" w:rsidRDefault="00046858" w:rsidP="00046858">
      <w:pPr>
        <w:pStyle w:val="IntrtEEE"/>
        <w:rPr>
          <w:noProof/>
        </w:rPr>
      </w:pPr>
      <w:r w:rsidRPr="00046858">
        <w:rPr>
          <w:noProof/>
        </w:rPr>
        <w:t>(Text cu relevanță pentru SEE)</w:t>
      </w:r>
    </w:p>
    <w:p w14:paraId="077C3466" w14:textId="77777777" w:rsidR="00A03D5B" w:rsidRPr="00046858" w:rsidRDefault="00A03D5B" w:rsidP="0041561E">
      <w:pPr>
        <w:pStyle w:val="Institutionquiagit"/>
        <w:rPr>
          <w:noProof/>
        </w:rPr>
      </w:pPr>
      <w:r w:rsidRPr="00046858">
        <w:rPr>
          <w:noProof/>
        </w:rPr>
        <w:t>PARLAMENTUL EUROPEAN ȘI CONSILIUL UNIUNII EUROPENE,</w:t>
      </w:r>
    </w:p>
    <w:p w14:paraId="42F2D13F" w14:textId="77777777" w:rsidR="00A03D5B" w:rsidRPr="00046858" w:rsidRDefault="00A03D5B" w:rsidP="0041561E">
      <w:pPr>
        <w:rPr>
          <w:noProof/>
        </w:rPr>
      </w:pPr>
      <w:r w:rsidRPr="00046858">
        <w:rPr>
          <w:noProof/>
        </w:rPr>
        <w:t>având în vedere Tratatul privind funcționarea Uniunii Europene, în special articolul 173 alineatul (3) și articolul 114,</w:t>
      </w:r>
    </w:p>
    <w:p w14:paraId="78522D75" w14:textId="77777777" w:rsidR="00A03D5B" w:rsidRPr="00046858" w:rsidRDefault="00A03D5B" w:rsidP="0041561E">
      <w:pPr>
        <w:rPr>
          <w:noProof/>
        </w:rPr>
      </w:pPr>
      <w:r w:rsidRPr="00046858">
        <w:rPr>
          <w:noProof/>
        </w:rPr>
        <w:t>având în vedere propunerea Comisiei Europene,</w:t>
      </w:r>
    </w:p>
    <w:p w14:paraId="03A6DDF7" w14:textId="77777777" w:rsidR="00A03D5B" w:rsidRPr="00046858" w:rsidRDefault="00A03D5B" w:rsidP="0041561E">
      <w:pPr>
        <w:rPr>
          <w:noProof/>
        </w:rPr>
      </w:pPr>
      <w:r w:rsidRPr="00046858">
        <w:rPr>
          <w:noProof/>
        </w:rPr>
        <w:t>după transmiterea proiectului de act legislativ către parlamentele naționale,</w:t>
      </w:r>
    </w:p>
    <w:p w14:paraId="339DF4F8" w14:textId="77777777" w:rsidR="004A7A0C" w:rsidRPr="00046858" w:rsidRDefault="00A03D5B" w:rsidP="0041561E">
      <w:pPr>
        <w:rPr>
          <w:noProof/>
        </w:rPr>
      </w:pPr>
      <w:r w:rsidRPr="00046858">
        <w:rPr>
          <w:noProof/>
        </w:rPr>
        <w:t>având în vedere avizul Comitetului Economic și Social European</w:t>
      </w:r>
      <w:r w:rsidRPr="00046858">
        <w:rPr>
          <w:rStyle w:val="FootnoteReference"/>
          <w:noProof/>
        </w:rPr>
        <w:footnoteReference w:id="27"/>
      </w:r>
      <w:r w:rsidRPr="00046858">
        <w:rPr>
          <w:noProof/>
        </w:rPr>
        <w:t xml:space="preserve">, </w:t>
      </w:r>
    </w:p>
    <w:p w14:paraId="4DCB9653" w14:textId="77777777" w:rsidR="00A03D5B" w:rsidRPr="00046858" w:rsidRDefault="00A03D5B" w:rsidP="0041561E">
      <w:pPr>
        <w:rPr>
          <w:noProof/>
        </w:rPr>
      </w:pPr>
      <w:r w:rsidRPr="00046858">
        <w:rPr>
          <w:noProof/>
        </w:rPr>
        <w:t>având în vedere avizul Comitetului Regiunilor</w:t>
      </w:r>
      <w:r w:rsidRPr="00046858">
        <w:rPr>
          <w:rStyle w:val="FootnoteReference"/>
          <w:noProof/>
        </w:rPr>
        <w:footnoteReference w:id="28"/>
      </w:r>
      <w:r w:rsidRPr="00046858">
        <w:rPr>
          <w:noProof/>
        </w:rPr>
        <w:t xml:space="preserve">, </w:t>
      </w:r>
    </w:p>
    <w:p w14:paraId="1652CBE4" w14:textId="77777777" w:rsidR="00A03D5B" w:rsidRPr="00046858" w:rsidRDefault="00A03D5B" w:rsidP="0041561E">
      <w:pPr>
        <w:rPr>
          <w:noProof/>
        </w:rPr>
      </w:pPr>
      <w:r w:rsidRPr="00046858">
        <w:rPr>
          <w:noProof/>
        </w:rPr>
        <w:t>hotărând în conformitate cu procedura legislativă ordinară,</w:t>
      </w:r>
    </w:p>
    <w:p w14:paraId="0164A639" w14:textId="77777777" w:rsidR="00A03D5B" w:rsidRPr="00046858" w:rsidRDefault="00A03D5B" w:rsidP="0041561E">
      <w:pPr>
        <w:rPr>
          <w:noProof/>
        </w:rPr>
      </w:pPr>
      <w:r w:rsidRPr="00046858">
        <w:rPr>
          <w:noProof/>
        </w:rPr>
        <w:t>întrucât:</w:t>
      </w:r>
    </w:p>
    <w:p w14:paraId="0D499B9F" w14:textId="49E86E06" w:rsidR="00A03D5B" w:rsidRPr="00046858" w:rsidRDefault="00362770" w:rsidP="008707D1">
      <w:pPr>
        <w:pStyle w:val="ManualConsidrant"/>
        <w:rPr>
          <w:noProof/>
        </w:rPr>
      </w:pPr>
      <w:r w:rsidRPr="00046858">
        <w:rPr>
          <w:noProof/>
        </w:rPr>
        <w:t>(1)</w:t>
      </w:r>
      <w:r w:rsidRPr="00046858">
        <w:rPr>
          <w:noProof/>
        </w:rPr>
        <w:tab/>
        <w:t>Regulamentul (UE) 2023/1781 al Parlamentului European și al Consiliului</w:t>
      </w:r>
      <w:r w:rsidRPr="00046858">
        <w:rPr>
          <w:rStyle w:val="FootnoteReference"/>
          <w:noProof/>
        </w:rPr>
        <w:footnoteReference w:id="29"/>
      </w:r>
      <w:r w:rsidRPr="00046858">
        <w:rPr>
          <w:noProof/>
        </w:rPr>
        <w:t xml:space="preserve"> de stabilire a unui cadru de măsuri pentru consolidarea ecosistemului european al semiconductorilor și de modificare a Regulamentului (UE) 2021/694 (Regulamentul privind cipurile) a stabilit un cadru cuprinzător la nivelul Uniunii pentru sprijinirea ecosistemului semiconductorilor, în vederea consolidării capacității tehnologice a Uniunii, a sporirii rezilienței și a asigurării securității aprovizionării.</w:t>
      </w:r>
    </w:p>
    <w:p w14:paraId="5BE3DE1B" w14:textId="1D170E65" w:rsidR="00397E66" w:rsidRPr="00046858" w:rsidRDefault="00A52EC3" w:rsidP="006E37D1">
      <w:pPr>
        <w:pStyle w:val="ManualConsidrant"/>
        <w:rPr>
          <w:noProof/>
        </w:rPr>
      </w:pPr>
      <w:r w:rsidRPr="00046858">
        <w:rPr>
          <w:noProof/>
        </w:rPr>
        <w:t>(2)</w:t>
      </w:r>
      <w:r w:rsidRPr="00046858">
        <w:rPr>
          <w:noProof/>
        </w:rPr>
        <w:tab/>
        <w:t>Evaluarea</w:t>
      </w:r>
      <w:r w:rsidRPr="00046858">
        <w:rPr>
          <w:rStyle w:val="FootnoteReference"/>
          <w:noProof/>
        </w:rPr>
        <w:footnoteReference w:id="30"/>
      </w:r>
      <w:r w:rsidRPr="00046858">
        <w:rPr>
          <w:noProof/>
        </w:rPr>
        <w:t xml:space="preserve"> Regulamentului (UE) 2023/1781 arată că acesta a permis mobilizarea de investiții publice și private semnificative, implementarea de infrastructuri avansate și instituirea de mecanisme de coordonare și de pregătire pentru situații de criză, contribuind astfel la îmbunătățirea cooperării dintre statele membre și la funcționarea pieței interne. Evaluarea a arătat că Regulamentul (UE) 2023/1781 a servit drept catalizator pentru o abordare coordonată la nivelul Uniunii în ceea ce privește semiconductorii, consolidând capacitățile de cercetare și inovare, dovedind accesul la infrastructurile tehnologice și instituind un cadru pentru capacitatea de producție, precum și un mecanism de criză și de răspuns pentru a anticipa potențialele perturbări. În același timp, evaluarea a identificat deficiențe structurale și provocări persistente </w:t>
      </w:r>
      <w:r w:rsidRPr="00046858">
        <w:rPr>
          <w:noProof/>
        </w:rPr>
        <w:lastRenderedPageBreak/>
        <w:t>care îi limitează eficacitatea în ceea ce privește abordarea nevoilor industriale și economice în continuă evoluție.</w:t>
      </w:r>
    </w:p>
    <w:p w14:paraId="4FCC91C1" w14:textId="3E8053D7" w:rsidR="00397E66" w:rsidRPr="00046858" w:rsidRDefault="00C2541D" w:rsidP="006E37D1">
      <w:pPr>
        <w:pStyle w:val="ManualConsidrant"/>
        <w:rPr>
          <w:noProof/>
        </w:rPr>
      </w:pPr>
      <w:r w:rsidRPr="00046858">
        <w:rPr>
          <w:noProof/>
        </w:rPr>
        <w:t>(3)</w:t>
      </w:r>
      <w:r w:rsidRPr="00046858">
        <w:rPr>
          <w:noProof/>
        </w:rPr>
        <w:tab/>
        <w:t>Deși cadrul instituit prin Regulamentul (UE) 2023/1781 s-a dovedit eficace în sprijinirea inovării și a capacității într-un stadiu incipient, tranziția de la dezvoltarea tehnologică la implementarea industrială la scară largă rămâne într-un stadiu incipient. Ciclurile lungi de investiții, dependențele structurale din segmentele critice ale lanțului valoric și constrângerile în ceea ce privește extinderea producției continuă să afecteze capacitatea Uniunii de a realiza un ecosistem rezilient și competitiv al semiconductorilor.</w:t>
      </w:r>
    </w:p>
    <w:p w14:paraId="76007679" w14:textId="0BBE4176" w:rsidR="00F775E2" w:rsidRPr="00046858" w:rsidRDefault="00B4523A" w:rsidP="006E37D1">
      <w:pPr>
        <w:pStyle w:val="ManualConsidrant"/>
        <w:rPr>
          <w:noProof/>
        </w:rPr>
      </w:pPr>
      <w:r w:rsidRPr="00046858">
        <w:rPr>
          <w:noProof/>
        </w:rPr>
        <w:t>(4)</w:t>
      </w:r>
      <w:r w:rsidRPr="00046858">
        <w:rPr>
          <w:noProof/>
        </w:rPr>
        <w:tab/>
        <w:t>În plus, evaluarea a arătat că disponibilitatea limitată a capitalului privat, în special pentru finanțarea în faze mai avansate, și caracteristicile structurale ale piețelor financiare limitează creșterea și extinderea întreprinderilor din domeniul semiconductorilor din Uniune. În același timp, fragmentarea cererii între sectoarele industriale, dimensiunea limitată a pieței și coordonarea insuficientă dintre cumpărători reduc viabilitatea comercială a investițiilor în producție și creează riscul unei utilizări insuficiente a capacităților emergente.</w:t>
      </w:r>
    </w:p>
    <w:p w14:paraId="0ACDE63D" w14:textId="4DAB22AF" w:rsidR="00681486" w:rsidRPr="00046858" w:rsidRDefault="00681486" w:rsidP="006E37D1">
      <w:pPr>
        <w:pStyle w:val="ManualConsidrant"/>
        <w:rPr>
          <w:noProof/>
        </w:rPr>
      </w:pPr>
      <w:r w:rsidRPr="00046858">
        <w:rPr>
          <w:noProof/>
        </w:rPr>
        <w:t>(5)</w:t>
      </w:r>
      <w:r w:rsidRPr="00046858">
        <w:rPr>
          <w:noProof/>
        </w:rPr>
        <w:tab/>
        <w:t>În plus, sectorul semiconductorilor a devenit o piatră de temelie a stabilității economice, a suveranității tehnologice și a securității Uniunii. Integrarea accelerată a tehnologiilor digitale avansate, în special a inteligenței artificiale (IA), a crescut semnificativ cererea mondială de semiconductori, intensificând în același timp concurența pe piețele internaționale. Aceste evoluții au scos la iveală vulnerabilități structurale ale lanțurilor de aprovizionare cu semiconductori din Uniune, inclusiv dependențe de furnizori externi limitați, o capacitate de producție internă insuficientă și fragmentarea la nivelul statelor membre.</w:t>
      </w:r>
    </w:p>
    <w:p w14:paraId="18066364" w14:textId="48C9CF70" w:rsidR="00B55B0A" w:rsidRPr="00046858" w:rsidRDefault="00B55B0A" w:rsidP="006E37D1">
      <w:pPr>
        <w:pStyle w:val="ManualConsidrant"/>
        <w:rPr>
          <w:noProof/>
        </w:rPr>
      </w:pPr>
      <w:r w:rsidRPr="00046858">
        <w:rPr>
          <w:noProof/>
        </w:rPr>
        <w:t>(6)</w:t>
      </w:r>
      <w:r w:rsidRPr="00046858">
        <w:rPr>
          <w:noProof/>
        </w:rPr>
        <w:tab/>
        <w:t>Importanța tot mai mare, în special, a aplicațiilor de IA a condus la o creștere bruscă a cererii de cipuri foarte specializate, cum ar fi semiconductorii avansați de logică și de memorie, care sunt esențiali pentru antrenarea și implementarea unor modele complexe de IA. Se preconizează că această tendință va continua, amplificând dezechilibrele existente dintre cerere și ofertă și punând o presiune suplimentară asupra lanțurilor de aprovizionare globale deja fragile. În același timp, tensiunile geopolitice, restricțiile la export și perturbările legate de crizele mondiale au evidențiat și mai mult riscurile asociate dependenței excesive de producția din țări terțe și diversificării limitate.</w:t>
      </w:r>
    </w:p>
    <w:p w14:paraId="481FB3C4" w14:textId="1DF3C3D0" w:rsidR="00B4523A" w:rsidRPr="00046858" w:rsidRDefault="0083623F" w:rsidP="006E37D1">
      <w:pPr>
        <w:pStyle w:val="ManualConsidrant"/>
        <w:rPr>
          <w:noProof/>
        </w:rPr>
      </w:pPr>
      <w:r w:rsidRPr="00046858">
        <w:rPr>
          <w:noProof/>
        </w:rPr>
        <w:t>(7)</w:t>
      </w:r>
      <w:r w:rsidRPr="00046858">
        <w:rPr>
          <w:noProof/>
        </w:rPr>
        <w:tab/>
        <w:t>Având în vedere aceste evoluții, este necesar să se consolideze și să se completeze cadrul instituit prin Regulamentul (UE) 2023/1781 pentru a sprijini tranziția de la inovare la scara industrială, pentru a spori reziliența și securitatea economică și pentru a asigura funcționarea eficace a pieței interne. În consecință, Regulamentul delegat (UE) 2023/1781 ar trebui să fie abrogat și înlocuit de prezentul regulament.</w:t>
      </w:r>
    </w:p>
    <w:p w14:paraId="03404823" w14:textId="552C1292" w:rsidR="0059301A" w:rsidRPr="00046858" w:rsidRDefault="0059301A" w:rsidP="006E37D1">
      <w:pPr>
        <w:pStyle w:val="ManualConsidrant"/>
        <w:rPr>
          <w:noProof/>
        </w:rPr>
      </w:pPr>
      <w:r w:rsidRPr="00046858">
        <w:rPr>
          <w:noProof/>
        </w:rPr>
        <w:t>(8)</w:t>
      </w:r>
      <w:r w:rsidRPr="00046858">
        <w:rPr>
          <w:noProof/>
        </w:rPr>
        <w:tab/>
        <w:t>Întrucât prezentul regulament consolidează și completează cadrul instituit prin Regulamentul (UE) 2023/1781 fără a-i modifica obiectivele fundamentale, temeiurile juridice care stau la baza cadrului respectiv rămân neschimbate.</w:t>
      </w:r>
    </w:p>
    <w:p w14:paraId="541C29B3" w14:textId="0824049B" w:rsidR="00397E66" w:rsidRPr="00046858" w:rsidRDefault="00463B44" w:rsidP="006E37D1">
      <w:pPr>
        <w:pStyle w:val="ManualConsidrant"/>
        <w:rPr>
          <w:noProof/>
        </w:rPr>
      </w:pPr>
      <w:r w:rsidRPr="00046858">
        <w:rPr>
          <w:noProof/>
        </w:rPr>
        <w:t>(9)</w:t>
      </w:r>
      <w:r w:rsidRPr="00046858">
        <w:rPr>
          <w:noProof/>
        </w:rPr>
        <w:tab/>
        <w:t xml:space="preserve">Prin urmare, prezentul regulament ar trebui să se bazeze, de asemenea, pe articolul 173 alineatul (3) din Tratatul privind funcționarea Uniunii Europene (TFUE) pentru a-i permite Uniunii să ia măsuri pentru menținerea și dezvoltarea în continuare a capacităților, precum și pentru consolidarea propriului ecosistem al semiconductorilor. Respectivele măsuri nu ar trebui să implice armonizarea actelor cu putere de lege și a normelor administrative naționale. În această privință, Uniunea ar trebui să </w:t>
      </w:r>
      <w:r w:rsidRPr="00046858">
        <w:rPr>
          <w:noProof/>
        </w:rPr>
        <w:lastRenderedPageBreak/>
        <w:t>consolideze competitivitatea și reziliența bazei tehnologice și industriale pentru semiconductori, consolidând în același timp capacitatea de inovare a propriului ecosistem al semiconductorilor în întreaga Uniune, reducând dependența de un număr limitat de întreprinderi din țări terțe și de zone geografice și consolidându-și capacitatea de a proiecta și a produce, încapsula, refolosi și recicla semiconductori avansați. Inițiativa „Cipuri pentru Europa”, instituită pentru prima dată prin Regulamentul (UE) 2023/1781, ar trebui să sprijine în continuare aceste obiective în temeiul prezentului regulament prin intensificarea eforturilor dincolo de reducerea decalajului dintre capabilitățile avansate de cercetare și inovare ale Uniunii și exploatarea lor industrială sustenabilă, precum și prin asigurarea transpunerii efective a acestor capabilități în producția la scară industrială și implementarea pe piață în cadrul Uniunii. Inițiativa „Cipuri pentru Europa” 2.0 ar trebui să promoveze în continuare consolidarea capacităților pentru a permite proiectarea, producția și integrarea sistemelor în tehnologii de generație următoare ale semiconductorilor și să continue să sprijine colaborarea dintre actorii-cheie din întreaga Uniune, să întărească lanțurile valorice și de aprovizionare cu semiconductori din Uniune, să deservească sectoare industriale cheie și să creeze noi piețe.</w:t>
      </w:r>
    </w:p>
    <w:p w14:paraId="5778A0B4" w14:textId="60450353" w:rsidR="003D41C3" w:rsidRPr="00046858" w:rsidRDefault="004C3BEE" w:rsidP="006E37D1">
      <w:pPr>
        <w:pStyle w:val="ManualConsidrant"/>
        <w:rPr>
          <w:noProof/>
        </w:rPr>
      </w:pPr>
      <w:r w:rsidRPr="00046858">
        <w:rPr>
          <w:noProof/>
        </w:rPr>
        <w:t>(10)</w:t>
      </w:r>
      <w:r w:rsidRPr="00046858">
        <w:rPr>
          <w:noProof/>
        </w:rPr>
        <w:tab/>
        <w:t xml:space="preserve">În plus, pentru a asigura funcționarea eficace a pieței interne, prezentul regulament ar trebui </w:t>
      </w:r>
      <w:r w:rsidRPr="00046858">
        <w:rPr>
          <w:rStyle w:val="Added"/>
          <w:b w:val="0"/>
          <w:noProof/>
          <w:u w:val="none"/>
        </w:rPr>
        <w:t>să contribuie la stabilirea</w:t>
      </w:r>
      <w:r w:rsidRPr="00046858">
        <w:rPr>
          <w:noProof/>
        </w:rPr>
        <w:t xml:space="preserve"> unui cadru coerent al Uniunii de apropiere a anumitor condiții și mecanisme de coordonare, în conformitate cu articolul 114 din TFUE. Un astfel de cadru este necesar pentru a preveni obstacolele din calea funcționării pieței interne, pentru a reduce fragmentarea și pentru a asigura un răspuns coerent și eficace la riscurile din lanțul de aprovizionare, rămânând în același timp în concordanță cu dreptul Uniunii și cu obligațiile internaționale. Acest lucru este deosebit de important, având în vedere că semiconductorii sunt o tehnologie fundamentală care stă la baza unei game largi de activități economice și infrastructuri critice în întreaga Uniune. În contextul tensiunilor geopolitice sporite, al concurenței strategice la nivel mondial și al considerentelor tot mai mari legate de securitatea economică, ecosistemul semiconductorilor a devenit un factor-cheie pentru stabilitatea și funcționarea pieței interne. Sectorul semiconductorilor este caracterizat de interdependențe transfrontaliere complexe de-a lungul lanțului valoric, activitățile foarte specializate fiind concentrate în zone geografice diferite, în timp ce industriile utilizatoare din aval sunt larg răspândite în întreaga Uniune. Aceste caracteristici înseamnă că perturbările, restricțiile sau denaturările care afectează lanțurile de aprovizionare cu semiconductori pot avea efecte transfrontaliere semnificative și un impact asupra funcționării pieței interne. Măsurile naționale divergente menite să abordeze astfel de riscuri pot crea fragmentare, pot denatura concurența și pot submina condițiile de concurență echitabile de pe piața internă, în special având în vedere caracterul integrat al rețelelor de producție și de distribuție. Prin urmare, obiectivele de asigurare a rezilienței, a securității și a bunei funcționări a lanțurilor de aprovizionare cu semiconductori în Uniune nu pot fi realizate în mod satisfăcător de către statele membre acționând individual, ci pot fi realizate mai bine la nivelul Uniunii, având în vedere amploarea și efectele lor transfrontaliere.</w:t>
      </w:r>
    </w:p>
    <w:p w14:paraId="49BA00B7" w14:textId="7CF21899" w:rsidR="008C27C8" w:rsidRPr="00046858" w:rsidRDefault="00CB3A5E" w:rsidP="006E37D1">
      <w:pPr>
        <w:pStyle w:val="ManualConsidrant"/>
        <w:rPr>
          <w:noProof/>
        </w:rPr>
      </w:pPr>
      <w:r w:rsidRPr="00046858">
        <w:rPr>
          <w:noProof/>
        </w:rPr>
        <w:t>(11)</w:t>
      </w:r>
      <w:r w:rsidRPr="00046858">
        <w:rPr>
          <w:noProof/>
        </w:rPr>
        <w:tab/>
        <w:t xml:space="preserve">Realizarea acestor obiective ar trebui să fie sprijinită în continuare de Consiliul european pentru semiconductori, alcătuit din reprezentanți ai statelor membre și prezidat de Comisie, pentru a facilita o punere în aplicare fără probleme, eficace și armonizată a prezentului regulament, precum și cooperarea și schimbul de informații. Consiliul european pentru semiconductori ar trebui să ofere consiliere și asistență Comisiei cu privire la chestiuni specifice, inclusiv cu privire la punerea în aplicare consecventă a prezentului regulament, facilitarea cooperării dintre statele membre și </w:t>
      </w:r>
      <w:r w:rsidRPr="00046858">
        <w:rPr>
          <w:noProof/>
        </w:rPr>
        <w:lastRenderedPageBreak/>
        <w:t>schimbul de informații referitoare la aspecte legate de prezentul regulament. Consiliul european pentru semiconductori ar trebui, de asemenea, să consilieze Comisia cu privire la cooperarea internațională legată de semiconductori, inclusiv cu privire la parteneriatele strategice privind semiconductorii și la sarcinile de colectare a informațiilor. Reuniunile pot include diferite subgrupuri.</w:t>
      </w:r>
    </w:p>
    <w:p w14:paraId="7FBA58D3" w14:textId="7FC5A24F" w:rsidR="00F51879" w:rsidRPr="00046858" w:rsidRDefault="00F51879" w:rsidP="006E37D1">
      <w:pPr>
        <w:pStyle w:val="ManualConsidrant"/>
        <w:rPr>
          <w:noProof/>
        </w:rPr>
      </w:pPr>
      <w:r w:rsidRPr="00046858">
        <w:rPr>
          <w:noProof/>
        </w:rPr>
        <w:t>(12)</w:t>
      </w:r>
      <w:r w:rsidRPr="00046858">
        <w:rPr>
          <w:noProof/>
        </w:rPr>
        <w:tab/>
        <w:t>Având în vedere caracterul mondializat al lanțului de aprovizionare cu semiconductori, cooperarea internațională cu țările terțe reprezintă un element important pentru a asigura reziliența ecosistemului semiconductorilor din Uniune. Acțiunile întreprinse în temeiul prezentului regulament ar trebui, de asemenea, să îi permită Uniunii să joace un rol mai important, în calitate de centru de excelență, într-un ecosistem mondial, interdependent și mai performant al semiconductorilor. După caz, ar trebui luate în considerare opiniile Alianței industriale pentru semiconductori</w:t>
      </w:r>
      <w:r w:rsidRPr="00046858">
        <w:rPr>
          <w:rStyle w:val="FootnoteReference"/>
          <w:noProof/>
        </w:rPr>
        <w:footnoteReference w:id="31"/>
      </w:r>
      <w:r w:rsidRPr="00046858">
        <w:rPr>
          <w:noProof/>
        </w:rPr>
        <w:t xml:space="preserve">, care preia operațiunile Alianței industriale pentru procesoare și tehnologiile semiconductorilor, precum și ale altor părți interesate. În conformitate cu obligațiile internaționale, Uniunea și statele membre ar putea colabora, inclusiv pe cale diplomatică, cu parteneri strategici internaționali care au avantaje în industria semiconductorilor, în vederea găsirii de soluții pentru a consolida securitatea aprovizionării și a aborda viitoarele perturbări ale lanțului de aprovizionare cu semiconductori, cum ar fi cele care rezultă din restricțiile la export din țări terțe, și pentru a identifica disponibilitatea materiilor prime și a produselor intermediare. </w:t>
      </w:r>
      <w:r w:rsidRPr="00046858">
        <w:rPr>
          <w:rStyle w:val="Added"/>
          <w:b w:val="0"/>
          <w:noProof/>
          <w:u w:val="none"/>
        </w:rPr>
        <w:t xml:space="preserve">Comisia și statele membre ar trebui să își coordoneze eforturile internaționale, în special cu sprijinul Consiliului european pentru semiconductori. </w:t>
      </w:r>
      <w:r w:rsidRPr="00046858">
        <w:rPr>
          <w:noProof/>
        </w:rPr>
        <w:t>Acest lucru poate implica, după caz, coordonarea în cadrul forurilor internaționale relevante, încheierea de acorduri comerciale și de investiții sau alte eforturi diplomatice sau colaborarea cu părțile interesate relevante.</w:t>
      </w:r>
    </w:p>
    <w:p w14:paraId="2AEE8985" w14:textId="39645AA5" w:rsidR="00097A90" w:rsidRPr="00046858" w:rsidRDefault="00097A90" w:rsidP="006E37D1">
      <w:pPr>
        <w:pStyle w:val="ManualConsidrant"/>
        <w:rPr>
          <w:bCs/>
          <w:noProof/>
        </w:rPr>
      </w:pPr>
      <w:r w:rsidRPr="00046858">
        <w:rPr>
          <w:noProof/>
        </w:rPr>
        <w:t>(13)</w:t>
      </w:r>
      <w:r w:rsidRPr="00046858">
        <w:rPr>
          <w:noProof/>
        </w:rPr>
        <w:tab/>
        <w:t xml:space="preserve">Consolidarea infrastructurii critice, a securității, a bazei industriale și a poziției de lider tehnologic ale Uniunii necesită un acces sigur și fiabil atât la tehnologiile de vârf ale semiconductorilor, cât și la tehnologiile de uz general ale semiconductorilor, inclusiv la procesoare, memorii, cipuri analogice, de putere, pentru senzori, de radiofrecvență și de conectivitate, care sunt esențiale pentru adaptarea la exigențele viitorului a sectoarelor strategice cum ar fi sectorul energetic și al apărării, industria auto, aviația, telecomunicațiile, sectorul sănătății, tehnologia de tip cloud computing și automatizarea industrială. Uniunea dispune de capabilități puternice într-o gamă largă de noduri mature, inclusiv în ceea ce privește cipurile pentru autovehicule, eficiente din punctul de vedere al consumului de energie și sigure, și ar trebui să își consolideze în continuare competitivitatea, reziliența și autonomia strategică de-a lungul întregului lanț valoric al semiconductorilor. </w:t>
      </w:r>
    </w:p>
    <w:p w14:paraId="1C1E7854" w14:textId="7044009A" w:rsidR="0061101D" w:rsidRPr="00046858" w:rsidRDefault="00537BF8" w:rsidP="006E37D1">
      <w:pPr>
        <w:pStyle w:val="ManualConsidrant"/>
        <w:rPr>
          <w:bCs/>
          <w:noProof/>
        </w:rPr>
      </w:pPr>
      <w:r w:rsidRPr="00046858">
        <w:rPr>
          <w:noProof/>
        </w:rPr>
        <w:t>(14)</w:t>
      </w:r>
      <w:r w:rsidRPr="00046858">
        <w:rPr>
          <w:noProof/>
        </w:rPr>
        <w:tab/>
        <w:t xml:space="preserve">Industria semiconductorilor implică necesități de investiții substanțiale, atât pentru activitățile de cercetare, dezvoltare și inovare, cât și pentru construirea de instalații de vârf dedicate testării și validării în sprijinul producției la scară industrială. Aceste caracteristici costisitoare au un impact direct asupra capacității Uniunii de a concura și de a inova și afectează securitatea aprovizionării și reziliența generală a ecosistemului său de semiconductori. În același timp, competitivitatea și reziliența Uniunii depind de disponibilitatea și dezvoltarea continuă a tehnologiilor de uz general și mature ale semiconductorilor, inclusiv a cipurilor analogice, de putere, pentru senzori, de conectivitate, pentru autovehicule și aeronautice, care rămân indispensabile în cadrul lanțurilor valorice industriale strategice și al infrastructurilor critice. În contextul actual al creșterii concurenței la nivel mondial, al tensiunilor geopolitice și al </w:t>
      </w:r>
      <w:r w:rsidRPr="00046858">
        <w:rPr>
          <w:noProof/>
        </w:rPr>
        <w:lastRenderedPageBreak/>
        <w:t>vulnerabilităților structurale ale lanțului de aprovizionare, semiconductorii au devenit un activ strategic care stă la baza securității economice, a poziției de lider tehnologic și a rezilienței industriale a Uniunii. Având în vedere lecțiile învățate din penuriile și perturbările anterioare ale lanțului de aprovizionare din Uniune și din întreaga lume, precum și restricțiile la export sau acțiunile de reglementare ale țărilor terțe și evoluția rapidă a provocărilor tehnologice și a ciclurilor de inovare care afectează lanțul valoric al semiconductorilor, este necesar să se consolideze punctele forte existente ale Uniunii, inclusiv poziția sa de lider în mai multe segmente principale ale semiconductorilor, sporind astfel adoptarea pe piață, competitivitatea, reziliența, capacitatea de cercetare și inovare prin consolidarea în continuare a inițiativei „Cipuri pentru Europa”.</w:t>
      </w:r>
    </w:p>
    <w:p w14:paraId="57FAED28" w14:textId="17905AEB" w:rsidR="00796E9C" w:rsidRPr="00046858" w:rsidRDefault="00CB2151" w:rsidP="006E37D1">
      <w:pPr>
        <w:pStyle w:val="ManualConsidrant"/>
        <w:rPr>
          <w:noProof/>
        </w:rPr>
      </w:pPr>
      <w:r w:rsidRPr="00046858">
        <w:rPr>
          <w:noProof/>
        </w:rPr>
        <w:t>(15)</w:t>
      </w:r>
      <w:r w:rsidRPr="00046858">
        <w:rPr>
          <w:noProof/>
        </w:rPr>
        <w:tab/>
        <w:t>Inițiativa îmbunătățită „Cipuri pentru Europa” 2.0 ar trebui să țină seama de experiența deja dobândită prin punerea în aplicare a inițiativei „Cipuri pentru Europa” pentru a o continua și a o consolida în vederea abordării deficiențelor structurale persistente și a răspunsului la nevoile strategice emergente. În special, este necesar să se intensifice eforturile pentru a se asigura transpunerea efectivă a capabilităților avansate de cercetare și inovare ale Uniunii în implementare industrială, extindere și producție la scară comercială în cadrul Uniunii.</w:t>
      </w:r>
    </w:p>
    <w:p w14:paraId="5068EBAD" w14:textId="292BFCF2" w:rsidR="00660DA2" w:rsidRPr="00046858" w:rsidRDefault="009A776C" w:rsidP="006E37D1">
      <w:pPr>
        <w:pStyle w:val="ManualConsidrant"/>
        <w:rPr>
          <w:noProof/>
        </w:rPr>
      </w:pPr>
      <w:r w:rsidRPr="00046858">
        <w:rPr>
          <w:noProof/>
        </w:rPr>
        <w:t>(16)</w:t>
      </w:r>
      <w:r w:rsidRPr="00046858">
        <w:rPr>
          <w:noProof/>
        </w:rPr>
        <w:tab/>
        <w:t>Statele membre au principala responsabilitate pentru susținerea unei baze industriale, competitive, durabile și inovatoare puternice la nivelul Uniunii. Cu toate acestea, natura și amploarea provocărilor în materie de cercetare și inovare în domeniul semiconductorilor impun o acțiune concertată la nivelul Uniunii. Pentru a dota Uniunea cu capacitățile de cercetare și inovare în domeniul tehnologiei semiconductorilor necesare pentru a menține rolul de lider la nivelul investițiilor sale industriale și de cercetare de vârf și pe baza experienței dobândite și a lecțiilor învățate din punerea în aplicare a inițiativei „Cipuri pentru Europa”, este necesar să se consolideze și să se extindă în continuare aceste capacități pentru a asigura implementarea lor industrială eficace, extinderea și producția la scară comercială în Uniune. În acest scop, Uniunea și statele membre ar trebui să continue să își coordoneze eforturile și să realizeze coinvestiții.</w:t>
      </w:r>
    </w:p>
    <w:p w14:paraId="64262503" w14:textId="646B9827" w:rsidR="00A45072" w:rsidRPr="00046858" w:rsidRDefault="006F7B91" w:rsidP="006E37D1">
      <w:pPr>
        <w:pStyle w:val="ManualConsidrant"/>
        <w:rPr>
          <w:noProof/>
        </w:rPr>
      </w:pPr>
      <w:r w:rsidRPr="00046858">
        <w:rPr>
          <w:noProof/>
        </w:rPr>
        <w:t>(17)</w:t>
      </w:r>
      <w:r w:rsidRPr="00046858">
        <w:rPr>
          <w:noProof/>
        </w:rPr>
        <w:tab/>
        <w:t>Având în vedere creșterea concurenței la nivel mondial, tensiunile geopolitice și riscul de perturbări ale lanțului de aprovizionare cu semiconductori, inclusiv cele care decurg din măsurile de reglementare adoptate de țări terțe care pot afecta accesul la tehnologiile critice ale semiconductorilor și la factorii de producție aferenți, consolidarea capacității Uniunii de a dezvolta, produce și implementa astfel de tehnologii pe teritoriul său a devenit o prioritate strategică pentru competitivitatea, securitatea economică și suveranitatea tehnologică a Uniunii, astfel cum se subliniază în raportul lui Mario Draghi intitulat „The future of European competitiveness” (Viitorul competitivității europene). Aceste provocări cu care se confruntă ecosistemul semiconductorilor din Uniune necesită realizarea unei capacități la scară largă, precum și un efort colectiv din partea statelor membre, Uniunea sprijinind dezvoltarea și implementarea unei capacități la scară largă de-a lungul întregului lanț valoric industrial și de inovare, inclusiv prin linii-pilot, extinderea producției și implementarea comercială, asigurând astfel transpunerea efectivă a excelenței din domeniul cercetării în poziția de lider industrial și în capacitatea de producție durabilă în cadrul Uniunii.</w:t>
      </w:r>
    </w:p>
    <w:p w14:paraId="2666C3C6" w14:textId="4AFD77DD" w:rsidR="009A776C" w:rsidRPr="00046858" w:rsidRDefault="006F7B91" w:rsidP="006E37D1">
      <w:pPr>
        <w:pStyle w:val="ManualConsidrant"/>
        <w:rPr>
          <w:noProof/>
        </w:rPr>
      </w:pPr>
      <w:r w:rsidRPr="00046858">
        <w:rPr>
          <w:noProof/>
        </w:rPr>
        <w:t>(18)</w:t>
      </w:r>
      <w:r w:rsidRPr="00046858">
        <w:rPr>
          <w:noProof/>
        </w:rPr>
        <w:tab/>
        <w:t xml:space="preserve">Astfel cum s-a concluzionat în evaluarea Regulamentului (UE) 2023/1781, instrumentele instituite de inițiativa „Cipuri pentru Europa” prevăzută în regulamentul respectiv, și anume platforma de proiectare, liniile-pilot, proiectele-pilot pentru cipurile cuantice și difuzarea cunoștințelor, Academia de competențe a UE în </w:t>
      </w:r>
      <w:r w:rsidRPr="00046858">
        <w:rPr>
          <w:noProof/>
        </w:rPr>
        <w:lastRenderedPageBreak/>
        <w:t>domeniul cipurilor din cadrul alianțelor pentru cooperare sectorială în materie de competențe și Pactul pentru competențe, precum și competențele în beneficiul întregului ecosistem al semiconductorilor sunt adecvate scopului și ar trebui să fie sprijinite în continuare în temeiul prezentului regulament. Aceste eforturi ar trebui, de asemenea, să contribuie la obiectivul mai larg al Uniunii de consolidare a competitivității pe termen lung, a capacității de inovare și a bazei industriale, inclusiv prin sinergii cu viitoarele programe ale Uniunii de sprijinire a cercetării și inovării și a implementării industriale, cum ar fi programul-cadru propus</w:t>
      </w:r>
      <w:r w:rsidRPr="00046858">
        <w:rPr>
          <w:rStyle w:val="FootnoteReference"/>
          <w:noProof/>
        </w:rPr>
        <w:footnoteReference w:id="32"/>
      </w:r>
      <w:r w:rsidRPr="00046858">
        <w:rPr>
          <w:noProof/>
        </w:rPr>
        <w:t xml:space="preserve"> ca succesor al programului-cadru pentru cercetare și inovare Orizont Europa instituit prin Regulamentul (UE) 2021/695 al Parlamentului European și al Consiliului</w:t>
      </w:r>
      <w:r w:rsidRPr="00046858">
        <w:rPr>
          <w:rStyle w:val="FootnoteReference"/>
          <w:noProof/>
        </w:rPr>
        <w:footnoteReference w:id="33"/>
      </w:r>
      <w:r w:rsidRPr="00046858">
        <w:rPr>
          <w:noProof/>
        </w:rPr>
        <w:t xml:space="preserve"> (Orizont Europa) (PC10) și Fondul european pentru competitivitate propus</w:t>
      </w:r>
      <w:r w:rsidRPr="00046858">
        <w:rPr>
          <w:rStyle w:val="FootnoteReference"/>
          <w:noProof/>
        </w:rPr>
        <w:footnoteReference w:id="34"/>
      </w:r>
      <w:r w:rsidRPr="00046858">
        <w:rPr>
          <w:noProof/>
        </w:rPr>
        <w:t>, în timp ce inițiativa „Cipuri pentru Europa” 2.0 ar trebui, în măsura posibilului, să integreze și să maximizeze beneficiile aplicării tehnologiilor semiconductorilor ca factori puternici de facilitare, de exemplu, a tranziției către durabilitate, care poate conduce la noi produse și la o utilizare mai eficientă, mai eficace, mai curată și mai durabilă a resurselor, inclusiv a energiei și a materialelor necesare pentru producție și pentru utilizarea pe parcursul întregului ciclu de viață a semiconductorilor.</w:t>
      </w:r>
    </w:p>
    <w:p w14:paraId="4F715B0B" w14:textId="0A33753C" w:rsidR="003D27D2" w:rsidRPr="00046858" w:rsidRDefault="00E45EDD" w:rsidP="006E37D1">
      <w:pPr>
        <w:pStyle w:val="ManualConsidrant"/>
        <w:rPr>
          <w:noProof/>
        </w:rPr>
      </w:pPr>
      <w:r w:rsidRPr="00046858">
        <w:rPr>
          <w:noProof/>
        </w:rPr>
        <w:t>(19)</w:t>
      </w:r>
      <w:r w:rsidRPr="00046858">
        <w:rPr>
          <w:noProof/>
        </w:rPr>
        <w:tab/>
        <w:t>Pentru a-și atinge obiectivul general și pentru a aborda atât provocările legate de ofertă, cât și pe cele legate de cerere ale actualului ecosistem al semiconductorilor, precum și pe baza experienței dobândite și a lecțiilor învățate din punerea în aplicare a Regulamentului (UE) 2023/1781, care a demonstrat necesitatea continuă de a consolida capacitatea Uniunii nu numai în domeniul cercetării și inovării, ci și în ceea ce privește implementarea industrială și extinderea producției, inițiativa „Cipuri pentru Europa” 2.0 ar trebui să sprijine și să consolideze în continuare cele cinci obiective operaționale instituite în temeiul Regulamentului (UE) 2023/1781. Aceasta ar trebui, de asemenea, să introducă un nou obiectiv operațional menit să consolideze capabilitățile Uniunii în domeniul tehnologiilor fotonice și să sprijine „marile provocări” ca instrumente de sprijinire a inițiativelor transsectoriale la scară largă care abordează provocări tehnologice și industriale majore de importanță strategică pentru Uniune. Punerea în aplicare primară a inițiativei „Cipuri pentru Europa” 2.0 ar trebui să fie încredințată în continuare întreprinderii comune pentru cipuri și, după caz, întreprinderii comune sau oricărei alte entități sau inițiative similare care îi succedă acesteia, instituită prin dreptul Uniunii în temeiul unui cadru financiar multianual ulterior.</w:t>
      </w:r>
    </w:p>
    <w:p w14:paraId="4ABEA636" w14:textId="7CE54998" w:rsidR="006F7B91" w:rsidRPr="00046858" w:rsidRDefault="00903517" w:rsidP="006E37D1">
      <w:pPr>
        <w:pStyle w:val="ManualConsidrant"/>
        <w:rPr>
          <w:noProof/>
        </w:rPr>
      </w:pPr>
      <w:r w:rsidRPr="00046858">
        <w:rPr>
          <w:noProof/>
        </w:rPr>
        <w:t>(20)</w:t>
      </w:r>
      <w:r w:rsidRPr="00046858">
        <w:rPr>
          <w:noProof/>
        </w:rPr>
        <w:tab/>
        <w:t xml:space="preserve">În primul rând, inițiativa „Cipuri pentru Europa” 2.0 ar trebui să consolideze capacitatea de proiectare a Uniunii. În acest scop, Comisia ar trebui să sprijine în continuare platforma de proiectare virtuală instituită în cadrul inițiativei „Cipuri pentru Europa” pentru a conecta comunitățile de centre de proiectare, start-upurile, întreprinderile mici și mijlocii (IMM-uri), actorii din domeniul proprietății </w:t>
      </w:r>
      <w:r w:rsidRPr="00046858">
        <w:rPr>
          <w:noProof/>
        </w:rPr>
        <w:lastRenderedPageBreak/>
        <w:t>intelectuale, furnizorii de instrumente și organizațiile de cercetare și tehnologie pentru a furniza soluții de prototip virtuale, bazate pe codezvoltarea de tehnologie și pentru a facilita tranziția de la proiectare la producția industrială și implementarea comercială în cadrul Uniunii.</w:t>
      </w:r>
    </w:p>
    <w:p w14:paraId="0EFB5111" w14:textId="10659CF1" w:rsidR="00E45EDD" w:rsidRPr="00046858" w:rsidRDefault="00033240" w:rsidP="006E37D1">
      <w:pPr>
        <w:pStyle w:val="ManualConsidrant"/>
        <w:rPr>
          <w:noProof/>
        </w:rPr>
      </w:pPr>
      <w:r w:rsidRPr="00046858">
        <w:rPr>
          <w:noProof/>
        </w:rPr>
        <w:t>(21)</w:t>
      </w:r>
      <w:r w:rsidRPr="00046858">
        <w:rPr>
          <w:noProof/>
        </w:rPr>
        <w:tab/>
        <w:t>În al doilea rând, pentru a oferi baza pentru consolidarea securității aprovizionării și a ecosistemului semiconductorilor din Uniune, inițiativa „Cipuri pentru Europa” 2.0 ar trebui să continue să sprijine consolidarea actualelor linii-pilot avansate și dezvoltarea de noi linii-pilot avansate pentru a permite dezvoltarea și implementarea tehnologiilor de vârf ale semiconductorilor și tehnologiilor de generație următoare ale semiconductorilor. Liniile-pilot ar trebui să furnizeze industriei o instalație de testare, experimentare și validare a tehnologiilor semiconductorilor, precum și a conceptelor de proiectare a sistemelor, reducând în același timp cât mai mult posibil impactul asupra mediului, pentru a accelera tranziția acestora către fabricarea semiconductorilor la scară industrială în cadrul Uniunii. Investițiile din partea Uniunii, alături de statele membre și sectorul privat, în linii-pilot rămân necesare pentru a aborda provocările structurale persistente și disfuncționalitățile pieței, inclusiv disponibilitatea insuficientă a capacităților de testare, validare și extindere a fabricării semiconductorilor la scară industrială în Uniune, care continuă să împiedice inovarea, implementarea industrială și competitivitatea globală.</w:t>
      </w:r>
    </w:p>
    <w:p w14:paraId="5A61BEC8" w14:textId="127EB16C" w:rsidR="00033240" w:rsidRPr="00046858" w:rsidRDefault="009604B2" w:rsidP="006E37D1">
      <w:pPr>
        <w:pStyle w:val="ManualConsidrant"/>
        <w:rPr>
          <w:noProof/>
        </w:rPr>
      </w:pPr>
      <w:r w:rsidRPr="00046858">
        <w:rPr>
          <w:noProof/>
        </w:rPr>
        <w:t>(22)</w:t>
      </w:r>
      <w:r w:rsidRPr="00046858">
        <w:rPr>
          <w:noProof/>
        </w:rPr>
        <w:tab/>
        <w:t>În al treilea rând, pentru a accelera dezvoltarea inovatoare a cipurilor cuantice și a tehnologiilor semiconductorilor conexe, inclusiv a celor bazate pe material semiconductor sau pe fotonica integrată, menite să ducă la dezvoltarea sectorului semiconductorilor, inițiativa „Cipuri pentru Europa” 2.0 ar trebui să sprijine acțiuni care să vizeze inclusiv bibliotecile de proiectare pentru cipurile cuantice, liniile-pilot pentru dezvoltarea de cipuri cuantice și instalațiile de testare și validare a cipurilor cuantice produse de liniile-pilot cu scopul de a permite implementarea lor industrială și de a consolida poziția de lider tehnologic a Uniunii în domeniul tehnologiilor emergente ale semiconductorilor.</w:t>
      </w:r>
    </w:p>
    <w:p w14:paraId="72E0F50A" w14:textId="37B9F94C" w:rsidR="009604B2" w:rsidRPr="00046858" w:rsidRDefault="00357BE0" w:rsidP="006E37D1">
      <w:pPr>
        <w:pStyle w:val="ManualConsidrant"/>
        <w:rPr>
          <w:noProof/>
        </w:rPr>
      </w:pPr>
      <w:r w:rsidRPr="00046858">
        <w:rPr>
          <w:noProof/>
        </w:rPr>
        <w:t>(23)</w:t>
      </w:r>
      <w:r w:rsidRPr="00046858">
        <w:rPr>
          <w:noProof/>
        </w:rPr>
        <w:tab/>
        <w:t>În al patrulea rând, pentru a promova utilizarea tehnologiilor semiconductorilor, pentru a oferi acces la instalațiile de proiectare și la liniile-pilot și pentru a aborda lacunele în materie de competențe în întreaga Uniune, inițiativa „Cipuri pentru Europa” 2.0 ar trebui să continue să le ofere statelor membre posibilitatea de a sprijini cel puțin un centru de competență privind semiconductorii în fiecare stat membru, prin consolidarea centrelor existente sau prin crearea de instalații noi.</w:t>
      </w:r>
    </w:p>
    <w:p w14:paraId="3B258089" w14:textId="4A9DF5C4" w:rsidR="00013310" w:rsidRPr="00046858" w:rsidRDefault="00013310" w:rsidP="006E37D1">
      <w:pPr>
        <w:pStyle w:val="ManualConsidrant"/>
        <w:rPr>
          <w:noProof/>
        </w:rPr>
      </w:pPr>
      <w:r w:rsidRPr="00046858">
        <w:rPr>
          <w:noProof/>
        </w:rPr>
        <w:t>(24)</w:t>
      </w:r>
      <w:r w:rsidRPr="00046858">
        <w:rPr>
          <w:noProof/>
        </w:rPr>
        <w:tab/>
        <w:t xml:space="preserve">În al cincilea rând, fotonica și circuitele integrate fotonice sunt tehnologii generice esențiale pentru o gamă largă de sectoare strategice, care includ telecomunicațiile, centrele de date, inteligența artificială, tehnologiile de detecție, sectorul sănătății, industria autovehiculelor, tehnologiile aeronautice și tehnologiile cuantice. Acestea permit transmiterea de date de mare viteză, prelucrarea eficientă din punct de vedere energetic și capabilități avansate de detecție și, prin urmare, sunt esențiale pentru poziția de lider tehnologic, competitivitatea și securitatea aprovizionării ale Uniunii. Uniunea a instituit capabilități solide de cercetare și inovare și deține poziții de lider în mai multe segmente ale lanțului valoric al fotonicii. Cu toate acestea, sunt necesare eforturi suplimentare pentru a consolida capacitatea Uniunii de a proiecta, de a crea prototipuri, de a industrializa și de a fabrica la scară largă circuite integrate fotonice și tehnologii fotonice ale semiconductorilor asociate. Prin urmare, pentru a promova dezvoltarea tehnologică în domeniul fotonicii și al circuitelor integrate fotonice, este necesar să se sprijine dezvoltarea bibliotecilor de proiectare și a instrumentelor de proiectare, să se consolideze tehnologiile de producție și platformele de materiale și să </w:t>
      </w:r>
      <w:r w:rsidRPr="00046858">
        <w:rPr>
          <w:noProof/>
        </w:rPr>
        <w:lastRenderedPageBreak/>
        <w:t>se consolideze liniile-pilot și instalațiile de producție cu acces liber pe mai multe platforme de materiale. Aceste acțiuni ar trebui să faciliteze crearea de prototipuri, testarea, validarea și adoptarea industrială, inclusiv prin tehnologii avansate de integrare și încapsulare, și să contribuie la consolidarea ecosistemului fotonic al Uniunii, la consolidarea suveranității sale tehnologice și la accelerarea implementării industriale a tehnologiilor fotonice inovatoare în întreaga Uniune.</w:t>
      </w:r>
    </w:p>
    <w:p w14:paraId="28C0E402" w14:textId="45F227F2" w:rsidR="00AA3E16" w:rsidRPr="00046858" w:rsidRDefault="00095F3C" w:rsidP="006E37D1">
      <w:pPr>
        <w:pStyle w:val="ManualConsidrant"/>
        <w:rPr>
          <w:noProof/>
        </w:rPr>
      </w:pPr>
      <w:r w:rsidRPr="00046858">
        <w:rPr>
          <w:noProof/>
        </w:rPr>
        <w:t>(25)</w:t>
      </w:r>
      <w:r w:rsidRPr="00046858">
        <w:rPr>
          <w:noProof/>
        </w:rPr>
        <w:tab/>
        <w:t>În al șaselea rând, Comisia ar trebui să sprijine în continuare „Fondul pentru cipuri”, și anume o facilitate specifică de investiții în semiconductori menită să consolideze ecosistemul european al semiconductorilor prin sprijinirea start-upurilor, a întreprinderilor în curs de extindere și a IMM-urilor care propun soluții atât de capital, cât și de datorie, inclusiv un mecanism de finanțare mixtă în cadrul Fondului InvestEU instituit prin Regulamentul (UE) 2021/523 al Parlamentului European și al Consiliului</w:t>
      </w:r>
      <w:r w:rsidRPr="00046858">
        <w:rPr>
          <w:rStyle w:val="FootnoteReference"/>
          <w:noProof/>
        </w:rPr>
        <w:footnoteReference w:id="35"/>
      </w:r>
      <w:r w:rsidRPr="00046858">
        <w:rPr>
          <w:noProof/>
        </w:rPr>
        <w:t>, și, dacă este cazul, orice altă schemă de investiții relevantă în temeiul cadrului financiar multianual 2028-2034, în strânsă cooperare cu Grupul Băncii Europene de Investiții și împreună cu alți parteneri de implementare, cum ar fi băncile și instituțiile naționale de promovare. Activitățile Fondului pentru cipuri ar trebui să sprijine dezvoltarea unui ecosistem dinamic și rezilient al semiconductorilor, oferind atât oportunități pentru o mai mare disponibilitate a fondurilor menite să sprijine creșterea start-upurilor și a IMM-urilor, cât și investiții de-a lungul lanțului valoric, inclusiv pentru alte întreprinderi din lanțul valoric al semiconductorilor. În acest sens, ar trebui să se ofere sprijin și orientări clare, în special IMM-urilor, cu scopul de a le sprijini în procesul de depunere a cererilor. În acest context, se preconizează că, în continuare, Consiliul European pentru Inovare va oferi sprijin specific prin granturi și investiții de capital pentru inovatorii cu risc ridicat, creatori de piețe.</w:t>
      </w:r>
    </w:p>
    <w:p w14:paraId="0AF7EB35" w14:textId="7CEE0A41" w:rsidR="00F73671" w:rsidRPr="00046858" w:rsidRDefault="00E23B01" w:rsidP="006E37D1">
      <w:pPr>
        <w:pStyle w:val="ManualConsidrant"/>
        <w:rPr>
          <w:noProof/>
        </w:rPr>
      </w:pPr>
      <w:r w:rsidRPr="00046858">
        <w:rPr>
          <w:noProof/>
        </w:rPr>
        <w:t>(26)</w:t>
      </w:r>
      <w:r w:rsidRPr="00046858">
        <w:rPr>
          <w:noProof/>
        </w:rPr>
        <w:tab/>
        <w:t xml:space="preserve">Pentru a consolida și mai mult poziția de lider tehnologic și competitivitatea industrială ale Uniunii în domeniul semiconductorilor, este oportun să se introducă în cadrul inițiativei „Cipuri pentru Europa” 2.0 conceptul de „mari provocări”. Aceste mari provocări ar trebui să se concentreze pe dezvoltarea, integrarea și implementarea industrială a tehnologiilor promițătoare și critice ale semiconductorilor și a tehnologiilor conexe de importanță majoră pentru Uniune. Marile provocări ar trebui să sprijine activitățile avansate de cercetare și dezvoltare menite să permită dezvoltarea următoarei generații de tehnologii ale semiconductorilor, inclusiv cele care stau la baza IA, a tehnologiei de tip cloud, a centrelor de date și a infrastructurilor de edge computing, cu un accent deosebit pe creșterea eficienței energetice, pe asigurarea capacităților în domeniul tehnologiilor de vârf și pe consolidarea punctelor forte ale Uniunii în materie de producție. Ele ar trebui să abordeze, de asemenea, principalele obstacole tehnologice, inclusiv provocările legate de miniaturizare, eficiența energetică, durabilitate, integrarea eterogenă, securitate, fiabilitate și capacitatea de producție. Pentru a maximiza impactul lor, marile provocări ar trebui să contribuie la consolidarea ecosistemului semiconductorilor în întreaga Uniune prin încurajarea colaborării de-a lungul lanțului valoric al semiconductorilor, inclusiv cu sectoarele verticale relevante. În special, acestea ar trebui să sprijine cooperarea structurată dintre dezvoltatorii de semiconductori și industriile utilizatoare, în vederea obținerii unui avantaj competitiv în ceea ce privește aplicațiile esențiale pentru suveranitatea tehnologică și baza industrială ale Uniunii. În sfârșit, marile provocări ar trebui să asigure în continuare integrarea și alinierea eforturilor la nivelul infrastructurilor </w:t>
      </w:r>
      <w:r w:rsidRPr="00046858">
        <w:rPr>
          <w:noProof/>
        </w:rPr>
        <w:lastRenderedPageBreak/>
        <w:t>existente, inclusiv al liniilor-pilot, și să promoveze orientarea acestora către utilizarea industrială. Ele ar trebui să faciliteze transferul, maturizarea și adoptarea tehnologiilor dezvoltate în cadrul inițiativei „Cipuri pentru Europa” 2.0, inclusiv prin activități legate de crearea de prototipuri, testare, validare, demonstrație, implementarea industrială inițială și integrarea în mediile de producție.</w:t>
      </w:r>
    </w:p>
    <w:p w14:paraId="640718DC" w14:textId="5BA57B63" w:rsidR="009E7C21" w:rsidRPr="00046858" w:rsidRDefault="009E7C21" w:rsidP="006E37D1">
      <w:pPr>
        <w:pStyle w:val="ManualConsidrant"/>
        <w:rPr>
          <w:noProof/>
        </w:rPr>
      </w:pPr>
      <w:r w:rsidRPr="00046858">
        <w:rPr>
          <w:noProof/>
        </w:rPr>
        <w:t>(27)</w:t>
      </w:r>
      <w:r w:rsidRPr="00046858">
        <w:rPr>
          <w:noProof/>
        </w:rPr>
        <w:tab/>
        <w:t>Centrele de competență ar trebui să contribuie la menținerea poziției de lider a Uniunii în ceea ce privește capabilitățile de cercetare, dezvoltare, inovare și proiectare în domeniul cipurilor. Promovarea potențialului uman și a competențelor prin intermediul educației în materiile din domeniul științei, tehnologiei, ingineriei și matematicii până la niveluri ulterioare doctoratului este esențială pentru realizarea acestui obiectiv. În special, centrele de competență ar trebui să furnizeze servicii părților interesate din domeniul semiconductorilor, inclusiv start-upurilor și IMM-urilor. Printre exemple se numără facilitarea accesului la liniile-pilot și la platforma de proiectare virtuală, oferirea de formare și de dezvoltare a competențelor, acordarea de sprijin pentru găsirea de investitori, utilizarea competențelor locale existente sau cooperarea cu sectoarele specializate relevante. Serviciile ar trebui furnizate în mod deschis, transparent și nediscriminatoriu. Fiecare centru de competență ar trebui să se conecteze la rețeaua europeană a centrelor de competență în domeniul semiconductorilor și să facă parte din aceasta, precum și să acționeze ca punct de acces la alte noduri ale rețelei. În acest sens, ar trebui maximizate sinergiile cu structurile similare existente, cum ar fi centrele europene de inovare digitală înființate în cadrul programului „Europa digitală” instituit prin Regulamentul (UE) 2021/694 al Parlamentului European și al Consiliului</w:t>
      </w:r>
      <w:r w:rsidRPr="00046858">
        <w:rPr>
          <w:rStyle w:val="FootnoteReference"/>
          <w:noProof/>
        </w:rPr>
        <w:footnoteReference w:id="36"/>
      </w:r>
      <w:r w:rsidRPr="00046858">
        <w:rPr>
          <w:noProof/>
        </w:rPr>
        <w:t>. De exemplu, statele membre ar putea desemna un centru european de inovare digitală existent axat pe semiconductori drept centru de competență în sensul prezentului regulament, cu condiția să nu se încalce interdicția dublei finanțări.</w:t>
      </w:r>
    </w:p>
    <w:p w14:paraId="7F518A22" w14:textId="00612DC4" w:rsidR="009E7C21" w:rsidRPr="00046858" w:rsidRDefault="009E7C21" w:rsidP="006E37D1">
      <w:pPr>
        <w:pStyle w:val="ManualConsidrant"/>
        <w:rPr>
          <w:noProof/>
        </w:rPr>
      </w:pPr>
      <w:r w:rsidRPr="00046858">
        <w:rPr>
          <w:noProof/>
        </w:rPr>
        <w:t>(28)</w:t>
      </w:r>
      <w:r w:rsidRPr="00046858">
        <w:rPr>
          <w:noProof/>
        </w:rPr>
        <w:tab/>
        <w:t>Pentru a facilita accesul la competențe tehnice specifice și pentru a asigura diseminarea cunoștințelor în întreaga Uniune, precum și pentru a sprijini diverse inițiative în materie de competențe, rețeaua centrelor de competență instituită în cadrul inițiativei „Cipuri pentru Europa” ar trebui să fie sprijinită în continuare în cadrul inițiativei „Cipuri pentru Europa” 2.0. În acest scop, întreprinderea comună pentru cipuri, instituită prin Regulamentul (UE) 2021/2085 al Consiliului</w:t>
      </w:r>
      <w:r w:rsidRPr="00046858">
        <w:rPr>
          <w:rStyle w:val="FootnoteReference"/>
          <w:noProof/>
        </w:rPr>
        <w:footnoteReference w:id="37"/>
      </w:r>
      <w:r w:rsidRPr="00046858">
        <w:rPr>
          <w:noProof/>
        </w:rPr>
        <w:t>, ar trebui să stabilească procedura pentru continuarea sprijinului acordat centrelor de competență, inclusiv criteriile de selecție, precum și detalii suplimentare privind punerea în aplicare a sarcinilor și funcțiilor menționate în prezentul regulament. Centrele de competență care alcătuiesc rețeaua ar trebui să fie selectate de întreprinderea comună pentru cipuri și să beneficieze de o autonomie generală substanțială pentru a-și stabili modul de organizare, componența și metodele de lucru. Cu toate acestea, organizarea, componența și metodele lor de lucru ar trebui să respecte obiectivele prezentului regulament și să contribuie la acestea.</w:t>
      </w:r>
    </w:p>
    <w:p w14:paraId="762D2EDD" w14:textId="1ACE9F0B" w:rsidR="00C56734" w:rsidRPr="00046858" w:rsidRDefault="00C7606E" w:rsidP="006E37D1">
      <w:pPr>
        <w:pStyle w:val="ManualConsidrant"/>
        <w:rPr>
          <w:noProof/>
        </w:rPr>
      </w:pPr>
      <w:r w:rsidRPr="00046858">
        <w:rPr>
          <w:noProof/>
        </w:rPr>
        <w:t>(29)</w:t>
      </w:r>
      <w:r w:rsidRPr="00046858">
        <w:rPr>
          <w:noProof/>
        </w:rPr>
        <w:tab/>
        <w:t xml:space="preserve">Activitățile legate de competențe și educație desfășurate de Uniune sunt fundamentale pentru dezvoltarea în continuare a ecosistemului semiconductorilor din Uniune. În </w:t>
      </w:r>
      <w:r w:rsidRPr="00046858">
        <w:rPr>
          <w:noProof/>
        </w:rPr>
        <w:lastRenderedPageBreak/>
        <w:t>acest scop, ar trebui valorificate Planul strategic pentru educația în domeniul STEM</w:t>
      </w:r>
      <w:r w:rsidRPr="00046858">
        <w:rPr>
          <w:rStyle w:val="FootnoteReference"/>
          <w:noProof/>
        </w:rPr>
        <w:footnoteReference w:id="38"/>
      </w:r>
      <w:r w:rsidRPr="00046858">
        <w:rPr>
          <w:noProof/>
        </w:rPr>
        <w:t xml:space="preserve"> și acțiunile sale, iar inițiative precum Pactul pentru competențe</w:t>
      </w:r>
      <w:r w:rsidRPr="00046858">
        <w:rPr>
          <w:rStyle w:val="FootnoteReference"/>
          <w:noProof/>
        </w:rPr>
        <w:footnoteReference w:id="39"/>
      </w:r>
      <w:r w:rsidRPr="00046858">
        <w:rPr>
          <w:noProof/>
        </w:rPr>
        <w:t>, academiile de competențe</w:t>
      </w:r>
      <w:r w:rsidRPr="00046858">
        <w:rPr>
          <w:rStyle w:val="FootnoteReference"/>
          <w:noProof/>
        </w:rPr>
        <w:footnoteReference w:id="40"/>
      </w:r>
      <w:r w:rsidRPr="00046858">
        <w:rPr>
          <w:noProof/>
        </w:rPr>
        <w:t>, programele europene comune de studii</w:t>
      </w:r>
      <w:r w:rsidRPr="00046858">
        <w:rPr>
          <w:rStyle w:val="FootnoteReference"/>
          <w:noProof/>
        </w:rPr>
        <w:footnoteReference w:id="41"/>
      </w:r>
      <w:r w:rsidRPr="00046858">
        <w:rPr>
          <w:noProof/>
        </w:rPr>
        <w:t>, inițiativa privind portabilitatea competențelor</w:t>
      </w:r>
      <w:r w:rsidRPr="00046858">
        <w:rPr>
          <w:rStyle w:val="FootnoteReference"/>
          <w:noProof/>
        </w:rPr>
        <w:footnoteReference w:id="42"/>
      </w:r>
      <w:r w:rsidRPr="00046858">
        <w:rPr>
          <w:noProof/>
        </w:rPr>
        <w:t xml:space="preserve"> și alianțele universităților europene</w:t>
      </w:r>
      <w:r w:rsidRPr="00046858">
        <w:rPr>
          <w:rStyle w:val="FootnoteReference"/>
          <w:noProof/>
        </w:rPr>
        <w:footnoteReference w:id="43"/>
      </w:r>
      <w:r w:rsidRPr="00046858">
        <w:rPr>
          <w:noProof/>
        </w:rPr>
        <w:t xml:space="preserve"> ar trebui să contribuie la dezvoltarea unor acțiuni specifice pentru sectorul semiconductorilor. În mod similar, pentru a atrage talente externe în Uniune, ar trebui explorate sinergiile cu inițiativele care facilitează recrutarea internațională, cum ar fi Rezerva de talente la nivelul UE</w:t>
      </w:r>
      <w:r w:rsidRPr="00046858">
        <w:rPr>
          <w:rStyle w:val="FootnoteReference"/>
          <w:noProof/>
        </w:rPr>
        <w:footnoteReference w:id="44"/>
      </w:r>
      <w:r w:rsidRPr="00046858">
        <w:rPr>
          <w:noProof/>
        </w:rPr>
        <w:t xml:space="preserve">. </w:t>
      </w:r>
    </w:p>
    <w:p w14:paraId="3E6BBF82" w14:textId="18DA6912" w:rsidR="006B573E" w:rsidRPr="00046858" w:rsidRDefault="006B573E" w:rsidP="006E37D1">
      <w:pPr>
        <w:pStyle w:val="ManualConsidrant"/>
        <w:rPr>
          <w:noProof/>
        </w:rPr>
      </w:pPr>
      <w:r w:rsidRPr="00046858">
        <w:rPr>
          <w:noProof/>
        </w:rPr>
        <w:t>(30)</w:t>
      </w:r>
      <w:r w:rsidRPr="00046858">
        <w:rPr>
          <w:noProof/>
        </w:rPr>
        <w:tab/>
        <w:t>Accesul la infrastructura finanțată din fonduri publice, cum ar fi instalațiile-pilot și instalațiile de testare, precum și la centrele de competență, ar trebui să fie deschis unei mari diversități de utilizatori și ar trebui să fie acordat în mod transparent, nediscriminatoriu și în condițiile pieței (sau pe baza costului plus o marjă rezonabilă) pentru întreprinderile mari, în timp ce IMM-urile și instituțiile academice pot beneficia de acces preferențial sau de prețuri reduse, facilitând astfel o participare mai largă la inovarea în domeniul semiconductorilor și sprijinind dezvoltarea și difuzarea capabilităților industriale în întreaga Uniune. În plus, activitățile de cercetare și inovare din cadrul inițiativei „Cipuri pentru Europa” 2.0, inclusiv infrastructurile tehnologice, ar trebui să fie, de asemenea, în beneficiul sectorului apărării, fără a aduce atingere altor activități de dezvoltare de produse și tehnologii din domeniul apărării care pot avea loc în temeiul Regulamentului (UE) 2025/2643.</w:t>
      </w:r>
    </w:p>
    <w:p w14:paraId="469EB55E" w14:textId="2B6757B5" w:rsidR="00532489" w:rsidRPr="00046858" w:rsidRDefault="00532489" w:rsidP="006E37D1">
      <w:pPr>
        <w:pStyle w:val="ManualConsidrant"/>
        <w:rPr>
          <w:noProof/>
        </w:rPr>
      </w:pPr>
      <w:r w:rsidRPr="00046858">
        <w:rPr>
          <w:noProof/>
        </w:rPr>
        <w:t>(31)</w:t>
      </w:r>
      <w:r w:rsidRPr="00046858">
        <w:rPr>
          <w:noProof/>
        </w:rPr>
        <w:tab/>
        <w:t>Succesul inițiativei „Cipuri pentru Europa” 2.0 poate fi asigurat numai printr-un efort colectiv al statelor membre și al Uniunii de a sprijini costurile de capital semnificative, de a extinde disponibilitatea resurselor pentru proiectare virtuală, testare și experimentare, alături de difuzarea cunoștințelor, a aptitudinilor și a competențelor. După caz, având în vedere particularitățile acțiunilor vizate, obiectivele inițiativei „Cipuri pentru Europa” 2.0, în special activitățile Fondului pentru cipuri, ar trebui să fie sprijinite și printr-un mecanism de finanțare mixtă în cadrul Fondului InvestEU. Sprijinul oferit prin inițiativa „Cipuri pentru Europa” 2.0 ar trebui să fie utilizat pentru a aborda, în mod proporțional și eficient din punctul de vedere al costurilor, disfuncționalitățile pieței sau situațiile de investiții insuficiente, ca o consecință a marii intensități a capitalului, a riscurilor ridicate și a peisajului complex al ecosistemului semiconductorilor, iar acțiunile nu ar trebui să se suprapună cu finanțarea privată sau să o excludă ori să denatureze concurența pe piața internă. Acțiunile ar trebui să aibă o valoare adăugată clară pentru întreaga Uniune.</w:t>
      </w:r>
    </w:p>
    <w:p w14:paraId="51A0BA81" w14:textId="49D01AD1" w:rsidR="00EE7A48" w:rsidRPr="00046858" w:rsidRDefault="00F7658B" w:rsidP="006E37D1">
      <w:pPr>
        <w:pStyle w:val="ManualConsidrant"/>
        <w:rPr>
          <w:noProof/>
        </w:rPr>
      </w:pPr>
      <w:r w:rsidRPr="00046858">
        <w:rPr>
          <w:noProof/>
        </w:rPr>
        <w:t>(32)</w:t>
      </w:r>
      <w:r w:rsidRPr="00046858">
        <w:rPr>
          <w:noProof/>
        </w:rPr>
        <w:tab/>
        <w:t xml:space="preserve">În plus, inițiativa „Cipuri pentru Europa” 2.0 ar trebui să continue să se sprijine pe o bază solidă de cunoștințe și să sporească sinergiile cu acțiunile sprijinite în prezent de Uniune și de statele membre prin programe și acțiuni de cercetare și inovare în domeniul semiconductorilor și de dezvoltare a unei părți a lanțului valoric, în special </w:t>
      </w:r>
      <w:r w:rsidRPr="00046858">
        <w:rPr>
          <w:noProof/>
        </w:rPr>
        <w:lastRenderedPageBreak/>
        <w:t>Orizont Europa și programul „Europa digitală” cu scopul de a consolida poziția Uniunii de actor mondial în domeniul tehnologiei semiconductorilor și al aplicațiilor acesteia, care să dețină o pondere din ce în ce mai mare în sectorul producției la nivel mondial, în conformitate cu comunicarea Comisiei intitulată „Busola pentru dimensiunea digitală 2030: modelul european pentru deceniul digital”</w:t>
      </w:r>
      <w:r w:rsidRPr="00046858">
        <w:rPr>
          <w:rStyle w:val="FootnoteReference"/>
          <w:noProof/>
        </w:rPr>
        <w:footnoteReference w:id="45"/>
      </w:r>
      <w:r w:rsidRPr="00046858">
        <w:rPr>
          <w:noProof/>
        </w:rPr>
        <w:t xml:space="preserve">. În plus, potrivit așteptărilor, ar trebui mobilizate investiții private pentru a completa finanțarea din cadrul inițiativei „Cipuri pentru Europa” 2.0, contribuind la realizarea obiectivelor sale. În completarea acestor activități, inițiativa „Cipuri pentru Europa” 2.0 ar colabora îndeaproape cu alte părți interesate relevante, inclusiv cu Alianța industrială pentru semiconductori. </w:t>
      </w:r>
    </w:p>
    <w:p w14:paraId="1E1FBB29" w14:textId="3E0610E2" w:rsidR="00953A7E" w:rsidRPr="00046858" w:rsidRDefault="004E07C1" w:rsidP="006E37D1">
      <w:pPr>
        <w:pStyle w:val="ManualConsidrant"/>
        <w:rPr>
          <w:noProof/>
        </w:rPr>
      </w:pPr>
      <w:r w:rsidRPr="00046858">
        <w:rPr>
          <w:noProof/>
        </w:rPr>
        <w:t>(33)</w:t>
      </w:r>
      <w:r w:rsidRPr="00046858">
        <w:rPr>
          <w:noProof/>
        </w:rPr>
        <w:tab/>
        <w:t>Cercetarea și dezvoltarea în cadrul Uniunii este din ce în ce mai expusă unor practici care vizează însușirea frauduloasă a informațiilor confidențiale, a secretelor comerciale și a datelor protejate, cum ar fi furtul de proprietate intelectuală, transferurile forțate de tehnologie și spionajul economic. Pentru a preveni efectele negative asupra intereselor Uniunii și a obiectivelor inițiativei „Cipuri pentru Europa” 2.0, este necesar să se adopte o abordare care să asigure faptul că accesul la informații sau rezultate sensibile din punct de vedere comercial și utilizarea acestora, inclusiv în ceea ce privește datele și know-how-ul, securitatea și transferul de proprietate asupra rezultatelor, precum și conținutul protejat prin drepturi de proprietate intelectuală generat în legătură cu acțiunile sprijinite de inițiativa „Cipuri pentru Europa” 2.0 sau ca urmare a acestora sunt protejate. Pentru a asigura această protecție, orice acțiune sprijinită de inițiativa „Cipuri pentru Europa” 2.0 și finanțată prin Orizont Europa și programul „Europa digitală”, precum și prin programele care le vor succeda într-un cadru financiar multianual ulterior ar trebui să respecte dispozițiile relevante ale respectivelor programe, cum ar fi cele privind participarea entităților stabilite în țări terțe asociate la program, acordurile de grant, proprietatea și protecția, securitatea, exploatarea și diseminarea, transferul și acordarea de licențe și drepturile de acces. Este posibil să se stabilească dispoziții specifice atunci când se implementează programele respective, în special în ceea ce privește limitările transferurilor și ale acordării de licențe în conformitate cu articolul 40 alineatul (4) din Regulamentul (UE) 2021/695 și limitarea participării entităților juridice stabilite în anumite țări asociate sau în alte țări terțe din motive legate de activele strategice, interesele, autonomia sau securitatea Uniunii și ale statelor membre, în conformitate cu articolul 22 alineatul (5) din Regulamentul (UE) 2021/695 și cu articolul 12 alineatul (6) din Regulamentul (UE) 2021/694. În plus, tratarea informațiilor sensibile din punct de vedere comercial, securitatea, confidențialitatea, protecția secretelor comerciale și a drepturilor de proprietate intelectuală ar trebui să fie reglementate de dreptul Uniunii, inclusiv de Directivele 2004/48/CE și (UE) 2016/943</w:t>
      </w:r>
      <w:r w:rsidRPr="00046858">
        <w:rPr>
          <w:rStyle w:val="FootnoteReference"/>
          <w:noProof/>
        </w:rPr>
        <w:footnoteReference w:id="46"/>
      </w:r>
      <w:r w:rsidRPr="00046858">
        <w:rPr>
          <w:noProof/>
        </w:rPr>
        <w:t xml:space="preserve"> ale Parlamentului European și ale Consiliului și de dreptul intern. Comisia și statele membre pot proteja transferurile de tehnologie din motive legate de interesele Uniunii și cele naționale în materie de securitate în legătură cu investițiile efectuate în instalații care intră în domeniul de aplicare al prezentului regulament, în conformitate cu Regulamentul (UE) 2019/452 al Parlamentului European și al Consiliului.</w:t>
      </w:r>
    </w:p>
    <w:p w14:paraId="425BD4A2" w14:textId="1DD5532D" w:rsidR="00C62FF5" w:rsidRPr="00046858" w:rsidRDefault="00C24E06" w:rsidP="006E37D1">
      <w:pPr>
        <w:pStyle w:val="ManualConsidrant"/>
        <w:rPr>
          <w:noProof/>
        </w:rPr>
      </w:pPr>
      <w:r w:rsidRPr="00046858">
        <w:rPr>
          <w:noProof/>
        </w:rPr>
        <w:lastRenderedPageBreak/>
        <w:t>(34)</w:t>
      </w:r>
      <w:r w:rsidRPr="00046858">
        <w:rPr>
          <w:noProof/>
        </w:rPr>
        <w:tab/>
        <w:t>Pentru a consolida adoptarea semiconductorilor proiectați în Uniune, fabricați în Uniune sau ambele de-a lungul lanțurilor valorice industriale, este necesar să se promoveze legături mai strânse între oferta de semiconductori și cererea industrială din aval, menținându-se în același timp concordanța cu obligațiile internaționale și cu normele în materie de concurență ale Uniunii. În special, o coordonare sporită între furnizorii și utilizatorii de tehnologii ale semiconductorilor ar trebui să faciliteze identificarea cererii agregate, elaborarea de cerințe tehnice comune și dezvoltarea de soluții adaptate la nevoile industriale ale Uniunii. O astfel de coordonare este deosebit de relevantă în sectoare-cheie precum tehnologia de tip cloud computing, industria auto, aeronautica, telecomunicațiile, robotica și sectorul apărării, care sunt caracterizate de cerințe de înaltă performanță, securitate, fiabilitate și eficiență energetică și în care semiconductorii constituie o tehnologie generică esențială pentru inovare, transformarea digitală și autonomia strategică. În aceste sectoare, implicarea timpurie a utilizatorilor în faza de proiectare și dezvoltare poate reduce în mod semnificativ timpul necesar introducerii pe piață, poate îmbunătăți integrarea sistemelor și poate asigura faptul că soluțiile aferente semiconductorilor sunt adecvate scopului și aliniate la standardele industriale în continuă evoluție și la constrângerile operaționale. În acest scop, Comisia, în cooperare cu statele membre și cu părțile interesate relevante, ar trebui să creeze condițiile necesare pentru ca Alianța pentru semiconductori să faciliteze stabilirea de contacte industriale, activitățile de coproiectare și inițiativele de colaborare, inclusiv prin intermediul unui forum dedicat cererii, cu scopul de a reduce decalajul dintre cerere și ofertă, de a promova ecosistemele de inovare și de a accelera implementarea soluțiilor bazate pe semiconductori în Uniune, în conformitate cu normele Uniunii în materie de concurență și într-un mod coerent cu obligațiile internaționale ale Uniunii. Pentru semiconductorii utilizați în sectorul apărării și în cel spațial, care sunt foarte specializați și trebuie să funcționeze în mod fiabil în medii extreme și ostile, Comisia ar trebui să coordoneze în continuare activitățile din cadrul Observatorului UE pentru tehnologii critice pentru spațiu și apărare.</w:t>
      </w:r>
    </w:p>
    <w:p w14:paraId="57F9224B" w14:textId="04978A8B" w:rsidR="007B778F" w:rsidRPr="00046858" w:rsidRDefault="007B778F" w:rsidP="006E37D1">
      <w:pPr>
        <w:pStyle w:val="ManualConsidrant"/>
        <w:rPr>
          <w:noProof/>
        </w:rPr>
      </w:pPr>
      <w:r w:rsidRPr="00046858">
        <w:rPr>
          <w:noProof/>
        </w:rPr>
        <w:t>(35)</w:t>
      </w:r>
      <w:r w:rsidRPr="00046858">
        <w:rPr>
          <w:noProof/>
        </w:rPr>
        <w:tab/>
        <w:t xml:space="preserve">În sectorul spațial și al apărării, activitățile menite să identifice lacunele, vulnerabilitățile și nevoile vor continua în cadrul Observatorului UE pentru tehnologii critice (OCT), deja înființat. Foile de parcurs tehnologice specifice ale UE pentru spațiu și apărare, inclusiv pentru semiconductori, care răspund OCT și acoperă cercetarea, inovarea și industrializarea, vor sta la baza programului de lucru al UE pentru activitățile de dezvoltare în sectorul spațial și al apărării. </w:t>
      </w:r>
    </w:p>
    <w:p w14:paraId="0BA5701D" w14:textId="590BD64D" w:rsidR="006704E2" w:rsidRPr="00046858" w:rsidRDefault="00195D17" w:rsidP="006E37D1">
      <w:pPr>
        <w:pStyle w:val="ManualConsidrant"/>
        <w:rPr>
          <w:noProof/>
        </w:rPr>
      </w:pPr>
      <w:r w:rsidRPr="00046858">
        <w:rPr>
          <w:noProof/>
        </w:rPr>
        <w:t>(36)</w:t>
      </w:r>
      <w:r w:rsidRPr="00046858">
        <w:rPr>
          <w:noProof/>
        </w:rPr>
        <w:tab/>
        <w:t xml:space="preserve">Forumul dedicat cererii ar trebui să le permită potențialilor achizitori de tehnologii ale semiconductorilor să își exprime nevoile și specificațiile preconizate dintr-o perspectivă agregată sau la nivelul întregii industrii, permițând în același timp inițiativelor europene în domeniul tehnologiilor semiconductorilor și proiectelor strategice să își prezinte capabilitățile tehnologice și soluțiile propuse. Măsurile de accelerare a cererii ar trebui să faciliteze platformele colaborative, proiectele-pilot și parteneriatele de proiectare, permițând validarea și implementarea timpurie a soluțiilor inovatoare în materie de semiconductori în Uniune. Acestea pot contribui, de asemenea, la creșterea ecosistemelor inovatoare și pot facilita apariția unor piețe-lider în sectoare-cheie, sporind astfel competitivitatea industrială și suveranitatea tehnologică ale Uniunii. Toate activitățile desfășurate în cadrul forumului dedicat cererii și măsurile de accelerare a cererii ar trebui puse în aplicare în deplină conformitate cu dreptul Uniunii în materie de concurență și cu alte dispoziții relevante din dreptul Uniunii, asigurându-se că respectiva cooperare între întreprinderi nu </w:t>
      </w:r>
      <w:r w:rsidRPr="00046858">
        <w:rPr>
          <w:noProof/>
        </w:rPr>
        <w:lastRenderedPageBreak/>
        <w:t>conduce la denaturări ale concurenței sau la schimbul de informații sensibile din punct de vedere comercial.</w:t>
      </w:r>
    </w:p>
    <w:p w14:paraId="64CACC58" w14:textId="4BD0B63B" w:rsidR="006F2109" w:rsidRPr="00046858" w:rsidRDefault="00287977" w:rsidP="006E37D1">
      <w:pPr>
        <w:pStyle w:val="ManualConsidrant"/>
        <w:rPr>
          <w:strike/>
          <w:noProof/>
        </w:rPr>
      </w:pPr>
      <w:r w:rsidRPr="00046858">
        <w:rPr>
          <w:noProof/>
        </w:rPr>
        <w:t>(37)</w:t>
      </w:r>
      <w:r w:rsidRPr="00046858">
        <w:rPr>
          <w:noProof/>
        </w:rPr>
        <w:tab/>
        <w:t xml:space="preserve">Pentru a încuraja implementarea la scară largă a sistemelor care integrează tehnologii avansate ale semiconductorilor în Uniune, este necesar să se sprijine acțiuni specifice care să consolideze cooperarea și inovarea. În special, facilitarea încheierii unor acorduri transfrontaliere de achiziții publice comune între autoritățile sau entitățile contractante poate contribui la agregarea cererii, la reducerea fragmentării pieței și la facilitarea unor investiții mai eficiente în sisteme complexe și costisitoare bazate pe semiconductori. În același timp, sprijinirea integrării și a implementării tehnologiilor inovatoare ale semiconductorilor este esențială pentru a accelera adoptarea acestora în sectoare-cheie, inclusiv în infrastructura digitală, inteligența artificială și aplicațiile industriale, consolidând astfel capacitatea tehnologică și competitivitatea Uniunii. Pentru a asigura punerea în aplicare eficace a unor astfel de acțiuni, Comisia ar trebui să le ofere orientări tehnice și juridice autorităților contractante. Aceste orientări ar trebui să sprijine autoritățile contractante în utilizarea de criterii legate de securitatea aprovizionării, securitatea cibernetică, reziliența, eficiența energetică, performanța pe durata ciclului de viață, transparența lanțului de aprovizionare și valoarea adăugată la nivelul Uniunii atunci când achiziționează sisteme care integrează soluții și proiectări inovatoare de semiconductori, în conformitate cu dreptul aplicabil al Uniunii și cu obligațiile internaționale. În special, ele ar trebui să promoveze achizițiile publice înainte de comercializare, parteneriatele pentru inovare și achizițiile publice comune de proceduri capabile să creeze din timp o cerere de tehnologii fiabile ale semiconductorilor dezvoltate, produse sau atât dezvoltate, cât și produse în Uniune. </w:t>
      </w:r>
    </w:p>
    <w:p w14:paraId="530E3491" w14:textId="7C3FC4DA" w:rsidR="00E64916" w:rsidRPr="00046858" w:rsidRDefault="00E64916" w:rsidP="006E37D1">
      <w:pPr>
        <w:pStyle w:val="ManualConsidrant"/>
        <w:rPr>
          <w:noProof/>
        </w:rPr>
      </w:pPr>
      <w:r w:rsidRPr="00046858">
        <w:rPr>
          <w:noProof/>
        </w:rPr>
        <w:t>(38)</w:t>
      </w:r>
      <w:r w:rsidRPr="00046858">
        <w:rPr>
          <w:noProof/>
        </w:rPr>
        <w:tab/>
        <w:t>Având în vedere importanța lor pentru asigurarea securității aprovizionării și pentru crearea unui ecosistem rezilient al semiconductorilor, inițiativele europene în domeniul tehnologiilor semiconductorilor și proiectele strategice ar trebui considerate ca fiind de interes public. Asigurarea securității aprovizionării cu semiconductori este importantă și pentru digitalizare, fapt care permite tranziția verde a multor altor sectoare. Pentru a atrage investiții în sectorul semiconductorilor din Uniune și a contribui la securitatea aprovizionării cu semiconductori și la reziliența ecosistemului semiconductorilor din Uniune, statele membre pot aplica măsuri de sprijin, inclusiv stimulente, și pot furniza sprijin administrativ în cadrul unor proceduri naționale de acordare a autorizațiilor pentru inițiativele europene în domeniul tehnologiilor semiconductorilor. În cadrul financiar multianual 2028-2034, planurile de parteneriat național și regional pot face parte din sprijin, sub rezerva dispozițiilor planurilor respective. Posibilitatea acordării de sprijin de către statele membre nu ar trebui să aducă atingere competenței Comisiei în domeniul ajutoarelor de stat în temeiul articolelor 107 și 108 din TFUE, după caz. Pentru a asigura aplicarea corectă și eficientă a normelor privind ajutoarele de stat, în comunicarea sa intitulată „Actul european privind cipurile”</w:t>
      </w:r>
      <w:r w:rsidRPr="00046858">
        <w:rPr>
          <w:rStyle w:val="FootnoteReference"/>
          <w:noProof/>
        </w:rPr>
        <w:footnoteReference w:id="47"/>
      </w:r>
      <w:r w:rsidRPr="00046858">
        <w:rPr>
          <w:noProof/>
        </w:rPr>
        <w:t xml:space="preserve">, Comisia a recunoscut deja necesitatea unei evaluări de la caz la caz în ceea ce privește ajutoarele de stat acordate instalațiilor de producție a semiconductorilor cu scopul de a proteja securitatea aprovizionării și reziliența lanțului de aprovizionare al Uniunii, generând, în același timp, efecte pozitive semnificative asupra economiei în general. În plus, procedurile de recunoaștere ca inițiative europene în domeniul tehnologiilor semiconductorilor și de autorizare a ajutoarelor de stat, după caz, ar trebui să se desfășoare în paralel, pentru a accelera procesul decizional. Statele membre ar trebui să sprijine instituirea unor inițiative europene în </w:t>
      </w:r>
      <w:r w:rsidRPr="00046858">
        <w:rPr>
          <w:noProof/>
        </w:rPr>
        <w:lastRenderedPageBreak/>
        <w:t>domeniul tehnologiilor semiconductorilor, în conformitate cu dreptul Uniunii. Atunci când furnizează măsuri de sprijin pentru inițiativele europene în domeniul tehnologiilor semiconductorilor, statele membre ar trebui aibă în vedere stabilirea unor cerințe nediscriminatorii legate de protecția și securitatea proprietății intelectuale, inclusiv legate de securitatea cibernetică, și de confidențialitate și ar putea recomanda măsuri de atenuare pentru a aborda riscurile specifice legate de ingerințe, de transferurile forțate de tehnologie și de furtul de proprietate intelectuală de către entități din țări terțe.</w:t>
      </w:r>
    </w:p>
    <w:p w14:paraId="63038E64" w14:textId="753F68C1" w:rsidR="00E64916" w:rsidRPr="00046858" w:rsidRDefault="00E64916" w:rsidP="006E37D1">
      <w:pPr>
        <w:pStyle w:val="ManualConsidrant"/>
        <w:rPr>
          <w:noProof/>
        </w:rPr>
      </w:pPr>
      <w:r w:rsidRPr="00046858">
        <w:rPr>
          <w:noProof/>
        </w:rPr>
        <w:t>(39)</w:t>
      </w:r>
      <w:r w:rsidRPr="00046858">
        <w:rPr>
          <w:noProof/>
        </w:rPr>
        <w:tab/>
        <w:t>Pentru a încuraja înființarea capabilităților de proiectare aferente necesare, statele membre pot oferi sprijin pentru astfel de activități în conformitate cu normele privind ajutoarele de stat, inclusiv în temeiul cadrului pentru ajutoarele de stat pentru cercetare, dezvoltare și inovare</w:t>
      </w:r>
      <w:r w:rsidRPr="00046858">
        <w:rPr>
          <w:rStyle w:val="FootnoteReference"/>
          <w:noProof/>
        </w:rPr>
        <w:footnoteReference w:id="48"/>
      </w:r>
      <w:r w:rsidRPr="00046858">
        <w:rPr>
          <w:noProof/>
        </w:rPr>
        <w:t xml:space="preserve"> sau al Regulamentului (UE) nr. 651/2014 al Comisiei</w:t>
      </w:r>
      <w:r w:rsidRPr="00046858">
        <w:rPr>
          <w:rStyle w:val="FootnoteReference"/>
          <w:noProof/>
        </w:rPr>
        <w:footnoteReference w:id="49"/>
      </w:r>
      <w:r w:rsidRPr="00046858">
        <w:rPr>
          <w:noProof/>
        </w:rPr>
        <w:t>.</w:t>
      </w:r>
    </w:p>
    <w:p w14:paraId="1A7A8BDD" w14:textId="52D7CBEA" w:rsidR="004C1CCC" w:rsidRPr="00046858" w:rsidRDefault="008A60CA" w:rsidP="006E37D1">
      <w:pPr>
        <w:pStyle w:val="ManualConsidrant"/>
        <w:rPr>
          <w:noProof/>
        </w:rPr>
      </w:pPr>
      <w:r w:rsidRPr="00046858">
        <w:rPr>
          <w:noProof/>
        </w:rPr>
        <w:t>(40)</w:t>
      </w:r>
      <w:r w:rsidRPr="00046858">
        <w:rPr>
          <w:noProof/>
        </w:rPr>
        <w:tab/>
        <w:t>Pentru a încuraja înființarea capabilităților de fabricarea și de proiectare aferente necesare și, prin urmare, pentru a garanta securitatea aprovizionării în Uniune și a consolida reziliența ecosistemului semiconductorilor din Uniune, poate fi adecvat să se acorde sprijin public, cu condiția ca acest lucru să nu ducă la perturbări ale pieței interne. În acest sens, este necesar să se armonizeze anumite condiții pentru desfășurarea de către operatori a unor proiecte specifice la nivelul Uniunii, care să contribuie la realizarea obiectivelor prezentului regulament, precum și să se stabilească un cadru pentru recunoașterea inițiativelor europene în domeniul tehnologiilor semiconductorilor.</w:t>
      </w:r>
    </w:p>
    <w:p w14:paraId="6A546896" w14:textId="094CE870" w:rsidR="007943F1" w:rsidRPr="00046858" w:rsidRDefault="00047F6D" w:rsidP="006E37D1">
      <w:pPr>
        <w:pStyle w:val="ManualConsidrant"/>
        <w:rPr>
          <w:noProof/>
        </w:rPr>
      </w:pPr>
      <w:r w:rsidRPr="00046858">
        <w:rPr>
          <w:noProof/>
        </w:rPr>
        <w:t>(41)</w:t>
      </w:r>
      <w:r w:rsidRPr="00046858">
        <w:rPr>
          <w:noProof/>
        </w:rPr>
        <w:tab/>
        <w:t xml:space="preserve">Inițiativele europene în domeniul tehnologiilor semiconductorilor ar trebui să ofere capabilități de pionierat în Uniune și să contribuie la caracterul indispensabil, la reziliență, la prosperitate, la competitivitate și la securitatea aprovizionării ecosistemului semiconductorilor din Uniune. Factorul decisiv pentru a avea caracterul de inițiativă de pionierat este aducerea pe piața internă a unui element inovator în ceea ce privește procesele de fabricație sau produsul finit, care s-ar putea baza pe noduri tehnologice noi sau existente, inclusiv pe noduri tehnologice mature și de vârf. O inițiativă care oferă o inovare în ceea ce privește procesul de fabricație sau produsul finit care este similară cu o inovare care există deja sau este deja planificată în Uniune poate fi recunoscută în continuare ca fiind de pionierat dacă se poate demonstra că inițiativa este necesară pentru a asigura </w:t>
      </w:r>
      <w:r w:rsidRPr="00046858">
        <w:rPr>
          <w:rStyle w:val="Added"/>
          <w:b w:val="0"/>
          <w:noProof/>
          <w:u w:val="none"/>
        </w:rPr>
        <w:t>reziliența</w:t>
      </w:r>
      <w:r w:rsidRPr="00046858">
        <w:rPr>
          <w:rStyle w:val="Added"/>
          <w:noProof/>
          <w:u w:val="none"/>
        </w:rPr>
        <w:t xml:space="preserve"> </w:t>
      </w:r>
      <w:r w:rsidRPr="00046858">
        <w:rPr>
          <w:rStyle w:val="Added"/>
          <w:b w:val="0"/>
          <w:noProof/>
          <w:u w:val="none"/>
        </w:rPr>
        <w:t>și</w:t>
      </w:r>
      <w:r w:rsidRPr="00046858">
        <w:rPr>
          <w:noProof/>
        </w:rPr>
        <w:t xml:space="preserve"> securitatea aprovizionării Uniunii prin reducerea dependențelor strategice excesive de importurile din țări terțe. Orice astfel de inițiativă ar trebui evaluată pe baza propriilor merite, ținându-se seama, de exemplu, de analiza relevantă a pieței, de gradul de concentrare a dependențelor și de riscul de a crea o situație de supracapacitate.</w:t>
      </w:r>
    </w:p>
    <w:p w14:paraId="433D3163" w14:textId="6A361F5A" w:rsidR="00047F6D" w:rsidRPr="00046858" w:rsidRDefault="005C5F0F" w:rsidP="006E37D1">
      <w:pPr>
        <w:pStyle w:val="ManualConsidrant"/>
        <w:rPr>
          <w:noProof/>
        </w:rPr>
      </w:pPr>
      <w:r w:rsidRPr="00046858">
        <w:rPr>
          <w:noProof/>
        </w:rPr>
        <w:t>(42)</w:t>
      </w:r>
      <w:r w:rsidRPr="00046858">
        <w:rPr>
          <w:noProof/>
        </w:rPr>
        <w:tab/>
        <w:t xml:space="preserve">Elementele inovatoare relevante din cadrul unei inițiative de pionierat pot să vizeze nodul tehnologic sau materialul de substrat ori abordări care să conducă la îmbunătățiri în ceea ce privește puterea de calcul sau alte atribute de performanță, eficiența energetică, nivelul de securitate, siguranță sau fiabilitate, precum și integrarea de noi funcționalități, cum ar fi IA, capacitatea memoriei sau altele. Integrarea a diferite procese care conduc la îmbunătățirea eficienței sau automatizarea încapsulării și a asamblării sunt de asemenea exemple de inovare. În ceea ce privește beneficiile de </w:t>
      </w:r>
      <w:r w:rsidRPr="00046858">
        <w:rPr>
          <w:noProof/>
        </w:rPr>
        <w:lastRenderedPageBreak/>
        <w:t xml:space="preserve">mediu, elementele inovatoare </w:t>
      </w:r>
      <w:r w:rsidRPr="00046858">
        <w:rPr>
          <w:rStyle w:val="Added"/>
          <w:b w:val="0"/>
          <w:noProof/>
          <w:u w:val="none"/>
        </w:rPr>
        <w:t>ar include</w:t>
      </w:r>
      <w:r w:rsidRPr="00046858">
        <w:rPr>
          <w:noProof/>
        </w:rPr>
        <w:t xml:space="preserve"> o reducere cuantificabilă a cantității de energie, de apă sau de substanțe chimice utilizate ori o îmbunătățire a posibilității de reciclare a materialelor.</w:t>
      </w:r>
    </w:p>
    <w:p w14:paraId="1D9C7636" w14:textId="779FD531" w:rsidR="002B0AE5" w:rsidRPr="00046858" w:rsidRDefault="002B0AE5" w:rsidP="006E37D1">
      <w:pPr>
        <w:pStyle w:val="ManualConsidrant"/>
        <w:rPr>
          <w:noProof/>
        </w:rPr>
      </w:pPr>
      <w:r w:rsidRPr="00046858">
        <w:rPr>
          <w:noProof/>
        </w:rPr>
        <w:t>(43)</w:t>
      </w:r>
      <w:r w:rsidRPr="00046858">
        <w:rPr>
          <w:noProof/>
        </w:rPr>
        <w:tab/>
        <w:t xml:space="preserve">Pentru a se asigura că </w:t>
      </w:r>
      <w:r w:rsidRPr="00046858">
        <w:rPr>
          <w:rStyle w:val="Added"/>
          <w:b w:val="0"/>
          <w:noProof/>
          <w:u w:val="none"/>
        </w:rPr>
        <w:t>investițiile publice în inițiativele europene în domeniul tehnologiilor semiconductorilor</w:t>
      </w:r>
      <w:r w:rsidRPr="00046858">
        <w:rPr>
          <w:noProof/>
        </w:rPr>
        <w:t xml:space="preserve"> și în proiectele strategice</w:t>
      </w:r>
      <w:r w:rsidRPr="00046858">
        <w:rPr>
          <w:rStyle w:val="Added"/>
          <w:b w:val="0"/>
          <w:noProof/>
          <w:u w:val="none"/>
        </w:rPr>
        <w:t xml:space="preserve"> conduc la o creștere efectivă a securității aprovizionării și a rezilienței Uniunii,</w:t>
      </w:r>
      <w:r w:rsidRPr="00046858">
        <w:rPr>
          <w:noProof/>
        </w:rPr>
        <w:t xml:space="preserve"> întreprinderile care solicită recunoaștere sau sprijin în temeiul prezentului regulament ar trebui </w:t>
      </w:r>
      <w:r w:rsidRPr="00046858">
        <w:rPr>
          <w:rStyle w:val="Added"/>
          <w:b w:val="0"/>
          <w:noProof/>
          <w:u w:val="none"/>
        </w:rPr>
        <w:t>să demonstreze că își vor articula lanțul de aprovizionare într-un mod care să reducă dependența lanțului de aprovizionare de întreprinderile din exterior</w:t>
      </w:r>
      <w:r w:rsidRPr="00046858">
        <w:rPr>
          <w:noProof/>
        </w:rPr>
        <w:t>.</w:t>
      </w:r>
      <w:r w:rsidRPr="00046858">
        <w:rPr>
          <w:b/>
          <w:noProof/>
        </w:rPr>
        <w:t xml:space="preserve"> </w:t>
      </w:r>
      <w:r w:rsidRPr="00046858">
        <w:rPr>
          <w:rStyle w:val="Added"/>
          <w:b w:val="0"/>
          <w:noProof/>
          <w:u w:val="none"/>
        </w:rPr>
        <w:t xml:space="preserve">Aceste informații ar trebui să includă, după caz, activitățile inițiativei, originea echipamentelor și a substraturilor esențiale de fabricare a semiconductorilor </w:t>
      </w:r>
      <w:r w:rsidRPr="00046858">
        <w:rPr>
          <w:noProof/>
        </w:rPr>
        <w:t xml:space="preserve">și măsura în care este necesară achiziționarea de la întreprinderi din </w:t>
      </w:r>
      <w:r w:rsidRPr="00046858">
        <w:rPr>
          <w:rStyle w:val="Added"/>
          <w:b w:val="0"/>
          <w:noProof/>
          <w:u w:val="none"/>
        </w:rPr>
        <w:t>țări terțe</w:t>
      </w:r>
      <w:r w:rsidRPr="00046858">
        <w:rPr>
          <w:noProof/>
        </w:rPr>
        <w:t xml:space="preserve"> din considerente de performanță tehnică. În cazul fabricării inițiale (front-end) sau finale (back-end) a semiconductorilor, întreprinderile ar trebui </w:t>
      </w:r>
      <w:r w:rsidRPr="00046858">
        <w:rPr>
          <w:rStyle w:val="Added"/>
          <w:b w:val="0"/>
          <w:noProof/>
          <w:u w:val="none"/>
        </w:rPr>
        <w:t>să indice</w:t>
      </w:r>
      <w:r w:rsidRPr="00046858">
        <w:rPr>
          <w:noProof/>
        </w:rPr>
        <w:t xml:space="preserve">, de asemenea, </w:t>
      </w:r>
      <w:r w:rsidRPr="00046858">
        <w:rPr>
          <w:rStyle w:val="Added"/>
          <w:b w:val="0"/>
          <w:noProof/>
          <w:u w:val="none"/>
        </w:rPr>
        <w:t>celelalte</w:t>
      </w:r>
      <w:r w:rsidRPr="00046858">
        <w:rPr>
          <w:noProof/>
        </w:rPr>
        <w:t xml:space="preserve"> procese relevante de fabricare inițială </w:t>
      </w:r>
      <w:r w:rsidRPr="00046858">
        <w:rPr>
          <w:rStyle w:val="Added"/>
          <w:b w:val="0"/>
          <w:noProof/>
          <w:u w:val="none"/>
        </w:rPr>
        <w:t>(front-end) sau finală (back-end)</w:t>
      </w:r>
      <w:r w:rsidRPr="00046858">
        <w:rPr>
          <w:noProof/>
        </w:rPr>
        <w:t xml:space="preserve">, </w:t>
      </w:r>
      <w:r w:rsidRPr="00046858">
        <w:rPr>
          <w:rStyle w:val="Added"/>
          <w:b w:val="0"/>
          <w:noProof/>
          <w:u w:val="none"/>
        </w:rPr>
        <w:t>în prealabil sau ulterior</w:t>
      </w:r>
      <w:r w:rsidRPr="00046858">
        <w:rPr>
          <w:noProof/>
        </w:rPr>
        <w:t>,</w:t>
      </w:r>
      <w:r w:rsidRPr="00046858">
        <w:rPr>
          <w:b/>
          <w:noProof/>
        </w:rPr>
        <w:t xml:space="preserve"> </w:t>
      </w:r>
      <w:r w:rsidRPr="00046858">
        <w:rPr>
          <w:rStyle w:val="Added"/>
          <w:b w:val="0"/>
          <w:noProof/>
          <w:u w:val="none"/>
        </w:rPr>
        <w:t>legate de investițiile</w:t>
      </w:r>
      <w:r w:rsidRPr="00046858">
        <w:rPr>
          <w:noProof/>
        </w:rPr>
        <w:t xml:space="preserve"> care au loc în interiorul și în afara Uniunii.</w:t>
      </w:r>
    </w:p>
    <w:p w14:paraId="166FC7E4" w14:textId="4652085E" w:rsidR="00420638" w:rsidRPr="00046858" w:rsidRDefault="00D17A01" w:rsidP="006E37D1">
      <w:pPr>
        <w:pStyle w:val="ManualConsidrant"/>
        <w:rPr>
          <w:noProof/>
        </w:rPr>
      </w:pPr>
      <w:r w:rsidRPr="00046858">
        <w:rPr>
          <w:noProof/>
        </w:rPr>
        <w:t>(44)</w:t>
      </w:r>
      <w:r w:rsidRPr="00046858">
        <w:rPr>
          <w:noProof/>
        </w:rPr>
        <w:tab/>
        <w:t>Pentru a facilita investițiile în fabricarea semiconductorilor, autoritățile publice ar trebui să țină seama de condițiile favorizante necesare pentru funcționarea durabilă a unor astfel de instalații, inclusiv de accesul la energie, apă și alte resurse de infrastructură critică. Pentru a sprijini reziliența pe termen lung și durabilitatea ecosistemului semiconductorilor din Uniune, ar trebui să se acorde atenția cuvenită nevoilor preconizate în materie de resurse și efectelor asupra mediului asociate unor astfel de investiții.</w:t>
      </w:r>
    </w:p>
    <w:p w14:paraId="59543A3D" w14:textId="64EBFD2F" w:rsidR="00F21BEF" w:rsidRPr="00046858" w:rsidRDefault="00B26F44" w:rsidP="006E37D1">
      <w:pPr>
        <w:pStyle w:val="ManualConsidrant"/>
        <w:rPr>
          <w:noProof/>
        </w:rPr>
      </w:pPr>
      <w:r w:rsidRPr="00046858">
        <w:rPr>
          <w:noProof/>
        </w:rPr>
        <w:t>(45)</w:t>
      </w:r>
      <w:r w:rsidRPr="00046858">
        <w:rPr>
          <w:noProof/>
        </w:rPr>
        <w:tab/>
        <w:t>În cazul în care o inițiativă europeană în domeniul tehnologiilor semiconductorilor oferă capacitate de producție unor întreprinderi care nu au legătură cu operatorul instalației, aceasta ar trebui să stabilească, să pună în aplicare și să mențină o separare funcțională adecvată și eficace pentru a preveni schimbul de informații confidențiale între producția internă și cea externă. Acest lucru ar trebui să se aplice tuturor informațiilor obținute în procesul de proiectare și în procesele de fabricare inițială (front-end) sau finală (back-end).</w:t>
      </w:r>
    </w:p>
    <w:p w14:paraId="0F4B09C9" w14:textId="567CEEC8" w:rsidR="00FF3A1D" w:rsidRPr="00046858" w:rsidRDefault="00495E3C" w:rsidP="006E37D1">
      <w:pPr>
        <w:pStyle w:val="ManualConsidrant"/>
        <w:rPr>
          <w:noProof/>
        </w:rPr>
      </w:pPr>
      <w:r w:rsidRPr="00046858">
        <w:rPr>
          <w:noProof/>
        </w:rPr>
        <w:t>(46)</w:t>
      </w:r>
      <w:r w:rsidRPr="00046858">
        <w:rPr>
          <w:noProof/>
        </w:rPr>
        <w:tab/>
        <w:t xml:space="preserve">Pentru a se califica drept inițiativă europeană în domeniul tehnologiilor semiconductorilor, instituirea inițiativei de către o întreprindere națională ar trebui să aibă un impact pozitiv clar, cu efecte de propagare dincolo de întreprindere sau de statul membru în cauză asupra lanțului valoric al semiconductorilor din Uniune, pe termen mediu și lung, în vederea </w:t>
      </w:r>
      <w:r w:rsidRPr="00046858">
        <w:rPr>
          <w:rStyle w:val="Added"/>
          <w:b w:val="0"/>
          <w:noProof/>
          <w:u w:val="none"/>
        </w:rPr>
        <w:t>consolidării</w:t>
      </w:r>
      <w:r w:rsidRPr="00046858">
        <w:rPr>
          <w:noProof/>
        </w:rPr>
        <w:t xml:space="preserve"> rezilienței, a competitivității și a </w:t>
      </w:r>
      <w:r w:rsidRPr="00046858">
        <w:rPr>
          <w:rStyle w:val="Added"/>
          <w:b w:val="0"/>
          <w:noProof/>
          <w:u w:val="none"/>
        </w:rPr>
        <w:t xml:space="preserve">inovării </w:t>
      </w:r>
      <w:r w:rsidRPr="00046858">
        <w:rPr>
          <w:noProof/>
        </w:rPr>
        <w:t xml:space="preserve">ecosistemului semiconductorilor, inclusiv a creșterii start-upurilor și a IMM-urilor, și a contribuției la dubla tranziție verde și digitală a Uniunii. În plus, urmând același raționament, participarea la Platforma B2B pentru lanțul de aprovizionare cu semiconductori („platforma”) ar trebui să fie obligatorie pentru instalațiile de producție – cum ar fi instalațiile de producție inițială (front-end) și finală (back-end), dar și pentru alte instalații de producție, cum ar fi pentru producția de echipamente, substraturi sau materiale de fabricare a semiconductorilor. Acest angajament contribuie la consolidarea rezilienței, a competitivității și a inovării lanțurilor de aprovizionare ale ecosistemului semiconductorilor. Pentru a se califica drept inițiative europene în domeniul tehnologiilor semiconductorilor, pot fi luate în considerare diverse activități ale întreprinderilor naționale care vizează crearea unor efecte de propagare pozitive. Printre exemple se numără acordarea accesului la instalațiile de producție în schimbul unui comision la valoarea de piață, punerea la dispoziția întreprinderilor de proiectare de dimensiuni mai mici sau a platformei de proiectare </w:t>
      </w:r>
      <w:r w:rsidRPr="00046858">
        <w:rPr>
          <w:noProof/>
        </w:rPr>
        <w:lastRenderedPageBreak/>
        <w:t>virtuală a unor kituri de proiectare a procesului, diseminarea rezultatelor activităților lor de cercetare și dezvoltare, colaborarea în domeniul cercetării cu universități și institute de cercetare europene, cooperarea cu autoritățile naționale sau cu instituții de învățământ și de formare profesională pentru a contribui la dezvoltarea competențelor, contribuirea la proiecte de cercetare la nivelul Uniunii sau oferirea de oportunități de sprijin specifice pentru start-upuri și IMM-uri. Impactul asupra mai multor state membre, inclusiv în ceea ce privește obiectivele de coeziune, ar trebui să fie considerat unul dintre indicatorii impactului pozitiv clar al unei inițiative europene în domeniul tehnologiilor semiconductorilor asupra lanțului valoric al semiconductorilor din Uniune.</w:t>
      </w:r>
    </w:p>
    <w:p w14:paraId="4CC30C68" w14:textId="041F4DC4" w:rsidR="005E5892" w:rsidRPr="00046858" w:rsidRDefault="005E5892" w:rsidP="006E37D1">
      <w:pPr>
        <w:pStyle w:val="ManualConsidrant"/>
        <w:rPr>
          <w:rStyle w:val="Added"/>
          <w:b w:val="0"/>
          <w:noProof/>
          <w:u w:val="none"/>
        </w:rPr>
      </w:pPr>
      <w:r w:rsidRPr="00046858">
        <w:rPr>
          <w:noProof/>
        </w:rPr>
        <w:t>(47)</w:t>
      </w:r>
      <w:r w:rsidRPr="00046858">
        <w:rPr>
          <w:noProof/>
        </w:rPr>
        <w:tab/>
      </w:r>
      <w:r w:rsidRPr="00046858">
        <w:rPr>
          <w:rStyle w:val="Added"/>
          <w:b w:val="0"/>
          <w:noProof/>
          <w:u w:val="none"/>
        </w:rPr>
        <w:t xml:space="preserve">Pentru a asigura claritatea juridică și aplicarea consecventă a prezentului regulament, este necesar să se clarifice condițiile în care o întreprindere poate fi recunoscută ca inițiativă europeană în domeniul tehnologiilor semiconductorilor. Experiența dobândită în ceea ce privește punerea în aplicare a cadrului pentru instalațiile de producție integrate și turnătoriile deschise ale UE în temeiul Regulamentului (UE) 2023/1781 a arătat că au apărut incertitudini în rândul întreprinderilor și al statelor membre cu privire la condiționarea statutului de instalație din domeniul tehnologiilor semiconductorilor de primirea unui sprijin public. </w:t>
      </w:r>
      <w:r w:rsidRPr="00046858">
        <w:rPr>
          <w:noProof/>
        </w:rPr>
        <w:t>Prin urmare, ar trebui clarificat în mod explicit</w:t>
      </w:r>
      <w:r w:rsidRPr="00046858">
        <w:rPr>
          <w:rStyle w:val="Added"/>
          <w:b w:val="0"/>
          <w:noProof/>
          <w:u w:val="none"/>
        </w:rPr>
        <w:t xml:space="preserve"> faptul că, deși o cerere pentru un astfel de statut </w:t>
      </w:r>
      <w:r w:rsidRPr="00046858">
        <w:rPr>
          <w:noProof/>
        </w:rPr>
        <w:t xml:space="preserve">ar trebui </w:t>
      </w:r>
      <w:r w:rsidRPr="00046858">
        <w:rPr>
          <w:rStyle w:val="Added"/>
          <w:b w:val="0"/>
          <w:noProof/>
          <w:u w:val="none"/>
        </w:rPr>
        <w:t>să se refere la o inițiativă de pionierat, acordarea statutului nu ar trebui să depindă de primirea de măsuri de sprijin sau de asistență administrativă</w:t>
      </w:r>
      <w:r w:rsidRPr="00046858">
        <w:rPr>
          <w:noProof/>
        </w:rPr>
        <w:t>.</w:t>
      </w:r>
      <w:r w:rsidRPr="00046858">
        <w:rPr>
          <w:rStyle w:val="Added"/>
          <w:b w:val="0"/>
          <w:noProof/>
          <w:u w:val="none"/>
        </w:rPr>
        <w:t xml:space="preserve"> În consecință, inițiativele de pionierat pot obține statutul de inițiativă europeană în domeniul tehnologiilor semiconductorilor, indiferent dacă beneficiază sau nu de finanțare publică, cu condiția să respecte cerințele relevante prevăzute în prezentul regulament.</w:t>
      </w:r>
    </w:p>
    <w:p w14:paraId="71BFC7F2" w14:textId="2DC93721" w:rsidR="006B09F0" w:rsidRPr="00046858" w:rsidRDefault="006B09F0" w:rsidP="006E37D1">
      <w:pPr>
        <w:pStyle w:val="ManualConsidrant"/>
        <w:rPr>
          <w:noProof/>
        </w:rPr>
      </w:pPr>
      <w:r w:rsidRPr="00046858">
        <w:rPr>
          <w:noProof/>
        </w:rPr>
        <w:t>(48)</w:t>
      </w:r>
      <w:r w:rsidRPr="00046858">
        <w:rPr>
          <w:noProof/>
        </w:rPr>
        <w:tab/>
        <w:t>Este important ca inițiativele europene în domeniul tehnologiilor semiconductorilor să nu facă obiectul aplicării extrateritoriale a obligațiilor de serviciu public impuse de țări terțe, care ar putea submina capacitatea acestora de a utiliza sau de a reexporta produsul finit care rezultă din infrastructura, software-ul, serviciile, instalațiile, activele, resursele, proprietatea intelectuală sau know-how-ul lor necesare pentru a-și îndeplini obligațiile care le revin în temeiul prezentului regulament, în special cele legate de securitatea aprovizionării.</w:t>
      </w:r>
    </w:p>
    <w:p w14:paraId="65668AC5" w14:textId="7808B0B6" w:rsidR="00791B99" w:rsidRPr="00046858" w:rsidRDefault="00F61AB7" w:rsidP="006E37D1">
      <w:pPr>
        <w:pStyle w:val="ManualConsidrant"/>
        <w:rPr>
          <w:noProof/>
        </w:rPr>
      </w:pPr>
      <w:r w:rsidRPr="00046858">
        <w:rPr>
          <w:noProof/>
        </w:rPr>
        <w:t>(49)</w:t>
      </w:r>
      <w:r w:rsidRPr="00046858">
        <w:rPr>
          <w:noProof/>
        </w:rPr>
        <w:tab/>
        <w:t xml:space="preserve">Având în vedere dezvoltarea rapidă a tehnologiilor semiconductorilor și pentru a consolida competitivitatea industrială viitoare a Uniunii, inițiativele europene în domeniul tehnologiilor semiconductorilor ar trebui să investească în Uniune în inovarea continuă, cu scopul de a realiza progrese concrete în tehnologia semiconductorilor sau de a pregăti tehnologiile de generație următoare. Astfel de </w:t>
      </w:r>
      <w:r w:rsidRPr="00046858">
        <w:rPr>
          <w:rStyle w:val="Added"/>
          <w:b w:val="0"/>
          <w:noProof/>
          <w:u w:val="none"/>
        </w:rPr>
        <w:t>inițiative</w:t>
      </w:r>
      <w:r w:rsidRPr="00046858">
        <w:rPr>
          <w:noProof/>
        </w:rPr>
        <w:t xml:space="preserve"> ar trebui să fie în măsură să testeze și să experimenteze noi evoluții prin accesul preferențial la liniile-pilot instituite </w:t>
      </w:r>
      <w:r w:rsidRPr="00046858">
        <w:rPr>
          <w:rStyle w:val="Added"/>
          <w:b w:val="0"/>
          <w:noProof/>
          <w:u w:val="none"/>
        </w:rPr>
        <w:t>în cadrul</w:t>
      </w:r>
      <w:r w:rsidRPr="00046858">
        <w:rPr>
          <w:noProof/>
        </w:rPr>
        <w:t xml:space="preserve"> inițiativei „Cipuri pentru Europa”</w:t>
      </w:r>
      <w:r w:rsidRPr="00046858">
        <w:rPr>
          <w:b/>
          <w:noProof/>
        </w:rPr>
        <w:t xml:space="preserve"> </w:t>
      </w:r>
      <w:r w:rsidRPr="00046858">
        <w:rPr>
          <w:rStyle w:val="Added"/>
          <w:b w:val="0"/>
          <w:noProof/>
          <w:u w:val="none"/>
        </w:rPr>
        <w:t>din Regulamentul (UE) 2023/1781</w:t>
      </w:r>
      <w:r w:rsidRPr="00046858">
        <w:rPr>
          <w:b/>
          <w:noProof/>
        </w:rPr>
        <w:t xml:space="preserve"> </w:t>
      </w:r>
      <w:r w:rsidRPr="00046858">
        <w:rPr>
          <w:noProof/>
        </w:rPr>
        <w:t>și al inițiativei „Cipuri pentru Europa” 2.0 prin aplicații accelerate. Orice astfel de acces preferențial nu ar trebui nici să excludă, nici să împiedice accesul efectiv, în termeni echitabili, al altor întreprinderi interesate, în special al start-upurilor și al IMM-urilor, la liniile-pilot. Ținând seama de importanța, pentru realizarea obiectivelor prezentului regulament, a unei forțe calificate de muncă, înzestrate cu competențele necesare, inițiativele europene în domeniul tehnologiilor semiconductorilor ar trebui să sprijine rezerva de talente a Uniunii prin dezvoltarea și punerea în aplicare de formare de tip educațional și profesional și prin creșterea rezervei de forță calificată de muncă, înzestrată cu competențele necesare.</w:t>
      </w:r>
    </w:p>
    <w:p w14:paraId="29E68B26" w14:textId="45D7203A" w:rsidR="00020FB2" w:rsidRPr="00046858" w:rsidRDefault="005A16E4" w:rsidP="006E37D1">
      <w:pPr>
        <w:pStyle w:val="ManualConsidrant"/>
        <w:rPr>
          <w:noProof/>
        </w:rPr>
      </w:pPr>
      <w:r w:rsidRPr="00046858">
        <w:rPr>
          <w:noProof/>
        </w:rPr>
        <w:t>(50)</w:t>
      </w:r>
      <w:r w:rsidRPr="00046858">
        <w:rPr>
          <w:noProof/>
        </w:rPr>
        <w:tab/>
        <w:t xml:space="preserve">Cu scopul de a permite o procedură uniformă și transparentă pentru obținerea statutului de inițiativă europeană în domeniul tehnologiilor semiconductorilor, decizia </w:t>
      </w:r>
      <w:r w:rsidRPr="00046858">
        <w:rPr>
          <w:noProof/>
        </w:rPr>
        <w:lastRenderedPageBreak/>
        <w:t xml:space="preserve">de acordare a acestui statut ar trebui adoptată de Comisiei, la cererea unei întreprinderi individuale sau a unui consorțiu format din mai multe întreprinderi. Acordarea statutului ar trebui să fie posibilă atât pentru înființarea unei noi </w:t>
      </w:r>
      <w:r w:rsidRPr="00046858">
        <w:rPr>
          <w:rStyle w:val="Added"/>
          <w:b w:val="0"/>
          <w:noProof/>
          <w:u w:val="none"/>
        </w:rPr>
        <w:t>inițiative</w:t>
      </w:r>
      <w:r w:rsidRPr="00046858">
        <w:rPr>
          <w:noProof/>
        </w:rPr>
        <w:t xml:space="preserve"> de fabricare a semiconductorilor, cât și pentru dezvoltarea sau transformarea inovatoare semnificativă a unei </w:t>
      </w:r>
      <w:r w:rsidRPr="00046858">
        <w:rPr>
          <w:rStyle w:val="Added"/>
          <w:b w:val="0"/>
          <w:noProof/>
          <w:u w:val="none"/>
        </w:rPr>
        <w:t>inițiative</w:t>
      </w:r>
      <w:r w:rsidRPr="00046858">
        <w:rPr>
          <w:noProof/>
        </w:rPr>
        <w:t xml:space="preserve"> existente de fabricare a semiconductorilor. Pentru a reflecta importanța unei exploatări coordonate și cooperative a instalației planificate, după caz, Comisia ar trebui să țină seama în evaluarea sa de disponibilitatea unuia sau a mai multor state membre în care solicitantul intenționează să își înființeze </w:t>
      </w:r>
      <w:r w:rsidRPr="00046858">
        <w:rPr>
          <w:rStyle w:val="Added"/>
          <w:b w:val="0"/>
          <w:noProof/>
          <w:u w:val="none"/>
        </w:rPr>
        <w:t>inițiativele</w:t>
      </w:r>
      <w:r w:rsidRPr="00046858">
        <w:rPr>
          <w:noProof/>
        </w:rPr>
        <w:t xml:space="preserve"> de a sprijini înființarea unor astfel de </w:t>
      </w:r>
      <w:r w:rsidRPr="00046858">
        <w:rPr>
          <w:rStyle w:val="Added"/>
          <w:b w:val="0"/>
          <w:noProof/>
          <w:u w:val="none"/>
        </w:rPr>
        <w:t>inițiative</w:t>
      </w:r>
      <w:r w:rsidRPr="00046858">
        <w:rPr>
          <w:noProof/>
        </w:rPr>
        <w:t xml:space="preserve">. În plus, la evaluarea viabilității planului de afaceri, Comisia ar putea lua în considerare rezultatele globale ale solicitantului, precum și existența unor măsuri adecvate de protecție a proprietății intelectuale și a informațiilor sensibile </w:t>
      </w:r>
      <w:r w:rsidRPr="00046858">
        <w:rPr>
          <w:rStyle w:val="Added"/>
          <w:b w:val="0"/>
          <w:noProof/>
          <w:u w:val="none"/>
        </w:rPr>
        <w:t>din punct de vedere comercial</w:t>
      </w:r>
      <w:r w:rsidRPr="00046858">
        <w:rPr>
          <w:noProof/>
        </w:rPr>
        <w:t>.</w:t>
      </w:r>
    </w:p>
    <w:p w14:paraId="0C74F3A5" w14:textId="75559C07" w:rsidR="00F56550" w:rsidRPr="00046858" w:rsidRDefault="00F56550" w:rsidP="006E37D1">
      <w:pPr>
        <w:pStyle w:val="ManualConsidrant"/>
        <w:rPr>
          <w:noProof/>
        </w:rPr>
      </w:pPr>
      <w:r w:rsidRPr="00046858">
        <w:rPr>
          <w:noProof/>
        </w:rPr>
        <w:t>(51)</w:t>
      </w:r>
      <w:r w:rsidRPr="00046858">
        <w:rPr>
          <w:noProof/>
        </w:rPr>
        <w:tab/>
        <w:t xml:space="preserve">Având în vedere drepturile asociate recunoașterii ca inițiativă europeană în domeniul tehnologiilor semiconductorilor, Comisia ar trebui să monitorizeze dacă </w:t>
      </w:r>
      <w:r w:rsidRPr="00046858">
        <w:rPr>
          <w:rStyle w:val="Added"/>
          <w:b w:val="0"/>
          <w:noProof/>
          <w:u w:val="none"/>
        </w:rPr>
        <w:t>inițiativele</w:t>
      </w:r>
      <w:r w:rsidRPr="00046858">
        <w:rPr>
          <w:noProof/>
        </w:rPr>
        <w:t xml:space="preserve"> cărora li s-a acordat acest statut îndeplinesc în continuare cerințele prevăzute în prezentul regulament. În caz contrar, Comisia ar trebui să aibă dreptul de a reexamina și, dacă este necesar, de a retrage statutul și, în consecință, drepturile aferente statutului </w:t>
      </w:r>
      <w:r w:rsidRPr="00046858">
        <w:rPr>
          <w:rStyle w:val="Added"/>
          <w:b w:val="0"/>
          <w:noProof/>
          <w:u w:val="none"/>
        </w:rPr>
        <w:t>respectiv</w:t>
      </w:r>
      <w:r w:rsidRPr="00046858">
        <w:rPr>
          <w:noProof/>
        </w:rPr>
        <w:t xml:space="preserve">. Orice decizie </w:t>
      </w:r>
      <w:r w:rsidRPr="00046858">
        <w:rPr>
          <w:rStyle w:val="Added"/>
          <w:b w:val="0"/>
          <w:noProof/>
          <w:u w:val="none"/>
        </w:rPr>
        <w:t>de</w:t>
      </w:r>
      <w:r w:rsidRPr="00046858">
        <w:rPr>
          <w:noProof/>
        </w:rPr>
        <w:t xml:space="preserve"> retragere a statutului </w:t>
      </w:r>
      <w:r w:rsidRPr="00046858">
        <w:rPr>
          <w:rStyle w:val="Added"/>
          <w:b w:val="0"/>
          <w:noProof/>
          <w:u w:val="none"/>
        </w:rPr>
        <w:t>respectiv</w:t>
      </w:r>
      <w:r w:rsidRPr="00046858">
        <w:rPr>
          <w:noProof/>
        </w:rPr>
        <w:t xml:space="preserve"> ar trebui să fie luată numai după consultarea Consiliului european pentru semiconductori și ar trebui să fie motivată în mod corespunzător. În consecință, întreprinderea care exploatează o inițiativă europeană în domeniul tehnologiilor semiconductorilor ar trebui să aibă posibilitatea de a solicita în mod proactiv reexaminarea duratei statutului sau a planurilor de punere în aplicare în cazul în care circumstanțe externe neprevăzute, cum ar fi perturbări grave cu impact economic direct asupra </w:t>
      </w:r>
      <w:r w:rsidRPr="00046858">
        <w:rPr>
          <w:rStyle w:val="Added"/>
          <w:b w:val="0"/>
          <w:noProof/>
          <w:u w:val="none"/>
        </w:rPr>
        <w:t>inițiativei</w:t>
      </w:r>
      <w:r w:rsidRPr="00046858">
        <w:rPr>
          <w:noProof/>
        </w:rPr>
        <w:t xml:space="preserve"> recunoscute, ar putea avea consecințe asupra capacității sale de a respecta criteriile </w:t>
      </w:r>
      <w:r w:rsidRPr="00046858">
        <w:rPr>
          <w:rStyle w:val="Added"/>
          <w:b w:val="0"/>
          <w:noProof/>
          <w:u w:val="none"/>
        </w:rPr>
        <w:t>aplicabile</w:t>
      </w:r>
      <w:r w:rsidRPr="00046858">
        <w:rPr>
          <w:noProof/>
        </w:rPr>
        <w:t>.</w:t>
      </w:r>
    </w:p>
    <w:p w14:paraId="7DB3B550" w14:textId="55B427AE" w:rsidR="00FC4E4C" w:rsidRPr="00046858" w:rsidRDefault="00F21BEF" w:rsidP="006E37D1">
      <w:pPr>
        <w:pStyle w:val="ManualConsidrant"/>
        <w:rPr>
          <w:b/>
          <w:noProof/>
        </w:rPr>
      </w:pPr>
      <w:r w:rsidRPr="00046858">
        <w:rPr>
          <w:noProof/>
        </w:rPr>
        <w:t>(52)</w:t>
      </w:r>
      <w:r w:rsidRPr="00046858">
        <w:rPr>
          <w:noProof/>
        </w:rPr>
        <w:tab/>
        <w:t xml:space="preserve">Pentru a consolida suveranitatea tehnologică, reziliența, caracterul indispensabil, competitivitatea și prosperitatea Uniunii în sectorul semiconductorilor, este necesar să se identifice și să se sprijine proiectele de importanță strategică ale întreprinderilor naționale de-a lungul lanțului valoric al semiconductorilor. Proiectele strategice privind semiconductorii ar trebui să beneficieze de sprijin din partea programelor, fondurilor și instrumentelor financiare ale Uniunii, în conformitate cu obiectivele stabilite în regulamentul de instituire a acestor fonduri și programe și fără a aduce atingere următorului cadru financiar multianual (2028-2034). În special, acestor proiecte strategice ar trebui să li se acorde marca de competitivitate în cazul în care îndeplinesc condițiile prevăzute în Regulamentul (UE) 2026/XXX [de instituire a Fondului european pentru competitivitate] (FEC) ([1]), ca proiecte de înaltă calitate care contribuie la obiectivul Fondului european pentru competitivitate. Proiectele strategice ar trebui să contribuie la obiectivele de interes comun pentru Uniune și să consolideze capacitatea Uniunii de a proiecta, fabrica și integra tehnologii avansate ale semiconductorilor și de a demonstra o valoare adăugată clară la nivelul Uniunii, precum și o dimensiune transfrontalieră, în special prin cooperarea dintre statele membre sau prin sprijin public coordonat. Ele ar trebui să contribuie la consolidarea rezilienței și a robusteții ecosistemului semiconductorilor din Uniune, inclusiv prin abordarea blocajelor, consolidarea lanțurilor de aprovizionare cu </w:t>
      </w:r>
      <w:r w:rsidRPr="00046858">
        <w:rPr>
          <w:rStyle w:val="Added"/>
          <w:b w:val="0"/>
          <w:noProof/>
          <w:u w:val="none"/>
        </w:rPr>
        <w:t>semiconductori</w:t>
      </w:r>
      <w:r w:rsidRPr="00046858">
        <w:rPr>
          <w:b/>
          <w:noProof/>
        </w:rPr>
        <w:t xml:space="preserve"> </w:t>
      </w:r>
      <w:r w:rsidRPr="00046858">
        <w:rPr>
          <w:noProof/>
        </w:rPr>
        <w:t>și îmbunătățirea inovării și a implementării industriale.</w:t>
      </w:r>
      <w:r w:rsidRPr="00046858">
        <w:rPr>
          <w:b/>
          <w:noProof/>
        </w:rPr>
        <w:t xml:space="preserve"> </w:t>
      </w:r>
      <w:r w:rsidRPr="00046858">
        <w:rPr>
          <w:rStyle w:val="Added"/>
          <w:b w:val="0"/>
          <w:noProof/>
          <w:u w:val="none"/>
        </w:rPr>
        <w:t>Se încurajează participarea la proiecte strategice a IMM-urilor și a întreprinderilor mici cu capitalizare medie inovatoare.</w:t>
      </w:r>
    </w:p>
    <w:p w14:paraId="723FBCFD" w14:textId="4D488D25" w:rsidR="00080681" w:rsidRPr="00046858" w:rsidRDefault="00F4437D" w:rsidP="006E37D1">
      <w:pPr>
        <w:pStyle w:val="ManualConsidrant"/>
        <w:rPr>
          <w:noProof/>
        </w:rPr>
      </w:pPr>
      <w:r w:rsidRPr="00046858">
        <w:rPr>
          <w:noProof/>
        </w:rPr>
        <w:t>(53)</w:t>
      </w:r>
      <w:r w:rsidRPr="00046858">
        <w:rPr>
          <w:noProof/>
        </w:rPr>
        <w:tab/>
        <w:t xml:space="preserve">Atât proiectele strategice, cât și inițiativele europene în domeniul tehnologiilor semiconductorilor ar trebui să se poată axa nu numai pe nodurile de vârf ale </w:t>
      </w:r>
      <w:r w:rsidRPr="00046858">
        <w:rPr>
          <w:noProof/>
        </w:rPr>
        <w:lastRenderedPageBreak/>
        <w:t xml:space="preserve">semiconductorilor, ci și pe nodurile tehnologice inovatoare existente și mature, în cazul în care acest lucru este necesar pentru a menține și a consolida competitivitatea, reziliența și securitatea aprovizionării Uniunii în ceea ce privește tehnologiile semiconductorilor și aplicațiile industriale importante din punct de vedere strategic. Pentru a se asigura că proiectele strategice contribuie în mod eficace la competitivitatea pe termen lung a Uniunii, astfel de proiecte ar trebui să sprijine dezvoltarea sau implementarea capacităților, tehnologiilor sau capabilităților critice în Uniune. Aceasta </w:t>
      </w:r>
      <w:r w:rsidRPr="00046858">
        <w:rPr>
          <w:rStyle w:val="Added"/>
          <w:b w:val="0"/>
          <w:noProof/>
          <w:u w:val="none"/>
        </w:rPr>
        <w:t>ar trebui</w:t>
      </w:r>
      <w:r w:rsidRPr="00046858">
        <w:rPr>
          <w:noProof/>
        </w:rPr>
        <w:t xml:space="preserve"> să includă, în special, activități care reduc dependențele strategice și consolidează poziția de lider tehnologic a Uniunii în segmente-cheie ale lanțului valoric al semiconductorilor, inclusiv prin facilitarea, promovarea sau securizarea tehnologiilor și capabilităților critice în Uniune.</w:t>
      </w:r>
    </w:p>
    <w:p w14:paraId="12422ABA" w14:textId="1A45D8F9" w:rsidR="00F21BEF" w:rsidRPr="00046858" w:rsidRDefault="0083540D" w:rsidP="006E37D1">
      <w:pPr>
        <w:pStyle w:val="ManualConsidrant"/>
        <w:rPr>
          <w:noProof/>
        </w:rPr>
      </w:pPr>
      <w:r w:rsidRPr="00046858">
        <w:rPr>
          <w:noProof/>
        </w:rPr>
        <w:t>(54)</w:t>
      </w:r>
      <w:r w:rsidRPr="00046858">
        <w:rPr>
          <w:noProof/>
        </w:rPr>
        <w:tab/>
        <w:t>În cazul în care proiectele strategice sunt puse în aplicare în mai multe amplasamente, acestea ar trebui să fie realizate de un singur consorțiu și să funcționeze ca o entitate integrată, pentru a asigura coerența, eficiența și coordonarea eficace a activităților.</w:t>
      </w:r>
    </w:p>
    <w:p w14:paraId="0F6DDBF1" w14:textId="44562E75" w:rsidR="0083540D" w:rsidRPr="00046858" w:rsidRDefault="0083540D" w:rsidP="006E37D1">
      <w:pPr>
        <w:pStyle w:val="ManualConsidrant"/>
        <w:rPr>
          <w:noProof/>
        </w:rPr>
      </w:pPr>
      <w:r w:rsidRPr="00046858">
        <w:rPr>
          <w:noProof/>
        </w:rPr>
        <w:t>(55)</w:t>
      </w:r>
      <w:r w:rsidRPr="00046858">
        <w:rPr>
          <w:noProof/>
        </w:rPr>
        <w:tab/>
        <w:t xml:space="preserve">Având în vedere natura strategică a sectorului semiconductorilor și relevanța acestuia pentru securitate, participarea la proiecte strategice ar trebui să facă obiectul unor condiții adecvate. În conformitate cu articolul 136 din Regulamentul (UE, Euratom) 2024/2509 </w:t>
      </w:r>
      <w:r w:rsidRPr="00046858">
        <w:rPr>
          <w:rStyle w:val="Added"/>
          <w:b w:val="0"/>
          <w:noProof/>
          <w:u w:val="none"/>
        </w:rPr>
        <w:t>al Parlamentului European și al Consiliului</w:t>
      </w:r>
      <w:r w:rsidRPr="00046858">
        <w:rPr>
          <w:rStyle w:val="FootnoteReference"/>
          <w:noProof/>
        </w:rPr>
        <w:footnoteReference w:id="50"/>
      </w:r>
      <w:r w:rsidRPr="00046858">
        <w:rPr>
          <w:noProof/>
        </w:rPr>
        <w:t>, ar fi posibil să se restricționeze sau să se excludă participarea anumitor entități în cazul în care acest lucru ar fi contrar activelor și intereselor strategice, autonomiei sau securității Uniunii. Ca regulă generală, participarea la proiecte strategice ar trebui să fie limitată la entitățile juridice stabilite în Uniune. Cu toate acestea, prin derogare de la această regulă și în cazuri justificate în mod corespunzător, participarea poate fi extinsă la entități stabilite în țări terțe, cu condiția ca o astfel de participare să respecte condițiile și garanțiile aplicabile și să nu submineze activele și interesele strategice, autonomia sau securitatea Uniunii.</w:t>
      </w:r>
    </w:p>
    <w:p w14:paraId="049B7323" w14:textId="57FDDD1F" w:rsidR="00A92931" w:rsidRPr="00046858" w:rsidRDefault="007E2453" w:rsidP="006E37D1">
      <w:pPr>
        <w:pStyle w:val="ManualConsidrant"/>
        <w:rPr>
          <w:noProof/>
        </w:rPr>
      </w:pPr>
      <w:r w:rsidRPr="00046858">
        <w:rPr>
          <w:noProof/>
        </w:rPr>
        <w:t>(56)</w:t>
      </w:r>
      <w:r w:rsidRPr="00046858">
        <w:rPr>
          <w:noProof/>
        </w:rPr>
        <w:tab/>
        <w:t xml:space="preserve">Pentru a asigura flexibilitatea și pentru a reflecta evoluțiile tehnologice și evoluția nevoilor pieței, prezentul regulament ar trebui să stabilească </w:t>
      </w:r>
      <w:r w:rsidRPr="00046858">
        <w:rPr>
          <w:rStyle w:val="Added"/>
          <w:b w:val="0"/>
          <w:noProof/>
          <w:u w:val="none"/>
        </w:rPr>
        <w:t>o listă de</w:t>
      </w:r>
      <w:r w:rsidRPr="00046858">
        <w:rPr>
          <w:noProof/>
        </w:rPr>
        <w:t xml:space="preserve"> domenii tehnologice orientative pentru proiectele strategice. Competența de a modifica </w:t>
      </w:r>
      <w:r w:rsidRPr="00046858">
        <w:rPr>
          <w:rStyle w:val="Added"/>
          <w:b w:val="0"/>
          <w:noProof/>
          <w:u w:val="none"/>
        </w:rPr>
        <w:t>lista</w:t>
      </w:r>
      <w:r w:rsidRPr="00046858">
        <w:rPr>
          <w:noProof/>
        </w:rPr>
        <w:t xml:space="preserve"> respectivă ar trebui delegată Comisiei în conformitate cu articolul 290 din </w:t>
      </w:r>
      <w:r w:rsidRPr="00046858">
        <w:rPr>
          <w:rStyle w:val="Added"/>
          <w:b w:val="0"/>
          <w:noProof/>
          <w:u w:val="none"/>
        </w:rPr>
        <w:t>TFUE</w:t>
      </w:r>
      <w:r w:rsidRPr="00046858">
        <w:rPr>
          <w:noProof/>
        </w:rPr>
        <w:t xml:space="preserve"> pentru a actualiza domeniile respective în lumina schimbărilor tehnologice și a evoluțiilor pieței </w:t>
      </w:r>
      <w:r w:rsidRPr="00046858">
        <w:rPr>
          <w:rStyle w:val="Added"/>
          <w:b w:val="0"/>
          <w:noProof/>
          <w:u w:val="none"/>
        </w:rPr>
        <w:t>relevante pentru sectorul semiconductorilor</w:t>
      </w:r>
      <w:r w:rsidRPr="00046858">
        <w:rPr>
          <w:noProof/>
        </w:rPr>
        <w:t xml:space="preserve">. Pentru a asigura identificarea și selectarea coerentă și eficientă a proiectelor strategice, Comisia, ținând seama de </w:t>
      </w:r>
      <w:r w:rsidRPr="00046858">
        <w:rPr>
          <w:rStyle w:val="Added"/>
          <w:b w:val="0"/>
          <w:noProof/>
          <w:u w:val="none"/>
        </w:rPr>
        <w:t>avizul</w:t>
      </w:r>
      <w:r w:rsidRPr="00046858">
        <w:rPr>
          <w:noProof/>
        </w:rPr>
        <w:t xml:space="preserve"> Consiliului european pentru semiconductori, ar trebui să identifice domeniile prioritare și să stabilească o listă de teme pentru proiectele potențiale. Punerea în aplicare a acțiunilor de sprijinire a unor astfel de proiecte ar trebui să se desfășoare, după caz, prin intermediul întreprinderii comune pentru cipuri, în conformitate cu regulamentul său de funcționare și cu programele sale de lucru. Pentru a consolida suveranitatea Uniunii și a asigura securitatea aprovizionării cu semiconductori de vârf, este oportun să se acorde prioritate înființării unei turnătorii deschise pentru capabilități de fabricare a semiconductorilor avansați în Uniune, </w:t>
      </w:r>
      <w:r w:rsidRPr="00046858">
        <w:rPr>
          <w:rStyle w:val="Added"/>
          <w:b w:val="0"/>
          <w:noProof/>
          <w:u w:val="none"/>
        </w:rPr>
        <w:t>care ar trebui</w:t>
      </w:r>
      <w:r w:rsidRPr="00046858">
        <w:rPr>
          <w:noProof/>
        </w:rPr>
        <w:t xml:space="preserve"> să funcționeze, după caz, cu acces deschis pentru diferiți utilizatori. </w:t>
      </w:r>
      <w:r w:rsidRPr="00046858">
        <w:rPr>
          <w:rStyle w:val="Added"/>
          <w:b w:val="0"/>
          <w:noProof/>
          <w:u w:val="none"/>
        </w:rPr>
        <w:t>Acest</w:t>
      </w:r>
      <w:r w:rsidRPr="00046858">
        <w:rPr>
          <w:noProof/>
        </w:rPr>
        <w:t xml:space="preserve"> proiect strategic ar putea fi completat de alte proiecte strategice privind, de exemplu, memoria, proiectarea și alte </w:t>
      </w:r>
      <w:r w:rsidRPr="00046858">
        <w:rPr>
          <w:rStyle w:val="Added"/>
          <w:b w:val="0"/>
          <w:noProof/>
          <w:u w:val="none"/>
        </w:rPr>
        <w:t>tehnologii ale semiconductorilor</w:t>
      </w:r>
      <w:r w:rsidRPr="00046858">
        <w:rPr>
          <w:noProof/>
        </w:rPr>
        <w:t>.</w:t>
      </w:r>
    </w:p>
    <w:p w14:paraId="5A9CBD3C" w14:textId="6269E9C1" w:rsidR="00975925" w:rsidRPr="00046858" w:rsidRDefault="006D6940" w:rsidP="006E37D1">
      <w:pPr>
        <w:pStyle w:val="ManualConsidrant"/>
        <w:rPr>
          <w:noProof/>
        </w:rPr>
      </w:pPr>
      <w:r w:rsidRPr="00046858">
        <w:rPr>
          <w:noProof/>
        </w:rPr>
        <w:lastRenderedPageBreak/>
        <w:t>(57)</w:t>
      </w:r>
      <w:r w:rsidRPr="00046858">
        <w:rPr>
          <w:noProof/>
        </w:rPr>
        <w:tab/>
        <w:t xml:space="preserve">Întreprinderea comună pentru cipuri ar trebui să pună în aplicare acțiuni de sprijinire a proiectelor strategice prin intermediul programului său de lucru, inclusiv prin cereri de propuneri în conformitate cu normele sale aplicabile. Propunerile ar trebui evaluate în conformitate cu procedurile și criteriile stabilite în cadrul de reglementare </w:t>
      </w:r>
      <w:r w:rsidRPr="00046858">
        <w:rPr>
          <w:rStyle w:val="Added"/>
          <w:b w:val="0"/>
          <w:noProof/>
          <w:u w:val="none"/>
        </w:rPr>
        <w:t>al întreprinderii comune pentru cipuri</w:t>
      </w:r>
      <w:r w:rsidRPr="00046858">
        <w:rPr>
          <w:noProof/>
        </w:rPr>
        <w:t xml:space="preserve">. Pentru a asigura eficiența și a evita duplicarea evaluărilor, Comisia ar trebui să se bazeze pe rezultatul evaluării efectuate </w:t>
      </w:r>
      <w:r w:rsidRPr="00046858">
        <w:rPr>
          <w:rStyle w:val="Added"/>
          <w:b w:val="0"/>
          <w:noProof/>
          <w:u w:val="none"/>
        </w:rPr>
        <w:t>de</w:t>
      </w:r>
      <w:r w:rsidRPr="00046858">
        <w:rPr>
          <w:noProof/>
        </w:rPr>
        <w:t xml:space="preserve"> întreprinderea comună pentru cipuri atunci când desemnează proiecte strategice. Proiectele selectate pentru finanțare de către întreprinderea comună pentru cipuri și care respectă criteriile prevăzute în prezentul regulament ar trebui să fie eligibile pentru a fi desemnate drept proiecte strategice. </w:t>
      </w:r>
    </w:p>
    <w:p w14:paraId="4A14977D" w14:textId="418FAB24" w:rsidR="00793A44" w:rsidRPr="00046858" w:rsidRDefault="00CF00BC" w:rsidP="006E37D1">
      <w:pPr>
        <w:pStyle w:val="ManualConsidrant"/>
        <w:rPr>
          <w:noProof/>
        </w:rPr>
      </w:pPr>
      <w:r w:rsidRPr="00046858">
        <w:rPr>
          <w:noProof/>
        </w:rPr>
        <w:t>(58)</w:t>
      </w:r>
      <w:r w:rsidRPr="00046858">
        <w:rPr>
          <w:noProof/>
        </w:rPr>
        <w:tab/>
        <w:t xml:space="preserve">Desemnarea unui proiect drept proiect strategic nu ar trebui să aducă atingere rezultatului deciziilor de finanțare luate în cadrul întreprinderii comune pentru cipuri. Cu toate acestea, proiectele care nu sunt selectate pentru finanțare din partea Uniunii ar trebui să poată obține statutul de proiect strategic, sub rezerva consimțământului solicitantului, pentru a beneficia de drepturile și obligațiile aferente statutului respectiv în temeiul prezentului regulament. Printre drepturi se numără includerea proiectelor strategice în forumul dedicat cererii, posibilitatea de a beneficia de sprijin public și administrativ și obținerea statutului de interes public superior și, eventual, a celui mai înalt statut de importanță la nivel național relevant pentru procedurile de acordare a autorizațiilor, iar obligațiile, aplicabile deopotrivă inițiativelor europene în domeniul tehnologiilor semiconductorilor, prevăd participarea la Platforma B2B pentru lanțul de aprovizionare cu semiconductori și obligația de a accepta comenzi prioritare. Proiectele strategice </w:t>
      </w:r>
      <w:r w:rsidRPr="00046858">
        <w:rPr>
          <w:rStyle w:val="Added"/>
          <w:b w:val="0"/>
          <w:noProof/>
          <w:u w:val="none"/>
        </w:rPr>
        <w:t>ar trebui</w:t>
      </w:r>
      <w:r w:rsidRPr="00046858">
        <w:rPr>
          <w:noProof/>
        </w:rPr>
        <w:t xml:space="preserve"> să beneficieze de aceleași drepturi și să fie supuse acelorași obligații ca inițiativele europene în domeniul tehnologiilor semiconductorilor, în cazul în care îndeplinesc cerințele relevante, pentru a asigura un cadru de reglementare coerent și pentru a maximiza contribuția lor la obiectivele Uniunii în sectorul semiconductorilor. După caz, o astfel de desemnare ar trebui, de asemenea, să confirme statutul lor de inițiative de pionierat și să definească durata statutului respectiv pe baza duratei de viață preconizate a proiectului. </w:t>
      </w:r>
    </w:p>
    <w:p w14:paraId="13047772" w14:textId="27753BD9" w:rsidR="00FE7597" w:rsidRPr="00046858" w:rsidRDefault="00C4307C" w:rsidP="006E37D1">
      <w:pPr>
        <w:pStyle w:val="ManualConsidrant"/>
        <w:rPr>
          <w:noProof/>
        </w:rPr>
      </w:pPr>
      <w:r w:rsidRPr="00046858">
        <w:rPr>
          <w:noProof/>
        </w:rPr>
        <w:t>(59)</w:t>
      </w:r>
      <w:r w:rsidRPr="00046858">
        <w:rPr>
          <w:noProof/>
        </w:rPr>
        <w:tab/>
        <w:t>Pentru a se asigura că proiectele strategice îndeplinesc în continuare criteriile prevăzute în prezentul regulament, Comisia ar trebui să poată retrage desemnarea unui proiect în cazul în care respectivele criterii nu mai sunt îndeplinite sau în cazul în care desemnarea s-a bazat pe informații incorecte. Înainte de a adopta o astfel de decizie, Comisia ar trebui să se asigure că întreprinderilor în cauză li se oferă posibilitatea de a fi ascultate, în conformitate cu principiul bunei administrări, și ar trebui să țină seama de avizul Consiliului european pentru semiconductori. În cazul în care desemnarea unui proiect strategic este retrasă, proiectul respectiv ar trebui să își piardă toate drepturile și obligațiile asociate statutului respectiv în temeiul prezentului regulament. Cu toate acestea, astfel de proiecte ar trebui să facă în continuare, pentru o perioadă limitată, obiectul unor obligații specifice legate de securitatea aprovizionării, în cazurile prevăzute în prezentul regulament.</w:t>
      </w:r>
    </w:p>
    <w:p w14:paraId="2D670C82" w14:textId="06345F38" w:rsidR="006860FD" w:rsidRPr="00046858" w:rsidRDefault="004A2172" w:rsidP="006E37D1">
      <w:pPr>
        <w:pStyle w:val="ManualConsidrant"/>
        <w:rPr>
          <w:rStyle w:val="Deleted"/>
          <w:strike w:val="0"/>
          <w:noProof/>
        </w:rPr>
      </w:pPr>
      <w:r w:rsidRPr="00046858">
        <w:rPr>
          <w:noProof/>
        </w:rPr>
        <w:t>(60)</w:t>
      </w:r>
      <w:r w:rsidRPr="00046858">
        <w:rPr>
          <w:noProof/>
        </w:rPr>
        <w:tab/>
        <w:t>Pentru a garanta acordarea simplă și rapidă a autorizațiilor, statele membre ar trebui să se asigure că procedurile de acordare a autorizațiilor pentru inițiativele europene în domeniul tehnologiilor semiconductorilor și pentru proiectele strategice sunt organizate printr-o procedură unică bazată pe o cerere unică. În plus, statele membre ar trebui să desemneze un ghișeu unic care să acționeze ca punct unic de contact pentru proiect, pentru a facilita și a coordona prelucrarea cererilor în mod eficient și transparent și în timp util.</w:t>
      </w:r>
    </w:p>
    <w:p w14:paraId="6557A4A0" w14:textId="55A4700B" w:rsidR="00E44D23" w:rsidRPr="00046858" w:rsidRDefault="001304D3" w:rsidP="006E37D1">
      <w:pPr>
        <w:pStyle w:val="ManualConsidrant"/>
        <w:rPr>
          <w:noProof/>
        </w:rPr>
      </w:pPr>
      <w:r w:rsidRPr="00046858">
        <w:rPr>
          <w:noProof/>
        </w:rPr>
        <w:lastRenderedPageBreak/>
        <w:t>(61)</w:t>
      </w:r>
      <w:r w:rsidRPr="00046858">
        <w:rPr>
          <w:noProof/>
        </w:rPr>
        <w:tab/>
        <w:t xml:space="preserve">Este necesar ca inițiativele europene în domeniul tehnologiilor semiconductorilor și proiectele strategice să fie înființate cât mai curând posibil, menținând în același timp sarcina administrativă la un nivel minim. Din acest motiv, statele membre ar trebui să trateze cât mai rapid posibil cererile legate de planificarea, construirea și exploatarea unor astfel de instalații. Pentru a accelera și mai mult implementarea inițiativelor europene în domeniul tehnologiilor semiconductorilor și a proiectelor strategice, ar trebui stabilite termene clare și obligatorii pentru procedurile de acordare a autorizațiilor. În special, durata totală a acestor proceduri nu ar trebui să depășească perioada definită de </w:t>
      </w:r>
      <w:r w:rsidRPr="00046858">
        <w:rPr>
          <w:rStyle w:val="Added"/>
          <w:b w:val="0"/>
          <w:noProof/>
          <w:u w:val="none"/>
        </w:rPr>
        <w:t>12 luni</w:t>
      </w:r>
      <w:r w:rsidRPr="00046858">
        <w:rPr>
          <w:noProof/>
        </w:rPr>
        <w:t xml:space="preserve"> de la depunerea unei cereri complete, fără a aduce atingere termenelor mai scurte stabilite de statele membre.</w:t>
      </w:r>
    </w:p>
    <w:p w14:paraId="6E538050" w14:textId="456CEBBB" w:rsidR="00346A1C" w:rsidRPr="00046858" w:rsidRDefault="00AE4C3F" w:rsidP="006E37D1">
      <w:pPr>
        <w:pStyle w:val="ManualConsidrant"/>
        <w:rPr>
          <w:noProof/>
        </w:rPr>
      </w:pPr>
      <w:r w:rsidRPr="00046858">
        <w:rPr>
          <w:noProof/>
        </w:rPr>
        <w:t>(62)</w:t>
      </w:r>
      <w:r w:rsidRPr="00046858">
        <w:rPr>
          <w:noProof/>
        </w:rPr>
        <w:tab/>
        <w:t>Având în vedere caracterul potențial transfrontalier al inițiativelor europene în domeniul tehnologiilor semiconductorilor și al proiectelor strategice, statele membre ar trebui să depună toate eforturile pentru a coopera și a se coordona în mod eficace la nivelul autorităților relevante, inclusiv între ghișeele unice desemnate, pentru a facilita procese decizionale coerente și prompte.</w:t>
      </w:r>
    </w:p>
    <w:p w14:paraId="146E7660" w14:textId="04DD9CAF" w:rsidR="00B74A45" w:rsidRPr="00046858" w:rsidRDefault="001E1ED4" w:rsidP="006E37D1">
      <w:pPr>
        <w:pStyle w:val="ManualConsidrant"/>
        <w:rPr>
          <w:noProof/>
        </w:rPr>
      </w:pPr>
      <w:r w:rsidRPr="00046858">
        <w:rPr>
          <w:noProof/>
        </w:rPr>
        <w:t>(63)</w:t>
      </w:r>
      <w:r w:rsidRPr="00046858">
        <w:rPr>
          <w:noProof/>
        </w:rPr>
        <w:tab/>
        <w:t xml:space="preserve">Digitalizarea procedurilor de acordare a autorizațiilor este esențială pentru a spori transparența, eficiența și securitatea juridică. Prin urmare, statele membre ar trebui să creeze </w:t>
      </w:r>
      <w:r w:rsidRPr="00046858">
        <w:rPr>
          <w:rStyle w:val="Added"/>
          <w:b w:val="0"/>
          <w:noProof/>
          <w:u w:val="none"/>
        </w:rPr>
        <w:t>portaluri unice de acces</w:t>
      </w:r>
      <w:r w:rsidRPr="00046858">
        <w:rPr>
          <w:noProof/>
        </w:rPr>
        <w:t xml:space="preserve"> la nivel național, care să le permită solicitanților să își depună și să își gestioneze cererile într-un mediu complet digital. Utilizarea soluțiilor digitale interoperabile, inclusiv a portofelelor europene pentru întreprinderi, ar trebui să faciliteze schimbul securizat de date, reutilizarea informațiilor existente și interacțiunea fără sincope dintre solicitanți și autoritățile competente, asigurând în același timp un nivel ridicat de securitate cibernetică și de integritate a datelor. Pentru a îmbunătăți transparența și previzibilitatea pentru solicitanți, </w:t>
      </w:r>
      <w:r w:rsidRPr="00046858">
        <w:rPr>
          <w:rStyle w:val="Added"/>
          <w:b w:val="0"/>
          <w:noProof/>
          <w:u w:val="none"/>
        </w:rPr>
        <w:t>portalul unic de acces</w:t>
      </w:r>
      <w:r w:rsidRPr="00046858">
        <w:rPr>
          <w:noProof/>
        </w:rPr>
        <w:t xml:space="preserve"> ar trebui să furnizeze informații actualizate cu privire la stadiul cererilor, la procedurile și termenele aplicabile, precum și la notificările deciziilor luate de autoritățile competente.</w:t>
      </w:r>
    </w:p>
    <w:p w14:paraId="6CBFF758" w14:textId="7F826308" w:rsidR="006033AB" w:rsidRPr="00046858" w:rsidRDefault="00B74A45" w:rsidP="006E37D1">
      <w:pPr>
        <w:pStyle w:val="ManualConsidrant"/>
        <w:rPr>
          <w:noProof/>
        </w:rPr>
      </w:pPr>
      <w:r w:rsidRPr="00046858">
        <w:rPr>
          <w:noProof/>
        </w:rPr>
        <w:t>(64)</w:t>
      </w:r>
      <w:r w:rsidRPr="00046858">
        <w:rPr>
          <w:noProof/>
        </w:rPr>
        <w:tab/>
        <w:t>În mod similar, pentru a sprijini deciziile de investiții și a reduce asimetriile în materie de informații, statele membre ar trebui să pună la dispoziție online, într-un mod centralizat și ușor accesibil, informații relevante privind procedurile de acordare a autorizațiilor, oportunitățile de finanțare, serviciile de sprijin pentru întreprinderi și cerințele de reglementare aplicabile. Acestea ar trebui, de asemenea, să asigure utilizarea adecvată a studiilor, permiselor și autorizațiilor existente legate de planificarea, construirea și exploatarea inițiativelor europene în domeniul tehnologiilor semiconductorilor și ale proiectelor strategice, atunci când acestea sunt compatibile cu dreptul Uniunii și cu dreptul intern, pentru a evita duplicarea procedurilor administrative și a reduce întârzierile. Având în vedere importanța strategică și sensibilitatea la factorul timp ale inițiativelor europene în domeniul tehnologiilor semiconductorilor și ale proiectelor strategice, statele membre ar trebui să se asigure că procedurile administrative și judiciare legate de acordarea autorizațiilor sunt tratate ca fiind urgente, în cazul și în măsura prevăzute în dreptul intern, respectând totodată pe deplin dreptul la apărare și drepturile persoanelor și comunităților afectate.</w:t>
      </w:r>
    </w:p>
    <w:p w14:paraId="1B80ED32" w14:textId="52CAE070" w:rsidR="007D079D" w:rsidRPr="00046858" w:rsidRDefault="005B714A" w:rsidP="006E37D1">
      <w:pPr>
        <w:pStyle w:val="ManualConsidrant"/>
        <w:rPr>
          <w:rStyle w:val="Added"/>
          <w:b w:val="0"/>
          <w:noProof/>
          <w:u w:val="none"/>
        </w:rPr>
      </w:pPr>
      <w:r w:rsidRPr="00046858">
        <w:rPr>
          <w:noProof/>
        </w:rPr>
        <w:t>(65)</w:t>
      </w:r>
      <w:r w:rsidRPr="00046858">
        <w:rPr>
          <w:noProof/>
        </w:rPr>
        <w:tab/>
      </w:r>
      <w:r w:rsidRPr="00046858">
        <w:rPr>
          <w:rStyle w:val="Added"/>
          <w:b w:val="0"/>
          <w:noProof/>
          <w:u w:val="none"/>
        </w:rPr>
        <w:t>Regulamentul (UE) [202X/XX] din [...]</w:t>
      </w:r>
      <w:r w:rsidRPr="00046858">
        <w:rPr>
          <w:rStyle w:val="FootnoteReference"/>
          <w:noProof/>
        </w:rPr>
        <w:footnoteReference w:id="51"/>
      </w:r>
      <w:r w:rsidRPr="00046858">
        <w:rPr>
          <w:rStyle w:val="Added"/>
          <w:b w:val="0"/>
          <w:noProof/>
          <w:u w:val="none"/>
        </w:rPr>
        <w:t xml:space="preserve"> stabilește un cadru comun de accelerare a evaluărilor de mediu pentru a stimula implementarea în Uniune a tehnologiilor-cheie, pentru a reduce dependențele și pentru a consolida competitivitatea. Procedurile legate </w:t>
      </w:r>
      <w:r w:rsidRPr="00046858">
        <w:rPr>
          <w:rStyle w:val="Added"/>
          <w:b w:val="0"/>
          <w:noProof/>
          <w:u w:val="none"/>
        </w:rPr>
        <w:lastRenderedPageBreak/>
        <w:t>de evaluările de mediu ar trebui accelerate și simplificate pentru planurile, programele și proiectele din toate sectoarele economiei, menținându-se în același timp niveluri ridicate de protecție a sănătății umane și a mediului. Cu toate acestea, este posibil ca unele sectoare să necesite evaluări de mediu mai rapide. Prin urmare, pentru a garanta coerența cadrului juridic al evaluărilor de mediu, permițând în același timp abordarea nevoilor suplimentare de accelerare în anumite sectoare strategice, Regulamentul (UE) [202X/XX] stabilește un set de instrumente specific, care ar trebui, prin urmare, să fie utilizat în contextul prezentului regulament. Având în vedere rolul esențial al tehnologiilor semiconductorilor în asigurarea realizării obiectivelor climatice ale Uniunii prin introducerea unor tehnologii și procese de producție noi și mai durabile, integrarea semiconductorilor în tehnologiile „zero net” și contribuția acestora la securitatea economică și reziliența Uniunii, inițiativele europene în domeniul tehnologiilor semiconductorilor și proiectele strategice în sensul prezentului regulament ar trebui, de asemenea, să fie considerate proiecte strategice în sensul Regulamentului (UE) [202X/XX] și, prin urmare, să beneficieze de setul de instrumente specific instituit în temeiul regulamentului respectiv.</w:t>
      </w:r>
    </w:p>
    <w:p w14:paraId="3C186551" w14:textId="7ECD142D" w:rsidR="0048444E" w:rsidRPr="00046858" w:rsidRDefault="007A18DC" w:rsidP="006E37D1">
      <w:pPr>
        <w:pStyle w:val="ManualConsidrant"/>
        <w:rPr>
          <w:noProof/>
        </w:rPr>
      </w:pPr>
      <w:r w:rsidRPr="00046858">
        <w:rPr>
          <w:noProof/>
        </w:rPr>
        <w:t>(66)</w:t>
      </w:r>
      <w:r w:rsidRPr="00046858">
        <w:rPr>
          <w:noProof/>
        </w:rPr>
        <w:tab/>
        <w:t xml:space="preserve">În sectorul semiconductorilor, </w:t>
      </w:r>
      <w:r w:rsidRPr="00046858">
        <w:rPr>
          <w:rStyle w:val="Added"/>
          <w:b w:val="0"/>
          <w:noProof/>
          <w:u w:val="none"/>
        </w:rPr>
        <w:t>întreprinderile</w:t>
      </w:r>
      <w:r w:rsidRPr="00046858">
        <w:rPr>
          <w:noProof/>
        </w:rPr>
        <w:t xml:space="preserve"> prosperă în districte locale specializate, care pot atrage investiții, pot stimula inovarea și pot construi ecosisteme industriale reziliente. Regiunile și clusterele industriale regionale sunt esențiale pentru dezvoltarea și facilitarea creării unor astfel de </w:t>
      </w:r>
      <w:r w:rsidRPr="00046858">
        <w:rPr>
          <w:rStyle w:val="Added"/>
          <w:b w:val="0"/>
          <w:noProof/>
          <w:u w:val="none"/>
        </w:rPr>
        <w:t>ecosisteme</w:t>
      </w:r>
      <w:r w:rsidRPr="00046858">
        <w:rPr>
          <w:noProof/>
        </w:rPr>
        <w:t>.</w:t>
      </w:r>
      <w:r w:rsidRPr="00046858">
        <w:rPr>
          <w:rStyle w:val="Added"/>
          <w:b w:val="0"/>
          <w:noProof/>
          <w:u w:val="none"/>
        </w:rPr>
        <w:t xml:space="preserve"> Ar trebui instituită o etichetă de regiune europeană de excelență în domeniul semiconductorilor, cu scopul de a identifica, a recunoaște și a promova regiunile din Uniune care demonstrează o strategie coordonată pe termen lung de găzduire, atragere și extindere a investițiilor în semiconductori și a lanțurilor valorice ale semiconductorilor. </w:t>
      </w:r>
      <w:r w:rsidRPr="00046858">
        <w:rPr>
          <w:noProof/>
        </w:rPr>
        <w:t>Investitorii internaționali ar trebui să poată găsi într-o regiune europeană de excelență în domeniul semiconductorilor mediul ideal pentru dezvoltarea activităților legate de semiconductori. O astfel de etichetă ar trebui acordată de Comisie în urma cererilor depuse de autoritățile regionale, pe baza coerenței și a credibilității unui plan de investiții al regiunilor semiconductorilor și a nivelului de angajament al autorităților relevante, iar cererea ar trebui aprobată de statul membru relevant pentru a asigura coordonarea politică între diferitele niveluri de guvernare.</w:t>
      </w:r>
    </w:p>
    <w:p w14:paraId="0EF39937" w14:textId="4CFBCA69" w:rsidR="007A18DC" w:rsidRPr="00046858" w:rsidRDefault="007A18DC" w:rsidP="006E37D1">
      <w:pPr>
        <w:pStyle w:val="ManualConsidrant"/>
        <w:rPr>
          <w:noProof/>
        </w:rPr>
      </w:pPr>
      <w:r w:rsidRPr="00046858">
        <w:rPr>
          <w:noProof/>
        </w:rPr>
        <w:t>(67)</w:t>
      </w:r>
      <w:r w:rsidRPr="00046858">
        <w:rPr>
          <w:noProof/>
        </w:rPr>
        <w:tab/>
        <w:t xml:space="preserve">Regiunile candidate ar trebui să elaboreze un plan de investiții al regiunilor semiconductorilor. Măsurile </w:t>
      </w:r>
      <w:r w:rsidRPr="00046858">
        <w:rPr>
          <w:rStyle w:val="Added"/>
          <w:b w:val="0"/>
          <w:noProof/>
          <w:u w:val="none"/>
        </w:rPr>
        <w:t>propuse</w:t>
      </w:r>
      <w:r w:rsidRPr="00046858">
        <w:rPr>
          <w:noProof/>
        </w:rPr>
        <w:t xml:space="preserve"> în planul respectiv ar trebui să abordeze în special condițiile-cadru pentru a consolida fabricarea semiconductorilor, colaborarea în domeniul cercetării și al dezvoltării, dezvoltarea competențelor sau infrastructura durabilă și să semnaleze disponibilitatea acestora de a găzdui investiții în sectorul semiconductorilor.</w:t>
      </w:r>
    </w:p>
    <w:p w14:paraId="32497CB7" w14:textId="7CFCE024" w:rsidR="007A18DC" w:rsidRPr="00046858" w:rsidRDefault="007A18DC" w:rsidP="006E37D1">
      <w:pPr>
        <w:pStyle w:val="ManualConsidrant"/>
        <w:rPr>
          <w:noProof/>
        </w:rPr>
      </w:pPr>
      <w:r w:rsidRPr="00046858">
        <w:rPr>
          <w:noProof/>
        </w:rPr>
        <w:t>(68)</w:t>
      </w:r>
      <w:r w:rsidRPr="00046858">
        <w:rPr>
          <w:noProof/>
        </w:rPr>
        <w:tab/>
        <w:t xml:space="preserve">La primirea etichetei, o regiune ar trebui să aibă acces la oportunități, inclusiv la parteneriate mai puternice cu industria și cu instituțiile de cercetare, precum și la o atractivitate sporită pentru investitorii internaționali care caută amplasamente fiabile și cu potențial ridicat. Regiunile recunoscute ar trebui să se poată alătura unei rețele a regiunilor europene de excelență în domeniul semiconductorilor, ceea ce le-ar permite să facă schimb de cunoștințe, să creeze alianțe și să își amplifice impactul în întreaga </w:t>
      </w:r>
      <w:r w:rsidRPr="00046858">
        <w:rPr>
          <w:rStyle w:val="Added"/>
          <w:b w:val="0"/>
          <w:noProof/>
          <w:u w:val="none"/>
        </w:rPr>
        <w:t>Uniune</w:t>
      </w:r>
      <w:r w:rsidRPr="00046858">
        <w:rPr>
          <w:noProof/>
        </w:rPr>
        <w:t>, în timp ce recunoașterea internațională a strategiilor lor le-ar consolida reputația de destinații principale pentru inovarea și investițiile în domeniul semiconductorilor.</w:t>
      </w:r>
    </w:p>
    <w:p w14:paraId="484258FD" w14:textId="2455B821" w:rsidR="002D3801" w:rsidRPr="00046858" w:rsidRDefault="004B7A0C" w:rsidP="006E37D1">
      <w:pPr>
        <w:pStyle w:val="ManualConsidrant"/>
        <w:rPr>
          <w:noProof/>
        </w:rPr>
      </w:pPr>
      <w:r w:rsidRPr="00046858">
        <w:rPr>
          <w:noProof/>
        </w:rPr>
        <w:t>(69)</w:t>
      </w:r>
      <w:r w:rsidRPr="00046858">
        <w:rPr>
          <w:noProof/>
        </w:rPr>
        <w:tab/>
        <w:t xml:space="preserve">Semiconductorii sunt componente esențiale încorporate în infrastructurile, echipamentele și sistemele utilizate de entitățile critice, inclusiv de cele care intră sub </w:t>
      </w:r>
      <w:r w:rsidRPr="00046858">
        <w:rPr>
          <w:noProof/>
        </w:rPr>
        <w:lastRenderedPageBreak/>
        <w:t>incidența Directivei (UE) 2022/2555 a Parlamentului European și a Consiliului</w:t>
      </w:r>
      <w:r w:rsidRPr="00046858">
        <w:rPr>
          <w:rStyle w:val="FootnoteReference"/>
          <w:noProof/>
        </w:rPr>
        <w:footnoteReference w:id="52"/>
      </w:r>
      <w:r w:rsidRPr="00046858">
        <w:rPr>
          <w:noProof/>
        </w:rPr>
        <w:t>. Funcționarea, securitatea și continuitatea acestor entități critice depind din ce în ce mai mult de disponibilitatea, integritatea și fiabilitatea componentelor semiconductorilor și ale furnizorilor acestora. Pentru a reduce expunerea Uniunii la șocurile din lanțul de aprovizionare și dependențele de un număr limitat de furnizori din țări terțe, este necesar să se consolideze transparența și reziliența în ceea ce privește aprovizionarea cu semiconductori utilizați în achizițiile publice pentru infrastructuri și servicii critice. Achizițiile publice reglementate de Directivele 2014/23/UE</w:t>
      </w:r>
      <w:r w:rsidRPr="00046858">
        <w:rPr>
          <w:rStyle w:val="FootnoteReference"/>
          <w:noProof/>
        </w:rPr>
        <w:footnoteReference w:id="53"/>
      </w:r>
      <w:r w:rsidRPr="00046858">
        <w:rPr>
          <w:noProof/>
        </w:rPr>
        <w:t>, 2014/24/UE</w:t>
      </w:r>
      <w:r w:rsidRPr="00046858">
        <w:rPr>
          <w:rStyle w:val="FootnoteReference"/>
          <w:noProof/>
        </w:rPr>
        <w:footnoteReference w:id="54"/>
      </w:r>
      <w:r w:rsidRPr="00046858">
        <w:rPr>
          <w:noProof/>
        </w:rPr>
        <w:t>, 2014/25/UE</w:t>
      </w:r>
      <w:r w:rsidRPr="00046858">
        <w:rPr>
          <w:rStyle w:val="FootnoteReference"/>
          <w:noProof/>
        </w:rPr>
        <w:footnoteReference w:id="55"/>
      </w:r>
      <w:r w:rsidRPr="00046858">
        <w:rPr>
          <w:noProof/>
        </w:rPr>
        <w:t xml:space="preserve"> ale Parlamentului European și ale Consiliului reprezintă o parte semnificativă a cererii din Uniune și pot juca un rol strategic în promovarea unor lanțuri de aprovizionare cu semiconductori fiabile și reziliente. </w:t>
      </w:r>
      <w:r w:rsidRPr="00046858">
        <w:rPr>
          <w:rStyle w:val="Added"/>
          <w:b w:val="0"/>
          <w:noProof/>
          <w:u w:val="none"/>
        </w:rPr>
        <w:t>Autoritățile contractante sau entitățile contractante</w:t>
      </w:r>
      <w:r w:rsidRPr="00046858">
        <w:rPr>
          <w:rStyle w:val="Deleted"/>
          <w:noProof/>
        </w:rPr>
        <w:t xml:space="preserve"> </w:t>
      </w:r>
      <w:r w:rsidRPr="00046858">
        <w:rPr>
          <w:noProof/>
        </w:rPr>
        <w:t xml:space="preserve">care achiziționează infrastructuri critice ar trebui să integreze considerente de securitate a aprovizionării pe tot parcursul procesului de achiziții publice și ar trebui, de asemenea, să ia în considerare modul în care semiconductorii încorporați în echipamentele sau sistemele achiziționate adaugă valoare </w:t>
      </w:r>
      <w:r w:rsidRPr="00046858">
        <w:rPr>
          <w:rStyle w:val="Added"/>
          <w:b w:val="0"/>
          <w:noProof/>
          <w:u w:val="none"/>
        </w:rPr>
        <w:t>rezilienței lanțului de aprovizionare cu semiconductori</w:t>
      </w:r>
      <w:r w:rsidRPr="00046858">
        <w:rPr>
          <w:b/>
          <w:noProof/>
        </w:rPr>
        <w:t xml:space="preserve"> </w:t>
      </w:r>
      <w:r w:rsidRPr="00046858">
        <w:rPr>
          <w:noProof/>
        </w:rPr>
        <w:t>din Uniune prin etapele lor de proiectare și de fabricație.</w:t>
      </w:r>
      <w:r w:rsidRPr="00046858">
        <w:rPr>
          <w:rStyle w:val="Added"/>
          <w:b w:val="0"/>
          <w:noProof/>
          <w:u w:val="none"/>
        </w:rPr>
        <w:t xml:space="preserve"> Aceste considerații nu aduc atingere legislației Uniunii în materie de securitate cibernetică.</w:t>
      </w:r>
      <w:r w:rsidRPr="00046858">
        <w:rPr>
          <w:noProof/>
        </w:rPr>
        <w:t xml:space="preserve"> </w:t>
      </w:r>
    </w:p>
    <w:p w14:paraId="2358E64C" w14:textId="0C9B1729" w:rsidR="00C31D87" w:rsidRPr="00046858" w:rsidRDefault="002D3801" w:rsidP="006E37D1">
      <w:pPr>
        <w:pStyle w:val="ManualConsidrant"/>
        <w:rPr>
          <w:noProof/>
        </w:rPr>
      </w:pPr>
      <w:r w:rsidRPr="00046858">
        <w:rPr>
          <w:noProof/>
        </w:rPr>
        <w:t>(70)</w:t>
      </w:r>
      <w:r w:rsidRPr="00046858">
        <w:rPr>
          <w:noProof/>
        </w:rPr>
        <w:tab/>
        <w:t xml:space="preserve">Încurajarea autorităților contractante și a entităților contractante să le solicite operatorilor economici să furnizeze o declarație privind </w:t>
      </w:r>
      <w:r w:rsidRPr="00046858">
        <w:rPr>
          <w:rStyle w:val="Added"/>
          <w:b w:val="0"/>
          <w:noProof/>
          <w:u w:val="none"/>
        </w:rPr>
        <w:t>securitatea aprovizionării</w:t>
      </w:r>
      <w:r w:rsidRPr="00046858">
        <w:rPr>
          <w:noProof/>
        </w:rPr>
        <w:t xml:space="preserve"> în ceea ce privește aprovizionarea cu semiconductori ar spori transparența de-a lungul lanțurilor de aprovizionare și ar permite luarea de decizii în cunoștință de cauză în cadrul procedurilor de achiziții publice, fără a impune sarcini administrative disproporționate și lăsând la latitudinea autorităților contractante și a entităților contractante decizia de a solicita o astfel de declarație </w:t>
      </w:r>
      <w:r w:rsidRPr="00046858">
        <w:rPr>
          <w:rStyle w:val="Added"/>
          <w:b w:val="0"/>
          <w:noProof/>
          <w:u w:val="none"/>
        </w:rPr>
        <w:t>în toate procedurile de achiziții publice</w:t>
      </w:r>
      <w:r w:rsidRPr="00046858">
        <w:rPr>
          <w:noProof/>
        </w:rPr>
        <w:t xml:space="preserve">. O astfel de declarație ar trebui, dacă este necesar, </w:t>
      </w:r>
      <w:r w:rsidRPr="00046858">
        <w:rPr>
          <w:rStyle w:val="Added"/>
          <w:b w:val="0"/>
          <w:noProof/>
          <w:u w:val="none"/>
        </w:rPr>
        <w:t>să conțină</w:t>
      </w:r>
      <w:r w:rsidRPr="00046858">
        <w:rPr>
          <w:noProof/>
        </w:rPr>
        <w:t xml:space="preserve"> elemente-cheie care să permită o evaluare a solidității lanțului de aprovizionare, inclusiv identificarea întreprinderilor implicate, </w:t>
      </w:r>
      <w:r w:rsidRPr="00046858">
        <w:rPr>
          <w:rStyle w:val="Added"/>
          <w:b w:val="0"/>
          <w:noProof/>
          <w:u w:val="none"/>
        </w:rPr>
        <w:t>diversitatea</w:t>
      </w:r>
      <w:r w:rsidRPr="00046858">
        <w:rPr>
          <w:noProof/>
        </w:rPr>
        <w:t xml:space="preserve"> furnizorilor, </w:t>
      </w:r>
      <w:r w:rsidRPr="00046858">
        <w:rPr>
          <w:rStyle w:val="Added"/>
          <w:b w:val="0"/>
          <w:noProof/>
          <w:u w:val="none"/>
        </w:rPr>
        <w:t>valoarea adăugată pentru reziliența lanțului de aprovizionare cu semiconductori al Uniunii</w:t>
      </w:r>
      <w:r w:rsidRPr="00046858">
        <w:rPr>
          <w:noProof/>
        </w:rPr>
        <w:t xml:space="preserve">, strategii </w:t>
      </w:r>
      <w:r w:rsidRPr="00046858">
        <w:rPr>
          <w:rStyle w:val="Added"/>
          <w:b w:val="0"/>
          <w:noProof/>
          <w:u w:val="none"/>
        </w:rPr>
        <w:t>de sporire a rezilienței</w:t>
      </w:r>
      <w:r w:rsidRPr="00046858">
        <w:rPr>
          <w:noProof/>
        </w:rPr>
        <w:t xml:space="preserve">, de exemplu </w:t>
      </w:r>
      <w:r w:rsidRPr="00046858">
        <w:rPr>
          <w:rStyle w:val="Added"/>
          <w:b w:val="0"/>
          <w:noProof/>
          <w:u w:val="none"/>
        </w:rPr>
        <w:t>prin</w:t>
      </w:r>
      <w:r w:rsidRPr="00046858">
        <w:rPr>
          <w:noProof/>
        </w:rPr>
        <w:t xml:space="preserve"> aprovizionarea dublă </w:t>
      </w:r>
      <w:r w:rsidRPr="00046858">
        <w:rPr>
          <w:rStyle w:val="Added"/>
          <w:b w:val="0"/>
          <w:noProof/>
          <w:u w:val="none"/>
        </w:rPr>
        <w:t>de la întreprinderi naționale</w:t>
      </w:r>
      <w:r w:rsidRPr="00046858">
        <w:rPr>
          <w:noProof/>
        </w:rPr>
        <w:t xml:space="preserve">, și evaluări ale vulnerabilității la potențialele perturbări, precum și, după caz, evaluări relevante ale riscurilor efectuate în temeiul prezentului regulament. Pentru a se asigura că respectivele considerente privind reziliența, securitatea și valoarea adăugată europeană a </w:t>
      </w:r>
      <w:r w:rsidRPr="00046858">
        <w:rPr>
          <w:rStyle w:val="Added"/>
          <w:b w:val="0"/>
          <w:noProof/>
          <w:u w:val="none"/>
        </w:rPr>
        <w:t>lanțului de aprovizionare</w:t>
      </w:r>
      <w:r w:rsidRPr="00046858">
        <w:rPr>
          <w:noProof/>
        </w:rPr>
        <w:t xml:space="preserve"> sunt integrate efectiv în deciziile de achiziții publice, autoritățile contractante și entitățile contractante pot specifica în documentele achiziției cerințe referitoare la securitatea aprovizionării legate de aprovizionarea cu semiconductori încorporați în infrastructurile, echipamentele sau sistemele care fac obiectul contractului de achiziții publice. În acest scop, ele pot include specificații </w:t>
      </w:r>
      <w:r w:rsidRPr="00046858">
        <w:rPr>
          <w:noProof/>
        </w:rPr>
        <w:lastRenderedPageBreak/>
        <w:t>tehnice, criterii de selecție, criterii de atribuire sau clauze de executare a contractului.</w:t>
      </w:r>
      <w:r w:rsidRPr="00046858">
        <w:rPr>
          <w:noProof/>
        </w:rPr>
        <w:cr/>
      </w:r>
      <w:r w:rsidRPr="00046858">
        <w:rPr>
          <w:noProof/>
        </w:rPr>
        <w:br/>
        <w:t xml:space="preserve"> </w:t>
      </w:r>
      <w:r w:rsidRPr="00046858">
        <w:rPr>
          <w:noProof/>
        </w:rPr>
        <w:cr/>
      </w:r>
      <w:r w:rsidRPr="00046858">
        <w:rPr>
          <w:noProof/>
        </w:rPr>
        <w:br/>
        <w:t>Cadrul privind achizițiile publice instituit prin Directivele 2014/24/UE, 2014/25/UE și 2009/81/CE conține dispoziții care le permit autorităților contractante să excludă operatorii economici care s-au făcut vinovați de declarații false grave, care nu au divulgat informații relevante sau care au furnizat informații false sau înșelătoare în contextul participării la o procedură de achiziții publice. Aceste dispoziții rămân aplicabile procedurilor de achiziții publice desfășurate de autoritățile contractante naționale, care intră sub incidența prezentului regulament.</w:t>
      </w:r>
    </w:p>
    <w:p w14:paraId="64568986" w14:textId="4DF2FDB6" w:rsidR="00392D4F" w:rsidRPr="00046858" w:rsidRDefault="00256B81" w:rsidP="006E37D1">
      <w:pPr>
        <w:pStyle w:val="ManualConsidrant"/>
        <w:rPr>
          <w:noProof/>
        </w:rPr>
      </w:pPr>
      <w:r w:rsidRPr="00046858">
        <w:rPr>
          <w:noProof/>
        </w:rPr>
        <w:t>(71)</w:t>
      </w:r>
      <w:r w:rsidRPr="00046858">
        <w:rPr>
          <w:noProof/>
        </w:rPr>
        <w:tab/>
        <w:t>În acest context, având în vedere că acordurile de liber schimb, uniunile vamale și Acordul OMC privind achizițiile publice</w:t>
      </w:r>
      <w:r w:rsidRPr="00046858">
        <w:rPr>
          <w:rStyle w:val="FootnoteReference"/>
          <w:noProof/>
        </w:rPr>
        <w:footnoteReference w:id="56"/>
      </w:r>
      <w:r w:rsidRPr="00046858">
        <w:rPr>
          <w:noProof/>
        </w:rPr>
        <w:t xml:space="preserve"> </w:t>
      </w:r>
      <w:r w:rsidRPr="00046858">
        <w:rPr>
          <w:rStyle w:val="Added"/>
          <w:b w:val="0"/>
          <w:noProof/>
          <w:u w:val="none"/>
        </w:rPr>
        <w:t>conțin angajamente privind accesul la achizițiile publice, ar trebui să se considere că întreprinderile din țări terțe care au încheiat astfel de acorduri internaționale cu Uniunea prin care se garantează un astfel de acces se încadrează în definiția întreprinderilor naționale</w:t>
      </w:r>
      <w:r w:rsidRPr="00046858">
        <w:rPr>
          <w:noProof/>
        </w:rPr>
        <w:t>.</w:t>
      </w:r>
      <w:r w:rsidRPr="00046858">
        <w:rPr>
          <w:rStyle w:val="Added"/>
          <w:b w:val="0"/>
          <w:noProof/>
          <w:u w:val="none"/>
        </w:rPr>
        <w:t xml:space="preserve"> În plus, aceste acorduri internaționale, precum și parteneriatele strategice privind semiconductorii reflectă </w:t>
      </w:r>
      <w:r w:rsidRPr="00046858">
        <w:rPr>
          <w:noProof/>
        </w:rPr>
        <w:t xml:space="preserve">un angajament reciproc între Uniune și partenerii săi de a securiza lanțurile internaționale de aprovizionare cu semiconductori, </w:t>
      </w:r>
      <w:r w:rsidRPr="00046858">
        <w:rPr>
          <w:rStyle w:val="Added"/>
          <w:b w:val="0"/>
          <w:noProof/>
          <w:u w:val="none"/>
        </w:rPr>
        <w:t>motiv pentru care întreprinderilor</w:t>
      </w:r>
      <w:r w:rsidRPr="00046858">
        <w:rPr>
          <w:noProof/>
        </w:rPr>
        <w:t xml:space="preserve"> din aceste țări partenere ale Uniunii </w:t>
      </w:r>
      <w:r w:rsidRPr="00046858">
        <w:rPr>
          <w:rStyle w:val="Added"/>
          <w:b w:val="0"/>
          <w:noProof/>
          <w:u w:val="none"/>
        </w:rPr>
        <w:t>li se acordă echivalența cu</w:t>
      </w:r>
      <w:r w:rsidRPr="00046858">
        <w:rPr>
          <w:noProof/>
        </w:rPr>
        <w:t xml:space="preserve"> întreprinderile naționale. </w:t>
      </w:r>
    </w:p>
    <w:p w14:paraId="66E6C93F" w14:textId="1EA0D8C1" w:rsidR="00256B81" w:rsidRPr="00046858" w:rsidRDefault="00F150E8" w:rsidP="006E37D1">
      <w:pPr>
        <w:pStyle w:val="ManualConsidrant"/>
        <w:rPr>
          <w:noProof/>
        </w:rPr>
      </w:pPr>
      <w:r w:rsidRPr="00046858">
        <w:rPr>
          <w:noProof/>
        </w:rPr>
        <w:t>(72)</w:t>
      </w:r>
      <w:r w:rsidRPr="00046858">
        <w:rPr>
          <w:noProof/>
        </w:rPr>
        <w:tab/>
        <w:t xml:space="preserve">În sensul prezentului regulament, pentru a evalua dacă o întreprindere este sau nu națională sau echivalentă, ar trebui să se analizeze structura de proprietate și controlul unei astfel de întreprinderi. Pentru evaluarea controlului, ar trebui să se considere că întreprinderile sunt controlate de o țară terță sau de o entitate juridică dintr-o țară terță, în cazul în care țara terță sau entitatea juridică respectivă este în măsură să exercite o influență decisivă asupra deciziilor sale strategice, direct sau indirect, inclusiv, în special, prin faptul că are dreptul sau exercită competența de a numi sau de a revoca majoritatea membrilor organului de administrare, de conducere sau de supraveghere al întreprinderii evaluate, prin faptul că a numit, numai prin exercitarea drepturilor de vot, majoritatea membrilor organelor de administrare, de conducere sau de supraveghere ale întreprinderii evaluate care au deținut funcția respectivă în exercițiul financiar prezent și în cel precedent, prin faptul că deține singură controlul asupra majorității drepturilor de vot ale acționarilor sau asociaților la întreprinderea evaluată, ca urmare a unui acord încheiat cu alți acționari sau asociați ai întreprinderii evaluate, prin faptul că are dreptul de a exercita o influență dominantă asupra întreprinderii evaluate, în temeiul unui acord încheiat cu întreprinderea evaluată sau al unei dispoziții din actul constitutiv sau din statutul acesteia, în cazul în care legislația care reglementează întreprinderea evaluată permite ca aceasta să facă obiectul unui astfel de acord sau al unei astfel de dispoziții, prin faptul că are puterea de a exercita </w:t>
      </w:r>
      <w:r w:rsidRPr="00046858">
        <w:rPr>
          <w:i/>
          <w:noProof/>
        </w:rPr>
        <w:t xml:space="preserve">de facto </w:t>
      </w:r>
      <w:r w:rsidRPr="00046858">
        <w:rPr>
          <w:noProof/>
        </w:rPr>
        <w:t xml:space="preserve">dreptul de a exercita o influență dominantă asupra întreprinderii evaluate, fără a fi titularul acestui drept, prin faptul că deține dreptul de a utiliza toate sau o parte din activele întreprinderii evaluate, prin faptul că administrează activitatea întreprinderii evaluate pe o bază unificată, publicând totodată conturi consolidate sau prin faptul că își asumă în solidar obligațiile financiare ale întreprinderii evaluate sau prin faptul că le garantează. </w:t>
      </w:r>
    </w:p>
    <w:p w14:paraId="3EC3617C" w14:textId="15A671AC" w:rsidR="006A5A03" w:rsidRPr="00046858" w:rsidRDefault="009471C5" w:rsidP="006E37D1">
      <w:pPr>
        <w:pStyle w:val="ManualConsidrant"/>
        <w:rPr>
          <w:noProof/>
        </w:rPr>
      </w:pPr>
      <w:r w:rsidRPr="00046858">
        <w:rPr>
          <w:noProof/>
        </w:rPr>
        <w:lastRenderedPageBreak/>
        <w:t>(73)</w:t>
      </w:r>
      <w:r w:rsidRPr="00046858">
        <w:rPr>
          <w:noProof/>
        </w:rPr>
        <w:tab/>
        <w:t>Regulamentul (UE) nr. 654/2014 al Parlamentului European și al Consiliului</w:t>
      </w:r>
      <w:r w:rsidRPr="00046858">
        <w:rPr>
          <w:rStyle w:val="FootnoteReference"/>
          <w:noProof/>
        </w:rPr>
        <w:footnoteReference w:id="57"/>
      </w:r>
      <w:r w:rsidRPr="00046858">
        <w:rPr>
          <w:noProof/>
        </w:rPr>
        <w:t xml:space="preserve"> îi permite Uniunii să suspende sau să retragă concesiile sau alte obligații prevăzute în acorduri comerciale internaționale pentru a răspunde cazurilor de încălcare de către țările terțe a normelor comerțului internațional care afectează interesele comerciale ale Uniunii. Orice exercitare a drepturilor Uniunii în temeiul Regulamentului (UE) 2021/167 ar trebui să se reflecte, de asemenea, în interpretarea definiției întreprinderii naționale în temeiul prezentului regulament.</w:t>
      </w:r>
    </w:p>
    <w:p w14:paraId="687FA597" w14:textId="320B03AC" w:rsidR="00256B81" w:rsidRPr="00046858" w:rsidRDefault="00256B81" w:rsidP="006E37D1">
      <w:pPr>
        <w:pStyle w:val="ManualConsidrant"/>
        <w:rPr>
          <w:noProof/>
        </w:rPr>
      </w:pPr>
      <w:r w:rsidRPr="00046858">
        <w:rPr>
          <w:noProof/>
        </w:rPr>
        <w:t>(74)</w:t>
      </w:r>
      <w:r w:rsidRPr="00046858">
        <w:rPr>
          <w:noProof/>
        </w:rPr>
        <w:tab/>
        <w:t xml:space="preserve">Pe lângă provocările legate de securitatea aprovizionării cu semiconductori, s-a atras din ce în ce mai mult atenția asupra riscurilor în materie de securitate cibernetică asociate aprovizionării de la anumiți furnizori </w:t>
      </w:r>
      <w:r w:rsidRPr="00046858">
        <w:rPr>
          <w:rStyle w:val="Added"/>
          <w:b w:val="0"/>
          <w:noProof/>
          <w:u w:val="none"/>
        </w:rPr>
        <w:t>pentru infrastructuri, echipamente sau sisteme critice</w:t>
      </w:r>
      <w:r w:rsidRPr="00046858">
        <w:rPr>
          <w:noProof/>
        </w:rPr>
        <w:t xml:space="preserve">. Astfel de riscuri în materie de securitate cibernetică nu ar trebui să intre în domeniul de aplicare al acestei declarații prezentate de operatorii economici în cadrul procedurilor de achiziții care implică furnizarea sau utilizarea de semiconductori și sunt reglementate de cadrul juridic aplicabil al Uniunii în materie de securitate cibernetică. Cu toate acestea, operatorii economici trebuie să asigure respectarea legislației relevante a Uniunii în materie de securitate cibernetică și să acționeze în conformitate cu aceasta. </w:t>
      </w:r>
    </w:p>
    <w:p w14:paraId="04008001" w14:textId="3BC6E13F" w:rsidR="00256B81" w:rsidRPr="00046858" w:rsidRDefault="00256B81" w:rsidP="006E37D1">
      <w:pPr>
        <w:pStyle w:val="ManualConsidrant"/>
        <w:rPr>
          <w:noProof/>
        </w:rPr>
      </w:pPr>
      <w:r w:rsidRPr="00046858">
        <w:rPr>
          <w:noProof/>
        </w:rPr>
        <w:t>(75)</w:t>
      </w:r>
      <w:r w:rsidRPr="00046858">
        <w:rPr>
          <w:noProof/>
        </w:rPr>
        <w:tab/>
        <w:t xml:space="preserve">Având în vedere complexitatea și caracterul evolutiv al lanțurilor de aprovizionare cu semiconductori, Comisia, în consultare cu Consiliul european pentru semiconductori și cu părțile interesate relevante din industrie, ar trebui, dacă este necesar, să emită recomandări care să identifice infrastructurile, echipamentele sau sistemele specifice pentru care </w:t>
      </w:r>
      <w:r w:rsidRPr="00046858">
        <w:rPr>
          <w:rStyle w:val="Added"/>
          <w:b w:val="0"/>
          <w:noProof/>
          <w:u w:val="none"/>
        </w:rPr>
        <w:t>reziliența lanțului de aprovizionare</w:t>
      </w:r>
      <w:r w:rsidRPr="00046858">
        <w:rPr>
          <w:noProof/>
        </w:rPr>
        <w:t xml:space="preserve"> este deosebit de importantă, </w:t>
      </w:r>
      <w:r w:rsidRPr="00046858">
        <w:rPr>
          <w:rStyle w:val="Added"/>
          <w:b w:val="0"/>
          <w:noProof/>
          <w:u w:val="none"/>
        </w:rPr>
        <w:t>având în vedere potențialele riscuri din lanțul de aprovizionare</w:t>
      </w:r>
      <w:r w:rsidRPr="00046858">
        <w:rPr>
          <w:noProof/>
        </w:rPr>
        <w:t xml:space="preserve">, iar astfel de recomandări ar trebui </w:t>
      </w:r>
      <w:r w:rsidRPr="00046858">
        <w:rPr>
          <w:rStyle w:val="Added"/>
          <w:b w:val="0"/>
          <w:noProof/>
          <w:u w:val="none"/>
        </w:rPr>
        <w:t>luate în considerare</w:t>
      </w:r>
      <w:r w:rsidRPr="00046858">
        <w:rPr>
          <w:noProof/>
        </w:rPr>
        <w:t xml:space="preserve"> de autoritățile contractante și de entitățile contractante în pregătirea și desfășurarea procedurilor de achiziții publice, sprijinind astfel punerea în aplicare coerentă în întreaga Uniune. </w:t>
      </w:r>
    </w:p>
    <w:p w14:paraId="223B5A4A" w14:textId="3A4BF58D" w:rsidR="00256B81" w:rsidRPr="00046858" w:rsidRDefault="00256B81" w:rsidP="006E37D1">
      <w:pPr>
        <w:pStyle w:val="ManualConsidrant"/>
        <w:rPr>
          <w:noProof/>
        </w:rPr>
      </w:pPr>
      <w:r w:rsidRPr="00046858">
        <w:rPr>
          <w:noProof/>
        </w:rPr>
        <w:t>(76)</w:t>
      </w:r>
      <w:r w:rsidRPr="00046858">
        <w:rPr>
          <w:noProof/>
        </w:rPr>
        <w:tab/>
        <w:t xml:space="preserve">Pentru a menține flexibilitatea și a evita impunerea unor constrângeri nejustificate asupra procedurilor de achiziții publice, autorităților contractante și entităților contractante ar trebui să li se permită să nu aplice cerințele, inclusiv cerințele referitoare la aprovizionarea dublă care implică întreprinderi naționale, în cazuri justificate în mod corespunzător și inclusiv în cazul în care nu există concurență sau nu există ofertanți adecvați ori în cazul în care aplicarea lor ar conduce la costuri disproporționate sau la incompatibilități tehnice. Astfel de derogări ar trebui interpretate în sens restrâns și aplicate în mod transparent, asigurându-se că obiectivele de consolidare a rezilienței lanțului de aprovizionare cu semiconductori și de protejare a funcționării entităților critice nu sunt subminate. </w:t>
      </w:r>
    </w:p>
    <w:p w14:paraId="5A039E00" w14:textId="065A31F4" w:rsidR="00256B81" w:rsidRPr="00046858" w:rsidRDefault="00256B81" w:rsidP="006E37D1">
      <w:pPr>
        <w:pStyle w:val="ManualConsidrant"/>
        <w:rPr>
          <w:noProof/>
        </w:rPr>
      </w:pPr>
      <w:r w:rsidRPr="00046858">
        <w:rPr>
          <w:noProof/>
        </w:rPr>
        <w:t>(77)</w:t>
      </w:r>
      <w:r w:rsidRPr="00046858">
        <w:rPr>
          <w:noProof/>
        </w:rPr>
        <w:tab/>
        <w:t xml:space="preserve">Pentru a asigura aplicarea eficace și consecventă a măsurilor menite să consolideze reziliența și securitatea aprovizionării cu semiconductori în cadrul achizițiilor publice, Comisia </w:t>
      </w:r>
      <w:r w:rsidRPr="00046858">
        <w:rPr>
          <w:rStyle w:val="Added"/>
          <w:b w:val="0"/>
          <w:noProof/>
          <w:u w:val="none"/>
        </w:rPr>
        <w:t>poate</w:t>
      </w:r>
      <w:r w:rsidRPr="00046858">
        <w:rPr>
          <w:noProof/>
        </w:rPr>
        <w:t xml:space="preserve"> oferi orientări și poate facilita coordonarea dintre actorii relevanți. Astfel de orientări ar trebui să sprijine utilizarea recomandărilor de identificare a infrastructurilor, a echipamentelor </w:t>
      </w:r>
      <w:r w:rsidRPr="00046858">
        <w:rPr>
          <w:rStyle w:val="Added"/>
          <w:b w:val="0"/>
          <w:noProof/>
          <w:u w:val="none"/>
        </w:rPr>
        <w:t>sau a</w:t>
      </w:r>
      <w:r w:rsidRPr="00046858">
        <w:rPr>
          <w:noProof/>
        </w:rPr>
        <w:t xml:space="preserve"> sistemelor pentru care aprovizionarea cu semiconductori de către întreprinderile naționale este deosebit de relevantă, precum și </w:t>
      </w:r>
      <w:r w:rsidRPr="00046858">
        <w:rPr>
          <w:noProof/>
        </w:rPr>
        <w:lastRenderedPageBreak/>
        <w:t xml:space="preserve">pregătirea și evaluarea declarațiilor privind securitatea aprovizionării, inclusiv a elementelor legate de cartografierea lanțului de aprovizionare, proporția întreprinderilor naționale implicate, strategiile de reziliență, cum ar fi aprovizionarea dublă, precum și evaluarea vulnerabilității și evaluarea riscurilor. Orientările ar trebui, de asemenea, să faciliteze aplicarea unor metodologii comune de evaluare a riscurilor din lanțul de aprovizionare, în special în sectoarele expuse unor vulnerabilități sporite, și să promoveze schimbul de bune practici și de informații relevante, cu scopul de a asigura o abordare coerentă în întreaga Uniune și de a sprijini funcționarea eficace a pieței interne. </w:t>
      </w:r>
    </w:p>
    <w:p w14:paraId="57D14D06" w14:textId="282B3BBF" w:rsidR="00547E78" w:rsidRPr="00046858" w:rsidRDefault="00547E78" w:rsidP="006E37D1">
      <w:pPr>
        <w:pStyle w:val="ManualConsidrant"/>
        <w:rPr>
          <w:noProof/>
        </w:rPr>
      </w:pPr>
      <w:r w:rsidRPr="00046858">
        <w:rPr>
          <w:noProof/>
        </w:rPr>
        <w:t>(78)</w:t>
      </w:r>
      <w:r w:rsidRPr="00046858">
        <w:rPr>
          <w:noProof/>
        </w:rPr>
        <w:tab/>
        <w:t xml:space="preserve">Pentru a spori transparența și a garanta securitatea aprovizionării cu semiconductori pentru sectoarele critice, este necesar să se prevadă posibilitatea unor acțiuni suplimentare ale Uniunii în cazul în care riscurile </w:t>
      </w:r>
      <w:r w:rsidRPr="00046858">
        <w:rPr>
          <w:rStyle w:val="Added"/>
          <w:b w:val="0"/>
          <w:noProof/>
          <w:u w:val="none"/>
        </w:rPr>
        <w:t>identificate</w:t>
      </w:r>
      <w:r w:rsidRPr="00046858">
        <w:rPr>
          <w:noProof/>
        </w:rPr>
        <w:t xml:space="preserve"> nu sunt abordate în mod adecvat. În cazul în care, în urma consultării Consiliului european pentru semiconductori, Comisia concluzionează că măsurile recomandate </w:t>
      </w:r>
      <w:r w:rsidRPr="00046858">
        <w:rPr>
          <w:rStyle w:val="Added"/>
          <w:b w:val="0"/>
          <w:noProof/>
          <w:u w:val="none"/>
        </w:rPr>
        <w:t>autorităților contractante</w:t>
      </w:r>
      <w:r w:rsidRPr="00046858">
        <w:rPr>
          <w:noProof/>
        </w:rPr>
        <w:t xml:space="preserve"> sau </w:t>
      </w:r>
      <w:r w:rsidRPr="00046858">
        <w:rPr>
          <w:rStyle w:val="Added"/>
          <w:b w:val="0"/>
          <w:noProof/>
          <w:u w:val="none"/>
        </w:rPr>
        <w:t>entităților contractante</w:t>
      </w:r>
      <w:r w:rsidRPr="00046858">
        <w:rPr>
          <w:noProof/>
        </w:rPr>
        <w:t xml:space="preserve"> pentru a aborda astfel de riscuri sunt insuficiente, aceasta ar trebui să fie împuternicită să adopte decizii de </w:t>
      </w:r>
      <w:r w:rsidRPr="00046858">
        <w:rPr>
          <w:rStyle w:val="Added"/>
          <w:b w:val="0"/>
          <w:noProof/>
          <w:u w:val="none"/>
        </w:rPr>
        <w:t>punere în aplicare</w:t>
      </w:r>
      <w:r w:rsidRPr="00046858">
        <w:rPr>
          <w:noProof/>
        </w:rPr>
        <w:t xml:space="preserve"> prin care să se stabilească autoritățile publice care trebuie să le solicite operatorilor economici depunerea unei declarații privind securitatea aprovizionării, precum și procedurile și produsele vizate.</w:t>
      </w:r>
    </w:p>
    <w:p w14:paraId="1384D605" w14:textId="25B6A808" w:rsidR="00256B81" w:rsidRPr="00046858" w:rsidRDefault="00256B81" w:rsidP="006E37D1">
      <w:pPr>
        <w:pStyle w:val="ManualConsidrant"/>
        <w:rPr>
          <w:noProof/>
        </w:rPr>
      </w:pPr>
      <w:r w:rsidRPr="00046858">
        <w:rPr>
          <w:noProof/>
        </w:rPr>
        <w:t>(79)</w:t>
      </w:r>
      <w:r w:rsidRPr="00046858">
        <w:rPr>
          <w:noProof/>
        </w:rPr>
        <w:tab/>
        <w:t>Lanțul de aprovizionare cu semiconductori se confruntă cu perturbări care pot afecta din punct de vedere economic anumite sectoare din aval. Sectoarele critice legate de securitatea publică, cum ar fi sectorul energiei, sectorul apărării sau administrația publică, precum și sectoarele în care semiconductorii reprezintă un procent mare din valoarea produsului finit, cum ar fi industria auto, centrele de date sau automatizarea industrială, sunt deosebit de expuse perturbărilor lanțurilor de aprovizionare cu semiconductori. Prin urmare, Comisia ar trebui să aibă posibilitatea de a le identifica drept sectoare predispuse la riscuri.</w:t>
      </w:r>
    </w:p>
    <w:p w14:paraId="6A133470" w14:textId="00177987" w:rsidR="00256B81" w:rsidRPr="00046858" w:rsidRDefault="00326AF6" w:rsidP="006E37D1">
      <w:pPr>
        <w:pStyle w:val="ManualConsidrant"/>
        <w:rPr>
          <w:noProof/>
        </w:rPr>
      </w:pPr>
      <w:r w:rsidRPr="00046858">
        <w:rPr>
          <w:noProof/>
        </w:rPr>
        <w:t>(80)</w:t>
      </w:r>
      <w:r w:rsidRPr="00046858">
        <w:rPr>
          <w:noProof/>
        </w:rPr>
        <w:tab/>
        <w:t>Pentru a clarifica informațiile care trebuie incluse, Comisia ar trebui, după caz, să emită orientări metodologice cu privire la modul de efectuare a evaluărilor riscurilor care abordează crearea unei strategii de aprovizionare dublă, cartografierea lanțului de aprovizionare din amonte și din aval, precum și analiza vulnerabilității și sensibilitatea la întreruperea aprovizionării. În acest scop, Comisia poate emite recomandări metodologice cu privire la modul de efectuare a evaluărilor riscurilor pentru sectoarele respective.</w:t>
      </w:r>
    </w:p>
    <w:p w14:paraId="7DCF967C" w14:textId="1447E7AA" w:rsidR="00A479F5" w:rsidRPr="00046858" w:rsidRDefault="00256B81" w:rsidP="006E37D1">
      <w:pPr>
        <w:pStyle w:val="ManualConsidrant"/>
        <w:rPr>
          <w:noProof/>
        </w:rPr>
      </w:pPr>
      <w:r w:rsidRPr="00046858">
        <w:rPr>
          <w:noProof/>
        </w:rPr>
        <w:t>(81)</w:t>
      </w:r>
      <w:r w:rsidRPr="00046858">
        <w:rPr>
          <w:noProof/>
        </w:rPr>
        <w:tab/>
        <w:t xml:space="preserve">Pentru a asigura un nivel ridicat de reziliență a lanțului de aprovizionare cu semiconductori din Uniune, este necesar să se prevadă posibilitatea unor acțiuni suplimentare la nivelul Uniunii în cazul în care riscurile </w:t>
      </w:r>
      <w:r w:rsidRPr="00046858">
        <w:rPr>
          <w:rStyle w:val="Added"/>
          <w:b w:val="0"/>
          <w:noProof/>
          <w:u w:val="none"/>
        </w:rPr>
        <w:t>identificate</w:t>
      </w:r>
      <w:r w:rsidRPr="00046858">
        <w:rPr>
          <w:noProof/>
        </w:rPr>
        <w:t xml:space="preserve"> nu sunt abordate în mod adecvat. În cazul în care, în urma consultării Consiliului european pentru semiconductori, Comisia concluzionează că măsurile recomandate pentru abordarea acestor riscuri sunt insuficiente, aceasta ar trebui să fie împuternicită să adopte decizii de </w:t>
      </w:r>
      <w:r w:rsidRPr="00046858">
        <w:rPr>
          <w:rStyle w:val="Added"/>
          <w:b w:val="0"/>
          <w:noProof/>
          <w:u w:val="none"/>
        </w:rPr>
        <w:t>punere în aplicare</w:t>
      </w:r>
      <w:r w:rsidRPr="00046858">
        <w:rPr>
          <w:noProof/>
        </w:rPr>
        <w:t xml:space="preserve"> prin care să se precizeze măsurile adecvate de atenuare a riscurilor. Astfel de măsuri pot include, atunci când acest lucru este justificat și proporțional, cerințe privind diversificarea surselor de aprovizionare, inclusiv aprovizionarea dublă, sau constituirea de stocuri strategice. Măsurile respective ar trebui să fie specifice, proporționale și să țină seama de particularitățile sectoarelor și ale întreprinderilor în cauză, precum și de necesitatea de a menține funcționarea pieței interne și de a evita sarcinile administrative nejustificate. Evaluarea riscurilor pentru lanțul de aprovizionare cu semiconductori ar trebui să se bazeze pe dovezi obiective și fiabile. În acest scop, Comisia ar trebui să țină seama, printre altele, de informațiile </w:t>
      </w:r>
      <w:r w:rsidRPr="00046858">
        <w:rPr>
          <w:noProof/>
        </w:rPr>
        <w:lastRenderedPageBreak/>
        <w:t xml:space="preserve">aflate la dispoziția publicului, de datele colectate prin intermediul solicitărilor de informații, precum și de indiciile privind perturbări repetate sau persistente ale lanțului de aprovizionare. Utilizarea unor astfel de dovezi ar trebui să asigure faptul că orice măsuri adoptate sunt bine întemeiate, transparente și proporționale cu riscurile identificate, protejând în același timp confidențialitatea informațiilor comerciale sensibile. </w:t>
      </w:r>
    </w:p>
    <w:p w14:paraId="1FCCFF2C" w14:textId="471351EF" w:rsidR="00256B81" w:rsidRPr="00046858" w:rsidRDefault="00256B81" w:rsidP="006E37D1">
      <w:pPr>
        <w:pStyle w:val="ManualConsidrant"/>
        <w:rPr>
          <w:noProof/>
        </w:rPr>
      </w:pPr>
      <w:r w:rsidRPr="00046858">
        <w:rPr>
          <w:noProof/>
        </w:rPr>
        <w:t>(82)</w:t>
      </w:r>
      <w:r w:rsidRPr="00046858">
        <w:rPr>
          <w:noProof/>
        </w:rPr>
        <w:tab/>
        <w:t xml:space="preserve">În interesul continuității aprovizionării și al fiabilității, </w:t>
      </w:r>
      <w:r w:rsidRPr="00046858">
        <w:rPr>
          <w:rStyle w:val="Added"/>
          <w:b w:val="0"/>
          <w:noProof/>
          <w:u w:val="none"/>
        </w:rPr>
        <w:t>autoritățile contractante și entitățile contractante</w:t>
      </w:r>
      <w:r w:rsidRPr="00046858">
        <w:rPr>
          <w:b/>
          <w:noProof/>
        </w:rPr>
        <w:t xml:space="preserve"> </w:t>
      </w:r>
      <w:r w:rsidRPr="00046858">
        <w:rPr>
          <w:noProof/>
        </w:rPr>
        <w:t>sunt împuternicite să solicite evaluări ale riscurilor privind lanțurile de aprovizionare cu semiconductori ale operatorilor economici care participă la proceduri de achiziții publice sau la alte proceduri de finanțare publică ce vizează sectoare predispuse la riscuri.</w:t>
      </w:r>
    </w:p>
    <w:p w14:paraId="1665F2A9" w14:textId="3E18FBA9" w:rsidR="00606392" w:rsidRPr="00046858" w:rsidRDefault="00D0694A" w:rsidP="006E37D1">
      <w:pPr>
        <w:pStyle w:val="ManualConsidrant"/>
        <w:rPr>
          <w:noProof/>
        </w:rPr>
      </w:pPr>
      <w:r w:rsidRPr="00046858">
        <w:rPr>
          <w:noProof/>
        </w:rPr>
        <w:t>(83)</w:t>
      </w:r>
      <w:r w:rsidRPr="00046858">
        <w:rPr>
          <w:noProof/>
        </w:rPr>
        <w:tab/>
        <w:t xml:space="preserve">Obiectivul unei cartografieri strategice a sectorului semiconductorilor ar trebui să fie de a furniza o analiză a punctelor forte și a punctelor slabe ale Uniunii în sectoarele semiconductorilor de la nivel mondial, cu scopul de a oferi o bază pentru măsurile de asigurare a securității aprovizionării și a rezilienței ecosistemului semiconductorilor din Uniune. În acest scop, cartografierea strategică ar trebui să identifice factori precum produsele esențiale și infrastructurile critice de pe piața internă care depind de aprovizionarea cu semiconductori, principalele industrii utilizatoare și nevoile lor actuale și preconizate, segmente-cheie ale lanțului de aprovizionare cu semiconductori din Uniune, caracteristicile tehnologice, dependențele de tehnologia și furnizorii din țări terțe, blocajele din sectorul semiconductorilor din Uniune, nevoile actuale și preconizate în materie de competențe și de acces la forță calificată de muncă pe baza activității Observatorului european al competențelor instituit în cadrul uniunii competențelor și, după caz, impactul potențial al măsurilor din setul de instrumente pentru situații de urgență. Cartografierea strategică ar trebui să se bazeze pe date disponibile public și comercial. </w:t>
      </w:r>
    </w:p>
    <w:p w14:paraId="601AEF4C" w14:textId="541A9276" w:rsidR="00EA6EB2" w:rsidRPr="00046858" w:rsidRDefault="00F90FA9" w:rsidP="006E37D1">
      <w:pPr>
        <w:pStyle w:val="ManualConsidrant"/>
        <w:rPr>
          <w:noProof/>
        </w:rPr>
      </w:pPr>
      <w:r w:rsidRPr="00046858">
        <w:rPr>
          <w:noProof/>
        </w:rPr>
        <w:t>(84)</w:t>
      </w:r>
      <w:r w:rsidRPr="00046858">
        <w:rPr>
          <w:noProof/>
        </w:rPr>
        <w:tab/>
        <w:t xml:space="preserve">Pentru a se pregăti pentru viitoare perturbări ale diferitelor etape ale lanțului valoric al semiconductorilor în Uniune și ale comerțului din Uniune, Comisia, asistată de Consiliul european pentru semiconductori și pe baza rezultatelor cartografierii strategice, </w:t>
      </w:r>
      <w:r w:rsidRPr="00046858">
        <w:rPr>
          <w:rStyle w:val="Added"/>
          <w:b w:val="0"/>
          <w:noProof/>
          <w:u w:val="none"/>
        </w:rPr>
        <w:t>ar trebui</w:t>
      </w:r>
      <w:r w:rsidRPr="00046858">
        <w:rPr>
          <w:noProof/>
        </w:rPr>
        <w:t xml:space="preserve"> să identifice indicatorii de avertizare timpurie și să elaboreze o listă a acestora. Astfel de indicatori ar putea include creșteri atipice ale termenelor de execuție, disponibilitatea materiilor prime, a produselor intermediare și a capitalului uman necesare pentru fabricarea semiconductorilor sau a echipamentelor de producție adecvate, cererea estimată de semiconductori pe piața Uniunii și pe piețele mondiale, creșterile prețurilor care depășesc fluctuațiile normale ale prețurilor, efectul accidentelor, al atacurilor, al dezastrelor naturale sau al altor evenimente grave, efectul politicilor comerciale, al tarifelor, al restricțiilor la export, al barierelor comerciale și al altor măsuri legate de comerț, precum și efectul închiderii întreprinderilor, al delocalizărilor sau al achizițiilor principalilor actori de pe piață. Activitățile de monitorizare ale Comisiei ar trebui să se axeze pe acești indicatori de avertizare timpurie. </w:t>
      </w:r>
    </w:p>
    <w:p w14:paraId="045B0F67" w14:textId="105AEE71" w:rsidR="00B32140" w:rsidRPr="00046858" w:rsidRDefault="00B32140" w:rsidP="006E37D1">
      <w:pPr>
        <w:pStyle w:val="ManualConsidrant"/>
        <w:rPr>
          <w:strike/>
          <w:noProof/>
        </w:rPr>
      </w:pPr>
      <w:r w:rsidRPr="00046858">
        <w:rPr>
          <w:noProof/>
        </w:rPr>
        <w:t>(85)</w:t>
      </w:r>
      <w:r w:rsidRPr="00046858">
        <w:rPr>
          <w:noProof/>
        </w:rPr>
        <w:tab/>
        <w:t xml:space="preserve">Având în vedere complexitatea, evoluția rapidă și interconectarea lanțurilor valorice ale semiconductorilor, în care sunt implicați diferiți actori, este necesară o abordare coordonată a monitorizării pentru a spori capacitatea de a atenua riscurile ce pot afecta negativ aprovizionarea cu semiconductori și pentru a consolida înțelegerea dinamicii lanțului valoric al semiconductorilor. În consultare cu Consiliul european pentru semiconductori, Comisia ar trebui să monitorizeze lanțul valoric al semiconductorilor, axându-se pe indicatorii de avertizare timpurie și identificând cele mai bune practici de atenuare a riscurilor și de asigurare a unei transparențe sporite în cadrul lanțului </w:t>
      </w:r>
      <w:r w:rsidRPr="00046858">
        <w:rPr>
          <w:noProof/>
        </w:rPr>
        <w:lastRenderedPageBreak/>
        <w:t xml:space="preserve">valoric al semiconductorilor, astfel încât acest lucru să nu reprezinte o sarcină administrativă excesivă pentru întreprinderi, în special pentru IMM-uri </w:t>
      </w:r>
      <w:r w:rsidRPr="00046858">
        <w:rPr>
          <w:rStyle w:val="Added"/>
          <w:b w:val="0"/>
          <w:noProof/>
          <w:u w:val="none"/>
        </w:rPr>
        <w:t>și întreprinderile mici cu capitalizare medie</w:t>
      </w:r>
      <w:r w:rsidRPr="00046858">
        <w:rPr>
          <w:noProof/>
        </w:rPr>
        <w:t xml:space="preserve">. Constatările relevante, inclusiv informațiile furnizate de părțile interesate și de asociațiile industriale relevante, ar trebui furnizate Consiliului european pentru semiconductori pentru a permite un schimb periodic de informații cu consiliul și pentru a integra informațiile într-o imagine de ansamblu a monitorizării lanțurilor valorice ale semiconductorilor. </w:t>
      </w:r>
    </w:p>
    <w:p w14:paraId="346A9F43" w14:textId="000DE42E" w:rsidR="008454D7" w:rsidRPr="00046858" w:rsidRDefault="00A23E90" w:rsidP="006E37D1">
      <w:pPr>
        <w:pStyle w:val="ManualConsidrant"/>
        <w:rPr>
          <w:noProof/>
        </w:rPr>
      </w:pPr>
      <w:r w:rsidRPr="00046858">
        <w:rPr>
          <w:noProof/>
        </w:rPr>
        <w:t>(86)</w:t>
      </w:r>
      <w:r w:rsidRPr="00046858">
        <w:rPr>
          <w:noProof/>
        </w:rPr>
        <w:tab/>
        <w:t xml:space="preserve">Platforma B2B pentru lanțul de aprovizionare cu semiconductori („platforma”) ar trebui să fie un geamăn digital al lanțului de aprovizionare cu semiconductori, obiectivul său fiind sporirea transparenței lanțului de aprovizionare și mai buna informare a întreprinderilor pentru creșterea rezilienței acestora. Aceasta ar trebui să reprezinte o acțiune condusă de industrie, care să le aducă beneficii întreprinderilor participante prin sporirea rezilienței acestora la perturbările lanțului de aprovizionare cu semiconductori și prin reducerea costurilor lor legate de informațiile de piață. Stimulentul pentru ca întreprinderile să se alăture platformei și să furnizeze date de intrare de înaltă calitate ar trebui să fie valoarea adăugată pe care o vor obține din rezultatele platformei. </w:t>
      </w:r>
      <w:r w:rsidRPr="00046858">
        <w:rPr>
          <w:rStyle w:val="Added"/>
          <w:b w:val="0"/>
          <w:noProof/>
          <w:u w:val="none"/>
        </w:rPr>
        <w:t>Astfel de rezultate</w:t>
      </w:r>
      <w:r w:rsidRPr="00046858">
        <w:rPr>
          <w:noProof/>
        </w:rPr>
        <w:t xml:space="preserve"> pot include orientări din partea unei părți terțe independente bazate pe analiza pieței, informații agregate privind riscurile din lanțul de aprovizionare cu semiconductori, rezultatele testelor de rezistență a lanțului de aprovizionare cu semiconductori, avertizări timpurii și orientări privind măsurile proactive cu scopul unic de a îmbunătăți reducerea riscurilor din lanțul de aprovizionare cu semiconductori. </w:t>
      </w:r>
      <w:r w:rsidRPr="00046858">
        <w:rPr>
          <w:rStyle w:val="Added"/>
          <w:b w:val="0"/>
          <w:noProof/>
          <w:u w:val="none"/>
        </w:rPr>
        <w:t>Participarea la platformă</w:t>
      </w:r>
      <w:r w:rsidRPr="00046858">
        <w:rPr>
          <w:noProof/>
        </w:rPr>
        <w:t xml:space="preserve"> ar trebui să încurajeze întreprinderile să ia măsuri proactive pentru a-și spori reziliența lanțului de aprovizionare fără intervenția sectorului public. Pentru Comisie, un sector privat proactiv și rezilient ar asigura un risc mai scăzut de declanșare a stadiului de criză și de implementare a setului de instrumente pentru situații de urgență.</w:t>
      </w:r>
    </w:p>
    <w:p w14:paraId="796C93B2" w14:textId="4BCE6C9E" w:rsidR="0048444E" w:rsidRPr="00046858" w:rsidRDefault="007401D7" w:rsidP="006E37D1">
      <w:pPr>
        <w:pStyle w:val="ManualConsidrant"/>
        <w:rPr>
          <w:noProof/>
        </w:rPr>
      </w:pPr>
      <w:r w:rsidRPr="00046858">
        <w:rPr>
          <w:noProof/>
        </w:rPr>
        <w:t>(87)</w:t>
      </w:r>
      <w:r w:rsidRPr="00046858">
        <w:rPr>
          <w:noProof/>
        </w:rPr>
        <w:tab/>
        <w:t xml:space="preserve">Comisia ar trebui să furnizeze, prin intermediul unei cereri de propuneri, finanțarea inițială a platformei, sprijinind înființarea acesteia și acoperind costurile de înființare. Cererea de propuneri ar trebui să stabilească doar un set minim de cerințe, fără a prevedea soluții tehnice specifice sau cerințe exacte de colectare a datelor. Punerea în aplicare a unui model de finanțare bazat pe argumente economice, care să îi permită platformei să devină autonomă pe termen mediu, ar trebui să fie la latitudinea beneficiarului cererii de propuneri și a întreprinderilor participante. Valoarea și utilitatea acestui tip de platformă pot fi măsurate prin succesul unor inițiative similare care există deja la nivel regional, internațional sau în alte sectoare. </w:t>
      </w:r>
    </w:p>
    <w:p w14:paraId="556B0302" w14:textId="3D15B34C" w:rsidR="00130417" w:rsidRPr="00046858" w:rsidRDefault="00130417" w:rsidP="006E37D1">
      <w:pPr>
        <w:pStyle w:val="ManualConsidrant"/>
        <w:rPr>
          <w:noProof/>
        </w:rPr>
      </w:pPr>
      <w:r w:rsidRPr="00046858">
        <w:rPr>
          <w:noProof/>
        </w:rPr>
        <w:t>(88)</w:t>
      </w:r>
      <w:r w:rsidRPr="00046858">
        <w:rPr>
          <w:noProof/>
        </w:rPr>
        <w:tab/>
        <w:t xml:space="preserve">Platforma ar trebui să fie concepută astfel încât să asigure cea mai mare confidențialitate a informațiilor sensibile din punct de vedere comercial și conformitatea [platformei] cu dreptul Uniunii în materie de concurență. În special, platforma ar trebui să instituie garanții adecvate pentru a se asigura că schimbul de informații dintre întreprinderile participante se limitează strict la ceea ce este în mod obiectiv necesar și proporțional pentru atingerea obiectivelor stabilite în prezentul regulament și pentru a se evita schimbul anticoncurențial de informații sensibile din punct de vedere comercial între concurenți. În acest sens, întreprinderile participante ar trebui să aibă acces numai la propriile date și la rapoartele agregate anonimizate. </w:t>
      </w:r>
    </w:p>
    <w:p w14:paraId="055F3A93" w14:textId="25D3168E" w:rsidR="00356337" w:rsidRPr="00046858" w:rsidRDefault="00B91474" w:rsidP="006E37D1">
      <w:pPr>
        <w:pStyle w:val="ManualConsidrant"/>
        <w:rPr>
          <w:noProof/>
        </w:rPr>
      </w:pPr>
      <w:r w:rsidRPr="00046858">
        <w:rPr>
          <w:noProof/>
        </w:rPr>
        <w:t>(89)</w:t>
      </w:r>
      <w:r w:rsidRPr="00046858">
        <w:rPr>
          <w:noProof/>
        </w:rPr>
        <w:tab/>
        <w:t xml:space="preserve">Reuniunile, discuțiile sau schimburile de informații dintre întreprinderile participante în cadrul platformei ar trebui să se limiteze la ceea ce este indispensabil pentru atingerea obiectivelor </w:t>
      </w:r>
      <w:r w:rsidRPr="00046858">
        <w:rPr>
          <w:rStyle w:val="Added"/>
          <w:b w:val="0"/>
          <w:noProof/>
          <w:u w:val="none"/>
        </w:rPr>
        <w:t>platformei</w:t>
      </w:r>
      <w:r w:rsidRPr="00046858">
        <w:rPr>
          <w:noProof/>
        </w:rPr>
        <w:t xml:space="preserve"> și ar trebui să fie documentate în mod corespunzător. Schimbul de informații sensibile din punct de vedere comercial dintre participanți – inclusiv informații referitoare la prețurile, costurile, marjele, volumele de vânzări, </w:t>
      </w:r>
      <w:r w:rsidRPr="00046858">
        <w:rPr>
          <w:noProof/>
        </w:rPr>
        <w:lastRenderedPageBreak/>
        <w:t>nivelurile de producție, capacitățile sau cotele de piață actuale sau viitoare ale întreprinderilor individuale – ar trebui exclus</w:t>
      </w:r>
      <w:r w:rsidRPr="00046858">
        <w:rPr>
          <w:rStyle w:val="FootnoteReference"/>
          <w:noProof/>
        </w:rPr>
        <w:footnoteReference w:id="58"/>
      </w:r>
      <w:r w:rsidRPr="00046858">
        <w:rPr>
          <w:noProof/>
        </w:rPr>
        <w:t xml:space="preserve">. Platforma ar trebui să funcționeze într-un mod care să mențină independența întreprinderilor participante în procesul lor decizional comercial. Întreprinderile participante ar trebui să rămână responsabile pentru asigurarea respectării normelor Uniunii și a normelor naționale în materie de concurență, inclusiv a articolului 101 din TFUE. </w:t>
      </w:r>
    </w:p>
    <w:p w14:paraId="3156BA86" w14:textId="5369E498" w:rsidR="004703D2" w:rsidRPr="00046858" w:rsidRDefault="00130417" w:rsidP="006E37D1">
      <w:pPr>
        <w:pStyle w:val="ManualConsidrant"/>
        <w:rPr>
          <w:noProof/>
        </w:rPr>
      </w:pPr>
      <w:r w:rsidRPr="00046858">
        <w:rPr>
          <w:noProof/>
        </w:rPr>
        <w:t>(90)</w:t>
      </w:r>
      <w:r w:rsidRPr="00046858">
        <w:rPr>
          <w:noProof/>
        </w:rPr>
        <w:tab/>
        <w:t xml:space="preserve">Platforma ar trebui să încurajeze ferm participarea principalelor sectoare care sunt utilizatori finali de semiconductori, pe baza valorii adăugate semnificative pe care o va aduce participarea acestora. Printre beneficiile pentru întreprinderile participante din sectoare care sunt utilizatori finali </w:t>
      </w:r>
      <w:r w:rsidRPr="00046858">
        <w:rPr>
          <w:rStyle w:val="Added"/>
          <w:b w:val="0"/>
          <w:noProof/>
          <w:u w:val="none"/>
        </w:rPr>
        <w:t>s-ar putea</w:t>
      </w:r>
      <w:r w:rsidRPr="00046858">
        <w:rPr>
          <w:noProof/>
        </w:rPr>
        <w:t xml:space="preserve"> număra cunoașterea din ce în ce mai aprofundată a propriilor riscuri din lanțul de aprovizionare cu semiconductori și, prin urmare, capacitarea acestora să ia măsuri proactive de gestionare a lanțului de aprovizionare cu semiconductori. Lista principalelor sectoare care sunt utilizatori finali de semiconductori ar trebui să reflecte sectoarele actuale care achiziționează semiconductori pentru a-și fabrica produsele, fie direct, fie indirect, prin intermediul componentelor lor. Furnizorii și distribuitorii de servicii de producție electronică </w:t>
      </w:r>
      <w:r w:rsidRPr="00046858">
        <w:rPr>
          <w:rStyle w:val="Added"/>
          <w:b w:val="0"/>
          <w:noProof/>
          <w:u w:val="none"/>
        </w:rPr>
        <w:t>ar trebui incluși</w:t>
      </w:r>
      <w:r w:rsidRPr="00046858">
        <w:rPr>
          <w:noProof/>
        </w:rPr>
        <w:t xml:space="preserve"> pe listă, având în vedere rolul important pe care îl joacă în ecosistemul semiconductorilor din Uniune.</w:t>
      </w:r>
    </w:p>
    <w:p w14:paraId="673E6518" w14:textId="158B10D1" w:rsidR="00B41D42" w:rsidRPr="00046858" w:rsidRDefault="00B41D42" w:rsidP="006E37D1">
      <w:pPr>
        <w:pStyle w:val="ManualConsidrant"/>
        <w:rPr>
          <w:noProof/>
        </w:rPr>
      </w:pPr>
      <w:r w:rsidRPr="00046858">
        <w:rPr>
          <w:noProof/>
        </w:rPr>
        <w:t>(91)</w:t>
      </w:r>
      <w:r w:rsidRPr="00046858">
        <w:rPr>
          <w:noProof/>
        </w:rPr>
        <w:tab/>
        <w:t xml:space="preserve">Din perspectiva sectorului public </w:t>
      </w:r>
      <w:r w:rsidRPr="00046858">
        <w:rPr>
          <w:rStyle w:val="Added"/>
          <w:b w:val="0"/>
          <w:noProof/>
          <w:u w:val="none"/>
        </w:rPr>
        <w:t xml:space="preserve">și pentru a asigura fluxul rapid de informații în cazul unor perturbări ale lanțului de aprovizionare, </w:t>
      </w:r>
      <w:r w:rsidRPr="00046858">
        <w:rPr>
          <w:noProof/>
        </w:rPr>
        <w:t xml:space="preserve">autoritățile naționale competente ale statelor membre ar trebui să păstreze o listă actualizată a datelor de contact ale întreprinderilor relevante care își desfășoară activitatea de-a lungul lanțului de aprovizionare cu semiconductori și care sunt stabilite pe teritoriul lor național. Respectiva listă ar trebui să permită identificarea respondenților corespunzători la solicitările voluntare de informații. Lista nu ar trebui să fie exhaustivă și ar trebui să fie administrată într-un mod care să respecte pe deplin normele de confidențialitate aplicabile. </w:t>
      </w:r>
    </w:p>
    <w:p w14:paraId="5FB92F52" w14:textId="7214B330" w:rsidR="00455AF5" w:rsidRPr="00046858" w:rsidRDefault="00C15C7D" w:rsidP="006E37D1">
      <w:pPr>
        <w:pStyle w:val="ManualConsidrant"/>
        <w:rPr>
          <w:noProof/>
        </w:rPr>
      </w:pPr>
      <w:r w:rsidRPr="00046858">
        <w:rPr>
          <w:noProof/>
        </w:rPr>
        <w:t>(92)</w:t>
      </w:r>
      <w:r w:rsidRPr="00046858">
        <w:rPr>
          <w:noProof/>
        </w:rPr>
        <w:tab/>
        <w:t xml:space="preserve">O serie de întreprinderi care furnizează servicii sau bunuri legate de semiconductori sunt considerate esențiale pentru eficacitatea lanțului de aprovizionare cu semiconductori în ecosistemul semiconductorilor din Uniune, având în vedere numărul de întreprinderi din Uniune care depind de produsele lor, cota lor de piață la nivelul Uniunii sau la nivel mondial, importanța lor pentru a asigura un nivel suficient de aprovizionare sau posibilul impact al întreruperii aprovizionării cu produsele sau serviciile lor. Statele membre, în cooperare cu Comisia, ar trebui să identifice respectivii actori principali de pe piață aflați pe teritoriile lor și să păstreze o listă actualizată a acestora. Ca parte a monitorizării, statele membre ar trebui să analizeze în mod specific integritatea activităților desfășurate de principalii actori de pe piață. Statul membru în cauză ar putea aduce astfel de chestiuni în atenția Consiliului european pentru semiconductori. </w:t>
      </w:r>
    </w:p>
    <w:p w14:paraId="5E594251" w14:textId="31E1802E" w:rsidR="0086176A" w:rsidRPr="00046858" w:rsidRDefault="0086176A" w:rsidP="006E37D1">
      <w:pPr>
        <w:pStyle w:val="ManualConsidrant"/>
        <w:rPr>
          <w:noProof/>
        </w:rPr>
      </w:pPr>
      <w:r w:rsidRPr="00046858">
        <w:rPr>
          <w:noProof/>
        </w:rPr>
        <w:t>(93)</w:t>
      </w:r>
      <w:r w:rsidRPr="00046858">
        <w:rPr>
          <w:noProof/>
        </w:rPr>
        <w:tab/>
        <w:t xml:space="preserve">Pentru a permite anticiparea penuriilor potențiale, autoritățile naționale competente ar trebui să avertizeze Comisia în cazul în care iau cunoștință de existența unui risc de perturbare gravă a aprovizionării cu semiconductori sau când au informații concrete și fiabile cu privire la materializarea oricărui alt factor de risc sau eveniment relevant. Pentru a asigura o abordare coordonată, Comisia ar trebui ca, atunci când ia cunoștință de existența unui risc de perturbare gravă a aprovizionării cu semiconductori sau când </w:t>
      </w:r>
      <w:r w:rsidRPr="00046858">
        <w:rPr>
          <w:noProof/>
        </w:rPr>
        <w:lastRenderedPageBreak/>
        <w:t xml:space="preserve">are informații concrete și fiabile cu privire la materializarea oricărui alt factor de risc sau eveniment relevant, în urma unei avertizări din partea partenerilor internaționali, să convoace o reuniune extraordinară a Consiliului european pentru semiconductori cu scopul de a discuta despre severitatea perturbărilor și despre posibila inițiere a procedurii de declanșare a stadiului de criză și de a analiza dacă este oportun, necesar și proporțional ca statele membre să efectueze achiziții publice comune coordonate ca măsură preventivă, precum și să inițieze dialoguri cu părțile interesate, în vederea identificării, pregătirii și, eventual, a coordonării unor astfel de măsuri preventive. În cadrul respectivului dialog, Consiliul european pentru semiconductori și Comisia ar trebui să țină seama de opiniile părților interesate din lanțul valoric al semiconductorilor. Consiliul european pentru semiconductori ar trebui să consilieze Comisia cu privire la oportunitatea emiterii unei solicitări preventive de informații către platformă. Comisia ar trebui să consulte țările terțe relevante și să coopereze cu acestea pentru a aborda în comun perturbările lanțului de aprovizionare cu semiconductori, în conformitate cu obligațiile internaționale. </w:t>
      </w:r>
    </w:p>
    <w:p w14:paraId="2151FBFD" w14:textId="50892A4C" w:rsidR="00697726" w:rsidRPr="00046858" w:rsidRDefault="001703E4" w:rsidP="006E37D1">
      <w:pPr>
        <w:pStyle w:val="ManualConsidrant"/>
        <w:rPr>
          <w:noProof/>
        </w:rPr>
      </w:pPr>
      <w:r w:rsidRPr="00046858">
        <w:rPr>
          <w:noProof/>
        </w:rPr>
        <w:t>(94)</w:t>
      </w:r>
      <w:r w:rsidRPr="00046858">
        <w:rPr>
          <w:noProof/>
        </w:rPr>
        <w:tab/>
        <w:t xml:space="preserve">După primirea avizului din partea Consiliului european pentru semiconductori, Comisia ar trebui să poată emite solicitări de informații adresate întreprinderilor și platformei. După cum a arătat experiența dobândită în contextul mai multor perturbări anterioare ale lanțului de aprovizionare și </w:t>
      </w:r>
      <w:r w:rsidRPr="00046858">
        <w:rPr>
          <w:rStyle w:val="Added"/>
          <w:b w:val="0"/>
          <w:noProof/>
          <w:u w:val="none"/>
        </w:rPr>
        <w:t>al dificultăților întâmpinate în obținerea informațiilor necesare pentru a face față acestor perturbări, scopul solicitărilor preventive de informații în stadiul de avertizare este</w:t>
      </w:r>
      <w:r w:rsidRPr="00046858">
        <w:rPr>
          <w:noProof/>
        </w:rPr>
        <w:t xml:space="preserve"> de a aborda în mod adecvat perturbările lanțului de aprovizionare înainte de declanșarea stadiului de criză și de a contribui la evaluări precise ale unei posibile crize a semiconductorilor. </w:t>
      </w:r>
    </w:p>
    <w:p w14:paraId="613CD53A" w14:textId="6D7A7109" w:rsidR="002F368F" w:rsidRPr="00046858" w:rsidRDefault="00C603EE" w:rsidP="006E37D1">
      <w:pPr>
        <w:pStyle w:val="ManualConsidrant"/>
        <w:rPr>
          <w:noProof/>
        </w:rPr>
      </w:pPr>
      <w:r w:rsidRPr="00046858">
        <w:rPr>
          <w:noProof/>
        </w:rPr>
        <w:t>(95)</w:t>
      </w:r>
      <w:r w:rsidRPr="00046858">
        <w:rPr>
          <w:noProof/>
        </w:rPr>
        <w:tab/>
        <w:t xml:space="preserve">Ar trebui să se considere că întreprinderile care participă activ la platformă și-au îndeplinit obligația de a face schimb de informații cu Comisia în cazul unor perturbări ale lanțului de aprovizionare și, prin urmare, ar trebui să fie scutite de obligația de a primi în mod direct o solicitare de informații înainte de stadiul de criză. Prin participarea activă la platformă, întreprinderile respective demonstrează un angajament ferm de a reduce în mod proactiv riscurile din lanțul lor de aprovizionare. Întreprinderile care participă activ la platformă ar trebui, prin urmare, să fie protejate de potențiala sarcină administrativă suplimentară pe care ar reprezenta-o obligația de a răspunde solicitărilor de informații ale Comisiei. Comisia ar trebui să îi raporteze Consiliului european pentru semiconductori, fără întârzieri nejustificate, principalele constatări în urma răspunsurilor la solicitările de informații înainte de stadiul de criză. Pentru a proteja întreprinderile participante la platformă împotriva influențelor străine nejustificate și secretele comerciale, platformei ar trebui să i se interzică să răspundă la orice alte solicitări de informații decât cele emise de Comisie, fără a aduce atingere obligațiilor care îi revin în temeiul dreptului Uniunii sau al dreptului intern. </w:t>
      </w:r>
    </w:p>
    <w:p w14:paraId="75CCF460" w14:textId="1436E159" w:rsidR="0099275A" w:rsidRPr="00046858" w:rsidRDefault="009351D2" w:rsidP="006E37D1">
      <w:pPr>
        <w:pStyle w:val="ManualConsidrant"/>
        <w:rPr>
          <w:noProof/>
        </w:rPr>
      </w:pPr>
      <w:r w:rsidRPr="00046858">
        <w:rPr>
          <w:noProof/>
        </w:rPr>
        <w:t>(96)</w:t>
      </w:r>
      <w:r w:rsidRPr="00046858">
        <w:rPr>
          <w:noProof/>
        </w:rPr>
        <w:tab/>
        <w:t>Stadiul de criză a semiconductorilor ar trebui declanșat în cazul existenței unor dovezi concrete, serioase și fiabile privind o astfel de criză. O criză a semiconductorilor survine în cazul în care apar perturbări grave ale aprovizionării cu semiconductori sau obstacole grave în calea comerțului cu semiconductori în Uniune, care produc penurii semnificative de semiconductori, de produse intermediare sau de materii prime ori prelucrate, iar aceste penurii semnificative împiedică furnizarea, repararea și întreținerea produselor esențiale utilizate de sectoarele critice, de exemplu echipamente medicale și de diagnosticare, într-o asemenea măsură încât o astfel de criză ar avea grave efecte dăunătoare asupra funcționării sectoarelor critice din cauza impactului lor asupra societății, economiei și securității Uniunii.</w:t>
      </w:r>
    </w:p>
    <w:p w14:paraId="52C7ECB4" w14:textId="3CF70EC8" w:rsidR="004A1296" w:rsidRPr="00046858" w:rsidRDefault="0099275A" w:rsidP="006E37D1">
      <w:pPr>
        <w:pStyle w:val="ManualConsidrant"/>
        <w:rPr>
          <w:noProof/>
        </w:rPr>
      </w:pPr>
      <w:r w:rsidRPr="00046858">
        <w:rPr>
          <w:noProof/>
        </w:rPr>
        <w:lastRenderedPageBreak/>
        <w:t>(97)</w:t>
      </w:r>
      <w:r w:rsidRPr="00046858">
        <w:rPr>
          <w:noProof/>
        </w:rPr>
        <w:tab/>
        <w:t>Pentru a asigura un răspuns flexibil și eficace la o astfel de criză a semiconductorilor, atunci când ia cunoștință de o potențială criză a semiconductorilor, Comisia ar trebui să evalueze dacă sunt îndeplinite condițiile pentru declanșarea stadiului de criză. Dacă această evaluare aduce dovezi concrete, serioase și fiabile ale unei crize a semiconductorilor, Comisia ar trebui să fie în măsură să îi prezinte Consiliului o propunere de declanșare a stadiului de criză pentru o perioadă de timp prestabilită, de maximum 12 luni, ținând seama de avizul Consiliului european pentru semiconductori. Comisia ar trebui să evalueze necesitatea prelungirii sau a încheierii anticipate a stadiului de criză și să inițieze procedura respectivă, în cazul în care se stabilește o astfel de necesitate, ținând seama de avizul Consiliului european pentru semiconductori.</w:t>
      </w:r>
    </w:p>
    <w:p w14:paraId="55FF4491" w14:textId="2F1D7010" w:rsidR="00EE0856" w:rsidRPr="00046858" w:rsidRDefault="00EE0856" w:rsidP="006E37D1">
      <w:pPr>
        <w:pStyle w:val="ManualConsidrant"/>
        <w:rPr>
          <w:noProof/>
        </w:rPr>
      </w:pPr>
      <w:r w:rsidRPr="00046858">
        <w:rPr>
          <w:noProof/>
        </w:rPr>
        <w:t>(98)</w:t>
      </w:r>
      <w:r w:rsidRPr="00046858">
        <w:rPr>
          <w:noProof/>
        </w:rPr>
        <w:tab/>
        <w:t xml:space="preserve">Sinergiile dintre mecanismele de securitate a aprovizionării instituite în temeiul capitolului VII din Regulamentul (UE) 2025/2643 și al prezentului regulament ar trebui să îi ofere sectorului apărării din Uniune flexibilitatea și amploarea de acțiune necesare pentru a reacționa și a asigura securitatea aprovizionării. În special, posibilitatea ca, în temeiul prezentului regulament și al capitolului VII din Regulamentul (UE) 2025/2643, Comisia să acorde prioritate producției din domeniul apărării în temeiul dispozițiilor privind comenzile prioritare din ambele regulamente ar trebui să reducă la minimum perturbările lanțului de aprovizionare în sectorul apărării în perioade de criză. </w:t>
      </w:r>
    </w:p>
    <w:p w14:paraId="5AD08989" w14:textId="040370EE" w:rsidR="005E69EE" w:rsidRPr="00046858" w:rsidRDefault="004A1296" w:rsidP="006E37D1">
      <w:pPr>
        <w:pStyle w:val="ManualConsidrant"/>
        <w:rPr>
          <w:noProof/>
        </w:rPr>
      </w:pPr>
      <w:r w:rsidRPr="00046858">
        <w:rPr>
          <w:noProof/>
        </w:rPr>
        <w:t>(99)</w:t>
      </w:r>
      <w:r w:rsidRPr="00046858">
        <w:rPr>
          <w:noProof/>
        </w:rPr>
        <w:tab/>
        <w:t>Având în vedere caracterul sensibil al declanșării stadiului de criză și al măsurilor potențiale care pot fi luate în consecință, inclusiv impactul semnificativ pe care astfel de măsuri l-ar putea avea asupra întreprinderilor private din Uniune, ar trebui să i se confere Consiliului competența de a adopta un act de punere în aplicare în ceea ce privește declanșarea, prelungirea și încheierea stadiului de criză în cazul unei crize a semiconductorilor.</w:t>
      </w:r>
    </w:p>
    <w:p w14:paraId="7FACB2DD" w14:textId="597E42E7" w:rsidR="00770D4C" w:rsidRPr="00046858" w:rsidRDefault="005E69EE" w:rsidP="006E37D1">
      <w:pPr>
        <w:pStyle w:val="ManualConsidrant"/>
        <w:rPr>
          <w:noProof/>
        </w:rPr>
      </w:pPr>
      <w:r w:rsidRPr="00046858">
        <w:rPr>
          <w:noProof/>
        </w:rPr>
        <w:t>(100)</w:t>
      </w:r>
      <w:r w:rsidRPr="00046858">
        <w:rPr>
          <w:noProof/>
        </w:rPr>
        <w:tab/>
        <w:t>Cooperarea strânsă dintre Comisie și statele membre și coordonarea oricăror măsuri naționale luate cu privire la lanțul de aprovizionare cu semiconductori sunt indispensabile în stadiul de criză, în vederea abordării întreruperilor cu coerența, reziliența și eficacitatea necesare. În acest scop, Consiliul european pentru semiconductori ar trebui să organizeze reuniuni extraordinare, dacă acest lucru este necesar. Orice măsuri luate ar trebui să fie strict limitate la durata stadiului de criză.</w:t>
      </w:r>
    </w:p>
    <w:p w14:paraId="64712181" w14:textId="5804E816" w:rsidR="009747F5" w:rsidRPr="00046858" w:rsidRDefault="00F904B9" w:rsidP="006E37D1">
      <w:pPr>
        <w:pStyle w:val="ManualConsidrant"/>
        <w:rPr>
          <w:noProof/>
        </w:rPr>
      </w:pPr>
      <w:r w:rsidRPr="00046858">
        <w:rPr>
          <w:noProof/>
        </w:rPr>
        <w:t>(101)</w:t>
      </w:r>
      <w:r w:rsidRPr="00046858">
        <w:rPr>
          <w:noProof/>
        </w:rPr>
        <w:tab/>
        <w:t xml:space="preserve">Pentru ca Uniunea să ofere un răspuns rapid, eficient și coordonat la o criză a semiconductorilor, este necesar să se furnizeze în timp util Comisiei și statelor membre, prin intermediul Consiliului european pentru semiconductori, informații actualizate privind situația operațională în curs, precum și să se asigure că pot fi luate măsuri eficace pentru a garanta aprovizionarea cu semiconductori a sectoarelor critice afectate. Ar trebui identificate și puse în aplicare măsuri adecvate, eficace și proporționale atunci când este declanșat stadiul de criză, fără a aduce atingere unei posibile colaborări internaționale continue cu partenerii relevanți, în vederea atenuării situației evolutive a crizei. După caz, Comisia ar trebui să solicite informații de la întreprinderile de-a lungul lanțului de aprovizionare cu semiconductori. În plus, Comisia ar trebui să fie în măsură, atunci când este necesar și proporțional, să solicite ca inițiativele europene în domeniul tehnologiilor semiconductorilor să accepte și să acorde prioritate unei comenzi de fabricare a unor produse necesare în situații de criză și să acționeze ca organism central de achiziție atunci când este mandatată de statele membre. Comisia ar trebui să limiteze măsurile respective la anumite sectoare critice. Consiliul european pentru semiconductori poate, de asemenea, să evalueze și să ofere consiliere cu privire la măsuri adecvate și eficace. În plus, Consiliul european pentru </w:t>
      </w:r>
      <w:r w:rsidRPr="00046858">
        <w:rPr>
          <w:noProof/>
        </w:rPr>
        <w:lastRenderedPageBreak/>
        <w:t>semiconductori poate oferi consiliere privind necesitatea introducerii unor măsuri de protecție în temeiul Regulamentului (UE) 2015/479 al Parlamentului European și al Consiliului</w:t>
      </w:r>
      <w:r w:rsidRPr="00046858">
        <w:rPr>
          <w:rStyle w:val="FootnoteReference"/>
          <w:noProof/>
        </w:rPr>
        <w:footnoteReference w:id="59"/>
      </w:r>
      <w:r w:rsidRPr="00046858">
        <w:rPr>
          <w:noProof/>
        </w:rPr>
        <w:t>. Utilizarea tuturor măsurilor de urgență ar trebui să fie proporțională și limitată la ceea ce este necesar pentru a aborda criza semiconductorilor în interesul superior al Uniunii. Comisia ar trebui să informeze periodic Parlamentul European și Consiliul cu privire la măsurile luate și la motivele care stau la baza acestora. După consultarea Consiliului european pentru semiconductori, Comisia poate emite orientări suplimentare privind punerea în aplicare și utilizarea măsurilor de urgență.</w:t>
      </w:r>
    </w:p>
    <w:p w14:paraId="631F5057" w14:textId="411C5AAC" w:rsidR="00F904B9" w:rsidRPr="00046858" w:rsidRDefault="000E579C" w:rsidP="006E37D1">
      <w:pPr>
        <w:pStyle w:val="ManualConsidrant"/>
        <w:rPr>
          <w:noProof/>
        </w:rPr>
      </w:pPr>
      <w:r w:rsidRPr="00046858">
        <w:rPr>
          <w:noProof/>
        </w:rPr>
        <w:t>(102)</w:t>
      </w:r>
      <w:r w:rsidRPr="00046858">
        <w:rPr>
          <w:noProof/>
        </w:rPr>
        <w:tab/>
        <w:t>O serie de sectoare sunt critice pentru buna funcționare a pieței interne. În sensul prezentului regulament, respectivele sectoare critice ar trebui să fie enumerate într-o anexă la prezentul regulament. Lista respectivă ar trebui să fie limitată la sectoarele și subsectoarele enumerate în anexa la Directiva (UE) 2022/2557 a Parlamentului European și a Consiliului</w:t>
      </w:r>
      <w:r w:rsidRPr="00046858">
        <w:rPr>
          <w:rStyle w:val="FootnoteReference"/>
          <w:noProof/>
        </w:rPr>
        <w:footnoteReference w:id="60"/>
      </w:r>
      <w:r w:rsidRPr="00046858">
        <w:rPr>
          <w:noProof/>
        </w:rPr>
        <w:t>, la care se adaugă sectorul apărării și sectorul securității, datorită rolului lor important în asigurarea funcțiilor vitale în societate. Anumite măsuri ar trebui luate numai pentru a garanta aprovizionarea sectoarelor critice. Comisia poate limita măsurile de urgență la unele dintre sectoarele respective sau la anumite părți ale acestora atunci când criza semiconductorilor a perturbat sau riscă să perturbe funcționarea lor.</w:t>
      </w:r>
    </w:p>
    <w:p w14:paraId="435A0AD2" w14:textId="48BDD547" w:rsidR="00163250" w:rsidRPr="00046858" w:rsidRDefault="00987CD7" w:rsidP="006E37D1">
      <w:pPr>
        <w:pStyle w:val="ManualConsidrant"/>
        <w:rPr>
          <w:noProof/>
        </w:rPr>
      </w:pPr>
      <w:r w:rsidRPr="00046858">
        <w:rPr>
          <w:noProof/>
        </w:rPr>
        <w:t>(103)</w:t>
      </w:r>
      <w:r w:rsidRPr="00046858">
        <w:rPr>
          <w:noProof/>
        </w:rPr>
        <w:tab/>
        <w:t xml:space="preserve">Scopul solicitărilor de informații adresate întreprinderilor de-a lungul lanțului de aprovizionare cu semiconductori stabilite în Uniune în stadiul de criză este de a permite evaluări aprofundate ale crizei semiconductorilor sau de a identifica și pregăti posibile măsuri de atenuare sau de urgență care pot fi luate la nivelul Uniunii sau la nivel național. Astfel de informații pot viza capabilitatea de producție, capacitatea de producție și principalele perturbări și blocaje curente. Aceste aspecte ar putea include stocul real tipic și actual de produse necesare în situații de criză din instalațiile de producție situate în Uniune, precum și din instalațiile de producție care sunt situate în țări terțe în care își desfășoară activitatea întreprinderile respective, cu care acestea încheie contracte sau de la care achiziționează produse, durata medie reală tipică și actuală de execuție pentru cele mai frecvente produse fabricate, producția preconizată pentru următoarele trei luni pentru fiecare instalație de producție din Uniune sau motivele care împiedică atingerea capacității maxime de producție. Informațiile respective ar trebui să se limiteze la ceea ce este necesar pentru a evalua natura crizei semiconductorilor sau posibilele măsuri de atenuare sau de urgență la nivelul Uniunii sau la nivel național. Solicitările de informații nu ar trebui să implice furnizarea de informații a căror divulgare este contrară intereselor statelor membre în materie de securitate națională. Informațiile concrete care urmează să fie solicitate pot fi elaborate pe baza răspunsurilor prealabile la solicitările de informații înainte de stadiul de criză sau pe baza consilierii din partea unui număr reprezentativ de întreprinderi relevante, prin consultare voluntară, în cooperare cu Consiliul european pentru semiconductori. Orice solicitare ar trebui să fie proporțională, să țină seama de obiectivele legitime ale întreprinderii și de costurile și eforturile necesare pentru a pune la dispoziție datele, precum și să stabilească termene adecvate pentru furnizarea informațiilor solicitate. Întreprinderilor ar trebui să li se solicite să dea curs solicitării, acestea putând fi sancționate în cazul în care nu respectă această obligație sau furnizează informații </w:t>
      </w:r>
      <w:r w:rsidRPr="00046858">
        <w:rPr>
          <w:noProof/>
        </w:rPr>
        <w:lastRenderedPageBreak/>
        <w:t>incorecte. Toate informațiile obținute ar trebui să fie folosite exclusiv în scopul prezentului regulament și să facă obiectul normelor de confidențialitate. Pentru a asigura implicarea deplină a statului membru în care se află locul de producție al întreprinderii, Comisia ar trebui să transmită fără întârziere o copie a solicitării de informații autorității naționale competente și, în cazul în care autoritatea națională competentă solicită acest lucru, să îi comunice autorității naționale competente informațiile obținute prin mijloace securizate. Dacă o întreprindere primește o solicitare de informații referitoare la activitățile sale în domeniul semiconductorilor din partea unei țări terțe, aceasta ar trebui să informeze Comisia pentru a-i permite Comisiei să evalueze dacă se impune formularea unei solicitări de informații din partea Comisiei.</w:t>
      </w:r>
    </w:p>
    <w:p w14:paraId="705E05BC" w14:textId="2D60C45F" w:rsidR="00705F84" w:rsidRPr="00046858" w:rsidRDefault="00184110" w:rsidP="006E37D1">
      <w:pPr>
        <w:pStyle w:val="ManualConsidrant"/>
        <w:rPr>
          <w:noProof/>
        </w:rPr>
      </w:pPr>
      <w:r w:rsidRPr="00046858">
        <w:rPr>
          <w:noProof/>
        </w:rPr>
        <w:t>(104)</w:t>
      </w:r>
      <w:r w:rsidRPr="00046858">
        <w:rPr>
          <w:noProof/>
        </w:rPr>
        <w:tab/>
        <w:t>Ca instrument de ultimă instanță pentru a se asigura că sectoarele critice pot continua să funcționeze într-o perioadă de criză și numai atunci când acest lucru este necesar și proporțional în acest scop, Comisia le-ar putea solicita inițiativelor europene în domeniul tehnologiilor semiconductorilor să accepte și să acorde prioritate comenzilor de produse necesare în situații de criză. Beneficiarii potențiali ai comenzilor prioritare ar trebui să fie entități din sectoare critice sau întreprinderi care aprovizionează sectoare critice, ale căror activități sunt perturbate sau expuse riscului de perturbare din cauza penuriei. Pentru a asigura utilizarea comenzilor prioritare numai atunci când este necesar, acestea ar trebui limitate la beneficiarii care, după ce au pus în aplicare măsuri de atenuare a riscurilor, nu au fost în măsură să evite, de exemplu prin practicile lor de achiziții publice, și să atenueze impactul penuriei prin alte mijloace, cum ar fi utilizarea stocurilor existente. Obligația de a accepta și de a acorda prioritate comenzilor de produse necesare în situații de criză poate fi extinsă, de asemenea, la proiectele strategice și la instalațiile de fabricare a semiconductorilor care au acceptat o astfel de posibilitate în contextul primirii de sprijin public, în cazul în care un astfel de sprijin public are drept scop stimularea creșterii capacității de producție. Decizia privind o comandă prioritară ar trebui luată în conformitate cu toate obligațiile juridice aplicabile ale Uniunii, având în vedere circumstanțele cazului respectiv. Obligația de a onora o comandă prioritară ar trebui să aibă prioritate față de onorarea oricărei obligații de executare în temeiul dreptului privat sau public și să țină totodată seama de obiectivele legitime ale întreprinderilor, precum și de costurile și eforturile necesare pentru orice modificare a secvenței de producție. Fiecare comandă prioritară ar trebui efectuată la un preț echitabil și rezonabil. Calcularea acestui preț se poate efectua pe baza prețurilor medii ale pieței din ultimii ani, cu condiția motivării oricărei creșteri, de exemplu luând în considerare inflația sau creșterea costurilor energiei. Întreprinderile pot face obiectul unor sancțiuni în cazul în care nu respectă obligația de a onora comenzile prioritare.</w:t>
      </w:r>
    </w:p>
    <w:p w14:paraId="620EE944" w14:textId="0A050EDB" w:rsidR="000C297A" w:rsidRPr="00046858" w:rsidRDefault="00705F84" w:rsidP="006E37D1">
      <w:pPr>
        <w:pStyle w:val="ManualConsidrant"/>
        <w:rPr>
          <w:noProof/>
        </w:rPr>
      </w:pPr>
      <w:r w:rsidRPr="00046858">
        <w:rPr>
          <w:noProof/>
        </w:rPr>
        <w:t>(105)</w:t>
      </w:r>
      <w:r w:rsidRPr="00046858">
        <w:rPr>
          <w:noProof/>
        </w:rPr>
        <w:tab/>
        <w:t>Pentru instalațiile care efectuează o comandă prioritară, ar putea fi benefic ca statele membre și Comisia, asistată de Consiliul european pentru semiconductori, să facă schimb de bune practici privind executarea comenzilor respective, inclusiv de bune practici administrative.</w:t>
      </w:r>
    </w:p>
    <w:p w14:paraId="7117CC29" w14:textId="74217936" w:rsidR="00184110" w:rsidRPr="00046858" w:rsidRDefault="000C297A" w:rsidP="006E37D1">
      <w:pPr>
        <w:pStyle w:val="ManualConsidrant"/>
        <w:rPr>
          <w:noProof/>
        </w:rPr>
      </w:pPr>
      <w:r w:rsidRPr="00046858">
        <w:rPr>
          <w:noProof/>
        </w:rPr>
        <w:t>(106)</w:t>
      </w:r>
      <w:r w:rsidRPr="00046858">
        <w:rPr>
          <w:noProof/>
        </w:rPr>
        <w:tab/>
        <w:t xml:space="preserve">Întreprinderii în cauză ar trebui să i se solicite să accepte o comandă prioritară și să îi acorde prioritate. Pentru a asigura alinierea comenzilor prioritare la capacitățile și la portofoliul de producție al instalației, Comisia ar trebui să îi ofere instalației în cauză posibilitatea de a fi ascultată în legătură cu fezabilitatea și detaliile comenzii prioritare. Comisia nu ar trebui să emită comanda prioritară în cazul în care instalația nu este în măsură să onoreze comanda, chiar dacă îi acordă prioritate, fie din cauza capabilității de producție insuficiente sau a capacității de producție insuficiente, fie din motive </w:t>
      </w:r>
      <w:r w:rsidRPr="00046858">
        <w:rPr>
          <w:noProof/>
        </w:rPr>
        <w:lastRenderedPageBreak/>
        <w:t>tehnice, sau în cazul în care produsul nu este furnizat sau serviciul nu este prestat de instalație, fie din cauză că acest lucru ar crea o sarcină economică excesivă și ar genera dificultăți deosebite pentru întreprindere, inclusiv un risc substanțial legat de continuitatea activității.</w:t>
      </w:r>
    </w:p>
    <w:p w14:paraId="390047C4" w14:textId="2993C7EF" w:rsidR="00625BF0" w:rsidRPr="00046858" w:rsidRDefault="00B53758" w:rsidP="006E37D1">
      <w:pPr>
        <w:pStyle w:val="ManualConsidrant"/>
        <w:rPr>
          <w:noProof/>
        </w:rPr>
      </w:pPr>
      <w:r w:rsidRPr="00046858">
        <w:rPr>
          <w:noProof/>
        </w:rPr>
        <w:t>(107)</w:t>
      </w:r>
      <w:r w:rsidRPr="00046858">
        <w:rPr>
          <w:noProof/>
        </w:rPr>
        <w:tab/>
        <w:t>Pentru a asigura un cadru transparent și clar pentru executarea comenzilor prioritare, Comisia ar trebui să fie împuternicită să adopte un act de punere în aplicare care să stabilească modalitățile practice și operaționale pentru executarea comenzilor prioritare. Actul de punere în aplicare respectiv ar trebui să conțină garanții, astfel încât comenzile prioritare să fie executate în conformitate cu principiile necesității și proporționalității, de exemplu un mecanism care să ia în considerare comenzile existente și un mecanism care să garanteze că volumele comenzilor prioritare nu depășesc ceea ce este necesar.</w:t>
      </w:r>
    </w:p>
    <w:p w14:paraId="5ACE023E" w14:textId="6AE5F66B" w:rsidR="00EC7939" w:rsidRPr="00046858" w:rsidRDefault="00EC7939" w:rsidP="006E37D1">
      <w:pPr>
        <w:pStyle w:val="ManualConsidrant"/>
        <w:rPr>
          <w:noProof/>
        </w:rPr>
      </w:pPr>
      <w:r w:rsidRPr="00046858">
        <w:rPr>
          <w:noProof/>
        </w:rPr>
        <w:t>(108)</w:t>
      </w:r>
      <w:r w:rsidRPr="00046858">
        <w:rPr>
          <w:noProof/>
        </w:rPr>
        <w:tab/>
        <w:t>În situația excepțională în care o întreprindere care își desfășoară activitatea de-a lungul lanțului de aprovizionare cu semiconductori din Uniune primește o comandă prioritară din partea unei țări terțe, aceasta ar trebui să informeze Comisia cu privire la o astfel de cerere astfel încât, în cazul în care există un impact semnificativ asupra securității aprovizionării sectoarelor critice, iar celelalte cerințe privind necesitatea, proporționalitatea și legalitatea sunt îndeplinite în circumstanțele cazului, Comisia să poată evalua dacă ar trebui, la rândul său, să impună o obligație privind o comandă prioritară.</w:t>
      </w:r>
    </w:p>
    <w:p w14:paraId="2C38EEC6" w14:textId="5DB32A71" w:rsidR="005A348F" w:rsidRPr="00046858" w:rsidRDefault="00EC7939" w:rsidP="006E37D1">
      <w:pPr>
        <w:pStyle w:val="ManualConsidrant"/>
        <w:rPr>
          <w:noProof/>
        </w:rPr>
      </w:pPr>
      <w:r w:rsidRPr="00046858">
        <w:rPr>
          <w:noProof/>
        </w:rPr>
        <w:t>(109)</w:t>
      </w:r>
      <w:r w:rsidRPr="00046858">
        <w:rPr>
          <w:noProof/>
        </w:rPr>
        <w:tab/>
        <w:t>Având în vedere importanța asigurării securității aprovizionării sectoarelor critice care îndeplinesc funcții societale vitale, respectarea obligației de a executa o comandă prioritară nu ar trebui să antreneze răspunderea pentru daunele aduse terților pentru nicio încălcare a obligațiilor contractuale care ar putea rezulta din modificările temporare necesare ale proceselor operaționale ale producătorului în cauză, atât timp cât încălcarea obligațiilor contractuale a fost necesară pentru respectarea priorității impuse. Întreprinderile care ar putea intra sub incidența unei obligații de a onora o comandă prioritară ar trebui să anticipeze această posibilitate în condițiile prevăzute în contractele lor comerciale. Fără a aduce atingere aplicării altor dispoziții, răspunderea pentru produsele cu defect, prevăzută în Directiva 85/374/CEE a Consiliului</w:t>
      </w:r>
      <w:r w:rsidRPr="00046858">
        <w:rPr>
          <w:rStyle w:val="FootnoteReference"/>
          <w:noProof/>
        </w:rPr>
        <w:footnoteReference w:id="61"/>
      </w:r>
      <w:r w:rsidRPr="00046858">
        <w:rPr>
          <w:noProof/>
        </w:rPr>
        <w:t xml:space="preserve">, nu ar trebui să fie afectată de această exonerare de răspundere. În conformitate cu articolul 52 alineatul (1) din Carta drepturilor fundamentale a Uniunii Europene („carta”), obligația de a acorda prioritate fabricării anumitor produse respectă substanța libertății de a desfășura o activitate comercială și a libertății contractuale prevăzute la articolul 16, precum și a dreptului de proprietate prevăzut la articolul 17 din cartă și nu le afectează în mod disproporționat. </w:t>
      </w:r>
    </w:p>
    <w:p w14:paraId="1F2CEB23" w14:textId="656A0F4D" w:rsidR="00B53758" w:rsidRPr="00046858" w:rsidRDefault="005A348F" w:rsidP="006E37D1">
      <w:pPr>
        <w:pStyle w:val="ManualConsidrant"/>
        <w:rPr>
          <w:noProof/>
        </w:rPr>
      </w:pPr>
      <w:r w:rsidRPr="00046858">
        <w:rPr>
          <w:noProof/>
        </w:rPr>
        <w:t>(110)</w:t>
      </w:r>
      <w:r w:rsidRPr="00046858">
        <w:rPr>
          <w:noProof/>
        </w:rPr>
        <w:tab/>
        <w:t xml:space="preserve">Atunci când se declanșează stadiul de criză și pentru a asigura securitatea aprovizionării sectoarelor critice care îndeplinesc funcții societale vitale, două sau mai multe state membre ar putea mandata Comisia să agrege cererea și să acționeze în numele lor pentru realizarea achiziției publice în interes public, în conformitate cu normele și procedurile existente ale Uniunii, valorificând puterea de cumpărare a Comisiei. Achizițiile comune ar trebui folosite numai pentru a remedia problema perturbărilor lanțului de aprovizionare cu semiconductori într-o perioadă de criză. Mandatul poate autoriza Comisia să încheie acorduri privind achiziționarea de produse necesare în situații de criză pentru anumite sectoare critice. În consultare cu Consiliul </w:t>
      </w:r>
      <w:r w:rsidRPr="00046858">
        <w:rPr>
          <w:noProof/>
        </w:rPr>
        <w:lastRenderedPageBreak/>
        <w:t>european pentru semiconductori, Comisia ar trebui să evalueze, pentru fiecare cerere, utilitatea, necesitatea și proporționalitatea. În cazul în care intenționează să nu dea curs solicitării, Comisia ar trebui să informeze statele membre în cauză și Consiliul european pentru semiconductori și să își motiveze decizia. Detaliile procedurale ar trebui stabilite într-un acord între Comisie și statele membre participante, care să includă motivele recurgerii la mecanismul de achiziții comune și responsabilitățile care urmează a fi asumate. Un astfel de acord poate include numărul de contracte de încheiat și condițiile achizițiilor comune, cum ar fi prețurile, termenele de livrare, cantitățile și clauzele de participare sau de neparticipare. Achizițiile comune pot avea ca rezultat semnarea unui contract care să acopere nevoile tuturor statelor membre sau a mai multor contracte, fiecare dintre acestea acoperind nevoile unuia sau mai multor state membre. În plus, statele membre participante ar trebui să aibă dreptul de a numi reprezentanți care să ofere orientări și consiliere în timpul procedurilor de achiziții publice și al negocierii acordurilor de achiziție. Distribuirea, utilizarea sau revânzarea produselor achiziționate ar trebui să rămână în sfera de competență a statelor membre participante.</w:t>
      </w:r>
    </w:p>
    <w:p w14:paraId="194562F4" w14:textId="47C70FFE" w:rsidR="00592379" w:rsidRPr="00046858" w:rsidRDefault="00850954" w:rsidP="006E37D1">
      <w:pPr>
        <w:pStyle w:val="ManualConsidrant"/>
        <w:rPr>
          <w:noProof/>
        </w:rPr>
      </w:pPr>
      <w:r w:rsidRPr="00046858">
        <w:rPr>
          <w:noProof/>
        </w:rPr>
        <w:t>(111)</w:t>
      </w:r>
      <w:r w:rsidRPr="00046858">
        <w:rPr>
          <w:noProof/>
        </w:rPr>
        <w:tab/>
        <w:t>În timpul unei crize provocate de o penurie de semiconductori, ar putea deveni necesar ca Uniunea să aibă în vedere adoptarea unor măsuri de protecție. Consiliul european pentru semiconductori ar trebui să își poată exprima opiniile pentru a fundamenta evaluarea efectuată de Comisie cu privire la măsura în care situația de pe piață constituie o penurie semnificativă de produse esențiale în temeiul Regulamentului (UE) 2015/479.</w:t>
      </w:r>
    </w:p>
    <w:p w14:paraId="15F1D7D3" w14:textId="7F416A06" w:rsidR="00A515D2" w:rsidRPr="00046858" w:rsidRDefault="00670709" w:rsidP="006E37D1">
      <w:pPr>
        <w:pStyle w:val="ManualConsidrant"/>
        <w:rPr>
          <w:noProof/>
        </w:rPr>
      </w:pPr>
      <w:r w:rsidRPr="00046858">
        <w:rPr>
          <w:noProof/>
        </w:rPr>
        <w:t>(112)</w:t>
      </w:r>
      <w:r w:rsidRPr="00046858">
        <w:rPr>
          <w:noProof/>
        </w:rPr>
        <w:tab/>
        <w:t xml:space="preserve">Cadrul instituțional pentru grupurile de experți, inclusiv normele privind transparența pentru entitate și subgrupurile acesteia, ar trebui să se aplice Consiliului european pentru semiconductori, fără a aduce atingere prezentului regulament. Consiliul european pentru semiconductori ar trebui să îi ofere consiliere și asistență Comisiei în ceea ce privește elaborarea unei politici cuprinzătoare privind semiconductorii și aspecte tehnice specifice. Respectivele aspecte pot include consilierea cu privire la inițiativa „Cipuri pentru Europa” 2.0 a Consiliului autorităților publice al întreprinderii comune pentru cipuri; schimbul de informații privind funcționarea inițiativelor europene în domeniul tehnologiilor semiconductorilor și a proiectelor strategice, discutarea și pregătirea identificării sectoarelor și tehnologiilor specifice cu un potențial impact social ridicat și cu o importanță potențială ridicată pentru securitate care au nevoie de certificare pentru produse fiabile și abordarea monitorizării coordonate și a răspunsului în situații de criză. În plus, Consiliul european pentru semiconductori ar trebui să asigure aplicarea consecventă a prezentului regulament, să faciliteze cooperarea dintre statele membre, precum și schimbul de informații cu privire la aspecte legate de prezentul regulament. Consiliul european pentru semiconductori ar trebui, de asemenea, să facă schimb de opinii cu Comisia cu privire la cele mai bune modalități de a garanta asigurarea respectării și protecția eficace a drepturilor de proprietate intelectuală, a informațiilor confidențiale și a secretelor comerciale, cu implicarea corespunzătoare a părților interesate în ceea ce privește sectorul semiconductorilor. Consiliul european pentru semiconductori ar trebui să sprijine Comisia în activitățile legate de cooperarea internațională, în conformitate cu obligațiile internaționale. Acesta ar trebui să servească drept forum pentru coordonarea politicilor naționale privind semiconductorii și a investițiilor relevante, a implicării internaționale și a modalităților de consolidare a cooperării de-a lungul lanțului valoric mondial al semiconductorilor, în special cu accent pe cercetare, dezvoltare și inovare și pe programele de schimb de competențe, fără a aduce atingere prerogativelor Parlamentului European și ale Consiliului în conformitate cu tratatele. În acest scop, </w:t>
      </w:r>
      <w:r w:rsidRPr="00046858">
        <w:rPr>
          <w:noProof/>
        </w:rPr>
        <w:lastRenderedPageBreak/>
        <w:t>Consiliul european pentru semiconductori ar trebui să țină seama de punctele de vedere exprimate de Alianța industrială pentru semiconductori și de alte părți interesate. În plus, Consiliul european pentru semiconductori ar trebui să asigure coordonarea, cooperarea și schimbul de informații cu alte structuri ale Uniunii de răspuns în situații de criză și de pregătire pentru situații de criză, cu scopul de a asigura o abordare coerentă și coordonată la nivelul Uniunii în ceea ce privește măsurile de răspuns în situații de criză și de pregătire pentru situații de criză pentru crizele semiconductorilor.</w:t>
      </w:r>
    </w:p>
    <w:p w14:paraId="79F1816E" w14:textId="46511BF2" w:rsidR="007952C5" w:rsidRPr="00046858" w:rsidRDefault="00D330D4" w:rsidP="006E37D1">
      <w:pPr>
        <w:pStyle w:val="ManualConsidrant"/>
        <w:rPr>
          <w:noProof/>
        </w:rPr>
      </w:pPr>
      <w:r w:rsidRPr="00046858">
        <w:rPr>
          <w:noProof/>
        </w:rPr>
        <w:t>(113)</w:t>
      </w:r>
      <w:r w:rsidRPr="00046858">
        <w:rPr>
          <w:noProof/>
        </w:rPr>
        <w:tab/>
        <w:t>Consiliul european pentru semiconductori ar trebui prezidat de un reprezentant al Comisiei. Fiecare stat membru ar trebui să numească un reprezentant la nivel înalt și un membru supleant în cadrul Consiliului european pentru semiconductori. De asemenea, statele membre ar putea numi până la trei reprezentanți tehnici în legătură cu diferitele sarcini ale Consiliului european pentru semiconductori, de exemplu, în funcție de partea din prezentul regulament care este discutată în cadrul reuniunilor Consiliului european pentru semiconductori. Statele membre ar trebui să depună eforturi pentru a asigura o cooperare eficace și eficientă în cadrul Consiliului european pentru semiconductori. Statele membre ar trebui să indice un punct unic de contact pentru a asigura schimbul fiabil și în timp util de informații cu privire la funcționarea Consiliului european pentru semiconductori. Pentru a primi opinii importante referitoare la activitățile Consiliului european pentru semiconductori și pentru a fi posibilă participarea corespunzătoare a părților interesate, președintele ar trebui să poată înființa subgrupuri și ar trebui să aibă dreptul de a institui modalități de lucru prin invitarea unor experți și a unor observatori să participe ad-hoc la reuniuni sau de a invita părți interesate, în special organizații care reprezintă interesele industriei semiconductorilor din Uniune, cum ar fi Alianța industrială pentru semiconductori, ca observatori în subgrupuri.</w:t>
      </w:r>
    </w:p>
    <w:p w14:paraId="40FF599D" w14:textId="2AB6C298" w:rsidR="00B81325" w:rsidRPr="00046858" w:rsidRDefault="00B81325" w:rsidP="006E37D1">
      <w:pPr>
        <w:pStyle w:val="ManualConsidrant"/>
        <w:rPr>
          <w:noProof/>
        </w:rPr>
      </w:pPr>
      <w:r w:rsidRPr="00046858">
        <w:rPr>
          <w:noProof/>
        </w:rPr>
        <w:t>(114)</w:t>
      </w:r>
      <w:r w:rsidRPr="00046858">
        <w:rPr>
          <w:noProof/>
        </w:rPr>
        <w:tab/>
        <w:t>Președintele ar trebui să poată facilita schimburile de opinii dintre Consiliul european pentru semiconductori și alte organe, oficii, agenții ale Uniunii, experți și grupuri consultative. Având în vedere importanța aprovizionării cu semiconductori pentru alte sectoare și, ca rezultat, nevoia de a asigura coordonarea, președintele ar trebui să asigure participarea altor instituții și organe ale Uniunii în calitate de observatori la reuniunile Consiliului european pentru semiconductori, atunci când acest lucru este relevant și adecvat în legătură cu mecanismul de monitorizare și de răspuns în situații de criză instituit prin prezentul regulament.</w:t>
      </w:r>
    </w:p>
    <w:p w14:paraId="1F1DB13B" w14:textId="0383B6EE" w:rsidR="00225C27" w:rsidRPr="00046858" w:rsidRDefault="00620ACA" w:rsidP="006E37D1">
      <w:pPr>
        <w:pStyle w:val="ManualConsidrant"/>
        <w:rPr>
          <w:noProof/>
        </w:rPr>
      </w:pPr>
      <w:r w:rsidRPr="00046858">
        <w:rPr>
          <w:noProof/>
        </w:rPr>
        <w:t>(115)</w:t>
      </w:r>
      <w:r w:rsidRPr="00046858">
        <w:rPr>
          <w:noProof/>
        </w:rPr>
        <w:tab/>
        <w:t>Statele membre ar trebui să joace un rol esențial în aplicarea și asigurarea respectării prezentului regulament. În acest sens, fiecare stat membru ar trebui să desemneze una sau mai multe autorități naționale competente responsabile pentru punerea în aplicare eficace a prezentului regulament și să se asigure că autoritățile respective dispun de competențe și de resurse adecvate. Statele membre pot desemna una sau mai multe autorități existente. Pentru a spori eficiența organizării în statele membre și pentru a stabili un punct de contact oficial pentru public și pentru alți omologi de la nivelul Uniunii și al statelor membre, inclusiv Comisia și Consiliul european pentru semiconductori, fiecare stat membru ar trebui să desemneze, în cadrul uneia dintre autoritățile pe care le desemnează ca autoritate competentă în temeiul prezentului regulament, un punct unic de contact național, responsabil de coordonarea aspectelor legate de prezentul regulament și de cooperarea transfrontalieră cu autoritățile competente din alte state membre.</w:t>
      </w:r>
    </w:p>
    <w:p w14:paraId="5124EC10" w14:textId="52A2200A" w:rsidR="00C12D02" w:rsidRPr="00046858" w:rsidRDefault="00225C27" w:rsidP="006E37D1">
      <w:pPr>
        <w:pStyle w:val="ManualConsidrant"/>
        <w:rPr>
          <w:noProof/>
        </w:rPr>
      </w:pPr>
      <w:r w:rsidRPr="00046858">
        <w:rPr>
          <w:noProof/>
        </w:rPr>
        <w:t>(116)</w:t>
      </w:r>
      <w:r w:rsidRPr="00046858">
        <w:rPr>
          <w:noProof/>
        </w:rPr>
        <w:tab/>
        <w:t xml:space="preserve">Uniunea ar trebui să depună eforturi pentru a încheia parteneriate strategice privind semiconductorii cu parteneri internaționali consacrați sau emergenți, pentru a </w:t>
      </w:r>
      <w:r w:rsidRPr="00046858">
        <w:rPr>
          <w:noProof/>
        </w:rPr>
        <w:lastRenderedPageBreak/>
        <w:t>îmbunătăți siguranța aprovizionării Uniunii și cooperarea de-a lungul lanțului valoric al semiconductorilor. Parteneriatele respective ar trebui, de asemenea, să depună eforturi pentru a aborda deficitul de cunoștințe și de competențe în domeniul semiconductorilor existent în Uniune prin atragerea, mobilizarea și păstrarea de noi talente în Uniune. Pentru partenerii cu care Uniunea cooperează în domeniul semiconductorilor prin intermediul unui parteneriat digital, al Consiliului pentru comerț și tehnologie sau al dialogului digital, parteneriatul strategic privind semiconductorii ar trebui să reflecte orientarea politică și prioritățile convenite în cadrul forurilor respective.</w:t>
      </w:r>
    </w:p>
    <w:p w14:paraId="10811488" w14:textId="672EBBE3" w:rsidR="00225C27" w:rsidRPr="00046858" w:rsidRDefault="00225C27" w:rsidP="006E37D1">
      <w:pPr>
        <w:pStyle w:val="ManualConsidrant"/>
        <w:rPr>
          <w:noProof/>
        </w:rPr>
      </w:pPr>
      <w:r w:rsidRPr="00046858">
        <w:rPr>
          <w:noProof/>
        </w:rPr>
        <w:t>(117)</w:t>
      </w:r>
      <w:r w:rsidRPr="00046858">
        <w:rPr>
          <w:noProof/>
        </w:rPr>
        <w:tab/>
        <w:t>Pentru a dezvolta și a asigura un cadru coerent pentru încheierea viitoarelor parteneriate strategice privind semiconductorii, statele membre și Comisia ar trebui, ca parte a interacțiunii lor în cadrul Consiliului european pentru semiconductori, să discute, printre altele, dacă parteneriatele existente își ating obiectivele preconizate, precum și acordarea de prioritate partenerilor pentru noi parteneriate, conținutul unor astfel de parteneriate și coerența lor și sinergiile potențiale cu alte cadre de cooperare internațională ale Comisiei și cu cooperarea bilaterală a statelor membre cu partenerii strategici internaționali relevanți. Este necesar ca aceste deziderate să fie realizate fără a aduce atingere prerogativelor Consiliului în conformitate cu tratatele. Uniunea ar trebui să urmărească parteneriate reciproc avantajoase cu piețele emergente și cu economiile în curs de dezvoltare, în concordanță cu strategia sa „Global Gateway”</w:t>
      </w:r>
      <w:r w:rsidRPr="00046858">
        <w:rPr>
          <w:rStyle w:val="FootnoteReference"/>
          <w:noProof/>
        </w:rPr>
        <w:footnoteReference w:id="62"/>
      </w:r>
      <w:r w:rsidRPr="00046858">
        <w:rPr>
          <w:noProof/>
        </w:rPr>
        <w:t xml:space="preserve"> și cu strategia sa digitală internațională</w:t>
      </w:r>
      <w:r w:rsidRPr="00046858">
        <w:rPr>
          <w:rStyle w:val="FootnoteReference"/>
          <w:noProof/>
        </w:rPr>
        <w:footnoteReference w:id="63"/>
      </w:r>
      <w:r w:rsidRPr="00046858">
        <w:rPr>
          <w:noProof/>
        </w:rPr>
        <w:t xml:space="preserve">, care să contribuie la diversificarea lanțului său de aprovizionare cu semiconductori și să adauge valoare acestor parteneri strategici internaționali. </w:t>
      </w:r>
    </w:p>
    <w:p w14:paraId="42FD5C67" w14:textId="0279AA61" w:rsidR="009673CB" w:rsidRPr="00046858" w:rsidRDefault="00EF4057" w:rsidP="006E37D1">
      <w:pPr>
        <w:pStyle w:val="ManualConsidrant"/>
        <w:rPr>
          <w:noProof/>
        </w:rPr>
      </w:pPr>
      <w:r w:rsidRPr="00046858">
        <w:rPr>
          <w:noProof/>
        </w:rPr>
        <w:t>(118)</w:t>
      </w:r>
      <w:r w:rsidRPr="00046858">
        <w:rPr>
          <w:noProof/>
        </w:rPr>
        <w:tab/>
        <w:t>Pentru a consolida autonomia strategică și poziția de lider a Uniunii în domeniul tehnologiilor semiconductorilor, Alianța industrială pentru procesoare și tehnologiile semiconductorilor ar trebui să înceteze să existe, iar operațiunile sale ar trebui să fie preluate de Alianța industrială pentru semiconductori („alianța”), instituită prin prezentul regulament, sub supravegherea Comisiei. Toți membrii și participanții la Alianța industrială pentru procesoare și tehnologiile semiconductorilor existentă ar trebui să devină automat membri și participanți la alianță. Termenii de referință în temeiul cărora sunt detaliate funcționarea, sarcinile și componența alianței ar trebui să fie publicați pe un site web al Comisiei pentru clarificare</w:t>
      </w:r>
      <w:r w:rsidRPr="00046858">
        <w:rPr>
          <w:rStyle w:val="FootnoteReference"/>
          <w:noProof/>
        </w:rPr>
        <w:footnoteReference w:id="64"/>
      </w:r>
      <w:r w:rsidRPr="00046858">
        <w:rPr>
          <w:noProof/>
        </w:rPr>
        <w:t xml:space="preserve">. Alianța ar trebui să reunească părți interesate din întregul lanț valoric, inclusiv din industrie, IMM-uri, organizații de cercetare și sectoare-cheie de utilizatori, pentru a identifica lacunele critice în ceea ce privește capabilitățile Uniunii și pentru a stimula progresele tehnologice și industriale necesare pentru sporirea competitivității. Prin promovarea colaborării și a inovării, alianța ar trebui să contribuie la reducerea dependențelor, la consolidarea rezilienței lanțului de aprovizionare și la sprijinirea extinderii actorilor de dimensiuni mai mici din Uniune. Pentru a asigura coerența cu strategia și prioritățile Uniunii în domeniul semiconductorilor și pentru a facilita punerea în aplicare fără </w:t>
      </w:r>
      <w:r w:rsidRPr="00046858">
        <w:rPr>
          <w:noProof/>
        </w:rPr>
        <w:lastRenderedPageBreak/>
        <w:t>probleme și eficace a prezentului regulament, comitetul director al alianței ar trebui să mențină un dialog periodic cu Consiliul european pentru semiconductori, grupurile sale de lucru putând prezenta actualizări la cerere. Acest angajament structurat ar trebui să îi permită consiliului să integreze cunoștințele industriei în deciziile de politică, asigurându-se că eforturile publice și private rămân aliniate în ceea ce privește promovarea suveranității tehnologice a Uniunii.</w:t>
      </w:r>
    </w:p>
    <w:p w14:paraId="0CCEC1B3" w14:textId="07626974" w:rsidR="007132E8" w:rsidRPr="00046858" w:rsidRDefault="00EF7069" w:rsidP="006E37D1">
      <w:pPr>
        <w:pStyle w:val="ManualConsidrant"/>
        <w:rPr>
          <w:noProof/>
        </w:rPr>
      </w:pPr>
      <w:r w:rsidRPr="00046858">
        <w:rPr>
          <w:noProof/>
        </w:rPr>
        <w:t>(119)</w:t>
      </w:r>
      <w:r w:rsidRPr="00046858">
        <w:rPr>
          <w:noProof/>
        </w:rPr>
        <w:tab/>
        <w:t>Pentru a asigura o cooperare de încredere și constructivă a autorităților competente la nivelul Uniunii și la nivel național, toate părțile implicate în aplicarea prezentului regulament ar trebui să respecte confidențialitatea informațiilor și a datelor obținute în cursul îndeplinirii sarcinilor lor, pentru a proteja îndeosebi drepturile de proprietate intelectuală, informațiile comerciale sensibile și secretele comerciale. Orice informație obținută în cadrul cererii de recunoaștere drept inițiativă europeană în domeniul tehnologiilor semiconductorilor, în contextul solicitărilor de informații sau al obligațiilor de notificare în temeiul prezentului regulament, ar trebui utilizată exclusiv în sensul prezentului regulament și ar trebui să intre sub incidența obligației de păstrare a secretului profesional în conformitate cu articolul 339 din TFUE, precum și a normelor interne ale Comisiei privind prelucrarea în condiții de siguranță a datelor, în special a Deciziei (UE, Euratom) 2015/443 a Comisiei</w:t>
      </w:r>
      <w:r w:rsidRPr="00046858">
        <w:rPr>
          <w:rStyle w:val="FootnoteReference"/>
          <w:noProof/>
        </w:rPr>
        <w:footnoteReference w:id="65"/>
      </w:r>
      <w:r w:rsidRPr="00046858">
        <w:rPr>
          <w:noProof/>
        </w:rPr>
        <w:t>. Comisia și autoritățile naționale competente, funcționarii și agenții lor și alte persoane care lucrează sub supravegherea acestor autorități, precum și funcționarii și agenții altor autorități ale statelor membre ar trebui să asigure confidențialitatea informațiilor pe care le-au obținut în îndeplinirea sarcinilor și a activităților lor. Acest lucru ar trebui să i se aplice și Consiliului european pentru semiconductori și Comitetului pentru semiconductori. După caz, Comisia ar trebui să poată adopta acte de punere în aplicare pentru a specifica modalitățile practice de tratare a informațiilor confidențiale în contextul colectării de informații.</w:t>
      </w:r>
    </w:p>
    <w:p w14:paraId="72E9A12D" w14:textId="510CD984" w:rsidR="004F0952" w:rsidRPr="00046858" w:rsidRDefault="007132E8" w:rsidP="006E37D1">
      <w:pPr>
        <w:pStyle w:val="ManualConsidrant"/>
        <w:rPr>
          <w:noProof/>
        </w:rPr>
      </w:pPr>
      <w:r w:rsidRPr="00046858">
        <w:rPr>
          <w:noProof/>
        </w:rPr>
        <w:t>(120)</w:t>
      </w:r>
      <w:r w:rsidRPr="00046858">
        <w:rPr>
          <w:noProof/>
        </w:rPr>
        <w:tab/>
        <w:t>Respectarea obligațiilor impuse în temeiul prezentului regulament ar trebui să fie asigurată prin amenzi și penalități cu titlu cominatoriu. În acest scop, ar trebui stabilite niveluri adecvate ale amenzilor pentru nerespectarea solicitărilor de informații și a obligațiilor de notificare prevăzute în prezentul regulament, ținând seama de diferențele în ce privește nivelul de gravitate a nerespectării care există între cele două tipuri de obligații și aplicând plafoane diferite pentru IMM-uri. În plus, ar trebui stabilite penalități cu titlu cominatoriu pentru nerespectarea obligației de a accepta și de a executa comenzi prioritare, care ar trebui să fie proporționate și să reflecte nivelurile prețurilor de pe piață în ultimele 90 de zile, cu plafoane diferite pentru IMM-uri. Ar trebui să se aplice termene de prescripție pentru impunerea amenzilor și a penalităților cu titlu cominatoriu, în plus față de termenele de prescripție pentru executarea sancțiunilor. În plus, Comisia ar trebui să acorde întreprinderii în cauză sau organizațiilor reprezentative ale întreprinderilor dreptul de a fi ascultate.</w:t>
      </w:r>
    </w:p>
    <w:p w14:paraId="07D9418C" w14:textId="4513C9A6" w:rsidR="009D5C2D" w:rsidRPr="00046858" w:rsidRDefault="000646D6" w:rsidP="006E37D1">
      <w:pPr>
        <w:pStyle w:val="ManualConsidrant"/>
        <w:rPr>
          <w:noProof/>
        </w:rPr>
      </w:pPr>
      <w:r w:rsidRPr="00046858">
        <w:rPr>
          <w:noProof/>
        </w:rPr>
        <w:t>(121)</w:t>
      </w:r>
      <w:r w:rsidRPr="00046858">
        <w:rPr>
          <w:noProof/>
        </w:rPr>
        <w:tab/>
        <w:t xml:space="preserve">Pentru a reflecta schimbările tehnologice și evoluțiile pieței </w:t>
      </w:r>
      <w:r w:rsidRPr="00046858">
        <w:rPr>
          <w:rStyle w:val="Added"/>
          <w:b w:val="0"/>
          <w:noProof/>
          <w:u w:val="none"/>
        </w:rPr>
        <w:t>relevante pentru sectorul semiconductorilor</w:t>
      </w:r>
      <w:r w:rsidRPr="00046858">
        <w:rPr>
          <w:noProof/>
        </w:rPr>
        <w:t xml:space="preserve">, pentru a asigura punerea în aplicare și evaluarea eficace a inițiativei „Cipuri pentru Europa” 2.0, competența de a adopta acte în conformitate cu articolul 290 din TFUE ar trebui delegată Comisiei în vederea modificării prezentului regulament în ceea ce privește acțiunile sprijinite de inițiativa „Cipuri pentru Europa” 2.0, într-un mod consecvent cu obiectivele acestuia, și în ceea ce privește indicatorii cuantificabili pentru monitorizarea punerii în aplicare a inițiativei „Cipuri pentru Europa” 2.0 și raportarea progreselor înregistrate în direcția realizării obiectivelor sale, </w:t>
      </w:r>
      <w:r w:rsidRPr="00046858">
        <w:rPr>
          <w:noProof/>
        </w:rPr>
        <w:lastRenderedPageBreak/>
        <w:t>precum și în ceea ce privește completarea prezentului regulament prin stabilirea procedurii de depunere a cererilor și a cerințelor și condițiilor pentru acordarea, monitorizarea și retragerea etichetei de centru de excelență în proiectare. Este deosebit de important ca, în cursul activității sale pregătitoare, Comisia să organizeze consultări adecvate, inclusiv la nivel de experți, și ca respectivele consultări să se desfășoare în conformitate cu principiile prevăzute în Acordul interinstituțional din 13 aprilie 2016 privind o mai bună legiferare</w:t>
      </w:r>
      <w:r w:rsidRPr="00046858">
        <w:rPr>
          <w:rStyle w:val="FootnoteReference"/>
          <w:noProof/>
        </w:rPr>
        <w:footnoteReference w:id="66"/>
      </w:r>
      <w:r w:rsidRPr="00046858">
        <w:rPr>
          <w:noProof/>
        </w:rPr>
        <w:t>.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p w14:paraId="34B457A0" w14:textId="06318513" w:rsidR="00D01462" w:rsidRPr="00046858" w:rsidRDefault="00BA6127" w:rsidP="006E37D1">
      <w:pPr>
        <w:pStyle w:val="ManualConsidrant"/>
        <w:rPr>
          <w:noProof/>
        </w:rPr>
      </w:pPr>
      <w:r w:rsidRPr="00046858">
        <w:rPr>
          <w:noProof/>
        </w:rPr>
        <w:t>(122)</w:t>
      </w:r>
      <w:r w:rsidRPr="00046858">
        <w:rPr>
          <w:noProof/>
        </w:rPr>
        <w:tab/>
        <w:t>Fără a aduce atingere procedurii bugetare și autonomiei sale administrative, Comisia ar trebui să utilizeze resursele în mod optim pentru a se asigura că își poate exercita competențele și îndeplini sarcinile în mod eficace în temeiul prezentului regulament.</w:t>
      </w:r>
    </w:p>
    <w:p w14:paraId="05925EB5" w14:textId="0EF06DE2" w:rsidR="005E1D75" w:rsidRPr="00046858" w:rsidRDefault="00810FB9" w:rsidP="006E37D1">
      <w:pPr>
        <w:pStyle w:val="ManualConsidrant"/>
        <w:rPr>
          <w:noProof/>
        </w:rPr>
      </w:pPr>
      <w:r w:rsidRPr="00046858">
        <w:rPr>
          <w:noProof/>
        </w:rPr>
        <w:t>(123)</w:t>
      </w:r>
      <w:r w:rsidRPr="00046858">
        <w:rPr>
          <w:noProof/>
        </w:rPr>
        <w:tab/>
        <w:t>Întrucât obiectivul prezentului regulament, și anume stabilirea unui cadru pentru consolidarea ecosistemului semiconductorilor la nivelul Uniunii, nu poate fi realizat în mod satisfăcător de către statele membre, dar, având în vedere amploarea sau efectele acțiunii, acesta poate fi realizat mai bine la nivelul Uniunii, aceasta poate adopta măsuri, în conformitate cu principiul subsidiarității, astfel cum este prevăzut la articolul 5 din Tratatul privind Uniunea Europeană. În conformitate cu principiul proporționalității, astfel cum este prevăzut la articolul respectiv, prezentul regulament nu depășește ceea ce este necesar pentru realizarea obiectivului respectiv.</w:t>
      </w:r>
    </w:p>
    <w:p w14:paraId="5B480777" w14:textId="29CE8EBC" w:rsidR="00A03D5B" w:rsidRPr="00046858" w:rsidRDefault="00952406" w:rsidP="006E37D1">
      <w:pPr>
        <w:pStyle w:val="ManualConsidrant"/>
        <w:rPr>
          <w:noProof/>
        </w:rPr>
      </w:pPr>
      <w:r w:rsidRPr="00046858">
        <w:rPr>
          <w:noProof/>
        </w:rPr>
        <w:t>(124)</w:t>
      </w:r>
      <w:r w:rsidRPr="00046858">
        <w:rPr>
          <w:noProof/>
        </w:rPr>
        <w:tab/>
        <w:t>Prin urmare, Regulamentul (UE) 2023/1781 ar trebui să fie abrogat,</w:t>
      </w:r>
    </w:p>
    <w:p w14:paraId="75534588" w14:textId="77777777" w:rsidR="00A03D5B" w:rsidRPr="00046858" w:rsidRDefault="00A03D5B" w:rsidP="0041561E">
      <w:pPr>
        <w:pStyle w:val="Formuledadoption"/>
        <w:rPr>
          <w:noProof/>
        </w:rPr>
      </w:pPr>
      <w:r w:rsidRPr="00046858">
        <w:rPr>
          <w:noProof/>
        </w:rPr>
        <w:t>ADOPTĂ PREZENTUL REGULAMENT:</w:t>
      </w:r>
    </w:p>
    <w:p w14:paraId="25142979" w14:textId="189AB498" w:rsidR="00836685" w:rsidRPr="00046858" w:rsidRDefault="00836685" w:rsidP="00836685">
      <w:pPr>
        <w:pStyle w:val="ChapterTitle"/>
        <w:rPr>
          <w:noProof/>
        </w:rPr>
      </w:pPr>
      <w:r w:rsidRPr="00046858">
        <w:rPr>
          <w:noProof/>
        </w:rPr>
        <w:t>Capitolul I</w:t>
      </w:r>
    </w:p>
    <w:p w14:paraId="6EEE5469" w14:textId="67C8E62E" w:rsidR="00836685" w:rsidRPr="00046858" w:rsidRDefault="00836685" w:rsidP="00F85DE9">
      <w:pPr>
        <w:pStyle w:val="ChapterTitle"/>
        <w:rPr>
          <w:noProof/>
        </w:rPr>
      </w:pPr>
      <w:r w:rsidRPr="00046858">
        <w:rPr>
          <w:noProof/>
        </w:rPr>
        <w:t>Dispoziții generale</w:t>
      </w:r>
    </w:p>
    <w:p w14:paraId="169F626D" w14:textId="77777777" w:rsidR="00A03D5B" w:rsidRPr="00046858" w:rsidRDefault="00A03D5B" w:rsidP="00A03D5B">
      <w:pPr>
        <w:pStyle w:val="Titrearticle"/>
        <w:rPr>
          <w:noProof/>
        </w:rPr>
      </w:pPr>
      <w:r w:rsidRPr="00046858">
        <w:rPr>
          <w:noProof/>
        </w:rPr>
        <w:t xml:space="preserve">Articolul 1 </w:t>
      </w:r>
      <w:r w:rsidRPr="00046858">
        <w:rPr>
          <w:noProof/>
        </w:rPr>
        <w:cr/>
      </w:r>
      <w:r w:rsidRPr="00046858">
        <w:rPr>
          <w:noProof/>
        </w:rPr>
        <w:br/>
        <w:t>Obiect</w:t>
      </w:r>
    </w:p>
    <w:p w14:paraId="7B8FB85A" w14:textId="7CE67142" w:rsidR="00A03D5B" w:rsidRPr="00046858" w:rsidRDefault="00A03D5B" w:rsidP="00161EBF">
      <w:pPr>
        <w:pStyle w:val="ManualNumPar1"/>
        <w:rPr>
          <w:noProof/>
        </w:rPr>
      </w:pPr>
      <w:r w:rsidRPr="00046858">
        <w:rPr>
          <w:noProof/>
        </w:rPr>
        <w:t>(1)</w:t>
      </w:r>
      <w:r w:rsidRPr="00046858">
        <w:rPr>
          <w:noProof/>
        </w:rPr>
        <w:tab/>
        <w:t>Prezentul regulament stabilește un cadru pentru consolidarea ecosistemului semiconductorilor și pentru abordarea și prevenirea dependențelor care pot amenința securitatea aprovizionării cu semiconductori la nivelul Uniunii, în special prin următoarele măsuri:</w:t>
      </w:r>
    </w:p>
    <w:p w14:paraId="53A03CD8" w14:textId="77777777" w:rsidR="00A03D5B" w:rsidRPr="00046858" w:rsidRDefault="009B37F1" w:rsidP="000006E4">
      <w:pPr>
        <w:pStyle w:val="Point1"/>
        <w:rPr>
          <w:noProof/>
        </w:rPr>
      </w:pPr>
      <w:r w:rsidRPr="00046858">
        <w:rPr>
          <w:noProof/>
        </w:rPr>
        <w:t>(a)</w:t>
      </w:r>
      <w:r w:rsidRPr="00046858">
        <w:rPr>
          <w:noProof/>
        </w:rPr>
        <w:tab/>
        <w:t>continuarea și dezvoltarea în continuare a inițiativei „Cipuri pentru Europa”, instituită inițial în temeiul Regulamentului (UE) 2023/1781 și menționată în prezentul regulament ca inițiativa „Cipuri pentru Europa” 2.0;</w:t>
      </w:r>
    </w:p>
    <w:p w14:paraId="454B16E4" w14:textId="77777777" w:rsidR="00A03D5B" w:rsidRPr="00046858" w:rsidRDefault="009B37F1" w:rsidP="00D04B79">
      <w:pPr>
        <w:pStyle w:val="Point1"/>
        <w:rPr>
          <w:noProof/>
        </w:rPr>
      </w:pPr>
      <w:r w:rsidRPr="00046858">
        <w:rPr>
          <w:noProof/>
        </w:rPr>
        <w:t>(b)</w:t>
      </w:r>
      <w:r w:rsidRPr="00046858">
        <w:rPr>
          <w:noProof/>
        </w:rPr>
        <w:tab/>
        <w:t xml:space="preserve">stabilirea criteriilor de recunoaștere și de sprijinire a inițiativelor europene în domeniul tehnologiilor semiconductorilor care sunt inițiative de pionierat și a proiectelor strategice care promovează </w:t>
      </w:r>
      <w:r w:rsidRPr="00046858">
        <w:rPr>
          <w:rStyle w:val="Added"/>
          <w:b w:val="0"/>
          <w:noProof/>
          <w:u w:val="none"/>
        </w:rPr>
        <w:t>caracterul indispensabil, reziliența și prosperitatea</w:t>
      </w:r>
      <w:r w:rsidRPr="00046858">
        <w:rPr>
          <w:noProof/>
        </w:rPr>
        <w:t xml:space="preserve"> ecosistemului semiconductorilor din Uniune; </w:t>
      </w:r>
    </w:p>
    <w:p w14:paraId="6CB9FC4C" w14:textId="77777777" w:rsidR="00AB7313" w:rsidRPr="00046858" w:rsidRDefault="009B37F1" w:rsidP="00727F15">
      <w:pPr>
        <w:pStyle w:val="Point1"/>
        <w:rPr>
          <w:noProof/>
        </w:rPr>
      </w:pPr>
      <w:r w:rsidRPr="00046858">
        <w:rPr>
          <w:noProof/>
        </w:rPr>
        <w:t>(c)</w:t>
      </w:r>
      <w:r w:rsidRPr="00046858">
        <w:rPr>
          <w:noProof/>
        </w:rPr>
        <w:tab/>
        <w:t xml:space="preserve">consolidarea mecanismului de coordonare între statele membre și Comisie instituit inițial în temeiul Regulamentului (UE) 2023/1781, care se referă la </w:t>
      </w:r>
      <w:r w:rsidRPr="00046858">
        <w:rPr>
          <w:noProof/>
        </w:rPr>
        <w:lastRenderedPageBreak/>
        <w:t>cartografierea și monitorizarea sectorului semiconductorilor din Uniune, la prevenirea situațiilor de criză și la răspunsul la penuriile de semiconductori și, după caz, la solicitările de informații și de consultare cu părțile interesate din lanțul de aprovizionare cu semiconductori.</w:t>
      </w:r>
    </w:p>
    <w:p w14:paraId="3610D6C9" w14:textId="4F6BAAF3" w:rsidR="00A03D5B" w:rsidRPr="00046858" w:rsidRDefault="00A03D5B" w:rsidP="003A4FB5">
      <w:pPr>
        <w:pStyle w:val="ManualNumPar1"/>
        <w:rPr>
          <w:noProof/>
        </w:rPr>
      </w:pPr>
      <w:r w:rsidRPr="00046858">
        <w:rPr>
          <w:noProof/>
        </w:rPr>
        <w:t>(1)</w:t>
      </w:r>
      <w:r w:rsidRPr="00046858">
        <w:rPr>
          <w:noProof/>
        </w:rPr>
        <w:tab/>
        <w:t>Primul obiectiv general al prezentului regulament este asigurarea condițiilor necesare competitivității și capacității de inovare a Uniunii în domeniul tehnologiilor semiconductorilor, precum și asigurarea adaptării industriei la schimbările structurale.</w:t>
      </w:r>
    </w:p>
    <w:p w14:paraId="3F0CBB81" w14:textId="2934CB06" w:rsidR="009B37F1" w:rsidRPr="00046858" w:rsidRDefault="00A03D5B" w:rsidP="003A4FB5">
      <w:pPr>
        <w:pStyle w:val="ManualNumPar1"/>
        <w:rPr>
          <w:noProof/>
        </w:rPr>
      </w:pPr>
      <w:r w:rsidRPr="00046858">
        <w:rPr>
          <w:noProof/>
        </w:rPr>
        <w:t>(2)</w:t>
      </w:r>
      <w:r w:rsidRPr="00046858">
        <w:rPr>
          <w:noProof/>
        </w:rPr>
        <w:tab/>
        <w:t xml:space="preserve">Al doilea obiectiv general, separat de primul obiectiv general stabilit la alineatul (2) și complementar acestuia, este îmbunătățirea pregătirii pentru situații de criză pentru a asigura securitatea aprovizionării UE, îmbunătățind astfel funcționarea pieței interne prin stabilirea unui cadru juridic uniform al Uniunii pentru a spori </w:t>
      </w:r>
      <w:r w:rsidRPr="00046858">
        <w:rPr>
          <w:rStyle w:val="Added"/>
          <w:b w:val="0"/>
          <w:noProof/>
          <w:u w:val="none"/>
        </w:rPr>
        <w:t>caracterul indispensabil, reziliența și prosperitatea</w:t>
      </w:r>
      <w:r w:rsidRPr="00046858">
        <w:rPr>
          <w:noProof/>
        </w:rPr>
        <w:t xml:space="preserve"> Uniunii în domeniul tehnologiilor semiconductorilor.</w:t>
      </w:r>
    </w:p>
    <w:p w14:paraId="7336F452" w14:textId="366D1979" w:rsidR="003B428A" w:rsidRPr="00046858" w:rsidRDefault="00C91A2B" w:rsidP="003A4FB5">
      <w:pPr>
        <w:pStyle w:val="ManualNumPar1"/>
        <w:rPr>
          <w:noProof/>
        </w:rPr>
      </w:pPr>
      <w:r w:rsidRPr="00046858">
        <w:rPr>
          <w:noProof/>
        </w:rPr>
        <w:t>(3)</w:t>
      </w:r>
      <w:r w:rsidRPr="00046858">
        <w:rPr>
          <w:noProof/>
        </w:rPr>
        <w:tab/>
        <w:t>Prezentul regulament se aplică fără a aduce atingere procedurilor specifice de achiziții publice și standardelor de calificare aplicabile în sectorul apărării prevăzute în Regulamentul (UE) 2025/2643.</w:t>
      </w:r>
    </w:p>
    <w:p w14:paraId="66821F93" w14:textId="77777777" w:rsidR="009B37F1" w:rsidRPr="00046858" w:rsidRDefault="009B37F1" w:rsidP="009B37F1">
      <w:pPr>
        <w:pStyle w:val="Titrearticle"/>
        <w:rPr>
          <w:noProof/>
        </w:rPr>
      </w:pPr>
      <w:r w:rsidRPr="00046858">
        <w:rPr>
          <w:noProof/>
        </w:rPr>
        <w:t xml:space="preserve">Articolul 2 </w:t>
      </w:r>
      <w:r w:rsidRPr="00046858">
        <w:rPr>
          <w:noProof/>
        </w:rPr>
        <w:cr/>
      </w:r>
      <w:r w:rsidRPr="00046858">
        <w:rPr>
          <w:noProof/>
        </w:rPr>
        <w:br/>
        <w:t>Definiții</w:t>
      </w:r>
    </w:p>
    <w:p w14:paraId="290230D5" w14:textId="77777777" w:rsidR="009B37F1" w:rsidRPr="00046858" w:rsidRDefault="009B37F1" w:rsidP="003F47FB">
      <w:pPr>
        <w:rPr>
          <w:noProof/>
        </w:rPr>
      </w:pPr>
      <w:r w:rsidRPr="00046858">
        <w:rPr>
          <w:noProof/>
        </w:rPr>
        <w:t xml:space="preserve">În sensul prezentului regulament, se aplică următoarele definiții: </w:t>
      </w:r>
    </w:p>
    <w:p w14:paraId="54181A78" w14:textId="77777777" w:rsidR="009B37F1" w:rsidRPr="00046858" w:rsidRDefault="009B37F1" w:rsidP="000006E4">
      <w:pPr>
        <w:pStyle w:val="Point0"/>
        <w:rPr>
          <w:noProof/>
        </w:rPr>
      </w:pPr>
      <w:r w:rsidRPr="00046858">
        <w:rPr>
          <w:noProof/>
        </w:rPr>
        <w:t>1.</w:t>
      </w:r>
      <w:r w:rsidRPr="00046858">
        <w:rPr>
          <w:noProof/>
        </w:rPr>
        <w:tab/>
        <w:t>„semiconductor” înseamnă unul dintre următoarele:</w:t>
      </w:r>
    </w:p>
    <w:p w14:paraId="3BBC452F" w14:textId="77777777" w:rsidR="00E52175" w:rsidRPr="00046858" w:rsidRDefault="00E52175" w:rsidP="00D04B79">
      <w:pPr>
        <w:pStyle w:val="Point1"/>
        <w:rPr>
          <w:noProof/>
        </w:rPr>
      </w:pPr>
      <w:r w:rsidRPr="00046858">
        <w:rPr>
          <w:noProof/>
        </w:rPr>
        <w:t>(a)</w:t>
      </w:r>
      <w:r w:rsidRPr="00046858">
        <w:rPr>
          <w:noProof/>
        </w:rPr>
        <w:tab/>
        <w:t xml:space="preserve">un material, inclusiv un material avansat, care se prezintă fie sub forma unui element, fie sub forma unui compus, a cărui conductivitate electrică poate fi modificată; </w:t>
      </w:r>
    </w:p>
    <w:p w14:paraId="40B702E0" w14:textId="77777777" w:rsidR="00E52175" w:rsidRPr="00046858" w:rsidRDefault="00E52175" w:rsidP="00D04B79">
      <w:pPr>
        <w:pStyle w:val="Point1"/>
        <w:rPr>
          <w:noProof/>
        </w:rPr>
      </w:pPr>
      <w:r w:rsidRPr="00046858">
        <w:rPr>
          <w:noProof/>
        </w:rPr>
        <w:t>(b)</w:t>
      </w:r>
      <w:r w:rsidRPr="00046858">
        <w:rPr>
          <w:noProof/>
        </w:rPr>
        <w:tab/>
        <w:t>o componentă constând dintr-o serie de straturi de materiale semiconductoare, izolatoare și conductoare definite în conformitate cu un model prestabilit și destinate să îndeplinească funcții electronice sau fotonice bine definite sau ambele funcții;</w:t>
      </w:r>
    </w:p>
    <w:p w14:paraId="47F62D4E" w14:textId="1A80AFF7" w:rsidR="00E52175" w:rsidRPr="00046858" w:rsidRDefault="00E52175" w:rsidP="000006E4">
      <w:pPr>
        <w:pStyle w:val="Point0"/>
        <w:rPr>
          <w:noProof/>
        </w:rPr>
      </w:pPr>
      <w:r w:rsidRPr="00046858">
        <w:rPr>
          <w:noProof/>
        </w:rPr>
        <w:t>2.</w:t>
      </w:r>
      <w:r w:rsidRPr="00046858">
        <w:rPr>
          <w:noProof/>
        </w:rPr>
        <w:tab/>
        <w:t>„cip” înseamnă un dispozitiv electronic care cuprinde diferite elemente funcționale pe un singur suport de material semiconductor, de regulă sub formă de memorii, dispozitive logice, procesoare, dispozitive optoelectronice și dispozitive analogice;</w:t>
      </w:r>
    </w:p>
    <w:p w14:paraId="4A34F2AF" w14:textId="321F36B0" w:rsidR="00E52175" w:rsidRPr="00046858" w:rsidRDefault="00E52175" w:rsidP="000006E4">
      <w:pPr>
        <w:pStyle w:val="Point0"/>
        <w:rPr>
          <w:noProof/>
        </w:rPr>
      </w:pPr>
      <w:r w:rsidRPr="00046858">
        <w:rPr>
          <w:noProof/>
        </w:rPr>
        <w:t>3.</w:t>
      </w:r>
      <w:r w:rsidRPr="00046858">
        <w:rPr>
          <w:noProof/>
        </w:rPr>
        <w:tab/>
        <w:t>„cip cuantic” înseamnă un dispozitiv care prelucrează informații la nivelul sistemelor cuantice individuale, cu un nivel variabil de integrare a componentelor pe cip în funcție de platforma cuantică utilizată, inclusiv platforme de calcul cuantic, comunicații, detecție sau metrologie;</w:t>
      </w:r>
    </w:p>
    <w:p w14:paraId="6C4F0C3F" w14:textId="4C36AF77" w:rsidR="00E52175" w:rsidRPr="00046858" w:rsidRDefault="00E52175" w:rsidP="009B37F1">
      <w:pPr>
        <w:pStyle w:val="Point0"/>
        <w:rPr>
          <w:noProof/>
        </w:rPr>
      </w:pPr>
      <w:r w:rsidRPr="00046858">
        <w:rPr>
          <w:noProof/>
        </w:rPr>
        <w:t>4.</w:t>
      </w:r>
      <w:r w:rsidRPr="00046858">
        <w:rPr>
          <w:noProof/>
        </w:rPr>
        <w:tab/>
        <w:t>„nod tehnologic” înseamnă un proces specific de fabricare a semiconductorilor și normele sale de proiectare;</w:t>
      </w:r>
    </w:p>
    <w:p w14:paraId="2F95C393" w14:textId="5772CAF5" w:rsidR="00E52175" w:rsidRPr="00046858" w:rsidRDefault="00E52175" w:rsidP="009B37F1">
      <w:pPr>
        <w:pStyle w:val="Point0"/>
        <w:rPr>
          <w:noProof/>
        </w:rPr>
      </w:pPr>
      <w:r w:rsidRPr="00046858">
        <w:rPr>
          <w:noProof/>
        </w:rPr>
        <w:t>5.</w:t>
      </w:r>
      <w:r w:rsidRPr="00046858">
        <w:rPr>
          <w:noProof/>
        </w:rPr>
        <w:tab/>
        <w:t>„lanț de aprovizionare cu semiconductori” înseamnă sistemul de activități, organizații, actori, tehnologie, informații, resurse și servicii implicate în producția de semiconductori, inclusiv materiile prime și prelucrate, cum ar fi gazele, echipamentele de fabricare a semiconductorilor, proiectarea, inclusiv dezvoltarea de software conexă, fabricarea, asamblarea, testarea și încapsularea;</w:t>
      </w:r>
    </w:p>
    <w:p w14:paraId="1F7CAD74" w14:textId="178A63C9" w:rsidR="00E52175" w:rsidRPr="00046858" w:rsidRDefault="00E52175" w:rsidP="009B37F1">
      <w:pPr>
        <w:pStyle w:val="Point0"/>
        <w:rPr>
          <w:noProof/>
        </w:rPr>
      </w:pPr>
      <w:r w:rsidRPr="00046858">
        <w:rPr>
          <w:noProof/>
        </w:rPr>
        <w:lastRenderedPageBreak/>
        <w:t>6.</w:t>
      </w:r>
      <w:r w:rsidRPr="00046858">
        <w:rPr>
          <w:noProof/>
        </w:rPr>
        <w:tab/>
        <w:t>„lanț valoric al semiconductorilor” înseamnă ansamblul de activități legate de un produs semiconductor, de la proiectarea acestuia până la utilizarea sa finală, inclusiv materiile prime și prelucrate, cum ar fi gazele, echipamentele de fabricare a semiconductorilor, cercetarea, dezvoltarea și inovarea, proiectarea, inclusiv dezvoltarea de software conexă, fabricarea, testarea, asamblarea și încapsularea până la încorporarea și integrarea în produsele finite, precum și procesele de la sfârșitul ciclului de viață, cum ar fi reutilizarea, dezmembrarea și reciclarea;</w:t>
      </w:r>
    </w:p>
    <w:p w14:paraId="0D1706D2" w14:textId="5514B980" w:rsidR="00E52175" w:rsidRPr="00046858" w:rsidRDefault="00E52175" w:rsidP="009B37F1">
      <w:pPr>
        <w:pStyle w:val="Point0"/>
        <w:rPr>
          <w:noProof/>
        </w:rPr>
      </w:pPr>
      <w:r w:rsidRPr="00046858">
        <w:rPr>
          <w:noProof/>
        </w:rPr>
        <w:t>7.</w:t>
      </w:r>
      <w:r w:rsidRPr="00046858">
        <w:rPr>
          <w:noProof/>
        </w:rPr>
        <w:tab/>
        <w:t xml:space="preserve">„linie-pilot” înseamnă o instalație de testare și experimentare care vizează niveluri mai ridicate de maturitate tehnologică până la adoptarea industrială pentru a testa, a demonstra, a valida și a calibra produse, echipamente, procese sau sisteme; </w:t>
      </w:r>
    </w:p>
    <w:p w14:paraId="476D6B4C" w14:textId="5AA81582" w:rsidR="00E52175" w:rsidRPr="00046858" w:rsidRDefault="00E52175" w:rsidP="009B37F1">
      <w:pPr>
        <w:pStyle w:val="Point0"/>
        <w:rPr>
          <w:noProof/>
        </w:rPr>
      </w:pPr>
      <w:r w:rsidRPr="00046858">
        <w:rPr>
          <w:noProof/>
        </w:rPr>
        <w:t>8.</w:t>
      </w:r>
      <w:r w:rsidRPr="00046858">
        <w:rPr>
          <w:noProof/>
        </w:rPr>
        <w:tab/>
        <w:t>„întreprinderi mici și mijlocii” sau „IMM-uri” înseamnă întreprinderi mici sau mijlocii astfel cum sunt definite în anexa la Recomandarea 2003/361/CE a Comisiei</w:t>
      </w:r>
      <w:r w:rsidRPr="00046858">
        <w:rPr>
          <w:rStyle w:val="FootnoteReference"/>
          <w:noProof/>
        </w:rPr>
        <w:footnoteReference w:id="67"/>
      </w:r>
      <w:r w:rsidRPr="00046858">
        <w:rPr>
          <w:noProof/>
        </w:rPr>
        <w:t>;</w:t>
      </w:r>
    </w:p>
    <w:p w14:paraId="4BBA279D" w14:textId="10C2208A" w:rsidR="00E52175" w:rsidRPr="00046858" w:rsidRDefault="00E52175" w:rsidP="009B37F1">
      <w:pPr>
        <w:pStyle w:val="Point0"/>
        <w:rPr>
          <w:noProof/>
        </w:rPr>
      </w:pPr>
      <w:r w:rsidRPr="00046858">
        <w:rPr>
          <w:noProof/>
        </w:rPr>
        <w:t>9.</w:t>
      </w:r>
      <w:r w:rsidRPr="00046858">
        <w:rPr>
          <w:noProof/>
        </w:rPr>
        <w:tab/>
        <w:t xml:space="preserve">„întreprindere mică cu capitalizare medie” înseamnă o întreprindere mică cu capitalizare medie astfel cum este definită în </w:t>
      </w:r>
      <w:r w:rsidRPr="00046858">
        <w:rPr>
          <w:rStyle w:val="Added"/>
          <w:b w:val="0"/>
          <w:noProof/>
          <w:u w:val="none"/>
        </w:rPr>
        <w:t>anexa</w:t>
      </w:r>
      <w:r w:rsidRPr="00046858">
        <w:rPr>
          <w:noProof/>
        </w:rPr>
        <w:t xml:space="preserve"> la</w:t>
      </w:r>
      <w:r w:rsidR="008B6AF5">
        <w:rPr>
          <w:noProof/>
        </w:rPr>
        <w:t xml:space="preserve"> </w:t>
      </w:r>
      <w:r w:rsidRPr="00046858">
        <w:rPr>
          <w:rStyle w:val="Added"/>
          <w:b w:val="0"/>
          <w:noProof/>
          <w:u w:val="none"/>
        </w:rPr>
        <w:t>Recomandarea 2025/1099/CE</w:t>
      </w:r>
      <w:r w:rsidRPr="00046858">
        <w:rPr>
          <w:noProof/>
        </w:rPr>
        <w:t>;</w:t>
      </w:r>
    </w:p>
    <w:p w14:paraId="3F8E862E" w14:textId="068BBC7D" w:rsidR="00E52175" w:rsidRPr="00046858" w:rsidRDefault="00E52175" w:rsidP="009B37F1">
      <w:pPr>
        <w:pStyle w:val="Point0"/>
        <w:rPr>
          <w:noProof/>
        </w:rPr>
      </w:pPr>
      <w:r w:rsidRPr="00046858">
        <w:rPr>
          <w:noProof/>
        </w:rPr>
        <w:t>10.</w:t>
      </w:r>
      <w:r w:rsidRPr="00046858">
        <w:rPr>
          <w:noProof/>
        </w:rPr>
        <w:tab/>
        <w:t xml:space="preserve">„inițiativă de pionierat” înseamnă oricare dintre următoarele inițiative, care aduce inovare în Uniune în ceea ce privește procesul de fabricație sau la nivelul produsului finit, în măsura în care această inovare nu este încă suficient de prezentă sau nu este prevăzută să fie dezvoltată în Uniune </w:t>
      </w:r>
      <w:r w:rsidRPr="00046858">
        <w:rPr>
          <w:rStyle w:val="Added"/>
          <w:b w:val="0"/>
          <w:noProof/>
          <w:u w:val="none"/>
        </w:rPr>
        <w:t>pentru a asigura reziliența și securitatea aprovizionării Uniunii</w:t>
      </w:r>
      <w:r w:rsidRPr="00046858">
        <w:rPr>
          <w:noProof/>
        </w:rPr>
        <w:t>, inclusiv inovarea referitoare la îmbunătățiri ale capacității de procesare sau ale nivelului de securitate, siguranță sau fiabilitate, ale performanțelor energetice și de mediu, ale nodului tehnologic sau materialelor de substrat ori ale punerii în aplicare a unor procese de producție care duc la creșterea eficienței sau care îmbunătățesc posibilitatea de reciclare ori reduc factorii de producție:</w:t>
      </w:r>
    </w:p>
    <w:p w14:paraId="59BE6BE0" w14:textId="77777777" w:rsidR="00E52175" w:rsidRPr="00046858" w:rsidRDefault="00E52175" w:rsidP="00D04B79">
      <w:pPr>
        <w:pStyle w:val="Point1"/>
        <w:rPr>
          <w:noProof/>
        </w:rPr>
      </w:pPr>
      <w:r w:rsidRPr="00046858">
        <w:rPr>
          <w:noProof/>
        </w:rPr>
        <w:t>(a)</w:t>
      </w:r>
      <w:r w:rsidRPr="00046858">
        <w:rPr>
          <w:noProof/>
        </w:rPr>
        <w:tab/>
        <w:t xml:space="preserve">o instalație nouă sau modernizată substanțial de fabricare a semiconductorilor; </w:t>
      </w:r>
    </w:p>
    <w:p w14:paraId="793D500E" w14:textId="77777777" w:rsidR="00E52175" w:rsidRPr="00046858" w:rsidRDefault="00E52175" w:rsidP="00D04B79">
      <w:pPr>
        <w:pStyle w:val="Point1"/>
        <w:rPr>
          <w:noProof/>
        </w:rPr>
      </w:pPr>
      <w:r w:rsidRPr="00046858">
        <w:rPr>
          <w:noProof/>
        </w:rPr>
        <w:t>(b)</w:t>
      </w:r>
      <w:r w:rsidRPr="00046858">
        <w:rPr>
          <w:noProof/>
        </w:rPr>
        <w:tab/>
        <w:t xml:space="preserve">o instalație sau un proces nou sau modernizat substanțial pentru producția de echipamente; </w:t>
      </w:r>
    </w:p>
    <w:p w14:paraId="40352791" w14:textId="77777777" w:rsidR="00E52175" w:rsidRPr="00046858" w:rsidRDefault="00E52175" w:rsidP="00D04B79">
      <w:pPr>
        <w:pStyle w:val="Point1"/>
        <w:rPr>
          <w:noProof/>
        </w:rPr>
      </w:pPr>
      <w:r w:rsidRPr="00046858">
        <w:rPr>
          <w:noProof/>
        </w:rPr>
        <w:t>(c)</w:t>
      </w:r>
      <w:r w:rsidRPr="00046858">
        <w:rPr>
          <w:noProof/>
        </w:rPr>
        <w:tab/>
        <w:t>o instalație sau un proces nou sau modernizat substanțial pentru producția de componente-cheie pentru astfel de echipamente sau pentru alt tip de producție de factori de producție utilizați în principal în fabricarea semiconductorilor, cum ar fi materialele;</w:t>
      </w:r>
    </w:p>
    <w:p w14:paraId="523BB087" w14:textId="77777777" w:rsidR="00E52175" w:rsidRPr="00046858" w:rsidRDefault="00E52175" w:rsidP="00D04B79">
      <w:pPr>
        <w:pStyle w:val="Point1"/>
        <w:rPr>
          <w:noProof/>
        </w:rPr>
      </w:pPr>
      <w:r w:rsidRPr="00046858">
        <w:rPr>
          <w:noProof/>
        </w:rPr>
        <w:t>(d)</w:t>
      </w:r>
      <w:r w:rsidRPr="00046858">
        <w:rPr>
          <w:noProof/>
        </w:rPr>
        <w:tab/>
        <w:t xml:space="preserve">o instalație nouă sau modernizată substanțial pentru fabricarea sau integrarea produselor electronice; </w:t>
      </w:r>
    </w:p>
    <w:p w14:paraId="56F0167D" w14:textId="77777777" w:rsidR="00E52175" w:rsidRPr="00046858" w:rsidRDefault="00134611" w:rsidP="00D04B79">
      <w:pPr>
        <w:pStyle w:val="Point1"/>
        <w:rPr>
          <w:noProof/>
        </w:rPr>
      </w:pPr>
      <w:r w:rsidRPr="00046858">
        <w:rPr>
          <w:noProof/>
        </w:rPr>
        <w:t>(e)</w:t>
      </w:r>
      <w:r w:rsidRPr="00046858">
        <w:rPr>
          <w:noProof/>
        </w:rPr>
        <w:tab/>
        <w:t xml:space="preserve">activități </w:t>
      </w:r>
      <w:r w:rsidRPr="00046858">
        <w:rPr>
          <w:rStyle w:val="Added"/>
          <w:b w:val="0"/>
          <w:noProof/>
          <w:u w:val="none"/>
        </w:rPr>
        <w:t>noi</w:t>
      </w:r>
      <w:r w:rsidRPr="00046858">
        <w:rPr>
          <w:noProof/>
        </w:rPr>
        <w:t xml:space="preserve"> de proiectare de cipuri axate pe producție; </w:t>
      </w:r>
    </w:p>
    <w:p w14:paraId="539BA562" w14:textId="04C4F108" w:rsidR="00E52175" w:rsidRPr="00046858" w:rsidRDefault="00E52175" w:rsidP="00F31CA4">
      <w:pPr>
        <w:pStyle w:val="Point0"/>
        <w:rPr>
          <w:noProof/>
        </w:rPr>
      </w:pPr>
      <w:r w:rsidRPr="00046858">
        <w:rPr>
          <w:noProof/>
        </w:rPr>
        <w:t>11.</w:t>
      </w:r>
      <w:r w:rsidRPr="00046858">
        <w:rPr>
          <w:noProof/>
        </w:rPr>
        <w:tab/>
        <w:t>„activități de proiectare a cipurilor centrate pe fabricare” înseamnă pregătirea proiectelor pentru fabricare, cooptimizarea procesului de proiectare și execuția fazei de finalizare a proiectului (tape-out), aceasta fiind etapa în care un proiect de cip este trimis spre fabricare sub forma unui prototip fizic pentru validare înainte de producția de masă;</w:t>
      </w:r>
    </w:p>
    <w:p w14:paraId="152470A1" w14:textId="1C010A2E" w:rsidR="00E52175" w:rsidRPr="00046858" w:rsidRDefault="00E52175" w:rsidP="00F31CA4">
      <w:pPr>
        <w:pStyle w:val="Point0"/>
        <w:rPr>
          <w:noProof/>
        </w:rPr>
      </w:pPr>
      <w:r w:rsidRPr="00046858">
        <w:rPr>
          <w:noProof/>
        </w:rPr>
        <w:t>12.</w:t>
      </w:r>
      <w:r w:rsidRPr="00046858">
        <w:rPr>
          <w:noProof/>
        </w:rPr>
        <w:tab/>
        <w:t xml:space="preserve">„tehnologii de generație următoare ale semiconductorilor” înseamnă tehnologii ale semiconductorilor care depășesc stadiul actual al tehnologiei, oferind îmbunătățiri </w:t>
      </w:r>
      <w:r w:rsidRPr="00046858">
        <w:rPr>
          <w:noProof/>
        </w:rPr>
        <w:lastRenderedPageBreak/>
        <w:t>semnificative ale performanței funcționale, ale capacității de procesare sau ale eficienței energetice, precum și alte beneficii energetice și de mediu semnificative;</w:t>
      </w:r>
    </w:p>
    <w:p w14:paraId="320183AA" w14:textId="3102ECED" w:rsidR="00E52175" w:rsidRPr="00046858" w:rsidRDefault="00E52175" w:rsidP="00F31CA4">
      <w:pPr>
        <w:pStyle w:val="Point0"/>
        <w:rPr>
          <w:noProof/>
        </w:rPr>
      </w:pPr>
      <w:r w:rsidRPr="00046858">
        <w:rPr>
          <w:noProof/>
        </w:rPr>
        <w:t>13.</w:t>
      </w:r>
      <w:r w:rsidRPr="00046858">
        <w:rPr>
          <w:noProof/>
        </w:rPr>
        <w:tab/>
        <w:t>„tehnologii de vârf ale semiconductorilor” înseamnă stadiul actual al tehnologiei în materie de inovare în domeniul cipurilor și al tehnologiilor semiconductorilor atunci când se desfășoară proiectele;</w:t>
      </w:r>
    </w:p>
    <w:p w14:paraId="7F24ECEB" w14:textId="4F9CBDB2" w:rsidR="00E52175" w:rsidRPr="00046858" w:rsidRDefault="00E52175" w:rsidP="00F31CA4">
      <w:pPr>
        <w:pStyle w:val="Point0"/>
        <w:rPr>
          <w:noProof/>
        </w:rPr>
      </w:pPr>
      <w:r w:rsidRPr="00046858">
        <w:rPr>
          <w:noProof/>
        </w:rPr>
        <w:t>14.</w:t>
      </w:r>
      <w:r w:rsidRPr="00046858">
        <w:rPr>
          <w:noProof/>
        </w:rPr>
        <w:tab/>
        <w:t>„fabricarea semiconductorilor” înseamnă oricare dintre etapele de producție și prelucrare a plachetelor semiconductoare, inclusiv proiectarea, materialele de substrat, unitățile de fabricare inițială (front-end) și unitățile de fabricare finală (back-end), necesare pentru a furniza un produs semiconductor finit;</w:t>
      </w:r>
    </w:p>
    <w:p w14:paraId="46A1DD3F" w14:textId="154F9C59" w:rsidR="00E52175" w:rsidRPr="00046858" w:rsidRDefault="00E52175" w:rsidP="006079B9">
      <w:pPr>
        <w:pStyle w:val="Point0"/>
        <w:rPr>
          <w:noProof/>
        </w:rPr>
      </w:pPr>
      <w:r w:rsidRPr="00046858">
        <w:rPr>
          <w:noProof/>
        </w:rPr>
        <w:t>15.</w:t>
      </w:r>
      <w:r w:rsidRPr="00046858">
        <w:rPr>
          <w:noProof/>
        </w:rPr>
        <w:tab/>
        <w:t>„fabricare inițială (front-end)” înseamnă ansamblul etapelor de prelucrare a unei plachete semiconductoare;</w:t>
      </w:r>
    </w:p>
    <w:p w14:paraId="4AB186B0" w14:textId="506BF136" w:rsidR="00E52175" w:rsidRPr="00046858" w:rsidRDefault="00E52175" w:rsidP="00F31CA4">
      <w:pPr>
        <w:pStyle w:val="Point0"/>
        <w:rPr>
          <w:noProof/>
        </w:rPr>
      </w:pPr>
      <w:r w:rsidRPr="00046858">
        <w:rPr>
          <w:noProof/>
        </w:rPr>
        <w:t>16.</w:t>
      </w:r>
      <w:r w:rsidRPr="00046858">
        <w:rPr>
          <w:noProof/>
        </w:rPr>
        <w:tab/>
        <w:t xml:space="preserve">„fabricare finală (back-end)” înseamnă încapsularea, asamblarea și testarea unui produs semiconductor; </w:t>
      </w:r>
    </w:p>
    <w:p w14:paraId="1788EEBF" w14:textId="7865A73A" w:rsidR="00E52175" w:rsidRPr="00046858" w:rsidRDefault="00E52175" w:rsidP="00F31CA4">
      <w:pPr>
        <w:pStyle w:val="Point0"/>
        <w:rPr>
          <w:noProof/>
        </w:rPr>
      </w:pPr>
      <w:r w:rsidRPr="00046858">
        <w:rPr>
          <w:noProof/>
        </w:rPr>
        <w:t>17.</w:t>
      </w:r>
      <w:r w:rsidRPr="00046858">
        <w:rPr>
          <w:noProof/>
        </w:rPr>
        <w:tab/>
        <w:t>„fabricarea și integrarea produselor electronice” înseamnă fabricarea sau integrarea plăcilor de circuite imprimate, a substraturilor de încapsulare avansată și a componentelor electronice în ceea ce privește asamblarea, testarea sau integrarea în sistem a semiconductorilor sau a produselor pe bază de semiconductori;</w:t>
      </w:r>
    </w:p>
    <w:p w14:paraId="7B3BE2EF" w14:textId="13D45C84" w:rsidR="00E52175" w:rsidRPr="00046858" w:rsidRDefault="00E52175" w:rsidP="00F31CA4">
      <w:pPr>
        <w:pStyle w:val="Point0"/>
        <w:rPr>
          <w:noProof/>
        </w:rPr>
      </w:pPr>
      <w:r w:rsidRPr="00046858">
        <w:rPr>
          <w:noProof/>
        </w:rPr>
        <w:t>18.</w:t>
      </w:r>
      <w:r w:rsidRPr="00046858">
        <w:rPr>
          <w:noProof/>
        </w:rPr>
        <w:tab/>
        <w:t xml:space="preserve">„utilizator de semiconductori” înseamnă o întreprindere care fabrică produse în care sunt încorporați semiconductori; </w:t>
      </w:r>
    </w:p>
    <w:p w14:paraId="437DEAF4" w14:textId="12833D8B" w:rsidR="00E52175" w:rsidRPr="00046858" w:rsidRDefault="00E52175" w:rsidP="00F31CA4">
      <w:pPr>
        <w:pStyle w:val="Point0"/>
        <w:rPr>
          <w:noProof/>
        </w:rPr>
      </w:pPr>
      <w:r w:rsidRPr="00046858">
        <w:rPr>
          <w:noProof/>
        </w:rPr>
        <w:t>19.</w:t>
      </w:r>
      <w:r w:rsidRPr="00046858">
        <w:rPr>
          <w:noProof/>
        </w:rPr>
        <w:tab/>
        <w:t>„principalii actori de pe piață” înseamnă întreprinderi din lanțul de aprovizionare cu semiconductori din Uniune, a căror funcționare fiabilă este esențială pentru aprovizionarea cu semiconductori;</w:t>
      </w:r>
    </w:p>
    <w:p w14:paraId="50AB5D7E" w14:textId="4E9FCBFB" w:rsidR="00E52175" w:rsidRPr="00046858" w:rsidRDefault="00E52175" w:rsidP="00F31CA4">
      <w:pPr>
        <w:pStyle w:val="Point0"/>
        <w:rPr>
          <w:noProof/>
        </w:rPr>
      </w:pPr>
      <w:r w:rsidRPr="00046858">
        <w:rPr>
          <w:noProof/>
        </w:rPr>
        <w:t>20.</w:t>
      </w:r>
      <w:r w:rsidRPr="00046858">
        <w:rPr>
          <w:noProof/>
        </w:rPr>
        <w:tab/>
        <w:t>„sector critic” înseamnă orice sector menționat în anexa V;</w:t>
      </w:r>
    </w:p>
    <w:p w14:paraId="592E9638" w14:textId="3AE1D6AD" w:rsidR="00E52175" w:rsidRPr="00046858" w:rsidRDefault="00E52175" w:rsidP="00F31CA4">
      <w:pPr>
        <w:pStyle w:val="Point0"/>
        <w:rPr>
          <w:noProof/>
        </w:rPr>
      </w:pPr>
      <w:r w:rsidRPr="00046858">
        <w:rPr>
          <w:noProof/>
        </w:rPr>
        <w:t>21.</w:t>
      </w:r>
      <w:r w:rsidRPr="00046858">
        <w:rPr>
          <w:noProof/>
        </w:rPr>
        <w:tab/>
        <w:t xml:space="preserve">„produs necesar în situații de criză” înseamnă oricare dintre următoarele produse care sunt afectate de o criză a semiconductorilor și care sunt relevante pentru asigurarea funcțiilor vitale ale unui sector critic: </w:t>
      </w:r>
    </w:p>
    <w:p w14:paraId="6B45CE50" w14:textId="77777777" w:rsidR="00E52175" w:rsidRPr="00046858" w:rsidRDefault="00E52175" w:rsidP="00D04B79">
      <w:pPr>
        <w:pStyle w:val="Point1"/>
        <w:rPr>
          <w:noProof/>
        </w:rPr>
      </w:pPr>
      <w:r w:rsidRPr="00046858">
        <w:rPr>
          <w:noProof/>
        </w:rPr>
        <w:t>(a)</w:t>
      </w:r>
      <w:r w:rsidRPr="00046858">
        <w:rPr>
          <w:noProof/>
        </w:rPr>
        <w:tab/>
        <w:t>semiconductori sau cipuri care fie sunt implementate direct de sectoare critice, fie sunt utilizate pentru a produce dispozitive utilizate de sectoare critice;</w:t>
      </w:r>
    </w:p>
    <w:p w14:paraId="7008C972" w14:textId="77777777" w:rsidR="00E52175" w:rsidRPr="00046858" w:rsidRDefault="00E52175" w:rsidP="00D04B79">
      <w:pPr>
        <w:pStyle w:val="Point1"/>
        <w:rPr>
          <w:noProof/>
        </w:rPr>
      </w:pPr>
      <w:r w:rsidRPr="00046858">
        <w:rPr>
          <w:noProof/>
        </w:rPr>
        <w:t>(b)</w:t>
      </w:r>
      <w:r w:rsidRPr="00046858">
        <w:rPr>
          <w:noProof/>
        </w:rPr>
        <w:tab/>
        <w:t xml:space="preserve">produse intermediare necesare pentru a produce semiconductori sau cipuri; </w:t>
      </w:r>
    </w:p>
    <w:p w14:paraId="1C251A52" w14:textId="77777777" w:rsidR="00E52175" w:rsidRPr="00046858" w:rsidRDefault="00E52175" w:rsidP="00D04B79">
      <w:pPr>
        <w:pStyle w:val="Point1"/>
        <w:rPr>
          <w:noProof/>
        </w:rPr>
      </w:pPr>
      <w:r w:rsidRPr="00046858">
        <w:rPr>
          <w:noProof/>
        </w:rPr>
        <w:t>(c)</w:t>
      </w:r>
      <w:r w:rsidRPr="00046858">
        <w:rPr>
          <w:noProof/>
        </w:rPr>
        <w:tab/>
        <w:t>materii prime și prelucrate necesare pentru a produce semiconductori sau cipuri sau produse intermediare.</w:t>
      </w:r>
    </w:p>
    <w:p w14:paraId="566F71A9" w14:textId="5EDD066F" w:rsidR="00E52175" w:rsidRPr="00046858" w:rsidRDefault="00E52175" w:rsidP="00F31CA4">
      <w:pPr>
        <w:pStyle w:val="Point0"/>
        <w:rPr>
          <w:noProof/>
        </w:rPr>
      </w:pPr>
      <w:r w:rsidRPr="00046858">
        <w:rPr>
          <w:noProof/>
        </w:rPr>
        <w:t>22.</w:t>
      </w:r>
      <w:r w:rsidRPr="00046858">
        <w:rPr>
          <w:noProof/>
        </w:rPr>
        <w:tab/>
        <w:t xml:space="preserve">„capabilitate de producție” înseamnă capacitatea unei instalații de a produce anumite tipuri de produse; </w:t>
      </w:r>
    </w:p>
    <w:p w14:paraId="0C68513D" w14:textId="2D230AE4" w:rsidR="00E52175" w:rsidRPr="00046858" w:rsidRDefault="00E52175" w:rsidP="00F31CA4">
      <w:pPr>
        <w:pStyle w:val="Point0"/>
        <w:rPr>
          <w:noProof/>
        </w:rPr>
      </w:pPr>
      <w:r w:rsidRPr="00046858">
        <w:rPr>
          <w:noProof/>
        </w:rPr>
        <w:t>23.</w:t>
      </w:r>
      <w:r w:rsidRPr="00046858">
        <w:rPr>
          <w:noProof/>
        </w:rPr>
        <w:tab/>
        <w:t xml:space="preserve">„capacitate de producție” înseamnă producția potențială maximă a unei instalații; </w:t>
      </w:r>
    </w:p>
    <w:p w14:paraId="190159C5" w14:textId="4B2CA9F6" w:rsidR="00E52175" w:rsidRPr="00046858" w:rsidRDefault="00E52175" w:rsidP="00F31CA4">
      <w:pPr>
        <w:pStyle w:val="Point0"/>
        <w:rPr>
          <w:noProof/>
        </w:rPr>
      </w:pPr>
      <w:r w:rsidRPr="00046858">
        <w:rPr>
          <w:noProof/>
        </w:rPr>
        <w:t>24.</w:t>
      </w:r>
      <w:r w:rsidRPr="00046858">
        <w:rPr>
          <w:noProof/>
        </w:rPr>
        <w:tab/>
        <w:t xml:space="preserve">„secret comercial” înseamnă un secret comercial astfel cum este definit la articolul 2 punctul 1 din Directiva (UE) 2016/943. </w:t>
      </w:r>
    </w:p>
    <w:p w14:paraId="63DD8E6A" w14:textId="16616F58" w:rsidR="00E52175" w:rsidRPr="00046858" w:rsidRDefault="00E52175" w:rsidP="00F31CA4">
      <w:pPr>
        <w:pStyle w:val="Point0"/>
        <w:rPr>
          <w:noProof/>
        </w:rPr>
      </w:pPr>
      <w:r w:rsidRPr="00046858">
        <w:rPr>
          <w:noProof/>
        </w:rPr>
        <w:t>25.</w:t>
      </w:r>
      <w:r w:rsidRPr="00046858">
        <w:rPr>
          <w:noProof/>
        </w:rPr>
        <w:tab/>
        <w:t xml:space="preserve">„procedură de acordare a autorizațiilor” înseamnă un proces care acoperă toate autorizațiile relevante pentru construirea, extinderea, conversia și exploatarea proiectelor de fabricare industrială a semiconductorilor, inclusiv autorizațiile de construcție, autorizațiile privind regimul chimic și autorizațiile de racordare la rețea, astfel cum sunt definite la articolul 1 din [Propunerea de directivă de modificare a Directivelor (UE) 2018/2001, (UE) 2019/944, (UE) 2024/1788 în ceea ce privește accelerarea procedurilor de acordare a autorizațiilor], precum și evaluările și autorizațiile de mediu, dacă este necesar, și care cuprinde toate cererile și </w:t>
      </w:r>
      <w:r w:rsidRPr="00046858">
        <w:rPr>
          <w:noProof/>
        </w:rPr>
        <w:lastRenderedPageBreak/>
        <w:t>procedurile, de la confirmarea faptului că respectiva cerere este completă până la notificarea deciziei exhaustive privind rezultatul procedurii;</w:t>
      </w:r>
    </w:p>
    <w:p w14:paraId="45AD6D05" w14:textId="0FA09F8B" w:rsidR="00E52175" w:rsidRPr="00046858" w:rsidRDefault="00E52175" w:rsidP="00F31CA4">
      <w:pPr>
        <w:pStyle w:val="Point0"/>
        <w:rPr>
          <w:noProof/>
        </w:rPr>
      </w:pPr>
      <w:r w:rsidRPr="00046858">
        <w:rPr>
          <w:noProof/>
        </w:rPr>
        <w:t>26.</w:t>
      </w:r>
      <w:r w:rsidRPr="00046858">
        <w:rPr>
          <w:noProof/>
        </w:rPr>
        <w:tab/>
        <w:t>„contract” înseamnă contracte de achiziții publice în sensul definiției de la articolul 2 alineatul (1) punctul 5 din Directiva 2014/24/UE, contracte de achiziții de produse, lucrări și servicii în sensul definiției de la articolul 2 punctul 1 din Directiva 2014/25/UE a Parlamentului European și a Consiliului [a se introduce nota de subsol] și contracte de concesiune în sensul definiției de la articolul 5 punctul 1 din Directiva 2014/23/UE a Parlamentului European și a Consiliului;</w:t>
      </w:r>
    </w:p>
    <w:p w14:paraId="293C43F7" w14:textId="46D77104" w:rsidR="00E52175" w:rsidRPr="00046858" w:rsidRDefault="00E52175" w:rsidP="00F31CA4">
      <w:pPr>
        <w:pStyle w:val="Point0"/>
        <w:rPr>
          <w:noProof/>
        </w:rPr>
      </w:pPr>
      <w:r w:rsidRPr="00046858">
        <w:rPr>
          <w:noProof/>
        </w:rPr>
        <w:t>27.</w:t>
      </w:r>
      <w:r w:rsidRPr="00046858">
        <w:rPr>
          <w:noProof/>
        </w:rPr>
        <w:tab/>
        <w:t>„autoritate contractantă” înseamnă o autoritate contractantă în sensul definiției de la articolul 6 din Directiva 2014/23/UE, de la articolul 2 alineatul (1) punctul 1 din Directiva 2014/24/UE și de la articolul 3 din Directiva 2014/25/UE;</w:t>
      </w:r>
    </w:p>
    <w:p w14:paraId="08082AD5" w14:textId="713E834E" w:rsidR="00E52175" w:rsidRPr="00046858" w:rsidRDefault="00E52175" w:rsidP="00F31CA4">
      <w:pPr>
        <w:pStyle w:val="Point0"/>
        <w:rPr>
          <w:noProof/>
        </w:rPr>
      </w:pPr>
      <w:r w:rsidRPr="00046858">
        <w:rPr>
          <w:noProof/>
        </w:rPr>
        <w:t>28.</w:t>
      </w:r>
      <w:r w:rsidRPr="00046858">
        <w:rPr>
          <w:noProof/>
        </w:rPr>
        <w:tab/>
        <w:t>„entitate contractantă” înseamnă o entitate contractantă în sensul definiției de la articolul 7 din Directiva 2014/23/UE și de la articolul 4 din Directiva 2014/25/UE;</w:t>
      </w:r>
    </w:p>
    <w:p w14:paraId="3C5FE786" w14:textId="3ADC3637" w:rsidR="00E52175" w:rsidRPr="00046858" w:rsidRDefault="00E52175" w:rsidP="00F31CA4">
      <w:pPr>
        <w:pStyle w:val="Point0"/>
        <w:rPr>
          <w:noProof/>
        </w:rPr>
      </w:pPr>
      <w:r w:rsidRPr="00046858">
        <w:rPr>
          <w:noProof/>
        </w:rPr>
        <w:t>29.</w:t>
      </w:r>
      <w:r w:rsidRPr="00046858">
        <w:rPr>
          <w:noProof/>
        </w:rPr>
        <w:tab/>
        <w:t>„mediu de prelucrare securizat” înseamnă mediul fizic sau virtual și mijloacele organizatorice necesare pentru a asigura conformitatea cu dreptul Uniunii, inclusiv Regulamentul (UE) 2016/679 al Parlamentului European și al Consiliului</w:t>
      </w:r>
      <w:r w:rsidRPr="00046858">
        <w:rPr>
          <w:rStyle w:val="FootnoteReference"/>
          <w:noProof/>
        </w:rPr>
        <w:footnoteReference w:id="68"/>
      </w:r>
      <w:r w:rsidRPr="00046858">
        <w:rPr>
          <w:noProof/>
        </w:rPr>
        <w:t>, în special cu privire la drepturile persoanelor vizate, normele antitrust, drepturile de proprietate intelectuală și confidențialitatea comercială și cea a datelor statistice, integritatea și accesibilitatea, precum și cu dreptul intern aplicabil și pentru a permite entității care furnizează mediul de prelucrare securizat să stabilească și să supravegheze toate acțiunile de prelucrare a datelor, inclusiv cele de afișare, stocare, descărcare și exportare a datelor și de calculare a datelor derivate cu ajutorul algoritmilor computaționali;</w:t>
      </w:r>
    </w:p>
    <w:p w14:paraId="4641D7B8" w14:textId="76E553B3" w:rsidR="00E52175" w:rsidRPr="00046858" w:rsidRDefault="00E52175" w:rsidP="00F31CA4">
      <w:pPr>
        <w:pStyle w:val="Point0"/>
        <w:rPr>
          <w:noProof/>
        </w:rPr>
      </w:pPr>
      <w:r w:rsidRPr="00046858">
        <w:rPr>
          <w:noProof/>
        </w:rPr>
        <w:t>30.</w:t>
      </w:r>
      <w:r w:rsidRPr="00046858">
        <w:rPr>
          <w:noProof/>
        </w:rPr>
        <w:tab/>
        <w:t>„reprezentant legal” înseamnă o persoană fizică sau juridică domiciliată sau stabilită în Uniune și desemnată să acționeze în numele platformei instituite în conformitate cu articolul 34 din prezentul regulament;</w:t>
      </w:r>
    </w:p>
    <w:p w14:paraId="66FD9817" w14:textId="0A989E50" w:rsidR="00F1750B" w:rsidRPr="00046858" w:rsidRDefault="009549D4" w:rsidP="009549D4">
      <w:pPr>
        <w:pStyle w:val="Point0"/>
        <w:rPr>
          <w:noProof/>
        </w:rPr>
      </w:pPr>
      <w:r w:rsidRPr="00046858">
        <w:rPr>
          <w:noProof/>
        </w:rPr>
        <w:t>31.</w:t>
      </w:r>
      <w:r w:rsidRPr="00046858">
        <w:rPr>
          <w:noProof/>
        </w:rPr>
        <w:tab/>
        <w:t>„întreprindere națională” înseamnă:</w:t>
      </w:r>
    </w:p>
    <w:p w14:paraId="29C099ED" w14:textId="77777777" w:rsidR="00604456" w:rsidRPr="00046858" w:rsidRDefault="00F1750B" w:rsidP="000006E4">
      <w:pPr>
        <w:pStyle w:val="Point1"/>
        <w:rPr>
          <w:noProof/>
        </w:rPr>
      </w:pPr>
      <w:r w:rsidRPr="00046858">
        <w:rPr>
          <w:noProof/>
        </w:rPr>
        <w:t>(a)</w:t>
      </w:r>
      <w:r w:rsidRPr="00046858">
        <w:rPr>
          <w:noProof/>
        </w:rPr>
        <w:tab/>
        <w:t>orice întreprindere din lanțul valoric al semiconductorilor care își are sediul în Uniune și se află în proprietatea și sub controlul unei întreprinderi din Uniune;</w:t>
      </w:r>
    </w:p>
    <w:p w14:paraId="5CDDDE54" w14:textId="77777777" w:rsidR="00043089" w:rsidRPr="00046858" w:rsidRDefault="00043089" w:rsidP="000006E4">
      <w:pPr>
        <w:pStyle w:val="Point1"/>
        <w:rPr>
          <w:noProof/>
        </w:rPr>
      </w:pPr>
      <w:r w:rsidRPr="00046858">
        <w:rPr>
          <w:noProof/>
        </w:rPr>
        <w:t>(b)</w:t>
      </w:r>
      <w:r w:rsidRPr="00046858">
        <w:rPr>
          <w:noProof/>
        </w:rPr>
        <w:tab/>
        <w:t>orice întreprindere din lanțul valoric al semiconductorilor care îndeplinește unul dintre următoarele criterii, indiferent dacă își are sediul în Uniune:</w:t>
      </w:r>
    </w:p>
    <w:p w14:paraId="46A7366D" w14:textId="6398D2D5" w:rsidR="00743CE5" w:rsidRPr="00046858" w:rsidRDefault="007A2776" w:rsidP="000006E4">
      <w:pPr>
        <w:pStyle w:val="Point1"/>
        <w:rPr>
          <w:noProof/>
        </w:rPr>
      </w:pPr>
      <w:r w:rsidRPr="00046858">
        <w:rPr>
          <w:noProof/>
        </w:rPr>
        <w:t>(c)</w:t>
      </w:r>
      <w:r w:rsidRPr="00046858">
        <w:rPr>
          <w:noProof/>
        </w:rPr>
        <w:tab/>
        <w:t>este deținută și controlată de o întreprindere din Uniune și își are sediul în afara Uniunii;</w:t>
      </w:r>
    </w:p>
    <w:p w14:paraId="17DFBB62" w14:textId="2CC5C7F4" w:rsidR="00743CE5" w:rsidRPr="00046858" w:rsidRDefault="00A15F34" w:rsidP="000006E4">
      <w:pPr>
        <w:pStyle w:val="Point1"/>
        <w:rPr>
          <w:noProof/>
        </w:rPr>
      </w:pPr>
      <w:r w:rsidRPr="00046858">
        <w:rPr>
          <w:noProof/>
        </w:rPr>
        <w:t>(d)</w:t>
      </w:r>
      <w:r w:rsidRPr="00046858">
        <w:rPr>
          <w:noProof/>
        </w:rPr>
        <w:tab/>
        <w:t>este deținută și controlată de o întreprindere stabilită într-o țară terță sau într-un teritoriu terț cu care Uniunea a încheiat un acord de instituire a unei zone de liber schimb, a unei uniuni vamale sau a unui parteneriat strategic privind semiconductorii încheiat în conformitate cu articolul 49;</w:t>
      </w:r>
    </w:p>
    <w:p w14:paraId="7D245286" w14:textId="38E185DF" w:rsidR="005E382E" w:rsidRPr="00046858" w:rsidRDefault="00EE1AB0" w:rsidP="000006E4">
      <w:pPr>
        <w:pStyle w:val="Point1"/>
        <w:rPr>
          <w:noProof/>
        </w:rPr>
      </w:pPr>
      <w:r w:rsidRPr="00046858">
        <w:rPr>
          <w:noProof/>
        </w:rPr>
        <w:t>(e)</w:t>
      </w:r>
      <w:r w:rsidRPr="00046858">
        <w:rPr>
          <w:noProof/>
        </w:rPr>
        <w:tab/>
        <w:t>este deținută și controlată de o întreprindere stabilită într-un stat semnatar al Acordului OMC privind achizițiile publice.</w:t>
      </w:r>
    </w:p>
    <w:p w14:paraId="757EDA29" w14:textId="1EA49EB8" w:rsidR="009549D4" w:rsidRPr="00046858" w:rsidRDefault="009549D4" w:rsidP="006D2A9B">
      <w:pPr>
        <w:pStyle w:val="Point0"/>
        <w:rPr>
          <w:noProof/>
        </w:rPr>
      </w:pPr>
      <w:r w:rsidRPr="00046858">
        <w:rPr>
          <w:noProof/>
        </w:rPr>
        <w:lastRenderedPageBreak/>
        <w:t>32.</w:t>
      </w:r>
      <w:r w:rsidRPr="00046858">
        <w:rPr>
          <w:noProof/>
        </w:rPr>
        <w:tab/>
        <w:t xml:space="preserve">„proprietate” înseamnă deținerea a 50 % sau mai mult din drepturile de proprietate asupra unei persoane juridice sau a unei entități ori a unui organism sau deținerea unei participații majoritare în acestea; </w:t>
      </w:r>
    </w:p>
    <w:p w14:paraId="1E843DEC" w14:textId="7861ACC3" w:rsidR="009549D4" w:rsidRPr="00046858" w:rsidRDefault="009549D4" w:rsidP="006D2A9B">
      <w:pPr>
        <w:pStyle w:val="Point0"/>
        <w:rPr>
          <w:noProof/>
        </w:rPr>
      </w:pPr>
      <w:r w:rsidRPr="00046858">
        <w:rPr>
          <w:noProof/>
        </w:rPr>
        <w:t>33.</w:t>
      </w:r>
      <w:r w:rsidRPr="00046858">
        <w:rPr>
          <w:noProof/>
        </w:rPr>
        <w:tab/>
        <w:t xml:space="preserve">„control” înseamnă controlul astfel cum este definit la articolul 2 punctul 6 din Regulamentul (UE) 2021/697; </w:t>
      </w:r>
    </w:p>
    <w:p w14:paraId="52485748" w14:textId="64E8CD6F" w:rsidR="009549D4" w:rsidRPr="00046858" w:rsidRDefault="009549D4" w:rsidP="006D2A9B">
      <w:pPr>
        <w:pStyle w:val="Point0"/>
        <w:rPr>
          <w:noProof/>
        </w:rPr>
      </w:pPr>
      <w:r w:rsidRPr="00046858">
        <w:rPr>
          <w:noProof/>
        </w:rPr>
        <w:t>34.</w:t>
      </w:r>
      <w:r w:rsidRPr="00046858">
        <w:rPr>
          <w:noProof/>
        </w:rPr>
        <w:tab/>
        <w:t>„întreprindere din Uniune” înseamnă o întreprindere înființată în temeiul legislației unui stat membru;</w:t>
      </w:r>
    </w:p>
    <w:p w14:paraId="3C49491C" w14:textId="68E10B1B" w:rsidR="00E52175" w:rsidRPr="00046858" w:rsidRDefault="00E52175" w:rsidP="006D2A9B">
      <w:pPr>
        <w:pStyle w:val="Point0"/>
        <w:rPr>
          <w:noProof/>
        </w:rPr>
      </w:pPr>
      <w:r w:rsidRPr="00046858">
        <w:rPr>
          <w:noProof/>
        </w:rPr>
        <w:t>35.</w:t>
      </w:r>
      <w:r w:rsidRPr="00046858">
        <w:rPr>
          <w:noProof/>
        </w:rPr>
        <w:tab/>
        <w:t>„parteneriat strategic privind semiconductorii” înseamnă un angajament între Uniune și o țară terță sau un teritoriu terț în vederea intensificării cooperării legate de lanțul valoric al semiconductorilor, care este stabilit printr-un instrument fără caracter juridic obligatoriu care prevede acțiuni concrete de interes reciproc;</w:t>
      </w:r>
    </w:p>
    <w:p w14:paraId="62869CD9" w14:textId="3E10383D" w:rsidR="00E52175" w:rsidRPr="00046858" w:rsidRDefault="00E52175" w:rsidP="006D2A9B">
      <w:pPr>
        <w:pStyle w:val="Point0"/>
        <w:rPr>
          <w:noProof/>
        </w:rPr>
      </w:pPr>
      <w:r w:rsidRPr="00046858">
        <w:rPr>
          <w:noProof/>
        </w:rPr>
        <w:t>36.</w:t>
      </w:r>
      <w:r w:rsidRPr="00046858">
        <w:rPr>
          <w:noProof/>
        </w:rPr>
        <w:tab/>
        <w:t>„proiect strategic” înseamnă un proiect care oferă valoare adăugată semnificativă Uniunii, contribuind în mod substanțial la obiective de interes comun pentru Uniune, are o dimensiune transfrontalieră clară, în special prin cooperare tehnică sau sprijin public care implică mai multe state membre, și contribuie la consolidarea caracterului indispensabil, a rezilienței și a prosperității lanțului valoric al semiconductorilor din Uniune, precum și a suveranității tehnologice și a poziției de lider tehnologic ale Uniunii prin facilitarea, promovarea sau asigurarea capacităților, a tehnologiilor sau a capabilităților critice în cadrul Uniunii, inclusiv prin reducerea dependențelor strategice.</w:t>
      </w:r>
    </w:p>
    <w:p w14:paraId="613C1D54" w14:textId="171B6AC8" w:rsidR="001F7930" w:rsidRPr="00046858" w:rsidRDefault="001F7930" w:rsidP="004A7A0C">
      <w:pPr>
        <w:pStyle w:val="Point0"/>
        <w:rPr>
          <w:noProof/>
        </w:rPr>
      </w:pPr>
      <w:r w:rsidRPr="00046858">
        <w:rPr>
          <w:noProof/>
        </w:rPr>
        <w:t>37.</w:t>
      </w:r>
      <w:r w:rsidRPr="00046858">
        <w:rPr>
          <w:noProof/>
        </w:rPr>
        <w:tab/>
        <w:t>„întreprindere comună pentru cipuri” înseamnă întreprinderea comună instituită prin Regulamentul (UE) 2021/2085 al Consiliului și, după caz, orice entitate sau inițiativă care îi succedă acesteia, instituită în conformitate cu dreptul Uniunii în temeiul unui cadru financiar multianual ulterior.</w:t>
      </w:r>
    </w:p>
    <w:p w14:paraId="5A3DF9F4" w14:textId="77777777" w:rsidR="00E52175" w:rsidRPr="00046858" w:rsidRDefault="00E52175" w:rsidP="00DC46F3">
      <w:pPr>
        <w:pStyle w:val="ChapterTitle"/>
        <w:rPr>
          <w:noProof/>
        </w:rPr>
      </w:pPr>
      <w:r w:rsidRPr="00046858">
        <w:rPr>
          <w:noProof/>
        </w:rPr>
        <w:t xml:space="preserve">Capitolul II </w:t>
      </w:r>
      <w:r w:rsidRPr="00046858">
        <w:rPr>
          <w:noProof/>
        </w:rPr>
        <w:cr/>
      </w:r>
      <w:r w:rsidRPr="00046858">
        <w:rPr>
          <w:noProof/>
        </w:rPr>
        <w:br/>
        <w:t xml:space="preserve"> </w:t>
      </w:r>
      <w:r w:rsidRPr="00046858">
        <w:rPr>
          <w:noProof/>
        </w:rPr>
        <w:cr/>
      </w:r>
      <w:r w:rsidRPr="00046858">
        <w:rPr>
          <w:noProof/>
        </w:rPr>
        <w:br/>
        <w:t>Inițiativa „Cipuri pentru Europa” 2.0</w:t>
      </w:r>
    </w:p>
    <w:p w14:paraId="16AAE8B3" w14:textId="77777777" w:rsidR="009B37F1" w:rsidRPr="00046858" w:rsidRDefault="000D42B3" w:rsidP="000D42B3">
      <w:pPr>
        <w:pStyle w:val="Titrearticle"/>
        <w:rPr>
          <w:noProof/>
        </w:rPr>
      </w:pPr>
      <w:r w:rsidRPr="00046858">
        <w:rPr>
          <w:noProof/>
        </w:rPr>
        <w:t xml:space="preserve">Articolul 3 </w:t>
      </w:r>
      <w:r w:rsidRPr="00046858">
        <w:rPr>
          <w:noProof/>
        </w:rPr>
        <w:cr/>
      </w:r>
      <w:r w:rsidRPr="00046858">
        <w:rPr>
          <w:noProof/>
        </w:rPr>
        <w:br/>
        <w:t>Inițiativa „Cipuri pentru Europa” 2.0</w:t>
      </w:r>
    </w:p>
    <w:p w14:paraId="35ADD373" w14:textId="18B459B2" w:rsidR="000D42B3" w:rsidRPr="00046858" w:rsidRDefault="000D42B3" w:rsidP="006164B0">
      <w:pPr>
        <w:pStyle w:val="ManualNumPar1"/>
        <w:rPr>
          <w:noProof/>
        </w:rPr>
      </w:pPr>
      <w:r w:rsidRPr="00046858">
        <w:rPr>
          <w:noProof/>
        </w:rPr>
        <w:t>(1)</w:t>
      </w:r>
      <w:r w:rsidRPr="00046858">
        <w:rPr>
          <w:noProof/>
        </w:rPr>
        <w:tab/>
        <w:t>Inițiativa „Cipuri pentru Europa” 2.0 este sprijinită pe durata cadrului financiar multianual 2021-2027, instituit prin Regulamentul (UE, Euratom) 2020/2093 al Consiliului</w:t>
      </w:r>
      <w:r w:rsidRPr="00046858">
        <w:rPr>
          <w:rStyle w:val="FootnoteReference"/>
          <w:noProof/>
        </w:rPr>
        <w:footnoteReference w:id="69"/>
      </w:r>
      <w:r w:rsidRPr="00046858">
        <w:rPr>
          <w:noProof/>
        </w:rPr>
        <w:t>.</w:t>
      </w:r>
    </w:p>
    <w:p w14:paraId="6895B3FF" w14:textId="07D84C26" w:rsidR="000D42B3" w:rsidRPr="00046858" w:rsidRDefault="000D42B3" w:rsidP="003A4FB5">
      <w:pPr>
        <w:pStyle w:val="ManualNumPar1"/>
        <w:rPr>
          <w:noProof/>
        </w:rPr>
      </w:pPr>
      <w:r w:rsidRPr="00046858">
        <w:rPr>
          <w:noProof/>
        </w:rPr>
        <w:t>(2)</w:t>
      </w:r>
      <w:r w:rsidRPr="00046858">
        <w:rPr>
          <w:noProof/>
        </w:rPr>
        <w:tab/>
        <w:t>Inițiativa „Cipuri pentru Europa” 2.0 este sprijinită prin finanțare din programul Orizont Europa și din programul „Europa digitală”, în conformitate cu Regulamentele (UE) 2021/694 și (UE) 2021/695, precum și prin finanțare națională și privată.</w:t>
      </w:r>
    </w:p>
    <w:p w14:paraId="522739F1" w14:textId="77777777" w:rsidR="000D42B3" w:rsidRPr="00046858" w:rsidRDefault="000D42B3" w:rsidP="000D42B3">
      <w:pPr>
        <w:pStyle w:val="Titrearticle"/>
        <w:rPr>
          <w:noProof/>
        </w:rPr>
      </w:pPr>
      <w:r w:rsidRPr="00046858">
        <w:rPr>
          <w:noProof/>
        </w:rPr>
        <w:lastRenderedPageBreak/>
        <w:t xml:space="preserve">Articolul 4 </w:t>
      </w:r>
      <w:r w:rsidRPr="00046858">
        <w:rPr>
          <w:noProof/>
        </w:rPr>
        <w:cr/>
      </w:r>
      <w:r w:rsidRPr="00046858">
        <w:rPr>
          <w:noProof/>
        </w:rPr>
        <w:br/>
        <w:t>Obiectivul inițiativei „Cipuri pentru Europa” 2.0</w:t>
      </w:r>
    </w:p>
    <w:p w14:paraId="45E6B981" w14:textId="3A963FC2" w:rsidR="00C6312B" w:rsidRPr="00046858" w:rsidRDefault="00C6312B" w:rsidP="003A4FB5">
      <w:pPr>
        <w:pStyle w:val="ManualNumPar1"/>
        <w:rPr>
          <w:noProof/>
        </w:rPr>
      </w:pPr>
      <w:r w:rsidRPr="00046858">
        <w:rPr>
          <w:noProof/>
        </w:rPr>
        <w:t>(3)</w:t>
      </w:r>
      <w:r w:rsidRPr="00046858">
        <w:rPr>
          <w:noProof/>
        </w:rPr>
        <w:tab/>
        <w:t>Obiectivul general al inițiativei „Cipuri pentru Europa” 2.0 este de a realiza consolidarea capacităților tehnologice la scară largă și de a sprijini activitățile conexe de cercetare și inovare în întregul lanț valoric al semiconductorilor din Uniune, pentru:</w:t>
      </w:r>
    </w:p>
    <w:p w14:paraId="3F67535E" w14:textId="77777777" w:rsidR="000D42B3" w:rsidRPr="00046858" w:rsidRDefault="00C6312B" w:rsidP="000006E4">
      <w:pPr>
        <w:pStyle w:val="Point1"/>
        <w:rPr>
          <w:noProof/>
        </w:rPr>
      </w:pPr>
      <w:r w:rsidRPr="00046858">
        <w:rPr>
          <w:noProof/>
        </w:rPr>
        <w:t>(a)</w:t>
      </w:r>
      <w:r w:rsidRPr="00046858">
        <w:rPr>
          <w:noProof/>
        </w:rPr>
        <w:tab/>
        <w:t>consolidarea suveranității tehnologice, a securității economice, a rezilienței, a prosperității, a caracterului indispensabil și a competitivității industriale ale Uniunii, prin asigurarea transferului și a adoptării industriale a tehnologiilor dezvoltate în cadrul inițiativei „Cipuri pentru Europa” 2.0;</w:t>
      </w:r>
    </w:p>
    <w:p w14:paraId="79F61E41" w14:textId="77777777" w:rsidR="00C6312B" w:rsidRPr="00046858" w:rsidRDefault="00C6312B" w:rsidP="006D2A9B">
      <w:pPr>
        <w:pStyle w:val="Point1"/>
        <w:rPr>
          <w:noProof/>
        </w:rPr>
      </w:pPr>
      <w:r w:rsidRPr="00046858">
        <w:rPr>
          <w:noProof/>
        </w:rPr>
        <w:t>(b)</w:t>
      </w:r>
      <w:r w:rsidRPr="00046858">
        <w:rPr>
          <w:noProof/>
        </w:rPr>
        <w:tab/>
        <w:t>stimularea cererii de semiconductori a Uniunii, inclusiv prin proceduri de achiziții publice care promovează, în conformitate cu dreptul Uniunii și cu obligațiile internaționale ale Uniunii, adoptarea și integrarea tehnologiilor, componentelor și sistemelor semiconductorilor proiectate, dezvoltate sau fabricate în Uniune;</w:t>
      </w:r>
    </w:p>
    <w:p w14:paraId="71F38D09" w14:textId="77777777" w:rsidR="00D4509C" w:rsidRPr="00046858" w:rsidRDefault="00C6312B" w:rsidP="006D2A9B">
      <w:pPr>
        <w:pStyle w:val="Point1"/>
        <w:rPr>
          <w:noProof/>
        </w:rPr>
      </w:pPr>
      <w:r w:rsidRPr="00046858">
        <w:rPr>
          <w:noProof/>
        </w:rPr>
        <w:t>(c)</w:t>
      </w:r>
      <w:r w:rsidRPr="00046858">
        <w:rPr>
          <w:noProof/>
        </w:rPr>
        <w:tab/>
        <w:t xml:space="preserve">facilitarea inovării, a dezvoltării și a implementării tehnologiilor de vârf ale semiconductorilor, inclusiv a fotonicii ca tehnologie transversală și generică, în special a celor esențiale pentru inteligența artificială (IA), inclusiv IA la marginea rețelei, și pentru sectoare-cheie de aplicare, cum ar fi sectorul sănătății, sectorul energiei, automatizarea industrială, robotica, transporturile, sectorul apărării, sistemele auto și aeronautice, precum și centrele de date și infrastructura de cloud; </w:t>
      </w:r>
    </w:p>
    <w:p w14:paraId="277681FD" w14:textId="790D0767" w:rsidR="00C6312B" w:rsidRPr="00046858" w:rsidRDefault="00D4509C" w:rsidP="006D2A9B">
      <w:pPr>
        <w:pStyle w:val="Point1"/>
        <w:rPr>
          <w:noProof/>
        </w:rPr>
      </w:pPr>
      <w:r w:rsidRPr="00046858">
        <w:rPr>
          <w:noProof/>
        </w:rPr>
        <w:t>(d)</w:t>
      </w:r>
      <w:r w:rsidRPr="00046858">
        <w:rPr>
          <w:noProof/>
        </w:rPr>
        <w:tab/>
        <w:t>asigurarea contribuției la realizarea tranziției verzi și a celei digitale, în special prin reducerea impactului sistemelor electronice asupra energiei, a mediului și a climei, îmbunătățirea durabilității cipurilor de generație următoare și consolidarea proceselor economiei circulare, precum și la locuri de muncă de calitate în ecosistemul semiconductorilor și pentru abordarea principiului securității de la stadiul conceperii, care prevede protecția împotriva amenințărilor la adresa securității cibernetice.</w:t>
      </w:r>
    </w:p>
    <w:p w14:paraId="08659A29" w14:textId="60C236A9" w:rsidR="00C6312B" w:rsidRPr="00046858" w:rsidRDefault="00C6312B" w:rsidP="003A4FB5">
      <w:pPr>
        <w:pStyle w:val="ManualNumPar1"/>
        <w:rPr>
          <w:noProof/>
        </w:rPr>
      </w:pPr>
      <w:r w:rsidRPr="00046858">
        <w:rPr>
          <w:noProof/>
        </w:rPr>
        <w:t>(4)</w:t>
      </w:r>
      <w:r w:rsidRPr="00046858">
        <w:rPr>
          <w:noProof/>
        </w:rPr>
        <w:tab/>
        <w:t>Inițiativa „Cipuri pentru Europa” 2.0 are următoarele șase obiective operaționale:</w:t>
      </w:r>
    </w:p>
    <w:p w14:paraId="3CD7C2CE" w14:textId="77777777" w:rsidR="00C6312B" w:rsidRPr="00046858" w:rsidRDefault="00654B1C" w:rsidP="000006E4">
      <w:pPr>
        <w:pStyle w:val="Point1"/>
        <w:rPr>
          <w:noProof/>
        </w:rPr>
      </w:pPr>
      <w:r w:rsidRPr="00046858">
        <w:rPr>
          <w:noProof/>
        </w:rPr>
        <w:t>(a)</w:t>
      </w:r>
      <w:r w:rsidRPr="00046858">
        <w:rPr>
          <w:noProof/>
        </w:rPr>
        <w:tab/>
        <w:t>obiectivul operațional nr. 1: sprijinirea capacităților avansate de proiectare pentru tehnologiile semiconductorilor;</w:t>
      </w:r>
    </w:p>
    <w:p w14:paraId="3C591D3F" w14:textId="77777777" w:rsidR="00C6312B" w:rsidRPr="00046858" w:rsidRDefault="00654B1C" w:rsidP="006D2A9B">
      <w:pPr>
        <w:pStyle w:val="Point1"/>
        <w:rPr>
          <w:noProof/>
        </w:rPr>
      </w:pPr>
      <w:r w:rsidRPr="00046858">
        <w:rPr>
          <w:noProof/>
        </w:rPr>
        <w:t>(b)</w:t>
      </w:r>
      <w:r w:rsidRPr="00046858">
        <w:rPr>
          <w:noProof/>
        </w:rPr>
        <w:tab/>
        <w:t>obiectivul operațional nr. 2: consolidarea liniilor-pilot avansate existente și dezvoltarea de noi linii-pilot avansate în întreaga Uniune pentru a permite dezvoltarea și implementarea industrială a tehnologiilor de vârf și de generație următoare ale semiconductorilor, precum și a bancurilor de testare pilot pentru a valida și a demonstra integrarea și utilizarea acestor tehnologii în aplicațiile-cheie și în industriile utilizatoare;</w:t>
      </w:r>
    </w:p>
    <w:p w14:paraId="41C3CD82" w14:textId="77777777" w:rsidR="00C6312B" w:rsidRPr="00046858" w:rsidRDefault="00654B1C" w:rsidP="006D2A9B">
      <w:pPr>
        <w:pStyle w:val="Point1"/>
        <w:rPr>
          <w:noProof/>
        </w:rPr>
      </w:pPr>
      <w:r w:rsidRPr="00046858">
        <w:rPr>
          <w:noProof/>
        </w:rPr>
        <w:t>(c)</w:t>
      </w:r>
      <w:r w:rsidRPr="00046858">
        <w:rPr>
          <w:noProof/>
        </w:rPr>
        <w:tab/>
        <w:t>obiectivul operațional nr. 3: dezvoltarea de capacități tehnologice și de inginerie avansate pentru accelerarea dezvoltării inovatoare a cipurilor cuantice de vârf și a tehnologiilor semiconductorilor conexe;</w:t>
      </w:r>
    </w:p>
    <w:p w14:paraId="0FAFC2FB" w14:textId="77777777" w:rsidR="00C6312B" w:rsidRPr="00046858" w:rsidRDefault="00654B1C" w:rsidP="006D2A9B">
      <w:pPr>
        <w:pStyle w:val="Point1"/>
        <w:rPr>
          <w:noProof/>
        </w:rPr>
      </w:pPr>
      <w:r w:rsidRPr="00046858">
        <w:rPr>
          <w:noProof/>
        </w:rPr>
        <w:t>(d)</w:t>
      </w:r>
      <w:r w:rsidRPr="00046858">
        <w:rPr>
          <w:noProof/>
        </w:rPr>
        <w:tab/>
        <w:t>obiectivul operațional nr. 4: sprijinirea unei rețele a centrelor de competență în întreaga Uniune prin consolidarea instalațiilor existente sau prin crearea de instalații noi;</w:t>
      </w:r>
    </w:p>
    <w:p w14:paraId="64D7C6FC" w14:textId="77777777" w:rsidR="00C6312B" w:rsidRPr="00046858" w:rsidRDefault="00654B1C" w:rsidP="006D2A9B">
      <w:pPr>
        <w:pStyle w:val="Point1"/>
        <w:rPr>
          <w:noProof/>
        </w:rPr>
      </w:pPr>
      <w:r w:rsidRPr="00046858">
        <w:rPr>
          <w:noProof/>
        </w:rPr>
        <w:lastRenderedPageBreak/>
        <w:t>(e)</w:t>
      </w:r>
      <w:r w:rsidRPr="00046858">
        <w:rPr>
          <w:noProof/>
        </w:rPr>
        <w:tab/>
        <w:t>obiectivul operațional nr. 5: dezvoltarea și consolidarea capacităților avansate de proiectare, de creare de prototipuri și de implementare industrială pentru tehnologiile circuitelor integrate fotonice și alte tehnologii fotonice în întreaga Uniune;</w:t>
      </w:r>
    </w:p>
    <w:p w14:paraId="44F9AD67" w14:textId="77777777" w:rsidR="00C6312B" w:rsidRPr="00046858" w:rsidRDefault="00654B1C" w:rsidP="006D2A9B">
      <w:pPr>
        <w:pStyle w:val="Point1"/>
        <w:rPr>
          <w:noProof/>
        </w:rPr>
      </w:pPr>
      <w:r w:rsidRPr="00046858">
        <w:rPr>
          <w:noProof/>
        </w:rPr>
        <w:t>(f)</w:t>
      </w:r>
      <w:r w:rsidRPr="00046858">
        <w:rPr>
          <w:noProof/>
        </w:rPr>
        <w:tab/>
        <w:t>obiectivul operațional nr. 6: desfășurarea de activități, descrise colectiv drept activități ale „Fondului pentru cipuri”, pentru a facilita accesul la finanțare, inclusiv prin oferirea de orientări clare, în special pentru start-upuri, întreprinderi în curs de extindere, IMM-uri și întreprinderi mici cu capitalizare medie din lanțul valoric al semiconductorilor, prin intermediul unor instrumente financiare și al unor mecanisme de sprijin pentru investiții care sprijină finanțarea prin capitaluri proprii, finanțarea prin împrumuturi sau finanțarea mixtă în cadrul instrumentului Accelerator al Consiliului European pentru Inovare, al Fondului InvestEU și, după caz, al altor instrumente ale Uniunii și, dacă este cazul, al instrumentelor care le vor succeda în temeiul cadrului financiar multianual 2028-2034.</w:t>
      </w:r>
    </w:p>
    <w:p w14:paraId="397E2BEC" w14:textId="6768DCF5" w:rsidR="00AF7BEB" w:rsidRPr="00046858" w:rsidRDefault="00AF7BEB" w:rsidP="003A4FB5">
      <w:pPr>
        <w:pStyle w:val="ManualNumPar1"/>
        <w:rPr>
          <w:noProof/>
        </w:rPr>
      </w:pPr>
      <w:r w:rsidRPr="00046858">
        <w:rPr>
          <w:noProof/>
        </w:rPr>
        <w:t>(5)</w:t>
      </w:r>
      <w:r w:rsidRPr="00046858">
        <w:rPr>
          <w:noProof/>
        </w:rPr>
        <w:tab/>
        <w:t>Inițiativa „Cipuri pentru Europa” 2.0 sprijină inițiativele transsectoriale la scară largă care abordează provocări tehnologice și industriale majore de importanță strategică pentru Uniune („mari provocări”).</w:t>
      </w:r>
    </w:p>
    <w:p w14:paraId="3867DEF7" w14:textId="5C4E2106" w:rsidR="00C6312B" w:rsidRPr="00046858" w:rsidRDefault="008A7ECA" w:rsidP="003A4FB5">
      <w:pPr>
        <w:pStyle w:val="ManualNumPar1"/>
        <w:rPr>
          <w:noProof/>
        </w:rPr>
      </w:pPr>
      <w:r w:rsidRPr="00046858">
        <w:rPr>
          <w:noProof/>
        </w:rPr>
        <w:t>(6)</w:t>
      </w:r>
      <w:r w:rsidRPr="00046858">
        <w:rPr>
          <w:noProof/>
        </w:rPr>
        <w:tab/>
        <w:t>Obiectivele operaționale ale inițiativei „Cipuri pentru Europa” 2.0 pot include activități de consolidare a capacităților și activități conexe de cercetare și inovare. În temeiul cadrului financiar multianual 2021-2027, toate activitățile de consolidare a capacităților se finanțează prin programul „Europa digitală”, iar activitățile conexe de cercetare și inovare se finanțează prin Orizont Europa.</w:t>
      </w:r>
    </w:p>
    <w:p w14:paraId="03E18898" w14:textId="77777777" w:rsidR="00C6312B" w:rsidRPr="00046858" w:rsidRDefault="00C6312B" w:rsidP="00C6312B">
      <w:pPr>
        <w:pStyle w:val="Titrearticle"/>
        <w:rPr>
          <w:noProof/>
        </w:rPr>
      </w:pPr>
      <w:bookmarkStart w:id="3" w:name="_Hlk228801623"/>
      <w:r w:rsidRPr="00046858">
        <w:rPr>
          <w:noProof/>
        </w:rPr>
        <w:t xml:space="preserve">Articolul 5 </w:t>
      </w:r>
      <w:r w:rsidRPr="00046858">
        <w:rPr>
          <w:noProof/>
        </w:rPr>
        <w:cr/>
      </w:r>
      <w:r w:rsidRPr="00046858">
        <w:rPr>
          <w:noProof/>
        </w:rPr>
        <w:br/>
        <w:t>Obiectivele operaționale ale inițiativei „Cipuri pentru Europa” 2.0</w:t>
      </w:r>
    </w:p>
    <w:p w14:paraId="7E41E10B" w14:textId="77777777" w:rsidR="00C6312B" w:rsidRPr="00046858" w:rsidRDefault="00C6312B" w:rsidP="00C6312B">
      <w:pPr>
        <w:rPr>
          <w:noProof/>
        </w:rPr>
      </w:pPr>
      <w:bookmarkStart w:id="4" w:name="_Hlk228801598"/>
      <w:bookmarkEnd w:id="3"/>
      <w:r w:rsidRPr="00046858">
        <w:rPr>
          <w:noProof/>
        </w:rPr>
        <w:t>Inițiativa „Cipuri pentru Europa” 2.0:</w:t>
      </w:r>
    </w:p>
    <w:p w14:paraId="40635B2E" w14:textId="77777777" w:rsidR="00C6312B" w:rsidRPr="00046858" w:rsidRDefault="00C6312B" w:rsidP="000006E4">
      <w:pPr>
        <w:pStyle w:val="Point1"/>
        <w:rPr>
          <w:noProof/>
        </w:rPr>
      </w:pPr>
      <w:r w:rsidRPr="00046858">
        <w:rPr>
          <w:noProof/>
        </w:rPr>
        <w:t>(a)</w:t>
      </w:r>
      <w:r w:rsidRPr="00046858">
        <w:rPr>
          <w:noProof/>
        </w:rPr>
        <w:tab/>
        <w:t>în cadrul obiectivului său operațional nr. 1:</w:t>
      </w:r>
    </w:p>
    <w:p w14:paraId="3EADDB0A" w14:textId="77777777" w:rsidR="00C6312B" w:rsidRPr="00046858" w:rsidRDefault="002B03D7" w:rsidP="002B03D7">
      <w:pPr>
        <w:pStyle w:val="Point2"/>
        <w:rPr>
          <w:noProof/>
        </w:rPr>
      </w:pPr>
      <w:r w:rsidRPr="00046858">
        <w:rPr>
          <w:noProof/>
        </w:rPr>
        <w:t>(i)</w:t>
      </w:r>
      <w:r w:rsidRPr="00046858">
        <w:rPr>
          <w:noProof/>
        </w:rPr>
        <w:tab/>
        <w:t>menține și extinde o platformă de proiectare virtuală, disponibilă în întreaga Uniune, care integrează o gamă largă de active, instrumente și servicii de proiectare noi și existente, facilitând accesul, în special pentru mediul academic, start-upuri, întreprinderile în curs de extindere și IMM-uri, cu scopul de a consolida creșterea și extinderea întreprinderilor fabless în Uniune;</w:t>
      </w:r>
    </w:p>
    <w:p w14:paraId="2EB8D49E" w14:textId="77777777" w:rsidR="00C6312B" w:rsidRPr="00046858" w:rsidRDefault="002B03D7" w:rsidP="002B03D7">
      <w:pPr>
        <w:pStyle w:val="Point2"/>
        <w:rPr>
          <w:noProof/>
        </w:rPr>
      </w:pPr>
      <w:r w:rsidRPr="00046858">
        <w:rPr>
          <w:noProof/>
        </w:rPr>
        <w:t>(ii)</w:t>
      </w:r>
      <w:r w:rsidRPr="00046858">
        <w:rPr>
          <w:noProof/>
        </w:rPr>
        <w:tab/>
        <w:t>extinde capabilitățile de proiectare ale Uniunii, inclusiv în domeniul fotonicii și al tehnologiilor cuantice, prin promovarea evoluțiilor inovatoare în ceea ce privește proiectarea și arhitecturile avansate ale cipurilor și, în acest scop, sprijină proiecte strategice ambițioase de proiectare de mare relevanță pentru autonomia strategică și competitivitatea Uniunii;</w:t>
      </w:r>
    </w:p>
    <w:bookmarkEnd w:id="4"/>
    <w:p w14:paraId="03C17DE7" w14:textId="77777777" w:rsidR="00C6312B" w:rsidRPr="00046858" w:rsidRDefault="00C6312B" w:rsidP="006D2A9B">
      <w:pPr>
        <w:pStyle w:val="Point1"/>
        <w:rPr>
          <w:noProof/>
        </w:rPr>
      </w:pPr>
      <w:r w:rsidRPr="00046858">
        <w:rPr>
          <w:noProof/>
        </w:rPr>
        <w:t>(b)</w:t>
      </w:r>
      <w:r w:rsidRPr="00046858">
        <w:rPr>
          <w:noProof/>
        </w:rPr>
        <w:tab/>
        <w:t>în cadrul obiectivului său operațional nr. 2:</w:t>
      </w:r>
    </w:p>
    <w:p w14:paraId="3107CBDA" w14:textId="77777777" w:rsidR="00C6312B" w:rsidRPr="00046858" w:rsidRDefault="002B03D7" w:rsidP="002B03D7">
      <w:pPr>
        <w:pStyle w:val="Point2"/>
        <w:rPr>
          <w:noProof/>
        </w:rPr>
      </w:pPr>
      <w:r w:rsidRPr="00046858">
        <w:rPr>
          <w:noProof/>
        </w:rPr>
        <w:t>(i)</w:t>
      </w:r>
      <w:r w:rsidRPr="00046858">
        <w:rPr>
          <w:noProof/>
        </w:rPr>
        <w:tab/>
        <w:t xml:space="preserve">consolidează capabilitățile de la nivelul echipamentelor de fabricare a semiconductorilor și al tehnologiilor de producție a cipurilor de generație următoare, prin integrarea activităților de cercetare și inovare și prin </w:t>
      </w:r>
      <w:r w:rsidRPr="00046858">
        <w:rPr>
          <w:noProof/>
        </w:rPr>
        <w:lastRenderedPageBreak/>
        <w:t>pregătirea dezvoltării viitoarelor noduri tehnologice și procese de fabricare a semiconductorilor;</w:t>
      </w:r>
    </w:p>
    <w:p w14:paraId="1324483C" w14:textId="77777777" w:rsidR="00C6312B" w:rsidRPr="00046858" w:rsidRDefault="002B03D7" w:rsidP="002B03D7">
      <w:pPr>
        <w:pStyle w:val="Point2"/>
        <w:rPr>
          <w:noProof/>
        </w:rPr>
      </w:pPr>
      <w:r w:rsidRPr="00046858">
        <w:rPr>
          <w:noProof/>
        </w:rPr>
        <w:t>(ii)</w:t>
      </w:r>
      <w:r w:rsidRPr="00046858">
        <w:rPr>
          <w:noProof/>
        </w:rPr>
        <w:tab/>
        <w:t>sprijină inovarea la scară largă prin accesul la linii-pilot noi sau existente pentru experimentarea, testarea, controlul proceselor, caracterizarea finală a dispozitivelor, precum și testarea și validarea noilor tehnologii și concepte de proiectare care integrează funcționalități esențiale;</w:t>
      </w:r>
    </w:p>
    <w:p w14:paraId="71F3D7B2" w14:textId="77777777" w:rsidR="000403CB" w:rsidRPr="00046858" w:rsidRDefault="002B03D7" w:rsidP="002B03D7">
      <w:pPr>
        <w:pStyle w:val="Point2"/>
        <w:rPr>
          <w:noProof/>
        </w:rPr>
      </w:pPr>
      <w:r w:rsidRPr="00046858">
        <w:rPr>
          <w:noProof/>
        </w:rPr>
        <w:t>(iii)</w:t>
      </w:r>
      <w:r w:rsidRPr="00046858">
        <w:rPr>
          <w:noProof/>
        </w:rPr>
        <w:tab/>
        <w:t>sprijină inovarea prin accesul la bancuri de testare pilot noi sau extinse, în care diferite tehnologii sau produse inovatoare sunt combinate și integrate pentru dezvoltarea și validarea de noi dispozitive în aplicații și industrii utilizatoare esențiale înainte de implementarea deplină la scară industrială, pentru a identifica riscurile, a valida performanța și a asigura fezabilitatea în condiții reale;</w:t>
      </w:r>
    </w:p>
    <w:p w14:paraId="32A6C6D2" w14:textId="77777777" w:rsidR="00C6312B" w:rsidRPr="00046858" w:rsidRDefault="002B03D7" w:rsidP="002B03D7">
      <w:pPr>
        <w:pStyle w:val="Point2"/>
        <w:rPr>
          <w:noProof/>
        </w:rPr>
      </w:pPr>
      <w:r w:rsidRPr="00046858">
        <w:rPr>
          <w:noProof/>
        </w:rPr>
        <w:t>(iv)</w:t>
      </w:r>
      <w:r w:rsidRPr="00046858">
        <w:rPr>
          <w:noProof/>
        </w:rPr>
        <w:tab/>
        <w:t>acordă sprijin inițiativelor europene în domeniul tehnologiilor semiconductorilor prin accesul preferențial la liniile-pilot noi sau existente și asigură accesul în condiții echitabile la liniile-pilot și bancurile de testare pilot noi pentru o gamă largă de utilizatori ai ecosistemului semiconductorilor din Uniune;</w:t>
      </w:r>
    </w:p>
    <w:p w14:paraId="43262335" w14:textId="77777777" w:rsidR="00793715" w:rsidRPr="00046858" w:rsidRDefault="002B03D7" w:rsidP="002B03D7">
      <w:pPr>
        <w:pStyle w:val="Point2"/>
        <w:rPr>
          <w:noProof/>
        </w:rPr>
      </w:pPr>
      <w:r w:rsidRPr="00046858">
        <w:rPr>
          <w:noProof/>
        </w:rPr>
        <w:t>(v)</w:t>
      </w:r>
      <w:r w:rsidRPr="00046858">
        <w:rPr>
          <w:noProof/>
        </w:rPr>
        <w:tab/>
        <w:t>asigură pregătirea pentru transferul și adoptarea industrială a tehnologiilor dezvoltate în cadrul acestui obiectiv operațional;</w:t>
      </w:r>
    </w:p>
    <w:p w14:paraId="29217595" w14:textId="77777777" w:rsidR="00C6312B" w:rsidRPr="00046858" w:rsidRDefault="00686147" w:rsidP="006D2A9B">
      <w:pPr>
        <w:pStyle w:val="Point1"/>
        <w:rPr>
          <w:noProof/>
        </w:rPr>
      </w:pPr>
      <w:r w:rsidRPr="00046858">
        <w:rPr>
          <w:noProof/>
        </w:rPr>
        <w:t>(c)</w:t>
      </w:r>
      <w:r w:rsidRPr="00046858">
        <w:rPr>
          <w:noProof/>
        </w:rPr>
        <w:tab/>
        <w:t>în cadrul obiectivului său operațional nr. 3:</w:t>
      </w:r>
    </w:p>
    <w:p w14:paraId="03A899FE" w14:textId="77777777" w:rsidR="00C6312B" w:rsidRPr="00046858" w:rsidRDefault="002B03D7" w:rsidP="002B03D7">
      <w:pPr>
        <w:pStyle w:val="Point2"/>
        <w:rPr>
          <w:noProof/>
        </w:rPr>
      </w:pPr>
      <w:r w:rsidRPr="00046858">
        <w:rPr>
          <w:noProof/>
        </w:rPr>
        <w:t>(i)</w:t>
      </w:r>
      <w:r w:rsidRPr="00046858">
        <w:rPr>
          <w:noProof/>
        </w:rPr>
        <w:tab/>
        <w:t>sprijină dezvoltarea de linii-pilot, camere curate și turnătorii noi sau existente pentru crearea de prototipuri și producerea de cipuri cuantice pentru integrarea circuitelor cuantice și a componentelor electronice de control;</w:t>
      </w:r>
    </w:p>
    <w:p w14:paraId="762855F9" w14:textId="77777777" w:rsidR="00C6312B" w:rsidRPr="00046858" w:rsidRDefault="002B03D7" w:rsidP="002B03D7">
      <w:pPr>
        <w:pStyle w:val="Point2"/>
        <w:rPr>
          <w:noProof/>
        </w:rPr>
      </w:pPr>
      <w:r w:rsidRPr="00046858">
        <w:rPr>
          <w:noProof/>
        </w:rPr>
        <w:t>(ii)</w:t>
      </w:r>
      <w:r w:rsidRPr="00046858">
        <w:rPr>
          <w:noProof/>
        </w:rPr>
        <w:tab/>
        <w:t>dezvoltă instalații pentru testarea și validarea cipurilor cuantice avansate produse de liniile-pilot, cu scopul de a închide circuitul informațional bazat pe feedback în materie de inovare dintre proiectanți, producători și utilizatorii de componente cuantice;</w:t>
      </w:r>
    </w:p>
    <w:p w14:paraId="04773436" w14:textId="77777777" w:rsidR="00F1599A" w:rsidRPr="00046858" w:rsidRDefault="002B03D7" w:rsidP="002B03D7">
      <w:pPr>
        <w:pStyle w:val="Point2"/>
        <w:rPr>
          <w:noProof/>
        </w:rPr>
      </w:pPr>
      <w:r w:rsidRPr="00046858">
        <w:rPr>
          <w:noProof/>
        </w:rPr>
        <w:t>(iii)</w:t>
      </w:r>
      <w:r w:rsidRPr="00046858">
        <w:rPr>
          <w:noProof/>
        </w:rPr>
        <w:tab/>
        <w:t xml:space="preserve">dezvoltă biblioteci inovatoare de proiectare pentru cipurile cuantice, în strânsă legătură cu obiectivul operațional nr. 1; </w:t>
      </w:r>
    </w:p>
    <w:p w14:paraId="6C1AADBE" w14:textId="77777777" w:rsidR="00C6312B" w:rsidRPr="00046858" w:rsidRDefault="00C6312B" w:rsidP="006D2A9B">
      <w:pPr>
        <w:pStyle w:val="Point1"/>
        <w:rPr>
          <w:noProof/>
        </w:rPr>
      </w:pPr>
      <w:r w:rsidRPr="00046858">
        <w:rPr>
          <w:noProof/>
        </w:rPr>
        <w:t>(d)</w:t>
      </w:r>
      <w:r w:rsidRPr="00046858">
        <w:rPr>
          <w:noProof/>
        </w:rPr>
        <w:tab/>
        <w:t>în cadrul obiectivului său operațional nr. 4:</w:t>
      </w:r>
    </w:p>
    <w:p w14:paraId="56883FB8" w14:textId="77777777" w:rsidR="00C6312B" w:rsidRPr="00046858" w:rsidRDefault="002B03D7" w:rsidP="002B03D7">
      <w:pPr>
        <w:pStyle w:val="Point2"/>
        <w:rPr>
          <w:noProof/>
        </w:rPr>
      </w:pPr>
      <w:r w:rsidRPr="00046858">
        <w:rPr>
          <w:noProof/>
        </w:rPr>
        <w:t>(i)</w:t>
      </w:r>
      <w:r w:rsidRPr="00046858">
        <w:rPr>
          <w:noProof/>
        </w:rPr>
        <w:tab/>
        <w:t>consolidează capacitățile și oferă o gamă largă de competențe specifice părților interesate, inclusiv start-upurilor, întreprinderilor în curs de extindere și IMM-urilor care sunt utilizatori finali, și facilitează accesul la capacitățile și instalațiile menționate la prezentul articol și utilizarea eficace a acestora;</w:t>
      </w:r>
    </w:p>
    <w:p w14:paraId="44014CB0" w14:textId="77777777" w:rsidR="00C6312B" w:rsidRPr="00046858" w:rsidRDefault="002B03D7" w:rsidP="002B03D7">
      <w:pPr>
        <w:pStyle w:val="Point2"/>
        <w:rPr>
          <w:noProof/>
        </w:rPr>
      </w:pPr>
      <w:r w:rsidRPr="00046858">
        <w:rPr>
          <w:noProof/>
        </w:rPr>
        <w:t>(ii)</w:t>
      </w:r>
      <w:r w:rsidRPr="00046858">
        <w:rPr>
          <w:noProof/>
        </w:rPr>
        <w:tab/>
        <w:t>remediază deficitul și neconcordanța de cunoștințe și de competențe prin atragerea, mobilizarea și reținerea de noi talente în domeniul cercetării, al proiectării și al producției, inclusiv prin recalificarea și perfecționarea lucrătorilor;</w:t>
      </w:r>
    </w:p>
    <w:p w14:paraId="00E7C36C" w14:textId="77777777" w:rsidR="00C6312B" w:rsidRPr="00046858" w:rsidRDefault="00C6312B" w:rsidP="006D2A9B">
      <w:pPr>
        <w:pStyle w:val="Point1"/>
        <w:rPr>
          <w:noProof/>
        </w:rPr>
      </w:pPr>
      <w:r w:rsidRPr="00046858">
        <w:rPr>
          <w:noProof/>
        </w:rPr>
        <w:t>(e)</w:t>
      </w:r>
      <w:r w:rsidRPr="00046858">
        <w:rPr>
          <w:noProof/>
        </w:rPr>
        <w:tab/>
        <w:t>în cadrul obiectivului său operațional nr. 5:</w:t>
      </w:r>
    </w:p>
    <w:p w14:paraId="5640C4A6" w14:textId="77777777" w:rsidR="00C6312B" w:rsidRPr="00046858" w:rsidRDefault="002B03D7" w:rsidP="002B03D7">
      <w:pPr>
        <w:pStyle w:val="Point2"/>
        <w:rPr>
          <w:noProof/>
        </w:rPr>
      </w:pPr>
      <w:r w:rsidRPr="00046858">
        <w:rPr>
          <w:noProof/>
        </w:rPr>
        <w:t>(i)</w:t>
      </w:r>
      <w:r w:rsidRPr="00046858">
        <w:rPr>
          <w:noProof/>
        </w:rPr>
        <w:tab/>
        <w:t>consolidează capabilitățile în ceea ce privește tehnologiile de producție, echipamentele de fabricare a semiconductorilor și platformele de materiale pentru circuitele integrate fotonice prin integrarea activităților de cercetare și inovare;</w:t>
      </w:r>
    </w:p>
    <w:p w14:paraId="0DC4F9E9" w14:textId="77777777" w:rsidR="00C6312B" w:rsidRPr="00046858" w:rsidRDefault="002B03D7" w:rsidP="002B03D7">
      <w:pPr>
        <w:pStyle w:val="Point2"/>
        <w:rPr>
          <w:noProof/>
        </w:rPr>
      </w:pPr>
      <w:r w:rsidRPr="00046858">
        <w:rPr>
          <w:noProof/>
        </w:rPr>
        <w:lastRenderedPageBreak/>
        <w:t>(ii)</w:t>
      </w:r>
      <w:r w:rsidRPr="00046858">
        <w:rPr>
          <w:noProof/>
        </w:rPr>
        <w:tab/>
        <w:t>consolidează liniile-pilot existente și dezvoltă noi linii-pilot și instalații de fabricare a semiconductorilor cu acces liber pentru crearea de prototipuri și producția de circuite integrate fotonice și de tehnologii fotonice asociate;</w:t>
      </w:r>
    </w:p>
    <w:p w14:paraId="58B42A46" w14:textId="77777777" w:rsidR="00F715A6" w:rsidRPr="00046858" w:rsidRDefault="002B03D7" w:rsidP="002B03D7">
      <w:pPr>
        <w:pStyle w:val="Point2"/>
        <w:rPr>
          <w:noProof/>
        </w:rPr>
      </w:pPr>
      <w:r w:rsidRPr="00046858">
        <w:rPr>
          <w:noProof/>
        </w:rPr>
        <w:t>(iii)</w:t>
      </w:r>
      <w:r w:rsidRPr="00046858">
        <w:rPr>
          <w:noProof/>
        </w:rPr>
        <w:tab/>
        <w:t>dezvoltă și întreține biblioteci de proiectare și instrumente de automatizare a proiectării pentru circuite integrate fotonice, tehnologii fotonice asociate și metode de integrare a acestora în module disponibile în condiții deschise și nediscriminatorii în întreaga Uniune;</w:t>
      </w:r>
    </w:p>
    <w:p w14:paraId="12C695FA" w14:textId="77777777" w:rsidR="00C6312B" w:rsidRPr="00046858" w:rsidRDefault="002B03D7" w:rsidP="002B03D7">
      <w:pPr>
        <w:pStyle w:val="Point2"/>
        <w:rPr>
          <w:noProof/>
        </w:rPr>
      </w:pPr>
      <w:r w:rsidRPr="00046858">
        <w:rPr>
          <w:noProof/>
        </w:rPr>
        <w:t>(iv)</w:t>
      </w:r>
      <w:r w:rsidRPr="00046858">
        <w:rPr>
          <w:noProof/>
        </w:rPr>
        <w:tab/>
        <w:t>asigură pregătirea pentru transferul și adoptarea industrială a tehnologiilor dezvoltate în cadrul acestui obiectiv operațional;</w:t>
      </w:r>
    </w:p>
    <w:p w14:paraId="6774436D" w14:textId="77777777" w:rsidR="00C6312B" w:rsidRPr="00046858" w:rsidRDefault="00C6312B" w:rsidP="006D2A9B">
      <w:pPr>
        <w:pStyle w:val="Point1"/>
        <w:rPr>
          <w:noProof/>
        </w:rPr>
      </w:pPr>
      <w:r w:rsidRPr="00046858">
        <w:rPr>
          <w:noProof/>
        </w:rPr>
        <w:t>(f)</w:t>
      </w:r>
      <w:r w:rsidRPr="00046858">
        <w:rPr>
          <w:noProof/>
        </w:rPr>
        <w:tab/>
        <w:t>în cadrul obiectivului său operațional nr. 6:</w:t>
      </w:r>
    </w:p>
    <w:p w14:paraId="724BA1DC" w14:textId="77777777" w:rsidR="009B37F1" w:rsidRPr="00046858" w:rsidRDefault="002B03D7" w:rsidP="002B03D7">
      <w:pPr>
        <w:pStyle w:val="Point2"/>
        <w:rPr>
          <w:noProof/>
        </w:rPr>
      </w:pPr>
      <w:r w:rsidRPr="00046858">
        <w:rPr>
          <w:noProof/>
        </w:rPr>
        <w:t>(i)</w:t>
      </w:r>
      <w:r w:rsidRPr="00046858">
        <w:rPr>
          <w:noProof/>
        </w:rPr>
        <w:tab/>
        <w:t>oferă sprijin start-upurilor și întreprinderilor în curs de extindere din lanțul valoric al semiconductorilor în ceea ce privește accesul la finanțare în toate etapele de creștere, cu un accent deosebit pe reducerea deficitului de finanțare care le împiedică să atingă scara necesară pentru a concura la nivel mondial;</w:t>
      </w:r>
    </w:p>
    <w:p w14:paraId="5A8D5906" w14:textId="77777777" w:rsidR="00C6312B" w:rsidRPr="00046858" w:rsidRDefault="002B03D7" w:rsidP="002B03D7">
      <w:pPr>
        <w:pStyle w:val="Point2"/>
        <w:rPr>
          <w:noProof/>
        </w:rPr>
      </w:pPr>
      <w:r w:rsidRPr="00046858">
        <w:rPr>
          <w:noProof/>
        </w:rPr>
        <w:t>(ii)</w:t>
      </w:r>
      <w:r w:rsidRPr="00046858">
        <w:rPr>
          <w:noProof/>
        </w:rPr>
        <w:tab/>
        <w:t>accelerează și îmbunătățește accesibilitatea investițiilor în lanțul valoric al semiconductorilor,</w:t>
      </w:r>
      <w:r w:rsidRPr="00046858">
        <w:rPr>
          <w:rFonts w:ascii="Arial" w:hAnsi="Arial"/>
          <w:i/>
          <w:noProof/>
          <w:color w:val="111827"/>
          <w:sz w:val="21"/>
        </w:rPr>
        <w:t xml:space="preserve"> </w:t>
      </w:r>
      <w:r w:rsidRPr="00046858">
        <w:rPr>
          <w:noProof/>
        </w:rPr>
        <w:t xml:space="preserve">în special prin mobilizarea capitalului de risc și a capitalului de creștere, și mobilizează finanțare atât din sectorul public, cât și din cel privat, sporind în același timp </w:t>
      </w:r>
      <w:r w:rsidRPr="00046858">
        <w:rPr>
          <w:rStyle w:val="Added"/>
          <w:b w:val="0"/>
          <w:noProof/>
          <w:u w:val="none"/>
        </w:rPr>
        <w:t>caracterul indispensabil, reziliența și prosperitatea</w:t>
      </w:r>
      <w:r w:rsidRPr="00046858">
        <w:rPr>
          <w:noProof/>
        </w:rPr>
        <w:t xml:space="preserve"> ecosistemului semiconductorilor din Uniune.</w:t>
      </w:r>
    </w:p>
    <w:p w14:paraId="7B9D2ECA" w14:textId="77777777" w:rsidR="00C6312B" w:rsidRPr="00046858" w:rsidRDefault="00F80DCD" w:rsidP="007146DC">
      <w:pPr>
        <w:rPr>
          <w:noProof/>
        </w:rPr>
      </w:pPr>
      <w:r w:rsidRPr="00046858">
        <w:rPr>
          <w:noProof/>
        </w:rPr>
        <w:t xml:space="preserve">Aceste obiective sunt puse în aplicare, după caz, în conformitate cu descrierea tehnică prevăzută în anexa I. </w:t>
      </w:r>
    </w:p>
    <w:p w14:paraId="58190600" w14:textId="77777777" w:rsidR="00501AB5" w:rsidRPr="00046858" w:rsidRDefault="00501AB5" w:rsidP="00501AB5">
      <w:pPr>
        <w:pStyle w:val="Titrearticle"/>
        <w:rPr>
          <w:noProof/>
        </w:rPr>
      </w:pPr>
      <w:r w:rsidRPr="00046858">
        <w:rPr>
          <w:noProof/>
        </w:rPr>
        <w:t xml:space="preserve">Articolul 6 </w:t>
      </w:r>
      <w:r w:rsidRPr="00046858">
        <w:rPr>
          <w:noProof/>
        </w:rPr>
        <w:cr/>
      </w:r>
      <w:r w:rsidRPr="00046858">
        <w:rPr>
          <w:noProof/>
        </w:rPr>
        <w:br/>
        <w:t>Rețeaua europeană a centrelor de competență în domeniul semiconductorilor</w:t>
      </w:r>
    </w:p>
    <w:p w14:paraId="53080956" w14:textId="18D92DB1" w:rsidR="00501AB5" w:rsidRPr="00046858" w:rsidRDefault="00501AB5" w:rsidP="006164B0">
      <w:pPr>
        <w:pStyle w:val="ManualNumPar1"/>
        <w:rPr>
          <w:noProof/>
        </w:rPr>
      </w:pPr>
      <w:r w:rsidRPr="00046858">
        <w:rPr>
          <w:noProof/>
        </w:rPr>
        <w:t>(1)</w:t>
      </w:r>
      <w:r w:rsidRPr="00046858">
        <w:rPr>
          <w:noProof/>
        </w:rPr>
        <w:tab/>
        <w:t>În sensul obiectivului operațional nr. 4 al inițiativei „Cipuri pentru Europa” 2.0, este sprijinită rețeaua europeană a centrelor de competență în domeniul semiconductorilor, al integrării sistemelor și al proiectării („rețeaua”) instituită în temeiul Regulamentului (UE) 2023/1781. Rețeaua este compusă din centrele de competență selectate de întreprinderea comună pentru cipuri în conformitate cu alineatul (3).</w:t>
      </w:r>
    </w:p>
    <w:p w14:paraId="765B1230" w14:textId="4423E375" w:rsidR="00501AB5" w:rsidRPr="00046858" w:rsidRDefault="00501AB5" w:rsidP="003A4FB5">
      <w:pPr>
        <w:pStyle w:val="ManualNumPar1"/>
        <w:rPr>
          <w:noProof/>
        </w:rPr>
      </w:pPr>
      <w:r w:rsidRPr="00046858">
        <w:rPr>
          <w:noProof/>
        </w:rPr>
        <w:t>(2)</w:t>
      </w:r>
      <w:r w:rsidRPr="00046858">
        <w:rPr>
          <w:noProof/>
        </w:rPr>
        <w:tab/>
        <w:t>Centrele de competență desfășoară toate sau o parte dintre activitățile următoare în beneficiul industriei din Uniune și în strânsă cooperare cu aceasta, în special IMM-uri și întreprinderi cu capitalizare medie, precum și cu organizații de cercetare și tehnologie, universități și sectorul public, precum și alte părți interesate relevante de la nivelul întregului lanț valoric al semiconductorilor:</w:t>
      </w:r>
    </w:p>
    <w:p w14:paraId="1ED5B57F" w14:textId="77777777" w:rsidR="00501AB5" w:rsidRPr="00046858" w:rsidRDefault="00501AB5" w:rsidP="000006E4">
      <w:pPr>
        <w:pStyle w:val="Point1"/>
        <w:rPr>
          <w:rStyle w:val="Added"/>
          <w:b w:val="0"/>
          <w:noProof/>
          <w:u w:val="none"/>
        </w:rPr>
      </w:pPr>
      <w:r w:rsidRPr="00046858">
        <w:rPr>
          <w:noProof/>
        </w:rPr>
        <w:t>(a)</w:t>
      </w:r>
      <w:r w:rsidRPr="00046858">
        <w:rPr>
          <w:noProof/>
        </w:rPr>
        <w:tab/>
      </w:r>
      <w:r w:rsidRPr="00046858">
        <w:rPr>
          <w:rStyle w:val="Added"/>
          <w:b w:val="0"/>
          <w:noProof/>
          <w:u w:val="none"/>
        </w:rPr>
        <w:t xml:space="preserve">asigurarea alinierii dintre activitățile centrului de competență și, după caz, strategia privind semiconductorii a statului membru în care este stabilit centrul de competență; </w:t>
      </w:r>
    </w:p>
    <w:p w14:paraId="07A09EEF" w14:textId="77777777" w:rsidR="001221B1" w:rsidRPr="00046858" w:rsidRDefault="001221B1" w:rsidP="006D2A9B">
      <w:pPr>
        <w:pStyle w:val="Point1"/>
        <w:rPr>
          <w:noProof/>
        </w:rPr>
      </w:pPr>
      <w:r w:rsidRPr="00046858">
        <w:rPr>
          <w:noProof/>
        </w:rPr>
        <w:t>(b)</w:t>
      </w:r>
      <w:r w:rsidRPr="00046858">
        <w:rPr>
          <w:noProof/>
        </w:rPr>
        <w:tab/>
        <w:t xml:space="preserve">sensibilizarea și punerea la dispoziția părților interesate a know-how-ului, a cunoștințelor de specialitate și a competențelor necesare pentru a le ajuta să accelereze dezvoltarea noilor tehnologii ale semiconductorilor, a fabricării semiconductorilor, a echipamentelor, a opțiunilor de proiectare și a conceptelor </w:t>
      </w:r>
      <w:r w:rsidRPr="00046858">
        <w:rPr>
          <w:noProof/>
        </w:rPr>
        <w:lastRenderedPageBreak/>
        <w:t>de sistem, precum și integrarea noilor tehnologii ale semiconductorilor, prin utilizarea eficientă a infrastructurii și a altor resurse disponibile ale rețelei;</w:t>
      </w:r>
    </w:p>
    <w:p w14:paraId="37FDE97A" w14:textId="77777777" w:rsidR="00501AB5" w:rsidRPr="00046858" w:rsidRDefault="00501AB5" w:rsidP="006D2A9B">
      <w:pPr>
        <w:pStyle w:val="Point1"/>
        <w:rPr>
          <w:noProof/>
        </w:rPr>
      </w:pPr>
      <w:r w:rsidRPr="00046858">
        <w:rPr>
          <w:noProof/>
        </w:rPr>
        <w:t>(c)</w:t>
      </w:r>
      <w:r w:rsidRPr="00046858">
        <w:rPr>
          <w:noProof/>
        </w:rPr>
        <w:tab/>
        <w:t>asigurarea accesului la serviciile de proiectare și la instrumentele de proiectare din cadrul obiectivului operațional nr. 1 al inițiativei „Cipuri pentru Europa” 2.0, precum și la liniile-pilot sprijinite în cadrul obiectivului operațional nr. 2 al inițiativei „Cipuri pentru Europa” 2.0;</w:t>
      </w:r>
    </w:p>
    <w:p w14:paraId="22F2BF12" w14:textId="77777777" w:rsidR="00501AB5" w:rsidRPr="00046858" w:rsidRDefault="00501AB5" w:rsidP="006D2A9B">
      <w:pPr>
        <w:pStyle w:val="Point1"/>
        <w:rPr>
          <w:noProof/>
        </w:rPr>
      </w:pPr>
      <w:r w:rsidRPr="00046858">
        <w:rPr>
          <w:noProof/>
        </w:rPr>
        <w:t>(d)</w:t>
      </w:r>
      <w:r w:rsidRPr="00046858">
        <w:rPr>
          <w:noProof/>
        </w:rPr>
        <w:tab/>
        <w:t>sensibilizarea și furnizarea sau asigurarea accesului la competențe specifice, know-how și servicii, inclusiv la instrumentele pregătitoare pentru proiectarea sistemelor și la liniile-pilot noi și existente, precum și sprijinirea acțiunilor necesare pentru consolidarea capacităților și a competențelor sprijinite de inițiativa „Cipuri pentru Europa” 2.0;</w:t>
      </w:r>
    </w:p>
    <w:p w14:paraId="5598CF88" w14:textId="77777777" w:rsidR="00501AB5" w:rsidRPr="00046858" w:rsidRDefault="00501AB5" w:rsidP="006D2A9B">
      <w:pPr>
        <w:pStyle w:val="Point1"/>
        <w:rPr>
          <w:noProof/>
        </w:rPr>
      </w:pPr>
      <w:r w:rsidRPr="00046858">
        <w:rPr>
          <w:noProof/>
        </w:rPr>
        <w:t>(e)</w:t>
      </w:r>
      <w:r w:rsidRPr="00046858">
        <w:rPr>
          <w:noProof/>
        </w:rPr>
        <w:tab/>
        <w:t>facilitarea transferului de competențe specifice și know-how între statele membre și regiuni, cu încurajarea schimburilor de competențe, cunoștințe și bune practici și a programelor comune;</w:t>
      </w:r>
    </w:p>
    <w:p w14:paraId="625E84DF" w14:textId="77777777" w:rsidR="00501AB5" w:rsidRPr="00046858" w:rsidRDefault="00501AB5" w:rsidP="006D2A9B">
      <w:pPr>
        <w:pStyle w:val="Point1"/>
        <w:rPr>
          <w:noProof/>
        </w:rPr>
      </w:pPr>
      <w:r w:rsidRPr="00046858">
        <w:rPr>
          <w:noProof/>
        </w:rPr>
        <w:t>(f)</w:t>
      </w:r>
      <w:r w:rsidRPr="00046858">
        <w:rPr>
          <w:noProof/>
        </w:rPr>
        <w:tab/>
        <w:t>dezvoltarea și gestionarea unor acțiuni specifice de formare, calificare și recalificare în domeniul tehnologiilor semiconductorilor și al utilizărilor acestora pentru a sprijini dezvoltarea rezervei de talente, precum și pentru a crește numărul de studenți și calitatea educației în domeniile de studiu relevante, în școlile și în universitățile situate în Uniune, până la nivelul doctoratului;</w:t>
      </w:r>
    </w:p>
    <w:p w14:paraId="5F1C5180" w14:textId="77777777" w:rsidR="00501AB5" w:rsidRPr="00046858" w:rsidRDefault="00501AB5" w:rsidP="006D2A9B">
      <w:pPr>
        <w:pStyle w:val="Point1"/>
        <w:rPr>
          <w:noProof/>
        </w:rPr>
      </w:pPr>
      <w:r w:rsidRPr="00046858">
        <w:rPr>
          <w:noProof/>
        </w:rPr>
        <w:t>(g)</w:t>
      </w:r>
      <w:r w:rsidRPr="00046858">
        <w:rPr>
          <w:noProof/>
        </w:rPr>
        <w:tab/>
        <w:t>facilitarea legăturilor dintre studenți și întreprinderile din domeniul semiconductorilor din întreaga Uniune, acordând în același timp o atenție deosebită participării femeilor și a grupurilor subreprezentate și bazându-se pe inițiativele existente care sprijină educația sau formarea ori ambele, precum și mobilitatea studenților și a lucrătorilor în interiorul și din afara Uniunii.</w:t>
      </w:r>
    </w:p>
    <w:p w14:paraId="5C6F8A51" w14:textId="4EC0E2C8" w:rsidR="00501AB5" w:rsidRPr="00046858" w:rsidRDefault="00501AB5" w:rsidP="003A4FB5">
      <w:pPr>
        <w:pStyle w:val="ManualNumPar1"/>
        <w:rPr>
          <w:noProof/>
        </w:rPr>
      </w:pPr>
      <w:r w:rsidRPr="00046858">
        <w:rPr>
          <w:noProof/>
        </w:rPr>
        <w:t>(3)</w:t>
      </w:r>
      <w:r w:rsidRPr="00046858">
        <w:rPr>
          <w:noProof/>
        </w:rPr>
        <w:tab/>
        <w:t>Statele membre desemnează centre de competență candidate, în conformitate cu procedurile lor naționale și propriile structuri administrative și instituționale, printr-un proces deschis și competitiv.</w:t>
      </w:r>
    </w:p>
    <w:p w14:paraId="3E1A3811" w14:textId="5EBA03DF" w:rsidR="00501AB5" w:rsidRPr="00046858" w:rsidRDefault="00501AB5" w:rsidP="00501AB5">
      <w:pPr>
        <w:pStyle w:val="Text1"/>
        <w:rPr>
          <w:noProof/>
        </w:rPr>
      </w:pPr>
      <w:r w:rsidRPr="00046858">
        <w:rPr>
          <w:noProof/>
        </w:rPr>
        <w:t>Programul de lucru al întreprinderii comune pentru cipuri stabilește procedura de sprijinire a centrelor de competență care alcătuiesc rețeaua, inclusiv criteriile de selecție, precum și detalii suplimentare privind executarea sarcinilor și a funcțiilor menționate la prezentul articol.</w:t>
      </w:r>
    </w:p>
    <w:p w14:paraId="0EE5BA92" w14:textId="77777777" w:rsidR="00501AB5" w:rsidRPr="00046858" w:rsidRDefault="00501AB5" w:rsidP="00501AB5">
      <w:pPr>
        <w:pStyle w:val="Text1"/>
        <w:rPr>
          <w:noProof/>
        </w:rPr>
      </w:pPr>
      <w:r w:rsidRPr="00046858">
        <w:rPr>
          <w:noProof/>
        </w:rPr>
        <w:t xml:space="preserve">Întreprinderea comună pentru cipuri selectează centrele de competență care alcătuiesc rețeaua. </w:t>
      </w:r>
    </w:p>
    <w:p w14:paraId="1E333714" w14:textId="77777777" w:rsidR="00501AB5" w:rsidRPr="00046858" w:rsidRDefault="00501AB5" w:rsidP="00501AB5">
      <w:pPr>
        <w:pStyle w:val="Text1"/>
        <w:rPr>
          <w:noProof/>
        </w:rPr>
      </w:pPr>
      <w:r w:rsidRPr="00046858">
        <w:rPr>
          <w:noProof/>
        </w:rPr>
        <w:t>Statele membre și Comisia maximizează sinergiile cu centrele de competență existente instituite în cadrul altor inițiative ale Uniunii, cum ar fi centrele europene de inovare digitală prevăzute în Regulamentul (UE) 2021/694.</w:t>
      </w:r>
    </w:p>
    <w:p w14:paraId="2DD4AB0C" w14:textId="08CC6CF1" w:rsidR="00501AB5" w:rsidRPr="00046858" w:rsidRDefault="00501AB5" w:rsidP="003A4FB5">
      <w:pPr>
        <w:pStyle w:val="ManualNumPar1"/>
        <w:rPr>
          <w:noProof/>
        </w:rPr>
      </w:pPr>
      <w:r w:rsidRPr="00046858">
        <w:rPr>
          <w:noProof/>
        </w:rPr>
        <w:t>(4)</w:t>
      </w:r>
      <w:r w:rsidRPr="00046858">
        <w:rPr>
          <w:noProof/>
        </w:rPr>
        <w:tab/>
        <w:t>Centrele de competență beneficiază de o autonomie generală substanțială pentru a-și stabili modul de organizare, componența și metodele de lucru. Organizarea, componența și metodele de lucru ale centrelor de competență respectă obiectivele prezentului regulament și ale inițiativei „Cipuri pentru Europa” 2.0 și contribuie la acestea.</w:t>
      </w:r>
    </w:p>
    <w:p w14:paraId="52B2A85A" w14:textId="77777777" w:rsidR="002E118E" w:rsidRPr="00046858" w:rsidRDefault="000516A1" w:rsidP="000E37F4">
      <w:pPr>
        <w:pStyle w:val="Titrearticle"/>
        <w:rPr>
          <w:noProof/>
        </w:rPr>
      </w:pPr>
      <w:r w:rsidRPr="00046858">
        <w:rPr>
          <w:noProof/>
        </w:rPr>
        <w:t>Articolul 7</w:t>
      </w:r>
    </w:p>
    <w:p w14:paraId="2AF158FE" w14:textId="77777777" w:rsidR="00412638" w:rsidRPr="00046858" w:rsidRDefault="002B002B" w:rsidP="002B002B">
      <w:pPr>
        <w:jc w:val="center"/>
        <w:rPr>
          <w:i/>
          <w:noProof/>
        </w:rPr>
      </w:pPr>
      <w:r w:rsidRPr="00046858">
        <w:rPr>
          <w:i/>
          <w:noProof/>
        </w:rPr>
        <w:t>Mari provocări</w:t>
      </w:r>
    </w:p>
    <w:p w14:paraId="07EFC904" w14:textId="7FE5300A" w:rsidR="002B002B" w:rsidRPr="00046858" w:rsidRDefault="004233B7" w:rsidP="006164B0">
      <w:pPr>
        <w:pStyle w:val="ManualNumPar1"/>
        <w:rPr>
          <w:noProof/>
        </w:rPr>
      </w:pPr>
      <w:r w:rsidRPr="00046858">
        <w:rPr>
          <w:noProof/>
        </w:rPr>
        <w:lastRenderedPageBreak/>
        <w:t>(1)</w:t>
      </w:r>
      <w:r w:rsidRPr="00046858">
        <w:rPr>
          <w:noProof/>
        </w:rPr>
        <w:tab/>
        <w:t xml:space="preserve">Marile provocări dezvoltă, integrează și asigură implementarea industrială a tehnologiilor promițătoare și critice ale semiconductorilor și a tehnologiilor conexe de importanță majoră pentru Uniune și sunt puse în aplicare, după caz, în conformitate cu descrierea tehnică prevăzută în anexa I. </w:t>
      </w:r>
    </w:p>
    <w:p w14:paraId="14FF4F89" w14:textId="25BCD114" w:rsidR="00244D62" w:rsidRPr="00046858" w:rsidRDefault="00244D62" w:rsidP="003A4FB5">
      <w:pPr>
        <w:pStyle w:val="ManualNumPar1"/>
        <w:rPr>
          <w:noProof/>
        </w:rPr>
      </w:pPr>
      <w:r w:rsidRPr="00046858">
        <w:rPr>
          <w:noProof/>
        </w:rPr>
        <w:t>(2)</w:t>
      </w:r>
      <w:r w:rsidRPr="00046858">
        <w:rPr>
          <w:noProof/>
        </w:rPr>
        <w:tab/>
        <w:t>Inițiativa „Cipuri pentru Europa” 2.0 sprijină marile provocări prin:</w:t>
      </w:r>
    </w:p>
    <w:p w14:paraId="219AED46" w14:textId="77777777" w:rsidR="001A2377" w:rsidRPr="00046858" w:rsidRDefault="0052247E" w:rsidP="000006E4">
      <w:pPr>
        <w:pStyle w:val="Point1"/>
        <w:rPr>
          <w:noProof/>
        </w:rPr>
      </w:pPr>
      <w:r w:rsidRPr="00046858">
        <w:rPr>
          <w:noProof/>
        </w:rPr>
        <w:t>(a)</w:t>
      </w:r>
      <w:r w:rsidRPr="00046858">
        <w:rPr>
          <w:noProof/>
        </w:rPr>
        <w:tab/>
        <w:t>promovarea cercetării și a dezvoltării avansate, care vor permite conducerea următoarei generații de cipuri de IA, susținerea tehnologiei de tip cloud, a centrelor de date și a infrastructurilor de IA de la marginea rețelei prin niveluri fără precedent de eficiență energetică, asigurarea capacităților Uniunii în domeniul tehnologiilor de vârf și creșterea punctelor forte ale Uniunii în ceea ce privește fabricarea semiconductorilor;</w:t>
      </w:r>
    </w:p>
    <w:p w14:paraId="4F8D5A3D" w14:textId="77777777" w:rsidR="00565159" w:rsidRPr="00046858" w:rsidRDefault="00E61D18" w:rsidP="006D2A9B">
      <w:pPr>
        <w:pStyle w:val="Point1"/>
        <w:rPr>
          <w:noProof/>
        </w:rPr>
      </w:pPr>
      <w:r w:rsidRPr="00046858">
        <w:rPr>
          <w:noProof/>
        </w:rPr>
        <w:t>(b)</w:t>
      </w:r>
      <w:r w:rsidRPr="00046858">
        <w:rPr>
          <w:noProof/>
        </w:rPr>
        <w:tab/>
        <w:t>abordarea principalelor obstacole în calea dezvoltării în continuare a tehnologiilor semiconductorilor, cum ar fi miniaturizarea, eficiența energetică, durabilitatea, integrarea eterogenă, securitatea și fiabilitatea, precum și posibilitatea de producție;</w:t>
      </w:r>
    </w:p>
    <w:p w14:paraId="7CCBBEC2" w14:textId="77777777" w:rsidR="00C951A6" w:rsidRPr="00046858" w:rsidRDefault="00C951A6" w:rsidP="006D2A9B">
      <w:pPr>
        <w:pStyle w:val="Point1"/>
        <w:rPr>
          <w:noProof/>
        </w:rPr>
      </w:pPr>
      <w:r w:rsidRPr="00046858">
        <w:rPr>
          <w:noProof/>
        </w:rPr>
        <w:t>(c)</w:t>
      </w:r>
      <w:r w:rsidRPr="00046858">
        <w:rPr>
          <w:noProof/>
        </w:rPr>
        <w:tab/>
        <w:t>extinderea ecosistemului semiconductorilor prin colaborarea strânsă cu sectoarele verticale ale pieței;</w:t>
      </w:r>
    </w:p>
    <w:p w14:paraId="2F620832" w14:textId="77777777" w:rsidR="00A103C9" w:rsidRPr="00046858" w:rsidRDefault="00993A0A" w:rsidP="006D2A9B">
      <w:pPr>
        <w:pStyle w:val="Point1"/>
        <w:rPr>
          <w:noProof/>
        </w:rPr>
      </w:pPr>
      <w:r w:rsidRPr="00046858">
        <w:rPr>
          <w:noProof/>
        </w:rPr>
        <w:t>(d)</w:t>
      </w:r>
      <w:r w:rsidRPr="00046858">
        <w:rPr>
          <w:noProof/>
        </w:rPr>
        <w:tab/>
        <w:t>obținerea unui avantaj competitiv în aplicații specifice esențiale pentru suveranitatea tehnologică și competitivitatea industrială ale Uniunii prin structurarea colaborării dintre dezvoltatorii de semiconductori și industriile utilizatoare;</w:t>
      </w:r>
    </w:p>
    <w:p w14:paraId="5EE13968" w14:textId="77777777" w:rsidR="00490CCE" w:rsidRPr="00046858" w:rsidRDefault="00AE7CAA" w:rsidP="006D2A9B">
      <w:pPr>
        <w:pStyle w:val="Point1"/>
        <w:rPr>
          <w:noProof/>
        </w:rPr>
      </w:pPr>
      <w:r w:rsidRPr="00046858">
        <w:rPr>
          <w:noProof/>
        </w:rPr>
        <w:t>(e)</w:t>
      </w:r>
      <w:r w:rsidRPr="00046858">
        <w:rPr>
          <w:noProof/>
        </w:rPr>
        <w:tab/>
        <w:t>integrarea eforturilor mai multor linii-pilot și orientarea acestora către utilizarea industrială prin creșterea eficienței energetice și a capabilităților avansate în domeniul semiconductorilor;</w:t>
      </w:r>
    </w:p>
    <w:p w14:paraId="0164436C" w14:textId="77777777" w:rsidR="002B002B" w:rsidRPr="00046858" w:rsidRDefault="00861D4F" w:rsidP="006D2A9B">
      <w:pPr>
        <w:pStyle w:val="Point1"/>
        <w:rPr>
          <w:noProof/>
        </w:rPr>
      </w:pPr>
      <w:r w:rsidRPr="00046858">
        <w:rPr>
          <w:noProof/>
        </w:rPr>
        <w:t>(f)</w:t>
      </w:r>
      <w:r w:rsidRPr="00046858">
        <w:rPr>
          <w:noProof/>
        </w:rPr>
        <w:tab/>
        <w:t>asigurarea transferului și a adoptării industriale a tehnologiilor dezvoltate în cadrul inițiativei „Cipuri pentru Europa” 2.0, inclusiv a activităților care vizează maturizarea tehnologiilor, calificarea, crearea de prototipuri, demonstrarea, prima implementare industrială și transferul în mediile de producție.</w:t>
      </w:r>
    </w:p>
    <w:p w14:paraId="7E7B2447" w14:textId="773FC6D8" w:rsidR="00031C06" w:rsidRPr="00046858" w:rsidRDefault="007578AF" w:rsidP="003A4FB5">
      <w:pPr>
        <w:pStyle w:val="ManualNumPar1"/>
        <w:rPr>
          <w:noProof/>
        </w:rPr>
      </w:pPr>
      <w:r w:rsidRPr="00046858">
        <w:rPr>
          <w:noProof/>
        </w:rPr>
        <w:t>(3)</w:t>
      </w:r>
      <w:r w:rsidRPr="00046858">
        <w:rPr>
          <w:noProof/>
        </w:rPr>
        <w:tab/>
        <w:t>Marile provocări sunt puse în aplicare în coordonare cu marile provocări stabilite în Regulamentul (UE) XXXX/XXXX [Actul legislativ privind dezvoltarea tehnologiilor de tip cloud și a IA (CADA)], precum și cu inițiativele întreprinse de întreprinderea comună pentru calculul european de înaltă performanță instituită prin Regulamentul (UE) 2021/1173 al Consiliului</w:t>
      </w:r>
      <w:r w:rsidRPr="00046858">
        <w:rPr>
          <w:rStyle w:val="FootnoteReference"/>
          <w:noProof/>
        </w:rPr>
        <w:footnoteReference w:id="70"/>
      </w:r>
      <w:r w:rsidRPr="00046858">
        <w:rPr>
          <w:noProof/>
        </w:rPr>
        <w:t xml:space="preserve">. </w:t>
      </w:r>
    </w:p>
    <w:p w14:paraId="552BB1C7" w14:textId="77777777" w:rsidR="000E37F4" w:rsidRPr="00046858" w:rsidRDefault="000E37F4" w:rsidP="000E37F4">
      <w:pPr>
        <w:pStyle w:val="Titrearticle"/>
        <w:rPr>
          <w:b/>
          <w:noProof/>
          <w:u w:val="single"/>
        </w:rPr>
      </w:pPr>
      <w:r w:rsidRPr="00046858">
        <w:rPr>
          <w:noProof/>
        </w:rPr>
        <w:t xml:space="preserve">Articolul 8 </w:t>
      </w:r>
      <w:r w:rsidRPr="00046858">
        <w:rPr>
          <w:noProof/>
        </w:rPr>
        <w:cr/>
      </w:r>
      <w:r w:rsidRPr="00046858">
        <w:rPr>
          <w:noProof/>
        </w:rPr>
        <w:br/>
        <w:t>Acceleratoarele cererii</w:t>
      </w:r>
    </w:p>
    <w:p w14:paraId="084FF996" w14:textId="4BE386C9" w:rsidR="002070CE" w:rsidRPr="00046858" w:rsidRDefault="002070CE" w:rsidP="006164B0">
      <w:pPr>
        <w:pStyle w:val="ManualNumPar1"/>
        <w:rPr>
          <w:noProof/>
        </w:rPr>
      </w:pPr>
      <w:r w:rsidRPr="00046858">
        <w:rPr>
          <w:noProof/>
        </w:rPr>
        <w:t>(1)</w:t>
      </w:r>
      <w:r w:rsidRPr="00046858">
        <w:rPr>
          <w:noProof/>
        </w:rPr>
        <w:tab/>
        <w:t xml:space="preserve">Comisia și statele membre stimulează adoptarea semiconductorilor proiectați sau fabricați în Uniune, în special pe piețe-cheie precum tehnologia de tip cloud, industria auto, aeronautica, telecomunicațiile, sectorul apărării și, după caz, în alte sectoare. </w:t>
      </w:r>
    </w:p>
    <w:p w14:paraId="7F269E3E" w14:textId="394F632E" w:rsidR="00C1582D" w:rsidRPr="00046858" w:rsidRDefault="00C1582D" w:rsidP="003A4FB5">
      <w:pPr>
        <w:pStyle w:val="ManualNumPar1"/>
        <w:rPr>
          <w:noProof/>
        </w:rPr>
      </w:pPr>
      <w:r w:rsidRPr="00046858">
        <w:rPr>
          <w:noProof/>
        </w:rPr>
        <w:lastRenderedPageBreak/>
        <w:t>(2)</w:t>
      </w:r>
      <w:r w:rsidRPr="00046858">
        <w:rPr>
          <w:noProof/>
        </w:rPr>
        <w:tab/>
        <w:t>Acceleratoarele cererii sunt puse în aplicare de Alianța industrială pentru semiconductori.</w:t>
      </w:r>
    </w:p>
    <w:p w14:paraId="0791BDEB" w14:textId="634539C6" w:rsidR="002070CE" w:rsidRPr="00046858" w:rsidRDefault="002070CE" w:rsidP="003A4FB5">
      <w:pPr>
        <w:pStyle w:val="ManualNumPar1"/>
        <w:rPr>
          <w:noProof/>
        </w:rPr>
      </w:pPr>
      <w:r w:rsidRPr="00046858">
        <w:rPr>
          <w:noProof/>
        </w:rPr>
        <w:t>(3)</w:t>
      </w:r>
      <w:r w:rsidRPr="00046858">
        <w:rPr>
          <w:noProof/>
        </w:rPr>
        <w:tab/>
        <w:t>În cooperare cu statele membre și cu părțile interesate relevante din industrie și în conformitate cu normele în materie de concurență, Comisia poate:</w:t>
      </w:r>
    </w:p>
    <w:p w14:paraId="7D2F8A8D" w14:textId="4D481FAD" w:rsidR="00074AAE" w:rsidRPr="00046858" w:rsidRDefault="00074AAE" w:rsidP="000006E4">
      <w:pPr>
        <w:pStyle w:val="Point1"/>
        <w:rPr>
          <w:noProof/>
        </w:rPr>
      </w:pPr>
      <w:r w:rsidRPr="00046858">
        <w:rPr>
          <w:noProof/>
        </w:rPr>
        <w:t>(a)</w:t>
      </w:r>
      <w:r w:rsidRPr="00046858">
        <w:rPr>
          <w:noProof/>
        </w:rPr>
        <w:tab/>
        <w:t>să faciliteze discutarea de către utilizatorii potențiali, în special de către achizitorii de tehnologii ale semiconductorilor, a cerințelor și specificațiilor tehnologice ale produselor din domeniul semiconductorilor pe care industria lor ar putea să le necesite;</w:t>
      </w:r>
    </w:p>
    <w:p w14:paraId="23E34D8B" w14:textId="39459E88" w:rsidR="002070CE" w:rsidRPr="00046858" w:rsidRDefault="00074AAE" w:rsidP="000006E4">
      <w:pPr>
        <w:pStyle w:val="Point1"/>
        <w:rPr>
          <w:noProof/>
        </w:rPr>
      </w:pPr>
      <w:r w:rsidRPr="00046858">
        <w:rPr>
          <w:noProof/>
        </w:rPr>
        <w:t>(b)</w:t>
      </w:r>
      <w:r w:rsidRPr="00046858">
        <w:rPr>
          <w:noProof/>
        </w:rPr>
        <w:tab/>
        <w:t xml:space="preserve">să înlesnească elaborarea unor foi de parcurs tehnice comune și să sprijine și să stimuleze activitățile de coproiectare între producătorii de semiconductori stabiliți în Uniune și utilizatorii industriali din aval, inclusiv integratorii de sisteme și producătorii de echipamente, cu scopul de a dezvolta componente semiconductoare adaptate aplicațiilor industriale ale Uniunii; </w:t>
      </w:r>
    </w:p>
    <w:p w14:paraId="62228CF5" w14:textId="73EB40A4" w:rsidR="002070CE" w:rsidRPr="00046858" w:rsidRDefault="002070CE" w:rsidP="006D2A9B">
      <w:pPr>
        <w:pStyle w:val="Point1"/>
        <w:rPr>
          <w:b/>
          <w:noProof/>
          <w:u w:val="single"/>
        </w:rPr>
      </w:pPr>
      <w:r w:rsidRPr="00046858">
        <w:rPr>
          <w:noProof/>
        </w:rPr>
        <w:t>(c)</w:t>
      </w:r>
      <w:r w:rsidRPr="00046858">
        <w:rPr>
          <w:noProof/>
        </w:rPr>
        <w:tab/>
        <w:t>să faciliteze platformele colaborative, proiectele-pilot sau parteneriatele de proiectare care permit implicarea timpurie a utilizatorilor industriali în proiectarea tehnologiilor inovatoare ale semiconductorilor dezvoltate în Uniune.</w:t>
      </w:r>
    </w:p>
    <w:p w14:paraId="62868D6F" w14:textId="77777777" w:rsidR="000E37F4" w:rsidRPr="00046858" w:rsidRDefault="000E37F4" w:rsidP="000E37F4">
      <w:pPr>
        <w:pStyle w:val="Titrearticle"/>
        <w:rPr>
          <w:noProof/>
        </w:rPr>
      </w:pPr>
      <w:r w:rsidRPr="00046858">
        <w:rPr>
          <w:noProof/>
        </w:rPr>
        <w:t xml:space="preserve">Articolul 9 </w:t>
      </w:r>
      <w:r w:rsidRPr="00046858">
        <w:rPr>
          <w:noProof/>
        </w:rPr>
        <w:cr/>
      </w:r>
      <w:r w:rsidRPr="00046858">
        <w:rPr>
          <w:noProof/>
        </w:rPr>
        <w:br/>
        <w:t>Forumul dedicat cererii</w:t>
      </w:r>
    </w:p>
    <w:p w14:paraId="5EECD3E2" w14:textId="5E5E5539" w:rsidR="002070CE" w:rsidRPr="00046858" w:rsidRDefault="002070CE" w:rsidP="006164B0">
      <w:pPr>
        <w:pStyle w:val="ManualNumPar1"/>
        <w:rPr>
          <w:noProof/>
        </w:rPr>
      </w:pPr>
      <w:r w:rsidRPr="00046858">
        <w:rPr>
          <w:noProof/>
        </w:rPr>
        <w:t>(1)</w:t>
      </w:r>
      <w:r w:rsidRPr="00046858">
        <w:rPr>
          <w:noProof/>
        </w:rPr>
        <w:tab/>
        <w:t>Comisia instituie un forum dedicat cererii pentru a facilita prezentarea tehnologiilor semiconductorilor, în special prin inițiative europene în domeniul tehnologiilor semiconductorilor și proiecte strategice, precum și prin instalații de producție integrate și turnătorii deschise ale UE recunoscute în temeiul Regulamentului (UE) 2023/1781 în conformitate cu normele în materie de concurență.</w:t>
      </w:r>
    </w:p>
    <w:p w14:paraId="3E8968E8" w14:textId="0943A45D" w:rsidR="002070CE" w:rsidRPr="00046858" w:rsidRDefault="002070CE" w:rsidP="003A4FB5">
      <w:pPr>
        <w:pStyle w:val="ManualNumPar1"/>
        <w:rPr>
          <w:noProof/>
        </w:rPr>
      </w:pPr>
      <w:r w:rsidRPr="00046858">
        <w:rPr>
          <w:noProof/>
        </w:rPr>
        <w:t>(2)</w:t>
      </w:r>
      <w:r w:rsidRPr="00046858">
        <w:rPr>
          <w:noProof/>
        </w:rPr>
        <w:tab/>
        <w:t>Forumul dedicat cererii este pus în aplicare de Alianța industrială pentru semiconductori.</w:t>
      </w:r>
    </w:p>
    <w:p w14:paraId="388A6406" w14:textId="77777777" w:rsidR="005C38BC" w:rsidRPr="00046858" w:rsidRDefault="005C38BC" w:rsidP="005C38BC">
      <w:pPr>
        <w:pStyle w:val="Titrearticle"/>
        <w:rPr>
          <w:noProof/>
        </w:rPr>
      </w:pPr>
      <w:r w:rsidRPr="00046858">
        <w:rPr>
          <w:noProof/>
        </w:rPr>
        <w:t xml:space="preserve">Articolul 10 </w:t>
      </w:r>
      <w:r w:rsidRPr="00046858">
        <w:rPr>
          <w:noProof/>
        </w:rPr>
        <w:cr/>
      </w:r>
      <w:r w:rsidRPr="00046858">
        <w:rPr>
          <w:noProof/>
        </w:rPr>
        <w:br/>
        <w:t xml:space="preserve">Achiziții publice în domeniul inovării cipurilor </w:t>
      </w:r>
    </w:p>
    <w:p w14:paraId="302C088E" w14:textId="1D78F75F" w:rsidR="00BA6C9D" w:rsidRPr="00046858" w:rsidRDefault="001D2296" w:rsidP="006164B0">
      <w:pPr>
        <w:pStyle w:val="ManualNumPar1"/>
        <w:rPr>
          <w:noProof/>
        </w:rPr>
      </w:pPr>
      <w:r w:rsidRPr="00046858">
        <w:rPr>
          <w:noProof/>
        </w:rPr>
        <w:t>(1)</w:t>
      </w:r>
      <w:r w:rsidRPr="00046858">
        <w:rPr>
          <w:noProof/>
        </w:rPr>
        <w:tab/>
        <w:t>În scopul sprijinirii autorităților contractante sau a entităților contractante și a operatorilor economici care acționează în calitate de entități de achiziție în ceea ce privește achiziționarea, integrarea, calificarea și prima implementare a sistemelor care integrează semiconductori, întreprinderea comună pentru cipuri desfășoară următoarele acțiuni:</w:t>
      </w:r>
    </w:p>
    <w:p w14:paraId="24510947" w14:textId="77777777" w:rsidR="006A5F8D" w:rsidRPr="00046858" w:rsidRDefault="00A83E9D" w:rsidP="000006E4">
      <w:pPr>
        <w:pStyle w:val="Point1"/>
        <w:rPr>
          <w:noProof/>
        </w:rPr>
      </w:pPr>
      <w:r w:rsidRPr="00046858">
        <w:rPr>
          <w:noProof/>
        </w:rPr>
        <w:t>(a)</w:t>
      </w:r>
      <w:r w:rsidRPr="00046858">
        <w:rPr>
          <w:noProof/>
        </w:rPr>
        <w:tab/>
        <w:t>sprijină încheierea, după caz, a unor acorduri transfrontaliere de achiziții publice comune între autoritățile contractante sau entitățile contractante;</w:t>
      </w:r>
    </w:p>
    <w:p w14:paraId="7A3098AC" w14:textId="00C3AFD5" w:rsidR="006151D4" w:rsidRPr="00046858" w:rsidRDefault="00467581" w:rsidP="008A7ECA">
      <w:pPr>
        <w:pStyle w:val="Point1"/>
        <w:rPr>
          <w:noProof/>
        </w:rPr>
      </w:pPr>
      <w:r w:rsidRPr="00046858">
        <w:rPr>
          <w:noProof/>
        </w:rPr>
        <w:t>(b)</w:t>
      </w:r>
      <w:r w:rsidRPr="00046858">
        <w:rPr>
          <w:noProof/>
        </w:rPr>
        <w:tab/>
        <w:t>sprijină integrarea și implementarea tehnologiilor inovatoare ale semiconductorilor.</w:t>
      </w:r>
    </w:p>
    <w:p w14:paraId="355DF253" w14:textId="77777777" w:rsidR="00C6312B" w:rsidRPr="00046858" w:rsidRDefault="00C6312B" w:rsidP="00C6312B">
      <w:pPr>
        <w:pStyle w:val="Titrearticle"/>
        <w:rPr>
          <w:noProof/>
        </w:rPr>
      </w:pPr>
      <w:r w:rsidRPr="00046858">
        <w:rPr>
          <w:noProof/>
        </w:rPr>
        <w:lastRenderedPageBreak/>
        <w:t xml:space="preserve">Articolul 11 </w:t>
      </w:r>
      <w:r w:rsidRPr="00046858">
        <w:rPr>
          <w:noProof/>
        </w:rPr>
        <w:cr/>
      </w:r>
      <w:r w:rsidRPr="00046858">
        <w:rPr>
          <w:noProof/>
        </w:rPr>
        <w:br/>
        <w:t>Sinergiile cu alte programe</w:t>
      </w:r>
    </w:p>
    <w:p w14:paraId="70262D18" w14:textId="4A9D6EC2" w:rsidR="00C6312B" w:rsidRPr="00046858" w:rsidRDefault="00C6312B" w:rsidP="006164B0">
      <w:pPr>
        <w:pStyle w:val="ManualNumPar1"/>
        <w:rPr>
          <w:noProof/>
        </w:rPr>
      </w:pPr>
      <w:r w:rsidRPr="00046858">
        <w:rPr>
          <w:noProof/>
        </w:rPr>
        <w:t>(1)</w:t>
      </w:r>
      <w:r w:rsidRPr="00046858">
        <w:rPr>
          <w:noProof/>
        </w:rPr>
        <w:tab/>
        <w:t>Inițiativa „Cipuri pentru Europa” 2.0 este pusă în aplicare în sinergie cu programele Uniunii, în conformitate cu anexa IV. Comisia se asigură că realizarea obiectivelor inițiativei „Cipuri pentru Europa” 2.0 menționate la articolul 4 nu este împiedicată în contextul valorificării complementarității inițiativei „Cipuri pentru Europa” 2.0 cu programele Uniunii.</w:t>
      </w:r>
    </w:p>
    <w:p w14:paraId="039CF4D9" w14:textId="77777777" w:rsidR="000067A4" w:rsidRPr="00046858" w:rsidRDefault="000067A4" w:rsidP="000067A4">
      <w:pPr>
        <w:pStyle w:val="Titrearticle"/>
        <w:rPr>
          <w:noProof/>
        </w:rPr>
      </w:pPr>
      <w:r w:rsidRPr="00046858">
        <w:rPr>
          <w:noProof/>
        </w:rPr>
        <w:t xml:space="preserve">Articolul 12 </w:t>
      </w:r>
      <w:r w:rsidRPr="00046858">
        <w:rPr>
          <w:noProof/>
        </w:rPr>
        <w:cr/>
      </w:r>
      <w:r w:rsidRPr="00046858">
        <w:rPr>
          <w:noProof/>
        </w:rPr>
        <w:br/>
        <w:t>Punere în aplicare</w:t>
      </w:r>
    </w:p>
    <w:p w14:paraId="3769D783" w14:textId="58539DF8" w:rsidR="000067A4" w:rsidRPr="00046858" w:rsidRDefault="000067A4" w:rsidP="006164B0">
      <w:pPr>
        <w:pStyle w:val="ManualNumPar1"/>
        <w:rPr>
          <w:noProof/>
        </w:rPr>
      </w:pPr>
      <w:r w:rsidRPr="00046858">
        <w:rPr>
          <w:noProof/>
        </w:rPr>
        <w:t>(1)</w:t>
      </w:r>
      <w:r w:rsidRPr="00046858">
        <w:rPr>
          <w:noProof/>
        </w:rPr>
        <w:tab/>
        <w:t>Obiectivele operaționale nr. 1-5 ale inițiativei „Cipuri pentru Europa” 2.0 și marile provocări îi sunt încredințate întreprinderii comune pentru cipuri și sunt puse în aplicare prin acțiuni prevăzute în programul de lucru al acesteia.</w:t>
      </w:r>
    </w:p>
    <w:p w14:paraId="727D9CA5" w14:textId="33E888F0" w:rsidR="000067A4" w:rsidRPr="00046858" w:rsidRDefault="000067A4" w:rsidP="003A4FB5">
      <w:pPr>
        <w:pStyle w:val="ManualNumPar1"/>
        <w:rPr>
          <w:noProof/>
        </w:rPr>
      </w:pPr>
      <w:r w:rsidRPr="00046858">
        <w:rPr>
          <w:noProof/>
        </w:rPr>
        <w:t>(2)</w:t>
      </w:r>
      <w:r w:rsidRPr="00046858">
        <w:rPr>
          <w:noProof/>
        </w:rPr>
        <w:tab/>
        <w:t xml:space="preserve">Pentru a reflecta schimbările tehnologice și evoluțiile pieței </w:t>
      </w:r>
      <w:r w:rsidRPr="00046858">
        <w:rPr>
          <w:rStyle w:val="Added"/>
          <w:b w:val="0"/>
          <w:noProof/>
          <w:u w:val="none"/>
        </w:rPr>
        <w:t>relevante pentru sectorul semiconductorilor</w:t>
      </w:r>
      <w:r w:rsidRPr="00046858">
        <w:rPr>
          <w:noProof/>
        </w:rPr>
        <w:t>, Comisia este împuternicită să adopte acte delegate în conformitate cu articolul 55 pentru a modifica anexa I în ceea ce privește acțiunile prevăzute în aceasta într-un mod consecvent cu obiectivele inițiativei „Cipuri pentru Europa” 2.0 prevăzute la articolul 4.</w:t>
      </w:r>
    </w:p>
    <w:p w14:paraId="57EF60E6" w14:textId="00D42BE2" w:rsidR="000067A4" w:rsidRPr="00046858" w:rsidRDefault="000067A4" w:rsidP="003A4FB5">
      <w:pPr>
        <w:pStyle w:val="ManualNumPar1"/>
        <w:rPr>
          <w:noProof/>
        </w:rPr>
      </w:pPr>
      <w:r w:rsidRPr="00046858">
        <w:rPr>
          <w:noProof/>
        </w:rPr>
        <w:t>(3)</w:t>
      </w:r>
      <w:r w:rsidRPr="00046858">
        <w:rPr>
          <w:noProof/>
        </w:rPr>
        <w:tab/>
        <w:t>Pentru a asigura punerea în aplicare și evaluarea eficace ale inițiativei „Cipuri pentru Europa” 2.0 și pentru a reflecta schimbările tehnologice și evoluțiile pieței, Comisia este împuternicită să adopte acte delegate în conformitate cu articolul 55 pentru a modifica anexa III în ceea ce privește indicatorii cuantificabili pentru monitorizarea punerii în aplicare și raportarea progreselor înregistrate de inițiativa „Cipuri pentru Europa” 2.0 în direcția realizării obiectivelor sale, astfel cum sunt prevăzute la articolul 4.</w:t>
      </w:r>
    </w:p>
    <w:p w14:paraId="1565343E" w14:textId="270AFE37" w:rsidR="000067A4" w:rsidRPr="00046858" w:rsidRDefault="000067A4" w:rsidP="003A4FB5">
      <w:pPr>
        <w:pStyle w:val="ManualNumPar1"/>
        <w:rPr>
          <w:noProof/>
        </w:rPr>
      </w:pPr>
      <w:r w:rsidRPr="00046858">
        <w:rPr>
          <w:noProof/>
        </w:rPr>
        <w:t>(4)</w:t>
      </w:r>
      <w:r w:rsidRPr="00046858">
        <w:rPr>
          <w:noProof/>
        </w:rPr>
        <w:tab/>
        <w:t>Pentru a asigura punerea în aplicare, monitorizarea și evaluarea eficace ale inițiativei „Cipuri pentru Europa” 2.0, raportul anual de activitate al întreprinderii comune pentru cipuri include informații referitoare la chestiuni legate de obiectivele operaționale nr. 1-5 și marile provocări aferente inițiativei „Cipuri pentru Europa” 2.0, pe baza indicatorilor cuantificabili prevăzuți în anexa III.</w:t>
      </w:r>
    </w:p>
    <w:p w14:paraId="098E9E06" w14:textId="7E4C9F7A" w:rsidR="000067A4" w:rsidRPr="00046858" w:rsidRDefault="000067A4" w:rsidP="003A4FB5">
      <w:pPr>
        <w:pStyle w:val="ManualNumPar1"/>
        <w:rPr>
          <w:noProof/>
        </w:rPr>
      </w:pPr>
      <w:r w:rsidRPr="00046858">
        <w:rPr>
          <w:noProof/>
        </w:rPr>
        <w:t>(5)</w:t>
      </w:r>
      <w:r w:rsidRPr="00046858">
        <w:rPr>
          <w:noProof/>
        </w:rPr>
        <w:tab/>
        <w:t>Comisia informează periodic Consiliul european pentru semiconductori cu privire la progresele înregistrate în implementarea obiectivului operațional nr. 6 al inițiativa „Cipuri pentru Europa” 2.0.</w:t>
      </w:r>
    </w:p>
    <w:p w14:paraId="3F510247" w14:textId="77777777" w:rsidR="000067A4" w:rsidRPr="00046858" w:rsidRDefault="000067A4" w:rsidP="000067A4">
      <w:pPr>
        <w:pStyle w:val="ChapterTitle"/>
        <w:rPr>
          <w:noProof/>
        </w:rPr>
      </w:pPr>
      <w:r w:rsidRPr="00046858">
        <w:rPr>
          <w:noProof/>
        </w:rPr>
        <w:lastRenderedPageBreak/>
        <w:t>Capitolul III</w:t>
      </w:r>
    </w:p>
    <w:p w14:paraId="21D13D2E" w14:textId="77777777" w:rsidR="00AD0AD9" w:rsidRPr="00046858" w:rsidRDefault="000067A4" w:rsidP="00AD0AD9">
      <w:pPr>
        <w:pStyle w:val="ChapterTitle"/>
        <w:rPr>
          <w:noProof/>
        </w:rPr>
      </w:pPr>
      <w:r w:rsidRPr="00046858">
        <w:rPr>
          <w:noProof/>
        </w:rPr>
        <w:t>Securitatea aprovizionării și a cererii</w:t>
      </w:r>
    </w:p>
    <w:p w14:paraId="7324C9F3" w14:textId="77777777" w:rsidR="000B71AC" w:rsidRPr="00046858" w:rsidRDefault="000B71AC" w:rsidP="000B71AC">
      <w:pPr>
        <w:pStyle w:val="SectionTitle"/>
        <w:rPr>
          <w:noProof/>
        </w:rPr>
      </w:pPr>
      <w:r w:rsidRPr="00046858">
        <w:rPr>
          <w:noProof/>
        </w:rPr>
        <w:t xml:space="preserve">Secțiunea 1 </w:t>
      </w:r>
      <w:r w:rsidRPr="00046858">
        <w:rPr>
          <w:noProof/>
        </w:rPr>
        <w:cr/>
      </w:r>
      <w:r w:rsidRPr="00046858">
        <w:rPr>
          <w:noProof/>
        </w:rPr>
        <w:br/>
        <w:t xml:space="preserve"> </w:t>
      </w:r>
      <w:r w:rsidRPr="00046858">
        <w:rPr>
          <w:noProof/>
        </w:rPr>
        <w:cr/>
      </w:r>
      <w:r w:rsidRPr="00046858">
        <w:rPr>
          <w:noProof/>
        </w:rPr>
        <w:br/>
        <w:t>Capabilități de fabricare a semiconductorilor</w:t>
      </w:r>
    </w:p>
    <w:p w14:paraId="656470FA" w14:textId="77777777" w:rsidR="00AD0AD9" w:rsidRPr="00046858" w:rsidRDefault="00AD0AD9" w:rsidP="00AD0AD9">
      <w:pPr>
        <w:pStyle w:val="Titrearticle"/>
        <w:rPr>
          <w:noProof/>
        </w:rPr>
      </w:pPr>
      <w:r w:rsidRPr="00046858">
        <w:rPr>
          <w:noProof/>
        </w:rPr>
        <w:t xml:space="preserve">Articolul 13 </w:t>
      </w:r>
      <w:r w:rsidRPr="00046858">
        <w:rPr>
          <w:noProof/>
        </w:rPr>
        <w:cr/>
      </w:r>
      <w:r w:rsidRPr="00046858">
        <w:rPr>
          <w:noProof/>
        </w:rPr>
        <w:br/>
        <w:t>Interesul public și sprijinul public</w:t>
      </w:r>
    </w:p>
    <w:p w14:paraId="594F10D8" w14:textId="46987BDE" w:rsidR="00AD0AD9" w:rsidRPr="00046858" w:rsidRDefault="00D41898" w:rsidP="006164B0">
      <w:pPr>
        <w:pStyle w:val="ManualNumPar1"/>
        <w:rPr>
          <w:noProof/>
        </w:rPr>
      </w:pPr>
      <w:r w:rsidRPr="00046858">
        <w:rPr>
          <w:noProof/>
        </w:rPr>
        <w:t>(1)</w:t>
      </w:r>
      <w:r w:rsidRPr="00046858">
        <w:rPr>
          <w:noProof/>
        </w:rPr>
        <w:tab/>
        <w:t xml:space="preserve">Se consideră că inițiativele europene în domeniul tehnologiilor semiconductorilor și proiectele strategice contribuie la securitatea aprovizionării cu semiconductori și la reziliența ecosistemului semiconductorilor din Uniune și, prin urmare, sunt de interes public. </w:t>
      </w:r>
    </w:p>
    <w:p w14:paraId="49460922" w14:textId="4D38E3B6" w:rsidR="00AD0AD9" w:rsidRPr="00046858" w:rsidRDefault="00AD0AD9" w:rsidP="003A4FB5">
      <w:pPr>
        <w:pStyle w:val="ManualNumPar1"/>
        <w:rPr>
          <w:noProof/>
        </w:rPr>
      </w:pPr>
      <w:r w:rsidRPr="00046858">
        <w:rPr>
          <w:noProof/>
        </w:rPr>
        <w:t>(2)</w:t>
      </w:r>
      <w:r w:rsidRPr="00046858">
        <w:rPr>
          <w:noProof/>
        </w:rPr>
        <w:tab/>
        <w:t xml:space="preserve">Pentru a realiza </w:t>
      </w:r>
      <w:r w:rsidRPr="00046858">
        <w:rPr>
          <w:rStyle w:val="Added"/>
          <w:b w:val="0"/>
          <w:noProof/>
          <w:u w:val="none"/>
        </w:rPr>
        <w:t>securitatea aprovizionării și reziliența</w:t>
      </w:r>
      <w:r w:rsidRPr="00046858">
        <w:rPr>
          <w:noProof/>
        </w:rPr>
        <w:t xml:space="preserve"> ecosistemului semiconductorilor din Uniune, </w:t>
      </w:r>
      <w:r w:rsidRPr="00046858">
        <w:rPr>
          <w:rStyle w:val="Added"/>
          <w:b w:val="0"/>
          <w:noProof/>
          <w:u w:val="none"/>
        </w:rPr>
        <w:t>statele membre pot,</w:t>
      </w:r>
      <w:r w:rsidRPr="00046858">
        <w:rPr>
          <w:noProof/>
        </w:rPr>
        <w:t xml:space="preserve"> fără a aduce atingere articolelor 107 și 108 din TFUE, să aplice măsuri de sprijin și să ofere sprijin administrativ proiectelor strategice în conformitate cu Regulamentul (UE) XXXX/XXXX [Fondul european pentru competitivitate]</w:t>
      </w:r>
      <w:r w:rsidRPr="00046858">
        <w:rPr>
          <w:b/>
          <w:noProof/>
        </w:rPr>
        <w:t xml:space="preserve"> </w:t>
      </w:r>
      <w:r w:rsidRPr="00046858">
        <w:rPr>
          <w:rStyle w:val="Added"/>
          <w:b w:val="0"/>
          <w:noProof/>
          <w:u w:val="none"/>
        </w:rPr>
        <w:t>și cu alte acte legislative relevante ale Uniunii, precum și inițiativelor europene în domeniul tehnologiilor semiconductorilor</w:t>
      </w:r>
      <w:r w:rsidRPr="00046858">
        <w:rPr>
          <w:noProof/>
        </w:rPr>
        <w:t>.</w:t>
      </w:r>
    </w:p>
    <w:p w14:paraId="1ED92EF3" w14:textId="01A0C69C" w:rsidR="00AD0AD9" w:rsidRPr="00046858" w:rsidRDefault="002E7C28" w:rsidP="003A4FB5">
      <w:pPr>
        <w:pStyle w:val="ManualNumPar1"/>
        <w:rPr>
          <w:noProof/>
        </w:rPr>
      </w:pPr>
      <w:r w:rsidRPr="00046858">
        <w:rPr>
          <w:noProof/>
        </w:rPr>
        <w:t>(3)</w:t>
      </w:r>
      <w:r w:rsidRPr="00046858">
        <w:rPr>
          <w:noProof/>
        </w:rPr>
        <w:tab/>
        <w:t xml:space="preserve">În plus, Comisia poate aplica măsuri de sprijin, </w:t>
      </w:r>
      <w:r w:rsidRPr="00046858">
        <w:rPr>
          <w:rStyle w:val="Added"/>
          <w:b w:val="0"/>
          <w:noProof/>
          <w:u w:val="none"/>
        </w:rPr>
        <w:t>inclusiv, dar fără a se limita la granturi,</w:t>
      </w:r>
      <w:r w:rsidRPr="00046858">
        <w:rPr>
          <w:noProof/>
        </w:rPr>
        <w:t xml:space="preserve"> pentru proiecte strategice în conformitate cu Regulamentul (UE) XXXX/XXXX [Fondul european pentru competitivitate] </w:t>
      </w:r>
      <w:r w:rsidRPr="00046858">
        <w:rPr>
          <w:rStyle w:val="Added"/>
          <w:b w:val="0"/>
          <w:noProof/>
          <w:u w:val="none"/>
        </w:rPr>
        <w:t>și cu alte acte legislative relevante ale Uniunii</w:t>
      </w:r>
      <w:r w:rsidRPr="00046858">
        <w:rPr>
          <w:noProof/>
        </w:rPr>
        <w:t>.</w:t>
      </w:r>
    </w:p>
    <w:p w14:paraId="0CEAF2B4" w14:textId="77777777" w:rsidR="00593128" w:rsidRPr="00046858" w:rsidRDefault="00593128" w:rsidP="00593128">
      <w:pPr>
        <w:pStyle w:val="Titrearticle"/>
        <w:rPr>
          <w:noProof/>
        </w:rPr>
      </w:pPr>
      <w:r w:rsidRPr="00046858">
        <w:rPr>
          <w:noProof/>
        </w:rPr>
        <w:t xml:space="preserve">Articolul 14 </w:t>
      </w:r>
      <w:r w:rsidRPr="00046858">
        <w:rPr>
          <w:noProof/>
        </w:rPr>
        <w:cr/>
      </w:r>
      <w:r w:rsidRPr="00046858">
        <w:rPr>
          <w:noProof/>
        </w:rPr>
        <w:br/>
        <w:t>Inițiative europene în domeniul tehnologiilor semiconductorilor</w:t>
      </w:r>
    </w:p>
    <w:p w14:paraId="2C6D8F60" w14:textId="20A4C916" w:rsidR="00945959" w:rsidRPr="00046858" w:rsidRDefault="00945959" w:rsidP="006164B0">
      <w:pPr>
        <w:pStyle w:val="ManualNumPar1"/>
        <w:rPr>
          <w:rStyle w:val="Added"/>
          <w:b w:val="0"/>
          <w:noProof/>
          <w:u w:val="none"/>
        </w:rPr>
      </w:pPr>
      <w:r w:rsidRPr="00046858">
        <w:rPr>
          <w:noProof/>
        </w:rPr>
        <w:t>(1)</w:t>
      </w:r>
      <w:r w:rsidRPr="00046858">
        <w:rPr>
          <w:noProof/>
        </w:rPr>
        <w:tab/>
      </w:r>
      <w:r w:rsidRPr="00046858">
        <w:rPr>
          <w:rStyle w:val="Added"/>
          <w:b w:val="0"/>
          <w:noProof/>
          <w:u w:val="none"/>
        </w:rPr>
        <w:t>Inițiativele europene în domeniul tehnologiilor semiconductorilor sunt realizate de întreprinderi naționale.</w:t>
      </w:r>
    </w:p>
    <w:p w14:paraId="02222142" w14:textId="7DC57761" w:rsidR="00945959" w:rsidRPr="00046858" w:rsidRDefault="00945959" w:rsidP="003A4FB5">
      <w:pPr>
        <w:pStyle w:val="ManualNumPar1"/>
        <w:rPr>
          <w:rStyle w:val="Added"/>
          <w:b w:val="0"/>
          <w:noProof/>
          <w:u w:val="none"/>
        </w:rPr>
      </w:pPr>
      <w:r w:rsidRPr="00046858">
        <w:rPr>
          <w:noProof/>
        </w:rPr>
        <w:t>(2)</w:t>
      </w:r>
      <w:r w:rsidRPr="00046858">
        <w:rPr>
          <w:noProof/>
        </w:rPr>
        <w:tab/>
      </w:r>
      <w:r w:rsidRPr="00046858">
        <w:rPr>
          <w:rStyle w:val="Added"/>
          <w:b w:val="0"/>
          <w:noProof/>
          <w:u w:val="none"/>
        </w:rPr>
        <w:t>Inițiativele europene în domeniul tehnologiilor semiconductorilor trebuie să demonstreze că acestea își vor articula lanțul de aprovizionare într-un mod care să reducă dependența lanțului de aprovizionare de întreprinderile din exterior și să consolideze securitatea aprovizionării Uniunii.</w:t>
      </w:r>
    </w:p>
    <w:p w14:paraId="72628A1C" w14:textId="2D800A22" w:rsidR="00593128" w:rsidRPr="00046858" w:rsidRDefault="00D41898" w:rsidP="003A4FB5">
      <w:pPr>
        <w:pStyle w:val="ManualNumPar1"/>
        <w:rPr>
          <w:noProof/>
        </w:rPr>
      </w:pPr>
      <w:r w:rsidRPr="00046858">
        <w:rPr>
          <w:noProof/>
        </w:rPr>
        <w:t>(3)</w:t>
      </w:r>
      <w:r w:rsidRPr="00046858">
        <w:rPr>
          <w:noProof/>
        </w:rPr>
        <w:tab/>
        <w:t xml:space="preserve">Inițiativele europene în domeniul tehnologiilor semiconductorilor sunt inițiative de pionierat care contribuie la </w:t>
      </w:r>
      <w:r w:rsidRPr="00046858">
        <w:rPr>
          <w:rStyle w:val="Added"/>
          <w:b w:val="0"/>
          <w:noProof/>
          <w:u w:val="none"/>
        </w:rPr>
        <w:t>caracterul indispensabil, reziliența, prosperitatea</w:t>
      </w:r>
      <w:r w:rsidRPr="00046858">
        <w:rPr>
          <w:noProof/>
        </w:rPr>
        <w:t xml:space="preserve"> și securitatea aprovizionării ecosistemului semiconductorilor din Uniune. </w:t>
      </w:r>
    </w:p>
    <w:p w14:paraId="495949A9" w14:textId="66A5A250" w:rsidR="00593128" w:rsidRPr="00046858" w:rsidRDefault="00593128" w:rsidP="003A4FB5">
      <w:pPr>
        <w:pStyle w:val="ManualNumPar1"/>
        <w:rPr>
          <w:noProof/>
        </w:rPr>
      </w:pPr>
      <w:r w:rsidRPr="00046858">
        <w:rPr>
          <w:noProof/>
        </w:rPr>
        <w:t>(4)</w:t>
      </w:r>
      <w:r w:rsidRPr="00046858">
        <w:rPr>
          <w:noProof/>
        </w:rPr>
        <w:tab/>
        <w:t xml:space="preserve">La momentul depunerii unei cereri în conformitate cu articolul 15 alineatul (1), este necesar ca o inițiativă europeană în domeniul tehnologiilor semiconductorilor să se califice drept inițiativă de pionierat. </w:t>
      </w:r>
    </w:p>
    <w:p w14:paraId="016BC21F" w14:textId="3D936E21" w:rsidR="00CF29CA" w:rsidRPr="00046858" w:rsidRDefault="00CF29CA" w:rsidP="003A4FB5">
      <w:pPr>
        <w:pStyle w:val="ManualNumPar1"/>
        <w:rPr>
          <w:noProof/>
        </w:rPr>
      </w:pPr>
      <w:r w:rsidRPr="00046858">
        <w:rPr>
          <w:noProof/>
        </w:rPr>
        <w:lastRenderedPageBreak/>
        <w:t>(5)</w:t>
      </w:r>
      <w:r w:rsidRPr="00046858">
        <w:rPr>
          <w:noProof/>
        </w:rPr>
        <w:tab/>
        <w:t>Inițiativele de pionierat nu trebuie să beneficieze de măsuri de sprijin sau de sprijin administrativ, astfel cum se menționează la articolul 13, pentru a solicita statutul de inițiativă europeană în domeniul tehnologiilor semiconductorilor.</w:t>
      </w:r>
    </w:p>
    <w:p w14:paraId="1E02DE0E" w14:textId="32EF7715" w:rsidR="00593128" w:rsidRPr="00046858" w:rsidRDefault="00593128" w:rsidP="003A4FB5">
      <w:pPr>
        <w:pStyle w:val="ManualNumPar1"/>
        <w:rPr>
          <w:noProof/>
        </w:rPr>
      </w:pPr>
      <w:r w:rsidRPr="00046858">
        <w:rPr>
          <w:noProof/>
        </w:rPr>
        <w:t>(6)</w:t>
      </w:r>
      <w:r w:rsidRPr="00046858">
        <w:rPr>
          <w:noProof/>
        </w:rPr>
        <w:tab/>
        <w:t xml:space="preserve">O inițiativă europeană în domeniul tehnologiilor semiconductorilor </w:t>
      </w:r>
      <w:r w:rsidRPr="00046858">
        <w:rPr>
          <w:rStyle w:val="Added"/>
          <w:b w:val="0"/>
          <w:noProof/>
          <w:u w:val="none"/>
        </w:rPr>
        <w:t>trebuie să respecte</w:t>
      </w:r>
      <w:r w:rsidRPr="00046858">
        <w:rPr>
          <w:noProof/>
        </w:rPr>
        <w:t xml:space="preserve"> următoarele cerințe:</w:t>
      </w:r>
    </w:p>
    <w:p w14:paraId="6F0D7ACD" w14:textId="77777777" w:rsidR="00593128" w:rsidRPr="00046858" w:rsidRDefault="00593128" w:rsidP="000006E4">
      <w:pPr>
        <w:pStyle w:val="Point1"/>
        <w:rPr>
          <w:noProof/>
        </w:rPr>
      </w:pPr>
      <w:r w:rsidRPr="00046858">
        <w:rPr>
          <w:noProof/>
        </w:rPr>
        <w:t>(a)</w:t>
      </w:r>
      <w:r w:rsidRPr="00046858">
        <w:rPr>
          <w:noProof/>
        </w:rPr>
        <w:tab/>
        <w:t xml:space="preserve">înființarea sa are un impact pozitiv clar cu efecte de propagare dincolo de aceasta sau de statul membru sau statele membre în cauză asupra lanțului valoric al semiconductorilor din Uniune și a piețelor finale ale Uniunii, pe termen mediu și lung, cu scopul de a garanta </w:t>
      </w:r>
      <w:r w:rsidRPr="00046858">
        <w:rPr>
          <w:rStyle w:val="Added"/>
          <w:b w:val="0"/>
          <w:noProof/>
          <w:u w:val="none"/>
        </w:rPr>
        <w:t>caracterul indispensabil, reziliența și prosperitatea</w:t>
      </w:r>
      <w:r w:rsidRPr="00046858">
        <w:rPr>
          <w:noProof/>
        </w:rPr>
        <w:t xml:space="preserve"> ecosistemului semiconductorilor, inclusiv creșterea start-upurilor și a IMM-urilor, și de a contribui la tranziția verde și cea digitală a Uniunii și, în cazul în care acest lucru este relevant pentru modelul de afaceri al instalației, ținând seama de măsura în care aceasta oferă capacitate de fabricare inițială (front-end) sau finală (back-end) sau ambele unor întreprinderi care nu sunt afiliate instalației, dacă există cerere suficientă;</w:t>
      </w:r>
    </w:p>
    <w:p w14:paraId="732D0D42" w14:textId="77777777" w:rsidR="00593128" w:rsidRPr="00046858" w:rsidRDefault="00593128" w:rsidP="006D2A9B">
      <w:pPr>
        <w:pStyle w:val="Point1"/>
        <w:rPr>
          <w:noProof/>
        </w:rPr>
      </w:pPr>
      <w:r w:rsidRPr="00046858">
        <w:rPr>
          <w:noProof/>
        </w:rPr>
        <w:t>(b)</w:t>
      </w:r>
      <w:r w:rsidRPr="00046858">
        <w:rPr>
          <w:noProof/>
        </w:rPr>
        <w:tab/>
        <w:t>se asigură că nu face obiectul aplicării extrateritoriale a obligațiilor de serviciu public ale țărilor terțe într-un mod care poate submina capacitatea întreprinderii de a respecta obligațiile prevăzute la articolul 43 alineatul (1) și se angajează să informeze Comisia în cazul în care intervine o astfel de obligație;</w:t>
      </w:r>
    </w:p>
    <w:p w14:paraId="22628C19" w14:textId="77777777" w:rsidR="00593128" w:rsidRPr="00046858" w:rsidRDefault="00593128" w:rsidP="006D2A9B">
      <w:pPr>
        <w:pStyle w:val="Point1"/>
        <w:rPr>
          <w:noProof/>
        </w:rPr>
      </w:pPr>
      <w:r w:rsidRPr="00046858">
        <w:rPr>
          <w:noProof/>
        </w:rPr>
        <w:t>(c)</w:t>
      </w:r>
      <w:r w:rsidRPr="00046858">
        <w:rPr>
          <w:noProof/>
        </w:rPr>
        <w:tab/>
        <w:t xml:space="preserve">investește în Uniune în inovarea continuă cu scopul de a realiza progrese concrete în domeniul tehnologiei semiconductorilor sau de a pregăti tehnologiile de generație următoare ale </w:t>
      </w:r>
      <w:r w:rsidRPr="00046858">
        <w:rPr>
          <w:rStyle w:val="Added"/>
          <w:b w:val="0"/>
          <w:noProof/>
          <w:u w:val="none"/>
        </w:rPr>
        <w:t>semiconductorilor</w:t>
      </w:r>
      <w:r w:rsidRPr="00046858">
        <w:rPr>
          <w:noProof/>
        </w:rPr>
        <w:t>;</w:t>
      </w:r>
    </w:p>
    <w:p w14:paraId="39A55CF2" w14:textId="77777777" w:rsidR="00593128" w:rsidRPr="00046858" w:rsidRDefault="00593128" w:rsidP="006D2A9B">
      <w:pPr>
        <w:pStyle w:val="Point1"/>
        <w:rPr>
          <w:noProof/>
        </w:rPr>
      </w:pPr>
      <w:r w:rsidRPr="00046858">
        <w:rPr>
          <w:noProof/>
        </w:rPr>
        <w:t>(d)</w:t>
      </w:r>
      <w:r w:rsidRPr="00046858">
        <w:rPr>
          <w:noProof/>
        </w:rPr>
        <w:tab/>
        <w:t>sprijină rezerva de talente a Uniunii prin dezvoltarea și implementarea formării educaționale și în materie de competențe și prin creșterea rezervei de forță calificată și competentă de muncă;</w:t>
      </w:r>
    </w:p>
    <w:p w14:paraId="17EB7CCB" w14:textId="2F5C4E6F" w:rsidR="00593128" w:rsidRPr="00046858" w:rsidRDefault="00E23BA7" w:rsidP="006D2A9B">
      <w:pPr>
        <w:pStyle w:val="Point1"/>
        <w:rPr>
          <w:noProof/>
        </w:rPr>
      </w:pPr>
      <w:r w:rsidRPr="00046858">
        <w:rPr>
          <w:noProof/>
        </w:rPr>
        <w:t>(e)</w:t>
      </w:r>
      <w:r w:rsidRPr="00046858">
        <w:rPr>
          <w:noProof/>
        </w:rPr>
        <w:tab/>
      </w:r>
      <w:r w:rsidRPr="00046858">
        <w:rPr>
          <w:rStyle w:val="Added"/>
          <w:b w:val="0"/>
          <w:noProof/>
          <w:u w:val="none"/>
        </w:rPr>
        <w:t xml:space="preserve">dacă </w:t>
      </w:r>
      <w:r w:rsidRPr="00046858">
        <w:rPr>
          <w:noProof/>
        </w:rPr>
        <w:t>este o instalație de producție, participă la Platforma B2B pentru lanțul de aprovizionare cu semiconductori, astfel cum se menționează la articolul 34.</w:t>
      </w:r>
    </w:p>
    <w:p w14:paraId="401F3929" w14:textId="0BFBD696" w:rsidR="00593128" w:rsidRPr="00046858" w:rsidRDefault="00593128" w:rsidP="003A4FB5">
      <w:pPr>
        <w:pStyle w:val="ManualNumPar1"/>
        <w:rPr>
          <w:noProof/>
        </w:rPr>
      </w:pPr>
      <w:r w:rsidRPr="00046858">
        <w:rPr>
          <w:noProof/>
        </w:rPr>
        <w:t>(7)</w:t>
      </w:r>
      <w:r w:rsidRPr="00046858">
        <w:rPr>
          <w:noProof/>
        </w:rPr>
        <w:tab/>
        <w:t>În scopul investițiilor în inovarea continuă în conformitate cu alineatul (6) litera (c) de la prezentul articol, inițiativele europene în domeniul tehnologiilor semiconductorilor au acces preferențial la liniile-pilot instituite în conformitate cu articolul 5 litera (b). Orice astfel de acces preferențial nu exclude și nici nu împiedică accesul efectiv, în termeni echitabili, al altor întreprinderi interesate, în special al start-upurilor și al IMM-urilor, la liniile-pilot.</w:t>
      </w:r>
    </w:p>
    <w:p w14:paraId="08E0A354" w14:textId="6EEFB759" w:rsidR="00593128" w:rsidRPr="00046858" w:rsidRDefault="00593128" w:rsidP="003A4FB5">
      <w:pPr>
        <w:pStyle w:val="ManualNumPar1"/>
        <w:rPr>
          <w:noProof/>
        </w:rPr>
      </w:pPr>
      <w:r w:rsidRPr="00046858">
        <w:rPr>
          <w:noProof/>
        </w:rPr>
        <w:t>(8)</w:t>
      </w:r>
      <w:r w:rsidRPr="00046858">
        <w:rPr>
          <w:noProof/>
        </w:rPr>
        <w:tab/>
        <w:t xml:space="preserve">În cazul în care o inițiativă europeană în domeniul tehnologiilor semiconductorilor oferă capacitate de producție unor întreprinderi care nu au legătură cu </w:t>
      </w:r>
      <w:r w:rsidRPr="00046858">
        <w:rPr>
          <w:rStyle w:val="Added"/>
          <w:b w:val="0"/>
          <w:noProof/>
          <w:u w:val="none"/>
        </w:rPr>
        <w:t>inițiativa</w:t>
      </w:r>
      <w:r w:rsidRPr="00046858">
        <w:rPr>
          <w:noProof/>
        </w:rPr>
        <w:t>, </w:t>
      </w:r>
      <w:r w:rsidRPr="00046858">
        <w:rPr>
          <w:rStyle w:val="Added"/>
          <w:b w:val="0"/>
          <w:noProof/>
          <w:u w:val="none"/>
        </w:rPr>
        <w:t>inițiativa</w:t>
      </w:r>
      <w:r w:rsidRPr="00046858">
        <w:rPr>
          <w:noProof/>
        </w:rPr>
        <w:t xml:space="preserve"> stabilește și menține o separare funcțională adecvată și eficace a proceselor de proiectare și de fabricare a semiconductorilor pentru a asigura protecția informațiilor obținute în fiecare etapă.</w:t>
      </w:r>
    </w:p>
    <w:p w14:paraId="2CE6814B" w14:textId="77777777" w:rsidR="00593128" w:rsidRPr="00046858" w:rsidRDefault="00593128" w:rsidP="008F7AD2">
      <w:pPr>
        <w:pStyle w:val="Titrearticle"/>
        <w:rPr>
          <w:noProof/>
        </w:rPr>
      </w:pPr>
      <w:r w:rsidRPr="00046858">
        <w:rPr>
          <w:noProof/>
        </w:rPr>
        <w:t xml:space="preserve">Articolul 15 </w:t>
      </w:r>
      <w:r w:rsidRPr="00046858">
        <w:rPr>
          <w:noProof/>
        </w:rPr>
        <w:cr/>
      </w:r>
      <w:r w:rsidRPr="00046858">
        <w:rPr>
          <w:noProof/>
        </w:rPr>
        <w:br/>
        <w:t>Cererea de acordare a statutului de inițiativă europeană în domeniul tehnologiilor semiconductorilor</w:t>
      </w:r>
    </w:p>
    <w:p w14:paraId="21FAE16E" w14:textId="47058935" w:rsidR="00593128" w:rsidRPr="00046858" w:rsidRDefault="00593128" w:rsidP="006164B0">
      <w:pPr>
        <w:pStyle w:val="ManualNumPar1"/>
        <w:rPr>
          <w:noProof/>
        </w:rPr>
      </w:pPr>
      <w:r w:rsidRPr="00046858">
        <w:rPr>
          <w:noProof/>
        </w:rPr>
        <w:t>(1)</w:t>
      </w:r>
      <w:r w:rsidRPr="00046858">
        <w:rPr>
          <w:noProof/>
        </w:rPr>
        <w:tab/>
        <w:t>Orice întreprindere sau consorțiu de întreprinderi poate transmite o cerere Comisiei solicitându-i să acorde unui proiect statutul de inițiativă europeană în domeniul tehnologiilor semiconductorilor.</w:t>
      </w:r>
    </w:p>
    <w:p w14:paraId="30A701DE" w14:textId="75A421E7" w:rsidR="00593128" w:rsidRPr="00046858" w:rsidRDefault="00593128" w:rsidP="003A4FB5">
      <w:pPr>
        <w:pStyle w:val="ManualNumPar1"/>
        <w:rPr>
          <w:noProof/>
        </w:rPr>
      </w:pPr>
      <w:r w:rsidRPr="00046858">
        <w:rPr>
          <w:noProof/>
        </w:rPr>
        <w:lastRenderedPageBreak/>
        <w:t>(2)</w:t>
      </w:r>
      <w:r w:rsidRPr="00046858">
        <w:rPr>
          <w:noProof/>
        </w:rPr>
        <w:tab/>
        <w:t xml:space="preserve">Comisia, ținând seama de </w:t>
      </w:r>
      <w:r w:rsidRPr="00046858">
        <w:rPr>
          <w:rStyle w:val="Added"/>
          <w:b w:val="0"/>
          <w:noProof/>
          <w:u w:val="none"/>
        </w:rPr>
        <w:t>avizul</w:t>
      </w:r>
      <w:r w:rsidRPr="00046858">
        <w:rPr>
          <w:noProof/>
        </w:rPr>
        <w:t xml:space="preserve"> Consiliului european pentru semiconductori, evaluează cererea printr-un proces echitabil și transparent, pe baza tuturor elementelor următoare:</w:t>
      </w:r>
    </w:p>
    <w:p w14:paraId="11FF7160" w14:textId="77777777" w:rsidR="00593128" w:rsidRPr="00046858" w:rsidRDefault="00593128" w:rsidP="000006E4">
      <w:pPr>
        <w:pStyle w:val="Point1"/>
        <w:rPr>
          <w:noProof/>
        </w:rPr>
      </w:pPr>
      <w:r w:rsidRPr="00046858">
        <w:rPr>
          <w:noProof/>
        </w:rPr>
        <w:t>(a)</w:t>
      </w:r>
      <w:r w:rsidRPr="00046858">
        <w:rPr>
          <w:noProof/>
        </w:rPr>
        <w:tab/>
        <w:t>respectarea criteriilor prevăzute la articolul 14 alineatul (2) și angajamentul de a respecta cerințele prevăzute la articolul 14 alineatul (6);</w:t>
      </w:r>
    </w:p>
    <w:p w14:paraId="0FAD2D8B" w14:textId="77777777" w:rsidR="00593128" w:rsidRPr="00046858" w:rsidRDefault="00593128" w:rsidP="006D2A9B">
      <w:pPr>
        <w:pStyle w:val="Point1"/>
        <w:rPr>
          <w:noProof/>
        </w:rPr>
      </w:pPr>
      <w:r w:rsidRPr="00046858">
        <w:rPr>
          <w:noProof/>
        </w:rPr>
        <w:t>(b)</w:t>
      </w:r>
      <w:r w:rsidRPr="00046858">
        <w:rPr>
          <w:noProof/>
        </w:rPr>
        <w:tab/>
        <w:t>un plan de afaceri care evaluează viabilitatea financiară și tehnică a proiectului, ținând cont de întreaga sa durată de viață, și care include informații privind orice sprijin public planificat;</w:t>
      </w:r>
    </w:p>
    <w:p w14:paraId="01B8F3C8" w14:textId="77777777" w:rsidR="00593128" w:rsidRPr="00046858" w:rsidRDefault="00593128" w:rsidP="006D2A9B">
      <w:pPr>
        <w:pStyle w:val="Point1"/>
        <w:rPr>
          <w:noProof/>
        </w:rPr>
      </w:pPr>
      <w:r w:rsidRPr="00046858">
        <w:rPr>
          <w:noProof/>
        </w:rPr>
        <w:t>(c)</w:t>
      </w:r>
      <w:r w:rsidRPr="00046858">
        <w:rPr>
          <w:noProof/>
        </w:rPr>
        <w:tab/>
        <w:t>experiența dovedită a solicitantului în derularea unor inițiative similare;</w:t>
      </w:r>
    </w:p>
    <w:p w14:paraId="2F6D01AB" w14:textId="77777777" w:rsidR="00593128" w:rsidRPr="00046858" w:rsidRDefault="00593128" w:rsidP="006D2A9B">
      <w:pPr>
        <w:pStyle w:val="Point1"/>
        <w:rPr>
          <w:noProof/>
        </w:rPr>
      </w:pPr>
      <w:r w:rsidRPr="00046858">
        <w:rPr>
          <w:noProof/>
        </w:rPr>
        <w:t>(d)</w:t>
      </w:r>
      <w:r w:rsidRPr="00046858">
        <w:rPr>
          <w:noProof/>
        </w:rPr>
        <w:tab/>
        <w:t xml:space="preserve">furnizarea unui document justificativ adecvat care să ateste disponibilitatea statului membru sau a statelor membre în care solicitantul intenționează să își înființeze instalația de a sprijini înființarea unei astfel de </w:t>
      </w:r>
      <w:r w:rsidRPr="00046858">
        <w:rPr>
          <w:rStyle w:val="Added"/>
          <w:b w:val="0"/>
          <w:noProof/>
          <w:u w:val="none"/>
        </w:rPr>
        <w:t>inițiative</w:t>
      </w:r>
      <w:r w:rsidRPr="00046858">
        <w:rPr>
          <w:noProof/>
        </w:rPr>
        <w:t>;</w:t>
      </w:r>
    </w:p>
    <w:p w14:paraId="03E5D7F1" w14:textId="77777777" w:rsidR="00593128" w:rsidRPr="00046858" w:rsidRDefault="00593128" w:rsidP="006D2A9B">
      <w:pPr>
        <w:pStyle w:val="Point1"/>
        <w:rPr>
          <w:noProof/>
        </w:rPr>
      </w:pPr>
      <w:r w:rsidRPr="00046858">
        <w:rPr>
          <w:noProof/>
        </w:rPr>
        <w:t>(e)</w:t>
      </w:r>
      <w:r w:rsidRPr="00046858">
        <w:rPr>
          <w:noProof/>
        </w:rPr>
        <w:tab/>
        <w:t xml:space="preserve">existența unor politici adecvate </w:t>
      </w:r>
      <w:r w:rsidRPr="00046858">
        <w:rPr>
          <w:rStyle w:val="Added"/>
          <w:b w:val="0"/>
          <w:noProof/>
          <w:u w:val="none"/>
        </w:rPr>
        <w:t>și a unor acorduri de licență adecvate</w:t>
      </w:r>
      <w:r w:rsidRPr="00046858">
        <w:rPr>
          <w:noProof/>
        </w:rPr>
        <w:t>, inclusiv a unor măsuri tehnice de protecție și de punere în aplicare, menite să asigure protecția informațiilor nedivulgate și a drepturilor de proprietate intelectuală, în special pentru a preveni divulgarea neautorizată a secretelor comerciale sau scurgerea de tehnologii emergente sensibile.</w:t>
      </w:r>
    </w:p>
    <w:p w14:paraId="2399E25D" w14:textId="77777777" w:rsidR="00593128" w:rsidRPr="00046858" w:rsidRDefault="00593128" w:rsidP="00485213">
      <w:pPr>
        <w:pStyle w:val="Text1"/>
        <w:rPr>
          <w:noProof/>
        </w:rPr>
      </w:pPr>
      <w:r w:rsidRPr="00046858">
        <w:rPr>
          <w:noProof/>
        </w:rPr>
        <w:t xml:space="preserve">Comisia furnizează orientări cu privire la informațiile solicitate </w:t>
      </w:r>
      <w:r w:rsidRPr="00046858">
        <w:rPr>
          <w:rStyle w:val="Added"/>
          <w:b w:val="0"/>
          <w:noProof/>
          <w:u w:val="none"/>
        </w:rPr>
        <w:t xml:space="preserve">în temeiul primului paragraf </w:t>
      </w:r>
      <w:r w:rsidRPr="00046858">
        <w:rPr>
          <w:noProof/>
        </w:rPr>
        <w:t>și la formatul relevant al acestora.</w:t>
      </w:r>
    </w:p>
    <w:p w14:paraId="618DCAE5" w14:textId="53277CDA" w:rsidR="00593128" w:rsidRPr="00046858" w:rsidRDefault="00593128" w:rsidP="003A4FB5">
      <w:pPr>
        <w:pStyle w:val="ManualNumPar1"/>
        <w:rPr>
          <w:noProof/>
        </w:rPr>
      </w:pPr>
      <w:r w:rsidRPr="00046858">
        <w:rPr>
          <w:noProof/>
        </w:rPr>
        <w:t>(3)</w:t>
      </w:r>
      <w:r w:rsidRPr="00046858">
        <w:rPr>
          <w:noProof/>
        </w:rPr>
        <w:tab/>
        <w:t>Comisia prelucrează cererile, adoptă deciziile și informează solicitanții în termen de trei luni de la primirea unei cereri complete. În cazul în care consideră că informațiile furnizate în cerere sunt incomplete, Comisia îi acordă solicitantului posibilitatea de a transmite informațiile suplimentare necesare pentru completarea cererii fără întârzieri nejustificate. Decizia Comisiei determină durata statutului pe baza duratei de viață estimate a proiectului.</w:t>
      </w:r>
    </w:p>
    <w:p w14:paraId="17ADAD7A" w14:textId="5563BB04" w:rsidR="00593128" w:rsidRPr="00046858" w:rsidRDefault="00593128" w:rsidP="003A4FB5">
      <w:pPr>
        <w:pStyle w:val="ManualNumPar1"/>
        <w:rPr>
          <w:noProof/>
        </w:rPr>
      </w:pPr>
      <w:r w:rsidRPr="00046858">
        <w:rPr>
          <w:noProof/>
        </w:rPr>
        <w:t>(4)</w:t>
      </w:r>
      <w:r w:rsidRPr="00046858">
        <w:rPr>
          <w:noProof/>
        </w:rPr>
        <w:tab/>
        <w:t>Comisia monitorizează progresele înregistrate în ceea ce privește înființarea inițiativelor europene în domeniul tehnologiilor semiconductorilor, precum și exploatarea acestora și informează periodic Consiliul european pentru semiconductori.</w:t>
      </w:r>
    </w:p>
    <w:p w14:paraId="7CE4E594" w14:textId="5CE60C81" w:rsidR="00593128" w:rsidRPr="00046858" w:rsidRDefault="00593128" w:rsidP="003A4FB5">
      <w:pPr>
        <w:pStyle w:val="ManualNumPar1"/>
        <w:rPr>
          <w:noProof/>
        </w:rPr>
      </w:pPr>
      <w:r w:rsidRPr="00046858">
        <w:rPr>
          <w:noProof/>
        </w:rPr>
        <w:t>(5)</w:t>
      </w:r>
      <w:r w:rsidRPr="00046858">
        <w:rPr>
          <w:noProof/>
        </w:rPr>
        <w:tab/>
        <w:t xml:space="preserve">Operatorul </w:t>
      </w:r>
      <w:r w:rsidRPr="00046858">
        <w:rPr>
          <w:rStyle w:val="Added"/>
          <w:b w:val="0"/>
          <w:noProof/>
          <w:u w:val="none"/>
        </w:rPr>
        <w:t>inițiativei</w:t>
      </w:r>
      <w:r w:rsidRPr="00046858">
        <w:rPr>
          <w:noProof/>
        </w:rPr>
        <w:t xml:space="preserve"> îi poate solicita Comisiei să reevalueze durata statutului sau să accepte modificarea planurilor sale de punere în aplicare în ceea ce privește respectarea cerințelor prevăzute la articolul 14 alineatul (6), în cazul în care consideră că o astfel de reevaluare este justificată în mod corespunzător de circumstanțe externe neprevăzute. Pe baza unei astfel de reevaluări, Comisia poate revizui durata statutului acordat în conformitate cu alineatul (3) de la prezentul articol sau poate accepta modificarea planurilor de punere în aplicare.</w:t>
      </w:r>
    </w:p>
    <w:p w14:paraId="74484ACF" w14:textId="39E40892" w:rsidR="00593128" w:rsidRPr="00046858" w:rsidRDefault="00593128" w:rsidP="003A4FB5">
      <w:pPr>
        <w:pStyle w:val="ManualNumPar1"/>
        <w:rPr>
          <w:noProof/>
        </w:rPr>
      </w:pPr>
      <w:r w:rsidRPr="00046858">
        <w:rPr>
          <w:noProof/>
        </w:rPr>
        <w:t>(6)</w:t>
      </w:r>
      <w:r w:rsidRPr="00046858">
        <w:rPr>
          <w:noProof/>
        </w:rPr>
        <w:tab/>
        <w:t xml:space="preserve">În cazul în care Comisia constată că </w:t>
      </w:r>
      <w:r w:rsidRPr="00046858">
        <w:rPr>
          <w:rStyle w:val="Added"/>
          <w:b w:val="0"/>
          <w:noProof/>
          <w:u w:val="none"/>
        </w:rPr>
        <w:t>o inițiativă</w:t>
      </w:r>
      <w:r w:rsidRPr="00046858">
        <w:rPr>
          <w:noProof/>
        </w:rPr>
        <w:t xml:space="preserve"> nu mai îndeplinește cerințele prevăzute la articolul 14 alineatul (6), aceasta îi oferă operatorului inițiativei europene în domeniul tehnologiilor semiconductorilor posibilitatea de a prezenta observații și de a propune măsuri adecvate.</w:t>
      </w:r>
    </w:p>
    <w:p w14:paraId="146AE4B5" w14:textId="128C2941" w:rsidR="00593128" w:rsidRPr="00046858" w:rsidRDefault="00593128" w:rsidP="003A4FB5">
      <w:pPr>
        <w:pStyle w:val="ManualNumPar1"/>
        <w:rPr>
          <w:noProof/>
        </w:rPr>
      </w:pPr>
      <w:r w:rsidRPr="00046858">
        <w:rPr>
          <w:noProof/>
        </w:rPr>
        <w:t>(7)</w:t>
      </w:r>
      <w:r w:rsidRPr="00046858">
        <w:rPr>
          <w:noProof/>
        </w:rPr>
        <w:tab/>
        <w:t xml:space="preserve">Comisia poate abroga o decizie de recunoaștere a statutului unei inițiative europene în domeniul tehnologiilor semiconductorilor în cazul în care recunoașterea s-a bazat pe o cerere care conținea informații incorecte sau în cazul în care, în pofida finalizării procedurii prevăzute la alineatul (5) de la prezentul articol, inițiativa europeană în domeniul tehnologiilor semiconductorilor nu îndeplinește cerințele prevăzute la articolul 14 alineatul (6). Înainte de a lua o astfel de decizie, Comisia consultă </w:t>
      </w:r>
      <w:r w:rsidRPr="00046858">
        <w:rPr>
          <w:noProof/>
        </w:rPr>
        <w:lastRenderedPageBreak/>
        <w:t>Consiliul european pentru semiconductori, după ce i-a transmis motivele care justifică abrogarea propusă. Orice decizie de abrogare a statutului unei inițiative europene în domeniul tehnologiilor semiconductorilor se motivează în mod corespunzător și face obiectul unui drept la o cale de atac din partea operatorului.</w:t>
      </w:r>
    </w:p>
    <w:p w14:paraId="63D4B0D2" w14:textId="533E747E" w:rsidR="00593128" w:rsidRPr="00046858" w:rsidRDefault="0025126D" w:rsidP="003A4FB5">
      <w:pPr>
        <w:pStyle w:val="ManualNumPar1"/>
        <w:rPr>
          <w:noProof/>
        </w:rPr>
      </w:pPr>
      <w:r w:rsidRPr="00046858">
        <w:rPr>
          <w:noProof/>
        </w:rPr>
        <w:t>(8)</w:t>
      </w:r>
      <w:r w:rsidRPr="00046858">
        <w:rPr>
          <w:noProof/>
        </w:rPr>
        <w:tab/>
      </w:r>
      <w:r w:rsidRPr="00046858">
        <w:rPr>
          <w:rStyle w:val="Added"/>
          <w:b w:val="0"/>
          <w:noProof/>
          <w:u w:val="none"/>
        </w:rPr>
        <w:t>Inițiativele</w:t>
      </w:r>
      <w:r w:rsidRPr="00046858">
        <w:rPr>
          <w:b/>
          <w:noProof/>
        </w:rPr>
        <w:t xml:space="preserve"> </w:t>
      </w:r>
      <w:r w:rsidRPr="00046858">
        <w:rPr>
          <w:noProof/>
        </w:rPr>
        <w:t xml:space="preserve">al căror statut de inițiativă europeană în domeniul tehnologiilor semiconductorilor a fost abrogat în temeiul alineatului (7) de la prezentul articol își pierd toate drepturile legate de recunoașterea acestui statut care decurg din prezentul regulament. Cu toate acestea, astfel de </w:t>
      </w:r>
      <w:r w:rsidRPr="00046858">
        <w:rPr>
          <w:rStyle w:val="Added"/>
          <w:b w:val="0"/>
          <w:noProof/>
          <w:u w:val="none"/>
        </w:rPr>
        <w:t>inițiative</w:t>
      </w:r>
      <w:r w:rsidRPr="00046858">
        <w:rPr>
          <w:noProof/>
        </w:rPr>
        <w:t xml:space="preserve"> rămân supuse obligației prevăzute la articolul 42 alineatul (1) pentru o perioadă echivalentă cu cea prevăzută inițial atunci când a fost acordat statutul în conformitate cu alineatul (3) de la prezentul articol sau, în cazul în care statutul a fost reevaluat, cu durata aplicabilă în conformitate cu alineatul (5) de la prezentul articol.</w:t>
      </w:r>
    </w:p>
    <w:p w14:paraId="7190438D" w14:textId="77777777" w:rsidR="00E93806" w:rsidRPr="00046858" w:rsidRDefault="00E93806" w:rsidP="00E93806">
      <w:pPr>
        <w:pStyle w:val="Titrearticle"/>
        <w:rPr>
          <w:noProof/>
        </w:rPr>
      </w:pPr>
      <w:r w:rsidRPr="00046858">
        <w:rPr>
          <w:noProof/>
        </w:rPr>
        <w:t xml:space="preserve">Articolul 16 </w:t>
      </w:r>
      <w:r w:rsidRPr="00046858">
        <w:rPr>
          <w:noProof/>
        </w:rPr>
        <w:cr/>
      </w:r>
      <w:r w:rsidRPr="00046858">
        <w:rPr>
          <w:noProof/>
        </w:rPr>
        <w:br/>
        <w:t>Proiecte strategice</w:t>
      </w:r>
    </w:p>
    <w:p w14:paraId="467C5B34" w14:textId="5A12574F" w:rsidR="00E93806" w:rsidRPr="00046858" w:rsidRDefault="00B7253E" w:rsidP="006164B0">
      <w:pPr>
        <w:pStyle w:val="ManualNumPar1"/>
        <w:rPr>
          <w:noProof/>
        </w:rPr>
      </w:pPr>
      <w:r w:rsidRPr="00046858">
        <w:rPr>
          <w:noProof/>
        </w:rPr>
        <w:t>(1)</w:t>
      </w:r>
      <w:r w:rsidRPr="00046858">
        <w:rPr>
          <w:noProof/>
        </w:rPr>
        <w:tab/>
        <w:t>Comisia recunoaște drept proiecte strategice proiectele privind semiconductorii care îndeplinesc toate cerințele următoare:</w:t>
      </w:r>
    </w:p>
    <w:p w14:paraId="2BC3B1C8" w14:textId="77777777" w:rsidR="00E93806" w:rsidRPr="00046858" w:rsidRDefault="00AF22A9" w:rsidP="000006E4">
      <w:pPr>
        <w:pStyle w:val="Point1"/>
        <w:rPr>
          <w:noProof/>
        </w:rPr>
      </w:pPr>
      <w:r w:rsidRPr="00046858">
        <w:rPr>
          <w:noProof/>
        </w:rPr>
        <w:t>(a)</w:t>
      </w:r>
      <w:r w:rsidRPr="00046858">
        <w:rPr>
          <w:noProof/>
        </w:rPr>
        <w:tab/>
        <w:t>oferă o valoare adăugată semnificativă Uniunii, contribuind în mod substanțial la obiectivele de interes comun ale Uniunii;</w:t>
      </w:r>
    </w:p>
    <w:p w14:paraId="0D8821F9" w14:textId="77777777" w:rsidR="00945959" w:rsidRPr="00046858" w:rsidRDefault="00A4471D" w:rsidP="000006E4">
      <w:pPr>
        <w:pStyle w:val="Point1"/>
        <w:rPr>
          <w:rStyle w:val="Added"/>
          <w:b w:val="0"/>
          <w:noProof/>
          <w:u w:val="none"/>
        </w:rPr>
      </w:pPr>
      <w:r w:rsidRPr="00046858">
        <w:rPr>
          <w:noProof/>
        </w:rPr>
        <w:t>(b)</w:t>
      </w:r>
      <w:r w:rsidRPr="00046858">
        <w:rPr>
          <w:noProof/>
        </w:rPr>
        <w:tab/>
      </w:r>
      <w:r w:rsidRPr="00046858">
        <w:rPr>
          <w:rStyle w:val="Added"/>
          <w:b w:val="0"/>
          <w:noProof/>
          <w:u w:val="none"/>
        </w:rPr>
        <w:t>proiectul strategic în cauză este realizat de întreprinderi naționale;</w:t>
      </w:r>
    </w:p>
    <w:p w14:paraId="3A8BF88B" w14:textId="77777777" w:rsidR="00A4471D" w:rsidRPr="00046858" w:rsidRDefault="00207B46" w:rsidP="000006E4">
      <w:pPr>
        <w:pStyle w:val="Point1"/>
        <w:rPr>
          <w:rStyle w:val="Added"/>
          <w:b w:val="0"/>
          <w:noProof/>
          <w:u w:val="none"/>
        </w:rPr>
      </w:pPr>
      <w:r w:rsidRPr="00046858">
        <w:rPr>
          <w:noProof/>
        </w:rPr>
        <w:t>(c)</w:t>
      </w:r>
      <w:r w:rsidRPr="00046858">
        <w:rPr>
          <w:noProof/>
        </w:rPr>
        <w:tab/>
      </w:r>
      <w:r w:rsidRPr="00046858">
        <w:rPr>
          <w:rStyle w:val="Added"/>
          <w:b w:val="0"/>
          <w:noProof/>
          <w:u w:val="none"/>
        </w:rPr>
        <w:t>proiectele strategice demonstrează că își vor articula lanțul de aprovizionare într-un mod care să reducă dependența lanțului de aprovizionare de întreprinderile din exterior și să consolideze securitatea aprovizionării Uniunii;</w:t>
      </w:r>
    </w:p>
    <w:p w14:paraId="26CAB0FB" w14:textId="77777777" w:rsidR="00E93806" w:rsidRPr="00046858" w:rsidRDefault="00AF22A9" w:rsidP="000006E4">
      <w:pPr>
        <w:pStyle w:val="Point1"/>
        <w:rPr>
          <w:noProof/>
        </w:rPr>
      </w:pPr>
      <w:r w:rsidRPr="00046858">
        <w:rPr>
          <w:noProof/>
        </w:rPr>
        <w:t>(d)</w:t>
      </w:r>
      <w:r w:rsidRPr="00046858">
        <w:rPr>
          <w:noProof/>
        </w:rPr>
        <w:tab/>
        <w:t>au o dimensiune transfrontalieră clară, în special prin cooperare tehnică sau sprijin public care implică mai multe state membre;</w:t>
      </w:r>
    </w:p>
    <w:p w14:paraId="48F467C6" w14:textId="77777777" w:rsidR="00E93806" w:rsidRPr="00046858" w:rsidRDefault="00AF22A9" w:rsidP="000006E4">
      <w:pPr>
        <w:pStyle w:val="Point1"/>
        <w:rPr>
          <w:noProof/>
        </w:rPr>
      </w:pPr>
      <w:r w:rsidRPr="00046858">
        <w:rPr>
          <w:noProof/>
        </w:rPr>
        <w:t>(e)</w:t>
      </w:r>
      <w:r w:rsidRPr="00046858">
        <w:rPr>
          <w:noProof/>
        </w:rPr>
        <w:tab/>
        <w:t>contribuie la reziliența și robustețea lanțului valoric al semiconductorilor din Uniune;</w:t>
      </w:r>
    </w:p>
    <w:p w14:paraId="633DE18E" w14:textId="77777777" w:rsidR="00E93806" w:rsidRPr="00046858" w:rsidRDefault="00AF22A9" w:rsidP="000006E4">
      <w:pPr>
        <w:pStyle w:val="Point1"/>
        <w:rPr>
          <w:noProof/>
        </w:rPr>
      </w:pPr>
      <w:r w:rsidRPr="00046858">
        <w:rPr>
          <w:noProof/>
        </w:rPr>
        <w:t>(f)</w:t>
      </w:r>
      <w:r w:rsidRPr="00046858">
        <w:rPr>
          <w:noProof/>
        </w:rPr>
        <w:tab/>
        <w:t>contribuie la consolidarea suveranității tehnologice și a poziției de lider tehnologic ale Uniunii prin facilitarea, promovarea sau asigurarea capacităților, tehnologiilor sau capabilităților critice în cadrul Uniunii, inclusiv prin reducerea dependențelor strategice.</w:t>
      </w:r>
    </w:p>
    <w:p w14:paraId="5803017E" w14:textId="77F4732A" w:rsidR="00E93806" w:rsidRPr="00046858" w:rsidRDefault="00A1609D" w:rsidP="003A4FB5">
      <w:pPr>
        <w:pStyle w:val="ManualNumPar1"/>
        <w:rPr>
          <w:noProof/>
        </w:rPr>
      </w:pPr>
      <w:r w:rsidRPr="00046858">
        <w:rPr>
          <w:noProof/>
        </w:rPr>
        <w:t>(2)</w:t>
      </w:r>
      <w:r w:rsidRPr="00046858">
        <w:rPr>
          <w:noProof/>
        </w:rPr>
        <w:tab/>
        <w:t>Proiectele strategice cu amplasamente multiple sunt gestionate de un singur consorțiu și funcționează ca o entitate juridică și tehnică integrată.</w:t>
      </w:r>
    </w:p>
    <w:p w14:paraId="065D10C0" w14:textId="0685604D" w:rsidR="005F1457" w:rsidRPr="00046858" w:rsidRDefault="00833978" w:rsidP="003A4FB5">
      <w:pPr>
        <w:pStyle w:val="ManualNumPar1"/>
        <w:rPr>
          <w:rStyle w:val="Added"/>
          <w:noProof/>
        </w:rPr>
      </w:pPr>
      <w:r w:rsidRPr="00046858">
        <w:rPr>
          <w:noProof/>
        </w:rPr>
        <w:t>(3)</w:t>
      </w:r>
      <w:r w:rsidRPr="00046858">
        <w:rPr>
          <w:noProof/>
        </w:rPr>
        <w:tab/>
        <w:t xml:space="preserve">Participarea la proiecte strategice este limitată la entitățile </w:t>
      </w:r>
      <w:r w:rsidRPr="00046858">
        <w:rPr>
          <w:rStyle w:val="Added"/>
          <w:b w:val="0"/>
          <w:noProof/>
          <w:u w:val="none"/>
        </w:rPr>
        <w:t>Uniunii</w:t>
      </w:r>
      <w:r w:rsidRPr="00046858">
        <w:rPr>
          <w:noProof/>
        </w:rPr>
        <w:t>.</w:t>
      </w:r>
    </w:p>
    <w:p w14:paraId="3B583E49" w14:textId="4745C779" w:rsidR="00617D0D" w:rsidRPr="00046858" w:rsidRDefault="005F1457" w:rsidP="003A4FB5">
      <w:pPr>
        <w:pStyle w:val="ManualNumPar1"/>
        <w:rPr>
          <w:rStyle w:val="Added"/>
          <w:b w:val="0"/>
          <w:noProof/>
          <w:u w:val="none"/>
        </w:rPr>
      </w:pPr>
      <w:r w:rsidRPr="00046858">
        <w:rPr>
          <w:noProof/>
        </w:rPr>
        <w:t>(4)</w:t>
      </w:r>
      <w:r w:rsidRPr="00046858">
        <w:rPr>
          <w:noProof/>
        </w:rPr>
        <w:tab/>
        <w:t xml:space="preserve">Prin derogare de la alineatul (3), participarea entităților juridice stabilite în țări terțe </w:t>
      </w:r>
      <w:r w:rsidRPr="00046858">
        <w:rPr>
          <w:rStyle w:val="Added"/>
          <w:b w:val="0"/>
          <w:noProof/>
          <w:u w:val="none"/>
        </w:rPr>
        <w:t>este permisă</w:t>
      </w:r>
      <w:r w:rsidRPr="00046858">
        <w:rPr>
          <w:noProof/>
        </w:rPr>
        <w:t xml:space="preserve">, cu condiția ca această participare să fie în concordanță cu condițiile menționate la alineatul (1) și </w:t>
      </w:r>
      <w:r w:rsidRPr="00046858">
        <w:rPr>
          <w:rStyle w:val="Added"/>
          <w:b w:val="0"/>
          <w:noProof/>
          <w:u w:val="none"/>
        </w:rPr>
        <w:t>să facă obiectul condițiilor relevante legate de securitate ale programelor aplicabile ale Uniunii</w:t>
      </w:r>
      <w:r w:rsidRPr="00046858">
        <w:rPr>
          <w:noProof/>
        </w:rPr>
        <w:t>.</w:t>
      </w:r>
    </w:p>
    <w:p w14:paraId="2CC149B5" w14:textId="77777777" w:rsidR="00EC651B" w:rsidRPr="00046858" w:rsidRDefault="00EC651B" w:rsidP="00D0403B">
      <w:pPr>
        <w:pStyle w:val="Text1"/>
        <w:rPr>
          <w:noProof/>
        </w:rPr>
      </w:pPr>
    </w:p>
    <w:p w14:paraId="274610D5" w14:textId="3F50936C" w:rsidR="00EC651B" w:rsidRPr="00046858" w:rsidRDefault="00EC651B" w:rsidP="00D0403B">
      <w:pPr>
        <w:pStyle w:val="Titrearticle"/>
        <w:rPr>
          <w:noProof/>
        </w:rPr>
      </w:pPr>
      <w:r w:rsidRPr="00046858">
        <w:rPr>
          <w:noProof/>
        </w:rPr>
        <w:t>Articolul 17</w:t>
      </w:r>
    </w:p>
    <w:p w14:paraId="2E21ED0A" w14:textId="68BFE2F2" w:rsidR="00EC651B" w:rsidRPr="00046858" w:rsidRDefault="00EC651B" w:rsidP="006B0135">
      <w:pPr>
        <w:jc w:val="center"/>
        <w:rPr>
          <w:i/>
          <w:iCs/>
          <w:noProof/>
        </w:rPr>
      </w:pPr>
      <w:r w:rsidRPr="00046858">
        <w:rPr>
          <w:i/>
          <w:noProof/>
        </w:rPr>
        <w:t>Identificarea domeniilor prioritare pentru proiectele strategice</w:t>
      </w:r>
    </w:p>
    <w:p w14:paraId="435A5AA0" w14:textId="32A92E7E" w:rsidR="002933E1" w:rsidRPr="00046858" w:rsidRDefault="008425AE" w:rsidP="006164B0">
      <w:pPr>
        <w:pStyle w:val="ManualNumPar1"/>
        <w:rPr>
          <w:noProof/>
        </w:rPr>
      </w:pPr>
      <w:r w:rsidRPr="00046858">
        <w:rPr>
          <w:noProof/>
        </w:rPr>
        <w:lastRenderedPageBreak/>
        <w:t>(1)</w:t>
      </w:r>
      <w:r w:rsidRPr="00046858">
        <w:rPr>
          <w:noProof/>
        </w:rPr>
        <w:tab/>
        <w:t xml:space="preserve">O descriere tehnică a domeniilor prioritare pentru proiectele strategice potențiale în anumite domenii tehnologice orientative este prevăzută în anexa II. </w:t>
      </w:r>
      <w:r w:rsidRPr="00046858">
        <w:rPr>
          <w:rStyle w:val="Added"/>
          <w:b w:val="0"/>
          <w:noProof/>
          <w:u w:val="none"/>
        </w:rPr>
        <w:t xml:space="preserve">În vederea actualizării descrierilor tehnologice și a domeniilor tehnologice orientative enumerate în anexa II </w:t>
      </w:r>
      <w:r w:rsidRPr="00046858">
        <w:rPr>
          <w:noProof/>
        </w:rPr>
        <w:t xml:space="preserve">pentru a reflecta </w:t>
      </w:r>
      <w:r w:rsidRPr="00046858">
        <w:rPr>
          <w:rStyle w:val="Added"/>
          <w:b w:val="0"/>
          <w:noProof/>
          <w:u w:val="none"/>
        </w:rPr>
        <w:t>schimbările tehnologice și evoluțiile pieței relevante pentru sectorul semiconductorilor,</w:t>
      </w:r>
      <w:r w:rsidRPr="00046858">
        <w:rPr>
          <w:b/>
          <w:noProof/>
        </w:rPr>
        <w:t xml:space="preserve"> </w:t>
      </w:r>
      <w:r w:rsidRPr="00046858">
        <w:rPr>
          <w:noProof/>
        </w:rPr>
        <w:t>Comisia este împuternicită să adopte acte delegate în conformitate cu articolul 55 pentru a modifica anexa II.</w:t>
      </w:r>
    </w:p>
    <w:p w14:paraId="05639954" w14:textId="27D2A80C" w:rsidR="001C7F47" w:rsidRPr="00046858" w:rsidRDefault="0089687C" w:rsidP="003A4FB5">
      <w:pPr>
        <w:pStyle w:val="ManualNumPar1"/>
        <w:rPr>
          <w:noProof/>
        </w:rPr>
      </w:pPr>
      <w:r w:rsidRPr="00046858">
        <w:rPr>
          <w:noProof/>
        </w:rPr>
        <w:t>(2)</w:t>
      </w:r>
      <w:r w:rsidRPr="00046858">
        <w:rPr>
          <w:noProof/>
        </w:rPr>
        <w:tab/>
        <w:t>Comisia decide, ținând seama de avizul Consiliului european pentru semiconductori, pe baza criteriilor prevăzute la articolul 16 alineatul (1) și a domeniilor tehnologice orientative menționate în anexa II, cu privire la domeniile prioritare pentru proiectele strategice potențiale.</w:t>
      </w:r>
    </w:p>
    <w:p w14:paraId="2C246E67" w14:textId="51818526" w:rsidR="00950948" w:rsidRPr="00046858" w:rsidRDefault="00332072" w:rsidP="00332072">
      <w:pPr>
        <w:pStyle w:val="Titrearticle"/>
        <w:rPr>
          <w:noProof/>
        </w:rPr>
      </w:pPr>
      <w:r w:rsidRPr="00046858">
        <w:rPr>
          <w:noProof/>
        </w:rPr>
        <w:t xml:space="preserve">Articolul 18 </w:t>
      </w:r>
      <w:r w:rsidRPr="00046858">
        <w:rPr>
          <w:noProof/>
        </w:rPr>
        <w:cr/>
      </w:r>
      <w:r w:rsidRPr="00046858">
        <w:rPr>
          <w:noProof/>
        </w:rPr>
        <w:br/>
        <w:t>Desemnarea proiectelor strategice</w:t>
      </w:r>
    </w:p>
    <w:p w14:paraId="2AEF62BE" w14:textId="498549F3" w:rsidR="0089687C" w:rsidRPr="00046858" w:rsidRDefault="0089687C" w:rsidP="006164B0">
      <w:pPr>
        <w:pStyle w:val="ManualNumPar1"/>
        <w:rPr>
          <w:noProof/>
        </w:rPr>
      </w:pPr>
      <w:r w:rsidRPr="00046858">
        <w:rPr>
          <w:noProof/>
        </w:rPr>
        <w:t>(1)</w:t>
      </w:r>
      <w:r w:rsidRPr="00046858">
        <w:rPr>
          <w:noProof/>
        </w:rPr>
        <w:tab/>
        <w:t>Punerea în aplicare a acțiunilor de sprijinire a proiectelor strategice potențiale îi este încredințată întreprinderii comune pentru cipuri și se realizează prin acțiuni prevăzute în programul său de lucru.</w:t>
      </w:r>
    </w:p>
    <w:p w14:paraId="0CAC1F0B" w14:textId="5D308F1E" w:rsidR="002518A0" w:rsidRPr="00046858" w:rsidRDefault="00CB0DB6" w:rsidP="003A4FB5">
      <w:pPr>
        <w:pStyle w:val="ManualNumPar1"/>
        <w:rPr>
          <w:noProof/>
        </w:rPr>
      </w:pPr>
      <w:r w:rsidRPr="00046858">
        <w:rPr>
          <w:noProof/>
        </w:rPr>
        <w:t>(2)</w:t>
      </w:r>
      <w:r w:rsidRPr="00046858">
        <w:rPr>
          <w:noProof/>
        </w:rPr>
        <w:tab/>
        <w:t xml:space="preserve">Comisia, ținând seama de avizul Consiliului european pentru semiconductori, desemnează drept proiecte strategice, printr-o decizie, propunerile selectate pentru finanțare de către întreprinderea comună pentru cipuri care îndeplinesc criteriile prevăzute la articolul 16 alineatul (1) </w:t>
      </w:r>
      <w:r w:rsidRPr="00046858">
        <w:rPr>
          <w:rStyle w:val="Added"/>
          <w:b w:val="0"/>
          <w:noProof/>
          <w:u w:val="none"/>
        </w:rPr>
        <w:t>și care solicită să fie desemnate ca atare</w:t>
      </w:r>
      <w:r w:rsidRPr="00046858">
        <w:rPr>
          <w:noProof/>
        </w:rPr>
        <w:t>.</w:t>
      </w:r>
    </w:p>
    <w:p w14:paraId="422F9042" w14:textId="12009F26" w:rsidR="00FD7FA4" w:rsidRPr="00046858" w:rsidRDefault="0052315B" w:rsidP="003A4FB5">
      <w:pPr>
        <w:pStyle w:val="ManualNumPar1"/>
        <w:rPr>
          <w:noProof/>
        </w:rPr>
      </w:pPr>
      <w:r w:rsidRPr="00046858">
        <w:rPr>
          <w:noProof/>
        </w:rPr>
        <w:t>(3)</w:t>
      </w:r>
      <w:r w:rsidRPr="00046858">
        <w:rPr>
          <w:noProof/>
        </w:rPr>
        <w:tab/>
        <w:t xml:space="preserve">Sub rezerva acordului solicitantului sau al solicitanților, propunerile care nu sunt selectate pentru finanțare de către întreprinderea comună pentru cipuri pot fi, de asemenea, desemnate drept proiecte strategice atunci când îndeplinesc cerințele de evaluare aplicabile </w:t>
      </w:r>
      <w:r w:rsidRPr="00046858">
        <w:rPr>
          <w:rStyle w:val="Added"/>
          <w:b w:val="0"/>
          <w:noProof/>
          <w:u w:val="none"/>
        </w:rPr>
        <w:t>prevăzute în cererea de propuneri</w:t>
      </w:r>
      <w:r w:rsidRPr="00046858">
        <w:rPr>
          <w:noProof/>
        </w:rPr>
        <w:t xml:space="preserve">, precum și criteriile prevăzute la articolul 16 alineatul (1). Posibilitatea de a obține o astfel de desemnare este indicată în mod clar în cererile de propuneri și în procedurile de depunere a cererilor aferente </w:t>
      </w:r>
      <w:r w:rsidRPr="00046858">
        <w:rPr>
          <w:rStyle w:val="Added"/>
          <w:b w:val="0"/>
          <w:noProof/>
          <w:u w:val="none"/>
        </w:rPr>
        <w:t>și ar trebui să fie solicitată de proiect</w:t>
      </w:r>
      <w:r w:rsidRPr="00046858">
        <w:rPr>
          <w:noProof/>
        </w:rPr>
        <w:t>.</w:t>
      </w:r>
    </w:p>
    <w:p w14:paraId="35BE14B6" w14:textId="4DACA709" w:rsidR="00037CBF" w:rsidRPr="00046858" w:rsidRDefault="00533C1D" w:rsidP="003A4FB5">
      <w:pPr>
        <w:pStyle w:val="ManualNumPar1"/>
        <w:rPr>
          <w:noProof/>
        </w:rPr>
      </w:pPr>
      <w:r w:rsidRPr="00046858">
        <w:rPr>
          <w:noProof/>
        </w:rPr>
        <w:t>(4)</w:t>
      </w:r>
      <w:r w:rsidRPr="00046858">
        <w:rPr>
          <w:noProof/>
        </w:rPr>
        <w:tab/>
        <w:t>Decizia Comisiei indică dacă un proiect strategic se califică drept inițiativă de pionierat în conformitate cu prezentul regulament și stabilește durata statutului de inițiativă de pionierat pe baza duratei de viață preconizate a proiectului.</w:t>
      </w:r>
    </w:p>
    <w:p w14:paraId="582D50B3" w14:textId="72E0087B" w:rsidR="00037CBF" w:rsidRPr="00046858" w:rsidRDefault="008F3671" w:rsidP="003A4FB5">
      <w:pPr>
        <w:pStyle w:val="ManualNumPar1"/>
        <w:rPr>
          <w:noProof/>
        </w:rPr>
      </w:pPr>
      <w:r w:rsidRPr="00046858">
        <w:rPr>
          <w:noProof/>
        </w:rPr>
        <w:t>(5)</w:t>
      </w:r>
      <w:r w:rsidRPr="00046858">
        <w:rPr>
          <w:noProof/>
        </w:rPr>
        <w:tab/>
        <w:t>Proiectele desemnate drept proiecte strategice beneficiază de drepturile și sunt supuse obligațiilor aplicabile inițiativelor europene în domeniul tehnologiilor semiconductorilor în temeiul prezentului regulament atunci când respectă cerințele prevăzute la articolul 14 alineatul (6).</w:t>
      </w:r>
    </w:p>
    <w:p w14:paraId="5D7DC0E9" w14:textId="5241A67A" w:rsidR="00480703" w:rsidRPr="00046858" w:rsidRDefault="002B5AA2" w:rsidP="003A4FB5">
      <w:pPr>
        <w:pStyle w:val="ManualNumPar1"/>
        <w:rPr>
          <w:noProof/>
        </w:rPr>
      </w:pPr>
      <w:r w:rsidRPr="00046858">
        <w:rPr>
          <w:noProof/>
        </w:rPr>
        <w:t>(6)</w:t>
      </w:r>
      <w:r w:rsidRPr="00046858">
        <w:rPr>
          <w:noProof/>
        </w:rPr>
        <w:tab/>
        <w:t>Proiectul strategic îi poate solicita Comisiei să reevalueze durata statutului de proiect strategic sau să accepte modificarea planurilor de punere în aplicare ale operatorului în ceea ce privește respectarea cerințelor prevăzute la articolul 16 alineatul (1), în cazul în care operatorul consideră că o astfel de reevaluare este justificată în mod corespunzător de circumstanțe externe neprevăzute. Pe baza unei astfel de reevaluări, Comisia poate revizui durata statutului de proiect strategic acordat sau poate accepta modificarea planurilor de punere în aplicare.</w:t>
      </w:r>
    </w:p>
    <w:p w14:paraId="3C5E9B56" w14:textId="3B4D578A" w:rsidR="00037CBF" w:rsidRPr="00046858" w:rsidRDefault="006E6CB2" w:rsidP="003A4FB5">
      <w:pPr>
        <w:pStyle w:val="ManualNumPar1"/>
        <w:rPr>
          <w:noProof/>
        </w:rPr>
      </w:pPr>
      <w:r w:rsidRPr="00046858">
        <w:rPr>
          <w:noProof/>
        </w:rPr>
        <w:t>(7)</w:t>
      </w:r>
      <w:r w:rsidRPr="00046858">
        <w:rPr>
          <w:noProof/>
        </w:rPr>
        <w:tab/>
        <w:t xml:space="preserve">Fără a aduce atingere vreunei suspendări sau încetări a acordurilor de finanțare dintre operatorul care pune în aplicare proiectul strategic și întreprinderea comună pentru cipuri, în cazul în care Comisia constată că un proiect desemnat drept proiect strategic nu mai îndeplinește criteriile prevăzute la articolul 16 sau în cazul în care desemnarea sa s-a bazat pe o cerere care conținea informații incorecte care afectează </w:t>
      </w:r>
      <w:r w:rsidRPr="00046858">
        <w:rPr>
          <w:noProof/>
        </w:rPr>
        <w:lastRenderedPageBreak/>
        <w:t>respectarea criteriilor respective, aceasta poate, ținând seama de avizul Consiliului european pentru semiconductori, să retragă desemnarea ca atare a proiectului respectiv printr-o decizie.</w:t>
      </w:r>
    </w:p>
    <w:p w14:paraId="147A1347" w14:textId="6EAD6DCE" w:rsidR="00037CBF" w:rsidRPr="00046858" w:rsidRDefault="00037CBF" w:rsidP="003A4FB5">
      <w:pPr>
        <w:pStyle w:val="ManualNumPar1"/>
        <w:rPr>
          <w:noProof/>
        </w:rPr>
      </w:pPr>
      <w:r w:rsidRPr="00046858">
        <w:rPr>
          <w:noProof/>
        </w:rPr>
        <w:t>(8)</w:t>
      </w:r>
      <w:r w:rsidRPr="00046858">
        <w:rPr>
          <w:noProof/>
        </w:rPr>
        <w:tab/>
        <w:t xml:space="preserve">Înainte de adoptarea unei decizii în temeiul alineatului (6) </w:t>
      </w:r>
      <w:r w:rsidRPr="00046858">
        <w:rPr>
          <w:rStyle w:val="Added"/>
          <w:b w:val="0"/>
          <w:noProof/>
          <w:u w:val="none"/>
        </w:rPr>
        <w:t>de la prezentul articol</w:t>
      </w:r>
      <w:r w:rsidRPr="00046858">
        <w:rPr>
          <w:noProof/>
        </w:rPr>
        <w:t xml:space="preserve">, Comisia îi prezintă operatorului </w:t>
      </w:r>
      <w:r w:rsidRPr="00046858">
        <w:rPr>
          <w:rStyle w:val="Added"/>
          <w:b w:val="0"/>
          <w:noProof/>
          <w:u w:val="none"/>
        </w:rPr>
        <w:t>care pune în aplicare</w:t>
      </w:r>
      <w:r w:rsidRPr="00046858">
        <w:rPr>
          <w:noProof/>
        </w:rPr>
        <w:t xml:space="preserve"> proiectul strategic motivele retragerii preconizate și îi oferă posibilitatea de a prezenta observații într-un termen adecvat. Comisia ține seama în mod corespunzător de aceste observații. Orice decizie de retragere a statutului de proiect strategic se motivează în mod corespunzător și poate face obiectul drept la o cale de atac.</w:t>
      </w:r>
    </w:p>
    <w:p w14:paraId="2A4246E3" w14:textId="6A3654BF" w:rsidR="00037CBF" w:rsidRPr="00046858" w:rsidRDefault="00037CBF" w:rsidP="003A4FB5">
      <w:pPr>
        <w:pStyle w:val="ManualNumPar1"/>
        <w:rPr>
          <w:noProof/>
        </w:rPr>
      </w:pPr>
      <w:r w:rsidRPr="00046858">
        <w:rPr>
          <w:noProof/>
        </w:rPr>
        <w:t>(9)</w:t>
      </w:r>
      <w:r w:rsidRPr="00046858">
        <w:rPr>
          <w:noProof/>
        </w:rPr>
        <w:tab/>
        <w:t>Proiectele pentru care desemnarea drept proiect strategic a fost retrasă își pierd toate drepturile și obligațiile legate de statutul de proiect strategic în temeiul prezentului regulament. Cu toate acestea, astfel de proiecte continuă să facă obiectul obligației prevăzute la articolul 43 alineatul (1) pentru o perioadă echivalentă cu cea prevăzută inițial în momentul acordării statutului.</w:t>
      </w:r>
    </w:p>
    <w:p w14:paraId="3070626C" w14:textId="36DDD078" w:rsidR="000173DF" w:rsidRPr="00046858" w:rsidRDefault="000173DF" w:rsidP="000173DF">
      <w:pPr>
        <w:pStyle w:val="Titrearticle"/>
        <w:rPr>
          <w:noProof/>
        </w:rPr>
      </w:pPr>
      <w:r w:rsidRPr="00046858">
        <w:rPr>
          <w:noProof/>
        </w:rPr>
        <w:t xml:space="preserve">Articolul 19 </w:t>
      </w:r>
      <w:r w:rsidRPr="00046858">
        <w:rPr>
          <w:noProof/>
        </w:rPr>
        <w:cr/>
      </w:r>
      <w:r w:rsidRPr="00046858">
        <w:rPr>
          <w:noProof/>
        </w:rPr>
        <w:br/>
        <w:t>Fabricarea semiconductorilor avansați</w:t>
      </w:r>
    </w:p>
    <w:p w14:paraId="627C9B6E" w14:textId="35DA439A" w:rsidR="000173DF" w:rsidRPr="00046858" w:rsidRDefault="000173DF" w:rsidP="006164B0">
      <w:pPr>
        <w:pStyle w:val="ManualNumPar1"/>
        <w:rPr>
          <w:noProof/>
        </w:rPr>
      </w:pPr>
      <w:r w:rsidRPr="00046858">
        <w:rPr>
          <w:noProof/>
        </w:rPr>
        <w:t>(1)</w:t>
      </w:r>
      <w:r w:rsidRPr="00046858">
        <w:rPr>
          <w:noProof/>
        </w:rPr>
        <w:tab/>
        <w:t xml:space="preserve">Pentru a consolida suveranitatea Uniunii și a asigura securitatea aprovizionării cu semiconductori, Comisia, în conformitate cu articolul 17 alineatul (1), tratează cu cea mai mare prioritate un proiect strategic </w:t>
      </w:r>
      <w:r w:rsidRPr="00046858">
        <w:rPr>
          <w:rStyle w:val="Added"/>
          <w:b w:val="0"/>
          <w:noProof/>
          <w:u w:val="none"/>
        </w:rPr>
        <w:t>care vizează o turnătorie deschisă cu sediul în Uniune pentru fabricarea semiconductorilor avansați</w:t>
      </w:r>
      <w:r w:rsidRPr="00046858">
        <w:rPr>
          <w:noProof/>
        </w:rPr>
        <w:t>.</w:t>
      </w:r>
    </w:p>
    <w:p w14:paraId="6163AEC4" w14:textId="070B6237" w:rsidR="000173DF" w:rsidRPr="00046858" w:rsidRDefault="000173DF" w:rsidP="003A4FB5">
      <w:pPr>
        <w:pStyle w:val="ManualNumPar1"/>
        <w:rPr>
          <w:noProof/>
        </w:rPr>
      </w:pPr>
      <w:r w:rsidRPr="00046858">
        <w:rPr>
          <w:noProof/>
        </w:rPr>
        <w:t>(2)</w:t>
      </w:r>
      <w:r w:rsidRPr="00046858">
        <w:rPr>
          <w:noProof/>
        </w:rPr>
        <w:tab/>
        <w:t xml:space="preserve">Turnătoria deschisă pentru fabricarea semiconductorilor avansați </w:t>
      </w:r>
      <w:r w:rsidRPr="00046858">
        <w:rPr>
          <w:rStyle w:val="Added"/>
          <w:b w:val="0"/>
          <w:noProof/>
          <w:u w:val="none"/>
        </w:rPr>
        <w:t>menționată la alineatul (1)</w:t>
      </w:r>
      <w:r w:rsidRPr="00046858">
        <w:rPr>
          <w:noProof/>
        </w:rPr>
        <w:t xml:space="preserve"> constituie o instalație sau o rețea coordonată de instalații cu amplasamente multiple situate pe teritoriul Uniunii, capabile să producă și să încapsuleze tehnologii avansate ale semiconductorilor în conformitate cu capabilitățile industriale de ultimă generație.</w:t>
      </w:r>
    </w:p>
    <w:p w14:paraId="7E03DD9F" w14:textId="218EB044" w:rsidR="000173DF" w:rsidRPr="00046858" w:rsidRDefault="000173DF" w:rsidP="003A4FB5">
      <w:pPr>
        <w:pStyle w:val="ManualNumPar1"/>
        <w:rPr>
          <w:noProof/>
        </w:rPr>
      </w:pPr>
      <w:r w:rsidRPr="00046858">
        <w:rPr>
          <w:noProof/>
        </w:rPr>
        <w:t>(3)</w:t>
      </w:r>
      <w:r w:rsidRPr="00046858">
        <w:rPr>
          <w:noProof/>
        </w:rPr>
        <w:tab/>
        <w:t>Turnătoria deschisă pentru fabricarea semiconductorilor avansați ține seama de cerințele și obiectivele stabilite de potențialii achizitori, astfel cum se prevede la articolul 8.</w:t>
      </w:r>
    </w:p>
    <w:p w14:paraId="4BA63FDE" w14:textId="77777777" w:rsidR="00037CBF" w:rsidRPr="00046858" w:rsidRDefault="00037CBF" w:rsidP="00037CBF">
      <w:pPr>
        <w:pStyle w:val="Titrearticle"/>
        <w:rPr>
          <w:noProof/>
        </w:rPr>
      </w:pPr>
      <w:r w:rsidRPr="00046858">
        <w:rPr>
          <w:noProof/>
        </w:rPr>
        <w:t xml:space="preserve">Articolul 20 </w:t>
      </w:r>
      <w:r w:rsidRPr="00046858">
        <w:rPr>
          <w:noProof/>
        </w:rPr>
        <w:cr/>
      </w:r>
      <w:r w:rsidRPr="00046858">
        <w:rPr>
          <w:noProof/>
        </w:rPr>
        <w:br/>
        <w:t>Coordonarea finanțării</w:t>
      </w:r>
    </w:p>
    <w:p w14:paraId="43ECF37A" w14:textId="4080FC00" w:rsidR="00037CBF" w:rsidRPr="00046858" w:rsidRDefault="00037CBF" w:rsidP="006164B0">
      <w:pPr>
        <w:pStyle w:val="ManualNumPar1"/>
        <w:rPr>
          <w:noProof/>
        </w:rPr>
      </w:pPr>
      <w:r w:rsidRPr="00046858">
        <w:rPr>
          <w:noProof/>
        </w:rPr>
        <w:t>(1)</w:t>
      </w:r>
      <w:r w:rsidRPr="00046858">
        <w:rPr>
          <w:noProof/>
        </w:rPr>
        <w:tab/>
        <w:t xml:space="preserve">Comisia poate desfășura activități, dacă este cazul în cooperare cu statele membre, pentru a atrage investiții pentru </w:t>
      </w:r>
      <w:r w:rsidRPr="00046858">
        <w:rPr>
          <w:rStyle w:val="Added"/>
          <w:b w:val="0"/>
          <w:noProof/>
          <w:u w:val="none"/>
        </w:rPr>
        <w:t>inițiative europene în domeniul tehnologiilor semiconductorilor</w:t>
      </w:r>
      <w:r w:rsidRPr="00046858">
        <w:rPr>
          <w:b/>
          <w:noProof/>
        </w:rPr>
        <w:t xml:space="preserve"> </w:t>
      </w:r>
      <w:r w:rsidRPr="00046858">
        <w:rPr>
          <w:noProof/>
        </w:rPr>
        <w:t xml:space="preserve">și proiecte strategice. Fără a aduce atingere articolelor 107 și 108 din TFUE, astfel de activități pot include furnizarea și coordonarea sprijinului pentru </w:t>
      </w:r>
      <w:r w:rsidRPr="00046858">
        <w:rPr>
          <w:rStyle w:val="Added"/>
          <w:b w:val="0"/>
          <w:noProof/>
          <w:u w:val="none"/>
        </w:rPr>
        <w:t>inițiativele europene în domeniul tehnologiilor semiconductorilor</w:t>
      </w:r>
      <w:r w:rsidRPr="00046858">
        <w:rPr>
          <w:noProof/>
        </w:rPr>
        <w:t xml:space="preserve"> și pentru proiectele strategice care se confruntă cu dificultăți în ceea ce privește accesul la finanțare,</w:t>
      </w:r>
      <w:r w:rsidRPr="00046858">
        <w:rPr>
          <w:b/>
          <w:noProof/>
        </w:rPr>
        <w:t xml:space="preserve"> </w:t>
      </w:r>
      <w:r w:rsidRPr="00046858">
        <w:rPr>
          <w:rStyle w:val="Added"/>
          <w:b w:val="0"/>
          <w:noProof/>
          <w:u w:val="none"/>
        </w:rPr>
        <w:t>în sinergie cu programele Uniunii</w:t>
      </w:r>
      <w:r w:rsidRPr="00046858">
        <w:rPr>
          <w:noProof/>
        </w:rPr>
        <w:t>.</w:t>
      </w:r>
    </w:p>
    <w:p w14:paraId="74456243" w14:textId="1057D4B3" w:rsidR="00037CBF" w:rsidRPr="00046858" w:rsidRDefault="00037CBF" w:rsidP="003A4FB5">
      <w:pPr>
        <w:pStyle w:val="ManualNumPar1"/>
        <w:rPr>
          <w:noProof/>
        </w:rPr>
      </w:pPr>
      <w:r w:rsidRPr="00046858">
        <w:rPr>
          <w:noProof/>
        </w:rPr>
        <w:t>(2)</w:t>
      </w:r>
      <w:r w:rsidRPr="00046858">
        <w:rPr>
          <w:noProof/>
        </w:rPr>
        <w:tab/>
      </w:r>
      <w:r w:rsidRPr="00046858">
        <w:rPr>
          <w:rStyle w:val="Added"/>
          <w:noProof/>
          <w:u w:val="none"/>
        </w:rPr>
        <w:t xml:space="preserve"> </w:t>
      </w:r>
      <w:r w:rsidRPr="00046858">
        <w:rPr>
          <w:rStyle w:val="Added"/>
          <w:b w:val="0"/>
          <w:noProof/>
          <w:u w:val="none"/>
        </w:rPr>
        <w:t xml:space="preserve">La cererea unei inițiative europene în domeniul tehnologiilor semiconductorilor </w:t>
      </w:r>
      <w:r w:rsidRPr="00046858">
        <w:rPr>
          <w:noProof/>
        </w:rPr>
        <w:t xml:space="preserve">sau a unui proiect strategic, </w:t>
      </w:r>
      <w:r w:rsidRPr="00046858">
        <w:rPr>
          <w:rStyle w:val="Added"/>
          <w:b w:val="0"/>
          <w:noProof/>
          <w:u w:val="none"/>
        </w:rPr>
        <w:t>Consiliul european pentru semiconductori</w:t>
      </w:r>
      <w:r w:rsidRPr="00046858">
        <w:rPr>
          <w:noProof/>
        </w:rPr>
        <w:t xml:space="preserve"> oferă consiliere cu privire la finanțarea inițiativei sau a proiectului, ținând seama de finanțarea deja asigurată și luând în considerare cel puțin următoarele elemente:</w:t>
      </w:r>
    </w:p>
    <w:p w14:paraId="24D7A777" w14:textId="77777777" w:rsidR="00037CBF" w:rsidRPr="00046858" w:rsidRDefault="008F52C9" w:rsidP="000006E4">
      <w:pPr>
        <w:pStyle w:val="Point1"/>
        <w:rPr>
          <w:noProof/>
        </w:rPr>
      </w:pPr>
      <w:r w:rsidRPr="00046858">
        <w:rPr>
          <w:noProof/>
        </w:rPr>
        <w:lastRenderedPageBreak/>
        <w:t>(a)</w:t>
      </w:r>
      <w:r w:rsidRPr="00046858">
        <w:rPr>
          <w:noProof/>
        </w:rPr>
        <w:tab/>
        <w:t xml:space="preserve">sursele de finanțare publice și private suplimentare, </w:t>
      </w:r>
      <w:r w:rsidRPr="00046858">
        <w:rPr>
          <w:rStyle w:val="Added"/>
          <w:b w:val="0"/>
          <w:noProof/>
          <w:u w:val="none"/>
        </w:rPr>
        <w:t>inclusiv</w:t>
      </w:r>
      <w:r w:rsidRPr="00046858">
        <w:rPr>
          <w:b/>
          <w:noProof/>
        </w:rPr>
        <w:t xml:space="preserve"> </w:t>
      </w:r>
      <w:r w:rsidRPr="00046858">
        <w:rPr>
          <w:rStyle w:val="Added"/>
          <w:b w:val="0"/>
          <w:noProof/>
          <w:u w:val="none"/>
        </w:rPr>
        <w:t>capitalurile proprii</w:t>
      </w:r>
      <w:r w:rsidRPr="00046858">
        <w:rPr>
          <w:noProof/>
        </w:rPr>
        <w:t>;</w:t>
      </w:r>
    </w:p>
    <w:p w14:paraId="00405547" w14:textId="77777777" w:rsidR="00037CBF" w:rsidRPr="00046858" w:rsidRDefault="00037CBF" w:rsidP="000006E4">
      <w:pPr>
        <w:pStyle w:val="Point1"/>
        <w:rPr>
          <w:noProof/>
        </w:rPr>
      </w:pPr>
      <w:r w:rsidRPr="00046858">
        <w:rPr>
          <w:noProof/>
        </w:rPr>
        <w:t>(b)</w:t>
      </w:r>
      <w:r w:rsidRPr="00046858">
        <w:rPr>
          <w:noProof/>
        </w:rPr>
        <w:tab/>
        <w:t xml:space="preserve">sprijinul prin intermediul resurselor din partea Băncii Europene de Investiții sau a altor instituții financiare; </w:t>
      </w:r>
    </w:p>
    <w:p w14:paraId="3F143E7D" w14:textId="77777777" w:rsidR="00037CBF" w:rsidRPr="00046858" w:rsidRDefault="00037CBF" w:rsidP="000006E4">
      <w:pPr>
        <w:pStyle w:val="Point1"/>
        <w:rPr>
          <w:noProof/>
        </w:rPr>
      </w:pPr>
      <w:r w:rsidRPr="00046858">
        <w:rPr>
          <w:noProof/>
        </w:rPr>
        <w:t>(c)</w:t>
      </w:r>
      <w:r w:rsidRPr="00046858">
        <w:rPr>
          <w:noProof/>
        </w:rPr>
        <w:tab/>
        <w:t>instrumentele și programele existente ale statelor membre, inclusiv de la agențiile de creditare a exportului, băncile și instituțiile naționale de promovare;</w:t>
      </w:r>
    </w:p>
    <w:p w14:paraId="06AE1602" w14:textId="77777777" w:rsidR="00037CBF" w:rsidRPr="00046858" w:rsidRDefault="00037CBF" w:rsidP="000006E4">
      <w:pPr>
        <w:pStyle w:val="Point1"/>
        <w:rPr>
          <w:noProof/>
        </w:rPr>
      </w:pPr>
      <w:r w:rsidRPr="00046858">
        <w:rPr>
          <w:noProof/>
        </w:rPr>
        <w:t>(d)</w:t>
      </w:r>
      <w:r w:rsidRPr="00046858">
        <w:rPr>
          <w:noProof/>
        </w:rPr>
        <w:tab/>
        <w:t xml:space="preserve">fondurile și programele de finanțare relevante ale Uniunii. </w:t>
      </w:r>
    </w:p>
    <w:p w14:paraId="5F8F0F5C" w14:textId="77777777" w:rsidR="00E22A44" w:rsidRPr="00046858" w:rsidRDefault="00E22A44" w:rsidP="00DB0920">
      <w:pPr>
        <w:rPr>
          <w:noProof/>
        </w:rPr>
      </w:pPr>
    </w:p>
    <w:p w14:paraId="0E4D24F3" w14:textId="77777777" w:rsidR="007577A1" w:rsidRPr="00046858" w:rsidRDefault="007577A1" w:rsidP="007577A1">
      <w:pPr>
        <w:pStyle w:val="SectionTitle"/>
        <w:rPr>
          <w:noProof/>
        </w:rPr>
      </w:pPr>
      <w:r w:rsidRPr="00046858">
        <w:rPr>
          <w:noProof/>
        </w:rPr>
        <w:t xml:space="preserve">Secțiunea 2 </w:t>
      </w:r>
      <w:r w:rsidRPr="00046858">
        <w:rPr>
          <w:noProof/>
        </w:rPr>
        <w:cr/>
      </w:r>
      <w:r w:rsidRPr="00046858">
        <w:rPr>
          <w:noProof/>
        </w:rPr>
        <w:br/>
        <w:t xml:space="preserve"> </w:t>
      </w:r>
      <w:r w:rsidRPr="00046858">
        <w:rPr>
          <w:noProof/>
        </w:rPr>
        <w:cr/>
      </w:r>
      <w:r w:rsidRPr="00046858">
        <w:rPr>
          <w:noProof/>
        </w:rPr>
        <w:br/>
        <w:t>Procedurile de acordare a autorizațiilor</w:t>
      </w:r>
    </w:p>
    <w:p w14:paraId="408F40AA" w14:textId="77777777" w:rsidR="000B71AC" w:rsidRPr="00046858" w:rsidRDefault="00CB74F5" w:rsidP="000B71AC">
      <w:pPr>
        <w:pStyle w:val="Titrearticle"/>
        <w:rPr>
          <w:noProof/>
        </w:rPr>
      </w:pPr>
      <w:r w:rsidRPr="00046858">
        <w:rPr>
          <w:noProof/>
        </w:rPr>
        <w:t xml:space="preserve">Articolul 21 </w:t>
      </w:r>
      <w:r w:rsidRPr="00046858">
        <w:rPr>
          <w:noProof/>
        </w:rPr>
        <w:cr/>
      </w:r>
      <w:r w:rsidRPr="00046858">
        <w:rPr>
          <w:noProof/>
        </w:rPr>
        <w:br/>
        <w:t>Accelerarea procedurilor de acordare a autorizațiilor</w:t>
      </w:r>
    </w:p>
    <w:p w14:paraId="52B0910C" w14:textId="748590ED" w:rsidR="000B71AC" w:rsidRPr="00046858" w:rsidRDefault="000B71AC" w:rsidP="006164B0">
      <w:pPr>
        <w:pStyle w:val="ManualNumPar1"/>
        <w:rPr>
          <w:noProof/>
        </w:rPr>
      </w:pPr>
      <w:r w:rsidRPr="00046858">
        <w:rPr>
          <w:noProof/>
        </w:rPr>
        <w:t>(1)</w:t>
      </w:r>
      <w:r w:rsidRPr="00046858">
        <w:rPr>
          <w:noProof/>
        </w:rPr>
        <w:tab/>
        <w:t>Statele membre se asigură că respectivele cereri administrative legate de planificarea, construirea și exploatarea inițiativelor europene în domeniul tehnologiilor semiconductorilor și ale proiectelor strategice sunt prelucrate în mod eficient, transparent și în timp util.</w:t>
      </w:r>
    </w:p>
    <w:p w14:paraId="5AB96AA6" w14:textId="0CDD5F58" w:rsidR="000B71AC" w:rsidRPr="00046858" w:rsidRDefault="000B71AC" w:rsidP="003A4FB5">
      <w:pPr>
        <w:pStyle w:val="ManualNumPar1"/>
        <w:rPr>
          <w:noProof/>
        </w:rPr>
      </w:pPr>
      <w:r w:rsidRPr="00046858">
        <w:rPr>
          <w:noProof/>
        </w:rPr>
        <w:t>(2)</w:t>
      </w:r>
      <w:r w:rsidRPr="00046858">
        <w:rPr>
          <w:noProof/>
        </w:rPr>
        <w:tab/>
        <w:t xml:space="preserve">Procedura de acordare a autorizațiilor pentru inițiativele europene în domeniul tehnologiilor semiconductorilor sau proiectele strategice nu depășește 12 luni de la data depunerii unei cereri </w:t>
      </w:r>
      <w:r w:rsidRPr="00046858">
        <w:rPr>
          <w:rStyle w:val="Added"/>
          <w:b w:val="0"/>
          <w:noProof/>
          <w:u w:val="none"/>
        </w:rPr>
        <w:t>complete</w:t>
      </w:r>
      <w:r w:rsidRPr="00046858">
        <w:rPr>
          <w:noProof/>
        </w:rPr>
        <w:t xml:space="preserve"> prin intermediul ghișeului unic.</w:t>
      </w:r>
    </w:p>
    <w:p w14:paraId="163D54B9" w14:textId="62954196" w:rsidR="000B71AC" w:rsidRPr="00046858" w:rsidRDefault="000B71AC" w:rsidP="003A4FB5">
      <w:pPr>
        <w:pStyle w:val="ManualNumPar1"/>
        <w:rPr>
          <w:noProof/>
        </w:rPr>
      </w:pPr>
      <w:r w:rsidRPr="00046858">
        <w:rPr>
          <w:noProof/>
        </w:rPr>
        <w:t>(3)</w:t>
      </w:r>
      <w:r w:rsidRPr="00046858">
        <w:rPr>
          <w:noProof/>
        </w:rPr>
        <w:tab/>
        <w:t>Termenul prevăzut la alineatul (2) nu aduce atingere eventualelor termene mai scurte stabilite de statele membre.</w:t>
      </w:r>
    </w:p>
    <w:p w14:paraId="49E7FEB2" w14:textId="58D2BEBC" w:rsidR="000B71AC" w:rsidRPr="00046858" w:rsidRDefault="000B71AC" w:rsidP="003A4FB5">
      <w:pPr>
        <w:pStyle w:val="ManualNumPar1"/>
        <w:rPr>
          <w:noProof/>
        </w:rPr>
      </w:pPr>
      <w:r w:rsidRPr="00046858">
        <w:rPr>
          <w:noProof/>
        </w:rPr>
        <w:t>(4)</w:t>
      </w:r>
      <w:r w:rsidRPr="00046858">
        <w:rPr>
          <w:noProof/>
        </w:rPr>
        <w:tab/>
        <w:t>Inițiativele europene în domeniul tehnologiilor semiconductorilor și proiectele strategice primesc cel mai înalt statut de importanță la nivel național, dacă un astfel de statut există în dreptul intern, și sunt tratate ca atare în procesele de acordare a autorizațiilor. Prezentul alineat se aplică numai în cazul în care un astfel de statut există în dreptul intern și nu creează o obligație pentru statele membre de a introduce un astfel de statut.</w:t>
      </w:r>
    </w:p>
    <w:p w14:paraId="6422C30F" w14:textId="77777777" w:rsidR="000B71AC" w:rsidRPr="00046858" w:rsidRDefault="000B71AC" w:rsidP="000B71AC">
      <w:pPr>
        <w:pStyle w:val="Titrearticle"/>
        <w:rPr>
          <w:noProof/>
        </w:rPr>
      </w:pPr>
      <w:r w:rsidRPr="00046858">
        <w:rPr>
          <w:noProof/>
        </w:rPr>
        <w:t xml:space="preserve">Articolul 22 </w:t>
      </w:r>
      <w:r w:rsidRPr="00046858">
        <w:rPr>
          <w:noProof/>
        </w:rPr>
        <w:cr/>
      </w:r>
      <w:r w:rsidRPr="00046858">
        <w:rPr>
          <w:noProof/>
        </w:rPr>
        <w:br/>
        <w:t>Ghișeul unic pentru procedurile de acordare a autorizațiilor</w:t>
      </w:r>
    </w:p>
    <w:p w14:paraId="24A212D5" w14:textId="6F2A5C37" w:rsidR="0011019E" w:rsidRPr="00046858" w:rsidRDefault="0011019E" w:rsidP="006164B0">
      <w:pPr>
        <w:pStyle w:val="ManualNumPar1"/>
        <w:rPr>
          <w:noProof/>
        </w:rPr>
      </w:pPr>
      <w:r w:rsidRPr="00046858">
        <w:rPr>
          <w:noProof/>
        </w:rPr>
        <w:t>(1)</w:t>
      </w:r>
      <w:r w:rsidRPr="00046858">
        <w:rPr>
          <w:noProof/>
        </w:rPr>
        <w:tab/>
        <w:t xml:space="preserve">Statele membre desemnează un ghișeu unic responsabil cu centralizarea și coordonarea cererilor </w:t>
      </w:r>
      <w:r w:rsidRPr="00046858">
        <w:rPr>
          <w:rStyle w:val="Added"/>
          <w:b w:val="0"/>
          <w:noProof/>
          <w:u w:val="none"/>
        </w:rPr>
        <w:t>inițiativelor europene în domeniul tehnologiilor semiconductorilor și ale proiectelor strategice în temeiul prezentului articol</w:t>
      </w:r>
      <w:r w:rsidRPr="00046858">
        <w:rPr>
          <w:noProof/>
        </w:rPr>
        <w:t>.</w:t>
      </w:r>
    </w:p>
    <w:p w14:paraId="78B93CEF" w14:textId="13DA765C" w:rsidR="000B71AC" w:rsidRPr="00046858" w:rsidRDefault="000B71AC" w:rsidP="003A4FB5">
      <w:pPr>
        <w:pStyle w:val="ManualNumPar1"/>
        <w:rPr>
          <w:noProof/>
        </w:rPr>
      </w:pPr>
      <w:r w:rsidRPr="00046858">
        <w:rPr>
          <w:noProof/>
        </w:rPr>
        <w:t>(2)</w:t>
      </w:r>
      <w:r w:rsidRPr="00046858">
        <w:rPr>
          <w:noProof/>
        </w:rPr>
        <w:tab/>
        <w:t>Statele membre instituie o procedură unică de acordare a autorizațiilor pe baza unei cereri unice, adresate ghișeului unic desemnat în temeiul articolului 22 alineatul (1), care acoperă toate autorizațiile necesare pentru inițiativele europene în domeniul tehnologiilor semiconductorilor și pentru proiectele strategice.</w:t>
      </w:r>
    </w:p>
    <w:p w14:paraId="75638891" w14:textId="530A0707" w:rsidR="000B71AC" w:rsidRPr="00046858" w:rsidRDefault="000B71AC" w:rsidP="003A4FB5">
      <w:pPr>
        <w:pStyle w:val="ManualNumPar1"/>
        <w:rPr>
          <w:noProof/>
        </w:rPr>
      </w:pPr>
      <w:r w:rsidRPr="00046858">
        <w:rPr>
          <w:noProof/>
        </w:rPr>
        <w:lastRenderedPageBreak/>
        <w:t>(3)</w:t>
      </w:r>
      <w:r w:rsidRPr="00046858">
        <w:rPr>
          <w:noProof/>
        </w:rPr>
        <w:tab/>
        <w:t>Ghișeul unic servește drept punct unic de contact pentru inițiativa europeană în domeniul tehnologiilor semiconductorilor sau proiectul strategic în cauză.</w:t>
      </w:r>
    </w:p>
    <w:p w14:paraId="067B2AAD" w14:textId="34A9CAE7" w:rsidR="000B71AC" w:rsidRPr="00046858" w:rsidRDefault="000B71AC" w:rsidP="003A4FB5">
      <w:pPr>
        <w:pStyle w:val="ManualNumPar1"/>
        <w:rPr>
          <w:noProof/>
        </w:rPr>
      </w:pPr>
      <w:r w:rsidRPr="00046858">
        <w:rPr>
          <w:noProof/>
        </w:rPr>
        <w:t>(4)</w:t>
      </w:r>
      <w:r w:rsidRPr="00046858">
        <w:rPr>
          <w:noProof/>
        </w:rPr>
        <w:tab/>
        <w:t>În termen de cel mult 45 de zile de la primirea cererii unice, ghișeul unic desemnat confirmă faptul că respectiva cerere este completă sau solicită orice informații lipsă necesare pentru prelucrarea cererii.</w:t>
      </w:r>
    </w:p>
    <w:p w14:paraId="3E20D609" w14:textId="050AD23B" w:rsidR="000B71AC" w:rsidRPr="00046858" w:rsidRDefault="000B71AC" w:rsidP="003A4FB5">
      <w:pPr>
        <w:pStyle w:val="ManualNumPar1"/>
        <w:rPr>
          <w:noProof/>
        </w:rPr>
      </w:pPr>
      <w:r w:rsidRPr="00046858">
        <w:rPr>
          <w:noProof/>
        </w:rPr>
        <w:t>(5)</w:t>
      </w:r>
      <w:r w:rsidRPr="00046858">
        <w:rPr>
          <w:noProof/>
        </w:rPr>
        <w:tab/>
        <w:t>În cazul în care, după transmiterea eventualelor informații lipsă, cererea este considerată în continuare incompletă, ghișeul unic poate, în termen de 30 de zile de la transmiterea informațiilor lipsă solicitate, să formuleze o a doua cerere cu privire la eventualele informații care încă lipsesc. Ghișeul unic nu solicită informații în domenii care nu fac obiectul primei cereri de informații suplimentare și solicită informații suplimentare numai în măsura în care acest lucru este necesar pentru a acoperi informațiile lipsă.</w:t>
      </w:r>
    </w:p>
    <w:p w14:paraId="0CBFF109" w14:textId="0DB0262B" w:rsidR="00501AED" w:rsidRPr="00046858" w:rsidRDefault="000B71AC" w:rsidP="003A4FB5">
      <w:pPr>
        <w:pStyle w:val="ManualNumPar1"/>
        <w:rPr>
          <w:noProof/>
        </w:rPr>
      </w:pPr>
      <w:r w:rsidRPr="00046858">
        <w:rPr>
          <w:noProof/>
        </w:rPr>
        <w:t>(6)</w:t>
      </w:r>
      <w:r w:rsidRPr="00046858">
        <w:rPr>
          <w:noProof/>
        </w:rPr>
        <w:tab/>
        <w:t>În cazul în care înființarea unei inițiative europene în domeniul tehnologiilor semiconductorilor necesită luarea unor decizii în două sau mai multe state membre, ghișeele unice relevante iau toate măsurile necesare pentru o cooperare și o coordonare eficiente și eficace între ele.</w:t>
      </w:r>
    </w:p>
    <w:p w14:paraId="3A8EB0F9" w14:textId="5EEF08B3" w:rsidR="000B71AC" w:rsidRPr="00046858" w:rsidRDefault="000B71AC" w:rsidP="000B71AC">
      <w:pPr>
        <w:pStyle w:val="Titrearticle"/>
        <w:rPr>
          <w:noProof/>
        </w:rPr>
      </w:pPr>
      <w:r w:rsidRPr="00046858">
        <w:rPr>
          <w:noProof/>
        </w:rPr>
        <w:t xml:space="preserve">Articolul 23 </w:t>
      </w:r>
      <w:r w:rsidRPr="00046858">
        <w:rPr>
          <w:noProof/>
        </w:rPr>
        <w:cr/>
      </w:r>
      <w:r w:rsidRPr="00046858">
        <w:rPr>
          <w:noProof/>
        </w:rPr>
        <w:br/>
        <w:t>Facilitarea procesului administrativ și de acordare a autorizațiilor</w:t>
      </w:r>
    </w:p>
    <w:p w14:paraId="0F281DF9" w14:textId="09B16B37" w:rsidR="00DD1396" w:rsidRPr="00046858" w:rsidRDefault="00DD1396" w:rsidP="006164B0">
      <w:pPr>
        <w:pStyle w:val="ManualNumPar1"/>
        <w:rPr>
          <w:b/>
          <w:noProof/>
        </w:rPr>
      </w:pPr>
      <w:r w:rsidRPr="00046858">
        <w:rPr>
          <w:noProof/>
        </w:rPr>
        <w:t>(1)</w:t>
      </w:r>
      <w:r w:rsidRPr="00046858">
        <w:rPr>
          <w:noProof/>
        </w:rPr>
        <w:tab/>
        <w:t xml:space="preserve">Inițiativele europene în domeniul tehnologiilor semiconductorilor și proiectele strategice în sensul prezentului regulament sunt considerate proiecte strategice </w:t>
      </w:r>
      <w:r w:rsidRPr="00046858">
        <w:rPr>
          <w:rStyle w:val="Added"/>
          <w:b w:val="0"/>
          <w:noProof/>
          <w:u w:val="none"/>
        </w:rPr>
        <w:t>care contribuie la reziliență și decarbonizare sau la utilizarea eficientă a resurselor</w:t>
      </w:r>
      <w:r w:rsidRPr="00046858">
        <w:rPr>
          <w:noProof/>
        </w:rPr>
        <w:t xml:space="preserve"> în sensul articolului 14 alineatul (1) din [Propunerea de regulament privind accelerarea evaluării de mediu]. </w:t>
      </w:r>
      <w:r w:rsidRPr="00046858">
        <w:rPr>
          <w:rStyle w:val="Added"/>
          <w:b w:val="0"/>
          <w:noProof/>
          <w:u w:val="none"/>
        </w:rPr>
        <w:t>Se aplică punctele 1, 2 și 3 din anexa la regulamentul respectiv.</w:t>
      </w:r>
    </w:p>
    <w:p w14:paraId="111280F3" w14:textId="2D429404" w:rsidR="00161033" w:rsidRPr="00046858" w:rsidRDefault="00D61C53" w:rsidP="003A4FB5">
      <w:pPr>
        <w:pStyle w:val="ManualNumPar1"/>
        <w:rPr>
          <w:noProof/>
        </w:rPr>
      </w:pPr>
      <w:r w:rsidRPr="00046858">
        <w:rPr>
          <w:noProof/>
        </w:rPr>
        <w:t>(2)</w:t>
      </w:r>
      <w:r w:rsidRPr="00046858">
        <w:rPr>
          <w:noProof/>
        </w:rPr>
        <w:tab/>
        <w:t>Fără a aduce atingere [propunerii de regulament privind accelerarea evaluării de mediu], statele membre se asigură că sunt luate în considerare toate studiile efectuate sau permisele ori autorizațiile eliberate în legătură cu planificarea, construirea și exploatarea inițiativelor europene în domeniul tehnologiilor semiconductorilor și ale proiectelor strategice și că nu este necesară duplicarea studiilor, permiselor sau autorizațiilor, cu excepția cazului în care dreptul Uniunii sau dreptul intern prevede altfel.</w:t>
      </w:r>
    </w:p>
    <w:p w14:paraId="0DE99331" w14:textId="77777777" w:rsidR="00161033" w:rsidRPr="00046858" w:rsidRDefault="00161033" w:rsidP="00161033">
      <w:pPr>
        <w:pStyle w:val="Titrearticle"/>
        <w:rPr>
          <w:noProof/>
        </w:rPr>
      </w:pPr>
      <w:r w:rsidRPr="00046858">
        <w:rPr>
          <w:noProof/>
        </w:rPr>
        <w:t xml:space="preserve">Articolul 24 </w:t>
      </w:r>
      <w:r w:rsidRPr="00046858">
        <w:rPr>
          <w:noProof/>
        </w:rPr>
        <w:cr/>
      </w:r>
      <w:r w:rsidRPr="00046858">
        <w:rPr>
          <w:noProof/>
        </w:rPr>
        <w:br/>
        <w:t xml:space="preserve">Utilizarea portofelelor europene pentru întreprinderi de către </w:t>
      </w:r>
      <w:r w:rsidRPr="00046858">
        <w:rPr>
          <w:rStyle w:val="Added"/>
          <w:b w:val="0"/>
          <w:noProof/>
          <w:u w:val="none"/>
        </w:rPr>
        <w:t>portalul unic de acces</w:t>
      </w:r>
    </w:p>
    <w:p w14:paraId="54C07905" w14:textId="30C06BCE" w:rsidR="000B4C49" w:rsidRPr="00046858" w:rsidRDefault="000B4C49" w:rsidP="006164B0">
      <w:pPr>
        <w:pStyle w:val="ManualNumPar1"/>
        <w:rPr>
          <w:noProof/>
        </w:rPr>
      </w:pPr>
      <w:r w:rsidRPr="00046858">
        <w:rPr>
          <w:noProof/>
        </w:rPr>
        <w:t>(1)</w:t>
      </w:r>
      <w:r w:rsidRPr="00046858">
        <w:rPr>
          <w:noProof/>
        </w:rPr>
        <w:tab/>
        <w:t xml:space="preserve">Statele membre instituie un </w:t>
      </w:r>
      <w:r w:rsidRPr="00046858">
        <w:rPr>
          <w:rStyle w:val="Added"/>
          <w:b w:val="0"/>
          <w:noProof/>
          <w:u w:val="none"/>
        </w:rPr>
        <w:t>portal unic de acces</w:t>
      </w:r>
      <w:r w:rsidRPr="00046858">
        <w:rPr>
          <w:noProof/>
        </w:rPr>
        <w:t xml:space="preserve"> la nivel național pentru depunerea cererii unice de autorizare a inițiativelor europene în domeniul tehnologiilor semiconductorilor și a proiectelor strategice menționate la articolul 22 alineatul (2).</w:t>
      </w:r>
    </w:p>
    <w:p w14:paraId="76EF93D3" w14:textId="77777777" w:rsidR="000B4C49" w:rsidRPr="00046858" w:rsidRDefault="000B4C49" w:rsidP="000B4C49">
      <w:pPr>
        <w:pStyle w:val="Text1"/>
        <w:rPr>
          <w:noProof/>
        </w:rPr>
      </w:pPr>
      <w:r w:rsidRPr="00046858">
        <w:rPr>
          <w:rStyle w:val="Added"/>
          <w:b w:val="0"/>
          <w:noProof/>
          <w:u w:val="none"/>
        </w:rPr>
        <w:t>Portalul unic de acces</w:t>
      </w:r>
      <w:r w:rsidRPr="00046858">
        <w:rPr>
          <w:noProof/>
        </w:rPr>
        <w:t xml:space="preserve"> atribuie automat cererile de autorizare autorității relevante, informează solicitantul cu privire la toate etapele procedurii de acordare a autorizațiilor, la stadiul procedurii și la deciziile autorităților și îi permite solicitantului să verifice respectarea termenelor aplicabile.</w:t>
      </w:r>
    </w:p>
    <w:p w14:paraId="6006EBC7" w14:textId="1EC0C2D7" w:rsidR="00161033" w:rsidRPr="00046858" w:rsidRDefault="00A057D4" w:rsidP="003A4FB5">
      <w:pPr>
        <w:pStyle w:val="ManualNumPar1"/>
        <w:rPr>
          <w:noProof/>
        </w:rPr>
      </w:pPr>
      <w:r w:rsidRPr="00046858">
        <w:rPr>
          <w:noProof/>
        </w:rPr>
        <w:t>(2)</w:t>
      </w:r>
      <w:r w:rsidRPr="00046858">
        <w:rPr>
          <w:noProof/>
        </w:rPr>
        <w:tab/>
      </w:r>
      <w:r w:rsidRPr="00046858">
        <w:rPr>
          <w:rStyle w:val="Added"/>
          <w:b w:val="0"/>
          <w:noProof/>
          <w:u w:val="none"/>
        </w:rPr>
        <w:t>Portalul unic de acces</w:t>
      </w:r>
      <w:r w:rsidRPr="00046858">
        <w:rPr>
          <w:noProof/>
        </w:rPr>
        <w:t xml:space="preserve"> utilizează portofelele europene pentru întreprinderi instituite în temeiul [Propunerii de regulament privind instituirea portofelelor europene pentru întreprinderi].</w:t>
      </w:r>
    </w:p>
    <w:p w14:paraId="04902151" w14:textId="711F3D3C" w:rsidR="00161033" w:rsidRPr="00046858" w:rsidRDefault="00161033" w:rsidP="003A4FB5">
      <w:pPr>
        <w:pStyle w:val="ManualNumPar1"/>
        <w:rPr>
          <w:noProof/>
        </w:rPr>
      </w:pPr>
      <w:r w:rsidRPr="00046858">
        <w:rPr>
          <w:noProof/>
        </w:rPr>
        <w:lastRenderedPageBreak/>
        <w:t>(3)</w:t>
      </w:r>
      <w:r w:rsidRPr="00046858">
        <w:rPr>
          <w:noProof/>
        </w:rPr>
        <w:tab/>
        <w:t xml:space="preserve">Prin utilizarea portofelelor europene pentru întreprinderi, </w:t>
      </w:r>
      <w:r w:rsidRPr="00046858">
        <w:rPr>
          <w:rStyle w:val="Added"/>
          <w:b w:val="0"/>
          <w:noProof/>
          <w:u w:val="none"/>
        </w:rPr>
        <w:t>portalul unic de acces</w:t>
      </w:r>
      <w:r w:rsidRPr="00046858">
        <w:rPr>
          <w:noProof/>
        </w:rPr>
        <w:t xml:space="preserve"> permite:</w:t>
      </w:r>
    </w:p>
    <w:p w14:paraId="285AC2BF" w14:textId="77777777" w:rsidR="00161033" w:rsidRPr="00046858" w:rsidRDefault="005A1272" w:rsidP="000006E4">
      <w:pPr>
        <w:pStyle w:val="Point1"/>
        <w:rPr>
          <w:noProof/>
        </w:rPr>
      </w:pPr>
      <w:r w:rsidRPr="00046858">
        <w:rPr>
          <w:noProof/>
        </w:rPr>
        <w:t>(a)</w:t>
      </w:r>
      <w:r w:rsidRPr="00046858">
        <w:rPr>
          <w:noProof/>
        </w:rPr>
        <w:tab/>
        <w:t>interoperabilitatea și schimbul automatizat de date între autoritățile relevante;</w:t>
      </w:r>
    </w:p>
    <w:p w14:paraId="3CEDD435" w14:textId="77777777" w:rsidR="00161033" w:rsidRPr="00046858" w:rsidRDefault="00161033" w:rsidP="000006E4">
      <w:pPr>
        <w:pStyle w:val="Point1"/>
        <w:rPr>
          <w:noProof/>
        </w:rPr>
      </w:pPr>
      <w:r w:rsidRPr="00046858">
        <w:rPr>
          <w:noProof/>
        </w:rPr>
        <w:t>(b)</w:t>
      </w:r>
      <w:r w:rsidRPr="00046858">
        <w:rPr>
          <w:noProof/>
        </w:rPr>
        <w:tab/>
        <w:t>reutilizarea datelor și a documentelor deținute deja de autoritățile relevante;</w:t>
      </w:r>
    </w:p>
    <w:p w14:paraId="0AF2BF49" w14:textId="77777777" w:rsidR="00161033" w:rsidRPr="00046858" w:rsidRDefault="00161033" w:rsidP="000006E4">
      <w:pPr>
        <w:pStyle w:val="Point1"/>
        <w:rPr>
          <w:noProof/>
        </w:rPr>
      </w:pPr>
      <w:r w:rsidRPr="00046858">
        <w:rPr>
          <w:noProof/>
        </w:rPr>
        <w:t>(c)</w:t>
      </w:r>
      <w:r w:rsidRPr="00046858">
        <w:rPr>
          <w:noProof/>
        </w:rPr>
        <w:tab/>
        <w:t>un nivel ridicat de securitate cibernetică și de integritate a informațiilor;</w:t>
      </w:r>
    </w:p>
    <w:p w14:paraId="1DA118AE" w14:textId="77777777" w:rsidR="00161033" w:rsidRPr="00046858" w:rsidRDefault="00161033" w:rsidP="000006E4">
      <w:pPr>
        <w:pStyle w:val="Point1"/>
        <w:rPr>
          <w:noProof/>
        </w:rPr>
      </w:pPr>
      <w:r w:rsidRPr="00046858">
        <w:rPr>
          <w:noProof/>
        </w:rPr>
        <w:t>(d)</w:t>
      </w:r>
      <w:r w:rsidRPr="00046858">
        <w:rPr>
          <w:noProof/>
        </w:rPr>
        <w:tab/>
        <w:t>transparența și responsabilitatea procedurii de acordare a autorizațiilor.</w:t>
      </w:r>
    </w:p>
    <w:p w14:paraId="483C97CA" w14:textId="2942B1B4" w:rsidR="00161033" w:rsidRPr="00046858" w:rsidRDefault="00161033" w:rsidP="003A4FB5">
      <w:pPr>
        <w:pStyle w:val="ManualNumPar1"/>
        <w:rPr>
          <w:noProof/>
        </w:rPr>
      </w:pPr>
      <w:r w:rsidRPr="00046858">
        <w:rPr>
          <w:noProof/>
        </w:rPr>
        <w:t>(4)</w:t>
      </w:r>
      <w:r w:rsidRPr="00046858">
        <w:rPr>
          <w:noProof/>
        </w:rPr>
        <w:tab/>
        <w:t xml:space="preserve">Atunci când instituie </w:t>
      </w:r>
      <w:r w:rsidRPr="00046858">
        <w:rPr>
          <w:rStyle w:val="Added"/>
          <w:b w:val="0"/>
          <w:noProof/>
          <w:u w:val="none"/>
        </w:rPr>
        <w:t>portaluri unice de acces,</w:t>
      </w:r>
      <w:r w:rsidRPr="00046858">
        <w:rPr>
          <w:noProof/>
        </w:rPr>
        <w:t xml:space="preserve"> statele membre utilizează, după caz, infrastructura digitală, cataloagele și elementele constitutive existente ale Uniunii instituite prin dreptul Uniunii.</w:t>
      </w:r>
    </w:p>
    <w:p w14:paraId="5797EC49" w14:textId="55CCD933" w:rsidR="00161033" w:rsidRPr="00046858" w:rsidRDefault="00161033" w:rsidP="003A4FB5">
      <w:pPr>
        <w:pStyle w:val="ManualNumPar1"/>
        <w:rPr>
          <w:noProof/>
        </w:rPr>
      </w:pPr>
      <w:r w:rsidRPr="00046858">
        <w:rPr>
          <w:noProof/>
        </w:rPr>
        <w:t>(5)</w:t>
      </w:r>
      <w:r w:rsidRPr="00046858">
        <w:rPr>
          <w:noProof/>
        </w:rPr>
        <w:tab/>
        <w:t xml:space="preserve">Ghișeul unic desemnat menționat la articolul 22 din prezentul regulament are acces la toate datele și informațiile relevante disponibile pe </w:t>
      </w:r>
      <w:r w:rsidRPr="00046858">
        <w:rPr>
          <w:rStyle w:val="Added"/>
          <w:b w:val="0"/>
          <w:noProof/>
          <w:u w:val="none"/>
        </w:rPr>
        <w:t>portalul unic de acces</w:t>
      </w:r>
      <w:r w:rsidRPr="00046858">
        <w:rPr>
          <w:noProof/>
        </w:rPr>
        <w:t>, pentru a-și îndeplini sarcinile.</w:t>
      </w:r>
    </w:p>
    <w:p w14:paraId="7A50866E" w14:textId="77777777" w:rsidR="00161033" w:rsidRPr="00046858" w:rsidRDefault="00161033" w:rsidP="00161033">
      <w:pPr>
        <w:pStyle w:val="Titrearticle"/>
        <w:rPr>
          <w:noProof/>
        </w:rPr>
      </w:pPr>
      <w:r w:rsidRPr="00046858">
        <w:rPr>
          <w:noProof/>
        </w:rPr>
        <w:t xml:space="preserve">Articolul 25 </w:t>
      </w:r>
      <w:r w:rsidRPr="00046858">
        <w:rPr>
          <w:noProof/>
        </w:rPr>
        <w:cr/>
      </w:r>
      <w:r w:rsidRPr="00046858">
        <w:rPr>
          <w:noProof/>
        </w:rPr>
        <w:br/>
        <w:t>Accesibilitatea online a informațiilor</w:t>
      </w:r>
    </w:p>
    <w:p w14:paraId="7E4228F6" w14:textId="25FAA03E" w:rsidR="00161033" w:rsidRPr="00046858" w:rsidRDefault="00161033" w:rsidP="006164B0">
      <w:pPr>
        <w:pStyle w:val="ManualNumPar1"/>
        <w:rPr>
          <w:noProof/>
        </w:rPr>
      </w:pPr>
      <w:r w:rsidRPr="00046858">
        <w:rPr>
          <w:noProof/>
        </w:rPr>
        <w:t>(1)</w:t>
      </w:r>
      <w:r w:rsidRPr="00046858">
        <w:rPr>
          <w:noProof/>
        </w:rPr>
        <w:tab/>
        <w:t>Statele membre oferă acces online și într-un mod centralizat și ușor accesibil la următoarele informații privind procesele relevante pentru dezvoltarea potențialelor inițiative europene în domeniul tehnologiilor semiconductorilor și proiecte strategice:</w:t>
      </w:r>
    </w:p>
    <w:p w14:paraId="4B2A6113" w14:textId="77777777" w:rsidR="00161033" w:rsidRPr="00046858" w:rsidRDefault="009A3A6B" w:rsidP="000006E4">
      <w:pPr>
        <w:pStyle w:val="Point1"/>
        <w:rPr>
          <w:noProof/>
        </w:rPr>
      </w:pPr>
      <w:r w:rsidRPr="00046858">
        <w:rPr>
          <w:noProof/>
        </w:rPr>
        <w:t>(a)</w:t>
      </w:r>
      <w:r w:rsidRPr="00046858">
        <w:rPr>
          <w:noProof/>
        </w:rPr>
        <w:tab/>
        <w:t>portofelele europene pentru întreprinderi menționate la articolul 24;</w:t>
      </w:r>
    </w:p>
    <w:p w14:paraId="33DAEB8C" w14:textId="77777777" w:rsidR="00161033" w:rsidRPr="00046858" w:rsidRDefault="00161033" w:rsidP="000006E4">
      <w:pPr>
        <w:pStyle w:val="Point1"/>
        <w:rPr>
          <w:noProof/>
        </w:rPr>
      </w:pPr>
      <w:r w:rsidRPr="00046858">
        <w:rPr>
          <w:noProof/>
        </w:rPr>
        <w:t>(b)</w:t>
      </w:r>
      <w:r w:rsidRPr="00046858">
        <w:rPr>
          <w:noProof/>
        </w:rPr>
        <w:tab/>
        <w:t xml:space="preserve">procedura de acordare a autorizațiilor, inclusiv informații privind soluționarea litigiilor; </w:t>
      </w:r>
    </w:p>
    <w:p w14:paraId="708B24EF" w14:textId="77777777" w:rsidR="00161033" w:rsidRPr="00046858" w:rsidRDefault="00161033" w:rsidP="000006E4">
      <w:pPr>
        <w:pStyle w:val="Point1"/>
        <w:rPr>
          <w:noProof/>
        </w:rPr>
      </w:pPr>
      <w:r w:rsidRPr="00046858">
        <w:rPr>
          <w:noProof/>
        </w:rPr>
        <w:t>(c)</w:t>
      </w:r>
      <w:r w:rsidRPr="00046858">
        <w:rPr>
          <w:noProof/>
        </w:rPr>
        <w:tab/>
        <w:t>serviciile de finanțare și de investiții;</w:t>
      </w:r>
    </w:p>
    <w:p w14:paraId="2514E52E" w14:textId="77777777" w:rsidR="00161033" w:rsidRPr="00046858" w:rsidRDefault="00161033" w:rsidP="000006E4">
      <w:pPr>
        <w:pStyle w:val="Point1"/>
        <w:rPr>
          <w:noProof/>
        </w:rPr>
      </w:pPr>
      <w:r w:rsidRPr="00046858">
        <w:rPr>
          <w:noProof/>
        </w:rPr>
        <w:t>(d)</w:t>
      </w:r>
      <w:r w:rsidRPr="00046858">
        <w:rPr>
          <w:noProof/>
        </w:rPr>
        <w:tab/>
        <w:t xml:space="preserve">posibilitățile de finanțare la nivelul Uniunii sau al statelor membre; </w:t>
      </w:r>
    </w:p>
    <w:p w14:paraId="2DA8CF08" w14:textId="77777777" w:rsidR="00161033" w:rsidRPr="00046858" w:rsidRDefault="00161033" w:rsidP="000006E4">
      <w:pPr>
        <w:pStyle w:val="Point1"/>
        <w:rPr>
          <w:noProof/>
        </w:rPr>
      </w:pPr>
      <w:r w:rsidRPr="00046858">
        <w:rPr>
          <w:noProof/>
        </w:rPr>
        <w:t>(e)</w:t>
      </w:r>
      <w:r w:rsidRPr="00046858">
        <w:rPr>
          <w:noProof/>
        </w:rPr>
        <w:tab/>
        <w:t>serviciile de sprijin pentru întreprinderi, inclusiv declarațiile privind impozitul pe profit, normele fiscale locale sau dreptul muncii.</w:t>
      </w:r>
    </w:p>
    <w:p w14:paraId="401B3E06" w14:textId="5356D3A9" w:rsidR="00161033" w:rsidRPr="00046858" w:rsidRDefault="00161033" w:rsidP="003A4FB5">
      <w:pPr>
        <w:pStyle w:val="ManualNumPar1"/>
        <w:rPr>
          <w:noProof/>
        </w:rPr>
      </w:pPr>
      <w:r w:rsidRPr="00046858">
        <w:rPr>
          <w:noProof/>
        </w:rPr>
        <w:t>(2)</w:t>
      </w:r>
      <w:r w:rsidRPr="00046858">
        <w:rPr>
          <w:noProof/>
        </w:rPr>
        <w:tab/>
        <w:t>Comisia face trimitere, într-un mod centralizat și ușor accesibil, la informațiile furnizate de statele membre pe site-ul său web pentru a asigura o imagine de ansamblu cuprinzătoare și clară asupra tuturor informațiilor relevante pentru fiecare stat membru.</w:t>
      </w:r>
    </w:p>
    <w:p w14:paraId="70273708" w14:textId="77777777" w:rsidR="00161033" w:rsidRPr="00046858" w:rsidRDefault="00161033" w:rsidP="00161033">
      <w:pPr>
        <w:pStyle w:val="Text1"/>
        <w:rPr>
          <w:noProof/>
        </w:rPr>
      </w:pPr>
    </w:p>
    <w:p w14:paraId="2B77195B" w14:textId="77777777" w:rsidR="00161033" w:rsidRPr="00046858" w:rsidRDefault="00161033" w:rsidP="00161033">
      <w:pPr>
        <w:pStyle w:val="SectionTitle"/>
        <w:rPr>
          <w:noProof/>
        </w:rPr>
      </w:pPr>
      <w:r w:rsidRPr="00046858">
        <w:rPr>
          <w:noProof/>
        </w:rPr>
        <w:t xml:space="preserve">Secțiunea 3 </w:t>
      </w:r>
      <w:r w:rsidRPr="00046858">
        <w:rPr>
          <w:noProof/>
        </w:rPr>
        <w:cr/>
      </w:r>
      <w:r w:rsidRPr="00046858">
        <w:rPr>
          <w:noProof/>
        </w:rPr>
        <w:br/>
        <w:t xml:space="preserve"> </w:t>
      </w:r>
      <w:r w:rsidRPr="00046858">
        <w:rPr>
          <w:noProof/>
        </w:rPr>
        <w:cr/>
      </w:r>
      <w:r w:rsidRPr="00046858">
        <w:rPr>
          <w:noProof/>
        </w:rPr>
        <w:br/>
        <w:t>Regiunile europene de excelență în domeniul semiconductorilor</w:t>
      </w:r>
    </w:p>
    <w:p w14:paraId="13147DD2" w14:textId="77777777" w:rsidR="00161033" w:rsidRPr="00046858" w:rsidRDefault="00161033" w:rsidP="00161033">
      <w:pPr>
        <w:pStyle w:val="Titrearticle"/>
        <w:rPr>
          <w:noProof/>
        </w:rPr>
      </w:pPr>
      <w:r w:rsidRPr="00046858">
        <w:rPr>
          <w:noProof/>
        </w:rPr>
        <w:t xml:space="preserve">Articolul 26 </w:t>
      </w:r>
      <w:r w:rsidRPr="00046858">
        <w:rPr>
          <w:noProof/>
        </w:rPr>
        <w:cr/>
      </w:r>
      <w:r w:rsidRPr="00046858">
        <w:rPr>
          <w:noProof/>
        </w:rPr>
        <w:br/>
        <w:t>Eticheta de regiuni europene de excelență în domeniul semiconductorilor</w:t>
      </w:r>
    </w:p>
    <w:p w14:paraId="142B98E4" w14:textId="516401C1" w:rsidR="00161033" w:rsidRPr="00046858" w:rsidRDefault="0070232B" w:rsidP="006164B0">
      <w:pPr>
        <w:pStyle w:val="ManualNumPar1"/>
        <w:rPr>
          <w:noProof/>
        </w:rPr>
      </w:pPr>
      <w:r w:rsidRPr="00046858">
        <w:rPr>
          <w:noProof/>
        </w:rPr>
        <w:t>(1)</w:t>
      </w:r>
      <w:r w:rsidRPr="00046858">
        <w:rPr>
          <w:noProof/>
        </w:rPr>
        <w:tab/>
        <w:t xml:space="preserve">Comisia poate </w:t>
      </w:r>
      <w:r w:rsidRPr="00046858">
        <w:rPr>
          <w:rStyle w:val="Added"/>
          <w:b w:val="0"/>
          <w:noProof/>
          <w:u w:val="none"/>
        </w:rPr>
        <w:t>decide să</w:t>
      </w:r>
      <w:r w:rsidRPr="00046858">
        <w:rPr>
          <w:noProof/>
        </w:rPr>
        <w:t xml:space="preserve"> acorde eticheta de regiune europeană de excelență în domeniul semiconductorilor prin intermediul unui act de punere în aplicare. Eticheta </w:t>
      </w:r>
      <w:r w:rsidRPr="00046858">
        <w:rPr>
          <w:noProof/>
        </w:rPr>
        <w:lastRenderedPageBreak/>
        <w:t>poate fi acordată în urma unei cereri din partea unei autorități regionale și este aprobată în mod explicit de statul membru relevant.</w:t>
      </w:r>
    </w:p>
    <w:p w14:paraId="67950DC3" w14:textId="2384DA3F" w:rsidR="0070232B" w:rsidRPr="00046858" w:rsidRDefault="0070232B" w:rsidP="003A4FB5">
      <w:pPr>
        <w:pStyle w:val="ManualNumPar1"/>
        <w:rPr>
          <w:rStyle w:val="Deleted"/>
          <w:strike w:val="0"/>
          <w:noProof/>
        </w:rPr>
      </w:pPr>
      <w:r w:rsidRPr="00046858">
        <w:rPr>
          <w:noProof/>
        </w:rPr>
        <w:t>(2)</w:t>
      </w:r>
      <w:r w:rsidRPr="00046858">
        <w:rPr>
          <w:noProof/>
        </w:rPr>
        <w:tab/>
        <w:t>Cererea include un plan de investiții al regiunilor semiconductorilor, care demonstrează o viziune comună strategică a tuturor autorităților relevante.</w:t>
      </w:r>
    </w:p>
    <w:p w14:paraId="5C3DCEC0" w14:textId="5FE2EEC1" w:rsidR="0070232B" w:rsidRPr="00046858" w:rsidRDefault="0070232B" w:rsidP="003A4FB5">
      <w:pPr>
        <w:pStyle w:val="ManualNumPar1"/>
        <w:rPr>
          <w:noProof/>
        </w:rPr>
      </w:pPr>
      <w:r w:rsidRPr="00046858">
        <w:rPr>
          <w:noProof/>
        </w:rPr>
        <w:t>(3)</w:t>
      </w:r>
      <w:r w:rsidRPr="00046858">
        <w:rPr>
          <w:noProof/>
        </w:rPr>
        <w:tab/>
        <w:t xml:space="preserve">Fără a aduce atingere normelor aplicabile care reglementează programele și instrumentele Uniunii, eticheta de regiuni europene de excelență în domeniul semiconductorilor </w:t>
      </w:r>
      <w:r w:rsidRPr="00046858">
        <w:rPr>
          <w:rStyle w:val="Added"/>
          <w:b w:val="0"/>
          <w:noProof/>
          <w:u w:val="none"/>
        </w:rPr>
        <w:t>poate</w:t>
      </w:r>
      <w:r w:rsidRPr="00046858">
        <w:rPr>
          <w:noProof/>
        </w:rPr>
        <w:t xml:space="preserve"> fi luată în considerare la evaluarea </w:t>
      </w:r>
      <w:r w:rsidRPr="00046858">
        <w:rPr>
          <w:rStyle w:val="Added"/>
          <w:b w:val="0"/>
          <w:noProof/>
          <w:u w:val="none"/>
        </w:rPr>
        <w:t>și selectarea operațiunilor</w:t>
      </w:r>
      <w:r w:rsidRPr="00046858">
        <w:rPr>
          <w:noProof/>
        </w:rPr>
        <w:t xml:space="preserve"> propuse în cadrul programelor de finanțare ale Uniunii.</w:t>
      </w:r>
    </w:p>
    <w:p w14:paraId="4A317E95" w14:textId="77777777" w:rsidR="0070232B" w:rsidRPr="00046858" w:rsidRDefault="0070232B" w:rsidP="0070232B">
      <w:pPr>
        <w:pStyle w:val="Titrearticle"/>
        <w:rPr>
          <w:noProof/>
        </w:rPr>
      </w:pPr>
      <w:bookmarkStart w:id="5" w:name="_Hlk228801742"/>
      <w:r w:rsidRPr="00046858">
        <w:rPr>
          <w:noProof/>
        </w:rPr>
        <w:t xml:space="preserve">Articolul 27 </w:t>
      </w:r>
      <w:r w:rsidRPr="00046858">
        <w:rPr>
          <w:noProof/>
        </w:rPr>
        <w:cr/>
      </w:r>
      <w:r w:rsidRPr="00046858">
        <w:rPr>
          <w:noProof/>
        </w:rPr>
        <w:br/>
        <w:t>Planul de investiții al regiunilor europene ale semiconductorilor</w:t>
      </w:r>
    </w:p>
    <w:p w14:paraId="67D1E402" w14:textId="763C18C3" w:rsidR="0070232B" w:rsidRPr="00046858" w:rsidRDefault="0070232B" w:rsidP="006164B0">
      <w:pPr>
        <w:pStyle w:val="ManualNumPar1"/>
        <w:rPr>
          <w:noProof/>
        </w:rPr>
      </w:pPr>
      <w:r w:rsidRPr="00046858">
        <w:rPr>
          <w:noProof/>
        </w:rPr>
        <w:t>(1)</w:t>
      </w:r>
      <w:r w:rsidRPr="00046858">
        <w:rPr>
          <w:noProof/>
        </w:rPr>
        <w:tab/>
        <w:t>Planul de investiții al regiunilor europene ale semiconductorilor menționat la articolul 26 alineatul (2) include o descriere a regiunii, inclusiv domeniul său geografic de aplicare și cel puțin următoarele elemente:</w:t>
      </w:r>
    </w:p>
    <w:p w14:paraId="7A24FE4F" w14:textId="77777777" w:rsidR="0070232B" w:rsidRPr="00046858" w:rsidRDefault="00F21D00" w:rsidP="000006E4">
      <w:pPr>
        <w:pStyle w:val="Point1"/>
        <w:rPr>
          <w:noProof/>
        </w:rPr>
      </w:pPr>
      <w:r w:rsidRPr="00046858">
        <w:rPr>
          <w:noProof/>
        </w:rPr>
        <w:t>(a)</w:t>
      </w:r>
      <w:r w:rsidRPr="00046858">
        <w:rPr>
          <w:noProof/>
        </w:rPr>
        <w:tab/>
        <w:t>viziunea strategică și domeniul de aplicare:</w:t>
      </w:r>
    </w:p>
    <w:p w14:paraId="783D17E1" w14:textId="77777777" w:rsidR="0070232B" w:rsidRPr="00046858" w:rsidRDefault="002B03D7" w:rsidP="002B03D7">
      <w:pPr>
        <w:pStyle w:val="Point2"/>
        <w:rPr>
          <w:noProof/>
        </w:rPr>
      </w:pPr>
      <w:r w:rsidRPr="00046858">
        <w:rPr>
          <w:noProof/>
        </w:rPr>
        <w:t>(i)</w:t>
      </w:r>
      <w:r w:rsidRPr="00046858">
        <w:rPr>
          <w:noProof/>
        </w:rPr>
        <w:tab/>
        <w:t>evaluarea ecosistemului industrial și al semiconductorilor existent în regiune, inclusiv a instalațiilor existente de fabricare a semiconductorilor; sectoarele relevante care sunt utilizatori finali; poziția sa în lanțurile valorice ale semiconductorilor, în special în ceea ce privește caracteristicile sale unice și contribuția sa potențială la reziliența și creșterea lanțului valoric european al semiconductorilor;</w:t>
      </w:r>
    </w:p>
    <w:p w14:paraId="5ACA0441" w14:textId="77777777" w:rsidR="0070232B" w:rsidRPr="00046858" w:rsidRDefault="002B03D7" w:rsidP="002B03D7">
      <w:pPr>
        <w:pStyle w:val="Point2"/>
        <w:rPr>
          <w:noProof/>
        </w:rPr>
      </w:pPr>
      <w:r w:rsidRPr="00046858">
        <w:rPr>
          <w:noProof/>
        </w:rPr>
        <w:t>(ii)</w:t>
      </w:r>
      <w:r w:rsidRPr="00046858">
        <w:rPr>
          <w:noProof/>
        </w:rPr>
        <w:tab/>
        <w:t>o viziune strategică pentru dezvoltarea regiunii în ceea ce privește semiconductorii în următorii zece ani, inclusiv, după caz, transformarea activităților industriale existente sau corelarea acestora cu activitățile legate de semiconductori;</w:t>
      </w:r>
    </w:p>
    <w:bookmarkEnd w:id="5"/>
    <w:p w14:paraId="131212A6" w14:textId="77777777" w:rsidR="0070232B" w:rsidRPr="00046858" w:rsidRDefault="00F21D00" w:rsidP="006D2A9B">
      <w:pPr>
        <w:pStyle w:val="Point1"/>
        <w:rPr>
          <w:noProof/>
        </w:rPr>
      </w:pPr>
      <w:r w:rsidRPr="00046858">
        <w:rPr>
          <w:noProof/>
        </w:rPr>
        <w:t>(b)</w:t>
      </w:r>
      <w:r w:rsidRPr="00046858">
        <w:rPr>
          <w:noProof/>
        </w:rPr>
        <w:tab/>
        <w:t>disponibilitatea și dezvoltarea în continuare a condițiilor favorizante și a infrastructurii în regiunea în cauză:</w:t>
      </w:r>
    </w:p>
    <w:p w14:paraId="37622666" w14:textId="77777777" w:rsidR="0070232B" w:rsidRPr="00046858" w:rsidRDefault="002B03D7" w:rsidP="002B03D7">
      <w:pPr>
        <w:pStyle w:val="Point2"/>
        <w:rPr>
          <w:noProof/>
        </w:rPr>
      </w:pPr>
      <w:r w:rsidRPr="00046858">
        <w:rPr>
          <w:noProof/>
        </w:rPr>
        <w:t>(i)</w:t>
      </w:r>
      <w:r w:rsidRPr="00046858">
        <w:rPr>
          <w:noProof/>
        </w:rPr>
        <w:tab/>
        <w:t xml:space="preserve">o descriere a măsurilor de asigurare a accesului la energie suficientă, fiabilă și curată, inclusiv a capacității rețelei și a căilor de decarbonizare, </w:t>
      </w:r>
      <w:r w:rsidRPr="00046858">
        <w:rPr>
          <w:rStyle w:val="Added"/>
          <w:b w:val="0"/>
          <w:noProof/>
          <w:u w:val="none"/>
        </w:rPr>
        <w:t>în conformitate cu obiectivul neutralității climatice prevăzut de Legea europeană a climei</w:t>
      </w:r>
      <w:r w:rsidRPr="00046858">
        <w:rPr>
          <w:noProof/>
        </w:rPr>
        <w:t>;</w:t>
      </w:r>
    </w:p>
    <w:p w14:paraId="4B67E475" w14:textId="77777777" w:rsidR="0070232B" w:rsidRPr="00046858" w:rsidRDefault="002B03D7" w:rsidP="002B03D7">
      <w:pPr>
        <w:pStyle w:val="Point2"/>
        <w:rPr>
          <w:noProof/>
        </w:rPr>
      </w:pPr>
      <w:r w:rsidRPr="00046858">
        <w:rPr>
          <w:noProof/>
        </w:rPr>
        <w:t>(ii)</w:t>
      </w:r>
      <w:r w:rsidRPr="00046858">
        <w:rPr>
          <w:noProof/>
        </w:rPr>
        <w:tab/>
        <w:t>o descriere a disponibilității unor terenuri și instalații adecvate pentru activitățile legate de lanțul valoric al semiconductorilor, inclusiv zonarea, amenajarea teritoriului și siturile industriale;</w:t>
      </w:r>
    </w:p>
    <w:p w14:paraId="6BB42854" w14:textId="77777777" w:rsidR="0070232B" w:rsidRPr="00046858" w:rsidRDefault="002B03D7" w:rsidP="002B03D7">
      <w:pPr>
        <w:pStyle w:val="Point2"/>
        <w:rPr>
          <w:noProof/>
        </w:rPr>
      </w:pPr>
      <w:r w:rsidRPr="00046858">
        <w:rPr>
          <w:noProof/>
        </w:rPr>
        <w:t>(iii)</w:t>
      </w:r>
      <w:r w:rsidRPr="00046858">
        <w:rPr>
          <w:noProof/>
        </w:rPr>
        <w:tab/>
        <w:t>o descriere a infrastructurii de transport, a rețelelor de comunicații și a infrastructurii de alimentare cu apă relevante pentru activitățile legate de lanțul valoric al semiconductorilor din regiune;</w:t>
      </w:r>
    </w:p>
    <w:p w14:paraId="797C17D2" w14:textId="5D470945" w:rsidR="0070232B" w:rsidRPr="00046858" w:rsidRDefault="002B03D7" w:rsidP="002B03D7">
      <w:pPr>
        <w:pStyle w:val="Point2"/>
        <w:rPr>
          <w:noProof/>
        </w:rPr>
      </w:pPr>
      <w:r w:rsidRPr="00046858">
        <w:rPr>
          <w:noProof/>
        </w:rPr>
        <w:t>(iv)</w:t>
      </w:r>
      <w:r w:rsidRPr="00046858">
        <w:rPr>
          <w:noProof/>
        </w:rPr>
        <w:tab/>
        <w:t>o descriere a măsurilor de simplificare și accelerare a procedurilor de acordare a autorizațiilor și de acordare a licențelor, precum și a procedurilor administrative, inclusiv legătura cu ghișeul unic menționat la articolul 22;</w:t>
      </w:r>
    </w:p>
    <w:p w14:paraId="28AAD67E" w14:textId="77777777" w:rsidR="0070232B" w:rsidRPr="00046858" w:rsidRDefault="00F21D00" w:rsidP="006D2A9B">
      <w:pPr>
        <w:pStyle w:val="Point1"/>
        <w:rPr>
          <w:noProof/>
        </w:rPr>
      </w:pPr>
      <w:r w:rsidRPr="00046858">
        <w:rPr>
          <w:noProof/>
        </w:rPr>
        <w:t>(c)</w:t>
      </w:r>
      <w:r w:rsidRPr="00046858">
        <w:rPr>
          <w:noProof/>
        </w:rPr>
        <w:tab/>
        <w:t>sprijinul pentru activități de inovare și cercetare în regiunea în cauză:</w:t>
      </w:r>
    </w:p>
    <w:p w14:paraId="3CF35559" w14:textId="77777777" w:rsidR="0070232B" w:rsidRPr="00046858" w:rsidRDefault="002B03D7" w:rsidP="002B03D7">
      <w:pPr>
        <w:pStyle w:val="Point2"/>
        <w:rPr>
          <w:noProof/>
        </w:rPr>
      </w:pPr>
      <w:r w:rsidRPr="00046858">
        <w:rPr>
          <w:noProof/>
        </w:rPr>
        <w:t>(i)</w:t>
      </w:r>
      <w:r w:rsidRPr="00046858">
        <w:rPr>
          <w:noProof/>
        </w:rPr>
        <w:tab/>
        <w:t xml:space="preserve">o descriere a activităților de cercetare și inovare și a sprijinului suplimentar acordat acestora în ceea ce privește lanțul valoric al </w:t>
      </w:r>
      <w:r w:rsidRPr="00046858">
        <w:rPr>
          <w:noProof/>
        </w:rPr>
        <w:lastRenderedPageBreak/>
        <w:t>semiconductorilor din regiune, inclusiv sinergiile cu programele de cercetare și inovare naționale și ale Uniunii;</w:t>
      </w:r>
    </w:p>
    <w:p w14:paraId="5E1E0C4D" w14:textId="77777777" w:rsidR="0070232B" w:rsidRPr="00046858" w:rsidRDefault="002B03D7" w:rsidP="002B03D7">
      <w:pPr>
        <w:pStyle w:val="Point2"/>
        <w:rPr>
          <w:noProof/>
        </w:rPr>
      </w:pPr>
      <w:r w:rsidRPr="00046858">
        <w:rPr>
          <w:noProof/>
        </w:rPr>
        <w:t>(ii)</w:t>
      </w:r>
      <w:r w:rsidRPr="00046858">
        <w:rPr>
          <w:noProof/>
        </w:rPr>
        <w:tab/>
        <w:t xml:space="preserve">o descriere a cooperării cu universitățile, organizațiile de cercetare și tehnologice, inclusiv, după caz, a legăturilor cu activitățile liniilor-pilot, astfel cum se menționează la articolul 5 </w:t>
      </w:r>
      <w:r w:rsidRPr="00046858">
        <w:rPr>
          <w:rStyle w:val="Added"/>
          <w:b w:val="0"/>
          <w:noProof/>
          <w:u w:val="none"/>
        </w:rPr>
        <w:t>litera</w:t>
      </w:r>
      <w:r w:rsidRPr="00046858">
        <w:rPr>
          <w:noProof/>
        </w:rPr>
        <w:t> (b), și cu centrele de competență, astfel cum se menționează la articolul 6;</w:t>
      </w:r>
    </w:p>
    <w:p w14:paraId="41CABF10" w14:textId="77777777" w:rsidR="0070232B" w:rsidRPr="00046858" w:rsidRDefault="00F21D00" w:rsidP="006D2A9B">
      <w:pPr>
        <w:pStyle w:val="Point1"/>
        <w:rPr>
          <w:noProof/>
        </w:rPr>
      </w:pPr>
      <w:r w:rsidRPr="00046858">
        <w:rPr>
          <w:noProof/>
        </w:rPr>
        <w:t>(d)</w:t>
      </w:r>
      <w:r w:rsidRPr="00046858">
        <w:rPr>
          <w:noProof/>
        </w:rPr>
        <w:tab/>
        <w:t>sprijinul pentru educație, competențe și forța de muncă și dezvoltarea în continuare a acesteia în regiunea în cauză:</w:t>
      </w:r>
    </w:p>
    <w:p w14:paraId="1A10A188" w14:textId="77777777" w:rsidR="0070232B" w:rsidRPr="00046858" w:rsidRDefault="002B03D7" w:rsidP="002B03D7">
      <w:pPr>
        <w:pStyle w:val="Point2"/>
        <w:rPr>
          <w:noProof/>
        </w:rPr>
      </w:pPr>
      <w:r w:rsidRPr="00046858">
        <w:rPr>
          <w:noProof/>
        </w:rPr>
        <w:t>(i)</w:t>
      </w:r>
      <w:r w:rsidRPr="00046858">
        <w:rPr>
          <w:noProof/>
        </w:rPr>
        <w:tab/>
        <w:t xml:space="preserve">o descriere a măsurilor de asigurare a disponibilității unei forțe calificate de muncă legate de industria semiconductorilor la toate nivelurile, </w:t>
      </w:r>
      <w:r w:rsidRPr="00046858">
        <w:rPr>
          <w:rStyle w:val="Added"/>
          <w:b w:val="0"/>
          <w:noProof/>
          <w:u w:val="none"/>
        </w:rPr>
        <w:t>cu sinergii între beneficiile oferite în cadrul Pactului pentru competențe</w:t>
      </w:r>
      <w:r w:rsidRPr="00046858">
        <w:rPr>
          <w:rStyle w:val="FootnoteReference"/>
          <w:noProof/>
        </w:rPr>
        <w:footnoteReference w:id="71"/>
      </w:r>
      <w:r w:rsidRPr="00046858">
        <w:rPr>
          <w:noProof/>
        </w:rPr>
        <w:t>;</w:t>
      </w:r>
    </w:p>
    <w:p w14:paraId="0B119449" w14:textId="77777777" w:rsidR="0070232B" w:rsidRPr="00046858" w:rsidRDefault="002B03D7" w:rsidP="002B03D7">
      <w:pPr>
        <w:pStyle w:val="Point2"/>
        <w:rPr>
          <w:noProof/>
        </w:rPr>
      </w:pPr>
      <w:r w:rsidRPr="00046858">
        <w:rPr>
          <w:noProof/>
        </w:rPr>
        <w:t>(ii)</w:t>
      </w:r>
      <w:r w:rsidRPr="00046858">
        <w:rPr>
          <w:noProof/>
        </w:rPr>
        <w:tab/>
        <w:t>o descriere a parteneriatelor dintre industrie, furnizorii de educație și autoritățile publice în domeniul semiconductorilor;</w:t>
      </w:r>
    </w:p>
    <w:p w14:paraId="3C7258A3" w14:textId="77777777" w:rsidR="0070232B" w:rsidRPr="00046858" w:rsidRDefault="002B03D7" w:rsidP="002B03D7">
      <w:pPr>
        <w:pStyle w:val="Point2"/>
        <w:rPr>
          <w:noProof/>
        </w:rPr>
      </w:pPr>
      <w:r w:rsidRPr="00046858">
        <w:rPr>
          <w:noProof/>
        </w:rPr>
        <w:t>(iii)</w:t>
      </w:r>
      <w:r w:rsidRPr="00046858">
        <w:rPr>
          <w:noProof/>
        </w:rPr>
        <w:tab/>
        <w:t>o descriere a acțiunilor de atragere, păstrare și perfecționare a talentelor din industria semiconductorilor, inclusiv a talentelor internaționale, după caz;</w:t>
      </w:r>
    </w:p>
    <w:p w14:paraId="09BF2DD3" w14:textId="77777777" w:rsidR="0070232B" w:rsidRPr="00046858" w:rsidRDefault="00F21D00" w:rsidP="006D2A9B">
      <w:pPr>
        <w:pStyle w:val="Point1"/>
        <w:rPr>
          <w:noProof/>
        </w:rPr>
      </w:pPr>
      <w:r w:rsidRPr="00046858">
        <w:rPr>
          <w:noProof/>
        </w:rPr>
        <w:t>(e)</w:t>
      </w:r>
      <w:r w:rsidRPr="00046858">
        <w:rPr>
          <w:noProof/>
        </w:rPr>
        <w:tab/>
        <w:t>sprijinirea atractivității industriale și a investițiilor și dezvoltarea în continuare a acestora în regiunea în cauză:</w:t>
      </w:r>
    </w:p>
    <w:p w14:paraId="064DAB82" w14:textId="77777777" w:rsidR="0070232B" w:rsidRPr="00046858" w:rsidRDefault="002B03D7" w:rsidP="002B03D7">
      <w:pPr>
        <w:pStyle w:val="Point2"/>
        <w:rPr>
          <w:noProof/>
        </w:rPr>
      </w:pPr>
      <w:r w:rsidRPr="00046858">
        <w:rPr>
          <w:noProof/>
        </w:rPr>
        <w:t>(i)</w:t>
      </w:r>
      <w:r w:rsidRPr="00046858">
        <w:rPr>
          <w:noProof/>
        </w:rPr>
        <w:tab/>
        <w:t>o descriere a măsurilor de atragere și păstrare a investițiilor private relevante pentru lanțul valoric al semiconductorilor;</w:t>
      </w:r>
    </w:p>
    <w:p w14:paraId="6CB94203" w14:textId="77777777" w:rsidR="0070232B" w:rsidRPr="00046858" w:rsidRDefault="002B03D7" w:rsidP="002B03D7">
      <w:pPr>
        <w:pStyle w:val="Point2"/>
        <w:rPr>
          <w:noProof/>
        </w:rPr>
      </w:pPr>
      <w:r w:rsidRPr="00046858">
        <w:rPr>
          <w:noProof/>
        </w:rPr>
        <w:t>(ii)</w:t>
      </w:r>
      <w:r w:rsidRPr="00046858">
        <w:rPr>
          <w:noProof/>
        </w:rPr>
        <w:tab/>
        <w:t>o descriere a măsurilor de integrare a întreprinderilor mici și mijlocii și a întreprinderilor mici cu capitalizare medie în ecosistemul regional.</w:t>
      </w:r>
    </w:p>
    <w:p w14:paraId="1A26583D" w14:textId="77777777" w:rsidR="0070232B" w:rsidRPr="00046858" w:rsidRDefault="0070232B" w:rsidP="0070232B">
      <w:pPr>
        <w:pStyle w:val="Titrearticle"/>
        <w:rPr>
          <w:noProof/>
        </w:rPr>
      </w:pPr>
      <w:r w:rsidRPr="00046858">
        <w:rPr>
          <w:noProof/>
        </w:rPr>
        <w:t xml:space="preserve">Articolul 28 </w:t>
      </w:r>
      <w:r w:rsidRPr="00046858">
        <w:rPr>
          <w:noProof/>
        </w:rPr>
        <w:cr/>
      </w:r>
      <w:r w:rsidRPr="00046858">
        <w:rPr>
          <w:noProof/>
        </w:rPr>
        <w:br/>
        <w:t xml:space="preserve">Evaluarea </w:t>
      </w:r>
      <w:r w:rsidRPr="00046858">
        <w:rPr>
          <w:rStyle w:val="Added"/>
          <w:b w:val="0"/>
          <w:noProof/>
          <w:u w:val="none"/>
        </w:rPr>
        <w:t>cererilor de acordare</w:t>
      </w:r>
      <w:r w:rsidRPr="00046858">
        <w:rPr>
          <w:noProof/>
        </w:rPr>
        <w:t xml:space="preserve"> a etichetei de regiune europeană de excelență în domeniul semiconductorilor</w:t>
      </w:r>
    </w:p>
    <w:p w14:paraId="4C13EC68" w14:textId="4865823A" w:rsidR="0070232B" w:rsidRPr="00046858" w:rsidRDefault="007577A1" w:rsidP="006164B0">
      <w:pPr>
        <w:pStyle w:val="ManualNumPar1"/>
        <w:rPr>
          <w:noProof/>
        </w:rPr>
      </w:pPr>
      <w:r w:rsidRPr="00046858">
        <w:rPr>
          <w:noProof/>
        </w:rPr>
        <w:t>(1)</w:t>
      </w:r>
      <w:r w:rsidRPr="00046858">
        <w:rPr>
          <w:noProof/>
        </w:rPr>
        <w:tab/>
        <w:t>Comisia evaluează cererile de acordare a etichetei de regiune europeană de excelență în domeniul semiconductorilor pe baza coerenței și a credibilității Planului de investiții al regiunilor semiconductorilor și a nivelului de angajament al autorităților relevante.</w:t>
      </w:r>
    </w:p>
    <w:p w14:paraId="3361403A" w14:textId="3B3A5DB8" w:rsidR="007577A1" w:rsidRPr="00046858" w:rsidRDefault="007577A1" w:rsidP="003A4FB5">
      <w:pPr>
        <w:pStyle w:val="ManualNumPar1"/>
        <w:rPr>
          <w:noProof/>
        </w:rPr>
      </w:pPr>
      <w:r w:rsidRPr="00046858">
        <w:rPr>
          <w:noProof/>
        </w:rPr>
        <w:t>(2)</w:t>
      </w:r>
      <w:r w:rsidRPr="00046858">
        <w:rPr>
          <w:noProof/>
        </w:rPr>
        <w:tab/>
        <w:t>Comisia prelucrează cererile, adoptă decizia menționată la articolul 26 alineatul (1) și notifică regiunea în cauză, statul membru în cauză și Consiliul european pentru semiconductori în termen de trei luni de la primirea unei cereri complete.</w:t>
      </w:r>
    </w:p>
    <w:p w14:paraId="34E9C0DF" w14:textId="0C1585C1" w:rsidR="007577A1" w:rsidRPr="00046858" w:rsidRDefault="007577A1" w:rsidP="003A4FB5">
      <w:pPr>
        <w:pStyle w:val="ManualNumPar1"/>
        <w:rPr>
          <w:noProof/>
        </w:rPr>
      </w:pPr>
      <w:r w:rsidRPr="00046858">
        <w:rPr>
          <w:noProof/>
        </w:rPr>
        <w:t>(3)</w:t>
      </w:r>
      <w:r w:rsidRPr="00046858">
        <w:rPr>
          <w:noProof/>
        </w:rPr>
        <w:tab/>
        <w:t>În cazul în care Comisia consideră că informațiile furnizate în cerere sunt incomplete, aceasta informează autoritatea regională și statul membru în cauză fără întârzieri nejustificate și oferă posibilitatea de a prezenta informațiile suplimentare necesare pentru completarea cererii.</w:t>
      </w:r>
    </w:p>
    <w:p w14:paraId="0698EFA6" w14:textId="1FBB46D1" w:rsidR="007577A1" w:rsidRPr="00046858" w:rsidRDefault="007577A1" w:rsidP="003A4FB5">
      <w:pPr>
        <w:pStyle w:val="ManualNumPar1"/>
        <w:rPr>
          <w:noProof/>
        </w:rPr>
      </w:pPr>
      <w:r w:rsidRPr="00046858">
        <w:rPr>
          <w:noProof/>
        </w:rPr>
        <w:t>(4)</w:t>
      </w:r>
      <w:r w:rsidRPr="00046858">
        <w:rPr>
          <w:noProof/>
        </w:rPr>
        <w:tab/>
        <w:t>Decizia Comisiei menționată la articolul 26 alineatul (1) stabilește durata etichetei de regiune europeană de excelență în domeniul semiconductorilor, care se bazează pe evaluarea Planului de investiții al regiunilor semiconductorilor prezentat.</w:t>
      </w:r>
    </w:p>
    <w:p w14:paraId="342E7578" w14:textId="3D2C08AA" w:rsidR="007577A1" w:rsidRPr="00046858" w:rsidRDefault="007577A1" w:rsidP="003A4FB5">
      <w:pPr>
        <w:pStyle w:val="ManualNumPar1"/>
        <w:rPr>
          <w:noProof/>
        </w:rPr>
      </w:pPr>
      <w:r w:rsidRPr="00046858">
        <w:rPr>
          <w:noProof/>
        </w:rPr>
        <w:lastRenderedPageBreak/>
        <w:t>(5)</w:t>
      </w:r>
      <w:r w:rsidRPr="00046858">
        <w:rPr>
          <w:noProof/>
        </w:rPr>
        <w:tab/>
        <w:t xml:space="preserve">Autoritatea regională și statul membru </w:t>
      </w:r>
      <w:r w:rsidRPr="00046858">
        <w:rPr>
          <w:rStyle w:val="Added"/>
          <w:b w:val="0"/>
          <w:noProof/>
          <w:u w:val="none"/>
        </w:rPr>
        <w:t>în cauză</w:t>
      </w:r>
      <w:r w:rsidRPr="00046858">
        <w:rPr>
          <w:noProof/>
        </w:rPr>
        <w:t xml:space="preserve"> monitorizează progresele înregistrate în punerea în aplicare a Planului de investiții al regiunilor semiconductorilor și informează în acest sens Comisia și Consiliul european pentru semiconductori cel puțin o dată pe an.</w:t>
      </w:r>
    </w:p>
    <w:p w14:paraId="755D3EFA" w14:textId="0ACD19D1" w:rsidR="007577A1" w:rsidRPr="00046858" w:rsidRDefault="007577A1" w:rsidP="003A4FB5">
      <w:pPr>
        <w:pStyle w:val="ManualNumPar1"/>
        <w:rPr>
          <w:noProof/>
        </w:rPr>
      </w:pPr>
      <w:r w:rsidRPr="00046858">
        <w:rPr>
          <w:noProof/>
        </w:rPr>
        <w:t>(6)</w:t>
      </w:r>
      <w:r w:rsidRPr="00046858">
        <w:rPr>
          <w:noProof/>
        </w:rPr>
        <w:tab/>
        <w:t>Un rezumat al Planului de investiții al regiunilor semiconductorilor, din care sunt excluse informațiile sensibile din punct de vedere comercial și care are ca scop atragerea de investiții, este pus la dispoziția publicului prin următoarele două mijloace:</w:t>
      </w:r>
    </w:p>
    <w:p w14:paraId="1545FA7A" w14:textId="77777777" w:rsidR="007577A1" w:rsidRPr="00046858" w:rsidRDefault="007577A1" w:rsidP="000006E4">
      <w:pPr>
        <w:pStyle w:val="Point1"/>
        <w:rPr>
          <w:noProof/>
        </w:rPr>
      </w:pPr>
      <w:r w:rsidRPr="00046858">
        <w:rPr>
          <w:noProof/>
        </w:rPr>
        <w:t>(a)</w:t>
      </w:r>
      <w:r w:rsidRPr="00046858">
        <w:rPr>
          <w:noProof/>
        </w:rPr>
        <w:tab/>
        <w:t>un site web al Comisiei;</w:t>
      </w:r>
    </w:p>
    <w:p w14:paraId="38A6E553" w14:textId="77777777" w:rsidR="007577A1" w:rsidRPr="00046858" w:rsidRDefault="007577A1" w:rsidP="000006E4">
      <w:pPr>
        <w:pStyle w:val="Point1"/>
        <w:rPr>
          <w:noProof/>
        </w:rPr>
      </w:pPr>
      <w:r w:rsidRPr="00046858">
        <w:rPr>
          <w:noProof/>
        </w:rPr>
        <w:t>(b)</w:t>
      </w:r>
      <w:r w:rsidRPr="00046858">
        <w:rPr>
          <w:noProof/>
        </w:rPr>
        <w:tab/>
        <w:t>un site web al statului membru, al regiunii și/sau al autorităților relevante în cauză.</w:t>
      </w:r>
    </w:p>
    <w:p w14:paraId="75B8742C" w14:textId="77777777" w:rsidR="009424CC" w:rsidRPr="00046858" w:rsidRDefault="009424CC" w:rsidP="009424CC">
      <w:pPr>
        <w:pStyle w:val="Titrearticle"/>
        <w:rPr>
          <w:noProof/>
        </w:rPr>
      </w:pPr>
      <w:r w:rsidRPr="00046858">
        <w:rPr>
          <w:noProof/>
        </w:rPr>
        <w:t xml:space="preserve">Articolul 29 </w:t>
      </w:r>
      <w:r w:rsidRPr="00046858">
        <w:rPr>
          <w:noProof/>
        </w:rPr>
        <w:cr/>
      </w:r>
      <w:r w:rsidRPr="00046858">
        <w:rPr>
          <w:noProof/>
        </w:rPr>
        <w:br/>
        <w:t>Rețeaua regiunilor europene de excelență în domeniul semiconductorilor</w:t>
      </w:r>
    </w:p>
    <w:p w14:paraId="404D9FB7" w14:textId="2273EF4F" w:rsidR="009424CC" w:rsidRPr="00046858" w:rsidRDefault="00633B04" w:rsidP="006164B0">
      <w:pPr>
        <w:pStyle w:val="ManualNumPar1"/>
        <w:rPr>
          <w:noProof/>
        </w:rPr>
      </w:pPr>
      <w:r w:rsidRPr="00046858">
        <w:rPr>
          <w:noProof/>
        </w:rPr>
        <w:t>(1)</w:t>
      </w:r>
      <w:r w:rsidRPr="00046858">
        <w:rPr>
          <w:noProof/>
        </w:rPr>
        <w:tab/>
        <w:t>Se instituie o rețea a regiunilor europene de excelență în domeniul semiconductorilor („rețeaua</w:t>
      </w:r>
      <w:r w:rsidRPr="00046858">
        <w:rPr>
          <w:rStyle w:val="Deleted"/>
          <w:strike w:val="0"/>
          <w:noProof/>
        </w:rPr>
        <w:t>”</w:t>
      </w:r>
      <w:r w:rsidRPr="00046858">
        <w:rPr>
          <w:noProof/>
        </w:rPr>
        <w:t>).</w:t>
      </w:r>
    </w:p>
    <w:p w14:paraId="7CF50053" w14:textId="181100D5" w:rsidR="00633B04" w:rsidRPr="00046858" w:rsidRDefault="00633B04" w:rsidP="003A4FB5">
      <w:pPr>
        <w:pStyle w:val="ManualNumPar1"/>
        <w:rPr>
          <w:noProof/>
        </w:rPr>
      </w:pPr>
      <w:r w:rsidRPr="00046858">
        <w:rPr>
          <w:noProof/>
        </w:rPr>
        <w:t>(2)</w:t>
      </w:r>
      <w:r w:rsidRPr="00046858">
        <w:rPr>
          <w:noProof/>
        </w:rPr>
        <w:tab/>
        <w:t>Rețeaua își organizează activitatea în mod autonom. Aceasta își poate stabili propriile metode de lucru, inclusiv organizarea de reuniuni, desemnarea unui președinte prin rotație între regiunile participante și adoptarea de acorduri informale pentru a facilita cooperarea și schimbul de informații.</w:t>
      </w:r>
    </w:p>
    <w:p w14:paraId="5E1A6FFA" w14:textId="410EFDE9" w:rsidR="00633B04" w:rsidRPr="00046858" w:rsidRDefault="00633B04" w:rsidP="003A4FB5">
      <w:pPr>
        <w:pStyle w:val="ManualNumPar1"/>
        <w:rPr>
          <w:noProof/>
        </w:rPr>
      </w:pPr>
      <w:r w:rsidRPr="00046858">
        <w:rPr>
          <w:noProof/>
        </w:rPr>
        <w:t>(3)</w:t>
      </w:r>
      <w:r w:rsidRPr="00046858">
        <w:rPr>
          <w:noProof/>
        </w:rPr>
        <w:tab/>
        <w:t>Rețeaua reunește regiunile cărora li s-a acordat eticheta de regiuni europene de excelență în domeniul semiconductorilor în temeiul articolului 26.</w:t>
      </w:r>
    </w:p>
    <w:p w14:paraId="3746C587" w14:textId="0E82CA95" w:rsidR="00633B04" w:rsidRPr="00046858" w:rsidRDefault="00633B04" w:rsidP="003A4FB5">
      <w:pPr>
        <w:pStyle w:val="ManualNumPar1"/>
        <w:rPr>
          <w:noProof/>
        </w:rPr>
      </w:pPr>
      <w:r w:rsidRPr="00046858">
        <w:rPr>
          <w:noProof/>
        </w:rPr>
        <w:t>(4)</w:t>
      </w:r>
      <w:r w:rsidRPr="00046858">
        <w:rPr>
          <w:noProof/>
        </w:rPr>
        <w:tab/>
        <w:t>Obiectivele rețelei includ următoarele:</w:t>
      </w:r>
    </w:p>
    <w:p w14:paraId="3114A19D" w14:textId="77777777" w:rsidR="00633B04" w:rsidRPr="00046858" w:rsidRDefault="00F21D00" w:rsidP="000006E4">
      <w:pPr>
        <w:pStyle w:val="Point1"/>
        <w:rPr>
          <w:noProof/>
        </w:rPr>
      </w:pPr>
      <w:r w:rsidRPr="00046858">
        <w:rPr>
          <w:noProof/>
        </w:rPr>
        <w:t>(a)</w:t>
      </w:r>
      <w:r w:rsidRPr="00046858">
        <w:rPr>
          <w:noProof/>
        </w:rPr>
        <w:tab/>
        <w:t>facilitarea cooperării și a schimbului de bune practici între regiunile europene de excelență în domeniul semiconductorilor;</w:t>
      </w:r>
    </w:p>
    <w:p w14:paraId="7F88C824" w14:textId="77777777" w:rsidR="00EE03FD" w:rsidRPr="00046858" w:rsidRDefault="00EE03FD" w:rsidP="000006E4">
      <w:pPr>
        <w:pStyle w:val="Point1"/>
        <w:rPr>
          <w:noProof/>
        </w:rPr>
      </w:pPr>
      <w:r w:rsidRPr="00046858">
        <w:rPr>
          <w:noProof/>
        </w:rPr>
        <w:t>(b)</w:t>
      </w:r>
      <w:r w:rsidRPr="00046858">
        <w:rPr>
          <w:noProof/>
        </w:rPr>
        <w:tab/>
        <w:t xml:space="preserve">promovarea rețelei și a activităților sale în rândul regiunilor membre și nemembre prin activități de informare, comunicare și diseminare pentru a spori vizibilitatea și participarea; </w:t>
      </w:r>
    </w:p>
    <w:p w14:paraId="3D73118D" w14:textId="77777777" w:rsidR="00633B04" w:rsidRPr="00046858" w:rsidRDefault="00F21D00" w:rsidP="000006E4">
      <w:pPr>
        <w:pStyle w:val="Point1"/>
        <w:rPr>
          <w:noProof/>
        </w:rPr>
      </w:pPr>
      <w:r w:rsidRPr="00046858">
        <w:rPr>
          <w:noProof/>
        </w:rPr>
        <w:t>(c)</w:t>
      </w:r>
      <w:r w:rsidRPr="00046858">
        <w:rPr>
          <w:noProof/>
        </w:rPr>
        <w:tab/>
        <w:t xml:space="preserve">promovarea sinergiilor și a complementarităților dintre ecosistemele regionale ale semiconductorilor din întreaga Uniune, inclusiv între diferite segmente ale lanțului valoric al semiconductorilor; </w:t>
      </w:r>
    </w:p>
    <w:p w14:paraId="02752D76" w14:textId="77777777" w:rsidR="00633B04" w:rsidRPr="00046858" w:rsidRDefault="00F21D00" w:rsidP="000006E4">
      <w:pPr>
        <w:pStyle w:val="Point1"/>
        <w:rPr>
          <w:noProof/>
        </w:rPr>
      </w:pPr>
      <w:r w:rsidRPr="00046858">
        <w:rPr>
          <w:noProof/>
        </w:rPr>
        <w:t>(d)</w:t>
      </w:r>
      <w:r w:rsidRPr="00046858">
        <w:rPr>
          <w:noProof/>
        </w:rPr>
        <w:tab/>
        <w:t xml:space="preserve">sporirea vizibilității și a atractivității regiunilor europene de excelență în domeniul semiconductorilor pentru investițiile private și parteneriatele internaționale. </w:t>
      </w:r>
    </w:p>
    <w:p w14:paraId="645DB62C" w14:textId="7B5289C0" w:rsidR="00633B04" w:rsidRPr="00046858" w:rsidRDefault="00633B04" w:rsidP="003A4FB5">
      <w:pPr>
        <w:pStyle w:val="ManualNumPar1"/>
        <w:rPr>
          <w:noProof/>
        </w:rPr>
      </w:pPr>
      <w:r w:rsidRPr="00046858">
        <w:rPr>
          <w:noProof/>
        </w:rPr>
        <w:t>(5)</w:t>
      </w:r>
      <w:r w:rsidRPr="00046858">
        <w:rPr>
          <w:noProof/>
        </w:rPr>
        <w:tab/>
        <w:t>Comisia poate facilita funcționarea rețelei și poate organiza reuniuni, ateliere sau alte activități pentru a sprijini schimbul de informații și cooperarea între regiunile participante.</w:t>
      </w:r>
    </w:p>
    <w:p w14:paraId="7A229990" w14:textId="77777777" w:rsidR="00633B04" w:rsidRPr="00046858" w:rsidRDefault="00633B04" w:rsidP="00633B04">
      <w:pPr>
        <w:pStyle w:val="Text1"/>
        <w:rPr>
          <w:noProof/>
        </w:rPr>
      </w:pPr>
    </w:p>
    <w:p w14:paraId="1C6A2984" w14:textId="77777777" w:rsidR="00081EE5" w:rsidRPr="00046858" w:rsidRDefault="00633B04" w:rsidP="00D1084D">
      <w:pPr>
        <w:pStyle w:val="SectionTitle"/>
        <w:rPr>
          <w:noProof/>
        </w:rPr>
      </w:pPr>
      <w:r w:rsidRPr="00046858">
        <w:rPr>
          <w:noProof/>
        </w:rPr>
        <w:lastRenderedPageBreak/>
        <w:t>Secțiunea 4</w:t>
      </w:r>
    </w:p>
    <w:p w14:paraId="2FC77EB4" w14:textId="77777777" w:rsidR="00633B04" w:rsidRPr="00046858" w:rsidRDefault="00742603" w:rsidP="00D1084D">
      <w:pPr>
        <w:pStyle w:val="SectionTitle"/>
        <w:rPr>
          <w:rStyle w:val="Deleted"/>
          <w:noProof/>
        </w:rPr>
      </w:pPr>
      <w:r w:rsidRPr="00046858">
        <w:rPr>
          <w:noProof/>
        </w:rPr>
        <w:t>Reziliența la nivelul lanțurilor de aprovizionare</w:t>
      </w:r>
    </w:p>
    <w:p w14:paraId="13547963" w14:textId="77777777" w:rsidR="00550832" w:rsidRPr="00046858" w:rsidRDefault="00550832" w:rsidP="00550832">
      <w:pPr>
        <w:pStyle w:val="Titrearticle"/>
        <w:rPr>
          <w:noProof/>
        </w:rPr>
      </w:pPr>
      <w:r w:rsidRPr="00046858">
        <w:rPr>
          <w:noProof/>
        </w:rPr>
        <w:t xml:space="preserve">Articolul 30 </w:t>
      </w:r>
      <w:r w:rsidRPr="00046858">
        <w:rPr>
          <w:noProof/>
        </w:rPr>
        <w:cr/>
      </w:r>
      <w:r w:rsidRPr="00046858">
        <w:rPr>
          <w:noProof/>
        </w:rPr>
        <w:br/>
        <w:t xml:space="preserve">Achiziții publice </w:t>
      </w:r>
    </w:p>
    <w:p w14:paraId="2AC19512" w14:textId="05895998" w:rsidR="004B06E7" w:rsidRPr="00046858" w:rsidRDefault="00F74B4C" w:rsidP="00A96691">
      <w:pPr>
        <w:pStyle w:val="ManualNumPar1"/>
        <w:rPr>
          <w:rStyle w:val="Deleted"/>
          <w:noProof/>
        </w:rPr>
      </w:pPr>
      <w:r w:rsidRPr="00046858">
        <w:rPr>
          <w:noProof/>
        </w:rPr>
        <w:t>(1)</w:t>
      </w:r>
      <w:r w:rsidRPr="00046858">
        <w:rPr>
          <w:noProof/>
        </w:rPr>
        <w:tab/>
        <w:t xml:space="preserve">Pentru procedurile de achiziții publice </w:t>
      </w:r>
      <w:r w:rsidRPr="00046858">
        <w:rPr>
          <w:rStyle w:val="Added"/>
          <w:b w:val="0"/>
          <w:noProof/>
          <w:u w:val="none"/>
        </w:rPr>
        <w:t>care intră în domeniul de aplicare al Directivelor 2014/23/UE, 2014/24/UE sau 2014/25/UE și</w:t>
      </w:r>
      <w:r w:rsidRPr="00046858">
        <w:rPr>
          <w:noProof/>
        </w:rPr>
        <w:t xml:space="preserve"> care au fost lansate la [JO: a se introduce data – un an de la data intrării în vigoare] sau după această dată în ceea ce privește infrastructurile, echipamentele </w:t>
      </w:r>
      <w:r w:rsidRPr="00046858">
        <w:rPr>
          <w:rStyle w:val="Added"/>
          <w:b w:val="0"/>
          <w:noProof/>
          <w:u w:val="none"/>
        </w:rPr>
        <w:t>sau</w:t>
      </w:r>
      <w:r w:rsidRPr="00046858">
        <w:rPr>
          <w:noProof/>
        </w:rPr>
        <w:t xml:space="preserve"> sistemele </w:t>
      </w:r>
      <w:r w:rsidRPr="00046858">
        <w:rPr>
          <w:rStyle w:val="Added"/>
          <w:b w:val="0"/>
          <w:noProof/>
          <w:u w:val="none"/>
        </w:rPr>
        <w:t>din sectoare cu o importanță critică ridicată, astfel cum sunt enumerate în anexa I la Directiva (UE) 2022/2555, și din alte sectoare de importanță critică, astfel cum sunt enumerate în</w:t>
      </w:r>
      <w:r w:rsidRPr="00046858">
        <w:rPr>
          <w:noProof/>
        </w:rPr>
        <w:t xml:space="preserve"> anexa II la directiva respectivă, autoritățile contractante și entitățile contractante le </w:t>
      </w:r>
      <w:r w:rsidRPr="00046858">
        <w:rPr>
          <w:rStyle w:val="Added"/>
          <w:b w:val="0"/>
          <w:noProof/>
          <w:u w:val="none"/>
        </w:rPr>
        <w:t>pot solicita operatorilor economici să depună, împreună cu documentația lor de licitație, o declarație privind securitatea aprovizionării referitoare la aprovizionarea cu semiconductorii încorporați în infrastructurile, echipamentele sau sistemele care fac obiectul contractului</w:t>
      </w:r>
      <w:r w:rsidRPr="00046858">
        <w:rPr>
          <w:noProof/>
        </w:rPr>
        <w:t>.</w:t>
      </w:r>
    </w:p>
    <w:p w14:paraId="5F809FAA" w14:textId="2CD8804C" w:rsidR="00F74B4C" w:rsidRPr="00046858" w:rsidRDefault="00F74B4C" w:rsidP="003A4FB5">
      <w:pPr>
        <w:pStyle w:val="ManualNumPar1"/>
        <w:rPr>
          <w:noProof/>
        </w:rPr>
      </w:pPr>
      <w:r w:rsidRPr="00046858">
        <w:rPr>
          <w:noProof/>
        </w:rPr>
        <w:t>(2)</w:t>
      </w:r>
      <w:r w:rsidRPr="00046858">
        <w:rPr>
          <w:noProof/>
        </w:rPr>
        <w:tab/>
        <w:t>Declarația menționată la alineatul </w:t>
      </w:r>
      <w:r w:rsidRPr="00046858">
        <w:rPr>
          <w:rStyle w:val="Added"/>
          <w:b w:val="0"/>
          <w:noProof/>
          <w:u w:val="none"/>
        </w:rPr>
        <w:t>(1)</w:t>
      </w:r>
      <w:r w:rsidRPr="00046858">
        <w:rPr>
          <w:noProof/>
        </w:rPr>
        <w:t xml:space="preserve"> include următoarele elemente:</w:t>
      </w:r>
    </w:p>
    <w:p w14:paraId="647A2B93" w14:textId="0A8846F4" w:rsidR="00F74B4C" w:rsidRPr="00046858" w:rsidRDefault="00F74B4C" w:rsidP="000006E4">
      <w:pPr>
        <w:pStyle w:val="Point1"/>
        <w:rPr>
          <w:noProof/>
        </w:rPr>
      </w:pPr>
      <w:r w:rsidRPr="00046858">
        <w:rPr>
          <w:noProof/>
        </w:rPr>
        <w:t>(a)</w:t>
      </w:r>
      <w:r w:rsidRPr="00046858">
        <w:rPr>
          <w:noProof/>
        </w:rPr>
        <w:tab/>
        <w:t xml:space="preserve">o prezentare generală a întreprinderilor implicate în aprovizionarea cu semiconductori încorporați în produs, </w:t>
      </w:r>
      <w:r w:rsidRPr="00046858">
        <w:rPr>
          <w:rStyle w:val="Added"/>
          <w:b w:val="0"/>
          <w:noProof/>
          <w:u w:val="none"/>
        </w:rPr>
        <w:t>inclusiv proporția întreprinderilor naționale</w:t>
      </w:r>
      <w:r w:rsidRPr="00046858">
        <w:rPr>
          <w:noProof/>
        </w:rPr>
        <w:t>;</w:t>
      </w:r>
    </w:p>
    <w:p w14:paraId="528A1163" w14:textId="5BAFAB77" w:rsidR="00FD2C49" w:rsidRPr="00046858" w:rsidRDefault="00FD2C49" w:rsidP="006D2A9B">
      <w:pPr>
        <w:pStyle w:val="Point1"/>
        <w:rPr>
          <w:rStyle w:val="Added"/>
          <w:b w:val="0"/>
          <w:noProof/>
          <w:u w:val="none"/>
        </w:rPr>
      </w:pPr>
      <w:r w:rsidRPr="00046858">
        <w:rPr>
          <w:noProof/>
        </w:rPr>
        <w:t>(b)</w:t>
      </w:r>
      <w:r w:rsidRPr="00046858">
        <w:rPr>
          <w:noProof/>
        </w:rPr>
        <w:tab/>
      </w:r>
      <w:r w:rsidRPr="00046858">
        <w:rPr>
          <w:rStyle w:val="Added"/>
          <w:b w:val="0"/>
          <w:noProof/>
          <w:u w:val="none"/>
        </w:rPr>
        <w:t>valoarea adăugată la nivelul Uniunii, demonstrată de contribuția licitației la consolidarea lanțului european de aprovizionare cu semiconductori, cum ar fi includerea inițiativelor de pionierat și a proiectelor strategice în calitate de furnizori;</w:t>
      </w:r>
    </w:p>
    <w:p w14:paraId="15C9ED5E" w14:textId="7D51C9CC" w:rsidR="00F74B4C" w:rsidRPr="00046858" w:rsidRDefault="00F74B4C" w:rsidP="006D2A9B">
      <w:pPr>
        <w:pStyle w:val="Point1"/>
        <w:rPr>
          <w:noProof/>
        </w:rPr>
      </w:pPr>
      <w:r w:rsidRPr="00046858">
        <w:rPr>
          <w:noProof/>
        </w:rPr>
        <w:t>(c)</w:t>
      </w:r>
      <w:r w:rsidRPr="00046858">
        <w:rPr>
          <w:noProof/>
        </w:rPr>
        <w:tab/>
        <w:t xml:space="preserve">strategia ofertantului privind reziliența și diversificarea lanțului de aprovizionare cu semiconductori, cum ar fi strategia de aprovizionare dublă a ofertantului, inclusiv, dacă este fezabil și adecvat, </w:t>
      </w:r>
      <w:r w:rsidRPr="00046858">
        <w:rPr>
          <w:rStyle w:val="Added"/>
          <w:b w:val="0"/>
          <w:noProof/>
          <w:u w:val="none"/>
        </w:rPr>
        <w:t>includerea a</w:t>
      </w:r>
      <w:r w:rsidRPr="00046858">
        <w:rPr>
          <w:noProof/>
        </w:rPr>
        <w:t xml:space="preserve"> cel puțin unei întreprinderi naționale;</w:t>
      </w:r>
    </w:p>
    <w:p w14:paraId="7EA3DFEC" w14:textId="45B78195" w:rsidR="000D3205" w:rsidRPr="00046858" w:rsidRDefault="000D3205" w:rsidP="006D2A9B">
      <w:pPr>
        <w:pStyle w:val="Point1"/>
        <w:rPr>
          <w:rStyle w:val="Added"/>
          <w:b w:val="0"/>
          <w:noProof/>
          <w:u w:val="none"/>
        </w:rPr>
      </w:pPr>
      <w:r w:rsidRPr="00046858">
        <w:rPr>
          <w:noProof/>
        </w:rPr>
        <w:t>(d)</w:t>
      </w:r>
      <w:r w:rsidRPr="00046858">
        <w:rPr>
          <w:noProof/>
        </w:rPr>
        <w:tab/>
      </w:r>
      <w:r w:rsidRPr="00046858">
        <w:rPr>
          <w:rStyle w:val="Added"/>
          <w:b w:val="0"/>
          <w:noProof/>
          <w:u w:val="none"/>
        </w:rPr>
        <w:t>după caz, orice recomandări sau obligații menționate la articolul 31;</w:t>
      </w:r>
    </w:p>
    <w:p w14:paraId="6FD26A73" w14:textId="269F5644" w:rsidR="009D024F" w:rsidRPr="00046858" w:rsidRDefault="00F74B4C" w:rsidP="006D2A9B">
      <w:pPr>
        <w:pStyle w:val="Point1"/>
        <w:rPr>
          <w:noProof/>
        </w:rPr>
      </w:pPr>
      <w:r w:rsidRPr="00046858">
        <w:rPr>
          <w:noProof/>
        </w:rPr>
        <w:t>(e)</w:t>
      </w:r>
      <w:r w:rsidRPr="00046858">
        <w:rPr>
          <w:noProof/>
        </w:rPr>
        <w:tab/>
        <w:t xml:space="preserve">după caz, evaluarea riscurilor în materie de securitate a aprovizionării efectuată </w:t>
      </w:r>
      <w:r w:rsidRPr="00046858">
        <w:rPr>
          <w:rStyle w:val="Added"/>
          <w:b w:val="0"/>
          <w:noProof/>
          <w:u w:val="none"/>
        </w:rPr>
        <w:t>în conformitate cu</w:t>
      </w:r>
      <w:r w:rsidRPr="00046858">
        <w:rPr>
          <w:b/>
          <w:noProof/>
        </w:rPr>
        <w:t xml:space="preserve"> </w:t>
      </w:r>
      <w:r w:rsidRPr="00046858">
        <w:rPr>
          <w:noProof/>
        </w:rPr>
        <w:t>articolul 32.</w:t>
      </w:r>
    </w:p>
    <w:p w14:paraId="764AB895" w14:textId="56305259" w:rsidR="006B5D6F" w:rsidRPr="00046858" w:rsidRDefault="009D024F" w:rsidP="003A4FB5">
      <w:pPr>
        <w:pStyle w:val="ManualNumPar1"/>
        <w:rPr>
          <w:rStyle w:val="Deleted"/>
          <w:noProof/>
        </w:rPr>
      </w:pPr>
      <w:r w:rsidRPr="00046858">
        <w:rPr>
          <w:noProof/>
        </w:rPr>
        <w:t>(3)</w:t>
      </w:r>
      <w:r w:rsidRPr="00046858">
        <w:rPr>
          <w:noProof/>
        </w:rPr>
        <w:tab/>
        <w:t xml:space="preserve">În cazul în care </w:t>
      </w:r>
      <w:r w:rsidRPr="00046858">
        <w:rPr>
          <w:rStyle w:val="Added"/>
          <w:b w:val="0"/>
          <w:noProof/>
          <w:u w:val="none"/>
        </w:rPr>
        <w:t>operatorilor economici</w:t>
      </w:r>
      <w:r w:rsidRPr="00046858">
        <w:rPr>
          <w:noProof/>
        </w:rPr>
        <w:t xml:space="preserve"> li se solicită o declarație privind securitatea aprovizionării,</w:t>
      </w:r>
      <w:r w:rsidRPr="00046858">
        <w:rPr>
          <w:b/>
          <w:noProof/>
        </w:rPr>
        <w:t xml:space="preserve"> </w:t>
      </w:r>
      <w:r w:rsidRPr="00046858">
        <w:rPr>
          <w:noProof/>
        </w:rPr>
        <w:t xml:space="preserve">autoritățile contractante și entitățile contractante </w:t>
      </w:r>
      <w:r w:rsidRPr="00046858">
        <w:rPr>
          <w:rStyle w:val="Added"/>
          <w:b w:val="0"/>
          <w:noProof/>
          <w:u w:val="none"/>
        </w:rPr>
        <w:t>pot specifica, în documentele achiziției, cerințe legate de securitatea aprovizionării referitoare la aprovizionarea cu semiconductorii încorporați în infrastructurile, echipamentele sau sistemele care fac obiectul contractului de achiziții publice</w:t>
      </w:r>
      <w:r w:rsidRPr="00046858">
        <w:rPr>
          <w:noProof/>
        </w:rPr>
        <w:t>.</w:t>
      </w:r>
      <w:r w:rsidRPr="00046858">
        <w:rPr>
          <w:rStyle w:val="Added"/>
          <w:b w:val="0"/>
          <w:noProof/>
          <w:u w:val="none"/>
        </w:rPr>
        <w:t xml:space="preserve"> În acest scop, autoritățile contractante și entitățile contractante pot include specificații tehnice, criterii de selecție, criterii de atribuire sau clauze de executare a contractului.</w:t>
      </w:r>
    </w:p>
    <w:p w14:paraId="2B98213E" w14:textId="1A5E59CD" w:rsidR="000D6D2A" w:rsidRPr="00046858" w:rsidRDefault="002976C0" w:rsidP="003A4FB5">
      <w:pPr>
        <w:pStyle w:val="ManualNumPar1"/>
        <w:rPr>
          <w:noProof/>
        </w:rPr>
      </w:pPr>
      <w:r w:rsidRPr="00046858">
        <w:rPr>
          <w:noProof/>
        </w:rPr>
        <w:t>(4)</w:t>
      </w:r>
      <w:r w:rsidRPr="00046858">
        <w:rPr>
          <w:noProof/>
        </w:rPr>
        <w:tab/>
      </w:r>
      <w:r w:rsidRPr="00046858">
        <w:rPr>
          <w:rStyle w:val="Added"/>
          <w:b w:val="0"/>
          <w:noProof/>
          <w:u w:val="none"/>
        </w:rPr>
        <w:t>Cerințele adoptate în temeiul alineatului (3):</w:t>
      </w:r>
      <w:r w:rsidRPr="00046858">
        <w:rPr>
          <w:noProof/>
        </w:rPr>
        <w:t xml:space="preserve"> </w:t>
      </w:r>
    </w:p>
    <w:p w14:paraId="06401DC5" w14:textId="77777777" w:rsidR="000D6D2A" w:rsidRPr="00046858" w:rsidRDefault="000D6D2A" w:rsidP="000006E4">
      <w:pPr>
        <w:pStyle w:val="Point1"/>
        <w:rPr>
          <w:rStyle w:val="Added"/>
          <w:b w:val="0"/>
          <w:noProof/>
          <w:u w:val="none"/>
        </w:rPr>
      </w:pPr>
      <w:r w:rsidRPr="00046858">
        <w:rPr>
          <w:noProof/>
        </w:rPr>
        <w:t>(a)</w:t>
      </w:r>
      <w:r w:rsidRPr="00046858">
        <w:rPr>
          <w:noProof/>
        </w:rPr>
        <w:tab/>
      </w:r>
      <w:r w:rsidRPr="00046858">
        <w:rPr>
          <w:rStyle w:val="Added"/>
          <w:b w:val="0"/>
          <w:noProof/>
          <w:u w:val="none"/>
        </w:rPr>
        <w:t>sunt legate de obiectul contractului;</w:t>
      </w:r>
    </w:p>
    <w:p w14:paraId="64C2C4AA" w14:textId="77777777" w:rsidR="000D6D2A" w:rsidRPr="00046858" w:rsidRDefault="000D6D2A" w:rsidP="000006E4">
      <w:pPr>
        <w:pStyle w:val="Point1"/>
        <w:rPr>
          <w:rStyle w:val="Added"/>
          <w:b w:val="0"/>
          <w:noProof/>
          <w:u w:val="none"/>
        </w:rPr>
      </w:pPr>
      <w:r w:rsidRPr="00046858">
        <w:rPr>
          <w:noProof/>
        </w:rPr>
        <w:t>(b)</w:t>
      </w:r>
      <w:r w:rsidRPr="00046858">
        <w:rPr>
          <w:noProof/>
        </w:rPr>
        <w:tab/>
      </w:r>
      <w:r w:rsidRPr="00046858">
        <w:rPr>
          <w:rStyle w:val="Added"/>
          <w:b w:val="0"/>
          <w:noProof/>
          <w:u w:val="none"/>
        </w:rPr>
        <w:t>nu îi conferă autorității contractante sau entității contractante o libertate de alegere nelimitată;</w:t>
      </w:r>
    </w:p>
    <w:p w14:paraId="1EFF8D25" w14:textId="77777777" w:rsidR="000D6D2A" w:rsidRPr="00046858" w:rsidRDefault="000D6D2A" w:rsidP="000006E4">
      <w:pPr>
        <w:pStyle w:val="Point1"/>
        <w:rPr>
          <w:rStyle w:val="Added"/>
          <w:b w:val="0"/>
          <w:noProof/>
          <w:u w:val="none"/>
        </w:rPr>
      </w:pPr>
      <w:r w:rsidRPr="00046858">
        <w:rPr>
          <w:noProof/>
        </w:rPr>
        <w:lastRenderedPageBreak/>
        <w:t>(c)</w:t>
      </w:r>
      <w:r w:rsidRPr="00046858">
        <w:rPr>
          <w:noProof/>
        </w:rPr>
        <w:tab/>
      </w:r>
      <w:r w:rsidRPr="00046858">
        <w:rPr>
          <w:rStyle w:val="Added"/>
          <w:b w:val="0"/>
          <w:noProof/>
          <w:u w:val="none"/>
        </w:rPr>
        <w:t>sunt prevăzute în mod expres în documentele achiziției sau în anunțul de participare;</w:t>
      </w:r>
    </w:p>
    <w:p w14:paraId="0920D4E0" w14:textId="77777777" w:rsidR="00076A6F" w:rsidRPr="00046858" w:rsidRDefault="000D6D2A" w:rsidP="000006E4">
      <w:pPr>
        <w:pStyle w:val="Point1"/>
        <w:rPr>
          <w:rStyle w:val="Added"/>
          <w:b w:val="0"/>
          <w:noProof/>
          <w:u w:val="none"/>
        </w:rPr>
      </w:pPr>
      <w:r w:rsidRPr="00046858">
        <w:rPr>
          <w:noProof/>
        </w:rPr>
        <w:t>(d)</w:t>
      </w:r>
      <w:r w:rsidRPr="00046858">
        <w:rPr>
          <w:noProof/>
        </w:rPr>
        <w:tab/>
      </w:r>
      <w:r w:rsidRPr="00046858">
        <w:rPr>
          <w:rStyle w:val="Added"/>
          <w:b w:val="0"/>
          <w:noProof/>
          <w:u w:val="none"/>
        </w:rPr>
        <w:t>sunt accesorii și nedeterminante pentru atribuirea contractului;</w:t>
      </w:r>
    </w:p>
    <w:p w14:paraId="4CD680AF" w14:textId="78BD93C6" w:rsidR="000D6D2A" w:rsidRPr="00046858" w:rsidRDefault="00076A6F" w:rsidP="000006E4">
      <w:pPr>
        <w:pStyle w:val="Point1"/>
        <w:rPr>
          <w:noProof/>
        </w:rPr>
      </w:pPr>
      <w:r w:rsidRPr="00046858">
        <w:rPr>
          <w:rStyle w:val="Added"/>
          <w:b w:val="0"/>
          <w:noProof/>
          <w:u w:val="none"/>
        </w:rPr>
        <w:t>(e)</w:t>
      </w:r>
      <w:r w:rsidRPr="00046858">
        <w:rPr>
          <w:noProof/>
        </w:rPr>
        <w:tab/>
      </w:r>
      <w:r w:rsidRPr="00046858">
        <w:rPr>
          <w:rStyle w:val="Added"/>
          <w:b w:val="0"/>
          <w:noProof/>
          <w:u w:val="none"/>
        </w:rPr>
        <w:t>sunt concepute în conformitate cu angajamentele internaționale ale Uniunii.</w:t>
      </w:r>
    </w:p>
    <w:p w14:paraId="407FE0E4" w14:textId="3321DD85" w:rsidR="00BF5CBC" w:rsidRPr="00046858" w:rsidRDefault="00746F51" w:rsidP="003A4FB5">
      <w:pPr>
        <w:pStyle w:val="ManualNumPar1"/>
        <w:rPr>
          <w:noProof/>
        </w:rPr>
      </w:pPr>
      <w:r w:rsidRPr="00046858">
        <w:rPr>
          <w:noProof/>
        </w:rPr>
        <w:t>(5)</w:t>
      </w:r>
      <w:r w:rsidRPr="00046858">
        <w:rPr>
          <w:noProof/>
        </w:rPr>
        <w:tab/>
        <w:t>Autoritățile contractante și entitățile contractante notifică autorității lor naționale competente, în temeiul articolului 48 din prezentul regulament, lista întreprinderilor naționale identificate în declarațiile privind securitatea aprovizionării emise de operatorii economici.</w:t>
      </w:r>
    </w:p>
    <w:p w14:paraId="04E354F0" w14:textId="5819260D" w:rsidR="00BF5CBC" w:rsidRPr="00046858" w:rsidRDefault="00BF5CBC" w:rsidP="003A4FB5">
      <w:pPr>
        <w:pStyle w:val="ManualNumPar1"/>
        <w:rPr>
          <w:noProof/>
        </w:rPr>
      </w:pPr>
      <w:r w:rsidRPr="00046858">
        <w:rPr>
          <w:noProof/>
        </w:rPr>
        <w:t>(6)</w:t>
      </w:r>
      <w:r w:rsidRPr="00046858">
        <w:rPr>
          <w:noProof/>
        </w:rPr>
        <w:tab/>
        <w:t>Autoritatea națională competentă în temeiul articolului 48 din prezentul regulament întocmește o listă verificată a tuturor întreprinderilor naționale identificate în cadrul procedurilor de achiziții publice din statul membru în cauză. Listele pot fi schimbate parțial sau integral între statele membre în conformitate cu cerințele de confidențialitate necesare, în temeiul articolului 50.</w:t>
      </w:r>
    </w:p>
    <w:p w14:paraId="203E20F4" w14:textId="77777777" w:rsidR="009800BC" w:rsidRPr="00046858" w:rsidRDefault="009800BC" w:rsidP="009800BC">
      <w:pPr>
        <w:pStyle w:val="Titrearticle"/>
        <w:rPr>
          <w:noProof/>
        </w:rPr>
      </w:pPr>
      <w:r w:rsidRPr="00046858">
        <w:rPr>
          <w:noProof/>
        </w:rPr>
        <w:t>Articolul 31</w:t>
      </w:r>
    </w:p>
    <w:p w14:paraId="0A82F91A" w14:textId="77777777" w:rsidR="00654991" w:rsidRPr="00046858" w:rsidRDefault="005133DC" w:rsidP="00654991">
      <w:pPr>
        <w:jc w:val="center"/>
        <w:rPr>
          <w:i/>
          <w:noProof/>
        </w:rPr>
      </w:pPr>
      <w:r w:rsidRPr="00046858">
        <w:rPr>
          <w:i/>
          <w:noProof/>
        </w:rPr>
        <w:t>Acțiuni suplimentare privind achizițiile publice</w:t>
      </w:r>
    </w:p>
    <w:p w14:paraId="5D9B005C" w14:textId="6F2CFA89" w:rsidR="00312E2D" w:rsidRPr="00046858" w:rsidRDefault="00654991" w:rsidP="006164B0">
      <w:pPr>
        <w:pStyle w:val="ManualNumPar1"/>
        <w:rPr>
          <w:noProof/>
        </w:rPr>
      </w:pPr>
      <w:r w:rsidRPr="00046858">
        <w:rPr>
          <w:noProof/>
        </w:rPr>
        <w:t>(1)</w:t>
      </w:r>
      <w:r w:rsidRPr="00046858">
        <w:rPr>
          <w:noProof/>
        </w:rPr>
        <w:tab/>
        <w:t>În cazul în care identifică un risc potențial la nivelul lanțului de aprovizionare în contextul monitorizării efectuate în temeiul articolului 35, Comisia poate, după consultarea Consiliului european pentru semiconductori, să emită recomandări adresate autorităților contractante și entităților contractante cu privire la aprovizionarea cu semiconductori de la întreprinderile naționale pentru procedurile de achiziții publice menționate la articolul 30 alineatul (1).</w:t>
      </w:r>
    </w:p>
    <w:p w14:paraId="19766217" w14:textId="34D43159" w:rsidR="00057DAD" w:rsidRPr="00046858" w:rsidRDefault="00625D2C" w:rsidP="003A4FB5">
      <w:pPr>
        <w:pStyle w:val="ManualNumPar1"/>
        <w:rPr>
          <w:noProof/>
        </w:rPr>
      </w:pPr>
      <w:r w:rsidRPr="00046858">
        <w:rPr>
          <w:noProof/>
        </w:rPr>
        <w:t>(2)</w:t>
      </w:r>
      <w:r w:rsidRPr="00046858">
        <w:rPr>
          <w:noProof/>
        </w:rPr>
        <w:tab/>
        <w:t xml:space="preserve">În cazul în care Comisia </w:t>
      </w:r>
      <w:r w:rsidRPr="00046858">
        <w:rPr>
          <w:rStyle w:val="Added"/>
          <w:b w:val="0"/>
          <w:noProof/>
          <w:u w:val="none"/>
        </w:rPr>
        <w:t xml:space="preserve">stabilește </w:t>
      </w:r>
      <w:r w:rsidRPr="00046858">
        <w:rPr>
          <w:rStyle w:val="Deleted"/>
          <w:strike w:val="0"/>
          <w:noProof/>
        </w:rPr>
        <w:t>că</w:t>
      </w:r>
      <w:r w:rsidRPr="00046858">
        <w:rPr>
          <w:noProof/>
        </w:rPr>
        <w:t xml:space="preserve"> riscurile din lanțul de aprovizionare, </w:t>
      </w:r>
      <w:r w:rsidRPr="00046858">
        <w:rPr>
          <w:rStyle w:val="Deleted"/>
          <w:strike w:val="0"/>
          <w:noProof/>
        </w:rPr>
        <w:t>astfel cum au fost identificate la alineatul (1), persistă</w:t>
      </w:r>
      <w:r w:rsidRPr="00046858">
        <w:rPr>
          <w:noProof/>
        </w:rPr>
        <w:t xml:space="preserve">, </w:t>
      </w:r>
      <w:r w:rsidRPr="00046858">
        <w:rPr>
          <w:rStyle w:val="Added"/>
          <w:b w:val="0"/>
          <w:noProof/>
          <w:u w:val="none"/>
        </w:rPr>
        <w:t>aceasta</w:t>
      </w:r>
      <w:r w:rsidRPr="00046858">
        <w:rPr>
          <w:noProof/>
        </w:rPr>
        <w:t xml:space="preserve"> poate, după consultarea Consiliul european pentru semiconductori și ținând seama de principiile necesității și proporționalității, </w:t>
      </w:r>
      <w:r w:rsidRPr="00046858">
        <w:rPr>
          <w:rStyle w:val="Added"/>
          <w:b w:val="0"/>
          <w:noProof/>
          <w:u w:val="none"/>
        </w:rPr>
        <w:t>adopta</w:t>
      </w:r>
      <w:r w:rsidRPr="00046858">
        <w:rPr>
          <w:noProof/>
        </w:rPr>
        <w:t xml:space="preserve"> o </w:t>
      </w:r>
      <w:r w:rsidRPr="00046858">
        <w:rPr>
          <w:rStyle w:val="Added"/>
          <w:b w:val="0"/>
          <w:noProof/>
          <w:u w:val="none"/>
        </w:rPr>
        <w:t>decizie</w:t>
      </w:r>
      <w:r w:rsidRPr="00046858">
        <w:rPr>
          <w:noProof/>
        </w:rPr>
        <w:t xml:space="preserve"> de punere în aplicare în care să precizeze </w:t>
      </w:r>
      <w:r w:rsidRPr="00046858">
        <w:rPr>
          <w:rStyle w:val="Added"/>
          <w:b w:val="0"/>
          <w:noProof/>
          <w:u w:val="none"/>
        </w:rPr>
        <w:t>infrastructurile, echipamentele sau sistemele specifice</w:t>
      </w:r>
      <w:r w:rsidRPr="00046858">
        <w:rPr>
          <w:noProof/>
        </w:rPr>
        <w:t>, astfel cum se menționează la articolul 30, pentru care autoritățile și entitățile contractante</w:t>
      </w:r>
      <w:r w:rsidRPr="00046858">
        <w:rPr>
          <w:noProof/>
          <w:color w:val="FF0000"/>
        </w:rPr>
        <w:t xml:space="preserve"> </w:t>
      </w:r>
      <w:r w:rsidRPr="00046858">
        <w:rPr>
          <w:noProof/>
        </w:rPr>
        <w:t>trebuie să le solicite operatorilor o declarație privind securitatea aprovizionării.</w:t>
      </w:r>
    </w:p>
    <w:p w14:paraId="75814B83" w14:textId="5744B790" w:rsidR="00057DAD" w:rsidRPr="00046858" w:rsidRDefault="009358D9" w:rsidP="003A4FB5">
      <w:pPr>
        <w:pStyle w:val="ManualNumPar1"/>
        <w:rPr>
          <w:noProof/>
        </w:rPr>
      </w:pPr>
      <w:r w:rsidRPr="00046858">
        <w:rPr>
          <w:noProof/>
        </w:rPr>
        <w:t>(3)</w:t>
      </w:r>
      <w:r w:rsidRPr="00046858">
        <w:rPr>
          <w:noProof/>
        </w:rPr>
        <w:tab/>
        <w:t xml:space="preserve">Autoritățile contractante și entitățile contractante pot decide să nu </w:t>
      </w:r>
      <w:r w:rsidRPr="00046858">
        <w:rPr>
          <w:rStyle w:val="Added"/>
          <w:b w:val="0"/>
          <w:noProof/>
          <w:u w:val="none"/>
        </w:rPr>
        <w:t xml:space="preserve">aplice cerințele prevăzute în decizia de punere în aplicare menționată la alineatul (2) de la prezentul articol </w:t>
      </w:r>
      <w:r w:rsidRPr="00046858">
        <w:rPr>
          <w:noProof/>
        </w:rPr>
        <w:t>în cazul în care este îndeplinită una dintre următoarele condiții:</w:t>
      </w:r>
    </w:p>
    <w:p w14:paraId="7C3AD45A" w14:textId="46A70B0D" w:rsidR="00057DAD" w:rsidRPr="00046858" w:rsidRDefault="00057DAD" w:rsidP="008707D1">
      <w:pPr>
        <w:pStyle w:val="Point1"/>
        <w:rPr>
          <w:noProof/>
        </w:rPr>
      </w:pPr>
      <w:r w:rsidRPr="00046858">
        <w:rPr>
          <w:noProof/>
        </w:rPr>
        <w:t>(a)</w:t>
      </w:r>
      <w:r w:rsidRPr="00046858">
        <w:rPr>
          <w:noProof/>
        </w:rPr>
        <w:tab/>
        <w:t>produsele sau serviciile necesare pot fi furnizate numai de anumiți operatori economici și nu există o alternativă sau un substitut rezonabil, iar absența concurenței nu este rezultatul unei restrângeri artificiale a parametrilor procedurii de achiziții publice;</w:t>
      </w:r>
    </w:p>
    <w:p w14:paraId="77F172F5" w14:textId="40B4F152" w:rsidR="00057DAD" w:rsidRPr="00046858" w:rsidRDefault="00057DAD" w:rsidP="00985A57">
      <w:pPr>
        <w:pStyle w:val="Point1"/>
        <w:rPr>
          <w:noProof/>
        </w:rPr>
      </w:pPr>
      <w:r w:rsidRPr="00046858">
        <w:rPr>
          <w:noProof/>
        </w:rPr>
        <w:t>(b)</w:t>
      </w:r>
      <w:r w:rsidRPr="00046858">
        <w:rPr>
          <w:noProof/>
        </w:rPr>
        <w:tab/>
        <w:t xml:space="preserve">nu s-a depus nicio ofertă adecvată sau nicio </w:t>
      </w:r>
      <w:r w:rsidRPr="00046858">
        <w:rPr>
          <w:rStyle w:val="Added"/>
          <w:b w:val="0"/>
          <w:noProof/>
          <w:u w:val="none"/>
        </w:rPr>
        <w:t>cerere</w:t>
      </w:r>
      <w:r w:rsidRPr="00046858">
        <w:rPr>
          <w:noProof/>
        </w:rPr>
        <w:t xml:space="preserve"> de participare adecvată, inclusiv ca răspuns la o procedură similară de achiziții publice anterioară lansată de aceeași autoritate contractantă sau entitate contractantă în ultimii doi ani care precedă începerea noii proceduri de achiziții publice planificate;</w:t>
      </w:r>
    </w:p>
    <w:p w14:paraId="04D4215C" w14:textId="7DB713E7" w:rsidR="00057DAD" w:rsidRPr="00046858" w:rsidRDefault="00057DAD" w:rsidP="00985A57">
      <w:pPr>
        <w:pStyle w:val="Point1"/>
        <w:rPr>
          <w:noProof/>
        </w:rPr>
      </w:pPr>
      <w:r w:rsidRPr="00046858">
        <w:rPr>
          <w:noProof/>
        </w:rPr>
        <w:t>(c)</w:t>
      </w:r>
      <w:r w:rsidRPr="00046858">
        <w:rPr>
          <w:noProof/>
        </w:rPr>
        <w:tab/>
        <w:t xml:space="preserve">luarea </w:t>
      </w:r>
      <w:r w:rsidRPr="00046858">
        <w:rPr>
          <w:rStyle w:val="Added"/>
          <w:b w:val="0"/>
          <w:noProof/>
          <w:u w:val="none"/>
        </w:rPr>
        <w:t>în considerare a elementelor declarate în conformitate cu</w:t>
      </w:r>
      <w:r w:rsidRPr="00046858">
        <w:rPr>
          <w:noProof/>
        </w:rPr>
        <w:t xml:space="preserve"> articolul 31 alineatul </w:t>
      </w:r>
      <w:r w:rsidRPr="00046858">
        <w:rPr>
          <w:rStyle w:val="Added"/>
          <w:b w:val="0"/>
          <w:noProof/>
          <w:u w:val="none"/>
        </w:rPr>
        <w:t>(2) litera (d)</w:t>
      </w:r>
      <w:r w:rsidRPr="00046858">
        <w:rPr>
          <w:noProof/>
        </w:rPr>
        <w:t xml:space="preserve"> i-ar impune unei autorități contractante sau unei entități contractante să achiziționeze bunuri, servicii sau lucrări care au costuri disproporționate sau ar conduce la incompatibilitate tehnică în ceea ce privește exploatarea și întreținerea acestora;</w:t>
      </w:r>
    </w:p>
    <w:p w14:paraId="43497E5B" w14:textId="5BC15E7D" w:rsidR="00057DAD" w:rsidRPr="00046858" w:rsidRDefault="00057DAD" w:rsidP="00985A57">
      <w:pPr>
        <w:pStyle w:val="Point1"/>
        <w:rPr>
          <w:noProof/>
        </w:rPr>
      </w:pPr>
      <w:r w:rsidRPr="00046858">
        <w:rPr>
          <w:noProof/>
        </w:rPr>
        <w:lastRenderedPageBreak/>
        <w:t>(d)</w:t>
      </w:r>
      <w:r w:rsidRPr="00046858">
        <w:rPr>
          <w:noProof/>
        </w:rPr>
        <w:tab/>
      </w:r>
      <w:r w:rsidRPr="00046858">
        <w:rPr>
          <w:rStyle w:val="Added"/>
          <w:b w:val="0"/>
          <w:noProof/>
          <w:u w:val="none"/>
        </w:rPr>
        <w:t xml:space="preserve">în sensul literei (c), </w:t>
      </w:r>
      <w:r w:rsidRPr="00046858">
        <w:rPr>
          <w:noProof/>
        </w:rPr>
        <w:t>diferențele de cost estimate care depășesc 25 % din valoarea licitației, pe baza unor date obiective și transparente, pot fi considerate disproporționate de către autoritățile contractante și entitățile contractante.</w:t>
      </w:r>
    </w:p>
    <w:p w14:paraId="5524D8F6" w14:textId="77777777" w:rsidR="00550832" w:rsidRPr="00046858" w:rsidRDefault="00550832" w:rsidP="00550832">
      <w:pPr>
        <w:pStyle w:val="Titrearticle"/>
        <w:rPr>
          <w:i w:val="0"/>
          <w:noProof/>
        </w:rPr>
      </w:pPr>
      <w:r w:rsidRPr="00046858">
        <w:rPr>
          <w:noProof/>
        </w:rPr>
        <w:t xml:space="preserve">Articolul 32 </w:t>
      </w:r>
      <w:r w:rsidRPr="00046858">
        <w:rPr>
          <w:noProof/>
        </w:rPr>
        <w:cr/>
      </w:r>
      <w:r w:rsidRPr="00046858">
        <w:rPr>
          <w:noProof/>
        </w:rPr>
        <w:br/>
        <w:t>Sectoare predispuse la riscuri</w:t>
      </w:r>
    </w:p>
    <w:p w14:paraId="01A42C83" w14:textId="344FBBFD" w:rsidR="00A60C93" w:rsidRPr="00046858" w:rsidRDefault="00905228" w:rsidP="006164B0">
      <w:pPr>
        <w:pStyle w:val="ManualNumPar1"/>
        <w:rPr>
          <w:noProof/>
        </w:rPr>
      </w:pPr>
      <w:r w:rsidRPr="00046858">
        <w:rPr>
          <w:noProof/>
        </w:rPr>
        <w:t>(1)</w:t>
      </w:r>
      <w:r w:rsidRPr="00046858">
        <w:rPr>
          <w:noProof/>
        </w:rPr>
        <w:tab/>
        <w:t xml:space="preserve">După consultarea Consiliului european pentru semiconductori și pe baza dovezilor privind riscurile din lanțul de aprovizionare, Comisia poate identifica, </w:t>
      </w:r>
      <w:r w:rsidRPr="00046858">
        <w:rPr>
          <w:rStyle w:val="Added"/>
          <w:b w:val="0"/>
          <w:noProof/>
          <w:u w:val="none"/>
        </w:rPr>
        <w:t>printr-o decizie de punere în aplicare</w:t>
      </w:r>
      <w:r w:rsidRPr="00046858">
        <w:rPr>
          <w:noProof/>
        </w:rPr>
        <w:t>, unul sau mai multe dintre sectoarele enumerate în anexa V sau în anexa VI sau subsectoarele acestora ca predispuse la riscuri.</w:t>
      </w:r>
    </w:p>
    <w:p w14:paraId="124C5A96" w14:textId="294D5205" w:rsidR="00905228" w:rsidRPr="00046858" w:rsidRDefault="00905228" w:rsidP="003A4FB5">
      <w:pPr>
        <w:pStyle w:val="ManualNumPar1"/>
        <w:rPr>
          <w:noProof/>
        </w:rPr>
      </w:pPr>
      <w:r w:rsidRPr="00046858">
        <w:rPr>
          <w:noProof/>
        </w:rPr>
        <w:t>(2)</w:t>
      </w:r>
      <w:r w:rsidRPr="00046858">
        <w:rPr>
          <w:noProof/>
        </w:rPr>
        <w:tab/>
        <w:t xml:space="preserve">Comisia poate emite orientări metodologice cu privire la modul de efectuare a evaluărilor riscurilor în materie de securitate a aprovizionării și poate </w:t>
      </w:r>
      <w:r w:rsidRPr="00046858">
        <w:rPr>
          <w:rStyle w:val="Added"/>
          <w:b w:val="0"/>
          <w:noProof/>
          <w:u w:val="none"/>
        </w:rPr>
        <w:t>recomanda</w:t>
      </w:r>
      <w:r w:rsidRPr="00046858">
        <w:rPr>
          <w:noProof/>
        </w:rPr>
        <w:t xml:space="preserve"> posibile măsuri de atenuare pentru sectoarele identificate ca fiind predispuse la riscuri. Aceste orientări abordează următoarele elemente:</w:t>
      </w:r>
    </w:p>
    <w:p w14:paraId="163BDA6D" w14:textId="77777777" w:rsidR="00905228" w:rsidRPr="00046858" w:rsidRDefault="00905228" w:rsidP="000006E4">
      <w:pPr>
        <w:pStyle w:val="Point1"/>
        <w:rPr>
          <w:noProof/>
        </w:rPr>
      </w:pPr>
      <w:r w:rsidRPr="00046858">
        <w:rPr>
          <w:noProof/>
        </w:rPr>
        <w:t>(a)</w:t>
      </w:r>
      <w:r w:rsidRPr="00046858">
        <w:rPr>
          <w:noProof/>
        </w:rPr>
        <w:tab/>
        <w:t>strategia de aprovizionare dublă, inclusiv de la cel puțin o întreprindere națională;</w:t>
      </w:r>
    </w:p>
    <w:p w14:paraId="113753D7" w14:textId="77777777" w:rsidR="00905228" w:rsidRPr="00046858" w:rsidRDefault="00905228" w:rsidP="006D2A9B">
      <w:pPr>
        <w:pStyle w:val="Point1"/>
        <w:rPr>
          <w:noProof/>
        </w:rPr>
      </w:pPr>
      <w:r w:rsidRPr="00046858">
        <w:rPr>
          <w:noProof/>
        </w:rPr>
        <w:t>(b)</w:t>
      </w:r>
      <w:r w:rsidRPr="00046858">
        <w:rPr>
          <w:noProof/>
        </w:rPr>
        <w:tab/>
        <w:t>cartografierea lanțului de aprovizionare din amonte și din aval;</w:t>
      </w:r>
    </w:p>
    <w:p w14:paraId="12981ED6" w14:textId="77777777" w:rsidR="00905228" w:rsidRPr="00046858" w:rsidRDefault="00905228" w:rsidP="006D2A9B">
      <w:pPr>
        <w:pStyle w:val="Point1"/>
        <w:rPr>
          <w:noProof/>
        </w:rPr>
      </w:pPr>
      <w:r w:rsidRPr="00046858">
        <w:rPr>
          <w:noProof/>
        </w:rPr>
        <w:t>(c)</w:t>
      </w:r>
      <w:r w:rsidRPr="00046858">
        <w:rPr>
          <w:noProof/>
        </w:rPr>
        <w:tab/>
        <w:t>analiza vulnerabilității și sensibilitatea la întreruperea aprovizionării.</w:t>
      </w:r>
    </w:p>
    <w:p w14:paraId="70E3AAA7" w14:textId="17A7E8A9" w:rsidR="00905228" w:rsidRPr="00046858" w:rsidRDefault="00905228" w:rsidP="003A4FB5">
      <w:pPr>
        <w:pStyle w:val="ManualNumPar1"/>
        <w:rPr>
          <w:noProof/>
        </w:rPr>
      </w:pPr>
      <w:r w:rsidRPr="00046858">
        <w:rPr>
          <w:noProof/>
        </w:rPr>
        <w:t>(3)</w:t>
      </w:r>
      <w:r w:rsidRPr="00046858">
        <w:rPr>
          <w:noProof/>
        </w:rPr>
        <w:tab/>
        <w:t xml:space="preserve">Evaluările riscurilor în materie de securitate a aprovizionării menționate la alineatul (2) </w:t>
      </w:r>
      <w:r w:rsidRPr="00046858">
        <w:rPr>
          <w:rStyle w:val="Added"/>
          <w:b w:val="0"/>
          <w:noProof/>
          <w:u w:val="none"/>
        </w:rPr>
        <w:t>de la prezentul articol</w:t>
      </w:r>
      <w:r w:rsidRPr="00046858">
        <w:rPr>
          <w:noProof/>
        </w:rPr>
        <w:t xml:space="preserve"> pot fi solicitate de autoritățile contractante sau de entitățile contractante în cadrul procedurilor de achiziții publice menționate la articolul 30 alineatul </w:t>
      </w:r>
      <w:r w:rsidRPr="00046858">
        <w:rPr>
          <w:rStyle w:val="Added"/>
          <w:b w:val="0"/>
          <w:noProof/>
          <w:u w:val="none"/>
        </w:rPr>
        <w:t>(1)</w:t>
      </w:r>
      <w:r w:rsidRPr="00046858">
        <w:rPr>
          <w:noProof/>
        </w:rPr>
        <w:t>.</w:t>
      </w:r>
    </w:p>
    <w:p w14:paraId="1124CE6C" w14:textId="343D664A" w:rsidR="006D0B45" w:rsidRPr="00046858" w:rsidRDefault="00905228" w:rsidP="003A4FB5">
      <w:pPr>
        <w:pStyle w:val="ManualNumPar1"/>
        <w:rPr>
          <w:rStyle w:val="Deleted"/>
          <w:noProof/>
        </w:rPr>
      </w:pPr>
      <w:r w:rsidRPr="00046858">
        <w:rPr>
          <w:noProof/>
        </w:rPr>
        <w:t>(4)</w:t>
      </w:r>
      <w:r w:rsidRPr="00046858">
        <w:rPr>
          <w:noProof/>
        </w:rPr>
        <w:tab/>
        <w:t xml:space="preserve">În cazul în care, după consultarea Consiliului european pentru semiconductori, Comisia concluzionează că </w:t>
      </w:r>
      <w:r w:rsidRPr="00046858">
        <w:rPr>
          <w:rStyle w:val="Added"/>
          <w:b w:val="0"/>
          <w:noProof/>
          <w:u w:val="none"/>
        </w:rPr>
        <w:t>măsurile de atenuare recomandate, astfel cum sunt menționate la alineatul (2), care sunt necesare pentru a asigura securitatea aprovizionării cu semiconductori sau cu produse care integrează semiconductori</w:t>
      </w:r>
      <w:r w:rsidRPr="00046858">
        <w:rPr>
          <w:noProof/>
        </w:rPr>
        <w:t xml:space="preserve"> nu sunt </w:t>
      </w:r>
      <w:r w:rsidRPr="00046858">
        <w:rPr>
          <w:rStyle w:val="Added"/>
          <w:b w:val="0"/>
          <w:noProof/>
          <w:u w:val="none"/>
        </w:rPr>
        <w:t xml:space="preserve">preluate în mod adecvat </w:t>
      </w:r>
      <w:r w:rsidRPr="00046858">
        <w:rPr>
          <w:noProof/>
        </w:rPr>
        <w:t xml:space="preserve">de sectorul identificat ca fiind predispus la riscuri, aceasta poate </w:t>
      </w:r>
      <w:r w:rsidRPr="00046858">
        <w:rPr>
          <w:rStyle w:val="Added"/>
          <w:b w:val="0"/>
          <w:noProof/>
          <w:u w:val="none"/>
        </w:rPr>
        <w:t>adopta un act de punere în aplicare</w:t>
      </w:r>
      <w:r w:rsidRPr="00046858">
        <w:rPr>
          <w:b/>
          <w:noProof/>
        </w:rPr>
        <w:t xml:space="preserve"> </w:t>
      </w:r>
      <w:r w:rsidRPr="00046858">
        <w:rPr>
          <w:noProof/>
        </w:rPr>
        <w:t xml:space="preserve">privind măsurile specifice de atenuare a riscurilor pe care sectoarele </w:t>
      </w:r>
      <w:r w:rsidRPr="00046858">
        <w:rPr>
          <w:rStyle w:val="Added"/>
          <w:b w:val="0"/>
          <w:noProof/>
          <w:u w:val="none"/>
        </w:rPr>
        <w:t>sau subsectoarele</w:t>
      </w:r>
      <w:r w:rsidRPr="00046858">
        <w:rPr>
          <w:noProof/>
        </w:rPr>
        <w:t xml:space="preserve"> trebuie să le ia </w:t>
      </w:r>
      <w:r w:rsidRPr="00046858">
        <w:rPr>
          <w:rStyle w:val="Added"/>
          <w:b w:val="0"/>
          <w:noProof/>
          <w:u w:val="none"/>
        </w:rPr>
        <w:t>pentru anumite produse semiconductoare, și anume măsuri de atenuare legate de</w:t>
      </w:r>
      <w:r w:rsidRPr="00046858">
        <w:rPr>
          <w:noProof/>
        </w:rPr>
        <w:t>:</w:t>
      </w:r>
      <w:r w:rsidRPr="00046858">
        <w:rPr>
          <w:rStyle w:val="Deleted"/>
          <w:noProof/>
        </w:rPr>
        <w:t xml:space="preserve"> </w:t>
      </w:r>
    </w:p>
    <w:p w14:paraId="3ADCF3FD" w14:textId="77777777" w:rsidR="006D0B45" w:rsidRPr="00046858" w:rsidRDefault="00BB74DD" w:rsidP="00F85DE9">
      <w:pPr>
        <w:pStyle w:val="Point1"/>
        <w:rPr>
          <w:rStyle w:val="Added"/>
          <w:b w:val="0"/>
          <w:noProof/>
          <w:u w:val="none"/>
        </w:rPr>
      </w:pPr>
      <w:r w:rsidRPr="00046858">
        <w:rPr>
          <w:noProof/>
        </w:rPr>
        <w:t>(a)</w:t>
      </w:r>
      <w:r w:rsidRPr="00046858">
        <w:rPr>
          <w:noProof/>
        </w:rPr>
        <w:tab/>
      </w:r>
      <w:r w:rsidRPr="00046858">
        <w:rPr>
          <w:rStyle w:val="Added"/>
          <w:b w:val="0"/>
          <w:noProof/>
          <w:u w:val="none"/>
        </w:rPr>
        <w:t>efectuarea unei evaluări a riscurilor;</w:t>
      </w:r>
    </w:p>
    <w:p w14:paraId="49890A26" w14:textId="77777777" w:rsidR="006D0B45" w:rsidRPr="00046858" w:rsidRDefault="00AA7B0F" w:rsidP="006D0B45">
      <w:pPr>
        <w:pStyle w:val="Point1"/>
        <w:rPr>
          <w:rStyle w:val="Added"/>
          <w:b w:val="0"/>
          <w:noProof/>
          <w:u w:val="none"/>
        </w:rPr>
      </w:pPr>
      <w:r w:rsidRPr="00046858">
        <w:rPr>
          <w:noProof/>
        </w:rPr>
        <w:t>(b)</w:t>
      </w:r>
      <w:r w:rsidRPr="00046858">
        <w:rPr>
          <w:noProof/>
        </w:rPr>
        <w:tab/>
      </w:r>
      <w:r w:rsidRPr="00046858">
        <w:rPr>
          <w:rStyle w:val="Added"/>
          <w:b w:val="0"/>
          <w:noProof/>
          <w:u w:val="none"/>
        </w:rPr>
        <w:t xml:space="preserve">achiziționarea de semiconductori; </w:t>
      </w:r>
    </w:p>
    <w:p w14:paraId="29573A75" w14:textId="77777777" w:rsidR="006D0B45" w:rsidRPr="00046858" w:rsidRDefault="00AA7B0F" w:rsidP="006D0B45">
      <w:pPr>
        <w:pStyle w:val="Point1"/>
        <w:rPr>
          <w:rStyle w:val="Added"/>
          <w:b w:val="0"/>
          <w:noProof/>
          <w:u w:val="none"/>
        </w:rPr>
      </w:pPr>
      <w:r w:rsidRPr="00046858">
        <w:rPr>
          <w:noProof/>
        </w:rPr>
        <w:t>(c)</w:t>
      </w:r>
      <w:r w:rsidRPr="00046858">
        <w:rPr>
          <w:noProof/>
        </w:rPr>
        <w:tab/>
      </w:r>
      <w:r w:rsidRPr="00046858">
        <w:rPr>
          <w:rStyle w:val="Added"/>
          <w:b w:val="0"/>
          <w:noProof/>
          <w:u w:val="none"/>
        </w:rPr>
        <w:t>aprovizionarea dublă;</w:t>
      </w:r>
    </w:p>
    <w:p w14:paraId="126A6E80" w14:textId="77777777" w:rsidR="006D0B45" w:rsidRPr="00046858" w:rsidRDefault="00AA7B0F" w:rsidP="006D0B45">
      <w:pPr>
        <w:pStyle w:val="Point1"/>
        <w:rPr>
          <w:rStyle w:val="Added"/>
          <w:b w:val="0"/>
          <w:noProof/>
          <w:u w:val="none"/>
        </w:rPr>
      </w:pPr>
      <w:r w:rsidRPr="00046858">
        <w:rPr>
          <w:noProof/>
        </w:rPr>
        <w:t>(d)</w:t>
      </w:r>
      <w:r w:rsidRPr="00046858">
        <w:rPr>
          <w:noProof/>
        </w:rPr>
        <w:tab/>
      </w:r>
      <w:r w:rsidRPr="00046858">
        <w:rPr>
          <w:rStyle w:val="Added"/>
          <w:b w:val="0"/>
          <w:noProof/>
          <w:u w:val="none"/>
        </w:rPr>
        <w:t>constituirea de stocuri;</w:t>
      </w:r>
    </w:p>
    <w:p w14:paraId="181DEFBB" w14:textId="77777777" w:rsidR="00905228" w:rsidRPr="00046858" w:rsidRDefault="009E4ADA" w:rsidP="006D0B45">
      <w:pPr>
        <w:pStyle w:val="Point1"/>
        <w:rPr>
          <w:rStyle w:val="Added"/>
          <w:b w:val="0"/>
          <w:noProof/>
          <w:u w:val="none"/>
        </w:rPr>
      </w:pPr>
      <w:r w:rsidRPr="00046858">
        <w:rPr>
          <w:noProof/>
        </w:rPr>
        <w:t>(e)</w:t>
      </w:r>
      <w:r w:rsidRPr="00046858">
        <w:rPr>
          <w:noProof/>
        </w:rPr>
        <w:tab/>
        <w:t>diversificarea aprovizionării cu semiconductori sau cu componente conexe.</w:t>
      </w:r>
    </w:p>
    <w:p w14:paraId="29B639C7" w14:textId="08503ABA" w:rsidR="00B221D9" w:rsidRPr="00046858" w:rsidRDefault="00B221D9" w:rsidP="003A4FB5">
      <w:pPr>
        <w:pStyle w:val="ManualNumPar1"/>
        <w:rPr>
          <w:noProof/>
        </w:rPr>
      </w:pPr>
      <w:r w:rsidRPr="00046858">
        <w:rPr>
          <w:noProof/>
        </w:rPr>
        <w:t>(5)</w:t>
      </w:r>
      <w:r w:rsidRPr="00046858">
        <w:rPr>
          <w:noProof/>
        </w:rPr>
        <w:tab/>
        <w:t>Ulterior adoptării unui act de punere în aplicare</w:t>
      </w:r>
      <w:r w:rsidRPr="00046858">
        <w:rPr>
          <w:rStyle w:val="Added"/>
          <w:b w:val="0"/>
          <w:noProof/>
          <w:u w:val="none"/>
        </w:rPr>
        <w:t xml:space="preserve"> </w:t>
      </w:r>
      <w:r w:rsidRPr="00046858">
        <w:rPr>
          <w:noProof/>
        </w:rPr>
        <w:t xml:space="preserve">în conformitate cu alineatul (4), pe baza dovezilor privind abordarea riscurilor din lanțul de aprovizionare identificate </w:t>
      </w:r>
      <w:r w:rsidRPr="00046858">
        <w:rPr>
          <w:rStyle w:val="Added"/>
          <w:b w:val="0"/>
          <w:noProof/>
          <w:u w:val="none"/>
        </w:rPr>
        <w:t xml:space="preserve">și după consultarea Consiliului european pentru semiconductori, </w:t>
      </w:r>
      <w:r w:rsidRPr="00046858">
        <w:rPr>
          <w:noProof/>
        </w:rPr>
        <w:t>Comisia poate revoca desemnarea ca sector predispus la riscuri.</w:t>
      </w:r>
    </w:p>
    <w:p w14:paraId="1C0134EB" w14:textId="69B8605E" w:rsidR="00822E5B" w:rsidRPr="00046858" w:rsidRDefault="003B40C2" w:rsidP="003A4FB5">
      <w:pPr>
        <w:pStyle w:val="ManualNumPar1"/>
        <w:rPr>
          <w:noProof/>
        </w:rPr>
      </w:pPr>
      <w:r w:rsidRPr="00046858">
        <w:rPr>
          <w:noProof/>
        </w:rPr>
        <w:t>(6)</w:t>
      </w:r>
      <w:r w:rsidRPr="00046858">
        <w:rPr>
          <w:noProof/>
        </w:rPr>
        <w:tab/>
        <w:t xml:space="preserve">Comisia își bazează evaluările </w:t>
      </w:r>
      <w:r w:rsidRPr="00046858">
        <w:rPr>
          <w:rStyle w:val="Added"/>
          <w:b w:val="0"/>
          <w:noProof/>
          <w:u w:val="none"/>
        </w:rPr>
        <w:t>efectuate</w:t>
      </w:r>
      <w:r w:rsidRPr="00046858">
        <w:rPr>
          <w:noProof/>
        </w:rPr>
        <w:t xml:space="preserve"> în </w:t>
      </w:r>
      <w:r w:rsidRPr="00046858">
        <w:rPr>
          <w:rStyle w:val="Added"/>
          <w:b w:val="0"/>
          <w:noProof/>
          <w:u w:val="none"/>
        </w:rPr>
        <w:t>conformitate cu</w:t>
      </w:r>
      <w:r w:rsidRPr="00046858">
        <w:rPr>
          <w:noProof/>
        </w:rPr>
        <w:t xml:space="preserve"> prezentul articol pe dovezi, inclusiv pe informații aflate la dispoziția publicului, pe informații colectate prin solicitări de informații în temeiul articolului 38 </w:t>
      </w:r>
      <w:r w:rsidRPr="00046858">
        <w:rPr>
          <w:rStyle w:val="Added"/>
          <w:b w:val="0"/>
          <w:noProof/>
          <w:u w:val="none"/>
        </w:rPr>
        <w:t>sau</w:t>
      </w:r>
      <w:r w:rsidRPr="00046858">
        <w:rPr>
          <w:noProof/>
        </w:rPr>
        <w:t xml:space="preserve"> pe existența unor perturbări repetate ale lanțului de aprovizionare.</w:t>
      </w:r>
    </w:p>
    <w:p w14:paraId="7557C9D3" w14:textId="77777777" w:rsidR="00633B04" w:rsidRPr="00046858" w:rsidRDefault="00633B04" w:rsidP="00633B04">
      <w:pPr>
        <w:pStyle w:val="ChapterTitle"/>
        <w:rPr>
          <w:noProof/>
        </w:rPr>
      </w:pPr>
      <w:r w:rsidRPr="00046858">
        <w:rPr>
          <w:noProof/>
        </w:rPr>
        <w:lastRenderedPageBreak/>
        <w:t>CAPITOLUL IV</w:t>
      </w:r>
    </w:p>
    <w:p w14:paraId="43E6952B" w14:textId="77777777" w:rsidR="00633B04" w:rsidRPr="00046858" w:rsidRDefault="00633B04" w:rsidP="00633B04">
      <w:pPr>
        <w:pStyle w:val="ChapterTitle"/>
        <w:rPr>
          <w:noProof/>
        </w:rPr>
      </w:pPr>
      <w:r w:rsidRPr="00046858">
        <w:rPr>
          <w:noProof/>
        </w:rPr>
        <w:t>Monitorizare și răspuns în situațiile de criză</w:t>
      </w:r>
    </w:p>
    <w:p w14:paraId="7FF573A6" w14:textId="77777777" w:rsidR="00633B04" w:rsidRPr="00046858" w:rsidRDefault="00633B04" w:rsidP="00633B04">
      <w:pPr>
        <w:pStyle w:val="SectionTitle"/>
        <w:rPr>
          <w:noProof/>
        </w:rPr>
      </w:pPr>
      <w:r w:rsidRPr="00046858">
        <w:rPr>
          <w:noProof/>
        </w:rPr>
        <w:t>Secțiunea 1</w:t>
      </w:r>
    </w:p>
    <w:p w14:paraId="0662B021" w14:textId="77777777" w:rsidR="003915F8" w:rsidRPr="00046858" w:rsidRDefault="00633B04" w:rsidP="00693D17">
      <w:pPr>
        <w:pStyle w:val="SectionTitle"/>
        <w:rPr>
          <w:noProof/>
        </w:rPr>
      </w:pPr>
      <w:r w:rsidRPr="00046858">
        <w:rPr>
          <w:noProof/>
        </w:rPr>
        <w:t>Monitorizare</w:t>
      </w:r>
    </w:p>
    <w:p w14:paraId="130B892E" w14:textId="650F0D14" w:rsidR="00633B04" w:rsidRPr="00046858" w:rsidRDefault="00633B04" w:rsidP="00633B04">
      <w:pPr>
        <w:pStyle w:val="Titrearticle"/>
        <w:rPr>
          <w:noProof/>
        </w:rPr>
      </w:pPr>
      <w:r w:rsidRPr="00046858">
        <w:rPr>
          <w:noProof/>
        </w:rPr>
        <w:t xml:space="preserve">Articolul 33 </w:t>
      </w:r>
      <w:r w:rsidRPr="00046858">
        <w:rPr>
          <w:noProof/>
        </w:rPr>
        <w:cr/>
      </w:r>
      <w:r w:rsidRPr="00046858">
        <w:rPr>
          <w:noProof/>
        </w:rPr>
        <w:br/>
        <w:t>Cartografierea strategică a sectorului semiconductorilor din Uniune</w:t>
      </w:r>
    </w:p>
    <w:p w14:paraId="3C9A5D1D" w14:textId="757773BB" w:rsidR="00633B04" w:rsidRPr="00046858" w:rsidRDefault="000D541B" w:rsidP="006164B0">
      <w:pPr>
        <w:pStyle w:val="ManualNumPar1"/>
        <w:rPr>
          <w:noProof/>
        </w:rPr>
      </w:pPr>
      <w:r w:rsidRPr="00046858">
        <w:rPr>
          <w:noProof/>
        </w:rPr>
        <w:t>(1)</w:t>
      </w:r>
      <w:r w:rsidRPr="00046858">
        <w:rPr>
          <w:noProof/>
        </w:rPr>
        <w:tab/>
        <w:t>Comisia efectuează o cartografiere strategică a sectorului semiconductorilor din Uniune în cooperare cu Consiliul european pentru semiconductori. Cartografierea strategică furnizează o analiză a punctelor forte și a punctelor slabe ale Uniunii în sectorul global al semiconductorilor și identifică factori precum:</w:t>
      </w:r>
    </w:p>
    <w:p w14:paraId="08F2EC3E" w14:textId="77777777" w:rsidR="000D541B" w:rsidRPr="00046858" w:rsidRDefault="000D541B" w:rsidP="000006E4">
      <w:pPr>
        <w:pStyle w:val="Point1"/>
        <w:rPr>
          <w:noProof/>
        </w:rPr>
      </w:pPr>
      <w:r w:rsidRPr="00046858">
        <w:rPr>
          <w:noProof/>
        </w:rPr>
        <w:t>(a)</w:t>
      </w:r>
      <w:r w:rsidRPr="00046858">
        <w:rPr>
          <w:noProof/>
        </w:rPr>
        <w:tab/>
        <w:t>principalele produse și infrastructurile critice de pe piețele interne care depind de aprovizionarea cu semiconductori;</w:t>
      </w:r>
    </w:p>
    <w:p w14:paraId="6A5DBDAB" w14:textId="77777777" w:rsidR="003279FF" w:rsidRPr="00046858" w:rsidRDefault="000D541B" w:rsidP="000006E4">
      <w:pPr>
        <w:pStyle w:val="Point1"/>
        <w:rPr>
          <w:noProof/>
        </w:rPr>
      </w:pPr>
      <w:r w:rsidRPr="00046858">
        <w:rPr>
          <w:noProof/>
        </w:rPr>
        <w:t>(b)</w:t>
      </w:r>
      <w:r w:rsidRPr="00046858">
        <w:rPr>
          <w:noProof/>
        </w:rPr>
        <w:tab/>
        <w:t>principalele industrii utilizatoare din Uniune și nevoile și dependențele lor actuale și preconizate, inclusiv o analiză a posibilelor riscuri pentru securitatea aprovizionării legate, de asemenea, de investițiile insuficiente;</w:t>
      </w:r>
    </w:p>
    <w:p w14:paraId="29423D56" w14:textId="77777777" w:rsidR="000D541B" w:rsidRPr="00046858" w:rsidRDefault="000D541B" w:rsidP="000006E4">
      <w:pPr>
        <w:pStyle w:val="Point1"/>
        <w:rPr>
          <w:noProof/>
        </w:rPr>
      </w:pPr>
      <w:r w:rsidRPr="00046858">
        <w:rPr>
          <w:noProof/>
        </w:rPr>
        <w:t>(c)</w:t>
      </w:r>
      <w:r w:rsidRPr="00046858">
        <w:rPr>
          <w:noProof/>
        </w:rPr>
        <w:tab/>
        <w:t>principalele segmente ale lanțului de aprovizionare cu semiconductori din Uniune, inclusiv proiectarea, software-ul pentru proiectare, materialele, echipamentele de producție, fabricarea semiconductorilor, precum și fabricarea finală (back-end) externalizată;</w:t>
      </w:r>
    </w:p>
    <w:p w14:paraId="6D37DB84" w14:textId="77777777" w:rsidR="000D541B" w:rsidRPr="00046858" w:rsidRDefault="000D541B" w:rsidP="000006E4">
      <w:pPr>
        <w:pStyle w:val="Point1"/>
        <w:rPr>
          <w:noProof/>
        </w:rPr>
      </w:pPr>
      <w:r w:rsidRPr="00046858">
        <w:rPr>
          <w:noProof/>
        </w:rPr>
        <w:t>(d)</w:t>
      </w:r>
      <w:r w:rsidRPr="00046858">
        <w:rPr>
          <w:noProof/>
        </w:rPr>
        <w:tab/>
        <w:t>caracteristicile tehnologice, dependențele de tehnologia și furnizorii din țări terțe și blocajele din sectorul semiconductorilor din Uniune, inclusiv accesul la factorii de producție;</w:t>
      </w:r>
    </w:p>
    <w:p w14:paraId="12ED378A" w14:textId="77777777" w:rsidR="000D541B" w:rsidRPr="00046858" w:rsidRDefault="000D541B" w:rsidP="000006E4">
      <w:pPr>
        <w:pStyle w:val="Point1"/>
        <w:rPr>
          <w:noProof/>
        </w:rPr>
      </w:pPr>
      <w:r w:rsidRPr="00046858">
        <w:rPr>
          <w:noProof/>
        </w:rPr>
        <w:t>(e)</w:t>
      </w:r>
      <w:r w:rsidRPr="00046858">
        <w:rPr>
          <w:noProof/>
        </w:rPr>
        <w:tab/>
        <w:t>nevoile actuale și preconizate în materie de competențe și accesul efectiv la forță calificată de muncă în sectorul semiconductorilor;</w:t>
      </w:r>
    </w:p>
    <w:p w14:paraId="317861DB" w14:textId="18A0D159" w:rsidR="000D541B" w:rsidRPr="00046858" w:rsidRDefault="000D541B" w:rsidP="000006E4">
      <w:pPr>
        <w:pStyle w:val="Point1"/>
        <w:rPr>
          <w:noProof/>
        </w:rPr>
      </w:pPr>
      <w:r w:rsidRPr="00046858">
        <w:rPr>
          <w:noProof/>
        </w:rPr>
        <w:t>(f)</w:t>
      </w:r>
      <w:r w:rsidRPr="00046858">
        <w:rPr>
          <w:noProof/>
        </w:rPr>
        <w:tab/>
        <w:t>după caz, consecințele potențiale ale măsurilor de criză menționate la articolele 41, 42 și 43 asupra sectorului semiconductorilor.</w:t>
      </w:r>
    </w:p>
    <w:p w14:paraId="724ED54A" w14:textId="17706340" w:rsidR="000D541B" w:rsidRPr="00046858" w:rsidRDefault="000D541B" w:rsidP="003A4FB5">
      <w:pPr>
        <w:pStyle w:val="ManualNumPar1"/>
        <w:rPr>
          <w:noProof/>
        </w:rPr>
      </w:pPr>
      <w:r w:rsidRPr="00046858">
        <w:rPr>
          <w:noProof/>
        </w:rPr>
        <w:t>(2)</w:t>
      </w:r>
      <w:r w:rsidRPr="00046858">
        <w:rPr>
          <w:noProof/>
        </w:rPr>
        <w:tab/>
        <w:t>Comisia informează periodic Consiliul european pentru semiconductori cu privire la rezultatele agregate ale cartografierii strategice.</w:t>
      </w:r>
    </w:p>
    <w:p w14:paraId="555963B4" w14:textId="6D37A3CA" w:rsidR="000D541B" w:rsidRPr="00046858" w:rsidRDefault="000D541B" w:rsidP="003A4FB5">
      <w:pPr>
        <w:pStyle w:val="ManualNumPar1"/>
        <w:rPr>
          <w:noProof/>
        </w:rPr>
      </w:pPr>
      <w:r w:rsidRPr="00046858">
        <w:rPr>
          <w:noProof/>
        </w:rPr>
        <w:t>(3)</w:t>
      </w:r>
      <w:r w:rsidRPr="00046858">
        <w:rPr>
          <w:noProof/>
        </w:rPr>
        <w:tab/>
        <w:t xml:space="preserve">Pe baza rezultatelor cartografierii strategice efectuate în temeiul alineatului (1) și după consultarea Consiliului european pentru semiconductori, Comisia elaborează o listă de indicatori de avertizare timpurie. După consultarea Consiliului european pentru semiconductori, Comisia revizuiește periodic lista indicatorilor de avertizare timpurie. </w:t>
      </w:r>
    </w:p>
    <w:p w14:paraId="6152D8EA" w14:textId="225D52B9" w:rsidR="000D541B" w:rsidRPr="00046858" w:rsidRDefault="000D541B" w:rsidP="003A4FB5">
      <w:pPr>
        <w:pStyle w:val="ManualNumPar1"/>
        <w:rPr>
          <w:noProof/>
        </w:rPr>
      </w:pPr>
      <w:r w:rsidRPr="00046858">
        <w:rPr>
          <w:noProof/>
        </w:rPr>
        <w:t>(4)</w:t>
      </w:r>
      <w:r w:rsidRPr="00046858">
        <w:rPr>
          <w:noProof/>
        </w:rPr>
        <w:tab/>
        <w:t>După consultarea Consiliului european pentru semiconductori</w:t>
      </w:r>
      <w:r w:rsidRPr="00046858">
        <w:rPr>
          <w:rStyle w:val="Added"/>
          <w:b w:val="0"/>
          <w:noProof/>
          <w:u w:val="none"/>
        </w:rPr>
        <w:t>, Comisia elaborează un cadru și o metodologie pentru cartografierea strategică a sectorului semiconductorilor</w:t>
      </w:r>
      <w:r w:rsidRPr="00046858">
        <w:rPr>
          <w:noProof/>
        </w:rPr>
        <w:t>.</w:t>
      </w:r>
      <w:r w:rsidRPr="00046858">
        <w:rPr>
          <w:rStyle w:val="Added"/>
          <w:b w:val="0"/>
          <w:noProof/>
          <w:u w:val="none"/>
        </w:rPr>
        <w:t xml:space="preserve"> Comisia actualizează cadrul și metodologia, după caz.</w:t>
      </w:r>
    </w:p>
    <w:p w14:paraId="425871C2" w14:textId="6559ADA5" w:rsidR="000D541B" w:rsidRPr="00046858" w:rsidRDefault="000D541B" w:rsidP="003A4FB5">
      <w:pPr>
        <w:pStyle w:val="ManualNumPar1"/>
        <w:rPr>
          <w:noProof/>
        </w:rPr>
      </w:pPr>
      <w:r w:rsidRPr="00046858">
        <w:rPr>
          <w:noProof/>
        </w:rPr>
        <w:t>(5)</w:t>
      </w:r>
      <w:r w:rsidRPr="00046858">
        <w:rPr>
          <w:noProof/>
        </w:rPr>
        <w:tab/>
        <w:t xml:space="preserve">Cartografierea strategică se bazează, în special, pe datele disponibile în mod public și comercial și pe informațiile neconfidențiale relevante furnizate de întreprinderi, pe rezultatul unor analize similare realizate, precum și pe evaluările efectuate în temeiul </w:t>
      </w:r>
      <w:r w:rsidRPr="00046858">
        <w:rPr>
          <w:noProof/>
        </w:rPr>
        <w:lastRenderedPageBreak/>
        <w:t xml:space="preserve">articolului 57 alineatul (1). În cazul în care acest lucru nu este suficient pentru a elabora cartografierea strategică în temeiul alineatului (1) de la prezentul articol, Comisia poate adresa solicitări voluntare de informații actorilor din lanțul valoric al semiconductorilor din Uniune, după consultarea Consiliului european pentru semiconductori. Comisia utilizează mijloacele standardizate și securizate, menționate la articolul 50, pentru colectarea și prelucrarea informațiilor, în scopul unor astfel de solicitări de informații. </w:t>
      </w:r>
    </w:p>
    <w:p w14:paraId="5610F6C4" w14:textId="7743BFEA" w:rsidR="000D541B" w:rsidRPr="00046858" w:rsidRDefault="000D541B" w:rsidP="003A4FB5">
      <w:pPr>
        <w:pStyle w:val="ManualNumPar1"/>
        <w:rPr>
          <w:noProof/>
        </w:rPr>
      </w:pPr>
      <w:r w:rsidRPr="00046858">
        <w:rPr>
          <w:noProof/>
        </w:rPr>
        <w:t>(6)</w:t>
      </w:r>
      <w:r w:rsidRPr="00046858">
        <w:rPr>
          <w:noProof/>
        </w:rPr>
        <w:tab/>
        <w:t>Orice informație obținută în temeiul prezentului articol se tratează cu respectarea obligațiilor de confidențialitate prevăzute la articolul 50.</w:t>
      </w:r>
    </w:p>
    <w:p w14:paraId="63D7AE7E" w14:textId="4021A415" w:rsidR="000D541B" w:rsidRPr="00046858" w:rsidRDefault="000D541B" w:rsidP="003A4FB5">
      <w:pPr>
        <w:pStyle w:val="ManualNumPar1"/>
        <w:rPr>
          <w:noProof/>
        </w:rPr>
      </w:pPr>
      <w:r w:rsidRPr="00046858">
        <w:rPr>
          <w:noProof/>
        </w:rPr>
        <w:t>(7)</w:t>
      </w:r>
      <w:r w:rsidRPr="00046858">
        <w:rPr>
          <w:noProof/>
        </w:rPr>
        <w:tab/>
        <w:t xml:space="preserve">După consultarea Consiliului european pentru semiconductori, Comisia adoptă orientări pentru furnizarea informațiilor în temeiul alineatului (5). Comisia își actualizează orientările respective atunci când este necesar. </w:t>
      </w:r>
    </w:p>
    <w:p w14:paraId="644E0A30" w14:textId="63DA729E" w:rsidR="000D541B" w:rsidRPr="00046858" w:rsidRDefault="00633B04" w:rsidP="008E195F">
      <w:pPr>
        <w:pStyle w:val="Titrearticle"/>
        <w:rPr>
          <w:noProof/>
        </w:rPr>
      </w:pPr>
      <w:r w:rsidRPr="00046858">
        <w:rPr>
          <w:noProof/>
        </w:rPr>
        <w:t xml:space="preserve">Articolul 34 </w:t>
      </w:r>
      <w:r w:rsidRPr="00046858">
        <w:rPr>
          <w:noProof/>
        </w:rPr>
        <w:cr/>
      </w:r>
      <w:r w:rsidRPr="00046858">
        <w:rPr>
          <w:noProof/>
        </w:rPr>
        <w:br/>
        <w:t>Platforma B2B pentru lanțul de aprovizionare cu semiconductori</w:t>
      </w:r>
    </w:p>
    <w:p w14:paraId="20E9BB4A" w14:textId="49375DC8" w:rsidR="000D541B" w:rsidRPr="00046858" w:rsidRDefault="000D541B" w:rsidP="006164B0">
      <w:pPr>
        <w:pStyle w:val="ManualNumPar1"/>
        <w:rPr>
          <w:noProof/>
        </w:rPr>
      </w:pPr>
      <w:r w:rsidRPr="00046858">
        <w:rPr>
          <w:noProof/>
        </w:rPr>
        <w:t>(1)</w:t>
      </w:r>
      <w:r w:rsidRPr="00046858">
        <w:rPr>
          <w:noProof/>
        </w:rPr>
        <w:tab/>
        <w:t>Comisia asigură instituirea Platformei B2B pentru lanțul de aprovizionare cu semiconductori („platforma”), care acționează ca un geamăn digital al lanțului de aprovizionare cu semiconductori, cu scopul de a spori transparența și reziliența acestuia. Platforma trebuie cel puțin:</w:t>
      </w:r>
    </w:p>
    <w:p w14:paraId="41C2D648" w14:textId="77777777" w:rsidR="000D541B" w:rsidRPr="00046858" w:rsidRDefault="000D541B" w:rsidP="000006E4">
      <w:pPr>
        <w:pStyle w:val="Point1"/>
        <w:rPr>
          <w:noProof/>
        </w:rPr>
      </w:pPr>
      <w:r w:rsidRPr="00046858">
        <w:rPr>
          <w:noProof/>
        </w:rPr>
        <w:t>(a)</w:t>
      </w:r>
      <w:r w:rsidRPr="00046858">
        <w:rPr>
          <w:noProof/>
        </w:rPr>
        <w:tab/>
        <w:t>să colecteze informații de piață și date agregate pentru a servi drept observator al pieței semiconductorilor;</w:t>
      </w:r>
    </w:p>
    <w:p w14:paraId="6AA35E2C" w14:textId="77777777" w:rsidR="000D541B" w:rsidRPr="00046858" w:rsidRDefault="000D541B" w:rsidP="000006E4">
      <w:pPr>
        <w:pStyle w:val="Point1"/>
        <w:rPr>
          <w:noProof/>
        </w:rPr>
      </w:pPr>
      <w:r w:rsidRPr="00046858">
        <w:rPr>
          <w:noProof/>
        </w:rPr>
        <w:t>(b)</w:t>
      </w:r>
      <w:r w:rsidRPr="00046858">
        <w:rPr>
          <w:noProof/>
        </w:rPr>
        <w:tab/>
        <w:t>să colecteze date de la întreprinderile participante într-un format interoperabil;</w:t>
      </w:r>
    </w:p>
    <w:p w14:paraId="1860ABE8" w14:textId="77777777" w:rsidR="000D541B" w:rsidRPr="00046858" w:rsidRDefault="000D541B" w:rsidP="000006E4">
      <w:pPr>
        <w:pStyle w:val="Point1"/>
        <w:rPr>
          <w:noProof/>
        </w:rPr>
      </w:pPr>
      <w:r w:rsidRPr="00046858">
        <w:rPr>
          <w:noProof/>
        </w:rPr>
        <w:t>(c)</w:t>
      </w:r>
      <w:r w:rsidRPr="00046858">
        <w:rPr>
          <w:noProof/>
        </w:rPr>
        <w:tab/>
        <w:t>să le ofere întreprinderilor participante informații agregate cu privire la riscurile din lanțul de aprovizionare cu semiconductori și vulnerabilitățile de-a lungul lanțului valoric al semiconductorilor, fără ca aceste informații să poată fi atribuite întreprinderilor individuale;</w:t>
      </w:r>
    </w:p>
    <w:p w14:paraId="4FAFA8AA" w14:textId="77777777" w:rsidR="000D541B" w:rsidRPr="00046858" w:rsidRDefault="000D541B" w:rsidP="000006E4">
      <w:pPr>
        <w:pStyle w:val="Point1"/>
        <w:rPr>
          <w:noProof/>
        </w:rPr>
      </w:pPr>
      <w:r w:rsidRPr="00046858">
        <w:rPr>
          <w:noProof/>
        </w:rPr>
        <w:t>(d)</w:t>
      </w:r>
      <w:r w:rsidRPr="00046858">
        <w:rPr>
          <w:noProof/>
        </w:rPr>
        <w:tab/>
        <w:t>să includă participarea întreprinderilor care își desfășoară activitatea de-a lungul lanțului de aprovizionare cu semiconductori și a utilizatorilor de semiconductori, în special în sectoarele menționate în anexa VI;</w:t>
      </w:r>
    </w:p>
    <w:p w14:paraId="20E6633E" w14:textId="77777777" w:rsidR="000D541B" w:rsidRPr="00046858" w:rsidRDefault="000D541B" w:rsidP="000006E4">
      <w:pPr>
        <w:pStyle w:val="Point1"/>
        <w:rPr>
          <w:noProof/>
        </w:rPr>
      </w:pPr>
      <w:r w:rsidRPr="00046858">
        <w:rPr>
          <w:noProof/>
        </w:rPr>
        <w:t>(e)</w:t>
      </w:r>
      <w:r w:rsidRPr="00046858">
        <w:rPr>
          <w:noProof/>
        </w:rPr>
        <w:tab/>
        <w:t>să fie capabilă să efectueze teste de rezistență a lanțului de aprovizionare cu semiconductori;</w:t>
      </w:r>
    </w:p>
    <w:p w14:paraId="417A0110" w14:textId="77777777" w:rsidR="000D541B" w:rsidRPr="00046858" w:rsidRDefault="000D541B" w:rsidP="000006E4">
      <w:pPr>
        <w:pStyle w:val="Point1"/>
        <w:rPr>
          <w:noProof/>
        </w:rPr>
      </w:pPr>
      <w:r w:rsidRPr="00046858">
        <w:rPr>
          <w:noProof/>
        </w:rPr>
        <w:t>(f)</w:t>
      </w:r>
      <w:r w:rsidRPr="00046858">
        <w:rPr>
          <w:noProof/>
        </w:rPr>
        <w:tab/>
        <w:t>să emită avertizări timpurii și orientări pentru măsuri proactive adresate întreprinderilor participante în vederea reducerii riscurilor din lanțul lor de aprovizionare cu semiconductori;</w:t>
      </w:r>
    </w:p>
    <w:p w14:paraId="00879DDB" w14:textId="77777777" w:rsidR="000D541B" w:rsidRPr="00046858" w:rsidRDefault="000D541B" w:rsidP="000006E4">
      <w:pPr>
        <w:pStyle w:val="Point1"/>
        <w:rPr>
          <w:noProof/>
        </w:rPr>
      </w:pPr>
      <w:r w:rsidRPr="00046858">
        <w:rPr>
          <w:noProof/>
        </w:rPr>
        <w:t>(g)</w:t>
      </w:r>
      <w:r w:rsidRPr="00046858">
        <w:rPr>
          <w:noProof/>
        </w:rPr>
        <w:tab/>
        <w:t>să elaboreze indicatori pentru a evalua reziliența lanțului european de aprovizionare cu semiconductori și să îi prezinte ca tablou de bord;</w:t>
      </w:r>
    </w:p>
    <w:p w14:paraId="6DBF8245" w14:textId="77777777" w:rsidR="000D541B" w:rsidRPr="00046858" w:rsidRDefault="00D45224" w:rsidP="000006E4">
      <w:pPr>
        <w:pStyle w:val="Point1"/>
        <w:rPr>
          <w:noProof/>
        </w:rPr>
      </w:pPr>
      <w:r w:rsidRPr="00046858">
        <w:rPr>
          <w:noProof/>
        </w:rPr>
        <w:t>(h)</w:t>
      </w:r>
      <w:r w:rsidRPr="00046858">
        <w:rPr>
          <w:noProof/>
        </w:rPr>
        <w:tab/>
        <w:t>să ofere un mediu de prelucrare securizat.</w:t>
      </w:r>
    </w:p>
    <w:p w14:paraId="66F5753F" w14:textId="794A9C7E" w:rsidR="000D541B" w:rsidRPr="00046858" w:rsidRDefault="000D541B" w:rsidP="003A4FB5">
      <w:pPr>
        <w:pStyle w:val="ManualNumPar1"/>
        <w:rPr>
          <w:noProof/>
        </w:rPr>
      </w:pPr>
      <w:r w:rsidRPr="00046858">
        <w:rPr>
          <w:noProof/>
        </w:rPr>
        <w:t>(2)</w:t>
      </w:r>
      <w:r w:rsidRPr="00046858">
        <w:rPr>
          <w:noProof/>
        </w:rPr>
        <w:tab/>
        <w:t>Participarea la platformă este deschisă numai întreprinderilor naționale.</w:t>
      </w:r>
    </w:p>
    <w:p w14:paraId="719FD1B8" w14:textId="489587B0" w:rsidR="00A51BAB" w:rsidRPr="00046858" w:rsidRDefault="00A51BAB" w:rsidP="003A4FB5">
      <w:pPr>
        <w:pStyle w:val="ManualNumPar1"/>
        <w:rPr>
          <w:noProof/>
        </w:rPr>
      </w:pPr>
      <w:r w:rsidRPr="00046858">
        <w:rPr>
          <w:noProof/>
        </w:rPr>
        <w:t>(3)</w:t>
      </w:r>
      <w:r w:rsidRPr="00046858">
        <w:rPr>
          <w:noProof/>
        </w:rPr>
        <w:tab/>
        <w:t>Reprezentantul legal al platformei informează Comisia, fără întârzieri nejustificate, cu privire la perturbările actuale sau anticipate la nivelul lanțului de aprovizionare cu semiconductori.</w:t>
      </w:r>
    </w:p>
    <w:p w14:paraId="1B3D65E6" w14:textId="4FD31260" w:rsidR="00A51BAB" w:rsidRPr="00046858" w:rsidRDefault="00A51BAB" w:rsidP="00A51BAB">
      <w:pPr>
        <w:pStyle w:val="Titrearticle"/>
        <w:rPr>
          <w:noProof/>
        </w:rPr>
      </w:pPr>
      <w:r w:rsidRPr="00046858">
        <w:rPr>
          <w:noProof/>
        </w:rPr>
        <w:lastRenderedPageBreak/>
        <w:t xml:space="preserve">Articolul 35 </w:t>
      </w:r>
      <w:r w:rsidRPr="00046858">
        <w:rPr>
          <w:noProof/>
        </w:rPr>
        <w:cr/>
      </w:r>
      <w:r w:rsidRPr="00046858">
        <w:rPr>
          <w:noProof/>
        </w:rPr>
        <w:br/>
        <w:t>Monitorizare și anticipare</w:t>
      </w:r>
    </w:p>
    <w:p w14:paraId="1D7AEB51" w14:textId="229BEA1A" w:rsidR="00A51BAB" w:rsidRPr="00046858" w:rsidRDefault="00A51BAB" w:rsidP="006164B0">
      <w:pPr>
        <w:pStyle w:val="ManualNumPar1"/>
        <w:rPr>
          <w:noProof/>
        </w:rPr>
      </w:pPr>
      <w:r w:rsidRPr="00046858">
        <w:rPr>
          <w:noProof/>
        </w:rPr>
        <w:t>(1)</w:t>
      </w:r>
      <w:r w:rsidRPr="00046858">
        <w:rPr>
          <w:noProof/>
        </w:rPr>
        <w:tab/>
        <w:t>În consultare cu Consiliul european pentru semiconductori, Comisia monitorizează cu regularitate lanțul valoric al semiconductorilor, pentru a identifica factorii care pot perturba, compromite sau afecta negativ aprovizionarea sau comerțul cu semiconductori. În sensul prezentului regulament, monitorizarea constă în următoarele activități:</w:t>
      </w:r>
    </w:p>
    <w:p w14:paraId="0FA25633" w14:textId="71A54561" w:rsidR="00A51BAB" w:rsidRPr="00046858" w:rsidRDefault="00A51BAB" w:rsidP="000006E4">
      <w:pPr>
        <w:pStyle w:val="Point1"/>
        <w:rPr>
          <w:noProof/>
        </w:rPr>
      </w:pPr>
      <w:r w:rsidRPr="00046858">
        <w:rPr>
          <w:noProof/>
        </w:rPr>
        <w:t>(a)</w:t>
      </w:r>
      <w:r w:rsidRPr="00046858">
        <w:rPr>
          <w:noProof/>
        </w:rPr>
        <w:tab/>
        <w:t>monitorizarea indicatorilor de avertizare timpurie identificați în temeiul articolului 33;</w:t>
      </w:r>
    </w:p>
    <w:p w14:paraId="61D198D9" w14:textId="00E7D227" w:rsidR="00A51BAB" w:rsidRPr="00046858" w:rsidRDefault="00A51BAB" w:rsidP="000006E4">
      <w:pPr>
        <w:pStyle w:val="Point1"/>
        <w:rPr>
          <w:noProof/>
        </w:rPr>
      </w:pPr>
      <w:r w:rsidRPr="00046858">
        <w:rPr>
          <w:noProof/>
        </w:rPr>
        <w:t>(b)</w:t>
      </w:r>
      <w:r w:rsidRPr="00046858">
        <w:rPr>
          <w:noProof/>
        </w:rPr>
        <w:tab/>
        <w:t>monitorizarea de către statele membre a integrității activităților desfășurate de principalii actori de pe piață identificați în temeiul articolului 36 și raportarea de către statele membre cu privire la evenimentele majore care ar putea împiedica funcționarea normală a unor astfel de activități;</w:t>
      </w:r>
    </w:p>
    <w:p w14:paraId="40E1B11F" w14:textId="77777777" w:rsidR="00A51BAB" w:rsidRPr="00046858" w:rsidRDefault="00A51BAB" w:rsidP="000006E4">
      <w:pPr>
        <w:pStyle w:val="Point1"/>
        <w:rPr>
          <w:noProof/>
        </w:rPr>
      </w:pPr>
      <w:r w:rsidRPr="00046858">
        <w:rPr>
          <w:noProof/>
        </w:rPr>
        <w:t>(c)</w:t>
      </w:r>
      <w:r w:rsidRPr="00046858">
        <w:rPr>
          <w:noProof/>
        </w:rPr>
        <w:tab/>
        <w:t>identificarea bunelor practici de atenuare preventivă a riscurilor și de creștere a transparenței în sectorul semiconductorilor.</w:t>
      </w:r>
    </w:p>
    <w:p w14:paraId="2D54C881" w14:textId="77777777" w:rsidR="00A51BAB" w:rsidRPr="00046858" w:rsidRDefault="00A51BAB" w:rsidP="0014640A">
      <w:pPr>
        <w:pStyle w:val="Text1"/>
        <w:rPr>
          <w:noProof/>
        </w:rPr>
      </w:pPr>
      <w:r w:rsidRPr="00046858">
        <w:rPr>
          <w:noProof/>
        </w:rPr>
        <w:t>După consultarea Consiliului european pentru semiconductori, Comisia definește frecvența monitorizării pe baza nevoilor sectorului semiconductorilor.</w:t>
      </w:r>
    </w:p>
    <w:p w14:paraId="289CD954" w14:textId="5418C60D" w:rsidR="00A51BAB" w:rsidRPr="00046858" w:rsidRDefault="00A51BAB" w:rsidP="0014640A">
      <w:pPr>
        <w:pStyle w:val="Text1"/>
        <w:rPr>
          <w:noProof/>
        </w:rPr>
      </w:pPr>
      <w:r w:rsidRPr="00046858">
        <w:rPr>
          <w:noProof/>
        </w:rPr>
        <w:t xml:space="preserve">Comisia coordonează activitățile legate de monitorizarea sectorului semiconductorilor, pe baza informațiilor colectate în temeiul articolului 33 și al articolului 34 alineatul (3) sau prin intermediul altor surse, cum ar fi partenerii internaționali. </w:t>
      </w:r>
    </w:p>
    <w:p w14:paraId="244A248A" w14:textId="10485A77" w:rsidR="007C2CD5" w:rsidRPr="00046858" w:rsidRDefault="00A51BAB" w:rsidP="003A4FB5">
      <w:pPr>
        <w:pStyle w:val="ManualNumPar1"/>
        <w:rPr>
          <w:noProof/>
        </w:rPr>
      </w:pPr>
      <w:r w:rsidRPr="00046858">
        <w:rPr>
          <w:noProof/>
        </w:rPr>
        <w:t>(2)</w:t>
      </w:r>
      <w:r w:rsidRPr="00046858">
        <w:rPr>
          <w:noProof/>
        </w:rPr>
        <w:tab/>
        <w:t>Comisia invită principalii actori de pe piață, un ansamblu reprezentativ de utilizatori de semiconductori din sectoarele critice, organizațiile reprezentative din lanțul valoric al semiconductorilor și alte părți interesate relevante să furnizeze informații, în mod voluntar, în scopul desfășurării activităților de monitorizare în conformitate cu alineatul (1) litera (a).</w:t>
      </w:r>
    </w:p>
    <w:p w14:paraId="4B687E60" w14:textId="77777777" w:rsidR="001C310E" w:rsidRPr="00046858" w:rsidRDefault="001C310E" w:rsidP="00665230">
      <w:pPr>
        <w:pStyle w:val="Text1"/>
        <w:rPr>
          <w:noProof/>
        </w:rPr>
      </w:pPr>
      <w:r w:rsidRPr="00046858">
        <w:rPr>
          <w:noProof/>
        </w:rPr>
        <w:t xml:space="preserve">Comisia acordă o atenție deosebită IMM-urilor </w:t>
      </w:r>
      <w:r w:rsidRPr="00046858">
        <w:rPr>
          <w:rStyle w:val="Added"/>
          <w:b w:val="0"/>
          <w:noProof/>
          <w:u w:val="none"/>
        </w:rPr>
        <w:t>și întreprinderilor mici cu capitalizare medie</w:t>
      </w:r>
      <w:r w:rsidRPr="00046858">
        <w:rPr>
          <w:b/>
          <w:noProof/>
        </w:rPr>
        <w:t xml:space="preserve"> </w:t>
      </w:r>
      <w:r w:rsidRPr="00046858">
        <w:rPr>
          <w:noProof/>
        </w:rPr>
        <w:t>pentru a reduce la minimum sarcina administrativă care rezultă din colectarea de informații.</w:t>
      </w:r>
    </w:p>
    <w:p w14:paraId="02C50437" w14:textId="11A3C01C" w:rsidR="00A51BAB" w:rsidRPr="00046858" w:rsidRDefault="00A51BAB" w:rsidP="003A4FB5">
      <w:pPr>
        <w:pStyle w:val="ManualNumPar1"/>
        <w:rPr>
          <w:noProof/>
        </w:rPr>
      </w:pPr>
      <w:r w:rsidRPr="00046858">
        <w:rPr>
          <w:noProof/>
        </w:rPr>
        <w:t>(3)</w:t>
      </w:r>
      <w:r w:rsidRPr="00046858">
        <w:rPr>
          <w:noProof/>
        </w:rPr>
        <w:tab/>
        <w:t xml:space="preserve">În sensul alineatului (1) primul paragraf litera (b), statele membre pot solicita informații, în mod voluntar, de la principalii actori de pe piață, atunci când acest lucru este necesar și proporțional. </w:t>
      </w:r>
    </w:p>
    <w:p w14:paraId="5B3F7591" w14:textId="46494312" w:rsidR="00A51BAB" w:rsidRPr="00046858" w:rsidRDefault="00A51BAB" w:rsidP="003A4FB5">
      <w:pPr>
        <w:pStyle w:val="ManualNumPar1"/>
        <w:rPr>
          <w:noProof/>
        </w:rPr>
      </w:pPr>
      <w:r w:rsidRPr="00046858">
        <w:rPr>
          <w:noProof/>
        </w:rPr>
        <w:t>(4)</w:t>
      </w:r>
      <w:r w:rsidRPr="00046858">
        <w:rPr>
          <w:noProof/>
        </w:rPr>
        <w:tab/>
        <w:t>În sensul alineatului (3) de la prezentul articol, autoritățile naționale competente desemnate în conformitate cu articolul 48 elaborează și păstrează o listă de contacte cuprinzând toate întreprinderile care își desfășoară activitatea de-a lungul lanțului de aprovizionare cu semiconductori și care sunt stabilite pe teritoriul lor. Lista respectivă se transmite Comisiei. Comisia pune la dispoziție un format standardizat pentru lista de contacte în vederea asigurării interoperabilității.</w:t>
      </w:r>
    </w:p>
    <w:p w14:paraId="2C8E0F60" w14:textId="18E9F9E0" w:rsidR="00A51BAB" w:rsidRPr="00046858" w:rsidRDefault="00A51BAB" w:rsidP="003A4FB5">
      <w:pPr>
        <w:pStyle w:val="ManualNumPar1"/>
        <w:rPr>
          <w:noProof/>
        </w:rPr>
      </w:pPr>
      <w:r w:rsidRPr="00046858">
        <w:rPr>
          <w:noProof/>
        </w:rPr>
        <w:t>(5)</w:t>
      </w:r>
      <w:r w:rsidRPr="00046858">
        <w:rPr>
          <w:noProof/>
        </w:rPr>
        <w:tab/>
        <w:t>Toate informațiile obținute în temeiul prezentului articol sunt tratate în conformitate cu articolul 50.</w:t>
      </w:r>
    </w:p>
    <w:p w14:paraId="60F09C3B" w14:textId="28567153" w:rsidR="00A51BAB" w:rsidRPr="00046858" w:rsidRDefault="00A51BAB" w:rsidP="003A4FB5">
      <w:pPr>
        <w:pStyle w:val="ManualNumPar1"/>
        <w:rPr>
          <w:noProof/>
        </w:rPr>
      </w:pPr>
      <w:r w:rsidRPr="00046858">
        <w:rPr>
          <w:noProof/>
        </w:rPr>
        <w:t>(6)</w:t>
      </w:r>
      <w:r w:rsidRPr="00046858">
        <w:rPr>
          <w:noProof/>
        </w:rPr>
        <w:tab/>
        <w:t xml:space="preserve">Pe baza informațiilor colectate prin intermediul activităților menționate la alineatul (1), Comisia îi prezintă Consiliului european pentru semiconductori un raport care cuprinde constatările agregate, sub forma unor actualizări periodice. Consiliul european pentru semiconductori se întrunește pentru a analiza rezultatele </w:t>
      </w:r>
      <w:r w:rsidRPr="00046858">
        <w:rPr>
          <w:noProof/>
        </w:rPr>
        <w:lastRenderedPageBreak/>
        <w:t xml:space="preserve">monitorizării. Comisia invită organizații reprezentative din sectorul semiconductorilor la astfel de întruniri. După caz, Comisia poate invita la astfel de întruniri actori principali de pe piață, utilizatori de semiconductori din sectoarele critice, autorități sau organizații reprezentative ale țărilor terțe partenere și experți din mediul academic și din societatea civilă. </w:t>
      </w:r>
    </w:p>
    <w:p w14:paraId="09A672C8" w14:textId="52373D84" w:rsidR="00A51BAB" w:rsidRPr="00046858" w:rsidRDefault="00A51BAB" w:rsidP="00A51BAB">
      <w:pPr>
        <w:pStyle w:val="Titrearticle"/>
        <w:rPr>
          <w:noProof/>
        </w:rPr>
      </w:pPr>
      <w:r w:rsidRPr="00046858">
        <w:rPr>
          <w:noProof/>
        </w:rPr>
        <w:t xml:space="preserve">Articolul 36 </w:t>
      </w:r>
      <w:r w:rsidRPr="00046858">
        <w:rPr>
          <w:noProof/>
        </w:rPr>
        <w:cr/>
      </w:r>
      <w:r w:rsidRPr="00046858">
        <w:rPr>
          <w:noProof/>
        </w:rPr>
        <w:br/>
        <w:t>Principalii actori de pe piață</w:t>
      </w:r>
    </w:p>
    <w:p w14:paraId="518E12FC" w14:textId="528C0316" w:rsidR="00A51BAB" w:rsidRPr="00046858" w:rsidRDefault="00A51BAB" w:rsidP="0014640A">
      <w:pPr>
        <w:ind w:left="720"/>
        <w:rPr>
          <w:noProof/>
        </w:rPr>
      </w:pPr>
      <w:r w:rsidRPr="00046858">
        <w:rPr>
          <w:noProof/>
        </w:rPr>
        <w:t>Statele membre, în colaborare cu Comisia și în conformitate cu articolul 35, identifică principalii actori de pe piață din cadrul lanțurilor de aprovizionare cu semiconductori stabiliți pe teritoriul lor, ținând seama de următoarele elemente:</w:t>
      </w:r>
    </w:p>
    <w:p w14:paraId="527B2D74" w14:textId="77777777" w:rsidR="00A51BAB" w:rsidRPr="00046858" w:rsidRDefault="00A51BAB" w:rsidP="000006E4">
      <w:pPr>
        <w:pStyle w:val="Point1"/>
        <w:rPr>
          <w:noProof/>
        </w:rPr>
      </w:pPr>
      <w:r w:rsidRPr="00046858">
        <w:rPr>
          <w:noProof/>
        </w:rPr>
        <w:t>(a)</w:t>
      </w:r>
      <w:r w:rsidRPr="00046858">
        <w:rPr>
          <w:noProof/>
        </w:rPr>
        <w:tab/>
        <w:t>numărul întreprinderilor din Uniune care depind de serviciul sau bunul furnizat de un actor de pe piață;</w:t>
      </w:r>
    </w:p>
    <w:p w14:paraId="5A8BA829" w14:textId="77777777" w:rsidR="00A51BAB" w:rsidRPr="00046858" w:rsidRDefault="00A51BAB" w:rsidP="000006E4">
      <w:pPr>
        <w:pStyle w:val="Point1"/>
        <w:rPr>
          <w:noProof/>
        </w:rPr>
      </w:pPr>
      <w:r w:rsidRPr="00046858">
        <w:rPr>
          <w:noProof/>
        </w:rPr>
        <w:t>(b)</w:t>
      </w:r>
      <w:r w:rsidRPr="00046858">
        <w:rPr>
          <w:noProof/>
        </w:rPr>
        <w:tab/>
        <w:t>cota pe care un actor de pe piață o deține pe piața acestor servicii sau bunuri în Uniune sau la nivel mondial;</w:t>
      </w:r>
    </w:p>
    <w:p w14:paraId="3ABF11C0" w14:textId="77777777" w:rsidR="00A51BAB" w:rsidRPr="00046858" w:rsidRDefault="00A51BAB" w:rsidP="000006E4">
      <w:pPr>
        <w:pStyle w:val="Point1"/>
        <w:rPr>
          <w:noProof/>
        </w:rPr>
      </w:pPr>
      <w:r w:rsidRPr="00046858">
        <w:rPr>
          <w:noProof/>
        </w:rPr>
        <w:t>(c)</w:t>
      </w:r>
      <w:r w:rsidRPr="00046858">
        <w:rPr>
          <w:noProof/>
        </w:rPr>
        <w:tab/>
        <w:t>importanța unui actor de pe piață în menținerea unui nivel suficient al ofertei în ceea ce privește un serviciu sau un bun în Uniune, ținând seama de existența unor mijloace alternative de furnizare a serviciului sau a bunului respectiv;</w:t>
      </w:r>
    </w:p>
    <w:p w14:paraId="4F18B8F5" w14:textId="77777777" w:rsidR="00401874" w:rsidRPr="00046858" w:rsidRDefault="00A51BAB" w:rsidP="000006E4">
      <w:pPr>
        <w:pStyle w:val="Point1"/>
        <w:rPr>
          <w:noProof/>
        </w:rPr>
      </w:pPr>
      <w:r w:rsidRPr="00046858">
        <w:rPr>
          <w:noProof/>
        </w:rPr>
        <w:t>(d)</w:t>
      </w:r>
      <w:r w:rsidRPr="00046858">
        <w:rPr>
          <w:noProof/>
        </w:rPr>
        <w:tab/>
        <w:t>impactul pe care o perturbare a ofertei în ceea ce privește serviciul sau bunul furnizat de actorul de pe piață îl poate avea asupra lanțului de aprovizionare cu semiconductori și asupra piețelor dependente din Uniune.</w:t>
      </w:r>
    </w:p>
    <w:p w14:paraId="027C706A" w14:textId="77777777" w:rsidR="00594E80" w:rsidRPr="00046858" w:rsidRDefault="00594E80" w:rsidP="00DB0920">
      <w:pPr>
        <w:rPr>
          <w:noProof/>
        </w:rPr>
      </w:pPr>
    </w:p>
    <w:p w14:paraId="7AF14B13" w14:textId="77777777" w:rsidR="00A51BAB" w:rsidRPr="00046858" w:rsidRDefault="00A51BAB" w:rsidP="00A51BAB">
      <w:pPr>
        <w:pStyle w:val="SectionTitle"/>
        <w:rPr>
          <w:noProof/>
        </w:rPr>
      </w:pPr>
      <w:r w:rsidRPr="00046858">
        <w:rPr>
          <w:noProof/>
        </w:rPr>
        <w:t>Secțiunea 2</w:t>
      </w:r>
    </w:p>
    <w:p w14:paraId="15DA1D6E" w14:textId="77777777" w:rsidR="00A51BAB" w:rsidRPr="00046858" w:rsidRDefault="00A51BAB" w:rsidP="00A51BAB">
      <w:pPr>
        <w:pStyle w:val="SectionTitle"/>
        <w:rPr>
          <w:noProof/>
        </w:rPr>
      </w:pPr>
      <w:r w:rsidRPr="00046858">
        <w:rPr>
          <w:noProof/>
        </w:rPr>
        <w:t>Avertizări și declanșarea stadiului de criză</w:t>
      </w:r>
    </w:p>
    <w:p w14:paraId="6BA7C360" w14:textId="0E37B74F" w:rsidR="00A51BAB" w:rsidRPr="00046858" w:rsidRDefault="00A51BAB" w:rsidP="00A51BAB">
      <w:pPr>
        <w:pStyle w:val="Titrearticle"/>
        <w:rPr>
          <w:noProof/>
        </w:rPr>
      </w:pPr>
      <w:r w:rsidRPr="00046858">
        <w:rPr>
          <w:noProof/>
        </w:rPr>
        <w:t xml:space="preserve">Articolul 37 </w:t>
      </w:r>
      <w:r w:rsidRPr="00046858">
        <w:rPr>
          <w:noProof/>
        </w:rPr>
        <w:cr/>
      </w:r>
      <w:r w:rsidRPr="00046858">
        <w:rPr>
          <w:noProof/>
        </w:rPr>
        <w:br/>
        <w:t>Avertizări și acțiuni preventive</w:t>
      </w:r>
    </w:p>
    <w:p w14:paraId="1DFF1F7B" w14:textId="760DDF6C" w:rsidR="00A51BAB" w:rsidRPr="00046858" w:rsidRDefault="00A51BAB" w:rsidP="006164B0">
      <w:pPr>
        <w:pStyle w:val="ManualNumPar1"/>
        <w:rPr>
          <w:noProof/>
        </w:rPr>
      </w:pPr>
      <w:r w:rsidRPr="00046858">
        <w:rPr>
          <w:noProof/>
        </w:rPr>
        <w:t>(1)</w:t>
      </w:r>
      <w:r w:rsidRPr="00046858">
        <w:rPr>
          <w:noProof/>
        </w:rPr>
        <w:tab/>
        <w:t xml:space="preserve">Atunci când o autoritate națională competentă desemnată în conformitate cu articolul 48 ia cunoștință de existența unui risc de perturbare gravă a aprovizionării cu semiconductori sau are informații concrete și fiabile cu privire la materializarea oricărui alt factor de risc sau eveniment relevant, aceasta avertizează Comisia fără întârzieri nejustificate. </w:t>
      </w:r>
    </w:p>
    <w:p w14:paraId="5F6770D9" w14:textId="5DF766F5" w:rsidR="00A51BAB" w:rsidRPr="00046858" w:rsidRDefault="00A51BAB" w:rsidP="003A4FB5">
      <w:pPr>
        <w:pStyle w:val="ManualNumPar1"/>
        <w:rPr>
          <w:noProof/>
        </w:rPr>
      </w:pPr>
      <w:r w:rsidRPr="00046858">
        <w:rPr>
          <w:noProof/>
        </w:rPr>
        <w:t>(2)</w:t>
      </w:r>
      <w:r w:rsidRPr="00046858">
        <w:rPr>
          <w:noProof/>
        </w:rPr>
        <w:tab/>
        <w:t>În cazul în care ia cunoștință de existența unui risc de perturbare gravă a aprovizionării cu semiconductori sau are informații concrete și fiabile cu privire la materializarea oricărui alt factor de risc sau eveniment relevant, inclusiv pe baza indicatorilor de avertizare timpurie, în urma unei avertizări în temeiul alineatului (1) sau din partea partenerilor internaționali, Comisia ia următoarele măsuri preventive, fără întârzieri nejustificate:</w:t>
      </w:r>
    </w:p>
    <w:p w14:paraId="1E611365" w14:textId="77777777" w:rsidR="00A51BAB" w:rsidRPr="00046858" w:rsidRDefault="00457A40" w:rsidP="000006E4">
      <w:pPr>
        <w:pStyle w:val="Point1"/>
        <w:rPr>
          <w:noProof/>
        </w:rPr>
      </w:pPr>
      <w:r w:rsidRPr="00046858">
        <w:rPr>
          <w:noProof/>
        </w:rPr>
        <w:t>(a)</w:t>
      </w:r>
      <w:r w:rsidRPr="00046858">
        <w:rPr>
          <w:noProof/>
        </w:rPr>
        <w:tab/>
        <w:t>convoacă o ședință extraordinară a Consiliului european pentru semiconductori pentru a coordona următoarele acțiuni:</w:t>
      </w:r>
    </w:p>
    <w:p w14:paraId="0D31C603" w14:textId="77777777" w:rsidR="00A51BAB" w:rsidRPr="00046858" w:rsidRDefault="002B03D7" w:rsidP="002B03D7">
      <w:pPr>
        <w:pStyle w:val="Point2"/>
        <w:rPr>
          <w:noProof/>
        </w:rPr>
      </w:pPr>
      <w:r w:rsidRPr="00046858">
        <w:rPr>
          <w:noProof/>
        </w:rPr>
        <w:t>(i)</w:t>
      </w:r>
      <w:r w:rsidRPr="00046858">
        <w:rPr>
          <w:noProof/>
        </w:rPr>
        <w:tab/>
        <w:t>dezbaterea gravității perturbării în aprovizionarea cu semiconductori;</w:t>
      </w:r>
    </w:p>
    <w:p w14:paraId="49861D08" w14:textId="26306757" w:rsidR="00AB4F2A" w:rsidRPr="00046858" w:rsidRDefault="002B03D7" w:rsidP="002B03D7">
      <w:pPr>
        <w:pStyle w:val="Point2"/>
        <w:rPr>
          <w:noProof/>
        </w:rPr>
      </w:pPr>
      <w:r w:rsidRPr="00046858">
        <w:rPr>
          <w:noProof/>
        </w:rPr>
        <w:lastRenderedPageBreak/>
        <w:t>(ii)</w:t>
      </w:r>
      <w:r w:rsidRPr="00046858">
        <w:rPr>
          <w:noProof/>
        </w:rPr>
        <w:tab/>
        <w:t>dezbaterea eventualei necesități și proporționalități a inițierii procedurii menționate la articolul 39;</w:t>
      </w:r>
    </w:p>
    <w:p w14:paraId="3914A1BC" w14:textId="77777777" w:rsidR="00AB4F2A" w:rsidRPr="00046858" w:rsidRDefault="002B03D7" w:rsidP="002B03D7">
      <w:pPr>
        <w:pStyle w:val="Point2"/>
        <w:rPr>
          <w:noProof/>
        </w:rPr>
      </w:pPr>
      <w:r w:rsidRPr="00046858">
        <w:rPr>
          <w:noProof/>
        </w:rPr>
        <w:t>(iii)</w:t>
      </w:r>
      <w:r w:rsidRPr="00046858">
        <w:rPr>
          <w:noProof/>
        </w:rPr>
        <w:tab/>
        <w:t>dezbaterea oportunității, a necesității și a proporționalității achiziției în comun de semiconductori, produse intermediare sau materii prime de către statele membre ca măsură preventivă (achiziții publice comune);</w:t>
      </w:r>
    </w:p>
    <w:p w14:paraId="678D7D5D" w14:textId="77777777" w:rsidR="00AB4F2A" w:rsidRPr="00046858" w:rsidRDefault="002B03D7" w:rsidP="002B03D7">
      <w:pPr>
        <w:pStyle w:val="Point2"/>
        <w:rPr>
          <w:noProof/>
        </w:rPr>
      </w:pPr>
      <w:r w:rsidRPr="00046858">
        <w:rPr>
          <w:noProof/>
        </w:rPr>
        <w:t>(iv)</w:t>
      </w:r>
      <w:r w:rsidRPr="00046858">
        <w:rPr>
          <w:noProof/>
        </w:rPr>
        <w:tab/>
        <w:t>inițierea unui dialog cu părțile interesate din lanțul valoric al semiconductorilor în vederea identificării, a pregătirii și, eventual, a coordonării de măsuri preventive;</w:t>
      </w:r>
    </w:p>
    <w:p w14:paraId="3A0F5158" w14:textId="33768D84" w:rsidR="00AB4F2A" w:rsidRPr="00046858" w:rsidRDefault="002B03D7" w:rsidP="002B03D7">
      <w:pPr>
        <w:pStyle w:val="Point2"/>
        <w:rPr>
          <w:noProof/>
        </w:rPr>
      </w:pPr>
      <w:r w:rsidRPr="00046858">
        <w:rPr>
          <w:noProof/>
        </w:rPr>
        <w:t>(v)</w:t>
      </w:r>
      <w:r w:rsidRPr="00046858">
        <w:rPr>
          <w:noProof/>
        </w:rPr>
        <w:tab/>
        <w:t>consilierea Comisiei cu privire la oportunitatea emiterii unei solicitări de informații către platformă în temeiul articolului 38;</w:t>
      </w:r>
    </w:p>
    <w:p w14:paraId="78B080C5" w14:textId="77777777" w:rsidR="00AB4F2A" w:rsidRPr="00046858" w:rsidRDefault="00AB4F2A" w:rsidP="006D2A9B">
      <w:pPr>
        <w:pStyle w:val="Point1"/>
        <w:rPr>
          <w:noProof/>
        </w:rPr>
      </w:pPr>
      <w:r w:rsidRPr="00046858">
        <w:rPr>
          <w:noProof/>
        </w:rPr>
        <w:t>(b)</w:t>
      </w:r>
      <w:r w:rsidRPr="00046858">
        <w:rPr>
          <w:noProof/>
        </w:rPr>
        <w:tab/>
        <w:t>în numele Uniunii, inițiază consultări sau cooperări cu țările terțe relevante în vederea găsirii unor soluții întemeiate pe cooperare la perturbările lanțului de aprovizionare, cu respectarea obligațiilor internaționale, care pot implica, după caz, realizarea coordonării în cadrul forurilor internaționale relevante;</w:t>
      </w:r>
    </w:p>
    <w:p w14:paraId="264903AC" w14:textId="2A5F1983" w:rsidR="00AB4F2A" w:rsidRPr="00046858" w:rsidRDefault="00AB4F2A" w:rsidP="006D2A9B">
      <w:pPr>
        <w:pStyle w:val="Point1"/>
        <w:rPr>
          <w:noProof/>
        </w:rPr>
      </w:pPr>
      <w:r w:rsidRPr="00046858">
        <w:rPr>
          <w:noProof/>
        </w:rPr>
        <w:t>(c)</w:t>
      </w:r>
      <w:r w:rsidRPr="00046858">
        <w:rPr>
          <w:noProof/>
        </w:rPr>
        <w:tab/>
        <w:t>le solicită autorităților naționale competente desemnate în conformitate cu articolul 48 să evalueze nivelul de pregătire al principalilor actori de pe piață.</w:t>
      </w:r>
    </w:p>
    <w:p w14:paraId="5A1EABEF" w14:textId="5670EFA7" w:rsidR="00AB4F2A" w:rsidRPr="00046858" w:rsidRDefault="00AB4F2A" w:rsidP="003A4FB5">
      <w:pPr>
        <w:pStyle w:val="ManualNumPar1"/>
        <w:rPr>
          <w:noProof/>
        </w:rPr>
      </w:pPr>
      <w:r w:rsidRPr="00046858">
        <w:rPr>
          <w:noProof/>
        </w:rPr>
        <w:t>(3)</w:t>
      </w:r>
      <w:r w:rsidRPr="00046858">
        <w:rPr>
          <w:noProof/>
        </w:rPr>
        <w:tab/>
        <w:t>Orice achiziții publice comune efectuate în urma dezbaterilor menționate la alineatul (2) litera (a) punctul (iii) se efectuează de către statele membre în conformitate cu normele prevăzute la articolele 38 și 39 din Directiva 2014/24/UE și la articolele 56 și 57 din Directiva 2014/25/UE.</w:t>
      </w:r>
    </w:p>
    <w:p w14:paraId="65B6D07B" w14:textId="1A3E82AA" w:rsidR="00AB4F2A" w:rsidRPr="00046858" w:rsidRDefault="00AB4F2A" w:rsidP="00AB4F2A">
      <w:pPr>
        <w:pStyle w:val="Titrearticle"/>
        <w:rPr>
          <w:noProof/>
        </w:rPr>
      </w:pPr>
      <w:r w:rsidRPr="00046858">
        <w:rPr>
          <w:noProof/>
        </w:rPr>
        <w:t xml:space="preserve">Articolul 38 </w:t>
      </w:r>
      <w:r w:rsidRPr="00046858">
        <w:rPr>
          <w:noProof/>
        </w:rPr>
        <w:cr/>
      </w:r>
      <w:r w:rsidRPr="00046858">
        <w:rPr>
          <w:noProof/>
        </w:rPr>
        <w:br/>
        <w:t xml:space="preserve">Colectarea preventivă a informațiilor </w:t>
      </w:r>
    </w:p>
    <w:p w14:paraId="3168E4AA" w14:textId="0D01F647" w:rsidR="00AB4F2A" w:rsidRPr="00046858" w:rsidRDefault="009F6596" w:rsidP="006164B0">
      <w:pPr>
        <w:pStyle w:val="ManualNumPar1"/>
        <w:rPr>
          <w:noProof/>
        </w:rPr>
      </w:pPr>
      <w:r w:rsidRPr="00046858">
        <w:rPr>
          <w:noProof/>
        </w:rPr>
        <w:t>(1)</w:t>
      </w:r>
      <w:r w:rsidRPr="00046858">
        <w:rPr>
          <w:noProof/>
        </w:rPr>
        <w:tab/>
        <w:t xml:space="preserve">Comisia poate emite solicitări de informații pentru a evalua riscul de perturbare gravă a aprovizionării cu semiconductori, adresate platformei sau întreprinderilor individuale care își </w:t>
      </w:r>
      <w:r w:rsidRPr="00046858">
        <w:rPr>
          <w:rStyle w:val="Added"/>
          <w:b w:val="0"/>
          <w:noProof/>
          <w:u w:val="none"/>
        </w:rPr>
        <w:t xml:space="preserve">desfășoară activitatea de-a lungul lanțului valoric al semiconductorilor și care furnizează servicii în Uniune sau oferă produse pe piața Uniunii, </w:t>
      </w:r>
      <w:r w:rsidRPr="00046858">
        <w:rPr>
          <w:noProof/>
        </w:rPr>
        <w:t>în cazul în care acestea nu participă la platformă, după consultarea Consiliului european pentru semiconductori în cadrul reuniunii extraordinare menționate la articolul 37 alineatul (2) litera (a).</w:t>
      </w:r>
    </w:p>
    <w:p w14:paraId="20190967" w14:textId="2539B6E7" w:rsidR="00B65184" w:rsidRPr="00046858" w:rsidRDefault="00B65184" w:rsidP="003A4FB5">
      <w:pPr>
        <w:pStyle w:val="ManualNumPar1"/>
        <w:rPr>
          <w:noProof/>
        </w:rPr>
      </w:pPr>
      <w:r w:rsidRPr="00046858">
        <w:rPr>
          <w:noProof/>
        </w:rPr>
        <w:t>(2)</w:t>
      </w:r>
      <w:r w:rsidRPr="00046858">
        <w:rPr>
          <w:noProof/>
        </w:rPr>
        <w:tab/>
        <w:t xml:space="preserve">Înainte de a lansa o solicitare de informații, Comisia poate efectua o consultare voluntară a unui număr reprezentativ de întreprinderi relevante în vederea identificării conținutului adecvat și proporțional al solicitării respective. </w:t>
      </w:r>
    </w:p>
    <w:p w14:paraId="7B8A7E5E" w14:textId="6089F201" w:rsidR="00BC06B6" w:rsidRPr="00046858" w:rsidRDefault="00BC06B6" w:rsidP="003A4FB5">
      <w:pPr>
        <w:pStyle w:val="ManualNumPar1"/>
        <w:rPr>
          <w:noProof/>
        </w:rPr>
      </w:pPr>
      <w:r w:rsidRPr="00046858">
        <w:rPr>
          <w:noProof/>
        </w:rPr>
        <w:t>(3)</w:t>
      </w:r>
      <w:r w:rsidRPr="00046858">
        <w:rPr>
          <w:noProof/>
        </w:rPr>
        <w:tab/>
        <w:t>O solicitare de informații adresată unei întreprinderi individuale precizează temeiul juridic și scopul solicitării, se limitează la ceea ce este necesar și este proporțională în ceea ce privește volumul datelor și frecvența accesului la datele solicitate. Aceasta stabilește termenul în care trebuie furnizate informațiile și posibilele sancțiuni pentru furnizarea de informații incorecte, incomplete sau înșelătoare în temeiul articolului 51. Datele sunt anonimizate și agregate, după caz. În cazul în care o întreprindere din Uniune face obiectul unei solicitări de informații în temeiul alineatului (5) de la prezentul articol, Comisia informează statul membru în care este stabilită întreprinderea individuală cu privire la solicitarea respectivă.</w:t>
      </w:r>
    </w:p>
    <w:p w14:paraId="0B1EE712" w14:textId="670A4B8E" w:rsidR="00B06CA9" w:rsidRPr="00046858" w:rsidRDefault="00BA4D73" w:rsidP="003A4FB5">
      <w:pPr>
        <w:pStyle w:val="ManualNumPar1"/>
        <w:rPr>
          <w:noProof/>
        </w:rPr>
      </w:pPr>
      <w:r w:rsidRPr="00046858">
        <w:rPr>
          <w:noProof/>
        </w:rPr>
        <w:t>(4)</w:t>
      </w:r>
      <w:r w:rsidRPr="00046858">
        <w:rPr>
          <w:noProof/>
        </w:rPr>
        <w:tab/>
        <w:t xml:space="preserve">O solicitare de informații adresată reprezentantului legal al platformei precizează temeiul juridic și scopul acesteia, se limitează la ceea ce este necesar și este proporțională în ceea ce privește volumul datelor și frecvența accesului la datele </w:t>
      </w:r>
      <w:r w:rsidRPr="00046858">
        <w:rPr>
          <w:noProof/>
        </w:rPr>
        <w:lastRenderedPageBreak/>
        <w:t>solicitate, ținând seama de obiectivele legitime ale platformei. Aceasta stabilește termenul în care trebuie furnizate informațiile și include informații cu privire la posibilele sancțiuni în temeiul articolului 51.</w:t>
      </w:r>
    </w:p>
    <w:p w14:paraId="3B934806" w14:textId="60AE1768" w:rsidR="00E52517" w:rsidRPr="00046858" w:rsidRDefault="00E52517" w:rsidP="003A4FB5">
      <w:pPr>
        <w:pStyle w:val="ManualNumPar1"/>
        <w:rPr>
          <w:noProof/>
        </w:rPr>
      </w:pPr>
      <w:r w:rsidRPr="00046858">
        <w:rPr>
          <w:noProof/>
        </w:rPr>
        <w:t>(5)</w:t>
      </w:r>
      <w:r w:rsidRPr="00046858">
        <w:rPr>
          <w:noProof/>
        </w:rPr>
        <w:tab/>
        <w:t xml:space="preserve">Obligația de a furniza informațiile solicitate în numele întreprinderii sau al asociației de întreprinderi în cauză le revine proprietarilor întreprinderilor sau reprezentanților acestora și, în cazul persoanelor juridice sau al asociațiilor care nu au personalitate juridică, persoanelor autorizate să le reprezinte în temeiul legii sau al statutului. </w:t>
      </w:r>
    </w:p>
    <w:p w14:paraId="1C3EE7A6" w14:textId="4ADC71C6" w:rsidR="003839B1" w:rsidRPr="00046858" w:rsidRDefault="00AB4F2A" w:rsidP="003A4FB5">
      <w:pPr>
        <w:pStyle w:val="ManualNumPar1"/>
        <w:rPr>
          <w:noProof/>
        </w:rPr>
      </w:pPr>
      <w:r w:rsidRPr="00046858">
        <w:rPr>
          <w:noProof/>
        </w:rPr>
        <w:t>(6)</w:t>
      </w:r>
      <w:r w:rsidRPr="00046858">
        <w:rPr>
          <w:noProof/>
        </w:rPr>
        <w:tab/>
        <w:t xml:space="preserve">Comisia îi prezintă Consiliului european pentru semiconductori informații agregate din răspunsurile la solicitările de informații. </w:t>
      </w:r>
    </w:p>
    <w:p w14:paraId="34497A23" w14:textId="013AFCD4" w:rsidR="00AB4F2A" w:rsidRPr="00046858" w:rsidRDefault="00AB4F2A" w:rsidP="003A4FB5">
      <w:pPr>
        <w:pStyle w:val="ManualNumPar1"/>
        <w:rPr>
          <w:noProof/>
        </w:rPr>
      </w:pPr>
      <w:r w:rsidRPr="00046858">
        <w:rPr>
          <w:noProof/>
        </w:rPr>
        <w:t>(7)</w:t>
      </w:r>
      <w:r w:rsidRPr="00046858">
        <w:rPr>
          <w:noProof/>
        </w:rPr>
        <w:tab/>
        <w:t xml:space="preserve">Reprezentantul legal al platformei nu răspunde niciunei solicitări de informații care nu este emisă de Comisie, cu excepția cazului în care are obligația legală de a face acest lucru în conformitate cu dreptul Uniunii sau cu dreptul intern. </w:t>
      </w:r>
    </w:p>
    <w:p w14:paraId="01DF585A" w14:textId="5535E05C" w:rsidR="00AB4F2A" w:rsidRPr="00046858" w:rsidRDefault="00AB4F2A" w:rsidP="003A4FB5">
      <w:pPr>
        <w:pStyle w:val="ManualNumPar1"/>
        <w:rPr>
          <w:noProof/>
        </w:rPr>
      </w:pPr>
      <w:r w:rsidRPr="00046858">
        <w:rPr>
          <w:noProof/>
        </w:rPr>
        <w:t>(8)</w:t>
      </w:r>
      <w:r w:rsidRPr="00046858">
        <w:rPr>
          <w:noProof/>
        </w:rPr>
        <w:tab/>
        <w:t xml:space="preserve">Toate informațiile obținute în temeiul prezentului articol sunt tratate în conformitate cu articolul 50. </w:t>
      </w:r>
    </w:p>
    <w:p w14:paraId="704D1AAE" w14:textId="0E397F40" w:rsidR="00AB4F2A" w:rsidRPr="00046858" w:rsidRDefault="00AB4F2A" w:rsidP="00AB4F2A">
      <w:pPr>
        <w:pStyle w:val="Titrearticle"/>
        <w:rPr>
          <w:noProof/>
        </w:rPr>
      </w:pPr>
      <w:r w:rsidRPr="00046858">
        <w:rPr>
          <w:noProof/>
        </w:rPr>
        <w:t xml:space="preserve">Articolul 39 </w:t>
      </w:r>
      <w:r w:rsidRPr="00046858">
        <w:rPr>
          <w:noProof/>
        </w:rPr>
        <w:cr/>
      </w:r>
      <w:r w:rsidRPr="00046858">
        <w:rPr>
          <w:noProof/>
        </w:rPr>
        <w:br/>
        <w:t>Declanșarea stadiului de criză</w:t>
      </w:r>
    </w:p>
    <w:p w14:paraId="590588F0" w14:textId="6C3A0378" w:rsidR="00E61081" w:rsidRPr="00046858" w:rsidRDefault="00E61081" w:rsidP="006164B0">
      <w:pPr>
        <w:pStyle w:val="ManualNumPar1"/>
        <w:rPr>
          <w:noProof/>
        </w:rPr>
      </w:pPr>
      <w:r w:rsidRPr="00046858">
        <w:rPr>
          <w:noProof/>
        </w:rPr>
        <w:t>(1)</w:t>
      </w:r>
      <w:r w:rsidRPr="00046858">
        <w:rPr>
          <w:noProof/>
        </w:rPr>
        <w:tab/>
        <w:t>Se consideră că survine o criză a semiconductorilor dacă sunt îndeplinite ambele condiții următoare:</w:t>
      </w:r>
    </w:p>
    <w:p w14:paraId="4463362E" w14:textId="77777777" w:rsidR="00E61081" w:rsidRPr="00046858" w:rsidRDefault="00E61081" w:rsidP="000006E4">
      <w:pPr>
        <w:pStyle w:val="Point1"/>
        <w:rPr>
          <w:noProof/>
        </w:rPr>
      </w:pPr>
      <w:r w:rsidRPr="00046858">
        <w:rPr>
          <w:noProof/>
        </w:rPr>
        <w:t>(a)</w:t>
      </w:r>
      <w:r w:rsidRPr="00046858">
        <w:rPr>
          <w:noProof/>
        </w:rPr>
        <w:tab/>
        <w:t>există perturbări grave ale lanțului de aprovizionare cu semiconductori sau obstacole grave în calea comerțului cu semiconductori în Uniune, care produc penurii semnificative de semiconductori, de produse intermediare sau de materii prime sau prelucrate;</w:t>
      </w:r>
    </w:p>
    <w:p w14:paraId="2D225821" w14:textId="77777777" w:rsidR="00E61081" w:rsidRPr="00046858" w:rsidRDefault="00E61081" w:rsidP="000006E4">
      <w:pPr>
        <w:pStyle w:val="Point1"/>
        <w:rPr>
          <w:noProof/>
        </w:rPr>
      </w:pPr>
      <w:r w:rsidRPr="00046858">
        <w:rPr>
          <w:noProof/>
        </w:rPr>
        <w:t>(b)</w:t>
      </w:r>
      <w:r w:rsidRPr="00046858">
        <w:rPr>
          <w:noProof/>
        </w:rPr>
        <w:tab/>
        <w:t xml:space="preserve">astfel de penurii semnificative împiedică furnizarea, repararea sau întreținerea produselor esențiale utilizate de sectoarele critice, într-o asemenea măsură încât acest lucru ar avea grave efecte dăunătoare asupra funcționării sectoarelor critice din cauza impactului lor asupra societății, a economiei și a securității Uniunii. </w:t>
      </w:r>
    </w:p>
    <w:p w14:paraId="199BC687" w14:textId="091859BE" w:rsidR="00E61081" w:rsidRPr="00046858" w:rsidRDefault="00E61081" w:rsidP="003A4FB5">
      <w:pPr>
        <w:pStyle w:val="ManualNumPar1"/>
        <w:rPr>
          <w:noProof/>
        </w:rPr>
      </w:pPr>
      <w:r w:rsidRPr="00046858">
        <w:rPr>
          <w:noProof/>
        </w:rPr>
        <w:t>(2)</w:t>
      </w:r>
      <w:r w:rsidRPr="00046858">
        <w:rPr>
          <w:noProof/>
        </w:rPr>
        <w:tab/>
        <w:t xml:space="preserve">În cazul în care Comisia ia cunoștință de eventualitatea unei crize a semiconductorilor, în temeiul articolului 37 alineatul (2), aceasta evaluează dacă sunt îndeplinite condițiile prevăzute la alineatul (1) de la prezentul articol. Respectiva evaluare ia în considerare potențialele efecte și consecințe pozitive și negative ale stadiului de criză asupra industriei semiconductorilor din Uniune și a sectoarelor critice. În cazul în care respectiva evaluare oferă dovezi concrete și fiabile, Comisia, în urma consultării Consiliului european pentru semiconductori, îi poate propune Consiliului să declanșeze stadiul de criză. </w:t>
      </w:r>
    </w:p>
    <w:p w14:paraId="081BE909" w14:textId="5CD3653E" w:rsidR="00E61081" w:rsidRPr="00046858" w:rsidRDefault="00E61081" w:rsidP="003A4FB5">
      <w:pPr>
        <w:pStyle w:val="ManualNumPar1"/>
        <w:rPr>
          <w:noProof/>
        </w:rPr>
      </w:pPr>
      <w:r w:rsidRPr="00046858">
        <w:rPr>
          <w:noProof/>
        </w:rPr>
        <w:t>(3)</w:t>
      </w:r>
      <w:r w:rsidRPr="00046858">
        <w:rPr>
          <w:noProof/>
        </w:rPr>
        <w:tab/>
        <w:t>Consiliul, hotărând cu majoritate calificată, poate declanșa stadiul de criză prin intermediul unui act de punere în aplicare. Durata stadiului de criză se precizează în actul de punere în aplicare și nu poate fi mai mare de 12 luni.</w:t>
      </w:r>
    </w:p>
    <w:p w14:paraId="31C7B664" w14:textId="77777777" w:rsidR="00E61081" w:rsidRPr="00046858" w:rsidRDefault="00E61081" w:rsidP="00E61081">
      <w:pPr>
        <w:pStyle w:val="Text1"/>
        <w:rPr>
          <w:noProof/>
        </w:rPr>
      </w:pPr>
      <w:r w:rsidRPr="00046858">
        <w:rPr>
          <w:noProof/>
        </w:rPr>
        <w:t>Comisia raportează periodic și, în orice caz, cel puțin o dată la fiecare trei luni Consiliului european pentru semiconductori și Parlamentului European cu privire la starea crizei.</w:t>
      </w:r>
    </w:p>
    <w:p w14:paraId="55ACF60A" w14:textId="7A47FF61" w:rsidR="00E61081" w:rsidRPr="00046858" w:rsidRDefault="00E61081" w:rsidP="003A4FB5">
      <w:pPr>
        <w:pStyle w:val="ManualNumPar1"/>
        <w:rPr>
          <w:noProof/>
        </w:rPr>
      </w:pPr>
      <w:r w:rsidRPr="00046858">
        <w:rPr>
          <w:noProof/>
        </w:rPr>
        <w:t>(4)</w:t>
      </w:r>
      <w:r w:rsidRPr="00046858">
        <w:rPr>
          <w:noProof/>
        </w:rPr>
        <w:tab/>
        <w:t xml:space="preserve">Înainte de expirarea duratei pentru care a fost declanșat stadiul de criză, Comisia efectuează o evaluare pentru a stabili dacă este adecvat să prelungească stadiul de </w:t>
      </w:r>
      <w:r w:rsidRPr="00046858">
        <w:rPr>
          <w:noProof/>
        </w:rPr>
        <w:lastRenderedPageBreak/>
        <w:t>criză. În cazul în care o astfel de evaluare oferă dovezi concrete și fiabile că sunt îndeplinite în continuare condițiile pentru declanșarea stadiului de criză, Comisia, în urma consultării Consiliului european pentru semiconductori, îi poate propune Consiliului să prelungească stadiul de criză.</w:t>
      </w:r>
    </w:p>
    <w:p w14:paraId="6767C40F" w14:textId="77777777" w:rsidR="00E61081" w:rsidRPr="00046858" w:rsidRDefault="00E61081" w:rsidP="00E61081">
      <w:pPr>
        <w:pStyle w:val="Text1"/>
        <w:rPr>
          <w:noProof/>
        </w:rPr>
      </w:pPr>
      <w:r w:rsidRPr="00046858">
        <w:rPr>
          <w:noProof/>
        </w:rPr>
        <w:t>Consiliul, hotărând cu majoritate calificată, poate prelungi stadiul de criză prin intermediul unui act de punere în aplicare. Durata prelungirii este limitată și precizată în actul de punere în aplicare respectiv.</w:t>
      </w:r>
    </w:p>
    <w:p w14:paraId="12D958E8" w14:textId="77777777" w:rsidR="00E61081" w:rsidRPr="00046858" w:rsidRDefault="00E61081" w:rsidP="00E61081">
      <w:pPr>
        <w:pStyle w:val="Text1"/>
        <w:rPr>
          <w:noProof/>
        </w:rPr>
      </w:pPr>
      <w:r w:rsidRPr="00046858">
        <w:rPr>
          <w:noProof/>
        </w:rPr>
        <w:t>Comisia poate propune o dată sau mai frecvent prelungirea stadiului de criză, atunci când acest lucru este justificat în mod corespunzător.</w:t>
      </w:r>
    </w:p>
    <w:p w14:paraId="37346D83" w14:textId="321A7A43" w:rsidR="00E61081" w:rsidRPr="00046858" w:rsidRDefault="00E61081" w:rsidP="003A4FB5">
      <w:pPr>
        <w:pStyle w:val="ManualNumPar1"/>
        <w:rPr>
          <w:noProof/>
        </w:rPr>
      </w:pPr>
      <w:r w:rsidRPr="00046858">
        <w:rPr>
          <w:noProof/>
        </w:rPr>
        <w:t>(5)</w:t>
      </w:r>
      <w:r w:rsidRPr="00046858">
        <w:rPr>
          <w:noProof/>
        </w:rPr>
        <w:tab/>
        <w:t xml:space="preserve">Pe durata stadiului de criză, Comisia, după consultarea Consiliului european pentru semiconductori, evaluează dacă o eventuală încheiere anticipată a stadiului de criză este oportună. În cazul în care evaluarea indică acest lucru, Comisia îi poate propune Consiliului să pună capăt stadiului de criză. </w:t>
      </w:r>
    </w:p>
    <w:p w14:paraId="7159FB07" w14:textId="77777777" w:rsidR="00E61081" w:rsidRPr="00046858" w:rsidRDefault="00E61081" w:rsidP="00E61081">
      <w:pPr>
        <w:pStyle w:val="Text1"/>
        <w:rPr>
          <w:noProof/>
        </w:rPr>
      </w:pPr>
      <w:r w:rsidRPr="00046858">
        <w:rPr>
          <w:noProof/>
        </w:rPr>
        <w:t>Consiliul poate pune capăt stadiului de criză prin intermediul unui act de punere în aplicare.</w:t>
      </w:r>
    </w:p>
    <w:p w14:paraId="24001D7A" w14:textId="7F348F5B" w:rsidR="00E61081" w:rsidRPr="00046858" w:rsidRDefault="00E61081" w:rsidP="003A4FB5">
      <w:pPr>
        <w:pStyle w:val="ManualNumPar1"/>
        <w:rPr>
          <w:noProof/>
        </w:rPr>
      </w:pPr>
      <w:r w:rsidRPr="00046858">
        <w:rPr>
          <w:noProof/>
        </w:rPr>
        <w:t>(6)</w:t>
      </w:r>
      <w:r w:rsidRPr="00046858">
        <w:rPr>
          <w:noProof/>
        </w:rPr>
        <w:tab/>
        <w:t>Pe durata stadiului de criză, Comisia convoacă, la cererea unui stat membru sau din proprie inițiativă, ședințe extraordinare ale Consiliului european pentru semiconductori, atunci când este necesar.</w:t>
      </w:r>
    </w:p>
    <w:p w14:paraId="33779462" w14:textId="77777777" w:rsidR="00E61081" w:rsidRPr="00046858" w:rsidRDefault="00E61081" w:rsidP="00E61081">
      <w:pPr>
        <w:pStyle w:val="Text1"/>
        <w:rPr>
          <w:noProof/>
        </w:rPr>
      </w:pPr>
      <w:r w:rsidRPr="00046858">
        <w:rPr>
          <w:noProof/>
        </w:rPr>
        <w:t>Statele membre colaborează îndeaproape cu Comisia, o informează la timp cu privire la toate măsurile naționale luate cu privire la lanțul de aprovizionare cu semiconductori în cadrul Consiliului european pentru semiconductori și coordonează respectivele măsuri.</w:t>
      </w:r>
    </w:p>
    <w:p w14:paraId="0D843CE3" w14:textId="35B3E24F" w:rsidR="00E61081" w:rsidRPr="00046858" w:rsidRDefault="00E61081" w:rsidP="003A4FB5">
      <w:pPr>
        <w:pStyle w:val="ManualNumPar1"/>
        <w:rPr>
          <w:noProof/>
        </w:rPr>
      </w:pPr>
      <w:r w:rsidRPr="00046858">
        <w:rPr>
          <w:noProof/>
        </w:rPr>
        <w:t>(7)</w:t>
      </w:r>
      <w:r w:rsidRPr="00046858">
        <w:rPr>
          <w:noProof/>
        </w:rPr>
        <w:tab/>
        <w:t xml:space="preserve">La expirarea perioadei pentru care este declanșat stadiul de criză sau în cazul încheierii sale anticipate în temeiul alineatului (5) de la prezentul articol, aplicarea măsurilor luate în conformitate cu articolele 41, 42 și 43 încetează imediat. </w:t>
      </w:r>
    </w:p>
    <w:p w14:paraId="2520764E" w14:textId="0E770CAB" w:rsidR="00E61081" w:rsidRPr="00046858" w:rsidRDefault="00E61081" w:rsidP="003A4FB5">
      <w:pPr>
        <w:pStyle w:val="ManualNumPar1"/>
        <w:rPr>
          <w:noProof/>
        </w:rPr>
      </w:pPr>
      <w:r w:rsidRPr="00046858">
        <w:rPr>
          <w:noProof/>
        </w:rPr>
        <w:t>(8)</w:t>
      </w:r>
      <w:r w:rsidRPr="00046858">
        <w:rPr>
          <w:noProof/>
        </w:rPr>
        <w:tab/>
        <w:t xml:space="preserve">Comisia actualizează cartografierea și monitorizarea lanțurilor valorice ale semiconductorilor în temeiul articolelor 33 și 35, ținând seama de experiența dobândită în urma crizei, în termen de cel mult șase luni de la expirarea duratei stadiului de criză. </w:t>
      </w:r>
    </w:p>
    <w:p w14:paraId="69675DC2" w14:textId="77777777" w:rsidR="00E61081" w:rsidRPr="00046858" w:rsidRDefault="00E61081" w:rsidP="00E61081">
      <w:pPr>
        <w:pStyle w:val="Text1"/>
        <w:rPr>
          <w:noProof/>
        </w:rPr>
      </w:pPr>
    </w:p>
    <w:p w14:paraId="3D84C9FF" w14:textId="77777777" w:rsidR="00E61081" w:rsidRPr="00046858" w:rsidRDefault="00E61081" w:rsidP="00E61081">
      <w:pPr>
        <w:pStyle w:val="SectionTitle"/>
        <w:rPr>
          <w:noProof/>
        </w:rPr>
      </w:pPr>
      <w:r w:rsidRPr="00046858">
        <w:rPr>
          <w:noProof/>
        </w:rPr>
        <w:t>Secțiunea 3</w:t>
      </w:r>
    </w:p>
    <w:p w14:paraId="2A461268" w14:textId="77777777" w:rsidR="00E61081" w:rsidRPr="00046858" w:rsidRDefault="00E61081" w:rsidP="00E61081">
      <w:pPr>
        <w:pStyle w:val="SectionTitle"/>
        <w:rPr>
          <w:noProof/>
        </w:rPr>
      </w:pPr>
      <w:r w:rsidRPr="00046858">
        <w:rPr>
          <w:noProof/>
        </w:rPr>
        <w:t>Răspunsul la penurie</w:t>
      </w:r>
    </w:p>
    <w:p w14:paraId="5D3CE04B" w14:textId="68072325" w:rsidR="007F0242" w:rsidRPr="00046858" w:rsidRDefault="007F0242" w:rsidP="007F0242">
      <w:pPr>
        <w:pStyle w:val="Titrearticle"/>
        <w:rPr>
          <w:noProof/>
        </w:rPr>
      </w:pPr>
      <w:r w:rsidRPr="00046858">
        <w:rPr>
          <w:noProof/>
        </w:rPr>
        <w:t xml:space="preserve">Articolul 40 </w:t>
      </w:r>
      <w:r w:rsidRPr="00046858">
        <w:rPr>
          <w:noProof/>
        </w:rPr>
        <w:cr/>
      </w:r>
      <w:r w:rsidRPr="00046858">
        <w:rPr>
          <w:noProof/>
        </w:rPr>
        <w:br/>
        <w:t xml:space="preserve">Setul de instrumente pentru situații de urgență </w:t>
      </w:r>
      <w:r w:rsidRPr="00046858">
        <w:rPr>
          <w:noProof/>
        </w:rPr>
        <w:cr/>
      </w:r>
      <w:r w:rsidRPr="00046858">
        <w:rPr>
          <w:noProof/>
        </w:rPr>
        <w:br/>
      </w:r>
    </w:p>
    <w:p w14:paraId="03758626" w14:textId="73D17884" w:rsidR="00E61081" w:rsidRPr="00046858" w:rsidRDefault="00E61081" w:rsidP="006164B0">
      <w:pPr>
        <w:pStyle w:val="ManualNumPar1"/>
        <w:rPr>
          <w:noProof/>
        </w:rPr>
      </w:pPr>
      <w:r w:rsidRPr="00046858">
        <w:rPr>
          <w:noProof/>
        </w:rPr>
        <w:t>(1)</w:t>
      </w:r>
      <w:r w:rsidRPr="00046858">
        <w:rPr>
          <w:noProof/>
        </w:rPr>
        <w:tab/>
        <w:t>În cazul în care este declanșat stadiul de criză în temeiul articolului 39 și dacă este necesar pentru a răspunde crizei semiconductorilor din Uniune, Comisia poate lua măsura prevăzută la articolul 41, 42 sau 43, în conformitate cu condițiile stabilite la articolele respective.</w:t>
      </w:r>
    </w:p>
    <w:p w14:paraId="4EA81EAB" w14:textId="60525D97" w:rsidR="00E61081" w:rsidRPr="00046858" w:rsidRDefault="00E61081" w:rsidP="003A4FB5">
      <w:pPr>
        <w:pStyle w:val="ManualNumPar1"/>
        <w:rPr>
          <w:b/>
          <w:noProof/>
        </w:rPr>
      </w:pPr>
      <w:r w:rsidRPr="00046858">
        <w:rPr>
          <w:noProof/>
        </w:rPr>
        <w:lastRenderedPageBreak/>
        <w:t>(2)</w:t>
      </w:r>
      <w:r w:rsidRPr="00046858">
        <w:rPr>
          <w:noProof/>
        </w:rPr>
        <w:tab/>
        <w:t xml:space="preserve">După consultarea Consiliului european pentru semiconductori, Comisia restricționează aplicarea măsurilor prevăzute la articolele 42 și 43 la sectoarele critice a căror funcționare este perturbată sau riscă să fie perturbată din cauza crizei semiconductorilor. Utilizarea măsurilor menționate la alineatul (1) de la prezentul articol este proporțională și limitată la ceea ce este necesar pentru remedierea perturbărilor grave care afectează sectoarele critice din Uniune și trebuie să fie în interesul Uniunii. Respectivele măsuri se utilizează evitând crearea unei sarcini administrative disproporționate, mai ales pentru IMM-uri și </w:t>
      </w:r>
      <w:r w:rsidRPr="00046858">
        <w:rPr>
          <w:rStyle w:val="Added"/>
          <w:b w:val="0"/>
          <w:noProof/>
          <w:u w:val="none"/>
        </w:rPr>
        <w:t>întreprinderile mici cu capitalizare medie</w:t>
      </w:r>
      <w:r w:rsidRPr="00046858">
        <w:rPr>
          <w:noProof/>
        </w:rPr>
        <w:t>.</w:t>
      </w:r>
      <w:r w:rsidRPr="00046858">
        <w:rPr>
          <w:b/>
          <w:noProof/>
        </w:rPr>
        <w:t xml:space="preserve"> </w:t>
      </w:r>
    </w:p>
    <w:p w14:paraId="22AD6F2C" w14:textId="57251967" w:rsidR="00E61081" w:rsidRPr="00046858" w:rsidRDefault="00E61081" w:rsidP="003A4FB5">
      <w:pPr>
        <w:pStyle w:val="ManualNumPar1"/>
        <w:rPr>
          <w:noProof/>
        </w:rPr>
      </w:pPr>
      <w:r w:rsidRPr="00046858">
        <w:rPr>
          <w:noProof/>
        </w:rPr>
        <w:t>(3)</w:t>
      </w:r>
      <w:r w:rsidRPr="00046858">
        <w:rPr>
          <w:noProof/>
        </w:rPr>
        <w:tab/>
        <w:t>În cazul în care este declanșat stadiul de criză în temeiul articolului 39 și dacă este necesar pentru a răspunde crizei semiconductorilor din Uniune, Consiliul european pentru semiconductori poate:</w:t>
      </w:r>
    </w:p>
    <w:p w14:paraId="728EB7C8" w14:textId="77777777" w:rsidR="00E61081" w:rsidRPr="00046858" w:rsidRDefault="007F0242" w:rsidP="000006E4">
      <w:pPr>
        <w:pStyle w:val="Point1"/>
        <w:rPr>
          <w:noProof/>
        </w:rPr>
      </w:pPr>
      <w:r w:rsidRPr="00046858">
        <w:rPr>
          <w:noProof/>
        </w:rPr>
        <w:t>(a)</w:t>
      </w:r>
      <w:r w:rsidRPr="00046858">
        <w:rPr>
          <w:noProof/>
        </w:rPr>
        <w:tab/>
        <w:t>să efectueze o evaluare și să ofere consiliere cu privire la măsuri de urgență adecvate și eficace;</w:t>
      </w:r>
    </w:p>
    <w:p w14:paraId="682D7AD3" w14:textId="77777777" w:rsidR="007F0242" w:rsidRPr="00046858" w:rsidRDefault="007F0242" w:rsidP="000006E4">
      <w:pPr>
        <w:pStyle w:val="Point1"/>
        <w:rPr>
          <w:noProof/>
        </w:rPr>
      </w:pPr>
      <w:r w:rsidRPr="00046858">
        <w:rPr>
          <w:noProof/>
        </w:rPr>
        <w:t>(b)</w:t>
      </w:r>
      <w:r w:rsidRPr="00046858">
        <w:rPr>
          <w:noProof/>
        </w:rPr>
        <w:tab/>
        <w:t xml:space="preserve">să evalueze impactul preconizat asupra sectorului semiconductorilor din Uniune al eventualei impuneri de măsuri de protecție, analizând dacă situația de pe piață corespunde unei penurii semnificative ce privește un produs esențial, astfel cum se prevede în Regulamentul (UE) 2015/479, și să îi furnizeze un aviz Comisiei. </w:t>
      </w:r>
    </w:p>
    <w:p w14:paraId="33CDE491" w14:textId="26B66DAC" w:rsidR="007F0242" w:rsidRPr="00046858" w:rsidRDefault="007F0242" w:rsidP="003A4FB5">
      <w:pPr>
        <w:pStyle w:val="ManualNumPar1"/>
        <w:rPr>
          <w:noProof/>
        </w:rPr>
      </w:pPr>
      <w:r w:rsidRPr="00046858">
        <w:rPr>
          <w:noProof/>
        </w:rPr>
        <w:t>(4)</w:t>
      </w:r>
      <w:r w:rsidRPr="00046858">
        <w:rPr>
          <w:noProof/>
        </w:rPr>
        <w:tab/>
        <w:t>Comisia informează cu regularitate Parlamentul European și Consiliul cu privire la orice măsuri luate în conformitate cu alineatul (1) și explică motivele pentru care a luat decizia în cauză.</w:t>
      </w:r>
    </w:p>
    <w:p w14:paraId="7CC66870" w14:textId="0A84A11E" w:rsidR="007F0242" w:rsidRPr="00046858" w:rsidRDefault="007F0242" w:rsidP="003A4FB5">
      <w:pPr>
        <w:pStyle w:val="ManualNumPar1"/>
        <w:rPr>
          <w:noProof/>
        </w:rPr>
      </w:pPr>
      <w:r w:rsidRPr="00046858">
        <w:rPr>
          <w:noProof/>
        </w:rPr>
        <w:t>(5)</w:t>
      </w:r>
      <w:r w:rsidRPr="00046858">
        <w:rPr>
          <w:noProof/>
        </w:rPr>
        <w:tab/>
        <w:t>După consultarea Consiliului european pentru semiconductori, Comisia poate emite orientări privind punerea în aplicare și utilizarea măsurilor de urgență.</w:t>
      </w:r>
    </w:p>
    <w:p w14:paraId="62A181C1" w14:textId="1845AC91" w:rsidR="007F0242" w:rsidRPr="00046858" w:rsidRDefault="007F0242" w:rsidP="007F0242">
      <w:pPr>
        <w:pStyle w:val="Titrearticle"/>
        <w:rPr>
          <w:noProof/>
        </w:rPr>
      </w:pPr>
      <w:r w:rsidRPr="00046858">
        <w:rPr>
          <w:noProof/>
        </w:rPr>
        <w:t xml:space="preserve">Articolul 41 </w:t>
      </w:r>
      <w:r w:rsidRPr="00046858">
        <w:rPr>
          <w:noProof/>
        </w:rPr>
        <w:cr/>
      </w:r>
      <w:r w:rsidRPr="00046858">
        <w:rPr>
          <w:noProof/>
        </w:rPr>
        <w:br/>
        <w:t>Colectarea de informații în stadiul de criză</w:t>
      </w:r>
    </w:p>
    <w:p w14:paraId="68FBA6B2" w14:textId="7E668C62" w:rsidR="007F0242" w:rsidRPr="00046858" w:rsidRDefault="007F0242" w:rsidP="006164B0">
      <w:pPr>
        <w:pStyle w:val="ManualNumPar1"/>
        <w:rPr>
          <w:noProof/>
        </w:rPr>
      </w:pPr>
      <w:r w:rsidRPr="00046858">
        <w:rPr>
          <w:noProof/>
        </w:rPr>
        <w:t>(1)</w:t>
      </w:r>
      <w:r w:rsidRPr="00046858">
        <w:rPr>
          <w:noProof/>
        </w:rPr>
        <w:tab/>
        <w:t xml:space="preserve">În cazul în care este declanșat stadiul de criză în temeiul articolului 39, Comisia le poate solicita tuturor întreprinderilor care își desfășoară activitatea de-a lungul lanțului de aprovizionare cu semiconductori să furnizeze informații referitoare la capabilitățile și capacitățile lor de producție, precum și la principalele perturbări curente. Informațiile solicitate se limitează la ceea ce este necesar pentru a evalua natura crizei semiconductorilor sau pentru a identifica și a evalua posibile măsuri de atenuare sau de urgență la nivelul Uniunii sau la nivel național. Solicitările de informații nu implică furnizarea de informații a căror divulgare ar fi contrară intereselor statelor membre în materie de securitate națională. </w:t>
      </w:r>
    </w:p>
    <w:p w14:paraId="1936F5D9" w14:textId="4FB38B20" w:rsidR="007F0242" w:rsidRPr="00046858" w:rsidRDefault="007F0242" w:rsidP="003A4FB5">
      <w:pPr>
        <w:pStyle w:val="ManualNumPar1"/>
        <w:rPr>
          <w:noProof/>
        </w:rPr>
      </w:pPr>
      <w:r w:rsidRPr="00046858">
        <w:rPr>
          <w:noProof/>
        </w:rPr>
        <w:t>(2)</w:t>
      </w:r>
      <w:r w:rsidRPr="00046858">
        <w:rPr>
          <w:noProof/>
        </w:rPr>
        <w:tab/>
        <w:t xml:space="preserve">Înainte de a lansa o solicitare de informații, Comisia poate efectua o consultare voluntară a unui număr reprezentativ de întreprinderi relevante în vederea identificării conținutului adecvat și proporțional al unei astfel de solicitări. Comisia elaborează solicitarea de informații în cooperare cu Consiliul european pentru semiconductori. </w:t>
      </w:r>
    </w:p>
    <w:p w14:paraId="6C8250FC" w14:textId="313EFDEF" w:rsidR="007F0242" w:rsidRPr="00046858" w:rsidRDefault="007F0242" w:rsidP="003A4FB5">
      <w:pPr>
        <w:pStyle w:val="ManualNumPar1"/>
        <w:rPr>
          <w:noProof/>
        </w:rPr>
      </w:pPr>
      <w:r w:rsidRPr="00046858">
        <w:rPr>
          <w:noProof/>
        </w:rPr>
        <w:t>(3)</w:t>
      </w:r>
      <w:r w:rsidRPr="00046858">
        <w:rPr>
          <w:noProof/>
        </w:rPr>
        <w:tab/>
        <w:t xml:space="preserve">Pentru lansarea solicitării de informații, Comisia utilizează mijloacele securizate și tratează toate informațiile obținute în conformitate cu articolul 50. În acest scop, autoritățile naționale competente desemnate în conformitate cu articolul 48 transmit Comisiei lista de contacte stabilită în temeiul articolului 35 alineatul (4). </w:t>
      </w:r>
    </w:p>
    <w:p w14:paraId="5E69B481" w14:textId="17E86C55" w:rsidR="007F0242" w:rsidRPr="00046858" w:rsidRDefault="007F0242" w:rsidP="007F0242">
      <w:pPr>
        <w:pStyle w:val="Text1"/>
        <w:rPr>
          <w:noProof/>
        </w:rPr>
      </w:pPr>
      <w:r w:rsidRPr="00046858">
        <w:rPr>
          <w:noProof/>
        </w:rPr>
        <w:lastRenderedPageBreak/>
        <w:t xml:space="preserve">Comisia transmite fără întârziere o copie a solicitării de informații autorității naționale competente desemnate în conformitate cu articolul 48 a statului membru pe al cărui teritoriu se află locul de producție al întreprinderii destinatare. La solicitarea autorității naționale competente, Comisia transmite informațiile obținute de la întreprinderea relevantă, în conformitate cu dreptul Uniunii. </w:t>
      </w:r>
    </w:p>
    <w:p w14:paraId="183E9481" w14:textId="74FB642F" w:rsidR="007F0242" w:rsidRPr="00046858" w:rsidRDefault="007F0242" w:rsidP="003A4FB5">
      <w:pPr>
        <w:pStyle w:val="ManualNumPar1"/>
        <w:rPr>
          <w:noProof/>
        </w:rPr>
      </w:pPr>
      <w:r w:rsidRPr="00046858">
        <w:rPr>
          <w:noProof/>
        </w:rPr>
        <w:t>(4)</w:t>
      </w:r>
      <w:r w:rsidRPr="00046858">
        <w:rPr>
          <w:noProof/>
        </w:rPr>
        <w:tab/>
        <w:t>Solicitarea de informații precizează care este temeiul său juridic, se limitează la minimul necesar și este proporțională în ceea ce privește granularitatea și volumul datelor și frecvența accesului la datele solicitate, ține seama de obiectivele legitime ale întreprinderii, precum și de costurile și eforturile necesare pentru punerea la dispoziție a datelor și stabilește termenul în care trebuie furnizate informațiile. Solicitarea precizează și sancțiunile prevăzute la articolul 51.</w:t>
      </w:r>
    </w:p>
    <w:p w14:paraId="33D3D1F6" w14:textId="4B499AFA" w:rsidR="007F0242" w:rsidRPr="00046858" w:rsidRDefault="007F0242" w:rsidP="003A4FB5">
      <w:pPr>
        <w:pStyle w:val="ManualNumPar1"/>
        <w:rPr>
          <w:noProof/>
        </w:rPr>
      </w:pPr>
      <w:r w:rsidRPr="00046858">
        <w:rPr>
          <w:noProof/>
        </w:rPr>
        <w:t>(5)</w:t>
      </w:r>
      <w:r w:rsidRPr="00046858">
        <w:rPr>
          <w:noProof/>
        </w:rPr>
        <w:tab/>
        <w:t xml:space="preserve">Obligația de a furniza informațiile solicitate în numele întreprinderii sau al asociației de întreprinderi în cauză le revine proprietarilor întreprinderilor sau reprezentanților acestora și, în cazul persoanelor juridice sau al asociațiilor care nu au personalitate juridică, persoanelor autorizate să le reprezinte în temeiul legii sau al statutului. </w:t>
      </w:r>
    </w:p>
    <w:p w14:paraId="602A8D94" w14:textId="44C6015C" w:rsidR="007F0242" w:rsidRPr="00046858" w:rsidRDefault="007F0242" w:rsidP="003A4FB5">
      <w:pPr>
        <w:pStyle w:val="ManualNumPar1"/>
        <w:rPr>
          <w:noProof/>
        </w:rPr>
      </w:pPr>
      <w:r w:rsidRPr="00046858">
        <w:rPr>
          <w:noProof/>
        </w:rPr>
        <w:t>(6)</w:t>
      </w:r>
      <w:r w:rsidRPr="00046858">
        <w:rPr>
          <w:noProof/>
        </w:rPr>
        <w:tab/>
        <w:t>În cazul în care o întreprindere furnizează informații incorecte, incomplete sau înșelătoare ca răspuns la o solicitare adresată în temeiul prezentului articol sau nu furnizează informațiile în termenul stabilit, se expune amenzilor stabilite în conformitate cu articolul 51, cu excepția cazului în care întreprinderea are motive suficiente de a nu furniza informațiile solicitate.</w:t>
      </w:r>
    </w:p>
    <w:p w14:paraId="5B863DFB" w14:textId="2370F66F" w:rsidR="007F0242" w:rsidRPr="00046858" w:rsidRDefault="007F0242" w:rsidP="003A4FB5">
      <w:pPr>
        <w:pStyle w:val="ManualNumPar1"/>
        <w:rPr>
          <w:noProof/>
        </w:rPr>
      </w:pPr>
      <w:r w:rsidRPr="00046858">
        <w:rPr>
          <w:noProof/>
        </w:rPr>
        <w:t>(7)</w:t>
      </w:r>
      <w:r w:rsidRPr="00046858">
        <w:rPr>
          <w:noProof/>
        </w:rPr>
        <w:tab/>
        <w:t xml:space="preserve">În cazul în care o întreprindere din Uniune sau o filială deținută și controlată de întreprinderea respectivă face obiectul unei solicitări de informații din partea unei țări terțe referitoare la activitățile sale în domeniul semiconductorilor, aceasta îi comunică fără întârziere Comisiei informațiile solicitate de țara terță și furnizate acesteia. Comisia informează Consiliul european pentru semiconductori cu privire la existența unei astfel de solicitări din partea unei țări terțe și cu privire la informațiile comunicate de întreprindere. </w:t>
      </w:r>
    </w:p>
    <w:p w14:paraId="4804B082" w14:textId="499C134A" w:rsidR="007F0242" w:rsidRPr="00046858" w:rsidRDefault="007F0242" w:rsidP="007F0242">
      <w:pPr>
        <w:pStyle w:val="Titrearticle"/>
        <w:rPr>
          <w:noProof/>
        </w:rPr>
      </w:pPr>
      <w:r w:rsidRPr="00046858">
        <w:rPr>
          <w:noProof/>
        </w:rPr>
        <w:t xml:space="preserve">Articolul 42 </w:t>
      </w:r>
      <w:r w:rsidRPr="00046858">
        <w:rPr>
          <w:noProof/>
        </w:rPr>
        <w:cr/>
      </w:r>
      <w:r w:rsidRPr="00046858">
        <w:rPr>
          <w:noProof/>
        </w:rPr>
        <w:br/>
        <w:t>Comenzi prioritare</w:t>
      </w:r>
    </w:p>
    <w:p w14:paraId="76F43B66" w14:textId="1D7260CB" w:rsidR="007F0242" w:rsidRPr="00046858" w:rsidRDefault="007F0242" w:rsidP="006164B0">
      <w:pPr>
        <w:pStyle w:val="ManualNumPar1"/>
        <w:rPr>
          <w:noProof/>
        </w:rPr>
      </w:pPr>
      <w:r w:rsidRPr="00046858">
        <w:rPr>
          <w:noProof/>
        </w:rPr>
        <w:t>(1)</w:t>
      </w:r>
      <w:r w:rsidRPr="00046858">
        <w:rPr>
          <w:noProof/>
        </w:rPr>
        <w:tab/>
        <w:t>În cazul în care stadiul de criză este declanșat în temeiul articolului 39, Comisia le poate solicita inițiativelor europene în domeniul tehnologiilor semiconductorilor și proiectelor strategice să accepte o comandă de produse necesare în situații de criză („comanda prioritară”) și să-i acorde prioritate. O astfel de obligație are prioritate față de orice obligație de executare prevăzută de dreptul privat sau public.</w:t>
      </w:r>
    </w:p>
    <w:p w14:paraId="12979F89" w14:textId="32DE7956" w:rsidR="007F0242" w:rsidRPr="00046858" w:rsidRDefault="007F0242" w:rsidP="003A4FB5">
      <w:pPr>
        <w:pStyle w:val="ManualNumPar1"/>
        <w:rPr>
          <w:noProof/>
        </w:rPr>
      </w:pPr>
      <w:r w:rsidRPr="00046858">
        <w:rPr>
          <w:noProof/>
        </w:rPr>
        <w:t>(2)</w:t>
      </w:r>
      <w:r w:rsidRPr="00046858">
        <w:rPr>
          <w:noProof/>
        </w:rPr>
        <w:tab/>
        <w:t xml:space="preserve">După caz, obligația prevăzută la alineatul (1) poate fi impusă și altor întreprinderi din domeniul semiconductorilor care au acceptat această posibilitate în contextul primirii de sprijin public. </w:t>
      </w:r>
    </w:p>
    <w:p w14:paraId="5DCFF866" w14:textId="1992501C" w:rsidR="007F0242" w:rsidRPr="00046858" w:rsidRDefault="007F0242" w:rsidP="003A4FB5">
      <w:pPr>
        <w:pStyle w:val="ManualNumPar1"/>
        <w:rPr>
          <w:noProof/>
        </w:rPr>
      </w:pPr>
      <w:r w:rsidRPr="00046858">
        <w:rPr>
          <w:noProof/>
        </w:rPr>
        <w:t>(3)</w:t>
      </w:r>
      <w:r w:rsidRPr="00046858">
        <w:rPr>
          <w:noProof/>
        </w:rPr>
        <w:tab/>
        <w:t xml:space="preserve">În cazul în care o întreprindere din domeniul semiconductorilor stabilită în Uniune face obiectul unei măsuri de comandă prioritară dintr-o țară terță, aceasta informează Comisia. În cazul în care această obligație are un impact semnificativ asupra funcționării anumitor sectoare critice, Comisia îi poate solicita întreprinderii respective, dacă este necesar și proporțional, să accepte comenzi de produse necesare în situații de criză și să le acorde prioritate în conformitate cu alineatele (5), (6) și (7). </w:t>
      </w:r>
    </w:p>
    <w:p w14:paraId="0E7952A6" w14:textId="11D59BEC" w:rsidR="007F0242" w:rsidRPr="00046858" w:rsidRDefault="007F0242" w:rsidP="003A4FB5">
      <w:pPr>
        <w:pStyle w:val="ManualNumPar1"/>
        <w:rPr>
          <w:noProof/>
        </w:rPr>
      </w:pPr>
      <w:r w:rsidRPr="00046858">
        <w:rPr>
          <w:noProof/>
        </w:rPr>
        <w:lastRenderedPageBreak/>
        <w:t>(4)</w:t>
      </w:r>
      <w:r w:rsidRPr="00046858">
        <w:rPr>
          <w:noProof/>
        </w:rPr>
        <w:tab/>
        <w:t>Comenzile prioritare sunt limitate la beneficiarii care sunt utilizatori de semiconductori din sectoare critice sau întreprinderi care aprovizionează sectoare critice, ale căror activități sunt perturbate sau expuse riscului de perturbare și care, după ce au pus în aplicare măsuri adecvate de atenuare a riscurilor, nu au fost în măsură să evite și să atenueze impactul penuriei. Comisia îi poate solicita unui beneficiar să prezinte dovezi corespunzătoare în acest sens.</w:t>
      </w:r>
    </w:p>
    <w:p w14:paraId="5F646BDE" w14:textId="01DA2A0E" w:rsidR="007F0242" w:rsidRPr="00046858" w:rsidRDefault="007F0242" w:rsidP="003A4FB5">
      <w:pPr>
        <w:pStyle w:val="ManualNumPar1"/>
        <w:rPr>
          <w:noProof/>
        </w:rPr>
      </w:pPr>
      <w:r w:rsidRPr="00046858">
        <w:rPr>
          <w:noProof/>
        </w:rPr>
        <w:t>(5)</w:t>
      </w:r>
      <w:r w:rsidRPr="00046858">
        <w:rPr>
          <w:noProof/>
        </w:rPr>
        <w:tab/>
        <w:t xml:space="preserve">Comisia impune ca măsură de ultimă instanță obligațiile prevăzute la alineatele (1), (2) și (3) de la prezentul articol prin intermediul unei decizii. Comisia adoptă decizia respectivă după consultarea Consiliului european pentru semiconductori și în conformitate cu toate obligațiile juridice aplicabile ale Uniunii, având în vedere circumstanțele cazului, inclusiv în conformitate cu principiile necesității și proporționalității. Decizia ține seama, în special, de obiectivele legitime ale întreprinderii în cauză, precum și de costurile, eforturile și adaptările tehnice necesare pentru orice modificare a secvenței de producție. În decizia sa, Comisia precizează temeiul juridic al comenzii prioritare, stabilește termenul în care trebuie să se execute comanda și, dacă este cazul, precizează produsul și cantitatea și, după caz, stabilește sancțiunile prevăzute la articolul 51 în caz de nerespectare a unei astfel de obligații. Comanda prioritară se efectuează la un preț echitabil și rezonabil. </w:t>
      </w:r>
    </w:p>
    <w:p w14:paraId="2A8AFB04" w14:textId="0E6E7B98" w:rsidR="007F0242" w:rsidRPr="00046858" w:rsidRDefault="007F0242" w:rsidP="003A4FB5">
      <w:pPr>
        <w:pStyle w:val="ManualNumPar1"/>
        <w:rPr>
          <w:noProof/>
        </w:rPr>
      </w:pPr>
      <w:r w:rsidRPr="00046858">
        <w:rPr>
          <w:noProof/>
        </w:rPr>
        <w:t>(6)</w:t>
      </w:r>
      <w:r w:rsidRPr="00046858">
        <w:rPr>
          <w:noProof/>
        </w:rPr>
        <w:tab/>
        <w:t>Înainte de a emite comenzi prioritare în conformitate cu alineatul (1), Comisia îi acordă destinatarului comenzii prioritare în cauză posibilitatea de a fi ascultat în legătură cu fezabilitatea și cu detaliile comenzii prioritare. Comisia nu emite comenzile prioritare atunci când:</w:t>
      </w:r>
    </w:p>
    <w:p w14:paraId="30CC9A5A" w14:textId="77777777" w:rsidR="007F0242" w:rsidRPr="00046858" w:rsidRDefault="007F0242" w:rsidP="000006E4">
      <w:pPr>
        <w:pStyle w:val="Point1"/>
        <w:rPr>
          <w:noProof/>
        </w:rPr>
      </w:pPr>
      <w:r w:rsidRPr="00046858">
        <w:rPr>
          <w:noProof/>
        </w:rPr>
        <w:t>(a)</w:t>
      </w:r>
      <w:r w:rsidRPr="00046858">
        <w:rPr>
          <w:noProof/>
        </w:rPr>
        <w:tab/>
        <w:t>întreprinderea nu este în măsură să execute comanda prioritară deoarece capabilitatea de producție sau capacitatea de producție este insuficientă sau din motive tehnice, chiar și în cadrul tratamentului preferențial al comenzii;</w:t>
      </w:r>
    </w:p>
    <w:p w14:paraId="344A36A1" w14:textId="77777777" w:rsidR="007F0242" w:rsidRPr="00046858" w:rsidRDefault="007F0242" w:rsidP="000006E4">
      <w:pPr>
        <w:pStyle w:val="Point1"/>
        <w:rPr>
          <w:noProof/>
        </w:rPr>
      </w:pPr>
      <w:r w:rsidRPr="00046858">
        <w:rPr>
          <w:noProof/>
        </w:rPr>
        <w:t>(b)</w:t>
      </w:r>
      <w:r w:rsidRPr="00046858">
        <w:rPr>
          <w:noProof/>
        </w:rPr>
        <w:tab/>
        <w:t xml:space="preserve">acceptarea comenzii ar impune o sarcină economică excesivă și ar crea dificultăți deosebite pentru întreprindere, inclusiv riscuri considerabile legate de continuitatea activității. </w:t>
      </w:r>
    </w:p>
    <w:p w14:paraId="1E1E805A" w14:textId="429A1D86" w:rsidR="007F0242" w:rsidRPr="00046858" w:rsidRDefault="007F0242" w:rsidP="003A4FB5">
      <w:pPr>
        <w:pStyle w:val="ManualNumPar1"/>
        <w:rPr>
          <w:noProof/>
        </w:rPr>
      </w:pPr>
      <w:r w:rsidRPr="00046858">
        <w:rPr>
          <w:noProof/>
        </w:rPr>
        <w:t>(7)</w:t>
      </w:r>
      <w:r w:rsidRPr="00046858">
        <w:rPr>
          <w:noProof/>
        </w:rPr>
        <w:tab/>
        <w:t>În cazul în care unei întreprinderi i se solicită să accepte o comandă prioritară și să îi acorde prioritate, respectiva întreprindere nu este răspunzătoare pentru o eventuală încălcare a obligațiilor contractuale care este necesară pentru onorarea comenzilor prioritare. Răspunderea contractuală este exclusă numai în măsura în care încălcarea obligațiilor contractuale a fost necesară pentru respectarea priorității impuse.</w:t>
      </w:r>
    </w:p>
    <w:p w14:paraId="132EC993" w14:textId="6F426284" w:rsidR="007F0242" w:rsidRPr="00046858" w:rsidRDefault="007F0242" w:rsidP="003A4FB5">
      <w:pPr>
        <w:pStyle w:val="ManualNumPar1"/>
        <w:rPr>
          <w:noProof/>
        </w:rPr>
      </w:pPr>
      <w:r w:rsidRPr="00046858">
        <w:rPr>
          <w:noProof/>
        </w:rPr>
        <w:t>(8)</w:t>
      </w:r>
      <w:r w:rsidRPr="00046858">
        <w:rPr>
          <w:noProof/>
        </w:rPr>
        <w:tab/>
        <w:t xml:space="preserve">Comisia adoptă un act de punere în aplicare prin care se stabilesc modalitățile practice și operaționale pentru comenzile prioritare. Respectivul act de punere în aplicare se adoptă în conformitate cu procedura de examinare menționată la articolul 55 alineatul (6). </w:t>
      </w:r>
    </w:p>
    <w:p w14:paraId="04F7CDD2" w14:textId="2C101966" w:rsidR="007F0242" w:rsidRPr="00046858" w:rsidRDefault="007F0242" w:rsidP="007F0242">
      <w:pPr>
        <w:pStyle w:val="Titrearticle"/>
        <w:rPr>
          <w:noProof/>
        </w:rPr>
      </w:pPr>
      <w:r w:rsidRPr="00046858">
        <w:rPr>
          <w:noProof/>
        </w:rPr>
        <w:t xml:space="preserve">Articolul 43 </w:t>
      </w:r>
      <w:r w:rsidRPr="00046858">
        <w:rPr>
          <w:noProof/>
        </w:rPr>
        <w:cr/>
      </w:r>
      <w:r w:rsidRPr="00046858">
        <w:rPr>
          <w:noProof/>
        </w:rPr>
        <w:br/>
        <w:t>Achiziții comune</w:t>
      </w:r>
    </w:p>
    <w:p w14:paraId="319F945B" w14:textId="2A80F070" w:rsidR="007F0242" w:rsidRPr="00046858" w:rsidRDefault="007F0242" w:rsidP="006164B0">
      <w:pPr>
        <w:pStyle w:val="ManualNumPar1"/>
        <w:rPr>
          <w:noProof/>
        </w:rPr>
      </w:pPr>
      <w:r w:rsidRPr="00046858">
        <w:rPr>
          <w:noProof/>
        </w:rPr>
        <w:t>(1)</w:t>
      </w:r>
      <w:r w:rsidRPr="00046858">
        <w:rPr>
          <w:noProof/>
        </w:rPr>
        <w:tab/>
        <w:t xml:space="preserve">În cazul în care este declanșat stadiul de criză în temeiul articolului 39, Comisia poate, la cererea unuia sau mai multor state membre, să acționeze drept organism central de achiziție în numele tuturor statelor membre care doresc să participe („statele membre participante”) pentru achizițiile lor publice de produse necesare în situații de criză destinate sectoarelor critice („achiziții comune”). Participarea la achiziții comune nu aduce atingere altor proceduri de achiziții publice. Cererea de </w:t>
      </w:r>
      <w:r w:rsidRPr="00046858">
        <w:rPr>
          <w:noProof/>
        </w:rPr>
        <w:lastRenderedPageBreak/>
        <w:t>achiziție comună prezintă motivele pe care se bazează și este utilizată exclusiv pentru a elimina perturbările lanțului de aprovizionare cu semiconductori care conduc la criză.</w:t>
      </w:r>
    </w:p>
    <w:p w14:paraId="520B4132" w14:textId="113BE100" w:rsidR="007F0242" w:rsidRPr="00046858" w:rsidRDefault="007F0242" w:rsidP="003A4FB5">
      <w:pPr>
        <w:pStyle w:val="ManualNumPar1"/>
        <w:rPr>
          <w:noProof/>
        </w:rPr>
      </w:pPr>
      <w:r w:rsidRPr="00046858">
        <w:rPr>
          <w:noProof/>
        </w:rPr>
        <w:t>(2)</w:t>
      </w:r>
      <w:r w:rsidRPr="00046858">
        <w:rPr>
          <w:noProof/>
        </w:rPr>
        <w:tab/>
        <w:t xml:space="preserve">Comisia evaluează utilitatea, necesitatea și proporționalitatea cererii, ținând seama de opiniile Consiliului european pentru semiconductori. În cazul în care Comisia intenționează să nu dea curs cererii, aceasta informează statele membre în cauză și Consiliul european pentru semiconductori și își motivează refuzul. </w:t>
      </w:r>
    </w:p>
    <w:p w14:paraId="14D108B6" w14:textId="679D1507" w:rsidR="007F0242" w:rsidRPr="00046858" w:rsidRDefault="007F0242" w:rsidP="003A4FB5">
      <w:pPr>
        <w:pStyle w:val="ManualNumPar1"/>
        <w:rPr>
          <w:noProof/>
        </w:rPr>
      </w:pPr>
      <w:r w:rsidRPr="00046858">
        <w:rPr>
          <w:noProof/>
        </w:rPr>
        <w:t>(3)</w:t>
      </w:r>
      <w:r w:rsidRPr="00046858">
        <w:rPr>
          <w:noProof/>
        </w:rPr>
        <w:tab/>
        <w:t>Comisia elaborează o propunere de acord supus spre semnare statelor membre participante. Un astfel de acord prevede măsuri detaliate privind organizarea achizițiilor comune menționate la alineatul (1), inclusiv motivele recurgerii la mecanismul de achiziții comune și responsabilitățile care urmează a fi asumate, și stabilește mandatul Comisiei de a acționa în numele statelor membre participante.</w:t>
      </w:r>
    </w:p>
    <w:p w14:paraId="3247F706" w14:textId="5EA00D92" w:rsidR="007F0242" w:rsidRPr="00046858" w:rsidRDefault="007F0242" w:rsidP="003A4FB5">
      <w:pPr>
        <w:pStyle w:val="ManualNumPar1"/>
        <w:rPr>
          <w:noProof/>
        </w:rPr>
      </w:pPr>
      <w:r w:rsidRPr="00046858">
        <w:rPr>
          <w:noProof/>
        </w:rPr>
        <w:t>(4)</w:t>
      </w:r>
      <w:r w:rsidRPr="00046858">
        <w:rPr>
          <w:noProof/>
        </w:rPr>
        <w:tab/>
        <w:t xml:space="preserve">Achizițiile prevăzute în prezentul regulament sunt efectuate de Comisie în conformitate cu normele stabilite în Regulamentul (UE, Euratom) 2024/2509 pentru propriile sale achiziții publice. Comisia poate avea capacitatea și responsabilitatea de a încheia, în numele tuturor statelor membre participante, contracte cu operatori economici, inclusiv cu producători individuali de produse necesare în situații de criză, privind achiziționarea acestor produse sau privind finanțarea producției sau a dezvoltării acestor produse în schimbul unui drept de prioritate asupra rezultatului. </w:t>
      </w:r>
    </w:p>
    <w:p w14:paraId="0DDC70E8" w14:textId="40E03822" w:rsidR="007F0242" w:rsidRPr="00046858" w:rsidRDefault="007F0242" w:rsidP="003A4FB5">
      <w:pPr>
        <w:pStyle w:val="ManualNumPar1"/>
        <w:rPr>
          <w:noProof/>
        </w:rPr>
      </w:pPr>
      <w:r w:rsidRPr="00046858">
        <w:rPr>
          <w:noProof/>
        </w:rPr>
        <w:t>(5)</w:t>
      </w:r>
      <w:r w:rsidRPr="00046858">
        <w:rPr>
          <w:noProof/>
        </w:rPr>
        <w:tab/>
        <w:t xml:space="preserve">În cazul în care achiziția de produse necesare în situații de criză include finanțare de la bugetul Uniunii, se pot stabili condiții specifice în cadrul unor acorduri specifice cu operatorii economici. </w:t>
      </w:r>
    </w:p>
    <w:p w14:paraId="5CE431F2" w14:textId="7F39F255" w:rsidR="007F0242" w:rsidRPr="00046858" w:rsidRDefault="007F0242" w:rsidP="003A4FB5">
      <w:pPr>
        <w:pStyle w:val="ManualNumPar1"/>
        <w:rPr>
          <w:noProof/>
        </w:rPr>
      </w:pPr>
      <w:r w:rsidRPr="00046858">
        <w:rPr>
          <w:noProof/>
        </w:rPr>
        <w:t>(6)</w:t>
      </w:r>
      <w:r w:rsidRPr="00046858">
        <w:rPr>
          <w:noProof/>
        </w:rPr>
        <w:tab/>
        <w:t xml:space="preserve">Comisia desfășoară procedurile de achiziție și încheie contractele cu operatorii economici în numele statelor membre participante. Comisia invită statele membre participante să numească reprezentanți însărcinați să participe la pregătirea procedurilor de achiziție. Punerea la dispoziție, utilizarea sau revânzarea produselor achiziționate țin în continuare de responsabilitatea statelor membre participante, în conformitate cu acordul menționat la alineatul (3). </w:t>
      </w:r>
    </w:p>
    <w:p w14:paraId="395CFD90" w14:textId="4128FFD2" w:rsidR="007F0242" w:rsidRPr="00046858" w:rsidRDefault="007F0242" w:rsidP="003A4FB5">
      <w:pPr>
        <w:pStyle w:val="ManualNumPar1"/>
        <w:rPr>
          <w:noProof/>
        </w:rPr>
      </w:pPr>
      <w:r w:rsidRPr="00046858">
        <w:rPr>
          <w:noProof/>
        </w:rPr>
        <w:t>(7)</w:t>
      </w:r>
      <w:r w:rsidRPr="00046858">
        <w:rPr>
          <w:noProof/>
        </w:rPr>
        <w:tab/>
        <w:t xml:space="preserve">Desfășurarea achizițiilor comune în temeiul prezentului articol nu aduce atingere altor instrumente prevăzute în Regulamentul (UE, Euratom) 2024/2509. </w:t>
      </w:r>
    </w:p>
    <w:p w14:paraId="3F783F53" w14:textId="77777777" w:rsidR="007F0242" w:rsidRPr="00046858" w:rsidRDefault="007F0242" w:rsidP="007F0242">
      <w:pPr>
        <w:pStyle w:val="Text1"/>
        <w:rPr>
          <w:noProof/>
        </w:rPr>
      </w:pPr>
    </w:p>
    <w:p w14:paraId="03222DF8" w14:textId="77777777" w:rsidR="007F0242" w:rsidRPr="00046858" w:rsidRDefault="007F0242" w:rsidP="007F0242">
      <w:pPr>
        <w:pStyle w:val="ChapterTitle"/>
        <w:rPr>
          <w:noProof/>
        </w:rPr>
      </w:pPr>
      <w:r w:rsidRPr="00046858">
        <w:rPr>
          <w:noProof/>
        </w:rPr>
        <w:t>CAPITOLUL V</w:t>
      </w:r>
    </w:p>
    <w:p w14:paraId="514A3C43" w14:textId="77777777" w:rsidR="007F0242" w:rsidRPr="00046858" w:rsidRDefault="007F0242" w:rsidP="007F0242">
      <w:pPr>
        <w:pStyle w:val="ChapterTitle"/>
        <w:rPr>
          <w:noProof/>
        </w:rPr>
      </w:pPr>
      <w:r w:rsidRPr="00046858">
        <w:rPr>
          <w:noProof/>
        </w:rPr>
        <w:t>Guvernanța</w:t>
      </w:r>
    </w:p>
    <w:p w14:paraId="27F6C6E3" w14:textId="77777777" w:rsidR="007F0242" w:rsidRPr="00046858" w:rsidRDefault="007F0242" w:rsidP="007F0242">
      <w:pPr>
        <w:pStyle w:val="SectionTitle"/>
        <w:rPr>
          <w:noProof/>
        </w:rPr>
      </w:pPr>
      <w:r w:rsidRPr="00046858">
        <w:rPr>
          <w:noProof/>
        </w:rPr>
        <w:t>Secțiunea 1</w:t>
      </w:r>
    </w:p>
    <w:p w14:paraId="4138B633" w14:textId="77777777" w:rsidR="007F0242" w:rsidRPr="00046858" w:rsidRDefault="007F0242" w:rsidP="007F0242">
      <w:pPr>
        <w:pStyle w:val="SectionTitle"/>
        <w:rPr>
          <w:noProof/>
        </w:rPr>
      </w:pPr>
      <w:r w:rsidRPr="00046858">
        <w:rPr>
          <w:noProof/>
        </w:rPr>
        <w:t>Consiliul european pentru semiconductori</w:t>
      </w:r>
    </w:p>
    <w:p w14:paraId="37B2A429" w14:textId="2A860E48" w:rsidR="007F0242" w:rsidRPr="00046858" w:rsidRDefault="007F0242" w:rsidP="007F0242">
      <w:pPr>
        <w:pStyle w:val="Titrearticle"/>
        <w:rPr>
          <w:noProof/>
        </w:rPr>
      </w:pPr>
      <w:r w:rsidRPr="00046858">
        <w:rPr>
          <w:noProof/>
        </w:rPr>
        <w:t xml:space="preserve">Articolul 44 </w:t>
      </w:r>
      <w:r w:rsidRPr="00046858">
        <w:rPr>
          <w:noProof/>
        </w:rPr>
        <w:cr/>
      </w:r>
      <w:r w:rsidRPr="00046858">
        <w:rPr>
          <w:noProof/>
        </w:rPr>
        <w:br/>
        <w:t>Sarcinile Consiliului european pentru semiconductori</w:t>
      </w:r>
    </w:p>
    <w:p w14:paraId="5B50865E" w14:textId="55C34DCD" w:rsidR="002646EF" w:rsidRPr="00046858" w:rsidRDefault="002646EF" w:rsidP="006164B0">
      <w:pPr>
        <w:pStyle w:val="ManualNumPar1"/>
        <w:rPr>
          <w:noProof/>
        </w:rPr>
      </w:pPr>
      <w:r w:rsidRPr="00046858">
        <w:rPr>
          <w:noProof/>
        </w:rPr>
        <w:t>(1)</w:t>
      </w:r>
      <w:r w:rsidRPr="00046858">
        <w:rPr>
          <w:noProof/>
        </w:rPr>
        <w:tab/>
        <w:t>Consiliul european pentru semiconductori asistă Comisia în chestiuni legate de politica Uniunii privind semiconductorii, în special prin:</w:t>
      </w:r>
    </w:p>
    <w:p w14:paraId="3B3FBD4F" w14:textId="77777777" w:rsidR="002646EF" w:rsidRPr="00046858" w:rsidRDefault="002646EF" w:rsidP="000006E4">
      <w:pPr>
        <w:pStyle w:val="Point1"/>
        <w:rPr>
          <w:noProof/>
        </w:rPr>
      </w:pPr>
      <w:r w:rsidRPr="00046858">
        <w:rPr>
          <w:noProof/>
        </w:rPr>
        <w:lastRenderedPageBreak/>
        <w:t>(a)</w:t>
      </w:r>
      <w:r w:rsidRPr="00046858">
        <w:rPr>
          <w:noProof/>
        </w:rPr>
        <w:tab/>
        <w:t>oferirea de consiliere cu privire la inițiativa „Cipuri pentru Europa” 2.0 Consiliului autorităților publice al întreprinderii comune pentru cipuri;</w:t>
      </w:r>
    </w:p>
    <w:p w14:paraId="174E4E87" w14:textId="77777777" w:rsidR="002646EF" w:rsidRPr="00046858" w:rsidRDefault="002646EF" w:rsidP="000006E4">
      <w:pPr>
        <w:pStyle w:val="Point1"/>
        <w:rPr>
          <w:noProof/>
        </w:rPr>
      </w:pPr>
      <w:r w:rsidRPr="00046858">
        <w:rPr>
          <w:noProof/>
        </w:rPr>
        <w:t>(b)</w:t>
      </w:r>
      <w:r w:rsidRPr="00046858">
        <w:rPr>
          <w:noProof/>
        </w:rPr>
        <w:tab/>
        <w:t>oferirea de consiliere Comisiei cu privire la domeniile tehnologice strategice din cadrul lanțului valoric al semiconductorilor;</w:t>
      </w:r>
    </w:p>
    <w:p w14:paraId="322747D1" w14:textId="77777777" w:rsidR="009E7F5C" w:rsidRPr="00046858" w:rsidRDefault="00210017" w:rsidP="000006E4">
      <w:pPr>
        <w:pStyle w:val="Point1"/>
        <w:rPr>
          <w:noProof/>
        </w:rPr>
      </w:pPr>
      <w:r w:rsidRPr="00046858">
        <w:rPr>
          <w:noProof/>
        </w:rPr>
        <w:t>(c)</w:t>
      </w:r>
      <w:r w:rsidRPr="00046858">
        <w:rPr>
          <w:noProof/>
        </w:rPr>
        <w:tab/>
        <w:t>oferirea de consiliere Comisiei în ceea ce privește evaluarea cererilor aferente inițiativelor europene în domeniul tehnologiilor semiconductorilor și proiectelor strategice;</w:t>
      </w:r>
    </w:p>
    <w:p w14:paraId="27FAEE4D" w14:textId="78560F0C" w:rsidR="00463B40" w:rsidRPr="00046858" w:rsidRDefault="00463B40" w:rsidP="000006E4">
      <w:pPr>
        <w:pStyle w:val="Point1"/>
        <w:rPr>
          <w:noProof/>
        </w:rPr>
      </w:pPr>
      <w:r w:rsidRPr="00046858">
        <w:rPr>
          <w:noProof/>
        </w:rPr>
        <w:t>(d)</w:t>
      </w:r>
      <w:r w:rsidRPr="00046858">
        <w:rPr>
          <w:noProof/>
        </w:rPr>
        <w:tab/>
        <w:t>angajarea într-un dialog structurat cu comitetul director al Alianței industriale pentru semiconductori în vederea definirii unei strategii comune privind semiconductorii;</w:t>
      </w:r>
    </w:p>
    <w:p w14:paraId="6094BD7D" w14:textId="77777777" w:rsidR="002646EF" w:rsidRPr="00046858" w:rsidRDefault="002646EF" w:rsidP="000006E4">
      <w:pPr>
        <w:pStyle w:val="Point1"/>
        <w:rPr>
          <w:noProof/>
        </w:rPr>
      </w:pPr>
      <w:r w:rsidRPr="00046858">
        <w:rPr>
          <w:noProof/>
        </w:rPr>
        <w:t>(e)</w:t>
      </w:r>
      <w:r w:rsidRPr="00046858">
        <w:rPr>
          <w:noProof/>
        </w:rPr>
        <w:tab/>
        <w:t>schimbul de opinii cu Comisia cu privire la progresele înregistrate în punerea în aplicare a planurilor de investiții ale regiunilor de excelență în domeniul semiconductorilor;</w:t>
      </w:r>
    </w:p>
    <w:p w14:paraId="4536431F" w14:textId="77777777" w:rsidR="002646EF" w:rsidRPr="00046858" w:rsidRDefault="002646EF" w:rsidP="000006E4">
      <w:pPr>
        <w:pStyle w:val="Point1"/>
        <w:rPr>
          <w:noProof/>
        </w:rPr>
      </w:pPr>
      <w:r w:rsidRPr="00046858">
        <w:rPr>
          <w:noProof/>
        </w:rPr>
        <w:t>(f)</w:t>
      </w:r>
      <w:r w:rsidRPr="00046858">
        <w:rPr>
          <w:noProof/>
        </w:rPr>
        <w:tab/>
        <w:t>schimbul de opinii cu Comisia cu privire la cele mai bune modalități de a garanta, în conformitate cu dreptul Uniunii și dreptul intern, asigurarea respectării și protecția eficace a drepturilor de proprietate intelectuală, a informațiilor confidențiale și a secretelor comerciale, cu implicarea corespunzătoare a părților interesate, în ceea ce privește sectorul semiconductorilor;</w:t>
      </w:r>
    </w:p>
    <w:p w14:paraId="4DB9C684" w14:textId="77777777" w:rsidR="002646EF" w:rsidRPr="00046858" w:rsidRDefault="002646EF" w:rsidP="000006E4">
      <w:pPr>
        <w:pStyle w:val="Point1"/>
        <w:rPr>
          <w:noProof/>
        </w:rPr>
      </w:pPr>
      <w:r w:rsidRPr="00046858">
        <w:rPr>
          <w:noProof/>
        </w:rPr>
        <w:t>(g)</w:t>
      </w:r>
      <w:r w:rsidRPr="00046858">
        <w:rPr>
          <w:noProof/>
        </w:rPr>
        <w:tab/>
        <w:t>desfășurarea de discuții și preparative pentru identificarea sectoarelor și a tehnologiilor specifice care au un impact potențial social sau asupra mediului ridicat ori prezintă o importanță deosebită pentru securitate și, în consecință, au nevoie de certificare drept produse verzi, fiabile și sigure;</w:t>
      </w:r>
    </w:p>
    <w:p w14:paraId="6B019004" w14:textId="77777777" w:rsidR="002646EF" w:rsidRPr="00046858" w:rsidRDefault="002646EF" w:rsidP="000006E4">
      <w:pPr>
        <w:pStyle w:val="Point1"/>
        <w:rPr>
          <w:noProof/>
        </w:rPr>
      </w:pPr>
      <w:r w:rsidRPr="00046858">
        <w:rPr>
          <w:noProof/>
        </w:rPr>
        <w:t>(h)</w:t>
      </w:r>
      <w:r w:rsidRPr="00046858">
        <w:rPr>
          <w:noProof/>
        </w:rPr>
        <w:tab/>
        <w:t>abordarea aspectelor legate de cartografierea strategică, de monitorizare, de avertizare și acțiuni preventive și de răspunsul în situațiile de criză;</w:t>
      </w:r>
    </w:p>
    <w:p w14:paraId="35FED008" w14:textId="4E6B5A17" w:rsidR="002646EF" w:rsidRPr="00046858" w:rsidRDefault="002646EF" w:rsidP="000006E4">
      <w:pPr>
        <w:pStyle w:val="Point1"/>
        <w:rPr>
          <w:noProof/>
        </w:rPr>
      </w:pPr>
      <w:r w:rsidRPr="00046858">
        <w:rPr>
          <w:noProof/>
        </w:rPr>
        <w:t>(i)</w:t>
      </w:r>
      <w:r w:rsidRPr="00046858">
        <w:rPr>
          <w:noProof/>
        </w:rPr>
        <w:tab/>
        <w:t>consilierea cu privire la instrumentele aferente stadiului de criză prevăzute la articolele 40-43;</w:t>
      </w:r>
    </w:p>
    <w:p w14:paraId="0B7F9003" w14:textId="77777777" w:rsidR="002646EF" w:rsidRPr="00046858" w:rsidRDefault="002646EF" w:rsidP="000006E4">
      <w:pPr>
        <w:pStyle w:val="Point1"/>
        <w:rPr>
          <w:noProof/>
        </w:rPr>
      </w:pPr>
      <w:r w:rsidRPr="00046858">
        <w:rPr>
          <w:noProof/>
        </w:rPr>
        <w:t>(j)</w:t>
      </w:r>
      <w:r w:rsidRPr="00046858">
        <w:rPr>
          <w:noProof/>
        </w:rPr>
        <w:tab/>
        <w:t>furnizarea de consiliere și recomandări cu privire la punerea în aplicare coerentă a prezentului regulament, facilitarea cooperării dintre statele membre și a schimbului de informații cu privire la aspecte legate de prezentul regulament.</w:t>
      </w:r>
    </w:p>
    <w:p w14:paraId="37C4730B" w14:textId="77777777" w:rsidR="002646EF" w:rsidRPr="00046858" w:rsidRDefault="002646EF" w:rsidP="000006E4">
      <w:pPr>
        <w:pStyle w:val="Point1"/>
        <w:rPr>
          <w:noProof/>
        </w:rPr>
      </w:pPr>
      <w:r w:rsidRPr="00046858">
        <w:rPr>
          <w:noProof/>
        </w:rPr>
        <w:t>(k)</w:t>
      </w:r>
      <w:r w:rsidRPr="00046858">
        <w:rPr>
          <w:noProof/>
        </w:rPr>
        <w:tab/>
        <w:t>consilierea Comisiei cu privire la aspecte legate de cooperarea internațională în domeniul semiconductorilor.</w:t>
      </w:r>
    </w:p>
    <w:p w14:paraId="067E506E" w14:textId="0F972FD4" w:rsidR="002646EF" w:rsidRPr="00046858" w:rsidRDefault="002646EF" w:rsidP="003A4FB5">
      <w:pPr>
        <w:pStyle w:val="ManualNumPar1"/>
        <w:rPr>
          <w:noProof/>
        </w:rPr>
      </w:pPr>
      <w:r w:rsidRPr="00046858">
        <w:rPr>
          <w:noProof/>
        </w:rPr>
        <w:t>(2)</w:t>
      </w:r>
      <w:r w:rsidRPr="00046858">
        <w:rPr>
          <w:noProof/>
        </w:rPr>
        <w:tab/>
        <w:t>Consiliul consiliază și informează Comisia cu privire la prioritățile statelor membre în sectorul semiconductorilor, în special prin furnizarea periodică de informații actualizate cu privire la:</w:t>
      </w:r>
    </w:p>
    <w:p w14:paraId="36E040DC" w14:textId="77777777" w:rsidR="002646EF" w:rsidRPr="00046858" w:rsidRDefault="002646EF" w:rsidP="000006E4">
      <w:pPr>
        <w:pStyle w:val="Point1"/>
        <w:rPr>
          <w:noProof/>
        </w:rPr>
      </w:pPr>
      <w:r w:rsidRPr="00046858">
        <w:rPr>
          <w:noProof/>
        </w:rPr>
        <w:t>(a)</w:t>
      </w:r>
      <w:r w:rsidRPr="00046858">
        <w:rPr>
          <w:noProof/>
        </w:rPr>
        <w:tab/>
        <w:t>politicile lor naționale privind semiconductorii;</w:t>
      </w:r>
    </w:p>
    <w:p w14:paraId="54251AE7" w14:textId="77777777" w:rsidR="002646EF" w:rsidRPr="00046858" w:rsidRDefault="002646EF" w:rsidP="000006E4">
      <w:pPr>
        <w:pStyle w:val="Point1"/>
        <w:rPr>
          <w:noProof/>
        </w:rPr>
      </w:pPr>
      <w:r w:rsidRPr="00046858">
        <w:rPr>
          <w:noProof/>
        </w:rPr>
        <w:t>(b)</w:t>
      </w:r>
      <w:r w:rsidRPr="00046858">
        <w:rPr>
          <w:noProof/>
        </w:rPr>
        <w:tab/>
        <w:t>investițiile publice și private relevante pe teritoriul statului membru pe care îl reprezintă;</w:t>
      </w:r>
    </w:p>
    <w:p w14:paraId="2E85E7BC" w14:textId="77777777" w:rsidR="002646EF" w:rsidRPr="00046858" w:rsidRDefault="002646EF" w:rsidP="000006E4">
      <w:pPr>
        <w:pStyle w:val="Point1"/>
        <w:rPr>
          <w:noProof/>
        </w:rPr>
      </w:pPr>
      <w:r w:rsidRPr="00046858">
        <w:rPr>
          <w:noProof/>
        </w:rPr>
        <w:t>(c)</w:t>
      </w:r>
      <w:r w:rsidRPr="00046858">
        <w:rPr>
          <w:noProof/>
        </w:rPr>
        <w:tab/>
        <w:t>angajamentele internaționale, inclusiv în domeniul cercetării, al dezvoltării și al inovării și programele de schimb de competențe cu țări terțe.</w:t>
      </w:r>
    </w:p>
    <w:p w14:paraId="6217ECA3" w14:textId="3D5CA342" w:rsidR="002646EF" w:rsidRPr="00046858" w:rsidRDefault="002646EF" w:rsidP="003A4FB5">
      <w:pPr>
        <w:pStyle w:val="ManualNumPar1"/>
        <w:rPr>
          <w:noProof/>
        </w:rPr>
      </w:pPr>
      <w:r w:rsidRPr="00046858">
        <w:rPr>
          <w:noProof/>
        </w:rPr>
        <w:t>(3)</w:t>
      </w:r>
      <w:r w:rsidRPr="00046858">
        <w:rPr>
          <w:noProof/>
        </w:rPr>
        <w:tab/>
        <w:t>Consiliul european pentru semiconductori asigură coordonarea, cooperarea și schimbul de informații, după caz, cu structurile relevante de răspuns în situații de criză și de pregătire pentru situații de criză instituite în temeiul dreptului Uniunii.</w:t>
      </w:r>
    </w:p>
    <w:p w14:paraId="4ADE2525" w14:textId="77777777" w:rsidR="002646EF" w:rsidRPr="00046858" w:rsidRDefault="002646EF" w:rsidP="002646EF">
      <w:pPr>
        <w:pStyle w:val="Text1"/>
        <w:rPr>
          <w:noProof/>
        </w:rPr>
      </w:pPr>
    </w:p>
    <w:p w14:paraId="4743E6EA" w14:textId="602FDB89" w:rsidR="002646EF" w:rsidRPr="00046858" w:rsidRDefault="002646EF" w:rsidP="002646EF">
      <w:pPr>
        <w:pStyle w:val="Titrearticle"/>
        <w:rPr>
          <w:noProof/>
        </w:rPr>
      </w:pPr>
      <w:r w:rsidRPr="00046858">
        <w:rPr>
          <w:noProof/>
        </w:rPr>
        <w:t xml:space="preserve">Articolul 45 </w:t>
      </w:r>
      <w:r w:rsidRPr="00046858">
        <w:rPr>
          <w:noProof/>
        </w:rPr>
        <w:cr/>
      </w:r>
      <w:r w:rsidRPr="00046858">
        <w:rPr>
          <w:noProof/>
        </w:rPr>
        <w:br/>
        <w:t>Structura Consiliului european pentru semiconductori</w:t>
      </w:r>
    </w:p>
    <w:p w14:paraId="12FE7D1F" w14:textId="5DE37569" w:rsidR="002646EF" w:rsidRPr="00046858" w:rsidRDefault="00D947F6" w:rsidP="006164B0">
      <w:pPr>
        <w:pStyle w:val="ManualNumPar1"/>
        <w:rPr>
          <w:noProof/>
        </w:rPr>
      </w:pPr>
      <w:r w:rsidRPr="00046858">
        <w:rPr>
          <w:noProof/>
        </w:rPr>
        <w:t>(1)</w:t>
      </w:r>
      <w:r w:rsidRPr="00046858">
        <w:rPr>
          <w:noProof/>
        </w:rPr>
        <w:tab/>
        <w:t xml:space="preserve">Consiliul european pentru semiconductori este alcătuit din reprezentanți din toate statele membre. Un reprezentant al Comisiei este președintele Consiliului european pentru semiconductori. </w:t>
      </w:r>
    </w:p>
    <w:p w14:paraId="4812C722" w14:textId="5D5F7652" w:rsidR="00D947F6" w:rsidRPr="00046858" w:rsidRDefault="00D947F6" w:rsidP="003A4FB5">
      <w:pPr>
        <w:pStyle w:val="ManualNumPar1"/>
        <w:rPr>
          <w:noProof/>
        </w:rPr>
      </w:pPr>
      <w:r w:rsidRPr="00046858">
        <w:rPr>
          <w:noProof/>
        </w:rPr>
        <w:t>(2)</w:t>
      </w:r>
      <w:r w:rsidRPr="00046858">
        <w:rPr>
          <w:noProof/>
        </w:rPr>
        <w:tab/>
        <w:t xml:space="preserve">Fiecare stat membru numește un reprezentant la nivel înalt în cadrul Consiliului european pentru semiconductori. Un stat membru poate avea mai mulți reprezentanți în funcție de diferitele sarcini ale Consiliului european pentru semiconductori, atunci când funcția și competențele specifice necesare impun acest lucru. Fiecare membru al Consiliului european pentru semiconductori are un membru supleant. Numai statele membre au drept de vot. Fiecare stat membru dispune de un singur vot, indiferent de numărul de reprezentanți de care dispune. </w:t>
      </w:r>
    </w:p>
    <w:p w14:paraId="136E3806" w14:textId="24169B18" w:rsidR="00D947F6" w:rsidRPr="00046858" w:rsidRDefault="00D947F6" w:rsidP="003A4FB5">
      <w:pPr>
        <w:pStyle w:val="ManualNumPar1"/>
        <w:rPr>
          <w:noProof/>
        </w:rPr>
      </w:pPr>
      <w:r w:rsidRPr="00046858">
        <w:rPr>
          <w:noProof/>
        </w:rPr>
        <w:t>(3)</w:t>
      </w:r>
      <w:r w:rsidRPr="00046858">
        <w:rPr>
          <w:noProof/>
        </w:rPr>
        <w:tab/>
        <w:t>Președintele poate înființa subgrupuri permanente sau temporare în scopul examinării unor chestiuni specifice.</w:t>
      </w:r>
    </w:p>
    <w:p w14:paraId="0667FB66" w14:textId="0F3E0CE7" w:rsidR="00D947F6" w:rsidRPr="00046858" w:rsidRDefault="00D947F6" w:rsidP="00D947F6">
      <w:pPr>
        <w:pStyle w:val="Text1"/>
        <w:rPr>
          <w:noProof/>
        </w:rPr>
      </w:pPr>
      <w:r w:rsidRPr="00046858">
        <w:rPr>
          <w:noProof/>
        </w:rPr>
        <w:t>După caz, președintele invită la aceste subgrupuri, pentru a contribui în calitate de observatori, organizații reprezentative ale lanțului valoric al semiconductorilor, comitetul director al Alianței industriale pentru semiconductori și grupurile sale de lucru relevante, sindicate și utilizatori de semiconductori la nivelul Uniunii.</w:t>
      </w:r>
    </w:p>
    <w:p w14:paraId="5E243AE4" w14:textId="7DCFF738" w:rsidR="00D947F6" w:rsidRPr="00046858" w:rsidRDefault="00D947F6" w:rsidP="00D947F6">
      <w:pPr>
        <w:pStyle w:val="Titrearticle"/>
        <w:rPr>
          <w:noProof/>
        </w:rPr>
      </w:pPr>
      <w:r w:rsidRPr="00046858">
        <w:rPr>
          <w:noProof/>
        </w:rPr>
        <w:t xml:space="preserve">Articolul 46 </w:t>
      </w:r>
      <w:r w:rsidRPr="00046858">
        <w:rPr>
          <w:noProof/>
        </w:rPr>
        <w:cr/>
      </w:r>
      <w:r w:rsidRPr="00046858">
        <w:rPr>
          <w:noProof/>
        </w:rPr>
        <w:br/>
        <w:t>Funcționarea Consiliului european pentru semiconductori</w:t>
      </w:r>
    </w:p>
    <w:p w14:paraId="2EF41791" w14:textId="3A889227" w:rsidR="00D947F6" w:rsidRPr="00046858" w:rsidRDefault="00D947F6" w:rsidP="006164B0">
      <w:pPr>
        <w:pStyle w:val="ManualNumPar1"/>
        <w:rPr>
          <w:noProof/>
        </w:rPr>
      </w:pPr>
      <w:r w:rsidRPr="00046858">
        <w:rPr>
          <w:noProof/>
        </w:rPr>
        <w:t>(1)</w:t>
      </w:r>
      <w:r w:rsidRPr="00046858">
        <w:rPr>
          <w:noProof/>
        </w:rPr>
        <w:tab/>
        <w:t>Consiliul european pentru semiconductori se întrunește în ședință ordinară cel puțin o dată pe an. Acesta se poate reuni în ședință extraordinară la cererea Comisiei sau a unui stat membru, astfel cum se menționează la articolele 37 și 39.</w:t>
      </w:r>
    </w:p>
    <w:p w14:paraId="6538EE3D" w14:textId="23CF45C8" w:rsidR="0020201D" w:rsidRPr="00046858" w:rsidRDefault="0020201D" w:rsidP="003A4FB5">
      <w:pPr>
        <w:pStyle w:val="ManualNumPar1"/>
        <w:rPr>
          <w:noProof/>
        </w:rPr>
      </w:pPr>
      <w:r w:rsidRPr="00046858">
        <w:rPr>
          <w:noProof/>
        </w:rPr>
        <w:t>(2)</w:t>
      </w:r>
      <w:r w:rsidRPr="00046858">
        <w:rPr>
          <w:noProof/>
        </w:rPr>
        <w:tab/>
        <w:t>Consiliul european pentru semiconductori organizează reuniuni separate pentru sarcinile sale menționate la articolul 44 alineatul (1).</w:t>
      </w:r>
    </w:p>
    <w:p w14:paraId="54188ED3" w14:textId="2E470D03" w:rsidR="00D947F6" w:rsidRPr="00046858" w:rsidRDefault="00D947F6" w:rsidP="003A4FB5">
      <w:pPr>
        <w:pStyle w:val="ManualNumPar1"/>
        <w:rPr>
          <w:noProof/>
        </w:rPr>
      </w:pPr>
      <w:r w:rsidRPr="00046858">
        <w:rPr>
          <w:noProof/>
        </w:rPr>
        <w:t>(3)</w:t>
      </w:r>
      <w:r w:rsidRPr="00046858">
        <w:rPr>
          <w:noProof/>
        </w:rPr>
        <w:tab/>
        <w:t>Comisia convoacă reuniunile și stabilește ordinea de zi în conformitate cu sarcinile care îi revin Consiliului european pentru semiconductori în temeiul prezentului regulament și cu regulamentul său de procedură.</w:t>
      </w:r>
    </w:p>
    <w:p w14:paraId="4D2C075F" w14:textId="7E502E1E" w:rsidR="00D947F6" w:rsidRPr="00046858" w:rsidRDefault="00D947F6" w:rsidP="00D947F6">
      <w:pPr>
        <w:pStyle w:val="Text1"/>
        <w:rPr>
          <w:noProof/>
        </w:rPr>
      </w:pPr>
      <w:r w:rsidRPr="00046858">
        <w:rPr>
          <w:noProof/>
        </w:rPr>
        <w:t>Comisia furnizează sprijin administrativ și analitic activităților Consiliului european pentru semiconductori în conformitate cu articolul 44.</w:t>
      </w:r>
    </w:p>
    <w:p w14:paraId="2D23B5BC" w14:textId="19A31ECC" w:rsidR="00D947F6" w:rsidRPr="00046858" w:rsidRDefault="00D947F6" w:rsidP="003A4FB5">
      <w:pPr>
        <w:pStyle w:val="ManualNumPar1"/>
        <w:rPr>
          <w:noProof/>
        </w:rPr>
      </w:pPr>
      <w:r w:rsidRPr="00046858">
        <w:rPr>
          <w:noProof/>
        </w:rPr>
        <w:t>(4)</w:t>
      </w:r>
      <w:r w:rsidRPr="00046858">
        <w:rPr>
          <w:noProof/>
        </w:rPr>
        <w:tab/>
        <w:t>După caz, președintele implică organizațiile reprezentative ale sectorului semiconductorilor și invită experți care au cunoștințe de specialitate specifice în domeniu, inclusiv din partea organizațiilor părților interesate, cum ar fi Rețeaua regiunilor europene de excelență în domeniul semiconductorilor, și numește observatori care să participe la ședințe, inclusiv la recomandarea membrilor. Președintele poate facilita schimburile dintre Consiliul european pentru semiconductori și alte organe, oficii, agenții ale Uniunii și experți și grupuri consultative, inclusiv Alianța industrială pentru semiconductori. Președintele se asigură că respectivul comitet director al Alianței industriale pentru semiconductori este invitat să prezinte actualizări și să discute aspectele relevante ale abordării strategice europene privind semiconductorii cel puțin o dată pe an.</w:t>
      </w:r>
    </w:p>
    <w:p w14:paraId="4DFFA831" w14:textId="2DA03C3A" w:rsidR="00D947F6" w:rsidRPr="00046858" w:rsidRDefault="00D947F6" w:rsidP="003A4FB5">
      <w:pPr>
        <w:pStyle w:val="ManualNumPar1"/>
        <w:rPr>
          <w:noProof/>
        </w:rPr>
      </w:pPr>
      <w:r w:rsidRPr="00046858">
        <w:rPr>
          <w:noProof/>
        </w:rPr>
        <w:lastRenderedPageBreak/>
        <w:t>(5)</w:t>
      </w:r>
      <w:r w:rsidRPr="00046858">
        <w:rPr>
          <w:noProof/>
        </w:rPr>
        <w:tab/>
        <w:t>Președintele invită un reprezentant al Parlamentului European să participe în calitate de observator permanent în cadrul Consiliului european pentru semiconductori, mai ales la ședințele referitoare la capitolul IV privind monitorizarea și răspunsul în situațiile de criză. Președintele se asigură că, la ședințele referitoare la capitolul IV privind monitorizarea și răspunsul în situațiile de criză, participă și alte instituții și organe relevante ale Uniunii în calitate de observatori în cadrul Consiliului european pentru semiconductori.</w:t>
      </w:r>
    </w:p>
    <w:p w14:paraId="63E430CC" w14:textId="77777777" w:rsidR="00D947F6" w:rsidRPr="00046858" w:rsidRDefault="00D947F6" w:rsidP="00D947F6">
      <w:pPr>
        <w:pStyle w:val="Text1"/>
        <w:rPr>
          <w:noProof/>
        </w:rPr>
      </w:pPr>
      <w:r w:rsidRPr="00046858">
        <w:rPr>
          <w:noProof/>
        </w:rPr>
        <w:t>Observatorii și experții nu au drept de vot și nu participă la elaborarea avizelor, a recomandărilor sau a consilierii furnizate de Consiliul european pentru semiconductori și de subgrupurile acestuia. După caz, Consiliul european pentru semiconductori poate invita observatorii și experții respectivi să contribuie cu informații și cunoștințe.</w:t>
      </w:r>
    </w:p>
    <w:p w14:paraId="4430E983" w14:textId="255611C9" w:rsidR="00D947F6" w:rsidRPr="00046858" w:rsidRDefault="00D947F6" w:rsidP="003A4FB5">
      <w:pPr>
        <w:pStyle w:val="ManualNumPar1"/>
        <w:rPr>
          <w:noProof/>
        </w:rPr>
      </w:pPr>
      <w:r w:rsidRPr="00046858">
        <w:rPr>
          <w:noProof/>
        </w:rPr>
        <w:t>(6)</w:t>
      </w:r>
      <w:r w:rsidRPr="00046858">
        <w:rPr>
          <w:noProof/>
        </w:rPr>
        <w:tab/>
        <w:t>Consiliul european pentru semiconductori ia măsurile necesare pentru a asigura gestionarea și prelucrarea în condiții de siguranță a informațiilor confidențiale, în conformitate cu articolul 50.</w:t>
      </w:r>
    </w:p>
    <w:p w14:paraId="237B138B" w14:textId="7FD82AF7" w:rsidR="00D947F6" w:rsidRPr="00046858" w:rsidRDefault="00D947F6" w:rsidP="00D947F6">
      <w:pPr>
        <w:pStyle w:val="Titrearticle"/>
        <w:rPr>
          <w:noProof/>
        </w:rPr>
      </w:pPr>
      <w:r w:rsidRPr="00046858">
        <w:rPr>
          <w:noProof/>
        </w:rPr>
        <w:t xml:space="preserve">Articolul 47 </w:t>
      </w:r>
      <w:r w:rsidRPr="00046858">
        <w:rPr>
          <w:noProof/>
        </w:rPr>
        <w:cr/>
      </w:r>
      <w:r w:rsidRPr="00046858">
        <w:rPr>
          <w:noProof/>
        </w:rPr>
        <w:br/>
        <w:t>Cooperarea internațională și parteneriatele strategice privind semiconductorii</w:t>
      </w:r>
    </w:p>
    <w:p w14:paraId="43A983E0" w14:textId="6E40FF5B" w:rsidR="00D947F6" w:rsidRPr="00046858" w:rsidRDefault="00D947F6" w:rsidP="006164B0">
      <w:pPr>
        <w:pStyle w:val="ManualNumPar1"/>
        <w:rPr>
          <w:noProof/>
        </w:rPr>
      </w:pPr>
      <w:r w:rsidRPr="00046858">
        <w:rPr>
          <w:noProof/>
        </w:rPr>
        <w:t>(1)</w:t>
      </w:r>
      <w:r w:rsidRPr="00046858">
        <w:rPr>
          <w:noProof/>
        </w:rPr>
        <w:tab/>
        <w:t>Consiliul european pentru semiconductori consiliază Comisia în ceea ce privește chestiuni referitoare la cooperarea internațională legată de semiconductori. În acest scop, Consiliul european pentru semiconductori poartă discuții periodice privind următoarele aspecte:</w:t>
      </w:r>
    </w:p>
    <w:p w14:paraId="5935140C" w14:textId="77777777" w:rsidR="00D947F6" w:rsidRPr="00046858" w:rsidRDefault="00D947F6" w:rsidP="000006E4">
      <w:pPr>
        <w:pStyle w:val="Point1"/>
        <w:rPr>
          <w:noProof/>
        </w:rPr>
      </w:pPr>
      <w:r w:rsidRPr="00046858">
        <w:rPr>
          <w:noProof/>
        </w:rPr>
        <w:t>(a)</w:t>
      </w:r>
      <w:r w:rsidRPr="00046858">
        <w:rPr>
          <w:noProof/>
        </w:rPr>
        <w:tab/>
        <w:t>măsura în care cooperarea internațională a Uniunii în domeniul semiconductorilor, inclusiv parteneriatele strategice privind semiconductorii, contribuie la:</w:t>
      </w:r>
    </w:p>
    <w:p w14:paraId="644EEADF" w14:textId="77777777" w:rsidR="00D947F6" w:rsidRPr="00046858" w:rsidRDefault="00D947F6" w:rsidP="00A13600">
      <w:pPr>
        <w:pStyle w:val="Tiret2"/>
        <w:numPr>
          <w:ilvl w:val="0"/>
          <w:numId w:val="20"/>
        </w:numPr>
        <w:ind w:left="1417" w:firstLine="0"/>
        <w:rPr>
          <w:noProof/>
        </w:rPr>
      </w:pPr>
      <w:r w:rsidRPr="00046858">
        <w:rPr>
          <w:noProof/>
        </w:rPr>
        <w:t xml:space="preserve">îmbunătățirea </w:t>
      </w:r>
      <w:r w:rsidRPr="00046858">
        <w:rPr>
          <w:rStyle w:val="Added"/>
          <w:b w:val="0"/>
          <w:noProof/>
          <w:u w:val="none"/>
        </w:rPr>
        <w:t>caracterului indispensabil, a rezilienței și a prosperității Uniunii</w:t>
      </w:r>
      <w:r w:rsidRPr="00046858">
        <w:rPr>
          <w:noProof/>
        </w:rPr>
        <w:t>;</w:t>
      </w:r>
    </w:p>
    <w:p w14:paraId="42955709" w14:textId="77777777" w:rsidR="00D947F6" w:rsidRPr="00046858" w:rsidRDefault="00D947F6" w:rsidP="00A13600">
      <w:pPr>
        <w:pStyle w:val="Tiret2"/>
        <w:numPr>
          <w:ilvl w:val="0"/>
          <w:numId w:val="20"/>
        </w:numPr>
        <w:ind w:left="1417" w:firstLine="0"/>
        <w:rPr>
          <w:noProof/>
        </w:rPr>
      </w:pPr>
      <w:r w:rsidRPr="00046858">
        <w:rPr>
          <w:noProof/>
        </w:rPr>
        <w:t>îmbunătățirea cooperării de-a lungul lanțului valoric al semiconductorilor între Uniune și partenerii internaționali, inclusiv în domeniul cercetării și al inovării;</w:t>
      </w:r>
    </w:p>
    <w:p w14:paraId="7638CEEE" w14:textId="77777777" w:rsidR="00D947F6" w:rsidRPr="00046858" w:rsidRDefault="00D947F6" w:rsidP="00A13600">
      <w:pPr>
        <w:pStyle w:val="Tiret2"/>
        <w:numPr>
          <w:ilvl w:val="0"/>
          <w:numId w:val="20"/>
        </w:numPr>
        <w:ind w:left="1417" w:firstLine="0"/>
        <w:rPr>
          <w:noProof/>
        </w:rPr>
      </w:pPr>
      <w:r w:rsidRPr="00046858">
        <w:rPr>
          <w:noProof/>
        </w:rPr>
        <w:t>remedierea deficitului și a neconcordanței de cunoștințe și de competențe prin atragerea, mobilizarea și reținerea de noi talente în Uniune;</w:t>
      </w:r>
    </w:p>
    <w:p w14:paraId="7C67786B" w14:textId="77777777" w:rsidR="00D947F6" w:rsidRPr="00046858" w:rsidRDefault="00D947F6" w:rsidP="006D2A9B">
      <w:pPr>
        <w:pStyle w:val="Point1"/>
        <w:rPr>
          <w:noProof/>
        </w:rPr>
      </w:pPr>
      <w:r w:rsidRPr="00046858">
        <w:rPr>
          <w:noProof/>
        </w:rPr>
        <w:t>(b)</w:t>
      </w:r>
      <w:r w:rsidRPr="00046858">
        <w:rPr>
          <w:noProof/>
        </w:rPr>
        <w:tab/>
        <w:t>coerența și sinergiile potențiale dintre cooperarea bilaterală a statelor membre cu partenerii internaționali relevanți și acțiunile în contextul cooperării sale internaționale privind semiconductorii, inclusiv parteneriatele strategice privind semiconductorii;</w:t>
      </w:r>
    </w:p>
    <w:p w14:paraId="288399BB" w14:textId="77777777" w:rsidR="00D947F6" w:rsidRPr="00046858" w:rsidRDefault="00D947F6" w:rsidP="006D2A9B">
      <w:pPr>
        <w:pStyle w:val="Point1"/>
        <w:rPr>
          <w:noProof/>
        </w:rPr>
      </w:pPr>
      <w:r w:rsidRPr="00046858">
        <w:rPr>
          <w:noProof/>
        </w:rPr>
        <w:t>(c)</w:t>
      </w:r>
      <w:r w:rsidRPr="00046858">
        <w:rPr>
          <w:noProof/>
        </w:rPr>
        <w:tab/>
        <w:t>partenerii internaționali care ar trebui să aibă prioritate la încheierea de parteneriate strategice privind semiconductorii, ținând seama de următoarele criterii:</w:t>
      </w:r>
    </w:p>
    <w:p w14:paraId="5BAD7452" w14:textId="77777777" w:rsidR="00380310" w:rsidRPr="00046858" w:rsidRDefault="00D947F6" w:rsidP="0067630D">
      <w:pPr>
        <w:pStyle w:val="Tiret2"/>
        <w:numPr>
          <w:ilvl w:val="0"/>
          <w:numId w:val="21"/>
        </w:numPr>
        <w:rPr>
          <w:noProof/>
        </w:rPr>
      </w:pPr>
      <w:r w:rsidRPr="00046858">
        <w:rPr>
          <w:noProof/>
        </w:rPr>
        <w:t xml:space="preserve">contribuția potențială la securitatea aprovizionării, la </w:t>
      </w:r>
      <w:r w:rsidRPr="00046858">
        <w:rPr>
          <w:rStyle w:val="Added"/>
          <w:b w:val="0"/>
          <w:noProof/>
          <w:u w:val="none"/>
        </w:rPr>
        <w:t>caracterul indispensabil, la reziliență și la prosperitate</w:t>
      </w:r>
      <w:r w:rsidRPr="00046858">
        <w:rPr>
          <w:noProof/>
        </w:rPr>
        <w:t>, având în vedere capacitățile potențiale ale unui partener legate de semiconductori, de diversificare și de dependențe;</w:t>
      </w:r>
    </w:p>
    <w:p w14:paraId="28546261" w14:textId="77777777" w:rsidR="00380310" w:rsidRPr="00046858" w:rsidRDefault="00D947F6" w:rsidP="0067630D">
      <w:pPr>
        <w:pStyle w:val="Tiret2"/>
        <w:numPr>
          <w:ilvl w:val="0"/>
          <w:numId w:val="22"/>
        </w:numPr>
        <w:rPr>
          <w:noProof/>
        </w:rPr>
      </w:pPr>
      <w:r w:rsidRPr="00046858">
        <w:rPr>
          <w:noProof/>
        </w:rPr>
        <w:lastRenderedPageBreak/>
        <w:t>măsura în care cadrul de reglementare al unui partener asigură monitorizarea și reducerea la minimum a impactului asupra mediului, utilizarea unor practici responsabile din punct de vedere social, utilizarea unor practici comerciale transparente și prevenirea efectelor negative asupra bunei funcționări a administrației publice și a statului de drept;</w:t>
      </w:r>
    </w:p>
    <w:p w14:paraId="484EEEFE" w14:textId="77777777" w:rsidR="00380310" w:rsidRPr="00046858" w:rsidRDefault="00D947F6" w:rsidP="0067630D">
      <w:pPr>
        <w:pStyle w:val="Tiret2"/>
        <w:numPr>
          <w:ilvl w:val="0"/>
          <w:numId w:val="23"/>
        </w:numPr>
        <w:rPr>
          <w:noProof/>
        </w:rPr>
      </w:pPr>
      <w:r w:rsidRPr="00046858">
        <w:rPr>
          <w:noProof/>
        </w:rPr>
        <w:t>existența unor acorduri de cooperare între o țară terță sau un teritoriu terț și Uniune și, în ceea ce privește piețele emergente și economiile în curs de dezvoltare, potențialul de implementare a proiectelor de investiții „Global Gateway”</w:t>
      </w:r>
      <w:r w:rsidRPr="00046858">
        <w:rPr>
          <w:rStyle w:val="FootnoteReference"/>
          <w:noProof/>
        </w:rPr>
        <w:footnoteReference w:id="72"/>
      </w:r>
      <w:r w:rsidRPr="00046858">
        <w:rPr>
          <w:noProof/>
        </w:rPr>
        <w:t>.</w:t>
      </w:r>
    </w:p>
    <w:p w14:paraId="17335241" w14:textId="77777777" w:rsidR="009048D5" w:rsidRPr="00046858" w:rsidRDefault="009048D5" w:rsidP="0067630D">
      <w:pPr>
        <w:pStyle w:val="Tiret2"/>
        <w:numPr>
          <w:ilvl w:val="0"/>
          <w:numId w:val="24"/>
        </w:numPr>
        <w:rPr>
          <w:noProof/>
        </w:rPr>
      </w:pPr>
      <w:r w:rsidRPr="00046858">
        <w:rPr>
          <w:noProof/>
        </w:rPr>
        <w:t xml:space="preserve">măsura în care cadrul de reglementare al partenerului sau cadrul aplicabil relevant prevede aplicarea de controale asupra exportului de tehnologii care ar putea limita accesul la produsele și tehnologiile necesare pentru proiectarea, dezvoltarea, producția sau utilizarea bunurilor în UE sau pentru exportul de bunuri și tehnologii concepute, dezvoltate sau produse în UE. </w:t>
      </w:r>
    </w:p>
    <w:p w14:paraId="26E74222" w14:textId="03964C36" w:rsidR="00D947F6" w:rsidRPr="00046858" w:rsidRDefault="00D947F6" w:rsidP="003A4FB5">
      <w:pPr>
        <w:pStyle w:val="ManualNumPar1"/>
        <w:rPr>
          <w:noProof/>
        </w:rPr>
      </w:pPr>
      <w:r w:rsidRPr="00046858">
        <w:rPr>
          <w:noProof/>
        </w:rPr>
        <w:t>(2)</w:t>
      </w:r>
      <w:r w:rsidRPr="00046858">
        <w:rPr>
          <w:noProof/>
        </w:rPr>
        <w:tab/>
        <w:t>Comisia facilitează și sprijină cooperarea Consiliului european pentru semiconductori cu alte forumuri de coordonare relevante, inclusiv cu cele instituite în cadrul „Global Gateway”</w:t>
      </w:r>
      <w:r w:rsidRPr="00046858">
        <w:rPr>
          <w:rStyle w:val="FootnoteReference"/>
          <w:noProof/>
        </w:rPr>
        <w:footnoteReference w:id="73"/>
      </w:r>
      <w:r w:rsidRPr="00046858">
        <w:rPr>
          <w:noProof/>
        </w:rPr>
        <w:t>.</w:t>
      </w:r>
    </w:p>
    <w:p w14:paraId="10E0E6E0" w14:textId="2A803ECE" w:rsidR="00D947F6" w:rsidRPr="00046858" w:rsidRDefault="00D947F6" w:rsidP="003A4FB5">
      <w:pPr>
        <w:pStyle w:val="ManualNumPar1"/>
        <w:rPr>
          <w:noProof/>
        </w:rPr>
      </w:pPr>
      <w:r w:rsidRPr="00046858">
        <w:rPr>
          <w:noProof/>
        </w:rPr>
        <w:t>(3)</w:t>
      </w:r>
      <w:r w:rsidRPr="00046858">
        <w:rPr>
          <w:noProof/>
        </w:rPr>
        <w:tab/>
        <w:t>Statele membre asigură coerența între cooperarea lor bilaterală cu partenerii internaționali și cooperarea internațională a Uniunii în domeniul semiconductorilor, inclusiv în ceea ce privește parteneriatele strategice fără caracter obligatoriu. Ele sprijină, de asemenea, Comisia în punerea în aplicare a măsurilor de cooperare stabilite în cadrul cooperării internaționale a Uniunii în domeniul semiconductorilor, inclusiv al parteneriatelor strategice privind semiconductorii.</w:t>
      </w:r>
    </w:p>
    <w:p w14:paraId="1F05CEA8" w14:textId="77777777" w:rsidR="00D947F6" w:rsidRPr="00046858" w:rsidRDefault="00D947F6" w:rsidP="00E35165">
      <w:pPr>
        <w:rPr>
          <w:noProof/>
        </w:rPr>
      </w:pPr>
    </w:p>
    <w:p w14:paraId="3CD5CE1C" w14:textId="77777777" w:rsidR="00D947F6" w:rsidRPr="00046858" w:rsidRDefault="00D947F6" w:rsidP="00D947F6">
      <w:pPr>
        <w:pStyle w:val="SectionTitle"/>
        <w:rPr>
          <w:noProof/>
        </w:rPr>
      </w:pPr>
      <w:r w:rsidRPr="00046858">
        <w:rPr>
          <w:noProof/>
        </w:rPr>
        <w:t>Secțiunea 2</w:t>
      </w:r>
    </w:p>
    <w:p w14:paraId="7150E228" w14:textId="77777777" w:rsidR="00D947F6" w:rsidRPr="00046858" w:rsidRDefault="00D947F6" w:rsidP="00D947F6">
      <w:pPr>
        <w:pStyle w:val="SectionTitle"/>
        <w:rPr>
          <w:noProof/>
        </w:rPr>
      </w:pPr>
      <w:r w:rsidRPr="00046858">
        <w:rPr>
          <w:noProof/>
        </w:rPr>
        <w:t>Autoritățile naționale competente</w:t>
      </w:r>
    </w:p>
    <w:p w14:paraId="47011E81" w14:textId="5AFBC240" w:rsidR="00D947F6" w:rsidRPr="00046858" w:rsidRDefault="00744B15" w:rsidP="00744B15">
      <w:pPr>
        <w:pStyle w:val="Titrearticle"/>
        <w:rPr>
          <w:noProof/>
        </w:rPr>
      </w:pPr>
      <w:r w:rsidRPr="00046858">
        <w:rPr>
          <w:noProof/>
        </w:rPr>
        <w:t xml:space="preserve">Articolul 48 </w:t>
      </w:r>
      <w:r w:rsidRPr="00046858">
        <w:rPr>
          <w:noProof/>
        </w:rPr>
        <w:cr/>
      </w:r>
      <w:r w:rsidRPr="00046858">
        <w:rPr>
          <w:noProof/>
        </w:rPr>
        <w:br/>
        <w:t>Desemnarea autorităților naționale competente și a punctelor unice de contact naționale</w:t>
      </w:r>
    </w:p>
    <w:p w14:paraId="10FC0C04" w14:textId="4B9F2C07" w:rsidR="00744B15" w:rsidRPr="00046858" w:rsidRDefault="00744B15" w:rsidP="006164B0">
      <w:pPr>
        <w:pStyle w:val="ManualNumPar1"/>
        <w:rPr>
          <w:noProof/>
        </w:rPr>
      </w:pPr>
      <w:r w:rsidRPr="00046858">
        <w:rPr>
          <w:noProof/>
        </w:rPr>
        <w:t>(1)</w:t>
      </w:r>
      <w:r w:rsidRPr="00046858">
        <w:rPr>
          <w:noProof/>
        </w:rPr>
        <w:tab/>
        <w:t>Fiecare stat membru desemnează una sau mai multe autorități naționale competente și le încredințează sarcina de a asigura aplicarea și punerea în aplicare a prezentului regulament la nivel național.</w:t>
      </w:r>
    </w:p>
    <w:p w14:paraId="30659E11" w14:textId="2331D7FC" w:rsidR="00744B15" w:rsidRPr="00046858" w:rsidRDefault="00744B15" w:rsidP="003A4FB5">
      <w:pPr>
        <w:pStyle w:val="ManualNumPar1"/>
        <w:rPr>
          <w:noProof/>
        </w:rPr>
      </w:pPr>
      <w:r w:rsidRPr="00046858">
        <w:rPr>
          <w:noProof/>
        </w:rPr>
        <w:t>(2)</w:t>
      </w:r>
      <w:r w:rsidRPr="00046858">
        <w:rPr>
          <w:noProof/>
        </w:rPr>
        <w:tab/>
        <w:t xml:space="preserve">În cazul în care desemnează mai multe autorități naționale competente, un stat membru stabilește în mod clar responsabilitățile autorităților în cauză și se asigură că acestea cooperează în mod eficace și eficient în vederea îndeplinirii sarcinilor care le </w:t>
      </w:r>
      <w:r w:rsidRPr="00046858">
        <w:rPr>
          <w:noProof/>
        </w:rPr>
        <w:lastRenderedPageBreak/>
        <w:t>revin în temeiul prezentului regulament, inclusiv în ceea ce privește desemnarea și activitățile punctului unic de contact național menționat la alineatul (3).</w:t>
      </w:r>
    </w:p>
    <w:p w14:paraId="456DB6E3" w14:textId="6974F0A7" w:rsidR="00744B15" w:rsidRPr="00046858" w:rsidRDefault="00744B15" w:rsidP="003A4FB5">
      <w:pPr>
        <w:pStyle w:val="ManualNumPar1"/>
        <w:rPr>
          <w:noProof/>
        </w:rPr>
      </w:pPr>
      <w:r w:rsidRPr="00046858">
        <w:rPr>
          <w:noProof/>
        </w:rPr>
        <w:t>(3)</w:t>
      </w:r>
      <w:r w:rsidRPr="00046858">
        <w:rPr>
          <w:noProof/>
        </w:rPr>
        <w:tab/>
        <w:t>Fiecare stat membru desemnează un punct unic de contact național în vederea exercitării unei funcții de legătură menite să asigure cooperarea transfrontalieră cu autoritățile naționale competente ale altor state membre, cu Comisia și cu Consiliul european pentru semiconductori. În cazul în care un stat membru desemnează o singură autoritate națională competentă, aceasta servește, de asemenea, ca punct unic de contact național.</w:t>
      </w:r>
    </w:p>
    <w:p w14:paraId="1D0DEB99" w14:textId="2332233B" w:rsidR="00744B15" w:rsidRPr="00046858" w:rsidRDefault="00744B15" w:rsidP="003A4FB5">
      <w:pPr>
        <w:pStyle w:val="ManualNumPar1"/>
        <w:rPr>
          <w:noProof/>
        </w:rPr>
      </w:pPr>
      <w:r w:rsidRPr="00046858">
        <w:rPr>
          <w:noProof/>
        </w:rPr>
        <w:t>(4)</w:t>
      </w:r>
      <w:r w:rsidRPr="00046858">
        <w:rPr>
          <w:noProof/>
        </w:rPr>
        <w:tab/>
        <w:t xml:space="preserve">Fiecare stat membru informează Comisia cu privire la desemnarea autorității naționale competente sau a mai multor autorități naționale competente, precum și cu privire la desemnarea punctului unic de contact </w:t>
      </w:r>
      <w:r w:rsidRPr="00046858">
        <w:rPr>
          <w:rStyle w:val="Added"/>
          <w:b w:val="0"/>
          <w:noProof/>
          <w:u w:val="none"/>
        </w:rPr>
        <w:t>național</w:t>
      </w:r>
      <w:r w:rsidRPr="00046858">
        <w:rPr>
          <w:noProof/>
        </w:rPr>
        <w:t xml:space="preserve">, inclusiv cu privire la sarcinile și responsabilitățile precise care le revin în temeiul prezentului regulament, datele lor de contact și orice modificări ulterioare ale acestora. Punctul unic de contact </w:t>
      </w:r>
      <w:r w:rsidRPr="00046858">
        <w:rPr>
          <w:rStyle w:val="Added"/>
          <w:b w:val="0"/>
          <w:noProof/>
          <w:u w:val="none"/>
        </w:rPr>
        <w:t>național</w:t>
      </w:r>
      <w:r w:rsidRPr="00046858">
        <w:rPr>
          <w:noProof/>
        </w:rPr>
        <w:t xml:space="preserve"> îi furnizează Comisiei o căsuță poștală electronică funcțională.</w:t>
      </w:r>
    </w:p>
    <w:p w14:paraId="3A140AD9" w14:textId="2F05541B" w:rsidR="00744B15" w:rsidRPr="00046858" w:rsidRDefault="00744B15" w:rsidP="003A4FB5">
      <w:pPr>
        <w:pStyle w:val="ManualNumPar1"/>
        <w:rPr>
          <w:noProof/>
        </w:rPr>
      </w:pPr>
      <w:r w:rsidRPr="00046858">
        <w:rPr>
          <w:noProof/>
        </w:rPr>
        <w:t>(5)</w:t>
      </w:r>
      <w:r w:rsidRPr="00046858">
        <w:rPr>
          <w:noProof/>
        </w:rPr>
        <w:tab/>
        <w:t>Statele membre se asigură că autoritățile naționale competente, inclusiv punctul unic de contact național desemnat, își exercită competențele în mod imparțial, transparent și în timp util și că dispun de competențele și de resursele tehnice, financiare și umane adecvate pentru îndeplinirea sarcinilor care le revin în temeiul prezentului regulament.</w:t>
      </w:r>
    </w:p>
    <w:p w14:paraId="2DF0FE80" w14:textId="01BA6CA2" w:rsidR="00744B15" w:rsidRPr="00046858" w:rsidRDefault="00744B15" w:rsidP="003A4FB5">
      <w:pPr>
        <w:pStyle w:val="ManualNumPar1"/>
        <w:rPr>
          <w:noProof/>
        </w:rPr>
      </w:pPr>
      <w:r w:rsidRPr="00046858">
        <w:rPr>
          <w:noProof/>
        </w:rPr>
        <w:t>(6)</w:t>
      </w:r>
      <w:r w:rsidRPr="00046858">
        <w:rPr>
          <w:noProof/>
        </w:rPr>
        <w:tab/>
        <w:t>Statele membre se asigură că autoritățile naționale competente, ori de câte ori este cazul și în conformitate cu dreptul Uniunii și cu dreptul intern, se consultă și cooperează cu alte autorități naționale relevante, precum și cu părțile interesate relevante.</w:t>
      </w:r>
    </w:p>
    <w:p w14:paraId="33E71118" w14:textId="67E640F7" w:rsidR="007B5ACD" w:rsidRPr="00046858" w:rsidRDefault="00744B15" w:rsidP="00DC2C22">
      <w:pPr>
        <w:pStyle w:val="Text1"/>
        <w:rPr>
          <w:noProof/>
        </w:rPr>
      </w:pPr>
      <w:r w:rsidRPr="00046858">
        <w:rPr>
          <w:noProof/>
        </w:rPr>
        <w:t>Comisia facilitează schimbul de experiență între autoritățile naționale competente.</w:t>
      </w:r>
    </w:p>
    <w:p w14:paraId="42878914" w14:textId="77777777" w:rsidR="007B5ACD" w:rsidRPr="00046858" w:rsidRDefault="007B5ACD" w:rsidP="007B5ACD">
      <w:pPr>
        <w:pStyle w:val="SectionTitle"/>
        <w:rPr>
          <w:noProof/>
        </w:rPr>
      </w:pPr>
      <w:r w:rsidRPr="00046858">
        <w:rPr>
          <w:noProof/>
        </w:rPr>
        <w:t>Secțiunea 3</w:t>
      </w:r>
    </w:p>
    <w:p w14:paraId="64A2A96B" w14:textId="77777777" w:rsidR="007B5ACD" w:rsidRPr="00046858" w:rsidRDefault="007B5ACD" w:rsidP="007B5ACD">
      <w:pPr>
        <w:pStyle w:val="SectionTitle"/>
        <w:rPr>
          <w:noProof/>
        </w:rPr>
      </w:pPr>
      <w:r w:rsidRPr="00046858">
        <w:rPr>
          <w:noProof/>
        </w:rPr>
        <w:t xml:space="preserve">Alianța industrială </w:t>
      </w:r>
    </w:p>
    <w:p w14:paraId="4F4A4FF4" w14:textId="7540511A" w:rsidR="007B5ACD" w:rsidRPr="00046858" w:rsidRDefault="00842D8B" w:rsidP="00842D8B">
      <w:pPr>
        <w:pStyle w:val="Titrearticle"/>
        <w:rPr>
          <w:noProof/>
        </w:rPr>
      </w:pPr>
      <w:r w:rsidRPr="00046858">
        <w:rPr>
          <w:noProof/>
        </w:rPr>
        <w:t>Articolul 49</w:t>
      </w:r>
    </w:p>
    <w:p w14:paraId="70EA148F" w14:textId="0965DD38" w:rsidR="00842D8B" w:rsidRPr="00046858" w:rsidRDefault="00506CF4" w:rsidP="00DA3A2A">
      <w:pPr>
        <w:jc w:val="center"/>
        <w:rPr>
          <w:i/>
          <w:iCs/>
          <w:noProof/>
        </w:rPr>
      </w:pPr>
      <w:r w:rsidRPr="00046858">
        <w:rPr>
          <w:i/>
          <w:noProof/>
        </w:rPr>
        <w:t>Alianța industrială pentru semiconductori</w:t>
      </w:r>
    </w:p>
    <w:p w14:paraId="09204138" w14:textId="2F79194A" w:rsidR="009F2354" w:rsidRPr="00046858" w:rsidRDefault="00905EAD" w:rsidP="006164B0">
      <w:pPr>
        <w:pStyle w:val="ManualNumPar1"/>
        <w:rPr>
          <w:b/>
          <w:noProof/>
          <w:u w:val="single"/>
        </w:rPr>
      </w:pPr>
      <w:r w:rsidRPr="00046858">
        <w:rPr>
          <w:noProof/>
        </w:rPr>
        <w:t>(1)</w:t>
      </w:r>
      <w:r w:rsidRPr="00046858">
        <w:rPr>
          <w:noProof/>
        </w:rPr>
        <w:tab/>
        <w:t xml:space="preserve">Se instituie o alianță industrială pentru semiconductori („alianța”). </w:t>
      </w:r>
    </w:p>
    <w:p w14:paraId="78734888" w14:textId="3F7B72AA" w:rsidR="00DB4AFD" w:rsidRPr="00046858" w:rsidRDefault="000D66AB" w:rsidP="003A4FB5">
      <w:pPr>
        <w:pStyle w:val="ManualNumPar1"/>
        <w:rPr>
          <w:noProof/>
        </w:rPr>
      </w:pPr>
      <w:r w:rsidRPr="00046858">
        <w:rPr>
          <w:noProof/>
        </w:rPr>
        <w:t>(2)</w:t>
      </w:r>
      <w:r w:rsidRPr="00046858">
        <w:rPr>
          <w:noProof/>
        </w:rPr>
        <w:tab/>
        <w:t xml:space="preserve">Alianța reunește părțile interesate relevante pentru a sprijini Comisia și statele membre cu privire la aspecte relevante pentru industria semiconductorilor din Uniune, care includ: </w:t>
      </w:r>
    </w:p>
    <w:p w14:paraId="212FB4C7" w14:textId="224BCA73" w:rsidR="00123E2D" w:rsidRPr="00046858" w:rsidRDefault="004317F4" w:rsidP="006164B0">
      <w:pPr>
        <w:pStyle w:val="Point1"/>
        <w:rPr>
          <w:rStyle w:val="Added"/>
          <w:b w:val="0"/>
          <w:noProof/>
          <w:u w:val="none"/>
        </w:rPr>
      </w:pPr>
      <w:r w:rsidRPr="00046858">
        <w:rPr>
          <w:noProof/>
        </w:rPr>
        <w:t>(f)</w:t>
      </w:r>
      <w:r w:rsidRPr="00046858">
        <w:rPr>
          <w:noProof/>
        </w:rPr>
        <w:tab/>
      </w:r>
      <w:r w:rsidRPr="00046858">
        <w:rPr>
          <w:rStyle w:val="Added"/>
          <w:b w:val="0"/>
          <w:noProof/>
          <w:u w:val="none"/>
        </w:rPr>
        <w:t>tendințele actuale ale pieței și ale industriei;</w:t>
      </w:r>
    </w:p>
    <w:p w14:paraId="651F1CC5" w14:textId="1433B345" w:rsidR="004317F4" w:rsidRPr="00046858" w:rsidRDefault="004317F4" w:rsidP="003B35CB">
      <w:pPr>
        <w:pStyle w:val="Point1"/>
        <w:rPr>
          <w:rStyle w:val="Added"/>
          <w:b w:val="0"/>
          <w:noProof/>
          <w:u w:val="none"/>
        </w:rPr>
      </w:pPr>
      <w:r w:rsidRPr="00046858">
        <w:rPr>
          <w:noProof/>
        </w:rPr>
        <w:t>(g)</w:t>
      </w:r>
      <w:r w:rsidRPr="00046858">
        <w:rPr>
          <w:noProof/>
        </w:rPr>
        <w:tab/>
      </w:r>
      <w:r w:rsidRPr="00046858">
        <w:rPr>
          <w:rStyle w:val="Added"/>
          <w:b w:val="0"/>
          <w:noProof/>
          <w:u w:val="none"/>
        </w:rPr>
        <w:t>capacitatea Uniunii de proiectare și fabricare a semiconductorilor;</w:t>
      </w:r>
    </w:p>
    <w:p w14:paraId="4E04FE89" w14:textId="39FBD8F7" w:rsidR="004317F4" w:rsidRPr="00046858" w:rsidRDefault="00476382" w:rsidP="003B35CB">
      <w:pPr>
        <w:pStyle w:val="Point1"/>
        <w:rPr>
          <w:rStyle w:val="Added"/>
          <w:b w:val="0"/>
          <w:noProof/>
          <w:u w:val="none"/>
        </w:rPr>
      </w:pPr>
      <w:r w:rsidRPr="00046858">
        <w:rPr>
          <w:noProof/>
        </w:rPr>
        <w:t>(h)</w:t>
      </w:r>
      <w:r w:rsidRPr="00046858">
        <w:rPr>
          <w:noProof/>
        </w:rPr>
        <w:tab/>
      </w:r>
      <w:r w:rsidRPr="00046858">
        <w:rPr>
          <w:rStyle w:val="Added"/>
          <w:b w:val="0"/>
          <w:noProof/>
          <w:u w:val="none"/>
        </w:rPr>
        <w:t xml:space="preserve">tehnologiile emergente ale semiconductorilor și impactul acestora; </w:t>
      </w:r>
    </w:p>
    <w:p w14:paraId="0931568D" w14:textId="316C626E" w:rsidR="004317F4" w:rsidRPr="00046858" w:rsidRDefault="00476382" w:rsidP="003B35CB">
      <w:pPr>
        <w:pStyle w:val="Point1"/>
        <w:rPr>
          <w:rStyle w:val="Added"/>
          <w:b w:val="0"/>
          <w:noProof/>
          <w:u w:val="none"/>
        </w:rPr>
      </w:pPr>
      <w:r w:rsidRPr="00046858">
        <w:rPr>
          <w:noProof/>
        </w:rPr>
        <w:t>(i)</w:t>
      </w:r>
      <w:r w:rsidRPr="00046858">
        <w:rPr>
          <w:noProof/>
        </w:rPr>
        <w:tab/>
      </w:r>
      <w:r w:rsidRPr="00046858">
        <w:rPr>
          <w:rStyle w:val="Added"/>
          <w:b w:val="0"/>
          <w:noProof/>
          <w:u w:val="none"/>
        </w:rPr>
        <w:t xml:space="preserve">identificarea punctelor forte și a punctelor slabe ale industriei Uniunii și formularea de recomandări în acest sens; </w:t>
      </w:r>
    </w:p>
    <w:p w14:paraId="73D4E35A" w14:textId="49DD81F2" w:rsidR="00866AB7" w:rsidRPr="00046858" w:rsidRDefault="00C2278A" w:rsidP="003B35CB">
      <w:pPr>
        <w:pStyle w:val="Point1"/>
        <w:rPr>
          <w:rStyle w:val="Added"/>
          <w:b w:val="0"/>
          <w:noProof/>
          <w:u w:val="none"/>
        </w:rPr>
      </w:pPr>
      <w:r w:rsidRPr="00046858">
        <w:rPr>
          <w:noProof/>
        </w:rPr>
        <w:t>(j)</w:t>
      </w:r>
      <w:r w:rsidRPr="00046858">
        <w:rPr>
          <w:noProof/>
        </w:rPr>
        <w:tab/>
      </w:r>
      <w:r w:rsidRPr="00046858">
        <w:rPr>
          <w:rStyle w:val="Added"/>
          <w:b w:val="0"/>
          <w:noProof/>
          <w:u w:val="none"/>
        </w:rPr>
        <w:t xml:space="preserve">strategiile de accelerare a industrializării inovării; </w:t>
      </w:r>
    </w:p>
    <w:p w14:paraId="48CBAF50" w14:textId="3F71E051" w:rsidR="005629F1" w:rsidRPr="00046858" w:rsidRDefault="00C2278A" w:rsidP="003B35CB">
      <w:pPr>
        <w:pStyle w:val="Point1"/>
        <w:rPr>
          <w:rStyle w:val="Added"/>
          <w:b w:val="0"/>
          <w:noProof/>
          <w:u w:val="none"/>
        </w:rPr>
      </w:pPr>
      <w:r w:rsidRPr="00046858">
        <w:rPr>
          <w:noProof/>
        </w:rPr>
        <w:t>(k)</w:t>
      </w:r>
      <w:r w:rsidRPr="00046858">
        <w:rPr>
          <w:noProof/>
        </w:rPr>
        <w:tab/>
      </w:r>
      <w:r w:rsidRPr="00046858">
        <w:rPr>
          <w:rStyle w:val="Added"/>
          <w:b w:val="0"/>
          <w:noProof/>
          <w:u w:val="none"/>
        </w:rPr>
        <w:t xml:space="preserve">evoluțiile geopolitice care afectează industria; </w:t>
      </w:r>
    </w:p>
    <w:p w14:paraId="108EBD66" w14:textId="2FB83FC6" w:rsidR="004317F4" w:rsidRPr="00046858" w:rsidRDefault="000F3B63" w:rsidP="00325FD9">
      <w:pPr>
        <w:pStyle w:val="Point1"/>
        <w:rPr>
          <w:rStyle w:val="Added"/>
          <w:b w:val="0"/>
          <w:noProof/>
          <w:u w:val="none"/>
        </w:rPr>
      </w:pPr>
      <w:r w:rsidRPr="00046858">
        <w:rPr>
          <w:noProof/>
        </w:rPr>
        <w:t>(l)</w:t>
      </w:r>
      <w:r w:rsidRPr="00046858">
        <w:rPr>
          <w:noProof/>
        </w:rPr>
        <w:tab/>
      </w:r>
      <w:r w:rsidRPr="00046858">
        <w:rPr>
          <w:rStyle w:val="Added"/>
          <w:b w:val="0"/>
          <w:noProof/>
          <w:u w:val="none"/>
        </w:rPr>
        <w:t>creșterea competitivității globale a Uniunii;</w:t>
      </w:r>
    </w:p>
    <w:p w14:paraId="11E886E4" w14:textId="72884393" w:rsidR="00334028" w:rsidRPr="00046858" w:rsidRDefault="00EC6C63" w:rsidP="00325FD9">
      <w:pPr>
        <w:pStyle w:val="Point1"/>
        <w:rPr>
          <w:rStyle w:val="Added"/>
          <w:b w:val="0"/>
          <w:noProof/>
          <w:u w:val="none"/>
        </w:rPr>
      </w:pPr>
      <w:r w:rsidRPr="00046858">
        <w:rPr>
          <w:noProof/>
        </w:rPr>
        <w:lastRenderedPageBreak/>
        <w:t>(m)</w:t>
      </w:r>
      <w:r w:rsidRPr="00046858">
        <w:rPr>
          <w:noProof/>
        </w:rPr>
        <w:tab/>
      </w:r>
      <w:r w:rsidRPr="00046858">
        <w:rPr>
          <w:rStyle w:val="Added"/>
          <w:b w:val="0"/>
          <w:noProof/>
          <w:u w:val="none"/>
        </w:rPr>
        <w:t>contribuția la funcționarea acceleratoarelor cererii;</w:t>
      </w:r>
    </w:p>
    <w:p w14:paraId="74FF283A" w14:textId="0B842119" w:rsidR="00334028" w:rsidRPr="00046858" w:rsidRDefault="00EC6C63" w:rsidP="00325FD9">
      <w:pPr>
        <w:pStyle w:val="Point1"/>
        <w:rPr>
          <w:noProof/>
        </w:rPr>
      </w:pPr>
      <w:r w:rsidRPr="00046858">
        <w:rPr>
          <w:noProof/>
        </w:rPr>
        <w:t>(n)</w:t>
      </w:r>
      <w:r w:rsidRPr="00046858">
        <w:rPr>
          <w:noProof/>
        </w:rPr>
        <w:tab/>
      </w:r>
      <w:r w:rsidRPr="00046858">
        <w:rPr>
          <w:rStyle w:val="Added"/>
          <w:b w:val="0"/>
          <w:noProof/>
          <w:u w:val="none"/>
        </w:rPr>
        <w:t xml:space="preserve">contribuția la funcționarea forumului dedicat cererii. </w:t>
      </w:r>
    </w:p>
    <w:p w14:paraId="480C60D6" w14:textId="03A97BC9" w:rsidR="00D67090" w:rsidRPr="00046858" w:rsidRDefault="00B23D11" w:rsidP="003A4FB5">
      <w:pPr>
        <w:pStyle w:val="ManualNumPar1"/>
        <w:rPr>
          <w:noProof/>
        </w:rPr>
      </w:pPr>
      <w:r w:rsidRPr="00046858">
        <w:rPr>
          <w:noProof/>
        </w:rPr>
        <w:t>(3)</w:t>
      </w:r>
      <w:r w:rsidRPr="00046858">
        <w:rPr>
          <w:noProof/>
        </w:rPr>
        <w:tab/>
        <w:t>Membrii alianței sunt reprezentanți ai lanțului valoric al semiconductorilor din Uniune, incluzând întreprinderi, start-upuri, organizații de cercetare și tehnologice și sectoare ale utilizatorilor, care îndeplinesc următoarele criterii:</w:t>
      </w:r>
    </w:p>
    <w:p w14:paraId="073B4619" w14:textId="1B4D051B" w:rsidR="00B663AC" w:rsidRPr="00046858" w:rsidRDefault="004079A6" w:rsidP="006164B0">
      <w:pPr>
        <w:pStyle w:val="Point1"/>
        <w:rPr>
          <w:noProof/>
        </w:rPr>
      </w:pPr>
      <w:r w:rsidRPr="00046858">
        <w:rPr>
          <w:noProof/>
        </w:rPr>
        <w:t>(a)</w:t>
      </w:r>
      <w:r w:rsidRPr="00046858">
        <w:rPr>
          <w:noProof/>
        </w:rPr>
        <w:tab/>
        <w:t>au demonstrat experiență, cunoștințe și capabilități în domeniul semiconductorilor;</w:t>
      </w:r>
    </w:p>
    <w:p w14:paraId="13A029C7" w14:textId="2AA7FA21" w:rsidR="00D67090" w:rsidRPr="00046858" w:rsidRDefault="00604BD4" w:rsidP="006B0135">
      <w:pPr>
        <w:pStyle w:val="Point1"/>
        <w:rPr>
          <w:noProof/>
        </w:rPr>
      </w:pPr>
      <w:r w:rsidRPr="00046858">
        <w:rPr>
          <w:noProof/>
        </w:rPr>
        <w:t>(b)</w:t>
      </w:r>
      <w:r w:rsidRPr="00046858">
        <w:rPr>
          <w:noProof/>
        </w:rPr>
        <w:tab/>
        <w:t>contribuie sau se angajează să contribuie la securitatea aprovizionării cu semiconductori a Uniunii;</w:t>
      </w:r>
    </w:p>
    <w:p w14:paraId="1151B98A" w14:textId="634CC8B2" w:rsidR="00D14F10" w:rsidRPr="00046858" w:rsidRDefault="00B60F4B" w:rsidP="006B0135">
      <w:pPr>
        <w:pStyle w:val="Point1"/>
        <w:rPr>
          <w:noProof/>
        </w:rPr>
      </w:pPr>
      <w:r w:rsidRPr="00046858">
        <w:rPr>
          <w:noProof/>
        </w:rPr>
        <w:t>(c)</w:t>
      </w:r>
      <w:r w:rsidRPr="00046858">
        <w:rPr>
          <w:noProof/>
        </w:rPr>
        <w:tab/>
        <w:t xml:space="preserve">au o prezență relevantă pe piața europeană sau se angajeze să dezvolte o astfel de prezență în Uniune. </w:t>
      </w:r>
    </w:p>
    <w:p w14:paraId="524C1B31" w14:textId="1CC410E0" w:rsidR="000A721F" w:rsidRPr="00046858" w:rsidRDefault="002C41F3" w:rsidP="003A4FB5">
      <w:pPr>
        <w:pStyle w:val="ManualNumPar1"/>
        <w:rPr>
          <w:noProof/>
        </w:rPr>
      </w:pPr>
      <w:r w:rsidRPr="00046858">
        <w:rPr>
          <w:noProof/>
        </w:rPr>
        <w:t>(4)</w:t>
      </w:r>
      <w:r w:rsidRPr="00046858">
        <w:rPr>
          <w:noProof/>
        </w:rPr>
        <w:tab/>
        <w:t>Comisia numește membrii alianței, în conformitate cu criteriile stabilite la alineatul (4).</w:t>
      </w:r>
    </w:p>
    <w:p w14:paraId="3D36458D" w14:textId="5969FE42" w:rsidR="00B23D11" w:rsidRPr="00046858" w:rsidRDefault="006D646F" w:rsidP="003A4FB5">
      <w:pPr>
        <w:pStyle w:val="ManualNumPar1"/>
        <w:rPr>
          <w:noProof/>
        </w:rPr>
      </w:pPr>
      <w:r w:rsidRPr="00046858">
        <w:rPr>
          <w:noProof/>
        </w:rPr>
        <w:t>(5)</w:t>
      </w:r>
      <w:r w:rsidRPr="00046858">
        <w:rPr>
          <w:noProof/>
        </w:rPr>
        <w:tab/>
        <w:t xml:space="preserve">Un reprezentant al Comisiei este președintele alianței. </w:t>
      </w:r>
    </w:p>
    <w:p w14:paraId="62BBC9A6" w14:textId="22D9D292" w:rsidR="00D87333" w:rsidRPr="00046858" w:rsidRDefault="00646778" w:rsidP="003A4FB5">
      <w:pPr>
        <w:pStyle w:val="ManualNumPar1"/>
        <w:rPr>
          <w:rStyle w:val="Added"/>
          <w:b w:val="0"/>
          <w:noProof/>
          <w:u w:val="none"/>
        </w:rPr>
      </w:pPr>
      <w:r w:rsidRPr="00046858">
        <w:rPr>
          <w:noProof/>
        </w:rPr>
        <w:t>(6)</w:t>
      </w:r>
      <w:r w:rsidRPr="00046858">
        <w:rPr>
          <w:noProof/>
        </w:rPr>
        <w:tab/>
        <w:t xml:space="preserve">Alianța organizează o adunare generală cel puțin o dată pe an. Acesta poate organiza reuniuni extraordinare la cererea președintelui alianței sau a oricărui membru al comitetului director, sub rezerva aprobării de către președinte. </w:t>
      </w:r>
    </w:p>
    <w:p w14:paraId="355E194D" w14:textId="196FF2E6" w:rsidR="00CA6374" w:rsidRPr="00046858" w:rsidRDefault="0011571F" w:rsidP="003A4FB5">
      <w:pPr>
        <w:pStyle w:val="ManualNumPar1"/>
        <w:rPr>
          <w:rStyle w:val="Added"/>
          <w:b w:val="0"/>
          <w:noProof/>
          <w:u w:val="none"/>
        </w:rPr>
      </w:pPr>
      <w:r w:rsidRPr="00046858">
        <w:rPr>
          <w:noProof/>
        </w:rPr>
        <w:t>(7)</w:t>
      </w:r>
      <w:r w:rsidRPr="00046858">
        <w:rPr>
          <w:noProof/>
        </w:rPr>
        <w:tab/>
      </w:r>
      <w:r w:rsidRPr="00046858">
        <w:rPr>
          <w:rStyle w:val="Added"/>
          <w:b w:val="0"/>
          <w:noProof/>
          <w:u w:val="none"/>
        </w:rPr>
        <w:t xml:space="preserve">Președintele convoacă reuniunile și stabilește ordinea de zi, în conformitate cu regulamentul de procedură și cu sarcinile alianței în temeiul prezentului regulament. </w:t>
      </w:r>
    </w:p>
    <w:p w14:paraId="57FF678E" w14:textId="13461416" w:rsidR="008303C3" w:rsidRPr="00046858" w:rsidRDefault="003B20B3" w:rsidP="003A4FB5">
      <w:pPr>
        <w:pStyle w:val="ManualNumPar1"/>
        <w:rPr>
          <w:rStyle w:val="Added"/>
          <w:noProof/>
        </w:rPr>
      </w:pPr>
      <w:r w:rsidRPr="00046858">
        <w:rPr>
          <w:noProof/>
        </w:rPr>
        <w:t>(8)</w:t>
      </w:r>
      <w:r w:rsidRPr="00046858">
        <w:rPr>
          <w:noProof/>
        </w:rPr>
        <w:tab/>
        <w:t xml:space="preserve">Comisia instituie un comitet director în cadrul alianței. Comitetul director se angajează într-un dialog strategic cu Consiliul european pentru semiconductori cel puțin o dată pe an, astfel cum se prevede la articolul 44. </w:t>
      </w:r>
    </w:p>
    <w:p w14:paraId="4275EEB0" w14:textId="6497C8B3" w:rsidR="008303C3" w:rsidRPr="00046858" w:rsidRDefault="00F93398" w:rsidP="003A4FB5">
      <w:pPr>
        <w:pStyle w:val="ManualNumPar1"/>
        <w:rPr>
          <w:rStyle w:val="Added"/>
          <w:b w:val="0"/>
          <w:noProof/>
          <w:u w:val="none"/>
        </w:rPr>
      </w:pPr>
      <w:r w:rsidRPr="00046858">
        <w:rPr>
          <w:noProof/>
        </w:rPr>
        <w:t>(9)</w:t>
      </w:r>
      <w:r w:rsidRPr="00046858">
        <w:rPr>
          <w:noProof/>
        </w:rPr>
        <w:tab/>
        <w:t xml:space="preserve">Președintele alianței sau comitetul director, sub rezerva aprobării de către președinte, poate înființa grupuri de lucru permanente sau temporare în scopul examinării unor chestiuni specifice. </w:t>
      </w:r>
    </w:p>
    <w:p w14:paraId="74228A07" w14:textId="77777777" w:rsidR="00C63D5A" w:rsidRPr="00046858" w:rsidRDefault="00C63D5A" w:rsidP="00EC2072">
      <w:pPr>
        <w:pStyle w:val="Text1"/>
        <w:ind w:left="0"/>
        <w:rPr>
          <w:noProof/>
        </w:rPr>
      </w:pPr>
    </w:p>
    <w:p w14:paraId="06A08F35" w14:textId="77777777" w:rsidR="00EC2072" w:rsidRPr="00046858" w:rsidRDefault="00EC2072" w:rsidP="00EC2072">
      <w:pPr>
        <w:pStyle w:val="Text1"/>
        <w:ind w:left="0"/>
        <w:rPr>
          <w:noProof/>
        </w:rPr>
      </w:pPr>
    </w:p>
    <w:p w14:paraId="6C1611E5" w14:textId="77777777" w:rsidR="00744B15" w:rsidRPr="00046858" w:rsidRDefault="00744B15" w:rsidP="00381616">
      <w:pPr>
        <w:pStyle w:val="ChapterTitle"/>
        <w:ind w:firstLine="720"/>
        <w:rPr>
          <w:noProof/>
        </w:rPr>
      </w:pPr>
      <w:r w:rsidRPr="00046858">
        <w:rPr>
          <w:noProof/>
        </w:rPr>
        <w:t>Capitolul VI</w:t>
      </w:r>
    </w:p>
    <w:p w14:paraId="25B97900" w14:textId="77777777" w:rsidR="00744B15" w:rsidRPr="00046858" w:rsidRDefault="00744B15" w:rsidP="00744B15">
      <w:pPr>
        <w:pStyle w:val="ChapterTitle"/>
        <w:rPr>
          <w:noProof/>
        </w:rPr>
      </w:pPr>
      <w:r w:rsidRPr="00046858">
        <w:rPr>
          <w:noProof/>
        </w:rPr>
        <w:t>Confidențialitate și sancțiuni</w:t>
      </w:r>
    </w:p>
    <w:p w14:paraId="5763C3C0" w14:textId="15ACAC7E" w:rsidR="00744B15" w:rsidRPr="00046858" w:rsidRDefault="00744B15" w:rsidP="00744B15">
      <w:pPr>
        <w:pStyle w:val="Titrearticle"/>
        <w:rPr>
          <w:noProof/>
        </w:rPr>
      </w:pPr>
      <w:r w:rsidRPr="00046858">
        <w:rPr>
          <w:noProof/>
        </w:rPr>
        <w:t xml:space="preserve">Articolul 50 </w:t>
      </w:r>
      <w:r w:rsidRPr="00046858">
        <w:rPr>
          <w:noProof/>
        </w:rPr>
        <w:cr/>
      </w:r>
      <w:r w:rsidRPr="00046858">
        <w:rPr>
          <w:noProof/>
        </w:rPr>
        <w:br/>
        <w:t>Tratamentul informațiilor confidențiale</w:t>
      </w:r>
    </w:p>
    <w:p w14:paraId="295972EB" w14:textId="72FF3286" w:rsidR="000424FD" w:rsidRPr="00046858" w:rsidRDefault="00AC5A59" w:rsidP="006164B0">
      <w:pPr>
        <w:pStyle w:val="ManualNumPar1"/>
        <w:rPr>
          <w:noProof/>
        </w:rPr>
      </w:pPr>
      <w:r w:rsidRPr="00046858">
        <w:rPr>
          <w:noProof/>
        </w:rPr>
        <w:t>(1)</w:t>
      </w:r>
      <w:r w:rsidRPr="00046858">
        <w:rPr>
          <w:noProof/>
        </w:rPr>
        <w:tab/>
        <w:t>Informațiile obținute în cursul punerii în aplicare a prezentului regulament sunt utilizate numai în sensul prezentului regulament și sunt protejate de dreptul Uniunii și de dreptul intern relevant.</w:t>
      </w:r>
    </w:p>
    <w:p w14:paraId="679A76DD" w14:textId="3F205824" w:rsidR="002774EE" w:rsidRPr="00046858" w:rsidRDefault="002774EE" w:rsidP="003A4FB5">
      <w:pPr>
        <w:pStyle w:val="ManualNumPar1"/>
        <w:rPr>
          <w:noProof/>
        </w:rPr>
      </w:pPr>
      <w:r w:rsidRPr="00046858">
        <w:rPr>
          <w:noProof/>
        </w:rPr>
        <w:t>(2)</w:t>
      </w:r>
      <w:r w:rsidRPr="00046858">
        <w:rPr>
          <w:noProof/>
        </w:rPr>
        <w:tab/>
        <w:t xml:space="preserve">Informațiile neconfidențiale colectate în temeiul prezentului regulament se transmit autorităților statistice naționale și Eurostat în scopul elaborării de statistici în conformitate cu Regulamentul (UE) 2024/3018 al Parlamentului European și al Consiliului. </w:t>
      </w:r>
    </w:p>
    <w:p w14:paraId="2BCEDFCB" w14:textId="4A6B5438" w:rsidR="00AC5A59" w:rsidRPr="00046858" w:rsidRDefault="00AC5A59" w:rsidP="003A4FB5">
      <w:pPr>
        <w:pStyle w:val="ManualNumPar1"/>
        <w:rPr>
          <w:noProof/>
        </w:rPr>
      </w:pPr>
      <w:r w:rsidRPr="00046858">
        <w:rPr>
          <w:noProof/>
        </w:rPr>
        <w:lastRenderedPageBreak/>
        <w:t>(3)</w:t>
      </w:r>
      <w:r w:rsidRPr="00046858">
        <w:rPr>
          <w:noProof/>
        </w:rPr>
        <w:tab/>
        <w:t xml:space="preserve">Informațiile obținute în temeiul articolelor 14, 33, 35, 38, 41 și 46 fac obiectul secretului profesional și beneficiază de protecția oferită de normele aplicabile instituțiilor Uniunii și de dreptul intern relevant, inclusiv de declanșarea dispozițiilor aplicabile pentru încălcarea normelor respective. </w:t>
      </w:r>
    </w:p>
    <w:p w14:paraId="3A6C2A9D" w14:textId="2825FCBF" w:rsidR="00AC5A59" w:rsidRPr="00046858" w:rsidRDefault="00AC5A59" w:rsidP="003A4FB5">
      <w:pPr>
        <w:pStyle w:val="ManualNumPar1"/>
        <w:rPr>
          <w:noProof/>
        </w:rPr>
      </w:pPr>
      <w:r w:rsidRPr="00046858">
        <w:rPr>
          <w:noProof/>
        </w:rPr>
        <w:t>(4)</w:t>
      </w:r>
      <w:r w:rsidRPr="00046858">
        <w:rPr>
          <w:noProof/>
        </w:rPr>
        <w:tab/>
        <w:t>Comisia și autoritățile naționale competente, funcționarii și agenții lor și alte persoane care lucrează sub supravegherea respectivelor autorități asigură confidențialitatea informațiilor și a datelor pe care le-au obținut în îndeplinirea sarcinilor lor, astfel încât să protejeze îndeosebi drepturile de proprietate intelectuală și informațiile sensibile din punct de vedere comercial sau secretele comerciale. Această obligație li se aplică tuturor reprezentanților statelor membre, observatorilor, experților și altor participanți care participă la ședințele Consiliului european pentru semiconductori în temeiul articolului 44, precum și membrilor Comitetului pentru semiconductori prevăzut la articolul 56 alineatul (1).</w:t>
      </w:r>
    </w:p>
    <w:p w14:paraId="62ABA7E5" w14:textId="6272ABF2" w:rsidR="00AC5A59" w:rsidRPr="00046858" w:rsidRDefault="00AC5A59" w:rsidP="003A4FB5">
      <w:pPr>
        <w:pStyle w:val="ManualNumPar1"/>
        <w:rPr>
          <w:noProof/>
        </w:rPr>
      </w:pPr>
      <w:r w:rsidRPr="00046858">
        <w:rPr>
          <w:noProof/>
        </w:rPr>
        <w:t>(5)</w:t>
      </w:r>
      <w:r w:rsidRPr="00046858">
        <w:rPr>
          <w:noProof/>
        </w:rPr>
        <w:tab/>
        <w:t>Comisia prevede mijloace standardizate și securizate pentru colectarea, prelucrarea și stocarea informațiilor obținute în temeiul prezentului regulament.</w:t>
      </w:r>
    </w:p>
    <w:p w14:paraId="6E54D461" w14:textId="28394AC1" w:rsidR="00AC5A59" w:rsidRPr="00046858" w:rsidRDefault="00AC5A59" w:rsidP="003A4FB5">
      <w:pPr>
        <w:pStyle w:val="ManualNumPar1"/>
        <w:rPr>
          <w:noProof/>
        </w:rPr>
      </w:pPr>
      <w:r w:rsidRPr="00046858">
        <w:rPr>
          <w:noProof/>
        </w:rPr>
        <w:t>(6)</w:t>
      </w:r>
      <w:r w:rsidRPr="00046858">
        <w:rPr>
          <w:noProof/>
        </w:rPr>
        <w:tab/>
        <w:t>Comisia și statele membre pot face schimb, atunci când este necesar, de informații obținute în temeiul articolelor 35, 38 și 39 numai într-o formă agregată, care să împiedice divulgarea oricăror concluzii cu privire la situația specifică a unei societăți dintr-un stat membru, cu autoritățile competente din țări terțe cu care au convenit asupra unor acorduri de confidențialitate bilaterale sau multilaterale care asigură un nivel adecvat de confidențialitate. Înainte de a se angaja în orice schimb de informații, Comisia sau statele membre notifică informațiile care urmează să fie partajate și acordul de confidențialitate relevant Consiliului european pentru semiconductori.</w:t>
      </w:r>
    </w:p>
    <w:p w14:paraId="4764856C" w14:textId="77777777" w:rsidR="00AC5A59" w:rsidRPr="00046858" w:rsidRDefault="00AC5A59" w:rsidP="00C33146">
      <w:pPr>
        <w:pStyle w:val="Text1"/>
        <w:rPr>
          <w:noProof/>
        </w:rPr>
      </w:pPr>
      <w:r w:rsidRPr="00046858">
        <w:rPr>
          <w:noProof/>
        </w:rPr>
        <w:t>Atunci când face schimb de informații cu autoritățile competente din țări terțe, Comisia desemnează și utilizează un punct unic de contact în Uniune pentru a facilita transferul acestor informații sau date în mod confidențial, în conformitate cu procedurile relevante ale Comisiei.</w:t>
      </w:r>
    </w:p>
    <w:p w14:paraId="48E1C143" w14:textId="113D43BA" w:rsidR="00AC5A59" w:rsidRPr="00046858" w:rsidRDefault="00AC5A59" w:rsidP="003A4FB5">
      <w:pPr>
        <w:pStyle w:val="ManualNumPar1"/>
        <w:rPr>
          <w:noProof/>
        </w:rPr>
      </w:pPr>
      <w:r w:rsidRPr="00046858">
        <w:rPr>
          <w:noProof/>
        </w:rPr>
        <w:t>(7)</w:t>
      </w:r>
      <w:r w:rsidRPr="00046858">
        <w:rPr>
          <w:noProof/>
        </w:rPr>
        <w:tab/>
        <w:t xml:space="preserve">Comisia poate adopta acte de punere în aplicare, dacă, pe baza experienței dobândite în colectarea de informații, reiese că acest lucru este necesar, pentru a preciza modalitățile practice de tratare a informațiilor confidențiale în contextul schimburilor de informații efectuate în temeiul prezentului regulament. Respectivele acte de punere în aplicare se adoptă în conformitate cu procedura de examinare menționată la articolul 56 alineatul (2). </w:t>
      </w:r>
    </w:p>
    <w:p w14:paraId="17BFFA37" w14:textId="60A72687" w:rsidR="00AC5A59" w:rsidRPr="00046858" w:rsidRDefault="00AC5A59" w:rsidP="00AC5A59">
      <w:pPr>
        <w:pStyle w:val="Titrearticle"/>
        <w:rPr>
          <w:noProof/>
        </w:rPr>
      </w:pPr>
      <w:r w:rsidRPr="00046858">
        <w:rPr>
          <w:noProof/>
        </w:rPr>
        <w:t xml:space="preserve">Articolul 51 </w:t>
      </w:r>
      <w:r w:rsidRPr="00046858">
        <w:rPr>
          <w:noProof/>
        </w:rPr>
        <w:cr/>
      </w:r>
      <w:r w:rsidRPr="00046858">
        <w:rPr>
          <w:noProof/>
        </w:rPr>
        <w:br/>
        <w:t xml:space="preserve">Sancțiuni </w:t>
      </w:r>
    </w:p>
    <w:p w14:paraId="3AEEBF69" w14:textId="7C32913E" w:rsidR="00AC5A59" w:rsidRPr="00046858" w:rsidRDefault="00AC5A59" w:rsidP="006164B0">
      <w:pPr>
        <w:pStyle w:val="ManualNumPar1"/>
        <w:rPr>
          <w:noProof/>
        </w:rPr>
      </w:pPr>
      <w:r w:rsidRPr="00046858">
        <w:rPr>
          <w:noProof/>
        </w:rPr>
        <w:t>(1)</w:t>
      </w:r>
      <w:r w:rsidRPr="00046858">
        <w:rPr>
          <w:noProof/>
        </w:rPr>
        <w:tab/>
        <w:t>Comisia poate, atunci când consideră că este necesar și proporțional, să adopte o decizie de a:</w:t>
      </w:r>
    </w:p>
    <w:p w14:paraId="7431F828" w14:textId="6FBA2D53" w:rsidR="00AC5A59" w:rsidRPr="00046858" w:rsidRDefault="00AC5A59" w:rsidP="000006E4">
      <w:pPr>
        <w:pStyle w:val="Point1"/>
        <w:rPr>
          <w:noProof/>
        </w:rPr>
      </w:pPr>
      <w:r w:rsidRPr="00046858">
        <w:rPr>
          <w:noProof/>
        </w:rPr>
        <w:t>(a)</w:t>
      </w:r>
      <w:r w:rsidRPr="00046858">
        <w:rPr>
          <w:noProof/>
        </w:rPr>
        <w:tab/>
        <w:t>aplica amenzi, în cazul în care o întreprindere furnizează, cu intenție sau din neglijență gravă, informații incorecte, incomplete sau înșelătoare atunci când răspunde la o solicitare adresată în temeiul articolului 38 sau al articolului 41 sau în cazul în care nu furnizează informațiile în termenul stabilit;</w:t>
      </w:r>
    </w:p>
    <w:p w14:paraId="3C0A0EA4" w14:textId="4D419F78" w:rsidR="00AC5A59" w:rsidRPr="00046858" w:rsidRDefault="00AC5A59" w:rsidP="000006E4">
      <w:pPr>
        <w:pStyle w:val="Point1"/>
        <w:rPr>
          <w:noProof/>
        </w:rPr>
      </w:pPr>
      <w:r w:rsidRPr="00046858">
        <w:rPr>
          <w:noProof/>
        </w:rPr>
        <w:t>(b)</w:t>
      </w:r>
      <w:r w:rsidRPr="00046858">
        <w:rPr>
          <w:noProof/>
        </w:rPr>
        <w:tab/>
        <w:t xml:space="preserve">aplica amenzi, în cazul în care o întreprindere, cu intenție sau din neglijență gravă, nu respectă obligația de a informa Comisia cu privire la obligația impusă </w:t>
      </w:r>
      <w:r w:rsidRPr="00046858">
        <w:rPr>
          <w:noProof/>
        </w:rPr>
        <w:lastRenderedPageBreak/>
        <w:t>de o țară terță în temeiul articolului 38 alineatul (8), al articolului 41 alineatul (7) și al articolului 42 alineatul (3);</w:t>
      </w:r>
    </w:p>
    <w:p w14:paraId="68E08A02" w14:textId="174446F2" w:rsidR="00AC5A59" w:rsidRPr="00046858" w:rsidRDefault="00AC5A59" w:rsidP="000006E4">
      <w:pPr>
        <w:pStyle w:val="Point1"/>
        <w:rPr>
          <w:noProof/>
        </w:rPr>
      </w:pPr>
      <w:r w:rsidRPr="00046858">
        <w:rPr>
          <w:noProof/>
        </w:rPr>
        <w:t>(c)</w:t>
      </w:r>
      <w:r w:rsidRPr="00046858">
        <w:rPr>
          <w:noProof/>
        </w:rPr>
        <w:tab/>
        <w:t>impune penalități cu titlu cominatoriu, în cazul în care o întreprindere, cu intenție sau din neglijență gravă, nu respectă obligația de a acorda prioritate producției de produse necesare în situații de criză în temeiul articolului 42.</w:t>
      </w:r>
    </w:p>
    <w:p w14:paraId="091B662A" w14:textId="6CE8467F" w:rsidR="00AC5A59" w:rsidRPr="00046858" w:rsidRDefault="00AC5A59" w:rsidP="003A4FB5">
      <w:pPr>
        <w:pStyle w:val="ManualNumPar1"/>
        <w:rPr>
          <w:noProof/>
        </w:rPr>
      </w:pPr>
      <w:r w:rsidRPr="00046858">
        <w:rPr>
          <w:noProof/>
        </w:rPr>
        <w:t>(2)</w:t>
      </w:r>
      <w:r w:rsidRPr="00046858">
        <w:rPr>
          <w:noProof/>
        </w:rPr>
        <w:tab/>
        <w:t>Înainte de a lua o decizie în temeiul alineatului 1 de la prezentul articol, Comisia le acordă întreprinderilor posibilitatea de a fi ascultate în conformitate cu articolul 54. Pentru a stabili dacă amenzile sau penalitățile cu titlu cominatoriu sunt considerate necesare și proporționale, Comisia ia în considerare orice justificare motivată în mod corespunzător prezentată de astfel de întreprinderi.</w:t>
      </w:r>
    </w:p>
    <w:p w14:paraId="7B2B2143" w14:textId="24E11A61" w:rsidR="00AC5A59" w:rsidRPr="00046858" w:rsidRDefault="00AC5A59" w:rsidP="003A4FB5">
      <w:pPr>
        <w:pStyle w:val="ManualNumPar1"/>
        <w:rPr>
          <w:noProof/>
        </w:rPr>
      </w:pPr>
      <w:r w:rsidRPr="00046858">
        <w:rPr>
          <w:noProof/>
        </w:rPr>
        <w:t>(3)</w:t>
      </w:r>
      <w:r w:rsidRPr="00046858">
        <w:rPr>
          <w:noProof/>
        </w:rPr>
        <w:tab/>
        <w:t>Amenzile aplicate în cazurile menționate la alineatul (1) litera (a) nu depășesc 300 000 EUR.</w:t>
      </w:r>
    </w:p>
    <w:p w14:paraId="40A7F689" w14:textId="77777777" w:rsidR="00AC5A59" w:rsidRPr="00046858" w:rsidRDefault="00AC5A59" w:rsidP="00AC5A59">
      <w:pPr>
        <w:pStyle w:val="Text1"/>
        <w:rPr>
          <w:noProof/>
        </w:rPr>
      </w:pPr>
      <w:r w:rsidRPr="00046858">
        <w:rPr>
          <w:noProof/>
        </w:rPr>
        <w:t xml:space="preserve">Amenzile aplicate în cazurile menționate la alineatul (1) litera (b) nu depășesc 150 000 EUR. </w:t>
      </w:r>
    </w:p>
    <w:p w14:paraId="06A9AE87" w14:textId="77777777" w:rsidR="00AC5A59" w:rsidRPr="00046858" w:rsidRDefault="00AC5A59" w:rsidP="00AC5A59">
      <w:pPr>
        <w:pStyle w:val="Text1"/>
        <w:rPr>
          <w:noProof/>
        </w:rPr>
      </w:pPr>
      <w:r w:rsidRPr="00046858">
        <w:rPr>
          <w:noProof/>
        </w:rPr>
        <w:t>Dacă întreprinderea în cauză este un IMM, amenzile aplicate nu depășesc 50 000 EUR.</w:t>
      </w:r>
    </w:p>
    <w:p w14:paraId="369932D5" w14:textId="337E7B66" w:rsidR="00AC5A59" w:rsidRPr="00046858" w:rsidRDefault="00AC5A59" w:rsidP="003A4FB5">
      <w:pPr>
        <w:pStyle w:val="ManualNumPar1"/>
        <w:rPr>
          <w:noProof/>
        </w:rPr>
      </w:pPr>
      <w:r w:rsidRPr="00046858">
        <w:rPr>
          <w:noProof/>
        </w:rPr>
        <w:t>(4)</w:t>
      </w:r>
      <w:r w:rsidRPr="00046858">
        <w:rPr>
          <w:noProof/>
        </w:rPr>
        <w:tab/>
        <w:t>Penalitățile cu titlu cominatoriu impuse în cazul menționat la alineatul (1) litera (c) nu depășesc 1,5 % din valoarea curentă a cifrei de afaceri zilnice pentru fiecare zi lucrătoare de nerespectare a obligației prevăzute la articolul 43, calculată de la data stabilită în decizia prin care a fost emisă comanda prioritară.</w:t>
      </w:r>
    </w:p>
    <w:p w14:paraId="2E3FDB4A" w14:textId="77777777" w:rsidR="00AC5A59" w:rsidRPr="00046858" w:rsidRDefault="00AC5A59" w:rsidP="00AC5A59">
      <w:pPr>
        <w:pStyle w:val="Text1"/>
        <w:rPr>
          <w:noProof/>
        </w:rPr>
      </w:pPr>
      <w:r w:rsidRPr="00046858">
        <w:rPr>
          <w:noProof/>
        </w:rPr>
        <w:t>Dacă întreprinderea în cauză este un IMM, penalitățile cu titlu cominatoriu impuse nu depășesc 0,5 % din valoarea curentă a cifrei de afaceri zilnice.</w:t>
      </w:r>
    </w:p>
    <w:p w14:paraId="62CC6B6A" w14:textId="717864C8" w:rsidR="00AC5A59" w:rsidRPr="00046858" w:rsidRDefault="00AC5A59" w:rsidP="003A4FB5">
      <w:pPr>
        <w:pStyle w:val="ManualNumPar1"/>
        <w:rPr>
          <w:noProof/>
        </w:rPr>
      </w:pPr>
      <w:r w:rsidRPr="00046858">
        <w:rPr>
          <w:noProof/>
        </w:rPr>
        <w:t>(5)</w:t>
      </w:r>
      <w:r w:rsidRPr="00046858">
        <w:rPr>
          <w:noProof/>
        </w:rPr>
        <w:tab/>
        <w:t>La stabilirea cuantumului amenzii sau al penalităților cu titlu cominatoriu, Comisia ia în considerare natura, gravitatea și durata încălcării, inclusiv în cazul nerespectării obligației de a accepta o comandă prioritară și de a-i acorda prioritate astfel cum se prevede la articolul 43 și atunci când întreprinderea a respectat parțial comanda prioritară, ținându-se seama în mod corespunzător de principiile proporționalității și adecvării.</w:t>
      </w:r>
    </w:p>
    <w:p w14:paraId="1144AF53" w14:textId="4B44ABEE" w:rsidR="000567A9" w:rsidRPr="00046858" w:rsidRDefault="008765E8" w:rsidP="003A4FB5">
      <w:pPr>
        <w:pStyle w:val="ManualNumPar1"/>
        <w:rPr>
          <w:noProof/>
        </w:rPr>
      </w:pPr>
      <w:r w:rsidRPr="00046858">
        <w:rPr>
          <w:noProof/>
        </w:rPr>
        <w:t>(6)</w:t>
      </w:r>
      <w:r w:rsidRPr="00046858">
        <w:rPr>
          <w:noProof/>
        </w:rPr>
        <w:tab/>
        <w:t xml:space="preserve">Atunci când întreprinderea și-a îndeplinit obligația a cărei executare era vizată de aplicarea penalităților cu titlu cominatoriu, Comisia poate stabili cuantumul definitiv al penalităților cu titlu cominatoriu la o valoare mai mică decât cea care rezulta din decizia inițială. </w:t>
      </w:r>
    </w:p>
    <w:p w14:paraId="7BA65B43" w14:textId="29A9D99A" w:rsidR="00AC5A59" w:rsidRPr="00046858" w:rsidRDefault="00AC5A59" w:rsidP="003A4FB5">
      <w:pPr>
        <w:pStyle w:val="ManualNumPar1"/>
        <w:rPr>
          <w:noProof/>
        </w:rPr>
      </w:pPr>
      <w:r w:rsidRPr="00046858">
        <w:rPr>
          <w:noProof/>
        </w:rPr>
        <w:t>(7)</w:t>
      </w:r>
      <w:r w:rsidRPr="00046858">
        <w:rPr>
          <w:noProof/>
        </w:rPr>
        <w:tab/>
        <w:t xml:space="preserve">Curtea de Justiție are competența de fond în ceea ce privește controlul deciziilor prin care Comisia a impus o amendă sau o penalitate cu titlu cominatoriu. Aceasta poate anula, reduce sau majora amenda sau penalitățile cu titlu cominatoriu aplicate. </w:t>
      </w:r>
    </w:p>
    <w:p w14:paraId="380806BC" w14:textId="7D339790" w:rsidR="00AC5A59" w:rsidRPr="00046858" w:rsidRDefault="00AC5A59" w:rsidP="00AC5A59">
      <w:pPr>
        <w:pStyle w:val="Titrearticle"/>
        <w:rPr>
          <w:noProof/>
        </w:rPr>
      </w:pPr>
      <w:r w:rsidRPr="00046858">
        <w:rPr>
          <w:noProof/>
        </w:rPr>
        <w:t xml:space="preserve">Articolul 52 </w:t>
      </w:r>
      <w:r w:rsidRPr="00046858">
        <w:rPr>
          <w:noProof/>
        </w:rPr>
        <w:cr/>
      </w:r>
      <w:r w:rsidRPr="00046858">
        <w:rPr>
          <w:noProof/>
        </w:rPr>
        <w:br/>
        <w:t>Termenul de prescripție pentru impunerea de sancțiuni</w:t>
      </w:r>
    </w:p>
    <w:p w14:paraId="26F73BA1" w14:textId="2101E8C0" w:rsidR="00AC5A59" w:rsidRPr="00046858" w:rsidRDefault="00AC5A59" w:rsidP="006164B0">
      <w:pPr>
        <w:pStyle w:val="ManualNumPar1"/>
        <w:rPr>
          <w:noProof/>
        </w:rPr>
      </w:pPr>
      <w:r w:rsidRPr="00046858">
        <w:rPr>
          <w:noProof/>
        </w:rPr>
        <w:t>(1)</w:t>
      </w:r>
      <w:r w:rsidRPr="00046858">
        <w:rPr>
          <w:noProof/>
        </w:rPr>
        <w:tab/>
        <w:t>Competențele conferite Comisiei prin articolul 51 sunt supuse următoarelor termene de prescripție:</w:t>
      </w:r>
    </w:p>
    <w:p w14:paraId="75B76773" w14:textId="69FF5FB1" w:rsidR="00AC5A59" w:rsidRPr="00046858" w:rsidRDefault="00AC5A59" w:rsidP="000006E4">
      <w:pPr>
        <w:pStyle w:val="Point1"/>
        <w:rPr>
          <w:noProof/>
        </w:rPr>
      </w:pPr>
      <w:r w:rsidRPr="00046858">
        <w:rPr>
          <w:noProof/>
        </w:rPr>
        <w:t>(a)</w:t>
      </w:r>
      <w:r w:rsidRPr="00046858">
        <w:rPr>
          <w:noProof/>
        </w:rPr>
        <w:tab/>
        <w:t>doi ani în cazul încălcării dispozițiilor referitoare la solicitările de informații adresate în temeiul articolului 38 sau al articolului 41;</w:t>
      </w:r>
    </w:p>
    <w:p w14:paraId="1808B06C" w14:textId="1F13F9EC" w:rsidR="00AC5A59" w:rsidRPr="00046858" w:rsidRDefault="00AC5A59" w:rsidP="000006E4">
      <w:pPr>
        <w:pStyle w:val="Point1"/>
        <w:rPr>
          <w:noProof/>
        </w:rPr>
      </w:pPr>
      <w:r w:rsidRPr="00046858">
        <w:rPr>
          <w:noProof/>
        </w:rPr>
        <w:lastRenderedPageBreak/>
        <w:t>(b)</w:t>
      </w:r>
      <w:r w:rsidRPr="00046858">
        <w:rPr>
          <w:noProof/>
        </w:rPr>
        <w:tab/>
        <w:t>doi ani în cazul încălcării dispozițiilor referitoare la obligația de informare impusă în temeiul articolului 38 alineatul (8), al articolului 41 alineatul (7) și al articolului 42 alineatul (3);</w:t>
      </w:r>
    </w:p>
    <w:p w14:paraId="2064ECA3" w14:textId="2E3DAA68" w:rsidR="00AC5A59" w:rsidRPr="00046858" w:rsidRDefault="00AC5A59" w:rsidP="000006E4">
      <w:pPr>
        <w:pStyle w:val="Point1"/>
        <w:rPr>
          <w:noProof/>
        </w:rPr>
      </w:pPr>
      <w:r w:rsidRPr="00046858">
        <w:rPr>
          <w:noProof/>
        </w:rPr>
        <w:t>(c)</w:t>
      </w:r>
      <w:r w:rsidRPr="00046858">
        <w:rPr>
          <w:noProof/>
        </w:rPr>
        <w:tab/>
        <w:t>trei ani în cazul încălcării dispozițiilor referitoare la obligația de a acorda prioritate producției de produse necesare în situații de criză impusă în temeiul articolului 42.</w:t>
      </w:r>
    </w:p>
    <w:p w14:paraId="5AD6F50A" w14:textId="61086B76" w:rsidR="00AC5A59" w:rsidRPr="00046858" w:rsidRDefault="00AC5A59" w:rsidP="003A4FB5">
      <w:pPr>
        <w:pStyle w:val="ManualNumPar1"/>
        <w:rPr>
          <w:noProof/>
        </w:rPr>
      </w:pPr>
      <w:r w:rsidRPr="00046858">
        <w:rPr>
          <w:noProof/>
        </w:rPr>
        <w:t>(2)</w:t>
      </w:r>
      <w:r w:rsidRPr="00046858">
        <w:rPr>
          <w:noProof/>
        </w:rPr>
        <w:tab/>
        <w:t>Termenele de prescripție menționate la alineatul (1) încep să curgă din ziua în care se comite încălcarea. În cazul unor încălcări continue sau repetate, termenele de prescripție încep să curgă din ziua comiterii ultimei încălcări.</w:t>
      </w:r>
    </w:p>
    <w:p w14:paraId="038379F2" w14:textId="799D7906" w:rsidR="00AC5A59" w:rsidRPr="00046858" w:rsidRDefault="00AC5A59" w:rsidP="003A4FB5">
      <w:pPr>
        <w:pStyle w:val="ManualNumPar1"/>
        <w:rPr>
          <w:noProof/>
        </w:rPr>
      </w:pPr>
      <w:r w:rsidRPr="00046858">
        <w:rPr>
          <w:noProof/>
        </w:rPr>
        <w:t>(3)</w:t>
      </w:r>
      <w:r w:rsidRPr="00046858">
        <w:rPr>
          <w:noProof/>
        </w:rPr>
        <w:tab/>
        <w:t>Orice acțiune întreprinsă de Comisie sau de autoritățile naționale competente ale statelor membre în scopul asigurării respectării prezentului regulament întrerupe termenul de prescripție.</w:t>
      </w:r>
    </w:p>
    <w:p w14:paraId="65E9EF4F" w14:textId="2A0A15E2" w:rsidR="00AC5A59" w:rsidRPr="00046858" w:rsidRDefault="00AC5A59" w:rsidP="003A4FB5">
      <w:pPr>
        <w:pStyle w:val="ManualNumPar1"/>
        <w:rPr>
          <w:noProof/>
        </w:rPr>
      </w:pPr>
      <w:r w:rsidRPr="00046858">
        <w:rPr>
          <w:noProof/>
        </w:rPr>
        <w:t>(4)</w:t>
      </w:r>
      <w:r w:rsidRPr="00046858">
        <w:rPr>
          <w:noProof/>
        </w:rPr>
        <w:tab/>
        <w:t>Întreruperea termenului de prescripție se aplică tuturor părților care sunt considerate responsabile pentru participarea la încălcare.</w:t>
      </w:r>
    </w:p>
    <w:p w14:paraId="5A8EA4F4" w14:textId="7A204DA5" w:rsidR="00AC5A59" w:rsidRPr="00046858" w:rsidRDefault="00AC5A59" w:rsidP="003A4FB5">
      <w:pPr>
        <w:pStyle w:val="ManualNumPar1"/>
        <w:rPr>
          <w:noProof/>
        </w:rPr>
      </w:pPr>
      <w:r w:rsidRPr="00046858">
        <w:rPr>
          <w:noProof/>
        </w:rPr>
        <w:t>(5)</w:t>
      </w:r>
      <w:r w:rsidRPr="00046858">
        <w:rPr>
          <w:noProof/>
        </w:rPr>
        <w:tab/>
        <w:t>După fiecare întrerupere, termenul de prescripție începe să curgă din nou de la zero. Cu toate acestea, termenul de prescripție se împlinește cel târziu în ziua în care s-a scurs o perioadă egală cu termenul de prescripție sau de două ori mai mare decât acesta, fără să se fi aplicat de către Comisie o amendă sau penalități cu titlu cominatoriu. Această perioadă se prelungește cu durata în care termenul de prescripție este suspendat deoarece decizia Comisiei face obiectul unei cauze pendinte la Curtea de Justiție.</w:t>
      </w:r>
    </w:p>
    <w:p w14:paraId="2D5B1D20" w14:textId="584400AF" w:rsidR="00AC5A59" w:rsidRPr="00046858" w:rsidRDefault="00AC5A59" w:rsidP="00AC5A59">
      <w:pPr>
        <w:pStyle w:val="Titrearticle"/>
        <w:rPr>
          <w:noProof/>
        </w:rPr>
      </w:pPr>
      <w:r w:rsidRPr="00046858">
        <w:rPr>
          <w:noProof/>
        </w:rPr>
        <w:t xml:space="preserve">Articolul 53 </w:t>
      </w:r>
      <w:r w:rsidRPr="00046858">
        <w:rPr>
          <w:noProof/>
        </w:rPr>
        <w:cr/>
      </w:r>
      <w:r w:rsidRPr="00046858">
        <w:rPr>
          <w:noProof/>
        </w:rPr>
        <w:br/>
        <w:t>Termenul de prescripție pentru executarea sancțiunilor</w:t>
      </w:r>
    </w:p>
    <w:p w14:paraId="1B793177" w14:textId="4A4FA94E" w:rsidR="00AC5A59" w:rsidRPr="00046858" w:rsidRDefault="00AC5A59" w:rsidP="006164B0">
      <w:pPr>
        <w:pStyle w:val="ManualNumPar1"/>
        <w:rPr>
          <w:noProof/>
        </w:rPr>
      </w:pPr>
      <w:r w:rsidRPr="00046858">
        <w:rPr>
          <w:noProof/>
        </w:rPr>
        <w:t>(1)</w:t>
      </w:r>
      <w:r w:rsidRPr="00046858">
        <w:rPr>
          <w:noProof/>
        </w:rPr>
        <w:tab/>
        <w:t>Competența Comisiei de a executa hotărârile luate în temeiul articolului 51 este supusă unui termen de prescripție de trei ani.</w:t>
      </w:r>
    </w:p>
    <w:p w14:paraId="136B57BB" w14:textId="20C16927" w:rsidR="00AC5A59" w:rsidRPr="00046858" w:rsidRDefault="00AC5A59" w:rsidP="003A4FB5">
      <w:pPr>
        <w:pStyle w:val="ManualNumPar1"/>
        <w:rPr>
          <w:noProof/>
        </w:rPr>
      </w:pPr>
      <w:r w:rsidRPr="00046858">
        <w:rPr>
          <w:noProof/>
        </w:rPr>
        <w:t>(2)</w:t>
      </w:r>
      <w:r w:rsidRPr="00046858">
        <w:rPr>
          <w:noProof/>
        </w:rPr>
        <w:tab/>
        <w:t>Termenul de prescripție începe să curgă de la data la care decizia devine definitivă.</w:t>
      </w:r>
    </w:p>
    <w:p w14:paraId="18116EF0" w14:textId="7BD17F0F" w:rsidR="00AC5A59" w:rsidRPr="00046858" w:rsidRDefault="00AC5A59" w:rsidP="003A4FB5">
      <w:pPr>
        <w:pStyle w:val="ManualNumPar1"/>
        <w:rPr>
          <w:noProof/>
        </w:rPr>
      </w:pPr>
      <w:r w:rsidRPr="00046858">
        <w:rPr>
          <w:noProof/>
        </w:rPr>
        <w:t>(3)</w:t>
      </w:r>
      <w:r w:rsidRPr="00046858">
        <w:rPr>
          <w:noProof/>
        </w:rPr>
        <w:tab/>
        <w:t>Termenul de prescripție pentru executarea amenzilor și a penalităților cu titlu cominatoriu se întrerupe:</w:t>
      </w:r>
    </w:p>
    <w:p w14:paraId="6FD9A408" w14:textId="77777777" w:rsidR="00AC5A59" w:rsidRPr="00046858" w:rsidRDefault="00AC5A59" w:rsidP="000006E4">
      <w:pPr>
        <w:pStyle w:val="Point1"/>
        <w:rPr>
          <w:noProof/>
        </w:rPr>
      </w:pPr>
      <w:r w:rsidRPr="00046858">
        <w:rPr>
          <w:noProof/>
        </w:rPr>
        <w:t>(a)</w:t>
      </w:r>
      <w:r w:rsidRPr="00046858">
        <w:rPr>
          <w:noProof/>
        </w:rPr>
        <w:tab/>
        <w:t>prin notificarea unei decizii de modificare a cuantumului inițial al amenzii sau al penalităților cu titlu cominatoriu sau de refuzare a unei cereri de modificare;</w:t>
      </w:r>
    </w:p>
    <w:p w14:paraId="0B76C59D" w14:textId="77777777" w:rsidR="00AC5A59" w:rsidRPr="00046858" w:rsidRDefault="00AC5A59" w:rsidP="000006E4">
      <w:pPr>
        <w:pStyle w:val="Point1"/>
        <w:rPr>
          <w:noProof/>
        </w:rPr>
      </w:pPr>
      <w:r w:rsidRPr="00046858">
        <w:rPr>
          <w:noProof/>
        </w:rPr>
        <w:t>(b)</w:t>
      </w:r>
      <w:r w:rsidRPr="00046858">
        <w:rPr>
          <w:noProof/>
        </w:rPr>
        <w:tab/>
        <w:t>prin orice acțiune a Comisiei sau a unui stat membru care acționează la cererea Comisiei, care are drept scop executarea amenzii sau a penalităților cu titlu cominatoriu.</w:t>
      </w:r>
    </w:p>
    <w:p w14:paraId="6687D181" w14:textId="716EA78B" w:rsidR="00AC5A59" w:rsidRPr="00046858" w:rsidRDefault="00AC5A59" w:rsidP="003A4FB5">
      <w:pPr>
        <w:pStyle w:val="ManualNumPar1"/>
        <w:rPr>
          <w:noProof/>
        </w:rPr>
      </w:pPr>
      <w:r w:rsidRPr="00046858">
        <w:rPr>
          <w:noProof/>
        </w:rPr>
        <w:t>(4)</w:t>
      </w:r>
      <w:r w:rsidRPr="00046858">
        <w:rPr>
          <w:noProof/>
        </w:rPr>
        <w:tab/>
        <w:t>După fiecare întrerupere, începe să curgă un nou termen de prescripție.</w:t>
      </w:r>
    </w:p>
    <w:p w14:paraId="037D27EB" w14:textId="7B118F21" w:rsidR="00AC5A59" w:rsidRPr="00046858" w:rsidRDefault="00AC5A59" w:rsidP="003A4FB5">
      <w:pPr>
        <w:pStyle w:val="ManualNumPar1"/>
        <w:rPr>
          <w:noProof/>
        </w:rPr>
      </w:pPr>
      <w:r w:rsidRPr="00046858">
        <w:rPr>
          <w:noProof/>
        </w:rPr>
        <w:t>(5)</w:t>
      </w:r>
      <w:r w:rsidRPr="00046858">
        <w:rPr>
          <w:noProof/>
        </w:rPr>
        <w:tab/>
        <w:t>Termenul de prescripție pentru executarea amenzilor și a penalităților cu titlu cominatoriu se suspendă pe perioada în care:</w:t>
      </w:r>
    </w:p>
    <w:p w14:paraId="737124FB" w14:textId="77777777" w:rsidR="00AC5A59" w:rsidRPr="00046858" w:rsidRDefault="00AC5A59" w:rsidP="000006E4">
      <w:pPr>
        <w:pStyle w:val="Point1"/>
        <w:rPr>
          <w:noProof/>
        </w:rPr>
      </w:pPr>
      <w:r w:rsidRPr="00046858">
        <w:rPr>
          <w:noProof/>
        </w:rPr>
        <w:t>(a)</w:t>
      </w:r>
      <w:r w:rsidRPr="00046858">
        <w:rPr>
          <w:noProof/>
        </w:rPr>
        <w:tab/>
        <w:t>se acordă timp pentru efectuarea plății;</w:t>
      </w:r>
    </w:p>
    <w:p w14:paraId="56A49D61" w14:textId="77777777" w:rsidR="00AC5A59" w:rsidRPr="00046858" w:rsidRDefault="00AC5A59" w:rsidP="000006E4">
      <w:pPr>
        <w:pStyle w:val="Point1"/>
        <w:rPr>
          <w:noProof/>
        </w:rPr>
      </w:pPr>
      <w:r w:rsidRPr="00046858">
        <w:rPr>
          <w:noProof/>
        </w:rPr>
        <w:t>(b)</w:t>
      </w:r>
      <w:r w:rsidRPr="00046858">
        <w:rPr>
          <w:noProof/>
        </w:rPr>
        <w:tab/>
        <w:t>se suspendă executarea plății în temeiul unei hotărâri a Curții de Justiție.</w:t>
      </w:r>
    </w:p>
    <w:p w14:paraId="0436772C" w14:textId="67A33B91" w:rsidR="00AC5A59" w:rsidRPr="00046858" w:rsidRDefault="00AC5A59" w:rsidP="00AC5A59">
      <w:pPr>
        <w:pStyle w:val="Titrearticle"/>
        <w:rPr>
          <w:noProof/>
        </w:rPr>
      </w:pPr>
      <w:r w:rsidRPr="00046858">
        <w:rPr>
          <w:noProof/>
        </w:rPr>
        <w:lastRenderedPageBreak/>
        <w:t xml:space="preserve">Articolul 54 </w:t>
      </w:r>
      <w:r w:rsidRPr="00046858">
        <w:rPr>
          <w:noProof/>
        </w:rPr>
        <w:cr/>
      </w:r>
      <w:r w:rsidRPr="00046858">
        <w:rPr>
          <w:noProof/>
        </w:rPr>
        <w:br/>
        <w:t>Dreptul de a fi ascultat înainte de aplicarea sancțiunilor</w:t>
      </w:r>
    </w:p>
    <w:p w14:paraId="388679CC" w14:textId="456BA453" w:rsidR="00AC5A59" w:rsidRPr="00046858" w:rsidRDefault="00AC5A59" w:rsidP="006164B0">
      <w:pPr>
        <w:pStyle w:val="ManualNumPar1"/>
        <w:rPr>
          <w:noProof/>
        </w:rPr>
      </w:pPr>
      <w:r w:rsidRPr="00046858">
        <w:rPr>
          <w:noProof/>
        </w:rPr>
        <w:t>(1)</w:t>
      </w:r>
      <w:r w:rsidRPr="00046858">
        <w:rPr>
          <w:noProof/>
        </w:rPr>
        <w:tab/>
        <w:t>Înainte de a adopta o decizie în temeiul articolului 51, Comisia îi acordă întreprinderii în cauză posibilitatea de a fi ascultată cu privire la:</w:t>
      </w:r>
    </w:p>
    <w:p w14:paraId="19FB6466" w14:textId="77777777" w:rsidR="00AC5A59" w:rsidRPr="00046858" w:rsidRDefault="00AC5A59" w:rsidP="000006E4">
      <w:pPr>
        <w:pStyle w:val="Point1"/>
        <w:rPr>
          <w:noProof/>
        </w:rPr>
      </w:pPr>
      <w:r w:rsidRPr="00046858">
        <w:rPr>
          <w:noProof/>
        </w:rPr>
        <w:t>(a)</w:t>
      </w:r>
      <w:r w:rsidRPr="00046858">
        <w:rPr>
          <w:noProof/>
        </w:rPr>
        <w:tab/>
        <w:t>constatările preliminare ale Comisiei, inclusiv cu privire la orice chestiune referitor la care Comisia a ridicat obiecții;</w:t>
      </w:r>
    </w:p>
    <w:p w14:paraId="5C475600" w14:textId="77777777" w:rsidR="00AC5A59" w:rsidRPr="00046858" w:rsidRDefault="00AC5A59" w:rsidP="000006E4">
      <w:pPr>
        <w:pStyle w:val="Point1"/>
        <w:rPr>
          <w:noProof/>
        </w:rPr>
      </w:pPr>
      <w:r w:rsidRPr="00046858">
        <w:rPr>
          <w:noProof/>
        </w:rPr>
        <w:t>(b)</w:t>
      </w:r>
      <w:r w:rsidRPr="00046858">
        <w:rPr>
          <w:noProof/>
        </w:rPr>
        <w:tab/>
        <w:t>măsurile pe care Comisia ar putea intenționa să le adopte având în vedere constatările preliminare menționate la litera (a).</w:t>
      </w:r>
    </w:p>
    <w:p w14:paraId="37BB19A3" w14:textId="703500A5" w:rsidR="00AC5A59" w:rsidRPr="00046858" w:rsidRDefault="00AC5A59" w:rsidP="003A4FB5">
      <w:pPr>
        <w:pStyle w:val="ManualNumPar1"/>
        <w:rPr>
          <w:noProof/>
        </w:rPr>
      </w:pPr>
      <w:r w:rsidRPr="00046858">
        <w:rPr>
          <w:noProof/>
        </w:rPr>
        <w:t>(2)</w:t>
      </w:r>
      <w:r w:rsidRPr="00046858">
        <w:rPr>
          <w:noProof/>
        </w:rPr>
        <w:tab/>
        <w:t>Întreprinderile în cauză își pot prezenta observațiile cu privire la constatările preliminare ale Comisiei în temeiul alineatului (1) litera (a) într-un termen care este stabilit de Comisie în concluziile sale preliminare și care nu poate fi mai scurt de 14 zile.</w:t>
      </w:r>
    </w:p>
    <w:p w14:paraId="1FD361AD" w14:textId="783EE682" w:rsidR="00AC5A59" w:rsidRPr="00046858" w:rsidRDefault="00AC5A59" w:rsidP="003A4FB5">
      <w:pPr>
        <w:pStyle w:val="ManualNumPar1"/>
        <w:rPr>
          <w:noProof/>
        </w:rPr>
      </w:pPr>
      <w:r w:rsidRPr="00046858">
        <w:rPr>
          <w:noProof/>
        </w:rPr>
        <w:t>(3)</w:t>
      </w:r>
      <w:r w:rsidRPr="00046858">
        <w:rPr>
          <w:noProof/>
        </w:rPr>
        <w:tab/>
        <w:t>Comisia își bazează deciziile numai pe obiecțiile cu privire la care întreprinderile în cauză au fost în măsură să prezinte observații.</w:t>
      </w:r>
    </w:p>
    <w:p w14:paraId="724995A8" w14:textId="48653662" w:rsidR="00EF14E4" w:rsidRPr="00046858" w:rsidRDefault="00AC5A59" w:rsidP="003A4FB5">
      <w:pPr>
        <w:pStyle w:val="ManualNumPar1"/>
        <w:rPr>
          <w:noProof/>
        </w:rPr>
      </w:pPr>
      <w:r w:rsidRPr="00046858">
        <w:rPr>
          <w:noProof/>
        </w:rPr>
        <w:t>(4)</w:t>
      </w:r>
      <w:r w:rsidRPr="00046858">
        <w:rPr>
          <w:noProof/>
        </w:rPr>
        <w:tab/>
        <w:t>Dreptul la apărare al întreprinderii în cauză este pe deplin respectat în cadrul tuturor procedurilor. Întreprinderea în cauză are dreptul de a avea acces la dosarul Comisiei în condițiile unei divulgări negociate, sub rezerva interesului legitim al întreprinderilor de a-și proteja secretele profesionale. Dreptul de acces la dosar nu include accesul la informații confidențiale și la documente interne ale Comisiei sau ale autorităților statelor membre. În special, dreptul de acces nu include accesul la corespondența dintre Comisie și autoritățile statelor membre. Nicio dispoziție de la prezentul alineat nu împiedică divulgarea și utilizarea de către Comisie a informațiilor necesare pentru a dovedi o încălcare.</w:t>
      </w:r>
    </w:p>
    <w:p w14:paraId="0BFF35F6" w14:textId="77777777" w:rsidR="00AC5A59" w:rsidRPr="00046858" w:rsidRDefault="00AC5A59" w:rsidP="00AC5A59">
      <w:pPr>
        <w:pStyle w:val="Text1"/>
        <w:rPr>
          <w:noProof/>
        </w:rPr>
      </w:pPr>
    </w:p>
    <w:p w14:paraId="58C5CF72" w14:textId="77777777" w:rsidR="00AC5A59" w:rsidRPr="00046858" w:rsidRDefault="00AC5A59" w:rsidP="00AC5A59">
      <w:pPr>
        <w:pStyle w:val="ChapterTitle"/>
        <w:rPr>
          <w:noProof/>
        </w:rPr>
      </w:pPr>
      <w:r w:rsidRPr="00046858">
        <w:rPr>
          <w:noProof/>
        </w:rPr>
        <w:t>CAPITOLUL VII</w:t>
      </w:r>
    </w:p>
    <w:p w14:paraId="37B42148" w14:textId="77777777" w:rsidR="00AC5A59" w:rsidRPr="00046858" w:rsidRDefault="00AC5A59" w:rsidP="00AC5A59">
      <w:pPr>
        <w:pStyle w:val="ChapterTitle"/>
        <w:rPr>
          <w:noProof/>
        </w:rPr>
      </w:pPr>
      <w:r w:rsidRPr="00046858">
        <w:rPr>
          <w:noProof/>
        </w:rPr>
        <w:t>Delegarea de competențe și procedura comitetului</w:t>
      </w:r>
    </w:p>
    <w:p w14:paraId="146D8AF8" w14:textId="20B37E2E" w:rsidR="00AC5A59" w:rsidRPr="00046858" w:rsidRDefault="00AC5A59" w:rsidP="00AC5A59">
      <w:pPr>
        <w:pStyle w:val="Titrearticle"/>
        <w:rPr>
          <w:noProof/>
        </w:rPr>
      </w:pPr>
      <w:r w:rsidRPr="00046858">
        <w:rPr>
          <w:noProof/>
        </w:rPr>
        <w:t xml:space="preserve">Articolul 55 </w:t>
      </w:r>
      <w:r w:rsidRPr="00046858">
        <w:rPr>
          <w:noProof/>
        </w:rPr>
        <w:cr/>
      </w:r>
      <w:r w:rsidRPr="00046858">
        <w:rPr>
          <w:noProof/>
        </w:rPr>
        <w:br/>
        <w:t>Exercitarea delegării de competențe</w:t>
      </w:r>
    </w:p>
    <w:p w14:paraId="49790E55" w14:textId="6775C5AF" w:rsidR="00AC5A59" w:rsidRPr="00046858" w:rsidRDefault="006877DE" w:rsidP="006164B0">
      <w:pPr>
        <w:pStyle w:val="ManualNumPar1"/>
        <w:rPr>
          <w:noProof/>
        </w:rPr>
      </w:pPr>
      <w:r w:rsidRPr="00046858">
        <w:rPr>
          <w:noProof/>
        </w:rPr>
        <w:t>(1)</w:t>
      </w:r>
      <w:r w:rsidRPr="00046858">
        <w:rPr>
          <w:noProof/>
        </w:rPr>
        <w:tab/>
        <w:t>Competența de a adopta acte delegate îi este conferită Comisiei în condițiile prevăzute la prezentul articol.</w:t>
      </w:r>
    </w:p>
    <w:p w14:paraId="44279C3C" w14:textId="3EE849DC" w:rsidR="006877DE" w:rsidRPr="00046858" w:rsidRDefault="006877DE" w:rsidP="003A4FB5">
      <w:pPr>
        <w:pStyle w:val="ManualNumPar1"/>
        <w:rPr>
          <w:noProof/>
        </w:rPr>
      </w:pPr>
      <w:r w:rsidRPr="00046858">
        <w:rPr>
          <w:noProof/>
        </w:rPr>
        <w:t>(2)</w:t>
      </w:r>
      <w:r w:rsidRPr="00046858">
        <w:rPr>
          <w:noProof/>
        </w:rPr>
        <w:tab/>
        <w:t>Competența de a adopta acte delegate menționată la articolele 12 și 17 îi este conferită Comisiei pe o perioadă nedeterminată de la [OP: a se introduce data intrării în vigoare].</w:t>
      </w:r>
    </w:p>
    <w:p w14:paraId="3EA17CF8" w14:textId="47D28045" w:rsidR="006877DE" w:rsidRPr="00046858" w:rsidRDefault="006877DE" w:rsidP="003A4FB5">
      <w:pPr>
        <w:pStyle w:val="ManualNumPar1"/>
        <w:rPr>
          <w:noProof/>
        </w:rPr>
      </w:pPr>
      <w:r w:rsidRPr="00046858">
        <w:rPr>
          <w:noProof/>
        </w:rPr>
        <w:t>(3)</w:t>
      </w:r>
      <w:r w:rsidRPr="00046858">
        <w:rPr>
          <w:noProof/>
        </w:rPr>
        <w:tab/>
        <w:t xml:space="preserve">Delegarea de competențe menționată la articolul 12 și la articolul 17 poate fi revocată oricând de Parlamentul European sau de Consiliu. O decizie de revocare pune capăt delegării de competențe specificate în decizia respectivă. Decizia produce efecte din ziua care urmează datei publicării acesteia în </w:t>
      </w:r>
      <w:r w:rsidRPr="00046858">
        <w:rPr>
          <w:i/>
          <w:noProof/>
        </w:rPr>
        <w:t>Jurnalul Oficial al Uniunii Europene</w:t>
      </w:r>
      <w:r w:rsidRPr="00046858">
        <w:rPr>
          <w:noProof/>
        </w:rPr>
        <w:t xml:space="preserve"> sau de la o dată ulterioară menționată în decizie. Decizia nu afectează valabilitatea actelor delegate care sunt deja în vigoare. </w:t>
      </w:r>
    </w:p>
    <w:p w14:paraId="54440165" w14:textId="75A34F21" w:rsidR="006877DE" w:rsidRPr="00046858" w:rsidRDefault="006877DE" w:rsidP="003A4FB5">
      <w:pPr>
        <w:pStyle w:val="ManualNumPar1"/>
        <w:rPr>
          <w:noProof/>
        </w:rPr>
      </w:pPr>
      <w:r w:rsidRPr="00046858">
        <w:rPr>
          <w:noProof/>
        </w:rPr>
        <w:lastRenderedPageBreak/>
        <w:t>(4)</w:t>
      </w:r>
      <w:r w:rsidRPr="00046858">
        <w:rPr>
          <w:noProof/>
        </w:rPr>
        <w:tab/>
        <w:t>Înainte de adoptarea unui act delegat, Comisia consultă experții desemnați de fiecare stat membru în conformitate cu principiile prevăzute în Acordul interinstituțional din 13 aprilie 2016 privind o mai bună legiferare.</w:t>
      </w:r>
    </w:p>
    <w:p w14:paraId="4FF66E96" w14:textId="433A88D1" w:rsidR="006877DE" w:rsidRPr="00046858" w:rsidRDefault="006877DE" w:rsidP="003A4FB5">
      <w:pPr>
        <w:pStyle w:val="ManualNumPar1"/>
        <w:rPr>
          <w:noProof/>
        </w:rPr>
      </w:pPr>
      <w:r w:rsidRPr="00046858">
        <w:rPr>
          <w:noProof/>
        </w:rPr>
        <w:t>(5)</w:t>
      </w:r>
      <w:r w:rsidRPr="00046858">
        <w:rPr>
          <w:noProof/>
        </w:rPr>
        <w:tab/>
        <w:t xml:space="preserve">De îndată ce adoptă un act delegat, Comisia îl notifică simultan Parlamentului European și Consiliului. </w:t>
      </w:r>
    </w:p>
    <w:p w14:paraId="3BFD43BD" w14:textId="77AFF9AD" w:rsidR="006877DE" w:rsidRPr="00046858" w:rsidRDefault="006877DE" w:rsidP="003A4FB5">
      <w:pPr>
        <w:pStyle w:val="ManualNumPar1"/>
        <w:rPr>
          <w:noProof/>
        </w:rPr>
      </w:pPr>
      <w:r w:rsidRPr="00046858">
        <w:rPr>
          <w:noProof/>
        </w:rPr>
        <w:t>(6)</w:t>
      </w:r>
      <w:r w:rsidRPr="00046858">
        <w:rPr>
          <w:noProof/>
        </w:rPr>
        <w:tab/>
        <w:t>Un act delegat adoptat în temeiul articolului 12 sau al articolului </w:t>
      </w:r>
      <w:r w:rsidRPr="00046858">
        <w:rPr>
          <w:rStyle w:val="Added"/>
          <w:b w:val="0"/>
          <w:noProof/>
          <w:u w:val="none"/>
        </w:rPr>
        <w:t xml:space="preserve">17 </w:t>
      </w:r>
      <w:r w:rsidRPr="00046858">
        <w:rPr>
          <w:noProof/>
        </w:rPr>
        <w:t xml:space="preserve">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 </w:t>
      </w:r>
    </w:p>
    <w:p w14:paraId="7E1C7BEE" w14:textId="313F288F" w:rsidR="006877DE" w:rsidRPr="00046858" w:rsidRDefault="006877DE" w:rsidP="006877DE">
      <w:pPr>
        <w:pStyle w:val="Titrearticle"/>
        <w:rPr>
          <w:noProof/>
        </w:rPr>
      </w:pPr>
      <w:r w:rsidRPr="00046858">
        <w:rPr>
          <w:noProof/>
        </w:rPr>
        <w:t xml:space="preserve">Articolul 56 </w:t>
      </w:r>
      <w:r w:rsidRPr="00046858">
        <w:rPr>
          <w:noProof/>
        </w:rPr>
        <w:cr/>
      </w:r>
      <w:r w:rsidRPr="00046858">
        <w:rPr>
          <w:noProof/>
        </w:rPr>
        <w:br/>
        <w:t>Procedura comitetului</w:t>
      </w:r>
    </w:p>
    <w:p w14:paraId="25CB443C" w14:textId="7BA194D9" w:rsidR="006877DE" w:rsidRPr="00046858" w:rsidRDefault="006877DE" w:rsidP="006164B0">
      <w:pPr>
        <w:pStyle w:val="ManualNumPar1"/>
        <w:rPr>
          <w:noProof/>
        </w:rPr>
      </w:pPr>
      <w:r w:rsidRPr="00046858">
        <w:rPr>
          <w:noProof/>
        </w:rPr>
        <w:t>(1)</w:t>
      </w:r>
      <w:r w:rsidRPr="00046858">
        <w:rPr>
          <w:noProof/>
        </w:rPr>
        <w:tab/>
        <w:t>Comisia este asistată de un comitet („Comitetul pentru semiconductori”). Respectivul comitet reprezintă un comitet în înțelesul Regulamentului (UE) nr. 182/2011.</w:t>
      </w:r>
    </w:p>
    <w:p w14:paraId="0205857F" w14:textId="46B0F0CF" w:rsidR="006877DE" w:rsidRPr="00046858" w:rsidRDefault="006877DE" w:rsidP="003A4FB5">
      <w:pPr>
        <w:pStyle w:val="ManualNumPar1"/>
        <w:rPr>
          <w:noProof/>
        </w:rPr>
      </w:pPr>
      <w:r w:rsidRPr="00046858">
        <w:rPr>
          <w:noProof/>
        </w:rPr>
        <w:t>(2)</w:t>
      </w:r>
      <w:r w:rsidRPr="00046858">
        <w:rPr>
          <w:noProof/>
        </w:rPr>
        <w:tab/>
        <w:t>În cazul în care se face trimitere la prezentul alineat, se aplică articolul 5 din Regulamentul (UE) nr. 182/2011.</w:t>
      </w:r>
    </w:p>
    <w:p w14:paraId="28DF087E" w14:textId="6DBD4940" w:rsidR="006877DE" w:rsidRPr="00046858" w:rsidRDefault="006877DE" w:rsidP="003A4FB5">
      <w:pPr>
        <w:pStyle w:val="ManualNumPar1"/>
        <w:rPr>
          <w:noProof/>
        </w:rPr>
      </w:pPr>
      <w:r w:rsidRPr="00046858">
        <w:rPr>
          <w:noProof/>
        </w:rPr>
        <w:t>(3)</w:t>
      </w:r>
      <w:r w:rsidRPr="00046858">
        <w:rPr>
          <w:noProof/>
        </w:rPr>
        <w:tab/>
        <w:t xml:space="preserve">În cazul în care se face trimitere la prezentul alineat, se aplică articolul 8 din Regulamentul (UE) nr. 182/2011, coroborat cu articolul 5. </w:t>
      </w:r>
    </w:p>
    <w:p w14:paraId="0F559BD3" w14:textId="77777777" w:rsidR="006877DE" w:rsidRPr="00046858" w:rsidRDefault="006877DE" w:rsidP="006877DE">
      <w:pPr>
        <w:pStyle w:val="Text1"/>
        <w:rPr>
          <w:noProof/>
        </w:rPr>
      </w:pPr>
    </w:p>
    <w:p w14:paraId="6247B428" w14:textId="77777777" w:rsidR="006877DE" w:rsidRPr="00046858" w:rsidRDefault="006877DE" w:rsidP="006877DE">
      <w:pPr>
        <w:pStyle w:val="ChapterTitle"/>
        <w:rPr>
          <w:noProof/>
        </w:rPr>
      </w:pPr>
      <w:r w:rsidRPr="00046858">
        <w:rPr>
          <w:noProof/>
        </w:rPr>
        <w:t>CAPITOLUL VIII</w:t>
      </w:r>
    </w:p>
    <w:p w14:paraId="73D75FCF" w14:textId="77777777" w:rsidR="006877DE" w:rsidRPr="00046858" w:rsidRDefault="006877DE" w:rsidP="006877DE">
      <w:pPr>
        <w:pStyle w:val="ChapterTitle"/>
        <w:rPr>
          <w:noProof/>
        </w:rPr>
      </w:pPr>
      <w:r w:rsidRPr="00046858">
        <w:rPr>
          <w:noProof/>
        </w:rPr>
        <w:t>Dispoziții finale</w:t>
      </w:r>
    </w:p>
    <w:p w14:paraId="28837D04" w14:textId="0A9551F9" w:rsidR="00EE7883" w:rsidRPr="00046858" w:rsidRDefault="00EE7883" w:rsidP="00F85DE9">
      <w:pPr>
        <w:pStyle w:val="Titrearticle"/>
        <w:spacing w:after="0"/>
        <w:rPr>
          <w:noProof/>
        </w:rPr>
      </w:pPr>
      <w:r w:rsidRPr="00046858">
        <w:rPr>
          <w:noProof/>
        </w:rPr>
        <w:t>Articolul 57</w:t>
      </w:r>
    </w:p>
    <w:p w14:paraId="575FBCD2" w14:textId="77777777" w:rsidR="00EE7883" w:rsidRPr="00046858" w:rsidRDefault="00EE7883" w:rsidP="00F85DE9">
      <w:pPr>
        <w:spacing w:before="0"/>
        <w:jc w:val="center"/>
        <w:rPr>
          <w:i/>
          <w:iCs/>
          <w:noProof/>
        </w:rPr>
      </w:pPr>
      <w:r w:rsidRPr="00046858">
        <w:rPr>
          <w:i/>
          <w:noProof/>
        </w:rPr>
        <w:t>Evaluare și revizuire</w:t>
      </w:r>
    </w:p>
    <w:p w14:paraId="0EDBB13D" w14:textId="476599F9" w:rsidR="00266CD9" w:rsidRPr="00046858" w:rsidRDefault="007306CE" w:rsidP="006164B0">
      <w:pPr>
        <w:pStyle w:val="ManualNumPar1"/>
        <w:rPr>
          <w:noProof/>
        </w:rPr>
      </w:pPr>
      <w:r w:rsidRPr="00046858">
        <w:rPr>
          <w:noProof/>
        </w:rPr>
        <w:t>(1)</w:t>
      </w:r>
      <w:r w:rsidRPr="00046858">
        <w:rPr>
          <w:noProof/>
        </w:rPr>
        <w:tab/>
        <w:t>Până la [OP: a se introduce data – patru ani de la data intrării în vigoare] și, ulterior, la fiecare patru ani, Comisia transmite Parlamentului European și Consiliului un raport privind evaluarea și revizuirea prezentului regulament. Rapoartele se publică.</w:t>
      </w:r>
    </w:p>
    <w:p w14:paraId="1D2B28AF" w14:textId="232D671F" w:rsidR="00266CD9" w:rsidRPr="00046858" w:rsidRDefault="00266CD9" w:rsidP="003A4FB5">
      <w:pPr>
        <w:pStyle w:val="ManualNumPar1"/>
        <w:rPr>
          <w:noProof/>
        </w:rPr>
      </w:pPr>
      <w:r w:rsidRPr="00046858">
        <w:rPr>
          <w:noProof/>
        </w:rPr>
        <w:t>(2)</w:t>
      </w:r>
      <w:r w:rsidRPr="00046858">
        <w:rPr>
          <w:noProof/>
        </w:rPr>
        <w:tab/>
        <w:t xml:space="preserve">În scopul evaluării și revizuirii prezentului regulament, Consiliul european pentru semiconductori, statele membre și autoritățile naționale competente îi furnizează informații Comisiei, la cererea acesteia. </w:t>
      </w:r>
    </w:p>
    <w:p w14:paraId="1BC48BE8" w14:textId="779CD209" w:rsidR="00EE7883" w:rsidRPr="00046858" w:rsidRDefault="00266CD9" w:rsidP="003A4FB5">
      <w:pPr>
        <w:pStyle w:val="ManualNumPar1"/>
        <w:rPr>
          <w:noProof/>
        </w:rPr>
      </w:pPr>
      <w:r w:rsidRPr="00046858">
        <w:rPr>
          <w:noProof/>
        </w:rPr>
        <w:t>(3)</w:t>
      </w:r>
      <w:r w:rsidRPr="00046858">
        <w:rPr>
          <w:noProof/>
        </w:rPr>
        <w:tab/>
        <w:t xml:space="preserve">La efectuarea evaluării și a revizuirii prezentului regulament, Comisia ține seama de pozițiile și constatările Consiliului european pentru semiconductori, ale Parlamentului European, ale Consiliului, precum și ale altor organisme sau surse relevante. </w:t>
      </w:r>
    </w:p>
    <w:p w14:paraId="5E37FDF3" w14:textId="3FCAC5E3" w:rsidR="006877DE" w:rsidRPr="00046858" w:rsidRDefault="006877DE" w:rsidP="006877DE">
      <w:pPr>
        <w:pStyle w:val="Titrearticle"/>
        <w:rPr>
          <w:noProof/>
        </w:rPr>
      </w:pPr>
      <w:r w:rsidRPr="00046858">
        <w:rPr>
          <w:noProof/>
        </w:rPr>
        <w:lastRenderedPageBreak/>
        <w:t xml:space="preserve">Articolul 58 </w:t>
      </w:r>
      <w:r w:rsidRPr="00046858">
        <w:rPr>
          <w:noProof/>
        </w:rPr>
        <w:cr/>
      </w:r>
      <w:r w:rsidRPr="00046858">
        <w:rPr>
          <w:noProof/>
        </w:rPr>
        <w:br/>
        <w:t xml:space="preserve">Abrogare </w:t>
      </w:r>
    </w:p>
    <w:p w14:paraId="60183AB2" w14:textId="6B1B3AE7" w:rsidR="000875F5" w:rsidRPr="00046858" w:rsidRDefault="006877DE" w:rsidP="006164B0">
      <w:pPr>
        <w:pStyle w:val="ManualNumPar1"/>
        <w:rPr>
          <w:rStyle w:val="Added"/>
          <w:noProof/>
        </w:rPr>
      </w:pPr>
      <w:r w:rsidRPr="00046858">
        <w:rPr>
          <w:noProof/>
        </w:rPr>
        <w:t>(1)</w:t>
      </w:r>
      <w:r w:rsidRPr="00046858">
        <w:rPr>
          <w:noProof/>
        </w:rPr>
        <w:tab/>
        <w:t>Regulamentul (UE) 2023/1781 se abrogă. (2)</w:t>
      </w:r>
      <w:r w:rsidRPr="00046858">
        <w:rPr>
          <w:noProof/>
        </w:rPr>
        <w:tab/>
        <w:t xml:space="preserve">Trimiterile la Regulamentul (UE) 2023/1781 </w:t>
      </w:r>
      <w:r w:rsidRPr="00046858">
        <w:rPr>
          <w:rStyle w:val="Added"/>
          <w:b w:val="0"/>
          <w:noProof/>
          <w:u w:val="none"/>
        </w:rPr>
        <w:t>se interpretează ca trimiteri la prezentul regulament și se citesc în conformitate cu tabelul de corespondență din anexa VII</w:t>
      </w:r>
      <w:r w:rsidRPr="00046858">
        <w:rPr>
          <w:noProof/>
        </w:rPr>
        <w:t>.</w:t>
      </w:r>
    </w:p>
    <w:p w14:paraId="1C90B0DB" w14:textId="50D28D2F" w:rsidR="009F3A52" w:rsidRPr="00046858" w:rsidRDefault="009F3A52" w:rsidP="009F3A52">
      <w:pPr>
        <w:pStyle w:val="Titrearticle"/>
        <w:rPr>
          <w:noProof/>
        </w:rPr>
      </w:pPr>
      <w:r w:rsidRPr="00046858">
        <w:rPr>
          <w:noProof/>
        </w:rPr>
        <w:t>Articolul 59</w:t>
      </w:r>
    </w:p>
    <w:p w14:paraId="75DD9480" w14:textId="77777777" w:rsidR="009F3A52" w:rsidRPr="00046858" w:rsidRDefault="009F3A52" w:rsidP="009F3A52">
      <w:pPr>
        <w:jc w:val="center"/>
        <w:rPr>
          <w:i/>
          <w:iCs/>
          <w:noProof/>
        </w:rPr>
      </w:pPr>
      <w:r w:rsidRPr="00046858">
        <w:rPr>
          <w:i/>
          <w:noProof/>
        </w:rPr>
        <w:t>Dispoziții tranzitorii</w:t>
      </w:r>
    </w:p>
    <w:p w14:paraId="5096F5A0" w14:textId="1BC3DC47" w:rsidR="009F3A52" w:rsidRPr="00046858" w:rsidRDefault="009F3A52" w:rsidP="006164B0">
      <w:pPr>
        <w:pStyle w:val="ManualNumPar1"/>
        <w:rPr>
          <w:noProof/>
        </w:rPr>
      </w:pPr>
      <w:r w:rsidRPr="00046858">
        <w:rPr>
          <w:noProof/>
        </w:rPr>
        <w:t>(1)</w:t>
      </w:r>
      <w:r w:rsidRPr="00046858">
        <w:rPr>
          <w:noProof/>
        </w:rPr>
        <w:tab/>
        <w:t>Regulamentul (UE) 2023/1781 continuă să li se aplice instalațiilor de producție integrate și turnătoriilor deschise ale UE menționate la articolele 13 și, respectiv, 14 din regulamentul respectiv cărora li s-a acordat un astfel de statut în conformitate cu articolul 15 alineatul (3) din regulamentul respectiv, pe durata statutului sau pe perioada aplicabilă în temeiul articolului 15 alineatul (8) a doua teză din regulamentul respectiv.</w:t>
      </w:r>
    </w:p>
    <w:p w14:paraId="4A59D02B" w14:textId="77777777" w:rsidR="009F3A52" w:rsidRPr="00046858" w:rsidRDefault="009F3A52" w:rsidP="009F3A52">
      <w:pPr>
        <w:jc w:val="center"/>
        <w:rPr>
          <w:i/>
          <w:iCs/>
          <w:noProof/>
        </w:rPr>
      </w:pPr>
    </w:p>
    <w:p w14:paraId="7293E1AD" w14:textId="132DDCF9" w:rsidR="00126BD2" w:rsidRPr="00046858" w:rsidRDefault="00126BD2" w:rsidP="00126BD2">
      <w:pPr>
        <w:pStyle w:val="Titrearticle"/>
        <w:rPr>
          <w:noProof/>
        </w:rPr>
      </w:pPr>
      <w:r w:rsidRPr="00046858">
        <w:rPr>
          <w:noProof/>
        </w:rPr>
        <w:t xml:space="preserve">Articolul 60 </w:t>
      </w:r>
      <w:r w:rsidRPr="00046858">
        <w:rPr>
          <w:noProof/>
        </w:rPr>
        <w:cr/>
      </w:r>
      <w:r w:rsidRPr="00046858">
        <w:rPr>
          <w:noProof/>
        </w:rPr>
        <w:br/>
        <w:t>Intrare în vigoare</w:t>
      </w:r>
    </w:p>
    <w:p w14:paraId="2E45A4CE" w14:textId="7953CF32" w:rsidR="00126BD2" w:rsidRPr="00046858" w:rsidRDefault="00126BD2" w:rsidP="00126BD2">
      <w:pPr>
        <w:rPr>
          <w:noProof/>
        </w:rPr>
      </w:pPr>
      <w:r w:rsidRPr="00046858">
        <w:rPr>
          <w:noProof/>
        </w:rPr>
        <w:t xml:space="preserve">Prezentul regulament intră în vigoare în ziua următoare datei publicării în </w:t>
      </w:r>
      <w:r w:rsidRPr="00046858">
        <w:rPr>
          <w:i/>
          <w:noProof/>
        </w:rPr>
        <w:t>Jurnalul Oficial al Uniunii Europene</w:t>
      </w:r>
      <w:r w:rsidRPr="00046858">
        <w:rPr>
          <w:noProof/>
        </w:rPr>
        <w:t>.</w:t>
      </w:r>
    </w:p>
    <w:p w14:paraId="40D04F86" w14:textId="77777777" w:rsidR="00126BD2" w:rsidRPr="00046858" w:rsidRDefault="00126BD2" w:rsidP="00126BD2">
      <w:pPr>
        <w:pStyle w:val="Applicationdirecte"/>
        <w:rPr>
          <w:noProof/>
        </w:rPr>
      </w:pPr>
      <w:r w:rsidRPr="00046858">
        <w:rPr>
          <w:noProof/>
        </w:rPr>
        <w:t>Prezentul regulament este obligatoriu în toate elementele sale și se aplică direct în toate statele membre.</w:t>
      </w:r>
    </w:p>
    <w:p w14:paraId="1287959C" w14:textId="77777777" w:rsidR="00A03D5B" w:rsidRPr="00046858" w:rsidRDefault="00A03D5B" w:rsidP="00EB19A5">
      <w:pPr>
        <w:pStyle w:val="Applicationdirecte"/>
        <w:keepNext/>
        <w:keepLines/>
        <w:rPr>
          <w:noProof/>
        </w:rPr>
      </w:pPr>
    </w:p>
    <w:p w14:paraId="7683318C" w14:textId="6BCCA601" w:rsidR="00A03D5B" w:rsidRPr="00046858" w:rsidRDefault="00046858" w:rsidP="00AA332B">
      <w:pPr>
        <w:pStyle w:val="Fait"/>
        <w:rPr>
          <w:noProof/>
        </w:rPr>
      </w:pPr>
      <w:r>
        <w:rPr>
          <w:noProof/>
        </w:rPr>
        <w:t>Adoptat la Bruxelles,</w:t>
      </w:r>
    </w:p>
    <w:p w14:paraId="2210CAB0" w14:textId="77777777" w:rsidR="00A03D5B" w:rsidRPr="00046858" w:rsidRDefault="00A03D5B" w:rsidP="00AA332B">
      <w:pPr>
        <w:pStyle w:val="Institutionquisigne"/>
        <w:rPr>
          <w:noProof/>
        </w:rPr>
      </w:pPr>
      <w:r w:rsidRPr="00046858">
        <w:rPr>
          <w:noProof/>
        </w:rPr>
        <w:t>Pentru Parlamentul European</w:t>
      </w:r>
      <w:r w:rsidRPr="00046858">
        <w:rPr>
          <w:noProof/>
        </w:rPr>
        <w:tab/>
        <w:t>Pentru Consiliu</w:t>
      </w:r>
    </w:p>
    <w:p w14:paraId="793C7B1B" w14:textId="77777777" w:rsidR="00A03D5B" w:rsidRPr="00046858" w:rsidRDefault="00A03D5B" w:rsidP="008B6225">
      <w:pPr>
        <w:pStyle w:val="Personnequisigne"/>
        <w:rPr>
          <w:noProof/>
        </w:rPr>
        <w:sectPr w:rsidR="00A03D5B" w:rsidRPr="00046858" w:rsidSect="0001503D">
          <w:pgSz w:w="11907" w:h="16839"/>
          <w:pgMar w:top="1134" w:right="1417" w:bottom="1134" w:left="1417" w:header="709" w:footer="709" w:gutter="0"/>
          <w:cols w:space="708"/>
          <w:docGrid w:linePitch="360"/>
        </w:sectPr>
      </w:pPr>
      <w:r w:rsidRPr="00046858">
        <w:rPr>
          <w:noProof/>
        </w:rPr>
        <w:t>Președinta</w:t>
      </w:r>
      <w:r w:rsidRPr="00046858">
        <w:rPr>
          <w:noProof/>
        </w:rPr>
        <w:tab/>
        <w:t>Președintele</w:t>
      </w:r>
    </w:p>
    <w:p w14:paraId="204BAB5A" w14:textId="77777777" w:rsidR="00A03D5B" w:rsidRPr="00046858" w:rsidRDefault="00A03D5B" w:rsidP="0041561E">
      <w:pPr>
        <w:pStyle w:val="Fichefinanciretitre"/>
        <w:keepNext/>
        <w:rPr>
          <w:noProof/>
        </w:rPr>
      </w:pPr>
      <w:r w:rsidRPr="00046858">
        <w:rPr>
          <w:noProof/>
        </w:rPr>
        <w:lastRenderedPageBreak/>
        <w:t>FIȘĂ FINANCIARĂ LEGISLATIVĂ ȘI DIGITALĂ</w:t>
      </w:r>
    </w:p>
    <w:p w14:paraId="11F96EF2" w14:textId="77777777" w:rsidR="00A03D5B" w:rsidRPr="00046858" w:rsidRDefault="00A03D5B" w:rsidP="0041561E">
      <w:pPr>
        <w:pStyle w:val="TOC1"/>
        <w:rPr>
          <w:rFonts w:asciiTheme="minorHAnsi" w:eastAsiaTheme="minorEastAsia" w:hAnsiTheme="minorHAnsi" w:cstheme="minorBidi"/>
          <w:noProof/>
          <w:kern w:val="2"/>
          <w:sz w:val="22"/>
          <w14:ligatures w14:val="standardContextual"/>
        </w:rPr>
      </w:pPr>
      <w:r w:rsidRPr="00046858">
        <w:rPr>
          <w:noProof/>
        </w:rPr>
        <w:t>1.</w:t>
      </w:r>
      <w:r w:rsidRPr="00046858">
        <w:rPr>
          <w:noProof/>
        </w:rPr>
        <w:tab/>
        <w:t>CADRUL PROPUNERII/INIȚIATIVEI</w:t>
      </w:r>
      <w:r w:rsidRPr="00046858">
        <w:rPr>
          <w:noProof/>
        </w:rPr>
        <w:tab/>
      </w:r>
      <w:r w:rsidRPr="00046858">
        <w:rPr>
          <w:noProof/>
          <w:webHidden/>
        </w:rPr>
        <w:t>3</w:t>
      </w:r>
    </w:p>
    <w:p w14:paraId="2921E5D3" w14:textId="77777777" w:rsidR="00A03D5B" w:rsidRPr="00046858" w:rsidRDefault="00A03D5B" w:rsidP="0041561E">
      <w:pPr>
        <w:pStyle w:val="TOC2"/>
        <w:rPr>
          <w:rFonts w:asciiTheme="minorHAnsi" w:eastAsiaTheme="minorEastAsia" w:hAnsiTheme="minorHAnsi" w:cstheme="minorBidi"/>
          <w:noProof/>
          <w:kern w:val="2"/>
          <w:sz w:val="22"/>
          <w14:ligatures w14:val="standardContextual"/>
        </w:rPr>
      </w:pPr>
      <w:r w:rsidRPr="00046858">
        <w:rPr>
          <w:noProof/>
        </w:rPr>
        <w:t>1.1.</w:t>
      </w:r>
      <w:r w:rsidRPr="00046858">
        <w:rPr>
          <w:noProof/>
        </w:rPr>
        <w:tab/>
        <w:t>Titlul propunerii/inițiativei</w:t>
      </w:r>
      <w:r w:rsidRPr="00046858">
        <w:rPr>
          <w:noProof/>
        </w:rPr>
        <w:tab/>
      </w:r>
      <w:r w:rsidRPr="00046858">
        <w:rPr>
          <w:noProof/>
          <w:webHidden/>
        </w:rPr>
        <w:t>3</w:t>
      </w:r>
    </w:p>
    <w:p w14:paraId="147A9411" w14:textId="77777777" w:rsidR="00A03D5B" w:rsidRPr="00046858" w:rsidRDefault="00A03D5B" w:rsidP="0041561E">
      <w:pPr>
        <w:pStyle w:val="TOC2"/>
        <w:rPr>
          <w:rFonts w:asciiTheme="minorHAnsi" w:eastAsiaTheme="minorEastAsia" w:hAnsiTheme="minorHAnsi" w:cstheme="minorBidi"/>
          <w:noProof/>
          <w:kern w:val="2"/>
          <w:sz w:val="22"/>
          <w14:ligatures w14:val="standardContextual"/>
        </w:rPr>
      </w:pPr>
      <w:r w:rsidRPr="00046858">
        <w:rPr>
          <w:noProof/>
        </w:rPr>
        <w:t>1.2.</w:t>
      </w:r>
      <w:r w:rsidRPr="00046858">
        <w:rPr>
          <w:noProof/>
        </w:rPr>
        <w:tab/>
        <w:t>Domeniul (domeniile) de politică vizat(e)</w:t>
      </w:r>
      <w:r w:rsidRPr="00046858">
        <w:rPr>
          <w:noProof/>
        </w:rPr>
        <w:tab/>
      </w:r>
      <w:r w:rsidRPr="00046858">
        <w:rPr>
          <w:noProof/>
          <w:webHidden/>
        </w:rPr>
        <w:t>3</w:t>
      </w:r>
    </w:p>
    <w:p w14:paraId="3D8EFD6F" w14:textId="77777777" w:rsidR="00A03D5B" w:rsidRPr="00046858" w:rsidRDefault="00A03D5B" w:rsidP="0041561E">
      <w:pPr>
        <w:pStyle w:val="TOC2"/>
        <w:rPr>
          <w:rFonts w:asciiTheme="minorHAnsi" w:eastAsiaTheme="minorEastAsia" w:hAnsiTheme="minorHAnsi" w:cstheme="minorBidi"/>
          <w:noProof/>
          <w:kern w:val="2"/>
          <w:sz w:val="22"/>
          <w14:ligatures w14:val="standardContextual"/>
        </w:rPr>
      </w:pPr>
      <w:r w:rsidRPr="00046858">
        <w:rPr>
          <w:noProof/>
        </w:rPr>
        <w:t>1.3.</w:t>
      </w:r>
      <w:r w:rsidRPr="00046858">
        <w:rPr>
          <w:noProof/>
        </w:rPr>
        <w:tab/>
        <w:t>Obiectiv(e)</w:t>
      </w:r>
      <w:r w:rsidRPr="00046858">
        <w:rPr>
          <w:noProof/>
        </w:rPr>
        <w:tab/>
      </w:r>
      <w:r w:rsidRPr="00046858">
        <w:rPr>
          <w:noProof/>
          <w:webHidden/>
        </w:rPr>
        <w:t>3</w:t>
      </w:r>
    </w:p>
    <w:p w14:paraId="319D5A13" w14:textId="77777777" w:rsidR="00A03D5B" w:rsidRPr="00046858" w:rsidRDefault="00A03D5B" w:rsidP="0041561E">
      <w:pPr>
        <w:pStyle w:val="TOC3"/>
        <w:rPr>
          <w:rFonts w:asciiTheme="minorHAnsi" w:eastAsiaTheme="minorEastAsia" w:hAnsiTheme="minorHAnsi" w:cstheme="minorBidi"/>
          <w:noProof/>
          <w:kern w:val="2"/>
          <w:sz w:val="22"/>
          <w14:ligatures w14:val="standardContextual"/>
        </w:rPr>
      </w:pPr>
      <w:r w:rsidRPr="00046858">
        <w:rPr>
          <w:noProof/>
        </w:rPr>
        <w:t>1.3.1.</w:t>
      </w:r>
      <w:r w:rsidRPr="00046858">
        <w:rPr>
          <w:noProof/>
        </w:rPr>
        <w:tab/>
        <w:t>Obiectiv(e) general(e)</w:t>
      </w:r>
      <w:r w:rsidRPr="00046858">
        <w:rPr>
          <w:noProof/>
        </w:rPr>
        <w:tab/>
      </w:r>
      <w:r w:rsidRPr="00046858">
        <w:rPr>
          <w:noProof/>
          <w:webHidden/>
        </w:rPr>
        <w:t>3</w:t>
      </w:r>
    </w:p>
    <w:p w14:paraId="7C956111" w14:textId="77777777" w:rsidR="00A03D5B" w:rsidRPr="00046858" w:rsidRDefault="00A03D5B" w:rsidP="0041561E">
      <w:pPr>
        <w:pStyle w:val="TOC3"/>
        <w:rPr>
          <w:rFonts w:asciiTheme="minorHAnsi" w:eastAsiaTheme="minorEastAsia" w:hAnsiTheme="minorHAnsi" w:cstheme="minorBidi"/>
          <w:noProof/>
          <w:kern w:val="2"/>
          <w:sz w:val="22"/>
          <w14:ligatures w14:val="standardContextual"/>
        </w:rPr>
      </w:pPr>
      <w:r w:rsidRPr="00046858">
        <w:rPr>
          <w:noProof/>
        </w:rPr>
        <w:t>1.3.2.</w:t>
      </w:r>
      <w:r w:rsidRPr="00046858">
        <w:rPr>
          <w:noProof/>
        </w:rPr>
        <w:tab/>
        <w:t>Obiectiv(e) specific(e)</w:t>
      </w:r>
      <w:r w:rsidRPr="00046858">
        <w:rPr>
          <w:noProof/>
        </w:rPr>
        <w:tab/>
      </w:r>
      <w:r w:rsidRPr="00046858">
        <w:rPr>
          <w:noProof/>
          <w:webHidden/>
        </w:rPr>
        <w:t>3</w:t>
      </w:r>
    </w:p>
    <w:p w14:paraId="09B9C509" w14:textId="77777777" w:rsidR="00A03D5B" w:rsidRPr="00046858" w:rsidRDefault="00A03D5B" w:rsidP="0041561E">
      <w:pPr>
        <w:pStyle w:val="TOC3"/>
        <w:rPr>
          <w:rFonts w:asciiTheme="minorHAnsi" w:eastAsiaTheme="minorEastAsia" w:hAnsiTheme="minorHAnsi" w:cstheme="minorBidi"/>
          <w:noProof/>
          <w:kern w:val="2"/>
          <w:sz w:val="22"/>
          <w14:ligatures w14:val="standardContextual"/>
        </w:rPr>
      </w:pPr>
      <w:r w:rsidRPr="00046858">
        <w:rPr>
          <w:noProof/>
        </w:rPr>
        <w:t>1.3.3.</w:t>
      </w:r>
      <w:r w:rsidRPr="00046858">
        <w:rPr>
          <w:noProof/>
        </w:rPr>
        <w:tab/>
        <w:t>Rezultatul (rezultatele) și impactul preconizate</w:t>
      </w:r>
      <w:r w:rsidRPr="00046858">
        <w:rPr>
          <w:noProof/>
        </w:rPr>
        <w:tab/>
      </w:r>
      <w:r w:rsidRPr="00046858">
        <w:rPr>
          <w:noProof/>
          <w:webHidden/>
        </w:rPr>
        <w:t>3</w:t>
      </w:r>
    </w:p>
    <w:p w14:paraId="36C8A77D" w14:textId="77777777" w:rsidR="00A03D5B" w:rsidRPr="00046858" w:rsidRDefault="00A03D5B" w:rsidP="0041561E">
      <w:pPr>
        <w:pStyle w:val="TOC3"/>
        <w:rPr>
          <w:rFonts w:asciiTheme="minorHAnsi" w:eastAsiaTheme="minorEastAsia" w:hAnsiTheme="minorHAnsi" w:cstheme="minorBidi"/>
          <w:noProof/>
          <w:kern w:val="2"/>
          <w:sz w:val="22"/>
          <w14:ligatures w14:val="standardContextual"/>
        </w:rPr>
      </w:pPr>
      <w:r w:rsidRPr="00046858">
        <w:rPr>
          <w:noProof/>
        </w:rPr>
        <w:t>1.3.4.</w:t>
      </w:r>
      <w:r w:rsidRPr="00046858">
        <w:rPr>
          <w:noProof/>
        </w:rPr>
        <w:tab/>
        <w:t>Indicatori de performanță</w:t>
      </w:r>
      <w:r w:rsidRPr="00046858">
        <w:rPr>
          <w:noProof/>
        </w:rPr>
        <w:tab/>
      </w:r>
      <w:r w:rsidRPr="00046858">
        <w:rPr>
          <w:noProof/>
          <w:webHidden/>
        </w:rPr>
        <w:t>3</w:t>
      </w:r>
    </w:p>
    <w:p w14:paraId="4ACE293F" w14:textId="77777777" w:rsidR="00A03D5B" w:rsidRPr="00046858" w:rsidRDefault="00A03D5B" w:rsidP="0041561E">
      <w:pPr>
        <w:pStyle w:val="TOC2"/>
        <w:rPr>
          <w:rFonts w:asciiTheme="minorHAnsi" w:eastAsiaTheme="minorEastAsia" w:hAnsiTheme="minorHAnsi" w:cstheme="minorBidi"/>
          <w:noProof/>
          <w:kern w:val="2"/>
          <w:sz w:val="22"/>
          <w14:ligatures w14:val="standardContextual"/>
        </w:rPr>
      </w:pPr>
      <w:r w:rsidRPr="00046858">
        <w:rPr>
          <w:noProof/>
        </w:rPr>
        <w:t>1.4.</w:t>
      </w:r>
      <w:r w:rsidRPr="00046858">
        <w:rPr>
          <w:noProof/>
        </w:rPr>
        <w:tab/>
        <w:t>Obiectul propunerii/inițiativei</w:t>
      </w:r>
      <w:r w:rsidRPr="00046858">
        <w:rPr>
          <w:noProof/>
        </w:rPr>
        <w:tab/>
      </w:r>
      <w:r w:rsidRPr="00046858">
        <w:rPr>
          <w:noProof/>
          <w:webHidden/>
        </w:rPr>
        <w:t>4</w:t>
      </w:r>
    </w:p>
    <w:p w14:paraId="621130A0" w14:textId="77777777" w:rsidR="00A03D5B" w:rsidRPr="00046858" w:rsidRDefault="00A03D5B" w:rsidP="0041561E">
      <w:pPr>
        <w:pStyle w:val="TOC2"/>
        <w:rPr>
          <w:rFonts w:asciiTheme="minorHAnsi" w:eastAsiaTheme="minorEastAsia" w:hAnsiTheme="minorHAnsi" w:cstheme="minorBidi"/>
          <w:noProof/>
          <w:kern w:val="2"/>
          <w:sz w:val="22"/>
          <w14:ligatures w14:val="standardContextual"/>
        </w:rPr>
      </w:pPr>
      <w:r w:rsidRPr="00046858">
        <w:rPr>
          <w:noProof/>
        </w:rPr>
        <w:t>1.5.</w:t>
      </w:r>
      <w:r w:rsidRPr="00046858">
        <w:rPr>
          <w:noProof/>
        </w:rPr>
        <w:tab/>
        <w:t>Motivele propunerii/inițiativei</w:t>
      </w:r>
      <w:r w:rsidRPr="00046858">
        <w:rPr>
          <w:noProof/>
        </w:rPr>
        <w:tab/>
      </w:r>
      <w:r w:rsidRPr="00046858">
        <w:rPr>
          <w:noProof/>
          <w:webHidden/>
        </w:rPr>
        <w:t>4</w:t>
      </w:r>
    </w:p>
    <w:p w14:paraId="488342B1" w14:textId="77777777" w:rsidR="00A03D5B" w:rsidRPr="00046858" w:rsidRDefault="00A03D5B" w:rsidP="0041561E">
      <w:pPr>
        <w:pStyle w:val="TOC3"/>
        <w:rPr>
          <w:rFonts w:asciiTheme="minorHAnsi" w:eastAsiaTheme="minorEastAsia" w:hAnsiTheme="minorHAnsi" w:cstheme="minorBidi"/>
          <w:noProof/>
          <w:kern w:val="2"/>
          <w:sz w:val="22"/>
          <w14:ligatures w14:val="standardContextual"/>
        </w:rPr>
      </w:pPr>
      <w:r w:rsidRPr="00046858">
        <w:rPr>
          <w:noProof/>
        </w:rPr>
        <w:t>1.5.1.</w:t>
      </w:r>
      <w:r w:rsidRPr="00046858">
        <w:rPr>
          <w:noProof/>
        </w:rPr>
        <w:tab/>
        <w:t>Cerința (cerințele) care trebuie îndeplinită (îndeplinite) pe termen scurt sau lung, inclusiv un calendar detaliat pentru punerea în aplicare a inițiativei</w:t>
      </w:r>
      <w:r w:rsidRPr="00046858">
        <w:rPr>
          <w:noProof/>
        </w:rPr>
        <w:tab/>
      </w:r>
      <w:r w:rsidRPr="00046858">
        <w:rPr>
          <w:noProof/>
          <w:webHidden/>
        </w:rPr>
        <w:t>4</w:t>
      </w:r>
    </w:p>
    <w:p w14:paraId="6EA24E99" w14:textId="77777777" w:rsidR="00A03D5B" w:rsidRPr="00046858" w:rsidRDefault="00A03D5B" w:rsidP="0041561E">
      <w:pPr>
        <w:pStyle w:val="TOC3"/>
        <w:rPr>
          <w:rFonts w:asciiTheme="minorHAnsi" w:eastAsiaTheme="minorEastAsia" w:hAnsiTheme="minorHAnsi" w:cstheme="minorBidi"/>
          <w:noProof/>
          <w:kern w:val="2"/>
          <w:sz w:val="22"/>
          <w14:ligatures w14:val="standardContextual"/>
        </w:rPr>
      </w:pPr>
      <w:r w:rsidRPr="00046858">
        <w:rPr>
          <w:noProof/>
        </w:rPr>
        <w:t>1.5.2.</w:t>
      </w:r>
      <w:r w:rsidRPr="00046858">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r w:rsidRPr="00046858">
        <w:rPr>
          <w:noProof/>
        </w:rPr>
        <w:tab/>
      </w:r>
      <w:r w:rsidRPr="00046858">
        <w:rPr>
          <w:noProof/>
          <w:webHidden/>
        </w:rPr>
        <w:t>4</w:t>
      </w:r>
    </w:p>
    <w:p w14:paraId="63AE3CAA" w14:textId="77777777" w:rsidR="00A03D5B" w:rsidRPr="00046858" w:rsidRDefault="00A03D5B" w:rsidP="0041561E">
      <w:pPr>
        <w:pStyle w:val="TOC3"/>
        <w:rPr>
          <w:rFonts w:asciiTheme="minorHAnsi" w:eastAsiaTheme="minorEastAsia" w:hAnsiTheme="minorHAnsi" w:cstheme="minorBidi"/>
          <w:noProof/>
          <w:kern w:val="2"/>
          <w:sz w:val="22"/>
          <w14:ligatures w14:val="standardContextual"/>
        </w:rPr>
      </w:pPr>
      <w:r w:rsidRPr="00046858">
        <w:rPr>
          <w:noProof/>
        </w:rPr>
        <w:t>1.5.3.</w:t>
      </w:r>
      <w:r w:rsidRPr="00046858">
        <w:rPr>
          <w:noProof/>
        </w:rPr>
        <w:tab/>
        <w:t>Învățăminte desprinse din experiențele anterioare similare</w:t>
      </w:r>
      <w:r w:rsidRPr="00046858">
        <w:rPr>
          <w:noProof/>
        </w:rPr>
        <w:tab/>
      </w:r>
      <w:r w:rsidRPr="00046858">
        <w:rPr>
          <w:noProof/>
          <w:webHidden/>
        </w:rPr>
        <w:t>4</w:t>
      </w:r>
    </w:p>
    <w:p w14:paraId="2E5A33FB" w14:textId="77777777" w:rsidR="00A03D5B" w:rsidRPr="00046858" w:rsidRDefault="00A03D5B" w:rsidP="0041561E">
      <w:pPr>
        <w:pStyle w:val="TOC3"/>
        <w:rPr>
          <w:rFonts w:asciiTheme="minorHAnsi" w:eastAsiaTheme="minorEastAsia" w:hAnsiTheme="minorHAnsi" w:cstheme="minorBidi"/>
          <w:noProof/>
          <w:kern w:val="2"/>
          <w:sz w:val="22"/>
          <w14:ligatures w14:val="standardContextual"/>
        </w:rPr>
      </w:pPr>
      <w:r w:rsidRPr="00046858">
        <w:rPr>
          <w:noProof/>
        </w:rPr>
        <w:t>1.5.4.</w:t>
      </w:r>
      <w:r w:rsidRPr="00046858">
        <w:rPr>
          <w:noProof/>
        </w:rPr>
        <w:tab/>
        <w:t>Compatibilitatea cu cadrul financiar multianual și posibilele sinergii cu alte instrumente corespunzătoare</w:t>
      </w:r>
      <w:r w:rsidRPr="00046858">
        <w:rPr>
          <w:noProof/>
        </w:rPr>
        <w:tab/>
      </w:r>
      <w:r w:rsidRPr="00046858">
        <w:rPr>
          <w:noProof/>
          <w:webHidden/>
        </w:rPr>
        <w:t>5</w:t>
      </w:r>
    </w:p>
    <w:p w14:paraId="5588DF14" w14:textId="77777777" w:rsidR="00A03D5B" w:rsidRPr="00046858" w:rsidRDefault="00A03D5B" w:rsidP="0041561E">
      <w:pPr>
        <w:pStyle w:val="TOC3"/>
        <w:rPr>
          <w:rFonts w:asciiTheme="minorHAnsi" w:eastAsiaTheme="minorEastAsia" w:hAnsiTheme="minorHAnsi" w:cstheme="minorBidi"/>
          <w:noProof/>
          <w:kern w:val="2"/>
          <w:sz w:val="22"/>
          <w14:ligatures w14:val="standardContextual"/>
        </w:rPr>
      </w:pPr>
      <w:r w:rsidRPr="00046858">
        <w:rPr>
          <w:noProof/>
        </w:rPr>
        <w:t>1.5.5.</w:t>
      </w:r>
      <w:r w:rsidRPr="00046858">
        <w:rPr>
          <w:noProof/>
        </w:rPr>
        <w:tab/>
        <w:t>Evaluarea diverselor opțiuni de finanțare disponibile, inclusiv a posibilităților de realocare a creditelor</w:t>
      </w:r>
      <w:r w:rsidRPr="00046858">
        <w:rPr>
          <w:noProof/>
        </w:rPr>
        <w:tab/>
      </w:r>
      <w:r w:rsidRPr="00046858">
        <w:rPr>
          <w:noProof/>
          <w:webHidden/>
        </w:rPr>
        <w:t>5</w:t>
      </w:r>
    </w:p>
    <w:p w14:paraId="7EE2D342" w14:textId="77777777" w:rsidR="00A03D5B" w:rsidRPr="00046858" w:rsidRDefault="00A03D5B" w:rsidP="0041561E">
      <w:pPr>
        <w:pStyle w:val="TOC2"/>
        <w:rPr>
          <w:rFonts w:asciiTheme="minorHAnsi" w:eastAsiaTheme="minorEastAsia" w:hAnsiTheme="minorHAnsi" w:cstheme="minorBidi"/>
          <w:noProof/>
          <w:kern w:val="2"/>
          <w:sz w:val="22"/>
          <w14:ligatures w14:val="standardContextual"/>
        </w:rPr>
      </w:pPr>
      <w:r w:rsidRPr="00046858">
        <w:rPr>
          <w:noProof/>
        </w:rPr>
        <w:t>1.6.</w:t>
      </w:r>
      <w:r w:rsidRPr="00046858">
        <w:rPr>
          <w:noProof/>
        </w:rPr>
        <w:tab/>
        <w:t>Durata propunerii/inițiativei și a impactului său financiar</w:t>
      </w:r>
      <w:r w:rsidRPr="00046858">
        <w:rPr>
          <w:noProof/>
        </w:rPr>
        <w:tab/>
      </w:r>
      <w:r w:rsidRPr="00046858">
        <w:rPr>
          <w:noProof/>
          <w:webHidden/>
        </w:rPr>
        <w:t>6</w:t>
      </w:r>
    </w:p>
    <w:p w14:paraId="5ECF98BD" w14:textId="77777777" w:rsidR="00A03D5B" w:rsidRPr="00046858" w:rsidRDefault="00A03D5B" w:rsidP="0041561E">
      <w:pPr>
        <w:pStyle w:val="TOC2"/>
        <w:rPr>
          <w:rFonts w:asciiTheme="minorHAnsi" w:eastAsiaTheme="minorEastAsia" w:hAnsiTheme="minorHAnsi" w:cstheme="minorBidi"/>
          <w:noProof/>
          <w:kern w:val="2"/>
          <w:sz w:val="22"/>
          <w14:ligatures w14:val="standardContextual"/>
        </w:rPr>
      </w:pPr>
      <w:r w:rsidRPr="00046858">
        <w:rPr>
          <w:noProof/>
        </w:rPr>
        <w:t>1.7.</w:t>
      </w:r>
      <w:r w:rsidRPr="00046858">
        <w:rPr>
          <w:noProof/>
        </w:rPr>
        <w:tab/>
        <w:t>Metoda (metodele) de execuție a bugetului planificată (planificate)</w:t>
      </w:r>
      <w:r w:rsidRPr="00046858">
        <w:rPr>
          <w:noProof/>
        </w:rPr>
        <w:tab/>
      </w:r>
      <w:r w:rsidRPr="00046858">
        <w:rPr>
          <w:noProof/>
          <w:webHidden/>
        </w:rPr>
        <w:t>6</w:t>
      </w:r>
    </w:p>
    <w:p w14:paraId="5D237DF9" w14:textId="77777777" w:rsidR="00A03D5B" w:rsidRPr="00046858" w:rsidRDefault="00A03D5B" w:rsidP="0041561E">
      <w:pPr>
        <w:pStyle w:val="TOC1"/>
        <w:rPr>
          <w:rFonts w:asciiTheme="minorHAnsi" w:eastAsiaTheme="minorEastAsia" w:hAnsiTheme="minorHAnsi" w:cstheme="minorBidi"/>
          <w:noProof/>
          <w:kern w:val="2"/>
          <w:sz w:val="22"/>
          <w14:ligatures w14:val="standardContextual"/>
        </w:rPr>
      </w:pPr>
      <w:r w:rsidRPr="00046858">
        <w:rPr>
          <w:noProof/>
        </w:rPr>
        <w:t>2.</w:t>
      </w:r>
      <w:r w:rsidRPr="00046858">
        <w:rPr>
          <w:noProof/>
        </w:rPr>
        <w:tab/>
        <w:t>MĂSURI DE GESTIUNE</w:t>
      </w:r>
      <w:r w:rsidRPr="00046858">
        <w:rPr>
          <w:noProof/>
        </w:rPr>
        <w:tab/>
      </w:r>
      <w:r w:rsidRPr="00046858">
        <w:rPr>
          <w:noProof/>
          <w:webHidden/>
        </w:rPr>
        <w:t>8</w:t>
      </w:r>
    </w:p>
    <w:p w14:paraId="35A4A834" w14:textId="77777777" w:rsidR="00A03D5B" w:rsidRPr="00046858" w:rsidRDefault="00A03D5B" w:rsidP="0041561E">
      <w:pPr>
        <w:pStyle w:val="TOC2"/>
        <w:rPr>
          <w:rFonts w:asciiTheme="minorHAnsi" w:eastAsiaTheme="minorEastAsia" w:hAnsiTheme="minorHAnsi" w:cstheme="minorBidi"/>
          <w:noProof/>
          <w:kern w:val="2"/>
          <w:sz w:val="22"/>
          <w14:ligatures w14:val="standardContextual"/>
        </w:rPr>
      </w:pPr>
      <w:r w:rsidRPr="00046858">
        <w:rPr>
          <w:noProof/>
        </w:rPr>
        <w:t>2.1.</w:t>
      </w:r>
      <w:r w:rsidRPr="00046858">
        <w:rPr>
          <w:noProof/>
        </w:rPr>
        <w:tab/>
        <w:t>Dispoziții în materie de monitorizare și de raportare</w:t>
      </w:r>
      <w:r w:rsidRPr="00046858">
        <w:rPr>
          <w:noProof/>
        </w:rPr>
        <w:tab/>
      </w:r>
      <w:r w:rsidRPr="00046858">
        <w:rPr>
          <w:noProof/>
          <w:webHidden/>
        </w:rPr>
        <w:t>8</w:t>
      </w:r>
    </w:p>
    <w:p w14:paraId="08D59834" w14:textId="77777777" w:rsidR="00A03D5B" w:rsidRPr="00046858" w:rsidRDefault="00A03D5B" w:rsidP="0041561E">
      <w:pPr>
        <w:pStyle w:val="TOC2"/>
        <w:rPr>
          <w:rFonts w:asciiTheme="minorHAnsi" w:eastAsiaTheme="minorEastAsia" w:hAnsiTheme="minorHAnsi" w:cstheme="minorBidi"/>
          <w:noProof/>
          <w:kern w:val="2"/>
          <w:sz w:val="22"/>
          <w14:ligatures w14:val="standardContextual"/>
        </w:rPr>
      </w:pPr>
      <w:r w:rsidRPr="00046858">
        <w:rPr>
          <w:noProof/>
        </w:rPr>
        <w:t>2.2.</w:t>
      </w:r>
      <w:r w:rsidRPr="00046858">
        <w:rPr>
          <w:noProof/>
        </w:rPr>
        <w:tab/>
        <w:t>Sistemul (sistemele) de gestiune și de control</w:t>
      </w:r>
      <w:r w:rsidRPr="00046858">
        <w:rPr>
          <w:noProof/>
        </w:rPr>
        <w:tab/>
      </w:r>
      <w:r w:rsidRPr="00046858">
        <w:rPr>
          <w:noProof/>
          <w:webHidden/>
        </w:rPr>
        <w:t>8</w:t>
      </w:r>
    </w:p>
    <w:p w14:paraId="053CB70B" w14:textId="77777777" w:rsidR="00A03D5B" w:rsidRPr="00046858" w:rsidRDefault="00A03D5B" w:rsidP="0041561E">
      <w:pPr>
        <w:pStyle w:val="TOC3"/>
        <w:rPr>
          <w:rFonts w:asciiTheme="minorHAnsi" w:eastAsiaTheme="minorEastAsia" w:hAnsiTheme="minorHAnsi" w:cstheme="minorBidi"/>
          <w:noProof/>
          <w:kern w:val="2"/>
          <w:sz w:val="22"/>
          <w14:ligatures w14:val="standardContextual"/>
        </w:rPr>
      </w:pPr>
      <w:r w:rsidRPr="00046858">
        <w:rPr>
          <w:noProof/>
        </w:rPr>
        <w:t>2.2.1.</w:t>
      </w:r>
      <w:r w:rsidRPr="00046858">
        <w:rPr>
          <w:noProof/>
        </w:rPr>
        <w:tab/>
        <w:t>Justificarea metodei (metodelor) de execuție bugetară, a mecanismului (mecanismelor) de punere în aplicare a finanțării, a modalităților de plată și a strategiei de control propuse</w:t>
      </w:r>
      <w:r w:rsidRPr="00046858">
        <w:rPr>
          <w:noProof/>
        </w:rPr>
        <w:tab/>
      </w:r>
      <w:r w:rsidRPr="00046858">
        <w:rPr>
          <w:noProof/>
          <w:webHidden/>
        </w:rPr>
        <w:t>8</w:t>
      </w:r>
    </w:p>
    <w:p w14:paraId="0546E4A9" w14:textId="77777777" w:rsidR="00A03D5B" w:rsidRPr="00046858" w:rsidRDefault="00A03D5B" w:rsidP="0041561E">
      <w:pPr>
        <w:pStyle w:val="TOC3"/>
        <w:rPr>
          <w:rFonts w:asciiTheme="minorHAnsi" w:eastAsiaTheme="minorEastAsia" w:hAnsiTheme="minorHAnsi" w:cstheme="minorBidi"/>
          <w:noProof/>
          <w:kern w:val="2"/>
          <w:sz w:val="22"/>
          <w14:ligatures w14:val="standardContextual"/>
        </w:rPr>
      </w:pPr>
      <w:r w:rsidRPr="00046858">
        <w:rPr>
          <w:noProof/>
        </w:rPr>
        <w:t>2.2.2.</w:t>
      </w:r>
      <w:r w:rsidRPr="00046858">
        <w:rPr>
          <w:noProof/>
        </w:rPr>
        <w:tab/>
        <w:t>Informații privind riscurile identificate și sistemul (sistemele) de control intern instituit(e) pentru atenuarea lor</w:t>
      </w:r>
      <w:r w:rsidRPr="00046858">
        <w:rPr>
          <w:noProof/>
        </w:rPr>
        <w:tab/>
      </w:r>
      <w:r w:rsidRPr="00046858">
        <w:rPr>
          <w:noProof/>
          <w:webHidden/>
        </w:rPr>
        <w:t>8</w:t>
      </w:r>
    </w:p>
    <w:p w14:paraId="0BBEDBB3" w14:textId="77777777" w:rsidR="00A03D5B" w:rsidRPr="00046858" w:rsidRDefault="00A03D5B" w:rsidP="0041561E">
      <w:pPr>
        <w:pStyle w:val="TOC3"/>
        <w:rPr>
          <w:rFonts w:asciiTheme="minorHAnsi" w:eastAsiaTheme="minorEastAsia" w:hAnsiTheme="minorHAnsi" w:cstheme="minorBidi"/>
          <w:noProof/>
          <w:kern w:val="2"/>
          <w:sz w:val="22"/>
          <w14:ligatures w14:val="standardContextual"/>
        </w:rPr>
      </w:pPr>
      <w:r w:rsidRPr="00046858">
        <w:rPr>
          <w:noProof/>
        </w:rPr>
        <w:t>2.2.3.</w:t>
      </w:r>
      <w:r w:rsidRPr="00046858">
        <w:rPr>
          <w:noProof/>
        </w:rPr>
        <w:tab/>
        <w:t>Estimarea și justificarea raportului cost-eficacitate al controalelor (raportul dintre costurile controalelor și valoarea fondurilor aferente gestionate) și evaluarea nivelurilor preconizate ale riscurilor de eroare (la plată și la închidere)</w:t>
      </w:r>
      <w:r w:rsidRPr="00046858">
        <w:rPr>
          <w:noProof/>
        </w:rPr>
        <w:tab/>
      </w:r>
      <w:r w:rsidRPr="00046858">
        <w:rPr>
          <w:noProof/>
          <w:webHidden/>
        </w:rPr>
        <w:t>8</w:t>
      </w:r>
    </w:p>
    <w:p w14:paraId="33FF0D43" w14:textId="77777777" w:rsidR="00A03D5B" w:rsidRPr="00046858" w:rsidRDefault="00A03D5B" w:rsidP="0041561E">
      <w:pPr>
        <w:pStyle w:val="TOC2"/>
        <w:rPr>
          <w:rFonts w:asciiTheme="minorHAnsi" w:eastAsiaTheme="minorEastAsia" w:hAnsiTheme="minorHAnsi" w:cstheme="minorBidi"/>
          <w:noProof/>
          <w:kern w:val="2"/>
          <w:sz w:val="22"/>
          <w14:ligatures w14:val="standardContextual"/>
        </w:rPr>
      </w:pPr>
      <w:r w:rsidRPr="00046858">
        <w:rPr>
          <w:noProof/>
        </w:rPr>
        <w:t>2.3.</w:t>
      </w:r>
      <w:r w:rsidRPr="00046858">
        <w:rPr>
          <w:noProof/>
        </w:rPr>
        <w:tab/>
        <w:t>Măsuri de prevenire a fraudelor și a neregulilor</w:t>
      </w:r>
      <w:r w:rsidRPr="00046858">
        <w:rPr>
          <w:noProof/>
        </w:rPr>
        <w:tab/>
      </w:r>
      <w:r w:rsidRPr="00046858">
        <w:rPr>
          <w:noProof/>
          <w:webHidden/>
        </w:rPr>
        <w:t>9</w:t>
      </w:r>
    </w:p>
    <w:p w14:paraId="5AAC95C2" w14:textId="77777777" w:rsidR="00A03D5B" w:rsidRPr="00046858" w:rsidRDefault="00A03D5B" w:rsidP="0041561E">
      <w:pPr>
        <w:pStyle w:val="TOC1"/>
        <w:rPr>
          <w:rFonts w:asciiTheme="minorHAnsi" w:eastAsiaTheme="minorEastAsia" w:hAnsiTheme="minorHAnsi" w:cstheme="minorBidi"/>
          <w:noProof/>
          <w:kern w:val="2"/>
          <w:sz w:val="22"/>
          <w14:ligatures w14:val="standardContextual"/>
        </w:rPr>
      </w:pPr>
      <w:r w:rsidRPr="00046858">
        <w:rPr>
          <w:noProof/>
        </w:rPr>
        <w:t>3.</w:t>
      </w:r>
      <w:r w:rsidRPr="00046858">
        <w:rPr>
          <w:noProof/>
        </w:rPr>
        <w:tab/>
        <w:t>IMPACTUL FINANCIAR ESTIMAT AL PROPUNERII/INIȚIATIVEI</w:t>
      </w:r>
      <w:r w:rsidRPr="00046858">
        <w:rPr>
          <w:noProof/>
        </w:rPr>
        <w:tab/>
      </w:r>
      <w:r w:rsidRPr="00046858">
        <w:rPr>
          <w:noProof/>
          <w:webHidden/>
        </w:rPr>
        <w:t>10</w:t>
      </w:r>
    </w:p>
    <w:p w14:paraId="29FA2C30" w14:textId="77777777" w:rsidR="00A03D5B" w:rsidRPr="00046858" w:rsidRDefault="00A03D5B" w:rsidP="0041561E">
      <w:pPr>
        <w:pStyle w:val="TOC2"/>
        <w:rPr>
          <w:rFonts w:asciiTheme="minorHAnsi" w:eastAsiaTheme="minorEastAsia" w:hAnsiTheme="minorHAnsi" w:cstheme="minorBidi"/>
          <w:noProof/>
          <w:kern w:val="2"/>
          <w:sz w:val="22"/>
          <w14:ligatures w14:val="standardContextual"/>
        </w:rPr>
      </w:pPr>
      <w:r w:rsidRPr="00046858">
        <w:rPr>
          <w:noProof/>
        </w:rPr>
        <w:t>3.1.</w:t>
      </w:r>
      <w:r w:rsidRPr="00046858">
        <w:rPr>
          <w:noProof/>
        </w:rPr>
        <w:tab/>
        <w:t>Rubrica (rubricile) din cadrul financiar multianual și linia (liniile) bugetară (bugetare) de cheltuieli afectată (afectate)</w:t>
      </w:r>
      <w:r w:rsidRPr="00046858">
        <w:rPr>
          <w:noProof/>
        </w:rPr>
        <w:tab/>
      </w:r>
      <w:r w:rsidRPr="00046858">
        <w:rPr>
          <w:noProof/>
          <w:webHidden/>
        </w:rPr>
        <w:t>10</w:t>
      </w:r>
    </w:p>
    <w:p w14:paraId="7D7DF8D0" w14:textId="77777777" w:rsidR="00A03D5B" w:rsidRPr="00046858" w:rsidRDefault="00A03D5B" w:rsidP="0041561E">
      <w:pPr>
        <w:pStyle w:val="TOC2"/>
        <w:rPr>
          <w:rFonts w:asciiTheme="minorHAnsi" w:eastAsiaTheme="minorEastAsia" w:hAnsiTheme="minorHAnsi" w:cstheme="minorBidi"/>
          <w:noProof/>
          <w:kern w:val="2"/>
          <w:sz w:val="22"/>
          <w14:ligatures w14:val="standardContextual"/>
        </w:rPr>
      </w:pPr>
      <w:r w:rsidRPr="00046858">
        <w:rPr>
          <w:noProof/>
        </w:rPr>
        <w:t>3.2.</w:t>
      </w:r>
      <w:r w:rsidRPr="00046858">
        <w:rPr>
          <w:noProof/>
        </w:rPr>
        <w:tab/>
        <w:t>Impactul financiar estimat al propunerii asupra creditelor</w:t>
      </w:r>
      <w:r w:rsidRPr="00046858">
        <w:rPr>
          <w:noProof/>
        </w:rPr>
        <w:tab/>
      </w:r>
      <w:r w:rsidRPr="00046858">
        <w:rPr>
          <w:noProof/>
          <w:webHidden/>
        </w:rPr>
        <w:t>12</w:t>
      </w:r>
    </w:p>
    <w:p w14:paraId="64BF396C" w14:textId="77777777" w:rsidR="00A03D5B" w:rsidRPr="00046858" w:rsidRDefault="00A03D5B" w:rsidP="0041561E">
      <w:pPr>
        <w:pStyle w:val="TOC3"/>
        <w:rPr>
          <w:rFonts w:asciiTheme="minorHAnsi" w:eastAsiaTheme="minorEastAsia" w:hAnsiTheme="minorHAnsi" w:cstheme="minorBidi"/>
          <w:noProof/>
          <w:kern w:val="2"/>
          <w:sz w:val="22"/>
          <w14:ligatures w14:val="standardContextual"/>
        </w:rPr>
      </w:pPr>
      <w:r w:rsidRPr="00046858">
        <w:rPr>
          <w:noProof/>
        </w:rPr>
        <w:t>3.2.1.</w:t>
      </w:r>
      <w:r w:rsidRPr="00046858">
        <w:rPr>
          <w:noProof/>
        </w:rPr>
        <w:tab/>
        <w:t>Sinteza impactului estimat asupra creditelor operaționale</w:t>
      </w:r>
      <w:r w:rsidRPr="00046858">
        <w:rPr>
          <w:noProof/>
        </w:rPr>
        <w:tab/>
      </w:r>
      <w:r w:rsidRPr="00046858">
        <w:rPr>
          <w:noProof/>
          <w:webHidden/>
        </w:rPr>
        <w:t>12</w:t>
      </w:r>
    </w:p>
    <w:p w14:paraId="170AD9CD" w14:textId="77777777" w:rsidR="00A03D5B" w:rsidRPr="00046858" w:rsidRDefault="00A03D5B" w:rsidP="0041561E">
      <w:pPr>
        <w:pStyle w:val="TOC3"/>
        <w:rPr>
          <w:rFonts w:asciiTheme="minorHAnsi" w:eastAsiaTheme="minorEastAsia" w:hAnsiTheme="minorHAnsi" w:cstheme="minorBidi"/>
          <w:noProof/>
          <w:kern w:val="2"/>
          <w:sz w:val="22"/>
          <w14:ligatures w14:val="standardContextual"/>
        </w:rPr>
      </w:pPr>
      <w:r w:rsidRPr="00046858">
        <w:rPr>
          <w:noProof/>
        </w:rPr>
        <w:t>3.2.1.1.</w:t>
      </w:r>
      <w:r w:rsidRPr="00046858">
        <w:rPr>
          <w:noProof/>
        </w:rPr>
        <w:tab/>
        <w:t>Credite din bugetul votat</w:t>
      </w:r>
      <w:r w:rsidRPr="00046858">
        <w:rPr>
          <w:noProof/>
        </w:rPr>
        <w:tab/>
      </w:r>
      <w:r w:rsidRPr="00046858">
        <w:rPr>
          <w:noProof/>
          <w:webHidden/>
        </w:rPr>
        <w:t>12</w:t>
      </w:r>
    </w:p>
    <w:p w14:paraId="165240BA" w14:textId="77777777" w:rsidR="00A03D5B" w:rsidRPr="00046858" w:rsidRDefault="00A03D5B" w:rsidP="0041561E">
      <w:pPr>
        <w:pStyle w:val="TOC3"/>
        <w:rPr>
          <w:rFonts w:asciiTheme="minorHAnsi" w:eastAsiaTheme="minorEastAsia" w:hAnsiTheme="minorHAnsi" w:cstheme="minorBidi"/>
          <w:noProof/>
          <w:kern w:val="2"/>
          <w:sz w:val="22"/>
          <w14:ligatures w14:val="standardContextual"/>
        </w:rPr>
      </w:pPr>
      <w:r w:rsidRPr="00046858">
        <w:rPr>
          <w:noProof/>
        </w:rPr>
        <w:t>3.2.1.2.</w:t>
      </w:r>
      <w:r w:rsidRPr="00046858">
        <w:rPr>
          <w:noProof/>
        </w:rPr>
        <w:tab/>
        <w:t>Credite din venituri alocate externe</w:t>
      </w:r>
      <w:r w:rsidRPr="00046858">
        <w:rPr>
          <w:noProof/>
        </w:rPr>
        <w:tab/>
      </w:r>
      <w:r w:rsidRPr="00046858">
        <w:rPr>
          <w:noProof/>
          <w:webHidden/>
        </w:rPr>
        <w:t>17</w:t>
      </w:r>
    </w:p>
    <w:p w14:paraId="6C89DC56" w14:textId="77777777" w:rsidR="00A03D5B" w:rsidRPr="00046858" w:rsidRDefault="00A03D5B" w:rsidP="0041561E">
      <w:pPr>
        <w:pStyle w:val="TOC3"/>
        <w:rPr>
          <w:rFonts w:asciiTheme="minorHAnsi" w:eastAsiaTheme="minorEastAsia" w:hAnsiTheme="minorHAnsi" w:cstheme="minorBidi"/>
          <w:noProof/>
          <w:kern w:val="2"/>
          <w:sz w:val="22"/>
          <w14:ligatures w14:val="standardContextual"/>
        </w:rPr>
      </w:pPr>
      <w:r w:rsidRPr="00046858">
        <w:rPr>
          <w:noProof/>
        </w:rPr>
        <w:t>3.2.2.</w:t>
      </w:r>
      <w:r w:rsidRPr="00046858">
        <w:rPr>
          <w:noProof/>
        </w:rPr>
        <w:tab/>
        <w:t>Realizările preconizate finanțate din credite operaționale</w:t>
      </w:r>
      <w:r w:rsidRPr="00046858">
        <w:rPr>
          <w:noProof/>
        </w:rPr>
        <w:tab/>
      </w:r>
      <w:r w:rsidRPr="00046858">
        <w:rPr>
          <w:noProof/>
          <w:webHidden/>
        </w:rPr>
        <w:t>22</w:t>
      </w:r>
    </w:p>
    <w:p w14:paraId="7FD6B4FE" w14:textId="77777777" w:rsidR="00A03D5B" w:rsidRPr="00046858" w:rsidRDefault="00A03D5B" w:rsidP="0041561E">
      <w:pPr>
        <w:pStyle w:val="TOC3"/>
        <w:rPr>
          <w:rFonts w:asciiTheme="minorHAnsi" w:eastAsiaTheme="minorEastAsia" w:hAnsiTheme="minorHAnsi" w:cstheme="minorBidi"/>
          <w:noProof/>
          <w:kern w:val="2"/>
          <w:sz w:val="22"/>
          <w14:ligatures w14:val="standardContextual"/>
        </w:rPr>
      </w:pPr>
      <w:r w:rsidRPr="00046858">
        <w:rPr>
          <w:noProof/>
        </w:rPr>
        <w:t>3.2.3.</w:t>
      </w:r>
      <w:r w:rsidRPr="00046858">
        <w:rPr>
          <w:noProof/>
        </w:rPr>
        <w:tab/>
        <w:t>Sinteza impactului estimat asupra creditelor administrative</w:t>
      </w:r>
      <w:r w:rsidRPr="00046858">
        <w:rPr>
          <w:noProof/>
        </w:rPr>
        <w:tab/>
      </w:r>
      <w:r w:rsidRPr="00046858">
        <w:rPr>
          <w:noProof/>
          <w:webHidden/>
        </w:rPr>
        <w:t>24</w:t>
      </w:r>
    </w:p>
    <w:p w14:paraId="6AEA67E3" w14:textId="77777777" w:rsidR="00A03D5B" w:rsidRPr="00046858" w:rsidRDefault="00A03D5B" w:rsidP="0041561E">
      <w:pPr>
        <w:pStyle w:val="TOC3"/>
        <w:rPr>
          <w:rFonts w:asciiTheme="minorHAnsi" w:eastAsiaTheme="minorEastAsia" w:hAnsiTheme="minorHAnsi" w:cstheme="minorBidi"/>
          <w:noProof/>
          <w:kern w:val="2"/>
          <w:sz w:val="22"/>
          <w14:ligatures w14:val="standardContextual"/>
        </w:rPr>
      </w:pPr>
      <w:r w:rsidRPr="00046858">
        <w:rPr>
          <w:noProof/>
        </w:rPr>
        <w:t>3.2.3.1. Credite din bugetul votat</w:t>
      </w:r>
      <w:r w:rsidRPr="00046858">
        <w:rPr>
          <w:noProof/>
        </w:rPr>
        <w:tab/>
      </w:r>
      <w:r w:rsidRPr="00046858">
        <w:rPr>
          <w:noProof/>
          <w:webHidden/>
        </w:rPr>
        <w:t>24</w:t>
      </w:r>
    </w:p>
    <w:p w14:paraId="3DA053CB" w14:textId="77777777" w:rsidR="00A03D5B" w:rsidRPr="00046858" w:rsidRDefault="00A03D5B" w:rsidP="0041561E">
      <w:pPr>
        <w:pStyle w:val="TOC3"/>
        <w:rPr>
          <w:rFonts w:asciiTheme="minorHAnsi" w:eastAsiaTheme="minorEastAsia" w:hAnsiTheme="minorHAnsi" w:cstheme="minorBidi"/>
          <w:noProof/>
          <w:kern w:val="2"/>
          <w:sz w:val="22"/>
          <w14:ligatures w14:val="standardContextual"/>
        </w:rPr>
      </w:pPr>
      <w:r w:rsidRPr="00046858">
        <w:rPr>
          <w:noProof/>
        </w:rPr>
        <w:t>3.2.3.2.</w:t>
      </w:r>
      <w:r w:rsidRPr="00046858">
        <w:rPr>
          <w:noProof/>
        </w:rPr>
        <w:tab/>
        <w:t>Credite din venituri alocate externe</w:t>
      </w:r>
      <w:r w:rsidRPr="00046858">
        <w:rPr>
          <w:noProof/>
        </w:rPr>
        <w:tab/>
      </w:r>
      <w:r w:rsidRPr="00046858">
        <w:rPr>
          <w:noProof/>
          <w:webHidden/>
        </w:rPr>
        <w:t>24</w:t>
      </w:r>
    </w:p>
    <w:p w14:paraId="4ABB74FA" w14:textId="77777777" w:rsidR="00A03D5B" w:rsidRPr="00046858" w:rsidRDefault="00A03D5B" w:rsidP="0041561E">
      <w:pPr>
        <w:pStyle w:val="TOC3"/>
        <w:rPr>
          <w:rFonts w:asciiTheme="minorHAnsi" w:eastAsiaTheme="minorEastAsia" w:hAnsiTheme="minorHAnsi" w:cstheme="minorBidi"/>
          <w:noProof/>
          <w:kern w:val="2"/>
          <w:sz w:val="22"/>
          <w14:ligatures w14:val="standardContextual"/>
        </w:rPr>
      </w:pPr>
      <w:r w:rsidRPr="00046858">
        <w:rPr>
          <w:noProof/>
        </w:rPr>
        <w:t>3.2.3.3.</w:t>
      </w:r>
      <w:r w:rsidRPr="00046858">
        <w:rPr>
          <w:noProof/>
        </w:rPr>
        <w:tab/>
        <w:t>Total credite</w:t>
      </w:r>
      <w:r w:rsidRPr="00046858">
        <w:rPr>
          <w:noProof/>
        </w:rPr>
        <w:tab/>
      </w:r>
      <w:r w:rsidRPr="00046858">
        <w:rPr>
          <w:noProof/>
          <w:webHidden/>
        </w:rPr>
        <w:t>24</w:t>
      </w:r>
    </w:p>
    <w:p w14:paraId="148379AF" w14:textId="77777777" w:rsidR="00A03D5B" w:rsidRPr="00046858" w:rsidRDefault="00A03D5B" w:rsidP="0041561E">
      <w:pPr>
        <w:pStyle w:val="TOC3"/>
        <w:rPr>
          <w:rFonts w:asciiTheme="minorHAnsi" w:eastAsiaTheme="minorEastAsia" w:hAnsiTheme="minorHAnsi" w:cstheme="minorBidi"/>
          <w:noProof/>
          <w:kern w:val="2"/>
          <w:sz w:val="22"/>
          <w14:ligatures w14:val="standardContextual"/>
        </w:rPr>
      </w:pPr>
      <w:r w:rsidRPr="00046858">
        <w:rPr>
          <w:noProof/>
        </w:rPr>
        <w:t>3.2.4.</w:t>
      </w:r>
      <w:r w:rsidRPr="00046858">
        <w:rPr>
          <w:noProof/>
        </w:rPr>
        <w:tab/>
        <w:t>Necesarul de resurse umane estimat</w:t>
      </w:r>
      <w:r w:rsidRPr="00046858">
        <w:rPr>
          <w:noProof/>
        </w:rPr>
        <w:tab/>
      </w:r>
      <w:r w:rsidRPr="00046858">
        <w:rPr>
          <w:noProof/>
          <w:webHidden/>
        </w:rPr>
        <w:t>25</w:t>
      </w:r>
    </w:p>
    <w:p w14:paraId="12DFE068" w14:textId="77777777" w:rsidR="00A03D5B" w:rsidRPr="00046858" w:rsidRDefault="00A03D5B" w:rsidP="0041561E">
      <w:pPr>
        <w:pStyle w:val="TOC3"/>
        <w:rPr>
          <w:rFonts w:asciiTheme="minorHAnsi" w:eastAsiaTheme="minorEastAsia" w:hAnsiTheme="minorHAnsi" w:cstheme="minorBidi"/>
          <w:noProof/>
          <w:kern w:val="2"/>
          <w:sz w:val="22"/>
          <w14:ligatures w14:val="standardContextual"/>
        </w:rPr>
      </w:pPr>
      <w:r w:rsidRPr="00046858">
        <w:rPr>
          <w:noProof/>
        </w:rPr>
        <w:t>3.2.4.1.</w:t>
      </w:r>
      <w:r w:rsidRPr="00046858">
        <w:rPr>
          <w:noProof/>
        </w:rPr>
        <w:tab/>
        <w:t>Finanțare din bugetul votat</w:t>
      </w:r>
      <w:r w:rsidRPr="00046858">
        <w:rPr>
          <w:noProof/>
        </w:rPr>
        <w:tab/>
      </w:r>
      <w:r w:rsidRPr="00046858">
        <w:rPr>
          <w:noProof/>
          <w:webHidden/>
        </w:rPr>
        <w:t>25</w:t>
      </w:r>
    </w:p>
    <w:p w14:paraId="31B0A13E" w14:textId="77777777" w:rsidR="00A03D5B" w:rsidRPr="00046858" w:rsidRDefault="00A03D5B" w:rsidP="0041561E">
      <w:pPr>
        <w:pStyle w:val="TOC3"/>
        <w:rPr>
          <w:rFonts w:asciiTheme="minorHAnsi" w:eastAsiaTheme="minorEastAsia" w:hAnsiTheme="minorHAnsi" w:cstheme="minorBidi"/>
          <w:noProof/>
          <w:kern w:val="2"/>
          <w:sz w:val="22"/>
          <w14:ligatures w14:val="standardContextual"/>
        </w:rPr>
      </w:pPr>
      <w:r w:rsidRPr="00046858">
        <w:rPr>
          <w:noProof/>
        </w:rPr>
        <w:t>3.2.4.2.</w:t>
      </w:r>
      <w:r w:rsidRPr="00046858">
        <w:rPr>
          <w:noProof/>
        </w:rPr>
        <w:tab/>
        <w:t>Finanțare din venituri alocate externe</w:t>
      </w:r>
      <w:r w:rsidRPr="00046858">
        <w:rPr>
          <w:noProof/>
        </w:rPr>
        <w:tab/>
      </w:r>
      <w:r w:rsidRPr="00046858">
        <w:rPr>
          <w:noProof/>
          <w:webHidden/>
        </w:rPr>
        <w:t>26</w:t>
      </w:r>
    </w:p>
    <w:p w14:paraId="6026887C" w14:textId="77777777" w:rsidR="00A03D5B" w:rsidRPr="00046858" w:rsidRDefault="00A03D5B" w:rsidP="0041561E">
      <w:pPr>
        <w:pStyle w:val="TOC3"/>
        <w:rPr>
          <w:rFonts w:asciiTheme="minorHAnsi" w:eastAsiaTheme="minorEastAsia" w:hAnsiTheme="minorHAnsi" w:cstheme="minorBidi"/>
          <w:noProof/>
          <w:kern w:val="2"/>
          <w:sz w:val="22"/>
          <w14:ligatures w14:val="standardContextual"/>
        </w:rPr>
      </w:pPr>
      <w:r w:rsidRPr="00046858">
        <w:rPr>
          <w:noProof/>
        </w:rPr>
        <w:t>3.2.4.3.</w:t>
      </w:r>
      <w:r w:rsidRPr="00046858">
        <w:rPr>
          <w:noProof/>
        </w:rPr>
        <w:tab/>
        <w:t>Necesarul total de resurse umane</w:t>
      </w:r>
      <w:r w:rsidRPr="00046858">
        <w:rPr>
          <w:noProof/>
        </w:rPr>
        <w:tab/>
      </w:r>
      <w:r w:rsidRPr="00046858">
        <w:rPr>
          <w:noProof/>
          <w:webHidden/>
        </w:rPr>
        <w:t>26</w:t>
      </w:r>
    </w:p>
    <w:p w14:paraId="414EE965" w14:textId="77777777" w:rsidR="00A03D5B" w:rsidRPr="00046858" w:rsidRDefault="00A03D5B" w:rsidP="0041561E">
      <w:pPr>
        <w:pStyle w:val="TOC3"/>
        <w:rPr>
          <w:rFonts w:asciiTheme="minorHAnsi" w:eastAsiaTheme="minorEastAsia" w:hAnsiTheme="minorHAnsi" w:cstheme="minorBidi"/>
          <w:noProof/>
          <w:kern w:val="2"/>
          <w:sz w:val="22"/>
          <w14:ligatures w14:val="standardContextual"/>
        </w:rPr>
      </w:pPr>
      <w:r w:rsidRPr="00046858">
        <w:rPr>
          <w:noProof/>
        </w:rPr>
        <w:t>3.2.5.</w:t>
      </w:r>
      <w:r w:rsidRPr="00046858">
        <w:rPr>
          <w:noProof/>
        </w:rPr>
        <w:tab/>
        <w:t>Prezentare generală a impactului estimat asupra investițiilor legate de tehnologia digitală</w:t>
      </w:r>
      <w:r w:rsidRPr="00046858">
        <w:rPr>
          <w:noProof/>
        </w:rPr>
        <w:tab/>
      </w:r>
      <w:r w:rsidRPr="00046858">
        <w:rPr>
          <w:noProof/>
          <w:webHidden/>
        </w:rPr>
        <w:t>28</w:t>
      </w:r>
    </w:p>
    <w:p w14:paraId="0B5C9432" w14:textId="77777777" w:rsidR="00A03D5B" w:rsidRPr="00046858" w:rsidRDefault="00A03D5B" w:rsidP="0041561E">
      <w:pPr>
        <w:pStyle w:val="TOC3"/>
        <w:rPr>
          <w:rFonts w:asciiTheme="minorHAnsi" w:eastAsiaTheme="minorEastAsia" w:hAnsiTheme="minorHAnsi" w:cstheme="minorBidi"/>
          <w:noProof/>
          <w:kern w:val="2"/>
          <w:sz w:val="22"/>
          <w14:ligatures w14:val="standardContextual"/>
        </w:rPr>
      </w:pPr>
      <w:r w:rsidRPr="00046858">
        <w:rPr>
          <w:noProof/>
        </w:rPr>
        <w:t>3.2.6.</w:t>
      </w:r>
      <w:r w:rsidRPr="00046858">
        <w:rPr>
          <w:noProof/>
        </w:rPr>
        <w:tab/>
        <w:t>Compatibilitatea cu cadrul financiar multianual actual</w:t>
      </w:r>
      <w:r w:rsidRPr="00046858">
        <w:rPr>
          <w:noProof/>
        </w:rPr>
        <w:tab/>
      </w:r>
      <w:r w:rsidRPr="00046858">
        <w:rPr>
          <w:noProof/>
          <w:webHidden/>
        </w:rPr>
        <w:t>28</w:t>
      </w:r>
    </w:p>
    <w:p w14:paraId="79AE0718" w14:textId="77777777" w:rsidR="00A03D5B" w:rsidRPr="00046858" w:rsidRDefault="00A03D5B" w:rsidP="0041561E">
      <w:pPr>
        <w:pStyle w:val="TOC3"/>
        <w:rPr>
          <w:rFonts w:asciiTheme="minorHAnsi" w:eastAsiaTheme="minorEastAsia" w:hAnsiTheme="minorHAnsi" w:cstheme="minorBidi"/>
          <w:noProof/>
          <w:kern w:val="2"/>
          <w:sz w:val="22"/>
          <w14:ligatures w14:val="standardContextual"/>
        </w:rPr>
      </w:pPr>
      <w:r w:rsidRPr="00046858">
        <w:rPr>
          <w:noProof/>
        </w:rPr>
        <w:t>3.2.7.</w:t>
      </w:r>
      <w:r w:rsidRPr="00046858">
        <w:rPr>
          <w:noProof/>
        </w:rPr>
        <w:tab/>
        <w:t>Contribuțiile terților</w:t>
      </w:r>
      <w:r w:rsidRPr="00046858">
        <w:rPr>
          <w:noProof/>
        </w:rPr>
        <w:tab/>
      </w:r>
      <w:r w:rsidRPr="00046858">
        <w:rPr>
          <w:noProof/>
          <w:webHidden/>
        </w:rPr>
        <w:t>28</w:t>
      </w:r>
    </w:p>
    <w:p w14:paraId="2453281E" w14:textId="77777777" w:rsidR="00A03D5B" w:rsidRPr="00046858" w:rsidRDefault="00A03D5B" w:rsidP="0041561E">
      <w:pPr>
        <w:pStyle w:val="TOC2"/>
        <w:rPr>
          <w:rFonts w:asciiTheme="minorHAnsi" w:eastAsiaTheme="minorEastAsia" w:hAnsiTheme="minorHAnsi" w:cstheme="minorBidi"/>
          <w:noProof/>
          <w:kern w:val="2"/>
          <w:sz w:val="22"/>
          <w14:ligatures w14:val="standardContextual"/>
        </w:rPr>
      </w:pPr>
      <w:r w:rsidRPr="00046858">
        <w:rPr>
          <w:noProof/>
        </w:rPr>
        <w:t>3.3.</w:t>
      </w:r>
      <w:r w:rsidRPr="00046858">
        <w:rPr>
          <w:noProof/>
        </w:rPr>
        <w:tab/>
        <w:t>Impactul estimat asupra veniturilor</w:t>
      </w:r>
      <w:r w:rsidRPr="00046858">
        <w:rPr>
          <w:noProof/>
        </w:rPr>
        <w:tab/>
      </w:r>
      <w:r w:rsidRPr="00046858">
        <w:rPr>
          <w:noProof/>
          <w:webHidden/>
        </w:rPr>
        <w:t>29</w:t>
      </w:r>
    </w:p>
    <w:p w14:paraId="2536DF3E" w14:textId="77777777" w:rsidR="00A03D5B" w:rsidRPr="00046858" w:rsidRDefault="00A03D5B" w:rsidP="0041561E">
      <w:pPr>
        <w:pStyle w:val="TOC1"/>
        <w:rPr>
          <w:rFonts w:asciiTheme="minorHAnsi" w:eastAsiaTheme="minorEastAsia" w:hAnsiTheme="minorHAnsi" w:cstheme="minorBidi"/>
          <w:noProof/>
          <w:kern w:val="2"/>
          <w:sz w:val="22"/>
          <w14:ligatures w14:val="standardContextual"/>
        </w:rPr>
      </w:pPr>
      <w:r w:rsidRPr="00046858">
        <w:rPr>
          <w:noProof/>
        </w:rPr>
        <w:t>4.</w:t>
      </w:r>
      <w:r w:rsidRPr="00046858">
        <w:rPr>
          <w:noProof/>
        </w:rPr>
        <w:tab/>
      </w:r>
      <w:r w:rsidRPr="00046858">
        <w:rPr>
          <w:caps/>
          <w:noProof/>
        </w:rPr>
        <w:t>Dimensiunile digitale</w:t>
      </w:r>
      <w:r w:rsidRPr="00046858">
        <w:rPr>
          <w:noProof/>
        </w:rPr>
        <w:tab/>
      </w:r>
      <w:r w:rsidRPr="00046858">
        <w:rPr>
          <w:noProof/>
          <w:webHidden/>
        </w:rPr>
        <w:t>29</w:t>
      </w:r>
    </w:p>
    <w:p w14:paraId="451F06EB" w14:textId="77777777" w:rsidR="00A03D5B" w:rsidRPr="00046858" w:rsidRDefault="00A03D5B" w:rsidP="0041561E">
      <w:pPr>
        <w:pStyle w:val="TOC2"/>
        <w:rPr>
          <w:rFonts w:asciiTheme="minorHAnsi" w:eastAsiaTheme="minorEastAsia" w:hAnsiTheme="minorHAnsi" w:cstheme="minorBidi"/>
          <w:noProof/>
          <w:kern w:val="2"/>
          <w:sz w:val="22"/>
          <w14:ligatures w14:val="standardContextual"/>
        </w:rPr>
      </w:pPr>
      <w:r w:rsidRPr="00046858">
        <w:rPr>
          <w:noProof/>
        </w:rPr>
        <w:t>4.1.</w:t>
      </w:r>
      <w:r w:rsidRPr="00046858">
        <w:rPr>
          <w:noProof/>
        </w:rPr>
        <w:tab/>
        <w:t>Cerințe cu relevanță digitală</w:t>
      </w:r>
      <w:r w:rsidRPr="00046858">
        <w:rPr>
          <w:noProof/>
        </w:rPr>
        <w:tab/>
      </w:r>
      <w:r w:rsidRPr="00046858">
        <w:rPr>
          <w:noProof/>
          <w:webHidden/>
        </w:rPr>
        <w:t>30</w:t>
      </w:r>
    </w:p>
    <w:p w14:paraId="52594474" w14:textId="77777777" w:rsidR="00A03D5B" w:rsidRPr="00046858" w:rsidRDefault="00A03D5B" w:rsidP="0041561E">
      <w:pPr>
        <w:pStyle w:val="TOC2"/>
        <w:rPr>
          <w:rFonts w:asciiTheme="minorHAnsi" w:eastAsiaTheme="minorEastAsia" w:hAnsiTheme="minorHAnsi" w:cstheme="minorBidi"/>
          <w:noProof/>
          <w:kern w:val="2"/>
          <w:sz w:val="22"/>
          <w14:ligatures w14:val="standardContextual"/>
        </w:rPr>
      </w:pPr>
      <w:r w:rsidRPr="00046858">
        <w:rPr>
          <w:noProof/>
        </w:rPr>
        <w:t>4.2.</w:t>
      </w:r>
      <w:r w:rsidRPr="00046858">
        <w:rPr>
          <w:noProof/>
        </w:rPr>
        <w:tab/>
        <w:t>Date</w:t>
      </w:r>
      <w:r w:rsidRPr="00046858">
        <w:rPr>
          <w:noProof/>
        </w:rPr>
        <w:tab/>
      </w:r>
      <w:r w:rsidRPr="00046858">
        <w:rPr>
          <w:noProof/>
          <w:webHidden/>
        </w:rPr>
        <w:t>30</w:t>
      </w:r>
    </w:p>
    <w:p w14:paraId="45A4033C" w14:textId="77777777" w:rsidR="00A03D5B" w:rsidRPr="00046858" w:rsidRDefault="00A03D5B" w:rsidP="0041561E">
      <w:pPr>
        <w:pStyle w:val="TOC2"/>
        <w:rPr>
          <w:rFonts w:asciiTheme="minorHAnsi" w:eastAsiaTheme="minorEastAsia" w:hAnsiTheme="minorHAnsi" w:cstheme="minorBidi"/>
          <w:noProof/>
          <w:kern w:val="2"/>
          <w:sz w:val="22"/>
          <w14:ligatures w14:val="standardContextual"/>
        </w:rPr>
      </w:pPr>
      <w:r w:rsidRPr="00046858">
        <w:rPr>
          <w:noProof/>
        </w:rPr>
        <w:t>4.3.</w:t>
      </w:r>
      <w:r w:rsidRPr="00046858">
        <w:rPr>
          <w:noProof/>
        </w:rPr>
        <w:tab/>
        <w:t>Soluții digitale</w:t>
      </w:r>
      <w:r w:rsidRPr="00046858">
        <w:rPr>
          <w:noProof/>
        </w:rPr>
        <w:tab/>
      </w:r>
      <w:r w:rsidRPr="00046858">
        <w:rPr>
          <w:noProof/>
          <w:webHidden/>
        </w:rPr>
        <w:t>31</w:t>
      </w:r>
    </w:p>
    <w:p w14:paraId="401D009E" w14:textId="77777777" w:rsidR="00A03D5B" w:rsidRPr="00046858" w:rsidRDefault="00A03D5B" w:rsidP="0041561E">
      <w:pPr>
        <w:pStyle w:val="TOC2"/>
        <w:rPr>
          <w:rFonts w:asciiTheme="minorHAnsi" w:eastAsiaTheme="minorEastAsia" w:hAnsiTheme="minorHAnsi" w:cstheme="minorBidi"/>
          <w:noProof/>
          <w:kern w:val="2"/>
          <w:sz w:val="22"/>
          <w14:ligatures w14:val="standardContextual"/>
        </w:rPr>
      </w:pPr>
      <w:r w:rsidRPr="00046858">
        <w:rPr>
          <w:noProof/>
        </w:rPr>
        <w:t>4.4.</w:t>
      </w:r>
      <w:r w:rsidRPr="00046858">
        <w:rPr>
          <w:noProof/>
        </w:rPr>
        <w:tab/>
        <w:t>Evaluarea interoperabilității</w:t>
      </w:r>
      <w:r w:rsidRPr="00046858">
        <w:rPr>
          <w:noProof/>
        </w:rPr>
        <w:tab/>
      </w:r>
      <w:r w:rsidRPr="00046858">
        <w:rPr>
          <w:noProof/>
          <w:webHidden/>
        </w:rPr>
        <w:t>31</w:t>
      </w:r>
    </w:p>
    <w:p w14:paraId="33AD95D9" w14:textId="77777777" w:rsidR="00A03D5B" w:rsidRPr="00046858" w:rsidRDefault="00A03D5B" w:rsidP="0041561E">
      <w:pPr>
        <w:pStyle w:val="TOC2"/>
        <w:rPr>
          <w:rFonts w:asciiTheme="minorHAnsi" w:eastAsiaTheme="minorEastAsia" w:hAnsiTheme="minorHAnsi" w:cstheme="minorBidi"/>
          <w:noProof/>
          <w:kern w:val="2"/>
          <w:sz w:val="22"/>
          <w14:ligatures w14:val="standardContextual"/>
        </w:rPr>
      </w:pPr>
      <w:r w:rsidRPr="00046858">
        <w:rPr>
          <w:noProof/>
        </w:rPr>
        <w:t>4.5.</w:t>
      </w:r>
      <w:r w:rsidRPr="00046858">
        <w:rPr>
          <w:noProof/>
        </w:rPr>
        <w:tab/>
        <w:t>Măsuri de sprijinire a implementării digitale</w:t>
      </w:r>
      <w:r w:rsidRPr="00046858">
        <w:rPr>
          <w:noProof/>
        </w:rPr>
        <w:tab/>
      </w:r>
      <w:r w:rsidRPr="00046858">
        <w:rPr>
          <w:noProof/>
          <w:webHidden/>
        </w:rPr>
        <w:t>32</w:t>
      </w:r>
    </w:p>
    <w:p w14:paraId="255A879E" w14:textId="77777777" w:rsidR="00A03D5B" w:rsidRPr="00046858" w:rsidRDefault="00A03D5B" w:rsidP="0041561E">
      <w:pPr>
        <w:pStyle w:val="TOC1"/>
        <w:ind w:left="0" w:firstLine="0"/>
        <w:rPr>
          <w:noProof/>
        </w:rPr>
        <w:sectPr w:rsidR="00A03D5B" w:rsidRPr="00046858" w:rsidSect="0001503D">
          <w:pgSz w:w="11907" w:h="16840" w:code="9"/>
          <w:pgMar w:top="1134" w:right="1418" w:bottom="1134" w:left="1418" w:header="709" w:footer="709" w:gutter="0"/>
          <w:pgNumType w:start="1"/>
          <w:cols w:space="720"/>
          <w:docGrid w:linePitch="360"/>
        </w:sectPr>
      </w:pPr>
    </w:p>
    <w:p w14:paraId="1D116D73" w14:textId="77777777" w:rsidR="00A03D5B" w:rsidRPr="00046858" w:rsidRDefault="00A03D5B" w:rsidP="0041561E">
      <w:pPr>
        <w:pStyle w:val="ManualHeading1"/>
        <w:rPr>
          <w:noProof/>
        </w:rPr>
      </w:pPr>
      <w:bookmarkStart w:id="6" w:name="_Toc514938007"/>
      <w:bookmarkStart w:id="7" w:name="_Toc520485025"/>
      <w:bookmarkStart w:id="8" w:name="_Toc160804567"/>
      <w:bookmarkStart w:id="9" w:name="_Toc167220259"/>
      <w:bookmarkStart w:id="10" w:name="_Toc177548992"/>
      <w:r w:rsidRPr="00046858">
        <w:rPr>
          <w:noProof/>
        </w:rPr>
        <w:t>1.</w:t>
      </w:r>
      <w:r w:rsidRPr="00046858">
        <w:rPr>
          <w:noProof/>
        </w:rPr>
        <w:tab/>
        <w:t>CADRUL PROPUNERII/INIȚIATIVEI</w:t>
      </w:r>
      <w:bookmarkEnd w:id="6"/>
      <w:bookmarkEnd w:id="7"/>
      <w:bookmarkEnd w:id="8"/>
      <w:bookmarkEnd w:id="9"/>
      <w:bookmarkEnd w:id="10"/>
      <w:r w:rsidRPr="00046858">
        <w:rPr>
          <w:noProof/>
        </w:rPr>
        <w:t xml:space="preserve"> </w:t>
      </w:r>
    </w:p>
    <w:p w14:paraId="40A09F55" w14:textId="77777777" w:rsidR="00A03D5B" w:rsidRPr="00046858" w:rsidRDefault="00A03D5B" w:rsidP="0041561E">
      <w:pPr>
        <w:pStyle w:val="ManualHeading2"/>
        <w:rPr>
          <w:noProof/>
        </w:rPr>
      </w:pPr>
      <w:bookmarkStart w:id="11" w:name="_Toc514938008"/>
      <w:bookmarkStart w:id="12" w:name="_Toc520485026"/>
      <w:bookmarkStart w:id="13" w:name="_Toc160804568"/>
      <w:bookmarkStart w:id="14" w:name="_Toc167220260"/>
      <w:bookmarkStart w:id="15" w:name="_Toc177548993"/>
      <w:r w:rsidRPr="00046858">
        <w:rPr>
          <w:noProof/>
        </w:rPr>
        <w:t>1.1.</w:t>
      </w:r>
      <w:r w:rsidRPr="00046858">
        <w:rPr>
          <w:noProof/>
        </w:rPr>
        <w:tab/>
        <w:t>Titlul propunerii/inițiativei</w:t>
      </w:r>
      <w:bookmarkEnd w:id="11"/>
      <w:bookmarkEnd w:id="12"/>
      <w:bookmarkEnd w:id="13"/>
      <w:bookmarkEnd w:id="14"/>
      <w:bookmarkEnd w:id="15"/>
    </w:p>
    <w:p w14:paraId="6D0D4F73" w14:textId="77777777" w:rsidR="009E50E2" w:rsidRPr="00046858" w:rsidRDefault="009E50E2" w:rsidP="009E50E2">
      <w:pPr>
        <w:pStyle w:val="Text1"/>
        <w:pBdr>
          <w:top w:val="single" w:sz="4" w:space="1" w:color="auto"/>
          <w:left w:val="single" w:sz="4" w:space="4" w:color="auto"/>
          <w:bottom w:val="single" w:sz="4" w:space="1" w:color="auto"/>
          <w:right w:val="single" w:sz="4" w:space="4" w:color="auto"/>
        </w:pBdr>
        <w:rPr>
          <w:noProof/>
        </w:rPr>
      </w:pPr>
      <w:bookmarkStart w:id="16" w:name="_Toc514938011"/>
      <w:bookmarkStart w:id="17" w:name="_Toc520485027"/>
      <w:bookmarkStart w:id="18" w:name="_Toc160804569"/>
      <w:bookmarkStart w:id="19" w:name="_Toc167220261"/>
      <w:bookmarkStart w:id="20" w:name="_Toc177548994"/>
      <w:r w:rsidRPr="00046858">
        <w:rPr>
          <w:noProof/>
        </w:rPr>
        <w:t>Regulament al Parlamentului European și al Consiliului privind un cadru de măsuri pentru consolidarea ecosistemului european al semiconductorilor și de abrogare a Regulamentului (UE) 2023/1781 (Regulamentul privind cipurile 2)</w:t>
      </w:r>
    </w:p>
    <w:p w14:paraId="32ADEB3C" w14:textId="77777777" w:rsidR="00A03D5B" w:rsidRPr="00046858" w:rsidRDefault="00A03D5B" w:rsidP="008125C1">
      <w:pPr>
        <w:pStyle w:val="ManualHeading2"/>
        <w:spacing w:before="360"/>
        <w:ind w:left="851" w:hanging="851"/>
        <w:rPr>
          <w:i/>
          <w:noProof/>
        </w:rPr>
      </w:pPr>
      <w:r w:rsidRPr="00046858">
        <w:rPr>
          <w:noProof/>
        </w:rPr>
        <w:t>1.2.</w:t>
      </w:r>
      <w:r w:rsidRPr="00046858">
        <w:rPr>
          <w:noProof/>
        </w:rPr>
        <w:tab/>
        <w:t>Domeniul (domeniile) de politică vizat(e)</w:t>
      </w:r>
      <w:bookmarkEnd w:id="16"/>
      <w:bookmarkEnd w:id="17"/>
      <w:bookmarkEnd w:id="18"/>
      <w:bookmarkEnd w:id="19"/>
      <w:bookmarkEnd w:id="20"/>
      <w:r w:rsidRPr="00046858">
        <w:rPr>
          <w:i/>
          <w:noProof/>
        </w:rPr>
        <w:t xml:space="preserve"> </w:t>
      </w:r>
    </w:p>
    <w:p w14:paraId="55262B65" w14:textId="77777777" w:rsidR="000C4A47" w:rsidRPr="00046858" w:rsidRDefault="000C4A47" w:rsidP="000C4A47">
      <w:pPr>
        <w:pStyle w:val="Text1"/>
        <w:pBdr>
          <w:top w:val="single" w:sz="4" w:space="1" w:color="auto"/>
          <w:left w:val="single" w:sz="4" w:space="4" w:color="auto"/>
          <w:bottom w:val="single" w:sz="4" w:space="1" w:color="auto"/>
          <w:right w:val="single" w:sz="4" w:space="4" w:color="auto"/>
        </w:pBdr>
        <w:rPr>
          <w:noProof/>
        </w:rPr>
      </w:pPr>
      <w:bookmarkStart w:id="21" w:name="_Toc514938015"/>
      <w:bookmarkStart w:id="22" w:name="_Toc520485029"/>
      <w:bookmarkStart w:id="23" w:name="_Toc160804571"/>
      <w:bookmarkStart w:id="24" w:name="_Toc167220263"/>
      <w:bookmarkStart w:id="25" w:name="_Toc177548995"/>
      <w:r w:rsidRPr="00046858">
        <w:rPr>
          <w:noProof/>
        </w:rPr>
        <w:t xml:space="preserve">Un nou plan pentru prosperitatea și competitivitatea sustenabilă a Europei </w:t>
      </w:r>
    </w:p>
    <w:p w14:paraId="345BB049" w14:textId="77777777" w:rsidR="00A03D5B" w:rsidRPr="00046858" w:rsidRDefault="00A03D5B" w:rsidP="008125C1">
      <w:pPr>
        <w:pStyle w:val="ManualHeading2"/>
        <w:spacing w:before="360"/>
        <w:ind w:left="851" w:hanging="851"/>
        <w:rPr>
          <w:noProof/>
        </w:rPr>
      </w:pPr>
      <w:r w:rsidRPr="00046858">
        <w:rPr>
          <w:noProof/>
        </w:rPr>
        <w:t>1.3.</w:t>
      </w:r>
      <w:r w:rsidRPr="00046858">
        <w:rPr>
          <w:noProof/>
        </w:rPr>
        <w:tab/>
        <w:t>Obiectiv(e)</w:t>
      </w:r>
      <w:bookmarkEnd w:id="21"/>
      <w:bookmarkEnd w:id="22"/>
      <w:bookmarkEnd w:id="23"/>
      <w:bookmarkEnd w:id="24"/>
      <w:bookmarkEnd w:id="25"/>
    </w:p>
    <w:p w14:paraId="3C86BE41" w14:textId="77777777" w:rsidR="00A03D5B" w:rsidRPr="00046858" w:rsidRDefault="00A03D5B" w:rsidP="0041561E">
      <w:pPr>
        <w:pStyle w:val="ManualHeading3"/>
        <w:rPr>
          <w:noProof/>
        </w:rPr>
      </w:pPr>
      <w:bookmarkStart w:id="26" w:name="_Toc514938016"/>
      <w:bookmarkStart w:id="27" w:name="_Toc520485030"/>
      <w:bookmarkStart w:id="28" w:name="_Toc160804572"/>
      <w:bookmarkStart w:id="29" w:name="_Toc167220264"/>
      <w:bookmarkStart w:id="30" w:name="_Toc177548996"/>
      <w:r w:rsidRPr="00046858">
        <w:rPr>
          <w:noProof/>
        </w:rPr>
        <w:t>1.3.1.</w:t>
      </w:r>
      <w:r w:rsidRPr="00046858">
        <w:rPr>
          <w:noProof/>
        </w:rPr>
        <w:tab/>
        <w:t>Obiectiv(e) general(e)</w:t>
      </w:r>
      <w:bookmarkEnd w:id="26"/>
      <w:bookmarkEnd w:id="27"/>
      <w:bookmarkEnd w:id="28"/>
      <w:bookmarkEnd w:id="29"/>
      <w:bookmarkEnd w:id="30"/>
    </w:p>
    <w:p w14:paraId="183DA65F" w14:textId="77777777" w:rsidR="007D6BE5" w:rsidRPr="00046858" w:rsidRDefault="007D6BE5" w:rsidP="007D6BE5">
      <w:pPr>
        <w:pStyle w:val="Text1"/>
        <w:pBdr>
          <w:top w:val="single" w:sz="4" w:space="1" w:color="auto"/>
          <w:left w:val="single" w:sz="4" w:space="4" w:color="auto"/>
          <w:bottom w:val="single" w:sz="4" w:space="1" w:color="auto"/>
          <w:right w:val="single" w:sz="4" w:space="4" w:color="auto"/>
        </w:pBdr>
        <w:rPr>
          <w:rFonts w:eastAsia="Times New Roman"/>
          <w:noProof/>
          <w:szCs w:val="24"/>
        </w:rPr>
      </w:pPr>
      <w:bookmarkStart w:id="31" w:name="_Toc514938018"/>
      <w:bookmarkStart w:id="32" w:name="_Toc520485031"/>
      <w:bookmarkStart w:id="33" w:name="_Toc160804573"/>
      <w:bookmarkStart w:id="34" w:name="_Toc167220265"/>
      <w:bookmarkStart w:id="35" w:name="_Toc177548997"/>
      <w:r w:rsidRPr="00046858">
        <w:rPr>
          <w:noProof/>
        </w:rPr>
        <w:t>Regulamentul privind cipurile 2.0 are două obiective generale, astfel cum se precizează în expunerea de motive:</w:t>
      </w:r>
    </w:p>
    <w:p w14:paraId="10244D6D" w14:textId="77777777" w:rsidR="007D6BE5" w:rsidRPr="00046858" w:rsidRDefault="007D6BE5" w:rsidP="007D6BE5">
      <w:pPr>
        <w:pStyle w:val="Text1"/>
        <w:pBdr>
          <w:top w:val="single" w:sz="4" w:space="1" w:color="auto"/>
          <w:left w:val="single" w:sz="4" w:space="4" w:color="auto"/>
          <w:bottom w:val="single" w:sz="4" w:space="1" w:color="auto"/>
          <w:right w:val="single" w:sz="4" w:space="4" w:color="auto"/>
        </w:pBdr>
        <w:rPr>
          <w:rFonts w:eastAsia="Aptos"/>
          <w:noProof/>
        </w:rPr>
      </w:pPr>
      <w:r w:rsidRPr="00046858">
        <w:rPr>
          <w:noProof/>
        </w:rPr>
        <w:t>1. Sporirea competitivității lanțului valoric european al semiconductorilor pentru a îmbunătăți suveranitatea tehnologică și reziliența prin accelerarea implementării industriale a cercetării și inovării, prin asigurarea securității aprovizionării și prin reducerea dependențelor strategice în ceea ce privește tehnologiile de vârf și mature ale semiconductorilor.</w:t>
      </w:r>
    </w:p>
    <w:p w14:paraId="5BBB09F1" w14:textId="77777777" w:rsidR="007D6BE5" w:rsidRPr="00046858" w:rsidRDefault="007D6BE5" w:rsidP="007D6BE5">
      <w:pPr>
        <w:pStyle w:val="Text1"/>
        <w:pBdr>
          <w:top w:val="single" w:sz="4" w:space="1" w:color="auto"/>
          <w:left w:val="single" w:sz="4" w:space="4" w:color="auto"/>
          <w:bottom w:val="single" w:sz="4" w:space="1" w:color="auto"/>
          <w:right w:val="single" w:sz="4" w:space="4" w:color="auto"/>
        </w:pBdr>
        <w:rPr>
          <w:rFonts w:eastAsia="Times New Roman"/>
          <w:noProof/>
          <w:szCs w:val="24"/>
        </w:rPr>
      </w:pPr>
      <w:r w:rsidRPr="00046858">
        <w:rPr>
          <w:noProof/>
        </w:rPr>
        <w:t xml:space="preserve">2. Îmbunătățirea pregătirii pentru situații de criză pentru a asigura securitatea aprovizionării UE prin sporirea rezilienței lanțului european de aprovizionare cu semiconductori și prin protejarea securității economice a UE. </w:t>
      </w:r>
    </w:p>
    <w:p w14:paraId="317936FF" w14:textId="77777777" w:rsidR="00A03D5B" w:rsidRPr="00046858" w:rsidRDefault="00A03D5B" w:rsidP="008125C1">
      <w:pPr>
        <w:pStyle w:val="ManualHeading3"/>
        <w:spacing w:before="240"/>
        <w:ind w:left="851" w:hanging="851"/>
        <w:rPr>
          <w:noProof/>
        </w:rPr>
      </w:pPr>
      <w:r w:rsidRPr="00046858">
        <w:rPr>
          <w:noProof/>
        </w:rPr>
        <w:t>1.3.2.</w:t>
      </w:r>
      <w:r w:rsidRPr="00046858">
        <w:rPr>
          <w:noProof/>
        </w:rPr>
        <w:tab/>
        <w:t>Obiectiv(e) specific(e)</w:t>
      </w:r>
      <w:bookmarkEnd w:id="31"/>
      <w:bookmarkEnd w:id="32"/>
      <w:bookmarkEnd w:id="33"/>
      <w:bookmarkEnd w:id="34"/>
      <w:bookmarkEnd w:id="35"/>
    </w:p>
    <w:p w14:paraId="123FA351" w14:textId="77777777" w:rsidR="009B7499" w:rsidRPr="00046858" w:rsidRDefault="009B7499" w:rsidP="009B7499">
      <w:pPr>
        <w:pStyle w:val="Text1"/>
        <w:pBdr>
          <w:top w:val="single" w:sz="4" w:space="1" w:color="auto"/>
          <w:left w:val="single" w:sz="4" w:space="4" w:color="auto"/>
          <w:bottom w:val="single" w:sz="4" w:space="1" w:color="auto"/>
          <w:right w:val="single" w:sz="4" w:space="4" w:color="auto"/>
        </w:pBdr>
        <w:rPr>
          <w:noProof/>
          <w:u w:val="single"/>
        </w:rPr>
      </w:pPr>
      <w:bookmarkStart w:id="36" w:name="_Toc514938019"/>
      <w:bookmarkStart w:id="37" w:name="_Toc520485032"/>
      <w:bookmarkStart w:id="38" w:name="_Toc160804574"/>
      <w:bookmarkStart w:id="39" w:name="_Toc167220266"/>
      <w:bookmarkStart w:id="40" w:name="_Toc177548998"/>
      <w:r w:rsidRPr="00046858">
        <w:rPr>
          <w:noProof/>
          <w:u w:val="single"/>
        </w:rPr>
        <w:t>Obiectivul specific nr. 1</w:t>
      </w:r>
    </w:p>
    <w:p w14:paraId="2E690343" w14:textId="77777777" w:rsidR="009B7499" w:rsidRPr="00046858" w:rsidRDefault="009B7499" w:rsidP="009B7499">
      <w:pPr>
        <w:pStyle w:val="Text1"/>
        <w:pBdr>
          <w:top w:val="single" w:sz="4" w:space="1" w:color="auto"/>
          <w:left w:val="single" w:sz="4" w:space="4" w:color="auto"/>
          <w:bottom w:val="single" w:sz="4" w:space="1" w:color="auto"/>
          <w:right w:val="single" w:sz="4" w:space="4" w:color="auto"/>
        </w:pBdr>
        <w:rPr>
          <w:noProof/>
        </w:rPr>
      </w:pPr>
      <w:r w:rsidRPr="00046858">
        <w:rPr>
          <w:noProof/>
        </w:rPr>
        <w:t>Sporirea capacității, a securității aprovizionării și a competitivității industriei semiconductorilor din UE de-a lungul întregului lanț valoric, inclusiv a cipurilor de IA de vârf</w:t>
      </w:r>
    </w:p>
    <w:p w14:paraId="0DAEFAF5" w14:textId="77777777" w:rsidR="009B7499" w:rsidRPr="00046858" w:rsidRDefault="009B7499" w:rsidP="009B7499">
      <w:pPr>
        <w:pStyle w:val="Text1"/>
        <w:pBdr>
          <w:top w:val="single" w:sz="4" w:space="1" w:color="auto"/>
          <w:left w:val="single" w:sz="4" w:space="4" w:color="auto"/>
          <w:bottom w:val="single" w:sz="4" w:space="1" w:color="auto"/>
          <w:right w:val="single" w:sz="4" w:space="4" w:color="auto"/>
        </w:pBdr>
        <w:rPr>
          <w:noProof/>
          <w:u w:val="single"/>
        </w:rPr>
      </w:pPr>
      <w:r w:rsidRPr="00046858">
        <w:rPr>
          <w:noProof/>
          <w:u w:val="single"/>
        </w:rPr>
        <w:t>Obiectivul specific nr. 2</w:t>
      </w:r>
    </w:p>
    <w:p w14:paraId="0CDE45C6" w14:textId="77777777" w:rsidR="009B7499" w:rsidRPr="00046858" w:rsidRDefault="009B7499" w:rsidP="009B7499">
      <w:pPr>
        <w:pStyle w:val="Text1"/>
        <w:pBdr>
          <w:top w:val="single" w:sz="4" w:space="1" w:color="auto"/>
          <w:left w:val="single" w:sz="4" w:space="4" w:color="auto"/>
          <w:bottom w:val="single" w:sz="4" w:space="1" w:color="auto"/>
          <w:right w:val="single" w:sz="4" w:space="4" w:color="auto"/>
        </w:pBdr>
        <w:rPr>
          <w:rFonts w:eastAsia="Aptos"/>
          <w:noProof/>
        </w:rPr>
      </w:pPr>
      <w:r w:rsidRPr="00046858">
        <w:rPr>
          <w:noProof/>
        </w:rPr>
        <w:t>Dezvoltarea unei piețe puternice a utilizatorilor în principalele sectoare industriale</w:t>
      </w:r>
    </w:p>
    <w:p w14:paraId="46277C52" w14:textId="77777777" w:rsidR="009B7499" w:rsidRPr="00046858" w:rsidRDefault="009B7499" w:rsidP="009B7499">
      <w:pPr>
        <w:pStyle w:val="Text1"/>
        <w:pBdr>
          <w:top w:val="single" w:sz="4" w:space="1" w:color="auto"/>
          <w:left w:val="single" w:sz="4" w:space="4" w:color="auto"/>
          <w:bottom w:val="single" w:sz="4" w:space="1" w:color="auto"/>
          <w:right w:val="single" w:sz="4" w:space="4" w:color="auto"/>
        </w:pBdr>
        <w:rPr>
          <w:noProof/>
          <w:u w:val="single"/>
        </w:rPr>
      </w:pPr>
      <w:r w:rsidRPr="00046858">
        <w:rPr>
          <w:noProof/>
          <w:u w:val="single"/>
        </w:rPr>
        <w:t>Obiectivul specific nr. 3</w:t>
      </w:r>
    </w:p>
    <w:p w14:paraId="73D922E3" w14:textId="77777777" w:rsidR="009B7499" w:rsidRPr="00046858" w:rsidRDefault="009B7499" w:rsidP="009B7499">
      <w:pPr>
        <w:pStyle w:val="Text1"/>
        <w:pBdr>
          <w:top w:val="single" w:sz="4" w:space="1" w:color="auto"/>
          <w:left w:val="single" w:sz="4" w:space="4" w:color="auto"/>
          <w:bottom w:val="single" w:sz="4" w:space="1" w:color="auto"/>
          <w:right w:val="single" w:sz="4" w:space="4" w:color="auto"/>
        </w:pBdr>
        <w:rPr>
          <w:noProof/>
        </w:rPr>
      </w:pPr>
      <w:r w:rsidRPr="00046858">
        <w:rPr>
          <w:noProof/>
        </w:rPr>
        <w:t>Sporirea capabilităților de obținere de informații operative pentru pregătirea pentru situații de criză și răspunsul în astfel de situații</w:t>
      </w:r>
    </w:p>
    <w:p w14:paraId="6C1C5B25" w14:textId="77777777" w:rsidR="00A03D5B" w:rsidRPr="00046858" w:rsidRDefault="00A03D5B" w:rsidP="008125C1">
      <w:pPr>
        <w:pStyle w:val="ManualHeading3"/>
        <w:spacing w:before="240"/>
        <w:ind w:left="851" w:hanging="851"/>
        <w:rPr>
          <w:noProof/>
        </w:rPr>
      </w:pPr>
      <w:r w:rsidRPr="00046858">
        <w:rPr>
          <w:noProof/>
        </w:rPr>
        <w:t>1.3.3.</w:t>
      </w:r>
      <w:r w:rsidRPr="00046858">
        <w:rPr>
          <w:noProof/>
        </w:rPr>
        <w:tab/>
        <w:t>Rezultatul (rezultatele) și impactul preconizate</w:t>
      </w:r>
      <w:bookmarkEnd w:id="36"/>
      <w:bookmarkEnd w:id="37"/>
      <w:bookmarkEnd w:id="38"/>
      <w:bookmarkEnd w:id="39"/>
      <w:bookmarkEnd w:id="40"/>
    </w:p>
    <w:p w14:paraId="16E17DE0" w14:textId="77777777" w:rsidR="00A03D5B" w:rsidRPr="00046858" w:rsidRDefault="00A03D5B" w:rsidP="0041561E">
      <w:pPr>
        <w:pStyle w:val="Text1"/>
        <w:rPr>
          <w:i/>
          <w:noProof/>
          <w:sz w:val="20"/>
        </w:rPr>
      </w:pPr>
      <w:r w:rsidRPr="00046858">
        <w:rPr>
          <w:i/>
          <w:noProof/>
          <w:sz w:val="20"/>
        </w:rPr>
        <w:t>A se preciza efectele pe care ar trebui să le aibă propunerea/inițiativa asupra beneficiarilor vizați/grupurilor vizate.</w:t>
      </w:r>
    </w:p>
    <w:p w14:paraId="63A6AF59" w14:textId="77777777" w:rsidR="005B35BB" w:rsidRPr="00046858" w:rsidRDefault="005B35BB" w:rsidP="005B35BB">
      <w:pPr>
        <w:pBdr>
          <w:top w:val="single" w:sz="4" w:space="1" w:color="auto"/>
          <w:left w:val="single" w:sz="4" w:space="4" w:color="auto"/>
          <w:bottom w:val="single" w:sz="4" w:space="1" w:color="auto"/>
          <w:right w:val="single" w:sz="4" w:space="4" w:color="auto"/>
        </w:pBdr>
        <w:ind w:left="850"/>
        <w:rPr>
          <w:noProof/>
        </w:rPr>
      </w:pPr>
      <w:bookmarkStart w:id="41" w:name="_Toc514938023"/>
      <w:bookmarkStart w:id="42" w:name="_Toc520485033"/>
      <w:bookmarkStart w:id="43" w:name="_Toc160804575"/>
      <w:bookmarkStart w:id="44" w:name="_Toc167220267"/>
      <w:bookmarkStart w:id="45" w:name="_Toc177548999"/>
      <w:r w:rsidRPr="00046858">
        <w:rPr>
          <w:noProof/>
        </w:rPr>
        <w:t>Industria semiconductorilor din Uniune ar trebui să beneficieze de sprijin pentru consolidarea capacităților tehnologice la scară largă în domeniul tehnologiilor de vârf și de generație următoare ale semiconductorilor, care vor consolida capabilitățile avansate de proiectare, de integrare a sistemelor și de producție de cipuri ale UE. Industria ar trebui să beneficieze, de asemenea, de proiecte strategice în materie de proiectare și producție. Instalațiile de semiconductori vor beneficia de procese mai eficace de acordare a autorizațiilor.</w:t>
      </w:r>
    </w:p>
    <w:p w14:paraId="0CA1D349" w14:textId="77777777" w:rsidR="005B35BB" w:rsidRPr="00046858" w:rsidRDefault="005B35BB" w:rsidP="005B35BB">
      <w:pPr>
        <w:pBdr>
          <w:top w:val="single" w:sz="4" w:space="1" w:color="auto"/>
          <w:left w:val="single" w:sz="4" w:space="4" w:color="auto"/>
          <w:bottom w:val="single" w:sz="4" w:space="1" w:color="auto"/>
          <w:right w:val="single" w:sz="4" w:space="4" w:color="auto"/>
        </w:pBdr>
        <w:ind w:left="850"/>
        <w:rPr>
          <w:noProof/>
        </w:rPr>
      </w:pPr>
      <w:r w:rsidRPr="00046858">
        <w:rPr>
          <w:noProof/>
        </w:rPr>
        <w:t>Utilizatorii de semiconductori din Uniune din toate sectoarele ar trebui să beneficieze de o securitate sporită a aprovizionării cu semiconductori fără perturbări și de eforturile de promovare a unor relații mai strânse cu industria semiconductorilor. În plus, sectoarele critice ar trebui să beneficieze de pe urma consolidării securității aprovizionării cu semiconductori.</w:t>
      </w:r>
    </w:p>
    <w:p w14:paraId="373344DA" w14:textId="77777777" w:rsidR="005B35BB" w:rsidRPr="00046858" w:rsidRDefault="005B35BB" w:rsidP="005B35BB">
      <w:pPr>
        <w:pBdr>
          <w:top w:val="single" w:sz="4" w:space="1" w:color="auto"/>
          <w:left w:val="single" w:sz="4" w:space="4" w:color="auto"/>
          <w:bottom w:val="single" w:sz="4" w:space="1" w:color="auto"/>
          <w:right w:val="single" w:sz="4" w:space="4" w:color="auto"/>
        </w:pBdr>
        <w:ind w:left="850"/>
        <w:rPr>
          <w:noProof/>
        </w:rPr>
      </w:pPr>
      <w:r w:rsidRPr="00046858">
        <w:rPr>
          <w:noProof/>
        </w:rPr>
        <w:t xml:space="preserve">Utilizatorii finali de produse care conțin semiconductori ar trebui să beneficieze de consolidarea securității aprovizionării, în condițiile creșterii atractivității prețurilor de piață. </w:t>
      </w:r>
    </w:p>
    <w:p w14:paraId="44E534EA" w14:textId="77777777" w:rsidR="005B35BB" w:rsidRPr="00046858" w:rsidRDefault="005B35BB" w:rsidP="005B35BB">
      <w:pPr>
        <w:pBdr>
          <w:top w:val="single" w:sz="4" w:space="1" w:color="auto"/>
          <w:left w:val="single" w:sz="4" w:space="4" w:color="auto"/>
          <w:bottom w:val="single" w:sz="4" w:space="1" w:color="auto"/>
          <w:right w:val="single" w:sz="4" w:space="4" w:color="auto"/>
        </w:pBdr>
        <w:ind w:left="850"/>
        <w:rPr>
          <w:noProof/>
          <w:color w:val="0000FF"/>
        </w:rPr>
      </w:pPr>
      <w:r w:rsidRPr="00046858">
        <w:rPr>
          <w:noProof/>
        </w:rPr>
        <w:t>Competitivitatea ecosistemului european al semiconductorilor va fi îmbunătățită.</w:t>
      </w:r>
    </w:p>
    <w:p w14:paraId="282BC70E" w14:textId="77777777" w:rsidR="00A03D5B" w:rsidRPr="00046858" w:rsidRDefault="00A03D5B" w:rsidP="008125C1">
      <w:pPr>
        <w:pStyle w:val="ManualHeading3"/>
        <w:spacing w:before="240"/>
        <w:ind w:left="851" w:hanging="851"/>
        <w:rPr>
          <w:noProof/>
        </w:rPr>
      </w:pPr>
      <w:r w:rsidRPr="00046858">
        <w:rPr>
          <w:noProof/>
        </w:rPr>
        <w:t>1.3.4.</w:t>
      </w:r>
      <w:r w:rsidRPr="00046858">
        <w:rPr>
          <w:noProof/>
        </w:rPr>
        <w:tab/>
        <w:t>Indicatori de performanță</w:t>
      </w:r>
      <w:bookmarkEnd w:id="41"/>
      <w:bookmarkEnd w:id="42"/>
      <w:bookmarkEnd w:id="43"/>
      <w:bookmarkEnd w:id="44"/>
      <w:bookmarkEnd w:id="45"/>
    </w:p>
    <w:p w14:paraId="328039F4" w14:textId="77777777" w:rsidR="00A03D5B" w:rsidRPr="00046858" w:rsidRDefault="00A03D5B" w:rsidP="0041561E">
      <w:pPr>
        <w:pStyle w:val="Text1"/>
        <w:rPr>
          <w:i/>
          <w:noProof/>
          <w:sz w:val="20"/>
        </w:rPr>
      </w:pPr>
      <w:r w:rsidRPr="00046858">
        <w:rPr>
          <w:i/>
          <w:noProof/>
          <w:sz w:val="20"/>
        </w:rPr>
        <w:t>A se preciza indicatorii care permit monitorizarea progreselor și a realizărilor obținute.</w:t>
      </w:r>
    </w:p>
    <w:tbl>
      <w:tblPr>
        <w:tblStyle w:val="TableGrid"/>
        <w:tblW w:w="0" w:type="auto"/>
        <w:tblInd w:w="850" w:type="dxa"/>
        <w:tblLook w:val="04A0" w:firstRow="1" w:lastRow="0" w:firstColumn="1" w:lastColumn="0" w:noHBand="0" w:noVBand="1"/>
      </w:tblPr>
      <w:tblGrid>
        <w:gridCol w:w="8437"/>
      </w:tblGrid>
      <w:tr w:rsidR="005A506B" w:rsidRPr="00046858" w14:paraId="59849BF2" w14:textId="77777777" w:rsidTr="005A506B">
        <w:tc>
          <w:tcPr>
            <w:tcW w:w="9287" w:type="dxa"/>
          </w:tcPr>
          <w:p w14:paraId="7C3C259F" w14:textId="77777777" w:rsidR="00CD3469" w:rsidRPr="00046858" w:rsidRDefault="00142A67" w:rsidP="00142A67">
            <w:pPr>
              <w:pStyle w:val="ManualHeading2"/>
              <w:ind w:left="0" w:firstLine="0"/>
              <w:rPr>
                <w:b w:val="0"/>
                <w:bCs/>
                <w:noProof/>
              </w:rPr>
            </w:pPr>
            <w:bookmarkStart w:id="46" w:name="_Toc177549000"/>
            <w:r w:rsidRPr="00046858">
              <w:rPr>
                <w:b w:val="0"/>
                <w:noProof/>
              </w:rPr>
              <w:t xml:space="preserve">Indicatorii de performanță sunt relevanți în principal pentru inițiativa „Cipuri pentru Europa” 2.0. </w:t>
            </w:r>
            <w:r w:rsidRPr="00046858">
              <w:rPr>
                <w:noProof/>
              </w:rPr>
              <w:t>Anexa III oferă primele versiuni ale indicatorilor cuantificabili pentru monitorizarea punerii în aplicare și raportarea progreselor înregistrate de inițiativa „Cipuri pentru Europa” 2.0 în direcția realizării obiectivelor sale generale:</w:t>
            </w:r>
          </w:p>
          <w:p w14:paraId="2A7C38C1" w14:textId="77777777" w:rsidR="00142A67" w:rsidRPr="00046858" w:rsidRDefault="006B798D" w:rsidP="00A13600">
            <w:pPr>
              <w:pStyle w:val="ManualHeading2"/>
              <w:numPr>
                <w:ilvl w:val="0"/>
                <w:numId w:val="18"/>
              </w:numPr>
              <w:rPr>
                <w:b w:val="0"/>
                <w:noProof/>
              </w:rPr>
            </w:pPr>
            <w:r w:rsidRPr="00046858">
              <w:rPr>
                <w:b w:val="0"/>
                <w:noProof/>
              </w:rPr>
              <w:t>Totalul intrărilor de investiții străine directe legate de semiconductori în UE.</w:t>
            </w:r>
          </w:p>
          <w:p w14:paraId="7A99FE7B" w14:textId="77777777" w:rsidR="006B798D" w:rsidRPr="00046858" w:rsidRDefault="006B798D" w:rsidP="00A13600">
            <w:pPr>
              <w:pStyle w:val="ManualHeading2"/>
              <w:numPr>
                <w:ilvl w:val="0"/>
                <w:numId w:val="18"/>
              </w:numPr>
              <w:rPr>
                <w:b w:val="0"/>
                <w:noProof/>
              </w:rPr>
            </w:pPr>
            <w:r w:rsidRPr="00046858">
              <w:rPr>
                <w:b w:val="0"/>
                <w:noProof/>
              </w:rPr>
              <w:t>Forță calificată de muncă în domeniul semiconductorilor și al fotonicii, inclusiv forță de muncă instruită/recalificată prin intermediul inițiativelor centrelor naționale de competență în domeniul cipurilor.</w:t>
            </w:r>
          </w:p>
          <w:p w14:paraId="00C4A1A2" w14:textId="77777777" w:rsidR="006B798D" w:rsidRPr="00046858" w:rsidRDefault="006B798D" w:rsidP="00A13600">
            <w:pPr>
              <w:pStyle w:val="ManualHeading2"/>
              <w:numPr>
                <w:ilvl w:val="0"/>
                <w:numId w:val="18"/>
              </w:numPr>
              <w:rPr>
                <w:b w:val="0"/>
                <w:noProof/>
              </w:rPr>
            </w:pPr>
            <w:r w:rsidRPr="00046858">
              <w:rPr>
                <w:b w:val="0"/>
                <w:noProof/>
              </w:rPr>
              <w:t>Acordarea de sprijin pentru start-upuri și întreprinderile în curs de extindere.</w:t>
            </w:r>
          </w:p>
          <w:p w14:paraId="12797B87" w14:textId="77777777" w:rsidR="005A506B" w:rsidRPr="00046858" w:rsidRDefault="006B798D" w:rsidP="00A13600">
            <w:pPr>
              <w:pStyle w:val="ManualHeading2"/>
              <w:numPr>
                <w:ilvl w:val="0"/>
                <w:numId w:val="18"/>
              </w:numPr>
              <w:rPr>
                <w:b w:val="0"/>
                <w:noProof/>
              </w:rPr>
            </w:pPr>
            <w:r w:rsidRPr="00046858">
              <w:rPr>
                <w:b w:val="0"/>
                <w:noProof/>
              </w:rPr>
              <w:t>Extinderea finanțării prin intermediul capitalului privat și al capitalului de risc.</w:t>
            </w:r>
          </w:p>
        </w:tc>
      </w:tr>
    </w:tbl>
    <w:p w14:paraId="4F5F7734" w14:textId="77777777" w:rsidR="00CA01D6" w:rsidRPr="00046858" w:rsidRDefault="00CA01D6" w:rsidP="0041561E">
      <w:pPr>
        <w:pStyle w:val="ManualHeading2"/>
        <w:rPr>
          <w:bCs/>
          <w:noProof/>
          <w:color w:val="0000FF"/>
        </w:rPr>
      </w:pPr>
    </w:p>
    <w:p w14:paraId="1C6CF7C9" w14:textId="77777777" w:rsidR="00A03D5B" w:rsidRPr="00046858" w:rsidRDefault="00A03D5B" w:rsidP="0041561E">
      <w:pPr>
        <w:pStyle w:val="ManualHeading2"/>
        <w:rPr>
          <w:noProof/>
        </w:rPr>
      </w:pPr>
      <w:r w:rsidRPr="00046858">
        <w:rPr>
          <w:noProof/>
        </w:rPr>
        <w:t>1.4.</w:t>
      </w:r>
      <w:r w:rsidRPr="00046858">
        <w:rPr>
          <w:noProof/>
        </w:rPr>
        <w:tab/>
        <w:t>Obiectul propunerii/inițiativei</w:t>
      </w:r>
      <w:bookmarkEnd w:id="46"/>
      <w:r w:rsidRPr="00046858">
        <w:rPr>
          <w:noProof/>
        </w:rPr>
        <w:t xml:space="preserve"> </w:t>
      </w:r>
    </w:p>
    <w:p w14:paraId="1B6A9118" w14:textId="77777777" w:rsidR="00A03D5B" w:rsidRPr="00046858" w:rsidRDefault="00BA7C13" w:rsidP="0041561E">
      <w:pPr>
        <w:pStyle w:val="Text1"/>
        <w:rPr>
          <w:noProof/>
          <w:sz w:val="22"/>
        </w:rPr>
      </w:pPr>
      <w:r w:rsidRPr="00046858">
        <w:rPr>
          <w:rFonts w:ascii="Wingdings" w:hAnsi="Wingdings"/>
          <w:noProof/>
          <w:sz w:val="22"/>
        </w:rPr>
        <w:t></w:t>
      </w:r>
      <w:r w:rsidRPr="00046858">
        <w:rPr>
          <w:i/>
          <w:noProof/>
          <w:sz w:val="22"/>
        </w:rPr>
        <w:t xml:space="preserve"> </w:t>
      </w:r>
      <w:r w:rsidRPr="00046858">
        <w:rPr>
          <w:noProof/>
        </w:rPr>
        <w:t>o acțiune nouă</w:t>
      </w:r>
      <w:r w:rsidRPr="00046858">
        <w:rPr>
          <w:noProof/>
          <w:sz w:val="22"/>
        </w:rPr>
        <w:t xml:space="preserve"> </w:t>
      </w:r>
    </w:p>
    <w:p w14:paraId="624D0C99" w14:textId="77777777" w:rsidR="00A03D5B" w:rsidRPr="00046858" w:rsidRDefault="00A03D5B" w:rsidP="0041561E">
      <w:pPr>
        <w:pStyle w:val="Text1"/>
        <w:rPr>
          <w:noProof/>
          <w:sz w:val="22"/>
        </w:rPr>
      </w:pPr>
      <w:r w:rsidRPr="00046858">
        <w:rPr>
          <w:rFonts w:ascii="Wingdings" w:hAnsi="Wingdings"/>
          <w:noProof/>
          <w:sz w:val="22"/>
        </w:rPr>
        <w:t></w:t>
      </w:r>
      <w:r w:rsidRPr="00046858">
        <w:rPr>
          <w:i/>
          <w:noProof/>
          <w:sz w:val="22"/>
        </w:rPr>
        <w:t xml:space="preserve"> </w:t>
      </w:r>
      <w:r w:rsidRPr="00046858">
        <w:rPr>
          <w:noProof/>
        </w:rPr>
        <w:t>o acțiune nouă întreprinsă ca urmare a unui proiect-pilot/a unei acțiuni pregătitoare</w:t>
      </w:r>
      <w:r w:rsidRPr="00046858">
        <w:rPr>
          <w:rStyle w:val="FootnoteReference"/>
          <w:noProof/>
        </w:rPr>
        <w:footnoteReference w:id="74"/>
      </w:r>
      <w:r w:rsidRPr="00046858">
        <w:rPr>
          <w:noProof/>
          <w:sz w:val="22"/>
        </w:rPr>
        <w:t xml:space="preserve"> </w:t>
      </w:r>
    </w:p>
    <w:p w14:paraId="40E94357" w14:textId="77777777" w:rsidR="00A03D5B" w:rsidRPr="00046858" w:rsidRDefault="00BB3E0F" w:rsidP="0041561E">
      <w:pPr>
        <w:pStyle w:val="Text1"/>
        <w:rPr>
          <w:noProof/>
          <w:sz w:val="22"/>
        </w:rPr>
      </w:pPr>
      <w:r w:rsidRPr="00046858">
        <w:rPr>
          <w:rFonts w:ascii="Wingdings" w:hAnsi="Wingdings"/>
          <w:noProof/>
          <w:sz w:val="22"/>
        </w:rPr>
        <w:t></w:t>
      </w:r>
      <w:r w:rsidRPr="00046858">
        <w:rPr>
          <w:i/>
          <w:noProof/>
          <w:sz w:val="22"/>
        </w:rPr>
        <w:t xml:space="preserve"> </w:t>
      </w:r>
      <w:r w:rsidRPr="00046858">
        <w:rPr>
          <w:noProof/>
        </w:rPr>
        <w:t>prelungirea unei acțiuni existente</w:t>
      </w:r>
      <w:r w:rsidRPr="00046858">
        <w:rPr>
          <w:noProof/>
          <w:sz w:val="22"/>
        </w:rPr>
        <w:t xml:space="preserve"> </w:t>
      </w:r>
    </w:p>
    <w:p w14:paraId="4FC940D0" w14:textId="77777777" w:rsidR="00A03D5B" w:rsidRPr="00046858" w:rsidRDefault="00A03D5B" w:rsidP="0041561E">
      <w:pPr>
        <w:pStyle w:val="Text1"/>
        <w:rPr>
          <w:noProof/>
        </w:rPr>
      </w:pPr>
      <w:r w:rsidRPr="00046858">
        <w:rPr>
          <w:rFonts w:ascii="Wingdings" w:hAnsi="Wingdings"/>
          <w:noProof/>
          <w:sz w:val="22"/>
        </w:rPr>
        <w:t></w:t>
      </w:r>
      <w:r w:rsidRPr="00046858">
        <w:rPr>
          <w:i/>
          <w:noProof/>
          <w:sz w:val="22"/>
        </w:rPr>
        <w:t xml:space="preserve"> </w:t>
      </w:r>
      <w:r w:rsidRPr="00046858">
        <w:rPr>
          <w:noProof/>
        </w:rPr>
        <w:t>o fuziune sau o redirecționare a uneia sau mai multor acțiuni către o altă/o nouă acțiune</w:t>
      </w:r>
    </w:p>
    <w:p w14:paraId="76C84E17" w14:textId="77777777" w:rsidR="00A03D5B" w:rsidRPr="00046858" w:rsidRDefault="00A03D5B" w:rsidP="008125C1">
      <w:pPr>
        <w:pStyle w:val="ManualHeading2"/>
        <w:spacing w:before="360"/>
        <w:ind w:left="851" w:hanging="851"/>
        <w:rPr>
          <w:bCs/>
          <w:noProof/>
          <w:szCs w:val="24"/>
        </w:rPr>
      </w:pPr>
      <w:bookmarkStart w:id="47" w:name="_Toc514938025"/>
      <w:bookmarkStart w:id="48" w:name="_Toc520485034"/>
      <w:bookmarkStart w:id="49" w:name="_Toc160804576"/>
      <w:bookmarkStart w:id="50" w:name="_Toc167220268"/>
      <w:bookmarkStart w:id="51" w:name="_Toc177549001"/>
      <w:r w:rsidRPr="00046858">
        <w:rPr>
          <w:noProof/>
        </w:rPr>
        <w:t>1.5.</w:t>
      </w:r>
      <w:r w:rsidRPr="00046858">
        <w:rPr>
          <w:noProof/>
        </w:rPr>
        <w:tab/>
        <w:t>Motivele propunerii/inițiativei</w:t>
      </w:r>
      <w:bookmarkEnd w:id="47"/>
      <w:bookmarkEnd w:id="48"/>
      <w:bookmarkEnd w:id="49"/>
      <w:bookmarkEnd w:id="50"/>
      <w:bookmarkEnd w:id="51"/>
      <w:r w:rsidRPr="00046858">
        <w:rPr>
          <w:noProof/>
        </w:rPr>
        <w:t xml:space="preserve"> </w:t>
      </w:r>
    </w:p>
    <w:p w14:paraId="7D68C316" w14:textId="77777777" w:rsidR="00FA7B27" w:rsidRPr="00046858" w:rsidRDefault="00A03D5B" w:rsidP="00FA7B27">
      <w:pPr>
        <w:pStyle w:val="ManualHeading3"/>
        <w:rPr>
          <w:noProof/>
        </w:rPr>
      </w:pPr>
      <w:bookmarkStart w:id="52" w:name="_Toc514938026"/>
      <w:bookmarkStart w:id="53" w:name="_Toc520485035"/>
      <w:bookmarkStart w:id="54" w:name="_Toc160804577"/>
      <w:bookmarkStart w:id="55" w:name="_Toc167220269"/>
      <w:bookmarkStart w:id="56" w:name="_Toc177549002"/>
      <w:r w:rsidRPr="00046858">
        <w:rPr>
          <w:noProof/>
        </w:rPr>
        <w:t>1.5.1.</w:t>
      </w:r>
      <w:r w:rsidRPr="00046858">
        <w:rPr>
          <w:noProof/>
        </w:rPr>
        <w:tab/>
        <w:t>Cerința (cerințele) care trebuie îndeplinită (îndeplinite) pe termen scurt sau lung, inclusiv un calendar detaliat pentru punerea în aplicare a inițiativei</w:t>
      </w:r>
      <w:bookmarkStart w:id="57" w:name="_Toc514938029"/>
      <w:bookmarkStart w:id="58" w:name="_Toc520485036"/>
      <w:bookmarkStart w:id="59" w:name="_Toc160804578"/>
      <w:bookmarkStart w:id="60" w:name="_Toc167220270"/>
      <w:bookmarkStart w:id="61" w:name="_Toc177549003"/>
      <w:bookmarkEnd w:id="52"/>
      <w:bookmarkEnd w:id="53"/>
      <w:bookmarkEnd w:id="54"/>
      <w:bookmarkEnd w:id="55"/>
      <w:bookmarkEnd w:id="56"/>
    </w:p>
    <w:tbl>
      <w:tblPr>
        <w:tblStyle w:val="TableGrid"/>
        <w:tblW w:w="0" w:type="auto"/>
        <w:tblInd w:w="850" w:type="dxa"/>
        <w:tblLook w:val="04A0" w:firstRow="1" w:lastRow="0" w:firstColumn="1" w:lastColumn="0" w:noHBand="0" w:noVBand="1"/>
      </w:tblPr>
      <w:tblGrid>
        <w:gridCol w:w="8437"/>
      </w:tblGrid>
      <w:tr w:rsidR="001E1794" w:rsidRPr="00046858" w14:paraId="1392B33F" w14:textId="77777777" w:rsidTr="00FA7B27">
        <w:tc>
          <w:tcPr>
            <w:tcW w:w="9287" w:type="dxa"/>
          </w:tcPr>
          <w:p w14:paraId="37111136" w14:textId="77777777" w:rsidR="00FA7B27" w:rsidRPr="00046858" w:rsidRDefault="00FA7B27" w:rsidP="0041561E">
            <w:pPr>
              <w:pStyle w:val="ManualHeading3"/>
              <w:ind w:left="0" w:firstLine="0"/>
              <w:rPr>
                <w:i w:val="0"/>
                <w:iCs/>
                <w:noProof/>
              </w:rPr>
            </w:pPr>
            <w:r w:rsidRPr="00046858">
              <w:rPr>
                <w:i w:val="0"/>
                <w:noProof/>
              </w:rPr>
              <w:t xml:space="preserve">Regulamentul ar urma să devină pe deplin aplicabil la scurt timp după adoptarea sa, și anume în ziua următoare datei publicării în </w:t>
            </w:r>
            <w:r w:rsidRPr="00046858">
              <w:rPr>
                <w:noProof/>
              </w:rPr>
              <w:t>Jurnalul Oficial al Uniunii Europene</w:t>
            </w:r>
            <w:r w:rsidRPr="00046858">
              <w:rPr>
                <w:i w:val="0"/>
                <w:noProof/>
              </w:rPr>
              <w:t>.</w:t>
            </w:r>
          </w:p>
          <w:p w14:paraId="24CE25F3" w14:textId="77777777" w:rsidR="005F2228" w:rsidRPr="00046858" w:rsidRDefault="00826191" w:rsidP="005F2228">
            <w:pPr>
              <w:pStyle w:val="Text1"/>
              <w:ind w:left="0"/>
              <w:rPr>
                <w:noProof/>
              </w:rPr>
            </w:pPr>
            <w:r w:rsidRPr="00046858">
              <w:rPr>
                <w:noProof/>
              </w:rPr>
              <w:t>Regulamentul se bazează pe dispozițiile în vigoare în prezent în temeiul Regulamentului (UE) 2023/1781 (Regulamentul privind cipurile).</w:t>
            </w:r>
          </w:p>
        </w:tc>
      </w:tr>
    </w:tbl>
    <w:p w14:paraId="7DF334CD" w14:textId="77777777" w:rsidR="00A03D5B" w:rsidRPr="00046858" w:rsidRDefault="00A03D5B" w:rsidP="008125C1">
      <w:pPr>
        <w:pStyle w:val="ManualHeading3"/>
        <w:spacing w:before="240"/>
        <w:ind w:left="851" w:hanging="851"/>
        <w:rPr>
          <w:bCs/>
          <w:noProof/>
          <w:szCs w:val="24"/>
        </w:rPr>
      </w:pPr>
      <w:r w:rsidRPr="00046858">
        <w:rPr>
          <w:noProof/>
        </w:rPr>
        <w:t>1.5.2.</w:t>
      </w:r>
      <w:r w:rsidRPr="00046858">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bookmarkEnd w:id="57"/>
      <w:bookmarkEnd w:id="58"/>
      <w:bookmarkEnd w:id="59"/>
      <w:bookmarkEnd w:id="60"/>
      <w:bookmarkEnd w:id="61"/>
    </w:p>
    <w:p w14:paraId="763D9029" w14:textId="77777777" w:rsidR="00714A96" w:rsidRPr="00046858" w:rsidRDefault="00714A96" w:rsidP="00714A96">
      <w:pPr>
        <w:pStyle w:val="Text1"/>
        <w:pBdr>
          <w:top w:val="single" w:sz="4" w:space="1" w:color="auto"/>
          <w:left w:val="single" w:sz="4" w:space="4" w:color="auto"/>
          <w:bottom w:val="single" w:sz="4" w:space="1" w:color="auto"/>
          <w:right w:val="single" w:sz="4" w:space="4" w:color="auto"/>
        </w:pBdr>
        <w:rPr>
          <w:noProof/>
        </w:rPr>
      </w:pPr>
      <w:r w:rsidRPr="00046858">
        <w:rPr>
          <w:noProof/>
        </w:rPr>
        <w:t xml:space="preserve">Obiectivele de consolidare a capacității UE de proiectare și de producție a semiconductorilor, precum și de îmbunătățire a pregătirii pentru situații de criză pot fi realizate mai eficace la nivelul Uniunii, deoarece amploarea și natura sistemică a provocărilor depășesc capacitatea statelor membre de a acționa individual. Atunci când se coordonează investițiile în instalații de producție la scară largă, în infrastructura comună de cercetare și dezvoltare și în sistemele transfrontaliere de avertizare timpurie și de monitorizare, apar economii de scară semnificative, ceea ce înseamnă că acțiunea la nivelul UE poate pune în comun resursele, poate reduce suprapunerile și poate produce rezultate mai eficient decât eforturile naționale fragmentate. Măsuri precum creșterea capacităților de producție, accelerarea procesului de autorizare, comenzile prioritare și achizițiile comune urmăresc să asigure un răspuns coerent la crizele viitoare. </w:t>
      </w:r>
    </w:p>
    <w:p w14:paraId="32D0601E" w14:textId="77777777" w:rsidR="00714A96" w:rsidRPr="00046858" w:rsidRDefault="00714A96" w:rsidP="00714A96">
      <w:pPr>
        <w:pStyle w:val="Text1"/>
        <w:pBdr>
          <w:top w:val="single" w:sz="4" w:space="1" w:color="auto"/>
          <w:left w:val="single" w:sz="4" w:space="4" w:color="auto"/>
          <w:bottom w:val="single" w:sz="4" w:space="1" w:color="auto"/>
          <w:right w:val="single" w:sz="4" w:space="4" w:color="auto"/>
        </w:pBdr>
        <w:rPr>
          <w:noProof/>
        </w:rPr>
      </w:pPr>
      <w:r w:rsidRPr="00046858">
        <w:rPr>
          <w:noProof/>
        </w:rPr>
        <w:t>Un cadru comun aduce, de asemenea, beneficii clare, deoarece înlocuiește stimulentele naționale, protocoalele de răspuns în situații de criză și raportarea divergente cu abordări comune care asigură coerența, reduc sarcinile administrative și evită cursele pentru subvenții sau cerințele de reglementare inconsecvente. Funcționarea pieței interne este îmbunătățită, deoarece acțiunea coordonată a UE reduce la minimum denaturările, asigură o concurență loială pentru atragerea de proiecte în domeniul semiconductorilor, facilitează buna circulație a factorilor de producție critici și a cipurilor și consolidează reziliența lanțurilor de aprovizionare transfrontaliere care depind de integrarea fără sincope în toate statele membre. </w:t>
      </w:r>
    </w:p>
    <w:p w14:paraId="7F043609" w14:textId="77777777" w:rsidR="00A03D5B" w:rsidRPr="00046858" w:rsidRDefault="00A03D5B" w:rsidP="008125C1">
      <w:pPr>
        <w:pStyle w:val="ManualHeading3"/>
        <w:spacing w:before="240"/>
        <w:ind w:left="851" w:hanging="851"/>
        <w:rPr>
          <w:noProof/>
        </w:rPr>
      </w:pPr>
      <w:bookmarkStart w:id="62" w:name="_Toc514938030"/>
      <w:bookmarkStart w:id="63" w:name="_Toc520485037"/>
      <w:bookmarkStart w:id="64" w:name="_Toc160804579"/>
      <w:bookmarkStart w:id="65" w:name="_Toc167220271"/>
      <w:bookmarkStart w:id="66" w:name="_Toc177549004"/>
      <w:r w:rsidRPr="00046858">
        <w:rPr>
          <w:noProof/>
        </w:rPr>
        <w:t>1.5.3.</w:t>
      </w:r>
      <w:r w:rsidRPr="00046858">
        <w:rPr>
          <w:noProof/>
        </w:rPr>
        <w:tab/>
        <w:t>Învățăminte desprinse din experiențele anterioare similare</w:t>
      </w:r>
      <w:bookmarkEnd w:id="62"/>
      <w:bookmarkEnd w:id="63"/>
      <w:bookmarkEnd w:id="64"/>
      <w:bookmarkEnd w:id="65"/>
      <w:bookmarkEnd w:id="66"/>
    </w:p>
    <w:p w14:paraId="5F9A00FC" w14:textId="77777777" w:rsidR="002A37AF" w:rsidRPr="00046858" w:rsidRDefault="002A37AF" w:rsidP="002A37AF">
      <w:pPr>
        <w:pStyle w:val="Text1"/>
        <w:pBdr>
          <w:top w:val="single" w:sz="4" w:space="1" w:color="auto"/>
          <w:left w:val="single" w:sz="4" w:space="4" w:color="auto"/>
          <w:bottom w:val="single" w:sz="4" w:space="1" w:color="auto"/>
          <w:right w:val="single" w:sz="4" w:space="4" w:color="auto"/>
        </w:pBdr>
        <w:rPr>
          <w:noProof/>
        </w:rPr>
      </w:pPr>
      <w:bookmarkStart w:id="67" w:name="_Toc514938033"/>
      <w:bookmarkStart w:id="68" w:name="_Toc520485038"/>
      <w:bookmarkStart w:id="69" w:name="_Toc160804580"/>
      <w:bookmarkStart w:id="70" w:name="_Toc167220272"/>
      <w:bookmarkStart w:id="71" w:name="_Toc177549005"/>
      <w:r w:rsidRPr="00046858">
        <w:rPr>
          <w:noProof/>
        </w:rPr>
        <w:t>Evaluarea actualului Regulament privind cipurile a permis desprinderea mai multor învățăminte</w:t>
      </w:r>
      <w:r w:rsidRPr="00046858">
        <w:rPr>
          <w:rStyle w:val="FootnoteReference"/>
          <w:noProof/>
        </w:rPr>
        <w:footnoteReference w:id="75"/>
      </w:r>
      <w:r w:rsidRPr="00046858">
        <w:rPr>
          <w:noProof/>
        </w:rPr>
        <w:t>. În primul rând, transformarea inovării în capacitate industrială necesită mecanisme de politică, prin care să se creeze în mod explicit punți între infrastructurile liniilor-pilot și investițiile în producție. Deși regulamentul privind cipurile a creat cu succes instalații de cercetare și validare de talie mondială, experiența arată că producția la scară de piață nu rezultă în mod automat doar din capacitatea tehnologică. Inițiativele viitoare ar urma să beneficieze de pe urma integrării mai sistematice a mecanismelor de tranziție care facilitează trecerea de la liniile-pilot la implementarea industrială.</w:t>
      </w:r>
    </w:p>
    <w:p w14:paraId="3224BE5B" w14:textId="77777777" w:rsidR="002A37AF" w:rsidRPr="00046858" w:rsidRDefault="002A37AF" w:rsidP="002A37AF">
      <w:pPr>
        <w:pStyle w:val="Text1"/>
        <w:pBdr>
          <w:top w:val="single" w:sz="4" w:space="1" w:color="auto"/>
          <w:left w:val="single" w:sz="4" w:space="4" w:color="auto"/>
          <w:bottom w:val="single" w:sz="4" w:space="1" w:color="auto"/>
          <w:right w:val="single" w:sz="4" w:space="4" w:color="auto"/>
        </w:pBdr>
        <w:rPr>
          <w:noProof/>
        </w:rPr>
      </w:pPr>
      <w:r w:rsidRPr="00046858">
        <w:rPr>
          <w:noProof/>
        </w:rPr>
        <w:t>În al doilea rând, orientarea către cerere ar trebui integrată în instrumentele de politică industrială. Evaluarea subliniază că doar investițiile axate pe ofertă nu generează neapărat amploare sau competitivitate în absența unei adoptări fiabile pe piață. Prin urmare, instrumentele care sprijină implementarea ar trebui să fie însoțite de măsuri care sporesc cererea, cum ar fi coordonarea achizițiilor publice sau stimulentele pentru consum.</w:t>
      </w:r>
    </w:p>
    <w:p w14:paraId="46A777BC" w14:textId="77777777" w:rsidR="002A37AF" w:rsidRPr="00046858" w:rsidRDefault="002A37AF" w:rsidP="002A37AF">
      <w:pPr>
        <w:pStyle w:val="Text1"/>
        <w:pBdr>
          <w:top w:val="single" w:sz="4" w:space="1" w:color="auto"/>
          <w:left w:val="single" w:sz="4" w:space="4" w:color="auto"/>
          <w:bottom w:val="single" w:sz="4" w:space="1" w:color="auto"/>
          <w:right w:val="single" w:sz="4" w:space="4" w:color="auto"/>
        </w:pBdr>
        <w:rPr>
          <w:noProof/>
        </w:rPr>
      </w:pPr>
      <w:r w:rsidRPr="00046858">
        <w:rPr>
          <w:noProof/>
        </w:rPr>
        <w:t>În al treilea rând, accesul la finanțare trebuie să rămână un element central al politicii industriale. Evaluarea arată că primul cadru de pionierat a îmbunătățit securitatea juridică pentru investițiile majore, dar părțile interesate se confruntă în continuare cu întârzieri cauzate de normele privind ajutoarele de stat, de perioadele îndelungate de notificare și de incertitudinea la nivel de proiect. În mod similar, constrângerile în materie de capital de risc în stadiu avansat și de investiții instituționale limitează finanțarea pentru extindere. Acești factori slăbesc competitivitatea Europei și încetinesc creșterea întreprinderilor competitive la nivel mondial.</w:t>
      </w:r>
    </w:p>
    <w:p w14:paraId="21A93680" w14:textId="77777777" w:rsidR="002A37AF" w:rsidRPr="00046858" w:rsidRDefault="002A37AF" w:rsidP="002A37AF">
      <w:pPr>
        <w:pStyle w:val="Text1"/>
        <w:pBdr>
          <w:top w:val="single" w:sz="4" w:space="1" w:color="auto"/>
          <w:left w:val="single" w:sz="4" w:space="4" w:color="auto"/>
          <w:bottom w:val="single" w:sz="4" w:space="1" w:color="auto"/>
          <w:right w:val="single" w:sz="4" w:space="4" w:color="auto"/>
        </w:pBdr>
        <w:rPr>
          <w:noProof/>
        </w:rPr>
      </w:pPr>
      <w:r w:rsidRPr="00046858">
        <w:rPr>
          <w:noProof/>
        </w:rPr>
        <w:t>În sfârșit, pregătirea pentru situații de criză depinde de informații de înaltă calitate privind sistemul. Evaluarea arată că o monitorizare eficace necesită o vizibilitate actualizată de-a lungul întregului lanț valoric, care să acopere nu numai fabricarea, ci și materialele, încapsularea, instrumentele de proiectare și utilizatorii din aval. Cadrele viitoare ar putea acorda prioritate îmbunătățirii colectării datelor, infrastructurilor de date partajate și raportării integrate, pentru a permite detectarea în timp util a riscurilor și răspunsuri coordonate.</w:t>
      </w:r>
    </w:p>
    <w:p w14:paraId="739C7FC0" w14:textId="77777777" w:rsidR="00A03D5B" w:rsidRPr="00046858" w:rsidRDefault="00A03D5B" w:rsidP="008125C1">
      <w:pPr>
        <w:pStyle w:val="ManualHeading3"/>
        <w:spacing w:before="240"/>
        <w:ind w:left="851" w:hanging="851"/>
        <w:rPr>
          <w:noProof/>
        </w:rPr>
      </w:pPr>
      <w:r w:rsidRPr="00046858">
        <w:rPr>
          <w:noProof/>
        </w:rPr>
        <w:t>1.5.4.</w:t>
      </w:r>
      <w:r w:rsidRPr="00046858">
        <w:rPr>
          <w:noProof/>
        </w:rPr>
        <w:tab/>
        <w:t>Compatibilitatea cu cadrul financiar multianual și posibilele sinergii cu alte instrumente corespunzătoare</w:t>
      </w:r>
      <w:bookmarkEnd w:id="67"/>
      <w:bookmarkEnd w:id="68"/>
      <w:bookmarkEnd w:id="69"/>
      <w:bookmarkEnd w:id="70"/>
      <w:bookmarkEnd w:id="71"/>
    </w:p>
    <w:p w14:paraId="55DDCBE1" w14:textId="222AE699" w:rsidR="000413DE" w:rsidRPr="00046858" w:rsidRDefault="000413DE" w:rsidP="00494385">
      <w:pPr>
        <w:pStyle w:val="Text1"/>
        <w:pBdr>
          <w:top w:val="single" w:sz="4" w:space="1" w:color="auto"/>
          <w:left w:val="single" w:sz="4" w:space="4" w:color="auto"/>
          <w:bottom w:val="single" w:sz="4" w:space="1" w:color="auto"/>
          <w:right w:val="single" w:sz="4" w:space="4" w:color="auto"/>
        </w:pBdr>
        <w:rPr>
          <w:noProof/>
        </w:rPr>
      </w:pPr>
      <w:bookmarkStart w:id="72" w:name="_Toc514938036"/>
      <w:bookmarkStart w:id="73" w:name="_Toc520485039"/>
      <w:bookmarkStart w:id="74" w:name="_Toc160804581"/>
      <w:bookmarkStart w:id="75" w:name="_Toc167220273"/>
      <w:bookmarkStart w:id="76" w:name="_Toc177549006"/>
      <w:r w:rsidRPr="00046858">
        <w:rPr>
          <w:noProof/>
        </w:rPr>
        <w:t xml:space="preserve">Pentru a maximiza impactul său pozitiv, inițiativa „Cipuri pentru Europa” 2.0 (pilonul I) va continua să se bazeze pe o bază solidă de cunoștințe și să consolideze sinergiile cu acțiunile sprijinite în prezent de Uniune și de statele membre prin programe și acțiuni de cercetare și inovare în domeniul semiconductorilor și de dezvoltare a unei părți a lanțului de aprovizionare. Printre acestea se numără, în special, programul-cadru Orizont Europa și programul „Europa digitală”, cu scopul de a consolida poziția Uniunii ca actor mondial în domeniul tehnologiei semiconductorilor și al aplicațiilor acesteia, cu o pondere din ce în ce mai mare în sectorul producției la nivel mondial până în 2030. În completarea acestor activități, inițiativa „Cipuri pentru Europa” 2.0 va colabora mai strâns cu Alianța industrială pentru semiconductori. </w:t>
      </w:r>
    </w:p>
    <w:p w14:paraId="38E35C91" w14:textId="77777777" w:rsidR="00CD5FF0" w:rsidRPr="00046858" w:rsidRDefault="00A03D5B" w:rsidP="008125C1">
      <w:pPr>
        <w:pStyle w:val="ManualHeading3"/>
        <w:spacing w:before="240"/>
        <w:ind w:left="851" w:hanging="851"/>
        <w:rPr>
          <w:noProof/>
        </w:rPr>
      </w:pPr>
      <w:r w:rsidRPr="00046858">
        <w:rPr>
          <w:noProof/>
        </w:rPr>
        <w:t>1.5.5.</w:t>
      </w:r>
      <w:r w:rsidRPr="00046858">
        <w:rPr>
          <w:noProof/>
        </w:rPr>
        <w:tab/>
        <w:t>Evaluarea diverselor opțiuni de finanțare disponibile, inclusiv a posibilităților de realocare a creditelor</w:t>
      </w:r>
      <w:bookmarkEnd w:id="72"/>
      <w:bookmarkEnd w:id="73"/>
      <w:bookmarkEnd w:id="74"/>
      <w:bookmarkEnd w:id="75"/>
      <w:bookmarkEnd w:id="76"/>
    </w:p>
    <w:tbl>
      <w:tblPr>
        <w:tblStyle w:val="TableGrid"/>
        <w:tblW w:w="0" w:type="auto"/>
        <w:tblInd w:w="850" w:type="dxa"/>
        <w:tblLook w:val="04A0" w:firstRow="1" w:lastRow="0" w:firstColumn="1" w:lastColumn="0" w:noHBand="0" w:noVBand="1"/>
      </w:tblPr>
      <w:tblGrid>
        <w:gridCol w:w="8437"/>
      </w:tblGrid>
      <w:tr w:rsidR="00CD5FF0" w:rsidRPr="00046858" w14:paraId="413A4395" w14:textId="77777777" w:rsidTr="00CD5FF0">
        <w:tc>
          <w:tcPr>
            <w:tcW w:w="9287" w:type="dxa"/>
          </w:tcPr>
          <w:p w14:paraId="0562FAC0" w14:textId="77777777" w:rsidR="00CD5FF0" w:rsidRPr="00046858" w:rsidRDefault="00CD5FF0" w:rsidP="0041561E">
            <w:pPr>
              <w:pStyle w:val="ManualHeading2"/>
              <w:ind w:left="0" w:firstLine="0"/>
              <w:rPr>
                <w:b w:val="0"/>
                <w:bCs/>
                <w:noProof/>
              </w:rPr>
            </w:pPr>
            <w:r w:rsidRPr="00046858">
              <w:rPr>
                <w:b w:val="0"/>
                <w:noProof/>
              </w:rPr>
              <w:t>Fără a aduce atingere rezultatului negocierilor privind următorul CFM, creditele prevăzute începând cu 2028 sunt strict orientative.</w:t>
            </w:r>
          </w:p>
        </w:tc>
      </w:tr>
    </w:tbl>
    <w:p w14:paraId="733F8EEE" w14:textId="77777777" w:rsidR="00A03D5B" w:rsidRPr="00046858" w:rsidRDefault="00A03D5B" w:rsidP="0041561E">
      <w:pPr>
        <w:pStyle w:val="ManualHeading2"/>
        <w:rPr>
          <w:bCs/>
          <w:noProof/>
          <w:szCs w:val="24"/>
        </w:rPr>
      </w:pPr>
      <w:r w:rsidRPr="00046858">
        <w:rPr>
          <w:noProof/>
        </w:rPr>
        <w:br w:type="page"/>
      </w:r>
      <w:bookmarkStart w:id="77" w:name="_Toc514938039"/>
      <w:bookmarkStart w:id="78" w:name="_Toc520485040"/>
      <w:bookmarkStart w:id="79" w:name="_Toc160804582"/>
      <w:bookmarkStart w:id="80" w:name="_Toc167220274"/>
      <w:bookmarkStart w:id="81" w:name="_Toc177549007"/>
      <w:r w:rsidRPr="00046858">
        <w:rPr>
          <w:noProof/>
        </w:rPr>
        <w:t>1.6.</w:t>
      </w:r>
      <w:r w:rsidRPr="00046858">
        <w:rPr>
          <w:noProof/>
        </w:rPr>
        <w:tab/>
        <w:t>Durata propunerii/inițiativei</w:t>
      </w:r>
      <w:bookmarkEnd w:id="77"/>
      <w:bookmarkEnd w:id="78"/>
      <w:r w:rsidRPr="00046858">
        <w:rPr>
          <w:noProof/>
        </w:rPr>
        <w:t xml:space="preserve"> și a impactului său financiar</w:t>
      </w:r>
      <w:bookmarkEnd w:id="79"/>
      <w:bookmarkEnd w:id="80"/>
      <w:bookmarkEnd w:id="81"/>
    </w:p>
    <w:p w14:paraId="685B3E90" w14:textId="77777777" w:rsidR="00A03D5B" w:rsidRPr="00046858" w:rsidRDefault="007375E1" w:rsidP="0041561E">
      <w:pPr>
        <w:pStyle w:val="Text1"/>
        <w:rPr>
          <w:noProof/>
        </w:rPr>
      </w:pPr>
      <w:r w:rsidRPr="00046858">
        <w:rPr>
          <w:rFonts w:ascii="Wingdings" w:hAnsi="Wingdings"/>
          <w:b/>
          <w:i/>
          <w:noProof/>
          <w:sz w:val="22"/>
        </w:rPr>
        <w:t></w:t>
      </w:r>
      <w:r w:rsidRPr="00046858">
        <w:rPr>
          <w:b/>
          <w:i/>
          <w:noProof/>
        </w:rPr>
        <w:t xml:space="preserve"> </w:t>
      </w:r>
      <w:r w:rsidRPr="00046858">
        <w:rPr>
          <w:b/>
          <w:noProof/>
        </w:rPr>
        <w:t xml:space="preserve">durată limitată </w:t>
      </w:r>
    </w:p>
    <w:p w14:paraId="0F7C0F21" w14:textId="77777777" w:rsidR="00D25D61" w:rsidRPr="00046858" w:rsidRDefault="007375E1" w:rsidP="00D04B79">
      <w:pPr>
        <w:pStyle w:val="ListDash2"/>
        <w:rPr>
          <w:noProof/>
        </w:rPr>
      </w:pPr>
      <w:r w:rsidRPr="00046858">
        <w:rPr>
          <w:rFonts w:ascii="Wingdings" w:hAnsi="Wingdings"/>
          <w:noProof/>
          <w:sz w:val="22"/>
        </w:rPr>
        <w:t></w:t>
      </w:r>
      <w:r w:rsidRPr="00046858">
        <w:rPr>
          <w:rFonts w:ascii="Wingdings" w:hAnsi="Wingdings"/>
          <w:noProof/>
          <w:sz w:val="22"/>
        </w:rPr>
        <w:t></w:t>
      </w:r>
      <w:r w:rsidRPr="00046858">
        <w:rPr>
          <w:noProof/>
        </w:rPr>
        <w:t xml:space="preserve">în vigoare de la data adoptării propunerii de regulament al Parlamentului European și al Consiliului de stabilire a unui cadru de măsuri pentru consolidarea ecosistemului european al semiconductorilor (Regulamentul privind cipurile 2) </w:t>
      </w:r>
    </w:p>
    <w:p w14:paraId="255D1F49" w14:textId="77777777" w:rsidR="00A03D5B" w:rsidRPr="00046858" w:rsidRDefault="006F5E87" w:rsidP="00D04B79">
      <w:pPr>
        <w:pStyle w:val="ListDash2"/>
        <w:rPr>
          <w:noProof/>
        </w:rPr>
      </w:pPr>
      <w:r w:rsidRPr="00046858">
        <w:rPr>
          <w:rFonts w:ascii="Wingdings" w:hAnsi="Wingdings"/>
          <w:noProof/>
          <w:sz w:val="22"/>
        </w:rPr>
        <w:t></w:t>
      </w:r>
      <w:r w:rsidRPr="00046858">
        <w:rPr>
          <w:rFonts w:ascii="Wingdings" w:hAnsi="Wingdings"/>
          <w:noProof/>
          <w:sz w:val="22"/>
        </w:rPr>
        <w:t></w:t>
      </w:r>
      <w:r w:rsidRPr="00046858">
        <w:rPr>
          <w:noProof/>
        </w:rPr>
        <w:t xml:space="preserve">impact financiar din 2028 până în 2034 pentru creditele de angajament și din 2028 până în 2038 pentru creditele de plată </w:t>
      </w:r>
    </w:p>
    <w:p w14:paraId="0085F323" w14:textId="77777777" w:rsidR="00A03D5B" w:rsidRPr="00046858" w:rsidRDefault="00A03D5B" w:rsidP="0041561E">
      <w:pPr>
        <w:pStyle w:val="Text1"/>
        <w:rPr>
          <w:noProof/>
        </w:rPr>
      </w:pPr>
      <w:r w:rsidRPr="00046858">
        <w:rPr>
          <w:rFonts w:ascii="Wingdings" w:hAnsi="Wingdings"/>
          <w:b/>
          <w:i/>
          <w:noProof/>
        </w:rPr>
        <w:t></w:t>
      </w:r>
      <w:r w:rsidRPr="00046858">
        <w:rPr>
          <w:b/>
          <w:i/>
          <w:noProof/>
        </w:rPr>
        <w:t xml:space="preserve"> </w:t>
      </w:r>
      <w:r w:rsidRPr="00046858">
        <w:rPr>
          <w:b/>
          <w:noProof/>
        </w:rPr>
        <w:t>durată nelimitată</w:t>
      </w:r>
    </w:p>
    <w:p w14:paraId="2DCD415C" w14:textId="77777777" w:rsidR="00E51C05" w:rsidRPr="00046858" w:rsidRDefault="00E51C05" w:rsidP="00D04B79">
      <w:pPr>
        <w:pStyle w:val="ListDash2"/>
        <w:rPr>
          <w:noProof/>
        </w:rPr>
      </w:pPr>
      <w:r w:rsidRPr="00046858">
        <w:rPr>
          <w:rFonts w:ascii="Wingdings" w:hAnsi="Wingdings"/>
          <w:noProof/>
        </w:rPr>
        <w:t></w:t>
      </w:r>
      <w:r w:rsidRPr="00046858">
        <w:rPr>
          <w:noProof/>
        </w:rPr>
        <w:tab/>
        <w:t>Punere în aplicare cu o perioadă de creștere în intensitate din AAAA până în AAAA,</w:t>
      </w:r>
    </w:p>
    <w:p w14:paraId="36513061" w14:textId="77777777" w:rsidR="00A03D5B" w:rsidRPr="00046858" w:rsidRDefault="00E51C05" w:rsidP="00D04B79">
      <w:pPr>
        <w:pStyle w:val="ListDash2"/>
        <w:rPr>
          <w:noProof/>
        </w:rPr>
      </w:pPr>
      <w:r w:rsidRPr="00046858">
        <w:rPr>
          <w:rFonts w:ascii="Wingdings" w:hAnsi="Wingdings"/>
          <w:noProof/>
        </w:rPr>
        <w:t></w:t>
      </w:r>
      <w:r w:rsidRPr="00046858">
        <w:rPr>
          <w:noProof/>
        </w:rPr>
        <w:tab/>
        <w:t>urmată de o perioadă de funcționare la capacitate maximă.</w:t>
      </w:r>
    </w:p>
    <w:p w14:paraId="63B9C2EE" w14:textId="77777777" w:rsidR="00C35FA1" w:rsidRPr="00046858" w:rsidRDefault="00C35FA1" w:rsidP="0041561E">
      <w:pPr>
        <w:pStyle w:val="ManualHeading2"/>
        <w:rPr>
          <w:noProof/>
        </w:rPr>
      </w:pPr>
      <w:bookmarkStart w:id="82" w:name="_Toc514938040"/>
      <w:bookmarkStart w:id="83" w:name="_Toc520485041"/>
      <w:bookmarkStart w:id="84" w:name="_Toc160804583"/>
      <w:bookmarkStart w:id="85" w:name="_Toc167220275"/>
      <w:bookmarkStart w:id="86" w:name="_Toc177549008"/>
    </w:p>
    <w:p w14:paraId="687803C5" w14:textId="77777777" w:rsidR="00A03D5B" w:rsidRPr="00046858" w:rsidRDefault="00A03D5B" w:rsidP="0041561E">
      <w:pPr>
        <w:pStyle w:val="ManualHeading2"/>
        <w:rPr>
          <w:bCs/>
          <w:noProof/>
          <w:szCs w:val="24"/>
        </w:rPr>
      </w:pPr>
      <w:r w:rsidRPr="00046858">
        <w:rPr>
          <w:noProof/>
        </w:rPr>
        <w:t>1.7.</w:t>
      </w:r>
      <w:r w:rsidRPr="00046858">
        <w:rPr>
          <w:noProof/>
        </w:rPr>
        <w:tab/>
        <w:t>Metoda (metodele) de execuție a bugetului planificată (planificate)</w:t>
      </w:r>
      <w:bookmarkEnd w:id="82"/>
      <w:bookmarkEnd w:id="83"/>
      <w:bookmarkEnd w:id="84"/>
      <w:bookmarkEnd w:id="85"/>
      <w:bookmarkEnd w:id="86"/>
      <w:r w:rsidRPr="00046858">
        <w:rPr>
          <w:noProof/>
        </w:rPr>
        <w:t xml:space="preserve"> </w:t>
      </w:r>
    </w:p>
    <w:p w14:paraId="5F357834" w14:textId="77777777" w:rsidR="00A03D5B" w:rsidRPr="00046858" w:rsidRDefault="00216698" w:rsidP="0041561E">
      <w:pPr>
        <w:pStyle w:val="Text1"/>
        <w:rPr>
          <w:noProof/>
        </w:rPr>
      </w:pPr>
      <w:r w:rsidRPr="00046858">
        <w:rPr>
          <w:rFonts w:ascii="Wingdings" w:hAnsi="Wingdings"/>
          <w:noProof/>
          <w:sz w:val="22"/>
        </w:rPr>
        <w:t></w:t>
      </w:r>
      <w:r w:rsidRPr="00046858">
        <w:rPr>
          <w:i/>
          <w:noProof/>
        </w:rPr>
        <w:t xml:space="preserve"> </w:t>
      </w:r>
      <w:r w:rsidRPr="00046858">
        <w:rPr>
          <w:b/>
          <w:noProof/>
        </w:rPr>
        <w:t xml:space="preserve">Gestiune directă </w:t>
      </w:r>
      <w:r w:rsidRPr="00046858">
        <w:rPr>
          <w:noProof/>
        </w:rPr>
        <w:t>asigurată de Comisie</w:t>
      </w:r>
    </w:p>
    <w:p w14:paraId="2151425A" w14:textId="77777777" w:rsidR="000E62DB" w:rsidRPr="00046858" w:rsidRDefault="000078AE" w:rsidP="00D04B79">
      <w:pPr>
        <w:pStyle w:val="ListDash2"/>
        <w:rPr>
          <w:noProof/>
        </w:rPr>
      </w:pPr>
      <w:r w:rsidRPr="00046858">
        <w:rPr>
          <w:rFonts w:ascii="Wingdings" w:hAnsi="Wingdings"/>
          <w:noProof/>
          <w:sz w:val="22"/>
        </w:rPr>
        <w:t></w:t>
      </w:r>
      <w:r w:rsidRPr="00046858">
        <w:rPr>
          <w:noProof/>
        </w:rPr>
        <w:tab/>
        <w:t>prin intermediul serviciilor sale, inclusiv al personalului din delegațiile Uniunii</w:t>
      </w:r>
    </w:p>
    <w:p w14:paraId="456B39E8" w14:textId="77777777" w:rsidR="00A03D5B" w:rsidRPr="00046858" w:rsidRDefault="00A03D5B" w:rsidP="00D04B79">
      <w:pPr>
        <w:pStyle w:val="ListDash2"/>
        <w:rPr>
          <w:noProof/>
        </w:rPr>
      </w:pPr>
      <w:r w:rsidRPr="00046858">
        <w:rPr>
          <w:rFonts w:ascii="Wingdings" w:hAnsi="Wingdings"/>
          <w:noProof/>
        </w:rPr>
        <w:t></w:t>
      </w:r>
      <w:r w:rsidRPr="00046858">
        <w:rPr>
          <w:noProof/>
        </w:rPr>
        <w:tab/>
        <w:t xml:space="preserve">prin intermediul agențiilor executive </w:t>
      </w:r>
    </w:p>
    <w:p w14:paraId="3D995080" w14:textId="77777777" w:rsidR="00A03D5B" w:rsidRPr="00046858" w:rsidRDefault="00A03D5B" w:rsidP="0041561E">
      <w:pPr>
        <w:pStyle w:val="Text1"/>
        <w:rPr>
          <w:noProof/>
        </w:rPr>
      </w:pPr>
      <w:r w:rsidRPr="00046858">
        <w:rPr>
          <w:rFonts w:ascii="Wingdings" w:hAnsi="Wingdings"/>
          <w:noProof/>
        </w:rPr>
        <w:t></w:t>
      </w:r>
      <w:r w:rsidRPr="00046858">
        <w:rPr>
          <w:b/>
          <w:i/>
          <w:noProof/>
        </w:rPr>
        <w:t xml:space="preserve"> </w:t>
      </w:r>
      <w:r w:rsidRPr="00046858">
        <w:rPr>
          <w:b/>
          <w:noProof/>
        </w:rPr>
        <w:t xml:space="preserve">Gestiune partajată </w:t>
      </w:r>
      <w:r w:rsidRPr="00046858">
        <w:rPr>
          <w:noProof/>
        </w:rPr>
        <w:t xml:space="preserve">cu statele membre </w:t>
      </w:r>
    </w:p>
    <w:p w14:paraId="3DB20276" w14:textId="77777777" w:rsidR="00A03D5B" w:rsidRPr="00046858" w:rsidRDefault="000E62DB" w:rsidP="0041561E">
      <w:pPr>
        <w:pStyle w:val="Text1"/>
        <w:rPr>
          <w:noProof/>
        </w:rPr>
      </w:pPr>
      <w:r w:rsidRPr="00046858">
        <w:rPr>
          <w:rFonts w:ascii="Wingdings" w:hAnsi="Wingdings"/>
          <w:noProof/>
          <w:sz w:val="22"/>
        </w:rPr>
        <w:t></w:t>
      </w:r>
      <w:r w:rsidRPr="00046858">
        <w:rPr>
          <w:i/>
          <w:noProof/>
        </w:rPr>
        <w:t xml:space="preserve"> </w:t>
      </w:r>
      <w:r w:rsidRPr="00046858">
        <w:rPr>
          <w:b/>
          <w:noProof/>
        </w:rPr>
        <w:t>Gestiune indirectă</w:t>
      </w:r>
      <w:r w:rsidRPr="00046858">
        <w:rPr>
          <w:noProof/>
        </w:rPr>
        <w:t>, cu delegarea sarcinilor de execuție bugetară:</w:t>
      </w:r>
    </w:p>
    <w:p w14:paraId="7115390A" w14:textId="77777777" w:rsidR="000E62DB" w:rsidRPr="00046858" w:rsidRDefault="00A03D5B" w:rsidP="00D04B79">
      <w:pPr>
        <w:pStyle w:val="ListDash2"/>
        <w:rPr>
          <w:noProof/>
        </w:rPr>
      </w:pPr>
      <w:r w:rsidRPr="00046858">
        <w:rPr>
          <w:rFonts w:ascii="Wingdings" w:hAnsi="Wingdings"/>
          <w:noProof/>
        </w:rPr>
        <w:t></w:t>
      </w:r>
      <w:r w:rsidRPr="00046858">
        <w:rPr>
          <w:noProof/>
        </w:rPr>
        <w:t xml:space="preserve"> </w:t>
      </w:r>
      <w:r w:rsidRPr="00046858">
        <w:rPr>
          <w:noProof/>
        </w:rPr>
        <w:tab/>
        <w:t>țărilor terțe sau organismelor pe care le-au desemnat acestea</w:t>
      </w:r>
    </w:p>
    <w:p w14:paraId="563A1C1C" w14:textId="77777777" w:rsidR="000E62DB" w:rsidRPr="00046858" w:rsidRDefault="00A03D5B" w:rsidP="00D04B79">
      <w:pPr>
        <w:pStyle w:val="ListDash2"/>
        <w:rPr>
          <w:noProof/>
        </w:rPr>
      </w:pPr>
      <w:r w:rsidRPr="00046858">
        <w:rPr>
          <w:rFonts w:ascii="Wingdings" w:hAnsi="Wingdings"/>
          <w:noProof/>
        </w:rPr>
        <w:t></w:t>
      </w:r>
      <w:r w:rsidRPr="00046858">
        <w:rPr>
          <w:noProof/>
        </w:rPr>
        <w:tab/>
        <w:t>organizațiilor internaționale și agențiilor acestora (a se preciza)</w:t>
      </w:r>
    </w:p>
    <w:p w14:paraId="0E55322B" w14:textId="77777777" w:rsidR="000E62DB" w:rsidRPr="00046858" w:rsidRDefault="00A03D5B" w:rsidP="00D04B79">
      <w:pPr>
        <w:pStyle w:val="ListDash2"/>
        <w:rPr>
          <w:noProof/>
        </w:rPr>
      </w:pPr>
      <w:r w:rsidRPr="00046858">
        <w:rPr>
          <w:rFonts w:ascii="Wingdings" w:hAnsi="Wingdings"/>
          <w:noProof/>
        </w:rPr>
        <w:t></w:t>
      </w:r>
      <w:r w:rsidRPr="00046858">
        <w:rPr>
          <w:noProof/>
        </w:rPr>
        <w:t xml:space="preserve"> </w:t>
      </w:r>
      <w:r w:rsidRPr="00046858">
        <w:rPr>
          <w:noProof/>
        </w:rPr>
        <w:tab/>
        <w:t>Băncii Europene de Investiții și Fondului European de Investiții</w:t>
      </w:r>
    </w:p>
    <w:p w14:paraId="757266D9" w14:textId="77777777" w:rsidR="000E62DB" w:rsidRPr="00046858" w:rsidRDefault="009C7F9C" w:rsidP="00D04B79">
      <w:pPr>
        <w:pStyle w:val="ListDash2"/>
        <w:rPr>
          <w:noProof/>
        </w:rPr>
      </w:pPr>
      <w:r w:rsidRPr="00046858">
        <w:rPr>
          <w:rFonts w:ascii="Wingdings" w:hAnsi="Wingdings"/>
          <w:noProof/>
          <w:sz w:val="22"/>
        </w:rPr>
        <w:t></w:t>
      </w:r>
      <w:r w:rsidRPr="00046858">
        <w:rPr>
          <w:noProof/>
        </w:rPr>
        <w:tab/>
        <w:t>organismelor menționate la articolele 70 și 71 din Regulamentul financiar</w:t>
      </w:r>
    </w:p>
    <w:p w14:paraId="40E07AC2" w14:textId="77777777" w:rsidR="009C7F9C" w:rsidRPr="00046858" w:rsidRDefault="00A03D5B" w:rsidP="00D04B79">
      <w:pPr>
        <w:pStyle w:val="ListDash2"/>
        <w:rPr>
          <w:noProof/>
        </w:rPr>
      </w:pPr>
      <w:r w:rsidRPr="00046858">
        <w:rPr>
          <w:rFonts w:ascii="Wingdings" w:hAnsi="Wingdings"/>
          <w:noProof/>
        </w:rPr>
        <w:t></w:t>
      </w:r>
      <w:r w:rsidRPr="00046858">
        <w:rPr>
          <w:noProof/>
        </w:rPr>
        <w:tab/>
        <w:t>organismelor de drept public</w:t>
      </w:r>
    </w:p>
    <w:p w14:paraId="7ED23BEA" w14:textId="77777777" w:rsidR="009C7F9C" w:rsidRPr="00046858" w:rsidRDefault="00A03D5B" w:rsidP="00D04B79">
      <w:pPr>
        <w:pStyle w:val="ListDash2"/>
        <w:rPr>
          <w:noProof/>
        </w:rPr>
      </w:pPr>
      <w:r w:rsidRPr="00046858">
        <w:rPr>
          <w:rFonts w:ascii="Wingdings" w:hAnsi="Wingdings"/>
          <w:noProof/>
        </w:rPr>
        <w:t></w:t>
      </w:r>
      <w:r w:rsidRPr="00046858">
        <w:rPr>
          <w:noProof/>
        </w:rPr>
        <w:tab/>
        <w:t>organismelor de drept privat cu misiune de serviciu public, cu condiția să li se furnizeze garanții financiare adecvate</w:t>
      </w:r>
    </w:p>
    <w:p w14:paraId="62517F3C" w14:textId="77777777" w:rsidR="009C7F9C" w:rsidRPr="00046858" w:rsidRDefault="00A03D5B" w:rsidP="00D04B79">
      <w:pPr>
        <w:pStyle w:val="ListDash2"/>
        <w:rPr>
          <w:noProof/>
        </w:rPr>
      </w:pPr>
      <w:r w:rsidRPr="00046858">
        <w:rPr>
          <w:rFonts w:ascii="Wingdings" w:hAnsi="Wingdings"/>
          <w:noProof/>
        </w:rPr>
        <w:t></w:t>
      </w:r>
      <w:r w:rsidRPr="00046858">
        <w:rPr>
          <w:noProof/>
        </w:rPr>
        <w:tab/>
        <w:t>organismelor de drept privat dintr-un stat membru care sunt responsabile cu punerea în aplicare a unui parteneriat public-privat și cărora li se furnizează garanții financiare adecvate</w:t>
      </w:r>
    </w:p>
    <w:p w14:paraId="6B8B0B1E" w14:textId="77777777" w:rsidR="009C7F9C" w:rsidRPr="00046858" w:rsidRDefault="00A03D5B" w:rsidP="00D04B79">
      <w:pPr>
        <w:pStyle w:val="ListDash2"/>
        <w:rPr>
          <w:noProof/>
        </w:rPr>
      </w:pPr>
      <w:r w:rsidRPr="00046858">
        <w:rPr>
          <w:rFonts w:ascii="Wingdings" w:hAnsi="Wingdings"/>
          <w:noProof/>
        </w:rPr>
        <w:t></w:t>
      </w:r>
      <w:r w:rsidRPr="00046858">
        <w:rPr>
          <w:noProof/>
        </w:rPr>
        <w:tab/>
        <w:t>organismelor sau persoanelor cărora li se încredințează executarea unor acțiuni specifice în cadrul politicii externe și de securitate comună, în temeiul titlului V din Tratatul privind Uniunea Europeană, și care sunt identificate în actul de bază relevant</w:t>
      </w:r>
    </w:p>
    <w:p w14:paraId="5036746F" w14:textId="77777777" w:rsidR="00A03D5B" w:rsidRPr="00046858" w:rsidRDefault="00A03D5B" w:rsidP="00D04B79">
      <w:pPr>
        <w:pStyle w:val="ListDash2"/>
        <w:rPr>
          <w:noProof/>
        </w:rPr>
      </w:pPr>
      <w:r w:rsidRPr="00046858">
        <w:rPr>
          <w:rFonts w:ascii="Wingdings" w:hAnsi="Wingdings"/>
          <w:noProof/>
        </w:rPr>
        <w:t></w:t>
      </w:r>
      <w:r w:rsidRPr="00046858">
        <w:rPr>
          <w:rFonts w:ascii="Wingdings" w:hAnsi="Wingdings"/>
          <w:noProof/>
        </w:rPr>
        <w:t></w:t>
      </w:r>
      <w:r w:rsidRPr="00046858">
        <w:rPr>
          <w:noProof/>
        </w:rPr>
        <w:t>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14:paraId="541DADF3" w14:textId="77777777" w:rsidR="00A03D5B" w:rsidRPr="00046858" w:rsidRDefault="00A03D5B" w:rsidP="008125C1">
      <w:pPr>
        <w:keepNext/>
        <w:rPr>
          <w:noProof/>
        </w:rPr>
      </w:pPr>
      <w:r w:rsidRPr="00046858">
        <w:rPr>
          <w:noProof/>
        </w:rPr>
        <w:t xml:space="preserve">Observații </w:t>
      </w:r>
    </w:p>
    <w:p w14:paraId="11A72523" w14:textId="69B299B3" w:rsidR="006D72EB" w:rsidRPr="00046858" w:rsidRDefault="006D72EB" w:rsidP="006D72EB">
      <w:pPr>
        <w:pBdr>
          <w:top w:val="single" w:sz="4" w:space="1" w:color="auto"/>
          <w:left w:val="single" w:sz="4" w:space="4" w:color="auto"/>
          <w:bottom w:val="single" w:sz="4" w:space="1" w:color="auto"/>
          <w:right w:val="single" w:sz="4" w:space="4" w:color="auto"/>
        </w:pBdr>
        <w:rPr>
          <w:noProof/>
        </w:rPr>
      </w:pPr>
      <w:r w:rsidRPr="00046858">
        <w:rPr>
          <w:noProof/>
        </w:rPr>
        <w:t>Cu excepția (a) activităților și bugetelor legate de Fondul pentru cipuri și (b) a activităților și bugetelor alocate în cadrul Consiliului European pentru Inovare, inițiativa „Cipuri pentru Europa” 2.0 va continua să fie pusă în aplicare în cadrul gestiunii indirecte, prin încredințarea punerii în aplicare a sarcinilor către întreprinderea comună pentru cipuri și, după caz, către întreprinderea comună sau orice altă entitate sau inițiativă similară care îi succedă acesteia, instituită prin dreptul Uniunii în temeiul unui cadru financiar multianual ulterior. Statele membre și alte state participante cofinanțează acțiuni indirecte.</w:t>
      </w:r>
    </w:p>
    <w:p w14:paraId="54486BBB" w14:textId="2A67051B" w:rsidR="00A03D5B" w:rsidRPr="00046858" w:rsidRDefault="006D72EB" w:rsidP="002A4D86">
      <w:pPr>
        <w:pBdr>
          <w:top w:val="single" w:sz="4" w:space="1" w:color="auto"/>
          <w:left w:val="single" w:sz="4" w:space="4" w:color="auto"/>
          <w:bottom w:val="single" w:sz="4" w:space="1" w:color="auto"/>
          <w:right w:val="single" w:sz="4" w:space="4" w:color="auto"/>
        </w:pBdr>
        <w:rPr>
          <w:noProof/>
        </w:rPr>
      </w:pPr>
      <w:r w:rsidRPr="00046858">
        <w:rPr>
          <w:noProof/>
        </w:rPr>
        <w:t xml:space="preserve">Alte părți, cum ar fi activitățile din cadrul pilonilor 2 și 3, fac obiectul gestiunii directe. Acestea se referă la sarcinile încredințate Comisiei de a supraveghea întreprinderea comună pentru cipuri, de a analiza și de a decide cu privire la aplicațiile instalațiilor în domeniul tehnologiilor semiconductorilor, de a sprijini Consiliul european pentru semiconductori, de a sprijini o platformă B2B pentru lanțul de aprovizionare cu semiconductori și – împreună cu statele membre – de a monitoriza lanțurile de aprovizionare cu semiconductori și de a decide cu privire la acțiuni, după caz. </w:t>
      </w:r>
    </w:p>
    <w:p w14:paraId="7959D1BA" w14:textId="77777777" w:rsidR="008D1758" w:rsidRPr="00046858" w:rsidRDefault="008D1758" w:rsidP="002A4D86">
      <w:pPr>
        <w:pBdr>
          <w:top w:val="single" w:sz="4" w:space="1" w:color="auto"/>
          <w:left w:val="single" w:sz="4" w:space="4" w:color="auto"/>
          <w:bottom w:val="single" w:sz="4" w:space="1" w:color="auto"/>
          <w:right w:val="single" w:sz="4" w:space="4" w:color="auto"/>
        </w:pBdr>
        <w:rPr>
          <w:noProof/>
        </w:rPr>
        <w:sectPr w:rsidR="008D1758" w:rsidRPr="00046858" w:rsidSect="0001503D">
          <w:pgSz w:w="11907" w:h="16840" w:code="9"/>
          <w:pgMar w:top="1134" w:right="1418" w:bottom="1134" w:left="1418" w:header="709" w:footer="709" w:gutter="0"/>
          <w:cols w:space="708"/>
          <w:docGrid w:linePitch="360"/>
        </w:sectPr>
      </w:pPr>
    </w:p>
    <w:p w14:paraId="05CFC2E3" w14:textId="77777777" w:rsidR="00A03D5B" w:rsidRPr="00046858" w:rsidRDefault="00A03D5B" w:rsidP="0041561E">
      <w:pPr>
        <w:pStyle w:val="ManualHeading1"/>
        <w:rPr>
          <w:bCs/>
          <w:noProof/>
          <w:szCs w:val="24"/>
        </w:rPr>
      </w:pPr>
      <w:bookmarkStart w:id="87" w:name="_Toc514938041"/>
      <w:bookmarkStart w:id="88" w:name="_Toc520485042"/>
      <w:bookmarkStart w:id="89" w:name="_Toc160804584"/>
      <w:bookmarkStart w:id="90" w:name="_Toc167220276"/>
      <w:bookmarkStart w:id="91" w:name="_Toc177549009"/>
      <w:r w:rsidRPr="00046858">
        <w:rPr>
          <w:noProof/>
        </w:rPr>
        <w:t>2.</w:t>
      </w:r>
      <w:r w:rsidRPr="00046858">
        <w:rPr>
          <w:noProof/>
        </w:rPr>
        <w:tab/>
        <w:t>MĂSURI DE GESTIUNE</w:t>
      </w:r>
      <w:bookmarkEnd w:id="87"/>
      <w:bookmarkEnd w:id="88"/>
      <w:bookmarkEnd w:id="89"/>
      <w:bookmarkEnd w:id="90"/>
      <w:bookmarkEnd w:id="91"/>
      <w:r w:rsidRPr="00046858">
        <w:rPr>
          <w:noProof/>
        </w:rPr>
        <w:t xml:space="preserve"> </w:t>
      </w:r>
    </w:p>
    <w:p w14:paraId="0E742AC0" w14:textId="77777777" w:rsidR="00A03D5B" w:rsidRPr="00046858" w:rsidRDefault="00A03D5B" w:rsidP="0041561E">
      <w:pPr>
        <w:pStyle w:val="ManualHeading2"/>
        <w:rPr>
          <w:noProof/>
        </w:rPr>
      </w:pPr>
      <w:bookmarkStart w:id="92" w:name="_Toc514938042"/>
      <w:bookmarkStart w:id="93" w:name="_Toc520485043"/>
      <w:bookmarkStart w:id="94" w:name="_Toc160804585"/>
      <w:bookmarkStart w:id="95" w:name="_Toc167220277"/>
      <w:bookmarkStart w:id="96" w:name="_Toc177549010"/>
      <w:r w:rsidRPr="00046858">
        <w:rPr>
          <w:noProof/>
        </w:rPr>
        <w:t>2.1.</w:t>
      </w:r>
      <w:r w:rsidRPr="00046858">
        <w:rPr>
          <w:noProof/>
        </w:rPr>
        <w:tab/>
        <w:t>Dispoziții în materie de monitorizare și de raportare</w:t>
      </w:r>
      <w:bookmarkEnd w:id="92"/>
      <w:bookmarkEnd w:id="93"/>
      <w:bookmarkEnd w:id="94"/>
      <w:bookmarkEnd w:id="95"/>
      <w:bookmarkEnd w:id="96"/>
      <w:r w:rsidRPr="00046858">
        <w:rPr>
          <w:noProof/>
        </w:rPr>
        <w:t xml:space="preserve"> </w:t>
      </w:r>
    </w:p>
    <w:p w14:paraId="1998C8A4" w14:textId="77777777" w:rsidR="004B2E58" w:rsidRPr="00046858" w:rsidRDefault="004B2E58" w:rsidP="004B2E58">
      <w:pPr>
        <w:pBdr>
          <w:top w:val="single" w:sz="4" w:space="1" w:color="auto"/>
          <w:left w:val="single" w:sz="4" w:space="4" w:color="auto"/>
          <w:bottom w:val="single" w:sz="4" w:space="1" w:color="auto"/>
          <w:right w:val="single" w:sz="4" w:space="4" w:color="auto"/>
        </w:pBdr>
        <w:ind w:left="850"/>
        <w:rPr>
          <w:noProof/>
        </w:rPr>
      </w:pPr>
      <w:bookmarkStart w:id="97" w:name="_Toc514938045"/>
      <w:bookmarkStart w:id="98" w:name="_Toc520485044"/>
      <w:bookmarkStart w:id="99" w:name="_Toc160804586"/>
      <w:bookmarkStart w:id="100" w:name="_Toc167220278"/>
      <w:bookmarkStart w:id="101" w:name="_Toc177549011"/>
      <w:r w:rsidRPr="00046858">
        <w:rPr>
          <w:noProof/>
        </w:rPr>
        <w:t>Această fișă include cheltuielile cu personalul Comisiei. Se aplică normele standard privind acest tip de cheltuieli. Comisia va evalua realizările, rezultatele și impactul prezentei propuneri o dată la patru ani de la data la care aceasta devine aplicabilă.</w:t>
      </w:r>
    </w:p>
    <w:p w14:paraId="1555FA99" w14:textId="77777777" w:rsidR="004B2E58" w:rsidRPr="00046858" w:rsidRDefault="004B2E58" w:rsidP="004B2E58">
      <w:pPr>
        <w:pBdr>
          <w:top w:val="single" w:sz="4" w:space="1" w:color="auto"/>
          <w:left w:val="single" w:sz="4" w:space="4" w:color="auto"/>
          <w:bottom w:val="single" w:sz="4" w:space="1" w:color="auto"/>
          <w:right w:val="single" w:sz="4" w:space="4" w:color="auto"/>
        </w:pBdr>
        <w:ind w:left="850"/>
        <w:rPr>
          <w:noProof/>
        </w:rPr>
      </w:pPr>
      <w:r w:rsidRPr="00046858">
        <w:rPr>
          <w:noProof/>
        </w:rPr>
        <w:t>În plus, în calitate de organism al Uniunii, întreprinderea comună pentru cipuri funcționează în temeiul unor norme stricte de monitorizare. Monitorizarea este efectuată prin următoarele mijloace:</w:t>
      </w:r>
    </w:p>
    <w:p w14:paraId="1E7B69D8" w14:textId="77777777" w:rsidR="004B2E58" w:rsidRPr="00046858" w:rsidRDefault="004B2E58" w:rsidP="004B2E58">
      <w:pPr>
        <w:pBdr>
          <w:top w:val="single" w:sz="4" w:space="1" w:color="auto"/>
          <w:left w:val="single" w:sz="4" w:space="4" w:color="auto"/>
          <w:bottom w:val="single" w:sz="4" w:space="1" w:color="auto"/>
          <w:right w:val="single" w:sz="4" w:space="4" w:color="auto"/>
        </w:pBdr>
        <w:ind w:left="850"/>
        <w:rPr>
          <w:noProof/>
        </w:rPr>
      </w:pPr>
      <w:r w:rsidRPr="00046858">
        <w:rPr>
          <w:noProof/>
        </w:rPr>
        <w:t>–</w:t>
      </w:r>
      <w:r w:rsidRPr="00046858">
        <w:rPr>
          <w:noProof/>
        </w:rPr>
        <w:tab/>
        <w:t>propria capacitate de audit intern și serviciul de audit al Comisiei;</w:t>
      </w:r>
    </w:p>
    <w:p w14:paraId="7F984806" w14:textId="77777777" w:rsidR="004B2E58" w:rsidRPr="00046858" w:rsidRDefault="004B2E58" w:rsidP="004B2E58">
      <w:pPr>
        <w:pBdr>
          <w:top w:val="single" w:sz="4" w:space="1" w:color="auto"/>
          <w:left w:val="single" w:sz="4" w:space="4" w:color="auto"/>
          <w:bottom w:val="single" w:sz="4" w:space="1" w:color="auto"/>
          <w:right w:val="single" w:sz="4" w:space="4" w:color="auto"/>
        </w:pBdr>
        <w:ind w:left="1438" w:hanging="588"/>
        <w:rPr>
          <w:noProof/>
        </w:rPr>
      </w:pPr>
      <w:r w:rsidRPr="00046858">
        <w:rPr>
          <w:noProof/>
        </w:rPr>
        <w:t>–</w:t>
      </w:r>
      <w:r w:rsidRPr="00046858">
        <w:rPr>
          <w:noProof/>
        </w:rPr>
        <w:tab/>
        <w:t>supravegherea consiliului de conducere. Directorul executiv va supraveghea pe plan intern operațiunile întreprinderii comune;</w:t>
      </w:r>
    </w:p>
    <w:p w14:paraId="1010161A" w14:textId="77777777" w:rsidR="004B2E58" w:rsidRPr="00046858" w:rsidRDefault="004B2E58" w:rsidP="004B2E58">
      <w:pPr>
        <w:pBdr>
          <w:top w:val="single" w:sz="4" w:space="1" w:color="auto"/>
          <w:left w:val="single" w:sz="4" w:space="4" w:color="auto"/>
          <w:bottom w:val="single" w:sz="4" w:space="1" w:color="auto"/>
          <w:right w:val="single" w:sz="4" w:space="4" w:color="auto"/>
        </w:pBdr>
        <w:ind w:left="1438" w:hanging="588"/>
        <w:rPr>
          <w:noProof/>
        </w:rPr>
      </w:pPr>
      <w:r w:rsidRPr="00046858">
        <w:rPr>
          <w:noProof/>
        </w:rPr>
        <w:t>–</w:t>
      </w:r>
      <w:r w:rsidRPr="00046858">
        <w:rPr>
          <w:noProof/>
        </w:rPr>
        <w:tab/>
        <w:t>un set de indicatori de performanță cantitativi și calitativi, care sunt stabiliți pentru monitorizarea punerii în aplicare a programului și pentru măsurarea impactului acestuia;</w:t>
      </w:r>
    </w:p>
    <w:p w14:paraId="542CAA1A" w14:textId="77777777" w:rsidR="004B2E58" w:rsidRPr="00046858" w:rsidRDefault="004B2E58" w:rsidP="004B2E58">
      <w:pPr>
        <w:pBdr>
          <w:top w:val="single" w:sz="4" w:space="1" w:color="auto"/>
          <w:left w:val="single" w:sz="4" w:space="4" w:color="auto"/>
          <w:bottom w:val="single" w:sz="4" w:space="1" w:color="auto"/>
          <w:right w:val="single" w:sz="4" w:space="4" w:color="auto"/>
        </w:pBdr>
        <w:ind w:left="1438" w:hanging="588"/>
        <w:rPr>
          <w:noProof/>
        </w:rPr>
      </w:pPr>
      <w:r w:rsidRPr="00046858">
        <w:rPr>
          <w:noProof/>
        </w:rPr>
        <w:t>–</w:t>
      </w:r>
      <w:r w:rsidRPr="00046858">
        <w:rPr>
          <w:noProof/>
        </w:rPr>
        <w:tab/>
        <w:t>evaluarea la jumătatea perioadei și evaluarea finală a programului de către experți externi, sub supravegherea Comisiei;</w:t>
      </w:r>
    </w:p>
    <w:p w14:paraId="50868C4C" w14:textId="77777777" w:rsidR="004B2E58" w:rsidRPr="00046858" w:rsidRDefault="004B2E58" w:rsidP="004B2E58">
      <w:pPr>
        <w:pBdr>
          <w:top w:val="single" w:sz="4" w:space="1" w:color="auto"/>
          <w:left w:val="single" w:sz="4" w:space="4" w:color="auto"/>
          <w:bottom w:val="single" w:sz="4" w:space="1" w:color="auto"/>
          <w:right w:val="single" w:sz="4" w:space="4" w:color="auto"/>
        </w:pBdr>
        <w:ind w:left="1438" w:hanging="588"/>
        <w:rPr>
          <w:noProof/>
        </w:rPr>
      </w:pPr>
      <w:r w:rsidRPr="00046858">
        <w:rPr>
          <w:noProof/>
        </w:rPr>
        <w:t>–</w:t>
      </w:r>
      <w:r w:rsidRPr="00046858">
        <w:rPr>
          <w:noProof/>
        </w:rPr>
        <w:tab/>
        <w:t>programul de lucru al întreprinderii comune și raportul anual de activitate al acesteia.</w:t>
      </w:r>
    </w:p>
    <w:p w14:paraId="54C12C2E" w14:textId="77777777" w:rsidR="00A03D5B" w:rsidRPr="00046858" w:rsidRDefault="00A03D5B" w:rsidP="00270E57">
      <w:pPr>
        <w:pStyle w:val="ManualHeading2"/>
        <w:spacing w:before="360"/>
        <w:ind w:left="851" w:hanging="851"/>
        <w:rPr>
          <w:bCs/>
          <w:noProof/>
          <w:szCs w:val="24"/>
        </w:rPr>
      </w:pPr>
      <w:r w:rsidRPr="00046858">
        <w:rPr>
          <w:noProof/>
        </w:rPr>
        <w:t>2.2.</w:t>
      </w:r>
      <w:r w:rsidRPr="00046858">
        <w:rPr>
          <w:noProof/>
        </w:rPr>
        <w:tab/>
        <w:t>Sistemul (sistemele) de gestiune și de control</w:t>
      </w:r>
      <w:bookmarkEnd w:id="97"/>
      <w:bookmarkEnd w:id="98"/>
      <w:bookmarkEnd w:id="99"/>
      <w:bookmarkEnd w:id="100"/>
      <w:bookmarkEnd w:id="101"/>
      <w:r w:rsidRPr="00046858">
        <w:rPr>
          <w:noProof/>
        </w:rPr>
        <w:t xml:space="preserve"> </w:t>
      </w:r>
    </w:p>
    <w:p w14:paraId="11C8C21F" w14:textId="77777777" w:rsidR="00A03D5B" w:rsidRPr="00046858" w:rsidRDefault="00A03D5B" w:rsidP="0041561E">
      <w:pPr>
        <w:pStyle w:val="ManualHeading3"/>
        <w:rPr>
          <w:noProof/>
        </w:rPr>
      </w:pPr>
      <w:bookmarkStart w:id="102" w:name="_Toc514938046"/>
      <w:bookmarkStart w:id="103" w:name="_Toc520485045"/>
      <w:bookmarkStart w:id="104" w:name="_Toc160804587"/>
      <w:bookmarkStart w:id="105" w:name="_Toc167220279"/>
      <w:bookmarkStart w:id="106" w:name="_Toc177549012"/>
      <w:r w:rsidRPr="00046858">
        <w:rPr>
          <w:noProof/>
        </w:rPr>
        <w:t>2.2.1.</w:t>
      </w:r>
      <w:r w:rsidRPr="00046858">
        <w:rPr>
          <w:noProof/>
        </w:rPr>
        <w:tab/>
        <w:t>Justificarea metodei (metodelor) de execuție bugetară, a mecanismului (mecanismelor) de punere în aplicare a finanțării, a modalităților de plată și a strategiei de control propuse</w:t>
      </w:r>
      <w:bookmarkEnd w:id="102"/>
      <w:bookmarkEnd w:id="103"/>
      <w:bookmarkEnd w:id="104"/>
      <w:bookmarkEnd w:id="105"/>
      <w:bookmarkEnd w:id="106"/>
    </w:p>
    <w:p w14:paraId="5DCBD7D5" w14:textId="09631E15" w:rsidR="00F70166" w:rsidRPr="00046858" w:rsidRDefault="00F70166" w:rsidP="00F70166">
      <w:pPr>
        <w:pBdr>
          <w:top w:val="single" w:sz="4" w:space="1" w:color="auto"/>
          <w:left w:val="single" w:sz="4" w:space="4" w:color="auto"/>
          <w:bottom w:val="single" w:sz="4" w:space="1" w:color="auto"/>
          <w:right w:val="single" w:sz="4" w:space="4" w:color="auto"/>
        </w:pBdr>
        <w:ind w:left="850"/>
        <w:rPr>
          <w:noProof/>
        </w:rPr>
      </w:pPr>
      <w:bookmarkStart w:id="107" w:name="_Toc514938047"/>
      <w:bookmarkStart w:id="108" w:name="_Toc520485046"/>
      <w:bookmarkStart w:id="109" w:name="_Toc160804588"/>
      <w:bookmarkStart w:id="110" w:name="_Toc167220280"/>
      <w:bookmarkStart w:id="111" w:name="_Toc177549013"/>
      <w:r w:rsidRPr="00046858">
        <w:rPr>
          <w:noProof/>
        </w:rPr>
        <w:t>Regulamentul introduce un cadru de politică revizuit în ceea ce privește atragerea de investiții în producția avansată de semiconductori și consolidarea acesteia în Uniune, precum și stimularea cererii și introduce norme revizuite pentru o abordare coordonată a monitorizării și pregătirii pentru penuriile de semiconductori. Instrumentele reprezentate de marile provocări, proiectele strategice, forumul dedicat cererii, acceleratoarele cererii și Platforma B2B pentru lanțul de aprovizionare cu semiconductori sunt elemente noi, la fel ca și recunoașterea regiunilor europene de excelență în domeniul semiconductorilor.</w:t>
      </w:r>
    </w:p>
    <w:p w14:paraId="7023E589" w14:textId="77777777" w:rsidR="00F70166" w:rsidRPr="00046858" w:rsidRDefault="00F70166" w:rsidP="00F70166">
      <w:pPr>
        <w:pBdr>
          <w:top w:val="single" w:sz="4" w:space="1" w:color="auto"/>
          <w:left w:val="single" w:sz="4" w:space="4" w:color="auto"/>
          <w:bottom w:val="single" w:sz="4" w:space="1" w:color="auto"/>
          <w:right w:val="single" w:sz="4" w:space="4" w:color="auto"/>
        </w:pBdr>
        <w:ind w:left="850"/>
        <w:rPr>
          <w:noProof/>
        </w:rPr>
      </w:pPr>
      <w:r w:rsidRPr="00046858">
        <w:rPr>
          <w:noProof/>
        </w:rPr>
        <w:t>Aceste norme necesită un mecanism pentru asigurarea coerenței în ceea ce privește aplicarea transfrontalieră a obligațiilor în temeiul prezentului regulament și coordonarea activităților autorităților naționale și ale Comisiei prin intermediul Consiliului european pentru semiconductori.</w:t>
      </w:r>
    </w:p>
    <w:p w14:paraId="2C29ACD6" w14:textId="77777777" w:rsidR="00F70166" w:rsidRPr="00046858" w:rsidRDefault="00F70166" w:rsidP="00F70166">
      <w:pPr>
        <w:pBdr>
          <w:top w:val="single" w:sz="4" w:space="1" w:color="auto"/>
          <w:left w:val="single" w:sz="4" w:space="4" w:color="auto"/>
          <w:bottom w:val="single" w:sz="4" w:space="1" w:color="auto"/>
          <w:right w:val="single" w:sz="4" w:space="4" w:color="auto"/>
        </w:pBdr>
        <w:ind w:left="850"/>
        <w:rPr>
          <w:noProof/>
        </w:rPr>
      </w:pPr>
      <w:r w:rsidRPr="00046858">
        <w:rPr>
          <w:noProof/>
        </w:rPr>
        <w:t>Pentru a face față sarcinilor care trebuie îndeplinite de Comisie, este necesar să se aloce resurse adecvate serviciilor Comisiei.</w:t>
      </w:r>
    </w:p>
    <w:p w14:paraId="55D84F27" w14:textId="77777777" w:rsidR="00F70166" w:rsidRPr="00046858" w:rsidRDefault="00F70166" w:rsidP="00F70166">
      <w:pPr>
        <w:pBdr>
          <w:top w:val="single" w:sz="4" w:space="1" w:color="auto"/>
          <w:left w:val="single" w:sz="4" w:space="4" w:color="auto"/>
          <w:bottom w:val="single" w:sz="4" w:space="1" w:color="auto"/>
          <w:right w:val="single" w:sz="4" w:space="4" w:color="auto"/>
        </w:pBdr>
        <w:ind w:left="850"/>
        <w:rPr>
          <w:noProof/>
        </w:rPr>
      </w:pPr>
      <w:r w:rsidRPr="00046858">
        <w:rPr>
          <w:noProof/>
        </w:rPr>
        <w:t>Pentru alte părți, gestiunea indirectă este justificată deoarece întreprinderea comună pentru cipuri este un parteneriat public-privat, o parte din cofinanțare fiind asigurată prin contribuții din partea statelor participante și prin contribuții în natură din partea membrilor privați.</w:t>
      </w:r>
    </w:p>
    <w:p w14:paraId="66617AF5" w14:textId="77777777" w:rsidR="00F70166" w:rsidRPr="00046858" w:rsidRDefault="00F70166" w:rsidP="00F70166">
      <w:pPr>
        <w:pBdr>
          <w:top w:val="single" w:sz="4" w:space="1" w:color="auto"/>
          <w:left w:val="single" w:sz="4" w:space="4" w:color="auto"/>
          <w:bottom w:val="single" w:sz="4" w:space="1" w:color="auto"/>
          <w:right w:val="single" w:sz="4" w:space="4" w:color="auto"/>
        </w:pBdr>
        <w:ind w:left="850"/>
        <w:rPr>
          <w:noProof/>
        </w:rPr>
      </w:pPr>
      <w:r w:rsidRPr="00046858">
        <w:rPr>
          <w:noProof/>
        </w:rPr>
        <w:t>În fiecare an, decizia privind contribuția UE la întreprinderea comună pentru cipuri va fi luată pe baza bugetului UE adoptat pentru anul respectiv.</w:t>
      </w:r>
    </w:p>
    <w:p w14:paraId="44B70982" w14:textId="77777777" w:rsidR="00F70166" w:rsidRPr="00046858" w:rsidRDefault="00F70166" w:rsidP="00F70166">
      <w:pPr>
        <w:pBdr>
          <w:top w:val="single" w:sz="4" w:space="1" w:color="auto"/>
          <w:left w:val="single" w:sz="4" w:space="4" w:color="auto"/>
          <w:bottom w:val="single" w:sz="4" w:space="1" w:color="auto"/>
          <w:right w:val="single" w:sz="4" w:space="4" w:color="auto"/>
        </w:pBdr>
        <w:ind w:left="850"/>
        <w:rPr>
          <w:noProof/>
        </w:rPr>
      </w:pPr>
      <w:r w:rsidRPr="00046858">
        <w:rPr>
          <w:noProof/>
        </w:rPr>
        <w:t>Într-un acord-cadru de parteneriat financiar semnat de Comisia Europeană cu întreprinderea comună pentru cipuri se va preciza că, pentru sarcinile care urmează să fie îndeplinite în fiecare an, Comisia va plăti o contribuție la încheierea unui acord de contribuție cu întreprinderea comună pentru cipuri și la emiterea, de către întreprinderea comună, a cererilor de plată corespunzătoare către membri, alții decât Uniunea.</w:t>
      </w:r>
    </w:p>
    <w:p w14:paraId="3CF48769" w14:textId="77777777" w:rsidR="00F70166" w:rsidRPr="00046858" w:rsidRDefault="00F70166" w:rsidP="00F70166">
      <w:pPr>
        <w:pBdr>
          <w:top w:val="single" w:sz="4" w:space="1" w:color="auto"/>
          <w:left w:val="single" w:sz="4" w:space="4" w:color="auto"/>
          <w:bottom w:val="single" w:sz="4" w:space="1" w:color="auto"/>
          <w:right w:val="single" w:sz="4" w:space="4" w:color="auto"/>
        </w:pBdr>
        <w:ind w:left="850"/>
        <w:rPr>
          <w:noProof/>
        </w:rPr>
      </w:pPr>
      <w:r w:rsidRPr="00046858">
        <w:rPr>
          <w:noProof/>
        </w:rPr>
        <w:t>Comisia se va asigura că normele aplicabile întreprinderii comune pentru cipuri sunt pe deplin conforme cu cerințele din Regulamentul financiar. În conformitate cu articolul 71 din Regulamentul (UE, Euratom) 2024/2509, întreprinderea comună va respecta principiul bunei gestiuni financiare. Întreprinderea comună pentru cipuri respectă, de asemenea, dispozițiile regulamentului financiar-tip care i se aplică. Orice abatere de la acest regulament financiar-tip, necesară pentru îndeplinirea unor nevoi specifice ale întreprinderii comune, se supune aprobării prealabile din partea Comisiei.</w:t>
      </w:r>
    </w:p>
    <w:p w14:paraId="0BFB900E" w14:textId="77777777" w:rsidR="00F70166" w:rsidRPr="00046858" w:rsidRDefault="00F70166" w:rsidP="00F70166">
      <w:pPr>
        <w:pBdr>
          <w:top w:val="single" w:sz="4" w:space="1" w:color="auto"/>
          <w:left w:val="single" w:sz="4" w:space="4" w:color="auto"/>
          <w:bottom w:val="single" w:sz="4" w:space="1" w:color="auto"/>
          <w:right w:val="single" w:sz="4" w:space="4" w:color="auto"/>
        </w:pBdr>
        <w:ind w:left="850"/>
        <w:rPr>
          <w:noProof/>
        </w:rPr>
      </w:pPr>
      <w:r w:rsidRPr="00046858">
        <w:rPr>
          <w:noProof/>
        </w:rPr>
        <w:t>Măsurile de monitorizare, inclusiv prin reprezentarea Uniunii în consiliul de conducere și Consiliul autorităților publice al întreprinderii comune pentru cipuri, precum și măsurile de raportare vor asigura faptul că serviciile Comisiei sunt în măsură să îndeplinească cerințele în materie de asumare a răspunderii atât față de colegiu, cât și față de autoritatea bugetară.</w:t>
      </w:r>
    </w:p>
    <w:p w14:paraId="4CD21272" w14:textId="77777777" w:rsidR="00F70166" w:rsidRPr="00046858" w:rsidRDefault="00F70166" w:rsidP="00F70166">
      <w:pPr>
        <w:pBdr>
          <w:top w:val="single" w:sz="4" w:space="1" w:color="auto"/>
          <w:left w:val="single" w:sz="4" w:space="4" w:color="auto"/>
          <w:bottom w:val="single" w:sz="4" w:space="1" w:color="auto"/>
          <w:right w:val="single" w:sz="4" w:space="4" w:color="auto"/>
        </w:pBdr>
        <w:ind w:left="850"/>
        <w:rPr>
          <w:noProof/>
        </w:rPr>
      </w:pPr>
      <w:r w:rsidRPr="00046858">
        <w:rPr>
          <w:noProof/>
        </w:rPr>
        <w:t>Cadrul de control intern al întreprinderii comune pentru cipuri se bazează pe:</w:t>
      </w:r>
    </w:p>
    <w:p w14:paraId="321A8372" w14:textId="77777777" w:rsidR="00F70166" w:rsidRPr="00046858" w:rsidRDefault="00F70166" w:rsidP="00090F8E">
      <w:pPr>
        <w:pBdr>
          <w:top w:val="single" w:sz="4" w:space="1" w:color="auto"/>
          <w:left w:val="single" w:sz="4" w:space="4" w:color="auto"/>
          <w:bottom w:val="single" w:sz="4" w:space="1" w:color="auto"/>
          <w:right w:val="single" w:sz="4" w:space="4" w:color="auto"/>
        </w:pBdr>
        <w:ind w:left="1438" w:hanging="588"/>
        <w:rPr>
          <w:noProof/>
        </w:rPr>
      </w:pPr>
      <w:r w:rsidRPr="00046858">
        <w:rPr>
          <w:noProof/>
        </w:rPr>
        <w:t xml:space="preserve">– </w:t>
      </w:r>
      <w:r w:rsidRPr="00046858">
        <w:rPr>
          <w:noProof/>
        </w:rPr>
        <w:tab/>
        <w:t>punerea în aplicare a standardelor de control intern care oferă garanții cel puțin echivalente cu cele ale Comisiei;</w:t>
      </w:r>
    </w:p>
    <w:p w14:paraId="3E3172B2" w14:textId="77777777" w:rsidR="00F70166" w:rsidRPr="00046858" w:rsidRDefault="00F70166" w:rsidP="00710E12">
      <w:pPr>
        <w:pBdr>
          <w:top w:val="single" w:sz="4" w:space="1" w:color="auto"/>
          <w:left w:val="single" w:sz="4" w:space="4" w:color="auto"/>
          <w:bottom w:val="single" w:sz="4" w:space="1" w:color="auto"/>
          <w:right w:val="single" w:sz="4" w:space="4" w:color="auto"/>
        </w:pBdr>
        <w:ind w:left="1438" w:hanging="588"/>
        <w:rPr>
          <w:noProof/>
        </w:rPr>
      </w:pPr>
      <w:r w:rsidRPr="00046858">
        <w:rPr>
          <w:noProof/>
        </w:rPr>
        <w:t>–</w:t>
      </w:r>
      <w:r w:rsidRPr="00046858">
        <w:rPr>
          <w:noProof/>
        </w:rPr>
        <w:tab/>
        <w:t>procedurile de selectare a celor mai bune proiecte prin intermediul unei evaluări independente și de transpunere a lor în instrumente juridice;</w:t>
      </w:r>
    </w:p>
    <w:p w14:paraId="0A09FF0B" w14:textId="77777777" w:rsidR="00F70166" w:rsidRPr="00046858" w:rsidRDefault="00F70166" w:rsidP="00090F8E">
      <w:pPr>
        <w:pBdr>
          <w:top w:val="single" w:sz="4" w:space="1" w:color="auto"/>
          <w:left w:val="single" w:sz="4" w:space="4" w:color="auto"/>
          <w:bottom w:val="single" w:sz="4" w:space="1" w:color="auto"/>
          <w:right w:val="single" w:sz="4" w:space="4" w:color="auto"/>
        </w:pBdr>
        <w:ind w:left="1438" w:hanging="588"/>
        <w:rPr>
          <w:noProof/>
        </w:rPr>
      </w:pPr>
      <w:r w:rsidRPr="00046858">
        <w:rPr>
          <w:noProof/>
        </w:rPr>
        <w:t xml:space="preserve">– </w:t>
      </w:r>
      <w:r w:rsidRPr="00046858">
        <w:rPr>
          <w:noProof/>
        </w:rPr>
        <w:tab/>
        <w:t>gestionarea proiectelor și a contractelor pe întreaga durată de viață a fiecărui proiect;</w:t>
      </w:r>
    </w:p>
    <w:p w14:paraId="3C89FD72" w14:textId="77777777" w:rsidR="00F70166" w:rsidRPr="00046858" w:rsidRDefault="00F70166" w:rsidP="00090F8E">
      <w:pPr>
        <w:pBdr>
          <w:top w:val="single" w:sz="4" w:space="1" w:color="auto"/>
          <w:left w:val="single" w:sz="4" w:space="4" w:color="auto"/>
          <w:bottom w:val="single" w:sz="4" w:space="1" w:color="auto"/>
          <w:right w:val="single" w:sz="4" w:space="4" w:color="auto"/>
        </w:pBdr>
        <w:ind w:left="1438" w:hanging="588"/>
        <w:rPr>
          <w:noProof/>
        </w:rPr>
      </w:pPr>
      <w:r w:rsidRPr="00046858">
        <w:rPr>
          <w:noProof/>
        </w:rPr>
        <w:t xml:space="preserve">– </w:t>
      </w:r>
      <w:r w:rsidRPr="00046858">
        <w:rPr>
          <w:noProof/>
        </w:rPr>
        <w:tab/>
        <w:t xml:space="preserve">controale </w:t>
      </w:r>
      <w:r w:rsidRPr="00046858">
        <w:rPr>
          <w:i/>
          <w:noProof/>
        </w:rPr>
        <w:t xml:space="preserve">ex ante </w:t>
      </w:r>
      <w:r w:rsidRPr="00046858">
        <w:rPr>
          <w:noProof/>
        </w:rPr>
        <w:t xml:space="preserve">a 100 % din cererile de plată, inclusiv primirea de certificate de audit și certificarea </w:t>
      </w:r>
      <w:r w:rsidRPr="00046858">
        <w:rPr>
          <w:i/>
          <w:noProof/>
        </w:rPr>
        <w:t xml:space="preserve">ex ante </w:t>
      </w:r>
      <w:r w:rsidRPr="00046858">
        <w:rPr>
          <w:noProof/>
        </w:rPr>
        <w:t>a metodologiilor privind costurile;</w:t>
      </w:r>
    </w:p>
    <w:p w14:paraId="14CCDDF3" w14:textId="77777777" w:rsidR="00F70166" w:rsidRPr="00046858" w:rsidRDefault="00F70166" w:rsidP="00090F8E">
      <w:pPr>
        <w:pBdr>
          <w:top w:val="single" w:sz="4" w:space="1" w:color="auto"/>
          <w:left w:val="single" w:sz="4" w:space="4" w:color="auto"/>
          <w:bottom w:val="single" w:sz="4" w:space="1" w:color="auto"/>
          <w:right w:val="single" w:sz="4" w:space="4" w:color="auto"/>
        </w:pBdr>
        <w:ind w:left="1438" w:hanging="588"/>
        <w:rPr>
          <w:noProof/>
        </w:rPr>
      </w:pPr>
      <w:r w:rsidRPr="00046858">
        <w:rPr>
          <w:noProof/>
        </w:rPr>
        <w:t xml:space="preserve">– </w:t>
      </w:r>
      <w:r w:rsidRPr="00046858">
        <w:rPr>
          <w:noProof/>
        </w:rPr>
        <w:tab/>
        <w:t xml:space="preserve">audituri </w:t>
      </w:r>
      <w:r w:rsidRPr="00046858">
        <w:rPr>
          <w:i/>
          <w:noProof/>
        </w:rPr>
        <w:t xml:space="preserve">ex post </w:t>
      </w:r>
      <w:r w:rsidRPr="00046858">
        <w:rPr>
          <w:noProof/>
        </w:rPr>
        <w:t xml:space="preserve">pe un eșantion de cereri ca parte din auditurile </w:t>
      </w:r>
      <w:r w:rsidRPr="00046858">
        <w:rPr>
          <w:i/>
          <w:noProof/>
        </w:rPr>
        <w:t xml:space="preserve">ex post </w:t>
      </w:r>
      <w:r w:rsidRPr="00046858">
        <w:rPr>
          <w:noProof/>
        </w:rPr>
        <w:t>ale programului Orizont;</w:t>
      </w:r>
    </w:p>
    <w:p w14:paraId="126B7D76" w14:textId="77777777" w:rsidR="00F70166" w:rsidRPr="00046858" w:rsidRDefault="00F70166" w:rsidP="00090F8E">
      <w:pPr>
        <w:pBdr>
          <w:top w:val="single" w:sz="4" w:space="1" w:color="auto"/>
          <w:left w:val="single" w:sz="4" w:space="4" w:color="auto"/>
          <w:bottom w:val="single" w:sz="4" w:space="1" w:color="auto"/>
          <w:right w:val="single" w:sz="4" w:space="4" w:color="auto"/>
        </w:pBdr>
        <w:ind w:left="1438" w:hanging="588"/>
        <w:rPr>
          <w:noProof/>
        </w:rPr>
      </w:pPr>
      <w:r w:rsidRPr="00046858">
        <w:rPr>
          <w:noProof/>
        </w:rPr>
        <w:t>–</w:t>
      </w:r>
      <w:r w:rsidRPr="00046858">
        <w:rPr>
          <w:noProof/>
        </w:rPr>
        <w:tab/>
        <w:t>evaluarea științifică a rezultatelor proiectelor.</w:t>
      </w:r>
    </w:p>
    <w:p w14:paraId="40B8C49A" w14:textId="77777777" w:rsidR="00A03D5B" w:rsidRPr="00046858" w:rsidRDefault="00A03D5B" w:rsidP="00270E57">
      <w:pPr>
        <w:pStyle w:val="ManualHeading3"/>
        <w:spacing w:before="240"/>
        <w:ind w:left="851" w:hanging="851"/>
        <w:rPr>
          <w:bCs/>
          <w:noProof/>
          <w:szCs w:val="24"/>
        </w:rPr>
      </w:pPr>
      <w:r w:rsidRPr="00046858">
        <w:rPr>
          <w:noProof/>
        </w:rPr>
        <w:t>2.2.2.</w:t>
      </w:r>
      <w:r w:rsidRPr="00046858">
        <w:rPr>
          <w:noProof/>
        </w:rPr>
        <w:tab/>
        <w:t>Informații privind riscurile identificate și sistemul (sistemele) de control intern instituit(e) pentru atenuarea lor</w:t>
      </w:r>
      <w:bookmarkEnd w:id="107"/>
      <w:bookmarkEnd w:id="108"/>
      <w:bookmarkEnd w:id="109"/>
      <w:bookmarkEnd w:id="110"/>
      <w:bookmarkEnd w:id="111"/>
    </w:p>
    <w:p w14:paraId="0B5B0C49" w14:textId="77777777" w:rsidR="00155288" w:rsidRPr="00046858" w:rsidRDefault="00155288" w:rsidP="00155288">
      <w:pPr>
        <w:pBdr>
          <w:top w:val="single" w:sz="4" w:space="1" w:color="auto"/>
          <w:left w:val="single" w:sz="4" w:space="4" w:color="auto"/>
          <w:bottom w:val="single" w:sz="4" w:space="1" w:color="auto"/>
          <w:right w:val="single" w:sz="4" w:space="4" w:color="auto"/>
        </w:pBdr>
        <w:ind w:left="850"/>
        <w:rPr>
          <w:noProof/>
        </w:rPr>
      </w:pPr>
      <w:bookmarkStart w:id="112" w:name="_Toc514938048"/>
      <w:bookmarkStart w:id="113" w:name="_Toc520485047"/>
      <w:bookmarkStart w:id="114" w:name="_Toc160804589"/>
      <w:bookmarkStart w:id="115" w:name="_Toc167220281"/>
      <w:bookmarkStart w:id="116" w:name="_Toc177549014"/>
      <w:r w:rsidRPr="00046858">
        <w:rPr>
          <w:noProof/>
        </w:rPr>
        <w:t>Prezenta propunere este însoțită de un raport de evaluare a impactului, care oferă analiza care stă la baza abordării de politică alese. Pregătirea inițiativei s-a bazat, de asemenea, pe o consultare publică, precum și pe consultări specifice cu părțile interesate din industrie, cu statele membre și cu asociațiile profesionale, care au asigurat colectarea de date, informații și feedback relevante. Cu toate acestea, în timpul punerii în aplicare pot apărea în continuare consecințe neintenționate sau efecte neprevăzute. Acestea vor fi identificate prin procedurile de monitorizare stabilite în regulament, ceea ce îi va permite Comisiei să le abordeze în mod adecvat și în timp util.</w:t>
      </w:r>
    </w:p>
    <w:p w14:paraId="3EF2F2CF" w14:textId="77777777" w:rsidR="00155288" w:rsidRPr="00046858" w:rsidRDefault="00155288" w:rsidP="00155288">
      <w:pPr>
        <w:pBdr>
          <w:top w:val="single" w:sz="4" w:space="1" w:color="auto"/>
          <w:left w:val="single" w:sz="4" w:space="4" w:color="auto"/>
          <w:bottom w:val="single" w:sz="4" w:space="1" w:color="auto"/>
          <w:right w:val="single" w:sz="4" w:space="4" w:color="auto"/>
        </w:pBdr>
        <w:ind w:left="850"/>
        <w:rPr>
          <w:noProof/>
        </w:rPr>
      </w:pPr>
      <w:r w:rsidRPr="00046858">
        <w:rPr>
          <w:noProof/>
        </w:rPr>
        <w:t>În plus, pentru atenuarea riscului inerent de conflict de interese în cadrul întreprinderii comune pentru cipuri, au fost instituite diverse măsuri, în special:</w:t>
      </w:r>
    </w:p>
    <w:p w14:paraId="0959C213" w14:textId="77777777" w:rsidR="00155288" w:rsidRPr="00046858" w:rsidRDefault="00155288" w:rsidP="001E750A">
      <w:pPr>
        <w:pBdr>
          <w:top w:val="single" w:sz="4" w:space="1" w:color="auto"/>
          <w:left w:val="single" w:sz="4" w:space="4" w:color="auto"/>
          <w:bottom w:val="single" w:sz="4" w:space="1" w:color="auto"/>
          <w:right w:val="single" w:sz="4" w:space="4" w:color="auto"/>
        </w:pBdr>
        <w:ind w:left="1438" w:hanging="588"/>
        <w:rPr>
          <w:noProof/>
        </w:rPr>
      </w:pPr>
      <w:r w:rsidRPr="00046858">
        <w:rPr>
          <w:noProof/>
        </w:rPr>
        <w:t>–</w:t>
      </w:r>
      <w:r w:rsidRPr="00046858">
        <w:rPr>
          <w:noProof/>
        </w:rPr>
        <w:tab/>
        <w:t xml:space="preserve">pentru procesul decizional standard, voturi egale (o treime) pentru Comisie, statele participante (în mod colectiv) și pentru membrii privați (în mod colectiv) în cadrul consiliului de conducere; un număr egal de voturi (jumătate) pentru Comisie și statele participante (în mod colectiv) în cadrul Consiliului autorităților publice; </w:t>
      </w:r>
    </w:p>
    <w:p w14:paraId="53770255" w14:textId="77777777" w:rsidR="00155288" w:rsidRPr="00046858" w:rsidRDefault="00155288" w:rsidP="001E750A">
      <w:pPr>
        <w:pBdr>
          <w:top w:val="single" w:sz="4" w:space="1" w:color="auto"/>
          <w:left w:val="single" w:sz="4" w:space="4" w:color="auto"/>
          <w:bottom w:val="single" w:sz="4" w:space="1" w:color="auto"/>
          <w:right w:val="single" w:sz="4" w:space="4" w:color="auto"/>
        </w:pBdr>
        <w:ind w:left="1438" w:hanging="588"/>
        <w:rPr>
          <w:noProof/>
        </w:rPr>
      </w:pPr>
      <w:r w:rsidRPr="00046858">
        <w:rPr>
          <w:noProof/>
        </w:rPr>
        <w:t>–</w:t>
      </w:r>
      <w:r w:rsidRPr="00046858">
        <w:rPr>
          <w:noProof/>
        </w:rPr>
        <w:tab/>
        <w:t>deciziile la nivel înalt privind activitățile/bugetele dedicate activităților inițiativei „Cipuri pentru Europa” 2.0 (consolidarea capacităților în viitoarele programe de lucru) sunt luate de Consiliul autorităților publice numai împreună cu statele membre;</w:t>
      </w:r>
    </w:p>
    <w:p w14:paraId="17A14FE6" w14:textId="77777777" w:rsidR="00155288" w:rsidRPr="00046858" w:rsidRDefault="00155288" w:rsidP="001E750A">
      <w:pPr>
        <w:pBdr>
          <w:top w:val="single" w:sz="4" w:space="1" w:color="auto"/>
          <w:left w:val="single" w:sz="4" w:space="4" w:color="auto"/>
          <w:bottom w:val="single" w:sz="4" w:space="1" w:color="auto"/>
          <w:right w:val="single" w:sz="4" w:space="4" w:color="auto"/>
        </w:pBdr>
        <w:ind w:left="1438" w:hanging="588"/>
        <w:rPr>
          <w:noProof/>
        </w:rPr>
      </w:pPr>
      <w:r w:rsidRPr="00046858">
        <w:rPr>
          <w:noProof/>
        </w:rPr>
        <w:t>–</w:t>
      </w:r>
      <w:r w:rsidRPr="00046858">
        <w:rPr>
          <w:noProof/>
        </w:rPr>
        <w:tab/>
        <w:t>partea din programul de lucru care se referă la activitățile de consolidare a capacităților este adoptată de Consiliul autorităților publice numai împreună cu statele membre;</w:t>
      </w:r>
    </w:p>
    <w:p w14:paraId="2282D5F1" w14:textId="77777777" w:rsidR="00155288" w:rsidRPr="00046858" w:rsidRDefault="00155288" w:rsidP="001E750A">
      <w:pPr>
        <w:pBdr>
          <w:top w:val="single" w:sz="4" w:space="1" w:color="auto"/>
          <w:left w:val="single" w:sz="4" w:space="4" w:color="auto"/>
          <w:bottom w:val="single" w:sz="4" w:space="1" w:color="auto"/>
          <w:right w:val="single" w:sz="4" w:space="4" w:color="auto"/>
        </w:pBdr>
        <w:ind w:left="1438" w:hanging="588"/>
        <w:rPr>
          <w:noProof/>
        </w:rPr>
      </w:pPr>
      <w:r w:rsidRPr="00046858">
        <w:rPr>
          <w:noProof/>
        </w:rPr>
        <w:t>–</w:t>
      </w:r>
      <w:r w:rsidRPr="00046858">
        <w:rPr>
          <w:noProof/>
        </w:rPr>
        <w:tab/>
        <w:t>alegerea directorului executiv de către consiliul de conducere pe baza unei propuneri a Comisiei;</w:t>
      </w:r>
    </w:p>
    <w:p w14:paraId="1056388C" w14:textId="77777777" w:rsidR="00155288" w:rsidRPr="00046858" w:rsidRDefault="00155288" w:rsidP="001E750A">
      <w:pPr>
        <w:pBdr>
          <w:top w:val="single" w:sz="4" w:space="1" w:color="auto"/>
          <w:left w:val="single" w:sz="4" w:space="4" w:color="auto"/>
          <w:bottom w:val="single" w:sz="4" w:space="1" w:color="auto"/>
          <w:right w:val="single" w:sz="4" w:space="4" w:color="auto"/>
        </w:pBdr>
        <w:ind w:left="1438" w:hanging="588"/>
        <w:rPr>
          <w:noProof/>
        </w:rPr>
      </w:pPr>
      <w:r w:rsidRPr="00046858">
        <w:rPr>
          <w:noProof/>
        </w:rPr>
        <w:t>–</w:t>
      </w:r>
      <w:r w:rsidRPr="00046858">
        <w:rPr>
          <w:noProof/>
        </w:rPr>
        <w:tab/>
        <w:t>independența personalului;</w:t>
      </w:r>
    </w:p>
    <w:p w14:paraId="56C41CF6" w14:textId="77777777" w:rsidR="00155288" w:rsidRPr="00046858" w:rsidRDefault="00155288" w:rsidP="001E750A">
      <w:pPr>
        <w:pBdr>
          <w:top w:val="single" w:sz="4" w:space="1" w:color="auto"/>
          <w:left w:val="single" w:sz="4" w:space="4" w:color="auto"/>
          <w:bottom w:val="single" w:sz="4" w:space="1" w:color="auto"/>
          <w:right w:val="single" w:sz="4" w:space="4" w:color="auto"/>
        </w:pBdr>
        <w:ind w:left="1438" w:hanging="588"/>
        <w:rPr>
          <w:noProof/>
        </w:rPr>
      </w:pPr>
      <w:r w:rsidRPr="00046858">
        <w:rPr>
          <w:noProof/>
        </w:rPr>
        <w:t>–</w:t>
      </w:r>
      <w:r w:rsidRPr="00046858">
        <w:rPr>
          <w:noProof/>
        </w:rPr>
        <w:tab/>
        <w:t>evaluări efectuate de experți independenți pe baza unor criterii de evaluare publicate, împreună cu mecanisme de recurs și declarații complete cu privire la orice fel de interese;</w:t>
      </w:r>
    </w:p>
    <w:p w14:paraId="3C97FBDC" w14:textId="77777777" w:rsidR="00155288" w:rsidRPr="00046858" w:rsidRDefault="00155288" w:rsidP="001E750A">
      <w:pPr>
        <w:pBdr>
          <w:top w:val="single" w:sz="4" w:space="1" w:color="auto"/>
          <w:left w:val="single" w:sz="4" w:space="4" w:color="auto"/>
          <w:bottom w:val="single" w:sz="4" w:space="1" w:color="auto"/>
          <w:right w:val="single" w:sz="4" w:space="4" w:color="auto"/>
        </w:pBdr>
        <w:ind w:left="1438" w:hanging="588"/>
        <w:rPr>
          <w:noProof/>
        </w:rPr>
      </w:pPr>
      <w:r w:rsidRPr="00046858">
        <w:rPr>
          <w:noProof/>
        </w:rPr>
        <w:t>–</w:t>
      </w:r>
      <w:r w:rsidRPr="00046858">
        <w:rPr>
          <w:noProof/>
        </w:rPr>
        <w:tab/>
        <w:t>obligația consiliului de conducere de a adopta norme pentru prevenirea, evitarea și gestionarea conflictelor de interese în cadrul întreprinderii comune, în conformitate cu normele financiare ale întreprinderii comune și cu Statutul funcționarilor în ceea ce privește personalul.</w:t>
      </w:r>
    </w:p>
    <w:p w14:paraId="2DA5EF61" w14:textId="77777777" w:rsidR="00155288" w:rsidRPr="00046858" w:rsidRDefault="00155288" w:rsidP="00155288">
      <w:pPr>
        <w:pBdr>
          <w:top w:val="single" w:sz="4" w:space="1" w:color="auto"/>
          <w:left w:val="single" w:sz="4" w:space="4" w:color="auto"/>
          <w:bottom w:val="single" w:sz="4" w:space="1" w:color="auto"/>
          <w:right w:val="single" w:sz="4" w:space="4" w:color="auto"/>
        </w:pBdr>
        <w:ind w:left="850"/>
        <w:rPr>
          <w:noProof/>
        </w:rPr>
      </w:pPr>
      <w:r w:rsidRPr="00046858">
        <w:rPr>
          <w:noProof/>
        </w:rPr>
        <w:t>Continuarea valorilor etice și organizaționale existente va fi unul dintre rolurile-cheie ale întreprinderii comune și va fi monitorizată de către Comisie.</w:t>
      </w:r>
    </w:p>
    <w:p w14:paraId="51DD2884" w14:textId="77777777" w:rsidR="00F96C23" w:rsidRPr="00046858" w:rsidRDefault="00F96C23" w:rsidP="00F96C23">
      <w:pPr>
        <w:pBdr>
          <w:top w:val="single" w:sz="4" w:space="1" w:color="auto"/>
          <w:left w:val="single" w:sz="4" w:space="4" w:color="auto"/>
          <w:bottom w:val="single" w:sz="4" w:space="1" w:color="auto"/>
          <w:right w:val="single" w:sz="4" w:space="4" w:color="auto"/>
        </w:pBdr>
        <w:ind w:left="850"/>
        <w:rPr>
          <w:noProof/>
        </w:rPr>
      </w:pPr>
      <w:r w:rsidRPr="00046858">
        <w:rPr>
          <w:noProof/>
        </w:rPr>
        <w:t>În calitate de ordonator de credite, directorul executiv al întreprinderii comune pentru cipuri este obligat să introducă un sistem de control intern și gestionare care să fie eficient din punctul de vedere al costurilor. Biroul întreprinderii comune este obligat să raporteze Comisiei cu privire la cadrul de control intern adoptat.</w:t>
      </w:r>
    </w:p>
    <w:p w14:paraId="2C682659" w14:textId="77777777" w:rsidR="00F96C23" w:rsidRPr="00046858" w:rsidRDefault="00F96C23" w:rsidP="00F96C23">
      <w:pPr>
        <w:pBdr>
          <w:top w:val="single" w:sz="4" w:space="1" w:color="auto"/>
          <w:left w:val="single" w:sz="4" w:space="4" w:color="auto"/>
          <w:bottom w:val="single" w:sz="4" w:space="1" w:color="auto"/>
          <w:right w:val="single" w:sz="4" w:space="4" w:color="auto"/>
        </w:pBdr>
        <w:ind w:left="850"/>
        <w:rPr>
          <w:noProof/>
        </w:rPr>
      </w:pPr>
      <w:r w:rsidRPr="00046858">
        <w:rPr>
          <w:noProof/>
        </w:rPr>
        <w:t xml:space="preserve">Comisia va monitoriza riscul de neconformitate prin intermediul sistemului de raportare pe care urmează să îl stabilească, precum și prin urmărirea rezultatelor auditurilor </w:t>
      </w:r>
      <w:r w:rsidRPr="00046858">
        <w:rPr>
          <w:i/>
          <w:noProof/>
        </w:rPr>
        <w:t xml:space="preserve">ex post </w:t>
      </w:r>
      <w:r w:rsidRPr="00046858">
        <w:rPr>
          <w:noProof/>
        </w:rPr>
        <w:t xml:space="preserve">privind beneficiarii fondurilor UE din cadrul întreprinderii comune pentru cipuri, în cadrul auditurilor </w:t>
      </w:r>
      <w:r w:rsidRPr="00046858">
        <w:rPr>
          <w:i/>
          <w:noProof/>
        </w:rPr>
        <w:t xml:space="preserve">ex post </w:t>
      </w:r>
      <w:r w:rsidRPr="00046858">
        <w:rPr>
          <w:noProof/>
        </w:rPr>
        <w:t>care acoperă întregul program Orizont Europa și „Europa Digitală”.</w:t>
      </w:r>
    </w:p>
    <w:p w14:paraId="3293E85E" w14:textId="77777777" w:rsidR="00EA2556" w:rsidRPr="00046858" w:rsidRDefault="00F96C23" w:rsidP="00155288">
      <w:pPr>
        <w:pBdr>
          <w:top w:val="single" w:sz="4" w:space="1" w:color="auto"/>
          <w:left w:val="single" w:sz="4" w:space="4" w:color="auto"/>
          <w:bottom w:val="single" w:sz="4" w:space="1" w:color="auto"/>
          <w:right w:val="single" w:sz="4" w:space="4" w:color="auto"/>
        </w:pBdr>
        <w:ind w:left="850"/>
        <w:rPr>
          <w:noProof/>
        </w:rPr>
      </w:pPr>
      <w:r w:rsidRPr="00046858">
        <w:rPr>
          <w:noProof/>
        </w:rPr>
        <w:t>Există o necesitate clară ca bugetul să fie gestionat în mod eficient și eficace, pentru a se preveni frauda și risipa. Cu toate acestea, este necesar ca sistemul de control să găsească un echilibru adecvat între stabilirea unei rate de eroare acceptabile și sarcina de control necesară, precum și să evite reducerea atractivității programelor Uniunii.</w:t>
      </w:r>
    </w:p>
    <w:p w14:paraId="6F46354A" w14:textId="77777777" w:rsidR="00A03D5B" w:rsidRPr="00046858" w:rsidRDefault="00A03D5B" w:rsidP="00270E57">
      <w:pPr>
        <w:pStyle w:val="ManualHeading3"/>
        <w:spacing w:before="240"/>
        <w:ind w:left="851" w:hanging="851"/>
        <w:rPr>
          <w:noProof/>
        </w:rPr>
      </w:pPr>
      <w:r w:rsidRPr="00046858">
        <w:rPr>
          <w:noProof/>
        </w:rPr>
        <w:t>2.2.3.</w:t>
      </w:r>
      <w:r w:rsidRPr="00046858">
        <w:rPr>
          <w:noProof/>
        </w:rPr>
        <w:tab/>
        <w:t>Estimarea și justificarea raportului cost-eficacitate al controalelor (raportul dintre costurile controalelor și valoarea fondurilor aferente gestionate) și evaluarea nivelurilor preconizate ale riscurilor de eroare (la plată și la închidere)</w:t>
      </w:r>
      <w:bookmarkEnd w:id="112"/>
      <w:bookmarkEnd w:id="113"/>
      <w:bookmarkEnd w:id="114"/>
      <w:bookmarkEnd w:id="115"/>
      <w:bookmarkEnd w:id="116"/>
      <w:r w:rsidRPr="00046858">
        <w:rPr>
          <w:noProof/>
        </w:rPr>
        <w:t xml:space="preserve"> </w:t>
      </w:r>
    </w:p>
    <w:p w14:paraId="73773B3C" w14:textId="77777777" w:rsidR="00FB3986" w:rsidRPr="00046858" w:rsidRDefault="00FB3986" w:rsidP="0041561E">
      <w:pPr>
        <w:pStyle w:val="Text1"/>
        <w:pBdr>
          <w:top w:val="single" w:sz="4" w:space="1" w:color="auto"/>
          <w:left w:val="single" w:sz="4" w:space="4" w:color="auto"/>
          <w:bottom w:val="single" w:sz="4" w:space="1" w:color="auto"/>
          <w:right w:val="single" w:sz="4" w:space="4" w:color="auto"/>
        </w:pBdr>
        <w:rPr>
          <w:noProof/>
        </w:rPr>
      </w:pPr>
      <w:r w:rsidRPr="00046858">
        <w:rPr>
          <w:noProof/>
        </w:rPr>
        <w:t>Întrucât normele de participare la programul Orizont Europa și „Europa digitală” aplicabile întreprinderii comune pentru cipuri sunt similare cu cele pe care Comisia le va utiliza în programele sale de lucru și în condițiile unei populații de beneficiari cu un profil de risc similar cu cel al programelor care se află sub gestiune directă, se poate preconiza că marja de eroare va fi similară cu cea prevăzută de Comisie pentru programul Orizont Europa și „Europa digitală”, și anume de natură să ofere o asigurare rezonabilă că riscul de eroare pe parcursul perioadei de cheltuieli multianuale este cuprins, pe o bază anuală, în intervalul 2-5 %, cu scopul final de a se obține o rată reziduală de eroare cât mai apropiată de 2 % la încheierea programelor multianuale, după ce a fost luat în considerare impactul financiar al tuturor auditurilor și măsurilor corective și de recuperare.</w:t>
      </w:r>
    </w:p>
    <w:p w14:paraId="4028679B" w14:textId="77777777" w:rsidR="00A03D5B" w:rsidRPr="00046858" w:rsidRDefault="00A03D5B" w:rsidP="00270E57">
      <w:pPr>
        <w:pStyle w:val="ManualHeading2"/>
        <w:spacing w:before="360"/>
        <w:ind w:left="851" w:hanging="851"/>
        <w:rPr>
          <w:bCs/>
          <w:noProof/>
          <w:szCs w:val="24"/>
        </w:rPr>
      </w:pPr>
      <w:bookmarkStart w:id="117" w:name="_Toc514938049"/>
      <w:bookmarkStart w:id="118" w:name="_Toc520485048"/>
      <w:bookmarkStart w:id="119" w:name="_Toc160804590"/>
      <w:bookmarkStart w:id="120" w:name="_Toc167220282"/>
      <w:bookmarkStart w:id="121" w:name="_Toc177549015"/>
      <w:r w:rsidRPr="00046858">
        <w:rPr>
          <w:noProof/>
        </w:rPr>
        <w:t>2.3.</w:t>
      </w:r>
      <w:r w:rsidRPr="00046858">
        <w:rPr>
          <w:noProof/>
        </w:rPr>
        <w:tab/>
        <w:t>Măsuri de prevenire a fraudelor și a neregulilor</w:t>
      </w:r>
      <w:bookmarkEnd w:id="117"/>
      <w:bookmarkEnd w:id="118"/>
      <w:bookmarkEnd w:id="119"/>
      <w:bookmarkEnd w:id="120"/>
      <w:bookmarkEnd w:id="121"/>
      <w:r w:rsidRPr="00046858">
        <w:rPr>
          <w:noProof/>
        </w:rPr>
        <w:t xml:space="preserve"> </w:t>
      </w:r>
    </w:p>
    <w:p w14:paraId="691B740E" w14:textId="77777777" w:rsidR="004C610E" w:rsidRPr="00046858" w:rsidRDefault="000B7C28" w:rsidP="004C610E">
      <w:pPr>
        <w:pBdr>
          <w:top w:val="single" w:sz="4" w:space="1" w:color="auto"/>
          <w:left w:val="single" w:sz="4" w:space="4" w:color="auto"/>
          <w:bottom w:val="single" w:sz="4" w:space="1" w:color="auto"/>
          <w:right w:val="single" w:sz="4" w:space="4" w:color="auto"/>
        </w:pBdr>
        <w:ind w:left="850"/>
        <w:rPr>
          <w:noProof/>
        </w:rPr>
      </w:pPr>
      <w:r w:rsidRPr="00046858">
        <w:rPr>
          <w:noProof/>
        </w:rPr>
        <w:t>Comisia se va asigura că întreprinderea comună pentru cipuri aplică proceduri de luptă împotriva fraudei în toate etapele procesului de gestionare.</w:t>
      </w:r>
    </w:p>
    <w:p w14:paraId="5D40399E" w14:textId="77777777" w:rsidR="004C610E" w:rsidRPr="00046858" w:rsidRDefault="004C610E" w:rsidP="004C610E">
      <w:pPr>
        <w:pBdr>
          <w:top w:val="single" w:sz="4" w:space="1" w:color="auto"/>
          <w:left w:val="single" w:sz="4" w:space="4" w:color="auto"/>
          <w:bottom w:val="single" w:sz="4" w:space="1" w:color="auto"/>
          <w:right w:val="single" w:sz="4" w:space="4" w:color="auto"/>
        </w:pBdr>
        <w:ind w:left="850"/>
        <w:rPr>
          <w:noProof/>
        </w:rPr>
      </w:pPr>
      <w:r w:rsidRPr="00046858">
        <w:rPr>
          <w:noProof/>
        </w:rPr>
        <w:t>La punerea în aplicare a acțiunilor finanțate în temeiul prezentului regulament, Comisia se va asigura că sunt instituite măsuri corespunzătoare pentru a se garanta protejarea interesului financiar al Uniunii prin aplicarea de măsuri preventive împotriva fraudei, a corupției și a oricăror alte activități ilegale, prin controale eficace, și, în cazul în care se constată nereguli, prin recuperarea sumelor plătite în mod necuvenit, precum și, dacă este necesar, prin sancțiuni eficace, proporționale și disuasive.</w:t>
      </w:r>
    </w:p>
    <w:p w14:paraId="03EF37E5" w14:textId="77777777" w:rsidR="004C610E" w:rsidRPr="00046858" w:rsidRDefault="004C610E" w:rsidP="004C610E">
      <w:pPr>
        <w:pBdr>
          <w:top w:val="single" w:sz="4" w:space="1" w:color="auto"/>
          <w:left w:val="single" w:sz="4" w:space="4" w:color="auto"/>
          <w:bottom w:val="single" w:sz="4" w:space="1" w:color="auto"/>
          <w:right w:val="single" w:sz="4" w:space="4" w:color="auto"/>
        </w:pBdr>
        <w:ind w:left="850"/>
        <w:rPr>
          <w:noProof/>
        </w:rPr>
      </w:pPr>
      <w:r w:rsidRPr="00046858">
        <w:rPr>
          <w:noProof/>
        </w:rPr>
        <w:t>Curtea de Conturi are competența de a efectua audituri, pe bază de documente și controale la fața locului, la toți beneficiarii de granturi, contractanții și subcontractanții care au primit fonduri din partea Uniunii în cadrul programului.</w:t>
      </w:r>
    </w:p>
    <w:p w14:paraId="0B400956" w14:textId="77777777" w:rsidR="004C610E" w:rsidRPr="00046858" w:rsidRDefault="004C610E" w:rsidP="004C610E">
      <w:pPr>
        <w:pBdr>
          <w:top w:val="single" w:sz="4" w:space="1" w:color="auto"/>
          <w:left w:val="single" w:sz="4" w:space="4" w:color="auto"/>
          <w:bottom w:val="single" w:sz="4" w:space="1" w:color="auto"/>
          <w:right w:val="single" w:sz="4" w:space="4" w:color="auto"/>
        </w:pBdr>
        <w:ind w:left="850"/>
        <w:rPr>
          <w:noProof/>
        </w:rPr>
      </w:pPr>
      <w:r w:rsidRPr="00046858">
        <w:rPr>
          <w:noProof/>
        </w:rPr>
        <w:t>Oficiul European de Luptă Antifraudă (OLAF) poate efectua controale și inspecții la fața locului la operatorii economici care beneficiază direct sau indirect de o astfel de finanțare, în conformitate cu procedurile prevăzute în Regulamentul (Euratom, CE) nr. 2185/96 al Consiliului, cu scopul de a stabili existența unei fraude, a unui act de corupție sau a oricărei alte activități ilegale care aduce atingere intereselor financiare ale Uniunii în legătură cu un acord de grant sau cu o decizie de acordare a unui grant sau în legătură cu un contract de finanțare din partea Uniunii. Va fi necesar, de asemenea, ca întreprinderile comune să adere la Acordul interinstituțional din 25 mai 1999 dintre Parlamentul European, Consiliul Uniunii Europene și Comisia Comunităților Europene privind investigațiile interne efectuate de Oficiul European de Luptă Antifraudă (OLAF).</w:t>
      </w:r>
    </w:p>
    <w:p w14:paraId="32B2E41C" w14:textId="77777777" w:rsidR="004C610E" w:rsidRPr="00046858" w:rsidRDefault="004C610E" w:rsidP="004C610E">
      <w:pPr>
        <w:pBdr>
          <w:top w:val="single" w:sz="4" w:space="1" w:color="auto"/>
          <w:left w:val="single" w:sz="4" w:space="4" w:color="auto"/>
          <w:bottom w:val="single" w:sz="4" w:space="1" w:color="auto"/>
          <w:right w:val="single" w:sz="4" w:space="4" w:color="auto"/>
        </w:pBdr>
        <w:ind w:left="850"/>
        <w:rPr>
          <w:noProof/>
        </w:rPr>
      </w:pPr>
      <w:r w:rsidRPr="00046858">
        <w:rPr>
          <w:noProof/>
        </w:rPr>
        <w:t>Parchetul European poate efectua anchete în conformitate cu dispozițiile și procedurile stabilite în Regulamentul (UE) 2017/1939 al Consiliului, în vederea investigării infracțiunilor care aduc atingere intereselor financiare ale Uniunii.</w:t>
      </w:r>
    </w:p>
    <w:p w14:paraId="13E5E509" w14:textId="77777777" w:rsidR="00A03D5B" w:rsidRPr="00046858" w:rsidRDefault="00A03D5B" w:rsidP="0041561E">
      <w:pPr>
        <w:rPr>
          <w:noProof/>
        </w:rPr>
        <w:sectPr w:rsidR="00A03D5B" w:rsidRPr="00046858" w:rsidSect="0001503D">
          <w:pgSz w:w="11907" w:h="16840" w:code="9"/>
          <w:pgMar w:top="1134" w:right="1418" w:bottom="1134" w:left="1418" w:header="709" w:footer="709" w:gutter="0"/>
          <w:cols w:space="708"/>
          <w:docGrid w:linePitch="360"/>
        </w:sectPr>
      </w:pPr>
    </w:p>
    <w:p w14:paraId="75903C18" w14:textId="77777777" w:rsidR="00A03D5B" w:rsidRPr="00046858" w:rsidRDefault="00A03D5B" w:rsidP="0041561E">
      <w:pPr>
        <w:pStyle w:val="ManualHeading1"/>
        <w:rPr>
          <w:bCs/>
          <w:noProof/>
          <w:szCs w:val="24"/>
        </w:rPr>
      </w:pPr>
      <w:bookmarkStart w:id="122" w:name="_Toc514938050"/>
      <w:bookmarkStart w:id="123" w:name="_Toc520485049"/>
      <w:bookmarkStart w:id="124" w:name="_Toc160804591"/>
      <w:bookmarkStart w:id="125" w:name="_Toc167220283"/>
      <w:bookmarkStart w:id="126" w:name="_Toc177549016"/>
      <w:r w:rsidRPr="00046858">
        <w:rPr>
          <w:noProof/>
        </w:rPr>
        <w:t>3.</w:t>
      </w:r>
      <w:r w:rsidRPr="00046858">
        <w:rPr>
          <w:noProof/>
        </w:rPr>
        <w:tab/>
        <w:t>IMPACTUL FINANCIAR ESTIMAT AL PROPUNERII/INIȚIATIVEI</w:t>
      </w:r>
      <w:bookmarkEnd w:id="122"/>
      <w:bookmarkEnd w:id="123"/>
      <w:bookmarkEnd w:id="124"/>
      <w:bookmarkEnd w:id="125"/>
      <w:bookmarkEnd w:id="126"/>
      <w:r w:rsidRPr="00046858">
        <w:rPr>
          <w:noProof/>
        </w:rPr>
        <w:t xml:space="preserve"> </w:t>
      </w:r>
    </w:p>
    <w:p w14:paraId="395E5CE8" w14:textId="77777777" w:rsidR="00A03D5B" w:rsidRPr="00046858" w:rsidRDefault="00A03D5B" w:rsidP="0041561E">
      <w:pPr>
        <w:pStyle w:val="ManualHeading2"/>
        <w:rPr>
          <w:noProof/>
        </w:rPr>
      </w:pPr>
      <w:bookmarkStart w:id="127" w:name="_Toc514938051"/>
      <w:bookmarkStart w:id="128" w:name="_Toc520485050"/>
      <w:bookmarkStart w:id="129" w:name="_Toc160804592"/>
      <w:bookmarkStart w:id="130" w:name="_Toc167220284"/>
      <w:bookmarkStart w:id="131" w:name="_Toc177549017"/>
      <w:r w:rsidRPr="00046858">
        <w:rPr>
          <w:noProof/>
        </w:rPr>
        <w:t>3.1.</w:t>
      </w:r>
      <w:r w:rsidRPr="00046858">
        <w:rPr>
          <w:noProof/>
        </w:rPr>
        <w:tab/>
        <w:t>Rubrica (rubricile) din cadrul financiar multianual și linia (liniile) bugetară (bugetare) de cheltuieli afectată (afectate)</w:t>
      </w:r>
      <w:bookmarkEnd w:id="127"/>
      <w:bookmarkEnd w:id="128"/>
      <w:bookmarkEnd w:id="129"/>
      <w:bookmarkEnd w:id="130"/>
      <w:bookmarkEnd w:id="131"/>
      <w:r w:rsidRPr="00046858">
        <w:rPr>
          <w:noProof/>
        </w:rPr>
        <w:t xml:space="preserve"> </w:t>
      </w:r>
    </w:p>
    <w:p w14:paraId="741EF13E" w14:textId="77777777" w:rsidR="00A03D5B" w:rsidRPr="00046858" w:rsidRDefault="00A03D5B" w:rsidP="00C67F54">
      <w:pPr>
        <w:pStyle w:val="ListBullet1"/>
        <w:ind w:left="1134" w:hanging="283"/>
        <w:rPr>
          <w:noProof/>
        </w:rPr>
      </w:pPr>
      <w:r w:rsidRPr="00046858">
        <w:rPr>
          <w:noProof/>
        </w:rPr>
        <w:t>Linii bugetare existente</w:t>
      </w:r>
    </w:p>
    <w:p w14:paraId="6219C3DE" w14:textId="77777777" w:rsidR="00A03D5B" w:rsidRPr="00046858" w:rsidRDefault="00A03D5B" w:rsidP="0041561E">
      <w:pPr>
        <w:pStyle w:val="Text1"/>
        <w:rPr>
          <w:i/>
          <w:noProof/>
        </w:rPr>
      </w:pPr>
      <w:r w:rsidRPr="00046858">
        <w:rPr>
          <w:i/>
          <w:noProof/>
          <w:u w:val="single"/>
        </w:rPr>
        <w:t>În ordinea</w:t>
      </w:r>
      <w:r w:rsidRPr="00046858">
        <w:rPr>
          <w:i/>
          <w:noProof/>
        </w:rPr>
        <w:t xml:space="preserve"> rubricilor din cadrul financiar multianual și a liniilor bugetare.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A03D5B" w:rsidRPr="00046858" w14:paraId="1F87B0BC" w14:textId="77777777" w:rsidTr="0041561E">
        <w:trPr>
          <w:jc w:val="center"/>
        </w:trPr>
        <w:tc>
          <w:tcPr>
            <w:tcW w:w="1092" w:type="dxa"/>
            <w:vMerge w:val="restart"/>
            <w:vAlign w:val="center"/>
          </w:tcPr>
          <w:p w14:paraId="117C0EAB" w14:textId="77777777" w:rsidR="00A03D5B" w:rsidRPr="00046858" w:rsidRDefault="00A03D5B" w:rsidP="0041561E">
            <w:pPr>
              <w:spacing w:before="60" w:after="60"/>
              <w:jc w:val="center"/>
              <w:rPr>
                <w:noProof/>
              </w:rPr>
            </w:pPr>
            <w:r w:rsidRPr="00046858">
              <w:rPr>
                <w:noProof/>
                <w:sz w:val="18"/>
              </w:rPr>
              <w:t>Rubrica din cadrul financiar multianual</w:t>
            </w:r>
          </w:p>
        </w:tc>
        <w:tc>
          <w:tcPr>
            <w:tcW w:w="4002" w:type="dxa"/>
            <w:vAlign w:val="center"/>
          </w:tcPr>
          <w:p w14:paraId="5F4B62A0" w14:textId="77777777" w:rsidR="00A03D5B" w:rsidRPr="00046858" w:rsidRDefault="00A03D5B" w:rsidP="0041561E">
            <w:pPr>
              <w:spacing w:before="60" w:after="60"/>
              <w:jc w:val="center"/>
              <w:rPr>
                <w:noProof/>
              </w:rPr>
            </w:pPr>
            <w:r w:rsidRPr="00046858">
              <w:rPr>
                <w:noProof/>
                <w:sz w:val="20"/>
              </w:rPr>
              <w:t>Linia bugetară</w:t>
            </w:r>
          </w:p>
        </w:tc>
        <w:tc>
          <w:tcPr>
            <w:tcW w:w="1092" w:type="dxa"/>
            <w:vAlign w:val="center"/>
          </w:tcPr>
          <w:p w14:paraId="6A139047" w14:textId="77777777" w:rsidR="00A03D5B" w:rsidRPr="00046858" w:rsidRDefault="00A03D5B" w:rsidP="0041561E">
            <w:pPr>
              <w:spacing w:before="60" w:after="60"/>
              <w:jc w:val="center"/>
              <w:rPr>
                <w:noProof/>
              </w:rPr>
            </w:pPr>
            <w:r w:rsidRPr="00046858">
              <w:rPr>
                <w:noProof/>
                <w:sz w:val="18"/>
              </w:rPr>
              <w:t>Tipul de cheltuieli</w:t>
            </w:r>
          </w:p>
        </w:tc>
        <w:tc>
          <w:tcPr>
            <w:tcW w:w="4487" w:type="dxa"/>
            <w:gridSpan w:val="4"/>
            <w:vAlign w:val="center"/>
          </w:tcPr>
          <w:p w14:paraId="0B92F32D" w14:textId="77777777" w:rsidR="00A03D5B" w:rsidRPr="00046858" w:rsidRDefault="00A03D5B" w:rsidP="0041561E">
            <w:pPr>
              <w:spacing w:before="60" w:after="60"/>
              <w:jc w:val="center"/>
              <w:rPr>
                <w:noProof/>
              </w:rPr>
            </w:pPr>
            <w:r w:rsidRPr="00046858">
              <w:rPr>
                <w:noProof/>
                <w:sz w:val="20"/>
              </w:rPr>
              <w:t xml:space="preserve">Contribuție </w:t>
            </w:r>
          </w:p>
        </w:tc>
      </w:tr>
      <w:tr w:rsidR="00A03D5B" w:rsidRPr="00046858" w14:paraId="2A0EEABE" w14:textId="77777777" w:rsidTr="0041561E">
        <w:trPr>
          <w:cantSplit/>
          <w:jc w:val="center"/>
        </w:trPr>
        <w:tc>
          <w:tcPr>
            <w:tcW w:w="1092" w:type="dxa"/>
            <w:vMerge/>
            <w:vAlign w:val="center"/>
          </w:tcPr>
          <w:p w14:paraId="3393D64B" w14:textId="77777777" w:rsidR="00A03D5B" w:rsidRPr="00046858" w:rsidRDefault="00A03D5B" w:rsidP="0041561E">
            <w:pPr>
              <w:jc w:val="center"/>
              <w:rPr>
                <w:noProof/>
              </w:rPr>
            </w:pPr>
          </w:p>
        </w:tc>
        <w:tc>
          <w:tcPr>
            <w:tcW w:w="4002" w:type="dxa"/>
            <w:vAlign w:val="center"/>
          </w:tcPr>
          <w:p w14:paraId="4990C55A" w14:textId="46A9B8D7" w:rsidR="00A03D5B" w:rsidRPr="00046858" w:rsidRDefault="00A03D5B" w:rsidP="0041561E">
            <w:pPr>
              <w:rPr>
                <w:noProof/>
              </w:rPr>
            </w:pPr>
            <w:r w:rsidRPr="00046858">
              <w:rPr>
                <w:noProof/>
                <w:sz w:val="20"/>
              </w:rPr>
              <w:t>Numărul</w:t>
            </w:r>
            <w:r w:rsidR="008B6AF5">
              <w:rPr>
                <w:noProof/>
                <w:sz w:val="20"/>
              </w:rPr>
              <w:t xml:space="preserve"> </w:t>
            </w:r>
            <w:r w:rsidRPr="00046858">
              <w:rPr>
                <w:noProof/>
              </w:rPr>
              <w:cr/>
            </w:r>
            <w:r w:rsidRPr="00046858">
              <w:rPr>
                <w:noProof/>
              </w:rPr>
              <w:br/>
            </w:r>
          </w:p>
        </w:tc>
        <w:tc>
          <w:tcPr>
            <w:tcW w:w="1092" w:type="dxa"/>
            <w:vAlign w:val="center"/>
          </w:tcPr>
          <w:p w14:paraId="51EFD9D2" w14:textId="77777777" w:rsidR="00A03D5B" w:rsidRPr="00046858" w:rsidRDefault="00A03D5B" w:rsidP="0041561E">
            <w:pPr>
              <w:jc w:val="center"/>
              <w:rPr>
                <w:noProof/>
              </w:rPr>
            </w:pPr>
            <w:r w:rsidRPr="00046858">
              <w:rPr>
                <w:noProof/>
                <w:sz w:val="18"/>
              </w:rPr>
              <w:t>Dif./Nedif</w:t>
            </w:r>
            <w:r w:rsidRPr="00046858">
              <w:rPr>
                <w:rStyle w:val="FootnoteReference"/>
                <w:noProof/>
                <w:sz w:val="18"/>
                <w:szCs w:val="18"/>
              </w:rPr>
              <w:footnoteReference w:id="76"/>
            </w:r>
            <w:r w:rsidRPr="00046858">
              <w:rPr>
                <w:noProof/>
              </w:rPr>
              <w:t>.</w:t>
            </w:r>
          </w:p>
        </w:tc>
        <w:tc>
          <w:tcPr>
            <w:tcW w:w="966" w:type="dxa"/>
            <w:vAlign w:val="center"/>
          </w:tcPr>
          <w:p w14:paraId="79843C1B" w14:textId="77777777" w:rsidR="00A03D5B" w:rsidRPr="00046858" w:rsidRDefault="00A03D5B" w:rsidP="0041561E">
            <w:pPr>
              <w:jc w:val="center"/>
              <w:rPr>
                <w:b/>
                <w:noProof/>
                <w:sz w:val="18"/>
              </w:rPr>
            </w:pPr>
            <w:r w:rsidRPr="00046858">
              <w:rPr>
                <w:noProof/>
                <w:sz w:val="18"/>
              </w:rPr>
              <w:t>din partea țărilor AELS</w:t>
            </w:r>
            <w:r w:rsidRPr="00046858">
              <w:rPr>
                <w:rStyle w:val="FootnoteReference"/>
                <w:noProof/>
                <w:sz w:val="18"/>
                <w:szCs w:val="18"/>
              </w:rPr>
              <w:footnoteReference w:id="77"/>
            </w:r>
          </w:p>
        </w:tc>
        <w:tc>
          <w:tcPr>
            <w:tcW w:w="1092" w:type="dxa"/>
            <w:vAlign w:val="center"/>
          </w:tcPr>
          <w:p w14:paraId="6102CA72" w14:textId="77777777" w:rsidR="00A03D5B" w:rsidRPr="00046858" w:rsidRDefault="00A03D5B" w:rsidP="0041561E">
            <w:pPr>
              <w:jc w:val="center"/>
              <w:rPr>
                <w:noProof/>
                <w:sz w:val="18"/>
              </w:rPr>
            </w:pPr>
            <w:r w:rsidRPr="00046858">
              <w:rPr>
                <w:noProof/>
                <w:sz w:val="18"/>
              </w:rPr>
              <w:t>din partea țărilor candidate și potențial candidate</w:t>
            </w:r>
            <w:r w:rsidRPr="00046858">
              <w:rPr>
                <w:rStyle w:val="FootnoteReference"/>
                <w:noProof/>
                <w:sz w:val="18"/>
                <w:szCs w:val="18"/>
              </w:rPr>
              <w:footnoteReference w:id="78"/>
            </w:r>
          </w:p>
        </w:tc>
        <w:tc>
          <w:tcPr>
            <w:tcW w:w="966" w:type="dxa"/>
            <w:vAlign w:val="center"/>
          </w:tcPr>
          <w:p w14:paraId="431D7452" w14:textId="77777777" w:rsidR="00A03D5B" w:rsidRPr="00046858" w:rsidRDefault="00A03D5B" w:rsidP="0041561E">
            <w:pPr>
              <w:jc w:val="center"/>
              <w:rPr>
                <w:noProof/>
                <w:sz w:val="18"/>
              </w:rPr>
            </w:pPr>
            <w:r w:rsidRPr="00046858">
              <w:rPr>
                <w:noProof/>
                <w:sz w:val="18"/>
              </w:rPr>
              <w:t>din partea altor țări terțe</w:t>
            </w:r>
          </w:p>
        </w:tc>
        <w:tc>
          <w:tcPr>
            <w:tcW w:w="1463" w:type="dxa"/>
            <w:vAlign w:val="center"/>
          </w:tcPr>
          <w:p w14:paraId="5C043FC2" w14:textId="77777777" w:rsidR="00A03D5B" w:rsidRPr="00046858" w:rsidRDefault="00A03D5B" w:rsidP="0041561E">
            <w:pPr>
              <w:jc w:val="center"/>
              <w:rPr>
                <w:noProof/>
              </w:rPr>
            </w:pPr>
            <w:r w:rsidRPr="00046858">
              <w:rPr>
                <w:noProof/>
                <w:sz w:val="18"/>
              </w:rPr>
              <w:t>alte venituri alocate</w:t>
            </w:r>
          </w:p>
        </w:tc>
      </w:tr>
      <w:tr w:rsidR="00A03D5B" w:rsidRPr="00046858" w14:paraId="34EAFD3A" w14:textId="77777777" w:rsidTr="0041561E">
        <w:trPr>
          <w:jc w:val="center"/>
        </w:trPr>
        <w:tc>
          <w:tcPr>
            <w:tcW w:w="1092" w:type="dxa"/>
            <w:vAlign w:val="center"/>
          </w:tcPr>
          <w:p w14:paraId="195038C4" w14:textId="77777777" w:rsidR="00A03D5B" w:rsidRPr="00046858" w:rsidRDefault="00A03D5B" w:rsidP="0041561E">
            <w:pPr>
              <w:jc w:val="center"/>
              <w:rPr>
                <w:noProof/>
                <w:color w:val="0000FF"/>
              </w:rPr>
            </w:pPr>
          </w:p>
        </w:tc>
        <w:tc>
          <w:tcPr>
            <w:tcW w:w="4002" w:type="dxa"/>
            <w:vAlign w:val="center"/>
          </w:tcPr>
          <w:p w14:paraId="359E8475" w14:textId="77777777" w:rsidR="00A03D5B" w:rsidRPr="00046858" w:rsidRDefault="00A03D5B" w:rsidP="0041561E">
            <w:pPr>
              <w:spacing w:before="60"/>
              <w:rPr>
                <w:noProof/>
              </w:rPr>
            </w:pPr>
            <w:r w:rsidRPr="00046858">
              <w:rPr>
                <w:noProof/>
                <w:sz w:val="22"/>
              </w:rPr>
              <w:t>[XX.YY.YY.YY]</w:t>
            </w:r>
          </w:p>
          <w:p w14:paraId="1D4C3A66" w14:textId="77777777" w:rsidR="00A03D5B" w:rsidRPr="00046858" w:rsidRDefault="00A03D5B" w:rsidP="0041561E">
            <w:pPr>
              <w:spacing w:after="60"/>
              <w:rPr>
                <w:noProof/>
              </w:rPr>
            </w:pPr>
          </w:p>
        </w:tc>
        <w:tc>
          <w:tcPr>
            <w:tcW w:w="1092" w:type="dxa"/>
            <w:vAlign w:val="center"/>
          </w:tcPr>
          <w:p w14:paraId="10690FE2" w14:textId="77777777" w:rsidR="00A03D5B" w:rsidRPr="00046858" w:rsidRDefault="00A03D5B" w:rsidP="0041561E">
            <w:pPr>
              <w:jc w:val="center"/>
              <w:rPr>
                <w:noProof/>
                <w:color w:val="0000FF"/>
              </w:rPr>
            </w:pPr>
            <w:r w:rsidRPr="00046858">
              <w:rPr>
                <w:noProof/>
                <w:sz w:val="22"/>
              </w:rPr>
              <w:t>Dif./Nedif.</w:t>
            </w:r>
          </w:p>
        </w:tc>
        <w:tc>
          <w:tcPr>
            <w:tcW w:w="966" w:type="dxa"/>
            <w:vAlign w:val="center"/>
          </w:tcPr>
          <w:p w14:paraId="299306C0" w14:textId="77777777" w:rsidR="00A03D5B" w:rsidRPr="00046858" w:rsidRDefault="00A03D5B" w:rsidP="0041561E">
            <w:pPr>
              <w:jc w:val="center"/>
              <w:rPr>
                <w:noProof/>
                <w:sz w:val="20"/>
                <w:szCs w:val="20"/>
              </w:rPr>
            </w:pPr>
            <w:r w:rsidRPr="00046858">
              <w:rPr>
                <w:noProof/>
                <w:sz w:val="20"/>
              </w:rPr>
              <w:t>DA/NU</w:t>
            </w:r>
          </w:p>
        </w:tc>
        <w:tc>
          <w:tcPr>
            <w:tcW w:w="1092" w:type="dxa"/>
            <w:vAlign w:val="center"/>
          </w:tcPr>
          <w:p w14:paraId="0876CFB1" w14:textId="77777777" w:rsidR="00A03D5B" w:rsidRPr="00046858" w:rsidRDefault="00A03D5B" w:rsidP="0041561E">
            <w:pPr>
              <w:jc w:val="center"/>
              <w:rPr>
                <w:noProof/>
                <w:sz w:val="20"/>
                <w:szCs w:val="20"/>
              </w:rPr>
            </w:pPr>
            <w:r w:rsidRPr="00046858">
              <w:rPr>
                <w:noProof/>
                <w:sz w:val="20"/>
              </w:rPr>
              <w:t>DA/NU</w:t>
            </w:r>
          </w:p>
        </w:tc>
        <w:tc>
          <w:tcPr>
            <w:tcW w:w="966" w:type="dxa"/>
            <w:vAlign w:val="center"/>
          </w:tcPr>
          <w:p w14:paraId="510A67E8" w14:textId="77777777" w:rsidR="00A03D5B" w:rsidRPr="00046858" w:rsidRDefault="00A03D5B" w:rsidP="0041561E">
            <w:pPr>
              <w:jc w:val="center"/>
              <w:rPr>
                <w:noProof/>
                <w:sz w:val="20"/>
                <w:szCs w:val="20"/>
              </w:rPr>
            </w:pPr>
            <w:r w:rsidRPr="00046858">
              <w:rPr>
                <w:noProof/>
                <w:sz w:val="20"/>
              </w:rPr>
              <w:t>DA/NU</w:t>
            </w:r>
          </w:p>
        </w:tc>
        <w:tc>
          <w:tcPr>
            <w:tcW w:w="1463" w:type="dxa"/>
            <w:vAlign w:val="center"/>
          </w:tcPr>
          <w:p w14:paraId="17410860" w14:textId="77777777" w:rsidR="00A03D5B" w:rsidRPr="00046858" w:rsidRDefault="00A03D5B" w:rsidP="0041561E">
            <w:pPr>
              <w:jc w:val="center"/>
              <w:rPr>
                <w:noProof/>
                <w:sz w:val="20"/>
                <w:szCs w:val="20"/>
              </w:rPr>
            </w:pPr>
            <w:r w:rsidRPr="00046858">
              <w:rPr>
                <w:noProof/>
                <w:sz w:val="20"/>
              </w:rPr>
              <w:t>DA/NU</w:t>
            </w:r>
          </w:p>
        </w:tc>
      </w:tr>
      <w:tr w:rsidR="00A03D5B" w:rsidRPr="00046858" w14:paraId="640BA849" w14:textId="77777777" w:rsidTr="0041561E">
        <w:trPr>
          <w:jc w:val="center"/>
        </w:trPr>
        <w:tc>
          <w:tcPr>
            <w:tcW w:w="1092" w:type="dxa"/>
            <w:vAlign w:val="center"/>
          </w:tcPr>
          <w:p w14:paraId="3601764F" w14:textId="77777777" w:rsidR="00A03D5B" w:rsidRPr="00046858" w:rsidRDefault="00A03D5B" w:rsidP="0041561E">
            <w:pPr>
              <w:jc w:val="center"/>
              <w:rPr>
                <w:noProof/>
                <w:color w:val="0000FF"/>
              </w:rPr>
            </w:pPr>
          </w:p>
        </w:tc>
        <w:tc>
          <w:tcPr>
            <w:tcW w:w="4002" w:type="dxa"/>
            <w:vAlign w:val="center"/>
          </w:tcPr>
          <w:p w14:paraId="71247F2D" w14:textId="77777777" w:rsidR="00A03D5B" w:rsidRPr="00046858" w:rsidRDefault="00A03D5B" w:rsidP="0041561E">
            <w:pPr>
              <w:spacing w:before="60"/>
              <w:rPr>
                <w:noProof/>
              </w:rPr>
            </w:pPr>
            <w:r w:rsidRPr="00046858">
              <w:rPr>
                <w:noProof/>
                <w:sz w:val="22"/>
              </w:rPr>
              <w:t>[XX.YY.YY.YY]</w:t>
            </w:r>
          </w:p>
          <w:p w14:paraId="202FD052" w14:textId="77777777" w:rsidR="00A03D5B" w:rsidRPr="00046858" w:rsidRDefault="00A03D5B" w:rsidP="0041561E">
            <w:pPr>
              <w:spacing w:after="60"/>
              <w:rPr>
                <w:noProof/>
              </w:rPr>
            </w:pPr>
          </w:p>
        </w:tc>
        <w:tc>
          <w:tcPr>
            <w:tcW w:w="1092" w:type="dxa"/>
            <w:vAlign w:val="center"/>
          </w:tcPr>
          <w:p w14:paraId="65578DB6" w14:textId="77777777" w:rsidR="00A03D5B" w:rsidRPr="00046858" w:rsidRDefault="00A03D5B" w:rsidP="0041561E">
            <w:pPr>
              <w:jc w:val="center"/>
              <w:rPr>
                <w:noProof/>
                <w:color w:val="0000FF"/>
              </w:rPr>
            </w:pPr>
            <w:r w:rsidRPr="00046858">
              <w:rPr>
                <w:noProof/>
                <w:sz w:val="22"/>
              </w:rPr>
              <w:t>Dif./Nedif.</w:t>
            </w:r>
          </w:p>
        </w:tc>
        <w:tc>
          <w:tcPr>
            <w:tcW w:w="966" w:type="dxa"/>
            <w:vAlign w:val="center"/>
          </w:tcPr>
          <w:p w14:paraId="6AE47A99" w14:textId="77777777" w:rsidR="00A03D5B" w:rsidRPr="00046858" w:rsidRDefault="00A03D5B" w:rsidP="0041561E">
            <w:pPr>
              <w:jc w:val="center"/>
              <w:rPr>
                <w:noProof/>
                <w:sz w:val="20"/>
                <w:szCs w:val="20"/>
              </w:rPr>
            </w:pPr>
            <w:r w:rsidRPr="00046858">
              <w:rPr>
                <w:noProof/>
                <w:sz w:val="20"/>
              </w:rPr>
              <w:t>DA/NU</w:t>
            </w:r>
          </w:p>
        </w:tc>
        <w:tc>
          <w:tcPr>
            <w:tcW w:w="1092" w:type="dxa"/>
            <w:vAlign w:val="center"/>
          </w:tcPr>
          <w:p w14:paraId="5A40269B" w14:textId="77777777" w:rsidR="00A03D5B" w:rsidRPr="00046858" w:rsidRDefault="00A03D5B" w:rsidP="0041561E">
            <w:pPr>
              <w:jc w:val="center"/>
              <w:rPr>
                <w:noProof/>
                <w:sz w:val="20"/>
                <w:szCs w:val="20"/>
              </w:rPr>
            </w:pPr>
            <w:r w:rsidRPr="00046858">
              <w:rPr>
                <w:noProof/>
                <w:sz w:val="20"/>
              </w:rPr>
              <w:t>DA/NU</w:t>
            </w:r>
          </w:p>
        </w:tc>
        <w:tc>
          <w:tcPr>
            <w:tcW w:w="966" w:type="dxa"/>
            <w:vAlign w:val="center"/>
          </w:tcPr>
          <w:p w14:paraId="6A15FF38" w14:textId="77777777" w:rsidR="00A03D5B" w:rsidRPr="00046858" w:rsidRDefault="00A03D5B" w:rsidP="0041561E">
            <w:pPr>
              <w:jc w:val="center"/>
              <w:rPr>
                <w:noProof/>
                <w:sz w:val="20"/>
                <w:szCs w:val="20"/>
              </w:rPr>
            </w:pPr>
            <w:r w:rsidRPr="00046858">
              <w:rPr>
                <w:noProof/>
                <w:sz w:val="20"/>
              </w:rPr>
              <w:t>DA/NU</w:t>
            </w:r>
          </w:p>
        </w:tc>
        <w:tc>
          <w:tcPr>
            <w:tcW w:w="1463" w:type="dxa"/>
            <w:vAlign w:val="center"/>
          </w:tcPr>
          <w:p w14:paraId="68ECEB4C" w14:textId="77777777" w:rsidR="00A03D5B" w:rsidRPr="00046858" w:rsidRDefault="00A03D5B" w:rsidP="0041561E">
            <w:pPr>
              <w:jc w:val="center"/>
              <w:rPr>
                <w:noProof/>
                <w:sz w:val="20"/>
                <w:szCs w:val="20"/>
              </w:rPr>
            </w:pPr>
            <w:r w:rsidRPr="00046858">
              <w:rPr>
                <w:noProof/>
                <w:sz w:val="20"/>
              </w:rPr>
              <w:t>DA/NU</w:t>
            </w:r>
          </w:p>
        </w:tc>
      </w:tr>
      <w:tr w:rsidR="00A03D5B" w:rsidRPr="00046858" w14:paraId="4953B9C1" w14:textId="77777777" w:rsidTr="0041561E">
        <w:trPr>
          <w:jc w:val="center"/>
        </w:trPr>
        <w:tc>
          <w:tcPr>
            <w:tcW w:w="1092" w:type="dxa"/>
            <w:vAlign w:val="center"/>
          </w:tcPr>
          <w:p w14:paraId="2E43E504" w14:textId="77777777" w:rsidR="00A03D5B" w:rsidRPr="00046858" w:rsidRDefault="00A03D5B" w:rsidP="0041561E">
            <w:pPr>
              <w:jc w:val="center"/>
              <w:rPr>
                <w:noProof/>
                <w:color w:val="0000FF"/>
              </w:rPr>
            </w:pPr>
          </w:p>
        </w:tc>
        <w:tc>
          <w:tcPr>
            <w:tcW w:w="4002" w:type="dxa"/>
            <w:vAlign w:val="center"/>
          </w:tcPr>
          <w:p w14:paraId="7DB5A4E3" w14:textId="77777777" w:rsidR="00A03D5B" w:rsidRPr="00046858" w:rsidRDefault="00A03D5B" w:rsidP="0041561E">
            <w:pPr>
              <w:spacing w:before="60"/>
              <w:rPr>
                <w:noProof/>
              </w:rPr>
            </w:pPr>
            <w:r w:rsidRPr="00046858">
              <w:rPr>
                <w:noProof/>
                <w:sz w:val="22"/>
              </w:rPr>
              <w:t>[XX.YY.YY.YY]</w:t>
            </w:r>
          </w:p>
          <w:p w14:paraId="3C83A1E2" w14:textId="77777777" w:rsidR="00A03D5B" w:rsidRPr="00046858" w:rsidRDefault="00A03D5B" w:rsidP="0041561E">
            <w:pPr>
              <w:spacing w:after="60"/>
              <w:rPr>
                <w:noProof/>
              </w:rPr>
            </w:pPr>
          </w:p>
        </w:tc>
        <w:tc>
          <w:tcPr>
            <w:tcW w:w="1092" w:type="dxa"/>
            <w:vAlign w:val="center"/>
          </w:tcPr>
          <w:p w14:paraId="20E63A0A" w14:textId="77777777" w:rsidR="00A03D5B" w:rsidRPr="00046858" w:rsidRDefault="00A03D5B" w:rsidP="0041561E">
            <w:pPr>
              <w:jc w:val="center"/>
              <w:rPr>
                <w:noProof/>
                <w:color w:val="0000FF"/>
              </w:rPr>
            </w:pPr>
            <w:r w:rsidRPr="00046858">
              <w:rPr>
                <w:noProof/>
                <w:sz w:val="22"/>
              </w:rPr>
              <w:t>Dif./Nedif.</w:t>
            </w:r>
          </w:p>
        </w:tc>
        <w:tc>
          <w:tcPr>
            <w:tcW w:w="966" w:type="dxa"/>
            <w:vAlign w:val="center"/>
          </w:tcPr>
          <w:p w14:paraId="3B4D4A6E" w14:textId="77777777" w:rsidR="00A03D5B" w:rsidRPr="00046858" w:rsidRDefault="00A03D5B" w:rsidP="0041561E">
            <w:pPr>
              <w:jc w:val="center"/>
              <w:rPr>
                <w:noProof/>
                <w:sz w:val="20"/>
                <w:szCs w:val="20"/>
              </w:rPr>
            </w:pPr>
            <w:r w:rsidRPr="00046858">
              <w:rPr>
                <w:noProof/>
                <w:sz w:val="20"/>
              </w:rPr>
              <w:t>DA/NU</w:t>
            </w:r>
          </w:p>
        </w:tc>
        <w:tc>
          <w:tcPr>
            <w:tcW w:w="1092" w:type="dxa"/>
            <w:vAlign w:val="center"/>
          </w:tcPr>
          <w:p w14:paraId="1F2D2BAA" w14:textId="77777777" w:rsidR="00A03D5B" w:rsidRPr="00046858" w:rsidRDefault="00A03D5B" w:rsidP="0041561E">
            <w:pPr>
              <w:jc w:val="center"/>
              <w:rPr>
                <w:noProof/>
                <w:sz w:val="20"/>
                <w:szCs w:val="20"/>
              </w:rPr>
            </w:pPr>
            <w:r w:rsidRPr="00046858">
              <w:rPr>
                <w:noProof/>
                <w:sz w:val="20"/>
              </w:rPr>
              <w:t>DA/NU</w:t>
            </w:r>
          </w:p>
        </w:tc>
        <w:tc>
          <w:tcPr>
            <w:tcW w:w="966" w:type="dxa"/>
            <w:vAlign w:val="center"/>
          </w:tcPr>
          <w:p w14:paraId="22F0DA19" w14:textId="77777777" w:rsidR="00A03D5B" w:rsidRPr="00046858" w:rsidRDefault="00A03D5B" w:rsidP="0041561E">
            <w:pPr>
              <w:jc w:val="center"/>
              <w:rPr>
                <w:noProof/>
                <w:sz w:val="20"/>
                <w:szCs w:val="20"/>
              </w:rPr>
            </w:pPr>
            <w:r w:rsidRPr="00046858">
              <w:rPr>
                <w:noProof/>
                <w:sz w:val="20"/>
              </w:rPr>
              <w:t>DA/NU</w:t>
            </w:r>
          </w:p>
        </w:tc>
        <w:tc>
          <w:tcPr>
            <w:tcW w:w="1463" w:type="dxa"/>
            <w:vAlign w:val="center"/>
          </w:tcPr>
          <w:p w14:paraId="0CEBB38C" w14:textId="77777777" w:rsidR="00A03D5B" w:rsidRPr="00046858" w:rsidRDefault="00A03D5B" w:rsidP="0041561E">
            <w:pPr>
              <w:jc w:val="center"/>
              <w:rPr>
                <w:noProof/>
                <w:sz w:val="20"/>
                <w:szCs w:val="20"/>
              </w:rPr>
            </w:pPr>
            <w:r w:rsidRPr="00046858">
              <w:rPr>
                <w:noProof/>
                <w:sz w:val="20"/>
              </w:rPr>
              <w:t>DA/NU</w:t>
            </w:r>
          </w:p>
        </w:tc>
      </w:tr>
    </w:tbl>
    <w:p w14:paraId="2C0A0E49" w14:textId="77777777" w:rsidR="00A03D5B" w:rsidRPr="00046858" w:rsidRDefault="00A03D5B" w:rsidP="00C67F54">
      <w:pPr>
        <w:pStyle w:val="ListBullet1"/>
        <w:ind w:left="1134" w:hanging="283"/>
        <w:rPr>
          <w:noProof/>
        </w:rPr>
      </w:pPr>
      <w:r w:rsidRPr="00046858">
        <w:rPr>
          <w:noProof/>
        </w:rPr>
        <w:t>Noile linii bugetare solicitate</w:t>
      </w:r>
    </w:p>
    <w:p w14:paraId="18D2D2F3" w14:textId="77777777" w:rsidR="00A03D5B" w:rsidRPr="00046858" w:rsidRDefault="00A03D5B" w:rsidP="0041561E">
      <w:pPr>
        <w:pStyle w:val="Text1"/>
        <w:rPr>
          <w:i/>
          <w:noProof/>
          <w:sz w:val="20"/>
        </w:rPr>
      </w:pPr>
      <w:r w:rsidRPr="00046858">
        <w:rPr>
          <w:i/>
          <w:noProof/>
          <w:u w:val="single"/>
        </w:rPr>
        <w:t>În ordinea</w:t>
      </w:r>
      <w:r w:rsidRPr="00046858">
        <w:rPr>
          <w:i/>
          <w:noProof/>
        </w:rPr>
        <w:t xml:space="preserve"> rubricilor din cadrul financiar multianual și a liniilor bugetare.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A03D5B" w:rsidRPr="00046858" w14:paraId="4CED45DB" w14:textId="77777777" w:rsidTr="0041561E">
        <w:trPr>
          <w:jc w:val="center"/>
        </w:trPr>
        <w:tc>
          <w:tcPr>
            <w:tcW w:w="1080" w:type="dxa"/>
            <w:vMerge w:val="restart"/>
            <w:vAlign w:val="center"/>
          </w:tcPr>
          <w:p w14:paraId="6AF3723E" w14:textId="77777777" w:rsidR="00A03D5B" w:rsidRPr="00046858" w:rsidRDefault="00A03D5B" w:rsidP="0041561E">
            <w:pPr>
              <w:spacing w:before="60" w:after="60"/>
              <w:jc w:val="center"/>
              <w:rPr>
                <w:noProof/>
                <w:sz w:val="18"/>
                <w:szCs w:val="18"/>
              </w:rPr>
            </w:pPr>
            <w:r w:rsidRPr="00046858">
              <w:rPr>
                <w:noProof/>
                <w:sz w:val="18"/>
              </w:rPr>
              <w:t>Rubrica din cadrul financiar multianual</w:t>
            </w:r>
          </w:p>
        </w:tc>
        <w:tc>
          <w:tcPr>
            <w:tcW w:w="3960" w:type="dxa"/>
            <w:vAlign w:val="center"/>
          </w:tcPr>
          <w:p w14:paraId="187296AF" w14:textId="77777777" w:rsidR="00A03D5B" w:rsidRPr="00046858" w:rsidRDefault="00A03D5B" w:rsidP="0041561E">
            <w:pPr>
              <w:spacing w:before="60" w:after="60"/>
              <w:jc w:val="center"/>
              <w:rPr>
                <w:noProof/>
              </w:rPr>
            </w:pPr>
            <w:r w:rsidRPr="00046858">
              <w:rPr>
                <w:noProof/>
                <w:sz w:val="20"/>
              </w:rPr>
              <w:t>Linia bugetară</w:t>
            </w:r>
          </w:p>
        </w:tc>
        <w:tc>
          <w:tcPr>
            <w:tcW w:w="1080" w:type="dxa"/>
            <w:vAlign w:val="center"/>
          </w:tcPr>
          <w:p w14:paraId="7F0B6940" w14:textId="77777777" w:rsidR="00A03D5B" w:rsidRPr="00046858" w:rsidRDefault="00A03D5B" w:rsidP="0041561E">
            <w:pPr>
              <w:spacing w:before="60" w:after="60"/>
              <w:jc w:val="center"/>
              <w:rPr>
                <w:noProof/>
              </w:rPr>
            </w:pPr>
            <w:r w:rsidRPr="00046858">
              <w:rPr>
                <w:noProof/>
                <w:sz w:val="18"/>
              </w:rPr>
              <w:t>Tipul de cheltuieli</w:t>
            </w:r>
          </w:p>
        </w:tc>
        <w:tc>
          <w:tcPr>
            <w:tcW w:w="4440" w:type="dxa"/>
            <w:gridSpan w:val="4"/>
            <w:vAlign w:val="center"/>
          </w:tcPr>
          <w:p w14:paraId="73D1A67F" w14:textId="77777777" w:rsidR="00A03D5B" w:rsidRPr="00046858" w:rsidRDefault="00A03D5B" w:rsidP="0041561E">
            <w:pPr>
              <w:spacing w:before="60" w:after="60"/>
              <w:jc w:val="center"/>
              <w:rPr>
                <w:noProof/>
              </w:rPr>
            </w:pPr>
            <w:r w:rsidRPr="00046858">
              <w:rPr>
                <w:noProof/>
                <w:sz w:val="20"/>
              </w:rPr>
              <w:t xml:space="preserve">Contribuție </w:t>
            </w:r>
          </w:p>
        </w:tc>
      </w:tr>
      <w:tr w:rsidR="00A03D5B" w:rsidRPr="00046858" w14:paraId="78A66A47" w14:textId="77777777" w:rsidTr="0041561E">
        <w:trPr>
          <w:cantSplit/>
          <w:jc w:val="center"/>
        </w:trPr>
        <w:tc>
          <w:tcPr>
            <w:tcW w:w="1080" w:type="dxa"/>
            <w:vMerge/>
            <w:vAlign w:val="center"/>
          </w:tcPr>
          <w:p w14:paraId="459DB5CE" w14:textId="77777777" w:rsidR="00A03D5B" w:rsidRPr="00046858" w:rsidRDefault="00A03D5B" w:rsidP="0041561E">
            <w:pPr>
              <w:jc w:val="center"/>
              <w:rPr>
                <w:noProof/>
              </w:rPr>
            </w:pPr>
          </w:p>
        </w:tc>
        <w:tc>
          <w:tcPr>
            <w:tcW w:w="3960" w:type="dxa"/>
            <w:vAlign w:val="center"/>
          </w:tcPr>
          <w:p w14:paraId="4E54721B" w14:textId="3CE4BDEF" w:rsidR="00A03D5B" w:rsidRPr="00046858" w:rsidRDefault="00A03D5B" w:rsidP="0041561E">
            <w:pPr>
              <w:rPr>
                <w:noProof/>
              </w:rPr>
            </w:pPr>
            <w:r w:rsidRPr="00046858">
              <w:rPr>
                <w:noProof/>
                <w:sz w:val="20"/>
              </w:rPr>
              <w:t>Numărul</w:t>
            </w:r>
            <w:r w:rsidR="008B6AF5">
              <w:rPr>
                <w:noProof/>
                <w:sz w:val="20"/>
              </w:rPr>
              <w:t xml:space="preserve"> </w:t>
            </w:r>
            <w:r w:rsidRPr="00046858">
              <w:rPr>
                <w:noProof/>
              </w:rPr>
              <w:cr/>
            </w:r>
            <w:r w:rsidRPr="00046858">
              <w:rPr>
                <w:noProof/>
              </w:rPr>
              <w:br/>
            </w:r>
          </w:p>
        </w:tc>
        <w:tc>
          <w:tcPr>
            <w:tcW w:w="1080" w:type="dxa"/>
            <w:vAlign w:val="center"/>
          </w:tcPr>
          <w:p w14:paraId="18AA6096" w14:textId="77777777" w:rsidR="00A03D5B" w:rsidRPr="00046858" w:rsidRDefault="00A03D5B" w:rsidP="0041561E">
            <w:pPr>
              <w:jc w:val="center"/>
              <w:rPr>
                <w:noProof/>
              </w:rPr>
            </w:pPr>
            <w:r w:rsidRPr="00046858">
              <w:rPr>
                <w:noProof/>
                <w:sz w:val="18"/>
              </w:rPr>
              <w:t>Dif./Nedif.</w:t>
            </w:r>
          </w:p>
        </w:tc>
        <w:tc>
          <w:tcPr>
            <w:tcW w:w="956" w:type="dxa"/>
            <w:vAlign w:val="center"/>
          </w:tcPr>
          <w:p w14:paraId="5B4807BF" w14:textId="77777777" w:rsidR="00A03D5B" w:rsidRPr="00046858" w:rsidRDefault="00A03D5B" w:rsidP="0041561E">
            <w:pPr>
              <w:jc w:val="center"/>
              <w:rPr>
                <w:noProof/>
                <w:sz w:val="18"/>
              </w:rPr>
            </w:pPr>
            <w:r w:rsidRPr="00046858">
              <w:rPr>
                <w:noProof/>
                <w:sz w:val="18"/>
              </w:rPr>
              <w:t>din partea țărilor AELS</w:t>
            </w:r>
          </w:p>
        </w:tc>
        <w:tc>
          <w:tcPr>
            <w:tcW w:w="1080" w:type="dxa"/>
            <w:vAlign w:val="center"/>
          </w:tcPr>
          <w:p w14:paraId="755E1F7F" w14:textId="77777777" w:rsidR="00A03D5B" w:rsidRPr="00046858" w:rsidRDefault="00A03D5B" w:rsidP="0041561E">
            <w:pPr>
              <w:jc w:val="center"/>
              <w:rPr>
                <w:noProof/>
                <w:sz w:val="18"/>
              </w:rPr>
            </w:pPr>
            <w:r w:rsidRPr="00046858">
              <w:rPr>
                <w:noProof/>
                <w:sz w:val="18"/>
              </w:rPr>
              <w:t>din partea țărilor candidate și potențial candidate</w:t>
            </w:r>
          </w:p>
        </w:tc>
        <w:tc>
          <w:tcPr>
            <w:tcW w:w="956" w:type="dxa"/>
            <w:vAlign w:val="center"/>
          </w:tcPr>
          <w:p w14:paraId="36EB47AB" w14:textId="77777777" w:rsidR="00A03D5B" w:rsidRPr="00046858" w:rsidRDefault="00A03D5B" w:rsidP="0041561E">
            <w:pPr>
              <w:jc w:val="center"/>
              <w:rPr>
                <w:noProof/>
                <w:sz w:val="18"/>
              </w:rPr>
            </w:pPr>
            <w:r w:rsidRPr="00046858">
              <w:rPr>
                <w:noProof/>
                <w:sz w:val="18"/>
              </w:rPr>
              <w:t>din partea altor țări terțe</w:t>
            </w:r>
          </w:p>
        </w:tc>
        <w:tc>
          <w:tcPr>
            <w:tcW w:w="1448" w:type="dxa"/>
            <w:vAlign w:val="center"/>
          </w:tcPr>
          <w:p w14:paraId="7B2940C3" w14:textId="77777777" w:rsidR="00A03D5B" w:rsidRPr="00046858" w:rsidRDefault="00A03D5B" w:rsidP="0041561E">
            <w:pPr>
              <w:jc w:val="center"/>
              <w:rPr>
                <w:noProof/>
              </w:rPr>
            </w:pPr>
            <w:r w:rsidRPr="00046858">
              <w:rPr>
                <w:noProof/>
                <w:sz w:val="18"/>
              </w:rPr>
              <w:t xml:space="preserve">alte venituri alocate </w:t>
            </w:r>
          </w:p>
        </w:tc>
      </w:tr>
      <w:tr w:rsidR="00A03D5B" w:rsidRPr="00046858" w14:paraId="41A415E9" w14:textId="77777777" w:rsidTr="0041561E">
        <w:trPr>
          <w:cantSplit/>
          <w:jc w:val="center"/>
        </w:trPr>
        <w:tc>
          <w:tcPr>
            <w:tcW w:w="1080" w:type="dxa"/>
            <w:vAlign w:val="center"/>
          </w:tcPr>
          <w:p w14:paraId="2348264C" w14:textId="77777777" w:rsidR="00A03D5B" w:rsidRPr="00046858" w:rsidRDefault="00A03D5B" w:rsidP="0041561E">
            <w:pPr>
              <w:jc w:val="center"/>
              <w:rPr>
                <w:noProof/>
                <w:color w:val="0000FF"/>
              </w:rPr>
            </w:pPr>
          </w:p>
        </w:tc>
        <w:tc>
          <w:tcPr>
            <w:tcW w:w="3960" w:type="dxa"/>
            <w:vAlign w:val="center"/>
          </w:tcPr>
          <w:p w14:paraId="21F1F8DE" w14:textId="77777777" w:rsidR="00A03D5B" w:rsidRPr="00046858" w:rsidRDefault="00A03D5B" w:rsidP="0041561E">
            <w:pPr>
              <w:spacing w:before="60"/>
              <w:rPr>
                <w:noProof/>
              </w:rPr>
            </w:pPr>
            <w:r w:rsidRPr="00046858">
              <w:rPr>
                <w:noProof/>
                <w:sz w:val="22"/>
              </w:rPr>
              <w:t>[XX.YY.YY.YY]</w:t>
            </w:r>
          </w:p>
          <w:p w14:paraId="5AE52C85" w14:textId="77777777" w:rsidR="00A03D5B" w:rsidRPr="00046858" w:rsidRDefault="00A03D5B" w:rsidP="0041561E">
            <w:pPr>
              <w:spacing w:after="60"/>
              <w:rPr>
                <w:noProof/>
              </w:rPr>
            </w:pPr>
          </w:p>
        </w:tc>
        <w:tc>
          <w:tcPr>
            <w:tcW w:w="1080" w:type="dxa"/>
            <w:vAlign w:val="center"/>
          </w:tcPr>
          <w:p w14:paraId="24E9DC49" w14:textId="77777777" w:rsidR="00A03D5B" w:rsidRPr="00046858" w:rsidRDefault="00A03D5B" w:rsidP="0041561E">
            <w:pPr>
              <w:jc w:val="center"/>
              <w:rPr>
                <w:noProof/>
                <w:color w:val="0000FF"/>
              </w:rPr>
            </w:pPr>
            <w:r w:rsidRPr="00046858">
              <w:rPr>
                <w:noProof/>
                <w:sz w:val="22"/>
              </w:rPr>
              <w:t>Dif./Nedif.</w:t>
            </w:r>
          </w:p>
        </w:tc>
        <w:tc>
          <w:tcPr>
            <w:tcW w:w="956" w:type="dxa"/>
            <w:vAlign w:val="center"/>
          </w:tcPr>
          <w:p w14:paraId="3AB49A90" w14:textId="77777777" w:rsidR="00A03D5B" w:rsidRPr="00046858" w:rsidRDefault="00A03D5B" w:rsidP="0041561E">
            <w:pPr>
              <w:jc w:val="center"/>
              <w:rPr>
                <w:noProof/>
                <w:sz w:val="20"/>
                <w:szCs w:val="20"/>
              </w:rPr>
            </w:pPr>
            <w:r w:rsidRPr="00046858">
              <w:rPr>
                <w:noProof/>
                <w:sz w:val="20"/>
              </w:rPr>
              <w:t>DA/NU</w:t>
            </w:r>
          </w:p>
        </w:tc>
        <w:tc>
          <w:tcPr>
            <w:tcW w:w="1080" w:type="dxa"/>
            <w:vAlign w:val="center"/>
          </w:tcPr>
          <w:p w14:paraId="3D9A4913" w14:textId="77777777" w:rsidR="00A03D5B" w:rsidRPr="00046858" w:rsidRDefault="00A03D5B" w:rsidP="0041561E">
            <w:pPr>
              <w:jc w:val="center"/>
              <w:rPr>
                <w:noProof/>
                <w:sz w:val="20"/>
                <w:szCs w:val="20"/>
              </w:rPr>
            </w:pPr>
            <w:r w:rsidRPr="00046858">
              <w:rPr>
                <w:noProof/>
                <w:sz w:val="20"/>
              </w:rPr>
              <w:t>DA/NU</w:t>
            </w:r>
          </w:p>
        </w:tc>
        <w:tc>
          <w:tcPr>
            <w:tcW w:w="956" w:type="dxa"/>
            <w:vAlign w:val="center"/>
          </w:tcPr>
          <w:p w14:paraId="62F231AC" w14:textId="77777777" w:rsidR="00A03D5B" w:rsidRPr="00046858" w:rsidRDefault="00A03D5B" w:rsidP="0041561E">
            <w:pPr>
              <w:jc w:val="center"/>
              <w:rPr>
                <w:noProof/>
                <w:sz w:val="20"/>
                <w:szCs w:val="20"/>
              </w:rPr>
            </w:pPr>
            <w:r w:rsidRPr="00046858">
              <w:rPr>
                <w:noProof/>
                <w:sz w:val="20"/>
              </w:rPr>
              <w:t>DA/NU</w:t>
            </w:r>
          </w:p>
        </w:tc>
        <w:tc>
          <w:tcPr>
            <w:tcW w:w="1448" w:type="dxa"/>
            <w:vAlign w:val="center"/>
          </w:tcPr>
          <w:p w14:paraId="0068702D" w14:textId="77777777" w:rsidR="00A03D5B" w:rsidRPr="00046858" w:rsidRDefault="00A03D5B" w:rsidP="0041561E">
            <w:pPr>
              <w:jc w:val="center"/>
              <w:rPr>
                <w:noProof/>
                <w:sz w:val="20"/>
                <w:szCs w:val="20"/>
              </w:rPr>
            </w:pPr>
            <w:r w:rsidRPr="00046858">
              <w:rPr>
                <w:noProof/>
                <w:sz w:val="20"/>
              </w:rPr>
              <w:t>DA/NU</w:t>
            </w:r>
          </w:p>
        </w:tc>
      </w:tr>
      <w:tr w:rsidR="00A03D5B" w:rsidRPr="00046858" w14:paraId="02E6D25A" w14:textId="77777777" w:rsidTr="0041561E">
        <w:trPr>
          <w:cantSplit/>
          <w:jc w:val="center"/>
        </w:trPr>
        <w:tc>
          <w:tcPr>
            <w:tcW w:w="1080" w:type="dxa"/>
            <w:vAlign w:val="center"/>
          </w:tcPr>
          <w:p w14:paraId="4EE961E3" w14:textId="77777777" w:rsidR="00A03D5B" w:rsidRPr="00046858" w:rsidRDefault="00A03D5B" w:rsidP="0041561E">
            <w:pPr>
              <w:jc w:val="center"/>
              <w:rPr>
                <w:noProof/>
                <w:color w:val="0000FF"/>
              </w:rPr>
            </w:pPr>
          </w:p>
        </w:tc>
        <w:tc>
          <w:tcPr>
            <w:tcW w:w="3960" w:type="dxa"/>
            <w:vAlign w:val="center"/>
          </w:tcPr>
          <w:p w14:paraId="6A5D2C4F" w14:textId="77777777" w:rsidR="00A03D5B" w:rsidRPr="00046858" w:rsidRDefault="00A03D5B" w:rsidP="0041561E">
            <w:pPr>
              <w:spacing w:before="60"/>
              <w:rPr>
                <w:noProof/>
              </w:rPr>
            </w:pPr>
            <w:r w:rsidRPr="00046858">
              <w:rPr>
                <w:noProof/>
                <w:sz w:val="22"/>
              </w:rPr>
              <w:t>[XX.YY.YY.YY]</w:t>
            </w:r>
          </w:p>
          <w:p w14:paraId="1379D3A7" w14:textId="77777777" w:rsidR="00A03D5B" w:rsidRPr="00046858" w:rsidRDefault="00A03D5B" w:rsidP="0041561E">
            <w:pPr>
              <w:spacing w:after="60"/>
              <w:rPr>
                <w:noProof/>
              </w:rPr>
            </w:pPr>
          </w:p>
        </w:tc>
        <w:tc>
          <w:tcPr>
            <w:tcW w:w="1080" w:type="dxa"/>
            <w:vAlign w:val="center"/>
          </w:tcPr>
          <w:p w14:paraId="43B9784C" w14:textId="77777777" w:rsidR="00A03D5B" w:rsidRPr="00046858" w:rsidRDefault="00A03D5B" w:rsidP="0041561E">
            <w:pPr>
              <w:jc w:val="center"/>
              <w:rPr>
                <w:noProof/>
                <w:color w:val="0000FF"/>
              </w:rPr>
            </w:pPr>
            <w:r w:rsidRPr="00046858">
              <w:rPr>
                <w:noProof/>
                <w:sz w:val="22"/>
              </w:rPr>
              <w:t>Dif./Nedif.</w:t>
            </w:r>
          </w:p>
        </w:tc>
        <w:tc>
          <w:tcPr>
            <w:tcW w:w="956" w:type="dxa"/>
            <w:vAlign w:val="center"/>
          </w:tcPr>
          <w:p w14:paraId="3D48D227" w14:textId="77777777" w:rsidR="00A03D5B" w:rsidRPr="00046858" w:rsidRDefault="00A03D5B" w:rsidP="0041561E">
            <w:pPr>
              <w:jc w:val="center"/>
              <w:rPr>
                <w:noProof/>
                <w:sz w:val="20"/>
                <w:szCs w:val="20"/>
              </w:rPr>
            </w:pPr>
            <w:r w:rsidRPr="00046858">
              <w:rPr>
                <w:noProof/>
                <w:sz w:val="20"/>
              </w:rPr>
              <w:t>DA/NU</w:t>
            </w:r>
          </w:p>
        </w:tc>
        <w:tc>
          <w:tcPr>
            <w:tcW w:w="1080" w:type="dxa"/>
            <w:vAlign w:val="center"/>
          </w:tcPr>
          <w:p w14:paraId="2DB2F424" w14:textId="77777777" w:rsidR="00A03D5B" w:rsidRPr="00046858" w:rsidRDefault="00A03D5B" w:rsidP="0041561E">
            <w:pPr>
              <w:jc w:val="center"/>
              <w:rPr>
                <w:noProof/>
                <w:sz w:val="20"/>
                <w:szCs w:val="20"/>
              </w:rPr>
            </w:pPr>
            <w:r w:rsidRPr="00046858">
              <w:rPr>
                <w:noProof/>
                <w:sz w:val="20"/>
              </w:rPr>
              <w:t>DA/NU</w:t>
            </w:r>
          </w:p>
        </w:tc>
        <w:tc>
          <w:tcPr>
            <w:tcW w:w="956" w:type="dxa"/>
            <w:vAlign w:val="center"/>
          </w:tcPr>
          <w:p w14:paraId="454CD7FA" w14:textId="77777777" w:rsidR="00A03D5B" w:rsidRPr="00046858" w:rsidRDefault="00A03D5B" w:rsidP="0041561E">
            <w:pPr>
              <w:jc w:val="center"/>
              <w:rPr>
                <w:noProof/>
                <w:sz w:val="20"/>
                <w:szCs w:val="20"/>
              </w:rPr>
            </w:pPr>
            <w:r w:rsidRPr="00046858">
              <w:rPr>
                <w:noProof/>
                <w:sz w:val="20"/>
              </w:rPr>
              <w:t>DA/NU</w:t>
            </w:r>
          </w:p>
        </w:tc>
        <w:tc>
          <w:tcPr>
            <w:tcW w:w="1448" w:type="dxa"/>
            <w:vAlign w:val="center"/>
          </w:tcPr>
          <w:p w14:paraId="300675ED" w14:textId="77777777" w:rsidR="00A03D5B" w:rsidRPr="00046858" w:rsidRDefault="00A03D5B" w:rsidP="0041561E">
            <w:pPr>
              <w:jc w:val="center"/>
              <w:rPr>
                <w:noProof/>
                <w:sz w:val="20"/>
                <w:szCs w:val="20"/>
              </w:rPr>
            </w:pPr>
            <w:r w:rsidRPr="00046858">
              <w:rPr>
                <w:noProof/>
                <w:sz w:val="20"/>
              </w:rPr>
              <w:t>DA/NU</w:t>
            </w:r>
          </w:p>
        </w:tc>
      </w:tr>
      <w:tr w:rsidR="00A03D5B" w:rsidRPr="00046858" w14:paraId="772BEF8F" w14:textId="77777777" w:rsidTr="0041561E">
        <w:trPr>
          <w:jc w:val="center"/>
        </w:trPr>
        <w:tc>
          <w:tcPr>
            <w:tcW w:w="1080" w:type="dxa"/>
            <w:vAlign w:val="center"/>
          </w:tcPr>
          <w:p w14:paraId="6C208495" w14:textId="77777777" w:rsidR="00A03D5B" w:rsidRPr="00046858" w:rsidRDefault="00A03D5B" w:rsidP="0041561E">
            <w:pPr>
              <w:jc w:val="center"/>
              <w:rPr>
                <w:noProof/>
                <w:color w:val="0000FF"/>
              </w:rPr>
            </w:pPr>
          </w:p>
        </w:tc>
        <w:tc>
          <w:tcPr>
            <w:tcW w:w="3960" w:type="dxa"/>
            <w:vAlign w:val="center"/>
          </w:tcPr>
          <w:p w14:paraId="368B49AF" w14:textId="77777777" w:rsidR="00A03D5B" w:rsidRPr="00046858" w:rsidRDefault="00A03D5B" w:rsidP="0041561E">
            <w:pPr>
              <w:spacing w:before="60"/>
              <w:rPr>
                <w:noProof/>
              </w:rPr>
            </w:pPr>
            <w:r w:rsidRPr="00046858">
              <w:rPr>
                <w:noProof/>
                <w:sz w:val="22"/>
              </w:rPr>
              <w:t>[XX.YY.YY.YY]</w:t>
            </w:r>
          </w:p>
          <w:p w14:paraId="18968B3B" w14:textId="77777777" w:rsidR="00A03D5B" w:rsidRPr="00046858" w:rsidRDefault="00A03D5B" w:rsidP="0041561E">
            <w:pPr>
              <w:spacing w:after="60"/>
              <w:rPr>
                <w:noProof/>
                <w:color w:val="0000FF"/>
              </w:rPr>
            </w:pPr>
          </w:p>
        </w:tc>
        <w:tc>
          <w:tcPr>
            <w:tcW w:w="1080" w:type="dxa"/>
            <w:vAlign w:val="center"/>
          </w:tcPr>
          <w:p w14:paraId="626802F0" w14:textId="77777777" w:rsidR="00A03D5B" w:rsidRPr="00046858" w:rsidRDefault="00A03D5B" w:rsidP="0041561E">
            <w:pPr>
              <w:jc w:val="center"/>
              <w:rPr>
                <w:noProof/>
                <w:color w:val="0000FF"/>
              </w:rPr>
            </w:pPr>
            <w:r w:rsidRPr="00046858">
              <w:rPr>
                <w:noProof/>
                <w:sz w:val="22"/>
              </w:rPr>
              <w:t>Dif./Nedif.</w:t>
            </w:r>
          </w:p>
        </w:tc>
        <w:tc>
          <w:tcPr>
            <w:tcW w:w="956" w:type="dxa"/>
            <w:vAlign w:val="center"/>
          </w:tcPr>
          <w:p w14:paraId="4B45AD58" w14:textId="77777777" w:rsidR="00A03D5B" w:rsidRPr="00046858" w:rsidRDefault="00A03D5B" w:rsidP="0041561E">
            <w:pPr>
              <w:jc w:val="center"/>
              <w:rPr>
                <w:noProof/>
                <w:sz w:val="20"/>
                <w:szCs w:val="20"/>
              </w:rPr>
            </w:pPr>
            <w:r w:rsidRPr="00046858">
              <w:rPr>
                <w:noProof/>
                <w:sz w:val="20"/>
              </w:rPr>
              <w:t>DA/NU</w:t>
            </w:r>
          </w:p>
        </w:tc>
        <w:tc>
          <w:tcPr>
            <w:tcW w:w="1080" w:type="dxa"/>
            <w:vAlign w:val="center"/>
          </w:tcPr>
          <w:p w14:paraId="4B17E1FC" w14:textId="77777777" w:rsidR="00A03D5B" w:rsidRPr="00046858" w:rsidRDefault="00A03D5B" w:rsidP="0041561E">
            <w:pPr>
              <w:jc w:val="center"/>
              <w:rPr>
                <w:noProof/>
                <w:color w:val="0000FF"/>
                <w:sz w:val="20"/>
                <w:szCs w:val="20"/>
              </w:rPr>
            </w:pPr>
            <w:r w:rsidRPr="00046858">
              <w:rPr>
                <w:noProof/>
                <w:sz w:val="20"/>
              </w:rPr>
              <w:t>DA/NU</w:t>
            </w:r>
          </w:p>
        </w:tc>
        <w:tc>
          <w:tcPr>
            <w:tcW w:w="956" w:type="dxa"/>
            <w:vAlign w:val="center"/>
          </w:tcPr>
          <w:p w14:paraId="6E45524B" w14:textId="77777777" w:rsidR="00A03D5B" w:rsidRPr="00046858" w:rsidRDefault="00A03D5B" w:rsidP="0041561E">
            <w:pPr>
              <w:jc w:val="center"/>
              <w:rPr>
                <w:noProof/>
                <w:color w:val="0000FF"/>
                <w:sz w:val="20"/>
                <w:szCs w:val="20"/>
              </w:rPr>
            </w:pPr>
            <w:r w:rsidRPr="00046858">
              <w:rPr>
                <w:noProof/>
                <w:sz w:val="20"/>
              </w:rPr>
              <w:t>DA/NU</w:t>
            </w:r>
          </w:p>
        </w:tc>
        <w:tc>
          <w:tcPr>
            <w:tcW w:w="1448" w:type="dxa"/>
            <w:vAlign w:val="center"/>
          </w:tcPr>
          <w:p w14:paraId="7472E79A" w14:textId="77777777" w:rsidR="00A03D5B" w:rsidRPr="00046858" w:rsidRDefault="00A03D5B" w:rsidP="0041561E">
            <w:pPr>
              <w:jc w:val="center"/>
              <w:rPr>
                <w:noProof/>
                <w:sz w:val="20"/>
                <w:szCs w:val="20"/>
              </w:rPr>
            </w:pPr>
            <w:r w:rsidRPr="00046858">
              <w:rPr>
                <w:noProof/>
                <w:sz w:val="20"/>
              </w:rPr>
              <w:t>DA/NU</w:t>
            </w:r>
          </w:p>
        </w:tc>
      </w:tr>
    </w:tbl>
    <w:p w14:paraId="6B924173" w14:textId="77777777" w:rsidR="00A03D5B" w:rsidRPr="00046858" w:rsidRDefault="00A03D5B" w:rsidP="0041561E">
      <w:pPr>
        <w:rPr>
          <w:noProof/>
        </w:rPr>
        <w:sectPr w:rsidR="00A03D5B" w:rsidRPr="00046858" w:rsidSect="0001503D">
          <w:pgSz w:w="11907" w:h="16840" w:code="1"/>
          <w:pgMar w:top="1134" w:right="1418" w:bottom="1134" w:left="1418" w:header="709" w:footer="709" w:gutter="0"/>
          <w:cols w:space="708"/>
          <w:docGrid w:linePitch="360"/>
        </w:sectPr>
      </w:pPr>
    </w:p>
    <w:p w14:paraId="64E5C665" w14:textId="77777777" w:rsidR="00A03D5B" w:rsidRPr="00046858" w:rsidRDefault="00A03D5B" w:rsidP="0041561E">
      <w:pPr>
        <w:pStyle w:val="ManualHeading2"/>
        <w:rPr>
          <w:bCs/>
          <w:noProof/>
          <w:szCs w:val="24"/>
        </w:rPr>
      </w:pPr>
      <w:r w:rsidRPr="00046858">
        <w:rPr>
          <w:noProof/>
        </w:rPr>
        <w:t>3.2.</w:t>
      </w:r>
      <w:r w:rsidRPr="00046858">
        <w:rPr>
          <w:noProof/>
        </w:rPr>
        <w:tab/>
        <w:t xml:space="preserve">Impactul financiar estimat al propunerii asupra creditelor </w:t>
      </w:r>
    </w:p>
    <w:p w14:paraId="5DF90700" w14:textId="77777777" w:rsidR="00A03D5B" w:rsidRPr="00046858" w:rsidRDefault="00A03D5B" w:rsidP="0041561E">
      <w:pPr>
        <w:pStyle w:val="ManualHeading3"/>
        <w:rPr>
          <w:noProof/>
        </w:rPr>
      </w:pPr>
      <w:r w:rsidRPr="00046858">
        <w:rPr>
          <w:noProof/>
        </w:rPr>
        <w:t>3.2.1.</w:t>
      </w:r>
      <w:r w:rsidRPr="00046858">
        <w:rPr>
          <w:noProof/>
        </w:rPr>
        <w:tab/>
        <w:t xml:space="preserve">Sinteza impactului estimat asupra creditelor operaționale </w:t>
      </w:r>
    </w:p>
    <w:p w14:paraId="358E83EF" w14:textId="77777777" w:rsidR="00A03D5B" w:rsidRPr="00046858" w:rsidRDefault="00A03D5B" w:rsidP="00C67F54">
      <w:pPr>
        <w:pStyle w:val="ListDash1"/>
        <w:ind w:left="1134" w:hanging="283"/>
        <w:rPr>
          <w:noProof/>
        </w:rPr>
      </w:pPr>
      <w:r w:rsidRPr="00046858">
        <w:rPr>
          <w:rFonts w:ascii="Wingdings" w:hAnsi="Wingdings"/>
          <w:noProof/>
        </w:rPr>
        <w:t></w:t>
      </w:r>
      <w:r w:rsidRPr="00046858">
        <w:rPr>
          <w:noProof/>
        </w:rPr>
        <w:tab/>
        <w:t xml:space="preserve">Propunerea/inițiativa nu implică utilizarea de credite operaționale </w:t>
      </w:r>
    </w:p>
    <w:p w14:paraId="3768481C" w14:textId="77777777" w:rsidR="00A03D5B" w:rsidRPr="00046858" w:rsidRDefault="00C67F54" w:rsidP="00C67F54">
      <w:pPr>
        <w:pStyle w:val="ListDash1"/>
        <w:ind w:left="1134" w:hanging="283"/>
        <w:rPr>
          <w:noProof/>
        </w:rPr>
      </w:pPr>
      <w:r w:rsidRPr="00046858">
        <w:rPr>
          <w:rFonts w:ascii="Wingdings" w:hAnsi="Wingdings"/>
          <w:noProof/>
          <w:sz w:val="22"/>
        </w:rPr>
        <w:t></w:t>
      </w:r>
      <w:r w:rsidRPr="00046858">
        <w:rPr>
          <w:noProof/>
        </w:rPr>
        <w:tab/>
        <w:t>Propunerea/inițiativa implică utilizarea de credite operaționale, conform explicațiilor de mai jos</w:t>
      </w:r>
    </w:p>
    <w:p w14:paraId="36A31D4F" w14:textId="77777777" w:rsidR="00A03D5B" w:rsidRPr="00046858" w:rsidRDefault="00A03D5B" w:rsidP="0041561E">
      <w:pPr>
        <w:pStyle w:val="ManualHeading3"/>
        <w:rPr>
          <w:noProof/>
        </w:rPr>
      </w:pPr>
      <w:bookmarkStart w:id="132" w:name="_Toc221194335"/>
      <w:r w:rsidRPr="00046858">
        <w:rPr>
          <w:noProof/>
        </w:rPr>
        <w:t>3.2.1.1.</w:t>
      </w:r>
      <w:r w:rsidRPr="00046858">
        <w:rPr>
          <w:noProof/>
        </w:rPr>
        <w:tab/>
        <w:t>Credite din bugetul votat</w:t>
      </w:r>
      <w:bookmarkEnd w:id="132"/>
    </w:p>
    <w:p w14:paraId="2AA82FF3" w14:textId="77777777" w:rsidR="00A03D5B" w:rsidRPr="00046858" w:rsidRDefault="00A03D5B" w:rsidP="0041561E">
      <w:pPr>
        <w:jc w:val="right"/>
        <w:rPr>
          <w:noProof/>
          <w:sz w:val="18"/>
          <w:szCs w:val="18"/>
        </w:rPr>
      </w:pPr>
      <w:r w:rsidRPr="00046858">
        <w:rPr>
          <w:noProof/>
          <w:sz w:val="18"/>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C67F54" w:rsidRPr="00046858" w14:paraId="38A61F22" w14:textId="77777777">
        <w:tc>
          <w:tcPr>
            <w:tcW w:w="1739" w:type="pct"/>
            <w:shd w:val="thinDiagStripe" w:color="C0C0C0" w:fill="auto"/>
            <w:vAlign w:val="center"/>
          </w:tcPr>
          <w:p w14:paraId="1144455D" w14:textId="77777777" w:rsidR="00C67F54" w:rsidRPr="00046858" w:rsidRDefault="00C67F54">
            <w:pPr>
              <w:spacing w:before="60" w:after="60"/>
              <w:jc w:val="center"/>
              <w:rPr>
                <w:b/>
                <w:noProof/>
              </w:rPr>
            </w:pPr>
            <w:r w:rsidRPr="00046858">
              <w:rPr>
                <w:b/>
                <w:noProof/>
                <w:sz w:val="22"/>
              </w:rPr>
              <w:t xml:space="preserve">Rubrica din cadrul financiar multianual </w:t>
            </w:r>
          </w:p>
        </w:tc>
        <w:tc>
          <w:tcPr>
            <w:tcW w:w="396" w:type="pct"/>
            <w:vAlign w:val="center"/>
          </w:tcPr>
          <w:p w14:paraId="0325AA39" w14:textId="77777777" w:rsidR="00C67F54" w:rsidRPr="00046858" w:rsidRDefault="00C67F54">
            <w:pPr>
              <w:spacing w:before="60" w:after="60"/>
              <w:jc w:val="center"/>
              <w:rPr>
                <w:noProof/>
              </w:rPr>
            </w:pPr>
            <w:r w:rsidRPr="00046858">
              <w:rPr>
                <w:noProof/>
                <w:sz w:val="22"/>
              </w:rPr>
              <w:t>Numărul</w:t>
            </w:r>
          </w:p>
        </w:tc>
        <w:tc>
          <w:tcPr>
            <w:tcW w:w="2865" w:type="pct"/>
            <w:vAlign w:val="center"/>
          </w:tcPr>
          <w:p w14:paraId="57001157" w14:textId="77777777" w:rsidR="00C67F54" w:rsidRPr="00046858" w:rsidRDefault="00C67F54">
            <w:pPr>
              <w:spacing w:before="60" w:after="60"/>
              <w:rPr>
                <w:noProof/>
              </w:rPr>
            </w:pPr>
            <w:r w:rsidRPr="00046858">
              <w:rPr>
                <w:noProof/>
              </w:rPr>
              <w:t>2</w:t>
            </w:r>
          </w:p>
        </w:tc>
      </w:tr>
    </w:tbl>
    <w:p w14:paraId="580534BD" w14:textId="77777777" w:rsidR="00A03D5B" w:rsidRPr="00046858" w:rsidRDefault="00A03D5B" w:rsidP="0041561E">
      <w:pPr>
        <w:rPr>
          <w:noProof/>
          <w:sz w:val="16"/>
        </w:rPr>
      </w:pPr>
    </w:p>
    <w:tbl>
      <w:tblPr>
        <w:tblW w:w="4574" w:type="pct"/>
        <w:tblLayout w:type="fixed"/>
        <w:tblLook w:val="04A0" w:firstRow="1" w:lastRow="0" w:firstColumn="1" w:lastColumn="0" w:noHBand="0" w:noVBand="1"/>
      </w:tblPr>
      <w:tblGrid>
        <w:gridCol w:w="1454"/>
        <w:gridCol w:w="224"/>
        <w:gridCol w:w="135"/>
        <w:gridCol w:w="250"/>
        <w:gridCol w:w="476"/>
        <w:gridCol w:w="400"/>
        <w:gridCol w:w="49"/>
        <w:gridCol w:w="406"/>
        <w:gridCol w:w="538"/>
        <w:gridCol w:w="252"/>
        <w:gridCol w:w="856"/>
        <w:gridCol w:w="143"/>
        <w:gridCol w:w="705"/>
        <w:gridCol w:w="148"/>
        <w:gridCol w:w="138"/>
        <w:gridCol w:w="554"/>
        <w:gridCol w:w="304"/>
        <w:gridCol w:w="132"/>
        <w:gridCol w:w="403"/>
        <w:gridCol w:w="135"/>
        <w:gridCol w:w="713"/>
        <w:gridCol w:w="856"/>
        <w:gridCol w:w="148"/>
        <w:gridCol w:w="700"/>
        <w:gridCol w:w="135"/>
        <w:gridCol w:w="161"/>
        <w:gridCol w:w="544"/>
        <w:gridCol w:w="461"/>
        <w:gridCol w:w="1000"/>
        <w:gridCol w:w="352"/>
        <w:gridCol w:w="236"/>
      </w:tblGrid>
      <w:tr w:rsidR="00C67F54" w:rsidRPr="00046858" w14:paraId="1CBBAE9B" w14:textId="77777777" w:rsidTr="00160B23">
        <w:trPr>
          <w:gridAfter w:val="1"/>
          <w:wAfter w:w="1212" w:type="dxa"/>
          <w:trHeight w:val="410"/>
        </w:trPr>
        <w:tc>
          <w:tcPr>
            <w:tcW w:w="1638" w:type="pct"/>
            <w:gridSpan w:val="10"/>
            <w:vMerge w:val="restart"/>
            <w:tcBorders>
              <w:top w:val="single" w:sz="8" w:space="0" w:color="auto"/>
              <w:left w:val="single" w:sz="8" w:space="0" w:color="auto"/>
              <w:bottom w:val="single" w:sz="8" w:space="0" w:color="000000"/>
              <w:right w:val="single" w:sz="8" w:space="0" w:color="000000"/>
            </w:tcBorders>
            <w:vAlign w:val="center"/>
            <w:hideMark/>
          </w:tcPr>
          <w:p w14:paraId="5AC52B3F" w14:textId="77777777" w:rsidR="00C67F54" w:rsidRPr="00046858" w:rsidRDefault="00C67F54">
            <w:pPr>
              <w:spacing w:before="0" w:after="0"/>
              <w:jc w:val="center"/>
              <w:rPr>
                <w:rFonts w:eastAsia="Times New Roman"/>
                <w:noProof/>
                <w:color w:val="000000"/>
                <w:sz w:val="22"/>
              </w:rPr>
            </w:pPr>
            <w:r w:rsidRPr="00046858">
              <w:rPr>
                <w:noProof/>
                <w:color w:val="000000"/>
                <w:sz w:val="22"/>
              </w:rPr>
              <w:t>DG CNECT</w:t>
            </w:r>
          </w:p>
        </w:tc>
        <w:tc>
          <w:tcPr>
            <w:tcW w:w="332" w:type="pct"/>
            <w:tcBorders>
              <w:top w:val="single" w:sz="8" w:space="0" w:color="auto"/>
              <w:left w:val="nil"/>
              <w:right w:val="single" w:sz="8" w:space="0" w:color="auto"/>
            </w:tcBorders>
            <w:vAlign w:val="center"/>
            <w:hideMark/>
          </w:tcPr>
          <w:p w14:paraId="59190200"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Anul</w:t>
            </w:r>
          </w:p>
        </w:tc>
        <w:tc>
          <w:tcPr>
            <w:tcW w:w="332" w:type="pct"/>
            <w:gridSpan w:val="2"/>
            <w:tcBorders>
              <w:top w:val="single" w:sz="8" w:space="0" w:color="auto"/>
              <w:left w:val="nil"/>
              <w:right w:val="single" w:sz="8" w:space="0" w:color="auto"/>
            </w:tcBorders>
            <w:vAlign w:val="center"/>
            <w:hideMark/>
          </w:tcPr>
          <w:p w14:paraId="2F6EAC58"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Anul</w:t>
            </w:r>
          </w:p>
        </w:tc>
        <w:tc>
          <w:tcPr>
            <w:tcW w:w="332" w:type="pct"/>
            <w:gridSpan w:val="3"/>
            <w:tcBorders>
              <w:top w:val="single" w:sz="8" w:space="0" w:color="auto"/>
              <w:left w:val="nil"/>
              <w:right w:val="single" w:sz="8" w:space="0" w:color="auto"/>
            </w:tcBorders>
            <w:vAlign w:val="center"/>
            <w:hideMark/>
          </w:tcPr>
          <w:p w14:paraId="43D6667D"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Anul</w:t>
            </w:r>
          </w:p>
        </w:tc>
        <w:tc>
          <w:tcPr>
            <w:tcW w:w="332" w:type="pct"/>
            <w:gridSpan w:val="3"/>
            <w:tcBorders>
              <w:top w:val="single" w:sz="8" w:space="0" w:color="auto"/>
              <w:left w:val="nil"/>
              <w:right w:val="single" w:sz="8" w:space="0" w:color="auto"/>
            </w:tcBorders>
            <w:vAlign w:val="center"/>
            <w:hideMark/>
          </w:tcPr>
          <w:p w14:paraId="13269DEF"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Anul</w:t>
            </w:r>
          </w:p>
        </w:tc>
        <w:tc>
          <w:tcPr>
            <w:tcW w:w="332" w:type="pct"/>
            <w:gridSpan w:val="2"/>
            <w:tcBorders>
              <w:top w:val="single" w:sz="8" w:space="0" w:color="auto"/>
              <w:left w:val="nil"/>
              <w:right w:val="single" w:sz="8" w:space="0" w:color="auto"/>
            </w:tcBorders>
            <w:vAlign w:val="center"/>
            <w:hideMark/>
          </w:tcPr>
          <w:p w14:paraId="4B85891B"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Anul</w:t>
            </w:r>
          </w:p>
        </w:tc>
        <w:tc>
          <w:tcPr>
            <w:tcW w:w="332" w:type="pct"/>
            <w:tcBorders>
              <w:top w:val="single" w:sz="8" w:space="0" w:color="auto"/>
              <w:left w:val="nil"/>
              <w:right w:val="single" w:sz="8" w:space="0" w:color="auto"/>
            </w:tcBorders>
            <w:vAlign w:val="center"/>
            <w:hideMark/>
          </w:tcPr>
          <w:p w14:paraId="5CE99BE3"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Anul</w:t>
            </w:r>
          </w:p>
        </w:tc>
        <w:tc>
          <w:tcPr>
            <w:tcW w:w="332" w:type="pct"/>
            <w:gridSpan w:val="2"/>
            <w:tcBorders>
              <w:top w:val="single" w:sz="8" w:space="0" w:color="auto"/>
              <w:left w:val="nil"/>
              <w:right w:val="single" w:sz="8" w:space="0" w:color="auto"/>
            </w:tcBorders>
            <w:vAlign w:val="center"/>
            <w:hideMark/>
          </w:tcPr>
          <w:p w14:paraId="090E2D75"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Anul</w:t>
            </w:r>
          </w:p>
        </w:tc>
        <w:tc>
          <w:tcPr>
            <w:tcW w:w="332" w:type="pct"/>
            <w:gridSpan w:val="3"/>
            <w:tcBorders>
              <w:top w:val="single" w:sz="8" w:space="0" w:color="auto"/>
              <w:left w:val="single" w:sz="8" w:space="0" w:color="auto"/>
              <w:right w:val="single" w:sz="8" w:space="0" w:color="auto"/>
            </w:tcBorders>
            <w:vAlign w:val="center"/>
          </w:tcPr>
          <w:p w14:paraId="7FF29ABF"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După</w:t>
            </w:r>
          </w:p>
        </w:tc>
        <w:tc>
          <w:tcPr>
            <w:tcW w:w="705" w:type="pct"/>
            <w:gridSpan w:val="3"/>
            <w:vMerge w:val="restart"/>
            <w:tcBorders>
              <w:top w:val="single" w:sz="8" w:space="0" w:color="auto"/>
              <w:left w:val="single" w:sz="8" w:space="0" w:color="auto"/>
              <w:bottom w:val="single" w:sz="8" w:space="0" w:color="000000"/>
              <w:right w:val="single" w:sz="8" w:space="0" w:color="auto"/>
            </w:tcBorders>
            <w:vAlign w:val="center"/>
            <w:hideMark/>
          </w:tcPr>
          <w:p w14:paraId="192788E6" w14:textId="77777777" w:rsidR="00C67F54" w:rsidRPr="00046858" w:rsidRDefault="00C67F54">
            <w:pPr>
              <w:spacing w:before="0" w:after="0"/>
              <w:jc w:val="center"/>
              <w:rPr>
                <w:rFonts w:eastAsia="Times New Roman"/>
                <w:b/>
                <w:bCs/>
                <w:noProof/>
                <w:color w:val="000000"/>
                <w:sz w:val="20"/>
                <w:szCs w:val="20"/>
              </w:rPr>
            </w:pPr>
            <w:r w:rsidRPr="00046858">
              <w:rPr>
                <w:b/>
                <w:noProof/>
                <w:color w:val="000000"/>
                <w:sz w:val="20"/>
              </w:rPr>
              <w:t>TOTAL CFM 2028-2034</w:t>
            </w:r>
          </w:p>
        </w:tc>
      </w:tr>
      <w:tr w:rsidR="00C67F54" w:rsidRPr="00046858" w14:paraId="43611043" w14:textId="77777777" w:rsidTr="00160B23">
        <w:trPr>
          <w:gridAfter w:val="1"/>
          <w:wAfter w:w="1212" w:type="dxa"/>
          <w:trHeight w:val="300"/>
        </w:trPr>
        <w:tc>
          <w:tcPr>
            <w:tcW w:w="1638" w:type="pct"/>
            <w:gridSpan w:val="10"/>
            <w:vMerge/>
            <w:tcBorders>
              <w:top w:val="single" w:sz="8" w:space="0" w:color="auto"/>
              <w:left w:val="single" w:sz="8" w:space="0" w:color="auto"/>
              <w:bottom w:val="single" w:sz="8" w:space="0" w:color="000000"/>
              <w:right w:val="single" w:sz="8" w:space="0" w:color="000000"/>
            </w:tcBorders>
            <w:vAlign w:val="center"/>
            <w:hideMark/>
          </w:tcPr>
          <w:p w14:paraId="67263BFC" w14:textId="77777777" w:rsidR="00C67F54" w:rsidRPr="00046858" w:rsidRDefault="00C67F54">
            <w:pPr>
              <w:spacing w:before="0" w:after="0"/>
              <w:jc w:val="left"/>
              <w:rPr>
                <w:rFonts w:eastAsia="Times New Roman"/>
                <w:noProof/>
                <w:color w:val="000000"/>
                <w:sz w:val="22"/>
                <w:lang w:eastAsia="en-IE"/>
              </w:rPr>
            </w:pPr>
          </w:p>
        </w:tc>
        <w:tc>
          <w:tcPr>
            <w:tcW w:w="332" w:type="pct"/>
            <w:tcBorders>
              <w:left w:val="nil"/>
              <w:bottom w:val="single" w:sz="8" w:space="0" w:color="auto"/>
              <w:right w:val="single" w:sz="8" w:space="0" w:color="auto"/>
            </w:tcBorders>
            <w:vAlign w:val="center"/>
            <w:hideMark/>
          </w:tcPr>
          <w:p w14:paraId="40D81DEB" w14:textId="77777777" w:rsidR="00C67F54" w:rsidRPr="00046858" w:rsidRDefault="00C67F54">
            <w:pPr>
              <w:spacing w:before="0" w:after="0"/>
              <w:jc w:val="center"/>
              <w:rPr>
                <w:rFonts w:eastAsia="Times New Roman"/>
                <w:b/>
                <w:bCs/>
                <w:noProof/>
                <w:color w:val="000000"/>
                <w:sz w:val="20"/>
                <w:szCs w:val="20"/>
              </w:rPr>
            </w:pPr>
            <w:r w:rsidRPr="00046858">
              <w:rPr>
                <w:b/>
                <w:noProof/>
                <w:color w:val="000000"/>
                <w:sz w:val="20"/>
              </w:rPr>
              <w:t>2028</w:t>
            </w:r>
          </w:p>
        </w:tc>
        <w:tc>
          <w:tcPr>
            <w:tcW w:w="332" w:type="pct"/>
            <w:gridSpan w:val="2"/>
            <w:tcBorders>
              <w:left w:val="nil"/>
              <w:bottom w:val="single" w:sz="8" w:space="0" w:color="auto"/>
              <w:right w:val="single" w:sz="8" w:space="0" w:color="auto"/>
            </w:tcBorders>
            <w:vAlign w:val="center"/>
            <w:hideMark/>
          </w:tcPr>
          <w:p w14:paraId="3E00A560" w14:textId="77777777" w:rsidR="00C67F54" w:rsidRPr="00046858" w:rsidRDefault="00C67F54">
            <w:pPr>
              <w:spacing w:before="0" w:after="0"/>
              <w:jc w:val="center"/>
              <w:rPr>
                <w:rFonts w:eastAsia="Times New Roman"/>
                <w:b/>
                <w:bCs/>
                <w:noProof/>
                <w:color w:val="000000"/>
                <w:sz w:val="20"/>
                <w:szCs w:val="20"/>
              </w:rPr>
            </w:pPr>
            <w:r w:rsidRPr="00046858">
              <w:rPr>
                <w:b/>
                <w:noProof/>
                <w:color w:val="000000"/>
                <w:sz w:val="20"/>
              </w:rPr>
              <w:t>2029</w:t>
            </w:r>
          </w:p>
        </w:tc>
        <w:tc>
          <w:tcPr>
            <w:tcW w:w="332" w:type="pct"/>
            <w:gridSpan w:val="3"/>
            <w:tcBorders>
              <w:left w:val="nil"/>
              <w:bottom w:val="single" w:sz="8" w:space="0" w:color="auto"/>
              <w:right w:val="single" w:sz="8" w:space="0" w:color="auto"/>
            </w:tcBorders>
            <w:vAlign w:val="center"/>
            <w:hideMark/>
          </w:tcPr>
          <w:p w14:paraId="39D52805" w14:textId="77777777" w:rsidR="00C67F54" w:rsidRPr="00046858" w:rsidRDefault="00C67F54">
            <w:pPr>
              <w:spacing w:before="0" w:after="0"/>
              <w:jc w:val="center"/>
              <w:rPr>
                <w:rFonts w:eastAsia="Times New Roman"/>
                <w:b/>
                <w:bCs/>
                <w:noProof/>
                <w:color w:val="000000"/>
                <w:sz w:val="20"/>
                <w:szCs w:val="20"/>
              </w:rPr>
            </w:pPr>
            <w:r w:rsidRPr="00046858">
              <w:rPr>
                <w:b/>
                <w:noProof/>
                <w:color w:val="000000"/>
                <w:sz w:val="20"/>
              </w:rPr>
              <w:t>2030</w:t>
            </w:r>
          </w:p>
        </w:tc>
        <w:tc>
          <w:tcPr>
            <w:tcW w:w="332" w:type="pct"/>
            <w:gridSpan w:val="3"/>
            <w:tcBorders>
              <w:left w:val="nil"/>
              <w:bottom w:val="single" w:sz="8" w:space="0" w:color="auto"/>
              <w:right w:val="single" w:sz="8" w:space="0" w:color="auto"/>
            </w:tcBorders>
            <w:vAlign w:val="center"/>
            <w:hideMark/>
          </w:tcPr>
          <w:p w14:paraId="416D20FB" w14:textId="77777777" w:rsidR="00C67F54" w:rsidRPr="00046858" w:rsidRDefault="00C67F54">
            <w:pPr>
              <w:spacing w:before="0" w:after="0"/>
              <w:jc w:val="center"/>
              <w:rPr>
                <w:rFonts w:eastAsia="Times New Roman"/>
                <w:b/>
                <w:bCs/>
                <w:noProof/>
                <w:color w:val="000000"/>
                <w:sz w:val="20"/>
                <w:szCs w:val="20"/>
              </w:rPr>
            </w:pPr>
            <w:r w:rsidRPr="00046858">
              <w:rPr>
                <w:b/>
                <w:noProof/>
                <w:color w:val="000000"/>
                <w:sz w:val="20"/>
              </w:rPr>
              <w:t>2031</w:t>
            </w:r>
          </w:p>
        </w:tc>
        <w:tc>
          <w:tcPr>
            <w:tcW w:w="332" w:type="pct"/>
            <w:gridSpan w:val="2"/>
            <w:tcBorders>
              <w:left w:val="nil"/>
              <w:bottom w:val="single" w:sz="8" w:space="0" w:color="auto"/>
              <w:right w:val="single" w:sz="8" w:space="0" w:color="auto"/>
            </w:tcBorders>
            <w:vAlign w:val="center"/>
            <w:hideMark/>
          </w:tcPr>
          <w:p w14:paraId="12971CDF" w14:textId="77777777" w:rsidR="00C67F54" w:rsidRPr="00046858" w:rsidRDefault="00C67F54">
            <w:pPr>
              <w:spacing w:before="0" w:after="0"/>
              <w:jc w:val="center"/>
              <w:rPr>
                <w:rFonts w:eastAsia="Times New Roman"/>
                <w:b/>
                <w:bCs/>
                <w:noProof/>
                <w:color w:val="000000"/>
                <w:sz w:val="20"/>
                <w:szCs w:val="20"/>
              </w:rPr>
            </w:pPr>
            <w:r w:rsidRPr="00046858">
              <w:rPr>
                <w:b/>
                <w:noProof/>
                <w:color w:val="000000"/>
                <w:sz w:val="20"/>
              </w:rPr>
              <w:t>2032</w:t>
            </w:r>
          </w:p>
        </w:tc>
        <w:tc>
          <w:tcPr>
            <w:tcW w:w="332" w:type="pct"/>
            <w:tcBorders>
              <w:left w:val="nil"/>
              <w:bottom w:val="single" w:sz="8" w:space="0" w:color="auto"/>
              <w:right w:val="single" w:sz="8" w:space="0" w:color="auto"/>
            </w:tcBorders>
            <w:vAlign w:val="center"/>
            <w:hideMark/>
          </w:tcPr>
          <w:p w14:paraId="4A3B48C4" w14:textId="77777777" w:rsidR="00C67F54" w:rsidRPr="00046858" w:rsidRDefault="00C67F54">
            <w:pPr>
              <w:spacing w:before="0" w:after="0"/>
              <w:jc w:val="center"/>
              <w:rPr>
                <w:rFonts w:eastAsia="Times New Roman"/>
                <w:b/>
                <w:bCs/>
                <w:noProof/>
                <w:color w:val="000000"/>
                <w:sz w:val="20"/>
                <w:szCs w:val="20"/>
              </w:rPr>
            </w:pPr>
            <w:r w:rsidRPr="00046858">
              <w:rPr>
                <w:b/>
                <w:noProof/>
                <w:color w:val="000000"/>
                <w:sz w:val="20"/>
              </w:rPr>
              <w:t>2033</w:t>
            </w:r>
          </w:p>
        </w:tc>
        <w:tc>
          <w:tcPr>
            <w:tcW w:w="332" w:type="pct"/>
            <w:gridSpan w:val="2"/>
            <w:tcBorders>
              <w:left w:val="nil"/>
              <w:bottom w:val="single" w:sz="8" w:space="0" w:color="auto"/>
              <w:right w:val="single" w:sz="8" w:space="0" w:color="auto"/>
            </w:tcBorders>
            <w:vAlign w:val="center"/>
            <w:hideMark/>
          </w:tcPr>
          <w:p w14:paraId="5F63520E" w14:textId="77777777" w:rsidR="00C67F54" w:rsidRPr="00046858" w:rsidRDefault="00C67F54">
            <w:pPr>
              <w:spacing w:before="0" w:after="0"/>
              <w:jc w:val="center"/>
              <w:rPr>
                <w:rFonts w:eastAsia="Times New Roman"/>
                <w:b/>
                <w:bCs/>
                <w:noProof/>
                <w:color w:val="000000"/>
                <w:sz w:val="20"/>
                <w:szCs w:val="20"/>
              </w:rPr>
            </w:pPr>
            <w:r w:rsidRPr="00046858">
              <w:rPr>
                <w:b/>
                <w:noProof/>
                <w:color w:val="000000"/>
                <w:sz w:val="20"/>
              </w:rPr>
              <w:t>2034</w:t>
            </w:r>
          </w:p>
        </w:tc>
        <w:tc>
          <w:tcPr>
            <w:tcW w:w="332" w:type="pct"/>
            <w:gridSpan w:val="3"/>
            <w:tcBorders>
              <w:left w:val="single" w:sz="8" w:space="0" w:color="auto"/>
              <w:bottom w:val="single" w:sz="8" w:space="0" w:color="000000"/>
              <w:right w:val="single" w:sz="8" w:space="0" w:color="auto"/>
            </w:tcBorders>
            <w:vAlign w:val="center"/>
          </w:tcPr>
          <w:p w14:paraId="004FCE8A" w14:textId="77777777" w:rsidR="00C67F54" w:rsidRPr="00046858" w:rsidRDefault="00C67F54">
            <w:pPr>
              <w:spacing w:before="0" w:after="0"/>
              <w:jc w:val="center"/>
              <w:rPr>
                <w:rFonts w:eastAsia="Times New Roman"/>
                <w:b/>
                <w:bCs/>
                <w:noProof/>
                <w:color w:val="000000"/>
                <w:sz w:val="20"/>
                <w:szCs w:val="20"/>
              </w:rPr>
            </w:pPr>
            <w:r w:rsidRPr="00046858">
              <w:rPr>
                <w:b/>
                <w:noProof/>
                <w:color w:val="000000"/>
                <w:sz w:val="20"/>
              </w:rPr>
              <w:t>2034</w:t>
            </w:r>
          </w:p>
        </w:tc>
        <w:tc>
          <w:tcPr>
            <w:tcW w:w="705" w:type="pct"/>
            <w:gridSpan w:val="3"/>
            <w:vMerge/>
            <w:tcBorders>
              <w:top w:val="single" w:sz="8" w:space="0" w:color="auto"/>
              <w:left w:val="single" w:sz="8" w:space="0" w:color="auto"/>
              <w:bottom w:val="single" w:sz="8" w:space="0" w:color="000000"/>
              <w:right w:val="single" w:sz="8" w:space="0" w:color="auto"/>
            </w:tcBorders>
            <w:vAlign w:val="center"/>
            <w:hideMark/>
          </w:tcPr>
          <w:p w14:paraId="10B32362" w14:textId="77777777" w:rsidR="00C67F54" w:rsidRPr="00046858" w:rsidRDefault="00C67F54">
            <w:pPr>
              <w:spacing w:before="0" w:after="0"/>
              <w:jc w:val="left"/>
              <w:rPr>
                <w:rFonts w:eastAsia="Times New Roman"/>
                <w:b/>
                <w:bCs/>
                <w:noProof/>
                <w:color w:val="000000"/>
                <w:sz w:val="20"/>
                <w:szCs w:val="20"/>
                <w:lang w:eastAsia="en-IE"/>
              </w:rPr>
            </w:pPr>
          </w:p>
        </w:tc>
      </w:tr>
      <w:tr w:rsidR="00C67F54" w:rsidRPr="00046858" w14:paraId="5B1FDC01" w14:textId="77777777">
        <w:trPr>
          <w:gridAfter w:val="1"/>
          <w:wAfter w:w="1212" w:type="dxa"/>
          <w:trHeight w:val="300"/>
        </w:trPr>
        <w:tc>
          <w:tcPr>
            <w:tcW w:w="805" w:type="pct"/>
            <w:gridSpan w:val="4"/>
            <w:tcBorders>
              <w:top w:val="single" w:sz="8" w:space="0" w:color="auto"/>
              <w:left w:val="single" w:sz="8" w:space="0" w:color="auto"/>
              <w:bottom w:val="single" w:sz="8" w:space="0" w:color="auto"/>
              <w:right w:val="single" w:sz="8" w:space="0" w:color="000000"/>
            </w:tcBorders>
          </w:tcPr>
          <w:p w14:paraId="7DB9C23E" w14:textId="77777777" w:rsidR="00C67F54" w:rsidRPr="00046858" w:rsidRDefault="00C67F54">
            <w:pPr>
              <w:spacing w:before="0" w:after="0"/>
              <w:jc w:val="left"/>
              <w:rPr>
                <w:rFonts w:eastAsia="Times New Roman"/>
                <w:noProof/>
                <w:color w:val="000000"/>
                <w:sz w:val="21"/>
                <w:szCs w:val="21"/>
                <w:lang w:eastAsia="en-IE"/>
              </w:rPr>
            </w:pPr>
          </w:p>
        </w:tc>
        <w:tc>
          <w:tcPr>
            <w:tcW w:w="4195" w:type="pct"/>
            <w:gridSpan w:val="26"/>
            <w:tcBorders>
              <w:top w:val="single" w:sz="8" w:space="0" w:color="auto"/>
              <w:left w:val="single" w:sz="8" w:space="0" w:color="auto"/>
              <w:bottom w:val="single" w:sz="8" w:space="0" w:color="auto"/>
              <w:right w:val="single" w:sz="8" w:space="0" w:color="000000"/>
            </w:tcBorders>
            <w:vAlign w:val="center"/>
            <w:hideMark/>
          </w:tcPr>
          <w:p w14:paraId="5A5DCA1F" w14:textId="77777777" w:rsidR="00C67F54" w:rsidRPr="00046858" w:rsidRDefault="00C67F54">
            <w:pPr>
              <w:spacing w:before="0" w:after="0"/>
              <w:jc w:val="left"/>
              <w:rPr>
                <w:rFonts w:eastAsia="Times New Roman"/>
                <w:noProof/>
                <w:color w:val="000000"/>
                <w:sz w:val="21"/>
                <w:szCs w:val="21"/>
              </w:rPr>
            </w:pPr>
            <w:r w:rsidRPr="00046858">
              <w:rPr>
                <w:noProof/>
                <w:color w:val="000000"/>
                <w:sz w:val="21"/>
              </w:rPr>
              <w:t xml:space="preserve">Credite operaționale </w:t>
            </w:r>
          </w:p>
        </w:tc>
      </w:tr>
      <w:tr w:rsidR="00C67F54" w:rsidRPr="00046858" w14:paraId="6E5D0273" w14:textId="77777777">
        <w:trPr>
          <w:gridAfter w:val="1"/>
          <w:wAfter w:w="1212" w:type="dxa"/>
          <w:trHeight w:val="470"/>
        </w:trPr>
        <w:tc>
          <w:tcPr>
            <w:tcW w:w="805" w:type="pct"/>
            <w:gridSpan w:val="4"/>
            <w:vMerge w:val="restart"/>
            <w:tcBorders>
              <w:top w:val="nil"/>
              <w:left w:val="single" w:sz="8" w:space="0" w:color="auto"/>
              <w:bottom w:val="single" w:sz="8" w:space="0" w:color="000000"/>
              <w:right w:val="single" w:sz="8" w:space="0" w:color="auto"/>
            </w:tcBorders>
            <w:noWrap/>
            <w:vAlign w:val="center"/>
            <w:hideMark/>
          </w:tcPr>
          <w:p w14:paraId="7047FCE9" w14:textId="77777777" w:rsidR="00C67F54" w:rsidRPr="00046858" w:rsidRDefault="00C67F54">
            <w:pPr>
              <w:spacing w:before="0" w:after="0"/>
              <w:jc w:val="left"/>
              <w:rPr>
                <w:rFonts w:eastAsia="Times New Roman"/>
                <w:noProof/>
                <w:color w:val="000000"/>
                <w:sz w:val="22"/>
              </w:rPr>
            </w:pPr>
            <w:r w:rsidRPr="00046858">
              <w:rPr>
                <w:noProof/>
                <w:color w:val="000000"/>
                <w:sz w:val="22"/>
              </w:rPr>
              <w:t>Linia bugetară [FEC]</w:t>
            </w:r>
          </w:p>
        </w:tc>
        <w:tc>
          <w:tcPr>
            <w:tcW w:w="524" w:type="pct"/>
            <w:gridSpan w:val="4"/>
            <w:tcBorders>
              <w:top w:val="nil"/>
              <w:left w:val="nil"/>
              <w:bottom w:val="single" w:sz="8" w:space="0" w:color="auto"/>
              <w:right w:val="single" w:sz="8" w:space="0" w:color="auto"/>
            </w:tcBorders>
            <w:vAlign w:val="center"/>
            <w:hideMark/>
          </w:tcPr>
          <w:p w14:paraId="14BE5BBA" w14:textId="77777777" w:rsidR="00C67F54" w:rsidRPr="00046858" w:rsidRDefault="00C67F54">
            <w:pPr>
              <w:spacing w:before="0" w:after="0"/>
              <w:rPr>
                <w:rFonts w:eastAsia="Times New Roman"/>
                <w:noProof/>
                <w:color w:val="000000"/>
                <w:sz w:val="18"/>
                <w:szCs w:val="18"/>
              </w:rPr>
            </w:pPr>
            <w:r w:rsidRPr="00046858">
              <w:rPr>
                <w:noProof/>
                <w:color w:val="000000"/>
                <w:sz w:val="18"/>
              </w:rPr>
              <w:t>Angajamente</w:t>
            </w:r>
          </w:p>
        </w:tc>
        <w:tc>
          <w:tcPr>
            <w:tcW w:w="310" w:type="pct"/>
            <w:gridSpan w:val="2"/>
            <w:tcBorders>
              <w:top w:val="nil"/>
              <w:left w:val="nil"/>
              <w:bottom w:val="single" w:sz="8" w:space="0" w:color="auto"/>
              <w:right w:val="single" w:sz="8" w:space="0" w:color="auto"/>
            </w:tcBorders>
            <w:vAlign w:val="center"/>
            <w:hideMark/>
          </w:tcPr>
          <w:p w14:paraId="65D1A365" w14:textId="77777777" w:rsidR="00C67F54" w:rsidRPr="00046858" w:rsidRDefault="00C67F54">
            <w:pPr>
              <w:spacing w:before="0" w:after="0"/>
              <w:jc w:val="center"/>
              <w:rPr>
                <w:rFonts w:eastAsia="Times New Roman"/>
                <w:noProof/>
                <w:color w:val="000000"/>
                <w:sz w:val="14"/>
                <w:szCs w:val="14"/>
              </w:rPr>
            </w:pPr>
            <w:r w:rsidRPr="00046858">
              <w:rPr>
                <w:noProof/>
                <w:color w:val="000000"/>
                <w:sz w:val="14"/>
              </w:rPr>
              <w:t>(1a)</w:t>
            </w:r>
          </w:p>
        </w:tc>
        <w:tc>
          <w:tcPr>
            <w:tcW w:w="332" w:type="pct"/>
            <w:tcBorders>
              <w:top w:val="nil"/>
              <w:left w:val="nil"/>
              <w:bottom w:val="single" w:sz="8" w:space="0" w:color="auto"/>
              <w:right w:val="single" w:sz="8" w:space="0" w:color="auto"/>
            </w:tcBorders>
            <w:vAlign w:val="center"/>
            <w:hideMark/>
          </w:tcPr>
          <w:p w14:paraId="367635B4" w14:textId="77777777" w:rsidR="00C67F54" w:rsidRPr="00046858" w:rsidRDefault="00C67F54">
            <w:pPr>
              <w:spacing w:before="0" w:after="0"/>
              <w:jc w:val="right"/>
              <w:rPr>
                <w:rFonts w:eastAsia="Times New Roman"/>
                <w:noProof/>
                <w:color w:val="000000"/>
                <w:sz w:val="20"/>
                <w:szCs w:val="20"/>
              </w:rPr>
            </w:pPr>
            <w:r w:rsidRPr="00046858">
              <w:rPr>
                <w:noProof/>
                <w:sz w:val="20"/>
              </w:rPr>
              <w:t>30,000</w:t>
            </w:r>
          </w:p>
        </w:tc>
        <w:tc>
          <w:tcPr>
            <w:tcW w:w="332" w:type="pct"/>
            <w:gridSpan w:val="2"/>
            <w:tcBorders>
              <w:top w:val="nil"/>
              <w:left w:val="nil"/>
              <w:bottom w:val="single" w:sz="8" w:space="0" w:color="auto"/>
              <w:right w:val="single" w:sz="8" w:space="0" w:color="auto"/>
            </w:tcBorders>
            <w:vAlign w:val="center"/>
            <w:hideMark/>
          </w:tcPr>
          <w:p w14:paraId="6FF71653" w14:textId="77777777" w:rsidR="00C67F54" w:rsidRPr="00046858" w:rsidRDefault="00C67F54">
            <w:pPr>
              <w:spacing w:before="0" w:after="0"/>
              <w:jc w:val="right"/>
              <w:rPr>
                <w:rFonts w:eastAsia="Times New Roman"/>
                <w:noProof/>
                <w:color w:val="000000"/>
                <w:sz w:val="20"/>
                <w:szCs w:val="20"/>
                <w:lang w:eastAsia="en-IE"/>
              </w:rPr>
            </w:pPr>
          </w:p>
        </w:tc>
        <w:tc>
          <w:tcPr>
            <w:tcW w:w="332" w:type="pct"/>
            <w:gridSpan w:val="3"/>
            <w:tcBorders>
              <w:top w:val="nil"/>
              <w:left w:val="nil"/>
              <w:bottom w:val="single" w:sz="8" w:space="0" w:color="auto"/>
              <w:right w:val="single" w:sz="8" w:space="0" w:color="auto"/>
            </w:tcBorders>
            <w:vAlign w:val="center"/>
            <w:hideMark/>
          </w:tcPr>
          <w:p w14:paraId="7520697B" w14:textId="77777777" w:rsidR="00C67F54" w:rsidRPr="00046858" w:rsidRDefault="00C67F54">
            <w:pPr>
              <w:spacing w:before="0" w:after="0"/>
              <w:jc w:val="right"/>
              <w:rPr>
                <w:rFonts w:eastAsia="Times New Roman"/>
                <w:noProof/>
                <w:color w:val="000000"/>
                <w:sz w:val="20"/>
                <w:szCs w:val="20"/>
              </w:rPr>
            </w:pPr>
            <w:r w:rsidRPr="00046858">
              <w:rPr>
                <w:noProof/>
                <w:sz w:val="20"/>
              </w:rPr>
              <w:t>20,000</w:t>
            </w:r>
          </w:p>
        </w:tc>
        <w:tc>
          <w:tcPr>
            <w:tcW w:w="332" w:type="pct"/>
            <w:gridSpan w:val="3"/>
            <w:tcBorders>
              <w:top w:val="nil"/>
              <w:left w:val="nil"/>
              <w:bottom w:val="single" w:sz="8" w:space="0" w:color="auto"/>
              <w:right w:val="single" w:sz="8" w:space="0" w:color="auto"/>
            </w:tcBorders>
            <w:vAlign w:val="center"/>
            <w:hideMark/>
          </w:tcPr>
          <w:p w14:paraId="777B9349" w14:textId="77777777" w:rsidR="00C67F54" w:rsidRPr="00046858" w:rsidRDefault="00C67F54">
            <w:pPr>
              <w:spacing w:before="0" w:after="0"/>
              <w:jc w:val="right"/>
              <w:rPr>
                <w:rFonts w:eastAsia="Times New Roman"/>
                <w:noProof/>
                <w:color w:val="000000"/>
                <w:sz w:val="20"/>
                <w:szCs w:val="20"/>
                <w:lang w:eastAsia="en-IE"/>
              </w:rPr>
            </w:pPr>
          </w:p>
        </w:tc>
        <w:tc>
          <w:tcPr>
            <w:tcW w:w="332" w:type="pct"/>
            <w:gridSpan w:val="2"/>
            <w:tcBorders>
              <w:top w:val="nil"/>
              <w:left w:val="nil"/>
              <w:bottom w:val="single" w:sz="8" w:space="0" w:color="auto"/>
              <w:right w:val="single" w:sz="8" w:space="0" w:color="auto"/>
            </w:tcBorders>
            <w:vAlign w:val="center"/>
            <w:hideMark/>
          </w:tcPr>
          <w:p w14:paraId="5ACE3E3F" w14:textId="77777777" w:rsidR="00C67F54" w:rsidRPr="00046858" w:rsidRDefault="00C67F54">
            <w:pPr>
              <w:spacing w:before="0" w:after="0"/>
              <w:jc w:val="right"/>
              <w:rPr>
                <w:rFonts w:eastAsia="Times New Roman"/>
                <w:noProof/>
                <w:color w:val="000000"/>
                <w:sz w:val="20"/>
                <w:szCs w:val="20"/>
              </w:rPr>
            </w:pPr>
            <w:r w:rsidRPr="00046858">
              <w:rPr>
                <w:noProof/>
                <w:sz w:val="20"/>
              </w:rPr>
              <w:t>10,000</w:t>
            </w:r>
          </w:p>
        </w:tc>
        <w:tc>
          <w:tcPr>
            <w:tcW w:w="332" w:type="pct"/>
            <w:tcBorders>
              <w:top w:val="nil"/>
              <w:left w:val="nil"/>
              <w:bottom w:val="single" w:sz="8" w:space="0" w:color="auto"/>
              <w:right w:val="single" w:sz="8" w:space="0" w:color="auto"/>
            </w:tcBorders>
            <w:vAlign w:val="center"/>
            <w:hideMark/>
          </w:tcPr>
          <w:p w14:paraId="3536D1ED" w14:textId="77777777" w:rsidR="00C67F54" w:rsidRPr="00046858" w:rsidRDefault="00C67F54">
            <w:pPr>
              <w:spacing w:before="0" w:after="0"/>
              <w:jc w:val="right"/>
              <w:rPr>
                <w:rFonts w:eastAsia="Times New Roman"/>
                <w:noProof/>
                <w:color w:val="000000"/>
                <w:sz w:val="20"/>
                <w:szCs w:val="20"/>
                <w:lang w:eastAsia="en-IE"/>
              </w:rPr>
            </w:pPr>
          </w:p>
        </w:tc>
        <w:tc>
          <w:tcPr>
            <w:tcW w:w="332" w:type="pct"/>
            <w:gridSpan w:val="2"/>
            <w:tcBorders>
              <w:top w:val="nil"/>
              <w:left w:val="nil"/>
              <w:bottom w:val="single" w:sz="8" w:space="0" w:color="auto"/>
              <w:right w:val="single" w:sz="8" w:space="0" w:color="auto"/>
            </w:tcBorders>
            <w:vAlign w:val="center"/>
            <w:hideMark/>
          </w:tcPr>
          <w:p w14:paraId="13203F2D" w14:textId="77777777" w:rsidR="00C67F54" w:rsidRPr="00046858" w:rsidRDefault="00C67F54">
            <w:pPr>
              <w:spacing w:before="0" w:after="0"/>
              <w:jc w:val="right"/>
              <w:rPr>
                <w:rFonts w:eastAsia="Times New Roman"/>
                <w:noProof/>
                <w:color w:val="000000"/>
                <w:sz w:val="20"/>
                <w:szCs w:val="20"/>
              </w:rPr>
            </w:pPr>
            <w:r w:rsidRPr="00046858">
              <w:rPr>
                <w:noProof/>
                <w:sz w:val="20"/>
              </w:rPr>
              <w:t>10,000</w:t>
            </w:r>
          </w:p>
        </w:tc>
        <w:tc>
          <w:tcPr>
            <w:tcW w:w="332" w:type="pct"/>
            <w:gridSpan w:val="3"/>
            <w:tcBorders>
              <w:top w:val="nil"/>
              <w:left w:val="nil"/>
              <w:bottom w:val="single" w:sz="8" w:space="0" w:color="auto"/>
              <w:right w:val="single" w:sz="4" w:space="0" w:color="auto"/>
            </w:tcBorders>
            <w:vAlign w:val="center"/>
          </w:tcPr>
          <w:p w14:paraId="57245F2A" w14:textId="77777777" w:rsidR="00C67F54" w:rsidRPr="00046858" w:rsidRDefault="00C67F54">
            <w:pPr>
              <w:spacing w:before="0" w:after="0"/>
              <w:jc w:val="right"/>
              <w:rPr>
                <w:rFonts w:eastAsia="Times New Roman"/>
                <w:b/>
                <w:bCs/>
                <w:noProof/>
                <w:color w:val="000000"/>
                <w:sz w:val="20"/>
                <w:szCs w:val="20"/>
                <w:lang w:eastAsia="en-IE"/>
              </w:rPr>
            </w:pPr>
          </w:p>
        </w:tc>
        <w:tc>
          <w:tcPr>
            <w:tcW w:w="705" w:type="pct"/>
            <w:gridSpan w:val="3"/>
            <w:tcBorders>
              <w:top w:val="nil"/>
              <w:left w:val="single" w:sz="4" w:space="0" w:color="auto"/>
              <w:bottom w:val="single" w:sz="8" w:space="0" w:color="auto"/>
              <w:right w:val="single" w:sz="8" w:space="0" w:color="auto"/>
            </w:tcBorders>
            <w:shd w:val="clear" w:color="000000" w:fill="D9D9D9"/>
            <w:vAlign w:val="center"/>
            <w:hideMark/>
          </w:tcPr>
          <w:p w14:paraId="2963A27B" w14:textId="77777777" w:rsidR="00C67F54" w:rsidRPr="00046858" w:rsidRDefault="00C67F54">
            <w:pPr>
              <w:spacing w:before="0" w:after="0"/>
              <w:jc w:val="right"/>
              <w:rPr>
                <w:rFonts w:eastAsia="Times New Roman"/>
                <w:b/>
                <w:bCs/>
                <w:noProof/>
                <w:color w:val="000000"/>
                <w:sz w:val="20"/>
                <w:szCs w:val="20"/>
              </w:rPr>
            </w:pPr>
            <w:r w:rsidRPr="00046858">
              <w:rPr>
                <w:b/>
                <w:noProof/>
                <w:color w:val="000000"/>
                <w:sz w:val="20"/>
              </w:rPr>
              <w:t>70,000</w:t>
            </w:r>
          </w:p>
        </w:tc>
      </w:tr>
      <w:tr w:rsidR="00C67F54" w:rsidRPr="00046858" w14:paraId="4E37FE22" w14:textId="77777777">
        <w:trPr>
          <w:gridAfter w:val="1"/>
          <w:wAfter w:w="1212" w:type="dxa"/>
          <w:trHeight w:val="300"/>
        </w:trPr>
        <w:tc>
          <w:tcPr>
            <w:tcW w:w="805" w:type="pct"/>
            <w:gridSpan w:val="4"/>
            <w:vMerge/>
            <w:tcBorders>
              <w:top w:val="nil"/>
              <w:left w:val="single" w:sz="8" w:space="0" w:color="auto"/>
              <w:bottom w:val="single" w:sz="8" w:space="0" w:color="000000"/>
              <w:right w:val="single" w:sz="8" w:space="0" w:color="auto"/>
            </w:tcBorders>
            <w:vAlign w:val="center"/>
            <w:hideMark/>
          </w:tcPr>
          <w:p w14:paraId="0133F7B5" w14:textId="77777777" w:rsidR="00C67F54" w:rsidRPr="00046858" w:rsidRDefault="00C67F54">
            <w:pPr>
              <w:spacing w:before="0" w:after="0"/>
              <w:jc w:val="left"/>
              <w:rPr>
                <w:rFonts w:eastAsia="Times New Roman"/>
                <w:noProof/>
                <w:color w:val="000000"/>
                <w:sz w:val="22"/>
                <w:lang w:eastAsia="en-IE"/>
              </w:rPr>
            </w:pPr>
          </w:p>
        </w:tc>
        <w:tc>
          <w:tcPr>
            <w:tcW w:w="524" w:type="pct"/>
            <w:gridSpan w:val="4"/>
            <w:tcBorders>
              <w:top w:val="nil"/>
              <w:left w:val="nil"/>
              <w:bottom w:val="single" w:sz="8" w:space="0" w:color="auto"/>
              <w:right w:val="single" w:sz="8" w:space="0" w:color="auto"/>
            </w:tcBorders>
            <w:vAlign w:val="center"/>
            <w:hideMark/>
          </w:tcPr>
          <w:p w14:paraId="41B28D08" w14:textId="77777777" w:rsidR="00C67F54" w:rsidRPr="00046858" w:rsidRDefault="00C67F54">
            <w:pPr>
              <w:spacing w:before="0" w:after="0"/>
              <w:rPr>
                <w:rFonts w:eastAsia="Times New Roman"/>
                <w:noProof/>
                <w:color w:val="000000"/>
                <w:sz w:val="18"/>
                <w:szCs w:val="18"/>
              </w:rPr>
            </w:pPr>
            <w:r w:rsidRPr="00046858">
              <w:rPr>
                <w:noProof/>
                <w:color w:val="000000"/>
                <w:sz w:val="18"/>
              </w:rPr>
              <w:t>Plăți</w:t>
            </w:r>
          </w:p>
        </w:tc>
        <w:tc>
          <w:tcPr>
            <w:tcW w:w="310" w:type="pct"/>
            <w:gridSpan w:val="2"/>
            <w:tcBorders>
              <w:top w:val="nil"/>
              <w:left w:val="nil"/>
              <w:bottom w:val="single" w:sz="8" w:space="0" w:color="auto"/>
              <w:right w:val="single" w:sz="8" w:space="0" w:color="auto"/>
            </w:tcBorders>
            <w:vAlign w:val="center"/>
            <w:hideMark/>
          </w:tcPr>
          <w:p w14:paraId="79D9412C" w14:textId="77777777" w:rsidR="00C67F54" w:rsidRPr="00046858" w:rsidRDefault="00C67F54">
            <w:pPr>
              <w:spacing w:before="0" w:after="0"/>
              <w:jc w:val="center"/>
              <w:rPr>
                <w:rFonts w:eastAsia="Times New Roman"/>
                <w:noProof/>
                <w:color w:val="000000"/>
                <w:sz w:val="14"/>
                <w:szCs w:val="14"/>
              </w:rPr>
            </w:pPr>
            <w:r w:rsidRPr="00046858">
              <w:rPr>
                <w:noProof/>
                <w:color w:val="000000"/>
                <w:sz w:val="14"/>
              </w:rPr>
              <w:t>(2a)</w:t>
            </w:r>
          </w:p>
        </w:tc>
        <w:tc>
          <w:tcPr>
            <w:tcW w:w="332" w:type="pct"/>
            <w:tcBorders>
              <w:top w:val="nil"/>
              <w:left w:val="nil"/>
              <w:bottom w:val="single" w:sz="8" w:space="0" w:color="auto"/>
              <w:right w:val="single" w:sz="8" w:space="0" w:color="auto"/>
            </w:tcBorders>
            <w:hideMark/>
          </w:tcPr>
          <w:p w14:paraId="1EA6356A" w14:textId="77777777" w:rsidR="00C67F54" w:rsidRPr="00046858" w:rsidRDefault="00C67F54">
            <w:pPr>
              <w:spacing w:before="0" w:after="0"/>
              <w:jc w:val="right"/>
              <w:rPr>
                <w:rFonts w:eastAsia="Times New Roman"/>
                <w:noProof/>
                <w:color w:val="000000"/>
                <w:sz w:val="20"/>
                <w:szCs w:val="20"/>
              </w:rPr>
            </w:pPr>
            <w:r w:rsidRPr="00046858">
              <w:rPr>
                <w:noProof/>
                <w:sz w:val="20"/>
              </w:rPr>
              <w:t>18,000</w:t>
            </w:r>
          </w:p>
        </w:tc>
        <w:tc>
          <w:tcPr>
            <w:tcW w:w="332" w:type="pct"/>
            <w:gridSpan w:val="2"/>
            <w:tcBorders>
              <w:top w:val="nil"/>
              <w:left w:val="nil"/>
              <w:bottom w:val="single" w:sz="8" w:space="0" w:color="auto"/>
              <w:right w:val="single" w:sz="8" w:space="0" w:color="auto"/>
            </w:tcBorders>
            <w:hideMark/>
          </w:tcPr>
          <w:p w14:paraId="695BE3DE" w14:textId="77777777" w:rsidR="00C67F54" w:rsidRPr="00046858" w:rsidRDefault="00C67F54">
            <w:pPr>
              <w:spacing w:before="0" w:after="0"/>
              <w:jc w:val="right"/>
              <w:rPr>
                <w:rFonts w:eastAsia="Times New Roman"/>
                <w:noProof/>
                <w:color w:val="000000"/>
                <w:sz w:val="20"/>
                <w:szCs w:val="20"/>
              </w:rPr>
            </w:pPr>
            <w:r w:rsidRPr="00046858">
              <w:rPr>
                <w:noProof/>
                <w:sz w:val="20"/>
              </w:rPr>
              <w:t>6,000</w:t>
            </w:r>
          </w:p>
        </w:tc>
        <w:tc>
          <w:tcPr>
            <w:tcW w:w="332" w:type="pct"/>
            <w:gridSpan w:val="3"/>
            <w:tcBorders>
              <w:top w:val="nil"/>
              <w:left w:val="nil"/>
              <w:bottom w:val="single" w:sz="8" w:space="0" w:color="auto"/>
              <w:right w:val="single" w:sz="8" w:space="0" w:color="auto"/>
            </w:tcBorders>
            <w:hideMark/>
          </w:tcPr>
          <w:p w14:paraId="0541BCFB" w14:textId="77777777" w:rsidR="00C67F54" w:rsidRPr="00046858" w:rsidRDefault="00C67F54">
            <w:pPr>
              <w:spacing w:before="0" w:after="0"/>
              <w:jc w:val="right"/>
              <w:rPr>
                <w:rFonts w:eastAsia="Times New Roman"/>
                <w:noProof/>
                <w:color w:val="000000"/>
                <w:sz w:val="20"/>
                <w:szCs w:val="20"/>
              </w:rPr>
            </w:pPr>
            <w:r w:rsidRPr="00046858">
              <w:rPr>
                <w:noProof/>
                <w:sz w:val="20"/>
              </w:rPr>
              <w:t>15,000</w:t>
            </w:r>
          </w:p>
        </w:tc>
        <w:tc>
          <w:tcPr>
            <w:tcW w:w="332" w:type="pct"/>
            <w:gridSpan w:val="3"/>
            <w:tcBorders>
              <w:top w:val="nil"/>
              <w:left w:val="nil"/>
              <w:bottom w:val="single" w:sz="8" w:space="0" w:color="auto"/>
              <w:right w:val="single" w:sz="8" w:space="0" w:color="auto"/>
            </w:tcBorders>
            <w:hideMark/>
          </w:tcPr>
          <w:p w14:paraId="45FB89ED" w14:textId="77777777" w:rsidR="00C67F54" w:rsidRPr="00046858" w:rsidRDefault="00C67F54">
            <w:pPr>
              <w:spacing w:before="0" w:after="0"/>
              <w:jc w:val="right"/>
              <w:rPr>
                <w:rFonts w:eastAsia="Times New Roman"/>
                <w:noProof/>
                <w:color w:val="000000"/>
                <w:sz w:val="20"/>
                <w:szCs w:val="20"/>
              </w:rPr>
            </w:pPr>
            <w:r w:rsidRPr="00046858">
              <w:rPr>
                <w:noProof/>
                <w:sz w:val="20"/>
              </w:rPr>
              <w:t>7,000</w:t>
            </w:r>
          </w:p>
        </w:tc>
        <w:tc>
          <w:tcPr>
            <w:tcW w:w="332" w:type="pct"/>
            <w:gridSpan w:val="2"/>
            <w:tcBorders>
              <w:top w:val="nil"/>
              <w:left w:val="nil"/>
              <w:bottom w:val="single" w:sz="8" w:space="0" w:color="auto"/>
              <w:right w:val="single" w:sz="8" w:space="0" w:color="auto"/>
            </w:tcBorders>
            <w:hideMark/>
          </w:tcPr>
          <w:p w14:paraId="5DE73165" w14:textId="77777777" w:rsidR="00C67F54" w:rsidRPr="00046858" w:rsidRDefault="00C67F54">
            <w:pPr>
              <w:spacing w:before="0" w:after="0"/>
              <w:jc w:val="right"/>
              <w:rPr>
                <w:rFonts w:eastAsia="Times New Roman"/>
                <w:noProof/>
                <w:color w:val="000000"/>
                <w:sz w:val="20"/>
                <w:szCs w:val="20"/>
              </w:rPr>
            </w:pPr>
            <w:r w:rsidRPr="00046858">
              <w:rPr>
                <w:noProof/>
                <w:sz w:val="20"/>
              </w:rPr>
              <w:t>8,000</w:t>
            </w:r>
          </w:p>
        </w:tc>
        <w:tc>
          <w:tcPr>
            <w:tcW w:w="332" w:type="pct"/>
            <w:tcBorders>
              <w:top w:val="nil"/>
              <w:left w:val="nil"/>
              <w:bottom w:val="single" w:sz="8" w:space="0" w:color="auto"/>
              <w:right w:val="single" w:sz="8" w:space="0" w:color="auto"/>
            </w:tcBorders>
            <w:hideMark/>
          </w:tcPr>
          <w:p w14:paraId="095EE9E7" w14:textId="77777777" w:rsidR="00C67F54" w:rsidRPr="00046858" w:rsidRDefault="00C67F54">
            <w:pPr>
              <w:spacing w:before="0" w:after="0"/>
              <w:jc w:val="right"/>
              <w:rPr>
                <w:rFonts w:eastAsia="Times New Roman"/>
                <w:noProof/>
                <w:color w:val="000000"/>
                <w:sz w:val="20"/>
                <w:szCs w:val="20"/>
              </w:rPr>
            </w:pPr>
            <w:r w:rsidRPr="00046858">
              <w:rPr>
                <w:noProof/>
                <w:sz w:val="20"/>
              </w:rPr>
              <w:t>4,000</w:t>
            </w:r>
          </w:p>
        </w:tc>
        <w:tc>
          <w:tcPr>
            <w:tcW w:w="332" w:type="pct"/>
            <w:gridSpan w:val="2"/>
            <w:tcBorders>
              <w:top w:val="nil"/>
              <w:left w:val="nil"/>
              <w:bottom w:val="single" w:sz="8" w:space="0" w:color="auto"/>
              <w:right w:val="single" w:sz="8" w:space="0" w:color="auto"/>
            </w:tcBorders>
            <w:hideMark/>
          </w:tcPr>
          <w:p w14:paraId="19400036" w14:textId="77777777" w:rsidR="00C67F54" w:rsidRPr="00046858" w:rsidRDefault="00C67F54">
            <w:pPr>
              <w:spacing w:before="0" w:after="0"/>
              <w:jc w:val="right"/>
              <w:rPr>
                <w:rFonts w:eastAsia="Times New Roman"/>
                <w:noProof/>
                <w:color w:val="000000"/>
                <w:sz w:val="20"/>
                <w:szCs w:val="20"/>
              </w:rPr>
            </w:pPr>
            <w:r w:rsidRPr="00046858">
              <w:rPr>
                <w:noProof/>
                <w:sz w:val="20"/>
              </w:rPr>
              <w:t>7,000</w:t>
            </w:r>
          </w:p>
        </w:tc>
        <w:tc>
          <w:tcPr>
            <w:tcW w:w="332" w:type="pct"/>
            <w:gridSpan w:val="3"/>
            <w:tcBorders>
              <w:top w:val="nil"/>
              <w:left w:val="nil"/>
              <w:bottom w:val="single" w:sz="8" w:space="0" w:color="auto"/>
              <w:right w:val="single" w:sz="4" w:space="0" w:color="auto"/>
            </w:tcBorders>
          </w:tcPr>
          <w:p w14:paraId="4754E16C" w14:textId="77777777" w:rsidR="00C67F54" w:rsidRPr="00046858" w:rsidRDefault="00C67F54">
            <w:pPr>
              <w:spacing w:before="0" w:after="0"/>
              <w:jc w:val="right"/>
              <w:rPr>
                <w:rFonts w:eastAsia="Times New Roman"/>
                <w:noProof/>
                <w:color w:val="000000"/>
                <w:sz w:val="20"/>
                <w:szCs w:val="20"/>
              </w:rPr>
            </w:pPr>
            <w:r w:rsidRPr="00046858">
              <w:rPr>
                <w:noProof/>
                <w:color w:val="000000"/>
                <w:sz w:val="20"/>
              </w:rPr>
              <w:t>5,000</w:t>
            </w:r>
          </w:p>
        </w:tc>
        <w:tc>
          <w:tcPr>
            <w:tcW w:w="705" w:type="pct"/>
            <w:gridSpan w:val="3"/>
            <w:tcBorders>
              <w:top w:val="single" w:sz="8" w:space="0" w:color="auto"/>
              <w:left w:val="single" w:sz="4" w:space="0" w:color="auto"/>
              <w:bottom w:val="single" w:sz="8" w:space="0" w:color="auto"/>
              <w:right w:val="single" w:sz="8" w:space="0" w:color="auto"/>
            </w:tcBorders>
            <w:shd w:val="clear" w:color="000000" w:fill="D9D9D9"/>
            <w:vAlign w:val="center"/>
            <w:hideMark/>
          </w:tcPr>
          <w:p w14:paraId="1E58C2DB" w14:textId="77777777" w:rsidR="00C67F54" w:rsidRPr="00046858" w:rsidRDefault="00C67F54">
            <w:pPr>
              <w:spacing w:before="0" w:after="0"/>
              <w:jc w:val="right"/>
              <w:rPr>
                <w:rFonts w:eastAsia="Times New Roman"/>
                <w:b/>
                <w:bCs/>
                <w:noProof/>
                <w:color w:val="000000"/>
                <w:sz w:val="20"/>
                <w:szCs w:val="20"/>
              </w:rPr>
            </w:pPr>
            <w:r w:rsidRPr="00046858">
              <w:rPr>
                <w:b/>
                <w:noProof/>
                <w:color w:val="000000"/>
                <w:sz w:val="20"/>
              </w:rPr>
              <w:t>70,000</w:t>
            </w:r>
          </w:p>
        </w:tc>
      </w:tr>
      <w:tr w:rsidR="00C67F54" w:rsidRPr="00046858" w14:paraId="155B7C58" w14:textId="77777777">
        <w:trPr>
          <w:gridAfter w:val="1"/>
          <w:wAfter w:w="1212" w:type="dxa"/>
          <w:trHeight w:val="300"/>
        </w:trPr>
        <w:tc>
          <w:tcPr>
            <w:tcW w:w="805" w:type="pct"/>
            <w:gridSpan w:val="4"/>
            <w:tcBorders>
              <w:top w:val="single" w:sz="8" w:space="0" w:color="auto"/>
              <w:left w:val="single" w:sz="8" w:space="0" w:color="auto"/>
              <w:bottom w:val="single" w:sz="8" w:space="0" w:color="auto"/>
              <w:right w:val="single" w:sz="8" w:space="0" w:color="000000"/>
            </w:tcBorders>
          </w:tcPr>
          <w:p w14:paraId="551D4F7E" w14:textId="77777777" w:rsidR="00C67F54" w:rsidRPr="00046858" w:rsidRDefault="00C67F54">
            <w:pPr>
              <w:spacing w:before="0" w:after="0"/>
              <w:jc w:val="left"/>
              <w:rPr>
                <w:rFonts w:eastAsia="Times New Roman"/>
                <w:noProof/>
                <w:sz w:val="22"/>
                <w:lang w:eastAsia="en-IE"/>
              </w:rPr>
            </w:pPr>
          </w:p>
        </w:tc>
        <w:tc>
          <w:tcPr>
            <w:tcW w:w="4195" w:type="pct"/>
            <w:gridSpan w:val="26"/>
            <w:tcBorders>
              <w:top w:val="single" w:sz="8" w:space="0" w:color="auto"/>
              <w:left w:val="single" w:sz="8" w:space="0" w:color="auto"/>
              <w:bottom w:val="single" w:sz="8" w:space="0" w:color="auto"/>
              <w:right w:val="single" w:sz="8" w:space="0" w:color="000000"/>
            </w:tcBorders>
            <w:noWrap/>
            <w:vAlign w:val="center"/>
            <w:hideMark/>
          </w:tcPr>
          <w:p w14:paraId="607F7940" w14:textId="77777777" w:rsidR="00C67F54" w:rsidRPr="00046858" w:rsidRDefault="00C67F54">
            <w:pPr>
              <w:spacing w:before="0" w:after="0"/>
              <w:jc w:val="left"/>
              <w:rPr>
                <w:rFonts w:eastAsia="Times New Roman"/>
                <w:noProof/>
                <w:sz w:val="22"/>
              </w:rPr>
            </w:pPr>
            <w:r w:rsidRPr="00046858">
              <w:rPr>
                <w:noProof/>
                <w:sz w:val="22"/>
              </w:rPr>
              <w:t>Credite cu caracter administrativ finanțate din bugetul unor programe specifice</w:t>
            </w:r>
            <w:r w:rsidRPr="00046858">
              <w:rPr>
                <w:rStyle w:val="FootnoteReference"/>
                <w:rFonts w:eastAsia="Times New Roman"/>
                <w:noProof/>
                <w:sz w:val="22"/>
                <w:lang w:eastAsia="en-IE"/>
              </w:rPr>
              <w:footnoteReference w:id="79"/>
            </w:r>
          </w:p>
        </w:tc>
      </w:tr>
      <w:tr w:rsidR="00C67F54" w:rsidRPr="00046858" w14:paraId="5048B8BF" w14:textId="77777777">
        <w:trPr>
          <w:gridAfter w:val="1"/>
          <w:wAfter w:w="1212" w:type="dxa"/>
          <w:trHeight w:val="530"/>
        </w:trPr>
        <w:tc>
          <w:tcPr>
            <w:tcW w:w="805" w:type="pct"/>
            <w:gridSpan w:val="4"/>
            <w:tcBorders>
              <w:top w:val="nil"/>
              <w:left w:val="single" w:sz="8" w:space="0" w:color="auto"/>
              <w:bottom w:val="single" w:sz="8" w:space="0" w:color="auto"/>
              <w:right w:val="single" w:sz="8" w:space="0" w:color="auto"/>
            </w:tcBorders>
            <w:vAlign w:val="center"/>
            <w:hideMark/>
          </w:tcPr>
          <w:p w14:paraId="71BE0B9D" w14:textId="77777777" w:rsidR="00C67F54" w:rsidRPr="00046858" w:rsidRDefault="00C67F54">
            <w:pPr>
              <w:spacing w:before="0" w:after="0"/>
              <w:rPr>
                <w:rFonts w:eastAsia="Times New Roman"/>
                <w:noProof/>
                <w:color w:val="000000"/>
                <w:sz w:val="20"/>
                <w:szCs w:val="20"/>
              </w:rPr>
            </w:pPr>
            <w:r w:rsidRPr="00046858">
              <w:rPr>
                <w:noProof/>
                <w:color w:val="000000"/>
                <w:sz w:val="20"/>
              </w:rPr>
              <w:t>Linia bugetară</w:t>
            </w:r>
          </w:p>
        </w:tc>
        <w:tc>
          <w:tcPr>
            <w:tcW w:w="524" w:type="pct"/>
            <w:gridSpan w:val="4"/>
            <w:tcBorders>
              <w:top w:val="nil"/>
              <w:left w:val="nil"/>
              <w:bottom w:val="single" w:sz="8" w:space="0" w:color="auto"/>
              <w:right w:val="single" w:sz="8" w:space="0" w:color="auto"/>
            </w:tcBorders>
            <w:vAlign w:val="center"/>
            <w:hideMark/>
          </w:tcPr>
          <w:p w14:paraId="22D08976" w14:textId="77777777" w:rsidR="00C67F54" w:rsidRPr="00046858" w:rsidRDefault="00C67F54">
            <w:pPr>
              <w:spacing w:before="0" w:after="0"/>
              <w:jc w:val="right"/>
              <w:rPr>
                <w:rFonts w:eastAsia="Times New Roman"/>
                <w:noProof/>
                <w:color w:val="000000"/>
                <w:sz w:val="18"/>
                <w:szCs w:val="18"/>
              </w:rPr>
            </w:pPr>
            <w:r w:rsidRPr="00046858">
              <w:rPr>
                <w:noProof/>
                <w:color w:val="000000"/>
                <w:sz w:val="18"/>
              </w:rPr>
              <w:t xml:space="preserve"> </w:t>
            </w:r>
          </w:p>
        </w:tc>
        <w:tc>
          <w:tcPr>
            <w:tcW w:w="310" w:type="pct"/>
            <w:gridSpan w:val="2"/>
            <w:tcBorders>
              <w:top w:val="nil"/>
              <w:left w:val="nil"/>
              <w:bottom w:val="single" w:sz="8" w:space="0" w:color="auto"/>
              <w:right w:val="single" w:sz="8" w:space="0" w:color="auto"/>
            </w:tcBorders>
            <w:vAlign w:val="center"/>
            <w:hideMark/>
          </w:tcPr>
          <w:p w14:paraId="35363E6C" w14:textId="77777777" w:rsidR="00C67F54" w:rsidRPr="00046858" w:rsidRDefault="00C67F54">
            <w:pPr>
              <w:spacing w:before="0" w:after="0"/>
              <w:jc w:val="center"/>
              <w:rPr>
                <w:rFonts w:eastAsia="Times New Roman"/>
                <w:noProof/>
                <w:color w:val="000000"/>
                <w:sz w:val="14"/>
                <w:szCs w:val="14"/>
              </w:rPr>
            </w:pPr>
            <w:r w:rsidRPr="00046858">
              <w:rPr>
                <w:noProof/>
                <w:color w:val="000000"/>
                <w:sz w:val="14"/>
              </w:rPr>
              <w:t>(3)</w:t>
            </w:r>
          </w:p>
        </w:tc>
        <w:tc>
          <w:tcPr>
            <w:tcW w:w="332" w:type="pct"/>
            <w:tcBorders>
              <w:top w:val="nil"/>
              <w:left w:val="nil"/>
              <w:bottom w:val="single" w:sz="8" w:space="0" w:color="auto"/>
              <w:right w:val="single" w:sz="8" w:space="0" w:color="auto"/>
            </w:tcBorders>
            <w:vAlign w:val="center"/>
            <w:hideMark/>
          </w:tcPr>
          <w:p w14:paraId="7D0584CE" w14:textId="77777777" w:rsidR="00C67F54" w:rsidRPr="00046858" w:rsidRDefault="00C67F54">
            <w:pPr>
              <w:spacing w:before="0" w:after="0"/>
              <w:jc w:val="right"/>
              <w:rPr>
                <w:rFonts w:eastAsia="Times New Roman"/>
                <w:b/>
                <w:bCs/>
                <w:noProof/>
                <w:color w:val="000000"/>
                <w:sz w:val="20"/>
                <w:szCs w:val="20"/>
              </w:rPr>
            </w:pPr>
            <w:r w:rsidRPr="00046858">
              <w:rPr>
                <w:b/>
                <w:noProof/>
                <w:color w:val="000000"/>
                <w:sz w:val="20"/>
              </w:rPr>
              <w:t xml:space="preserve"> </w:t>
            </w:r>
          </w:p>
        </w:tc>
        <w:tc>
          <w:tcPr>
            <w:tcW w:w="332" w:type="pct"/>
            <w:gridSpan w:val="2"/>
            <w:tcBorders>
              <w:top w:val="nil"/>
              <w:left w:val="nil"/>
              <w:bottom w:val="single" w:sz="8" w:space="0" w:color="auto"/>
              <w:right w:val="single" w:sz="8" w:space="0" w:color="auto"/>
            </w:tcBorders>
            <w:vAlign w:val="center"/>
            <w:hideMark/>
          </w:tcPr>
          <w:p w14:paraId="57C4CF4A" w14:textId="77777777" w:rsidR="00C67F54" w:rsidRPr="00046858" w:rsidRDefault="00C67F54">
            <w:pPr>
              <w:spacing w:before="0" w:after="0"/>
              <w:jc w:val="right"/>
              <w:rPr>
                <w:rFonts w:eastAsia="Times New Roman"/>
                <w:b/>
                <w:bCs/>
                <w:noProof/>
                <w:color w:val="000000"/>
                <w:sz w:val="20"/>
                <w:szCs w:val="20"/>
              </w:rPr>
            </w:pPr>
            <w:r w:rsidRPr="00046858">
              <w:rPr>
                <w:b/>
                <w:noProof/>
                <w:color w:val="000000"/>
                <w:sz w:val="20"/>
              </w:rPr>
              <w:t xml:space="preserve"> </w:t>
            </w:r>
          </w:p>
        </w:tc>
        <w:tc>
          <w:tcPr>
            <w:tcW w:w="332" w:type="pct"/>
            <w:gridSpan w:val="3"/>
            <w:tcBorders>
              <w:top w:val="nil"/>
              <w:left w:val="nil"/>
              <w:bottom w:val="single" w:sz="8" w:space="0" w:color="auto"/>
              <w:right w:val="single" w:sz="8" w:space="0" w:color="auto"/>
            </w:tcBorders>
            <w:vAlign w:val="center"/>
            <w:hideMark/>
          </w:tcPr>
          <w:p w14:paraId="34513ED9" w14:textId="77777777" w:rsidR="00C67F54" w:rsidRPr="00046858" w:rsidRDefault="00C67F54">
            <w:pPr>
              <w:spacing w:before="0" w:after="0"/>
              <w:jc w:val="right"/>
              <w:rPr>
                <w:rFonts w:eastAsia="Times New Roman"/>
                <w:b/>
                <w:bCs/>
                <w:noProof/>
                <w:color w:val="000000"/>
                <w:sz w:val="20"/>
                <w:szCs w:val="20"/>
              </w:rPr>
            </w:pPr>
            <w:r w:rsidRPr="00046858">
              <w:rPr>
                <w:b/>
                <w:noProof/>
                <w:color w:val="000000"/>
                <w:sz w:val="20"/>
              </w:rPr>
              <w:t xml:space="preserve"> </w:t>
            </w:r>
          </w:p>
        </w:tc>
        <w:tc>
          <w:tcPr>
            <w:tcW w:w="332" w:type="pct"/>
            <w:gridSpan w:val="3"/>
            <w:tcBorders>
              <w:top w:val="nil"/>
              <w:left w:val="nil"/>
              <w:bottom w:val="single" w:sz="8" w:space="0" w:color="auto"/>
              <w:right w:val="single" w:sz="8" w:space="0" w:color="auto"/>
            </w:tcBorders>
            <w:vAlign w:val="center"/>
            <w:hideMark/>
          </w:tcPr>
          <w:p w14:paraId="2BE4D311" w14:textId="77777777" w:rsidR="00C67F54" w:rsidRPr="00046858" w:rsidRDefault="00C67F54">
            <w:pPr>
              <w:spacing w:before="0" w:after="0"/>
              <w:jc w:val="right"/>
              <w:rPr>
                <w:rFonts w:eastAsia="Times New Roman"/>
                <w:b/>
                <w:bCs/>
                <w:noProof/>
                <w:color w:val="000000"/>
                <w:sz w:val="20"/>
                <w:szCs w:val="20"/>
              </w:rPr>
            </w:pPr>
            <w:r w:rsidRPr="00046858">
              <w:rPr>
                <w:b/>
                <w:noProof/>
                <w:color w:val="000000"/>
                <w:sz w:val="20"/>
              </w:rPr>
              <w:t xml:space="preserve"> </w:t>
            </w:r>
          </w:p>
        </w:tc>
        <w:tc>
          <w:tcPr>
            <w:tcW w:w="332" w:type="pct"/>
            <w:gridSpan w:val="2"/>
            <w:tcBorders>
              <w:top w:val="nil"/>
              <w:left w:val="nil"/>
              <w:bottom w:val="single" w:sz="8" w:space="0" w:color="auto"/>
              <w:right w:val="single" w:sz="8" w:space="0" w:color="auto"/>
            </w:tcBorders>
            <w:vAlign w:val="center"/>
            <w:hideMark/>
          </w:tcPr>
          <w:p w14:paraId="0481EA8D" w14:textId="77777777" w:rsidR="00C67F54" w:rsidRPr="00046858" w:rsidRDefault="00C67F54">
            <w:pPr>
              <w:spacing w:before="0" w:after="0"/>
              <w:jc w:val="right"/>
              <w:rPr>
                <w:rFonts w:eastAsia="Times New Roman"/>
                <w:b/>
                <w:bCs/>
                <w:noProof/>
                <w:color w:val="000000"/>
                <w:sz w:val="20"/>
                <w:szCs w:val="20"/>
              </w:rPr>
            </w:pPr>
            <w:r w:rsidRPr="00046858">
              <w:rPr>
                <w:b/>
                <w:noProof/>
                <w:color w:val="000000"/>
                <w:sz w:val="20"/>
              </w:rPr>
              <w:t xml:space="preserve"> </w:t>
            </w:r>
          </w:p>
        </w:tc>
        <w:tc>
          <w:tcPr>
            <w:tcW w:w="332" w:type="pct"/>
            <w:tcBorders>
              <w:top w:val="nil"/>
              <w:left w:val="nil"/>
              <w:bottom w:val="single" w:sz="8" w:space="0" w:color="auto"/>
              <w:right w:val="single" w:sz="8" w:space="0" w:color="auto"/>
            </w:tcBorders>
            <w:vAlign w:val="center"/>
            <w:hideMark/>
          </w:tcPr>
          <w:p w14:paraId="070FDF9E" w14:textId="77777777" w:rsidR="00C67F54" w:rsidRPr="00046858" w:rsidRDefault="00C67F54">
            <w:pPr>
              <w:spacing w:before="0" w:after="0"/>
              <w:jc w:val="right"/>
              <w:rPr>
                <w:rFonts w:eastAsia="Times New Roman"/>
                <w:b/>
                <w:bCs/>
                <w:noProof/>
                <w:color w:val="000000"/>
                <w:sz w:val="20"/>
                <w:szCs w:val="20"/>
              </w:rPr>
            </w:pPr>
            <w:r w:rsidRPr="00046858">
              <w:rPr>
                <w:b/>
                <w:noProof/>
                <w:color w:val="000000"/>
                <w:sz w:val="20"/>
              </w:rPr>
              <w:t xml:space="preserve"> </w:t>
            </w:r>
          </w:p>
        </w:tc>
        <w:tc>
          <w:tcPr>
            <w:tcW w:w="332" w:type="pct"/>
            <w:gridSpan w:val="2"/>
            <w:tcBorders>
              <w:top w:val="nil"/>
              <w:left w:val="nil"/>
              <w:bottom w:val="single" w:sz="8" w:space="0" w:color="auto"/>
              <w:right w:val="single" w:sz="8" w:space="0" w:color="auto"/>
            </w:tcBorders>
            <w:vAlign w:val="center"/>
            <w:hideMark/>
          </w:tcPr>
          <w:p w14:paraId="07027350" w14:textId="77777777" w:rsidR="00C67F54" w:rsidRPr="00046858" w:rsidRDefault="00C67F54">
            <w:pPr>
              <w:spacing w:before="0" w:after="0"/>
              <w:jc w:val="right"/>
              <w:rPr>
                <w:rFonts w:eastAsia="Times New Roman"/>
                <w:b/>
                <w:bCs/>
                <w:noProof/>
                <w:color w:val="000000"/>
                <w:sz w:val="20"/>
                <w:szCs w:val="20"/>
              </w:rPr>
            </w:pPr>
            <w:r w:rsidRPr="00046858">
              <w:rPr>
                <w:b/>
                <w:noProof/>
                <w:color w:val="000000"/>
                <w:sz w:val="20"/>
              </w:rPr>
              <w:t xml:space="preserve"> </w:t>
            </w:r>
          </w:p>
        </w:tc>
        <w:tc>
          <w:tcPr>
            <w:tcW w:w="332" w:type="pct"/>
            <w:gridSpan w:val="3"/>
            <w:tcBorders>
              <w:top w:val="nil"/>
              <w:left w:val="nil"/>
              <w:bottom w:val="single" w:sz="8" w:space="0" w:color="auto"/>
              <w:right w:val="single" w:sz="4" w:space="0" w:color="auto"/>
            </w:tcBorders>
          </w:tcPr>
          <w:p w14:paraId="040E7F69" w14:textId="77777777" w:rsidR="00C67F54" w:rsidRPr="00046858" w:rsidRDefault="00C67F54">
            <w:pPr>
              <w:spacing w:before="0" w:after="0"/>
              <w:jc w:val="right"/>
              <w:rPr>
                <w:rFonts w:eastAsia="Times New Roman"/>
                <w:b/>
                <w:bCs/>
                <w:noProof/>
                <w:color w:val="000000"/>
                <w:sz w:val="20"/>
                <w:szCs w:val="20"/>
                <w:lang w:eastAsia="en-IE"/>
              </w:rPr>
            </w:pPr>
          </w:p>
        </w:tc>
        <w:tc>
          <w:tcPr>
            <w:tcW w:w="705" w:type="pct"/>
            <w:gridSpan w:val="3"/>
            <w:tcBorders>
              <w:top w:val="nil"/>
              <w:left w:val="single" w:sz="4" w:space="0" w:color="auto"/>
              <w:bottom w:val="single" w:sz="8" w:space="0" w:color="auto"/>
              <w:right w:val="single" w:sz="8" w:space="0" w:color="auto"/>
            </w:tcBorders>
            <w:shd w:val="clear" w:color="000000" w:fill="D9D9D9"/>
            <w:vAlign w:val="center"/>
            <w:hideMark/>
          </w:tcPr>
          <w:p w14:paraId="3B3A8D3A" w14:textId="77777777" w:rsidR="00C67F54" w:rsidRPr="00046858" w:rsidRDefault="00C67F54">
            <w:pPr>
              <w:spacing w:before="0" w:after="0"/>
              <w:jc w:val="right"/>
              <w:rPr>
                <w:rFonts w:eastAsia="Times New Roman"/>
                <w:b/>
                <w:bCs/>
                <w:noProof/>
                <w:color w:val="000000"/>
                <w:sz w:val="20"/>
                <w:szCs w:val="20"/>
              </w:rPr>
            </w:pPr>
            <w:r w:rsidRPr="00046858">
              <w:rPr>
                <w:b/>
                <w:noProof/>
                <w:color w:val="000000"/>
                <w:sz w:val="20"/>
              </w:rPr>
              <w:t>0</w:t>
            </w:r>
          </w:p>
        </w:tc>
      </w:tr>
      <w:tr w:rsidR="00C67F54" w:rsidRPr="00046858" w14:paraId="35BD090E" w14:textId="77777777">
        <w:trPr>
          <w:gridAfter w:val="1"/>
          <w:wAfter w:w="1212" w:type="dxa"/>
          <w:trHeight w:val="850"/>
        </w:trPr>
        <w:tc>
          <w:tcPr>
            <w:tcW w:w="805" w:type="pct"/>
            <w:gridSpan w:val="4"/>
            <w:tcBorders>
              <w:top w:val="nil"/>
              <w:left w:val="single" w:sz="8" w:space="0" w:color="auto"/>
              <w:bottom w:val="nil"/>
              <w:right w:val="single" w:sz="8" w:space="0" w:color="auto"/>
            </w:tcBorders>
            <w:vAlign w:val="center"/>
            <w:hideMark/>
          </w:tcPr>
          <w:p w14:paraId="10E44697" w14:textId="77777777" w:rsidR="00C67F54" w:rsidRPr="00046858" w:rsidRDefault="00C67F54">
            <w:pPr>
              <w:spacing w:before="0" w:after="0"/>
              <w:jc w:val="center"/>
              <w:rPr>
                <w:rFonts w:eastAsia="Times New Roman"/>
                <w:b/>
                <w:bCs/>
                <w:noProof/>
                <w:color w:val="000000"/>
                <w:sz w:val="22"/>
              </w:rPr>
            </w:pPr>
            <w:r w:rsidRPr="00046858">
              <w:rPr>
                <w:b/>
                <w:noProof/>
                <w:color w:val="000000"/>
                <w:sz w:val="22"/>
              </w:rPr>
              <w:t>TOTAL credite</w:t>
            </w:r>
          </w:p>
        </w:tc>
        <w:tc>
          <w:tcPr>
            <w:tcW w:w="524" w:type="pct"/>
            <w:gridSpan w:val="4"/>
            <w:tcBorders>
              <w:top w:val="nil"/>
              <w:left w:val="nil"/>
              <w:bottom w:val="single" w:sz="8" w:space="0" w:color="auto"/>
              <w:right w:val="single" w:sz="8" w:space="0" w:color="auto"/>
            </w:tcBorders>
            <w:vAlign w:val="center"/>
            <w:hideMark/>
          </w:tcPr>
          <w:p w14:paraId="2074C21C" w14:textId="77777777" w:rsidR="00C67F54" w:rsidRPr="00046858" w:rsidRDefault="00C67F54">
            <w:pPr>
              <w:spacing w:before="0" w:after="0"/>
              <w:rPr>
                <w:rFonts w:eastAsia="Times New Roman"/>
                <w:noProof/>
                <w:color w:val="000000"/>
                <w:sz w:val="18"/>
                <w:szCs w:val="18"/>
              </w:rPr>
            </w:pPr>
            <w:r w:rsidRPr="00046858">
              <w:rPr>
                <w:noProof/>
                <w:color w:val="000000"/>
                <w:sz w:val="18"/>
              </w:rPr>
              <w:t>Angajamente</w:t>
            </w:r>
          </w:p>
        </w:tc>
        <w:tc>
          <w:tcPr>
            <w:tcW w:w="310" w:type="pct"/>
            <w:gridSpan w:val="2"/>
            <w:tcBorders>
              <w:top w:val="nil"/>
              <w:left w:val="nil"/>
              <w:bottom w:val="single" w:sz="8" w:space="0" w:color="auto"/>
              <w:right w:val="single" w:sz="8" w:space="0" w:color="auto"/>
            </w:tcBorders>
            <w:vAlign w:val="center"/>
            <w:hideMark/>
          </w:tcPr>
          <w:p w14:paraId="3A4768F0" w14:textId="77777777" w:rsidR="00C67F54" w:rsidRPr="00046858" w:rsidRDefault="00C67F54">
            <w:pPr>
              <w:spacing w:before="0" w:after="0"/>
              <w:jc w:val="center"/>
              <w:rPr>
                <w:rFonts w:eastAsia="Times New Roman"/>
                <w:noProof/>
                <w:color w:val="000000"/>
                <w:sz w:val="14"/>
                <w:szCs w:val="14"/>
              </w:rPr>
            </w:pPr>
            <w:r w:rsidRPr="00046858">
              <w:rPr>
                <w:noProof/>
                <w:color w:val="000000"/>
                <w:sz w:val="14"/>
              </w:rPr>
              <w:t>=1a+1b+3</w:t>
            </w:r>
          </w:p>
        </w:tc>
        <w:tc>
          <w:tcPr>
            <w:tcW w:w="332" w:type="pct"/>
            <w:tcBorders>
              <w:top w:val="nil"/>
              <w:left w:val="nil"/>
              <w:bottom w:val="single" w:sz="8" w:space="0" w:color="auto"/>
              <w:right w:val="single" w:sz="8" w:space="0" w:color="auto"/>
            </w:tcBorders>
            <w:shd w:val="clear" w:color="000000" w:fill="D9D9D9"/>
            <w:vAlign w:val="center"/>
            <w:hideMark/>
          </w:tcPr>
          <w:p w14:paraId="6091A4F0" w14:textId="77777777" w:rsidR="00C67F54" w:rsidRPr="00046858" w:rsidRDefault="00C67F54">
            <w:pPr>
              <w:spacing w:before="0" w:after="0"/>
              <w:jc w:val="right"/>
              <w:rPr>
                <w:rFonts w:eastAsia="Times New Roman"/>
                <w:b/>
                <w:noProof/>
                <w:color w:val="000000"/>
                <w:sz w:val="20"/>
                <w:szCs w:val="20"/>
              </w:rPr>
            </w:pPr>
            <w:r w:rsidRPr="00046858">
              <w:rPr>
                <w:b/>
                <w:noProof/>
                <w:sz w:val="20"/>
              </w:rPr>
              <w:t>30,000</w:t>
            </w:r>
          </w:p>
        </w:tc>
        <w:tc>
          <w:tcPr>
            <w:tcW w:w="332" w:type="pct"/>
            <w:gridSpan w:val="2"/>
            <w:tcBorders>
              <w:top w:val="nil"/>
              <w:left w:val="nil"/>
              <w:bottom w:val="single" w:sz="8" w:space="0" w:color="auto"/>
              <w:right w:val="single" w:sz="8" w:space="0" w:color="auto"/>
            </w:tcBorders>
            <w:shd w:val="clear" w:color="000000" w:fill="D9D9D9"/>
            <w:vAlign w:val="center"/>
            <w:hideMark/>
          </w:tcPr>
          <w:p w14:paraId="4E717EA7" w14:textId="77777777" w:rsidR="00C67F54" w:rsidRPr="00046858" w:rsidRDefault="00C67F54">
            <w:pPr>
              <w:spacing w:before="0" w:after="0"/>
              <w:jc w:val="right"/>
              <w:rPr>
                <w:rFonts w:eastAsia="Times New Roman"/>
                <w:b/>
                <w:noProof/>
                <w:color w:val="000000"/>
                <w:sz w:val="20"/>
                <w:szCs w:val="20"/>
                <w:lang w:eastAsia="en-IE"/>
              </w:rPr>
            </w:pPr>
          </w:p>
        </w:tc>
        <w:tc>
          <w:tcPr>
            <w:tcW w:w="332" w:type="pct"/>
            <w:gridSpan w:val="3"/>
            <w:tcBorders>
              <w:top w:val="nil"/>
              <w:left w:val="nil"/>
              <w:bottom w:val="single" w:sz="8" w:space="0" w:color="auto"/>
              <w:right w:val="single" w:sz="8" w:space="0" w:color="auto"/>
            </w:tcBorders>
            <w:shd w:val="clear" w:color="000000" w:fill="D9D9D9"/>
            <w:vAlign w:val="center"/>
            <w:hideMark/>
          </w:tcPr>
          <w:p w14:paraId="7314A2FC" w14:textId="77777777" w:rsidR="00C67F54" w:rsidRPr="00046858" w:rsidRDefault="00C67F54">
            <w:pPr>
              <w:spacing w:before="0" w:after="0"/>
              <w:jc w:val="right"/>
              <w:rPr>
                <w:rFonts w:eastAsia="Times New Roman"/>
                <w:b/>
                <w:noProof/>
                <w:color w:val="000000"/>
                <w:sz w:val="20"/>
                <w:szCs w:val="20"/>
              </w:rPr>
            </w:pPr>
            <w:r w:rsidRPr="00046858">
              <w:rPr>
                <w:b/>
                <w:noProof/>
                <w:sz w:val="20"/>
              </w:rPr>
              <w:t>20,000</w:t>
            </w:r>
          </w:p>
        </w:tc>
        <w:tc>
          <w:tcPr>
            <w:tcW w:w="332" w:type="pct"/>
            <w:gridSpan w:val="3"/>
            <w:tcBorders>
              <w:top w:val="nil"/>
              <w:left w:val="nil"/>
              <w:bottom w:val="single" w:sz="8" w:space="0" w:color="auto"/>
              <w:right w:val="single" w:sz="8" w:space="0" w:color="auto"/>
            </w:tcBorders>
            <w:shd w:val="clear" w:color="000000" w:fill="D9D9D9"/>
            <w:vAlign w:val="center"/>
            <w:hideMark/>
          </w:tcPr>
          <w:p w14:paraId="79BD80F9" w14:textId="77777777" w:rsidR="00C67F54" w:rsidRPr="00046858" w:rsidRDefault="00C67F54">
            <w:pPr>
              <w:spacing w:before="0" w:after="0"/>
              <w:jc w:val="right"/>
              <w:rPr>
                <w:rFonts w:eastAsia="Times New Roman"/>
                <w:b/>
                <w:noProof/>
                <w:color w:val="000000"/>
                <w:sz w:val="20"/>
                <w:szCs w:val="20"/>
                <w:lang w:eastAsia="en-IE"/>
              </w:rPr>
            </w:pPr>
          </w:p>
        </w:tc>
        <w:tc>
          <w:tcPr>
            <w:tcW w:w="332" w:type="pct"/>
            <w:gridSpan w:val="2"/>
            <w:tcBorders>
              <w:top w:val="nil"/>
              <w:left w:val="nil"/>
              <w:bottom w:val="single" w:sz="8" w:space="0" w:color="auto"/>
              <w:right w:val="single" w:sz="8" w:space="0" w:color="auto"/>
            </w:tcBorders>
            <w:shd w:val="clear" w:color="000000" w:fill="D9D9D9"/>
            <w:vAlign w:val="center"/>
            <w:hideMark/>
          </w:tcPr>
          <w:p w14:paraId="7609D228" w14:textId="77777777" w:rsidR="00C67F54" w:rsidRPr="00046858" w:rsidRDefault="00C67F54">
            <w:pPr>
              <w:spacing w:before="0" w:after="0"/>
              <w:jc w:val="right"/>
              <w:rPr>
                <w:rFonts w:eastAsia="Times New Roman"/>
                <w:b/>
                <w:noProof/>
                <w:color w:val="000000"/>
                <w:sz w:val="20"/>
                <w:szCs w:val="20"/>
              </w:rPr>
            </w:pPr>
            <w:r w:rsidRPr="00046858">
              <w:rPr>
                <w:b/>
                <w:noProof/>
                <w:sz w:val="20"/>
              </w:rPr>
              <w:t>10,000</w:t>
            </w:r>
          </w:p>
        </w:tc>
        <w:tc>
          <w:tcPr>
            <w:tcW w:w="332" w:type="pct"/>
            <w:tcBorders>
              <w:top w:val="nil"/>
              <w:left w:val="nil"/>
              <w:bottom w:val="single" w:sz="8" w:space="0" w:color="auto"/>
              <w:right w:val="single" w:sz="8" w:space="0" w:color="auto"/>
            </w:tcBorders>
            <w:shd w:val="clear" w:color="000000" w:fill="D9D9D9"/>
            <w:vAlign w:val="center"/>
            <w:hideMark/>
          </w:tcPr>
          <w:p w14:paraId="71D0328D" w14:textId="77777777" w:rsidR="00C67F54" w:rsidRPr="00046858" w:rsidRDefault="00C67F54">
            <w:pPr>
              <w:spacing w:before="0" w:after="0"/>
              <w:jc w:val="right"/>
              <w:rPr>
                <w:rFonts w:eastAsia="Times New Roman"/>
                <w:b/>
                <w:noProof/>
                <w:color w:val="000000"/>
                <w:sz w:val="20"/>
                <w:szCs w:val="20"/>
                <w:lang w:eastAsia="en-IE"/>
              </w:rPr>
            </w:pPr>
          </w:p>
        </w:tc>
        <w:tc>
          <w:tcPr>
            <w:tcW w:w="332" w:type="pct"/>
            <w:gridSpan w:val="2"/>
            <w:tcBorders>
              <w:top w:val="nil"/>
              <w:left w:val="nil"/>
              <w:bottom w:val="single" w:sz="8" w:space="0" w:color="auto"/>
              <w:right w:val="single" w:sz="8" w:space="0" w:color="auto"/>
            </w:tcBorders>
            <w:shd w:val="clear" w:color="000000" w:fill="D9D9D9"/>
            <w:vAlign w:val="center"/>
            <w:hideMark/>
          </w:tcPr>
          <w:p w14:paraId="5B304C53" w14:textId="77777777" w:rsidR="00C67F54" w:rsidRPr="00046858" w:rsidRDefault="00C67F54">
            <w:pPr>
              <w:spacing w:before="0" w:after="0"/>
              <w:jc w:val="right"/>
              <w:rPr>
                <w:rFonts w:eastAsia="Times New Roman"/>
                <w:b/>
                <w:noProof/>
                <w:color w:val="000000"/>
                <w:sz w:val="20"/>
                <w:szCs w:val="20"/>
              </w:rPr>
            </w:pPr>
            <w:r w:rsidRPr="00046858">
              <w:rPr>
                <w:b/>
                <w:noProof/>
                <w:sz w:val="20"/>
              </w:rPr>
              <w:t>10,000</w:t>
            </w:r>
          </w:p>
        </w:tc>
        <w:tc>
          <w:tcPr>
            <w:tcW w:w="332" w:type="pct"/>
            <w:gridSpan w:val="3"/>
            <w:tcBorders>
              <w:top w:val="nil"/>
              <w:left w:val="nil"/>
              <w:bottom w:val="single" w:sz="8" w:space="0" w:color="auto"/>
              <w:right w:val="single" w:sz="4" w:space="0" w:color="auto"/>
            </w:tcBorders>
            <w:shd w:val="clear" w:color="000000" w:fill="D9D9D9"/>
            <w:vAlign w:val="center"/>
          </w:tcPr>
          <w:p w14:paraId="66ECE4CA" w14:textId="77777777" w:rsidR="00C67F54" w:rsidRPr="00046858" w:rsidRDefault="00C67F54">
            <w:pPr>
              <w:spacing w:before="0" w:after="0"/>
              <w:jc w:val="right"/>
              <w:rPr>
                <w:rFonts w:eastAsia="Times New Roman"/>
                <w:b/>
                <w:bCs/>
                <w:noProof/>
                <w:color w:val="000000"/>
                <w:sz w:val="20"/>
                <w:szCs w:val="20"/>
                <w:lang w:eastAsia="en-IE"/>
              </w:rPr>
            </w:pPr>
          </w:p>
        </w:tc>
        <w:tc>
          <w:tcPr>
            <w:tcW w:w="705" w:type="pct"/>
            <w:gridSpan w:val="3"/>
            <w:tcBorders>
              <w:top w:val="single" w:sz="8" w:space="0" w:color="auto"/>
              <w:left w:val="single" w:sz="4" w:space="0" w:color="auto"/>
              <w:bottom w:val="single" w:sz="8" w:space="0" w:color="auto"/>
              <w:right w:val="single" w:sz="8" w:space="0" w:color="auto"/>
            </w:tcBorders>
            <w:shd w:val="clear" w:color="000000" w:fill="D9D9D9"/>
            <w:vAlign w:val="center"/>
            <w:hideMark/>
          </w:tcPr>
          <w:p w14:paraId="29121504" w14:textId="77777777" w:rsidR="00C67F54" w:rsidRPr="00046858" w:rsidRDefault="00C67F54">
            <w:pPr>
              <w:spacing w:before="0" w:after="0"/>
              <w:jc w:val="right"/>
              <w:rPr>
                <w:rFonts w:eastAsia="Times New Roman"/>
                <w:b/>
                <w:bCs/>
                <w:noProof/>
                <w:color w:val="000000"/>
                <w:sz w:val="20"/>
                <w:szCs w:val="20"/>
              </w:rPr>
            </w:pPr>
            <w:r w:rsidRPr="00046858">
              <w:rPr>
                <w:b/>
                <w:noProof/>
                <w:color w:val="000000"/>
                <w:sz w:val="20"/>
              </w:rPr>
              <w:t>70,000</w:t>
            </w:r>
          </w:p>
        </w:tc>
      </w:tr>
      <w:tr w:rsidR="00C67F54" w:rsidRPr="00046858" w14:paraId="4F3CEE91" w14:textId="77777777">
        <w:trPr>
          <w:gridAfter w:val="1"/>
          <w:wAfter w:w="1212" w:type="dxa"/>
          <w:trHeight w:val="570"/>
        </w:trPr>
        <w:tc>
          <w:tcPr>
            <w:tcW w:w="805" w:type="pct"/>
            <w:gridSpan w:val="4"/>
            <w:tcBorders>
              <w:top w:val="nil"/>
              <w:left w:val="single" w:sz="8" w:space="0" w:color="auto"/>
              <w:bottom w:val="single" w:sz="8" w:space="0" w:color="auto"/>
              <w:right w:val="single" w:sz="8" w:space="0" w:color="auto"/>
            </w:tcBorders>
            <w:vAlign w:val="center"/>
            <w:hideMark/>
          </w:tcPr>
          <w:p w14:paraId="30112651" w14:textId="77777777" w:rsidR="00C67F54" w:rsidRPr="00046858" w:rsidRDefault="00C67F54">
            <w:pPr>
              <w:spacing w:before="0" w:after="0"/>
              <w:jc w:val="center"/>
              <w:rPr>
                <w:rFonts w:eastAsia="Times New Roman"/>
                <w:b/>
                <w:bCs/>
                <w:noProof/>
                <w:color w:val="000000"/>
                <w:sz w:val="22"/>
              </w:rPr>
            </w:pPr>
            <w:r w:rsidRPr="00046858">
              <w:rPr>
                <w:b/>
                <w:noProof/>
                <w:color w:val="000000"/>
                <w:sz w:val="22"/>
              </w:rPr>
              <w:t>pentru DG CNECT</w:t>
            </w:r>
          </w:p>
        </w:tc>
        <w:tc>
          <w:tcPr>
            <w:tcW w:w="524" w:type="pct"/>
            <w:gridSpan w:val="4"/>
            <w:tcBorders>
              <w:top w:val="nil"/>
              <w:left w:val="nil"/>
              <w:bottom w:val="single" w:sz="8" w:space="0" w:color="auto"/>
              <w:right w:val="single" w:sz="8" w:space="0" w:color="auto"/>
            </w:tcBorders>
            <w:vAlign w:val="center"/>
            <w:hideMark/>
          </w:tcPr>
          <w:p w14:paraId="1CF7CF2A" w14:textId="77777777" w:rsidR="00C67F54" w:rsidRPr="00046858" w:rsidRDefault="00C67F54">
            <w:pPr>
              <w:spacing w:before="0" w:after="0"/>
              <w:rPr>
                <w:rFonts w:eastAsia="Times New Roman"/>
                <w:noProof/>
                <w:color w:val="000000"/>
                <w:sz w:val="18"/>
                <w:szCs w:val="18"/>
              </w:rPr>
            </w:pPr>
            <w:r w:rsidRPr="00046858">
              <w:rPr>
                <w:noProof/>
                <w:color w:val="000000"/>
                <w:sz w:val="18"/>
              </w:rPr>
              <w:t>Plăți</w:t>
            </w:r>
          </w:p>
        </w:tc>
        <w:tc>
          <w:tcPr>
            <w:tcW w:w="310" w:type="pct"/>
            <w:gridSpan w:val="2"/>
            <w:tcBorders>
              <w:top w:val="nil"/>
              <w:left w:val="nil"/>
              <w:bottom w:val="single" w:sz="8" w:space="0" w:color="auto"/>
              <w:right w:val="single" w:sz="8" w:space="0" w:color="auto"/>
            </w:tcBorders>
            <w:vAlign w:val="center"/>
            <w:hideMark/>
          </w:tcPr>
          <w:p w14:paraId="69D33AA6" w14:textId="77777777" w:rsidR="00C67F54" w:rsidRPr="00046858" w:rsidRDefault="00C67F54">
            <w:pPr>
              <w:spacing w:before="0" w:after="0"/>
              <w:jc w:val="center"/>
              <w:rPr>
                <w:rFonts w:eastAsia="Times New Roman"/>
                <w:noProof/>
                <w:color w:val="000000"/>
                <w:sz w:val="14"/>
                <w:szCs w:val="14"/>
              </w:rPr>
            </w:pPr>
            <w:r w:rsidRPr="00046858">
              <w:rPr>
                <w:noProof/>
                <w:color w:val="000000"/>
                <w:sz w:val="14"/>
              </w:rPr>
              <w:t>=2a+2b+3</w:t>
            </w:r>
          </w:p>
        </w:tc>
        <w:tc>
          <w:tcPr>
            <w:tcW w:w="332" w:type="pct"/>
            <w:tcBorders>
              <w:top w:val="nil"/>
              <w:left w:val="nil"/>
              <w:bottom w:val="single" w:sz="8" w:space="0" w:color="auto"/>
              <w:right w:val="single" w:sz="8" w:space="0" w:color="auto"/>
            </w:tcBorders>
            <w:shd w:val="clear" w:color="000000" w:fill="D9D9D9"/>
            <w:vAlign w:val="center"/>
            <w:hideMark/>
          </w:tcPr>
          <w:p w14:paraId="677DDB94" w14:textId="77777777" w:rsidR="00C67F54" w:rsidRPr="00046858" w:rsidRDefault="00C67F54">
            <w:pPr>
              <w:spacing w:before="0" w:after="0"/>
              <w:jc w:val="right"/>
              <w:rPr>
                <w:rFonts w:eastAsia="Times New Roman"/>
                <w:b/>
                <w:noProof/>
                <w:color w:val="000000"/>
                <w:sz w:val="20"/>
                <w:szCs w:val="20"/>
              </w:rPr>
            </w:pPr>
            <w:r w:rsidRPr="00046858">
              <w:rPr>
                <w:b/>
                <w:noProof/>
                <w:sz w:val="20"/>
              </w:rPr>
              <w:t>18,000</w:t>
            </w:r>
          </w:p>
        </w:tc>
        <w:tc>
          <w:tcPr>
            <w:tcW w:w="332" w:type="pct"/>
            <w:gridSpan w:val="2"/>
            <w:tcBorders>
              <w:top w:val="nil"/>
              <w:left w:val="nil"/>
              <w:bottom w:val="single" w:sz="8" w:space="0" w:color="auto"/>
              <w:right w:val="single" w:sz="8" w:space="0" w:color="auto"/>
            </w:tcBorders>
            <w:shd w:val="clear" w:color="000000" w:fill="D9D9D9"/>
            <w:vAlign w:val="center"/>
            <w:hideMark/>
          </w:tcPr>
          <w:p w14:paraId="625D9E78" w14:textId="77777777" w:rsidR="00C67F54" w:rsidRPr="00046858" w:rsidRDefault="00C67F54">
            <w:pPr>
              <w:spacing w:before="0" w:after="0"/>
              <w:jc w:val="right"/>
              <w:rPr>
                <w:rFonts w:eastAsia="Times New Roman"/>
                <w:b/>
                <w:noProof/>
                <w:color w:val="000000"/>
                <w:sz w:val="20"/>
                <w:szCs w:val="20"/>
              </w:rPr>
            </w:pPr>
            <w:r w:rsidRPr="00046858">
              <w:rPr>
                <w:b/>
                <w:noProof/>
                <w:sz w:val="20"/>
              </w:rPr>
              <w:t>6,000</w:t>
            </w:r>
          </w:p>
        </w:tc>
        <w:tc>
          <w:tcPr>
            <w:tcW w:w="332" w:type="pct"/>
            <w:gridSpan w:val="3"/>
            <w:tcBorders>
              <w:top w:val="nil"/>
              <w:left w:val="nil"/>
              <w:bottom w:val="single" w:sz="8" w:space="0" w:color="auto"/>
              <w:right w:val="single" w:sz="8" w:space="0" w:color="auto"/>
            </w:tcBorders>
            <w:shd w:val="clear" w:color="000000" w:fill="D9D9D9"/>
            <w:vAlign w:val="center"/>
            <w:hideMark/>
          </w:tcPr>
          <w:p w14:paraId="3C955C67" w14:textId="77777777" w:rsidR="00C67F54" w:rsidRPr="00046858" w:rsidRDefault="00C67F54">
            <w:pPr>
              <w:spacing w:before="0" w:after="0"/>
              <w:jc w:val="right"/>
              <w:rPr>
                <w:rFonts w:eastAsia="Times New Roman"/>
                <w:b/>
                <w:noProof/>
                <w:color w:val="000000"/>
                <w:sz w:val="20"/>
                <w:szCs w:val="20"/>
              </w:rPr>
            </w:pPr>
            <w:r w:rsidRPr="00046858">
              <w:rPr>
                <w:b/>
                <w:noProof/>
                <w:sz w:val="20"/>
              </w:rPr>
              <w:t>15,000</w:t>
            </w:r>
          </w:p>
        </w:tc>
        <w:tc>
          <w:tcPr>
            <w:tcW w:w="332" w:type="pct"/>
            <w:gridSpan w:val="3"/>
            <w:tcBorders>
              <w:top w:val="nil"/>
              <w:left w:val="nil"/>
              <w:bottom w:val="single" w:sz="8" w:space="0" w:color="auto"/>
              <w:right w:val="single" w:sz="8" w:space="0" w:color="auto"/>
            </w:tcBorders>
            <w:shd w:val="clear" w:color="000000" w:fill="D9D9D9"/>
            <w:vAlign w:val="center"/>
            <w:hideMark/>
          </w:tcPr>
          <w:p w14:paraId="4906AA18" w14:textId="77777777" w:rsidR="00C67F54" w:rsidRPr="00046858" w:rsidRDefault="00C67F54">
            <w:pPr>
              <w:spacing w:before="0" w:after="0"/>
              <w:jc w:val="right"/>
              <w:rPr>
                <w:rFonts w:eastAsia="Times New Roman"/>
                <w:b/>
                <w:noProof/>
                <w:color w:val="000000"/>
                <w:sz w:val="20"/>
                <w:szCs w:val="20"/>
              </w:rPr>
            </w:pPr>
            <w:r w:rsidRPr="00046858">
              <w:rPr>
                <w:b/>
                <w:noProof/>
                <w:sz w:val="20"/>
              </w:rPr>
              <w:t>7,000</w:t>
            </w:r>
          </w:p>
        </w:tc>
        <w:tc>
          <w:tcPr>
            <w:tcW w:w="332" w:type="pct"/>
            <w:gridSpan w:val="2"/>
            <w:tcBorders>
              <w:top w:val="nil"/>
              <w:left w:val="nil"/>
              <w:bottom w:val="single" w:sz="8" w:space="0" w:color="auto"/>
              <w:right w:val="single" w:sz="8" w:space="0" w:color="auto"/>
            </w:tcBorders>
            <w:shd w:val="clear" w:color="000000" w:fill="D9D9D9"/>
            <w:vAlign w:val="center"/>
            <w:hideMark/>
          </w:tcPr>
          <w:p w14:paraId="1FB829EC" w14:textId="77777777" w:rsidR="00C67F54" w:rsidRPr="00046858" w:rsidRDefault="00C67F54">
            <w:pPr>
              <w:spacing w:before="0" w:after="0"/>
              <w:jc w:val="right"/>
              <w:rPr>
                <w:rFonts w:eastAsia="Times New Roman"/>
                <w:b/>
                <w:noProof/>
                <w:color w:val="000000"/>
                <w:sz w:val="20"/>
                <w:szCs w:val="20"/>
              </w:rPr>
            </w:pPr>
            <w:r w:rsidRPr="00046858">
              <w:rPr>
                <w:b/>
                <w:noProof/>
                <w:sz w:val="20"/>
              </w:rPr>
              <w:t>8,000</w:t>
            </w:r>
          </w:p>
        </w:tc>
        <w:tc>
          <w:tcPr>
            <w:tcW w:w="332" w:type="pct"/>
            <w:tcBorders>
              <w:top w:val="nil"/>
              <w:left w:val="nil"/>
              <w:bottom w:val="single" w:sz="8" w:space="0" w:color="auto"/>
              <w:right w:val="single" w:sz="8" w:space="0" w:color="auto"/>
            </w:tcBorders>
            <w:shd w:val="clear" w:color="000000" w:fill="D9D9D9"/>
            <w:vAlign w:val="center"/>
            <w:hideMark/>
          </w:tcPr>
          <w:p w14:paraId="772CF5FB" w14:textId="77777777" w:rsidR="00C67F54" w:rsidRPr="00046858" w:rsidRDefault="00C67F54">
            <w:pPr>
              <w:spacing w:before="0" w:after="0"/>
              <w:jc w:val="right"/>
              <w:rPr>
                <w:rFonts w:eastAsia="Times New Roman"/>
                <w:b/>
                <w:noProof/>
                <w:color w:val="000000"/>
                <w:sz w:val="20"/>
                <w:szCs w:val="20"/>
              </w:rPr>
            </w:pPr>
            <w:r w:rsidRPr="00046858">
              <w:rPr>
                <w:b/>
                <w:noProof/>
                <w:sz w:val="20"/>
              </w:rPr>
              <w:t>4,000</w:t>
            </w:r>
          </w:p>
        </w:tc>
        <w:tc>
          <w:tcPr>
            <w:tcW w:w="332" w:type="pct"/>
            <w:gridSpan w:val="2"/>
            <w:tcBorders>
              <w:top w:val="nil"/>
              <w:left w:val="nil"/>
              <w:bottom w:val="single" w:sz="8" w:space="0" w:color="auto"/>
              <w:right w:val="single" w:sz="8" w:space="0" w:color="auto"/>
            </w:tcBorders>
            <w:shd w:val="clear" w:color="000000" w:fill="D9D9D9"/>
            <w:vAlign w:val="center"/>
            <w:hideMark/>
          </w:tcPr>
          <w:p w14:paraId="12E5A7AE" w14:textId="77777777" w:rsidR="00C67F54" w:rsidRPr="00046858" w:rsidRDefault="00C67F54">
            <w:pPr>
              <w:spacing w:before="0" w:after="0"/>
              <w:jc w:val="right"/>
              <w:rPr>
                <w:rFonts w:eastAsia="Times New Roman"/>
                <w:b/>
                <w:noProof/>
                <w:color w:val="000000"/>
                <w:sz w:val="20"/>
                <w:szCs w:val="20"/>
              </w:rPr>
            </w:pPr>
            <w:r w:rsidRPr="00046858">
              <w:rPr>
                <w:b/>
                <w:noProof/>
                <w:sz w:val="20"/>
              </w:rPr>
              <w:t>7,000</w:t>
            </w:r>
          </w:p>
        </w:tc>
        <w:tc>
          <w:tcPr>
            <w:tcW w:w="332" w:type="pct"/>
            <w:gridSpan w:val="3"/>
            <w:tcBorders>
              <w:top w:val="nil"/>
              <w:left w:val="nil"/>
              <w:bottom w:val="single" w:sz="8" w:space="0" w:color="auto"/>
              <w:right w:val="single" w:sz="4" w:space="0" w:color="auto"/>
            </w:tcBorders>
            <w:shd w:val="clear" w:color="000000" w:fill="D9D9D9"/>
            <w:vAlign w:val="center"/>
          </w:tcPr>
          <w:p w14:paraId="0F5E7DAE" w14:textId="77777777" w:rsidR="00C67F54" w:rsidRPr="00046858" w:rsidRDefault="00C67F54">
            <w:pPr>
              <w:spacing w:before="0" w:after="0"/>
              <w:jc w:val="right"/>
              <w:rPr>
                <w:rFonts w:eastAsia="Times New Roman"/>
                <w:b/>
                <w:bCs/>
                <w:noProof/>
                <w:color w:val="000000"/>
                <w:sz w:val="20"/>
                <w:szCs w:val="20"/>
              </w:rPr>
            </w:pPr>
            <w:r w:rsidRPr="00046858">
              <w:rPr>
                <w:b/>
                <w:noProof/>
                <w:color w:val="000000"/>
                <w:sz w:val="20"/>
              </w:rPr>
              <w:t>5,000</w:t>
            </w:r>
          </w:p>
        </w:tc>
        <w:tc>
          <w:tcPr>
            <w:tcW w:w="705" w:type="pct"/>
            <w:gridSpan w:val="3"/>
            <w:tcBorders>
              <w:top w:val="single" w:sz="8" w:space="0" w:color="auto"/>
              <w:left w:val="single" w:sz="4" w:space="0" w:color="auto"/>
              <w:bottom w:val="single" w:sz="8" w:space="0" w:color="auto"/>
              <w:right w:val="single" w:sz="8" w:space="0" w:color="auto"/>
            </w:tcBorders>
            <w:shd w:val="clear" w:color="000000" w:fill="D9D9D9"/>
            <w:vAlign w:val="center"/>
            <w:hideMark/>
          </w:tcPr>
          <w:p w14:paraId="370829EB" w14:textId="77777777" w:rsidR="00C67F54" w:rsidRPr="00046858" w:rsidRDefault="00C67F54">
            <w:pPr>
              <w:spacing w:before="0" w:after="0"/>
              <w:jc w:val="right"/>
              <w:rPr>
                <w:rFonts w:eastAsia="Times New Roman"/>
                <w:b/>
                <w:bCs/>
                <w:noProof/>
                <w:color w:val="000000"/>
                <w:sz w:val="20"/>
                <w:szCs w:val="20"/>
              </w:rPr>
            </w:pPr>
            <w:r w:rsidRPr="00046858">
              <w:rPr>
                <w:b/>
                <w:noProof/>
                <w:color w:val="000000"/>
                <w:sz w:val="20"/>
              </w:rPr>
              <w:t>70,000</w:t>
            </w:r>
          </w:p>
        </w:tc>
      </w:tr>
      <w:tr w:rsidR="00C67F54" w:rsidRPr="00046858" w14:paraId="77CE0A97" w14:textId="77777777" w:rsidTr="00160B23">
        <w:trPr>
          <w:trHeight w:val="410"/>
        </w:trPr>
        <w:tc>
          <w:tcPr>
            <w:tcW w:w="1457" w:type="pct"/>
            <w:gridSpan w:val="9"/>
            <w:vMerge w:val="restart"/>
            <w:tcBorders>
              <w:top w:val="single" w:sz="8" w:space="0" w:color="auto"/>
              <w:left w:val="single" w:sz="8" w:space="0" w:color="auto"/>
              <w:bottom w:val="single" w:sz="8" w:space="0" w:color="000000"/>
              <w:right w:val="single" w:sz="8" w:space="0" w:color="000000"/>
            </w:tcBorders>
            <w:vAlign w:val="center"/>
            <w:hideMark/>
          </w:tcPr>
          <w:p w14:paraId="6F99147A" w14:textId="77777777" w:rsidR="00C67F54" w:rsidRPr="00046858" w:rsidRDefault="00C67F54">
            <w:pPr>
              <w:spacing w:before="0" w:after="0"/>
              <w:jc w:val="center"/>
              <w:rPr>
                <w:rFonts w:eastAsia="Times New Roman"/>
                <w:b/>
                <w:bCs/>
                <w:noProof/>
                <w:color w:val="000000"/>
                <w:sz w:val="22"/>
              </w:rPr>
            </w:pPr>
            <w:r w:rsidRPr="00046858">
              <w:rPr>
                <w:b/>
                <w:noProof/>
                <w:color w:val="000000"/>
                <w:sz w:val="22"/>
              </w:rPr>
              <w:t xml:space="preserve"> </w:t>
            </w:r>
          </w:p>
        </w:tc>
        <w:tc>
          <w:tcPr>
            <w:tcW w:w="392" w:type="pct"/>
            <w:gridSpan w:val="2"/>
            <w:tcBorders>
              <w:top w:val="single" w:sz="8" w:space="0" w:color="auto"/>
              <w:left w:val="nil"/>
              <w:right w:val="single" w:sz="8" w:space="0" w:color="auto"/>
            </w:tcBorders>
            <w:vAlign w:val="center"/>
            <w:hideMark/>
          </w:tcPr>
          <w:p w14:paraId="5EB38A6C"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Anul</w:t>
            </w:r>
          </w:p>
        </w:tc>
        <w:tc>
          <w:tcPr>
            <w:tcW w:w="392" w:type="pct"/>
            <w:gridSpan w:val="3"/>
            <w:tcBorders>
              <w:top w:val="single" w:sz="8" w:space="0" w:color="auto"/>
              <w:left w:val="nil"/>
              <w:right w:val="single" w:sz="8" w:space="0" w:color="auto"/>
            </w:tcBorders>
            <w:vAlign w:val="center"/>
            <w:hideMark/>
          </w:tcPr>
          <w:p w14:paraId="28D2460D"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Anul</w:t>
            </w:r>
          </w:p>
        </w:tc>
        <w:tc>
          <w:tcPr>
            <w:tcW w:w="392" w:type="pct"/>
            <w:gridSpan w:val="3"/>
            <w:tcBorders>
              <w:top w:val="single" w:sz="8" w:space="0" w:color="auto"/>
              <w:left w:val="nil"/>
              <w:right w:val="single" w:sz="8" w:space="0" w:color="auto"/>
            </w:tcBorders>
            <w:vAlign w:val="center"/>
            <w:hideMark/>
          </w:tcPr>
          <w:p w14:paraId="25D61B05"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Anul</w:t>
            </w:r>
          </w:p>
        </w:tc>
        <w:tc>
          <w:tcPr>
            <w:tcW w:w="392" w:type="pct"/>
            <w:gridSpan w:val="4"/>
            <w:tcBorders>
              <w:top w:val="single" w:sz="8" w:space="0" w:color="auto"/>
              <w:left w:val="nil"/>
              <w:right w:val="single" w:sz="8" w:space="0" w:color="auto"/>
            </w:tcBorders>
            <w:vAlign w:val="center"/>
            <w:hideMark/>
          </w:tcPr>
          <w:p w14:paraId="21D74E6F"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Anul</w:t>
            </w:r>
          </w:p>
        </w:tc>
        <w:tc>
          <w:tcPr>
            <w:tcW w:w="392" w:type="pct"/>
            <w:gridSpan w:val="2"/>
            <w:tcBorders>
              <w:top w:val="single" w:sz="8" w:space="0" w:color="auto"/>
              <w:left w:val="nil"/>
              <w:right w:val="single" w:sz="8" w:space="0" w:color="auto"/>
            </w:tcBorders>
            <w:vAlign w:val="center"/>
            <w:hideMark/>
          </w:tcPr>
          <w:p w14:paraId="5BE8B3F7"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Anul</w:t>
            </w:r>
          </w:p>
        </w:tc>
        <w:tc>
          <w:tcPr>
            <w:tcW w:w="392" w:type="pct"/>
            <w:gridSpan w:val="3"/>
            <w:tcBorders>
              <w:top w:val="single" w:sz="8" w:space="0" w:color="auto"/>
              <w:left w:val="nil"/>
              <w:right w:val="single" w:sz="8" w:space="0" w:color="auto"/>
            </w:tcBorders>
            <w:vAlign w:val="center"/>
            <w:hideMark/>
          </w:tcPr>
          <w:p w14:paraId="094CFB0D"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Anul</w:t>
            </w:r>
          </w:p>
        </w:tc>
        <w:tc>
          <w:tcPr>
            <w:tcW w:w="392" w:type="pct"/>
            <w:gridSpan w:val="2"/>
            <w:tcBorders>
              <w:top w:val="single" w:sz="8" w:space="0" w:color="auto"/>
              <w:left w:val="nil"/>
              <w:right w:val="single" w:sz="8" w:space="0" w:color="auto"/>
            </w:tcBorders>
            <w:vAlign w:val="center"/>
            <w:hideMark/>
          </w:tcPr>
          <w:p w14:paraId="6947DFE9"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Anul</w:t>
            </w:r>
          </w:p>
        </w:tc>
        <w:tc>
          <w:tcPr>
            <w:tcW w:w="392" w:type="pct"/>
            <w:gridSpan w:val="2"/>
            <w:tcBorders>
              <w:top w:val="single" w:sz="8" w:space="0" w:color="auto"/>
              <w:left w:val="single" w:sz="8" w:space="0" w:color="auto"/>
              <w:right w:val="single" w:sz="8" w:space="0" w:color="auto"/>
            </w:tcBorders>
            <w:vAlign w:val="center"/>
          </w:tcPr>
          <w:p w14:paraId="0565E4B6"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După</w:t>
            </w:r>
          </w:p>
        </w:tc>
        <w:tc>
          <w:tcPr>
            <w:tcW w:w="405" w:type="pct"/>
            <w:vMerge w:val="restart"/>
            <w:tcBorders>
              <w:top w:val="single" w:sz="8" w:space="0" w:color="auto"/>
              <w:left w:val="single" w:sz="8" w:space="0" w:color="auto"/>
              <w:bottom w:val="single" w:sz="8" w:space="0" w:color="000000"/>
              <w:right w:val="single" w:sz="8" w:space="0" w:color="auto"/>
            </w:tcBorders>
            <w:vAlign w:val="center"/>
            <w:hideMark/>
          </w:tcPr>
          <w:p w14:paraId="3103BF48" w14:textId="77777777" w:rsidR="00C67F54" w:rsidRPr="00046858" w:rsidRDefault="00C67F54">
            <w:pPr>
              <w:spacing w:before="0" w:after="0"/>
              <w:jc w:val="center"/>
              <w:rPr>
                <w:rFonts w:eastAsia="Times New Roman"/>
                <w:b/>
                <w:bCs/>
                <w:noProof/>
                <w:color w:val="000000"/>
                <w:sz w:val="20"/>
                <w:szCs w:val="20"/>
              </w:rPr>
            </w:pPr>
            <w:r w:rsidRPr="00046858">
              <w:rPr>
                <w:b/>
                <w:noProof/>
                <w:color w:val="000000"/>
                <w:sz w:val="20"/>
              </w:rPr>
              <w:t>TOTAL CFM 2028-2034</w:t>
            </w:r>
          </w:p>
        </w:tc>
      </w:tr>
      <w:tr w:rsidR="00C67F54" w:rsidRPr="00046858" w14:paraId="5DFF4B69" w14:textId="77777777" w:rsidTr="00160B23">
        <w:trPr>
          <w:trHeight w:val="300"/>
        </w:trPr>
        <w:tc>
          <w:tcPr>
            <w:tcW w:w="1457" w:type="pct"/>
            <w:gridSpan w:val="9"/>
            <w:vMerge/>
            <w:tcBorders>
              <w:top w:val="single" w:sz="8" w:space="0" w:color="auto"/>
              <w:left w:val="single" w:sz="8" w:space="0" w:color="auto"/>
              <w:bottom w:val="single" w:sz="8" w:space="0" w:color="000000"/>
              <w:right w:val="single" w:sz="8" w:space="0" w:color="000000"/>
            </w:tcBorders>
            <w:vAlign w:val="center"/>
            <w:hideMark/>
          </w:tcPr>
          <w:p w14:paraId="3679301A" w14:textId="77777777" w:rsidR="00C67F54" w:rsidRPr="00046858" w:rsidRDefault="00C67F54">
            <w:pPr>
              <w:spacing w:before="0" w:after="0"/>
              <w:jc w:val="left"/>
              <w:rPr>
                <w:rFonts w:eastAsia="Times New Roman"/>
                <w:b/>
                <w:bCs/>
                <w:noProof/>
                <w:color w:val="000000"/>
                <w:sz w:val="22"/>
                <w:lang w:eastAsia="en-IE"/>
              </w:rPr>
            </w:pPr>
          </w:p>
        </w:tc>
        <w:tc>
          <w:tcPr>
            <w:tcW w:w="392" w:type="pct"/>
            <w:gridSpan w:val="2"/>
            <w:tcBorders>
              <w:left w:val="nil"/>
              <w:bottom w:val="single" w:sz="8" w:space="0" w:color="auto"/>
              <w:right w:val="single" w:sz="8" w:space="0" w:color="auto"/>
            </w:tcBorders>
            <w:vAlign w:val="center"/>
            <w:hideMark/>
          </w:tcPr>
          <w:p w14:paraId="623728FD" w14:textId="77777777" w:rsidR="00C67F54" w:rsidRPr="00046858" w:rsidRDefault="00C67F54">
            <w:pPr>
              <w:spacing w:before="0" w:after="0"/>
              <w:jc w:val="center"/>
              <w:rPr>
                <w:rFonts w:eastAsia="Times New Roman"/>
                <w:b/>
                <w:bCs/>
                <w:noProof/>
                <w:color w:val="000000"/>
                <w:sz w:val="20"/>
                <w:szCs w:val="20"/>
              </w:rPr>
            </w:pPr>
            <w:r w:rsidRPr="00046858">
              <w:rPr>
                <w:b/>
                <w:noProof/>
                <w:color w:val="000000"/>
                <w:sz w:val="20"/>
              </w:rPr>
              <w:t>2028</w:t>
            </w:r>
          </w:p>
        </w:tc>
        <w:tc>
          <w:tcPr>
            <w:tcW w:w="392" w:type="pct"/>
            <w:gridSpan w:val="3"/>
            <w:tcBorders>
              <w:left w:val="nil"/>
              <w:bottom w:val="single" w:sz="8" w:space="0" w:color="auto"/>
              <w:right w:val="single" w:sz="8" w:space="0" w:color="auto"/>
            </w:tcBorders>
            <w:vAlign w:val="center"/>
            <w:hideMark/>
          </w:tcPr>
          <w:p w14:paraId="792C600D" w14:textId="77777777" w:rsidR="00C67F54" w:rsidRPr="00046858" w:rsidRDefault="00C67F54">
            <w:pPr>
              <w:spacing w:before="0" w:after="0"/>
              <w:jc w:val="center"/>
              <w:rPr>
                <w:rFonts w:eastAsia="Times New Roman"/>
                <w:b/>
                <w:bCs/>
                <w:noProof/>
                <w:color w:val="000000"/>
                <w:sz w:val="20"/>
                <w:szCs w:val="20"/>
              </w:rPr>
            </w:pPr>
            <w:r w:rsidRPr="00046858">
              <w:rPr>
                <w:b/>
                <w:noProof/>
                <w:color w:val="000000"/>
                <w:sz w:val="20"/>
              </w:rPr>
              <w:t>2029</w:t>
            </w:r>
          </w:p>
        </w:tc>
        <w:tc>
          <w:tcPr>
            <w:tcW w:w="392" w:type="pct"/>
            <w:gridSpan w:val="3"/>
            <w:tcBorders>
              <w:left w:val="nil"/>
              <w:bottom w:val="single" w:sz="8" w:space="0" w:color="auto"/>
              <w:right w:val="single" w:sz="8" w:space="0" w:color="auto"/>
            </w:tcBorders>
            <w:vAlign w:val="center"/>
            <w:hideMark/>
          </w:tcPr>
          <w:p w14:paraId="366DD360" w14:textId="77777777" w:rsidR="00C67F54" w:rsidRPr="00046858" w:rsidRDefault="00C67F54">
            <w:pPr>
              <w:spacing w:before="0" w:after="0"/>
              <w:jc w:val="center"/>
              <w:rPr>
                <w:rFonts w:eastAsia="Times New Roman"/>
                <w:b/>
                <w:bCs/>
                <w:noProof/>
                <w:color w:val="000000"/>
                <w:sz w:val="20"/>
                <w:szCs w:val="20"/>
              </w:rPr>
            </w:pPr>
            <w:r w:rsidRPr="00046858">
              <w:rPr>
                <w:b/>
                <w:noProof/>
                <w:color w:val="000000"/>
                <w:sz w:val="20"/>
              </w:rPr>
              <w:t>2030</w:t>
            </w:r>
          </w:p>
        </w:tc>
        <w:tc>
          <w:tcPr>
            <w:tcW w:w="392" w:type="pct"/>
            <w:gridSpan w:val="4"/>
            <w:tcBorders>
              <w:left w:val="nil"/>
              <w:bottom w:val="single" w:sz="8" w:space="0" w:color="auto"/>
              <w:right w:val="single" w:sz="8" w:space="0" w:color="auto"/>
            </w:tcBorders>
            <w:vAlign w:val="center"/>
            <w:hideMark/>
          </w:tcPr>
          <w:p w14:paraId="2E52DF12" w14:textId="77777777" w:rsidR="00C67F54" w:rsidRPr="00046858" w:rsidRDefault="00C67F54">
            <w:pPr>
              <w:spacing w:before="0" w:after="0"/>
              <w:jc w:val="center"/>
              <w:rPr>
                <w:rFonts w:eastAsia="Times New Roman"/>
                <w:b/>
                <w:bCs/>
                <w:noProof/>
                <w:color w:val="000000"/>
                <w:sz w:val="20"/>
                <w:szCs w:val="20"/>
              </w:rPr>
            </w:pPr>
            <w:r w:rsidRPr="00046858">
              <w:rPr>
                <w:b/>
                <w:noProof/>
                <w:color w:val="000000"/>
                <w:sz w:val="20"/>
              </w:rPr>
              <w:t>2031</w:t>
            </w:r>
          </w:p>
        </w:tc>
        <w:tc>
          <w:tcPr>
            <w:tcW w:w="392" w:type="pct"/>
            <w:gridSpan w:val="2"/>
            <w:tcBorders>
              <w:left w:val="nil"/>
              <w:bottom w:val="single" w:sz="8" w:space="0" w:color="auto"/>
              <w:right w:val="single" w:sz="8" w:space="0" w:color="auto"/>
            </w:tcBorders>
            <w:vAlign w:val="center"/>
            <w:hideMark/>
          </w:tcPr>
          <w:p w14:paraId="3C447D2C" w14:textId="77777777" w:rsidR="00C67F54" w:rsidRPr="00046858" w:rsidRDefault="00C67F54">
            <w:pPr>
              <w:spacing w:before="0" w:after="0"/>
              <w:jc w:val="center"/>
              <w:rPr>
                <w:rFonts w:eastAsia="Times New Roman"/>
                <w:b/>
                <w:bCs/>
                <w:noProof/>
                <w:color w:val="000000"/>
                <w:sz w:val="20"/>
                <w:szCs w:val="20"/>
              </w:rPr>
            </w:pPr>
            <w:r w:rsidRPr="00046858">
              <w:rPr>
                <w:b/>
                <w:noProof/>
                <w:color w:val="000000"/>
                <w:sz w:val="20"/>
              </w:rPr>
              <w:t>2032</w:t>
            </w:r>
          </w:p>
        </w:tc>
        <w:tc>
          <w:tcPr>
            <w:tcW w:w="392" w:type="pct"/>
            <w:gridSpan w:val="3"/>
            <w:tcBorders>
              <w:left w:val="nil"/>
              <w:bottom w:val="single" w:sz="8" w:space="0" w:color="auto"/>
              <w:right w:val="single" w:sz="8" w:space="0" w:color="auto"/>
            </w:tcBorders>
            <w:vAlign w:val="center"/>
            <w:hideMark/>
          </w:tcPr>
          <w:p w14:paraId="2A82CD57" w14:textId="77777777" w:rsidR="00C67F54" w:rsidRPr="00046858" w:rsidRDefault="00C67F54">
            <w:pPr>
              <w:spacing w:before="0" w:after="0"/>
              <w:jc w:val="center"/>
              <w:rPr>
                <w:rFonts w:eastAsia="Times New Roman"/>
                <w:b/>
                <w:bCs/>
                <w:noProof/>
                <w:color w:val="000000"/>
                <w:sz w:val="20"/>
                <w:szCs w:val="20"/>
              </w:rPr>
            </w:pPr>
            <w:r w:rsidRPr="00046858">
              <w:rPr>
                <w:b/>
                <w:noProof/>
                <w:color w:val="000000"/>
                <w:sz w:val="20"/>
              </w:rPr>
              <w:t>2033</w:t>
            </w:r>
          </w:p>
        </w:tc>
        <w:tc>
          <w:tcPr>
            <w:tcW w:w="392" w:type="pct"/>
            <w:gridSpan w:val="2"/>
            <w:tcBorders>
              <w:left w:val="nil"/>
              <w:bottom w:val="single" w:sz="8" w:space="0" w:color="auto"/>
              <w:right w:val="single" w:sz="8" w:space="0" w:color="auto"/>
            </w:tcBorders>
            <w:vAlign w:val="center"/>
            <w:hideMark/>
          </w:tcPr>
          <w:p w14:paraId="770C399A" w14:textId="77777777" w:rsidR="00C67F54" w:rsidRPr="00046858" w:rsidRDefault="00C67F54">
            <w:pPr>
              <w:spacing w:before="0" w:after="0"/>
              <w:jc w:val="center"/>
              <w:rPr>
                <w:rFonts w:eastAsia="Times New Roman"/>
                <w:b/>
                <w:bCs/>
                <w:noProof/>
                <w:color w:val="000000"/>
                <w:sz w:val="20"/>
                <w:szCs w:val="20"/>
              </w:rPr>
            </w:pPr>
            <w:r w:rsidRPr="00046858">
              <w:rPr>
                <w:b/>
                <w:noProof/>
                <w:color w:val="000000"/>
                <w:sz w:val="20"/>
              </w:rPr>
              <w:t>2034</w:t>
            </w:r>
          </w:p>
        </w:tc>
        <w:tc>
          <w:tcPr>
            <w:tcW w:w="392" w:type="pct"/>
            <w:gridSpan w:val="2"/>
            <w:tcBorders>
              <w:left w:val="single" w:sz="8" w:space="0" w:color="auto"/>
              <w:bottom w:val="single" w:sz="8" w:space="0" w:color="000000"/>
              <w:right w:val="single" w:sz="8" w:space="0" w:color="auto"/>
            </w:tcBorders>
            <w:vAlign w:val="center"/>
          </w:tcPr>
          <w:p w14:paraId="2B0AAF39" w14:textId="77777777" w:rsidR="00C67F54" w:rsidRPr="00046858" w:rsidRDefault="00C67F54">
            <w:pPr>
              <w:spacing w:before="0" w:after="0"/>
              <w:jc w:val="center"/>
              <w:rPr>
                <w:rFonts w:eastAsia="Times New Roman"/>
                <w:b/>
                <w:bCs/>
                <w:noProof/>
                <w:color w:val="000000"/>
                <w:sz w:val="20"/>
                <w:szCs w:val="20"/>
              </w:rPr>
            </w:pPr>
            <w:r w:rsidRPr="00046858">
              <w:rPr>
                <w:b/>
                <w:noProof/>
                <w:color w:val="000000"/>
                <w:sz w:val="20"/>
              </w:rPr>
              <w:t>2034</w:t>
            </w:r>
          </w:p>
        </w:tc>
        <w:tc>
          <w:tcPr>
            <w:tcW w:w="405" w:type="pct"/>
            <w:vMerge/>
            <w:tcBorders>
              <w:top w:val="single" w:sz="8" w:space="0" w:color="auto"/>
              <w:left w:val="single" w:sz="8" w:space="0" w:color="auto"/>
              <w:right w:val="single" w:sz="8" w:space="0" w:color="auto"/>
            </w:tcBorders>
            <w:vAlign w:val="center"/>
            <w:hideMark/>
          </w:tcPr>
          <w:p w14:paraId="53F0F54C" w14:textId="77777777" w:rsidR="00C67F54" w:rsidRPr="00046858" w:rsidRDefault="00C67F54">
            <w:pPr>
              <w:spacing w:before="0" w:after="0"/>
              <w:jc w:val="left"/>
              <w:rPr>
                <w:rFonts w:eastAsia="Times New Roman"/>
                <w:b/>
                <w:bCs/>
                <w:noProof/>
                <w:color w:val="000000"/>
                <w:sz w:val="20"/>
                <w:szCs w:val="20"/>
                <w:lang w:eastAsia="en-IE"/>
              </w:rPr>
            </w:pPr>
          </w:p>
        </w:tc>
      </w:tr>
      <w:tr w:rsidR="00C67F54" w:rsidRPr="00046858" w14:paraId="023C42C7" w14:textId="77777777">
        <w:trPr>
          <w:trHeight w:val="860"/>
        </w:trPr>
        <w:tc>
          <w:tcPr>
            <w:tcW w:w="706" w:type="pct"/>
            <w:gridSpan w:val="3"/>
            <w:vMerge w:val="restart"/>
            <w:tcBorders>
              <w:top w:val="nil"/>
              <w:left w:val="single" w:sz="8" w:space="0" w:color="auto"/>
              <w:bottom w:val="single" w:sz="8" w:space="0" w:color="000000"/>
              <w:right w:val="single" w:sz="8" w:space="0" w:color="auto"/>
            </w:tcBorders>
            <w:vAlign w:val="center"/>
            <w:hideMark/>
          </w:tcPr>
          <w:p w14:paraId="25FCDD14" w14:textId="77777777" w:rsidR="00C67F54" w:rsidRPr="00046858" w:rsidRDefault="00C67F54">
            <w:pPr>
              <w:spacing w:before="0" w:after="0"/>
              <w:rPr>
                <w:rFonts w:eastAsia="Times New Roman"/>
                <w:noProof/>
                <w:color w:val="000000"/>
                <w:sz w:val="21"/>
                <w:szCs w:val="21"/>
              </w:rPr>
            </w:pPr>
            <w:r w:rsidRPr="00046858">
              <w:rPr>
                <w:noProof/>
                <w:color w:val="000000"/>
                <w:sz w:val="21"/>
              </w:rPr>
              <w:t>TOTAL credite operaționale</w:t>
            </w:r>
          </w:p>
        </w:tc>
        <w:tc>
          <w:tcPr>
            <w:tcW w:w="541" w:type="pct"/>
            <w:gridSpan w:val="5"/>
            <w:tcBorders>
              <w:top w:val="nil"/>
              <w:left w:val="nil"/>
              <w:bottom w:val="single" w:sz="8" w:space="0" w:color="auto"/>
              <w:right w:val="single" w:sz="8" w:space="0" w:color="auto"/>
            </w:tcBorders>
            <w:vAlign w:val="center"/>
            <w:hideMark/>
          </w:tcPr>
          <w:p w14:paraId="70BA0B40" w14:textId="77777777" w:rsidR="00C67F54" w:rsidRPr="00046858" w:rsidRDefault="00C67F54">
            <w:pPr>
              <w:spacing w:before="0" w:after="0"/>
              <w:rPr>
                <w:rFonts w:eastAsia="Times New Roman"/>
                <w:noProof/>
                <w:color w:val="000000"/>
                <w:sz w:val="18"/>
                <w:szCs w:val="18"/>
              </w:rPr>
            </w:pPr>
            <w:r w:rsidRPr="00046858">
              <w:rPr>
                <w:noProof/>
                <w:color w:val="000000"/>
                <w:sz w:val="18"/>
              </w:rPr>
              <w:t>Angajamente</w:t>
            </w:r>
          </w:p>
        </w:tc>
        <w:tc>
          <w:tcPr>
            <w:tcW w:w="210" w:type="pct"/>
            <w:tcBorders>
              <w:top w:val="nil"/>
              <w:left w:val="nil"/>
              <w:bottom w:val="single" w:sz="8" w:space="0" w:color="auto"/>
              <w:right w:val="single" w:sz="8" w:space="0" w:color="auto"/>
            </w:tcBorders>
            <w:vAlign w:val="center"/>
            <w:hideMark/>
          </w:tcPr>
          <w:p w14:paraId="2C4E7EED" w14:textId="77777777" w:rsidR="00C67F54" w:rsidRPr="00046858" w:rsidRDefault="00C67F54">
            <w:pPr>
              <w:spacing w:before="0" w:after="0"/>
              <w:jc w:val="center"/>
              <w:rPr>
                <w:rFonts w:eastAsia="Times New Roman"/>
                <w:noProof/>
                <w:color w:val="000000"/>
                <w:sz w:val="14"/>
                <w:szCs w:val="14"/>
              </w:rPr>
            </w:pPr>
            <w:r w:rsidRPr="00046858">
              <w:rPr>
                <w:noProof/>
                <w:color w:val="000000"/>
                <w:sz w:val="14"/>
              </w:rPr>
              <w:t>(4)</w:t>
            </w:r>
          </w:p>
        </w:tc>
        <w:tc>
          <w:tcPr>
            <w:tcW w:w="392" w:type="pct"/>
            <w:gridSpan w:val="2"/>
            <w:tcBorders>
              <w:top w:val="nil"/>
              <w:left w:val="nil"/>
              <w:bottom w:val="single" w:sz="8" w:space="0" w:color="auto"/>
              <w:right w:val="single" w:sz="8" w:space="0" w:color="auto"/>
            </w:tcBorders>
            <w:shd w:val="clear" w:color="000000" w:fill="D9D9D9"/>
            <w:vAlign w:val="center"/>
            <w:hideMark/>
          </w:tcPr>
          <w:p w14:paraId="5A681A7F" w14:textId="77777777" w:rsidR="00C67F54" w:rsidRPr="00046858" w:rsidRDefault="00C67F54">
            <w:pPr>
              <w:spacing w:before="0" w:after="0"/>
              <w:jc w:val="right"/>
              <w:rPr>
                <w:rFonts w:eastAsia="Times New Roman"/>
                <w:noProof/>
                <w:color w:val="000000"/>
                <w:sz w:val="20"/>
                <w:szCs w:val="20"/>
              </w:rPr>
            </w:pPr>
            <w:r w:rsidRPr="00046858">
              <w:rPr>
                <w:noProof/>
                <w:sz w:val="20"/>
              </w:rPr>
              <w:t>30,000</w:t>
            </w:r>
          </w:p>
        </w:tc>
        <w:tc>
          <w:tcPr>
            <w:tcW w:w="392" w:type="pct"/>
            <w:gridSpan w:val="3"/>
            <w:tcBorders>
              <w:top w:val="nil"/>
              <w:left w:val="nil"/>
              <w:bottom w:val="single" w:sz="8" w:space="0" w:color="auto"/>
              <w:right w:val="single" w:sz="8" w:space="0" w:color="auto"/>
            </w:tcBorders>
            <w:shd w:val="clear" w:color="000000" w:fill="D9D9D9"/>
            <w:vAlign w:val="center"/>
            <w:hideMark/>
          </w:tcPr>
          <w:p w14:paraId="66CD5027" w14:textId="77777777" w:rsidR="00C67F54" w:rsidRPr="00046858" w:rsidRDefault="00C67F54">
            <w:pPr>
              <w:spacing w:before="0" w:after="0"/>
              <w:jc w:val="right"/>
              <w:rPr>
                <w:rFonts w:eastAsia="Times New Roman"/>
                <w:noProof/>
                <w:color w:val="000000"/>
                <w:sz w:val="20"/>
                <w:szCs w:val="20"/>
                <w:lang w:eastAsia="en-IE"/>
              </w:rPr>
            </w:pPr>
          </w:p>
        </w:tc>
        <w:tc>
          <w:tcPr>
            <w:tcW w:w="392" w:type="pct"/>
            <w:gridSpan w:val="3"/>
            <w:tcBorders>
              <w:top w:val="nil"/>
              <w:left w:val="nil"/>
              <w:bottom w:val="single" w:sz="8" w:space="0" w:color="auto"/>
              <w:right w:val="single" w:sz="8" w:space="0" w:color="auto"/>
            </w:tcBorders>
            <w:shd w:val="clear" w:color="000000" w:fill="D9D9D9"/>
            <w:vAlign w:val="center"/>
            <w:hideMark/>
          </w:tcPr>
          <w:p w14:paraId="6D88D616" w14:textId="77777777" w:rsidR="00C67F54" w:rsidRPr="00046858" w:rsidRDefault="00C67F54">
            <w:pPr>
              <w:spacing w:before="0" w:after="0"/>
              <w:jc w:val="right"/>
              <w:rPr>
                <w:rFonts w:eastAsia="Times New Roman"/>
                <w:noProof/>
                <w:color w:val="000000"/>
                <w:sz w:val="20"/>
                <w:szCs w:val="20"/>
              </w:rPr>
            </w:pPr>
            <w:r w:rsidRPr="00046858">
              <w:rPr>
                <w:noProof/>
                <w:sz w:val="20"/>
              </w:rPr>
              <w:t>20,000</w:t>
            </w:r>
          </w:p>
        </w:tc>
        <w:tc>
          <w:tcPr>
            <w:tcW w:w="392" w:type="pct"/>
            <w:gridSpan w:val="4"/>
            <w:tcBorders>
              <w:top w:val="nil"/>
              <w:left w:val="nil"/>
              <w:bottom w:val="single" w:sz="8" w:space="0" w:color="auto"/>
              <w:right w:val="single" w:sz="8" w:space="0" w:color="auto"/>
            </w:tcBorders>
            <w:shd w:val="clear" w:color="000000" w:fill="D9D9D9"/>
            <w:vAlign w:val="center"/>
            <w:hideMark/>
          </w:tcPr>
          <w:p w14:paraId="3589F5BD" w14:textId="77777777" w:rsidR="00C67F54" w:rsidRPr="00046858" w:rsidRDefault="00C67F54">
            <w:pPr>
              <w:spacing w:before="0" w:after="0"/>
              <w:jc w:val="right"/>
              <w:rPr>
                <w:rFonts w:eastAsia="Times New Roman"/>
                <w:noProof/>
                <w:color w:val="000000"/>
                <w:sz w:val="20"/>
                <w:szCs w:val="20"/>
                <w:lang w:eastAsia="en-IE"/>
              </w:rPr>
            </w:pPr>
          </w:p>
        </w:tc>
        <w:tc>
          <w:tcPr>
            <w:tcW w:w="392" w:type="pct"/>
            <w:gridSpan w:val="2"/>
            <w:tcBorders>
              <w:top w:val="nil"/>
              <w:left w:val="nil"/>
              <w:bottom w:val="single" w:sz="8" w:space="0" w:color="auto"/>
              <w:right w:val="single" w:sz="8" w:space="0" w:color="auto"/>
            </w:tcBorders>
            <w:shd w:val="clear" w:color="000000" w:fill="D9D9D9"/>
            <w:vAlign w:val="center"/>
            <w:hideMark/>
          </w:tcPr>
          <w:p w14:paraId="08A5354C" w14:textId="77777777" w:rsidR="00C67F54" w:rsidRPr="00046858" w:rsidRDefault="00C67F54">
            <w:pPr>
              <w:spacing w:before="0" w:after="0"/>
              <w:jc w:val="right"/>
              <w:rPr>
                <w:rFonts w:eastAsia="Times New Roman"/>
                <w:noProof/>
                <w:color w:val="000000"/>
                <w:sz w:val="20"/>
                <w:szCs w:val="20"/>
              </w:rPr>
            </w:pPr>
            <w:r w:rsidRPr="00046858">
              <w:rPr>
                <w:noProof/>
                <w:sz w:val="20"/>
              </w:rPr>
              <w:t>10,000</w:t>
            </w:r>
          </w:p>
        </w:tc>
        <w:tc>
          <w:tcPr>
            <w:tcW w:w="392" w:type="pct"/>
            <w:gridSpan w:val="3"/>
            <w:tcBorders>
              <w:top w:val="nil"/>
              <w:left w:val="nil"/>
              <w:bottom w:val="single" w:sz="8" w:space="0" w:color="auto"/>
              <w:right w:val="single" w:sz="8" w:space="0" w:color="auto"/>
            </w:tcBorders>
            <w:shd w:val="clear" w:color="000000" w:fill="D9D9D9"/>
            <w:vAlign w:val="center"/>
            <w:hideMark/>
          </w:tcPr>
          <w:p w14:paraId="44FA4BB9" w14:textId="77777777" w:rsidR="00C67F54" w:rsidRPr="00046858" w:rsidRDefault="00C67F54">
            <w:pPr>
              <w:spacing w:before="0" w:after="0"/>
              <w:jc w:val="right"/>
              <w:rPr>
                <w:rFonts w:eastAsia="Times New Roman"/>
                <w:noProof/>
                <w:color w:val="000000"/>
                <w:sz w:val="20"/>
                <w:szCs w:val="20"/>
                <w:lang w:eastAsia="en-IE"/>
              </w:rPr>
            </w:pPr>
          </w:p>
        </w:tc>
        <w:tc>
          <w:tcPr>
            <w:tcW w:w="392" w:type="pct"/>
            <w:gridSpan w:val="2"/>
            <w:tcBorders>
              <w:top w:val="nil"/>
              <w:left w:val="nil"/>
              <w:bottom w:val="single" w:sz="8" w:space="0" w:color="auto"/>
              <w:right w:val="single" w:sz="8" w:space="0" w:color="auto"/>
            </w:tcBorders>
            <w:shd w:val="clear" w:color="000000" w:fill="D9D9D9"/>
            <w:vAlign w:val="center"/>
            <w:hideMark/>
          </w:tcPr>
          <w:p w14:paraId="5137CB01" w14:textId="77777777" w:rsidR="00C67F54" w:rsidRPr="00046858" w:rsidRDefault="00C67F54">
            <w:pPr>
              <w:spacing w:before="0" w:after="0"/>
              <w:jc w:val="right"/>
              <w:rPr>
                <w:rFonts w:eastAsia="Times New Roman"/>
                <w:noProof/>
                <w:color w:val="000000"/>
                <w:sz w:val="20"/>
                <w:szCs w:val="20"/>
              </w:rPr>
            </w:pPr>
            <w:r w:rsidRPr="00046858">
              <w:rPr>
                <w:noProof/>
                <w:sz w:val="20"/>
              </w:rPr>
              <w:t>10,000</w:t>
            </w:r>
          </w:p>
        </w:tc>
        <w:tc>
          <w:tcPr>
            <w:tcW w:w="392" w:type="pct"/>
            <w:gridSpan w:val="2"/>
            <w:tcBorders>
              <w:top w:val="nil"/>
              <w:left w:val="nil"/>
              <w:bottom w:val="single" w:sz="8" w:space="0" w:color="auto"/>
              <w:right w:val="single" w:sz="4" w:space="0" w:color="auto"/>
            </w:tcBorders>
            <w:shd w:val="clear" w:color="000000" w:fill="D9D9D9"/>
            <w:vAlign w:val="center"/>
          </w:tcPr>
          <w:p w14:paraId="6473B430" w14:textId="77777777" w:rsidR="00C67F54" w:rsidRPr="00046858" w:rsidRDefault="00C67F54">
            <w:pPr>
              <w:spacing w:before="0" w:after="0"/>
              <w:jc w:val="right"/>
              <w:rPr>
                <w:rFonts w:eastAsia="Times New Roman"/>
                <w:b/>
                <w:bCs/>
                <w:noProof/>
                <w:color w:val="000000"/>
                <w:sz w:val="20"/>
                <w:szCs w:val="20"/>
                <w:lang w:eastAsia="en-IE"/>
              </w:rPr>
            </w:pPr>
          </w:p>
        </w:tc>
        <w:tc>
          <w:tcPr>
            <w:tcW w:w="405" w:type="pct"/>
            <w:tcBorders>
              <w:top w:val="nil"/>
              <w:left w:val="single" w:sz="4" w:space="0" w:color="auto"/>
              <w:bottom w:val="single" w:sz="8" w:space="0" w:color="auto"/>
              <w:right w:val="single" w:sz="8" w:space="0" w:color="auto"/>
            </w:tcBorders>
            <w:shd w:val="clear" w:color="000000" w:fill="D9D9D9"/>
            <w:vAlign w:val="center"/>
            <w:hideMark/>
          </w:tcPr>
          <w:p w14:paraId="45D47293" w14:textId="77777777" w:rsidR="00C67F54" w:rsidRPr="00046858" w:rsidRDefault="00C67F54">
            <w:pPr>
              <w:spacing w:before="0" w:after="0"/>
              <w:jc w:val="right"/>
              <w:rPr>
                <w:rFonts w:eastAsia="Times New Roman"/>
                <w:b/>
                <w:noProof/>
                <w:color w:val="000000"/>
                <w:sz w:val="20"/>
                <w:szCs w:val="20"/>
              </w:rPr>
            </w:pPr>
            <w:r w:rsidRPr="00046858">
              <w:rPr>
                <w:b/>
                <w:noProof/>
                <w:sz w:val="20"/>
              </w:rPr>
              <w:t>70,000</w:t>
            </w:r>
          </w:p>
        </w:tc>
      </w:tr>
      <w:tr w:rsidR="00C67F54" w:rsidRPr="00046858" w14:paraId="29CC2522" w14:textId="77777777">
        <w:trPr>
          <w:trHeight w:val="300"/>
        </w:trPr>
        <w:tc>
          <w:tcPr>
            <w:tcW w:w="706" w:type="pct"/>
            <w:gridSpan w:val="3"/>
            <w:vMerge/>
            <w:tcBorders>
              <w:top w:val="nil"/>
              <w:left w:val="single" w:sz="8" w:space="0" w:color="auto"/>
              <w:bottom w:val="single" w:sz="8" w:space="0" w:color="000000"/>
              <w:right w:val="single" w:sz="8" w:space="0" w:color="auto"/>
            </w:tcBorders>
            <w:vAlign w:val="center"/>
            <w:hideMark/>
          </w:tcPr>
          <w:p w14:paraId="5CDA89CF" w14:textId="77777777" w:rsidR="00C67F54" w:rsidRPr="00046858" w:rsidRDefault="00C67F54">
            <w:pPr>
              <w:spacing w:before="0" w:after="0"/>
              <w:jc w:val="left"/>
              <w:rPr>
                <w:rFonts w:eastAsia="Times New Roman"/>
                <w:noProof/>
                <w:color w:val="000000"/>
                <w:sz w:val="21"/>
                <w:szCs w:val="21"/>
                <w:lang w:eastAsia="en-IE"/>
              </w:rPr>
            </w:pPr>
          </w:p>
        </w:tc>
        <w:tc>
          <w:tcPr>
            <w:tcW w:w="541" w:type="pct"/>
            <w:gridSpan w:val="5"/>
            <w:tcBorders>
              <w:top w:val="nil"/>
              <w:left w:val="nil"/>
              <w:bottom w:val="single" w:sz="8" w:space="0" w:color="auto"/>
              <w:right w:val="single" w:sz="8" w:space="0" w:color="auto"/>
            </w:tcBorders>
            <w:vAlign w:val="center"/>
            <w:hideMark/>
          </w:tcPr>
          <w:p w14:paraId="46E5A8E9" w14:textId="77777777" w:rsidR="00C67F54" w:rsidRPr="00046858" w:rsidRDefault="00C67F54">
            <w:pPr>
              <w:spacing w:before="0" w:after="0"/>
              <w:rPr>
                <w:rFonts w:eastAsia="Times New Roman"/>
                <w:noProof/>
                <w:color w:val="000000"/>
                <w:sz w:val="18"/>
                <w:szCs w:val="18"/>
              </w:rPr>
            </w:pPr>
            <w:r w:rsidRPr="00046858">
              <w:rPr>
                <w:noProof/>
                <w:color w:val="000000"/>
                <w:sz w:val="18"/>
              </w:rPr>
              <w:t>Plăți</w:t>
            </w:r>
          </w:p>
        </w:tc>
        <w:tc>
          <w:tcPr>
            <w:tcW w:w="210" w:type="pct"/>
            <w:tcBorders>
              <w:top w:val="nil"/>
              <w:left w:val="nil"/>
              <w:bottom w:val="single" w:sz="8" w:space="0" w:color="auto"/>
              <w:right w:val="single" w:sz="8" w:space="0" w:color="auto"/>
            </w:tcBorders>
            <w:vAlign w:val="center"/>
            <w:hideMark/>
          </w:tcPr>
          <w:p w14:paraId="738DD3E6" w14:textId="77777777" w:rsidR="00C67F54" w:rsidRPr="00046858" w:rsidRDefault="00C67F54">
            <w:pPr>
              <w:spacing w:before="0" w:after="0"/>
              <w:jc w:val="center"/>
              <w:rPr>
                <w:rFonts w:eastAsia="Times New Roman"/>
                <w:noProof/>
                <w:color w:val="000000"/>
                <w:sz w:val="14"/>
                <w:szCs w:val="14"/>
              </w:rPr>
            </w:pPr>
            <w:r w:rsidRPr="00046858">
              <w:rPr>
                <w:noProof/>
                <w:color w:val="000000"/>
                <w:sz w:val="14"/>
              </w:rPr>
              <w:t>(5)</w:t>
            </w:r>
          </w:p>
        </w:tc>
        <w:tc>
          <w:tcPr>
            <w:tcW w:w="392" w:type="pct"/>
            <w:gridSpan w:val="2"/>
            <w:tcBorders>
              <w:top w:val="nil"/>
              <w:left w:val="nil"/>
              <w:bottom w:val="single" w:sz="8" w:space="0" w:color="auto"/>
              <w:right w:val="single" w:sz="8" w:space="0" w:color="auto"/>
            </w:tcBorders>
            <w:shd w:val="clear" w:color="000000" w:fill="D9D9D9"/>
            <w:vAlign w:val="center"/>
            <w:hideMark/>
          </w:tcPr>
          <w:p w14:paraId="230715EB" w14:textId="77777777" w:rsidR="00C67F54" w:rsidRPr="00046858" w:rsidRDefault="00C67F54">
            <w:pPr>
              <w:spacing w:before="0" w:after="0"/>
              <w:jc w:val="right"/>
              <w:rPr>
                <w:rFonts w:eastAsia="Times New Roman"/>
                <w:noProof/>
                <w:color w:val="000000"/>
                <w:sz w:val="20"/>
                <w:szCs w:val="20"/>
              </w:rPr>
            </w:pPr>
            <w:r w:rsidRPr="00046858">
              <w:rPr>
                <w:noProof/>
                <w:sz w:val="20"/>
              </w:rPr>
              <w:t>18,000</w:t>
            </w:r>
          </w:p>
        </w:tc>
        <w:tc>
          <w:tcPr>
            <w:tcW w:w="392" w:type="pct"/>
            <w:gridSpan w:val="3"/>
            <w:tcBorders>
              <w:top w:val="nil"/>
              <w:left w:val="nil"/>
              <w:bottom w:val="single" w:sz="8" w:space="0" w:color="auto"/>
              <w:right w:val="single" w:sz="8" w:space="0" w:color="auto"/>
            </w:tcBorders>
            <w:shd w:val="clear" w:color="000000" w:fill="D9D9D9"/>
            <w:vAlign w:val="center"/>
            <w:hideMark/>
          </w:tcPr>
          <w:p w14:paraId="61E0997B" w14:textId="77777777" w:rsidR="00C67F54" w:rsidRPr="00046858" w:rsidRDefault="00C67F54">
            <w:pPr>
              <w:spacing w:before="0" w:after="0"/>
              <w:jc w:val="right"/>
              <w:rPr>
                <w:rFonts w:eastAsia="Times New Roman"/>
                <w:noProof/>
                <w:color w:val="000000"/>
                <w:sz w:val="20"/>
                <w:szCs w:val="20"/>
              </w:rPr>
            </w:pPr>
            <w:r w:rsidRPr="00046858">
              <w:rPr>
                <w:noProof/>
                <w:sz w:val="20"/>
              </w:rPr>
              <w:t>6,000</w:t>
            </w:r>
          </w:p>
        </w:tc>
        <w:tc>
          <w:tcPr>
            <w:tcW w:w="392" w:type="pct"/>
            <w:gridSpan w:val="3"/>
            <w:tcBorders>
              <w:top w:val="nil"/>
              <w:left w:val="nil"/>
              <w:bottom w:val="single" w:sz="8" w:space="0" w:color="auto"/>
              <w:right w:val="single" w:sz="8" w:space="0" w:color="auto"/>
            </w:tcBorders>
            <w:shd w:val="clear" w:color="000000" w:fill="D9D9D9"/>
            <w:vAlign w:val="center"/>
            <w:hideMark/>
          </w:tcPr>
          <w:p w14:paraId="006CFDF9" w14:textId="77777777" w:rsidR="00C67F54" w:rsidRPr="00046858" w:rsidRDefault="00C67F54">
            <w:pPr>
              <w:spacing w:before="0" w:after="0"/>
              <w:jc w:val="right"/>
              <w:rPr>
                <w:rFonts w:eastAsia="Times New Roman"/>
                <w:noProof/>
                <w:color w:val="000000"/>
                <w:sz w:val="20"/>
                <w:szCs w:val="20"/>
              </w:rPr>
            </w:pPr>
            <w:r w:rsidRPr="00046858">
              <w:rPr>
                <w:noProof/>
                <w:sz w:val="20"/>
              </w:rPr>
              <w:t>15,000</w:t>
            </w:r>
          </w:p>
        </w:tc>
        <w:tc>
          <w:tcPr>
            <w:tcW w:w="392" w:type="pct"/>
            <w:gridSpan w:val="4"/>
            <w:tcBorders>
              <w:top w:val="nil"/>
              <w:left w:val="nil"/>
              <w:bottom w:val="single" w:sz="8" w:space="0" w:color="auto"/>
              <w:right w:val="single" w:sz="8" w:space="0" w:color="auto"/>
            </w:tcBorders>
            <w:shd w:val="clear" w:color="000000" w:fill="D9D9D9"/>
            <w:vAlign w:val="center"/>
            <w:hideMark/>
          </w:tcPr>
          <w:p w14:paraId="7057D75A" w14:textId="77777777" w:rsidR="00C67F54" w:rsidRPr="00046858" w:rsidRDefault="00C67F54">
            <w:pPr>
              <w:spacing w:before="0" w:after="0"/>
              <w:jc w:val="right"/>
              <w:rPr>
                <w:rFonts w:eastAsia="Times New Roman"/>
                <w:noProof/>
                <w:color w:val="000000"/>
                <w:sz w:val="20"/>
                <w:szCs w:val="20"/>
              </w:rPr>
            </w:pPr>
            <w:r w:rsidRPr="00046858">
              <w:rPr>
                <w:noProof/>
                <w:sz w:val="20"/>
              </w:rPr>
              <w:t>7,000</w:t>
            </w:r>
          </w:p>
        </w:tc>
        <w:tc>
          <w:tcPr>
            <w:tcW w:w="392" w:type="pct"/>
            <w:gridSpan w:val="2"/>
            <w:tcBorders>
              <w:top w:val="nil"/>
              <w:left w:val="nil"/>
              <w:bottom w:val="single" w:sz="8" w:space="0" w:color="auto"/>
              <w:right w:val="single" w:sz="8" w:space="0" w:color="auto"/>
            </w:tcBorders>
            <w:shd w:val="clear" w:color="000000" w:fill="D9D9D9"/>
            <w:vAlign w:val="center"/>
            <w:hideMark/>
          </w:tcPr>
          <w:p w14:paraId="74ED83BD" w14:textId="77777777" w:rsidR="00C67F54" w:rsidRPr="00046858" w:rsidRDefault="00C67F54">
            <w:pPr>
              <w:spacing w:before="0" w:after="0"/>
              <w:jc w:val="right"/>
              <w:rPr>
                <w:rFonts w:eastAsia="Times New Roman"/>
                <w:noProof/>
                <w:color w:val="000000"/>
                <w:sz w:val="20"/>
                <w:szCs w:val="20"/>
              </w:rPr>
            </w:pPr>
            <w:r w:rsidRPr="00046858">
              <w:rPr>
                <w:noProof/>
                <w:sz w:val="20"/>
              </w:rPr>
              <w:t>8,000</w:t>
            </w:r>
          </w:p>
        </w:tc>
        <w:tc>
          <w:tcPr>
            <w:tcW w:w="392" w:type="pct"/>
            <w:gridSpan w:val="3"/>
            <w:tcBorders>
              <w:top w:val="nil"/>
              <w:left w:val="nil"/>
              <w:bottom w:val="single" w:sz="8" w:space="0" w:color="auto"/>
              <w:right w:val="single" w:sz="8" w:space="0" w:color="auto"/>
            </w:tcBorders>
            <w:shd w:val="clear" w:color="000000" w:fill="D9D9D9"/>
            <w:vAlign w:val="center"/>
            <w:hideMark/>
          </w:tcPr>
          <w:p w14:paraId="56E3F28E" w14:textId="77777777" w:rsidR="00C67F54" w:rsidRPr="00046858" w:rsidRDefault="00C67F54">
            <w:pPr>
              <w:spacing w:before="0" w:after="0"/>
              <w:jc w:val="right"/>
              <w:rPr>
                <w:rFonts w:eastAsia="Times New Roman"/>
                <w:noProof/>
                <w:color w:val="000000"/>
                <w:sz w:val="20"/>
                <w:szCs w:val="20"/>
              </w:rPr>
            </w:pPr>
            <w:r w:rsidRPr="00046858">
              <w:rPr>
                <w:noProof/>
                <w:sz w:val="20"/>
              </w:rPr>
              <w:t>4,000</w:t>
            </w:r>
          </w:p>
        </w:tc>
        <w:tc>
          <w:tcPr>
            <w:tcW w:w="392" w:type="pct"/>
            <w:gridSpan w:val="2"/>
            <w:tcBorders>
              <w:top w:val="nil"/>
              <w:left w:val="nil"/>
              <w:bottom w:val="single" w:sz="8" w:space="0" w:color="auto"/>
              <w:right w:val="single" w:sz="8" w:space="0" w:color="auto"/>
            </w:tcBorders>
            <w:shd w:val="clear" w:color="000000" w:fill="D9D9D9"/>
            <w:vAlign w:val="center"/>
            <w:hideMark/>
          </w:tcPr>
          <w:p w14:paraId="01DD0609" w14:textId="77777777" w:rsidR="00C67F54" w:rsidRPr="00046858" w:rsidRDefault="00C67F54">
            <w:pPr>
              <w:spacing w:before="0" w:after="0"/>
              <w:jc w:val="right"/>
              <w:rPr>
                <w:rFonts w:eastAsia="Times New Roman"/>
                <w:noProof/>
                <w:color w:val="000000"/>
                <w:sz w:val="20"/>
                <w:szCs w:val="20"/>
              </w:rPr>
            </w:pPr>
            <w:r w:rsidRPr="00046858">
              <w:rPr>
                <w:noProof/>
                <w:sz w:val="20"/>
              </w:rPr>
              <w:t>7,000</w:t>
            </w:r>
          </w:p>
        </w:tc>
        <w:tc>
          <w:tcPr>
            <w:tcW w:w="392" w:type="pct"/>
            <w:gridSpan w:val="2"/>
            <w:tcBorders>
              <w:top w:val="nil"/>
              <w:left w:val="nil"/>
              <w:bottom w:val="single" w:sz="8" w:space="0" w:color="auto"/>
              <w:right w:val="single" w:sz="4" w:space="0" w:color="auto"/>
            </w:tcBorders>
            <w:shd w:val="clear" w:color="000000" w:fill="D9D9D9"/>
            <w:vAlign w:val="center"/>
          </w:tcPr>
          <w:p w14:paraId="173D2F95" w14:textId="77777777" w:rsidR="00C67F54" w:rsidRPr="00046858" w:rsidRDefault="00C67F54">
            <w:pPr>
              <w:spacing w:before="0" w:after="0"/>
              <w:jc w:val="right"/>
              <w:rPr>
                <w:rFonts w:eastAsia="Times New Roman"/>
                <w:noProof/>
                <w:color w:val="000000"/>
                <w:sz w:val="20"/>
                <w:szCs w:val="20"/>
              </w:rPr>
            </w:pPr>
            <w:r w:rsidRPr="00046858">
              <w:rPr>
                <w:noProof/>
                <w:color w:val="000000"/>
                <w:sz w:val="20"/>
              </w:rPr>
              <w:t>5,000</w:t>
            </w:r>
          </w:p>
        </w:tc>
        <w:tc>
          <w:tcPr>
            <w:tcW w:w="405" w:type="pct"/>
            <w:tcBorders>
              <w:top w:val="nil"/>
              <w:left w:val="single" w:sz="4" w:space="0" w:color="auto"/>
              <w:bottom w:val="single" w:sz="8" w:space="0" w:color="auto"/>
              <w:right w:val="single" w:sz="8" w:space="0" w:color="auto"/>
            </w:tcBorders>
            <w:shd w:val="clear" w:color="000000" w:fill="D9D9D9"/>
            <w:vAlign w:val="center"/>
            <w:hideMark/>
          </w:tcPr>
          <w:p w14:paraId="21573655" w14:textId="77777777" w:rsidR="00C67F54" w:rsidRPr="00046858" w:rsidRDefault="00C67F54">
            <w:pPr>
              <w:spacing w:before="0" w:after="0"/>
              <w:jc w:val="right"/>
              <w:rPr>
                <w:rFonts w:eastAsia="Times New Roman"/>
                <w:b/>
                <w:noProof/>
                <w:color w:val="000000"/>
                <w:sz w:val="20"/>
                <w:szCs w:val="20"/>
              </w:rPr>
            </w:pPr>
            <w:r w:rsidRPr="00046858">
              <w:rPr>
                <w:b/>
                <w:noProof/>
                <w:sz w:val="20"/>
              </w:rPr>
              <w:t>70,000</w:t>
            </w:r>
          </w:p>
        </w:tc>
      </w:tr>
      <w:tr w:rsidR="00C67F54" w:rsidRPr="00046858" w14:paraId="2E1D5042" w14:textId="77777777">
        <w:trPr>
          <w:trHeight w:val="1180"/>
        </w:trPr>
        <w:tc>
          <w:tcPr>
            <w:tcW w:w="1247" w:type="pct"/>
            <w:gridSpan w:val="8"/>
            <w:tcBorders>
              <w:top w:val="single" w:sz="8" w:space="0" w:color="auto"/>
              <w:left w:val="single" w:sz="8" w:space="0" w:color="auto"/>
              <w:bottom w:val="single" w:sz="8" w:space="0" w:color="auto"/>
              <w:right w:val="single" w:sz="8" w:space="0" w:color="000000"/>
            </w:tcBorders>
            <w:vAlign w:val="center"/>
            <w:hideMark/>
          </w:tcPr>
          <w:p w14:paraId="17B9636B" w14:textId="77777777" w:rsidR="00C67F54" w:rsidRPr="00046858" w:rsidRDefault="00C67F54">
            <w:pPr>
              <w:spacing w:before="0" w:after="0"/>
              <w:rPr>
                <w:rFonts w:eastAsia="Times New Roman"/>
                <w:noProof/>
                <w:color w:val="000000"/>
                <w:sz w:val="21"/>
                <w:szCs w:val="21"/>
              </w:rPr>
            </w:pPr>
            <w:r w:rsidRPr="00046858">
              <w:rPr>
                <w:noProof/>
                <w:color w:val="000000"/>
                <w:sz w:val="21"/>
              </w:rPr>
              <w:t xml:space="preserve">TOTAL credite cu caracter administrativ finanțate din bugetul unor programe specifice </w:t>
            </w:r>
          </w:p>
        </w:tc>
        <w:tc>
          <w:tcPr>
            <w:tcW w:w="210" w:type="pct"/>
            <w:tcBorders>
              <w:top w:val="nil"/>
              <w:left w:val="nil"/>
              <w:bottom w:val="single" w:sz="8" w:space="0" w:color="auto"/>
              <w:right w:val="single" w:sz="8" w:space="0" w:color="auto"/>
            </w:tcBorders>
            <w:vAlign w:val="center"/>
            <w:hideMark/>
          </w:tcPr>
          <w:p w14:paraId="3E27C016" w14:textId="77777777" w:rsidR="00C67F54" w:rsidRPr="00046858" w:rsidRDefault="00C67F54">
            <w:pPr>
              <w:spacing w:before="0" w:after="0"/>
              <w:jc w:val="center"/>
              <w:rPr>
                <w:rFonts w:eastAsia="Times New Roman"/>
                <w:noProof/>
                <w:color w:val="000000"/>
                <w:sz w:val="14"/>
                <w:szCs w:val="14"/>
              </w:rPr>
            </w:pPr>
            <w:r w:rsidRPr="00046858">
              <w:rPr>
                <w:noProof/>
                <w:color w:val="000000"/>
                <w:sz w:val="14"/>
              </w:rPr>
              <w:t>(6)</w:t>
            </w:r>
          </w:p>
        </w:tc>
        <w:tc>
          <w:tcPr>
            <w:tcW w:w="392" w:type="pct"/>
            <w:gridSpan w:val="2"/>
            <w:tcBorders>
              <w:top w:val="nil"/>
              <w:left w:val="nil"/>
              <w:bottom w:val="single" w:sz="8" w:space="0" w:color="auto"/>
              <w:right w:val="single" w:sz="8" w:space="0" w:color="auto"/>
            </w:tcBorders>
            <w:shd w:val="clear" w:color="000000" w:fill="D9D9D9"/>
            <w:vAlign w:val="center"/>
          </w:tcPr>
          <w:p w14:paraId="1600D905" w14:textId="77777777" w:rsidR="00C67F54" w:rsidRPr="00046858" w:rsidRDefault="00C67F54">
            <w:pPr>
              <w:spacing w:before="0" w:after="0"/>
              <w:jc w:val="right"/>
              <w:rPr>
                <w:rFonts w:eastAsia="Times New Roman"/>
                <w:noProof/>
                <w:color w:val="000000"/>
                <w:sz w:val="20"/>
                <w:szCs w:val="20"/>
                <w:lang w:eastAsia="en-IE"/>
              </w:rPr>
            </w:pPr>
          </w:p>
        </w:tc>
        <w:tc>
          <w:tcPr>
            <w:tcW w:w="392" w:type="pct"/>
            <w:gridSpan w:val="3"/>
            <w:tcBorders>
              <w:top w:val="nil"/>
              <w:left w:val="nil"/>
              <w:bottom w:val="single" w:sz="8" w:space="0" w:color="auto"/>
              <w:right w:val="single" w:sz="8" w:space="0" w:color="auto"/>
            </w:tcBorders>
            <w:shd w:val="clear" w:color="000000" w:fill="D9D9D9"/>
            <w:vAlign w:val="center"/>
          </w:tcPr>
          <w:p w14:paraId="3992642B" w14:textId="77777777" w:rsidR="00C67F54" w:rsidRPr="00046858" w:rsidRDefault="00C67F54">
            <w:pPr>
              <w:spacing w:before="0" w:after="0"/>
              <w:jc w:val="right"/>
              <w:rPr>
                <w:rFonts w:eastAsia="Times New Roman"/>
                <w:noProof/>
                <w:color w:val="000000"/>
                <w:sz w:val="20"/>
                <w:szCs w:val="20"/>
                <w:lang w:eastAsia="en-IE"/>
              </w:rPr>
            </w:pPr>
          </w:p>
        </w:tc>
        <w:tc>
          <w:tcPr>
            <w:tcW w:w="392" w:type="pct"/>
            <w:gridSpan w:val="3"/>
            <w:tcBorders>
              <w:top w:val="nil"/>
              <w:left w:val="nil"/>
              <w:bottom w:val="single" w:sz="8" w:space="0" w:color="auto"/>
              <w:right w:val="single" w:sz="8" w:space="0" w:color="auto"/>
            </w:tcBorders>
            <w:shd w:val="clear" w:color="000000" w:fill="D9D9D9"/>
            <w:vAlign w:val="center"/>
          </w:tcPr>
          <w:p w14:paraId="401986CF" w14:textId="77777777" w:rsidR="00C67F54" w:rsidRPr="00046858" w:rsidRDefault="00C67F54">
            <w:pPr>
              <w:spacing w:before="0" w:after="0"/>
              <w:jc w:val="right"/>
              <w:rPr>
                <w:rFonts w:eastAsia="Times New Roman"/>
                <w:noProof/>
                <w:color w:val="000000"/>
                <w:sz w:val="20"/>
                <w:szCs w:val="20"/>
                <w:lang w:eastAsia="en-IE"/>
              </w:rPr>
            </w:pPr>
          </w:p>
        </w:tc>
        <w:tc>
          <w:tcPr>
            <w:tcW w:w="392" w:type="pct"/>
            <w:gridSpan w:val="4"/>
            <w:tcBorders>
              <w:top w:val="nil"/>
              <w:left w:val="nil"/>
              <w:bottom w:val="single" w:sz="8" w:space="0" w:color="auto"/>
              <w:right w:val="single" w:sz="8" w:space="0" w:color="auto"/>
            </w:tcBorders>
            <w:shd w:val="clear" w:color="000000" w:fill="D9D9D9"/>
            <w:vAlign w:val="center"/>
          </w:tcPr>
          <w:p w14:paraId="2E558E17" w14:textId="77777777" w:rsidR="00C67F54" w:rsidRPr="00046858" w:rsidRDefault="00C67F54">
            <w:pPr>
              <w:spacing w:before="0" w:after="0"/>
              <w:jc w:val="right"/>
              <w:rPr>
                <w:rFonts w:eastAsia="Times New Roman"/>
                <w:noProof/>
                <w:color w:val="000000"/>
                <w:sz w:val="20"/>
                <w:szCs w:val="20"/>
                <w:lang w:eastAsia="en-IE"/>
              </w:rPr>
            </w:pPr>
          </w:p>
        </w:tc>
        <w:tc>
          <w:tcPr>
            <w:tcW w:w="392" w:type="pct"/>
            <w:gridSpan w:val="2"/>
            <w:tcBorders>
              <w:top w:val="nil"/>
              <w:left w:val="nil"/>
              <w:bottom w:val="single" w:sz="8" w:space="0" w:color="auto"/>
              <w:right w:val="single" w:sz="8" w:space="0" w:color="auto"/>
            </w:tcBorders>
            <w:shd w:val="clear" w:color="000000" w:fill="D9D9D9"/>
            <w:vAlign w:val="center"/>
          </w:tcPr>
          <w:p w14:paraId="2338C87F" w14:textId="77777777" w:rsidR="00C67F54" w:rsidRPr="00046858" w:rsidRDefault="00C67F54">
            <w:pPr>
              <w:spacing w:before="0" w:after="0"/>
              <w:jc w:val="right"/>
              <w:rPr>
                <w:rFonts w:eastAsia="Times New Roman"/>
                <w:noProof/>
                <w:color w:val="000000"/>
                <w:sz w:val="20"/>
                <w:szCs w:val="20"/>
                <w:lang w:eastAsia="en-IE"/>
              </w:rPr>
            </w:pPr>
          </w:p>
        </w:tc>
        <w:tc>
          <w:tcPr>
            <w:tcW w:w="392" w:type="pct"/>
            <w:gridSpan w:val="3"/>
            <w:tcBorders>
              <w:top w:val="nil"/>
              <w:left w:val="nil"/>
              <w:bottom w:val="single" w:sz="8" w:space="0" w:color="auto"/>
              <w:right w:val="single" w:sz="8" w:space="0" w:color="auto"/>
            </w:tcBorders>
            <w:shd w:val="clear" w:color="000000" w:fill="D9D9D9"/>
            <w:vAlign w:val="center"/>
          </w:tcPr>
          <w:p w14:paraId="54707632" w14:textId="77777777" w:rsidR="00C67F54" w:rsidRPr="00046858" w:rsidRDefault="00C67F54">
            <w:pPr>
              <w:spacing w:before="0" w:after="0"/>
              <w:jc w:val="right"/>
              <w:rPr>
                <w:rFonts w:eastAsia="Times New Roman"/>
                <w:noProof/>
                <w:color w:val="000000"/>
                <w:sz w:val="20"/>
                <w:szCs w:val="20"/>
                <w:lang w:eastAsia="en-IE"/>
              </w:rPr>
            </w:pPr>
          </w:p>
        </w:tc>
        <w:tc>
          <w:tcPr>
            <w:tcW w:w="392" w:type="pct"/>
            <w:gridSpan w:val="2"/>
            <w:tcBorders>
              <w:top w:val="nil"/>
              <w:left w:val="nil"/>
              <w:bottom w:val="single" w:sz="8" w:space="0" w:color="auto"/>
              <w:right w:val="single" w:sz="8" w:space="0" w:color="auto"/>
            </w:tcBorders>
            <w:shd w:val="clear" w:color="000000" w:fill="D9D9D9"/>
            <w:vAlign w:val="center"/>
          </w:tcPr>
          <w:p w14:paraId="79732FA2" w14:textId="77777777" w:rsidR="00C67F54" w:rsidRPr="00046858" w:rsidRDefault="00C67F54">
            <w:pPr>
              <w:spacing w:before="0" w:after="0"/>
              <w:jc w:val="right"/>
              <w:rPr>
                <w:rFonts w:eastAsia="Times New Roman"/>
                <w:noProof/>
                <w:color w:val="000000"/>
                <w:sz w:val="20"/>
                <w:szCs w:val="20"/>
                <w:lang w:eastAsia="en-IE"/>
              </w:rPr>
            </w:pPr>
          </w:p>
        </w:tc>
        <w:tc>
          <w:tcPr>
            <w:tcW w:w="392" w:type="pct"/>
            <w:gridSpan w:val="2"/>
            <w:tcBorders>
              <w:top w:val="nil"/>
              <w:left w:val="nil"/>
              <w:bottom w:val="single" w:sz="8" w:space="0" w:color="auto"/>
              <w:right w:val="single" w:sz="4" w:space="0" w:color="auto"/>
            </w:tcBorders>
            <w:shd w:val="clear" w:color="000000" w:fill="D9D9D9"/>
            <w:vAlign w:val="center"/>
          </w:tcPr>
          <w:p w14:paraId="52F74107" w14:textId="77777777" w:rsidR="00C67F54" w:rsidRPr="00046858" w:rsidRDefault="00C67F54">
            <w:pPr>
              <w:spacing w:before="0" w:after="0"/>
              <w:jc w:val="right"/>
              <w:rPr>
                <w:rFonts w:eastAsia="Times New Roman"/>
                <w:b/>
                <w:bCs/>
                <w:noProof/>
                <w:color w:val="000000"/>
                <w:sz w:val="20"/>
                <w:szCs w:val="20"/>
                <w:lang w:eastAsia="en-IE"/>
              </w:rPr>
            </w:pPr>
          </w:p>
        </w:tc>
        <w:tc>
          <w:tcPr>
            <w:tcW w:w="405" w:type="pct"/>
            <w:tcBorders>
              <w:top w:val="nil"/>
              <w:left w:val="single" w:sz="4" w:space="0" w:color="auto"/>
              <w:bottom w:val="single" w:sz="8" w:space="0" w:color="auto"/>
              <w:right w:val="single" w:sz="8" w:space="0" w:color="auto"/>
            </w:tcBorders>
            <w:shd w:val="clear" w:color="000000" w:fill="D9D9D9"/>
            <w:vAlign w:val="center"/>
            <w:hideMark/>
          </w:tcPr>
          <w:p w14:paraId="72868806" w14:textId="77777777" w:rsidR="00C67F54" w:rsidRPr="00046858" w:rsidRDefault="00C67F54">
            <w:pPr>
              <w:spacing w:before="0" w:after="0"/>
              <w:jc w:val="right"/>
              <w:rPr>
                <w:rFonts w:eastAsia="Times New Roman"/>
                <w:b/>
                <w:noProof/>
                <w:color w:val="000000"/>
                <w:sz w:val="20"/>
                <w:szCs w:val="20"/>
              </w:rPr>
            </w:pPr>
            <w:r w:rsidRPr="00046858">
              <w:rPr>
                <w:b/>
                <w:noProof/>
                <w:color w:val="000000"/>
                <w:sz w:val="20"/>
              </w:rPr>
              <w:t>0</w:t>
            </w:r>
          </w:p>
        </w:tc>
      </w:tr>
      <w:tr w:rsidR="00C67F54" w:rsidRPr="00046858" w14:paraId="75F69D03" w14:textId="77777777">
        <w:trPr>
          <w:trHeight w:val="579"/>
        </w:trPr>
        <w:tc>
          <w:tcPr>
            <w:tcW w:w="706" w:type="pct"/>
            <w:gridSpan w:val="3"/>
            <w:tcBorders>
              <w:top w:val="nil"/>
              <w:left w:val="single" w:sz="8" w:space="0" w:color="auto"/>
              <w:bottom w:val="nil"/>
              <w:right w:val="single" w:sz="8" w:space="0" w:color="auto"/>
            </w:tcBorders>
            <w:shd w:val="thinDiagStripe" w:color="C0C0C0" w:fill="E6E6E6"/>
            <w:vAlign w:val="center"/>
            <w:hideMark/>
          </w:tcPr>
          <w:p w14:paraId="359CB40B" w14:textId="63E45873" w:rsidR="00C67F54" w:rsidRPr="00046858" w:rsidRDefault="00C67F54">
            <w:pPr>
              <w:spacing w:before="0" w:after="0"/>
              <w:jc w:val="center"/>
              <w:rPr>
                <w:rFonts w:eastAsia="Times New Roman"/>
                <w:b/>
                <w:bCs/>
                <w:noProof/>
                <w:color w:val="000000"/>
                <w:sz w:val="22"/>
              </w:rPr>
            </w:pPr>
            <w:r w:rsidRPr="00046858">
              <w:rPr>
                <w:b/>
                <w:noProof/>
                <w:color w:val="000000"/>
                <w:sz w:val="22"/>
              </w:rPr>
              <w:t>Total credite în cadrul</w:t>
            </w:r>
            <w:r w:rsidR="008B6AF5">
              <w:rPr>
                <w:b/>
                <w:noProof/>
                <w:color w:val="000000"/>
                <w:sz w:val="22"/>
              </w:rPr>
              <w:t xml:space="preserve"> </w:t>
            </w:r>
            <w:r w:rsidRPr="00046858">
              <w:rPr>
                <w:noProof/>
              </w:rPr>
              <w:cr/>
            </w:r>
            <w:r w:rsidRPr="00046858">
              <w:rPr>
                <w:noProof/>
              </w:rPr>
              <w:br/>
            </w:r>
            <w:r w:rsidRPr="00046858">
              <w:rPr>
                <w:b/>
                <w:noProof/>
                <w:color w:val="000000"/>
                <w:sz w:val="22"/>
              </w:rPr>
              <w:t>RUBRICII 2</w:t>
            </w:r>
          </w:p>
        </w:tc>
        <w:tc>
          <w:tcPr>
            <w:tcW w:w="541" w:type="pct"/>
            <w:gridSpan w:val="5"/>
            <w:tcBorders>
              <w:top w:val="nil"/>
              <w:left w:val="nil"/>
              <w:bottom w:val="single" w:sz="8" w:space="0" w:color="auto"/>
              <w:right w:val="single" w:sz="8" w:space="0" w:color="auto"/>
            </w:tcBorders>
            <w:vAlign w:val="center"/>
            <w:hideMark/>
          </w:tcPr>
          <w:p w14:paraId="57B3C916" w14:textId="77777777" w:rsidR="00C67F54" w:rsidRPr="00046858" w:rsidRDefault="00C67F54">
            <w:pPr>
              <w:spacing w:before="0" w:after="0"/>
              <w:rPr>
                <w:rFonts w:eastAsia="Times New Roman"/>
                <w:noProof/>
                <w:color w:val="000000"/>
                <w:sz w:val="18"/>
                <w:szCs w:val="18"/>
              </w:rPr>
            </w:pPr>
            <w:r w:rsidRPr="00046858">
              <w:rPr>
                <w:noProof/>
                <w:color w:val="000000"/>
                <w:sz w:val="18"/>
              </w:rPr>
              <w:t>Angajamente</w:t>
            </w:r>
          </w:p>
        </w:tc>
        <w:tc>
          <w:tcPr>
            <w:tcW w:w="210" w:type="pct"/>
            <w:tcBorders>
              <w:top w:val="nil"/>
              <w:left w:val="nil"/>
              <w:bottom w:val="single" w:sz="8" w:space="0" w:color="auto"/>
              <w:right w:val="single" w:sz="8" w:space="0" w:color="auto"/>
            </w:tcBorders>
            <w:vAlign w:val="center"/>
            <w:hideMark/>
          </w:tcPr>
          <w:p w14:paraId="27362896" w14:textId="77777777" w:rsidR="00C67F54" w:rsidRPr="00046858" w:rsidRDefault="00C67F54">
            <w:pPr>
              <w:spacing w:before="0" w:after="0"/>
              <w:jc w:val="center"/>
              <w:rPr>
                <w:rFonts w:eastAsia="Times New Roman"/>
                <w:noProof/>
                <w:color w:val="000000"/>
                <w:sz w:val="14"/>
                <w:szCs w:val="14"/>
              </w:rPr>
            </w:pPr>
            <w:r w:rsidRPr="00046858">
              <w:rPr>
                <w:noProof/>
                <w:color w:val="000000"/>
                <w:sz w:val="14"/>
              </w:rPr>
              <w:t>=4+6</w:t>
            </w:r>
          </w:p>
        </w:tc>
        <w:tc>
          <w:tcPr>
            <w:tcW w:w="392" w:type="pct"/>
            <w:gridSpan w:val="2"/>
            <w:tcBorders>
              <w:top w:val="nil"/>
              <w:left w:val="nil"/>
              <w:bottom w:val="single" w:sz="8" w:space="0" w:color="auto"/>
              <w:right w:val="single" w:sz="8" w:space="0" w:color="auto"/>
            </w:tcBorders>
            <w:shd w:val="clear" w:color="000000" w:fill="D9D9D9"/>
            <w:vAlign w:val="center"/>
            <w:hideMark/>
          </w:tcPr>
          <w:p w14:paraId="63BFC2EE" w14:textId="77777777" w:rsidR="00C67F54" w:rsidRPr="00046858" w:rsidRDefault="00C67F54">
            <w:pPr>
              <w:spacing w:before="0" w:after="0"/>
              <w:jc w:val="right"/>
              <w:rPr>
                <w:rFonts w:eastAsia="Times New Roman"/>
                <w:b/>
                <w:noProof/>
                <w:color w:val="000000"/>
                <w:sz w:val="20"/>
                <w:szCs w:val="20"/>
              </w:rPr>
            </w:pPr>
            <w:r w:rsidRPr="00046858">
              <w:rPr>
                <w:b/>
                <w:noProof/>
                <w:sz w:val="20"/>
              </w:rPr>
              <w:t>30,000</w:t>
            </w:r>
          </w:p>
        </w:tc>
        <w:tc>
          <w:tcPr>
            <w:tcW w:w="392" w:type="pct"/>
            <w:gridSpan w:val="3"/>
            <w:tcBorders>
              <w:top w:val="nil"/>
              <w:left w:val="nil"/>
              <w:bottom w:val="single" w:sz="8" w:space="0" w:color="auto"/>
              <w:right w:val="single" w:sz="8" w:space="0" w:color="auto"/>
            </w:tcBorders>
            <w:shd w:val="clear" w:color="000000" w:fill="D9D9D9"/>
            <w:vAlign w:val="center"/>
            <w:hideMark/>
          </w:tcPr>
          <w:p w14:paraId="4EA60664" w14:textId="77777777" w:rsidR="00C67F54" w:rsidRPr="00046858" w:rsidRDefault="00C67F54">
            <w:pPr>
              <w:spacing w:before="0" w:after="0"/>
              <w:jc w:val="right"/>
              <w:rPr>
                <w:rFonts w:eastAsia="Times New Roman"/>
                <w:b/>
                <w:noProof/>
                <w:color w:val="000000"/>
                <w:sz w:val="20"/>
                <w:szCs w:val="20"/>
                <w:lang w:eastAsia="en-IE"/>
              </w:rPr>
            </w:pPr>
          </w:p>
        </w:tc>
        <w:tc>
          <w:tcPr>
            <w:tcW w:w="392" w:type="pct"/>
            <w:gridSpan w:val="3"/>
            <w:tcBorders>
              <w:top w:val="nil"/>
              <w:left w:val="nil"/>
              <w:bottom w:val="single" w:sz="8" w:space="0" w:color="auto"/>
              <w:right w:val="single" w:sz="8" w:space="0" w:color="auto"/>
            </w:tcBorders>
            <w:shd w:val="clear" w:color="000000" w:fill="D9D9D9"/>
            <w:vAlign w:val="center"/>
            <w:hideMark/>
          </w:tcPr>
          <w:p w14:paraId="525013AD" w14:textId="77777777" w:rsidR="00C67F54" w:rsidRPr="00046858" w:rsidRDefault="00C67F54">
            <w:pPr>
              <w:spacing w:before="0" w:after="0"/>
              <w:jc w:val="right"/>
              <w:rPr>
                <w:rFonts w:eastAsia="Times New Roman"/>
                <w:b/>
                <w:noProof/>
                <w:color w:val="000000"/>
                <w:sz w:val="20"/>
                <w:szCs w:val="20"/>
              </w:rPr>
            </w:pPr>
            <w:r w:rsidRPr="00046858">
              <w:rPr>
                <w:b/>
                <w:noProof/>
                <w:sz w:val="20"/>
              </w:rPr>
              <w:t>20,000</w:t>
            </w:r>
          </w:p>
        </w:tc>
        <w:tc>
          <w:tcPr>
            <w:tcW w:w="392" w:type="pct"/>
            <w:gridSpan w:val="4"/>
            <w:tcBorders>
              <w:top w:val="nil"/>
              <w:left w:val="nil"/>
              <w:bottom w:val="single" w:sz="8" w:space="0" w:color="auto"/>
              <w:right w:val="single" w:sz="8" w:space="0" w:color="auto"/>
            </w:tcBorders>
            <w:shd w:val="clear" w:color="000000" w:fill="D9D9D9"/>
            <w:vAlign w:val="center"/>
            <w:hideMark/>
          </w:tcPr>
          <w:p w14:paraId="650FBC85" w14:textId="77777777" w:rsidR="00C67F54" w:rsidRPr="00046858" w:rsidRDefault="00C67F54">
            <w:pPr>
              <w:spacing w:before="0" w:after="0"/>
              <w:jc w:val="right"/>
              <w:rPr>
                <w:rFonts w:eastAsia="Times New Roman"/>
                <w:b/>
                <w:noProof/>
                <w:color w:val="000000"/>
                <w:sz w:val="20"/>
                <w:szCs w:val="20"/>
                <w:lang w:eastAsia="en-IE"/>
              </w:rPr>
            </w:pPr>
          </w:p>
        </w:tc>
        <w:tc>
          <w:tcPr>
            <w:tcW w:w="392" w:type="pct"/>
            <w:gridSpan w:val="2"/>
            <w:tcBorders>
              <w:top w:val="nil"/>
              <w:left w:val="nil"/>
              <w:bottom w:val="single" w:sz="8" w:space="0" w:color="auto"/>
              <w:right w:val="single" w:sz="8" w:space="0" w:color="auto"/>
            </w:tcBorders>
            <w:shd w:val="clear" w:color="000000" w:fill="D9D9D9"/>
            <w:vAlign w:val="center"/>
            <w:hideMark/>
          </w:tcPr>
          <w:p w14:paraId="27C03101" w14:textId="77777777" w:rsidR="00C67F54" w:rsidRPr="00046858" w:rsidRDefault="00C67F54">
            <w:pPr>
              <w:spacing w:before="0" w:after="0"/>
              <w:jc w:val="right"/>
              <w:rPr>
                <w:rFonts w:eastAsia="Times New Roman"/>
                <w:b/>
                <w:noProof/>
                <w:color w:val="000000"/>
                <w:sz w:val="20"/>
                <w:szCs w:val="20"/>
              </w:rPr>
            </w:pPr>
            <w:r w:rsidRPr="00046858">
              <w:rPr>
                <w:b/>
                <w:noProof/>
                <w:sz w:val="20"/>
              </w:rPr>
              <w:t>10,000</w:t>
            </w:r>
          </w:p>
        </w:tc>
        <w:tc>
          <w:tcPr>
            <w:tcW w:w="392" w:type="pct"/>
            <w:gridSpan w:val="3"/>
            <w:tcBorders>
              <w:top w:val="nil"/>
              <w:left w:val="nil"/>
              <w:bottom w:val="single" w:sz="8" w:space="0" w:color="auto"/>
              <w:right w:val="single" w:sz="8" w:space="0" w:color="auto"/>
            </w:tcBorders>
            <w:shd w:val="clear" w:color="000000" w:fill="D9D9D9"/>
            <w:vAlign w:val="center"/>
            <w:hideMark/>
          </w:tcPr>
          <w:p w14:paraId="1324C26A" w14:textId="77777777" w:rsidR="00C67F54" w:rsidRPr="00046858" w:rsidRDefault="00C67F54">
            <w:pPr>
              <w:spacing w:before="0" w:after="0"/>
              <w:jc w:val="right"/>
              <w:rPr>
                <w:rFonts w:eastAsia="Times New Roman"/>
                <w:b/>
                <w:noProof/>
                <w:color w:val="000000"/>
                <w:sz w:val="20"/>
                <w:szCs w:val="20"/>
                <w:lang w:eastAsia="en-IE"/>
              </w:rPr>
            </w:pPr>
          </w:p>
        </w:tc>
        <w:tc>
          <w:tcPr>
            <w:tcW w:w="392" w:type="pct"/>
            <w:gridSpan w:val="2"/>
            <w:tcBorders>
              <w:top w:val="nil"/>
              <w:left w:val="nil"/>
              <w:bottom w:val="single" w:sz="8" w:space="0" w:color="auto"/>
              <w:right w:val="single" w:sz="8" w:space="0" w:color="auto"/>
            </w:tcBorders>
            <w:shd w:val="clear" w:color="000000" w:fill="D9D9D9"/>
            <w:vAlign w:val="center"/>
            <w:hideMark/>
          </w:tcPr>
          <w:p w14:paraId="04432830" w14:textId="77777777" w:rsidR="00C67F54" w:rsidRPr="00046858" w:rsidRDefault="00C67F54">
            <w:pPr>
              <w:spacing w:before="0" w:after="0"/>
              <w:jc w:val="right"/>
              <w:rPr>
                <w:rFonts w:eastAsia="Times New Roman"/>
                <w:b/>
                <w:noProof/>
                <w:color w:val="000000"/>
                <w:sz w:val="20"/>
                <w:szCs w:val="20"/>
              </w:rPr>
            </w:pPr>
            <w:r w:rsidRPr="00046858">
              <w:rPr>
                <w:b/>
                <w:noProof/>
                <w:sz w:val="20"/>
              </w:rPr>
              <w:t>10,000</w:t>
            </w:r>
          </w:p>
        </w:tc>
        <w:tc>
          <w:tcPr>
            <w:tcW w:w="392" w:type="pct"/>
            <w:gridSpan w:val="2"/>
            <w:tcBorders>
              <w:top w:val="nil"/>
              <w:left w:val="nil"/>
              <w:bottom w:val="single" w:sz="8" w:space="0" w:color="auto"/>
              <w:right w:val="single" w:sz="4" w:space="0" w:color="auto"/>
            </w:tcBorders>
            <w:shd w:val="clear" w:color="000000" w:fill="D9D9D9"/>
            <w:vAlign w:val="center"/>
          </w:tcPr>
          <w:p w14:paraId="1F697E73" w14:textId="77777777" w:rsidR="00C67F54" w:rsidRPr="00046858" w:rsidRDefault="00C67F54">
            <w:pPr>
              <w:spacing w:before="0" w:after="0"/>
              <w:jc w:val="right"/>
              <w:rPr>
                <w:rFonts w:eastAsia="Times New Roman"/>
                <w:b/>
                <w:bCs/>
                <w:noProof/>
                <w:color w:val="000000"/>
                <w:sz w:val="20"/>
                <w:szCs w:val="20"/>
                <w:lang w:eastAsia="en-IE"/>
              </w:rPr>
            </w:pPr>
          </w:p>
        </w:tc>
        <w:tc>
          <w:tcPr>
            <w:tcW w:w="405" w:type="pct"/>
            <w:tcBorders>
              <w:top w:val="nil"/>
              <w:left w:val="single" w:sz="4" w:space="0" w:color="auto"/>
              <w:bottom w:val="single" w:sz="8" w:space="0" w:color="auto"/>
              <w:right w:val="single" w:sz="8" w:space="0" w:color="auto"/>
            </w:tcBorders>
            <w:shd w:val="clear" w:color="000000" w:fill="D9D9D9"/>
            <w:vAlign w:val="center"/>
            <w:hideMark/>
          </w:tcPr>
          <w:p w14:paraId="2D24C06B" w14:textId="77777777" w:rsidR="00C67F54" w:rsidRPr="00046858" w:rsidRDefault="00C67F54">
            <w:pPr>
              <w:spacing w:before="0" w:after="0"/>
              <w:jc w:val="right"/>
              <w:rPr>
                <w:rFonts w:eastAsia="Times New Roman"/>
                <w:b/>
                <w:noProof/>
                <w:color w:val="000000"/>
                <w:sz w:val="20"/>
                <w:szCs w:val="20"/>
              </w:rPr>
            </w:pPr>
            <w:r w:rsidRPr="00046858">
              <w:rPr>
                <w:b/>
                <w:noProof/>
                <w:sz w:val="20"/>
              </w:rPr>
              <w:t>70,000</w:t>
            </w:r>
          </w:p>
        </w:tc>
      </w:tr>
      <w:tr w:rsidR="00C67F54" w:rsidRPr="00046858" w14:paraId="103AB05A" w14:textId="77777777">
        <w:trPr>
          <w:trHeight w:val="552"/>
        </w:trPr>
        <w:tc>
          <w:tcPr>
            <w:tcW w:w="706" w:type="pct"/>
            <w:gridSpan w:val="3"/>
            <w:tcBorders>
              <w:top w:val="nil"/>
              <w:left w:val="single" w:sz="8" w:space="0" w:color="auto"/>
              <w:bottom w:val="single" w:sz="8" w:space="0" w:color="auto"/>
              <w:right w:val="single" w:sz="8" w:space="0" w:color="auto"/>
            </w:tcBorders>
            <w:shd w:val="thinDiagStripe" w:color="C0C0C0" w:fill="E6E6E6"/>
            <w:vAlign w:val="center"/>
            <w:hideMark/>
          </w:tcPr>
          <w:p w14:paraId="10F27B9F" w14:textId="77777777" w:rsidR="00C67F54" w:rsidRPr="00046858" w:rsidRDefault="00C67F54">
            <w:pPr>
              <w:spacing w:before="0" w:after="0"/>
              <w:jc w:val="center"/>
              <w:rPr>
                <w:rFonts w:eastAsia="Times New Roman"/>
                <w:noProof/>
                <w:color w:val="000000"/>
                <w:sz w:val="22"/>
              </w:rPr>
            </w:pPr>
            <w:r w:rsidRPr="00046858">
              <w:rPr>
                <w:noProof/>
                <w:color w:val="000000"/>
                <w:sz w:val="22"/>
              </w:rPr>
              <w:t>din cadrul financiar multianual</w:t>
            </w:r>
          </w:p>
        </w:tc>
        <w:tc>
          <w:tcPr>
            <w:tcW w:w="541" w:type="pct"/>
            <w:gridSpan w:val="5"/>
            <w:tcBorders>
              <w:top w:val="nil"/>
              <w:left w:val="nil"/>
              <w:bottom w:val="single" w:sz="8" w:space="0" w:color="auto"/>
              <w:right w:val="single" w:sz="8" w:space="0" w:color="auto"/>
            </w:tcBorders>
            <w:vAlign w:val="center"/>
            <w:hideMark/>
          </w:tcPr>
          <w:p w14:paraId="417D3C3B" w14:textId="77777777" w:rsidR="00C67F54" w:rsidRPr="00046858" w:rsidRDefault="00C67F54">
            <w:pPr>
              <w:spacing w:before="0" w:after="0"/>
              <w:rPr>
                <w:rFonts w:eastAsia="Times New Roman"/>
                <w:noProof/>
                <w:color w:val="000000"/>
                <w:sz w:val="18"/>
                <w:szCs w:val="18"/>
              </w:rPr>
            </w:pPr>
            <w:r w:rsidRPr="00046858">
              <w:rPr>
                <w:noProof/>
                <w:color w:val="000000"/>
                <w:sz w:val="18"/>
              </w:rPr>
              <w:t>Plăți</w:t>
            </w:r>
          </w:p>
        </w:tc>
        <w:tc>
          <w:tcPr>
            <w:tcW w:w="210" w:type="pct"/>
            <w:tcBorders>
              <w:top w:val="nil"/>
              <w:left w:val="nil"/>
              <w:bottom w:val="single" w:sz="8" w:space="0" w:color="auto"/>
              <w:right w:val="single" w:sz="8" w:space="0" w:color="auto"/>
            </w:tcBorders>
            <w:vAlign w:val="center"/>
            <w:hideMark/>
          </w:tcPr>
          <w:p w14:paraId="7C7C897C" w14:textId="77777777" w:rsidR="00C67F54" w:rsidRPr="00046858" w:rsidRDefault="00C67F54">
            <w:pPr>
              <w:spacing w:before="0" w:after="0"/>
              <w:jc w:val="center"/>
              <w:rPr>
                <w:rFonts w:eastAsia="Times New Roman"/>
                <w:noProof/>
                <w:color w:val="000000"/>
                <w:sz w:val="14"/>
                <w:szCs w:val="14"/>
              </w:rPr>
            </w:pPr>
            <w:r w:rsidRPr="00046858">
              <w:rPr>
                <w:noProof/>
                <w:color w:val="000000"/>
                <w:sz w:val="14"/>
              </w:rPr>
              <w:t>=5+6</w:t>
            </w:r>
          </w:p>
        </w:tc>
        <w:tc>
          <w:tcPr>
            <w:tcW w:w="392" w:type="pct"/>
            <w:gridSpan w:val="2"/>
            <w:tcBorders>
              <w:top w:val="nil"/>
              <w:left w:val="nil"/>
              <w:bottom w:val="single" w:sz="8" w:space="0" w:color="auto"/>
              <w:right w:val="single" w:sz="8" w:space="0" w:color="auto"/>
            </w:tcBorders>
            <w:shd w:val="clear" w:color="000000" w:fill="D9D9D9"/>
            <w:vAlign w:val="center"/>
            <w:hideMark/>
          </w:tcPr>
          <w:p w14:paraId="50B34305" w14:textId="77777777" w:rsidR="00C67F54" w:rsidRPr="00046858" w:rsidRDefault="00C67F54">
            <w:pPr>
              <w:spacing w:before="0" w:after="0"/>
              <w:jc w:val="right"/>
              <w:rPr>
                <w:rFonts w:eastAsia="Times New Roman"/>
                <w:b/>
                <w:noProof/>
                <w:color w:val="000000"/>
                <w:sz w:val="20"/>
                <w:szCs w:val="20"/>
              </w:rPr>
            </w:pPr>
            <w:r w:rsidRPr="00046858">
              <w:rPr>
                <w:b/>
                <w:noProof/>
                <w:sz w:val="20"/>
              </w:rPr>
              <w:t>18,000</w:t>
            </w:r>
          </w:p>
        </w:tc>
        <w:tc>
          <w:tcPr>
            <w:tcW w:w="392" w:type="pct"/>
            <w:gridSpan w:val="3"/>
            <w:tcBorders>
              <w:top w:val="nil"/>
              <w:left w:val="nil"/>
              <w:bottom w:val="single" w:sz="8" w:space="0" w:color="auto"/>
              <w:right w:val="single" w:sz="8" w:space="0" w:color="auto"/>
            </w:tcBorders>
            <w:shd w:val="clear" w:color="000000" w:fill="D9D9D9"/>
            <w:vAlign w:val="center"/>
            <w:hideMark/>
          </w:tcPr>
          <w:p w14:paraId="081F0317" w14:textId="77777777" w:rsidR="00C67F54" w:rsidRPr="00046858" w:rsidRDefault="00C67F54">
            <w:pPr>
              <w:spacing w:before="0" w:after="0"/>
              <w:jc w:val="right"/>
              <w:rPr>
                <w:rFonts w:eastAsia="Times New Roman"/>
                <w:b/>
                <w:noProof/>
                <w:color w:val="000000"/>
                <w:sz w:val="20"/>
                <w:szCs w:val="20"/>
              </w:rPr>
            </w:pPr>
            <w:r w:rsidRPr="00046858">
              <w:rPr>
                <w:b/>
                <w:noProof/>
                <w:sz w:val="20"/>
              </w:rPr>
              <w:t>6,000</w:t>
            </w:r>
          </w:p>
        </w:tc>
        <w:tc>
          <w:tcPr>
            <w:tcW w:w="392" w:type="pct"/>
            <w:gridSpan w:val="3"/>
            <w:tcBorders>
              <w:top w:val="nil"/>
              <w:left w:val="nil"/>
              <w:bottom w:val="single" w:sz="8" w:space="0" w:color="auto"/>
              <w:right w:val="single" w:sz="8" w:space="0" w:color="auto"/>
            </w:tcBorders>
            <w:shd w:val="clear" w:color="000000" w:fill="D9D9D9"/>
            <w:vAlign w:val="center"/>
            <w:hideMark/>
          </w:tcPr>
          <w:p w14:paraId="28C64EE4" w14:textId="77777777" w:rsidR="00C67F54" w:rsidRPr="00046858" w:rsidRDefault="00C67F54">
            <w:pPr>
              <w:spacing w:before="0" w:after="0"/>
              <w:jc w:val="right"/>
              <w:rPr>
                <w:rFonts w:eastAsia="Times New Roman"/>
                <w:b/>
                <w:noProof/>
                <w:color w:val="000000"/>
                <w:sz w:val="20"/>
                <w:szCs w:val="20"/>
              </w:rPr>
            </w:pPr>
            <w:r w:rsidRPr="00046858">
              <w:rPr>
                <w:b/>
                <w:noProof/>
                <w:sz w:val="20"/>
              </w:rPr>
              <w:t>15,000</w:t>
            </w:r>
          </w:p>
        </w:tc>
        <w:tc>
          <w:tcPr>
            <w:tcW w:w="392" w:type="pct"/>
            <w:gridSpan w:val="4"/>
            <w:tcBorders>
              <w:top w:val="nil"/>
              <w:left w:val="nil"/>
              <w:bottom w:val="single" w:sz="8" w:space="0" w:color="auto"/>
              <w:right w:val="single" w:sz="8" w:space="0" w:color="auto"/>
            </w:tcBorders>
            <w:shd w:val="clear" w:color="000000" w:fill="D9D9D9"/>
            <w:vAlign w:val="center"/>
            <w:hideMark/>
          </w:tcPr>
          <w:p w14:paraId="5ACD49E2" w14:textId="77777777" w:rsidR="00C67F54" w:rsidRPr="00046858" w:rsidRDefault="00C67F54">
            <w:pPr>
              <w:spacing w:before="0" w:after="0"/>
              <w:jc w:val="right"/>
              <w:rPr>
                <w:rFonts w:eastAsia="Times New Roman"/>
                <w:b/>
                <w:noProof/>
                <w:color w:val="000000"/>
                <w:sz w:val="20"/>
                <w:szCs w:val="20"/>
              </w:rPr>
            </w:pPr>
            <w:r w:rsidRPr="00046858">
              <w:rPr>
                <w:b/>
                <w:noProof/>
                <w:sz w:val="20"/>
              </w:rPr>
              <w:t>7,000</w:t>
            </w:r>
          </w:p>
        </w:tc>
        <w:tc>
          <w:tcPr>
            <w:tcW w:w="392" w:type="pct"/>
            <w:gridSpan w:val="2"/>
            <w:tcBorders>
              <w:top w:val="nil"/>
              <w:left w:val="nil"/>
              <w:bottom w:val="single" w:sz="8" w:space="0" w:color="auto"/>
              <w:right w:val="single" w:sz="8" w:space="0" w:color="auto"/>
            </w:tcBorders>
            <w:shd w:val="clear" w:color="000000" w:fill="D9D9D9"/>
            <w:vAlign w:val="center"/>
            <w:hideMark/>
          </w:tcPr>
          <w:p w14:paraId="109840C4" w14:textId="77777777" w:rsidR="00C67F54" w:rsidRPr="00046858" w:rsidRDefault="00C67F54">
            <w:pPr>
              <w:spacing w:before="0" w:after="0"/>
              <w:jc w:val="right"/>
              <w:rPr>
                <w:rFonts w:eastAsia="Times New Roman"/>
                <w:b/>
                <w:noProof/>
                <w:color w:val="000000"/>
                <w:sz w:val="20"/>
                <w:szCs w:val="20"/>
              </w:rPr>
            </w:pPr>
            <w:r w:rsidRPr="00046858">
              <w:rPr>
                <w:b/>
                <w:noProof/>
                <w:sz w:val="20"/>
              </w:rPr>
              <w:t>8,000</w:t>
            </w:r>
          </w:p>
        </w:tc>
        <w:tc>
          <w:tcPr>
            <w:tcW w:w="392" w:type="pct"/>
            <w:gridSpan w:val="3"/>
            <w:tcBorders>
              <w:top w:val="nil"/>
              <w:left w:val="nil"/>
              <w:bottom w:val="single" w:sz="8" w:space="0" w:color="auto"/>
              <w:right w:val="single" w:sz="8" w:space="0" w:color="auto"/>
            </w:tcBorders>
            <w:shd w:val="clear" w:color="000000" w:fill="D9D9D9"/>
            <w:vAlign w:val="center"/>
            <w:hideMark/>
          </w:tcPr>
          <w:p w14:paraId="3BF954A1" w14:textId="77777777" w:rsidR="00C67F54" w:rsidRPr="00046858" w:rsidRDefault="00C67F54">
            <w:pPr>
              <w:spacing w:before="0" w:after="0"/>
              <w:jc w:val="right"/>
              <w:rPr>
                <w:rFonts w:eastAsia="Times New Roman"/>
                <w:b/>
                <w:noProof/>
                <w:color w:val="000000"/>
                <w:sz w:val="20"/>
                <w:szCs w:val="20"/>
              </w:rPr>
            </w:pPr>
            <w:r w:rsidRPr="00046858">
              <w:rPr>
                <w:b/>
                <w:noProof/>
                <w:sz w:val="20"/>
              </w:rPr>
              <w:t>4,000</w:t>
            </w:r>
          </w:p>
        </w:tc>
        <w:tc>
          <w:tcPr>
            <w:tcW w:w="392" w:type="pct"/>
            <w:gridSpan w:val="2"/>
            <w:tcBorders>
              <w:top w:val="nil"/>
              <w:left w:val="nil"/>
              <w:bottom w:val="single" w:sz="8" w:space="0" w:color="auto"/>
              <w:right w:val="single" w:sz="8" w:space="0" w:color="auto"/>
            </w:tcBorders>
            <w:shd w:val="clear" w:color="000000" w:fill="D9D9D9"/>
            <w:vAlign w:val="center"/>
            <w:hideMark/>
          </w:tcPr>
          <w:p w14:paraId="67306B85" w14:textId="77777777" w:rsidR="00C67F54" w:rsidRPr="00046858" w:rsidRDefault="00C67F54">
            <w:pPr>
              <w:spacing w:before="0" w:after="0"/>
              <w:jc w:val="right"/>
              <w:rPr>
                <w:rFonts w:eastAsia="Times New Roman"/>
                <w:b/>
                <w:noProof/>
                <w:color w:val="000000"/>
                <w:sz w:val="20"/>
                <w:szCs w:val="20"/>
              </w:rPr>
            </w:pPr>
            <w:r w:rsidRPr="00046858">
              <w:rPr>
                <w:b/>
                <w:noProof/>
                <w:sz w:val="20"/>
              </w:rPr>
              <w:t>7,000</w:t>
            </w:r>
          </w:p>
        </w:tc>
        <w:tc>
          <w:tcPr>
            <w:tcW w:w="392" w:type="pct"/>
            <w:gridSpan w:val="2"/>
            <w:tcBorders>
              <w:top w:val="nil"/>
              <w:left w:val="nil"/>
              <w:bottom w:val="single" w:sz="8" w:space="0" w:color="auto"/>
              <w:right w:val="single" w:sz="4" w:space="0" w:color="auto"/>
            </w:tcBorders>
            <w:shd w:val="clear" w:color="000000" w:fill="D9D9D9"/>
            <w:vAlign w:val="center"/>
          </w:tcPr>
          <w:p w14:paraId="4799AEA6" w14:textId="77777777" w:rsidR="00C67F54" w:rsidRPr="00046858" w:rsidRDefault="00C67F54">
            <w:pPr>
              <w:spacing w:before="0" w:after="0"/>
              <w:jc w:val="right"/>
              <w:rPr>
                <w:rFonts w:eastAsia="Times New Roman"/>
                <w:b/>
                <w:bCs/>
                <w:noProof/>
                <w:color w:val="000000"/>
                <w:sz w:val="20"/>
                <w:szCs w:val="20"/>
              </w:rPr>
            </w:pPr>
            <w:r w:rsidRPr="00046858">
              <w:rPr>
                <w:b/>
                <w:noProof/>
                <w:color w:val="000000"/>
                <w:sz w:val="20"/>
              </w:rPr>
              <w:t>5,000</w:t>
            </w:r>
          </w:p>
        </w:tc>
        <w:tc>
          <w:tcPr>
            <w:tcW w:w="405" w:type="pct"/>
            <w:tcBorders>
              <w:top w:val="nil"/>
              <w:left w:val="single" w:sz="4" w:space="0" w:color="auto"/>
              <w:bottom w:val="single" w:sz="8" w:space="0" w:color="auto"/>
              <w:right w:val="single" w:sz="8" w:space="0" w:color="auto"/>
            </w:tcBorders>
            <w:shd w:val="clear" w:color="000000" w:fill="D9D9D9"/>
            <w:vAlign w:val="center"/>
            <w:hideMark/>
          </w:tcPr>
          <w:p w14:paraId="6DCDEE45" w14:textId="77777777" w:rsidR="00C67F54" w:rsidRPr="00046858" w:rsidRDefault="00C67F54">
            <w:pPr>
              <w:spacing w:before="0" w:after="0"/>
              <w:jc w:val="right"/>
              <w:rPr>
                <w:rFonts w:eastAsia="Times New Roman"/>
                <w:b/>
                <w:noProof/>
                <w:color w:val="000000"/>
                <w:sz w:val="20"/>
                <w:szCs w:val="20"/>
              </w:rPr>
            </w:pPr>
            <w:r w:rsidRPr="00046858">
              <w:rPr>
                <w:b/>
                <w:noProof/>
                <w:sz w:val="20"/>
              </w:rPr>
              <w:t>70,000</w:t>
            </w:r>
          </w:p>
        </w:tc>
      </w:tr>
      <w:tr w:rsidR="004B0651" w:rsidRPr="00046858" w14:paraId="64E5B8E9" w14:textId="77777777" w:rsidTr="00FB106F">
        <w:trPr>
          <w:trHeight w:val="410"/>
        </w:trPr>
        <w:tc>
          <w:tcPr>
            <w:tcW w:w="1169" w:type="pct"/>
            <w:gridSpan w:val="7"/>
            <w:vMerge w:val="restart"/>
            <w:tcBorders>
              <w:top w:val="single" w:sz="8" w:space="0" w:color="auto"/>
              <w:left w:val="single" w:sz="8" w:space="0" w:color="auto"/>
              <w:bottom w:val="single" w:sz="8" w:space="0" w:color="000000"/>
              <w:right w:val="single" w:sz="8" w:space="0" w:color="000000"/>
            </w:tcBorders>
            <w:vAlign w:val="center"/>
            <w:hideMark/>
          </w:tcPr>
          <w:p w14:paraId="368C13BC" w14:textId="77777777" w:rsidR="004B0651" w:rsidRPr="00046858" w:rsidRDefault="004B0651">
            <w:pPr>
              <w:spacing w:before="0" w:after="0"/>
              <w:jc w:val="center"/>
              <w:rPr>
                <w:rFonts w:eastAsia="Times New Roman"/>
                <w:b/>
                <w:bCs/>
                <w:noProof/>
                <w:color w:val="000000"/>
                <w:sz w:val="22"/>
              </w:rPr>
            </w:pPr>
            <w:r w:rsidRPr="00046858">
              <w:rPr>
                <w:b/>
                <w:noProof/>
                <w:color w:val="000000"/>
                <w:sz w:val="22"/>
              </w:rPr>
              <w:t xml:space="preserve"> </w:t>
            </w:r>
          </w:p>
        </w:tc>
        <w:tc>
          <w:tcPr>
            <w:tcW w:w="456" w:type="pct"/>
            <w:gridSpan w:val="3"/>
            <w:tcBorders>
              <w:top w:val="single" w:sz="8" w:space="0" w:color="auto"/>
              <w:left w:val="nil"/>
              <w:right w:val="single" w:sz="8" w:space="0" w:color="auto"/>
            </w:tcBorders>
            <w:vAlign w:val="center"/>
            <w:hideMark/>
          </w:tcPr>
          <w:p w14:paraId="36DDDF20" w14:textId="77777777" w:rsidR="004B0651" w:rsidRPr="00046858" w:rsidRDefault="004B0651">
            <w:pPr>
              <w:spacing w:before="0" w:after="0"/>
              <w:jc w:val="center"/>
              <w:rPr>
                <w:rFonts w:eastAsia="Times New Roman"/>
                <w:noProof/>
                <w:color w:val="000000"/>
                <w:sz w:val="20"/>
                <w:szCs w:val="20"/>
              </w:rPr>
            </w:pPr>
            <w:r w:rsidRPr="00046858">
              <w:rPr>
                <w:noProof/>
                <w:color w:val="000000"/>
                <w:sz w:val="20"/>
              </w:rPr>
              <w:t>Anul</w:t>
            </w:r>
          </w:p>
        </w:tc>
        <w:tc>
          <w:tcPr>
            <w:tcW w:w="387" w:type="pct"/>
            <w:gridSpan w:val="2"/>
            <w:tcBorders>
              <w:top w:val="single" w:sz="8" w:space="0" w:color="auto"/>
              <w:left w:val="nil"/>
              <w:right w:val="single" w:sz="8" w:space="0" w:color="auto"/>
            </w:tcBorders>
            <w:vAlign w:val="center"/>
            <w:hideMark/>
          </w:tcPr>
          <w:p w14:paraId="78C5A191" w14:textId="77777777" w:rsidR="004B0651" w:rsidRPr="00046858" w:rsidRDefault="004B0651">
            <w:pPr>
              <w:spacing w:before="0" w:after="0"/>
              <w:jc w:val="center"/>
              <w:rPr>
                <w:rFonts w:eastAsia="Times New Roman"/>
                <w:noProof/>
                <w:color w:val="000000"/>
                <w:sz w:val="20"/>
                <w:szCs w:val="20"/>
              </w:rPr>
            </w:pPr>
            <w:r w:rsidRPr="00046858">
              <w:rPr>
                <w:noProof/>
                <w:color w:val="000000"/>
                <w:sz w:val="20"/>
              </w:rPr>
              <w:t>Anul</w:t>
            </w:r>
          </w:p>
        </w:tc>
        <w:tc>
          <w:tcPr>
            <w:tcW w:w="456" w:type="pct"/>
            <w:gridSpan w:val="4"/>
            <w:tcBorders>
              <w:top w:val="single" w:sz="8" w:space="0" w:color="auto"/>
              <w:left w:val="nil"/>
              <w:right w:val="single" w:sz="8" w:space="0" w:color="auto"/>
            </w:tcBorders>
            <w:vAlign w:val="center"/>
            <w:hideMark/>
          </w:tcPr>
          <w:p w14:paraId="50D43ACD" w14:textId="77777777" w:rsidR="004B0651" w:rsidRPr="00046858" w:rsidRDefault="004B0651">
            <w:pPr>
              <w:spacing w:before="0" w:after="0"/>
              <w:jc w:val="center"/>
              <w:rPr>
                <w:rFonts w:eastAsia="Times New Roman"/>
                <w:noProof/>
                <w:color w:val="000000"/>
                <w:sz w:val="20"/>
                <w:szCs w:val="20"/>
              </w:rPr>
            </w:pPr>
            <w:r w:rsidRPr="00046858">
              <w:rPr>
                <w:noProof/>
                <w:color w:val="000000"/>
                <w:sz w:val="20"/>
              </w:rPr>
              <w:t>Anul</w:t>
            </w:r>
          </w:p>
        </w:tc>
        <w:tc>
          <w:tcPr>
            <w:tcW w:w="387" w:type="pct"/>
            <w:gridSpan w:val="4"/>
            <w:tcBorders>
              <w:top w:val="single" w:sz="8" w:space="0" w:color="auto"/>
              <w:left w:val="nil"/>
              <w:right w:val="single" w:sz="8" w:space="0" w:color="auto"/>
            </w:tcBorders>
            <w:vAlign w:val="center"/>
            <w:hideMark/>
          </w:tcPr>
          <w:p w14:paraId="78E09F83" w14:textId="77777777" w:rsidR="004B0651" w:rsidRPr="00046858" w:rsidRDefault="004B0651">
            <w:pPr>
              <w:spacing w:before="0" w:after="0"/>
              <w:jc w:val="center"/>
              <w:rPr>
                <w:rFonts w:eastAsia="Times New Roman"/>
                <w:noProof/>
                <w:color w:val="000000"/>
                <w:sz w:val="20"/>
                <w:szCs w:val="20"/>
              </w:rPr>
            </w:pPr>
            <w:r w:rsidRPr="00046858">
              <w:rPr>
                <w:noProof/>
                <w:color w:val="000000"/>
                <w:sz w:val="20"/>
              </w:rPr>
              <w:t>Anul</w:t>
            </w:r>
          </w:p>
        </w:tc>
        <w:tc>
          <w:tcPr>
            <w:tcW w:w="456" w:type="pct"/>
            <w:gridSpan w:val="2"/>
            <w:tcBorders>
              <w:top w:val="single" w:sz="8" w:space="0" w:color="auto"/>
              <w:left w:val="nil"/>
              <w:right w:val="single" w:sz="8" w:space="0" w:color="auto"/>
            </w:tcBorders>
            <w:vAlign w:val="center"/>
            <w:hideMark/>
          </w:tcPr>
          <w:p w14:paraId="5C546B03" w14:textId="77777777" w:rsidR="004B0651" w:rsidRPr="00046858" w:rsidRDefault="004B0651">
            <w:pPr>
              <w:spacing w:before="0" w:after="0"/>
              <w:jc w:val="center"/>
              <w:rPr>
                <w:rFonts w:eastAsia="Times New Roman"/>
                <w:noProof/>
                <w:color w:val="000000"/>
                <w:sz w:val="20"/>
                <w:szCs w:val="20"/>
              </w:rPr>
            </w:pPr>
            <w:r w:rsidRPr="00046858">
              <w:rPr>
                <w:noProof/>
                <w:color w:val="000000"/>
                <w:sz w:val="20"/>
              </w:rPr>
              <w:t>Anul</w:t>
            </w:r>
          </w:p>
        </w:tc>
        <w:tc>
          <w:tcPr>
            <w:tcW w:w="387" w:type="pct"/>
            <w:gridSpan w:val="3"/>
            <w:tcBorders>
              <w:top w:val="single" w:sz="8" w:space="0" w:color="auto"/>
              <w:left w:val="nil"/>
              <w:right w:val="single" w:sz="8" w:space="0" w:color="auto"/>
            </w:tcBorders>
            <w:vAlign w:val="center"/>
            <w:hideMark/>
          </w:tcPr>
          <w:p w14:paraId="2D9A26D6" w14:textId="77777777" w:rsidR="004B0651" w:rsidRPr="00046858" w:rsidRDefault="004B0651">
            <w:pPr>
              <w:spacing w:before="0" w:after="0"/>
              <w:jc w:val="center"/>
              <w:rPr>
                <w:rFonts w:eastAsia="Times New Roman"/>
                <w:noProof/>
                <w:color w:val="000000"/>
                <w:sz w:val="20"/>
                <w:szCs w:val="20"/>
              </w:rPr>
            </w:pPr>
            <w:r w:rsidRPr="00046858">
              <w:rPr>
                <w:noProof/>
                <w:color w:val="000000"/>
                <w:sz w:val="20"/>
              </w:rPr>
              <w:t>Anul</w:t>
            </w:r>
          </w:p>
        </w:tc>
        <w:tc>
          <w:tcPr>
            <w:tcW w:w="456" w:type="pct"/>
            <w:gridSpan w:val="3"/>
            <w:tcBorders>
              <w:top w:val="single" w:sz="8" w:space="0" w:color="auto"/>
              <w:left w:val="nil"/>
              <w:right w:val="single" w:sz="8" w:space="0" w:color="auto"/>
            </w:tcBorders>
            <w:vAlign w:val="center"/>
            <w:hideMark/>
          </w:tcPr>
          <w:p w14:paraId="0DD0A3EE" w14:textId="77777777" w:rsidR="004B0651" w:rsidRPr="00046858" w:rsidRDefault="004B0651">
            <w:pPr>
              <w:spacing w:before="0" w:after="0"/>
              <w:jc w:val="center"/>
              <w:rPr>
                <w:rFonts w:eastAsia="Times New Roman"/>
                <w:noProof/>
                <w:color w:val="000000"/>
                <w:sz w:val="20"/>
                <w:szCs w:val="20"/>
              </w:rPr>
            </w:pPr>
            <w:r w:rsidRPr="00046858">
              <w:rPr>
                <w:noProof/>
                <w:color w:val="000000"/>
                <w:sz w:val="20"/>
              </w:rPr>
              <w:t>Anul</w:t>
            </w:r>
          </w:p>
        </w:tc>
        <w:tc>
          <w:tcPr>
            <w:tcW w:w="387" w:type="pct"/>
            <w:tcBorders>
              <w:top w:val="single" w:sz="8" w:space="0" w:color="auto"/>
              <w:left w:val="single" w:sz="8" w:space="0" w:color="auto"/>
              <w:right w:val="single" w:sz="8" w:space="0" w:color="auto"/>
            </w:tcBorders>
            <w:vAlign w:val="center"/>
          </w:tcPr>
          <w:p w14:paraId="182DA02E" w14:textId="77777777" w:rsidR="004B0651" w:rsidRPr="00046858" w:rsidRDefault="004B0651">
            <w:pPr>
              <w:spacing w:before="0" w:after="0"/>
              <w:jc w:val="center"/>
              <w:rPr>
                <w:rFonts w:eastAsia="Times New Roman"/>
                <w:noProof/>
                <w:color w:val="000000"/>
                <w:sz w:val="20"/>
                <w:szCs w:val="20"/>
              </w:rPr>
            </w:pPr>
            <w:r w:rsidRPr="00046858">
              <w:rPr>
                <w:noProof/>
                <w:color w:val="000000"/>
                <w:sz w:val="20"/>
              </w:rPr>
              <w:t>După</w:t>
            </w:r>
          </w:p>
        </w:tc>
        <w:tc>
          <w:tcPr>
            <w:tcW w:w="456" w:type="pct"/>
            <w:gridSpan w:val="2"/>
            <w:vMerge w:val="restart"/>
            <w:tcBorders>
              <w:top w:val="single" w:sz="8" w:space="0" w:color="auto"/>
              <w:left w:val="single" w:sz="8" w:space="0" w:color="auto"/>
              <w:bottom w:val="single" w:sz="4" w:space="0" w:color="auto"/>
              <w:right w:val="single" w:sz="8" w:space="0" w:color="auto"/>
            </w:tcBorders>
            <w:vAlign w:val="center"/>
            <w:hideMark/>
          </w:tcPr>
          <w:p w14:paraId="2966B976" w14:textId="77777777" w:rsidR="004B0651" w:rsidRPr="00046858" w:rsidRDefault="004B0651">
            <w:pPr>
              <w:spacing w:before="0" w:after="0"/>
              <w:jc w:val="center"/>
              <w:rPr>
                <w:rFonts w:eastAsia="Times New Roman"/>
                <w:b/>
                <w:bCs/>
                <w:noProof/>
                <w:color w:val="000000"/>
                <w:sz w:val="20"/>
                <w:szCs w:val="20"/>
              </w:rPr>
            </w:pPr>
            <w:r w:rsidRPr="00046858">
              <w:rPr>
                <w:b/>
                <w:noProof/>
                <w:color w:val="000000"/>
                <w:sz w:val="20"/>
              </w:rPr>
              <w:t>TOTAL CFM 2028-2034</w:t>
            </w:r>
          </w:p>
        </w:tc>
      </w:tr>
      <w:tr w:rsidR="004B0651" w:rsidRPr="00046858" w14:paraId="145E2036" w14:textId="77777777" w:rsidTr="00FB106F">
        <w:trPr>
          <w:trHeight w:val="300"/>
        </w:trPr>
        <w:tc>
          <w:tcPr>
            <w:tcW w:w="1169" w:type="pct"/>
            <w:gridSpan w:val="7"/>
            <w:vMerge/>
            <w:tcBorders>
              <w:top w:val="single" w:sz="8" w:space="0" w:color="auto"/>
              <w:left w:val="single" w:sz="8" w:space="0" w:color="auto"/>
              <w:bottom w:val="single" w:sz="8" w:space="0" w:color="000000"/>
              <w:right w:val="single" w:sz="8" w:space="0" w:color="000000"/>
            </w:tcBorders>
            <w:vAlign w:val="center"/>
            <w:hideMark/>
          </w:tcPr>
          <w:p w14:paraId="5BF3A2B4" w14:textId="77777777" w:rsidR="004B0651" w:rsidRPr="00046858" w:rsidRDefault="004B0651">
            <w:pPr>
              <w:spacing w:before="0" w:after="0"/>
              <w:jc w:val="left"/>
              <w:rPr>
                <w:rFonts w:eastAsia="Times New Roman"/>
                <w:b/>
                <w:bCs/>
                <w:noProof/>
                <w:color w:val="000000"/>
                <w:sz w:val="22"/>
                <w:lang w:eastAsia="en-IE"/>
              </w:rPr>
            </w:pPr>
          </w:p>
        </w:tc>
        <w:tc>
          <w:tcPr>
            <w:tcW w:w="456" w:type="pct"/>
            <w:gridSpan w:val="3"/>
            <w:tcBorders>
              <w:left w:val="nil"/>
              <w:bottom w:val="single" w:sz="8" w:space="0" w:color="auto"/>
              <w:right w:val="single" w:sz="8" w:space="0" w:color="auto"/>
            </w:tcBorders>
            <w:vAlign w:val="center"/>
            <w:hideMark/>
          </w:tcPr>
          <w:p w14:paraId="2CB5A7FC" w14:textId="77777777" w:rsidR="004B0651" w:rsidRPr="00046858" w:rsidRDefault="004B0651">
            <w:pPr>
              <w:spacing w:before="0" w:after="0"/>
              <w:jc w:val="center"/>
              <w:rPr>
                <w:rFonts w:eastAsia="Times New Roman"/>
                <w:b/>
                <w:bCs/>
                <w:noProof/>
                <w:color w:val="000000"/>
                <w:sz w:val="20"/>
                <w:szCs w:val="20"/>
              </w:rPr>
            </w:pPr>
            <w:r w:rsidRPr="00046858">
              <w:rPr>
                <w:b/>
                <w:noProof/>
                <w:color w:val="000000"/>
                <w:sz w:val="20"/>
              </w:rPr>
              <w:t>2028</w:t>
            </w:r>
          </w:p>
        </w:tc>
        <w:tc>
          <w:tcPr>
            <w:tcW w:w="387" w:type="pct"/>
            <w:gridSpan w:val="2"/>
            <w:tcBorders>
              <w:left w:val="nil"/>
              <w:bottom w:val="single" w:sz="8" w:space="0" w:color="auto"/>
              <w:right w:val="single" w:sz="8" w:space="0" w:color="auto"/>
            </w:tcBorders>
            <w:vAlign w:val="center"/>
            <w:hideMark/>
          </w:tcPr>
          <w:p w14:paraId="4FFA4B28" w14:textId="77777777" w:rsidR="004B0651" w:rsidRPr="00046858" w:rsidRDefault="004B0651">
            <w:pPr>
              <w:spacing w:before="0" w:after="0"/>
              <w:jc w:val="center"/>
              <w:rPr>
                <w:rFonts w:eastAsia="Times New Roman"/>
                <w:b/>
                <w:bCs/>
                <w:noProof/>
                <w:color w:val="000000"/>
                <w:sz w:val="20"/>
                <w:szCs w:val="20"/>
              </w:rPr>
            </w:pPr>
            <w:r w:rsidRPr="00046858">
              <w:rPr>
                <w:b/>
                <w:noProof/>
                <w:color w:val="000000"/>
                <w:sz w:val="20"/>
              </w:rPr>
              <w:t>2029</w:t>
            </w:r>
          </w:p>
        </w:tc>
        <w:tc>
          <w:tcPr>
            <w:tcW w:w="456" w:type="pct"/>
            <w:gridSpan w:val="4"/>
            <w:tcBorders>
              <w:left w:val="nil"/>
              <w:bottom w:val="single" w:sz="8" w:space="0" w:color="auto"/>
              <w:right w:val="single" w:sz="8" w:space="0" w:color="auto"/>
            </w:tcBorders>
            <w:vAlign w:val="center"/>
            <w:hideMark/>
          </w:tcPr>
          <w:p w14:paraId="50222ADA" w14:textId="77777777" w:rsidR="004B0651" w:rsidRPr="00046858" w:rsidRDefault="004B0651">
            <w:pPr>
              <w:spacing w:before="0" w:after="0"/>
              <w:jc w:val="center"/>
              <w:rPr>
                <w:rFonts w:eastAsia="Times New Roman"/>
                <w:b/>
                <w:bCs/>
                <w:noProof/>
                <w:color w:val="000000"/>
                <w:sz w:val="20"/>
                <w:szCs w:val="20"/>
              </w:rPr>
            </w:pPr>
            <w:r w:rsidRPr="00046858">
              <w:rPr>
                <w:b/>
                <w:noProof/>
                <w:color w:val="000000"/>
                <w:sz w:val="20"/>
              </w:rPr>
              <w:t>2030</w:t>
            </w:r>
          </w:p>
        </w:tc>
        <w:tc>
          <w:tcPr>
            <w:tcW w:w="387" w:type="pct"/>
            <w:gridSpan w:val="4"/>
            <w:tcBorders>
              <w:left w:val="nil"/>
              <w:bottom w:val="single" w:sz="8" w:space="0" w:color="auto"/>
              <w:right w:val="single" w:sz="8" w:space="0" w:color="auto"/>
            </w:tcBorders>
            <w:vAlign w:val="center"/>
            <w:hideMark/>
          </w:tcPr>
          <w:p w14:paraId="49D2C78F" w14:textId="77777777" w:rsidR="004B0651" w:rsidRPr="00046858" w:rsidRDefault="004B0651">
            <w:pPr>
              <w:spacing w:before="0" w:after="0"/>
              <w:jc w:val="center"/>
              <w:rPr>
                <w:rFonts w:eastAsia="Times New Roman"/>
                <w:b/>
                <w:bCs/>
                <w:noProof/>
                <w:color w:val="000000"/>
                <w:sz w:val="20"/>
                <w:szCs w:val="20"/>
              </w:rPr>
            </w:pPr>
            <w:r w:rsidRPr="00046858">
              <w:rPr>
                <w:b/>
                <w:noProof/>
                <w:color w:val="000000"/>
                <w:sz w:val="20"/>
              </w:rPr>
              <w:t>2031</w:t>
            </w:r>
          </w:p>
        </w:tc>
        <w:tc>
          <w:tcPr>
            <w:tcW w:w="456" w:type="pct"/>
            <w:gridSpan w:val="2"/>
            <w:tcBorders>
              <w:left w:val="nil"/>
              <w:bottom w:val="single" w:sz="8" w:space="0" w:color="auto"/>
              <w:right w:val="single" w:sz="8" w:space="0" w:color="auto"/>
            </w:tcBorders>
            <w:vAlign w:val="center"/>
            <w:hideMark/>
          </w:tcPr>
          <w:p w14:paraId="363E9509" w14:textId="77777777" w:rsidR="004B0651" w:rsidRPr="00046858" w:rsidRDefault="004B0651">
            <w:pPr>
              <w:spacing w:before="0" w:after="0"/>
              <w:jc w:val="center"/>
              <w:rPr>
                <w:rFonts w:eastAsia="Times New Roman"/>
                <w:b/>
                <w:bCs/>
                <w:noProof/>
                <w:color w:val="000000"/>
                <w:sz w:val="20"/>
                <w:szCs w:val="20"/>
              </w:rPr>
            </w:pPr>
            <w:r w:rsidRPr="00046858">
              <w:rPr>
                <w:b/>
                <w:noProof/>
                <w:color w:val="000000"/>
                <w:sz w:val="20"/>
              </w:rPr>
              <w:t>2032</w:t>
            </w:r>
          </w:p>
        </w:tc>
        <w:tc>
          <w:tcPr>
            <w:tcW w:w="387" w:type="pct"/>
            <w:gridSpan w:val="3"/>
            <w:tcBorders>
              <w:left w:val="nil"/>
              <w:bottom w:val="single" w:sz="8" w:space="0" w:color="auto"/>
              <w:right w:val="single" w:sz="8" w:space="0" w:color="auto"/>
            </w:tcBorders>
            <w:vAlign w:val="center"/>
            <w:hideMark/>
          </w:tcPr>
          <w:p w14:paraId="19E85D2D" w14:textId="77777777" w:rsidR="004B0651" w:rsidRPr="00046858" w:rsidRDefault="004B0651">
            <w:pPr>
              <w:spacing w:before="0" w:after="0"/>
              <w:jc w:val="center"/>
              <w:rPr>
                <w:rFonts w:eastAsia="Times New Roman"/>
                <w:b/>
                <w:bCs/>
                <w:noProof/>
                <w:color w:val="000000"/>
                <w:sz w:val="20"/>
                <w:szCs w:val="20"/>
              </w:rPr>
            </w:pPr>
            <w:r w:rsidRPr="00046858">
              <w:rPr>
                <w:b/>
                <w:noProof/>
                <w:color w:val="000000"/>
                <w:sz w:val="20"/>
              </w:rPr>
              <w:t>2033</w:t>
            </w:r>
          </w:p>
        </w:tc>
        <w:tc>
          <w:tcPr>
            <w:tcW w:w="456" w:type="pct"/>
            <w:gridSpan w:val="3"/>
            <w:tcBorders>
              <w:left w:val="nil"/>
              <w:bottom w:val="single" w:sz="8" w:space="0" w:color="auto"/>
              <w:right w:val="single" w:sz="8" w:space="0" w:color="auto"/>
            </w:tcBorders>
            <w:vAlign w:val="center"/>
            <w:hideMark/>
          </w:tcPr>
          <w:p w14:paraId="024B5833" w14:textId="77777777" w:rsidR="004B0651" w:rsidRPr="00046858" w:rsidRDefault="004B0651">
            <w:pPr>
              <w:spacing w:before="0" w:after="0"/>
              <w:jc w:val="center"/>
              <w:rPr>
                <w:rFonts w:eastAsia="Times New Roman"/>
                <w:b/>
                <w:bCs/>
                <w:noProof/>
                <w:color w:val="000000"/>
                <w:sz w:val="20"/>
                <w:szCs w:val="20"/>
              </w:rPr>
            </w:pPr>
            <w:r w:rsidRPr="00046858">
              <w:rPr>
                <w:b/>
                <w:noProof/>
                <w:color w:val="000000"/>
                <w:sz w:val="20"/>
              </w:rPr>
              <w:t>2034</w:t>
            </w:r>
          </w:p>
        </w:tc>
        <w:tc>
          <w:tcPr>
            <w:tcW w:w="387" w:type="pct"/>
            <w:tcBorders>
              <w:left w:val="single" w:sz="8" w:space="0" w:color="auto"/>
              <w:bottom w:val="single" w:sz="8" w:space="0" w:color="000000"/>
              <w:right w:val="single" w:sz="8" w:space="0" w:color="auto"/>
            </w:tcBorders>
            <w:vAlign w:val="center"/>
          </w:tcPr>
          <w:p w14:paraId="1F834FA1" w14:textId="77777777" w:rsidR="004B0651" w:rsidRPr="00046858" w:rsidRDefault="004B0651">
            <w:pPr>
              <w:spacing w:before="0" w:after="0"/>
              <w:jc w:val="center"/>
              <w:rPr>
                <w:rFonts w:eastAsia="Times New Roman"/>
                <w:b/>
                <w:bCs/>
                <w:noProof/>
                <w:color w:val="000000"/>
                <w:sz w:val="20"/>
                <w:szCs w:val="20"/>
              </w:rPr>
            </w:pPr>
            <w:r w:rsidRPr="00046858">
              <w:rPr>
                <w:b/>
                <w:noProof/>
                <w:color w:val="000000"/>
                <w:sz w:val="20"/>
              </w:rPr>
              <w:t>2034</w:t>
            </w:r>
          </w:p>
        </w:tc>
        <w:tc>
          <w:tcPr>
            <w:tcW w:w="456" w:type="pct"/>
            <w:gridSpan w:val="2"/>
            <w:vMerge/>
            <w:tcBorders>
              <w:top w:val="single" w:sz="8" w:space="0" w:color="000000"/>
              <w:left w:val="single" w:sz="8" w:space="0" w:color="auto"/>
              <w:bottom w:val="single" w:sz="4" w:space="0" w:color="auto"/>
              <w:right w:val="single" w:sz="8" w:space="0" w:color="auto"/>
            </w:tcBorders>
            <w:vAlign w:val="center"/>
            <w:hideMark/>
          </w:tcPr>
          <w:p w14:paraId="0B92A8B0" w14:textId="77777777" w:rsidR="004B0651" w:rsidRPr="00046858" w:rsidRDefault="004B0651">
            <w:pPr>
              <w:spacing w:before="0" w:after="0"/>
              <w:jc w:val="left"/>
              <w:rPr>
                <w:rFonts w:eastAsia="Times New Roman"/>
                <w:b/>
                <w:bCs/>
                <w:noProof/>
                <w:color w:val="000000"/>
                <w:sz w:val="20"/>
                <w:szCs w:val="20"/>
                <w:lang w:eastAsia="en-IE"/>
              </w:rPr>
            </w:pPr>
          </w:p>
        </w:tc>
      </w:tr>
      <w:tr w:rsidR="004B0651" w:rsidRPr="00046858" w14:paraId="681887CC" w14:textId="77777777" w:rsidTr="00FB106F">
        <w:trPr>
          <w:trHeight w:val="860"/>
        </w:trPr>
        <w:tc>
          <w:tcPr>
            <w:tcW w:w="562" w:type="pct"/>
            <w:vMerge w:val="restart"/>
            <w:tcBorders>
              <w:top w:val="nil"/>
              <w:left w:val="single" w:sz="8" w:space="0" w:color="auto"/>
              <w:bottom w:val="single" w:sz="8" w:space="0" w:color="000000"/>
              <w:right w:val="single" w:sz="8" w:space="0" w:color="auto"/>
            </w:tcBorders>
            <w:vAlign w:val="center"/>
            <w:hideMark/>
          </w:tcPr>
          <w:p w14:paraId="7A067AE6" w14:textId="77777777" w:rsidR="004B0651" w:rsidRPr="00046858" w:rsidRDefault="004B0651">
            <w:pPr>
              <w:spacing w:before="0" w:after="0"/>
              <w:rPr>
                <w:rFonts w:eastAsia="Times New Roman"/>
                <w:noProof/>
                <w:color w:val="000000"/>
                <w:sz w:val="21"/>
                <w:szCs w:val="21"/>
              </w:rPr>
            </w:pPr>
            <w:r w:rsidRPr="00046858">
              <w:rPr>
                <w:noProof/>
                <w:color w:val="000000"/>
                <w:sz w:val="21"/>
              </w:rPr>
              <w:t>TOTAL credite operaționale</w:t>
            </w:r>
          </w:p>
        </w:tc>
        <w:tc>
          <w:tcPr>
            <w:tcW w:w="429" w:type="pct"/>
            <w:gridSpan w:val="4"/>
            <w:tcBorders>
              <w:top w:val="nil"/>
              <w:left w:val="nil"/>
              <w:bottom w:val="single" w:sz="8" w:space="0" w:color="auto"/>
              <w:right w:val="single" w:sz="8" w:space="0" w:color="auto"/>
            </w:tcBorders>
            <w:vAlign w:val="center"/>
            <w:hideMark/>
          </w:tcPr>
          <w:p w14:paraId="65A5CE1A" w14:textId="77777777" w:rsidR="004B0651" w:rsidRPr="00046858" w:rsidRDefault="004B0651">
            <w:pPr>
              <w:spacing w:before="0" w:after="0"/>
              <w:rPr>
                <w:rFonts w:eastAsia="Times New Roman"/>
                <w:noProof/>
                <w:color w:val="000000"/>
                <w:sz w:val="18"/>
                <w:szCs w:val="18"/>
              </w:rPr>
            </w:pPr>
            <w:r w:rsidRPr="00046858">
              <w:rPr>
                <w:noProof/>
                <w:color w:val="000000"/>
                <w:sz w:val="18"/>
              </w:rPr>
              <w:t>Angajamente</w:t>
            </w:r>
          </w:p>
        </w:tc>
        <w:tc>
          <w:tcPr>
            <w:tcW w:w="179" w:type="pct"/>
            <w:gridSpan w:val="2"/>
            <w:tcBorders>
              <w:top w:val="nil"/>
              <w:left w:val="nil"/>
              <w:bottom w:val="single" w:sz="8" w:space="0" w:color="auto"/>
              <w:right w:val="single" w:sz="8" w:space="0" w:color="auto"/>
            </w:tcBorders>
            <w:vAlign w:val="center"/>
            <w:hideMark/>
          </w:tcPr>
          <w:p w14:paraId="24E0A1B9" w14:textId="77777777" w:rsidR="004B0651" w:rsidRPr="00046858" w:rsidRDefault="004B0651">
            <w:pPr>
              <w:spacing w:before="0" w:after="0"/>
              <w:jc w:val="center"/>
              <w:rPr>
                <w:rFonts w:eastAsia="Times New Roman"/>
                <w:noProof/>
                <w:color w:val="000000"/>
                <w:sz w:val="14"/>
                <w:szCs w:val="14"/>
              </w:rPr>
            </w:pPr>
            <w:r w:rsidRPr="00046858">
              <w:rPr>
                <w:noProof/>
                <w:color w:val="000000"/>
                <w:sz w:val="14"/>
              </w:rPr>
              <w:t>(4)</w:t>
            </w:r>
          </w:p>
        </w:tc>
        <w:tc>
          <w:tcPr>
            <w:tcW w:w="456" w:type="pct"/>
            <w:gridSpan w:val="3"/>
            <w:tcBorders>
              <w:top w:val="nil"/>
              <w:left w:val="nil"/>
              <w:bottom w:val="single" w:sz="8" w:space="0" w:color="auto"/>
              <w:right w:val="single" w:sz="8" w:space="0" w:color="auto"/>
            </w:tcBorders>
            <w:shd w:val="clear" w:color="000000" w:fill="D9D9D9"/>
            <w:vAlign w:val="center"/>
            <w:hideMark/>
          </w:tcPr>
          <w:p w14:paraId="58A90DB9" w14:textId="77777777" w:rsidR="004B0651" w:rsidRPr="00046858" w:rsidRDefault="004B0651">
            <w:pPr>
              <w:spacing w:before="0" w:after="0"/>
              <w:jc w:val="right"/>
              <w:rPr>
                <w:rFonts w:eastAsia="Times New Roman"/>
                <w:noProof/>
                <w:color w:val="000000"/>
                <w:sz w:val="20"/>
                <w:szCs w:val="20"/>
              </w:rPr>
            </w:pPr>
            <w:r w:rsidRPr="00046858">
              <w:rPr>
                <w:noProof/>
                <w:sz w:val="20"/>
              </w:rPr>
              <w:t>30,000</w:t>
            </w:r>
          </w:p>
        </w:tc>
        <w:tc>
          <w:tcPr>
            <w:tcW w:w="387" w:type="pct"/>
            <w:gridSpan w:val="2"/>
            <w:tcBorders>
              <w:top w:val="nil"/>
              <w:left w:val="nil"/>
              <w:bottom w:val="single" w:sz="8" w:space="0" w:color="auto"/>
              <w:right w:val="single" w:sz="8" w:space="0" w:color="auto"/>
            </w:tcBorders>
            <w:shd w:val="clear" w:color="000000" w:fill="D9D9D9"/>
            <w:vAlign w:val="center"/>
            <w:hideMark/>
          </w:tcPr>
          <w:p w14:paraId="6880520A" w14:textId="77777777" w:rsidR="004B0651" w:rsidRPr="00046858" w:rsidRDefault="004B0651">
            <w:pPr>
              <w:spacing w:before="0" w:after="0"/>
              <w:jc w:val="right"/>
              <w:rPr>
                <w:rFonts w:eastAsia="Times New Roman"/>
                <w:noProof/>
                <w:color w:val="000000"/>
                <w:sz w:val="20"/>
                <w:szCs w:val="20"/>
              </w:rPr>
            </w:pPr>
            <w:r w:rsidRPr="00046858">
              <w:rPr>
                <w:noProof/>
                <w:sz w:val="20"/>
              </w:rPr>
              <w:t>0,000</w:t>
            </w:r>
          </w:p>
        </w:tc>
        <w:tc>
          <w:tcPr>
            <w:tcW w:w="456" w:type="pct"/>
            <w:gridSpan w:val="4"/>
            <w:tcBorders>
              <w:top w:val="nil"/>
              <w:left w:val="nil"/>
              <w:bottom w:val="single" w:sz="8" w:space="0" w:color="auto"/>
              <w:right w:val="single" w:sz="8" w:space="0" w:color="auto"/>
            </w:tcBorders>
            <w:shd w:val="clear" w:color="000000" w:fill="D9D9D9"/>
            <w:vAlign w:val="center"/>
            <w:hideMark/>
          </w:tcPr>
          <w:p w14:paraId="1DD82FB0" w14:textId="77777777" w:rsidR="004B0651" w:rsidRPr="00046858" w:rsidRDefault="004B0651">
            <w:pPr>
              <w:spacing w:before="0" w:after="0"/>
              <w:jc w:val="right"/>
              <w:rPr>
                <w:rFonts w:eastAsia="Times New Roman"/>
                <w:noProof/>
                <w:color w:val="000000"/>
                <w:sz w:val="20"/>
                <w:szCs w:val="20"/>
              </w:rPr>
            </w:pPr>
            <w:r w:rsidRPr="00046858">
              <w:rPr>
                <w:noProof/>
                <w:sz w:val="20"/>
              </w:rPr>
              <w:t>20,000</w:t>
            </w:r>
          </w:p>
        </w:tc>
        <w:tc>
          <w:tcPr>
            <w:tcW w:w="387" w:type="pct"/>
            <w:gridSpan w:val="4"/>
            <w:tcBorders>
              <w:top w:val="nil"/>
              <w:left w:val="nil"/>
              <w:bottom w:val="single" w:sz="8" w:space="0" w:color="auto"/>
              <w:right w:val="single" w:sz="8" w:space="0" w:color="auto"/>
            </w:tcBorders>
            <w:shd w:val="clear" w:color="000000" w:fill="D9D9D9"/>
            <w:vAlign w:val="center"/>
            <w:hideMark/>
          </w:tcPr>
          <w:p w14:paraId="09AA358D" w14:textId="77777777" w:rsidR="004B0651" w:rsidRPr="00046858" w:rsidRDefault="004B0651">
            <w:pPr>
              <w:spacing w:before="0" w:after="0"/>
              <w:jc w:val="right"/>
              <w:rPr>
                <w:rFonts w:eastAsia="Times New Roman"/>
                <w:noProof/>
                <w:color w:val="000000"/>
                <w:sz w:val="20"/>
                <w:szCs w:val="20"/>
              </w:rPr>
            </w:pPr>
            <w:r w:rsidRPr="00046858">
              <w:rPr>
                <w:noProof/>
                <w:sz w:val="20"/>
              </w:rPr>
              <w:t>0,000</w:t>
            </w:r>
          </w:p>
        </w:tc>
        <w:tc>
          <w:tcPr>
            <w:tcW w:w="456" w:type="pct"/>
            <w:gridSpan w:val="2"/>
            <w:tcBorders>
              <w:top w:val="nil"/>
              <w:left w:val="nil"/>
              <w:bottom w:val="single" w:sz="8" w:space="0" w:color="auto"/>
              <w:right w:val="single" w:sz="8" w:space="0" w:color="auto"/>
            </w:tcBorders>
            <w:shd w:val="clear" w:color="000000" w:fill="D9D9D9"/>
            <w:vAlign w:val="center"/>
            <w:hideMark/>
          </w:tcPr>
          <w:p w14:paraId="61D5280E" w14:textId="77777777" w:rsidR="004B0651" w:rsidRPr="00046858" w:rsidRDefault="004B0651">
            <w:pPr>
              <w:spacing w:before="0" w:after="0"/>
              <w:jc w:val="right"/>
              <w:rPr>
                <w:rFonts w:eastAsia="Times New Roman"/>
                <w:noProof/>
                <w:color w:val="000000"/>
                <w:sz w:val="20"/>
                <w:szCs w:val="20"/>
              </w:rPr>
            </w:pPr>
            <w:r w:rsidRPr="00046858">
              <w:rPr>
                <w:noProof/>
                <w:sz w:val="20"/>
              </w:rPr>
              <w:t>10,000</w:t>
            </w:r>
          </w:p>
        </w:tc>
        <w:tc>
          <w:tcPr>
            <w:tcW w:w="387" w:type="pct"/>
            <w:gridSpan w:val="3"/>
            <w:tcBorders>
              <w:top w:val="nil"/>
              <w:left w:val="nil"/>
              <w:bottom w:val="single" w:sz="8" w:space="0" w:color="auto"/>
              <w:right w:val="single" w:sz="8" w:space="0" w:color="auto"/>
            </w:tcBorders>
            <w:shd w:val="clear" w:color="000000" w:fill="D9D9D9"/>
            <w:vAlign w:val="center"/>
            <w:hideMark/>
          </w:tcPr>
          <w:p w14:paraId="496E8604" w14:textId="77777777" w:rsidR="004B0651" w:rsidRPr="00046858" w:rsidRDefault="004B0651">
            <w:pPr>
              <w:spacing w:before="0" w:after="0"/>
              <w:jc w:val="right"/>
              <w:rPr>
                <w:rFonts w:eastAsia="Times New Roman"/>
                <w:noProof/>
                <w:color w:val="000000"/>
                <w:sz w:val="20"/>
                <w:szCs w:val="20"/>
              </w:rPr>
            </w:pPr>
            <w:r w:rsidRPr="00046858">
              <w:rPr>
                <w:noProof/>
                <w:sz w:val="20"/>
              </w:rPr>
              <w:t>0,000</w:t>
            </w:r>
          </w:p>
        </w:tc>
        <w:tc>
          <w:tcPr>
            <w:tcW w:w="456" w:type="pct"/>
            <w:gridSpan w:val="3"/>
            <w:tcBorders>
              <w:top w:val="nil"/>
              <w:left w:val="nil"/>
              <w:bottom w:val="single" w:sz="8" w:space="0" w:color="auto"/>
              <w:right w:val="single" w:sz="8" w:space="0" w:color="auto"/>
            </w:tcBorders>
            <w:shd w:val="clear" w:color="000000" w:fill="D9D9D9"/>
            <w:vAlign w:val="center"/>
            <w:hideMark/>
          </w:tcPr>
          <w:p w14:paraId="301814A1" w14:textId="77777777" w:rsidR="004B0651" w:rsidRPr="00046858" w:rsidRDefault="004B0651">
            <w:pPr>
              <w:spacing w:before="0" w:after="0"/>
              <w:jc w:val="right"/>
              <w:rPr>
                <w:rFonts w:eastAsia="Times New Roman"/>
                <w:noProof/>
                <w:color w:val="000000"/>
                <w:sz w:val="20"/>
                <w:szCs w:val="20"/>
              </w:rPr>
            </w:pPr>
            <w:r w:rsidRPr="00046858">
              <w:rPr>
                <w:noProof/>
                <w:sz w:val="20"/>
              </w:rPr>
              <w:t>10,000</w:t>
            </w:r>
          </w:p>
        </w:tc>
        <w:tc>
          <w:tcPr>
            <w:tcW w:w="387" w:type="pct"/>
            <w:tcBorders>
              <w:top w:val="nil"/>
              <w:left w:val="nil"/>
              <w:bottom w:val="single" w:sz="8" w:space="0" w:color="auto"/>
              <w:right w:val="single" w:sz="4" w:space="0" w:color="auto"/>
            </w:tcBorders>
            <w:shd w:val="clear" w:color="000000" w:fill="D9D9D9"/>
            <w:vAlign w:val="center"/>
          </w:tcPr>
          <w:p w14:paraId="26DC41C7" w14:textId="77777777" w:rsidR="004B0651" w:rsidRPr="00046858" w:rsidRDefault="004B0651">
            <w:pPr>
              <w:spacing w:before="0" w:after="0"/>
              <w:jc w:val="right"/>
              <w:rPr>
                <w:rFonts w:eastAsia="Times New Roman"/>
                <w:b/>
                <w:bCs/>
                <w:noProof/>
                <w:color w:val="000000"/>
                <w:sz w:val="20"/>
                <w:szCs w:val="20"/>
                <w:lang w:eastAsia="en-IE"/>
              </w:rPr>
            </w:pPr>
          </w:p>
        </w:tc>
        <w:tc>
          <w:tcPr>
            <w:tcW w:w="456" w:type="pct"/>
            <w:gridSpan w:val="2"/>
            <w:tcBorders>
              <w:top w:val="single" w:sz="4" w:space="0" w:color="auto"/>
              <w:left w:val="single" w:sz="4" w:space="0" w:color="auto"/>
              <w:bottom w:val="single" w:sz="8" w:space="0" w:color="auto"/>
              <w:right w:val="single" w:sz="8" w:space="0" w:color="auto"/>
            </w:tcBorders>
            <w:shd w:val="clear" w:color="000000" w:fill="D9D9D9"/>
            <w:vAlign w:val="center"/>
            <w:hideMark/>
          </w:tcPr>
          <w:p w14:paraId="6AD4283C" w14:textId="77777777" w:rsidR="004B0651" w:rsidRPr="00046858" w:rsidRDefault="004B0651">
            <w:pPr>
              <w:spacing w:before="0" w:after="0"/>
              <w:jc w:val="right"/>
              <w:rPr>
                <w:rFonts w:eastAsia="Times New Roman"/>
                <w:b/>
                <w:noProof/>
                <w:color w:val="000000"/>
                <w:sz w:val="20"/>
                <w:szCs w:val="20"/>
              </w:rPr>
            </w:pPr>
            <w:r w:rsidRPr="00046858">
              <w:rPr>
                <w:b/>
                <w:noProof/>
                <w:sz w:val="20"/>
              </w:rPr>
              <w:t>70,000</w:t>
            </w:r>
          </w:p>
        </w:tc>
      </w:tr>
      <w:tr w:rsidR="004B0651" w:rsidRPr="00046858" w14:paraId="073A43CC" w14:textId="77777777">
        <w:trPr>
          <w:trHeight w:val="300"/>
        </w:trPr>
        <w:tc>
          <w:tcPr>
            <w:tcW w:w="562" w:type="pct"/>
            <w:vMerge/>
            <w:tcBorders>
              <w:top w:val="nil"/>
              <w:left w:val="single" w:sz="8" w:space="0" w:color="auto"/>
              <w:bottom w:val="single" w:sz="8" w:space="0" w:color="000000"/>
              <w:right w:val="single" w:sz="8" w:space="0" w:color="auto"/>
            </w:tcBorders>
            <w:vAlign w:val="center"/>
            <w:hideMark/>
          </w:tcPr>
          <w:p w14:paraId="101E7CA5" w14:textId="77777777" w:rsidR="004B0651" w:rsidRPr="00046858" w:rsidRDefault="004B0651">
            <w:pPr>
              <w:spacing w:before="0" w:after="0"/>
              <w:jc w:val="left"/>
              <w:rPr>
                <w:rFonts w:eastAsia="Times New Roman"/>
                <w:noProof/>
                <w:color w:val="000000"/>
                <w:sz w:val="21"/>
                <w:szCs w:val="21"/>
                <w:lang w:eastAsia="en-IE"/>
              </w:rPr>
            </w:pPr>
          </w:p>
        </w:tc>
        <w:tc>
          <w:tcPr>
            <w:tcW w:w="429" w:type="pct"/>
            <w:gridSpan w:val="4"/>
            <w:tcBorders>
              <w:top w:val="nil"/>
              <w:left w:val="nil"/>
              <w:bottom w:val="single" w:sz="8" w:space="0" w:color="auto"/>
              <w:right w:val="single" w:sz="8" w:space="0" w:color="auto"/>
            </w:tcBorders>
            <w:vAlign w:val="center"/>
            <w:hideMark/>
          </w:tcPr>
          <w:p w14:paraId="7CA0901E" w14:textId="77777777" w:rsidR="004B0651" w:rsidRPr="00046858" w:rsidRDefault="004B0651">
            <w:pPr>
              <w:spacing w:before="0" w:after="0"/>
              <w:rPr>
                <w:rFonts w:eastAsia="Times New Roman"/>
                <w:noProof/>
                <w:color w:val="000000"/>
                <w:sz w:val="18"/>
                <w:szCs w:val="18"/>
              </w:rPr>
            </w:pPr>
            <w:r w:rsidRPr="00046858">
              <w:rPr>
                <w:noProof/>
                <w:color w:val="000000"/>
                <w:sz w:val="18"/>
              </w:rPr>
              <w:t>Plăți</w:t>
            </w:r>
          </w:p>
        </w:tc>
        <w:tc>
          <w:tcPr>
            <w:tcW w:w="179" w:type="pct"/>
            <w:gridSpan w:val="2"/>
            <w:tcBorders>
              <w:top w:val="nil"/>
              <w:left w:val="nil"/>
              <w:bottom w:val="single" w:sz="8" w:space="0" w:color="auto"/>
              <w:right w:val="single" w:sz="8" w:space="0" w:color="auto"/>
            </w:tcBorders>
            <w:vAlign w:val="center"/>
            <w:hideMark/>
          </w:tcPr>
          <w:p w14:paraId="36C5C85C" w14:textId="77777777" w:rsidR="004B0651" w:rsidRPr="00046858" w:rsidRDefault="004B0651">
            <w:pPr>
              <w:spacing w:before="0" w:after="0"/>
              <w:jc w:val="center"/>
              <w:rPr>
                <w:rFonts w:eastAsia="Times New Roman"/>
                <w:noProof/>
                <w:color w:val="000000"/>
                <w:sz w:val="14"/>
                <w:szCs w:val="14"/>
              </w:rPr>
            </w:pPr>
            <w:r w:rsidRPr="00046858">
              <w:rPr>
                <w:noProof/>
                <w:color w:val="000000"/>
                <w:sz w:val="14"/>
              </w:rPr>
              <w:t>(5)</w:t>
            </w:r>
          </w:p>
        </w:tc>
        <w:tc>
          <w:tcPr>
            <w:tcW w:w="456" w:type="pct"/>
            <w:gridSpan w:val="3"/>
            <w:tcBorders>
              <w:top w:val="nil"/>
              <w:left w:val="nil"/>
              <w:bottom w:val="single" w:sz="8" w:space="0" w:color="auto"/>
              <w:right w:val="single" w:sz="8" w:space="0" w:color="auto"/>
            </w:tcBorders>
            <w:shd w:val="clear" w:color="000000" w:fill="D9D9D9"/>
            <w:vAlign w:val="center"/>
            <w:hideMark/>
          </w:tcPr>
          <w:p w14:paraId="5CA435D4" w14:textId="77777777" w:rsidR="004B0651" w:rsidRPr="00046858" w:rsidRDefault="004B0651">
            <w:pPr>
              <w:spacing w:before="0" w:after="0"/>
              <w:jc w:val="right"/>
              <w:rPr>
                <w:rFonts w:eastAsia="Times New Roman"/>
                <w:noProof/>
                <w:color w:val="000000"/>
                <w:sz w:val="20"/>
                <w:szCs w:val="20"/>
              </w:rPr>
            </w:pPr>
            <w:r w:rsidRPr="00046858">
              <w:rPr>
                <w:noProof/>
                <w:sz w:val="20"/>
              </w:rPr>
              <w:t>18,000</w:t>
            </w:r>
          </w:p>
        </w:tc>
        <w:tc>
          <w:tcPr>
            <w:tcW w:w="387" w:type="pct"/>
            <w:gridSpan w:val="2"/>
            <w:tcBorders>
              <w:top w:val="nil"/>
              <w:left w:val="nil"/>
              <w:bottom w:val="single" w:sz="8" w:space="0" w:color="auto"/>
              <w:right w:val="single" w:sz="8" w:space="0" w:color="auto"/>
            </w:tcBorders>
            <w:shd w:val="clear" w:color="000000" w:fill="D9D9D9"/>
            <w:vAlign w:val="center"/>
            <w:hideMark/>
          </w:tcPr>
          <w:p w14:paraId="22B20000" w14:textId="77777777" w:rsidR="004B0651" w:rsidRPr="00046858" w:rsidRDefault="004B0651">
            <w:pPr>
              <w:spacing w:before="0" w:after="0"/>
              <w:jc w:val="right"/>
              <w:rPr>
                <w:rFonts w:eastAsia="Times New Roman"/>
                <w:noProof/>
                <w:color w:val="000000"/>
                <w:sz w:val="20"/>
                <w:szCs w:val="20"/>
              </w:rPr>
            </w:pPr>
            <w:r w:rsidRPr="00046858">
              <w:rPr>
                <w:noProof/>
                <w:sz w:val="20"/>
              </w:rPr>
              <w:t>6,000</w:t>
            </w:r>
          </w:p>
        </w:tc>
        <w:tc>
          <w:tcPr>
            <w:tcW w:w="456" w:type="pct"/>
            <w:gridSpan w:val="4"/>
            <w:tcBorders>
              <w:top w:val="nil"/>
              <w:left w:val="nil"/>
              <w:bottom w:val="single" w:sz="8" w:space="0" w:color="auto"/>
              <w:right w:val="single" w:sz="8" w:space="0" w:color="auto"/>
            </w:tcBorders>
            <w:shd w:val="clear" w:color="000000" w:fill="D9D9D9"/>
            <w:vAlign w:val="center"/>
            <w:hideMark/>
          </w:tcPr>
          <w:p w14:paraId="21B6CEC0" w14:textId="77777777" w:rsidR="004B0651" w:rsidRPr="00046858" w:rsidRDefault="004B0651">
            <w:pPr>
              <w:spacing w:before="0" w:after="0"/>
              <w:jc w:val="right"/>
              <w:rPr>
                <w:rFonts w:eastAsia="Times New Roman"/>
                <w:noProof/>
                <w:color w:val="000000"/>
                <w:sz w:val="20"/>
                <w:szCs w:val="20"/>
              </w:rPr>
            </w:pPr>
            <w:r w:rsidRPr="00046858">
              <w:rPr>
                <w:noProof/>
                <w:sz w:val="20"/>
              </w:rPr>
              <w:t>15,000</w:t>
            </w:r>
          </w:p>
        </w:tc>
        <w:tc>
          <w:tcPr>
            <w:tcW w:w="387" w:type="pct"/>
            <w:gridSpan w:val="4"/>
            <w:tcBorders>
              <w:top w:val="nil"/>
              <w:left w:val="nil"/>
              <w:bottom w:val="single" w:sz="8" w:space="0" w:color="auto"/>
              <w:right w:val="single" w:sz="8" w:space="0" w:color="auto"/>
            </w:tcBorders>
            <w:shd w:val="clear" w:color="000000" w:fill="D9D9D9"/>
            <w:vAlign w:val="center"/>
            <w:hideMark/>
          </w:tcPr>
          <w:p w14:paraId="7D2671EA" w14:textId="77777777" w:rsidR="004B0651" w:rsidRPr="00046858" w:rsidRDefault="004B0651">
            <w:pPr>
              <w:spacing w:before="0" w:after="0"/>
              <w:jc w:val="right"/>
              <w:rPr>
                <w:rFonts w:eastAsia="Times New Roman"/>
                <w:noProof/>
                <w:color w:val="000000"/>
                <w:sz w:val="20"/>
                <w:szCs w:val="20"/>
              </w:rPr>
            </w:pPr>
            <w:r w:rsidRPr="00046858">
              <w:rPr>
                <w:noProof/>
                <w:sz w:val="20"/>
              </w:rPr>
              <w:t>7,000</w:t>
            </w:r>
          </w:p>
        </w:tc>
        <w:tc>
          <w:tcPr>
            <w:tcW w:w="456" w:type="pct"/>
            <w:gridSpan w:val="2"/>
            <w:tcBorders>
              <w:top w:val="nil"/>
              <w:left w:val="nil"/>
              <w:bottom w:val="single" w:sz="8" w:space="0" w:color="auto"/>
              <w:right w:val="single" w:sz="8" w:space="0" w:color="auto"/>
            </w:tcBorders>
            <w:shd w:val="clear" w:color="000000" w:fill="D9D9D9"/>
            <w:vAlign w:val="center"/>
            <w:hideMark/>
          </w:tcPr>
          <w:p w14:paraId="46ED19DD" w14:textId="77777777" w:rsidR="004B0651" w:rsidRPr="00046858" w:rsidRDefault="004B0651">
            <w:pPr>
              <w:spacing w:before="0" w:after="0"/>
              <w:jc w:val="right"/>
              <w:rPr>
                <w:rFonts w:eastAsia="Times New Roman"/>
                <w:noProof/>
                <w:color w:val="000000"/>
                <w:sz w:val="20"/>
                <w:szCs w:val="20"/>
              </w:rPr>
            </w:pPr>
            <w:r w:rsidRPr="00046858">
              <w:rPr>
                <w:noProof/>
                <w:sz w:val="20"/>
              </w:rPr>
              <w:t>8,000</w:t>
            </w:r>
          </w:p>
        </w:tc>
        <w:tc>
          <w:tcPr>
            <w:tcW w:w="387" w:type="pct"/>
            <w:gridSpan w:val="3"/>
            <w:tcBorders>
              <w:top w:val="nil"/>
              <w:left w:val="nil"/>
              <w:bottom w:val="single" w:sz="8" w:space="0" w:color="auto"/>
              <w:right w:val="single" w:sz="8" w:space="0" w:color="auto"/>
            </w:tcBorders>
            <w:shd w:val="clear" w:color="000000" w:fill="D9D9D9"/>
            <w:vAlign w:val="center"/>
            <w:hideMark/>
          </w:tcPr>
          <w:p w14:paraId="110616DE" w14:textId="77777777" w:rsidR="004B0651" w:rsidRPr="00046858" w:rsidRDefault="004B0651">
            <w:pPr>
              <w:spacing w:before="0" w:after="0"/>
              <w:jc w:val="right"/>
              <w:rPr>
                <w:rFonts w:eastAsia="Times New Roman"/>
                <w:noProof/>
                <w:color w:val="000000"/>
                <w:sz w:val="20"/>
                <w:szCs w:val="20"/>
              </w:rPr>
            </w:pPr>
            <w:r w:rsidRPr="00046858">
              <w:rPr>
                <w:noProof/>
                <w:sz w:val="20"/>
              </w:rPr>
              <w:t>4,000</w:t>
            </w:r>
          </w:p>
        </w:tc>
        <w:tc>
          <w:tcPr>
            <w:tcW w:w="456" w:type="pct"/>
            <w:gridSpan w:val="3"/>
            <w:tcBorders>
              <w:top w:val="nil"/>
              <w:left w:val="nil"/>
              <w:bottom w:val="single" w:sz="8" w:space="0" w:color="auto"/>
              <w:right w:val="single" w:sz="8" w:space="0" w:color="auto"/>
            </w:tcBorders>
            <w:shd w:val="clear" w:color="000000" w:fill="D9D9D9"/>
            <w:vAlign w:val="center"/>
            <w:hideMark/>
          </w:tcPr>
          <w:p w14:paraId="31A8057C" w14:textId="77777777" w:rsidR="004B0651" w:rsidRPr="00046858" w:rsidRDefault="004B0651">
            <w:pPr>
              <w:spacing w:before="0" w:after="0"/>
              <w:jc w:val="right"/>
              <w:rPr>
                <w:rFonts w:eastAsia="Times New Roman"/>
                <w:noProof/>
                <w:color w:val="000000"/>
                <w:sz w:val="20"/>
                <w:szCs w:val="20"/>
              </w:rPr>
            </w:pPr>
            <w:r w:rsidRPr="00046858">
              <w:rPr>
                <w:noProof/>
                <w:sz w:val="20"/>
              </w:rPr>
              <w:t>7,000</w:t>
            </w:r>
          </w:p>
        </w:tc>
        <w:tc>
          <w:tcPr>
            <w:tcW w:w="387" w:type="pct"/>
            <w:tcBorders>
              <w:top w:val="nil"/>
              <w:left w:val="nil"/>
              <w:bottom w:val="single" w:sz="8" w:space="0" w:color="auto"/>
              <w:right w:val="single" w:sz="4" w:space="0" w:color="auto"/>
            </w:tcBorders>
            <w:shd w:val="clear" w:color="000000" w:fill="D9D9D9"/>
            <w:vAlign w:val="center"/>
          </w:tcPr>
          <w:p w14:paraId="15E740CA" w14:textId="77777777" w:rsidR="004B0651" w:rsidRPr="00046858" w:rsidRDefault="004B0651">
            <w:pPr>
              <w:spacing w:before="0" w:after="0"/>
              <w:jc w:val="right"/>
              <w:rPr>
                <w:rFonts w:eastAsia="Times New Roman"/>
                <w:noProof/>
                <w:color w:val="000000"/>
                <w:sz w:val="20"/>
                <w:szCs w:val="20"/>
              </w:rPr>
            </w:pPr>
            <w:r w:rsidRPr="00046858">
              <w:rPr>
                <w:noProof/>
                <w:color w:val="000000"/>
                <w:sz w:val="20"/>
              </w:rPr>
              <w:t>5,000</w:t>
            </w:r>
          </w:p>
        </w:tc>
        <w:tc>
          <w:tcPr>
            <w:tcW w:w="456" w:type="pct"/>
            <w:gridSpan w:val="2"/>
            <w:tcBorders>
              <w:top w:val="nil"/>
              <w:left w:val="single" w:sz="4" w:space="0" w:color="auto"/>
              <w:bottom w:val="single" w:sz="8" w:space="0" w:color="auto"/>
              <w:right w:val="single" w:sz="8" w:space="0" w:color="auto"/>
            </w:tcBorders>
            <w:shd w:val="clear" w:color="000000" w:fill="D9D9D9"/>
            <w:vAlign w:val="center"/>
            <w:hideMark/>
          </w:tcPr>
          <w:p w14:paraId="63AD3795" w14:textId="77777777" w:rsidR="004B0651" w:rsidRPr="00046858" w:rsidRDefault="004B0651">
            <w:pPr>
              <w:spacing w:before="0" w:after="0"/>
              <w:jc w:val="right"/>
              <w:rPr>
                <w:rFonts w:eastAsia="Times New Roman"/>
                <w:b/>
                <w:noProof/>
                <w:color w:val="000000"/>
                <w:sz w:val="20"/>
                <w:szCs w:val="20"/>
              </w:rPr>
            </w:pPr>
            <w:r w:rsidRPr="00046858">
              <w:rPr>
                <w:b/>
                <w:noProof/>
                <w:sz w:val="20"/>
              </w:rPr>
              <w:t>70,000</w:t>
            </w:r>
          </w:p>
        </w:tc>
      </w:tr>
      <w:tr w:rsidR="004B0651" w:rsidRPr="00046858" w14:paraId="65659737" w14:textId="77777777" w:rsidTr="00083346">
        <w:trPr>
          <w:trHeight w:val="1180"/>
        </w:trPr>
        <w:tc>
          <w:tcPr>
            <w:tcW w:w="991" w:type="pct"/>
            <w:gridSpan w:val="5"/>
            <w:tcBorders>
              <w:top w:val="single" w:sz="8" w:space="0" w:color="auto"/>
              <w:left w:val="single" w:sz="8" w:space="0" w:color="auto"/>
              <w:bottom w:val="single" w:sz="8" w:space="0" w:color="auto"/>
              <w:right w:val="single" w:sz="8" w:space="0" w:color="000000"/>
            </w:tcBorders>
            <w:vAlign w:val="center"/>
            <w:hideMark/>
          </w:tcPr>
          <w:p w14:paraId="61479577" w14:textId="77777777" w:rsidR="004B0651" w:rsidRPr="00046858" w:rsidRDefault="004B0651">
            <w:pPr>
              <w:spacing w:before="0" w:after="0"/>
              <w:rPr>
                <w:rFonts w:eastAsia="Times New Roman"/>
                <w:noProof/>
                <w:color w:val="000000"/>
                <w:sz w:val="21"/>
                <w:szCs w:val="21"/>
              </w:rPr>
            </w:pPr>
            <w:r w:rsidRPr="00046858">
              <w:rPr>
                <w:noProof/>
                <w:color w:val="000000"/>
                <w:sz w:val="21"/>
              </w:rPr>
              <w:t xml:space="preserve">TOTAL credite cu caracter administrativ finanțate din bugetul unor programe specifice </w:t>
            </w:r>
          </w:p>
        </w:tc>
        <w:tc>
          <w:tcPr>
            <w:tcW w:w="179" w:type="pct"/>
            <w:gridSpan w:val="2"/>
            <w:tcBorders>
              <w:top w:val="nil"/>
              <w:left w:val="nil"/>
              <w:bottom w:val="single" w:sz="8" w:space="0" w:color="auto"/>
              <w:right w:val="single" w:sz="8" w:space="0" w:color="auto"/>
            </w:tcBorders>
            <w:vAlign w:val="center"/>
            <w:hideMark/>
          </w:tcPr>
          <w:p w14:paraId="123DE474" w14:textId="77777777" w:rsidR="004B0651" w:rsidRPr="00046858" w:rsidRDefault="004B0651">
            <w:pPr>
              <w:spacing w:before="0" w:after="0"/>
              <w:jc w:val="center"/>
              <w:rPr>
                <w:rFonts w:eastAsia="Times New Roman"/>
                <w:noProof/>
                <w:color w:val="000000"/>
                <w:sz w:val="14"/>
                <w:szCs w:val="14"/>
              </w:rPr>
            </w:pPr>
            <w:r w:rsidRPr="00046858">
              <w:rPr>
                <w:noProof/>
                <w:color w:val="000000"/>
                <w:sz w:val="14"/>
              </w:rPr>
              <w:t>(6)</w:t>
            </w:r>
          </w:p>
        </w:tc>
        <w:tc>
          <w:tcPr>
            <w:tcW w:w="456" w:type="pct"/>
            <w:gridSpan w:val="3"/>
            <w:tcBorders>
              <w:top w:val="nil"/>
              <w:left w:val="nil"/>
              <w:bottom w:val="single" w:sz="8" w:space="0" w:color="auto"/>
              <w:right w:val="single" w:sz="8" w:space="0" w:color="auto"/>
            </w:tcBorders>
            <w:shd w:val="clear" w:color="000000" w:fill="D9D9D9"/>
            <w:vAlign w:val="center"/>
          </w:tcPr>
          <w:p w14:paraId="6B71F108" w14:textId="77777777" w:rsidR="004B0651" w:rsidRPr="00046858" w:rsidRDefault="004B0651" w:rsidP="00D53339">
            <w:pPr>
              <w:spacing w:before="0" w:after="0"/>
              <w:jc w:val="right"/>
              <w:rPr>
                <w:rFonts w:eastAsia="Times New Roman"/>
                <w:noProof/>
                <w:color w:val="000000"/>
                <w:sz w:val="20"/>
                <w:szCs w:val="20"/>
                <w:lang w:eastAsia="en-IE"/>
              </w:rPr>
            </w:pPr>
          </w:p>
        </w:tc>
        <w:tc>
          <w:tcPr>
            <w:tcW w:w="387" w:type="pct"/>
            <w:gridSpan w:val="2"/>
            <w:tcBorders>
              <w:top w:val="nil"/>
              <w:left w:val="nil"/>
              <w:bottom w:val="single" w:sz="8" w:space="0" w:color="auto"/>
              <w:right w:val="single" w:sz="8" w:space="0" w:color="auto"/>
            </w:tcBorders>
            <w:shd w:val="clear" w:color="000000" w:fill="D9D9D9"/>
            <w:vAlign w:val="center"/>
          </w:tcPr>
          <w:p w14:paraId="0D38B745" w14:textId="77777777" w:rsidR="004B0651" w:rsidRPr="00046858" w:rsidRDefault="004B0651" w:rsidP="00D53339">
            <w:pPr>
              <w:spacing w:before="0" w:after="0"/>
              <w:jc w:val="right"/>
              <w:rPr>
                <w:rFonts w:eastAsia="Times New Roman"/>
                <w:noProof/>
                <w:color w:val="000000"/>
                <w:sz w:val="20"/>
                <w:szCs w:val="20"/>
                <w:lang w:eastAsia="en-IE"/>
              </w:rPr>
            </w:pPr>
          </w:p>
        </w:tc>
        <w:tc>
          <w:tcPr>
            <w:tcW w:w="456" w:type="pct"/>
            <w:gridSpan w:val="4"/>
            <w:tcBorders>
              <w:top w:val="nil"/>
              <w:left w:val="nil"/>
              <w:bottom w:val="single" w:sz="8" w:space="0" w:color="auto"/>
              <w:right w:val="single" w:sz="8" w:space="0" w:color="auto"/>
            </w:tcBorders>
            <w:shd w:val="clear" w:color="000000" w:fill="D9D9D9"/>
            <w:vAlign w:val="center"/>
          </w:tcPr>
          <w:p w14:paraId="53DB932E" w14:textId="77777777" w:rsidR="004B0651" w:rsidRPr="00046858" w:rsidRDefault="004B0651" w:rsidP="00D53339">
            <w:pPr>
              <w:spacing w:before="0" w:after="0"/>
              <w:jc w:val="right"/>
              <w:rPr>
                <w:rFonts w:eastAsia="Times New Roman"/>
                <w:noProof/>
                <w:color w:val="000000"/>
                <w:sz w:val="20"/>
                <w:szCs w:val="20"/>
                <w:lang w:eastAsia="en-IE"/>
              </w:rPr>
            </w:pPr>
          </w:p>
        </w:tc>
        <w:tc>
          <w:tcPr>
            <w:tcW w:w="387" w:type="pct"/>
            <w:gridSpan w:val="4"/>
            <w:tcBorders>
              <w:top w:val="nil"/>
              <w:left w:val="nil"/>
              <w:bottom w:val="single" w:sz="8" w:space="0" w:color="auto"/>
              <w:right w:val="single" w:sz="8" w:space="0" w:color="auto"/>
            </w:tcBorders>
            <w:shd w:val="clear" w:color="000000" w:fill="D9D9D9"/>
            <w:vAlign w:val="center"/>
          </w:tcPr>
          <w:p w14:paraId="29AA1FA2" w14:textId="77777777" w:rsidR="004B0651" w:rsidRPr="00046858" w:rsidRDefault="004B0651" w:rsidP="00D53339">
            <w:pPr>
              <w:spacing w:before="0" w:after="0"/>
              <w:jc w:val="right"/>
              <w:rPr>
                <w:rFonts w:eastAsia="Times New Roman"/>
                <w:noProof/>
                <w:color w:val="000000"/>
                <w:sz w:val="20"/>
                <w:szCs w:val="20"/>
                <w:lang w:eastAsia="en-IE"/>
              </w:rPr>
            </w:pPr>
          </w:p>
        </w:tc>
        <w:tc>
          <w:tcPr>
            <w:tcW w:w="456" w:type="pct"/>
            <w:gridSpan w:val="2"/>
            <w:tcBorders>
              <w:top w:val="nil"/>
              <w:left w:val="nil"/>
              <w:bottom w:val="single" w:sz="8" w:space="0" w:color="auto"/>
              <w:right w:val="single" w:sz="8" w:space="0" w:color="auto"/>
            </w:tcBorders>
            <w:shd w:val="clear" w:color="000000" w:fill="D9D9D9"/>
            <w:vAlign w:val="center"/>
          </w:tcPr>
          <w:p w14:paraId="7E8C4E1C" w14:textId="77777777" w:rsidR="004B0651" w:rsidRPr="00046858" w:rsidRDefault="004B0651" w:rsidP="00D53339">
            <w:pPr>
              <w:spacing w:before="0" w:after="0"/>
              <w:jc w:val="right"/>
              <w:rPr>
                <w:rFonts w:eastAsia="Times New Roman"/>
                <w:noProof/>
                <w:color w:val="000000"/>
                <w:sz w:val="20"/>
                <w:szCs w:val="20"/>
                <w:lang w:eastAsia="en-IE"/>
              </w:rPr>
            </w:pPr>
          </w:p>
        </w:tc>
        <w:tc>
          <w:tcPr>
            <w:tcW w:w="387" w:type="pct"/>
            <w:gridSpan w:val="3"/>
            <w:tcBorders>
              <w:top w:val="nil"/>
              <w:left w:val="nil"/>
              <w:bottom w:val="single" w:sz="8" w:space="0" w:color="auto"/>
              <w:right w:val="single" w:sz="8" w:space="0" w:color="auto"/>
            </w:tcBorders>
            <w:shd w:val="clear" w:color="000000" w:fill="D9D9D9"/>
            <w:vAlign w:val="center"/>
          </w:tcPr>
          <w:p w14:paraId="679D7437" w14:textId="77777777" w:rsidR="004B0651" w:rsidRPr="00046858" w:rsidRDefault="004B0651" w:rsidP="00D53339">
            <w:pPr>
              <w:spacing w:before="0" w:after="0"/>
              <w:jc w:val="right"/>
              <w:rPr>
                <w:rFonts w:eastAsia="Times New Roman"/>
                <w:noProof/>
                <w:color w:val="000000"/>
                <w:sz w:val="20"/>
                <w:szCs w:val="20"/>
                <w:lang w:eastAsia="en-IE"/>
              </w:rPr>
            </w:pPr>
          </w:p>
        </w:tc>
        <w:tc>
          <w:tcPr>
            <w:tcW w:w="456" w:type="pct"/>
            <w:gridSpan w:val="3"/>
            <w:tcBorders>
              <w:top w:val="nil"/>
              <w:left w:val="nil"/>
              <w:bottom w:val="single" w:sz="8" w:space="0" w:color="auto"/>
              <w:right w:val="single" w:sz="8" w:space="0" w:color="auto"/>
            </w:tcBorders>
            <w:shd w:val="clear" w:color="000000" w:fill="D9D9D9"/>
            <w:vAlign w:val="center"/>
          </w:tcPr>
          <w:p w14:paraId="1E805F7D" w14:textId="77777777" w:rsidR="004B0651" w:rsidRPr="00046858" w:rsidRDefault="004B0651" w:rsidP="00D53339">
            <w:pPr>
              <w:spacing w:before="0" w:after="0"/>
              <w:jc w:val="right"/>
              <w:rPr>
                <w:rFonts w:eastAsia="Times New Roman"/>
                <w:noProof/>
                <w:color w:val="000000"/>
                <w:sz w:val="20"/>
                <w:szCs w:val="20"/>
                <w:lang w:eastAsia="en-IE"/>
              </w:rPr>
            </w:pPr>
          </w:p>
        </w:tc>
        <w:tc>
          <w:tcPr>
            <w:tcW w:w="387" w:type="pct"/>
            <w:tcBorders>
              <w:top w:val="nil"/>
              <w:left w:val="nil"/>
              <w:bottom w:val="single" w:sz="8" w:space="0" w:color="auto"/>
              <w:right w:val="single" w:sz="4" w:space="0" w:color="auto"/>
            </w:tcBorders>
            <w:shd w:val="clear" w:color="000000" w:fill="D9D9D9"/>
            <w:vAlign w:val="center"/>
          </w:tcPr>
          <w:p w14:paraId="3DDBFB67" w14:textId="77777777" w:rsidR="004B0651" w:rsidRPr="00046858" w:rsidRDefault="004B0651" w:rsidP="00D53339">
            <w:pPr>
              <w:spacing w:before="0" w:after="0"/>
              <w:jc w:val="right"/>
              <w:rPr>
                <w:rFonts w:eastAsia="Times New Roman"/>
                <w:b/>
                <w:noProof/>
                <w:color w:val="000000"/>
                <w:sz w:val="20"/>
                <w:szCs w:val="20"/>
                <w:lang w:eastAsia="en-IE"/>
              </w:rPr>
            </w:pPr>
          </w:p>
        </w:tc>
        <w:tc>
          <w:tcPr>
            <w:tcW w:w="456" w:type="pct"/>
            <w:gridSpan w:val="2"/>
            <w:tcBorders>
              <w:top w:val="nil"/>
              <w:left w:val="single" w:sz="4" w:space="0" w:color="auto"/>
              <w:bottom w:val="single" w:sz="8" w:space="0" w:color="auto"/>
              <w:right w:val="single" w:sz="8" w:space="0" w:color="auto"/>
            </w:tcBorders>
            <w:shd w:val="clear" w:color="000000" w:fill="D9D9D9"/>
            <w:vAlign w:val="center"/>
            <w:hideMark/>
          </w:tcPr>
          <w:p w14:paraId="3B4872B7" w14:textId="77777777" w:rsidR="004B0651" w:rsidRPr="00046858" w:rsidRDefault="004B0651" w:rsidP="00083346">
            <w:pPr>
              <w:spacing w:before="0" w:after="0"/>
              <w:jc w:val="right"/>
              <w:rPr>
                <w:rFonts w:eastAsia="Times New Roman"/>
                <w:b/>
                <w:noProof/>
                <w:color w:val="000000"/>
                <w:sz w:val="20"/>
                <w:szCs w:val="20"/>
                <w:lang w:eastAsia="en-IE"/>
              </w:rPr>
            </w:pPr>
          </w:p>
        </w:tc>
      </w:tr>
      <w:tr w:rsidR="004B0651" w:rsidRPr="00046858" w14:paraId="71C293E4" w14:textId="77777777">
        <w:trPr>
          <w:trHeight w:val="579"/>
        </w:trPr>
        <w:tc>
          <w:tcPr>
            <w:tcW w:w="562" w:type="pct"/>
            <w:tcBorders>
              <w:top w:val="nil"/>
              <w:left w:val="single" w:sz="8" w:space="0" w:color="auto"/>
              <w:bottom w:val="nil"/>
              <w:right w:val="single" w:sz="8" w:space="0" w:color="auto"/>
            </w:tcBorders>
            <w:shd w:val="thinDiagStripe" w:color="C0C0C0" w:fill="E6E6E6"/>
            <w:vAlign w:val="center"/>
            <w:hideMark/>
          </w:tcPr>
          <w:p w14:paraId="056716CA" w14:textId="1AB8924F" w:rsidR="004B0651" w:rsidRPr="00046858" w:rsidRDefault="004B0651">
            <w:pPr>
              <w:spacing w:before="0" w:after="0"/>
              <w:jc w:val="center"/>
              <w:rPr>
                <w:rFonts w:eastAsia="Times New Roman"/>
                <w:b/>
                <w:noProof/>
                <w:color w:val="000000"/>
                <w:sz w:val="22"/>
              </w:rPr>
            </w:pPr>
            <w:r w:rsidRPr="00046858">
              <w:rPr>
                <w:b/>
                <w:noProof/>
                <w:color w:val="000000"/>
                <w:sz w:val="22"/>
              </w:rPr>
              <w:t>Total credite în cadrul</w:t>
            </w:r>
            <w:r w:rsidR="008B6AF5">
              <w:rPr>
                <w:b/>
                <w:noProof/>
                <w:color w:val="000000"/>
                <w:sz w:val="22"/>
              </w:rPr>
              <w:t xml:space="preserve"> </w:t>
            </w:r>
            <w:r w:rsidRPr="00046858">
              <w:rPr>
                <w:noProof/>
              </w:rPr>
              <w:cr/>
            </w:r>
            <w:r w:rsidRPr="00046858">
              <w:rPr>
                <w:noProof/>
              </w:rPr>
              <w:br/>
            </w:r>
            <w:r w:rsidRPr="00046858">
              <w:rPr>
                <w:b/>
                <w:noProof/>
                <w:color w:val="000000"/>
                <w:sz w:val="22"/>
              </w:rPr>
              <w:t>RUBRICII 2</w:t>
            </w:r>
          </w:p>
        </w:tc>
        <w:tc>
          <w:tcPr>
            <w:tcW w:w="429" w:type="pct"/>
            <w:gridSpan w:val="4"/>
            <w:tcBorders>
              <w:top w:val="nil"/>
              <w:left w:val="nil"/>
              <w:bottom w:val="single" w:sz="8" w:space="0" w:color="auto"/>
              <w:right w:val="single" w:sz="8" w:space="0" w:color="auto"/>
            </w:tcBorders>
            <w:vAlign w:val="center"/>
            <w:hideMark/>
          </w:tcPr>
          <w:p w14:paraId="5EE1F5E2" w14:textId="77777777" w:rsidR="004B0651" w:rsidRPr="00046858" w:rsidRDefault="004B0651">
            <w:pPr>
              <w:spacing w:before="0" w:after="0"/>
              <w:rPr>
                <w:rFonts w:eastAsia="Times New Roman"/>
                <w:noProof/>
                <w:color w:val="000000"/>
                <w:sz w:val="18"/>
                <w:szCs w:val="18"/>
              </w:rPr>
            </w:pPr>
            <w:r w:rsidRPr="00046858">
              <w:rPr>
                <w:noProof/>
                <w:color w:val="000000"/>
                <w:sz w:val="18"/>
              </w:rPr>
              <w:t>Angajamente</w:t>
            </w:r>
          </w:p>
        </w:tc>
        <w:tc>
          <w:tcPr>
            <w:tcW w:w="179" w:type="pct"/>
            <w:gridSpan w:val="2"/>
            <w:tcBorders>
              <w:top w:val="nil"/>
              <w:left w:val="nil"/>
              <w:bottom w:val="single" w:sz="8" w:space="0" w:color="auto"/>
              <w:right w:val="single" w:sz="8" w:space="0" w:color="auto"/>
            </w:tcBorders>
            <w:vAlign w:val="center"/>
            <w:hideMark/>
          </w:tcPr>
          <w:p w14:paraId="1DA2C947" w14:textId="77777777" w:rsidR="004B0651" w:rsidRPr="00046858" w:rsidRDefault="004B0651">
            <w:pPr>
              <w:spacing w:before="0" w:after="0"/>
              <w:jc w:val="center"/>
              <w:rPr>
                <w:rFonts w:eastAsia="Times New Roman"/>
                <w:noProof/>
                <w:color w:val="000000"/>
                <w:sz w:val="14"/>
                <w:szCs w:val="14"/>
              </w:rPr>
            </w:pPr>
            <w:r w:rsidRPr="00046858">
              <w:rPr>
                <w:noProof/>
                <w:color w:val="000000"/>
                <w:sz w:val="14"/>
              </w:rPr>
              <w:t>=4+6</w:t>
            </w:r>
          </w:p>
        </w:tc>
        <w:tc>
          <w:tcPr>
            <w:tcW w:w="456" w:type="pct"/>
            <w:gridSpan w:val="3"/>
            <w:tcBorders>
              <w:top w:val="nil"/>
              <w:left w:val="nil"/>
              <w:bottom w:val="single" w:sz="8" w:space="0" w:color="auto"/>
              <w:right w:val="single" w:sz="8" w:space="0" w:color="auto"/>
            </w:tcBorders>
            <w:shd w:val="clear" w:color="000000" w:fill="D9D9D9"/>
            <w:vAlign w:val="center"/>
            <w:hideMark/>
          </w:tcPr>
          <w:p w14:paraId="09106B09" w14:textId="77777777" w:rsidR="004B0651" w:rsidRPr="00046858" w:rsidRDefault="004B0651">
            <w:pPr>
              <w:spacing w:before="0" w:after="0"/>
              <w:jc w:val="right"/>
              <w:rPr>
                <w:rFonts w:eastAsia="Times New Roman"/>
                <w:b/>
                <w:noProof/>
                <w:color w:val="000000"/>
                <w:sz w:val="20"/>
                <w:szCs w:val="20"/>
              </w:rPr>
            </w:pPr>
            <w:r w:rsidRPr="00046858">
              <w:rPr>
                <w:noProof/>
                <w:sz w:val="20"/>
              </w:rPr>
              <w:t>30,000</w:t>
            </w:r>
          </w:p>
        </w:tc>
        <w:tc>
          <w:tcPr>
            <w:tcW w:w="387" w:type="pct"/>
            <w:gridSpan w:val="2"/>
            <w:tcBorders>
              <w:top w:val="nil"/>
              <w:left w:val="nil"/>
              <w:bottom w:val="single" w:sz="8" w:space="0" w:color="auto"/>
              <w:right w:val="single" w:sz="8" w:space="0" w:color="auto"/>
            </w:tcBorders>
            <w:shd w:val="clear" w:color="000000" w:fill="D9D9D9"/>
            <w:vAlign w:val="center"/>
            <w:hideMark/>
          </w:tcPr>
          <w:p w14:paraId="55E6DB43" w14:textId="77777777" w:rsidR="004B0651" w:rsidRPr="00046858" w:rsidRDefault="004B0651">
            <w:pPr>
              <w:spacing w:before="0" w:after="0"/>
              <w:jc w:val="right"/>
              <w:rPr>
                <w:rFonts w:eastAsia="Times New Roman"/>
                <w:b/>
                <w:noProof/>
                <w:color w:val="000000"/>
                <w:sz w:val="20"/>
                <w:szCs w:val="20"/>
              </w:rPr>
            </w:pPr>
            <w:r w:rsidRPr="00046858">
              <w:rPr>
                <w:noProof/>
                <w:sz w:val="20"/>
              </w:rPr>
              <w:t>0,000</w:t>
            </w:r>
          </w:p>
        </w:tc>
        <w:tc>
          <w:tcPr>
            <w:tcW w:w="456" w:type="pct"/>
            <w:gridSpan w:val="4"/>
            <w:tcBorders>
              <w:top w:val="nil"/>
              <w:left w:val="nil"/>
              <w:bottom w:val="single" w:sz="8" w:space="0" w:color="auto"/>
              <w:right w:val="single" w:sz="8" w:space="0" w:color="auto"/>
            </w:tcBorders>
            <w:shd w:val="clear" w:color="000000" w:fill="D9D9D9"/>
            <w:vAlign w:val="center"/>
            <w:hideMark/>
          </w:tcPr>
          <w:p w14:paraId="14766C83" w14:textId="77777777" w:rsidR="004B0651" w:rsidRPr="00046858" w:rsidRDefault="004B0651">
            <w:pPr>
              <w:spacing w:before="0" w:after="0"/>
              <w:jc w:val="right"/>
              <w:rPr>
                <w:rFonts w:eastAsia="Times New Roman"/>
                <w:b/>
                <w:noProof/>
                <w:color w:val="000000"/>
                <w:sz w:val="20"/>
                <w:szCs w:val="20"/>
              </w:rPr>
            </w:pPr>
            <w:r w:rsidRPr="00046858">
              <w:rPr>
                <w:noProof/>
                <w:sz w:val="20"/>
              </w:rPr>
              <w:t>20,000</w:t>
            </w:r>
          </w:p>
        </w:tc>
        <w:tc>
          <w:tcPr>
            <w:tcW w:w="387" w:type="pct"/>
            <w:gridSpan w:val="4"/>
            <w:tcBorders>
              <w:top w:val="nil"/>
              <w:left w:val="nil"/>
              <w:bottom w:val="single" w:sz="8" w:space="0" w:color="auto"/>
              <w:right w:val="single" w:sz="8" w:space="0" w:color="auto"/>
            </w:tcBorders>
            <w:shd w:val="clear" w:color="000000" w:fill="D9D9D9"/>
            <w:vAlign w:val="center"/>
            <w:hideMark/>
          </w:tcPr>
          <w:p w14:paraId="1E2DA8E5" w14:textId="77777777" w:rsidR="004B0651" w:rsidRPr="00046858" w:rsidRDefault="004B0651">
            <w:pPr>
              <w:spacing w:before="0" w:after="0"/>
              <w:jc w:val="right"/>
              <w:rPr>
                <w:rFonts w:eastAsia="Times New Roman"/>
                <w:b/>
                <w:noProof/>
                <w:color w:val="000000"/>
                <w:sz w:val="20"/>
                <w:szCs w:val="20"/>
              </w:rPr>
            </w:pPr>
            <w:r w:rsidRPr="00046858">
              <w:rPr>
                <w:noProof/>
                <w:sz w:val="20"/>
              </w:rPr>
              <w:t>0, 000</w:t>
            </w:r>
          </w:p>
        </w:tc>
        <w:tc>
          <w:tcPr>
            <w:tcW w:w="456" w:type="pct"/>
            <w:gridSpan w:val="2"/>
            <w:tcBorders>
              <w:top w:val="nil"/>
              <w:left w:val="nil"/>
              <w:bottom w:val="single" w:sz="8" w:space="0" w:color="auto"/>
              <w:right w:val="single" w:sz="8" w:space="0" w:color="auto"/>
            </w:tcBorders>
            <w:shd w:val="clear" w:color="000000" w:fill="D9D9D9"/>
            <w:vAlign w:val="center"/>
            <w:hideMark/>
          </w:tcPr>
          <w:p w14:paraId="58B521B9" w14:textId="77777777" w:rsidR="004B0651" w:rsidRPr="00046858" w:rsidRDefault="004B0651">
            <w:pPr>
              <w:spacing w:before="0" w:after="0"/>
              <w:jc w:val="right"/>
              <w:rPr>
                <w:rFonts w:eastAsia="Times New Roman"/>
                <w:b/>
                <w:noProof/>
                <w:color w:val="000000"/>
                <w:sz w:val="20"/>
                <w:szCs w:val="20"/>
              </w:rPr>
            </w:pPr>
            <w:r w:rsidRPr="00046858">
              <w:rPr>
                <w:noProof/>
                <w:sz w:val="20"/>
              </w:rPr>
              <w:t>10,000</w:t>
            </w:r>
          </w:p>
        </w:tc>
        <w:tc>
          <w:tcPr>
            <w:tcW w:w="387" w:type="pct"/>
            <w:gridSpan w:val="3"/>
            <w:tcBorders>
              <w:top w:val="nil"/>
              <w:left w:val="nil"/>
              <w:bottom w:val="single" w:sz="8" w:space="0" w:color="auto"/>
              <w:right w:val="single" w:sz="8" w:space="0" w:color="auto"/>
            </w:tcBorders>
            <w:shd w:val="clear" w:color="000000" w:fill="D9D9D9"/>
            <w:vAlign w:val="center"/>
            <w:hideMark/>
          </w:tcPr>
          <w:p w14:paraId="37DB8974" w14:textId="77777777" w:rsidR="004B0651" w:rsidRPr="00046858" w:rsidRDefault="004B0651">
            <w:pPr>
              <w:spacing w:before="0" w:after="0"/>
              <w:jc w:val="right"/>
              <w:rPr>
                <w:rFonts w:eastAsia="Times New Roman"/>
                <w:b/>
                <w:noProof/>
                <w:color w:val="000000"/>
                <w:sz w:val="20"/>
                <w:szCs w:val="20"/>
              </w:rPr>
            </w:pPr>
            <w:r w:rsidRPr="00046858">
              <w:rPr>
                <w:noProof/>
                <w:sz w:val="20"/>
              </w:rPr>
              <w:t>0,000</w:t>
            </w:r>
          </w:p>
        </w:tc>
        <w:tc>
          <w:tcPr>
            <w:tcW w:w="456" w:type="pct"/>
            <w:gridSpan w:val="3"/>
            <w:tcBorders>
              <w:top w:val="nil"/>
              <w:left w:val="nil"/>
              <w:bottom w:val="single" w:sz="8" w:space="0" w:color="auto"/>
              <w:right w:val="single" w:sz="8" w:space="0" w:color="auto"/>
            </w:tcBorders>
            <w:shd w:val="clear" w:color="000000" w:fill="D9D9D9"/>
            <w:vAlign w:val="center"/>
            <w:hideMark/>
          </w:tcPr>
          <w:p w14:paraId="7C34F969" w14:textId="77777777" w:rsidR="004B0651" w:rsidRPr="00046858" w:rsidRDefault="004B0651">
            <w:pPr>
              <w:spacing w:before="0" w:after="0"/>
              <w:jc w:val="right"/>
              <w:rPr>
                <w:rFonts w:eastAsia="Times New Roman"/>
                <w:b/>
                <w:noProof/>
                <w:color w:val="000000"/>
                <w:sz w:val="20"/>
                <w:szCs w:val="20"/>
              </w:rPr>
            </w:pPr>
            <w:r w:rsidRPr="00046858">
              <w:rPr>
                <w:noProof/>
                <w:sz w:val="20"/>
              </w:rPr>
              <w:t>10,000</w:t>
            </w:r>
          </w:p>
        </w:tc>
        <w:tc>
          <w:tcPr>
            <w:tcW w:w="387" w:type="pct"/>
            <w:tcBorders>
              <w:top w:val="nil"/>
              <w:left w:val="nil"/>
              <w:bottom w:val="single" w:sz="8" w:space="0" w:color="auto"/>
              <w:right w:val="single" w:sz="4" w:space="0" w:color="auto"/>
            </w:tcBorders>
            <w:shd w:val="clear" w:color="000000" w:fill="D9D9D9"/>
            <w:vAlign w:val="center"/>
          </w:tcPr>
          <w:p w14:paraId="17511BEC" w14:textId="77777777" w:rsidR="004B0651" w:rsidRPr="00046858" w:rsidRDefault="004B0651">
            <w:pPr>
              <w:spacing w:before="0" w:after="0"/>
              <w:jc w:val="right"/>
              <w:rPr>
                <w:rFonts w:eastAsia="Times New Roman"/>
                <w:b/>
                <w:noProof/>
                <w:color w:val="000000"/>
                <w:sz w:val="20"/>
                <w:szCs w:val="20"/>
                <w:lang w:eastAsia="en-IE"/>
              </w:rPr>
            </w:pPr>
          </w:p>
        </w:tc>
        <w:tc>
          <w:tcPr>
            <w:tcW w:w="456" w:type="pct"/>
            <w:gridSpan w:val="2"/>
            <w:tcBorders>
              <w:top w:val="nil"/>
              <w:left w:val="single" w:sz="4" w:space="0" w:color="auto"/>
              <w:bottom w:val="single" w:sz="8" w:space="0" w:color="auto"/>
              <w:right w:val="single" w:sz="8" w:space="0" w:color="auto"/>
            </w:tcBorders>
            <w:shd w:val="clear" w:color="000000" w:fill="D9D9D9"/>
            <w:vAlign w:val="center"/>
            <w:hideMark/>
          </w:tcPr>
          <w:p w14:paraId="1DA8DA12" w14:textId="77777777" w:rsidR="004B0651" w:rsidRPr="00046858" w:rsidRDefault="004B0651">
            <w:pPr>
              <w:spacing w:before="0" w:after="0"/>
              <w:jc w:val="right"/>
              <w:rPr>
                <w:rFonts w:eastAsia="Times New Roman"/>
                <w:b/>
                <w:noProof/>
                <w:color w:val="000000"/>
                <w:sz w:val="20"/>
                <w:szCs w:val="20"/>
              </w:rPr>
            </w:pPr>
            <w:r w:rsidRPr="00046858">
              <w:rPr>
                <w:b/>
                <w:noProof/>
                <w:sz w:val="20"/>
              </w:rPr>
              <w:t xml:space="preserve"> 70,000</w:t>
            </w:r>
          </w:p>
        </w:tc>
      </w:tr>
      <w:tr w:rsidR="004B0651" w:rsidRPr="00046858" w14:paraId="13E1EEDB" w14:textId="77777777">
        <w:trPr>
          <w:trHeight w:val="552"/>
        </w:trPr>
        <w:tc>
          <w:tcPr>
            <w:tcW w:w="562" w:type="pct"/>
            <w:tcBorders>
              <w:top w:val="nil"/>
              <w:left w:val="single" w:sz="8" w:space="0" w:color="auto"/>
              <w:bottom w:val="single" w:sz="8" w:space="0" w:color="auto"/>
              <w:right w:val="single" w:sz="8" w:space="0" w:color="auto"/>
            </w:tcBorders>
            <w:shd w:val="thinDiagStripe" w:color="C0C0C0" w:fill="E6E6E6"/>
            <w:vAlign w:val="center"/>
            <w:hideMark/>
          </w:tcPr>
          <w:p w14:paraId="50B08A3D" w14:textId="77777777" w:rsidR="004B0651" w:rsidRPr="00046858" w:rsidRDefault="004B0651">
            <w:pPr>
              <w:spacing w:before="0" w:after="0"/>
              <w:jc w:val="center"/>
              <w:rPr>
                <w:rFonts w:eastAsia="Times New Roman"/>
                <w:noProof/>
                <w:color w:val="000000"/>
                <w:sz w:val="22"/>
              </w:rPr>
            </w:pPr>
            <w:r w:rsidRPr="00046858">
              <w:rPr>
                <w:noProof/>
                <w:color w:val="000000"/>
                <w:sz w:val="22"/>
              </w:rPr>
              <w:t>din cadrul financiar multianual</w:t>
            </w:r>
          </w:p>
        </w:tc>
        <w:tc>
          <w:tcPr>
            <w:tcW w:w="429" w:type="pct"/>
            <w:gridSpan w:val="4"/>
            <w:tcBorders>
              <w:top w:val="nil"/>
              <w:left w:val="nil"/>
              <w:bottom w:val="single" w:sz="8" w:space="0" w:color="auto"/>
              <w:right w:val="single" w:sz="8" w:space="0" w:color="auto"/>
            </w:tcBorders>
            <w:vAlign w:val="center"/>
            <w:hideMark/>
          </w:tcPr>
          <w:p w14:paraId="1FB41C1B" w14:textId="77777777" w:rsidR="004B0651" w:rsidRPr="00046858" w:rsidRDefault="004B0651">
            <w:pPr>
              <w:spacing w:before="0" w:after="0"/>
              <w:rPr>
                <w:rFonts w:eastAsia="Times New Roman"/>
                <w:noProof/>
                <w:color w:val="000000"/>
                <w:sz w:val="18"/>
                <w:szCs w:val="18"/>
              </w:rPr>
            </w:pPr>
            <w:r w:rsidRPr="00046858">
              <w:rPr>
                <w:noProof/>
                <w:color w:val="000000"/>
                <w:sz w:val="18"/>
              </w:rPr>
              <w:t>Plăți</w:t>
            </w:r>
          </w:p>
        </w:tc>
        <w:tc>
          <w:tcPr>
            <w:tcW w:w="179" w:type="pct"/>
            <w:gridSpan w:val="2"/>
            <w:tcBorders>
              <w:top w:val="nil"/>
              <w:left w:val="nil"/>
              <w:bottom w:val="single" w:sz="8" w:space="0" w:color="auto"/>
              <w:right w:val="single" w:sz="8" w:space="0" w:color="auto"/>
            </w:tcBorders>
            <w:vAlign w:val="center"/>
            <w:hideMark/>
          </w:tcPr>
          <w:p w14:paraId="5BA6F865" w14:textId="77777777" w:rsidR="004B0651" w:rsidRPr="00046858" w:rsidRDefault="004B0651">
            <w:pPr>
              <w:spacing w:before="0" w:after="0"/>
              <w:jc w:val="center"/>
              <w:rPr>
                <w:rFonts w:eastAsia="Times New Roman"/>
                <w:noProof/>
                <w:color w:val="000000"/>
                <w:sz w:val="14"/>
                <w:szCs w:val="14"/>
              </w:rPr>
            </w:pPr>
            <w:r w:rsidRPr="00046858">
              <w:rPr>
                <w:noProof/>
                <w:color w:val="000000"/>
                <w:sz w:val="14"/>
              </w:rPr>
              <w:t>=5+6</w:t>
            </w:r>
          </w:p>
        </w:tc>
        <w:tc>
          <w:tcPr>
            <w:tcW w:w="456" w:type="pct"/>
            <w:gridSpan w:val="3"/>
            <w:tcBorders>
              <w:top w:val="nil"/>
              <w:left w:val="nil"/>
              <w:bottom w:val="single" w:sz="8" w:space="0" w:color="auto"/>
              <w:right w:val="single" w:sz="8" w:space="0" w:color="auto"/>
            </w:tcBorders>
            <w:shd w:val="clear" w:color="000000" w:fill="D9D9D9"/>
            <w:vAlign w:val="center"/>
            <w:hideMark/>
          </w:tcPr>
          <w:p w14:paraId="2F942A90" w14:textId="77777777" w:rsidR="004B0651" w:rsidRPr="00046858" w:rsidRDefault="004B0651">
            <w:pPr>
              <w:spacing w:before="0" w:after="0"/>
              <w:jc w:val="right"/>
              <w:rPr>
                <w:rFonts w:eastAsia="Times New Roman"/>
                <w:b/>
                <w:noProof/>
                <w:color w:val="000000"/>
                <w:sz w:val="20"/>
                <w:szCs w:val="20"/>
              </w:rPr>
            </w:pPr>
            <w:r w:rsidRPr="00046858">
              <w:rPr>
                <w:noProof/>
                <w:sz w:val="20"/>
              </w:rPr>
              <w:t>18, 000</w:t>
            </w:r>
          </w:p>
        </w:tc>
        <w:tc>
          <w:tcPr>
            <w:tcW w:w="387" w:type="pct"/>
            <w:gridSpan w:val="2"/>
            <w:tcBorders>
              <w:top w:val="nil"/>
              <w:left w:val="nil"/>
              <w:bottom w:val="single" w:sz="8" w:space="0" w:color="auto"/>
              <w:right w:val="single" w:sz="8" w:space="0" w:color="auto"/>
            </w:tcBorders>
            <w:shd w:val="clear" w:color="000000" w:fill="D9D9D9"/>
            <w:vAlign w:val="center"/>
            <w:hideMark/>
          </w:tcPr>
          <w:p w14:paraId="6231910E" w14:textId="77777777" w:rsidR="004B0651" w:rsidRPr="00046858" w:rsidRDefault="004B0651">
            <w:pPr>
              <w:spacing w:before="0" w:after="0"/>
              <w:jc w:val="right"/>
              <w:rPr>
                <w:rFonts w:eastAsia="Times New Roman"/>
                <w:b/>
                <w:noProof/>
                <w:color w:val="000000"/>
                <w:sz w:val="20"/>
                <w:szCs w:val="20"/>
              </w:rPr>
            </w:pPr>
            <w:r w:rsidRPr="00046858">
              <w:rPr>
                <w:noProof/>
                <w:sz w:val="20"/>
              </w:rPr>
              <w:t>6,000</w:t>
            </w:r>
          </w:p>
        </w:tc>
        <w:tc>
          <w:tcPr>
            <w:tcW w:w="456" w:type="pct"/>
            <w:gridSpan w:val="4"/>
            <w:tcBorders>
              <w:top w:val="nil"/>
              <w:left w:val="nil"/>
              <w:bottom w:val="single" w:sz="8" w:space="0" w:color="auto"/>
              <w:right w:val="single" w:sz="8" w:space="0" w:color="auto"/>
            </w:tcBorders>
            <w:shd w:val="clear" w:color="000000" w:fill="D9D9D9"/>
            <w:vAlign w:val="center"/>
            <w:hideMark/>
          </w:tcPr>
          <w:p w14:paraId="2296AF83" w14:textId="77777777" w:rsidR="004B0651" w:rsidRPr="00046858" w:rsidRDefault="004B0651">
            <w:pPr>
              <w:spacing w:before="0" w:after="0"/>
              <w:jc w:val="right"/>
              <w:rPr>
                <w:rFonts w:eastAsia="Times New Roman"/>
                <w:b/>
                <w:noProof/>
                <w:color w:val="000000"/>
                <w:sz w:val="20"/>
                <w:szCs w:val="20"/>
              </w:rPr>
            </w:pPr>
            <w:r w:rsidRPr="00046858">
              <w:rPr>
                <w:noProof/>
                <w:sz w:val="20"/>
              </w:rPr>
              <w:t>15,000</w:t>
            </w:r>
          </w:p>
        </w:tc>
        <w:tc>
          <w:tcPr>
            <w:tcW w:w="387" w:type="pct"/>
            <w:gridSpan w:val="4"/>
            <w:tcBorders>
              <w:top w:val="nil"/>
              <w:left w:val="nil"/>
              <w:bottom w:val="single" w:sz="8" w:space="0" w:color="auto"/>
              <w:right w:val="single" w:sz="8" w:space="0" w:color="auto"/>
            </w:tcBorders>
            <w:shd w:val="clear" w:color="000000" w:fill="D9D9D9"/>
            <w:vAlign w:val="center"/>
            <w:hideMark/>
          </w:tcPr>
          <w:p w14:paraId="09D7FDE0" w14:textId="77777777" w:rsidR="004B0651" w:rsidRPr="00046858" w:rsidRDefault="004B0651">
            <w:pPr>
              <w:spacing w:before="0" w:after="0"/>
              <w:jc w:val="right"/>
              <w:rPr>
                <w:rFonts w:eastAsia="Times New Roman"/>
                <w:b/>
                <w:noProof/>
                <w:color w:val="000000"/>
                <w:sz w:val="20"/>
                <w:szCs w:val="20"/>
              </w:rPr>
            </w:pPr>
            <w:r w:rsidRPr="00046858">
              <w:rPr>
                <w:noProof/>
                <w:sz w:val="20"/>
              </w:rPr>
              <w:t>7,000</w:t>
            </w:r>
          </w:p>
        </w:tc>
        <w:tc>
          <w:tcPr>
            <w:tcW w:w="456" w:type="pct"/>
            <w:gridSpan w:val="2"/>
            <w:tcBorders>
              <w:top w:val="nil"/>
              <w:left w:val="nil"/>
              <w:bottom w:val="single" w:sz="8" w:space="0" w:color="auto"/>
              <w:right w:val="single" w:sz="8" w:space="0" w:color="auto"/>
            </w:tcBorders>
            <w:shd w:val="clear" w:color="000000" w:fill="D9D9D9"/>
            <w:vAlign w:val="center"/>
            <w:hideMark/>
          </w:tcPr>
          <w:p w14:paraId="3E332037" w14:textId="77777777" w:rsidR="004B0651" w:rsidRPr="00046858" w:rsidRDefault="004B0651">
            <w:pPr>
              <w:spacing w:before="0" w:after="0"/>
              <w:jc w:val="right"/>
              <w:rPr>
                <w:rFonts w:eastAsia="Times New Roman"/>
                <w:b/>
                <w:noProof/>
                <w:color w:val="000000"/>
                <w:sz w:val="20"/>
                <w:szCs w:val="20"/>
              </w:rPr>
            </w:pPr>
            <w:r w:rsidRPr="00046858">
              <w:rPr>
                <w:noProof/>
                <w:sz w:val="20"/>
              </w:rPr>
              <w:t>8,000</w:t>
            </w:r>
          </w:p>
        </w:tc>
        <w:tc>
          <w:tcPr>
            <w:tcW w:w="387" w:type="pct"/>
            <w:gridSpan w:val="3"/>
            <w:tcBorders>
              <w:top w:val="nil"/>
              <w:left w:val="nil"/>
              <w:bottom w:val="single" w:sz="8" w:space="0" w:color="auto"/>
              <w:right w:val="single" w:sz="8" w:space="0" w:color="auto"/>
            </w:tcBorders>
            <w:shd w:val="clear" w:color="000000" w:fill="D9D9D9"/>
            <w:vAlign w:val="center"/>
            <w:hideMark/>
          </w:tcPr>
          <w:p w14:paraId="4A67AD67" w14:textId="77777777" w:rsidR="004B0651" w:rsidRPr="00046858" w:rsidRDefault="004B0651">
            <w:pPr>
              <w:spacing w:before="0" w:after="0"/>
              <w:jc w:val="right"/>
              <w:rPr>
                <w:rFonts w:eastAsia="Times New Roman"/>
                <w:b/>
                <w:noProof/>
                <w:color w:val="000000"/>
                <w:sz w:val="20"/>
                <w:szCs w:val="20"/>
              </w:rPr>
            </w:pPr>
            <w:r w:rsidRPr="00046858">
              <w:rPr>
                <w:noProof/>
                <w:sz w:val="20"/>
              </w:rPr>
              <w:t>4,000</w:t>
            </w:r>
          </w:p>
        </w:tc>
        <w:tc>
          <w:tcPr>
            <w:tcW w:w="456" w:type="pct"/>
            <w:gridSpan w:val="3"/>
            <w:tcBorders>
              <w:top w:val="nil"/>
              <w:left w:val="nil"/>
              <w:bottom w:val="single" w:sz="8" w:space="0" w:color="auto"/>
              <w:right w:val="single" w:sz="8" w:space="0" w:color="auto"/>
            </w:tcBorders>
            <w:shd w:val="clear" w:color="000000" w:fill="D9D9D9"/>
            <w:vAlign w:val="center"/>
            <w:hideMark/>
          </w:tcPr>
          <w:p w14:paraId="067436F1" w14:textId="77777777" w:rsidR="004B0651" w:rsidRPr="00046858" w:rsidRDefault="004B0651">
            <w:pPr>
              <w:spacing w:before="0" w:after="0"/>
              <w:jc w:val="right"/>
              <w:rPr>
                <w:rFonts w:eastAsia="Times New Roman"/>
                <w:b/>
                <w:noProof/>
                <w:color w:val="000000"/>
                <w:sz w:val="20"/>
                <w:szCs w:val="20"/>
              </w:rPr>
            </w:pPr>
            <w:r w:rsidRPr="00046858">
              <w:rPr>
                <w:noProof/>
                <w:sz w:val="20"/>
              </w:rPr>
              <w:t>7,000</w:t>
            </w:r>
          </w:p>
        </w:tc>
        <w:tc>
          <w:tcPr>
            <w:tcW w:w="387" w:type="pct"/>
            <w:tcBorders>
              <w:top w:val="nil"/>
              <w:left w:val="nil"/>
              <w:bottom w:val="single" w:sz="8" w:space="0" w:color="auto"/>
              <w:right w:val="single" w:sz="4" w:space="0" w:color="auto"/>
            </w:tcBorders>
            <w:shd w:val="clear" w:color="000000" w:fill="D9D9D9"/>
            <w:vAlign w:val="center"/>
          </w:tcPr>
          <w:p w14:paraId="336C6BF5" w14:textId="77777777" w:rsidR="004B0651" w:rsidRPr="00046858" w:rsidRDefault="004B0651">
            <w:pPr>
              <w:spacing w:before="0" w:after="0"/>
              <w:jc w:val="right"/>
              <w:rPr>
                <w:rFonts w:eastAsia="Times New Roman"/>
                <w:b/>
                <w:noProof/>
                <w:color w:val="000000"/>
                <w:sz w:val="20"/>
                <w:szCs w:val="20"/>
              </w:rPr>
            </w:pPr>
            <w:r w:rsidRPr="00046858">
              <w:rPr>
                <w:noProof/>
                <w:color w:val="000000"/>
                <w:sz w:val="20"/>
              </w:rPr>
              <w:t>5,000</w:t>
            </w:r>
          </w:p>
        </w:tc>
        <w:tc>
          <w:tcPr>
            <w:tcW w:w="456" w:type="pct"/>
            <w:gridSpan w:val="2"/>
            <w:tcBorders>
              <w:top w:val="nil"/>
              <w:left w:val="single" w:sz="4" w:space="0" w:color="auto"/>
              <w:bottom w:val="single" w:sz="8" w:space="0" w:color="auto"/>
              <w:right w:val="single" w:sz="8" w:space="0" w:color="auto"/>
            </w:tcBorders>
            <w:shd w:val="clear" w:color="000000" w:fill="D9D9D9"/>
            <w:vAlign w:val="center"/>
            <w:hideMark/>
          </w:tcPr>
          <w:p w14:paraId="61765684" w14:textId="77777777" w:rsidR="004B0651" w:rsidRPr="00046858" w:rsidRDefault="004B0651">
            <w:pPr>
              <w:spacing w:before="0" w:after="0"/>
              <w:jc w:val="right"/>
              <w:rPr>
                <w:rFonts w:eastAsia="Times New Roman"/>
                <w:b/>
                <w:noProof/>
                <w:color w:val="000000"/>
                <w:sz w:val="20"/>
                <w:szCs w:val="20"/>
              </w:rPr>
            </w:pPr>
            <w:r w:rsidRPr="00046858">
              <w:rPr>
                <w:b/>
                <w:noProof/>
                <w:sz w:val="20"/>
              </w:rPr>
              <w:t>70,000</w:t>
            </w:r>
          </w:p>
        </w:tc>
      </w:tr>
      <w:tr w:rsidR="00EC060D" w:rsidRPr="00046858" w14:paraId="2F443D81" w14:textId="77777777">
        <w:trPr>
          <w:trHeight w:val="410"/>
        </w:trPr>
        <w:tc>
          <w:tcPr>
            <w:tcW w:w="651" w:type="pct"/>
            <w:gridSpan w:val="2"/>
            <w:tcBorders>
              <w:top w:val="nil"/>
              <w:left w:val="nil"/>
              <w:bottom w:val="nil"/>
              <w:right w:val="nil"/>
            </w:tcBorders>
            <w:noWrap/>
            <w:vAlign w:val="bottom"/>
            <w:hideMark/>
          </w:tcPr>
          <w:p w14:paraId="5D95066C" w14:textId="77777777" w:rsidR="00EC060D" w:rsidRPr="00046858" w:rsidRDefault="00EC060D" w:rsidP="00730799">
            <w:pPr>
              <w:keepNext/>
              <w:spacing w:before="0" w:after="0"/>
              <w:jc w:val="left"/>
              <w:rPr>
                <w:rFonts w:eastAsia="Times New Roman"/>
                <w:noProof/>
                <w:sz w:val="20"/>
                <w:szCs w:val="24"/>
                <w:lang w:eastAsia="en-IE"/>
              </w:rPr>
            </w:pPr>
          </w:p>
        </w:tc>
        <w:tc>
          <w:tcPr>
            <w:tcW w:w="497" w:type="pct"/>
            <w:gridSpan w:val="4"/>
            <w:tcBorders>
              <w:top w:val="nil"/>
              <w:left w:val="nil"/>
              <w:bottom w:val="nil"/>
              <w:right w:val="nil"/>
            </w:tcBorders>
            <w:noWrap/>
            <w:vAlign w:val="bottom"/>
            <w:hideMark/>
          </w:tcPr>
          <w:p w14:paraId="39244649" w14:textId="77777777" w:rsidR="00EC060D" w:rsidRPr="00046858" w:rsidRDefault="00EC060D" w:rsidP="00730799">
            <w:pPr>
              <w:keepNext/>
              <w:spacing w:before="0" w:after="0"/>
              <w:jc w:val="left"/>
              <w:rPr>
                <w:rFonts w:eastAsia="Times New Roman"/>
                <w:noProof/>
                <w:sz w:val="20"/>
                <w:szCs w:val="20"/>
                <w:lang w:eastAsia="en-IE"/>
              </w:rPr>
            </w:pPr>
          </w:p>
        </w:tc>
        <w:tc>
          <w:tcPr>
            <w:tcW w:w="364" w:type="pct"/>
            <w:gridSpan w:val="4"/>
            <w:tcBorders>
              <w:top w:val="nil"/>
              <w:left w:val="nil"/>
              <w:bottom w:val="nil"/>
              <w:right w:val="single" w:sz="8" w:space="0" w:color="auto"/>
            </w:tcBorders>
            <w:noWrap/>
            <w:vAlign w:val="bottom"/>
            <w:hideMark/>
          </w:tcPr>
          <w:p w14:paraId="3FA92B52" w14:textId="77777777" w:rsidR="00EC060D" w:rsidRPr="00046858" w:rsidRDefault="00EC060D" w:rsidP="00730799">
            <w:pPr>
              <w:keepNext/>
              <w:spacing w:before="0" w:after="0"/>
              <w:jc w:val="left"/>
              <w:rPr>
                <w:rFonts w:ascii="Calibri" w:eastAsia="Times New Roman" w:hAnsi="Calibri" w:cs="Calibri"/>
                <w:noProof/>
                <w:color w:val="000000"/>
                <w:sz w:val="22"/>
              </w:rPr>
            </w:pPr>
            <w:r w:rsidRPr="00046858">
              <w:rPr>
                <w:rFonts w:ascii="Calibri" w:hAnsi="Calibri"/>
                <w:noProof/>
                <w:color w:val="000000"/>
                <w:sz w:val="22"/>
              </w:rPr>
              <w:t xml:space="preserve"> </w:t>
            </w:r>
          </w:p>
        </w:tc>
        <w:tc>
          <w:tcPr>
            <w:tcW w:w="390" w:type="pct"/>
            <w:gridSpan w:val="2"/>
            <w:tcBorders>
              <w:top w:val="single" w:sz="8" w:space="0" w:color="auto"/>
              <w:left w:val="nil"/>
              <w:bottom w:val="nil"/>
              <w:right w:val="single" w:sz="8" w:space="0" w:color="auto"/>
            </w:tcBorders>
            <w:vAlign w:val="center"/>
            <w:hideMark/>
          </w:tcPr>
          <w:p w14:paraId="57EFC998" w14:textId="77777777" w:rsidR="00EC060D" w:rsidRPr="00046858" w:rsidRDefault="00EC060D" w:rsidP="00730799">
            <w:pPr>
              <w:keepNext/>
              <w:spacing w:before="0" w:after="0"/>
              <w:jc w:val="center"/>
              <w:rPr>
                <w:rFonts w:eastAsia="Times New Roman"/>
                <w:noProof/>
                <w:color w:val="000000"/>
                <w:sz w:val="20"/>
                <w:szCs w:val="20"/>
              </w:rPr>
            </w:pPr>
            <w:r w:rsidRPr="00046858">
              <w:rPr>
                <w:noProof/>
                <w:color w:val="000000"/>
                <w:sz w:val="20"/>
              </w:rPr>
              <w:t>Anul</w:t>
            </w:r>
          </w:p>
        </w:tc>
        <w:tc>
          <w:tcPr>
            <w:tcW w:w="390" w:type="pct"/>
            <w:gridSpan w:val="3"/>
            <w:tcBorders>
              <w:top w:val="single" w:sz="8" w:space="0" w:color="auto"/>
              <w:left w:val="nil"/>
              <w:bottom w:val="nil"/>
              <w:right w:val="single" w:sz="8" w:space="0" w:color="auto"/>
            </w:tcBorders>
            <w:vAlign w:val="center"/>
            <w:hideMark/>
          </w:tcPr>
          <w:p w14:paraId="2515C023" w14:textId="77777777" w:rsidR="00EC060D" w:rsidRPr="00046858" w:rsidRDefault="00EC060D" w:rsidP="00730799">
            <w:pPr>
              <w:keepNext/>
              <w:spacing w:before="0" w:after="0"/>
              <w:jc w:val="center"/>
              <w:rPr>
                <w:rFonts w:eastAsia="Times New Roman"/>
                <w:noProof/>
                <w:color w:val="000000"/>
                <w:sz w:val="20"/>
                <w:szCs w:val="20"/>
              </w:rPr>
            </w:pPr>
            <w:r w:rsidRPr="00046858">
              <w:rPr>
                <w:noProof/>
                <w:color w:val="000000"/>
                <w:sz w:val="20"/>
              </w:rPr>
              <w:t>Anul</w:t>
            </w:r>
          </w:p>
        </w:tc>
        <w:tc>
          <w:tcPr>
            <w:tcW w:w="390" w:type="pct"/>
            <w:gridSpan w:val="3"/>
            <w:tcBorders>
              <w:top w:val="single" w:sz="8" w:space="0" w:color="auto"/>
              <w:left w:val="nil"/>
              <w:bottom w:val="nil"/>
              <w:right w:val="single" w:sz="8" w:space="0" w:color="auto"/>
            </w:tcBorders>
            <w:vAlign w:val="center"/>
            <w:hideMark/>
          </w:tcPr>
          <w:p w14:paraId="4E78B21D" w14:textId="77777777" w:rsidR="00EC060D" w:rsidRPr="00046858" w:rsidRDefault="00EC060D" w:rsidP="00730799">
            <w:pPr>
              <w:keepNext/>
              <w:spacing w:before="0" w:after="0"/>
              <w:jc w:val="center"/>
              <w:rPr>
                <w:rFonts w:eastAsia="Times New Roman"/>
                <w:noProof/>
                <w:color w:val="000000"/>
                <w:sz w:val="20"/>
                <w:szCs w:val="20"/>
              </w:rPr>
            </w:pPr>
            <w:r w:rsidRPr="00046858">
              <w:rPr>
                <w:noProof/>
                <w:color w:val="000000"/>
                <w:sz w:val="20"/>
              </w:rPr>
              <w:t>Anul</w:t>
            </w:r>
          </w:p>
        </w:tc>
        <w:tc>
          <w:tcPr>
            <w:tcW w:w="390" w:type="pct"/>
            <w:gridSpan w:val="3"/>
            <w:tcBorders>
              <w:top w:val="single" w:sz="8" w:space="0" w:color="auto"/>
              <w:left w:val="nil"/>
              <w:bottom w:val="nil"/>
              <w:right w:val="single" w:sz="8" w:space="0" w:color="auto"/>
            </w:tcBorders>
            <w:vAlign w:val="center"/>
            <w:hideMark/>
          </w:tcPr>
          <w:p w14:paraId="0755F39B" w14:textId="77777777" w:rsidR="00EC060D" w:rsidRPr="00046858" w:rsidRDefault="00EC060D" w:rsidP="00730799">
            <w:pPr>
              <w:keepNext/>
              <w:spacing w:before="0" w:after="0"/>
              <w:jc w:val="center"/>
              <w:rPr>
                <w:rFonts w:eastAsia="Times New Roman"/>
                <w:noProof/>
                <w:color w:val="000000"/>
                <w:sz w:val="20"/>
                <w:szCs w:val="20"/>
              </w:rPr>
            </w:pPr>
            <w:r w:rsidRPr="00046858">
              <w:rPr>
                <w:noProof/>
                <w:color w:val="000000"/>
                <w:sz w:val="20"/>
              </w:rPr>
              <w:t>Anul</w:t>
            </w:r>
          </w:p>
        </w:tc>
        <w:tc>
          <w:tcPr>
            <w:tcW w:w="390" w:type="pct"/>
            <w:gridSpan w:val="2"/>
            <w:tcBorders>
              <w:top w:val="single" w:sz="8" w:space="0" w:color="auto"/>
              <w:left w:val="nil"/>
              <w:bottom w:val="nil"/>
              <w:right w:val="single" w:sz="8" w:space="0" w:color="auto"/>
            </w:tcBorders>
            <w:vAlign w:val="center"/>
            <w:hideMark/>
          </w:tcPr>
          <w:p w14:paraId="076F3876" w14:textId="77777777" w:rsidR="00EC060D" w:rsidRPr="00046858" w:rsidRDefault="00EC060D" w:rsidP="00730799">
            <w:pPr>
              <w:keepNext/>
              <w:spacing w:before="0" w:after="0"/>
              <w:jc w:val="center"/>
              <w:rPr>
                <w:rFonts w:eastAsia="Times New Roman"/>
                <w:noProof/>
                <w:color w:val="000000"/>
                <w:sz w:val="20"/>
                <w:szCs w:val="20"/>
              </w:rPr>
            </w:pPr>
            <w:r w:rsidRPr="00046858">
              <w:rPr>
                <w:noProof/>
                <w:color w:val="000000"/>
                <w:sz w:val="20"/>
              </w:rPr>
              <w:t>Anul</w:t>
            </w:r>
          </w:p>
        </w:tc>
        <w:tc>
          <w:tcPr>
            <w:tcW w:w="390" w:type="pct"/>
            <w:gridSpan w:val="3"/>
            <w:tcBorders>
              <w:top w:val="single" w:sz="8" w:space="0" w:color="auto"/>
              <w:left w:val="nil"/>
              <w:bottom w:val="nil"/>
              <w:right w:val="single" w:sz="8" w:space="0" w:color="auto"/>
            </w:tcBorders>
            <w:vAlign w:val="center"/>
            <w:hideMark/>
          </w:tcPr>
          <w:p w14:paraId="50D5AE5B" w14:textId="77777777" w:rsidR="00EC060D" w:rsidRPr="00046858" w:rsidRDefault="00EC060D" w:rsidP="00730799">
            <w:pPr>
              <w:keepNext/>
              <w:spacing w:before="0" w:after="0"/>
              <w:jc w:val="center"/>
              <w:rPr>
                <w:rFonts w:eastAsia="Times New Roman"/>
                <w:noProof/>
                <w:color w:val="000000"/>
                <w:sz w:val="20"/>
                <w:szCs w:val="20"/>
              </w:rPr>
            </w:pPr>
            <w:r w:rsidRPr="00046858">
              <w:rPr>
                <w:noProof/>
                <w:color w:val="000000"/>
                <w:sz w:val="20"/>
              </w:rPr>
              <w:t>Anul</w:t>
            </w:r>
          </w:p>
        </w:tc>
        <w:tc>
          <w:tcPr>
            <w:tcW w:w="390" w:type="pct"/>
            <w:gridSpan w:val="2"/>
            <w:tcBorders>
              <w:top w:val="single" w:sz="8" w:space="0" w:color="auto"/>
              <w:left w:val="nil"/>
              <w:bottom w:val="nil"/>
              <w:right w:val="single" w:sz="8" w:space="0" w:color="auto"/>
            </w:tcBorders>
            <w:vAlign w:val="center"/>
            <w:hideMark/>
          </w:tcPr>
          <w:p w14:paraId="308EA856" w14:textId="77777777" w:rsidR="00EC060D" w:rsidRPr="00046858" w:rsidRDefault="00EC060D" w:rsidP="00730799">
            <w:pPr>
              <w:keepNext/>
              <w:spacing w:before="0" w:after="0"/>
              <w:jc w:val="center"/>
              <w:rPr>
                <w:rFonts w:eastAsia="Times New Roman"/>
                <w:noProof/>
                <w:color w:val="000000"/>
                <w:sz w:val="20"/>
                <w:szCs w:val="20"/>
              </w:rPr>
            </w:pPr>
            <w:r w:rsidRPr="00046858">
              <w:rPr>
                <w:noProof/>
                <w:color w:val="000000"/>
                <w:sz w:val="20"/>
              </w:rPr>
              <w:t>Anul</w:t>
            </w:r>
          </w:p>
        </w:tc>
        <w:tc>
          <w:tcPr>
            <w:tcW w:w="390" w:type="pct"/>
            <w:gridSpan w:val="2"/>
            <w:tcBorders>
              <w:top w:val="single" w:sz="8" w:space="0" w:color="auto"/>
              <w:left w:val="single" w:sz="8" w:space="0" w:color="auto"/>
              <w:right w:val="single" w:sz="8" w:space="0" w:color="auto"/>
            </w:tcBorders>
            <w:vAlign w:val="center"/>
          </w:tcPr>
          <w:p w14:paraId="6BDCA576" w14:textId="77777777" w:rsidR="00EC060D" w:rsidRPr="00046858" w:rsidRDefault="00EC060D" w:rsidP="00730799">
            <w:pPr>
              <w:keepNext/>
              <w:spacing w:before="0" w:after="0"/>
              <w:jc w:val="center"/>
              <w:rPr>
                <w:rFonts w:eastAsia="Times New Roman"/>
                <w:noProof/>
                <w:color w:val="000000"/>
                <w:sz w:val="20"/>
                <w:szCs w:val="20"/>
              </w:rPr>
            </w:pPr>
            <w:r w:rsidRPr="00046858">
              <w:rPr>
                <w:noProof/>
                <w:color w:val="000000"/>
                <w:sz w:val="20"/>
              </w:rPr>
              <w:t>După</w:t>
            </w:r>
          </w:p>
        </w:tc>
        <w:tc>
          <w:tcPr>
            <w:tcW w:w="368" w:type="pct"/>
            <w:vMerge w:val="restart"/>
            <w:tcBorders>
              <w:top w:val="single" w:sz="8" w:space="0" w:color="auto"/>
              <w:left w:val="single" w:sz="8" w:space="0" w:color="auto"/>
              <w:bottom w:val="single" w:sz="8" w:space="0" w:color="000000"/>
              <w:right w:val="single" w:sz="8" w:space="0" w:color="auto"/>
            </w:tcBorders>
            <w:vAlign w:val="center"/>
            <w:hideMark/>
          </w:tcPr>
          <w:p w14:paraId="0AC47EE1" w14:textId="77777777" w:rsidR="00EC060D" w:rsidRPr="00046858" w:rsidRDefault="00EC060D" w:rsidP="00730799">
            <w:pPr>
              <w:keepNext/>
              <w:spacing w:before="0" w:after="0"/>
              <w:jc w:val="center"/>
              <w:rPr>
                <w:rFonts w:eastAsia="Times New Roman"/>
                <w:b/>
                <w:bCs/>
                <w:noProof/>
                <w:color w:val="000000"/>
                <w:sz w:val="20"/>
                <w:szCs w:val="20"/>
              </w:rPr>
            </w:pPr>
            <w:r w:rsidRPr="00046858">
              <w:rPr>
                <w:b/>
                <w:noProof/>
                <w:color w:val="000000"/>
                <w:sz w:val="20"/>
              </w:rPr>
              <w:t>TOTAL CFM 2028-2034</w:t>
            </w:r>
          </w:p>
        </w:tc>
      </w:tr>
      <w:tr w:rsidR="00EC060D" w:rsidRPr="00046858" w14:paraId="58642689" w14:textId="77777777">
        <w:trPr>
          <w:trHeight w:val="300"/>
        </w:trPr>
        <w:tc>
          <w:tcPr>
            <w:tcW w:w="651" w:type="pct"/>
            <w:gridSpan w:val="2"/>
            <w:tcBorders>
              <w:top w:val="nil"/>
              <w:left w:val="nil"/>
              <w:bottom w:val="nil"/>
              <w:right w:val="nil"/>
            </w:tcBorders>
            <w:noWrap/>
            <w:vAlign w:val="bottom"/>
            <w:hideMark/>
          </w:tcPr>
          <w:p w14:paraId="67F84771" w14:textId="77777777" w:rsidR="00EC060D" w:rsidRPr="00046858" w:rsidRDefault="00EC060D" w:rsidP="00730799">
            <w:pPr>
              <w:spacing w:before="0" w:after="0"/>
              <w:jc w:val="center"/>
              <w:rPr>
                <w:rFonts w:eastAsia="Times New Roman"/>
                <w:b/>
                <w:bCs/>
                <w:noProof/>
                <w:color w:val="000000"/>
                <w:sz w:val="20"/>
                <w:szCs w:val="20"/>
                <w:lang w:eastAsia="en-IE"/>
              </w:rPr>
            </w:pPr>
          </w:p>
        </w:tc>
        <w:tc>
          <w:tcPr>
            <w:tcW w:w="497" w:type="pct"/>
            <w:gridSpan w:val="4"/>
            <w:tcBorders>
              <w:top w:val="nil"/>
              <w:left w:val="nil"/>
              <w:bottom w:val="nil"/>
              <w:right w:val="nil"/>
            </w:tcBorders>
            <w:noWrap/>
            <w:vAlign w:val="bottom"/>
            <w:hideMark/>
          </w:tcPr>
          <w:p w14:paraId="3AD9A220" w14:textId="77777777" w:rsidR="00EC060D" w:rsidRPr="00046858" w:rsidRDefault="00EC060D" w:rsidP="00730799">
            <w:pPr>
              <w:spacing w:before="0" w:after="0"/>
              <w:jc w:val="left"/>
              <w:rPr>
                <w:rFonts w:eastAsia="Times New Roman"/>
                <w:noProof/>
                <w:sz w:val="20"/>
                <w:szCs w:val="20"/>
                <w:lang w:eastAsia="en-IE"/>
              </w:rPr>
            </w:pPr>
          </w:p>
        </w:tc>
        <w:tc>
          <w:tcPr>
            <w:tcW w:w="364" w:type="pct"/>
            <w:gridSpan w:val="4"/>
            <w:tcBorders>
              <w:top w:val="nil"/>
              <w:left w:val="nil"/>
              <w:bottom w:val="nil"/>
              <w:right w:val="single" w:sz="8" w:space="0" w:color="auto"/>
            </w:tcBorders>
            <w:noWrap/>
            <w:vAlign w:val="bottom"/>
            <w:hideMark/>
          </w:tcPr>
          <w:p w14:paraId="4A2D8AEE" w14:textId="77777777" w:rsidR="00EC060D" w:rsidRPr="00046858" w:rsidRDefault="00EC060D" w:rsidP="00730799">
            <w:pPr>
              <w:spacing w:before="0" w:after="0"/>
              <w:jc w:val="left"/>
              <w:rPr>
                <w:rFonts w:ascii="Calibri" w:eastAsia="Times New Roman" w:hAnsi="Calibri" w:cs="Calibri"/>
                <w:noProof/>
                <w:color w:val="000000"/>
                <w:sz w:val="22"/>
              </w:rPr>
            </w:pPr>
            <w:r w:rsidRPr="00046858">
              <w:rPr>
                <w:rFonts w:ascii="Calibri" w:hAnsi="Calibri"/>
                <w:noProof/>
                <w:color w:val="000000"/>
                <w:sz w:val="22"/>
              </w:rPr>
              <w:t xml:space="preserve"> </w:t>
            </w:r>
          </w:p>
        </w:tc>
        <w:tc>
          <w:tcPr>
            <w:tcW w:w="390" w:type="pct"/>
            <w:gridSpan w:val="2"/>
            <w:tcBorders>
              <w:top w:val="nil"/>
              <w:left w:val="nil"/>
              <w:bottom w:val="single" w:sz="8" w:space="0" w:color="auto"/>
              <w:right w:val="single" w:sz="8" w:space="0" w:color="auto"/>
            </w:tcBorders>
            <w:vAlign w:val="center"/>
            <w:hideMark/>
          </w:tcPr>
          <w:p w14:paraId="5037961D" w14:textId="77777777" w:rsidR="00EC060D" w:rsidRPr="00046858" w:rsidRDefault="00EC060D" w:rsidP="00730799">
            <w:pPr>
              <w:spacing w:before="0" w:after="0"/>
              <w:jc w:val="center"/>
              <w:rPr>
                <w:rFonts w:eastAsia="Times New Roman"/>
                <w:b/>
                <w:bCs/>
                <w:noProof/>
                <w:color w:val="000000"/>
                <w:sz w:val="20"/>
                <w:szCs w:val="20"/>
              </w:rPr>
            </w:pPr>
            <w:r w:rsidRPr="00046858">
              <w:rPr>
                <w:b/>
                <w:noProof/>
                <w:color w:val="000000"/>
                <w:sz w:val="20"/>
              </w:rPr>
              <w:t>2028</w:t>
            </w:r>
          </w:p>
        </w:tc>
        <w:tc>
          <w:tcPr>
            <w:tcW w:w="390" w:type="pct"/>
            <w:gridSpan w:val="3"/>
            <w:tcBorders>
              <w:top w:val="nil"/>
              <w:left w:val="nil"/>
              <w:bottom w:val="single" w:sz="8" w:space="0" w:color="auto"/>
              <w:right w:val="single" w:sz="8" w:space="0" w:color="auto"/>
            </w:tcBorders>
            <w:vAlign w:val="center"/>
            <w:hideMark/>
          </w:tcPr>
          <w:p w14:paraId="7F86C593" w14:textId="77777777" w:rsidR="00EC060D" w:rsidRPr="00046858" w:rsidRDefault="00EC060D" w:rsidP="00730799">
            <w:pPr>
              <w:spacing w:before="0" w:after="0"/>
              <w:jc w:val="center"/>
              <w:rPr>
                <w:rFonts w:eastAsia="Times New Roman"/>
                <w:b/>
                <w:bCs/>
                <w:noProof/>
                <w:color w:val="000000"/>
                <w:sz w:val="20"/>
                <w:szCs w:val="20"/>
              </w:rPr>
            </w:pPr>
            <w:r w:rsidRPr="00046858">
              <w:rPr>
                <w:b/>
                <w:noProof/>
                <w:color w:val="000000"/>
                <w:sz w:val="20"/>
              </w:rPr>
              <w:t>2029</w:t>
            </w:r>
          </w:p>
        </w:tc>
        <w:tc>
          <w:tcPr>
            <w:tcW w:w="390" w:type="pct"/>
            <w:gridSpan w:val="3"/>
            <w:tcBorders>
              <w:top w:val="nil"/>
              <w:left w:val="nil"/>
              <w:bottom w:val="single" w:sz="8" w:space="0" w:color="auto"/>
              <w:right w:val="single" w:sz="8" w:space="0" w:color="auto"/>
            </w:tcBorders>
            <w:vAlign w:val="center"/>
            <w:hideMark/>
          </w:tcPr>
          <w:p w14:paraId="70569FF2" w14:textId="77777777" w:rsidR="00EC060D" w:rsidRPr="00046858" w:rsidRDefault="00EC060D" w:rsidP="00730799">
            <w:pPr>
              <w:spacing w:before="0" w:after="0"/>
              <w:jc w:val="center"/>
              <w:rPr>
                <w:rFonts w:eastAsia="Times New Roman"/>
                <w:b/>
                <w:bCs/>
                <w:noProof/>
                <w:color w:val="000000"/>
                <w:sz w:val="20"/>
                <w:szCs w:val="20"/>
              </w:rPr>
            </w:pPr>
            <w:r w:rsidRPr="00046858">
              <w:rPr>
                <w:b/>
                <w:noProof/>
                <w:color w:val="000000"/>
                <w:sz w:val="20"/>
              </w:rPr>
              <w:t>2030</w:t>
            </w:r>
          </w:p>
        </w:tc>
        <w:tc>
          <w:tcPr>
            <w:tcW w:w="390" w:type="pct"/>
            <w:gridSpan w:val="3"/>
            <w:tcBorders>
              <w:top w:val="nil"/>
              <w:left w:val="nil"/>
              <w:bottom w:val="single" w:sz="8" w:space="0" w:color="auto"/>
              <w:right w:val="single" w:sz="8" w:space="0" w:color="auto"/>
            </w:tcBorders>
            <w:vAlign w:val="center"/>
            <w:hideMark/>
          </w:tcPr>
          <w:p w14:paraId="4642F762" w14:textId="77777777" w:rsidR="00EC060D" w:rsidRPr="00046858" w:rsidRDefault="00EC060D" w:rsidP="00730799">
            <w:pPr>
              <w:spacing w:before="0" w:after="0"/>
              <w:jc w:val="center"/>
              <w:rPr>
                <w:rFonts w:eastAsia="Times New Roman"/>
                <w:b/>
                <w:bCs/>
                <w:noProof/>
                <w:color w:val="000000"/>
                <w:sz w:val="20"/>
                <w:szCs w:val="20"/>
              </w:rPr>
            </w:pPr>
            <w:r w:rsidRPr="00046858">
              <w:rPr>
                <w:b/>
                <w:noProof/>
                <w:color w:val="000000"/>
                <w:sz w:val="20"/>
              </w:rPr>
              <w:t>2031</w:t>
            </w:r>
          </w:p>
        </w:tc>
        <w:tc>
          <w:tcPr>
            <w:tcW w:w="390" w:type="pct"/>
            <w:gridSpan w:val="2"/>
            <w:tcBorders>
              <w:top w:val="nil"/>
              <w:left w:val="nil"/>
              <w:bottom w:val="single" w:sz="8" w:space="0" w:color="auto"/>
              <w:right w:val="single" w:sz="8" w:space="0" w:color="auto"/>
            </w:tcBorders>
            <w:vAlign w:val="center"/>
            <w:hideMark/>
          </w:tcPr>
          <w:p w14:paraId="121936CF" w14:textId="77777777" w:rsidR="00EC060D" w:rsidRPr="00046858" w:rsidRDefault="00EC060D" w:rsidP="00730799">
            <w:pPr>
              <w:spacing w:before="0" w:after="0"/>
              <w:jc w:val="center"/>
              <w:rPr>
                <w:rFonts w:eastAsia="Times New Roman"/>
                <w:b/>
                <w:bCs/>
                <w:noProof/>
                <w:color w:val="000000"/>
                <w:sz w:val="20"/>
                <w:szCs w:val="20"/>
              </w:rPr>
            </w:pPr>
            <w:r w:rsidRPr="00046858">
              <w:rPr>
                <w:b/>
                <w:noProof/>
                <w:color w:val="000000"/>
                <w:sz w:val="20"/>
              </w:rPr>
              <w:t>2032</w:t>
            </w:r>
          </w:p>
        </w:tc>
        <w:tc>
          <w:tcPr>
            <w:tcW w:w="390" w:type="pct"/>
            <w:gridSpan w:val="3"/>
            <w:tcBorders>
              <w:top w:val="nil"/>
              <w:left w:val="nil"/>
              <w:bottom w:val="single" w:sz="8" w:space="0" w:color="auto"/>
              <w:right w:val="single" w:sz="8" w:space="0" w:color="auto"/>
            </w:tcBorders>
            <w:vAlign w:val="center"/>
            <w:hideMark/>
          </w:tcPr>
          <w:p w14:paraId="6C584C42" w14:textId="77777777" w:rsidR="00EC060D" w:rsidRPr="00046858" w:rsidRDefault="00EC060D" w:rsidP="00730799">
            <w:pPr>
              <w:spacing w:before="0" w:after="0"/>
              <w:jc w:val="center"/>
              <w:rPr>
                <w:rFonts w:eastAsia="Times New Roman"/>
                <w:b/>
                <w:bCs/>
                <w:noProof/>
                <w:color w:val="000000"/>
                <w:sz w:val="20"/>
                <w:szCs w:val="20"/>
              </w:rPr>
            </w:pPr>
            <w:r w:rsidRPr="00046858">
              <w:rPr>
                <w:b/>
                <w:noProof/>
                <w:color w:val="000000"/>
                <w:sz w:val="20"/>
              </w:rPr>
              <w:t>2033</w:t>
            </w:r>
          </w:p>
        </w:tc>
        <w:tc>
          <w:tcPr>
            <w:tcW w:w="390" w:type="pct"/>
            <w:gridSpan w:val="2"/>
            <w:tcBorders>
              <w:top w:val="nil"/>
              <w:left w:val="nil"/>
              <w:bottom w:val="single" w:sz="8" w:space="0" w:color="auto"/>
              <w:right w:val="single" w:sz="8" w:space="0" w:color="auto"/>
            </w:tcBorders>
            <w:vAlign w:val="center"/>
            <w:hideMark/>
          </w:tcPr>
          <w:p w14:paraId="12726E80" w14:textId="77777777" w:rsidR="00EC060D" w:rsidRPr="00046858" w:rsidRDefault="00EC060D" w:rsidP="00730799">
            <w:pPr>
              <w:spacing w:before="0" w:after="0"/>
              <w:jc w:val="center"/>
              <w:rPr>
                <w:rFonts w:eastAsia="Times New Roman"/>
                <w:b/>
                <w:bCs/>
                <w:noProof/>
                <w:color w:val="000000"/>
                <w:sz w:val="20"/>
                <w:szCs w:val="20"/>
              </w:rPr>
            </w:pPr>
            <w:r w:rsidRPr="00046858">
              <w:rPr>
                <w:b/>
                <w:noProof/>
                <w:color w:val="000000"/>
                <w:sz w:val="20"/>
              </w:rPr>
              <w:t>2034</w:t>
            </w:r>
          </w:p>
        </w:tc>
        <w:tc>
          <w:tcPr>
            <w:tcW w:w="390" w:type="pct"/>
            <w:gridSpan w:val="2"/>
            <w:tcBorders>
              <w:left w:val="single" w:sz="8" w:space="0" w:color="auto"/>
              <w:bottom w:val="single" w:sz="8" w:space="0" w:color="000000"/>
              <w:right w:val="single" w:sz="8" w:space="0" w:color="auto"/>
            </w:tcBorders>
            <w:vAlign w:val="center"/>
          </w:tcPr>
          <w:p w14:paraId="4B05D4FA" w14:textId="77777777" w:rsidR="00EC060D" w:rsidRPr="00046858" w:rsidRDefault="00EC060D" w:rsidP="00730799">
            <w:pPr>
              <w:spacing w:before="0" w:after="0"/>
              <w:jc w:val="center"/>
              <w:rPr>
                <w:rFonts w:eastAsia="Times New Roman"/>
                <w:b/>
                <w:bCs/>
                <w:noProof/>
                <w:color w:val="000000"/>
                <w:sz w:val="20"/>
                <w:szCs w:val="20"/>
              </w:rPr>
            </w:pPr>
            <w:r w:rsidRPr="00046858">
              <w:rPr>
                <w:b/>
                <w:noProof/>
                <w:color w:val="000000"/>
                <w:sz w:val="20"/>
              </w:rPr>
              <w:t>2034</w:t>
            </w:r>
          </w:p>
        </w:tc>
        <w:tc>
          <w:tcPr>
            <w:tcW w:w="368" w:type="pct"/>
            <w:vMerge/>
            <w:tcBorders>
              <w:top w:val="single" w:sz="8" w:space="0" w:color="auto"/>
              <w:left w:val="single" w:sz="8" w:space="0" w:color="auto"/>
              <w:bottom w:val="single" w:sz="8" w:space="0" w:color="000000"/>
              <w:right w:val="single" w:sz="8" w:space="0" w:color="auto"/>
            </w:tcBorders>
            <w:vAlign w:val="center"/>
            <w:hideMark/>
          </w:tcPr>
          <w:p w14:paraId="39C868AA" w14:textId="77777777" w:rsidR="00EC060D" w:rsidRPr="00046858" w:rsidRDefault="00EC060D" w:rsidP="00730799">
            <w:pPr>
              <w:spacing w:before="0" w:after="0"/>
              <w:jc w:val="left"/>
              <w:rPr>
                <w:rFonts w:eastAsia="Times New Roman"/>
                <w:b/>
                <w:bCs/>
                <w:noProof/>
                <w:color w:val="000000"/>
                <w:sz w:val="20"/>
                <w:szCs w:val="20"/>
                <w:lang w:eastAsia="en-IE"/>
              </w:rPr>
            </w:pPr>
          </w:p>
        </w:tc>
      </w:tr>
      <w:tr w:rsidR="00EC060D" w:rsidRPr="00046858" w14:paraId="581EC322" w14:textId="77777777">
        <w:trPr>
          <w:trHeight w:val="617"/>
        </w:trPr>
        <w:tc>
          <w:tcPr>
            <w:tcW w:w="651" w:type="pct"/>
            <w:gridSpan w:val="2"/>
            <w:vMerge w:val="restart"/>
            <w:tcBorders>
              <w:top w:val="single" w:sz="8" w:space="0" w:color="auto"/>
              <w:left w:val="single" w:sz="8" w:space="0" w:color="auto"/>
              <w:bottom w:val="single" w:sz="8" w:space="0" w:color="000000"/>
              <w:right w:val="single" w:sz="8" w:space="0" w:color="auto"/>
            </w:tcBorders>
            <w:vAlign w:val="center"/>
            <w:hideMark/>
          </w:tcPr>
          <w:p w14:paraId="15273B60" w14:textId="77777777" w:rsidR="00EC060D" w:rsidRPr="00046858" w:rsidRDefault="00EC060D" w:rsidP="00730799">
            <w:pPr>
              <w:spacing w:before="0" w:after="0"/>
              <w:rPr>
                <w:rFonts w:ascii="Calibri" w:eastAsia="Times New Roman" w:hAnsi="Calibri" w:cs="Calibri"/>
                <w:noProof/>
                <w:color w:val="000000"/>
                <w:sz w:val="21"/>
                <w:szCs w:val="21"/>
              </w:rPr>
            </w:pPr>
            <w:r w:rsidRPr="00046858">
              <w:rPr>
                <w:rFonts w:ascii="Calibri" w:hAnsi="Calibri"/>
                <w:noProof/>
                <w:color w:val="000000"/>
                <w:sz w:val="21"/>
              </w:rPr>
              <w:t xml:space="preserve">• </w:t>
            </w:r>
            <w:r w:rsidRPr="00046858">
              <w:rPr>
                <w:noProof/>
                <w:color w:val="000000"/>
                <w:sz w:val="21"/>
              </w:rPr>
              <w:t>TOTAL credite operaționale (toate rubricile operaționale)</w:t>
            </w:r>
          </w:p>
        </w:tc>
        <w:tc>
          <w:tcPr>
            <w:tcW w:w="497" w:type="pct"/>
            <w:gridSpan w:val="4"/>
            <w:tcBorders>
              <w:top w:val="single" w:sz="8" w:space="0" w:color="auto"/>
              <w:left w:val="nil"/>
              <w:bottom w:val="single" w:sz="8" w:space="0" w:color="auto"/>
              <w:right w:val="single" w:sz="8" w:space="0" w:color="auto"/>
            </w:tcBorders>
            <w:vAlign w:val="center"/>
            <w:hideMark/>
          </w:tcPr>
          <w:p w14:paraId="1D1D910B" w14:textId="77777777" w:rsidR="00EC060D" w:rsidRPr="00046858" w:rsidRDefault="00EC060D" w:rsidP="00730799">
            <w:pPr>
              <w:spacing w:before="0" w:after="0"/>
              <w:rPr>
                <w:rFonts w:eastAsia="Times New Roman"/>
                <w:noProof/>
                <w:color w:val="000000"/>
                <w:sz w:val="18"/>
                <w:szCs w:val="18"/>
              </w:rPr>
            </w:pPr>
            <w:r w:rsidRPr="00046858">
              <w:rPr>
                <w:noProof/>
                <w:color w:val="000000"/>
                <w:sz w:val="18"/>
              </w:rPr>
              <w:t>Angajamente</w:t>
            </w:r>
          </w:p>
        </w:tc>
        <w:tc>
          <w:tcPr>
            <w:tcW w:w="364" w:type="pct"/>
            <w:gridSpan w:val="4"/>
            <w:tcBorders>
              <w:top w:val="single" w:sz="8" w:space="0" w:color="auto"/>
              <w:left w:val="nil"/>
              <w:bottom w:val="single" w:sz="8" w:space="0" w:color="auto"/>
              <w:right w:val="single" w:sz="8" w:space="0" w:color="000000"/>
            </w:tcBorders>
            <w:vAlign w:val="center"/>
            <w:hideMark/>
          </w:tcPr>
          <w:p w14:paraId="12520B32" w14:textId="77777777" w:rsidR="00EC060D" w:rsidRPr="00046858" w:rsidRDefault="00EC060D" w:rsidP="00730799">
            <w:pPr>
              <w:spacing w:before="0" w:after="0"/>
              <w:jc w:val="center"/>
              <w:rPr>
                <w:rFonts w:eastAsia="Times New Roman"/>
                <w:noProof/>
                <w:color w:val="000000"/>
                <w:sz w:val="14"/>
                <w:szCs w:val="14"/>
              </w:rPr>
            </w:pPr>
            <w:r w:rsidRPr="00046858">
              <w:rPr>
                <w:noProof/>
                <w:color w:val="000000"/>
                <w:sz w:val="14"/>
              </w:rPr>
              <w:t>(4)</w:t>
            </w:r>
          </w:p>
        </w:tc>
        <w:tc>
          <w:tcPr>
            <w:tcW w:w="390" w:type="pct"/>
            <w:gridSpan w:val="2"/>
            <w:tcBorders>
              <w:top w:val="nil"/>
              <w:left w:val="nil"/>
              <w:bottom w:val="single" w:sz="8" w:space="0" w:color="auto"/>
              <w:right w:val="single" w:sz="8" w:space="0" w:color="auto"/>
            </w:tcBorders>
            <w:shd w:val="clear" w:color="000000" w:fill="D9D9D9"/>
            <w:vAlign w:val="center"/>
            <w:hideMark/>
          </w:tcPr>
          <w:p w14:paraId="7084397B" w14:textId="77777777" w:rsidR="00EC060D" w:rsidRPr="00046858" w:rsidRDefault="00EC060D" w:rsidP="00730799">
            <w:pPr>
              <w:spacing w:before="0" w:after="0"/>
              <w:jc w:val="right"/>
              <w:rPr>
                <w:rFonts w:eastAsia="Times New Roman"/>
                <w:noProof/>
                <w:color w:val="000000"/>
                <w:sz w:val="20"/>
                <w:szCs w:val="20"/>
              </w:rPr>
            </w:pPr>
            <w:r w:rsidRPr="00046858">
              <w:rPr>
                <w:noProof/>
                <w:sz w:val="20"/>
              </w:rPr>
              <w:t>30,000</w:t>
            </w:r>
          </w:p>
        </w:tc>
        <w:tc>
          <w:tcPr>
            <w:tcW w:w="390" w:type="pct"/>
            <w:gridSpan w:val="3"/>
            <w:tcBorders>
              <w:top w:val="nil"/>
              <w:left w:val="nil"/>
              <w:bottom w:val="single" w:sz="8" w:space="0" w:color="auto"/>
              <w:right w:val="single" w:sz="8" w:space="0" w:color="auto"/>
            </w:tcBorders>
            <w:shd w:val="clear" w:color="000000" w:fill="D9D9D9"/>
            <w:vAlign w:val="center"/>
            <w:hideMark/>
          </w:tcPr>
          <w:p w14:paraId="1B9E05FE" w14:textId="77777777" w:rsidR="00EC060D" w:rsidRPr="00046858" w:rsidRDefault="00EC060D" w:rsidP="00730799">
            <w:pPr>
              <w:spacing w:before="0" w:after="0"/>
              <w:jc w:val="right"/>
              <w:rPr>
                <w:rFonts w:eastAsia="Times New Roman"/>
                <w:noProof/>
                <w:color w:val="000000"/>
                <w:sz w:val="20"/>
                <w:szCs w:val="20"/>
              </w:rPr>
            </w:pPr>
            <w:r w:rsidRPr="00046858">
              <w:rPr>
                <w:noProof/>
                <w:sz w:val="20"/>
              </w:rPr>
              <w:t>0,000</w:t>
            </w:r>
          </w:p>
        </w:tc>
        <w:tc>
          <w:tcPr>
            <w:tcW w:w="390" w:type="pct"/>
            <w:gridSpan w:val="3"/>
            <w:tcBorders>
              <w:top w:val="nil"/>
              <w:left w:val="nil"/>
              <w:bottom w:val="single" w:sz="8" w:space="0" w:color="auto"/>
              <w:right w:val="single" w:sz="8" w:space="0" w:color="auto"/>
            </w:tcBorders>
            <w:shd w:val="clear" w:color="000000" w:fill="D9D9D9"/>
            <w:vAlign w:val="center"/>
            <w:hideMark/>
          </w:tcPr>
          <w:p w14:paraId="1858A0BE" w14:textId="77777777" w:rsidR="00EC060D" w:rsidRPr="00046858" w:rsidRDefault="00EC060D" w:rsidP="00730799">
            <w:pPr>
              <w:spacing w:before="0" w:after="0"/>
              <w:jc w:val="right"/>
              <w:rPr>
                <w:rFonts w:eastAsia="Times New Roman"/>
                <w:noProof/>
                <w:color w:val="000000"/>
                <w:sz w:val="20"/>
                <w:szCs w:val="20"/>
              </w:rPr>
            </w:pPr>
            <w:r w:rsidRPr="00046858">
              <w:rPr>
                <w:noProof/>
                <w:sz w:val="20"/>
              </w:rPr>
              <w:t>20,000</w:t>
            </w:r>
          </w:p>
        </w:tc>
        <w:tc>
          <w:tcPr>
            <w:tcW w:w="390" w:type="pct"/>
            <w:gridSpan w:val="3"/>
            <w:tcBorders>
              <w:top w:val="nil"/>
              <w:left w:val="nil"/>
              <w:bottom w:val="single" w:sz="8" w:space="0" w:color="auto"/>
              <w:right w:val="single" w:sz="8" w:space="0" w:color="auto"/>
            </w:tcBorders>
            <w:shd w:val="clear" w:color="000000" w:fill="D9D9D9"/>
            <w:vAlign w:val="center"/>
            <w:hideMark/>
          </w:tcPr>
          <w:p w14:paraId="1B1B46BB" w14:textId="77777777" w:rsidR="00EC060D" w:rsidRPr="00046858" w:rsidRDefault="00EC060D" w:rsidP="00730799">
            <w:pPr>
              <w:spacing w:before="0" w:after="0"/>
              <w:jc w:val="right"/>
              <w:rPr>
                <w:rFonts w:eastAsia="Times New Roman"/>
                <w:noProof/>
                <w:color w:val="000000"/>
                <w:sz w:val="20"/>
                <w:szCs w:val="20"/>
              </w:rPr>
            </w:pPr>
            <w:r w:rsidRPr="00046858">
              <w:rPr>
                <w:noProof/>
                <w:sz w:val="20"/>
              </w:rPr>
              <w:t>0,000</w:t>
            </w:r>
          </w:p>
        </w:tc>
        <w:tc>
          <w:tcPr>
            <w:tcW w:w="390" w:type="pct"/>
            <w:gridSpan w:val="2"/>
            <w:tcBorders>
              <w:top w:val="nil"/>
              <w:left w:val="nil"/>
              <w:bottom w:val="single" w:sz="8" w:space="0" w:color="auto"/>
              <w:right w:val="single" w:sz="8" w:space="0" w:color="auto"/>
            </w:tcBorders>
            <w:shd w:val="clear" w:color="000000" w:fill="D9D9D9"/>
            <w:vAlign w:val="center"/>
            <w:hideMark/>
          </w:tcPr>
          <w:p w14:paraId="00754622" w14:textId="77777777" w:rsidR="00EC060D" w:rsidRPr="00046858" w:rsidRDefault="00EC060D" w:rsidP="00730799">
            <w:pPr>
              <w:spacing w:before="0" w:after="0"/>
              <w:jc w:val="right"/>
              <w:rPr>
                <w:rFonts w:eastAsia="Times New Roman"/>
                <w:noProof/>
                <w:color w:val="000000"/>
                <w:sz w:val="20"/>
                <w:szCs w:val="20"/>
              </w:rPr>
            </w:pPr>
            <w:r w:rsidRPr="00046858">
              <w:rPr>
                <w:noProof/>
                <w:sz w:val="20"/>
              </w:rPr>
              <w:t>10,000</w:t>
            </w:r>
          </w:p>
        </w:tc>
        <w:tc>
          <w:tcPr>
            <w:tcW w:w="390" w:type="pct"/>
            <w:gridSpan w:val="3"/>
            <w:tcBorders>
              <w:top w:val="nil"/>
              <w:left w:val="nil"/>
              <w:bottom w:val="single" w:sz="8" w:space="0" w:color="auto"/>
              <w:right w:val="single" w:sz="8" w:space="0" w:color="auto"/>
            </w:tcBorders>
            <w:shd w:val="clear" w:color="000000" w:fill="D9D9D9"/>
            <w:vAlign w:val="center"/>
            <w:hideMark/>
          </w:tcPr>
          <w:p w14:paraId="2E1043CB" w14:textId="77777777" w:rsidR="00EC060D" w:rsidRPr="00046858" w:rsidRDefault="00EC060D" w:rsidP="00730799">
            <w:pPr>
              <w:spacing w:before="0" w:after="0"/>
              <w:jc w:val="right"/>
              <w:rPr>
                <w:rFonts w:eastAsia="Times New Roman"/>
                <w:noProof/>
                <w:color w:val="000000"/>
                <w:sz w:val="20"/>
                <w:szCs w:val="20"/>
              </w:rPr>
            </w:pPr>
            <w:r w:rsidRPr="00046858">
              <w:rPr>
                <w:noProof/>
                <w:sz w:val="20"/>
              </w:rPr>
              <w:t>0,000</w:t>
            </w:r>
          </w:p>
        </w:tc>
        <w:tc>
          <w:tcPr>
            <w:tcW w:w="390" w:type="pct"/>
            <w:gridSpan w:val="2"/>
            <w:tcBorders>
              <w:top w:val="nil"/>
              <w:left w:val="nil"/>
              <w:bottom w:val="single" w:sz="8" w:space="0" w:color="auto"/>
              <w:right w:val="single" w:sz="8" w:space="0" w:color="auto"/>
            </w:tcBorders>
            <w:shd w:val="clear" w:color="000000" w:fill="D9D9D9"/>
            <w:vAlign w:val="center"/>
            <w:hideMark/>
          </w:tcPr>
          <w:p w14:paraId="41059A7D" w14:textId="77777777" w:rsidR="00EC060D" w:rsidRPr="00046858" w:rsidRDefault="00EC060D" w:rsidP="00730799">
            <w:pPr>
              <w:spacing w:before="0" w:after="0"/>
              <w:jc w:val="right"/>
              <w:rPr>
                <w:rFonts w:eastAsia="Times New Roman"/>
                <w:noProof/>
                <w:color w:val="000000"/>
                <w:sz w:val="20"/>
                <w:szCs w:val="20"/>
              </w:rPr>
            </w:pPr>
            <w:r w:rsidRPr="00046858">
              <w:rPr>
                <w:noProof/>
                <w:sz w:val="20"/>
              </w:rPr>
              <w:t>10,000</w:t>
            </w:r>
          </w:p>
        </w:tc>
        <w:tc>
          <w:tcPr>
            <w:tcW w:w="390" w:type="pct"/>
            <w:gridSpan w:val="2"/>
            <w:tcBorders>
              <w:top w:val="nil"/>
              <w:left w:val="nil"/>
              <w:bottom w:val="single" w:sz="8" w:space="0" w:color="auto"/>
              <w:right w:val="single" w:sz="4" w:space="0" w:color="auto"/>
            </w:tcBorders>
            <w:shd w:val="clear" w:color="000000" w:fill="D9D9D9"/>
            <w:vAlign w:val="center"/>
          </w:tcPr>
          <w:p w14:paraId="0F04874A" w14:textId="77777777" w:rsidR="00EC060D" w:rsidRPr="00046858" w:rsidRDefault="00EC060D" w:rsidP="00730799">
            <w:pPr>
              <w:spacing w:before="0" w:after="0"/>
              <w:jc w:val="right"/>
              <w:rPr>
                <w:rFonts w:eastAsia="Times New Roman"/>
                <w:b/>
                <w:noProof/>
                <w:color w:val="000000"/>
                <w:sz w:val="20"/>
                <w:szCs w:val="20"/>
              </w:rPr>
            </w:pPr>
            <w:r w:rsidRPr="00046858">
              <w:rPr>
                <w:noProof/>
                <w:sz w:val="20"/>
              </w:rPr>
              <w:t>0,000</w:t>
            </w:r>
          </w:p>
        </w:tc>
        <w:tc>
          <w:tcPr>
            <w:tcW w:w="368" w:type="pct"/>
            <w:tcBorders>
              <w:top w:val="single" w:sz="8" w:space="0" w:color="000000"/>
              <w:left w:val="single" w:sz="4" w:space="0" w:color="auto"/>
              <w:bottom w:val="single" w:sz="8" w:space="0" w:color="000000"/>
              <w:right w:val="single" w:sz="8" w:space="0" w:color="auto"/>
            </w:tcBorders>
            <w:shd w:val="clear" w:color="000000" w:fill="D9D9D9"/>
            <w:vAlign w:val="center"/>
            <w:hideMark/>
          </w:tcPr>
          <w:p w14:paraId="3BC6E3D2" w14:textId="77777777" w:rsidR="00EC060D" w:rsidRPr="00046858" w:rsidRDefault="00EC060D" w:rsidP="00730799">
            <w:pPr>
              <w:spacing w:before="0" w:after="0"/>
              <w:jc w:val="right"/>
              <w:rPr>
                <w:rFonts w:eastAsia="Times New Roman"/>
                <w:b/>
                <w:noProof/>
                <w:color w:val="000000"/>
                <w:sz w:val="20"/>
                <w:szCs w:val="20"/>
              </w:rPr>
            </w:pPr>
            <w:r w:rsidRPr="00046858">
              <w:rPr>
                <w:b/>
                <w:noProof/>
                <w:sz w:val="20"/>
              </w:rPr>
              <w:t>70,000</w:t>
            </w:r>
          </w:p>
        </w:tc>
      </w:tr>
      <w:tr w:rsidR="00EC060D" w:rsidRPr="00046858" w14:paraId="2566AD6E" w14:textId="77777777">
        <w:trPr>
          <w:trHeight w:val="300"/>
        </w:trPr>
        <w:tc>
          <w:tcPr>
            <w:tcW w:w="651" w:type="pct"/>
            <w:gridSpan w:val="2"/>
            <w:vMerge/>
            <w:tcBorders>
              <w:top w:val="single" w:sz="8" w:space="0" w:color="auto"/>
              <w:left w:val="single" w:sz="8" w:space="0" w:color="auto"/>
              <w:bottom w:val="single" w:sz="8" w:space="0" w:color="000000"/>
              <w:right w:val="single" w:sz="8" w:space="0" w:color="auto"/>
            </w:tcBorders>
            <w:vAlign w:val="center"/>
            <w:hideMark/>
          </w:tcPr>
          <w:p w14:paraId="2F30D302" w14:textId="77777777" w:rsidR="00EC060D" w:rsidRPr="00046858" w:rsidRDefault="00EC060D" w:rsidP="00730799">
            <w:pPr>
              <w:spacing w:before="0" w:after="0"/>
              <w:jc w:val="left"/>
              <w:rPr>
                <w:rFonts w:ascii="Calibri" w:eastAsia="Times New Roman" w:hAnsi="Calibri" w:cs="Calibri"/>
                <w:noProof/>
                <w:color w:val="000000"/>
                <w:sz w:val="21"/>
                <w:szCs w:val="21"/>
                <w:lang w:eastAsia="en-IE"/>
              </w:rPr>
            </w:pPr>
          </w:p>
        </w:tc>
        <w:tc>
          <w:tcPr>
            <w:tcW w:w="497" w:type="pct"/>
            <w:gridSpan w:val="4"/>
            <w:tcBorders>
              <w:top w:val="nil"/>
              <w:left w:val="nil"/>
              <w:bottom w:val="single" w:sz="8" w:space="0" w:color="auto"/>
              <w:right w:val="single" w:sz="8" w:space="0" w:color="auto"/>
            </w:tcBorders>
            <w:vAlign w:val="center"/>
            <w:hideMark/>
          </w:tcPr>
          <w:p w14:paraId="7F1BBD87" w14:textId="77777777" w:rsidR="00EC060D" w:rsidRPr="00046858" w:rsidRDefault="00EC060D" w:rsidP="00730799">
            <w:pPr>
              <w:spacing w:before="0" w:after="0"/>
              <w:rPr>
                <w:rFonts w:eastAsia="Times New Roman"/>
                <w:noProof/>
                <w:color w:val="000000"/>
                <w:sz w:val="18"/>
                <w:szCs w:val="18"/>
              </w:rPr>
            </w:pPr>
            <w:r w:rsidRPr="00046858">
              <w:rPr>
                <w:noProof/>
                <w:color w:val="000000"/>
                <w:sz w:val="18"/>
              </w:rPr>
              <w:t>Plăți</w:t>
            </w:r>
          </w:p>
        </w:tc>
        <w:tc>
          <w:tcPr>
            <w:tcW w:w="364" w:type="pct"/>
            <w:gridSpan w:val="4"/>
            <w:tcBorders>
              <w:top w:val="single" w:sz="8" w:space="0" w:color="auto"/>
              <w:left w:val="nil"/>
              <w:bottom w:val="single" w:sz="8" w:space="0" w:color="auto"/>
              <w:right w:val="single" w:sz="8" w:space="0" w:color="000000"/>
            </w:tcBorders>
            <w:vAlign w:val="center"/>
            <w:hideMark/>
          </w:tcPr>
          <w:p w14:paraId="6642E105" w14:textId="77777777" w:rsidR="00EC060D" w:rsidRPr="00046858" w:rsidRDefault="00EC060D" w:rsidP="00730799">
            <w:pPr>
              <w:spacing w:before="0" w:after="0"/>
              <w:jc w:val="center"/>
              <w:rPr>
                <w:rFonts w:eastAsia="Times New Roman"/>
                <w:noProof/>
                <w:color w:val="000000"/>
                <w:sz w:val="14"/>
                <w:szCs w:val="14"/>
              </w:rPr>
            </w:pPr>
            <w:r w:rsidRPr="00046858">
              <w:rPr>
                <w:noProof/>
                <w:color w:val="000000"/>
                <w:sz w:val="14"/>
              </w:rPr>
              <w:t>(5)</w:t>
            </w:r>
          </w:p>
        </w:tc>
        <w:tc>
          <w:tcPr>
            <w:tcW w:w="390" w:type="pct"/>
            <w:gridSpan w:val="2"/>
            <w:tcBorders>
              <w:top w:val="nil"/>
              <w:left w:val="nil"/>
              <w:bottom w:val="single" w:sz="8" w:space="0" w:color="auto"/>
              <w:right w:val="single" w:sz="8" w:space="0" w:color="auto"/>
            </w:tcBorders>
            <w:shd w:val="clear" w:color="000000" w:fill="D9D9D9"/>
            <w:vAlign w:val="center"/>
            <w:hideMark/>
          </w:tcPr>
          <w:p w14:paraId="2EBF7C1F" w14:textId="77777777" w:rsidR="00EC060D" w:rsidRPr="00046858" w:rsidRDefault="00EC060D" w:rsidP="00730799">
            <w:pPr>
              <w:spacing w:before="0" w:after="0"/>
              <w:jc w:val="right"/>
              <w:rPr>
                <w:rFonts w:eastAsia="Times New Roman"/>
                <w:noProof/>
                <w:color w:val="000000"/>
                <w:sz w:val="20"/>
                <w:szCs w:val="20"/>
              </w:rPr>
            </w:pPr>
            <w:r w:rsidRPr="00046858">
              <w:rPr>
                <w:noProof/>
                <w:sz w:val="20"/>
              </w:rPr>
              <w:t>18,000</w:t>
            </w:r>
          </w:p>
        </w:tc>
        <w:tc>
          <w:tcPr>
            <w:tcW w:w="390" w:type="pct"/>
            <w:gridSpan w:val="3"/>
            <w:tcBorders>
              <w:top w:val="nil"/>
              <w:left w:val="nil"/>
              <w:bottom w:val="single" w:sz="8" w:space="0" w:color="auto"/>
              <w:right w:val="single" w:sz="8" w:space="0" w:color="auto"/>
            </w:tcBorders>
            <w:shd w:val="clear" w:color="000000" w:fill="D9D9D9"/>
            <w:vAlign w:val="center"/>
            <w:hideMark/>
          </w:tcPr>
          <w:p w14:paraId="03097C0B" w14:textId="77777777" w:rsidR="00EC060D" w:rsidRPr="00046858" w:rsidRDefault="00EC060D" w:rsidP="00730799">
            <w:pPr>
              <w:spacing w:before="0" w:after="0"/>
              <w:jc w:val="right"/>
              <w:rPr>
                <w:rFonts w:eastAsia="Times New Roman"/>
                <w:noProof/>
                <w:color w:val="000000"/>
                <w:sz w:val="20"/>
                <w:szCs w:val="20"/>
              </w:rPr>
            </w:pPr>
            <w:r w:rsidRPr="00046858">
              <w:rPr>
                <w:noProof/>
                <w:sz w:val="20"/>
              </w:rPr>
              <w:t>6,000</w:t>
            </w:r>
          </w:p>
        </w:tc>
        <w:tc>
          <w:tcPr>
            <w:tcW w:w="390" w:type="pct"/>
            <w:gridSpan w:val="3"/>
            <w:tcBorders>
              <w:top w:val="nil"/>
              <w:left w:val="nil"/>
              <w:bottom w:val="single" w:sz="8" w:space="0" w:color="auto"/>
              <w:right w:val="single" w:sz="8" w:space="0" w:color="auto"/>
            </w:tcBorders>
            <w:shd w:val="clear" w:color="000000" w:fill="D9D9D9"/>
            <w:vAlign w:val="center"/>
            <w:hideMark/>
          </w:tcPr>
          <w:p w14:paraId="1DE8701D" w14:textId="77777777" w:rsidR="00EC060D" w:rsidRPr="00046858" w:rsidRDefault="00EC060D" w:rsidP="00730799">
            <w:pPr>
              <w:spacing w:before="0" w:after="0"/>
              <w:jc w:val="right"/>
              <w:rPr>
                <w:rFonts w:eastAsia="Times New Roman"/>
                <w:noProof/>
                <w:color w:val="000000"/>
                <w:sz w:val="20"/>
                <w:szCs w:val="20"/>
              </w:rPr>
            </w:pPr>
            <w:r w:rsidRPr="00046858">
              <w:rPr>
                <w:noProof/>
                <w:sz w:val="20"/>
              </w:rPr>
              <w:t>15,000</w:t>
            </w:r>
          </w:p>
        </w:tc>
        <w:tc>
          <w:tcPr>
            <w:tcW w:w="390" w:type="pct"/>
            <w:gridSpan w:val="3"/>
            <w:tcBorders>
              <w:top w:val="nil"/>
              <w:left w:val="nil"/>
              <w:bottom w:val="single" w:sz="8" w:space="0" w:color="auto"/>
              <w:right w:val="single" w:sz="8" w:space="0" w:color="auto"/>
            </w:tcBorders>
            <w:shd w:val="clear" w:color="000000" w:fill="D9D9D9"/>
            <w:vAlign w:val="center"/>
            <w:hideMark/>
          </w:tcPr>
          <w:p w14:paraId="7921D244" w14:textId="77777777" w:rsidR="00EC060D" w:rsidRPr="00046858" w:rsidRDefault="00EC060D" w:rsidP="00730799">
            <w:pPr>
              <w:spacing w:before="0" w:after="0"/>
              <w:jc w:val="right"/>
              <w:rPr>
                <w:rFonts w:eastAsia="Times New Roman"/>
                <w:noProof/>
                <w:color w:val="000000"/>
                <w:sz w:val="20"/>
                <w:szCs w:val="20"/>
              </w:rPr>
            </w:pPr>
            <w:r w:rsidRPr="00046858">
              <w:rPr>
                <w:noProof/>
                <w:sz w:val="20"/>
              </w:rPr>
              <w:t>7,000</w:t>
            </w:r>
          </w:p>
        </w:tc>
        <w:tc>
          <w:tcPr>
            <w:tcW w:w="390" w:type="pct"/>
            <w:gridSpan w:val="2"/>
            <w:tcBorders>
              <w:top w:val="nil"/>
              <w:left w:val="nil"/>
              <w:bottom w:val="single" w:sz="8" w:space="0" w:color="auto"/>
              <w:right w:val="single" w:sz="8" w:space="0" w:color="auto"/>
            </w:tcBorders>
            <w:shd w:val="clear" w:color="000000" w:fill="D9D9D9"/>
            <w:vAlign w:val="center"/>
            <w:hideMark/>
          </w:tcPr>
          <w:p w14:paraId="218C615B" w14:textId="77777777" w:rsidR="00EC060D" w:rsidRPr="00046858" w:rsidRDefault="00EC060D" w:rsidP="00730799">
            <w:pPr>
              <w:spacing w:before="0" w:after="0"/>
              <w:jc w:val="right"/>
              <w:rPr>
                <w:rFonts w:eastAsia="Times New Roman"/>
                <w:noProof/>
                <w:color w:val="000000"/>
                <w:sz w:val="20"/>
                <w:szCs w:val="20"/>
              </w:rPr>
            </w:pPr>
            <w:r w:rsidRPr="00046858">
              <w:rPr>
                <w:noProof/>
                <w:sz w:val="20"/>
              </w:rPr>
              <w:t>8,000</w:t>
            </w:r>
          </w:p>
        </w:tc>
        <w:tc>
          <w:tcPr>
            <w:tcW w:w="390" w:type="pct"/>
            <w:gridSpan w:val="3"/>
            <w:tcBorders>
              <w:top w:val="nil"/>
              <w:left w:val="nil"/>
              <w:bottom w:val="single" w:sz="8" w:space="0" w:color="auto"/>
              <w:right w:val="single" w:sz="8" w:space="0" w:color="auto"/>
            </w:tcBorders>
            <w:shd w:val="clear" w:color="000000" w:fill="D9D9D9"/>
            <w:vAlign w:val="center"/>
            <w:hideMark/>
          </w:tcPr>
          <w:p w14:paraId="217FB435" w14:textId="77777777" w:rsidR="00EC060D" w:rsidRPr="00046858" w:rsidRDefault="00EC060D" w:rsidP="00730799">
            <w:pPr>
              <w:spacing w:before="0" w:after="0"/>
              <w:jc w:val="right"/>
              <w:rPr>
                <w:rFonts w:eastAsia="Times New Roman"/>
                <w:noProof/>
                <w:color w:val="000000"/>
                <w:sz w:val="20"/>
                <w:szCs w:val="20"/>
              </w:rPr>
            </w:pPr>
            <w:r w:rsidRPr="00046858">
              <w:rPr>
                <w:noProof/>
                <w:sz w:val="20"/>
              </w:rPr>
              <w:t>4,000</w:t>
            </w:r>
          </w:p>
        </w:tc>
        <w:tc>
          <w:tcPr>
            <w:tcW w:w="390" w:type="pct"/>
            <w:gridSpan w:val="2"/>
            <w:tcBorders>
              <w:top w:val="nil"/>
              <w:left w:val="nil"/>
              <w:bottom w:val="single" w:sz="8" w:space="0" w:color="auto"/>
              <w:right w:val="single" w:sz="8" w:space="0" w:color="auto"/>
            </w:tcBorders>
            <w:shd w:val="clear" w:color="000000" w:fill="D9D9D9"/>
            <w:vAlign w:val="center"/>
            <w:hideMark/>
          </w:tcPr>
          <w:p w14:paraId="3B31080E" w14:textId="77777777" w:rsidR="00EC060D" w:rsidRPr="00046858" w:rsidRDefault="00EC060D" w:rsidP="00730799">
            <w:pPr>
              <w:spacing w:before="0" w:after="0"/>
              <w:jc w:val="right"/>
              <w:rPr>
                <w:rFonts w:eastAsia="Times New Roman"/>
                <w:noProof/>
                <w:color w:val="000000"/>
                <w:sz w:val="20"/>
                <w:szCs w:val="20"/>
              </w:rPr>
            </w:pPr>
            <w:r w:rsidRPr="00046858">
              <w:rPr>
                <w:noProof/>
                <w:sz w:val="20"/>
              </w:rPr>
              <w:t>7,000</w:t>
            </w:r>
          </w:p>
        </w:tc>
        <w:tc>
          <w:tcPr>
            <w:tcW w:w="390" w:type="pct"/>
            <w:gridSpan w:val="2"/>
            <w:tcBorders>
              <w:top w:val="nil"/>
              <w:left w:val="nil"/>
              <w:bottom w:val="single" w:sz="8" w:space="0" w:color="auto"/>
              <w:right w:val="single" w:sz="4" w:space="0" w:color="auto"/>
            </w:tcBorders>
            <w:shd w:val="clear" w:color="000000" w:fill="D9D9D9"/>
            <w:vAlign w:val="center"/>
          </w:tcPr>
          <w:p w14:paraId="630EE0C4" w14:textId="77777777" w:rsidR="00EC060D" w:rsidRPr="00046858" w:rsidRDefault="00EC060D" w:rsidP="00730799">
            <w:pPr>
              <w:spacing w:before="0" w:after="0"/>
              <w:jc w:val="right"/>
              <w:rPr>
                <w:rFonts w:eastAsia="Times New Roman"/>
                <w:b/>
                <w:noProof/>
                <w:color w:val="000000"/>
                <w:sz w:val="20"/>
                <w:szCs w:val="20"/>
              </w:rPr>
            </w:pPr>
            <w:r w:rsidRPr="00046858">
              <w:rPr>
                <w:noProof/>
                <w:sz w:val="20"/>
              </w:rPr>
              <w:t>5,000</w:t>
            </w:r>
          </w:p>
        </w:tc>
        <w:tc>
          <w:tcPr>
            <w:tcW w:w="368" w:type="pct"/>
            <w:tcBorders>
              <w:top w:val="nil"/>
              <w:left w:val="single" w:sz="4" w:space="0" w:color="auto"/>
              <w:bottom w:val="single" w:sz="8" w:space="0" w:color="000000"/>
              <w:right w:val="single" w:sz="8" w:space="0" w:color="auto"/>
            </w:tcBorders>
            <w:shd w:val="clear" w:color="000000" w:fill="D9D9D9"/>
            <w:vAlign w:val="center"/>
            <w:hideMark/>
          </w:tcPr>
          <w:p w14:paraId="4CD1BDAE" w14:textId="77777777" w:rsidR="00EC060D" w:rsidRPr="00046858" w:rsidRDefault="00EC060D" w:rsidP="00730799">
            <w:pPr>
              <w:spacing w:before="0" w:after="0"/>
              <w:jc w:val="right"/>
              <w:rPr>
                <w:rFonts w:eastAsia="Times New Roman"/>
                <w:b/>
                <w:noProof/>
                <w:color w:val="000000"/>
                <w:sz w:val="20"/>
                <w:szCs w:val="20"/>
              </w:rPr>
            </w:pPr>
            <w:r w:rsidRPr="00046858">
              <w:rPr>
                <w:b/>
                <w:noProof/>
                <w:sz w:val="20"/>
              </w:rPr>
              <w:t>70,000</w:t>
            </w:r>
          </w:p>
        </w:tc>
      </w:tr>
      <w:tr w:rsidR="00EC060D" w:rsidRPr="00046858" w14:paraId="2BB1BBD3" w14:textId="77777777" w:rsidTr="004A14F0">
        <w:trPr>
          <w:trHeight w:val="276"/>
        </w:trPr>
        <w:tc>
          <w:tcPr>
            <w:tcW w:w="1148" w:type="pct"/>
            <w:gridSpan w:val="6"/>
            <w:tcBorders>
              <w:top w:val="single" w:sz="8" w:space="0" w:color="auto"/>
              <w:left w:val="single" w:sz="8" w:space="0" w:color="auto"/>
              <w:bottom w:val="single" w:sz="8" w:space="0" w:color="auto"/>
              <w:right w:val="single" w:sz="8" w:space="0" w:color="000000"/>
            </w:tcBorders>
            <w:vAlign w:val="center"/>
            <w:hideMark/>
          </w:tcPr>
          <w:p w14:paraId="6F181A0B" w14:textId="77777777" w:rsidR="00EC060D" w:rsidRPr="00046858" w:rsidRDefault="00EC060D" w:rsidP="00730799">
            <w:pPr>
              <w:spacing w:before="0" w:after="0"/>
              <w:rPr>
                <w:rFonts w:ascii="Calibri" w:eastAsia="Times New Roman" w:hAnsi="Calibri" w:cs="Calibri"/>
                <w:noProof/>
                <w:color w:val="000000"/>
                <w:sz w:val="21"/>
                <w:szCs w:val="21"/>
              </w:rPr>
            </w:pPr>
            <w:r w:rsidRPr="00046858">
              <w:rPr>
                <w:rFonts w:ascii="Calibri" w:hAnsi="Calibri"/>
                <w:noProof/>
                <w:color w:val="000000"/>
                <w:sz w:val="21"/>
              </w:rPr>
              <w:t>•</w:t>
            </w:r>
            <w:r w:rsidRPr="00046858">
              <w:rPr>
                <w:noProof/>
                <w:color w:val="000000"/>
                <w:sz w:val="21"/>
              </w:rPr>
              <w:t xml:space="preserve"> TOTAL credite cu caracter administrativ finanțate din bugetul unor programe specifice (toate rubricile operaționale)</w:t>
            </w:r>
          </w:p>
        </w:tc>
        <w:tc>
          <w:tcPr>
            <w:tcW w:w="364" w:type="pct"/>
            <w:gridSpan w:val="4"/>
            <w:tcBorders>
              <w:top w:val="single" w:sz="8" w:space="0" w:color="auto"/>
              <w:left w:val="nil"/>
              <w:bottom w:val="single" w:sz="8" w:space="0" w:color="auto"/>
              <w:right w:val="single" w:sz="8" w:space="0" w:color="000000"/>
            </w:tcBorders>
            <w:vAlign w:val="center"/>
            <w:hideMark/>
          </w:tcPr>
          <w:p w14:paraId="0AAC03F9" w14:textId="77777777" w:rsidR="00EC060D" w:rsidRPr="00046858" w:rsidRDefault="00EC060D" w:rsidP="00730799">
            <w:pPr>
              <w:spacing w:before="0" w:after="0"/>
              <w:jc w:val="center"/>
              <w:rPr>
                <w:rFonts w:eastAsia="Times New Roman"/>
                <w:noProof/>
                <w:color w:val="000000"/>
                <w:sz w:val="14"/>
                <w:szCs w:val="14"/>
              </w:rPr>
            </w:pPr>
            <w:r w:rsidRPr="00046858">
              <w:rPr>
                <w:noProof/>
                <w:color w:val="000000"/>
                <w:sz w:val="14"/>
              </w:rPr>
              <w:t>(6)</w:t>
            </w:r>
          </w:p>
        </w:tc>
        <w:tc>
          <w:tcPr>
            <w:tcW w:w="390" w:type="pct"/>
            <w:gridSpan w:val="2"/>
            <w:tcBorders>
              <w:top w:val="nil"/>
              <w:left w:val="nil"/>
              <w:bottom w:val="single" w:sz="8" w:space="0" w:color="auto"/>
              <w:right w:val="single" w:sz="8" w:space="0" w:color="auto"/>
            </w:tcBorders>
            <w:shd w:val="clear" w:color="000000" w:fill="D9D9D9"/>
            <w:vAlign w:val="center"/>
          </w:tcPr>
          <w:p w14:paraId="04211132" w14:textId="77777777" w:rsidR="00EC060D" w:rsidRPr="00046858" w:rsidRDefault="00EC060D" w:rsidP="004A14F0">
            <w:pPr>
              <w:spacing w:before="0" w:after="0"/>
              <w:jc w:val="right"/>
              <w:rPr>
                <w:rFonts w:eastAsia="Times New Roman"/>
                <w:noProof/>
                <w:color w:val="000000"/>
                <w:sz w:val="20"/>
                <w:szCs w:val="20"/>
              </w:rPr>
            </w:pPr>
            <w:r w:rsidRPr="00046858">
              <w:rPr>
                <w:b/>
                <w:noProof/>
                <w:color w:val="000000"/>
                <w:sz w:val="20"/>
              </w:rPr>
              <w:t>0,000</w:t>
            </w:r>
          </w:p>
        </w:tc>
        <w:tc>
          <w:tcPr>
            <w:tcW w:w="390" w:type="pct"/>
            <w:gridSpan w:val="3"/>
            <w:tcBorders>
              <w:top w:val="nil"/>
              <w:left w:val="nil"/>
              <w:bottom w:val="single" w:sz="8" w:space="0" w:color="auto"/>
              <w:right w:val="single" w:sz="8" w:space="0" w:color="auto"/>
            </w:tcBorders>
            <w:shd w:val="clear" w:color="000000" w:fill="D9D9D9"/>
            <w:vAlign w:val="center"/>
          </w:tcPr>
          <w:p w14:paraId="039D6550" w14:textId="77777777" w:rsidR="00EC060D" w:rsidRPr="00046858" w:rsidRDefault="00EC060D" w:rsidP="004A14F0">
            <w:pPr>
              <w:spacing w:before="0" w:after="0"/>
              <w:jc w:val="right"/>
              <w:rPr>
                <w:rFonts w:eastAsia="Times New Roman"/>
                <w:noProof/>
                <w:color w:val="000000"/>
                <w:sz w:val="20"/>
                <w:szCs w:val="20"/>
              </w:rPr>
            </w:pPr>
            <w:r w:rsidRPr="00046858">
              <w:rPr>
                <w:b/>
                <w:noProof/>
                <w:color w:val="000000"/>
                <w:sz w:val="20"/>
              </w:rPr>
              <w:t>0,000</w:t>
            </w:r>
          </w:p>
        </w:tc>
        <w:tc>
          <w:tcPr>
            <w:tcW w:w="390" w:type="pct"/>
            <w:gridSpan w:val="3"/>
            <w:tcBorders>
              <w:top w:val="nil"/>
              <w:left w:val="nil"/>
              <w:bottom w:val="single" w:sz="8" w:space="0" w:color="auto"/>
              <w:right w:val="single" w:sz="8" w:space="0" w:color="auto"/>
            </w:tcBorders>
            <w:shd w:val="clear" w:color="000000" w:fill="D9D9D9"/>
            <w:vAlign w:val="center"/>
          </w:tcPr>
          <w:p w14:paraId="48445FBD" w14:textId="77777777" w:rsidR="00EC060D" w:rsidRPr="00046858" w:rsidRDefault="00EC060D" w:rsidP="004A14F0">
            <w:pPr>
              <w:spacing w:before="0" w:after="0"/>
              <w:jc w:val="right"/>
              <w:rPr>
                <w:rFonts w:eastAsia="Times New Roman"/>
                <w:noProof/>
                <w:color w:val="000000"/>
                <w:sz w:val="20"/>
                <w:szCs w:val="20"/>
              </w:rPr>
            </w:pPr>
            <w:r w:rsidRPr="00046858">
              <w:rPr>
                <w:b/>
                <w:noProof/>
                <w:color w:val="000000"/>
                <w:sz w:val="20"/>
              </w:rPr>
              <w:t>0,000</w:t>
            </w:r>
          </w:p>
        </w:tc>
        <w:tc>
          <w:tcPr>
            <w:tcW w:w="390" w:type="pct"/>
            <w:gridSpan w:val="3"/>
            <w:tcBorders>
              <w:top w:val="nil"/>
              <w:left w:val="nil"/>
              <w:bottom w:val="single" w:sz="8" w:space="0" w:color="auto"/>
              <w:right w:val="single" w:sz="8" w:space="0" w:color="auto"/>
            </w:tcBorders>
            <w:shd w:val="clear" w:color="000000" w:fill="D9D9D9"/>
            <w:vAlign w:val="center"/>
          </w:tcPr>
          <w:p w14:paraId="0219BFEA" w14:textId="77777777" w:rsidR="00EC060D" w:rsidRPr="00046858" w:rsidRDefault="00EC060D" w:rsidP="004A14F0">
            <w:pPr>
              <w:spacing w:before="0" w:after="0"/>
              <w:jc w:val="right"/>
              <w:rPr>
                <w:rFonts w:eastAsia="Times New Roman"/>
                <w:noProof/>
                <w:color w:val="000000"/>
                <w:sz w:val="20"/>
                <w:szCs w:val="20"/>
              </w:rPr>
            </w:pPr>
            <w:r w:rsidRPr="00046858">
              <w:rPr>
                <w:b/>
                <w:noProof/>
                <w:color w:val="000000"/>
                <w:sz w:val="20"/>
              </w:rPr>
              <w:t>0,000</w:t>
            </w:r>
          </w:p>
        </w:tc>
        <w:tc>
          <w:tcPr>
            <w:tcW w:w="390" w:type="pct"/>
            <w:gridSpan w:val="2"/>
            <w:tcBorders>
              <w:top w:val="nil"/>
              <w:left w:val="nil"/>
              <w:bottom w:val="single" w:sz="8" w:space="0" w:color="auto"/>
              <w:right w:val="single" w:sz="8" w:space="0" w:color="auto"/>
            </w:tcBorders>
            <w:shd w:val="clear" w:color="000000" w:fill="D9D9D9"/>
            <w:vAlign w:val="center"/>
          </w:tcPr>
          <w:p w14:paraId="30E416DA" w14:textId="77777777" w:rsidR="00EC060D" w:rsidRPr="00046858" w:rsidRDefault="00EC060D" w:rsidP="004A14F0">
            <w:pPr>
              <w:spacing w:before="0" w:after="0"/>
              <w:jc w:val="right"/>
              <w:rPr>
                <w:rFonts w:eastAsia="Times New Roman"/>
                <w:noProof/>
                <w:color w:val="000000"/>
                <w:sz w:val="20"/>
                <w:szCs w:val="20"/>
              </w:rPr>
            </w:pPr>
            <w:r w:rsidRPr="00046858">
              <w:rPr>
                <w:b/>
                <w:noProof/>
                <w:color w:val="000000"/>
                <w:sz w:val="20"/>
              </w:rPr>
              <w:t>0,000</w:t>
            </w:r>
          </w:p>
        </w:tc>
        <w:tc>
          <w:tcPr>
            <w:tcW w:w="390" w:type="pct"/>
            <w:gridSpan w:val="3"/>
            <w:tcBorders>
              <w:top w:val="nil"/>
              <w:left w:val="nil"/>
              <w:bottom w:val="single" w:sz="8" w:space="0" w:color="auto"/>
              <w:right w:val="single" w:sz="8" w:space="0" w:color="auto"/>
            </w:tcBorders>
            <w:shd w:val="clear" w:color="000000" w:fill="D9D9D9"/>
            <w:vAlign w:val="center"/>
          </w:tcPr>
          <w:p w14:paraId="394D6E6F" w14:textId="77777777" w:rsidR="00EC060D" w:rsidRPr="00046858" w:rsidRDefault="00EC060D" w:rsidP="004A14F0">
            <w:pPr>
              <w:spacing w:before="0" w:after="0"/>
              <w:jc w:val="right"/>
              <w:rPr>
                <w:rFonts w:eastAsia="Times New Roman"/>
                <w:noProof/>
                <w:color w:val="000000"/>
                <w:sz w:val="20"/>
                <w:szCs w:val="20"/>
              </w:rPr>
            </w:pPr>
            <w:r w:rsidRPr="00046858">
              <w:rPr>
                <w:b/>
                <w:noProof/>
                <w:color w:val="000000"/>
                <w:sz w:val="20"/>
              </w:rPr>
              <w:t>0,000</w:t>
            </w:r>
          </w:p>
        </w:tc>
        <w:tc>
          <w:tcPr>
            <w:tcW w:w="390" w:type="pct"/>
            <w:gridSpan w:val="2"/>
            <w:tcBorders>
              <w:top w:val="nil"/>
              <w:left w:val="nil"/>
              <w:bottom w:val="single" w:sz="8" w:space="0" w:color="auto"/>
              <w:right w:val="single" w:sz="8" w:space="0" w:color="auto"/>
            </w:tcBorders>
            <w:shd w:val="clear" w:color="000000" w:fill="D9D9D9"/>
            <w:vAlign w:val="center"/>
          </w:tcPr>
          <w:p w14:paraId="6A925C82" w14:textId="77777777" w:rsidR="00EC060D" w:rsidRPr="00046858" w:rsidRDefault="00EC060D" w:rsidP="004A14F0">
            <w:pPr>
              <w:spacing w:before="0" w:after="0"/>
              <w:jc w:val="right"/>
              <w:rPr>
                <w:rFonts w:eastAsia="Times New Roman"/>
                <w:noProof/>
                <w:color w:val="000000"/>
                <w:sz w:val="20"/>
                <w:szCs w:val="20"/>
              </w:rPr>
            </w:pPr>
            <w:r w:rsidRPr="00046858">
              <w:rPr>
                <w:b/>
                <w:noProof/>
                <w:color w:val="000000"/>
                <w:sz w:val="20"/>
              </w:rPr>
              <w:t>0,000</w:t>
            </w:r>
          </w:p>
        </w:tc>
        <w:tc>
          <w:tcPr>
            <w:tcW w:w="390" w:type="pct"/>
            <w:gridSpan w:val="2"/>
            <w:tcBorders>
              <w:top w:val="nil"/>
              <w:left w:val="nil"/>
              <w:bottom w:val="single" w:sz="8" w:space="0" w:color="auto"/>
              <w:right w:val="single" w:sz="4" w:space="0" w:color="auto"/>
            </w:tcBorders>
            <w:shd w:val="clear" w:color="000000" w:fill="D9D9D9"/>
            <w:vAlign w:val="center"/>
          </w:tcPr>
          <w:p w14:paraId="0BF3CC4F" w14:textId="77777777" w:rsidR="00EC060D" w:rsidRPr="00046858" w:rsidRDefault="00EC060D" w:rsidP="004A14F0">
            <w:pPr>
              <w:spacing w:before="0" w:after="0"/>
              <w:jc w:val="right"/>
              <w:rPr>
                <w:rFonts w:eastAsia="Times New Roman"/>
                <w:b/>
                <w:noProof/>
                <w:color w:val="000000"/>
                <w:sz w:val="20"/>
                <w:szCs w:val="20"/>
              </w:rPr>
            </w:pPr>
            <w:r w:rsidRPr="00046858">
              <w:rPr>
                <w:b/>
                <w:noProof/>
                <w:color w:val="000000"/>
                <w:sz w:val="20"/>
              </w:rPr>
              <w:t>0,000</w:t>
            </w:r>
          </w:p>
        </w:tc>
        <w:tc>
          <w:tcPr>
            <w:tcW w:w="368" w:type="pct"/>
            <w:tcBorders>
              <w:top w:val="nil"/>
              <w:left w:val="single" w:sz="4" w:space="0" w:color="auto"/>
              <w:bottom w:val="single" w:sz="8" w:space="0" w:color="000000"/>
              <w:right w:val="single" w:sz="8" w:space="0" w:color="auto"/>
            </w:tcBorders>
            <w:shd w:val="clear" w:color="000000" w:fill="D9D9D9"/>
            <w:vAlign w:val="center"/>
          </w:tcPr>
          <w:p w14:paraId="22F1A773" w14:textId="77777777" w:rsidR="00EC060D" w:rsidRPr="00046858" w:rsidRDefault="00CB5BAC" w:rsidP="004A14F0">
            <w:pPr>
              <w:spacing w:before="0" w:after="0"/>
              <w:jc w:val="right"/>
              <w:rPr>
                <w:rFonts w:eastAsia="Times New Roman"/>
                <w:b/>
                <w:noProof/>
                <w:color w:val="000000"/>
                <w:sz w:val="20"/>
                <w:szCs w:val="20"/>
              </w:rPr>
            </w:pPr>
            <w:r w:rsidRPr="00046858">
              <w:rPr>
                <w:b/>
                <w:noProof/>
                <w:color w:val="000000"/>
                <w:sz w:val="20"/>
              </w:rPr>
              <w:t>0,000</w:t>
            </w:r>
          </w:p>
        </w:tc>
      </w:tr>
      <w:tr w:rsidR="00EC060D" w:rsidRPr="00046858" w14:paraId="2B6504D3" w14:textId="77777777">
        <w:trPr>
          <w:trHeight w:val="154"/>
        </w:trPr>
        <w:tc>
          <w:tcPr>
            <w:tcW w:w="651" w:type="pct"/>
            <w:gridSpan w:val="2"/>
            <w:tcBorders>
              <w:top w:val="nil"/>
              <w:left w:val="single" w:sz="8" w:space="0" w:color="auto"/>
              <w:bottom w:val="nil"/>
              <w:right w:val="single" w:sz="8" w:space="0" w:color="auto"/>
            </w:tcBorders>
            <w:shd w:val="thinDiagStripe" w:color="C0C0C0" w:fill="E6E6E6"/>
            <w:vAlign w:val="center"/>
            <w:hideMark/>
          </w:tcPr>
          <w:p w14:paraId="5C7F4759" w14:textId="77777777" w:rsidR="00EC060D" w:rsidRPr="00046858" w:rsidRDefault="00EC060D" w:rsidP="00730799">
            <w:pPr>
              <w:spacing w:before="0" w:after="0"/>
              <w:jc w:val="center"/>
              <w:rPr>
                <w:rFonts w:eastAsia="Times New Roman"/>
                <w:b/>
                <w:noProof/>
                <w:color w:val="000000"/>
                <w:sz w:val="22"/>
              </w:rPr>
            </w:pPr>
            <w:r w:rsidRPr="00046858">
              <w:rPr>
                <w:b/>
                <w:noProof/>
                <w:color w:val="000000"/>
                <w:sz w:val="22"/>
              </w:rPr>
              <w:t>TOTAL credite în cadrul rubricilor 1-3</w:t>
            </w:r>
          </w:p>
        </w:tc>
        <w:tc>
          <w:tcPr>
            <w:tcW w:w="497" w:type="pct"/>
            <w:gridSpan w:val="4"/>
            <w:tcBorders>
              <w:top w:val="nil"/>
              <w:left w:val="nil"/>
              <w:bottom w:val="nil"/>
              <w:right w:val="single" w:sz="8" w:space="0" w:color="auto"/>
            </w:tcBorders>
            <w:vAlign w:val="center"/>
            <w:hideMark/>
          </w:tcPr>
          <w:p w14:paraId="19E0F5EE" w14:textId="77777777" w:rsidR="00EC060D" w:rsidRPr="00046858" w:rsidRDefault="00EC060D" w:rsidP="00730799">
            <w:pPr>
              <w:spacing w:before="0" w:after="0"/>
              <w:rPr>
                <w:rFonts w:eastAsia="Times New Roman"/>
                <w:noProof/>
                <w:color w:val="000000"/>
                <w:sz w:val="18"/>
                <w:szCs w:val="18"/>
              </w:rPr>
            </w:pPr>
            <w:r w:rsidRPr="00046858">
              <w:rPr>
                <w:noProof/>
                <w:color w:val="000000"/>
                <w:sz w:val="18"/>
              </w:rPr>
              <w:t>Angajamente</w:t>
            </w:r>
          </w:p>
        </w:tc>
        <w:tc>
          <w:tcPr>
            <w:tcW w:w="364" w:type="pct"/>
            <w:gridSpan w:val="4"/>
            <w:tcBorders>
              <w:top w:val="single" w:sz="8" w:space="0" w:color="auto"/>
              <w:left w:val="nil"/>
              <w:bottom w:val="single" w:sz="8" w:space="0" w:color="auto"/>
              <w:right w:val="single" w:sz="8" w:space="0" w:color="000000"/>
            </w:tcBorders>
            <w:vAlign w:val="center"/>
            <w:hideMark/>
          </w:tcPr>
          <w:p w14:paraId="664761B5" w14:textId="77777777" w:rsidR="00EC060D" w:rsidRPr="00046858" w:rsidRDefault="00EC060D" w:rsidP="00730799">
            <w:pPr>
              <w:spacing w:before="0" w:after="0"/>
              <w:jc w:val="center"/>
              <w:rPr>
                <w:rFonts w:eastAsia="Times New Roman"/>
                <w:noProof/>
                <w:color w:val="000000"/>
                <w:sz w:val="14"/>
                <w:szCs w:val="14"/>
              </w:rPr>
            </w:pPr>
            <w:r w:rsidRPr="00046858">
              <w:rPr>
                <w:noProof/>
                <w:color w:val="000000"/>
                <w:sz w:val="14"/>
              </w:rPr>
              <w:t>=4+6</w:t>
            </w:r>
          </w:p>
        </w:tc>
        <w:tc>
          <w:tcPr>
            <w:tcW w:w="390" w:type="pct"/>
            <w:gridSpan w:val="2"/>
            <w:tcBorders>
              <w:top w:val="nil"/>
              <w:left w:val="nil"/>
              <w:bottom w:val="single" w:sz="8" w:space="0" w:color="auto"/>
              <w:right w:val="single" w:sz="8" w:space="0" w:color="auto"/>
            </w:tcBorders>
            <w:shd w:val="clear" w:color="000000" w:fill="D9D9D9"/>
            <w:vAlign w:val="center"/>
            <w:hideMark/>
          </w:tcPr>
          <w:p w14:paraId="5B7C4A13" w14:textId="77777777" w:rsidR="00EC060D" w:rsidRPr="00046858" w:rsidRDefault="00EC060D" w:rsidP="00730799">
            <w:pPr>
              <w:spacing w:before="0" w:after="0"/>
              <w:jc w:val="right"/>
              <w:rPr>
                <w:rFonts w:eastAsia="Times New Roman"/>
                <w:b/>
                <w:noProof/>
                <w:color w:val="000000"/>
                <w:sz w:val="20"/>
                <w:szCs w:val="20"/>
              </w:rPr>
            </w:pPr>
            <w:r w:rsidRPr="00046858">
              <w:rPr>
                <w:noProof/>
                <w:sz w:val="20"/>
              </w:rPr>
              <w:t>30,000</w:t>
            </w:r>
          </w:p>
        </w:tc>
        <w:tc>
          <w:tcPr>
            <w:tcW w:w="390" w:type="pct"/>
            <w:gridSpan w:val="3"/>
            <w:tcBorders>
              <w:top w:val="nil"/>
              <w:left w:val="nil"/>
              <w:bottom w:val="single" w:sz="8" w:space="0" w:color="auto"/>
              <w:right w:val="single" w:sz="8" w:space="0" w:color="auto"/>
            </w:tcBorders>
            <w:shd w:val="clear" w:color="000000" w:fill="D9D9D9"/>
            <w:vAlign w:val="center"/>
            <w:hideMark/>
          </w:tcPr>
          <w:p w14:paraId="4A329544" w14:textId="77777777" w:rsidR="00EC060D" w:rsidRPr="00046858" w:rsidRDefault="00EC060D" w:rsidP="00730799">
            <w:pPr>
              <w:spacing w:before="0" w:after="0"/>
              <w:jc w:val="right"/>
              <w:rPr>
                <w:rFonts w:eastAsia="Times New Roman"/>
                <w:b/>
                <w:noProof/>
                <w:color w:val="000000"/>
                <w:sz w:val="20"/>
                <w:szCs w:val="20"/>
              </w:rPr>
            </w:pPr>
            <w:r w:rsidRPr="00046858">
              <w:rPr>
                <w:noProof/>
                <w:sz w:val="20"/>
              </w:rPr>
              <w:t>0,000</w:t>
            </w:r>
          </w:p>
        </w:tc>
        <w:tc>
          <w:tcPr>
            <w:tcW w:w="390" w:type="pct"/>
            <w:gridSpan w:val="3"/>
            <w:tcBorders>
              <w:top w:val="nil"/>
              <w:left w:val="nil"/>
              <w:bottom w:val="single" w:sz="8" w:space="0" w:color="auto"/>
              <w:right w:val="single" w:sz="8" w:space="0" w:color="auto"/>
            </w:tcBorders>
            <w:shd w:val="clear" w:color="000000" w:fill="D9D9D9"/>
            <w:vAlign w:val="center"/>
            <w:hideMark/>
          </w:tcPr>
          <w:p w14:paraId="11952DCB" w14:textId="77777777" w:rsidR="00EC060D" w:rsidRPr="00046858" w:rsidRDefault="00EC060D" w:rsidP="00730799">
            <w:pPr>
              <w:spacing w:before="0" w:after="0"/>
              <w:jc w:val="right"/>
              <w:rPr>
                <w:rFonts w:eastAsia="Times New Roman"/>
                <w:b/>
                <w:noProof/>
                <w:color w:val="000000"/>
                <w:sz w:val="20"/>
                <w:szCs w:val="20"/>
              </w:rPr>
            </w:pPr>
            <w:r w:rsidRPr="00046858">
              <w:rPr>
                <w:noProof/>
                <w:sz w:val="20"/>
              </w:rPr>
              <w:t>20,000</w:t>
            </w:r>
          </w:p>
        </w:tc>
        <w:tc>
          <w:tcPr>
            <w:tcW w:w="390" w:type="pct"/>
            <w:gridSpan w:val="3"/>
            <w:tcBorders>
              <w:top w:val="nil"/>
              <w:left w:val="nil"/>
              <w:bottom w:val="single" w:sz="8" w:space="0" w:color="auto"/>
              <w:right w:val="single" w:sz="8" w:space="0" w:color="auto"/>
            </w:tcBorders>
            <w:shd w:val="clear" w:color="000000" w:fill="D9D9D9"/>
            <w:vAlign w:val="center"/>
            <w:hideMark/>
          </w:tcPr>
          <w:p w14:paraId="230A814A" w14:textId="77777777" w:rsidR="00EC060D" w:rsidRPr="00046858" w:rsidRDefault="00EC060D" w:rsidP="00730799">
            <w:pPr>
              <w:spacing w:before="0" w:after="0"/>
              <w:jc w:val="right"/>
              <w:rPr>
                <w:rFonts w:eastAsia="Times New Roman"/>
                <w:b/>
                <w:noProof/>
                <w:color w:val="000000"/>
                <w:sz w:val="20"/>
                <w:szCs w:val="20"/>
              </w:rPr>
            </w:pPr>
            <w:r w:rsidRPr="00046858">
              <w:rPr>
                <w:noProof/>
                <w:sz w:val="20"/>
              </w:rPr>
              <w:t>0, 000</w:t>
            </w:r>
          </w:p>
        </w:tc>
        <w:tc>
          <w:tcPr>
            <w:tcW w:w="390" w:type="pct"/>
            <w:gridSpan w:val="2"/>
            <w:tcBorders>
              <w:top w:val="nil"/>
              <w:left w:val="nil"/>
              <w:bottom w:val="single" w:sz="8" w:space="0" w:color="auto"/>
              <w:right w:val="single" w:sz="8" w:space="0" w:color="auto"/>
            </w:tcBorders>
            <w:shd w:val="clear" w:color="000000" w:fill="D9D9D9"/>
            <w:vAlign w:val="center"/>
            <w:hideMark/>
          </w:tcPr>
          <w:p w14:paraId="650EC4BA" w14:textId="77777777" w:rsidR="00EC060D" w:rsidRPr="00046858" w:rsidRDefault="00EC060D" w:rsidP="00730799">
            <w:pPr>
              <w:spacing w:before="0" w:after="0"/>
              <w:jc w:val="right"/>
              <w:rPr>
                <w:rFonts w:eastAsia="Times New Roman"/>
                <w:b/>
                <w:noProof/>
                <w:color w:val="000000"/>
                <w:sz w:val="20"/>
                <w:szCs w:val="20"/>
              </w:rPr>
            </w:pPr>
            <w:r w:rsidRPr="00046858">
              <w:rPr>
                <w:noProof/>
                <w:sz w:val="20"/>
              </w:rPr>
              <w:t>10,000</w:t>
            </w:r>
          </w:p>
        </w:tc>
        <w:tc>
          <w:tcPr>
            <w:tcW w:w="390" w:type="pct"/>
            <w:gridSpan w:val="3"/>
            <w:tcBorders>
              <w:top w:val="nil"/>
              <w:left w:val="nil"/>
              <w:bottom w:val="single" w:sz="8" w:space="0" w:color="auto"/>
              <w:right w:val="single" w:sz="8" w:space="0" w:color="auto"/>
            </w:tcBorders>
            <w:shd w:val="clear" w:color="000000" w:fill="D9D9D9"/>
            <w:vAlign w:val="center"/>
            <w:hideMark/>
          </w:tcPr>
          <w:p w14:paraId="029E1367" w14:textId="77777777" w:rsidR="00EC060D" w:rsidRPr="00046858" w:rsidRDefault="00EC060D" w:rsidP="00730799">
            <w:pPr>
              <w:spacing w:before="0" w:after="0"/>
              <w:jc w:val="right"/>
              <w:rPr>
                <w:rFonts w:eastAsia="Times New Roman"/>
                <w:b/>
                <w:noProof/>
                <w:color w:val="000000"/>
                <w:sz w:val="20"/>
                <w:szCs w:val="20"/>
              </w:rPr>
            </w:pPr>
            <w:r w:rsidRPr="00046858">
              <w:rPr>
                <w:noProof/>
                <w:sz w:val="20"/>
              </w:rPr>
              <w:t>0,000</w:t>
            </w:r>
          </w:p>
        </w:tc>
        <w:tc>
          <w:tcPr>
            <w:tcW w:w="390" w:type="pct"/>
            <w:gridSpan w:val="2"/>
            <w:tcBorders>
              <w:top w:val="nil"/>
              <w:left w:val="nil"/>
              <w:bottom w:val="single" w:sz="8" w:space="0" w:color="auto"/>
              <w:right w:val="single" w:sz="8" w:space="0" w:color="auto"/>
            </w:tcBorders>
            <w:shd w:val="clear" w:color="000000" w:fill="D9D9D9"/>
            <w:vAlign w:val="center"/>
            <w:hideMark/>
          </w:tcPr>
          <w:p w14:paraId="055B0541" w14:textId="77777777" w:rsidR="00EC060D" w:rsidRPr="00046858" w:rsidRDefault="00EC060D" w:rsidP="00730799">
            <w:pPr>
              <w:spacing w:before="0" w:after="0"/>
              <w:jc w:val="right"/>
              <w:rPr>
                <w:rFonts w:eastAsia="Times New Roman"/>
                <w:b/>
                <w:noProof/>
                <w:color w:val="000000"/>
                <w:sz w:val="20"/>
                <w:szCs w:val="20"/>
              </w:rPr>
            </w:pPr>
            <w:r w:rsidRPr="00046858">
              <w:rPr>
                <w:noProof/>
                <w:sz w:val="20"/>
              </w:rPr>
              <w:t>10,000</w:t>
            </w:r>
          </w:p>
        </w:tc>
        <w:tc>
          <w:tcPr>
            <w:tcW w:w="390" w:type="pct"/>
            <w:gridSpan w:val="2"/>
            <w:tcBorders>
              <w:top w:val="nil"/>
              <w:left w:val="nil"/>
              <w:bottom w:val="single" w:sz="8" w:space="0" w:color="auto"/>
              <w:right w:val="single" w:sz="4" w:space="0" w:color="auto"/>
            </w:tcBorders>
            <w:shd w:val="clear" w:color="000000" w:fill="D9D9D9"/>
            <w:vAlign w:val="center"/>
          </w:tcPr>
          <w:p w14:paraId="0FE52FE3" w14:textId="77777777" w:rsidR="00EC060D" w:rsidRPr="00046858" w:rsidRDefault="00EC060D" w:rsidP="00730799">
            <w:pPr>
              <w:spacing w:before="0" w:after="0"/>
              <w:jc w:val="right"/>
              <w:rPr>
                <w:rFonts w:eastAsia="Times New Roman"/>
                <w:b/>
                <w:noProof/>
                <w:color w:val="000000"/>
                <w:sz w:val="20"/>
                <w:szCs w:val="20"/>
                <w:lang w:eastAsia="en-IE"/>
              </w:rPr>
            </w:pPr>
          </w:p>
        </w:tc>
        <w:tc>
          <w:tcPr>
            <w:tcW w:w="368" w:type="pct"/>
            <w:tcBorders>
              <w:top w:val="nil"/>
              <w:left w:val="single" w:sz="4" w:space="0" w:color="auto"/>
              <w:bottom w:val="single" w:sz="8" w:space="0" w:color="000000"/>
              <w:right w:val="single" w:sz="8" w:space="0" w:color="auto"/>
            </w:tcBorders>
            <w:shd w:val="clear" w:color="000000" w:fill="D9D9D9"/>
            <w:vAlign w:val="center"/>
            <w:hideMark/>
          </w:tcPr>
          <w:p w14:paraId="666AD472" w14:textId="77777777" w:rsidR="00EC060D" w:rsidRPr="00046858" w:rsidRDefault="00EC060D" w:rsidP="00730799">
            <w:pPr>
              <w:spacing w:before="0" w:after="0"/>
              <w:jc w:val="right"/>
              <w:rPr>
                <w:rFonts w:eastAsia="Times New Roman"/>
                <w:b/>
                <w:noProof/>
                <w:color w:val="000000"/>
                <w:sz w:val="20"/>
                <w:szCs w:val="20"/>
              </w:rPr>
            </w:pPr>
            <w:r w:rsidRPr="00046858">
              <w:rPr>
                <w:b/>
                <w:noProof/>
                <w:sz w:val="20"/>
              </w:rPr>
              <w:t xml:space="preserve"> 70,000</w:t>
            </w:r>
          </w:p>
        </w:tc>
      </w:tr>
      <w:tr w:rsidR="00EC060D" w:rsidRPr="00046858" w14:paraId="78266601" w14:textId="77777777">
        <w:trPr>
          <w:trHeight w:val="1040"/>
        </w:trPr>
        <w:tc>
          <w:tcPr>
            <w:tcW w:w="651" w:type="pct"/>
            <w:gridSpan w:val="2"/>
            <w:tcBorders>
              <w:top w:val="nil"/>
              <w:left w:val="single" w:sz="8" w:space="0" w:color="auto"/>
              <w:bottom w:val="nil"/>
              <w:right w:val="single" w:sz="8" w:space="0" w:color="auto"/>
            </w:tcBorders>
            <w:shd w:val="thinDiagStripe" w:color="C0C0C0" w:fill="E6E6E6"/>
            <w:vAlign w:val="center"/>
            <w:hideMark/>
          </w:tcPr>
          <w:p w14:paraId="5D76E7EB" w14:textId="77777777" w:rsidR="00EC060D" w:rsidRPr="00046858" w:rsidRDefault="00EC060D" w:rsidP="00730799">
            <w:pPr>
              <w:spacing w:before="0" w:after="0"/>
              <w:jc w:val="center"/>
              <w:rPr>
                <w:rFonts w:eastAsia="Times New Roman"/>
                <w:noProof/>
                <w:color w:val="000000"/>
                <w:sz w:val="20"/>
                <w:szCs w:val="20"/>
              </w:rPr>
            </w:pPr>
            <w:r w:rsidRPr="00046858">
              <w:rPr>
                <w:noProof/>
                <w:color w:val="000000"/>
                <w:sz w:val="20"/>
              </w:rPr>
              <w:t>din cadrul financiar multianual</w:t>
            </w:r>
          </w:p>
        </w:tc>
        <w:tc>
          <w:tcPr>
            <w:tcW w:w="497" w:type="pct"/>
            <w:gridSpan w:val="4"/>
            <w:vMerge w:val="restart"/>
            <w:tcBorders>
              <w:top w:val="nil"/>
              <w:left w:val="single" w:sz="8" w:space="0" w:color="auto"/>
              <w:bottom w:val="single" w:sz="8" w:space="0" w:color="000000"/>
              <w:right w:val="single" w:sz="8" w:space="0" w:color="auto"/>
            </w:tcBorders>
            <w:vAlign w:val="center"/>
            <w:hideMark/>
          </w:tcPr>
          <w:p w14:paraId="35AC1756" w14:textId="77777777" w:rsidR="00EC060D" w:rsidRPr="00046858" w:rsidRDefault="00EC060D" w:rsidP="00730799">
            <w:pPr>
              <w:spacing w:before="0" w:after="0"/>
              <w:rPr>
                <w:rFonts w:eastAsia="Times New Roman"/>
                <w:noProof/>
                <w:color w:val="000000"/>
                <w:sz w:val="18"/>
                <w:szCs w:val="18"/>
              </w:rPr>
            </w:pPr>
            <w:r w:rsidRPr="00046858">
              <w:rPr>
                <w:noProof/>
                <w:color w:val="000000"/>
                <w:sz w:val="18"/>
              </w:rPr>
              <w:t>Plăți</w:t>
            </w:r>
          </w:p>
        </w:tc>
        <w:tc>
          <w:tcPr>
            <w:tcW w:w="364" w:type="pct"/>
            <w:gridSpan w:val="4"/>
            <w:vMerge w:val="restart"/>
            <w:tcBorders>
              <w:top w:val="single" w:sz="8" w:space="0" w:color="auto"/>
              <w:left w:val="single" w:sz="8" w:space="0" w:color="auto"/>
              <w:bottom w:val="single" w:sz="8" w:space="0" w:color="000000"/>
              <w:right w:val="single" w:sz="8" w:space="0" w:color="000000"/>
            </w:tcBorders>
            <w:vAlign w:val="center"/>
            <w:hideMark/>
          </w:tcPr>
          <w:p w14:paraId="2608067A" w14:textId="77777777" w:rsidR="00EC060D" w:rsidRPr="00046858" w:rsidRDefault="00EC060D" w:rsidP="00730799">
            <w:pPr>
              <w:spacing w:before="0" w:after="0"/>
              <w:jc w:val="center"/>
              <w:rPr>
                <w:rFonts w:eastAsia="Times New Roman"/>
                <w:noProof/>
                <w:color w:val="000000"/>
                <w:sz w:val="14"/>
                <w:szCs w:val="14"/>
              </w:rPr>
            </w:pPr>
            <w:r w:rsidRPr="00046858">
              <w:rPr>
                <w:noProof/>
                <w:color w:val="000000"/>
                <w:sz w:val="14"/>
              </w:rPr>
              <w:t>=5+6</w:t>
            </w:r>
          </w:p>
        </w:tc>
        <w:tc>
          <w:tcPr>
            <w:tcW w:w="390" w:type="pct"/>
            <w:gridSpan w:val="2"/>
            <w:vMerge w:val="restart"/>
            <w:tcBorders>
              <w:top w:val="nil"/>
              <w:left w:val="single" w:sz="8" w:space="0" w:color="000000"/>
              <w:bottom w:val="single" w:sz="8" w:space="0" w:color="000000"/>
              <w:right w:val="single" w:sz="8" w:space="0" w:color="auto"/>
            </w:tcBorders>
            <w:shd w:val="clear" w:color="000000" w:fill="D9D9D9"/>
            <w:vAlign w:val="center"/>
            <w:hideMark/>
          </w:tcPr>
          <w:p w14:paraId="1CED2DB2" w14:textId="77777777" w:rsidR="00EC060D" w:rsidRPr="00046858" w:rsidRDefault="00EC060D" w:rsidP="00730799">
            <w:pPr>
              <w:spacing w:before="0" w:after="0"/>
              <w:jc w:val="right"/>
              <w:rPr>
                <w:rFonts w:eastAsia="Times New Roman"/>
                <w:b/>
                <w:noProof/>
                <w:color w:val="000000"/>
                <w:sz w:val="20"/>
                <w:szCs w:val="20"/>
              </w:rPr>
            </w:pPr>
            <w:r w:rsidRPr="00046858">
              <w:rPr>
                <w:noProof/>
                <w:sz w:val="20"/>
              </w:rPr>
              <w:t>18,000</w:t>
            </w:r>
          </w:p>
        </w:tc>
        <w:tc>
          <w:tcPr>
            <w:tcW w:w="390" w:type="pct"/>
            <w:gridSpan w:val="3"/>
            <w:vMerge w:val="restart"/>
            <w:tcBorders>
              <w:top w:val="nil"/>
              <w:left w:val="single" w:sz="8" w:space="0" w:color="auto"/>
              <w:bottom w:val="single" w:sz="8" w:space="0" w:color="000000"/>
              <w:right w:val="single" w:sz="8" w:space="0" w:color="auto"/>
            </w:tcBorders>
            <w:shd w:val="clear" w:color="000000" w:fill="D9D9D9"/>
            <w:vAlign w:val="center"/>
            <w:hideMark/>
          </w:tcPr>
          <w:p w14:paraId="51FEC20E" w14:textId="77777777" w:rsidR="00EC060D" w:rsidRPr="00046858" w:rsidRDefault="00EC060D" w:rsidP="00730799">
            <w:pPr>
              <w:spacing w:before="0" w:after="0"/>
              <w:jc w:val="right"/>
              <w:rPr>
                <w:rFonts w:eastAsia="Times New Roman"/>
                <w:b/>
                <w:noProof/>
                <w:color w:val="000000"/>
                <w:sz w:val="20"/>
                <w:szCs w:val="20"/>
              </w:rPr>
            </w:pPr>
            <w:r w:rsidRPr="00046858">
              <w:rPr>
                <w:noProof/>
                <w:sz w:val="20"/>
              </w:rPr>
              <w:t>6,000</w:t>
            </w:r>
          </w:p>
        </w:tc>
        <w:tc>
          <w:tcPr>
            <w:tcW w:w="390" w:type="pct"/>
            <w:gridSpan w:val="3"/>
            <w:vMerge w:val="restart"/>
            <w:tcBorders>
              <w:top w:val="nil"/>
              <w:left w:val="single" w:sz="8" w:space="0" w:color="auto"/>
              <w:bottom w:val="single" w:sz="8" w:space="0" w:color="000000"/>
              <w:right w:val="single" w:sz="8" w:space="0" w:color="auto"/>
            </w:tcBorders>
            <w:shd w:val="clear" w:color="000000" w:fill="D9D9D9"/>
            <w:vAlign w:val="center"/>
            <w:hideMark/>
          </w:tcPr>
          <w:p w14:paraId="35677C5C" w14:textId="77777777" w:rsidR="00EC060D" w:rsidRPr="00046858" w:rsidRDefault="00EC060D" w:rsidP="00730799">
            <w:pPr>
              <w:spacing w:before="0" w:after="0"/>
              <w:jc w:val="right"/>
              <w:rPr>
                <w:rFonts w:eastAsia="Times New Roman"/>
                <w:b/>
                <w:noProof/>
                <w:color w:val="000000"/>
                <w:sz w:val="20"/>
                <w:szCs w:val="20"/>
              </w:rPr>
            </w:pPr>
            <w:r w:rsidRPr="00046858">
              <w:rPr>
                <w:noProof/>
                <w:sz w:val="20"/>
              </w:rPr>
              <w:t>15,000</w:t>
            </w:r>
          </w:p>
        </w:tc>
        <w:tc>
          <w:tcPr>
            <w:tcW w:w="390" w:type="pct"/>
            <w:gridSpan w:val="3"/>
            <w:vMerge w:val="restart"/>
            <w:tcBorders>
              <w:top w:val="nil"/>
              <w:left w:val="single" w:sz="8" w:space="0" w:color="auto"/>
              <w:bottom w:val="single" w:sz="8" w:space="0" w:color="000000"/>
              <w:right w:val="single" w:sz="8" w:space="0" w:color="auto"/>
            </w:tcBorders>
            <w:shd w:val="clear" w:color="000000" w:fill="D9D9D9"/>
            <w:vAlign w:val="center"/>
            <w:hideMark/>
          </w:tcPr>
          <w:p w14:paraId="5E1AB720" w14:textId="77777777" w:rsidR="00EC060D" w:rsidRPr="00046858" w:rsidRDefault="00EC060D" w:rsidP="00730799">
            <w:pPr>
              <w:spacing w:before="0" w:after="0"/>
              <w:jc w:val="right"/>
              <w:rPr>
                <w:rFonts w:eastAsia="Times New Roman"/>
                <w:b/>
                <w:noProof/>
                <w:color w:val="000000"/>
                <w:sz w:val="20"/>
                <w:szCs w:val="20"/>
              </w:rPr>
            </w:pPr>
            <w:r w:rsidRPr="00046858">
              <w:rPr>
                <w:noProof/>
                <w:sz w:val="20"/>
              </w:rPr>
              <w:t>7,000</w:t>
            </w:r>
          </w:p>
        </w:tc>
        <w:tc>
          <w:tcPr>
            <w:tcW w:w="390" w:type="pct"/>
            <w:gridSpan w:val="2"/>
            <w:vMerge w:val="restart"/>
            <w:tcBorders>
              <w:top w:val="nil"/>
              <w:left w:val="single" w:sz="8" w:space="0" w:color="000000"/>
              <w:bottom w:val="single" w:sz="8" w:space="0" w:color="000000"/>
              <w:right w:val="single" w:sz="8" w:space="0" w:color="auto"/>
            </w:tcBorders>
            <w:shd w:val="clear" w:color="000000" w:fill="D9D9D9"/>
            <w:vAlign w:val="center"/>
            <w:hideMark/>
          </w:tcPr>
          <w:p w14:paraId="41F0416F" w14:textId="77777777" w:rsidR="00EC060D" w:rsidRPr="00046858" w:rsidRDefault="00EC060D" w:rsidP="00730799">
            <w:pPr>
              <w:spacing w:before="0" w:after="0"/>
              <w:jc w:val="right"/>
              <w:rPr>
                <w:rFonts w:eastAsia="Times New Roman"/>
                <w:b/>
                <w:noProof/>
                <w:color w:val="000000"/>
                <w:sz w:val="20"/>
                <w:szCs w:val="20"/>
              </w:rPr>
            </w:pPr>
            <w:r w:rsidRPr="00046858">
              <w:rPr>
                <w:noProof/>
                <w:sz w:val="20"/>
              </w:rPr>
              <w:t>8,000</w:t>
            </w:r>
          </w:p>
        </w:tc>
        <w:tc>
          <w:tcPr>
            <w:tcW w:w="390" w:type="pct"/>
            <w:gridSpan w:val="3"/>
            <w:vMerge w:val="restart"/>
            <w:tcBorders>
              <w:top w:val="nil"/>
              <w:left w:val="single" w:sz="8" w:space="0" w:color="auto"/>
              <w:bottom w:val="single" w:sz="8" w:space="0" w:color="000000"/>
              <w:right w:val="single" w:sz="8" w:space="0" w:color="auto"/>
            </w:tcBorders>
            <w:shd w:val="clear" w:color="000000" w:fill="D9D9D9"/>
            <w:vAlign w:val="center"/>
            <w:hideMark/>
          </w:tcPr>
          <w:p w14:paraId="390B0E00" w14:textId="77777777" w:rsidR="00EC060D" w:rsidRPr="00046858" w:rsidRDefault="00EC060D" w:rsidP="00730799">
            <w:pPr>
              <w:spacing w:before="0" w:after="0"/>
              <w:jc w:val="right"/>
              <w:rPr>
                <w:rFonts w:eastAsia="Times New Roman"/>
                <w:b/>
                <w:noProof/>
                <w:color w:val="000000"/>
                <w:sz w:val="20"/>
                <w:szCs w:val="20"/>
              </w:rPr>
            </w:pPr>
            <w:r w:rsidRPr="00046858">
              <w:rPr>
                <w:noProof/>
                <w:sz w:val="20"/>
              </w:rPr>
              <w:t>4,000</w:t>
            </w:r>
          </w:p>
        </w:tc>
        <w:tc>
          <w:tcPr>
            <w:tcW w:w="390" w:type="pct"/>
            <w:gridSpan w:val="2"/>
            <w:vMerge w:val="restart"/>
            <w:tcBorders>
              <w:top w:val="nil"/>
              <w:left w:val="single" w:sz="8" w:space="0" w:color="auto"/>
              <w:bottom w:val="single" w:sz="8" w:space="0" w:color="000000"/>
              <w:right w:val="single" w:sz="8" w:space="0" w:color="auto"/>
            </w:tcBorders>
            <w:shd w:val="clear" w:color="000000" w:fill="D9D9D9"/>
            <w:vAlign w:val="center"/>
            <w:hideMark/>
          </w:tcPr>
          <w:p w14:paraId="7824E532" w14:textId="77777777" w:rsidR="00EC060D" w:rsidRPr="00046858" w:rsidRDefault="00EC060D" w:rsidP="00730799">
            <w:pPr>
              <w:spacing w:before="0" w:after="0"/>
              <w:jc w:val="right"/>
              <w:rPr>
                <w:rFonts w:eastAsia="Times New Roman"/>
                <w:b/>
                <w:noProof/>
                <w:color w:val="000000"/>
                <w:sz w:val="20"/>
                <w:szCs w:val="20"/>
              </w:rPr>
            </w:pPr>
            <w:r w:rsidRPr="00046858">
              <w:rPr>
                <w:noProof/>
                <w:sz w:val="20"/>
              </w:rPr>
              <w:t>7,000</w:t>
            </w:r>
          </w:p>
        </w:tc>
        <w:tc>
          <w:tcPr>
            <w:tcW w:w="390" w:type="pct"/>
            <w:gridSpan w:val="2"/>
            <w:vMerge w:val="restart"/>
            <w:tcBorders>
              <w:top w:val="nil"/>
              <w:left w:val="single" w:sz="8" w:space="0" w:color="auto"/>
              <w:right w:val="single" w:sz="4" w:space="0" w:color="auto"/>
            </w:tcBorders>
            <w:shd w:val="clear" w:color="000000" w:fill="D9D9D9"/>
            <w:vAlign w:val="center"/>
          </w:tcPr>
          <w:p w14:paraId="3A79AF24" w14:textId="77777777" w:rsidR="00EC060D" w:rsidRPr="00046858" w:rsidRDefault="00EC060D" w:rsidP="00730799">
            <w:pPr>
              <w:spacing w:before="0" w:after="0"/>
              <w:jc w:val="right"/>
              <w:rPr>
                <w:rFonts w:eastAsia="Times New Roman"/>
                <w:b/>
                <w:noProof/>
                <w:color w:val="000000"/>
                <w:sz w:val="20"/>
                <w:szCs w:val="20"/>
              </w:rPr>
            </w:pPr>
            <w:r w:rsidRPr="00046858">
              <w:rPr>
                <w:noProof/>
                <w:color w:val="000000"/>
                <w:sz w:val="20"/>
              </w:rPr>
              <w:t>5,000</w:t>
            </w:r>
          </w:p>
        </w:tc>
        <w:tc>
          <w:tcPr>
            <w:tcW w:w="368" w:type="pct"/>
            <w:vMerge w:val="restart"/>
            <w:tcBorders>
              <w:top w:val="nil"/>
              <w:left w:val="single" w:sz="4" w:space="0" w:color="auto"/>
              <w:bottom w:val="single" w:sz="8" w:space="0" w:color="000000"/>
              <w:right w:val="single" w:sz="8" w:space="0" w:color="auto"/>
            </w:tcBorders>
            <w:shd w:val="clear" w:color="000000" w:fill="D9D9D9"/>
            <w:vAlign w:val="center"/>
            <w:hideMark/>
          </w:tcPr>
          <w:p w14:paraId="6940DB35" w14:textId="77777777" w:rsidR="00EC060D" w:rsidRPr="00046858" w:rsidRDefault="00EC060D" w:rsidP="00730799">
            <w:pPr>
              <w:spacing w:before="0" w:after="0"/>
              <w:jc w:val="right"/>
              <w:rPr>
                <w:rFonts w:eastAsia="Times New Roman"/>
                <w:b/>
                <w:noProof/>
                <w:color w:val="000000"/>
                <w:sz w:val="20"/>
                <w:szCs w:val="20"/>
              </w:rPr>
            </w:pPr>
            <w:r w:rsidRPr="00046858">
              <w:rPr>
                <w:b/>
                <w:noProof/>
                <w:sz w:val="20"/>
              </w:rPr>
              <w:t>70,000</w:t>
            </w:r>
          </w:p>
        </w:tc>
      </w:tr>
      <w:tr w:rsidR="00EC060D" w:rsidRPr="00046858" w14:paraId="3DE05A5C" w14:textId="77777777">
        <w:trPr>
          <w:trHeight w:val="54"/>
        </w:trPr>
        <w:tc>
          <w:tcPr>
            <w:tcW w:w="651" w:type="pct"/>
            <w:gridSpan w:val="2"/>
            <w:tcBorders>
              <w:top w:val="nil"/>
              <w:left w:val="single" w:sz="8" w:space="0" w:color="auto"/>
              <w:bottom w:val="single" w:sz="8" w:space="0" w:color="auto"/>
              <w:right w:val="single" w:sz="8" w:space="0" w:color="auto"/>
            </w:tcBorders>
            <w:shd w:val="thinDiagStripe" w:color="C0C0C0" w:fill="E6E6E6"/>
            <w:vAlign w:val="center"/>
            <w:hideMark/>
          </w:tcPr>
          <w:p w14:paraId="742427D3" w14:textId="77777777" w:rsidR="00EC060D" w:rsidRPr="00046858" w:rsidRDefault="00EC060D" w:rsidP="00730799">
            <w:pPr>
              <w:spacing w:before="0" w:after="0"/>
              <w:jc w:val="center"/>
              <w:rPr>
                <w:rFonts w:eastAsia="Times New Roman"/>
                <w:noProof/>
                <w:color w:val="000000"/>
                <w:sz w:val="20"/>
                <w:szCs w:val="20"/>
              </w:rPr>
            </w:pPr>
            <w:r w:rsidRPr="00046858">
              <w:rPr>
                <w:noProof/>
                <w:color w:val="000000"/>
                <w:sz w:val="20"/>
              </w:rPr>
              <w:t>(Suma de referință)</w:t>
            </w:r>
          </w:p>
        </w:tc>
        <w:tc>
          <w:tcPr>
            <w:tcW w:w="497" w:type="pct"/>
            <w:gridSpan w:val="4"/>
            <w:vMerge/>
            <w:tcBorders>
              <w:top w:val="nil"/>
              <w:left w:val="single" w:sz="8" w:space="0" w:color="auto"/>
              <w:bottom w:val="single" w:sz="8" w:space="0" w:color="000000"/>
              <w:right w:val="single" w:sz="8" w:space="0" w:color="auto"/>
            </w:tcBorders>
            <w:vAlign w:val="center"/>
            <w:hideMark/>
          </w:tcPr>
          <w:p w14:paraId="2A18C669" w14:textId="77777777" w:rsidR="00EC060D" w:rsidRPr="00046858" w:rsidRDefault="00EC060D" w:rsidP="00730799">
            <w:pPr>
              <w:spacing w:before="0" w:after="0"/>
              <w:jc w:val="left"/>
              <w:rPr>
                <w:rFonts w:eastAsia="Times New Roman"/>
                <w:noProof/>
                <w:color w:val="000000"/>
                <w:sz w:val="18"/>
                <w:szCs w:val="18"/>
                <w:lang w:eastAsia="en-IE"/>
              </w:rPr>
            </w:pPr>
          </w:p>
        </w:tc>
        <w:tc>
          <w:tcPr>
            <w:tcW w:w="364" w:type="pct"/>
            <w:gridSpan w:val="4"/>
            <w:vMerge/>
            <w:tcBorders>
              <w:top w:val="single" w:sz="8" w:space="0" w:color="auto"/>
              <w:left w:val="single" w:sz="8" w:space="0" w:color="auto"/>
              <w:bottom w:val="single" w:sz="8" w:space="0" w:color="000000"/>
              <w:right w:val="single" w:sz="8" w:space="0" w:color="000000"/>
            </w:tcBorders>
            <w:vAlign w:val="center"/>
            <w:hideMark/>
          </w:tcPr>
          <w:p w14:paraId="13806E42" w14:textId="77777777" w:rsidR="00EC060D" w:rsidRPr="00046858" w:rsidRDefault="00EC060D" w:rsidP="00730799">
            <w:pPr>
              <w:spacing w:before="0" w:after="0"/>
              <w:jc w:val="left"/>
              <w:rPr>
                <w:rFonts w:eastAsia="Times New Roman"/>
                <w:noProof/>
                <w:color w:val="000000"/>
                <w:sz w:val="14"/>
                <w:szCs w:val="14"/>
                <w:lang w:eastAsia="en-IE"/>
              </w:rPr>
            </w:pPr>
          </w:p>
        </w:tc>
        <w:tc>
          <w:tcPr>
            <w:tcW w:w="390" w:type="pct"/>
            <w:gridSpan w:val="2"/>
            <w:vMerge/>
            <w:tcBorders>
              <w:top w:val="nil"/>
              <w:left w:val="single" w:sz="8" w:space="0" w:color="000000"/>
              <w:bottom w:val="single" w:sz="8" w:space="0" w:color="000000"/>
              <w:right w:val="single" w:sz="8" w:space="0" w:color="auto"/>
            </w:tcBorders>
            <w:vAlign w:val="center"/>
            <w:hideMark/>
          </w:tcPr>
          <w:p w14:paraId="411291B9" w14:textId="77777777" w:rsidR="00EC060D" w:rsidRPr="00046858" w:rsidRDefault="00EC060D" w:rsidP="00730799">
            <w:pPr>
              <w:spacing w:before="0" w:after="0"/>
              <w:jc w:val="left"/>
              <w:rPr>
                <w:rFonts w:eastAsia="Times New Roman"/>
                <w:b/>
                <w:bCs/>
                <w:noProof/>
                <w:color w:val="000000"/>
                <w:sz w:val="20"/>
                <w:szCs w:val="20"/>
                <w:lang w:eastAsia="en-IE"/>
              </w:rPr>
            </w:pPr>
          </w:p>
        </w:tc>
        <w:tc>
          <w:tcPr>
            <w:tcW w:w="390" w:type="pct"/>
            <w:gridSpan w:val="3"/>
            <w:vMerge/>
            <w:tcBorders>
              <w:top w:val="nil"/>
              <w:left w:val="single" w:sz="8" w:space="0" w:color="auto"/>
              <w:bottom w:val="single" w:sz="8" w:space="0" w:color="000000"/>
              <w:right w:val="single" w:sz="8" w:space="0" w:color="auto"/>
            </w:tcBorders>
            <w:vAlign w:val="center"/>
            <w:hideMark/>
          </w:tcPr>
          <w:p w14:paraId="006D4572" w14:textId="77777777" w:rsidR="00EC060D" w:rsidRPr="00046858" w:rsidRDefault="00EC060D" w:rsidP="00730799">
            <w:pPr>
              <w:spacing w:before="0" w:after="0"/>
              <w:jc w:val="left"/>
              <w:rPr>
                <w:rFonts w:eastAsia="Times New Roman"/>
                <w:b/>
                <w:bCs/>
                <w:noProof/>
                <w:color w:val="000000"/>
                <w:sz w:val="20"/>
                <w:szCs w:val="20"/>
                <w:lang w:eastAsia="en-IE"/>
              </w:rPr>
            </w:pPr>
          </w:p>
        </w:tc>
        <w:tc>
          <w:tcPr>
            <w:tcW w:w="390" w:type="pct"/>
            <w:gridSpan w:val="3"/>
            <w:vMerge/>
            <w:tcBorders>
              <w:top w:val="nil"/>
              <w:left w:val="single" w:sz="8" w:space="0" w:color="auto"/>
              <w:bottom w:val="single" w:sz="8" w:space="0" w:color="000000"/>
              <w:right w:val="single" w:sz="8" w:space="0" w:color="auto"/>
            </w:tcBorders>
            <w:vAlign w:val="center"/>
            <w:hideMark/>
          </w:tcPr>
          <w:p w14:paraId="7B0DD4B7" w14:textId="77777777" w:rsidR="00EC060D" w:rsidRPr="00046858" w:rsidRDefault="00EC060D" w:rsidP="00730799">
            <w:pPr>
              <w:spacing w:before="0" w:after="0"/>
              <w:jc w:val="left"/>
              <w:rPr>
                <w:rFonts w:eastAsia="Times New Roman"/>
                <w:b/>
                <w:bCs/>
                <w:noProof/>
                <w:color w:val="000000"/>
                <w:sz w:val="20"/>
                <w:szCs w:val="20"/>
                <w:lang w:eastAsia="en-IE"/>
              </w:rPr>
            </w:pPr>
          </w:p>
        </w:tc>
        <w:tc>
          <w:tcPr>
            <w:tcW w:w="390" w:type="pct"/>
            <w:gridSpan w:val="3"/>
            <w:vMerge/>
            <w:tcBorders>
              <w:top w:val="nil"/>
              <w:left w:val="single" w:sz="8" w:space="0" w:color="auto"/>
              <w:bottom w:val="single" w:sz="8" w:space="0" w:color="000000"/>
              <w:right w:val="single" w:sz="8" w:space="0" w:color="auto"/>
            </w:tcBorders>
            <w:vAlign w:val="center"/>
            <w:hideMark/>
          </w:tcPr>
          <w:p w14:paraId="5CA67A6C" w14:textId="77777777" w:rsidR="00EC060D" w:rsidRPr="00046858" w:rsidRDefault="00EC060D" w:rsidP="00730799">
            <w:pPr>
              <w:spacing w:before="0" w:after="0"/>
              <w:jc w:val="left"/>
              <w:rPr>
                <w:rFonts w:eastAsia="Times New Roman"/>
                <w:b/>
                <w:bCs/>
                <w:noProof/>
                <w:color w:val="000000"/>
                <w:sz w:val="20"/>
                <w:szCs w:val="20"/>
                <w:lang w:eastAsia="en-IE"/>
              </w:rPr>
            </w:pPr>
          </w:p>
        </w:tc>
        <w:tc>
          <w:tcPr>
            <w:tcW w:w="390" w:type="pct"/>
            <w:gridSpan w:val="2"/>
            <w:vMerge/>
            <w:tcBorders>
              <w:top w:val="nil"/>
              <w:left w:val="single" w:sz="8" w:space="0" w:color="000000"/>
              <w:bottom w:val="single" w:sz="8" w:space="0" w:color="000000"/>
              <w:right w:val="single" w:sz="8" w:space="0" w:color="auto"/>
            </w:tcBorders>
            <w:vAlign w:val="center"/>
            <w:hideMark/>
          </w:tcPr>
          <w:p w14:paraId="79B3760B" w14:textId="77777777" w:rsidR="00EC060D" w:rsidRPr="00046858" w:rsidRDefault="00EC060D" w:rsidP="00730799">
            <w:pPr>
              <w:spacing w:before="0" w:after="0"/>
              <w:jc w:val="left"/>
              <w:rPr>
                <w:rFonts w:eastAsia="Times New Roman"/>
                <w:b/>
                <w:bCs/>
                <w:noProof/>
                <w:color w:val="000000"/>
                <w:sz w:val="20"/>
                <w:szCs w:val="20"/>
                <w:lang w:eastAsia="en-IE"/>
              </w:rPr>
            </w:pPr>
          </w:p>
        </w:tc>
        <w:tc>
          <w:tcPr>
            <w:tcW w:w="390" w:type="pct"/>
            <w:gridSpan w:val="3"/>
            <w:vMerge/>
            <w:tcBorders>
              <w:top w:val="nil"/>
              <w:left w:val="single" w:sz="8" w:space="0" w:color="auto"/>
              <w:bottom w:val="single" w:sz="8" w:space="0" w:color="000000"/>
              <w:right w:val="single" w:sz="8" w:space="0" w:color="auto"/>
            </w:tcBorders>
            <w:vAlign w:val="center"/>
            <w:hideMark/>
          </w:tcPr>
          <w:p w14:paraId="74C48B04" w14:textId="77777777" w:rsidR="00EC060D" w:rsidRPr="00046858" w:rsidRDefault="00EC060D" w:rsidP="00730799">
            <w:pPr>
              <w:spacing w:before="0" w:after="0"/>
              <w:jc w:val="left"/>
              <w:rPr>
                <w:rFonts w:eastAsia="Times New Roman"/>
                <w:b/>
                <w:bCs/>
                <w:noProof/>
                <w:color w:val="000000"/>
                <w:sz w:val="20"/>
                <w:szCs w:val="20"/>
                <w:lang w:eastAsia="en-IE"/>
              </w:rPr>
            </w:pPr>
          </w:p>
        </w:tc>
        <w:tc>
          <w:tcPr>
            <w:tcW w:w="390" w:type="pct"/>
            <w:gridSpan w:val="2"/>
            <w:vMerge/>
            <w:tcBorders>
              <w:top w:val="nil"/>
              <w:left w:val="single" w:sz="8" w:space="0" w:color="auto"/>
              <w:bottom w:val="single" w:sz="8" w:space="0" w:color="000000"/>
              <w:right w:val="single" w:sz="8" w:space="0" w:color="auto"/>
            </w:tcBorders>
            <w:vAlign w:val="center"/>
            <w:hideMark/>
          </w:tcPr>
          <w:p w14:paraId="3315FE95" w14:textId="77777777" w:rsidR="00EC060D" w:rsidRPr="00046858" w:rsidRDefault="00EC060D" w:rsidP="00730799">
            <w:pPr>
              <w:spacing w:before="0" w:after="0"/>
              <w:jc w:val="left"/>
              <w:rPr>
                <w:rFonts w:eastAsia="Times New Roman"/>
                <w:b/>
                <w:bCs/>
                <w:noProof/>
                <w:color w:val="000000"/>
                <w:sz w:val="20"/>
                <w:szCs w:val="20"/>
                <w:lang w:eastAsia="en-IE"/>
              </w:rPr>
            </w:pPr>
          </w:p>
        </w:tc>
        <w:tc>
          <w:tcPr>
            <w:tcW w:w="390" w:type="pct"/>
            <w:gridSpan w:val="2"/>
            <w:vMerge/>
            <w:tcBorders>
              <w:left w:val="single" w:sz="8" w:space="0" w:color="auto"/>
              <w:bottom w:val="single" w:sz="8" w:space="0" w:color="000000"/>
              <w:right w:val="single" w:sz="4" w:space="0" w:color="auto"/>
            </w:tcBorders>
          </w:tcPr>
          <w:p w14:paraId="6DD463C8" w14:textId="77777777" w:rsidR="00EC060D" w:rsidRPr="00046858" w:rsidRDefault="00EC060D" w:rsidP="00730799">
            <w:pPr>
              <w:spacing w:before="0" w:after="0"/>
              <w:jc w:val="left"/>
              <w:rPr>
                <w:rFonts w:eastAsia="Times New Roman"/>
                <w:b/>
                <w:bCs/>
                <w:noProof/>
                <w:color w:val="000000"/>
                <w:sz w:val="20"/>
                <w:szCs w:val="20"/>
                <w:lang w:eastAsia="en-IE"/>
              </w:rPr>
            </w:pPr>
          </w:p>
        </w:tc>
        <w:tc>
          <w:tcPr>
            <w:tcW w:w="368" w:type="pct"/>
            <w:vMerge/>
            <w:tcBorders>
              <w:top w:val="nil"/>
              <w:left w:val="single" w:sz="4" w:space="0" w:color="auto"/>
              <w:bottom w:val="single" w:sz="8" w:space="0" w:color="000000"/>
              <w:right w:val="single" w:sz="8" w:space="0" w:color="auto"/>
            </w:tcBorders>
            <w:vAlign w:val="center"/>
            <w:hideMark/>
          </w:tcPr>
          <w:p w14:paraId="0804DEB4" w14:textId="77777777" w:rsidR="00EC060D" w:rsidRPr="00046858" w:rsidRDefault="00EC060D" w:rsidP="00730799">
            <w:pPr>
              <w:spacing w:before="0" w:after="0"/>
              <w:jc w:val="left"/>
              <w:rPr>
                <w:rFonts w:eastAsia="Times New Roman"/>
                <w:b/>
                <w:bCs/>
                <w:noProof/>
                <w:color w:val="000000"/>
                <w:sz w:val="20"/>
                <w:szCs w:val="20"/>
                <w:lang w:eastAsia="en-IE"/>
              </w:rPr>
            </w:pPr>
          </w:p>
        </w:tc>
      </w:tr>
    </w:tbl>
    <w:p w14:paraId="62F75363" w14:textId="77777777" w:rsidR="00C67F54" w:rsidRPr="00046858" w:rsidRDefault="004A14F0">
      <w:pPr>
        <w:spacing w:before="0" w:after="200" w:line="276" w:lineRule="auto"/>
        <w:jc w:val="left"/>
        <w:rPr>
          <w:noProof/>
        </w:rPr>
      </w:pPr>
      <w:r w:rsidRPr="00046858">
        <w:rPr>
          <w:noProof/>
        </w:rPr>
        <w:br w:type="page"/>
      </w:r>
    </w:p>
    <w:p w14:paraId="4546E03F" w14:textId="77777777" w:rsidR="00C67F54" w:rsidRPr="00046858" w:rsidRDefault="00C67F54" w:rsidP="00C67F54">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7"/>
        <w:gridCol w:w="2706"/>
        <w:gridCol w:w="262"/>
        <w:gridCol w:w="583"/>
        <w:gridCol w:w="727"/>
        <w:gridCol w:w="125"/>
        <w:gridCol w:w="971"/>
        <w:gridCol w:w="971"/>
        <w:gridCol w:w="971"/>
        <w:gridCol w:w="972"/>
        <w:gridCol w:w="972"/>
        <w:gridCol w:w="972"/>
        <w:gridCol w:w="972"/>
        <w:gridCol w:w="1049"/>
      </w:tblGrid>
      <w:tr w:rsidR="00C67F54" w:rsidRPr="00046858" w14:paraId="03808F60" w14:textId="77777777">
        <w:trPr>
          <w:jc w:val="center"/>
        </w:trPr>
        <w:tc>
          <w:tcPr>
            <w:tcW w:w="1739" w:type="pct"/>
            <w:gridSpan w:val="3"/>
            <w:shd w:val="thinDiagStripe" w:color="C0C0C0" w:fill="auto"/>
            <w:vAlign w:val="center"/>
          </w:tcPr>
          <w:p w14:paraId="4B159E36" w14:textId="77777777" w:rsidR="00C67F54" w:rsidRPr="00046858" w:rsidRDefault="00C67F54">
            <w:pPr>
              <w:spacing w:before="60" w:after="60"/>
              <w:jc w:val="center"/>
              <w:rPr>
                <w:b/>
                <w:noProof/>
              </w:rPr>
            </w:pPr>
            <w:r w:rsidRPr="00046858">
              <w:rPr>
                <w:noProof/>
              </w:rPr>
              <w:br w:type="page"/>
            </w:r>
            <w:r w:rsidRPr="00046858">
              <w:rPr>
                <w:b/>
                <w:noProof/>
                <w:sz w:val="22"/>
              </w:rPr>
              <w:t xml:space="preserve">Rubrica din cadrul financiar multianual </w:t>
            </w:r>
          </w:p>
        </w:tc>
        <w:tc>
          <w:tcPr>
            <w:tcW w:w="396" w:type="pct"/>
            <w:gridSpan w:val="2"/>
            <w:shd w:val="thinDiagStripe" w:color="C0C0C0" w:fill="auto"/>
            <w:vAlign w:val="center"/>
          </w:tcPr>
          <w:p w14:paraId="176368D8" w14:textId="77777777" w:rsidR="00C67F54" w:rsidRPr="00046858" w:rsidRDefault="00C67F54">
            <w:pPr>
              <w:spacing w:before="60" w:after="60"/>
              <w:jc w:val="center"/>
              <w:rPr>
                <w:noProof/>
              </w:rPr>
            </w:pPr>
            <w:r w:rsidRPr="00046858">
              <w:rPr>
                <w:noProof/>
              </w:rPr>
              <w:t>4</w:t>
            </w:r>
          </w:p>
        </w:tc>
        <w:tc>
          <w:tcPr>
            <w:tcW w:w="2865" w:type="pct"/>
            <w:gridSpan w:val="9"/>
            <w:vAlign w:val="center"/>
          </w:tcPr>
          <w:p w14:paraId="5BB9D72C" w14:textId="77777777" w:rsidR="00C67F54" w:rsidRPr="00046858" w:rsidRDefault="00C67F54">
            <w:pPr>
              <w:spacing w:before="60" w:after="60"/>
              <w:rPr>
                <w:noProof/>
              </w:rPr>
            </w:pPr>
            <w:r w:rsidRPr="00046858">
              <w:rPr>
                <w:noProof/>
                <w:sz w:val="22"/>
              </w:rPr>
              <w:t>„Cheltuieli administrative”</w:t>
            </w:r>
            <w:r w:rsidRPr="00046858">
              <w:rPr>
                <w:rStyle w:val="FootnoteReference"/>
                <w:noProof/>
                <w:sz w:val="22"/>
              </w:rPr>
              <w:footnoteReference w:id="80"/>
            </w:r>
          </w:p>
        </w:tc>
      </w:tr>
      <w:tr w:rsidR="000D7A57" w:rsidRPr="00046858" w14:paraId="4432EC84"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0"/>
        </w:trPr>
        <w:tc>
          <w:tcPr>
            <w:tcW w:w="2173"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760907ED" w14:textId="77777777" w:rsidR="000D7A57" w:rsidRPr="00046858" w:rsidRDefault="000D7A57">
            <w:pPr>
              <w:spacing w:before="0" w:after="0"/>
              <w:jc w:val="center"/>
              <w:rPr>
                <w:rFonts w:eastAsia="Times New Roman"/>
                <w:noProof/>
                <w:color w:val="000000"/>
                <w:szCs w:val="24"/>
              </w:rPr>
            </w:pPr>
            <w:r w:rsidRPr="00046858">
              <w:rPr>
                <w:noProof/>
                <w:color w:val="000000"/>
              </w:rPr>
              <w:t>DG: CNECT</w:t>
            </w:r>
          </w:p>
        </w:tc>
        <w:tc>
          <w:tcPr>
            <w:tcW w:w="350" w:type="pct"/>
            <w:tcBorders>
              <w:top w:val="single" w:sz="8" w:space="0" w:color="auto"/>
              <w:left w:val="nil"/>
              <w:bottom w:val="nil"/>
              <w:right w:val="single" w:sz="8" w:space="0" w:color="auto"/>
            </w:tcBorders>
            <w:vAlign w:val="center"/>
            <w:hideMark/>
          </w:tcPr>
          <w:p w14:paraId="5381F5D3" w14:textId="77777777" w:rsidR="000D7A57" w:rsidRPr="00046858" w:rsidRDefault="000D7A57">
            <w:pPr>
              <w:spacing w:before="0" w:after="0"/>
              <w:jc w:val="center"/>
              <w:rPr>
                <w:rFonts w:eastAsia="Times New Roman"/>
                <w:noProof/>
                <w:color w:val="000000"/>
                <w:sz w:val="20"/>
                <w:szCs w:val="20"/>
              </w:rPr>
            </w:pPr>
            <w:r w:rsidRPr="00046858">
              <w:rPr>
                <w:noProof/>
                <w:color w:val="000000"/>
                <w:sz w:val="20"/>
              </w:rPr>
              <w:t>Anul</w:t>
            </w:r>
          </w:p>
        </w:tc>
        <w:tc>
          <w:tcPr>
            <w:tcW w:w="350" w:type="pct"/>
            <w:tcBorders>
              <w:top w:val="single" w:sz="8" w:space="0" w:color="auto"/>
              <w:left w:val="nil"/>
              <w:bottom w:val="nil"/>
              <w:right w:val="single" w:sz="8" w:space="0" w:color="auto"/>
            </w:tcBorders>
            <w:vAlign w:val="center"/>
            <w:hideMark/>
          </w:tcPr>
          <w:p w14:paraId="3BC07AB1" w14:textId="77777777" w:rsidR="000D7A57" w:rsidRPr="00046858" w:rsidRDefault="000D7A57">
            <w:pPr>
              <w:spacing w:before="0" w:after="0"/>
              <w:jc w:val="center"/>
              <w:rPr>
                <w:rFonts w:eastAsia="Times New Roman"/>
                <w:noProof/>
                <w:color w:val="000000"/>
                <w:sz w:val="20"/>
                <w:szCs w:val="20"/>
              </w:rPr>
            </w:pPr>
            <w:r w:rsidRPr="00046858">
              <w:rPr>
                <w:noProof/>
                <w:color w:val="000000"/>
                <w:sz w:val="20"/>
              </w:rPr>
              <w:t>Anul</w:t>
            </w:r>
          </w:p>
        </w:tc>
        <w:tc>
          <w:tcPr>
            <w:tcW w:w="350" w:type="pct"/>
            <w:tcBorders>
              <w:top w:val="single" w:sz="8" w:space="0" w:color="auto"/>
              <w:left w:val="nil"/>
              <w:bottom w:val="nil"/>
              <w:right w:val="single" w:sz="8" w:space="0" w:color="auto"/>
            </w:tcBorders>
            <w:vAlign w:val="center"/>
            <w:hideMark/>
          </w:tcPr>
          <w:p w14:paraId="622FA660" w14:textId="77777777" w:rsidR="000D7A57" w:rsidRPr="00046858" w:rsidRDefault="000D7A57">
            <w:pPr>
              <w:spacing w:before="0" w:after="0"/>
              <w:jc w:val="center"/>
              <w:rPr>
                <w:rFonts w:eastAsia="Times New Roman"/>
                <w:noProof/>
                <w:color w:val="000000"/>
                <w:sz w:val="20"/>
                <w:szCs w:val="20"/>
              </w:rPr>
            </w:pPr>
            <w:r w:rsidRPr="00046858">
              <w:rPr>
                <w:noProof/>
                <w:color w:val="000000"/>
                <w:sz w:val="20"/>
              </w:rPr>
              <w:t>Anul</w:t>
            </w:r>
          </w:p>
        </w:tc>
        <w:tc>
          <w:tcPr>
            <w:tcW w:w="350" w:type="pct"/>
            <w:tcBorders>
              <w:top w:val="single" w:sz="8" w:space="0" w:color="auto"/>
              <w:left w:val="nil"/>
              <w:bottom w:val="nil"/>
              <w:right w:val="single" w:sz="8" w:space="0" w:color="auto"/>
            </w:tcBorders>
            <w:vAlign w:val="center"/>
            <w:hideMark/>
          </w:tcPr>
          <w:p w14:paraId="590E950E" w14:textId="77777777" w:rsidR="000D7A57" w:rsidRPr="00046858" w:rsidRDefault="000D7A57">
            <w:pPr>
              <w:spacing w:before="0" w:after="0"/>
              <w:jc w:val="center"/>
              <w:rPr>
                <w:rFonts w:eastAsia="Times New Roman"/>
                <w:noProof/>
                <w:color w:val="000000"/>
                <w:sz w:val="20"/>
                <w:szCs w:val="20"/>
              </w:rPr>
            </w:pPr>
            <w:r w:rsidRPr="00046858">
              <w:rPr>
                <w:noProof/>
                <w:color w:val="000000"/>
                <w:sz w:val="20"/>
              </w:rPr>
              <w:t>Anul</w:t>
            </w:r>
          </w:p>
        </w:tc>
        <w:tc>
          <w:tcPr>
            <w:tcW w:w="350" w:type="pct"/>
            <w:tcBorders>
              <w:top w:val="single" w:sz="8" w:space="0" w:color="auto"/>
              <w:left w:val="nil"/>
              <w:bottom w:val="nil"/>
              <w:right w:val="single" w:sz="8" w:space="0" w:color="auto"/>
            </w:tcBorders>
            <w:vAlign w:val="center"/>
            <w:hideMark/>
          </w:tcPr>
          <w:p w14:paraId="1F790E4F" w14:textId="77777777" w:rsidR="000D7A57" w:rsidRPr="00046858" w:rsidRDefault="000D7A57">
            <w:pPr>
              <w:spacing w:before="0" w:after="0"/>
              <w:jc w:val="center"/>
              <w:rPr>
                <w:rFonts w:eastAsia="Times New Roman"/>
                <w:noProof/>
                <w:color w:val="000000"/>
                <w:sz w:val="20"/>
                <w:szCs w:val="20"/>
              </w:rPr>
            </w:pPr>
            <w:r w:rsidRPr="00046858">
              <w:rPr>
                <w:noProof/>
                <w:color w:val="000000"/>
                <w:sz w:val="20"/>
              </w:rPr>
              <w:t>Anul</w:t>
            </w:r>
          </w:p>
        </w:tc>
        <w:tc>
          <w:tcPr>
            <w:tcW w:w="350" w:type="pct"/>
            <w:tcBorders>
              <w:top w:val="single" w:sz="8" w:space="0" w:color="auto"/>
              <w:left w:val="nil"/>
              <w:bottom w:val="nil"/>
              <w:right w:val="single" w:sz="8" w:space="0" w:color="auto"/>
            </w:tcBorders>
            <w:vAlign w:val="center"/>
            <w:hideMark/>
          </w:tcPr>
          <w:p w14:paraId="0226A679" w14:textId="77777777" w:rsidR="000D7A57" w:rsidRPr="00046858" w:rsidRDefault="000D7A57">
            <w:pPr>
              <w:spacing w:before="0" w:after="0"/>
              <w:jc w:val="center"/>
              <w:rPr>
                <w:rFonts w:eastAsia="Times New Roman"/>
                <w:noProof/>
                <w:color w:val="000000"/>
                <w:sz w:val="20"/>
                <w:szCs w:val="20"/>
              </w:rPr>
            </w:pPr>
            <w:r w:rsidRPr="00046858">
              <w:rPr>
                <w:noProof/>
                <w:color w:val="000000"/>
                <w:sz w:val="20"/>
              </w:rPr>
              <w:t>Anul</w:t>
            </w:r>
          </w:p>
        </w:tc>
        <w:tc>
          <w:tcPr>
            <w:tcW w:w="350" w:type="pct"/>
            <w:tcBorders>
              <w:top w:val="single" w:sz="8" w:space="0" w:color="auto"/>
              <w:left w:val="nil"/>
              <w:bottom w:val="nil"/>
              <w:right w:val="single" w:sz="8" w:space="0" w:color="auto"/>
            </w:tcBorders>
            <w:vAlign w:val="center"/>
            <w:hideMark/>
          </w:tcPr>
          <w:p w14:paraId="1FCD2529" w14:textId="77777777" w:rsidR="000D7A57" w:rsidRPr="00046858" w:rsidRDefault="000D7A57">
            <w:pPr>
              <w:spacing w:before="0" w:after="0"/>
              <w:jc w:val="center"/>
              <w:rPr>
                <w:rFonts w:eastAsia="Times New Roman"/>
                <w:noProof/>
                <w:color w:val="000000"/>
                <w:sz w:val="20"/>
                <w:szCs w:val="20"/>
              </w:rPr>
            </w:pPr>
            <w:r w:rsidRPr="00046858">
              <w:rPr>
                <w:noProof/>
                <w:color w:val="000000"/>
                <w:sz w:val="20"/>
              </w:rPr>
              <w:t>Anul</w:t>
            </w:r>
          </w:p>
        </w:tc>
        <w:tc>
          <w:tcPr>
            <w:tcW w:w="378" w:type="pct"/>
            <w:vMerge w:val="restart"/>
            <w:tcBorders>
              <w:top w:val="single" w:sz="8" w:space="0" w:color="auto"/>
              <w:left w:val="single" w:sz="8" w:space="0" w:color="auto"/>
              <w:bottom w:val="single" w:sz="8" w:space="0" w:color="000000"/>
              <w:right w:val="single" w:sz="8" w:space="0" w:color="auto"/>
            </w:tcBorders>
            <w:vAlign w:val="center"/>
            <w:hideMark/>
          </w:tcPr>
          <w:p w14:paraId="1C174807" w14:textId="77777777" w:rsidR="000D7A57" w:rsidRPr="00046858" w:rsidRDefault="000D7A57">
            <w:pPr>
              <w:spacing w:before="0" w:after="0"/>
              <w:jc w:val="center"/>
              <w:rPr>
                <w:rFonts w:eastAsia="Times New Roman"/>
                <w:b/>
                <w:bCs/>
                <w:noProof/>
                <w:color w:val="000000"/>
                <w:sz w:val="20"/>
                <w:szCs w:val="20"/>
              </w:rPr>
            </w:pPr>
            <w:r w:rsidRPr="00046858">
              <w:rPr>
                <w:b/>
                <w:noProof/>
                <w:color w:val="000000"/>
                <w:sz w:val="20"/>
              </w:rPr>
              <w:t>TOTAL CFM 2028-2034</w:t>
            </w:r>
          </w:p>
        </w:tc>
      </w:tr>
      <w:tr w:rsidR="000D7A57" w:rsidRPr="00046858" w14:paraId="78D1BD2D"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73" w:type="pct"/>
            <w:gridSpan w:val="6"/>
            <w:vMerge/>
            <w:tcBorders>
              <w:top w:val="single" w:sz="8" w:space="0" w:color="auto"/>
              <w:left w:val="single" w:sz="8" w:space="0" w:color="auto"/>
              <w:bottom w:val="single" w:sz="8" w:space="0" w:color="000000"/>
              <w:right w:val="single" w:sz="8" w:space="0" w:color="000000"/>
            </w:tcBorders>
            <w:vAlign w:val="center"/>
            <w:hideMark/>
          </w:tcPr>
          <w:p w14:paraId="70A851BA" w14:textId="77777777" w:rsidR="000D7A57" w:rsidRPr="00046858" w:rsidRDefault="000D7A57">
            <w:pPr>
              <w:spacing w:before="0" w:after="0"/>
              <w:jc w:val="left"/>
              <w:rPr>
                <w:rFonts w:eastAsia="Times New Roman"/>
                <w:noProof/>
                <w:color w:val="000000"/>
                <w:szCs w:val="24"/>
                <w:lang w:eastAsia="en-IE"/>
              </w:rPr>
            </w:pPr>
          </w:p>
        </w:tc>
        <w:tc>
          <w:tcPr>
            <w:tcW w:w="350" w:type="pct"/>
            <w:tcBorders>
              <w:top w:val="nil"/>
              <w:left w:val="nil"/>
              <w:bottom w:val="single" w:sz="8" w:space="0" w:color="auto"/>
              <w:right w:val="single" w:sz="8" w:space="0" w:color="auto"/>
            </w:tcBorders>
            <w:vAlign w:val="center"/>
            <w:hideMark/>
          </w:tcPr>
          <w:p w14:paraId="04543B3E" w14:textId="77777777" w:rsidR="000D7A57" w:rsidRPr="00046858" w:rsidRDefault="000D7A57">
            <w:pPr>
              <w:spacing w:before="0" w:after="0"/>
              <w:jc w:val="center"/>
              <w:rPr>
                <w:rFonts w:eastAsia="Times New Roman"/>
                <w:b/>
                <w:bCs/>
                <w:noProof/>
                <w:color w:val="000000"/>
                <w:sz w:val="20"/>
                <w:szCs w:val="20"/>
              </w:rPr>
            </w:pPr>
            <w:r w:rsidRPr="00046858">
              <w:rPr>
                <w:b/>
                <w:noProof/>
                <w:color w:val="000000"/>
                <w:sz w:val="20"/>
              </w:rPr>
              <w:t>2028</w:t>
            </w:r>
          </w:p>
        </w:tc>
        <w:tc>
          <w:tcPr>
            <w:tcW w:w="350" w:type="pct"/>
            <w:tcBorders>
              <w:top w:val="nil"/>
              <w:left w:val="nil"/>
              <w:bottom w:val="single" w:sz="8" w:space="0" w:color="auto"/>
              <w:right w:val="single" w:sz="8" w:space="0" w:color="auto"/>
            </w:tcBorders>
            <w:vAlign w:val="center"/>
            <w:hideMark/>
          </w:tcPr>
          <w:p w14:paraId="2E7177F1" w14:textId="77777777" w:rsidR="000D7A57" w:rsidRPr="00046858" w:rsidRDefault="000D7A57">
            <w:pPr>
              <w:spacing w:before="0" w:after="0"/>
              <w:jc w:val="center"/>
              <w:rPr>
                <w:rFonts w:eastAsia="Times New Roman"/>
                <w:b/>
                <w:bCs/>
                <w:noProof/>
                <w:color w:val="000000"/>
                <w:sz w:val="20"/>
                <w:szCs w:val="20"/>
              </w:rPr>
            </w:pPr>
            <w:r w:rsidRPr="00046858">
              <w:rPr>
                <w:b/>
                <w:noProof/>
                <w:color w:val="000000"/>
                <w:sz w:val="20"/>
              </w:rPr>
              <w:t>2029</w:t>
            </w:r>
          </w:p>
        </w:tc>
        <w:tc>
          <w:tcPr>
            <w:tcW w:w="350" w:type="pct"/>
            <w:tcBorders>
              <w:top w:val="nil"/>
              <w:left w:val="nil"/>
              <w:bottom w:val="single" w:sz="8" w:space="0" w:color="auto"/>
              <w:right w:val="single" w:sz="8" w:space="0" w:color="auto"/>
            </w:tcBorders>
            <w:vAlign w:val="center"/>
            <w:hideMark/>
          </w:tcPr>
          <w:p w14:paraId="521317CA" w14:textId="77777777" w:rsidR="000D7A57" w:rsidRPr="00046858" w:rsidRDefault="000D7A57">
            <w:pPr>
              <w:spacing w:before="0" w:after="0"/>
              <w:jc w:val="center"/>
              <w:rPr>
                <w:rFonts w:eastAsia="Times New Roman"/>
                <w:b/>
                <w:bCs/>
                <w:noProof/>
                <w:color w:val="000000"/>
                <w:sz w:val="20"/>
                <w:szCs w:val="20"/>
              </w:rPr>
            </w:pPr>
            <w:r w:rsidRPr="00046858">
              <w:rPr>
                <w:b/>
                <w:noProof/>
                <w:color w:val="000000"/>
                <w:sz w:val="20"/>
              </w:rPr>
              <w:t>2030</w:t>
            </w:r>
          </w:p>
        </w:tc>
        <w:tc>
          <w:tcPr>
            <w:tcW w:w="350" w:type="pct"/>
            <w:tcBorders>
              <w:top w:val="nil"/>
              <w:left w:val="nil"/>
              <w:bottom w:val="single" w:sz="8" w:space="0" w:color="auto"/>
              <w:right w:val="single" w:sz="8" w:space="0" w:color="auto"/>
            </w:tcBorders>
            <w:vAlign w:val="center"/>
            <w:hideMark/>
          </w:tcPr>
          <w:p w14:paraId="418485E9" w14:textId="77777777" w:rsidR="000D7A57" w:rsidRPr="00046858" w:rsidRDefault="000D7A57">
            <w:pPr>
              <w:spacing w:before="0" w:after="0"/>
              <w:jc w:val="center"/>
              <w:rPr>
                <w:rFonts w:eastAsia="Times New Roman"/>
                <w:b/>
                <w:bCs/>
                <w:noProof/>
                <w:color w:val="000000"/>
                <w:sz w:val="20"/>
                <w:szCs w:val="20"/>
              </w:rPr>
            </w:pPr>
            <w:r w:rsidRPr="00046858">
              <w:rPr>
                <w:b/>
                <w:noProof/>
                <w:color w:val="000000"/>
                <w:sz w:val="20"/>
              </w:rPr>
              <w:t>2031</w:t>
            </w:r>
          </w:p>
        </w:tc>
        <w:tc>
          <w:tcPr>
            <w:tcW w:w="350" w:type="pct"/>
            <w:tcBorders>
              <w:top w:val="nil"/>
              <w:left w:val="nil"/>
              <w:bottom w:val="single" w:sz="8" w:space="0" w:color="auto"/>
              <w:right w:val="single" w:sz="8" w:space="0" w:color="auto"/>
            </w:tcBorders>
            <w:vAlign w:val="center"/>
            <w:hideMark/>
          </w:tcPr>
          <w:p w14:paraId="14121A35" w14:textId="77777777" w:rsidR="000D7A57" w:rsidRPr="00046858" w:rsidRDefault="000D7A57">
            <w:pPr>
              <w:spacing w:before="0" w:after="0"/>
              <w:jc w:val="center"/>
              <w:rPr>
                <w:rFonts w:eastAsia="Times New Roman"/>
                <w:b/>
                <w:bCs/>
                <w:noProof/>
                <w:color w:val="000000"/>
                <w:sz w:val="20"/>
                <w:szCs w:val="20"/>
              </w:rPr>
            </w:pPr>
            <w:r w:rsidRPr="00046858">
              <w:rPr>
                <w:b/>
                <w:noProof/>
                <w:color w:val="000000"/>
                <w:sz w:val="20"/>
              </w:rPr>
              <w:t>2032</w:t>
            </w:r>
          </w:p>
        </w:tc>
        <w:tc>
          <w:tcPr>
            <w:tcW w:w="350" w:type="pct"/>
            <w:tcBorders>
              <w:top w:val="nil"/>
              <w:left w:val="nil"/>
              <w:bottom w:val="single" w:sz="8" w:space="0" w:color="auto"/>
              <w:right w:val="single" w:sz="8" w:space="0" w:color="auto"/>
            </w:tcBorders>
            <w:vAlign w:val="center"/>
            <w:hideMark/>
          </w:tcPr>
          <w:p w14:paraId="15841F93" w14:textId="77777777" w:rsidR="000D7A57" w:rsidRPr="00046858" w:rsidRDefault="000D7A57">
            <w:pPr>
              <w:spacing w:before="0" w:after="0"/>
              <w:jc w:val="center"/>
              <w:rPr>
                <w:rFonts w:eastAsia="Times New Roman"/>
                <w:b/>
                <w:bCs/>
                <w:noProof/>
                <w:color w:val="000000"/>
                <w:sz w:val="20"/>
                <w:szCs w:val="20"/>
              </w:rPr>
            </w:pPr>
            <w:r w:rsidRPr="00046858">
              <w:rPr>
                <w:b/>
                <w:noProof/>
                <w:color w:val="000000"/>
                <w:sz w:val="20"/>
              </w:rPr>
              <w:t>2033</w:t>
            </w:r>
          </w:p>
        </w:tc>
        <w:tc>
          <w:tcPr>
            <w:tcW w:w="350" w:type="pct"/>
            <w:tcBorders>
              <w:top w:val="nil"/>
              <w:left w:val="nil"/>
              <w:bottom w:val="single" w:sz="8" w:space="0" w:color="auto"/>
              <w:right w:val="single" w:sz="8" w:space="0" w:color="auto"/>
            </w:tcBorders>
            <w:vAlign w:val="center"/>
            <w:hideMark/>
          </w:tcPr>
          <w:p w14:paraId="08BC0659" w14:textId="77777777" w:rsidR="000D7A57" w:rsidRPr="00046858" w:rsidRDefault="000D7A57">
            <w:pPr>
              <w:spacing w:before="0" w:after="0"/>
              <w:jc w:val="center"/>
              <w:rPr>
                <w:rFonts w:eastAsia="Times New Roman"/>
                <w:b/>
                <w:bCs/>
                <w:noProof/>
                <w:color w:val="000000"/>
                <w:sz w:val="20"/>
                <w:szCs w:val="20"/>
              </w:rPr>
            </w:pPr>
            <w:r w:rsidRPr="00046858">
              <w:rPr>
                <w:b/>
                <w:noProof/>
                <w:color w:val="000000"/>
                <w:sz w:val="20"/>
              </w:rPr>
              <w:t>2034</w:t>
            </w:r>
          </w:p>
        </w:tc>
        <w:tc>
          <w:tcPr>
            <w:tcW w:w="378" w:type="pct"/>
            <w:vMerge/>
            <w:tcBorders>
              <w:top w:val="single" w:sz="8" w:space="0" w:color="auto"/>
              <w:left w:val="single" w:sz="8" w:space="0" w:color="auto"/>
              <w:bottom w:val="single" w:sz="8" w:space="0" w:color="000000"/>
              <w:right w:val="single" w:sz="8" w:space="0" w:color="auto"/>
            </w:tcBorders>
            <w:vAlign w:val="center"/>
            <w:hideMark/>
          </w:tcPr>
          <w:p w14:paraId="304C43CC" w14:textId="77777777" w:rsidR="000D7A57" w:rsidRPr="00046858" w:rsidRDefault="000D7A57">
            <w:pPr>
              <w:spacing w:before="0" w:after="0"/>
              <w:jc w:val="left"/>
              <w:rPr>
                <w:rFonts w:eastAsia="Times New Roman"/>
                <w:b/>
                <w:bCs/>
                <w:noProof/>
                <w:color w:val="000000"/>
                <w:sz w:val="20"/>
                <w:szCs w:val="20"/>
                <w:lang w:eastAsia="en-IE"/>
              </w:rPr>
            </w:pPr>
          </w:p>
        </w:tc>
      </w:tr>
      <w:tr w:rsidR="000D7A57" w:rsidRPr="00046858" w14:paraId="49EC09D4"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73" w:type="pct"/>
            <w:gridSpan w:val="6"/>
            <w:tcBorders>
              <w:top w:val="single" w:sz="8" w:space="0" w:color="auto"/>
              <w:left w:val="single" w:sz="8" w:space="0" w:color="auto"/>
              <w:bottom w:val="single" w:sz="8" w:space="0" w:color="auto"/>
              <w:right w:val="single" w:sz="8" w:space="0" w:color="000000"/>
            </w:tcBorders>
            <w:vAlign w:val="center"/>
            <w:hideMark/>
          </w:tcPr>
          <w:p w14:paraId="21535FE9" w14:textId="77777777" w:rsidR="000D7A57" w:rsidRPr="00046858" w:rsidRDefault="000D7A57">
            <w:pPr>
              <w:spacing w:before="0" w:after="0"/>
              <w:jc w:val="left"/>
              <w:rPr>
                <w:rFonts w:ascii="Wingdings" w:eastAsia="Times New Roman" w:hAnsi="Wingdings"/>
                <w:noProof/>
                <w:color w:val="000000"/>
                <w:sz w:val="22"/>
              </w:rPr>
            </w:pPr>
            <w:r w:rsidRPr="00046858">
              <w:rPr>
                <w:rFonts w:ascii="Wingdings" w:hAnsi="Wingdings"/>
                <w:noProof/>
                <w:color w:val="000000"/>
                <w:sz w:val="22"/>
              </w:rPr>
              <w:t></w:t>
            </w:r>
            <w:r w:rsidRPr="00046858">
              <w:rPr>
                <w:noProof/>
                <w:color w:val="000000"/>
                <w:sz w:val="22"/>
              </w:rPr>
              <w:t xml:space="preserve"> Resurse umane </w:t>
            </w:r>
          </w:p>
        </w:tc>
        <w:tc>
          <w:tcPr>
            <w:tcW w:w="350" w:type="pct"/>
            <w:tcBorders>
              <w:top w:val="nil"/>
              <w:left w:val="nil"/>
              <w:bottom w:val="single" w:sz="8" w:space="0" w:color="auto"/>
              <w:right w:val="single" w:sz="8" w:space="0" w:color="auto"/>
            </w:tcBorders>
            <w:shd w:val="clear" w:color="000000" w:fill="D9D9D9"/>
            <w:vAlign w:val="center"/>
            <w:hideMark/>
          </w:tcPr>
          <w:p w14:paraId="16932B2A" w14:textId="77777777" w:rsidR="000D7A57" w:rsidRPr="00046858" w:rsidRDefault="000D7A57">
            <w:pPr>
              <w:spacing w:before="0" w:after="0"/>
              <w:jc w:val="right"/>
              <w:rPr>
                <w:rFonts w:eastAsia="Times New Roman"/>
                <w:noProof/>
                <w:color w:val="000000"/>
                <w:sz w:val="20"/>
                <w:szCs w:val="20"/>
              </w:rPr>
            </w:pPr>
            <w:r w:rsidRPr="00046858">
              <w:rPr>
                <w:noProof/>
                <w:sz w:val="20"/>
              </w:rPr>
              <w:t>1,972</w:t>
            </w:r>
          </w:p>
        </w:tc>
        <w:tc>
          <w:tcPr>
            <w:tcW w:w="350" w:type="pct"/>
            <w:tcBorders>
              <w:top w:val="nil"/>
              <w:left w:val="nil"/>
              <w:bottom w:val="single" w:sz="8" w:space="0" w:color="auto"/>
              <w:right w:val="single" w:sz="8" w:space="0" w:color="auto"/>
            </w:tcBorders>
            <w:shd w:val="clear" w:color="000000" w:fill="D9D9D9"/>
            <w:vAlign w:val="center"/>
            <w:hideMark/>
          </w:tcPr>
          <w:p w14:paraId="26EBA29B" w14:textId="77777777" w:rsidR="000D7A57" w:rsidRPr="00046858" w:rsidRDefault="000D7A57">
            <w:pPr>
              <w:spacing w:before="0" w:after="0"/>
              <w:jc w:val="right"/>
              <w:rPr>
                <w:rFonts w:eastAsia="Times New Roman"/>
                <w:noProof/>
                <w:color w:val="000000"/>
                <w:sz w:val="20"/>
                <w:szCs w:val="20"/>
              </w:rPr>
            </w:pPr>
            <w:r w:rsidRPr="00046858">
              <w:rPr>
                <w:noProof/>
                <w:sz w:val="20"/>
              </w:rPr>
              <w:t>1,972</w:t>
            </w:r>
          </w:p>
        </w:tc>
        <w:tc>
          <w:tcPr>
            <w:tcW w:w="350" w:type="pct"/>
            <w:tcBorders>
              <w:top w:val="nil"/>
              <w:left w:val="nil"/>
              <w:bottom w:val="single" w:sz="8" w:space="0" w:color="auto"/>
              <w:right w:val="single" w:sz="8" w:space="0" w:color="auto"/>
            </w:tcBorders>
            <w:shd w:val="clear" w:color="000000" w:fill="D9D9D9"/>
            <w:vAlign w:val="center"/>
            <w:hideMark/>
          </w:tcPr>
          <w:p w14:paraId="38C9DE90" w14:textId="77777777" w:rsidR="000D7A57" w:rsidRPr="00046858" w:rsidRDefault="000D7A57">
            <w:pPr>
              <w:spacing w:before="0" w:after="0"/>
              <w:jc w:val="right"/>
              <w:rPr>
                <w:rFonts w:eastAsia="Times New Roman"/>
                <w:noProof/>
                <w:color w:val="000000"/>
                <w:sz w:val="20"/>
                <w:szCs w:val="20"/>
              </w:rPr>
            </w:pPr>
            <w:r w:rsidRPr="00046858">
              <w:rPr>
                <w:noProof/>
                <w:sz w:val="20"/>
              </w:rPr>
              <w:t>1,972</w:t>
            </w:r>
          </w:p>
        </w:tc>
        <w:tc>
          <w:tcPr>
            <w:tcW w:w="350" w:type="pct"/>
            <w:tcBorders>
              <w:top w:val="nil"/>
              <w:left w:val="nil"/>
              <w:bottom w:val="single" w:sz="8" w:space="0" w:color="auto"/>
              <w:right w:val="single" w:sz="8" w:space="0" w:color="auto"/>
            </w:tcBorders>
            <w:shd w:val="clear" w:color="000000" w:fill="D9D9D9"/>
            <w:vAlign w:val="center"/>
            <w:hideMark/>
          </w:tcPr>
          <w:p w14:paraId="336C1461" w14:textId="77777777" w:rsidR="000D7A57" w:rsidRPr="00046858" w:rsidRDefault="000D7A57">
            <w:pPr>
              <w:spacing w:before="0" w:after="0"/>
              <w:jc w:val="right"/>
              <w:rPr>
                <w:rFonts w:eastAsia="Times New Roman"/>
                <w:noProof/>
                <w:color w:val="000000"/>
                <w:sz w:val="20"/>
                <w:szCs w:val="20"/>
              </w:rPr>
            </w:pPr>
            <w:r w:rsidRPr="00046858">
              <w:rPr>
                <w:noProof/>
                <w:sz w:val="20"/>
              </w:rPr>
              <w:t>1,972</w:t>
            </w:r>
          </w:p>
        </w:tc>
        <w:tc>
          <w:tcPr>
            <w:tcW w:w="350" w:type="pct"/>
            <w:tcBorders>
              <w:top w:val="nil"/>
              <w:left w:val="nil"/>
              <w:bottom w:val="single" w:sz="8" w:space="0" w:color="auto"/>
              <w:right w:val="single" w:sz="8" w:space="0" w:color="auto"/>
            </w:tcBorders>
            <w:shd w:val="clear" w:color="000000" w:fill="D9D9D9"/>
            <w:vAlign w:val="center"/>
            <w:hideMark/>
          </w:tcPr>
          <w:p w14:paraId="54568D73" w14:textId="77777777" w:rsidR="000D7A57" w:rsidRPr="00046858" w:rsidRDefault="000D7A57">
            <w:pPr>
              <w:spacing w:before="0" w:after="0"/>
              <w:jc w:val="right"/>
              <w:rPr>
                <w:rFonts w:eastAsia="Times New Roman"/>
                <w:noProof/>
                <w:color w:val="000000"/>
                <w:sz w:val="20"/>
                <w:szCs w:val="20"/>
              </w:rPr>
            </w:pPr>
            <w:r w:rsidRPr="00046858">
              <w:rPr>
                <w:noProof/>
                <w:sz w:val="20"/>
              </w:rPr>
              <w:t>1,972</w:t>
            </w:r>
          </w:p>
        </w:tc>
        <w:tc>
          <w:tcPr>
            <w:tcW w:w="350" w:type="pct"/>
            <w:tcBorders>
              <w:top w:val="nil"/>
              <w:left w:val="nil"/>
              <w:bottom w:val="single" w:sz="8" w:space="0" w:color="auto"/>
              <w:right w:val="single" w:sz="8" w:space="0" w:color="auto"/>
            </w:tcBorders>
            <w:shd w:val="clear" w:color="000000" w:fill="D9D9D9"/>
            <w:vAlign w:val="center"/>
            <w:hideMark/>
          </w:tcPr>
          <w:p w14:paraId="177D682B" w14:textId="77777777" w:rsidR="000D7A57" w:rsidRPr="00046858" w:rsidRDefault="000D7A57">
            <w:pPr>
              <w:spacing w:before="0" w:after="0"/>
              <w:jc w:val="right"/>
              <w:rPr>
                <w:rFonts w:eastAsia="Times New Roman"/>
                <w:noProof/>
                <w:color w:val="000000"/>
                <w:sz w:val="20"/>
                <w:szCs w:val="20"/>
              </w:rPr>
            </w:pPr>
            <w:r w:rsidRPr="00046858">
              <w:rPr>
                <w:noProof/>
                <w:sz w:val="20"/>
              </w:rPr>
              <w:t>1,972</w:t>
            </w:r>
          </w:p>
        </w:tc>
        <w:tc>
          <w:tcPr>
            <w:tcW w:w="350" w:type="pct"/>
            <w:tcBorders>
              <w:top w:val="nil"/>
              <w:left w:val="nil"/>
              <w:bottom w:val="single" w:sz="8" w:space="0" w:color="auto"/>
              <w:right w:val="single" w:sz="8" w:space="0" w:color="auto"/>
            </w:tcBorders>
            <w:shd w:val="clear" w:color="000000" w:fill="D9D9D9"/>
            <w:vAlign w:val="center"/>
            <w:hideMark/>
          </w:tcPr>
          <w:p w14:paraId="411208F8" w14:textId="77777777" w:rsidR="000D7A57" w:rsidRPr="00046858" w:rsidRDefault="000D7A57">
            <w:pPr>
              <w:spacing w:before="0" w:after="0"/>
              <w:jc w:val="right"/>
              <w:rPr>
                <w:rFonts w:eastAsia="Times New Roman"/>
                <w:noProof/>
                <w:color w:val="000000"/>
                <w:sz w:val="20"/>
                <w:szCs w:val="20"/>
              </w:rPr>
            </w:pPr>
            <w:r w:rsidRPr="00046858">
              <w:rPr>
                <w:noProof/>
                <w:sz w:val="20"/>
              </w:rPr>
              <w:t>1,972</w:t>
            </w:r>
          </w:p>
        </w:tc>
        <w:tc>
          <w:tcPr>
            <w:tcW w:w="378" w:type="pct"/>
            <w:tcBorders>
              <w:top w:val="nil"/>
              <w:left w:val="nil"/>
              <w:bottom w:val="single" w:sz="8" w:space="0" w:color="auto"/>
              <w:right w:val="single" w:sz="8" w:space="0" w:color="auto"/>
            </w:tcBorders>
            <w:shd w:val="clear" w:color="000000" w:fill="D9D9D9"/>
            <w:vAlign w:val="center"/>
            <w:hideMark/>
          </w:tcPr>
          <w:p w14:paraId="6BEEF9A4" w14:textId="77777777" w:rsidR="000D7A57" w:rsidRPr="00046858" w:rsidRDefault="000D7A57">
            <w:pPr>
              <w:spacing w:before="0" w:after="0"/>
              <w:jc w:val="right"/>
              <w:rPr>
                <w:rFonts w:eastAsia="Times New Roman"/>
                <w:b/>
                <w:bCs/>
                <w:noProof/>
                <w:color w:val="000000"/>
                <w:sz w:val="20"/>
                <w:szCs w:val="20"/>
              </w:rPr>
            </w:pPr>
            <w:r w:rsidRPr="00046858">
              <w:rPr>
                <w:b/>
                <w:noProof/>
                <w:color w:val="000000"/>
                <w:sz w:val="20"/>
              </w:rPr>
              <w:t>13,804</w:t>
            </w:r>
          </w:p>
        </w:tc>
      </w:tr>
      <w:tr w:rsidR="000D7A57" w:rsidRPr="00046858" w14:paraId="32336781"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73" w:type="pct"/>
            <w:gridSpan w:val="6"/>
            <w:tcBorders>
              <w:top w:val="single" w:sz="8" w:space="0" w:color="auto"/>
              <w:left w:val="single" w:sz="8" w:space="0" w:color="auto"/>
              <w:bottom w:val="single" w:sz="8" w:space="0" w:color="auto"/>
              <w:right w:val="single" w:sz="8" w:space="0" w:color="000000"/>
            </w:tcBorders>
            <w:vAlign w:val="center"/>
            <w:hideMark/>
          </w:tcPr>
          <w:p w14:paraId="7F41F097" w14:textId="77777777" w:rsidR="000D7A57" w:rsidRPr="00046858" w:rsidRDefault="000D7A57">
            <w:pPr>
              <w:spacing w:before="0" w:after="0"/>
              <w:jc w:val="left"/>
              <w:rPr>
                <w:rFonts w:ascii="Wingdings" w:eastAsia="Times New Roman" w:hAnsi="Wingdings"/>
                <w:noProof/>
                <w:color w:val="000000"/>
                <w:sz w:val="22"/>
              </w:rPr>
            </w:pPr>
            <w:r w:rsidRPr="00046858">
              <w:rPr>
                <w:rFonts w:ascii="Wingdings" w:hAnsi="Wingdings"/>
                <w:noProof/>
                <w:color w:val="000000"/>
                <w:sz w:val="22"/>
              </w:rPr>
              <w:t></w:t>
            </w:r>
            <w:r w:rsidRPr="00046858">
              <w:rPr>
                <w:noProof/>
                <w:color w:val="000000"/>
                <w:sz w:val="22"/>
              </w:rPr>
              <w:t xml:space="preserve"> Alte cheltuieli administrative </w:t>
            </w:r>
          </w:p>
        </w:tc>
        <w:tc>
          <w:tcPr>
            <w:tcW w:w="350" w:type="pct"/>
            <w:tcBorders>
              <w:top w:val="nil"/>
              <w:left w:val="nil"/>
              <w:bottom w:val="single" w:sz="8" w:space="0" w:color="auto"/>
              <w:right w:val="single" w:sz="8" w:space="0" w:color="auto"/>
            </w:tcBorders>
            <w:shd w:val="clear" w:color="000000" w:fill="D9D9D9"/>
            <w:vAlign w:val="center"/>
          </w:tcPr>
          <w:p w14:paraId="1FB7C43F" w14:textId="77777777" w:rsidR="000D7A57" w:rsidRPr="00046858" w:rsidRDefault="000D7A57">
            <w:pPr>
              <w:spacing w:before="0" w:after="0"/>
              <w:jc w:val="right"/>
              <w:rPr>
                <w:rFonts w:eastAsia="Times New Roman"/>
                <w:noProof/>
                <w:color w:val="000000"/>
                <w:sz w:val="20"/>
                <w:szCs w:val="20"/>
                <w:lang w:eastAsia="en-IE"/>
              </w:rPr>
            </w:pPr>
          </w:p>
        </w:tc>
        <w:tc>
          <w:tcPr>
            <w:tcW w:w="350" w:type="pct"/>
            <w:tcBorders>
              <w:top w:val="nil"/>
              <w:left w:val="nil"/>
              <w:bottom w:val="single" w:sz="8" w:space="0" w:color="auto"/>
              <w:right w:val="single" w:sz="8" w:space="0" w:color="auto"/>
            </w:tcBorders>
            <w:shd w:val="clear" w:color="000000" w:fill="D9D9D9"/>
            <w:vAlign w:val="center"/>
          </w:tcPr>
          <w:p w14:paraId="67F0743C" w14:textId="77777777" w:rsidR="000D7A57" w:rsidRPr="00046858" w:rsidRDefault="000D7A57">
            <w:pPr>
              <w:spacing w:before="0" w:after="0"/>
              <w:jc w:val="right"/>
              <w:rPr>
                <w:rFonts w:eastAsia="Times New Roman"/>
                <w:noProof/>
                <w:color w:val="000000"/>
                <w:sz w:val="20"/>
                <w:szCs w:val="20"/>
                <w:lang w:eastAsia="en-IE"/>
              </w:rPr>
            </w:pPr>
          </w:p>
        </w:tc>
        <w:tc>
          <w:tcPr>
            <w:tcW w:w="350" w:type="pct"/>
            <w:tcBorders>
              <w:top w:val="nil"/>
              <w:left w:val="nil"/>
              <w:bottom w:val="single" w:sz="8" w:space="0" w:color="auto"/>
              <w:right w:val="single" w:sz="8" w:space="0" w:color="auto"/>
            </w:tcBorders>
            <w:shd w:val="clear" w:color="000000" w:fill="D9D9D9"/>
            <w:vAlign w:val="center"/>
          </w:tcPr>
          <w:p w14:paraId="0EA8095A" w14:textId="77777777" w:rsidR="000D7A57" w:rsidRPr="00046858" w:rsidRDefault="000D7A57">
            <w:pPr>
              <w:spacing w:before="0" w:after="0"/>
              <w:jc w:val="right"/>
              <w:rPr>
                <w:rFonts w:eastAsia="Times New Roman"/>
                <w:noProof/>
                <w:color w:val="000000"/>
                <w:sz w:val="20"/>
                <w:szCs w:val="20"/>
                <w:lang w:eastAsia="en-IE"/>
              </w:rPr>
            </w:pPr>
          </w:p>
        </w:tc>
        <w:tc>
          <w:tcPr>
            <w:tcW w:w="350" w:type="pct"/>
            <w:tcBorders>
              <w:top w:val="nil"/>
              <w:left w:val="nil"/>
              <w:bottom w:val="single" w:sz="8" w:space="0" w:color="auto"/>
              <w:right w:val="single" w:sz="8" w:space="0" w:color="auto"/>
            </w:tcBorders>
            <w:shd w:val="clear" w:color="000000" w:fill="D9D9D9"/>
            <w:vAlign w:val="center"/>
          </w:tcPr>
          <w:p w14:paraId="5F7B7638" w14:textId="77777777" w:rsidR="000D7A57" w:rsidRPr="00046858" w:rsidRDefault="000D7A57">
            <w:pPr>
              <w:spacing w:before="0" w:after="0"/>
              <w:jc w:val="right"/>
              <w:rPr>
                <w:rFonts w:eastAsia="Times New Roman"/>
                <w:noProof/>
                <w:color w:val="000000"/>
                <w:sz w:val="20"/>
                <w:szCs w:val="20"/>
                <w:lang w:eastAsia="en-IE"/>
              </w:rPr>
            </w:pPr>
          </w:p>
        </w:tc>
        <w:tc>
          <w:tcPr>
            <w:tcW w:w="350" w:type="pct"/>
            <w:tcBorders>
              <w:top w:val="nil"/>
              <w:left w:val="nil"/>
              <w:bottom w:val="single" w:sz="8" w:space="0" w:color="auto"/>
              <w:right w:val="single" w:sz="8" w:space="0" w:color="auto"/>
            </w:tcBorders>
            <w:shd w:val="clear" w:color="000000" w:fill="D9D9D9"/>
            <w:vAlign w:val="center"/>
          </w:tcPr>
          <w:p w14:paraId="1E7328D9" w14:textId="77777777" w:rsidR="000D7A57" w:rsidRPr="00046858" w:rsidRDefault="000D7A57">
            <w:pPr>
              <w:spacing w:before="0" w:after="0"/>
              <w:jc w:val="right"/>
              <w:rPr>
                <w:rFonts w:eastAsia="Times New Roman"/>
                <w:noProof/>
                <w:color w:val="000000"/>
                <w:sz w:val="20"/>
                <w:szCs w:val="20"/>
                <w:lang w:eastAsia="en-IE"/>
              </w:rPr>
            </w:pPr>
          </w:p>
        </w:tc>
        <w:tc>
          <w:tcPr>
            <w:tcW w:w="350" w:type="pct"/>
            <w:tcBorders>
              <w:top w:val="nil"/>
              <w:left w:val="nil"/>
              <w:bottom w:val="single" w:sz="8" w:space="0" w:color="auto"/>
              <w:right w:val="single" w:sz="8" w:space="0" w:color="auto"/>
            </w:tcBorders>
            <w:shd w:val="clear" w:color="000000" w:fill="D9D9D9"/>
            <w:vAlign w:val="center"/>
          </w:tcPr>
          <w:p w14:paraId="42F2D2E4" w14:textId="77777777" w:rsidR="000D7A57" w:rsidRPr="00046858" w:rsidRDefault="000D7A57">
            <w:pPr>
              <w:spacing w:before="0" w:after="0"/>
              <w:jc w:val="right"/>
              <w:rPr>
                <w:rFonts w:eastAsia="Times New Roman"/>
                <w:noProof/>
                <w:color w:val="000000"/>
                <w:sz w:val="20"/>
                <w:szCs w:val="20"/>
                <w:lang w:eastAsia="en-IE"/>
              </w:rPr>
            </w:pPr>
          </w:p>
        </w:tc>
        <w:tc>
          <w:tcPr>
            <w:tcW w:w="350" w:type="pct"/>
            <w:tcBorders>
              <w:top w:val="nil"/>
              <w:left w:val="nil"/>
              <w:bottom w:val="single" w:sz="8" w:space="0" w:color="auto"/>
              <w:right w:val="single" w:sz="8" w:space="0" w:color="auto"/>
            </w:tcBorders>
            <w:shd w:val="clear" w:color="000000" w:fill="D9D9D9"/>
            <w:vAlign w:val="center"/>
          </w:tcPr>
          <w:p w14:paraId="7891484C" w14:textId="77777777" w:rsidR="000D7A57" w:rsidRPr="00046858" w:rsidRDefault="000D7A57">
            <w:pPr>
              <w:spacing w:before="0" w:after="0"/>
              <w:jc w:val="right"/>
              <w:rPr>
                <w:rFonts w:eastAsia="Times New Roman"/>
                <w:noProof/>
                <w:color w:val="000000"/>
                <w:sz w:val="20"/>
                <w:szCs w:val="20"/>
                <w:lang w:eastAsia="en-IE"/>
              </w:rPr>
            </w:pPr>
          </w:p>
        </w:tc>
        <w:tc>
          <w:tcPr>
            <w:tcW w:w="378" w:type="pct"/>
            <w:tcBorders>
              <w:top w:val="nil"/>
              <w:left w:val="nil"/>
              <w:bottom w:val="single" w:sz="8" w:space="0" w:color="auto"/>
              <w:right w:val="single" w:sz="8" w:space="0" w:color="auto"/>
            </w:tcBorders>
            <w:shd w:val="clear" w:color="000000" w:fill="D9D9D9"/>
            <w:vAlign w:val="center"/>
            <w:hideMark/>
          </w:tcPr>
          <w:p w14:paraId="788F72C8" w14:textId="77777777" w:rsidR="000D7A57" w:rsidRPr="00046858" w:rsidRDefault="000D7A57">
            <w:pPr>
              <w:spacing w:before="0" w:after="0"/>
              <w:jc w:val="right"/>
              <w:rPr>
                <w:rFonts w:eastAsia="Times New Roman"/>
                <w:b/>
                <w:bCs/>
                <w:noProof/>
                <w:color w:val="000000"/>
                <w:sz w:val="20"/>
                <w:szCs w:val="20"/>
                <w:lang w:eastAsia="en-IE"/>
              </w:rPr>
            </w:pPr>
          </w:p>
        </w:tc>
      </w:tr>
      <w:tr w:rsidR="000D7A57" w:rsidRPr="00046858" w14:paraId="2B09A8E7"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50"/>
        </w:trPr>
        <w:tc>
          <w:tcPr>
            <w:tcW w:w="700" w:type="pct"/>
            <w:tcBorders>
              <w:top w:val="nil"/>
              <w:left w:val="single" w:sz="8" w:space="0" w:color="auto"/>
              <w:bottom w:val="single" w:sz="8" w:space="0" w:color="auto"/>
              <w:right w:val="single" w:sz="8" w:space="0" w:color="auto"/>
            </w:tcBorders>
            <w:vAlign w:val="center"/>
            <w:hideMark/>
          </w:tcPr>
          <w:p w14:paraId="79169BA6" w14:textId="77777777" w:rsidR="000D7A57" w:rsidRPr="00046858" w:rsidRDefault="000D7A57">
            <w:pPr>
              <w:spacing w:before="0" w:after="0"/>
              <w:jc w:val="center"/>
              <w:rPr>
                <w:rFonts w:eastAsia="Times New Roman"/>
                <w:b/>
                <w:bCs/>
                <w:noProof/>
                <w:color w:val="000000"/>
                <w:sz w:val="22"/>
              </w:rPr>
            </w:pPr>
            <w:r w:rsidRPr="00046858">
              <w:rPr>
                <w:b/>
                <w:noProof/>
                <w:color w:val="000000"/>
                <w:sz w:val="22"/>
              </w:rPr>
              <w:t>TOTAL PENTRU DG CNECT</w:t>
            </w:r>
          </w:p>
        </w:tc>
        <w:tc>
          <w:tcPr>
            <w:tcW w:w="1472" w:type="pct"/>
            <w:gridSpan w:val="5"/>
            <w:tcBorders>
              <w:top w:val="single" w:sz="8" w:space="0" w:color="auto"/>
              <w:left w:val="nil"/>
              <w:bottom w:val="single" w:sz="8" w:space="0" w:color="auto"/>
              <w:right w:val="single" w:sz="8" w:space="0" w:color="000000"/>
            </w:tcBorders>
            <w:hideMark/>
          </w:tcPr>
          <w:p w14:paraId="735E1CB2" w14:textId="77777777" w:rsidR="000D7A57" w:rsidRPr="00046858" w:rsidRDefault="000D7A57">
            <w:pPr>
              <w:spacing w:before="0" w:after="0"/>
              <w:jc w:val="left"/>
              <w:rPr>
                <w:rFonts w:eastAsia="Times New Roman"/>
                <w:noProof/>
                <w:color w:val="000000"/>
                <w:sz w:val="18"/>
                <w:szCs w:val="18"/>
                <w:lang w:eastAsia="en-IE"/>
              </w:rPr>
            </w:pPr>
          </w:p>
        </w:tc>
        <w:tc>
          <w:tcPr>
            <w:tcW w:w="350" w:type="pct"/>
            <w:tcBorders>
              <w:top w:val="nil"/>
              <w:left w:val="nil"/>
              <w:bottom w:val="single" w:sz="8" w:space="0" w:color="auto"/>
              <w:right w:val="single" w:sz="8" w:space="0" w:color="auto"/>
            </w:tcBorders>
            <w:shd w:val="clear" w:color="000000" w:fill="D9D9D9"/>
            <w:vAlign w:val="center"/>
            <w:hideMark/>
          </w:tcPr>
          <w:p w14:paraId="7C7FE05B" w14:textId="77777777" w:rsidR="000D7A57" w:rsidRPr="00046858" w:rsidRDefault="000D7A57">
            <w:pPr>
              <w:spacing w:before="0" w:after="0"/>
              <w:jc w:val="right"/>
              <w:rPr>
                <w:rFonts w:eastAsia="Times New Roman"/>
                <w:b/>
                <w:bCs/>
                <w:noProof/>
                <w:color w:val="000000"/>
                <w:sz w:val="20"/>
                <w:szCs w:val="20"/>
              </w:rPr>
            </w:pPr>
            <w:r w:rsidRPr="00046858">
              <w:rPr>
                <w:noProof/>
                <w:sz w:val="20"/>
              </w:rPr>
              <w:t>1,972</w:t>
            </w:r>
          </w:p>
        </w:tc>
        <w:tc>
          <w:tcPr>
            <w:tcW w:w="350" w:type="pct"/>
            <w:tcBorders>
              <w:top w:val="nil"/>
              <w:left w:val="nil"/>
              <w:bottom w:val="single" w:sz="8" w:space="0" w:color="auto"/>
              <w:right w:val="single" w:sz="8" w:space="0" w:color="auto"/>
            </w:tcBorders>
            <w:shd w:val="clear" w:color="000000" w:fill="D9D9D9"/>
            <w:vAlign w:val="center"/>
            <w:hideMark/>
          </w:tcPr>
          <w:p w14:paraId="50CF0176" w14:textId="77777777" w:rsidR="000D7A57" w:rsidRPr="00046858" w:rsidRDefault="000D7A57">
            <w:pPr>
              <w:spacing w:before="0" w:after="0"/>
              <w:jc w:val="right"/>
              <w:rPr>
                <w:rFonts w:eastAsia="Times New Roman"/>
                <w:b/>
                <w:bCs/>
                <w:noProof/>
                <w:color w:val="000000"/>
                <w:sz w:val="20"/>
                <w:szCs w:val="20"/>
              </w:rPr>
            </w:pPr>
            <w:r w:rsidRPr="00046858">
              <w:rPr>
                <w:noProof/>
                <w:sz w:val="20"/>
              </w:rPr>
              <w:t>1,972</w:t>
            </w:r>
          </w:p>
        </w:tc>
        <w:tc>
          <w:tcPr>
            <w:tcW w:w="350" w:type="pct"/>
            <w:tcBorders>
              <w:top w:val="nil"/>
              <w:left w:val="nil"/>
              <w:bottom w:val="single" w:sz="8" w:space="0" w:color="auto"/>
              <w:right w:val="single" w:sz="8" w:space="0" w:color="auto"/>
            </w:tcBorders>
            <w:shd w:val="clear" w:color="000000" w:fill="D9D9D9"/>
            <w:vAlign w:val="center"/>
            <w:hideMark/>
          </w:tcPr>
          <w:p w14:paraId="3077F631" w14:textId="77777777" w:rsidR="000D7A57" w:rsidRPr="00046858" w:rsidRDefault="000D7A57">
            <w:pPr>
              <w:spacing w:before="0" w:after="0"/>
              <w:jc w:val="right"/>
              <w:rPr>
                <w:rFonts w:eastAsia="Times New Roman"/>
                <w:b/>
                <w:bCs/>
                <w:noProof/>
                <w:color w:val="000000"/>
                <w:sz w:val="20"/>
                <w:szCs w:val="20"/>
              </w:rPr>
            </w:pPr>
            <w:r w:rsidRPr="00046858">
              <w:rPr>
                <w:noProof/>
                <w:sz w:val="20"/>
              </w:rPr>
              <w:t>1,972</w:t>
            </w:r>
          </w:p>
        </w:tc>
        <w:tc>
          <w:tcPr>
            <w:tcW w:w="350" w:type="pct"/>
            <w:tcBorders>
              <w:top w:val="nil"/>
              <w:left w:val="nil"/>
              <w:bottom w:val="single" w:sz="8" w:space="0" w:color="auto"/>
              <w:right w:val="single" w:sz="8" w:space="0" w:color="auto"/>
            </w:tcBorders>
            <w:shd w:val="clear" w:color="000000" w:fill="D9D9D9"/>
            <w:vAlign w:val="center"/>
            <w:hideMark/>
          </w:tcPr>
          <w:p w14:paraId="052C85FA" w14:textId="77777777" w:rsidR="000D7A57" w:rsidRPr="00046858" w:rsidRDefault="000D7A57">
            <w:pPr>
              <w:spacing w:before="0" w:after="0"/>
              <w:jc w:val="right"/>
              <w:rPr>
                <w:rFonts w:eastAsia="Times New Roman"/>
                <w:b/>
                <w:bCs/>
                <w:noProof/>
                <w:color w:val="000000"/>
                <w:sz w:val="20"/>
                <w:szCs w:val="20"/>
              </w:rPr>
            </w:pPr>
            <w:r w:rsidRPr="00046858">
              <w:rPr>
                <w:noProof/>
                <w:sz w:val="20"/>
              </w:rPr>
              <w:t>1,972</w:t>
            </w:r>
          </w:p>
        </w:tc>
        <w:tc>
          <w:tcPr>
            <w:tcW w:w="350" w:type="pct"/>
            <w:tcBorders>
              <w:top w:val="nil"/>
              <w:left w:val="nil"/>
              <w:bottom w:val="single" w:sz="8" w:space="0" w:color="auto"/>
              <w:right w:val="single" w:sz="8" w:space="0" w:color="auto"/>
            </w:tcBorders>
            <w:shd w:val="clear" w:color="000000" w:fill="D9D9D9"/>
            <w:vAlign w:val="center"/>
            <w:hideMark/>
          </w:tcPr>
          <w:p w14:paraId="181C88F0" w14:textId="77777777" w:rsidR="000D7A57" w:rsidRPr="00046858" w:rsidRDefault="000D7A57">
            <w:pPr>
              <w:spacing w:before="0" w:after="0"/>
              <w:jc w:val="right"/>
              <w:rPr>
                <w:rFonts w:eastAsia="Times New Roman"/>
                <w:b/>
                <w:bCs/>
                <w:noProof/>
                <w:color w:val="000000"/>
                <w:sz w:val="20"/>
                <w:szCs w:val="20"/>
              </w:rPr>
            </w:pPr>
            <w:r w:rsidRPr="00046858">
              <w:rPr>
                <w:noProof/>
                <w:sz w:val="20"/>
              </w:rPr>
              <w:t>1,972</w:t>
            </w:r>
          </w:p>
        </w:tc>
        <w:tc>
          <w:tcPr>
            <w:tcW w:w="350" w:type="pct"/>
            <w:tcBorders>
              <w:top w:val="nil"/>
              <w:left w:val="nil"/>
              <w:bottom w:val="single" w:sz="8" w:space="0" w:color="auto"/>
              <w:right w:val="single" w:sz="8" w:space="0" w:color="auto"/>
            </w:tcBorders>
            <w:shd w:val="clear" w:color="000000" w:fill="D9D9D9"/>
            <w:vAlign w:val="center"/>
            <w:hideMark/>
          </w:tcPr>
          <w:p w14:paraId="19BE0CBF" w14:textId="77777777" w:rsidR="000D7A57" w:rsidRPr="00046858" w:rsidRDefault="000D7A57">
            <w:pPr>
              <w:spacing w:before="0" w:after="0"/>
              <w:jc w:val="right"/>
              <w:rPr>
                <w:rFonts w:eastAsia="Times New Roman"/>
                <w:b/>
                <w:bCs/>
                <w:noProof/>
                <w:color w:val="000000"/>
                <w:sz w:val="20"/>
                <w:szCs w:val="20"/>
              </w:rPr>
            </w:pPr>
            <w:r w:rsidRPr="00046858">
              <w:rPr>
                <w:noProof/>
                <w:sz w:val="20"/>
              </w:rPr>
              <w:t>1,972</w:t>
            </w:r>
          </w:p>
        </w:tc>
        <w:tc>
          <w:tcPr>
            <w:tcW w:w="350" w:type="pct"/>
            <w:tcBorders>
              <w:top w:val="nil"/>
              <w:left w:val="nil"/>
              <w:bottom w:val="single" w:sz="8" w:space="0" w:color="auto"/>
              <w:right w:val="single" w:sz="8" w:space="0" w:color="auto"/>
            </w:tcBorders>
            <w:shd w:val="clear" w:color="000000" w:fill="D9D9D9"/>
            <w:vAlign w:val="center"/>
            <w:hideMark/>
          </w:tcPr>
          <w:p w14:paraId="2AFBBFA6" w14:textId="77777777" w:rsidR="000D7A57" w:rsidRPr="00046858" w:rsidRDefault="000D7A57">
            <w:pPr>
              <w:spacing w:before="0" w:after="0"/>
              <w:jc w:val="right"/>
              <w:rPr>
                <w:rFonts w:eastAsia="Times New Roman"/>
                <w:noProof/>
                <w:color w:val="000000"/>
                <w:sz w:val="20"/>
                <w:szCs w:val="20"/>
              </w:rPr>
            </w:pPr>
            <w:r w:rsidRPr="00046858">
              <w:rPr>
                <w:noProof/>
                <w:color w:val="000000"/>
                <w:sz w:val="20"/>
              </w:rPr>
              <w:t>1,972</w:t>
            </w:r>
          </w:p>
        </w:tc>
        <w:tc>
          <w:tcPr>
            <w:tcW w:w="378" w:type="pct"/>
            <w:tcBorders>
              <w:top w:val="nil"/>
              <w:left w:val="nil"/>
              <w:bottom w:val="single" w:sz="8" w:space="0" w:color="auto"/>
              <w:right w:val="single" w:sz="8" w:space="0" w:color="auto"/>
            </w:tcBorders>
            <w:shd w:val="clear" w:color="000000" w:fill="D9D9D9"/>
            <w:vAlign w:val="center"/>
            <w:hideMark/>
          </w:tcPr>
          <w:p w14:paraId="16F408FE" w14:textId="77777777" w:rsidR="000D7A57" w:rsidRPr="00046858" w:rsidRDefault="000D7A57">
            <w:pPr>
              <w:spacing w:before="0" w:after="0"/>
              <w:jc w:val="right"/>
              <w:rPr>
                <w:rFonts w:eastAsia="Times New Roman"/>
                <w:b/>
                <w:bCs/>
                <w:noProof/>
                <w:color w:val="000000"/>
                <w:sz w:val="20"/>
                <w:szCs w:val="20"/>
              </w:rPr>
            </w:pPr>
            <w:r w:rsidRPr="00046858">
              <w:rPr>
                <w:b/>
                <w:noProof/>
                <w:color w:val="000000"/>
                <w:sz w:val="20"/>
              </w:rPr>
              <w:t>13,804</w:t>
            </w:r>
          </w:p>
        </w:tc>
      </w:tr>
      <w:tr w:rsidR="000D7A57" w:rsidRPr="00046858" w14:paraId="564A20E2"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700" w:type="pct"/>
            <w:tcBorders>
              <w:top w:val="nil"/>
              <w:left w:val="nil"/>
              <w:bottom w:val="nil"/>
              <w:right w:val="nil"/>
            </w:tcBorders>
            <w:noWrap/>
            <w:vAlign w:val="bottom"/>
            <w:hideMark/>
          </w:tcPr>
          <w:p w14:paraId="2CA17B56" w14:textId="77777777" w:rsidR="000D7A57" w:rsidRPr="00046858" w:rsidRDefault="000D7A57">
            <w:pPr>
              <w:spacing w:before="0" w:after="0"/>
              <w:jc w:val="right"/>
              <w:rPr>
                <w:rFonts w:eastAsia="Times New Roman"/>
                <w:b/>
                <w:bCs/>
                <w:noProof/>
                <w:color w:val="000000"/>
                <w:sz w:val="20"/>
                <w:szCs w:val="20"/>
                <w:lang w:eastAsia="en-IE"/>
              </w:rPr>
            </w:pPr>
          </w:p>
        </w:tc>
        <w:tc>
          <w:tcPr>
            <w:tcW w:w="959" w:type="pct"/>
            <w:tcBorders>
              <w:top w:val="nil"/>
              <w:left w:val="nil"/>
              <w:bottom w:val="nil"/>
              <w:right w:val="nil"/>
            </w:tcBorders>
            <w:noWrap/>
            <w:vAlign w:val="bottom"/>
            <w:hideMark/>
          </w:tcPr>
          <w:p w14:paraId="4A056EC7" w14:textId="77777777" w:rsidR="000D7A57" w:rsidRPr="00046858" w:rsidRDefault="000D7A57">
            <w:pPr>
              <w:spacing w:before="0" w:after="0"/>
              <w:jc w:val="left"/>
              <w:rPr>
                <w:rFonts w:eastAsia="Times New Roman"/>
                <w:noProof/>
                <w:sz w:val="20"/>
                <w:szCs w:val="20"/>
                <w:lang w:eastAsia="en-IE"/>
              </w:rPr>
            </w:pPr>
          </w:p>
        </w:tc>
        <w:tc>
          <w:tcPr>
            <w:tcW w:w="255" w:type="pct"/>
            <w:gridSpan w:val="2"/>
            <w:tcBorders>
              <w:top w:val="nil"/>
              <w:left w:val="nil"/>
              <w:bottom w:val="nil"/>
              <w:right w:val="nil"/>
            </w:tcBorders>
            <w:noWrap/>
            <w:vAlign w:val="bottom"/>
            <w:hideMark/>
          </w:tcPr>
          <w:p w14:paraId="4D77AEA5" w14:textId="77777777" w:rsidR="000D7A57" w:rsidRPr="00046858" w:rsidRDefault="000D7A57">
            <w:pPr>
              <w:spacing w:before="0" w:after="0"/>
              <w:jc w:val="left"/>
              <w:rPr>
                <w:rFonts w:eastAsia="Times New Roman"/>
                <w:noProof/>
                <w:sz w:val="20"/>
                <w:szCs w:val="20"/>
                <w:lang w:eastAsia="en-IE"/>
              </w:rPr>
            </w:pPr>
          </w:p>
        </w:tc>
        <w:tc>
          <w:tcPr>
            <w:tcW w:w="258" w:type="pct"/>
            <w:gridSpan w:val="2"/>
            <w:tcBorders>
              <w:top w:val="nil"/>
              <w:left w:val="nil"/>
              <w:bottom w:val="nil"/>
              <w:right w:val="nil"/>
            </w:tcBorders>
            <w:noWrap/>
            <w:vAlign w:val="bottom"/>
            <w:hideMark/>
          </w:tcPr>
          <w:p w14:paraId="0373CE6E" w14:textId="77777777" w:rsidR="000D7A57" w:rsidRPr="0004685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0CC30750" w14:textId="77777777" w:rsidR="000D7A57" w:rsidRPr="0004685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30FC4821" w14:textId="77777777" w:rsidR="000D7A57" w:rsidRPr="0004685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5967D914" w14:textId="77777777" w:rsidR="000D7A57" w:rsidRPr="0004685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7FFFABDA" w14:textId="77777777" w:rsidR="000D7A57" w:rsidRPr="0004685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0E70D75D" w14:textId="77777777" w:rsidR="000D7A57" w:rsidRPr="0004685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1A02C65B" w14:textId="77777777" w:rsidR="000D7A57" w:rsidRPr="0004685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7780540B" w14:textId="77777777" w:rsidR="000D7A57" w:rsidRPr="00046858" w:rsidRDefault="000D7A57">
            <w:pPr>
              <w:spacing w:before="0" w:after="0"/>
              <w:jc w:val="left"/>
              <w:rPr>
                <w:rFonts w:eastAsia="Times New Roman"/>
                <w:noProof/>
                <w:sz w:val="20"/>
                <w:szCs w:val="20"/>
                <w:lang w:eastAsia="en-IE"/>
              </w:rPr>
            </w:pPr>
          </w:p>
        </w:tc>
        <w:tc>
          <w:tcPr>
            <w:tcW w:w="378" w:type="pct"/>
            <w:tcBorders>
              <w:top w:val="nil"/>
              <w:left w:val="nil"/>
              <w:bottom w:val="nil"/>
              <w:right w:val="nil"/>
            </w:tcBorders>
            <w:noWrap/>
            <w:vAlign w:val="bottom"/>
            <w:hideMark/>
          </w:tcPr>
          <w:p w14:paraId="112512AD" w14:textId="77777777" w:rsidR="000D7A57" w:rsidRPr="00046858" w:rsidRDefault="000D7A57">
            <w:pPr>
              <w:spacing w:before="0" w:after="0"/>
              <w:jc w:val="left"/>
              <w:rPr>
                <w:rFonts w:eastAsia="Times New Roman"/>
                <w:noProof/>
                <w:sz w:val="20"/>
                <w:szCs w:val="20"/>
                <w:lang w:eastAsia="en-IE"/>
              </w:rPr>
            </w:pPr>
          </w:p>
        </w:tc>
      </w:tr>
      <w:tr w:rsidR="000D7A57" w:rsidRPr="00046858" w14:paraId="0B93B7EC"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0"/>
        </w:trPr>
        <w:tc>
          <w:tcPr>
            <w:tcW w:w="2173"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74DC541E" w14:textId="77777777" w:rsidR="000D7A57" w:rsidRPr="00046858" w:rsidRDefault="000D7A57">
            <w:pPr>
              <w:spacing w:before="0" w:after="0"/>
              <w:jc w:val="center"/>
              <w:rPr>
                <w:rFonts w:eastAsia="Times New Roman"/>
                <w:noProof/>
                <w:color w:val="000000"/>
                <w:szCs w:val="24"/>
              </w:rPr>
            </w:pPr>
            <w:r w:rsidRPr="00046858">
              <w:rPr>
                <w:noProof/>
                <w:color w:val="000000"/>
              </w:rPr>
              <w:t>DG: COMP</w:t>
            </w:r>
          </w:p>
        </w:tc>
        <w:tc>
          <w:tcPr>
            <w:tcW w:w="350" w:type="pct"/>
            <w:tcBorders>
              <w:top w:val="single" w:sz="8" w:space="0" w:color="auto"/>
              <w:left w:val="nil"/>
              <w:bottom w:val="nil"/>
              <w:right w:val="single" w:sz="8" w:space="0" w:color="auto"/>
            </w:tcBorders>
            <w:vAlign w:val="center"/>
            <w:hideMark/>
          </w:tcPr>
          <w:p w14:paraId="4393F0D1" w14:textId="77777777" w:rsidR="000D7A57" w:rsidRPr="00046858" w:rsidRDefault="000D7A57">
            <w:pPr>
              <w:spacing w:before="0" w:after="0"/>
              <w:jc w:val="center"/>
              <w:rPr>
                <w:rFonts w:eastAsia="Times New Roman"/>
                <w:noProof/>
                <w:color w:val="000000"/>
                <w:sz w:val="20"/>
                <w:szCs w:val="20"/>
              </w:rPr>
            </w:pPr>
            <w:r w:rsidRPr="00046858">
              <w:rPr>
                <w:noProof/>
                <w:color w:val="000000"/>
                <w:sz w:val="20"/>
              </w:rPr>
              <w:t>Anul</w:t>
            </w:r>
          </w:p>
        </w:tc>
        <w:tc>
          <w:tcPr>
            <w:tcW w:w="350" w:type="pct"/>
            <w:tcBorders>
              <w:top w:val="single" w:sz="8" w:space="0" w:color="auto"/>
              <w:left w:val="nil"/>
              <w:bottom w:val="nil"/>
              <w:right w:val="single" w:sz="8" w:space="0" w:color="auto"/>
            </w:tcBorders>
            <w:vAlign w:val="center"/>
            <w:hideMark/>
          </w:tcPr>
          <w:p w14:paraId="1D8A6DC0" w14:textId="77777777" w:rsidR="000D7A57" w:rsidRPr="00046858" w:rsidRDefault="000D7A57">
            <w:pPr>
              <w:spacing w:before="0" w:after="0"/>
              <w:jc w:val="center"/>
              <w:rPr>
                <w:rFonts w:eastAsia="Times New Roman"/>
                <w:noProof/>
                <w:color w:val="000000"/>
                <w:sz w:val="20"/>
                <w:szCs w:val="20"/>
              </w:rPr>
            </w:pPr>
            <w:r w:rsidRPr="00046858">
              <w:rPr>
                <w:noProof/>
                <w:color w:val="000000"/>
                <w:sz w:val="20"/>
              </w:rPr>
              <w:t>Anul</w:t>
            </w:r>
          </w:p>
        </w:tc>
        <w:tc>
          <w:tcPr>
            <w:tcW w:w="350" w:type="pct"/>
            <w:tcBorders>
              <w:top w:val="single" w:sz="8" w:space="0" w:color="auto"/>
              <w:left w:val="nil"/>
              <w:bottom w:val="nil"/>
              <w:right w:val="single" w:sz="8" w:space="0" w:color="auto"/>
            </w:tcBorders>
            <w:vAlign w:val="center"/>
            <w:hideMark/>
          </w:tcPr>
          <w:p w14:paraId="62A120D6" w14:textId="77777777" w:rsidR="000D7A57" w:rsidRPr="00046858" w:rsidRDefault="000D7A57">
            <w:pPr>
              <w:spacing w:before="0" w:after="0"/>
              <w:jc w:val="center"/>
              <w:rPr>
                <w:rFonts w:eastAsia="Times New Roman"/>
                <w:noProof/>
                <w:color w:val="000000"/>
                <w:sz w:val="20"/>
                <w:szCs w:val="20"/>
              </w:rPr>
            </w:pPr>
            <w:r w:rsidRPr="00046858">
              <w:rPr>
                <w:noProof/>
                <w:color w:val="000000"/>
                <w:sz w:val="20"/>
              </w:rPr>
              <w:t>Anul</w:t>
            </w:r>
          </w:p>
        </w:tc>
        <w:tc>
          <w:tcPr>
            <w:tcW w:w="350" w:type="pct"/>
            <w:tcBorders>
              <w:top w:val="single" w:sz="8" w:space="0" w:color="auto"/>
              <w:left w:val="nil"/>
              <w:bottom w:val="nil"/>
              <w:right w:val="single" w:sz="8" w:space="0" w:color="auto"/>
            </w:tcBorders>
            <w:vAlign w:val="center"/>
            <w:hideMark/>
          </w:tcPr>
          <w:p w14:paraId="5A759386" w14:textId="77777777" w:rsidR="000D7A57" w:rsidRPr="00046858" w:rsidRDefault="000D7A57">
            <w:pPr>
              <w:spacing w:before="0" w:after="0"/>
              <w:jc w:val="center"/>
              <w:rPr>
                <w:rFonts w:eastAsia="Times New Roman"/>
                <w:noProof/>
                <w:color w:val="000000"/>
                <w:sz w:val="20"/>
                <w:szCs w:val="20"/>
              </w:rPr>
            </w:pPr>
            <w:r w:rsidRPr="00046858">
              <w:rPr>
                <w:noProof/>
                <w:color w:val="000000"/>
                <w:sz w:val="20"/>
              </w:rPr>
              <w:t>Anul</w:t>
            </w:r>
          </w:p>
        </w:tc>
        <w:tc>
          <w:tcPr>
            <w:tcW w:w="350" w:type="pct"/>
            <w:tcBorders>
              <w:top w:val="single" w:sz="8" w:space="0" w:color="auto"/>
              <w:left w:val="nil"/>
              <w:bottom w:val="nil"/>
              <w:right w:val="single" w:sz="8" w:space="0" w:color="auto"/>
            </w:tcBorders>
            <w:vAlign w:val="center"/>
            <w:hideMark/>
          </w:tcPr>
          <w:p w14:paraId="6BA95717" w14:textId="77777777" w:rsidR="000D7A57" w:rsidRPr="00046858" w:rsidRDefault="000D7A57">
            <w:pPr>
              <w:spacing w:before="0" w:after="0"/>
              <w:jc w:val="center"/>
              <w:rPr>
                <w:rFonts w:eastAsia="Times New Roman"/>
                <w:noProof/>
                <w:color w:val="000000"/>
                <w:sz w:val="20"/>
                <w:szCs w:val="20"/>
              </w:rPr>
            </w:pPr>
            <w:r w:rsidRPr="00046858">
              <w:rPr>
                <w:noProof/>
                <w:color w:val="000000"/>
                <w:sz w:val="20"/>
              </w:rPr>
              <w:t>Anul</w:t>
            </w:r>
          </w:p>
        </w:tc>
        <w:tc>
          <w:tcPr>
            <w:tcW w:w="350" w:type="pct"/>
            <w:tcBorders>
              <w:top w:val="single" w:sz="8" w:space="0" w:color="auto"/>
              <w:left w:val="nil"/>
              <w:bottom w:val="nil"/>
              <w:right w:val="single" w:sz="8" w:space="0" w:color="auto"/>
            </w:tcBorders>
            <w:vAlign w:val="center"/>
            <w:hideMark/>
          </w:tcPr>
          <w:p w14:paraId="5A7EFE45" w14:textId="77777777" w:rsidR="000D7A57" w:rsidRPr="00046858" w:rsidRDefault="000D7A57">
            <w:pPr>
              <w:spacing w:before="0" w:after="0"/>
              <w:jc w:val="center"/>
              <w:rPr>
                <w:rFonts w:eastAsia="Times New Roman"/>
                <w:noProof/>
                <w:color w:val="000000"/>
                <w:sz w:val="20"/>
                <w:szCs w:val="20"/>
              </w:rPr>
            </w:pPr>
            <w:r w:rsidRPr="00046858">
              <w:rPr>
                <w:noProof/>
                <w:color w:val="000000"/>
                <w:sz w:val="20"/>
              </w:rPr>
              <w:t>Anul</w:t>
            </w:r>
          </w:p>
        </w:tc>
        <w:tc>
          <w:tcPr>
            <w:tcW w:w="350" w:type="pct"/>
            <w:tcBorders>
              <w:top w:val="single" w:sz="8" w:space="0" w:color="auto"/>
              <w:left w:val="nil"/>
              <w:bottom w:val="nil"/>
              <w:right w:val="single" w:sz="8" w:space="0" w:color="auto"/>
            </w:tcBorders>
            <w:vAlign w:val="center"/>
            <w:hideMark/>
          </w:tcPr>
          <w:p w14:paraId="54ED9314" w14:textId="77777777" w:rsidR="000D7A57" w:rsidRPr="00046858" w:rsidRDefault="000D7A57">
            <w:pPr>
              <w:spacing w:before="0" w:after="0"/>
              <w:jc w:val="center"/>
              <w:rPr>
                <w:rFonts w:eastAsia="Times New Roman"/>
                <w:noProof/>
                <w:color w:val="000000"/>
                <w:sz w:val="20"/>
                <w:szCs w:val="20"/>
              </w:rPr>
            </w:pPr>
            <w:r w:rsidRPr="00046858">
              <w:rPr>
                <w:noProof/>
                <w:color w:val="000000"/>
                <w:sz w:val="20"/>
              </w:rPr>
              <w:t>Anul</w:t>
            </w:r>
          </w:p>
        </w:tc>
        <w:tc>
          <w:tcPr>
            <w:tcW w:w="378" w:type="pct"/>
            <w:vMerge w:val="restart"/>
            <w:tcBorders>
              <w:top w:val="single" w:sz="8" w:space="0" w:color="auto"/>
              <w:left w:val="single" w:sz="8" w:space="0" w:color="auto"/>
              <w:bottom w:val="single" w:sz="8" w:space="0" w:color="000000"/>
              <w:right w:val="single" w:sz="8" w:space="0" w:color="auto"/>
            </w:tcBorders>
            <w:vAlign w:val="center"/>
            <w:hideMark/>
          </w:tcPr>
          <w:p w14:paraId="39304354" w14:textId="77777777" w:rsidR="000D7A57" w:rsidRPr="00046858" w:rsidRDefault="000D7A57">
            <w:pPr>
              <w:spacing w:before="0" w:after="0"/>
              <w:jc w:val="center"/>
              <w:rPr>
                <w:rFonts w:eastAsia="Times New Roman"/>
                <w:b/>
                <w:bCs/>
                <w:noProof/>
                <w:color w:val="000000"/>
                <w:sz w:val="20"/>
                <w:szCs w:val="20"/>
              </w:rPr>
            </w:pPr>
            <w:r w:rsidRPr="00046858">
              <w:rPr>
                <w:b/>
                <w:noProof/>
                <w:color w:val="000000"/>
                <w:sz w:val="20"/>
              </w:rPr>
              <w:t>TOTAL CFM 2028-2034</w:t>
            </w:r>
          </w:p>
        </w:tc>
      </w:tr>
      <w:tr w:rsidR="000D7A57" w:rsidRPr="00046858" w14:paraId="78DE7DB1"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73" w:type="pct"/>
            <w:gridSpan w:val="6"/>
            <w:vMerge/>
            <w:tcBorders>
              <w:top w:val="single" w:sz="8" w:space="0" w:color="auto"/>
              <w:left w:val="single" w:sz="8" w:space="0" w:color="auto"/>
              <w:bottom w:val="single" w:sz="8" w:space="0" w:color="000000"/>
              <w:right w:val="single" w:sz="8" w:space="0" w:color="000000"/>
            </w:tcBorders>
            <w:vAlign w:val="center"/>
            <w:hideMark/>
          </w:tcPr>
          <w:p w14:paraId="3D039A5F" w14:textId="77777777" w:rsidR="000D7A57" w:rsidRPr="00046858" w:rsidRDefault="000D7A57">
            <w:pPr>
              <w:spacing w:before="0" w:after="0"/>
              <w:jc w:val="left"/>
              <w:rPr>
                <w:rFonts w:eastAsia="Times New Roman"/>
                <w:noProof/>
                <w:color w:val="000000"/>
                <w:szCs w:val="24"/>
                <w:lang w:eastAsia="en-IE"/>
              </w:rPr>
            </w:pPr>
          </w:p>
        </w:tc>
        <w:tc>
          <w:tcPr>
            <w:tcW w:w="350" w:type="pct"/>
            <w:tcBorders>
              <w:top w:val="nil"/>
              <w:left w:val="nil"/>
              <w:bottom w:val="single" w:sz="8" w:space="0" w:color="auto"/>
              <w:right w:val="single" w:sz="8" w:space="0" w:color="auto"/>
            </w:tcBorders>
            <w:vAlign w:val="center"/>
            <w:hideMark/>
          </w:tcPr>
          <w:p w14:paraId="4E460CD9" w14:textId="77777777" w:rsidR="000D7A57" w:rsidRPr="00046858" w:rsidRDefault="000D7A57">
            <w:pPr>
              <w:spacing w:before="0" w:after="0"/>
              <w:jc w:val="center"/>
              <w:rPr>
                <w:rFonts w:eastAsia="Times New Roman"/>
                <w:b/>
                <w:bCs/>
                <w:noProof/>
                <w:color w:val="000000"/>
                <w:sz w:val="20"/>
                <w:szCs w:val="20"/>
              </w:rPr>
            </w:pPr>
            <w:r w:rsidRPr="00046858">
              <w:rPr>
                <w:b/>
                <w:noProof/>
                <w:color w:val="000000"/>
                <w:sz w:val="20"/>
              </w:rPr>
              <w:t>2028</w:t>
            </w:r>
          </w:p>
        </w:tc>
        <w:tc>
          <w:tcPr>
            <w:tcW w:w="350" w:type="pct"/>
            <w:tcBorders>
              <w:top w:val="nil"/>
              <w:left w:val="nil"/>
              <w:bottom w:val="single" w:sz="8" w:space="0" w:color="auto"/>
              <w:right w:val="single" w:sz="8" w:space="0" w:color="auto"/>
            </w:tcBorders>
            <w:vAlign w:val="center"/>
            <w:hideMark/>
          </w:tcPr>
          <w:p w14:paraId="7067AE9B" w14:textId="77777777" w:rsidR="000D7A57" w:rsidRPr="00046858" w:rsidRDefault="000D7A57">
            <w:pPr>
              <w:spacing w:before="0" w:after="0"/>
              <w:jc w:val="center"/>
              <w:rPr>
                <w:rFonts w:eastAsia="Times New Roman"/>
                <w:b/>
                <w:bCs/>
                <w:noProof/>
                <w:color w:val="000000"/>
                <w:sz w:val="20"/>
                <w:szCs w:val="20"/>
              </w:rPr>
            </w:pPr>
            <w:r w:rsidRPr="00046858">
              <w:rPr>
                <w:b/>
                <w:noProof/>
                <w:color w:val="000000"/>
                <w:sz w:val="20"/>
              </w:rPr>
              <w:t>2029</w:t>
            </w:r>
          </w:p>
        </w:tc>
        <w:tc>
          <w:tcPr>
            <w:tcW w:w="350" w:type="pct"/>
            <w:tcBorders>
              <w:top w:val="nil"/>
              <w:left w:val="nil"/>
              <w:bottom w:val="single" w:sz="8" w:space="0" w:color="auto"/>
              <w:right w:val="single" w:sz="8" w:space="0" w:color="auto"/>
            </w:tcBorders>
            <w:vAlign w:val="center"/>
            <w:hideMark/>
          </w:tcPr>
          <w:p w14:paraId="54A25EFA" w14:textId="77777777" w:rsidR="000D7A57" w:rsidRPr="00046858" w:rsidRDefault="000D7A57">
            <w:pPr>
              <w:spacing w:before="0" w:after="0"/>
              <w:jc w:val="center"/>
              <w:rPr>
                <w:rFonts w:eastAsia="Times New Roman"/>
                <w:b/>
                <w:bCs/>
                <w:noProof/>
                <w:color w:val="000000"/>
                <w:sz w:val="20"/>
                <w:szCs w:val="20"/>
              </w:rPr>
            </w:pPr>
            <w:r w:rsidRPr="00046858">
              <w:rPr>
                <w:b/>
                <w:noProof/>
                <w:color w:val="000000"/>
                <w:sz w:val="20"/>
              </w:rPr>
              <w:t>2030</w:t>
            </w:r>
          </w:p>
        </w:tc>
        <w:tc>
          <w:tcPr>
            <w:tcW w:w="350" w:type="pct"/>
            <w:tcBorders>
              <w:top w:val="nil"/>
              <w:left w:val="nil"/>
              <w:bottom w:val="single" w:sz="8" w:space="0" w:color="auto"/>
              <w:right w:val="single" w:sz="8" w:space="0" w:color="auto"/>
            </w:tcBorders>
            <w:vAlign w:val="center"/>
            <w:hideMark/>
          </w:tcPr>
          <w:p w14:paraId="74228199" w14:textId="77777777" w:rsidR="000D7A57" w:rsidRPr="00046858" w:rsidRDefault="000D7A57">
            <w:pPr>
              <w:spacing w:before="0" w:after="0"/>
              <w:jc w:val="center"/>
              <w:rPr>
                <w:rFonts w:eastAsia="Times New Roman"/>
                <w:b/>
                <w:bCs/>
                <w:noProof/>
                <w:color w:val="000000"/>
                <w:sz w:val="20"/>
                <w:szCs w:val="20"/>
              </w:rPr>
            </w:pPr>
            <w:r w:rsidRPr="00046858">
              <w:rPr>
                <w:b/>
                <w:noProof/>
                <w:color w:val="000000"/>
                <w:sz w:val="20"/>
              </w:rPr>
              <w:t>2031</w:t>
            </w:r>
          </w:p>
        </w:tc>
        <w:tc>
          <w:tcPr>
            <w:tcW w:w="350" w:type="pct"/>
            <w:tcBorders>
              <w:top w:val="nil"/>
              <w:left w:val="nil"/>
              <w:bottom w:val="single" w:sz="8" w:space="0" w:color="auto"/>
              <w:right w:val="single" w:sz="8" w:space="0" w:color="auto"/>
            </w:tcBorders>
            <w:vAlign w:val="center"/>
            <w:hideMark/>
          </w:tcPr>
          <w:p w14:paraId="6AD2B02F" w14:textId="77777777" w:rsidR="000D7A57" w:rsidRPr="00046858" w:rsidRDefault="000D7A57">
            <w:pPr>
              <w:spacing w:before="0" w:after="0"/>
              <w:jc w:val="center"/>
              <w:rPr>
                <w:rFonts w:eastAsia="Times New Roman"/>
                <w:b/>
                <w:bCs/>
                <w:noProof/>
                <w:color w:val="000000"/>
                <w:sz w:val="20"/>
                <w:szCs w:val="20"/>
              </w:rPr>
            </w:pPr>
            <w:r w:rsidRPr="00046858">
              <w:rPr>
                <w:b/>
                <w:noProof/>
                <w:color w:val="000000"/>
                <w:sz w:val="20"/>
              </w:rPr>
              <w:t>2032</w:t>
            </w:r>
          </w:p>
        </w:tc>
        <w:tc>
          <w:tcPr>
            <w:tcW w:w="350" w:type="pct"/>
            <w:tcBorders>
              <w:top w:val="nil"/>
              <w:left w:val="nil"/>
              <w:bottom w:val="single" w:sz="8" w:space="0" w:color="auto"/>
              <w:right w:val="single" w:sz="8" w:space="0" w:color="auto"/>
            </w:tcBorders>
            <w:vAlign w:val="center"/>
            <w:hideMark/>
          </w:tcPr>
          <w:p w14:paraId="2FBDE09A" w14:textId="77777777" w:rsidR="000D7A57" w:rsidRPr="00046858" w:rsidRDefault="000D7A57">
            <w:pPr>
              <w:spacing w:before="0" w:after="0"/>
              <w:jc w:val="center"/>
              <w:rPr>
                <w:rFonts w:eastAsia="Times New Roman"/>
                <w:b/>
                <w:bCs/>
                <w:noProof/>
                <w:color w:val="000000"/>
                <w:sz w:val="20"/>
                <w:szCs w:val="20"/>
              </w:rPr>
            </w:pPr>
            <w:r w:rsidRPr="00046858">
              <w:rPr>
                <w:b/>
                <w:noProof/>
                <w:color w:val="000000"/>
                <w:sz w:val="20"/>
              </w:rPr>
              <w:t>2033</w:t>
            </w:r>
          </w:p>
        </w:tc>
        <w:tc>
          <w:tcPr>
            <w:tcW w:w="350" w:type="pct"/>
            <w:tcBorders>
              <w:top w:val="nil"/>
              <w:left w:val="nil"/>
              <w:bottom w:val="single" w:sz="8" w:space="0" w:color="auto"/>
              <w:right w:val="single" w:sz="8" w:space="0" w:color="auto"/>
            </w:tcBorders>
            <w:vAlign w:val="center"/>
            <w:hideMark/>
          </w:tcPr>
          <w:p w14:paraId="225E5295" w14:textId="77777777" w:rsidR="000D7A57" w:rsidRPr="00046858" w:rsidRDefault="000D7A57">
            <w:pPr>
              <w:spacing w:before="0" w:after="0"/>
              <w:jc w:val="center"/>
              <w:rPr>
                <w:rFonts w:eastAsia="Times New Roman"/>
                <w:b/>
                <w:bCs/>
                <w:noProof/>
                <w:color w:val="000000"/>
                <w:sz w:val="20"/>
                <w:szCs w:val="20"/>
              </w:rPr>
            </w:pPr>
            <w:r w:rsidRPr="00046858">
              <w:rPr>
                <w:b/>
                <w:noProof/>
                <w:color w:val="000000"/>
                <w:sz w:val="20"/>
              </w:rPr>
              <w:t>2034</w:t>
            </w:r>
          </w:p>
        </w:tc>
        <w:tc>
          <w:tcPr>
            <w:tcW w:w="378" w:type="pct"/>
            <w:vMerge/>
            <w:tcBorders>
              <w:top w:val="single" w:sz="8" w:space="0" w:color="auto"/>
              <w:left w:val="single" w:sz="8" w:space="0" w:color="auto"/>
              <w:bottom w:val="single" w:sz="8" w:space="0" w:color="000000"/>
              <w:right w:val="single" w:sz="8" w:space="0" w:color="auto"/>
            </w:tcBorders>
            <w:vAlign w:val="center"/>
            <w:hideMark/>
          </w:tcPr>
          <w:p w14:paraId="1792E16B" w14:textId="77777777" w:rsidR="000D7A57" w:rsidRPr="00046858" w:rsidRDefault="000D7A57">
            <w:pPr>
              <w:spacing w:before="0" w:after="0"/>
              <w:jc w:val="left"/>
              <w:rPr>
                <w:rFonts w:eastAsia="Times New Roman"/>
                <w:b/>
                <w:bCs/>
                <w:noProof/>
                <w:color w:val="000000"/>
                <w:sz w:val="20"/>
                <w:szCs w:val="20"/>
                <w:lang w:eastAsia="en-IE"/>
              </w:rPr>
            </w:pPr>
          </w:p>
        </w:tc>
      </w:tr>
      <w:tr w:rsidR="000D7A57" w:rsidRPr="00046858" w14:paraId="2D339FCB"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73" w:type="pct"/>
            <w:gridSpan w:val="6"/>
            <w:tcBorders>
              <w:top w:val="single" w:sz="8" w:space="0" w:color="auto"/>
              <w:left w:val="single" w:sz="8" w:space="0" w:color="auto"/>
              <w:bottom w:val="single" w:sz="8" w:space="0" w:color="auto"/>
              <w:right w:val="single" w:sz="8" w:space="0" w:color="000000"/>
            </w:tcBorders>
            <w:vAlign w:val="center"/>
            <w:hideMark/>
          </w:tcPr>
          <w:p w14:paraId="0A88D582" w14:textId="77777777" w:rsidR="000D7A57" w:rsidRPr="00046858" w:rsidRDefault="000D7A57">
            <w:pPr>
              <w:spacing w:before="0" w:after="0"/>
              <w:jc w:val="left"/>
              <w:rPr>
                <w:rFonts w:ascii="Wingdings" w:eastAsia="Times New Roman" w:hAnsi="Wingdings"/>
                <w:noProof/>
                <w:color w:val="000000"/>
                <w:sz w:val="22"/>
              </w:rPr>
            </w:pPr>
            <w:r w:rsidRPr="00046858">
              <w:rPr>
                <w:rFonts w:ascii="Wingdings" w:hAnsi="Wingdings"/>
                <w:noProof/>
                <w:color w:val="000000"/>
                <w:sz w:val="22"/>
              </w:rPr>
              <w:t></w:t>
            </w:r>
            <w:r w:rsidRPr="00046858">
              <w:rPr>
                <w:noProof/>
                <w:color w:val="000000"/>
                <w:sz w:val="22"/>
              </w:rPr>
              <w:t xml:space="preserve"> Resurse umane </w:t>
            </w:r>
          </w:p>
        </w:tc>
        <w:tc>
          <w:tcPr>
            <w:tcW w:w="350" w:type="pct"/>
            <w:tcBorders>
              <w:top w:val="nil"/>
              <w:left w:val="nil"/>
              <w:bottom w:val="single" w:sz="8" w:space="0" w:color="auto"/>
              <w:right w:val="single" w:sz="8" w:space="0" w:color="auto"/>
            </w:tcBorders>
            <w:shd w:val="clear" w:color="000000" w:fill="D9D9D9"/>
            <w:vAlign w:val="center"/>
            <w:hideMark/>
          </w:tcPr>
          <w:p w14:paraId="3E738669" w14:textId="77777777" w:rsidR="000D7A57" w:rsidRPr="00046858" w:rsidRDefault="000D7A57">
            <w:pPr>
              <w:spacing w:before="0" w:after="0"/>
              <w:jc w:val="right"/>
              <w:rPr>
                <w:rFonts w:eastAsia="Times New Roman"/>
                <w:noProof/>
                <w:color w:val="000000"/>
                <w:sz w:val="20"/>
                <w:szCs w:val="20"/>
              </w:rPr>
            </w:pPr>
            <w:r w:rsidRPr="00046858">
              <w:rPr>
                <w:noProof/>
                <w:color w:val="000000"/>
                <w:sz w:val="20"/>
              </w:rPr>
              <w:t>0,881</w:t>
            </w:r>
          </w:p>
        </w:tc>
        <w:tc>
          <w:tcPr>
            <w:tcW w:w="350" w:type="pct"/>
            <w:tcBorders>
              <w:top w:val="nil"/>
              <w:left w:val="nil"/>
              <w:bottom w:val="single" w:sz="8" w:space="0" w:color="auto"/>
              <w:right w:val="single" w:sz="8" w:space="0" w:color="auto"/>
            </w:tcBorders>
            <w:shd w:val="clear" w:color="000000" w:fill="D9D9D9"/>
            <w:vAlign w:val="center"/>
            <w:hideMark/>
          </w:tcPr>
          <w:p w14:paraId="70F84E19" w14:textId="77777777" w:rsidR="000D7A57" w:rsidRPr="00046858" w:rsidRDefault="000D7A57">
            <w:pPr>
              <w:spacing w:before="0" w:after="0"/>
              <w:jc w:val="right"/>
              <w:rPr>
                <w:rFonts w:eastAsia="Times New Roman"/>
                <w:noProof/>
                <w:color w:val="000000"/>
                <w:sz w:val="20"/>
                <w:szCs w:val="20"/>
              </w:rPr>
            </w:pPr>
            <w:r w:rsidRPr="00046858">
              <w:rPr>
                <w:noProof/>
                <w:color w:val="000000"/>
                <w:sz w:val="20"/>
              </w:rPr>
              <w:t>0,881</w:t>
            </w:r>
          </w:p>
        </w:tc>
        <w:tc>
          <w:tcPr>
            <w:tcW w:w="350" w:type="pct"/>
            <w:tcBorders>
              <w:top w:val="nil"/>
              <w:left w:val="nil"/>
              <w:bottom w:val="single" w:sz="8" w:space="0" w:color="auto"/>
              <w:right w:val="single" w:sz="8" w:space="0" w:color="auto"/>
            </w:tcBorders>
            <w:shd w:val="clear" w:color="000000" w:fill="D9D9D9"/>
            <w:vAlign w:val="center"/>
            <w:hideMark/>
          </w:tcPr>
          <w:p w14:paraId="00D8FAC4" w14:textId="77777777" w:rsidR="000D7A57" w:rsidRPr="00046858" w:rsidRDefault="000D7A57">
            <w:pPr>
              <w:spacing w:before="0" w:after="0"/>
              <w:jc w:val="right"/>
              <w:rPr>
                <w:rFonts w:eastAsia="Times New Roman"/>
                <w:noProof/>
                <w:color w:val="000000"/>
                <w:sz w:val="20"/>
                <w:szCs w:val="20"/>
              </w:rPr>
            </w:pPr>
            <w:r w:rsidRPr="00046858">
              <w:rPr>
                <w:noProof/>
                <w:color w:val="000000"/>
                <w:sz w:val="20"/>
              </w:rPr>
              <w:t>0,881</w:t>
            </w:r>
          </w:p>
        </w:tc>
        <w:tc>
          <w:tcPr>
            <w:tcW w:w="350" w:type="pct"/>
            <w:tcBorders>
              <w:top w:val="nil"/>
              <w:left w:val="nil"/>
              <w:bottom w:val="single" w:sz="8" w:space="0" w:color="auto"/>
              <w:right w:val="single" w:sz="8" w:space="0" w:color="auto"/>
            </w:tcBorders>
            <w:shd w:val="clear" w:color="000000" w:fill="D9D9D9"/>
            <w:vAlign w:val="center"/>
            <w:hideMark/>
          </w:tcPr>
          <w:p w14:paraId="1F18D10D" w14:textId="77777777" w:rsidR="000D7A57" w:rsidRPr="00046858" w:rsidRDefault="000D7A57">
            <w:pPr>
              <w:spacing w:before="0" w:after="0"/>
              <w:jc w:val="right"/>
              <w:rPr>
                <w:rFonts w:eastAsia="Times New Roman"/>
                <w:noProof/>
                <w:color w:val="000000"/>
                <w:sz w:val="20"/>
                <w:szCs w:val="20"/>
              </w:rPr>
            </w:pPr>
            <w:r w:rsidRPr="00046858">
              <w:rPr>
                <w:noProof/>
                <w:color w:val="000000"/>
                <w:sz w:val="20"/>
              </w:rPr>
              <w:t>0,881</w:t>
            </w:r>
          </w:p>
        </w:tc>
        <w:tc>
          <w:tcPr>
            <w:tcW w:w="350" w:type="pct"/>
            <w:tcBorders>
              <w:top w:val="nil"/>
              <w:left w:val="nil"/>
              <w:bottom w:val="single" w:sz="8" w:space="0" w:color="auto"/>
              <w:right w:val="single" w:sz="8" w:space="0" w:color="auto"/>
            </w:tcBorders>
            <w:shd w:val="clear" w:color="000000" w:fill="D9D9D9"/>
            <w:vAlign w:val="center"/>
            <w:hideMark/>
          </w:tcPr>
          <w:p w14:paraId="16189AC5" w14:textId="77777777" w:rsidR="000D7A57" w:rsidRPr="00046858" w:rsidRDefault="000D7A57">
            <w:pPr>
              <w:spacing w:before="0" w:after="0"/>
              <w:jc w:val="right"/>
              <w:rPr>
                <w:rFonts w:eastAsia="Times New Roman"/>
                <w:noProof/>
                <w:color w:val="000000"/>
                <w:sz w:val="20"/>
                <w:szCs w:val="20"/>
              </w:rPr>
            </w:pPr>
            <w:r w:rsidRPr="00046858">
              <w:rPr>
                <w:noProof/>
                <w:color w:val="000000"/>
                <w:sz w:val="20"/>
              </w:rPr>
              <w:t>0,881</w:t>
            </w:r>
          </w:p>
        </w:tc>
        <w:tc>
          <w:tcPr>
            <w:tcW w:w="350" w:type="pct"/>
            <w:tcBorders>
              <w:top w:val="nil"/>
              <w:left w:val="nil"/>
              <w:bottom w:val="single" w:sz="8" w:space="0" w:color="auto"/>
              <w:right w:val="single" w:sz="8" w:space="0" w:color="auto"/>
            </w:tcBorders>
            <w:shd w:val="clear" w:color="000000" w:fill="D9D9D9"/>
            <w:vAlign w:val="center"/>
            <w:hideMark/>
          </w:tcPr>
          <w:p w14:paraId="48F63BA3" w14:textId="77777777" w:rsidR="000D7A57" w:rsidRPr="00046858" w:rsidRDefault="000D7A57">
            <w:pPr>
              <w:spacing w:before="0" w:after="0"/>
              <w:jc w:val="right"/>
              <w:rPr>
                <w:rFonts w:eastAsia="Times New Roman"/>
                <w:noProof/>
                <w:color w:val="000000"/>
                <w:sz w:val="20"/>
                <w:szCs w:val="20"/>
              </w:rPr>
            </w:pPr>
            <w:r w:rsidRPr="00046858">
              <w:rPr>
                <w:noProof/>
                <w:color w:val="000000"/>
                <w:sz w:val="20"/>
              </w:rPr>
              <w:t>0,881</w:t>
            </w:r>
          </w:p>
        </w:tc>
        <w:tc>
          <w:tcPr>
            <w:tcW w:w="350" w:type="pct"/>
            <w:tcBorders>
              <w:top w:val="nil"/>
              <w:left w:val="nil"/>
              <w:bottom w:val="single" w:sz="8" w:space="0" w:color="auto"/>
              <w:right w:val="single" w:sz="8" w:space="0" w:color="auto"/>
            </w:tcBorders>
            <w:shd w:val="clear" w:color="000000" w:fill="D9D9D9"/>
            <w:vAlign w:val="center"/>
            <w:hideMark/>
          </w:tcPr>
          <w:p w14:paraId="295ACA06" w14:textId="77777777" w:rsidR="000D7A57" w:rsidRPr="00046858" w:rsidRDefault="000D7A57">
            <w:pPr>
              <w:spacing w:before="0" w:after="0"/>
              <w:jc w:val="right"/>
              <w:rPr>
                <w:rFonts w:eastAsia="Times New Roman"/>
                <w:noProof/>
                <w:color w:val="000000"/>
                <w:sz w:val="20"/>
                <w:szCs w:val="20"/>
              </w:rPr>
            </w:pPr>
            <w:r w:rsidRPr="00046858">
              <w:rPr>
                <w:noProof/>
                <w:color w:val="000000"/>
                <w:sz w:val="20"/>
              </w:rPr>
              <w:t>0,881</w:t>
            </w:r>
          </w:p>
        </w:tc>
        <w:tc>
          <w:tcPr>
            <w:tcW w:w="378" w:type="pct"/>
            <w:tcBorders>
              <w:top w:val="nil"/>
              <w:left w:val="nil"/>
              <w:bottom w:val="single" w:sz="8" w:space="0" w:color="auto"/>
              <w:right w:val="single" w:sz="8" w:space="0" w:color="auto"/>
            </w:tcBorders>
            <w:shd w:val="clear" w:color="000000" w:fill="D9D9D9"/>
            <w:vAlign w:val="center"/>
            <w:hideMark/>
          </w:tcPr>
          <w:p w14:paraId="1B051642" w14:textId="77777777" w:rsidR="000D7A57" w:rsidRPr="00046858" w:rsidRDefault="000D7A57">
            <w:pPr>
              <w:spacing w:before="0" w:after="0"/>
              <w:jc w:val="right"/>
              <w:rPr>
                <w:rFonts w:eastAsia="Times New Roman"/>
                <w:b/>
                <w:bCs/>
                <w:noProof/>
                <w:color w:val="000000"/>
                <w:sz w:val="20"/>
                <w:szCs w:val="20"/>
              </w:rPr>
            </w:pPr>
            <w:r w:rsidRPr="00046858">
              <w:rPr>
                <w:b/>
                <w:noProof/>
                <w:color w:val="000000"/>
                <w:sz w:val="20"/>
              </w:rPr>
              <w:t>6,167</w:t>
            </w:r>
          </w:p>
        </w:tc>
      </w:tr>
      <w:tr w:rsidR="000D7A57" w:rsidRPr="00046858" w14:paraId="04C3820C"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73" w:type="pct"/>
            <w:gridSpan w:val="6"/>
            <w:tcBorders>
              <w:top w:val="single" w:sz="8" w:space="0" w:color="auto"/>
              <w:left w:val="single" w:sz="8" w:space="0" w:color="auto"/>
              <w:bottom w:val="single" w:sz="8" w:space="0" w:color="auto"/>
              <w:right w:val="single" w:sz="8" w:space="0" w:color="000000"/>
            </w:tcBorders>
            <w:vAlign w:val="center"/>
            <w:hideMark/>
          </w:tcPr>
          <w:p w14:paraId="308602F7" w14:textId="77777777" w:rsidR="000D7A57" w:rsidRPr="00046858" w:rsidRDefault="000D7A57">
            <w:pPr>
              <w:spacing w:before="0" w:after="0"/>
              <w:jc w:val="left"/>
              <w:rPr>
                <w:rFonts w:ascii="Wingdings" w:eastAsia="Times New Roman" w:hAnsi="Wingdings"/>
                <w:noProof/>
                <w:color w:val="000000"/>
                <w:sz w:val="22"/>
              </w:rPr>
            </w:pPr>
            <w:r w:rsidRPr="00046858">
              <w:rPr>
                <w:rFonts w:ascii="Wingdings" w:hAnsi="Wingdings"/>
                <w:noProof/>
                <w:color w:val="000000"/>
                <w:sz w:val="22"/>
              </w:rPr>
              <w:t></w:t>
            </w:r>
            <w:r w:rsidRPr="00046858">
              <w:rPr>
                <w:noProof/>
                <w:color w:val="000000"/>
                <w:sz w:val="22"/>
              </w:rPr>
              <w:t xml:space="preserve"> Alte cheltuieli administrative </w:t>
            </w:r>
          </w:p>
        </w:tc>
        <w:tc>
          <w:tcPr>
            <w:tcW w:w="350" w:type="pct"/>
            <w:tcBorders>
              <w:top w:val="nil"/>
              <w:left w:val="nil"/>
              <w:bottom w:val="single" w:sz="8" w:space="0" w:color="auto"/>
              <w:right w:val="single" w:sz="8" w:space="0" w:color="auto"/>
            </w:tcBorders>
            <w:shd w:val="clear" w:color="000000" w:fill="D9D9D9"/>
            <w:vAlign w:val="center"/>
          </w:tcPr>
          <w:p w14:paraId="202C9DDE" w14:textId="77777777" w:rsidR="000D7A57" w:rsidRPr="00046858" w:rsidRDefault="000D7A57">
            <w:pPr>
              <w:spacing w:before="0" w:after="0"/>
              <w:jc w:val="right"/>
              <w:rPr>
                <w:rFonts w:eastAsia="Times New Roman"/>
                <w:noProof/>
                <w:color w:val="000000"/>
                <w:sz w:val="20"/>
                <w:szCs w:val="20"/>
                <w:lang w:eastAsia="en-IE"/>
              </w:rPr>
            </w:pPr>
          </w:p>
        </w:tc>
        <w:tc>
          <w:tcPr>
            <w:tcW w:w="350" w:type="pct"/>
            <w:tcBorders>
              <w:top w:val="nil"/>
              <w:left w:val="nil"/>
              <w:bottom w:val="single" w:sz="8" w:space="0" w:color="auto"/>
              <w:right w:val="single" w:sz="8" w:space="0" w:color="auto"/>
            </w:tcBorders>
            <w:shd w:val="clear" w:color="000000" w:fill="D9D9D9"/>
            <w:vAlign w:val="center"/>
          </w:tcPr>
          <w:p w14:paraId="6AB102D8" w14:textId="77777777" w:rsidR="000D7A57" w:rsidRPr="00046858" w:rsidRDefault="000D7A57">
            <w:pPr>
              <w:spacing w:before="0" w:after="0"/>
              <w:jc w:val="right"/>
              <w:rPr>
                <w:rFonts w:eastAsia="Times New Roman"/>
                <w:noProof/>
                <w:color w:val="000000"/>
                <w:sz w:val="20"/>
                <w:szCs w:val="20"/>
                <w:lang w:eastAsia="en-IE"/>
              </w:rPr>
            </w:pPr>
          </w:p>
        </w:tc>
        <w:tc>
          <w:tcPr>
            <w:tcW w:w="350" w:type="pct"/>
            <w:tcBorders>
              <w:top w:val="nil"/>
              <w:left w:val="nil"/>
              <w:bottom w:val="single" w:sz="8" w:space="0" w:color="auto"/>
              <w:right w:val="single" w:sz="8" w:space="0" w:color="auto"/>
            </w:tcBorders>
            <w:shd w:val="clear" w:color="000000" w:fill="D9D9D9"/>
            <w:vAlign w:val="center"/>
          </w:tcPr>
          <w:p w14:paraId="23C71753" w14:textId="77777777" w:rsidR="000D7A57" w:rsidRPr="00046858" w:rsidRDefault="000D7A57">
            <w:pPr>
              <w:spacing w:before="0" w:after="0"/>
              <w:jc w:val="right"/>
              <w:rPr>
                <w:rFonts w:eastAsia="Times New Roman"/>
                <w:noProof/>
                <w:color w:val="000000"/>
                <w:sz w:val="20"/>
                <w:szCs w:val="20"/>
                <w:lang w:eastAsia="en-IE"/>
              </w:rPr>
            </w:pPr>
          </w:p>
        </w:tc>
        <w:tc>
          <w:tcPr>
            <w:tcW w:w="350" w:type="pct"/>
            <w:tcBorders>
              <w:top w:val="nil"/>
              <w:left w:val="nil"/>
              <w:bottom w:val="single" w:sz="8" w:space="0" w:color="auto"/>
              <w:right w:val="single" w:sz="8" w:space="0" w:color="auto"/>
            </w:tcBorders>
            <w:shd w:val="clear" w:color="000000" w:fill="D9D9D9"/>
            <w:vAlign w:val="center"/>
          </w:tcPr>
          <w:p w14:paraId="27D6927C" w14:textId="77777777" w:rsidR="000D7A57" w:rsidRPr="00046858" w:rsidRDefault="000D7A57">
            <w:pPr>
              <w:spacing w:before="0" w:after="0"/>
              <w:jc w:val="right"/>
              <w:rPr>
                <w:rFonts w:eastAsia="Times New Roman"/>
                <w:noProof/>
                <w:color w:val="000000"/>
                <w:sz w:val="20"/>
                <w:szCs w:val="20"/>
                <w:lang w:eastAsia="en-IE"/>
              </w:rPr>
            </w:pPr>
          </w:p>
        </w:tc>
        <w:tc>
          <w:tcPr>
            <w:tcW w:w="350" w:type="pct"/>
            <w:tcBorders>
              <w:top w:val="nil"/>
              <w:left w:val="nil"/>
              <w:bottom w:val="single" w:sz="8" w:space="0" w:color="auto"/>
              <w:right w:val="single" w:sz="8" w:space="0" w:color="auto"/>
            </w:tcBorders>
            <w:shd w:val="clear" w:color="000000" w:fill="D9D9D9"/>
            <w:vAlign w:val="center"/>
          </w:tcPr>
          <w:p w14:paraId="6DBE75E3" w14:textId="77777777" w:rsidR="000D7A57" w:rsidRPr="00046858" w:rsidRDefault="000D7A57">
            <w:pPr>
              <w:spacing w:before="0" w:after="0"/>
              <w:jc w:val="right"/>
              <w:rPr>
                <w:rFonts w:eastAsia="Times New Roman"/>
                <w:noProof/>
                <w:color w:val="000000"/>
                <w:sz w:val="20"/>
                <w:szCs w:val="20"/>
                <w:lang w:eastAsia="en-IE"/>
              </w:rPr>
            </w:pPr>
          </w:p>
        </w:tc>
        <w:tc>
          <w:tcPr>
            <w:tcW w:w="350" w:type="pct"/>
            <w:tcBorders>
              <w:top w:val="nil"/>
              <w:left w:val="nil"/>
              <w:bottom w:val="single" w:sz="8" w:space="0" w:color="auto"/>
              <w:right w:val="single" w:sz="8" w:space="0" w:color="auto"/>
            </w:tcBorders>
            <w:shd w:val="clear" w:color="000000" w:fill="D9D9D9"/>
            <w:vAlign w:val="center"/>
          </w:tcPr>
          <w:p w14:paraId="3EBD734F" w14:textId="77777777" w:rsidR="000D7A57" w:rsidRPr="00046858" w:rsidRDefault="000D7A57">
            <w:pPr>
              <w:spacing w:before="0" w:after="0"/>
              <w:jc w:val="right"/>
              <w:rPr>
                <w:rFonts w:eastAsia="Times New Roman"/>
                <w:noProof/>
                <w:color w:val="000000"/>
                <w:sz w:val="20"/>
                <w:szCs w:val="20"/>
                <w:lang w:eastAsia="en-IE"/>
              </w:rPr>
            </w:pPr>
          </w:p>
        </w:tc>
        <w:tc>
          <w:tcPr>
            <w:tcW w:w="350" w:type="pct"/>
            <w:tcBorders>
              <w:top w:val="nil"/>
              <w:left w:val="nil"/>
              <w:bottom w:val="single" w:sz="8" w:space="0" w:color="auto"/>
              <w:right w:val="single" w:sz="8" w:space="0" w:color="auto"/>
            </w:tcBorders>
            <w:shd w:val="clear" w:color="000000" w:fill="D9D9D9"/>
            <w:vAlign w:val="center"/>
          </w:tcPr>
          <w:p w14:paraId="04FD82A2" w14:textId="77777777" w:rsidR="000D7A57" w:rsidRPr="00046858" w:rsidRDefault="000D7A57">
            <w:pPr>
              <w:spacing w:before="0" w:after="0"/>
              <w:jc w:val="right"/>
              <w:rPr>
                <w:rFonts w:eastAsia="Times New Roman"/>
                <w:noProof/>
                <w:color w:val="000000"/>
                <w:sz w:val="20"/>
                <w:szCs w:val="20"/>
                <w:lang w:eastAsia="en-IE"/>
              </w:rPr>
            </w:pPr>
          </w:p>
        </w:tc>
        <w:tc>
          <w:tcPr>
            <w:tcW w:w="378" w:type="pct"/>
            <w:tcBorders>
              <w:top w:val="nil"/>
              <w:left w:val="nil"/>
              <w:bottom w:val="single" w:sz="8" w:space="0" w:color="auto"/>
              <w:right w:val="single" w:sz="8" w:space="0" w:color="auto"/>
            </w:tcBorders>
            <w:shd w:val="clear" w:color="000000" w:fill="D9D9D9"/>
            <w:vAlign w:val="center"/>
          </w:tcPr>
          <w:p w14:paraId="0C8927AB" w14:textId="77777777" w:rsidR="000D7A57" w:rsidRPr="00046858" w:rsidRDefault="000D7A57">
            <w:pPr>
              <w:spacing w:before="0" w:after="0"/>
              <w:jc w:val="right"/>
              <w:rPr>
                <w:rFonts w:eastAsia="Times New Roman"/>
                <w:b/>
                <w:bCs/>
                <w:noProof/>
                <w:color w:val="000000"/>
                <w:sz w:val="20"/>
                <w:szCs w:val="20"/>
                <w:lang w:eastAsia="en-IE"/>
              </w:rPr>
            </w:pPr>
          </w:p>
        </w:tc>
      </w:tr>
      <w:tr w:rsidR="000D7A57" w:rsidRPr="00046858" w14:paraId="266A0723"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50"/>
        </w:trPr>
        <w:tc>
          <w:tcPr>
            <w:tcW w:w="700" w:type="pct"/>
            <w:tcBorders>
              <w:top w:val="nil"/>
              <w:left w:val="single" w:sz="8" w:space="0" w:color="auto"/>
              <w:bottom w:val="single" w:sz="8" w:space="0" w:color="auto"/>
              <w:right w:val="single" w:sz="8" w:space="0" w:color="auto"/>
            </w:tcBorders>
            <w:vAlign w:val="center"/>
            <w:hideMark/>
          </w:tcPr>
          <w:p w14:paraId="5B60BF4E" w14:textId="77777777" w:rsidR="000D7A57" w:rsidRPr="00046858" w:rsidRDefault="000D7A57">
            <w:pPr>
              <w:spacing w:before="0" w:after="0"/>
              <w:jc w:val="center"/>
              <w:rPr>
                <w:rFonts w:eastAsia="Times New Roman"/>
                <w:b/>
                <w:bCs/>
                <w:noProof/>
                <w:color w:val="000000"/>
                <w:sz w:val="22"/>
              </w:rPr>
            </w:pPr>
            <w:r w:rsidRPr="00046858">
              <w:rPr>
                <w:b/>
                <w:noProof/>
                <w:color w:val="000000"/>
                <w:sz w:val="22"/>
              </w:rPr>
              <w:t>TOTAL PENTRU DG COMP</w:t>
            </w:r>
          </w:p>
        </w:tc>
        <w:tc>
          <w:tcPr>
            <w:tcW w:w="1472" w:type="pct"/>
            <w:gridSpan w:val="5"/>
            <w:tcBorders>
              <w:top w:val="single" w:sz="8" w:space="0" w:color="auto"/>
              <w:left w:val="nil"/>
              <w:bottom w:val="single" w:sz="8" w:space="0" w:color="auto"/>
              <w:right w:val="single" w:sz="8" w:space="0" w:color="000000"/>
            </w:tcBorders>
            <w:vAlign w:val="center"/>
            <w:hideMark/>
          </w:tcPr>
          <w:p w14:paraId="2997EEFA" w14:textId="77777777" w:rsidR="000D7A57" w:rsidRPr="00046858" w:rsidRDefault="000D7A57">
            <w:pPr>
              <w:spacing w:before="0" w:after="0"/>
              <w:jc w:val="left"/>
              <w:rPr>
                <w:rFonts w:eastAsia="Times New Roman"/>
                <w:noProof/>
                <w:color w:val="000000"/>
                <w:sz w:val="18"/>
                <w:szCs w:val="18"/>
              </w:rPr>
            </w:pPr>
            <w:r w:rsidRPr="00046858">
              <w:rPr>
                <w:noProof/>
                <w:color w:val="000000"/>
                <w:sz w:val="18"/>
              </w:rPr>
              <w:t xml:space="preserve">Credite </w:t>
            </w:r>
          </w:p>
        </w:tc>
        <w:tc>
          <w:tcPr>
            <w:tcW w:w="350" w:type="pct"/>
            <w:tcBorders>
              <w:top w:val="nil"/>
              <w:left w:val="nil"/>
              <w:bottom w:val="single" w:sz="8" w:space="0" w:color="auto"/>
              <w:right w:val="single" w:sz="8" w:space="0" w:color="auto"/>
            </w:tcBorders>
            <w:shd w:val="clear" w:color="000000" w:fill="D9D9D9"/>
            <w:vAlign w:val="center"/>
            <w:hideMark/>
          </w:tcPr>
          <w:p w14:paraId="44B7A5EA" w14:textId="77777777" w:rsidR="000D7A57" w:rsidRPr="00046858" w:rsidRDefault="000D7A57">
            <w:pPr>
              <w:spacing w:before="0" w:after="0"/>
              <w:jc w:val="right"/>
              <w:rPr>
                <w:rFonts w:eastAsia="Times New Roman"/>
                <w:b/>
                <w:bCs/>
                <w:noProof/>
                <w:color w:val="000000"/>
                <w:sz w:val="20"/>
                <w:szCs w:val="20"/>
              </w:rPr>
            </w:pPr>
            <w:r w:rsidRPr="00046858">
              <w:rPr>
                <w:b/>
                <w:noProof/>
                <w:color w:val="000000"/>
                <w:sz w:val="20"/>
              </w:rPr>
              <w:t>0,881</w:t>
            </w:r>
          </w:p>
        </w:tc>
        <w:tc>
          <w:tcPr>
            <w:tcW w:w="350" w:type="pct"/>
            <w:tcBorders>
              <w:top w:val="nil"/>
              <w:left w:val="nil"/>
              <w:bottom w:val="single" w:sz="8" w:space="0" w:color="auto"/>
              <w:right w:val="single" w:sz="8" w:space="0" w:color="auto"/>
            </w:tcBorders>
            <w:shd w:val="clear" w:color="000000" w:fill="D9D9D9"/>
            <w:vAlign w:val="center"/>
            <w:hideMark/>
          </w:tcPr>
          <w:p w14:paraId="5464EB95" w14:textId="77777777" w:rsidR="000D7A57" w:rsidRPr="00046858" w:rsidRDefault="000D7A57">
            <w:pPr>
              <w:spacing w:before="0" w:after="0"/>
              <w:jc w:val="right"/>
              <w:rPr>
                <w:rFonts w:eastAsia="Times New Roman"/>
                <w:b/>
                <w:bCs/>
                <w:noProof/>
                <w:color w:val="000000"/>
                <w:sz w:val="20"/>
                <w:szCs w:val="20"/>
              </w:rPr>
            </w:pPr>
            <w:r w:rsidRPr="00046858">
              <w:rPr>
                <w:b/>
                <w:noProof/>
                <w:color w:val="000000"/>
                <w:sz w:val="20"/>
              </w:rPr>
              <w:t>0,881</w:t>
            </w:r>
          </w:p>
        </w:tc>
        <w:tc>
          <w:tcPr>
            <w:tcW w:w="350" w:type="pct"/>
            <w:tcBorders>
              <w:top w:val="nil"/>
              <w:left w:val="nil"/>
              <w:bottom w:val="single" w:sz="8" w:space="0" w:color="auto"/>
              <w:right w:val="single" w:sz="8" w:space="0" w:color="auto"/>
            </w:tcBorders>
            <w:shd w:val="clear" w:color="000000" w:fill="D9D9D9"/>
            <w:vAlign w:val="center"/>
            <w:hideMark/>
          </w:tcPr>
          <w:p w14:paraId="3EAE8A59" w14:textId="77777777" w:rsidR="000D7A57" w:rsidRPr="00046858" w:rsidRDefault="000D7A57">
            <w:pPr>
              <w:spacing w:before="0" w:after="0"/>
              <w:jc w:val="right"/>
              <w:rPr>
                <w:rFonts w:eastAsia="Times New Roman"/>
                <w:b/>
                <w:bCs/>
                <w:noProof/>
                <w:color w:val="000000"/>
                <w:sz w:val="20"/>
                <w:szCs w:val="20"/>
              </w:rPr>
            </w:pPr>
            <w:r w:rsidRPr="00046858">
              <w:rPr>
                <w:b/>
                <w:noProof/>
                <w:color w:val="000000"/>
                <w:sz w:val="20"/>
              </w:rPr>
              <w:t>0,881</w:t>
            </w:r>
          </w:p>
        </w:tc>
        <w:tc>
          <w:tcPr>
            <w:tcW w:w="350" w:type="pct"/>
            <w:tcBorders>
              <w:top w:val="nil"/>
              <w:left w:val="nil"/>
              <w:bottom w:val="single" w:sz="8" w:space="0" w:color="auto"/>
              <w:right w:val="single" w:sz="8" w:space="0" w:color="auto"/>
            </w:tcBorders>
            <w:shd w:val="clear" w:color="000000" w:fill="D9D9D9"/>
            <w:vAlign w:val="center"/>
            <w:hideMark/>
          </w:tcPr>
          <w:p w14:paraId="48FE3C4B" w14:textId="77777777" w:rsidR="000D7A57" w:rsidRPr="00046858" w:rsidRDefault="000D7A57">
            <w:pPr>
              <w:spacing w:before="0" w:after="0"/>
              <w:jc w:val="right"/>
              <w:rPr>
                <w:rFonts w:eastAsia="Times New Roman"/>
                <w:b/>
                <w:bCs/>
                <w:noProof/>
                <w:color w:val="000000"/>
                <w:sz w:val="20"/>
                <w:szCs w:val="20"/>
              </w:rPr>
            </w:pPr>
            <w:r w:rsidRPr="00046858">
              <w:rPr>
                <w:b/>
                <w:noProof/>
                <w:color w:val="000000"/>
                <w:sz w:val="20"/>
              </w:rPr>
              <w:t>0,881</w:t>
            </w:r>
          </w:p>
        </w:tc>
        <w:tc>
          <w:tcPr>
            <w:tcW w:w="350" w:type="pct"/>
            <w:tcBorders>
              <w:top w:val="nil"/>
              <w:left w:val="nil"/>
              <w:bottom w:val="single" w:sz="8" w:space="0" w:color="auto"/>
              <w:right w:val="single" w:sz="8" w:space="0" w:color="auto"/>
            </w:tcBorders>
            <w:shd w:val="clear" w:color="000000" w:fill="D9D9D9"/>
            <w:vAlign w:val="center"/>
            <w:hideMark/>
          </w:tcPr>
          <w:p w14:paraId="5C5BD96B" w14:textId="77777777" w:rsidR="000D7A57" w:rsidRPr="00046858" w:rsidRDefault="000D7A57">
            <w:pPr>
              <w:spacing w:before="0" w:after="0"/>
              <w:jc w:val="right"/>
              <w:rPr>
                <w:rFonts w:eastAsia="Times New Roman"/>
                <w:b/>
                <w:bCs/>
                <w:noProof/>
                <w:color w:val="000000"/>
                <w:sz w:val="20"/>
                <w:szCs w:val="20"/>
              </w:rPr>
            </w:pPr>
            <w:r w:rsidRPr="00046858">
              <w:rPr>
                <w:b/>
                <w:noProof/>
                <w:color w:val="000000"/>
                <w:sz w:val="20"/>
              </w:rPr>
              <w:t>0,881</w:t>
            </w:r>
          </w:p>
        </w:tc>
        <w:tc>
          <w:tcPr>
            <w:tcW w:w="350" w:type="pct"/>
            <w:tcBorders>
              <w:top w:val="nil"/>
              <w:left w:val="nil"/>
              <w:bottom w:val="single" w:sz="8" w:space="0" w:color="auto"/>
              <w:right w:val="single" w:sz="8" w:space="0" w:color="auto"/>
            </w:tcBorders>
            <w:shd w:val="clear" w:color="000000" w:fill="D9D9D9"/>
            <w:vAlign w:val="center"/>
            <w:hideMark/>
          </w:tcPr>
          <w:p w14:paraId="4AB0C559" w14:textId="77777777" w:rsidR="000D7A57" w:rsidRPr="00046858" w:rsidRDefault="000D7A57">
            <w:pPr>
              <w:spacing w:before="0" w:after="0"/>
              <w:jc w:val="right"/>
              <w:rPr>
                <w:rFonts w:eastAsia="Times New Roman"/>
                <w:b/>
                <w:bCs/>
                <w:noProof/>
                <w:color w:val="000000"/>
                <w:sz w:val="20"/>
                <w:szCs w:val="20"/>
              </w:rPr>
            </w:pPr>
            <w:r w:rsidRPr="00046858">
              <w:rPr>
                <w:b/>
                <w:noProof/>
                <w:color w:val="000000"/>
                <w:sz w:val="20"/>
              </w:rPr>
              <w:t>0,881</w:t>
            </w:r>
          </w:p>
        </w:tc>
        <w:tc>
          <w:tcPr>
            <w:tcW w:w="350" w:type="pct"/>
            <w:tcBorders>
              <w:top w:val="nil"/>
              <w:left w:val="nil"/>
              <w:bottom w:val="single" w:sz="8" w:space="0" w:color="auto"/>
              <w:right w:val="single" w:sz="8" w:space="0" w:color="auto"/>
            </w:tcBorders>
            <w:shd w:val="clear" w:color="000000" w:fill="D9D9D9"/>
            <w:vAlign w:val="center"/>
            <w:hideMark/>
          </w:tcPr>
          <w:p w14:paraId="7A8FBB40" w14:textId="77777777" w:rsidR="000D7A57" w:rsidRPr="00046858" w:rsidRDefault="000D7A57">
            <w:pPr>
              <w:spacing w:before="0" w:after="0"/>
              <w:jc w:val="right"/>
              <w:rPr>
                <w:rFonts w:eastAsia="Times New Roman"/>
                <w:b/>
                <w:bCs/>
                <w:noProof/>
                <w:color w:val="000000"/>
                <w:sz w:val="20"/>
                <w:szCs w:val="20"/>
              </w:rPr>
            </w:pPr>
            <w:r w:rsidRPr="00046858">
              <w:rPr>
                <w:b/>
                <w:noProof/>
                <w:color w:val="000000"/>
                <w:sz w:val="20"/>
              </w:rPr>
              <w:t>0,881</w:t>
            </w:r>
          </w:p>
        </w:tc>
        <w:tc>
          <w:tcPr>
            <w:tcW w:w="378" w:type="pct"/>
            <w:tcBorders>
              <w:top w:val="nil"/>
              <w:left w:val="nil"/>
              <w:bottom w:val="single" w:sz="8" w:space="0" w:color="auto"/>
              <w:right w:val="single" w:sz="8" w:space="0" w:color="auto"/>
            </w:tcBorders>
            <w:shd w:val="clear" w:color="000000" w:fill="D9D9D9"/>
            <w:vAlign w:val="center"/>
            <w:hideMark/>
          </w:tcPr>
          <w:p w14:paraId="770F70DF" w14:textId="77777777" w:rsidR="000D7A57" w:rsidRPr="00046858" w:rsidRDefault="000D7A57">
            <w:pPr>
              <w:spacing w:before="0" w:after="0"/>
              <w:jc w:val="right"/>
              <w:rPr>
                <w:rFonts w:eastAsia="Times New Roman"/>
                <w:b/>
                <w:bCs/>
                <w:noProof/>
                <w:color w:val="000000"/>
                <w:sz w:val="20"/>
                <w:szCs w:val="20"/>
              </w:rPr>
            </w:pPr>
            <w:r w:rsidRPr="00046858">
              <w:rPr>
                <w:b/>
                <w:noProof/>
                <w:color w:val="000000"/>
                <w:sz w:val="20"/>
              </w:rPr>
              <w:t>6,167</w:t>
            </w:r>
          </w:p>
        </w:tc>
      </w:tr>
      <w:tr w:rsidR="000D7A57" w:rsidRPr="00046858" w14:paraId="422A1820"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700" w:type="pct"/>
            <w:tcBorders>
              <w:top w:val="nil"/>
              <w:left w:val="nil"/>
              <w:bottom w:val="nil"/>
              <w:right w:val="nil"/>
            </w:tcBorders>
            <w:noWrap/>
            <w:vAlign w:val="bottom"/>
            <w:hideMark/>
          </w:tcPr>
          <w:p w14:paraId="4CA08163" w14:textId="77777777" w:rsidR="000D7A57" w:rsidRPr="00046858" w:rsidRDefault="000D7A57">
            <w:pPr>
              <w:spacing w:before="0" w:after="0"/>
              <w:jc w:val="right"/>
              <w:rPr>
                <w:rFonts w:eastAsia="Times New Roman"/>
                <w:b/>
                <w:bCs/>
                <w:noProof/>
                <w:color w:val="000000"/>
                <w:sz w:val="20"/>
                <w:szCs w:val="20"/>
                <w:lang w:eastAsia="en-IE"/>
              </w:rPr>
            </w:pPr>
          </w:p>
        </w:tc>
        <w:tc>
          <w:tcPr>
            <w:tcW w:w="959" w:type="pct"/>
            <w:tcBorders>
              <w:top w:val="nil"/>
              <w:left w:val="nil"/>
              <w:bottom w:val="nil"/>
              <w:right w:val="nil"/>
            </w:tcBorders>
            <w:noWrap/>
            <w:vAlign w:val="bottom"/>
            <w:hideMark/>
          </w:tcPr>
          <w:p w14:paraId="44908B3B" w14:textId="77777777" w:rsidR="000D7A57" w:rsidRPr="00046858" w:rsidRDefault="000D7A57">
            <w:pPr>
              <w:spacing w:before="0" w:after="0"/>
              <w:jc w:val="left"/>
              <w:rPr>
                <w:rFonts w:eastAsia="Times New Roman"/>
                <w:noProof/>
                <w:sz w:val="20"/>
                <w:szCs w:val="20"/>
                <w:lang w:eastAsia="en-IE"/>
              </w:rPr>
            </w:pPr>
          </w:p>
        </w:tc>
        <w:tc>
          <w:tcPr>
            <w:tcW w:w="255" w:type="pct"/>
            <w:gridSpan w:val="2"/>
            <w:tcBorders>
              <w:top w:val="nil"/>
              <w:left w:val="nil"/>
              <w:bottom w:val="nil"/>
              <w:right w:val="nil"/>
            </w:tcBorders>
            <w:noWrap/>
            <w:vAlign w:val="bottom"/>
            <w:hideMark/>
          </w:tcPr>
          <w:p w14:paraId="783A2F38" w14:textId="77777777" w:rsidR="000D7A57" w:rsidRPr="00046858" w:rsidRDefault="000D7A57">
            <w:pPr>
              <w:spacing w:before="0" w:after="0"/>
              <w:jc w:val="left"/>
              <w:rPr>
                <w:rFonts w:eastAsia="Times New Roman"/>
                <w:noProof/>
                <w:sz w:val="20"/>
                <w:szCs w:val="20"/>
                <w:lang w:eastAsia="en-IE"/>
              </w:rPr>
            </w:pPr>
          </w:p>
        </w:tc>
        <w:tc>
          <w:tcPr>
            <w:tcW w:w="258" w:type="pct"/>
            <w:gridSpan w:val="2"/>
            <w:tcBorders>
              <w:top w:val="nil"/>
              <w:left w:val="nil"/>
              <w:bottom w:val="nil"/>
              <w:right w:val="nil"/>
            </w:tcBorders>
            <w:noWrap/>
            <w:vAlign w:val="bottom"/>
            <w:hideMark/>
          </w:tcPr>
          <w:p w14:paraId="6B3280E9" w14:textId="77777777" w:rsidR="000D7A57" w:rsidRPr="0004685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0B88575E" w14:textId="77777777" w:rsidR="000D7A57" w:rsidRPr="0004685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088C7A35" w14:textId="77777777" w:rsidR="000D7A57" w:rsidRPr="0004685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1038FA8E" w14:textId="77777777" w:rsidR="000D7A57" w:rsidRPr="0004685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74F0CF02" w14:textId="77777777" w:rsidR="000D7A57" w:rsidRPr="0004685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55426D1F" w14:textId="77777777" w:rsidR="000D7A57" w:rsidRPr="0004685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70611F97" w14:textId="77777777" w:rsidR="000D7A57" w:rsidRPr="0004685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5905E22F" w14:textId="77777777" w:rsidR="000D7A57" w:rsidRPr="00046858" w:rsidRDefault="000D7A57">
            <w:pPr>
              <w:spacing w:before="0" w:after="0"/>
              <w:jc w:val="left"/>
              <w:rPr>
                <w:rFonts w:eastAsia="Times New Roman"/>
                <w:noProof/>
                <w:sz w:val="20"/>
                <w:szCs w:val="20"/>
                <w:lang w:eastAsia="en-IE"/>
              </w:rPr>
            </w:pPr>
          </w:p>
        </w:tc>
        <w:tc>
          <w:tcPr>
            <w:tcW w:w="378" w:type="pct"/>
            <w:tcBorders>
              <w:top w:val="nil"/>
              <w:left w:val="nil"/>
              <w:bottom w:val="nil"/>
              <w:right w:val="nil"/>
            </w:tcBorders>
            <w:noWrap/>
            <w:vAlign w:val="bottom"/>
            <w:hideMark/>
          </w:tcPr>
          <w:p w14:paraId="51C30881" w14:textId="77777777" w:rsidR="000D7A57" w:rsidRPr="00046858" w:rsidRDefault="000D7A57">
            <w:pPr>
              <w:spacing w:before="0" w:after="0"/>
              <w:jc w:val="left"/>
              <w:rPr>
                <w:rFonts w:eastAsia="Times New Roman"/>
                <w:noProof/>
                <w:sz w:val="20"/>
                <w:szCs w:val="20"/>
                <w:lang w:eastAsia="en-IE"/>
              </w:rPr>
            </w:pPr>
          </w:p>
        </w:tc>
      </w:tr>
      <w:tr w:rsidR="000D7A57" w:rsidRPr="00046858" w14:paraId="187759D7"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700" w:type="pct"/>
            <w:tcBorders>
              <w:top w:val="nil"/>
              <w:left w:val="nil"/>
              <w:bottom w:val="nil"/>
              <w:right w:val="nil"/>
            </w:tcBorders>
            <w:noWrap/>
            <w:vAlign w:val="bottom"/>
            <w:hideMark/>
          </w:tcPr>
          <w:p w14:paraId="63EC669A" w14:textId="77777777" w:rsidR="000D7A57" w:rsidRPr="00046858" w:rsidRDefault="000D7A57">
            <w:pPr>
              <w:spacing w:before="0" w:after="0"/>
              <w:jc w:val="right"/>
              <w:rPr>
                <w:rFonts w:eastAsia="Times New Roman"/>
                <w:b/>
                <w:bCs/>
                <w:noProof/>
                <w:color w:val="000000"/>
                <w:sz w:val="20"/>
                <w:szCs w:val="20"/>
                <w:lang w:eastAsia="en-IE"/>
              </w:rPr>
            </w:pPr>
          </w:p>
        </w:tc>
        <w:tc>
          <w:tcPr>
            <w:tcW w:w="959" w:type="pct"/>
            <w:tcBorders>
              <w:top w:val="nil"/>
              <w:left w:val="nil"/>
              <w:bottom w:val="nil"/>
              <w:right w:val="nil"/>
            </w:tcBorders>
            <w:noWrap/>
            <w:vAlign w:val="bottom"/>
            <w:hideMark/>
          </w:tcPr>
          <w:p w14:paraId="7F29201F" w14:textId="77777777" w:rsidR="000D7A57" w:rsidRPr="00046858" w:rsidRDefault="000D7A57">
            <w:pPr>
              <w:spacing w:before="0" w:after="0"/>
              <w:jc w:val="left"/>
              <w:rPr>
                <w:rFonts w:eastAsia="Times New Roman"/>
                <w:noProof/>
                <w:sz w:val="20"/>
                <w:szCs w:val="20"/>
                <w:lang w:eastAsia="en-IE"/>
              </w:rPr>
            </w:pPr>
          </w:p>
        </w:tc>
        <w:tc>
          <w:tcPr>
            <w:tcW w:w="255" w:type="pct"/>
            <w:gridSpan w:val="2"/>
            <w:tcBorders>
              <w:top w:val="nil"/>
              <w:left w:val="nil"/>
              <w:bottom w:val="nil"/>
              <w:right w:val="nil"/>
            </w:tcBorders>
            <w:noWrap/>
            <w:vAlign w:val="bottom"/>
            <w:hideMark/>
          </w:tcPr>
          <w:p w14:paraId="67C240F7" w14:textId="77777777" w:rsidR="000D7A57" w:rsidRPr="00046858" w:rsidRDefault="000D7A57">
            <w:pPr>
              <w:spacing w:before="0" w:after="0"/>
              <w:jc w:val="left"/>
              <w:rPr>
                <w:rFonts w:eastAsia="Times New Roman"/>
                <w:noProof/>
                <w:sz w:val="20"/>
                <w:szCs w:val="20"/>
                <w:lang w:eastAsia="en-IE"/>
              </w:rPr>
            </w:pPr>
          </w:p>
        </w:tc>
        <w:tc>
          <w:tcPr>
            <w:tcW w:w="258" w:type="pct"/>
            <w:gridSpan w:val="2"/>
            <w:tcBorders>
              <w:top w:val="nil"/>
              <w:left w:val="nil"/>
              <w:bottom w:val="nil"/>
              <w:right w:val="nil"/>
            </w:tcBorders>
            <w:noWrap/>
            <w:vAlign w:val="bottom"/>
            <w:hideMark/>
          </w:tcPr>
          <w:p w14:paraId="22433FBD" w14:textId="77777777" w:rsidR="000D7A57" w:rsidRPr="0004685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08F100BE" w14:textId="77777777" w:rsidR="000D7A57" w:rsidRPr="0004685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20B62CA7" w14:textId="77777777" w:rsidR="000D7A57" w:rsidRPr="0004685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07DBBBEB" w14:textId="77777777" w:rsidR="000D7A57" w:rsidRPr="0004685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13C4D128" w14:textId="77777777" w:rsidR="000D7A57" w:rsidRPr="0004685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0098BA83" w14:textId="77777777" w:rsidR="000D7A57" w:rsidRPr="0004685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7E37D1EF" w14:textId="77777777" w:rsidR="000D7A57" w:rsidRPr="00046858" w:rsidRDefault="000D7A57">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3E7DAD52" w14:textId="77777777" w:rsidR="000D7A57" w:rsidRPr="00046858" w:rsidRDefault="000D7A57">
            <w:pPr>
              <w:spacing w:before="0" w:after="0"/>
              <w:jc w:val="left"/>
              <w:rPr>
                <w:rFonts w:eastAsia="Times New Roman"/>
                <w:noProof/>
                <w:sz w:val="20"/>
                <w:szCs w:val="20"/>
                <w:lang w:eastAsia="en-IE"/>
              </w:rPr>
            </w:pPr>
          </w:p>
        </w:tc>
        <w:tc>
          <w:tcPr>
            <w:tcW w:w="378" w:type="pct"/>
            <w:tcBorders>
              <w:top w:val="nil"/>
              <w:left w:val="nil"/>
              <w:bottom w:val="nil"/>
              <w:right w:val="nil"/>
            </w:tcBorders>
            <w:noWrap/>
            <w:vAlign w:val="bottom"/>
            <w:hideMark/>
          </w:tcPr>
          <w:p w14:paraId="766EEC97" w14:textId="77777777" w:rsidR="000D7A57" w:rsidRPr="00046858" w:rsidRDefault="000D7A57">
            <w:pPr>
              <w:spacing w:before="0" w:after="0"/>
              <w:jc w:val="left"/>
              <w:rPr>
                <w:rFonts w:eastAsia="Times New Roman"/>
                <w:noProof/>
                <w:sz w:val="20"/>
                <w:szCs w:val="20"/>
                <w:lang w:eastAsia="en-IE"/>
              </w:rPr>
            </w:pPr>
          </w:p>
        </w:tc>
      </w:tr>
      <w:tr w:rsidR="000D7A57" w:rsidRPr="00046858" w14:paraId="04090AE1"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430"/>
        </w:trPr>
        <w:tc>
          <w:tcPr>
            <w:tcW w:w="1660" w:type="pct"/>
            <w:gridSpan w:val="2"/>
            <w:tcBorders>
              <w:top w:val="single" w:sz="8" w:space="0" w:color="auto"/>
              <w:left w:val="single" w:sz="8" w:space="0" w:color="auto"/>
              <w:bottom w:val="single" w:sz="8" w:space="0" w:color="auto"/>
              <w:right w:val="single" w:sz="8" w:space="0" w:color="000000"/>
            </w:tcBorders>
            <w:shd w:val="thinDiagStripe" w:color="C0C0C0" w:fill="E6E6E6"/>
            <w:vAlign w:val="center"/>
            <w:hideMark/>
          </w:tcPr>
          <w:p w14:paraId="35BE3FAF" w14:textId="77777777" w:rsidR="000D7A57" w:rsidRPr="00046858" w:rsidRDefault="000D7A57">
            <w:pPr>
              <w:spacing w:before="0" w:after="0"/>
              <w:jc w:val="center"/>
              <w:rPr>
                <w:rFonts w:eastAsia="Times New Roman"/>
                <w:b/>
                <w:bCs/>
                <w:noProof/>
                <w:color w:val="000000"/>
                <w:sz w:val="22"/>
              </w:rPr>
            </w:pPr>
            <w:r w:rsidRPr="00046858">
              <w:rPr>
                <w:b/>
                <w:noProof/>
                <w:color w:val="000000"/>
                <w:sz w:val="22"/>
              </w:rPr>
              <w:t xml:space="preserve">TOTAL credite în cadrul RUBRICII 4 din cadrul financiar multianual </w:t>
            </w:r>
          </w:p>
        </w:tc>
        <w:tc>
          <w:tcPr>
            <w:tcW w:w="513" w:type="pct"/>
            <w:gridSpan w:val="4"/>
            <w:tcBorders>
              <w:top w:val="single" w:sz="8" w:space="0" w:color="auto"/>
              <w:left w:val="nil"/>
              <w:bottom w:val="single" w:sz="8" w:space="0" w:color="auto"/>
              <w:right w:val="single" w:sz="8" w:space="0" w:color="000000"/>
            </w:tcBorders>
            <w:vAlign w:val="center"/>
            <w:hideMark/>
          </w:tcPr>
          <w:p w14:paraId="5E9DE75A" w14:textId="77777777" w:rsidR="000D7A57" w:rsidRPr="00046858" w:rsidRDefault="000D7A57">
            <w:pPr>
              <w:spacing w:before="0" w:after="0"/>
              <w:jc w:val="center"/>
              <w:rPr>
                <w:rFonts w:eastAsia="Times New Roman"/>
                <w:noProof/>
                <w:color w:val="000000"/>
                <w:sz w:val="18"/>
                <w:szCs w:val="18"/>
              </w:rPr>
            </w:pPr>
            <w:r w:rsidRPr="00046858">
              <w:rPr>
                <w:noProof/>
                <w:color w:val="000000"/>
                <w:sz w:val="18"/>
              </w:rPr>
              <w:t>(Total angajamente = Total plăți)</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6AC14C2C" w14:textId="77777777" w:rsidR="000D7A57" w:rsidRPr="00046858" w:rsidRDefault="000D7A57">
            <w:pPr>
              <w:spacing w:before="0" w:after="0"/>
              <w:jc w:val="right"/>
              <w:rPr>
                <w:rFonts w:eastAsia="Times New Roman"/>
                <w:b/>
                <w:bCs/>
                <w:noProof/>
                <w:color w:val="000000"/>
                <w:sz w:val="20"/>
                <w:szCs w:val="20"/>
              </w:rPr>
            </w:pPr>
            <w:r w:rsidRPr="00046858">
              <w:rPr>
                <w:b/>
                <w:noProof/>
                <w:color w:val="000000"/>
                <w:sz w:val="20"/>
              </w:rPr>
              <w:t>2,853</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14942414" w14:textId="77777777" w:rsidR="000D7A57" w:rsidRPr="00046858" w:rsidRDefault="000D7A57">
            <w:pPr>
              <w:spacing w:before="0" w:after="0"/>
              <w:jc w:val="right"/>
              <w:rPr>
                <w:rFonts w:eastAsia="Times New Roman"/>
                <w:b/>
                <w:bCs/>
                <w:noProof/>
                <w:color w:val="000000"/>
                <w:sz w:val="20"/>
                <w:szCs w:val="20"/>
              </w:rPr>
            </w:pPr>
            <w:r w:rsidRPr="00046858">
              <w:rPr>
                <w:b/>
                <w:noProof/>
                <w:color w:val="000000"/>
                <w:sz w:val="20"/>
              </w:rPr>
              <w:t>2,853</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1238E2EB" w14:textId="77777777" w:rsidR="000D7A57" w:rsidRPr="00046858" w:rsidRDefault="000D7A57">
            <w:pPr>
              <w:spacing w:before="0" w:after="0"/>
              <w:jc w:val="right"/>
              <w:rPr>
                <w:rFonts w:eastAsia="Times New Roman"/>
                <w:b/>
                <w:bCs/>
                <w:noProof/>
                <w:color w:val="000000"/>
                <w:sz w:val="20"/>
                <w:szCs w:val="20"/>
              </w:rPr>
            </w:pPr>
            <w:r w:rsidRPr="00046858">
              <w:rPr>
                <w:b/>
                <w:noProof/>
                <w:color w:val="000000"/>
                <w:sz w:val="20"/>
              </w:rPr>
              <w:t>2,853</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2B660812" w14:textId="77777777" w:rsidR="000D7A57" w:rsidRPr="00046858" w:rsidRDefault="000D7A57">
            <w:pPr>
              <w:spacing w:before="0" w:after="0"/>
              <w:jc w:val="right"/>
              <w:rPr>
                <w:rFonts w:eastAsia="Times New Roman"/>
                <w:b/>
                <w:bCs/>
                <w:noProof/>
                <w:color w:val="000000"/>
                <w:sz w:val="20"/>
                <w:szCs w:val="20"/>
              </w:rPr>
            </w:pPr>
            <w:r w:rsidRPr="00046858">
              <w:rPr>
                <w:b/>
                <w:noProof/>
                <w:color w:val="000000"/>
                <w:sz w:val="20"/>
              </w:rPr>
              <w:t>2,853</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045064F2" w14:textId="77777777" w:rsidR="000D7A57" w:rsidRPr="00046858" w:rsidRDefault="000D7A57">
            <w:pPr>
              <w:spacing w:before="0" w:after="0"/>
              <w:jc w:val="right"/>
              <w:rPr>
                <w:rFonts w:eastAsia="Times New Roman"/>
                <w:b/>
                <w:bCs/>
                <w:noProof/>
                <w:color w:val="000000"/>
                <w:sz w:val="20"/>
                <w:szCs w:val="20"/>
              </w:rPr>
            </w:pPr>
            <w:r w:rsidRPr="00046858">
              <w:rPr>
                <w:b/>
                <w:noProof/>
                <w:color w:val="000000"/>
                <w:sz w:val="20"/>
              </w:rPr>
              <w:t>2,853</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1B3D598E" w14:textId="77777777" w:rsidR="000D7A57" w:rsidRPr="00046858" w:rsidRDefault="000D7A57">
            <w:pPr>
              <w:spacing w:before="0" w:after="0"/>
              <w:jc w:val="right"/>
              <w:rPr>
                <w:rFonts w:eastAsia="Times New Roman"/>
                <w:b/>
                <w:bCs/>
                <w:noProof/>
                <w:color w:val="000000"/>
                <w:sz w:val="20"/>
                <w:szCs w:val="20"/>
              </w:rPr>
            </w:pPr>
            <w:r w:rsidRPr="00046858">
              <w:rPr>
                <w:b/>
                <w:noProof/>
                <w:color w:val="000000"/>
                <w:sz w:val="20"/>
              </w:rPr>
              <w:t>2,853</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1BA1548F" w14:textId="77777777" w:rsidR="000D7A57" w:rsidRPr="00046858" w:rsidRDefault="000D7A57">
            <w:pPr>
              <w:spacing w:before="0" w:after="0"/>
              <w:jc w:val="right"/>
              <w:rPr>
                <w:rFonts w:eastAsia="Times New Roman"/>
                <w:b/>
                <w:bCs/>
                <w:noProof/>
                <w:color w:val="000000"/>
                <w:sz w:val="20"/>
                <w:szCs w:val="20"/>
              </w:rPr>
            </w:pPr>
            <w:r w:rsidRPr="00046858">
              <w:rPr>
                <w:b/>
                <w:noProof/>
                <w:color w:val="000000"/>
                <w:sz w:val="20"/>
              </w:rPr>
              <w:t>2,853</w:t>
            </w:r>
          </w:p>
        </w:tc>
        <w:tc>
          <w:tcPr>
            <w:tcW w:w="378" w:type="pct"/>
            <w:tcBorders>
              <w:top w:val="single" w:sz="8" w:space="0" w:color="auto"/>
              <w:left w:val="nil"/>
              <w:bottom w:val="single" w:sz="8" w:space="0" w:color="auto"/>
              <w:right w:val="single" w:sz="8" w:space="0" w:color="auto"/>
            </w:tcBorders>
            <w:shd w:val="clear" w:color="000000" w:fill="D9D9D9"/>
            <w:vAlign w:val="center"/>
            <w:hideMark/>
          </w:tcPr>
          <w:p w14:paraId="1735BFBA" w14:textId="77777777" w:rsidR="000D7A57" w:rsidRPr="00046858" w:rsidRDefault="000D7A57">
            <w:pPr>
              <w:spacing w:before="0" w:after="0"/>
              <w:jc w:val="right"/>
              <w:rPr>
                <w:rFonts w:eastAsia="Times New Roman"/>
                <w:b/>
                <w:bCs/>
                <w:noProof/>
                <w:color w:val="000000"/>
                <w:sz w:val="20"/>
                <w:szCs w:val="20"/>
              </w:rPr>
            </w:pPr>
            <w:r w:rsidRPr="00046858">
              <w:rPr>
                <w:b/>
                <w:noProof/>
                <w:color w:val="000000"/>
                <w:sz w:val="20"/>
              </w:rPr>
              <w:t>19,971</w:t>
            </w:r>
          </w:p>
        </w:tc>
      </w:tr>
    </w:tbl>
    <w:p w14:paraId="69F31814" w14:textId="77777777" w:rsidR="00A03D5B" w:rsidRPr="00046858" w:rsidRDefault="00A03D5B" w:rsidP="0041561E">
      <w:pPr>
        <w:jc w:val="right"/>
        <w:rPr>
          <w:noProof/>
          <w:sz w:val="20"/>
        </w:rPr>
      </w:pPr>
      <w:r w:rsidRPr="00046858">
        <w:rPr>
          <w:noProof/>
          <w:sz w:val="20"/>
        </w:rPr>
        <w:t>milioane EUR (cu trei zecimale)</w:t>
      </w:r>
    </w:p>
    <w:tbl>
      <w:tblPr>
        <w:tblW w:w="5000" w:type="pct"/>
        <w:tblLook w:val="04A0" w:firstRow="1" w:lastRow="0" w:firstColumn="1" w:lastColumn="0" w:noHBand="0" w:noVBand="1"/>
      </w:tblPr>
      <w:tblGrid>
        <w:gridCol w:w="2193"/>
        <w:gridCol w:w="1459"/>
        <w:gridCol w:w="1166"/>
        <w:gridCol w:w="1166"/>
        <w:gridCol w:w="1166"/>
        <w:gridCol w:w="1166"/>
        <w:gridCol w:w="1166"/>
        <w:gridCol w:w="1166"/>
        <w:gridCol w:w="1166"/>
        <w:gridCol w:w="1166"/>
        <w:gridCol w:w="1240"/>
      </w:tblGrid>
      <w:tr w:rsidR="00C67F54" w:rsidRPr="00046858" w14:paraId="5C80B04D" w14:textId="77777777">
        <w:trPr>
          <w:trHeight w:val="410"/>
        </w:trPr>
        <w:tc>
          <w:tcPr>
            <w:tcW w:w="1284"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2DEF95E7" w14:textId="77777777" w:rsidR="00C67F54" w:rsidRPr="00046858" w:rsidRDefault="00C67F54">
            <w:pPr>
              <w:spacing w:before="0" w:after="0"/>
              <w:jc w:val="center"/>
              <w:rPr>
                <w:rFonts w:eastAsia="Times New Roman"/>
                <w:noProof/>
                <w:color w:val="000000"/>
                <w:szCs w:val="24"/>
              </w:rPr>
            </w:pPr>
            <w:r w:rsidRPr="00046858">
              <w:rPr>
                <w:noProof/>
                <w:color w:val="000000"/>
              </w:rPr>
              <w:t xml:space="preserve"> </w:t>
            </w:r>
          </w:p>
        </w:tc>
        <w:tc>
          <w:tcPr>
            <w:tcW w:w="410" w:type="pct"/>
            <w:tcBorders>
              <w:top w:val="single" w:sz="8" w:space="0" w:color="auto"/>
              <w:left w:val="nil"/>
              <w:bottom w:val="nil"/>
              <w:right w:val="single" w:sz="8" w:space="0" w:color="auto"/>
            </w:tcBorders>
            <w:vAlign w:val="center"/>
            <w:hideMark/>
          </w:tcPr>
          <w:p w14:paraId="5B568234"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Anul</w:t>
            </w:r>
          </w:p>
        </w:tc>
        <w:tc>
          <w:tcPr>
            <w:tcW w:w="410" w:type="pct"/>
            <w:tcBorders>
              <w:top w:val="single" w:sz="8" w:space="0" w:color="auto"/>
              <w:left w:val="nil"/>
              <w:bottom w:val="nil"/>
              <w:right w:val="single" w:sz="8" w:space="0" w:color="auto"/>
            </w:tcBorders>
            <w:vAlign w:val="center"/>
            <w:hideMark/>
          </w:tcPr>
          <w:p w14:paraId="20CDE314"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Anul</w:t>
            </w:r>
          </w:p>
        </w:tc>
        <w:tc>
          <w:tcPr>
            <w:tcW w:w="410" w:type="pct"/>
            <w:tcBorders>
              <w:top w:val="single" w:sz="8" w:space="0" w:color="auto"/>
              <w:left w:val="nil"/>
              <w:bottom w:val="nil"/>
              <w:right w:val="single" w:sz="8" w:space="0" w:color="auto"/>
            </w:tcBorders>
            <w:vAlign w:val="center"/>
            <w:hideMark/>
          </w:tcPr>
          <w:p w14:paraId="158D361C"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Anul</w:t>
            </w:r>
          </w:p>
        </w:tc>
        <w:tc>
          <w:tcPr>
            <w:tcW w:w="410" w:type="pct"/>
            <w:tcBorders>
              <w:top w:val="single" w:sz="8" w:space="0" w:color="auto"/>
              <w:left w:val="nil"/>
              <w:bottom w:val="nil"/>
              <w:right w:val="single" w:sz="8" w:space="0" w:color="auto"/>
            </w:tcBorders>
            <w:vAlign w:val="center"/>
            <w:hideMark/>
          </w:tcPr>
          <w:p w14:paraId="65617A5B"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Anul</w:t>
            </w:r>
          </w:p>
        </w:tc>
        <w:tc>
          <w:tcPr>
            <w:tcW w:w="410" w:type="pct"/>
            <w:tcBorders>
              <w:top w:val="single" w:sz="8" w:space="0" w:color="auto"/>
              <w:left w:val="nil"/>
              <w:bottom w:val="nil"/>
              <w:right w:val="single" w:sz="8" w:space="0" w:color="auto"/>
            </w:tcBorders>
            <w:vAlign w:val="center"/>
            <w:hideMark/>
          </w:tcPr>
          <w:p w14:paraId="679FD903"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Anul</w:t>
            </w:r>
          </w:p>
        </w:tc>
        <w:tc>
          <w:tcPr>
            <w:tcW w:w="410" w:type="pct"/>
            <w:tcBorders>
              <w:top w:val="single" w:sz="8" w:space="0" w:color="auto"/>
              <w:left w:val="nil"/>
              <w:bottom w:val="nil"/>
              <w:right w:val="single" w:sz="8" w:space="0" w:color="auto"/>
            </w:tcBorders>
            <w:vAlign w:val="center"/>
            <w:hideMark/>
          </w:tcPr>
          <w:p w14:paraId="7A552DC4"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Anul</w:t>
            </w:r>
          </w:p>
        </w:tc>
        <w:tc>
          <w:tcPr>
            <w:tcW w:w="410" w:type="pct"/>
            <w:tcBorders>
              <w:top w:val="single" w:sz="8" w:space="0" w:color="auto"/>
              <w:left w:val="nil"/>
              <w:bottom w:val="nil"/>
              <w:right w:val="single" w:sz="8" w:space="0" w:color="auto"/>
            </w:tcBorders>
            <w:vAlign w:val="center"/>
            <w:hideMark/>
          </w:tcPr>
          <w:p w14:paraId="30C9A4B3"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Anul</w:t>
            </w:r>
          </w:p>
        </w:tc>
        <w:tc>
          <w:tcPr>
            <w:tcW w:w="410" w:type="pct"/>
            <w:tcBorders>
              <w:top w:val="single" w:sz="8" w:space="0" w:color="auto"/>
              <w:left w:val="single" w:sz="8" w:space="0" w:color="auto"/>
              <w:right w:val="single" w:sz="8" w:space="0" w:color="auto"/>
            </w:tcBorders>
            <w:vAlign w:val="center"/>
          </w:tcPr>
          <w:p w14:paraId="42C04177"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După</w:t>
            </w:r>
          </w:p>
        </w:tc>
        <w:tc>
          <w:tcPr>
            <w:tcW w:w="436" w:type="pct"/>
            <w:vMerge w:val="restart"/>
            <w:tcBorders>
              <w:top w:val="single" w:sz="8" w:space="0" w:color="auto"/>
              <w:left w:val="single" w:sz="8" w:space="0" w:color="auto"/>
              <w:bottom w:val="single" w:sz="4" w:space="0" w:color="auto"/>
              <w:right w:val="single" w:sz="8" w:space="0" w:color="auto"/>
            </w:tcBorders>
            <w:vAlign w:val="center"/>
            <w:hideMark/>
          </w:tcPr>
          <w:p w14:paraId="649C5549" w14:textId="77777777" w:rsidR="00C67F54" w:rsidRPr="00046858" w:rsidRDefault="00C67F54">
            <w:pPr>
              <w:spacing w:before="0" w:after="0"/>
              <w:jc w:val="center"/>
              <w:rPr>
                <w:rFonts w:eastAsia="Times New Roman"/>
                <w:b/>
                <w:bCs/>
                <w:noProof/>
                <w:color w:val="000000"/>
                <w:sz w:val="20"/>
                <w:szCs w:val="20"/>
              </w:rPr>
            </w:pPr>
            <w:r w:rsidRPr="00046858">
              <w:rPr>
                <w:b/>
                <w:noProof/>
                <w:color w:val="000000"/>
                <w:sz w:val="20"/>
              </w:rPr>
              <w:t>TOTAL CFM 2028-2034</w:t>
            </w:r>
          </w:p>
        </w:tc>
      </w:tr>
      <w:tr w:rsidR="00C67F54" w:rsidRPr="00046858" w14:paraId="25CDF9F5" w14:textId="77777777">
        <w:trPr>
          <w:trHeight w:val="300"/>
        </w:trPr>
        <w:tc>
          <w:tcPr>
            <w:tcW w:w="1284" w:type="pct"/>
            <w:gridSpan w:val="2"/>
            <w:vMerge/>
            <w:tcBorders>
              <w:top w:val="single" w:sz="8" w:space="0" w:color="auto"/>
              <w:left w:val="single" w:sz="8" w:space="0" w:color="auto"/>
              <w:bottom w:val="single" w:sz="8" w:space="0" w:color="000000"/>
              <w:right w:val="single" w:sz="8" w:space="0" w:color="000000"/>
            </w:tcBorders>
            <w:vAlign w:val="center"/>
            <w:hideMark/>
          </w:tcPr>
          <w:p w14:paraId="4FF8718F" w14:textId="77777777" w:rsidR="00C67F54" w:rsidRPr="00046858" w:rsidRDefault="00C67F54">
            <w:pPr>
              <w:spacing w:before="0" w:after="0"/>
              <w:jc w:val="left"/>
              <w:rPr>
                <w:rFonts w:eastAsia="Times New Roman"/>
                <w:noProof/>
                <w:color w:val="000000"/>
                <w:szCs w:val="24"/>
                <w:lang w:eastAsia="en-IE"/>
              </w:rPr>
            </w:pPr>
          </w:p>
        </w:tc>
        <w:tc>
          <w:tcPr>
            <w:tcW w:w="410" w:type="pct"/>
            <w:tcBorders>
              <w:top w:val="nil"/>
              <w:left w:val="nil"/>
              <w:bottom w:val="single" w:sz="8" w:space="0" w:color="auto"/>
              <w:right w:val="single" w:sz="8" w:space="0" w:color="auto"/>
            </w:tcBorders>
            <w:vAlign w:val="center"/>
            <w:hideMark/>
          </w:tcPr>
          <w:p w14:paraId="092950E5" w14:textId="77777777" w:rsidR="00C67F54" w:rsidRPr="00046858" w:rsidRDefault="00C67F54">
            <w:pPr>
              <w:spacing w:before="0" w:after="0"/>
              <w:jc w:val="center"/>
              <w:rPr>
                <w:rFonts w:eastAsia="Times New Roman"/>
                <w:b/>
                <w:bCs/>
                <w:noProof/>
                <w:color w:val="000000"/>
                <w:sz w:val="20"/>
                <w:szCs w:val="20"/>
              </w:rPr>
            </w:pPr>
            <w:r w:rsidRPr="00046858">
              <w:rPr>
                <w:b/>
                <w:noProof/>
                <w:color w:val="000000"/>
                <w:sz w:val="20"/>
              </w:rPr>
              <w:t>2028</w:t>
            </w:r>
          </w:p>
        </w:tc>
        <w:tc>
          <w:tcPr>
            <w:tcW w:w="410" w:type="pct"/>
            <w:tcBorders>
              <w:top w:val="nil"/>
              <w:left w:val="nil"/>
              <w:bottom w:val="single" w:sz="8" w:space="0" w:color="auto"/>
              <w:right w:val="single" w:sz="8" w:space="0" w:color="auto"/>
            </w:tcBorders>
            <w:vAlign w:val="center"/>
            <w:hideMark/>
          </w:tcPr>
          <w:p w14:paraId="111121C8" w14:textId="77777777" w:rsidR="00C67F54" w:rsidRPr="00046858" w:rsidRDefault="00C67F54">
            <w:pPr>
              <w:spacing w:before="0" w:after="0"/>
              <w:jc w:val="center"/>
              <w:rPr>
                <w:rFonts w:eastAsia="Times New Roman"/>
                <w:b/>
                <w:bCs/>
                <w:noProof/>
                <w:color w:val="000000"/>
                <w:sz w:val="20"/>
                <w:szCs w:val="20"/>
              </w:rPr>
            </w:pPr>
            <w:r w:rsidRPr="00046858">
              <w:rPr>
                <w:b/>
                <w:noProof/>
                <w:color w:val="000000"/>
                <w:sz w:val="20"/>
              </w:rPr>
              <w:t>2029</w:t>
            </w:r>
          </w:p>
        </w:tc>
        <w:tc>
          <w:tcPr>
            <w:tcW w:w="410" w:type="pct"/>
            <w:tcBorders>
              <w:top w:val="nil"/>
              <w:left w:val="nil"/>
              <w:bottom w:val="single" w:sz="8" w:space="0" w:color="auto"/>
              <w:right w:val="single" w:sz="8" w:space="0" w:color="auto"/>
            </w:tcBorders>
            <w:vAlign w:val="center"/>
            <w:hideMark/>
          </w:tcPr>
          <w:p w14:paraId="5949BF29" w14:textId="77777777" w:rsidR="00C67F54" w:rsidRPr="00046858" w:rsidRDefault="00C67F54">
            <w:pPr>
              <w:spacing w:before="0" w:after="0"/>
              <w:jc w:val="center"/>
              <w:rPr>
                <w:rFonts w:eastAsia="Times New Roman"/>
                <w:b/>
                <w:bCs/>
                <w:noProof/>
                <w:color w:val="000000"/>
                <w:sz w:val="20"/>
                <w:szCs w:val="20"/>
              </w:rPr>
            </w:pPr>
            <w:r w:rsidRPr="00046858">
              <w:rPr>
                <w:b/>
                <w:noProof/>
                <w:color w:val="000000"/>
                <w:sz w:val="20"/>
              </w:rPr>
              <w:t>2030</w:t>
            </w:r>
          </w:p>
        </w:tc>
        <w:tc>
          <w:tcPr>
            <w:tcW w:w="410" w:type="pct"/>
            <w:tcBorders>
              <w:top w:val="nil"/>
              <w:left w:val="nil"/>
              <w:bottom w:val="single" w:sz="8" w:space="0" w:color="auto"/>
              <w:right w:val="single" w:sz="8" w:space="0" w:color="auto"/>
            </w:tcBorders>
            <w:vAlign w:val="center"/>
            <w:hideMark/>
          </w:tcPr>
          <w:p w14:paraId="7D376900" w14:textId="77777777" w:rsidR="00C67F54" w:rsidRPr="00046858" w:rsidRDefault="00C67F54">
            <w:pPr>
              <w:spacing w:before="0" w:after="0"/>
              <w:jc w:val="center"/>
              <w:rPr>
                <w:rFonts w:eastAsia="Times New Roman"/>
                <w:b/>
                <w:bCs/>
                <w:noProof/>
                <w:color w:val="000000"/>
                <w:sz w:val="20"/>
                <w:szCs w:val="20"/>
              </w:rPr>
            </w:pPr>
            <w:r w:rsidRPr="00046858">
              <w:rPr>
                <w:b/>
                <w:noProof/>
                <w:color w:val="000000"/>
                <w:sz w:val="20"/>
              </w:rPr>
              <w:t>2031</w:t>
            </w:r>
          </w:p>
        </w:tc>
        <w:tc>
          <w:tcPr>
            <w:tcW w:w="410" w:type="pct"/>
            <w:tcBorders>
              <w:top w:val="nil"/>
              <w:left w:val="nil"/>
              <w:bottom w:val="single" w:sz="8" w:space="0" w:color="auto"/>
              <w:right w:val="single" w:sz="8" w:space="0" w:color="auto"/>
            </w:tcBorders>
            <w:vAlign w:val="center"/>
            <w:hideMark/>
          </w:tcPr>
          <w:p w14:paraId="51C40E6C" w14:textId="77777777" w:rsidR="00C67F54" w:rsidRPr="00046858" w:rsidRDefault="00C67F54">
            <w:pPr>
              <w:spacing w:before="0" w:after="0"/>
              <w:jc w:val="center"/>
              <w:rPr>
                <w:rFonts w:eastAsia="Times New Roman"/>
                <w:b/>
                <w:bCs/>
                <w:noProof/>
                <w:color w:val="000000"/>
                <w:sz w:val="20"/>
                <w:szCs w:val="20"/>
              </w:rPr>
            </w:pPr>
            <w:r w:rsidRPr="00046858">
              <w:rPr>
                <w:b/>
                <w:noProof/>
                <w:color w:val="000000"/>
                <w:sz w:val="20"/>
              </w:rPr>
              <w:t>2032</w:t>
            </w:r>
          </w:p>
        </w:tc>
        <w:tc>
          <w:tcPr>
            <w:tcW w:w="410" w:type="pct"/>
            <w:tcBorders>
              <w:top w:val="nil"/>
              <w:left w:val="nil"/>
              <w:bottom w:val="single" w:sz="8" w:space="0" w:color="auto"/>
              <w:right w:val="single" w:sz="8" w:space="0" w:color="auto"/>
            </w:tcBorders>
            <w:vAlign w:val="center"/>
            <w:hideMark/>
          </w:tcPr>
          <w:p w14:paraId="696A34F3" w14:textId="77777777" w:rsidR="00C67F54" w:rsidRPr="00046858" w:rsidRDefault="00C67F54">
            <w:pPr>
              <w:spacing w:before="0" w:after="0"/>
              <w:jc w:val="center"/>
              <w:rPr>
                <w:rFonts w:eastAsia="Times New Roman"/>
                <w:b/>
                <w:bCs/>
                <w:noProof/>
                <w:color w:val="000000"/>
                <w:sz w:val="20"/>
                <w:szCs w:val="20"/>
              </w:rPr>
            </w:pPr>
            <w:r w:rsidRPr="00046858">
              <w:rPr>
                <w:b/>
                <w:noProof/>
                <w:color w:val="000000"/>
                <w:sz w:val="20"/>
              </w:rPr>
              <w:t>2033</w:t>
            </w:r>
          </w:p>
        </w:tc>
        <w:tc>
          <w:tcPr>
            <w:tcW w:w="410" w:type="pct"/>
            <w:tcBorders>
              <w:top w:val="nil"/>
              <w:left w:val="nil"/>
              <w:bottom w:val="single" w:sz="8" w:space="0" w:color="auto"/>
              <w:right w:val="single" w:sz="8" w:space="0" w:color="auto"/>
            </w:tcBorders>
            <w:vAlign w:val="center"/>
            <w:hideMark/>
          </w:tcPr>
          <w:p w14:paraId="2A7E47D0" w14:textId="77777777" w:rsidR="00C67F54" w:rsidRPr="00046858" w:rsidRDefault="00C67F54">
            <w:pPr>
              <w:spacing w:before="0" w:after="0"/>
              <w:jc w:val="center"/>
              <w:rPr>
                <w:rFonts w:eastAsia="Times New Roman"/>
                <w:b/>
                <w:bCs/>
                <w:noProof/>
                <w:color w:val="000000"/>
                <w:sz w:val="20"/>
                <w:szCs w:val="20"/>
              </w:rPr>
            </w:pPr>
            <w:r w:rsidRPr="00046858">
              <w:rPr>
                <w:b/>
                <w:noProof/>
                <w:color w:val="000000"/>
                <w:sz w:val="20"/>
              </w:rPr>
              <w:t>2034</w:t>
            </w:r>
          </w:p>
        </w:tc>
        <w:tc>
          <w:tcPr>
            <w:tcW w:w="410" w:type="pct"/>
            <w:tcBorders>
              <w:left w:val="single" w:sz="8" w:space="0" w:color="auto"/>
              <w:bottom w:val="single" w:sz="8" w:space="0" w:color="000000"/>
              <w:right w:val="single" w:sz="8" w:space="0" w:color="auto"/>
            </w:tcBorders>
            <w:vAlign w:val="center"/>
          </w:tcPr>
          <w:p w14:paraId="4995C1DD" w14:textId="77777777" w:rsidR="00C67F54" w:rsidRPr="00046858" w:rsidRDefault="00C67F54">
            <w:pPr>
              <w:spacing w:before="0" w:after="0"/>
              <w:jc w:val="center"/>
              <w:rPr>
                <w:rFonts w:eastAsia="Times New Roman"/>
                <w:b/>
                <w:bCs/>
                <w:noProof/>
                <w:color w:val="000000"/>
                <w:sz w:val="20"/>
                <w:szCs w:val="20"/>
              </w:rPr>
            </w:pPr>
            <w:r w:rsidRPr="00046858">
              <w:rPr>
                <w:b/>
                <w:noProof/>
                <w:color w:val="000000"/>
                <w:sz w:val="20"/>
              </w:rPr>
              <w:t>2034</w:t>
            </w:r>
          </w:p>
        </w:tc>
        <w:tc>
          <w:tcPr>
            <w:tcW w:w="436" w:type="pct"/>
            <w:vMerge/>
            <w:tcBorders>
              <w:top w:val="single" w:sz="8" w:space="0" w:color="000000"/>
              <w:left w:val="single" w:sz="8" w:space="0" w:color="auto"/>
              <w:bottom w:val="single" w:sz="4" w:space="0" w:color="auto"/>
              <w:right w:val="single" w:sz="8" w:space="0" w:color="auto"/>
            </w:tcBorders>
            <w:vAlign w:val="center"/>
            <w:hideMark/>
          </w:tcPr>
          <w:p w14:paraId="113B2A2F" w14:textId="77777777" w:rsidR="00C67F54" w:rsidRPr="00046858" w:rsidRDefault="00C67F54">
            <w:pPr>
              <w:spacing w:before="0" w:after="0"/>
              <w:jc w:val="left"/>
              <w:rPr>
                <w:rFonts w:eastAsia="Times New Roman"/>
                <w:b/>
                <w:bCs/>
                <w:noProof/>
                <w:color w:val="000000"/>
                <w:sz w:val="20"/>
                <w:szCs w:val="20"/>
                <w:lang w:eastAsia="en-IE"/>
              </w:rPr>
            </w:pPr>
          </w:p>
        </w:tc>
      </w:tr>
      <w:tr w:rsidR="00C67F54" w:rsidRPr="00046858" w14:paraId="58E70DB2" w14:textId="77777777">
        <w:trPr>
          <w:trHeight w:val="321"/>
        </w:trPr>
        <w:tc>
          <w:tcPr>
            <w:tcW w:w="771" w:type="pct"/>
            <w:tcBorders>
              <w:top w:val="nil"/>
              <w:left w:val="single" w:sz="8" w:space="0" w:color="auto"/>
              <w:bottom w:val="single" w:sz="8" w:space="0" w:color="auto"/>
              <w:right w:val="single" w:sz="8" w:space="0" w:color="000000"/>
            </w:tcBorders>
            <w:shd w:val="clear" w:color="000000" w:fill="C0C0C0"/>
            <w:vAlign w:val="center"/>
            <w:hideMark/>
          </w:tcPr>
          <w:p w14:paraId="69FAFE46" w14:textId="77777777" w:rsidR="00C67F54" w:rsidRPr="00046858" w:rsidRDefault="00C67F54">
            <w:pPr>
              <w:spacing w:before="0" w:after="0"/>
              <w:jc w:val="center"/>
              <w:rPr>
                <w:rFonts w:eastAsia="Times New Roman"/>
                <w:b/>
                <w:noProof/>
                <w:color w:val="000000"/>
                <w:sz w:val="22"/>
              </w:rPr>
            </w:pPr>
            <w:r w:rsidRPr="00046858">
              <w:rPr>
                <w:b/>
                <w:noProof/>
                <w:color w:val="000000"/>
                <w:sz w:val="22"/>
              </w:rPr>
              <w:t>TOTAL credite în cadrul RUBRICILOR 1-4</w:t>
            </w:r>
          </w:p>
        </w:tc>
        <w:tc>
          <w:tcPr>
            <w:tcW w:w="513" w:type="pct"/>
            <w:tcBorders>
              <w:top w:val="nil"/>
              <w:left w:val="nil"/>
              <w:bottom w:val="single" w:sz="8" w:space="0" w:color="auto"/>
              <w:right w:val="single" w:sz="8" w:space="0" w:color="auto"/>
            </w:tcBorders>
            <w:vAlign w:val="center"/>
            <w:hideMark/>
          </w:tcPr>
          <w:p w14:paraId="5CF9AE33" w14:textId="77777777" w:rsidR="00C67F54" w:rsidRPr="00046858" w:rsidRDefault="00C67F54">
            <w:pPr>
              <w:spacing w:before="0" w:after="0"/>
              <w:rPr>
                <w:rFonts w:eastAsia="Times New Roman"/>
                <w:noProof/>
                <w:color w:val="000000"/>
                <w:sz w:val="18"/>
                <w:szCs w:val="18"/>
              </w:rPr>
            </w:pPr>
            <w:r w:rsidRPr="00046858">
              <w:rPr>
                <w:noProof/>
                <w:color w:val="000000"/>
                <w:sz w:val="18"/>
              </w:rPr>
              <w:t>Angajamente</w:t>
            </w:r>
          </w:p>
        </w:tc>
        <w:tc>
          <w:tcPr>
            <w:tcW w:w="410" w:type="pct"/>
            <w:tcBorders>
              <w:top w:val="nil"/>
              <w:left w:val="nil"/>
              <w:bottom w:val="single" w:sz="8" w:space="0" w:color="auto"/>
              <w:right w:val="single" w:sz="8" w:space="0" w:color="auto"/>
            </w:tcBorders>
            <w:shd w:val="clear" w:color="000000" w:fill="D9D9D9"/>
            <w:vAlign w:val="center"/>
            <w:hideMark/>
          </w:tcPr>
          <w:p w14:paraId="719CD482" w14:textId="77777777" w:rsidR="00C67F54" w:rsidRPr="00046858" w:rsidRDefault="008575CF">
            <w:pPr>
              <w:spacing w:before="0" w:after="0"/>
              <w:jc w:val="right"/>
              <w:rPr>
                <w:rFonts w:eastAsia="Times New Roman"/>
                <w:b/>
                <w:noProof/>
                <w:color w:val="000000"/>
                <w:szCs w:val="24"/>
              </w:rPr>
            </w:pPr>
            <w:r w:rsidRPr="00046858">
              <w:rPr>
                <w:b/>
                <w:noProof/>
                <w:color w:val="000000"/>
              </w:rPr>
              <w:t>32,853</w:t>
            </w:r>
          </w:p>
        </w:tc>
        <w:tc>
          <w:tcPr>
            <w:tcW w:w="410" w:type="pct"/>
            <w:tcBorders>
              <w:top w:val="nil"/>
              <w:left w:val="nil"/>
              <w:bottom w:val="single" w:sz="8" w:space="0" w:color="auto"/>
              <w:right w:val="single" w:sz="8" w:space="0" w:color="auto"/>
            </w:tcBorders>
            <w:shd w:val="clear" w:color="000000" w:fill="D9D9D9"/>
            <w:vAlign w:val="center"/>
            <w:hideMark/>
          </w:tcPr>
          <w:p w14:paraId="28917457" w14:textId="77777777" w:rsidR="00C67F54" w:rsidRPr="00046858" w:rsidRDefault="008575CF">
            <w:pPr>
              <w:spacing w:before="0" w:after="0"/>
              <w:jc w:val="right"/>
              <w:rPr>
                <w:rFonts w:eastAsia="Times New Roman"/>
                <w:b/>
                <w:noProof/>
                <w:color w:val="000000"/>
                <w:szCs w:val="24"/>
              </w:rPr>
            </w:pPr>
            <w:r w:rsidRPr="00046858">
              <w:rPr>
                <w:b/>
                <w:noProof/>
                <w:color w:val="000000"/>
              </w:rPr>
              <w:t>2,853</w:t>
            </w:r>
          </w:p>
        </w:tc>
        <w:tc>
          <w:tcPr>
            <w:tcW w:w="410" w:type="pct"/>
            <w:tcBorders>
              <w:top w:val="nil"/>
              <w:left w:val="nil"/>
              <w:bottom w:val="single" w:sz="8" w:space="0" w:color="auto"/>
              <w:right w:val="single" w:sz="8" w:space="0" w:color="auto"/>
            </w:tcBorders>
            <w:shd w:val="clear" w:color="000000" w:fill="D9D9D9"/>
            <w:vAlign w:val="center"/>
            <w:hideMark/>
          </w:tcPr>
          <w:p w14:paraId="6F2903D8" w14:textId="77777777" w:rsidR="00C67F54" w:rsidRPr="00046858" w:rsidRDefault="008575CF">
            <w:pPr>
              <w:spacing w:before="0" w:after="0"/>
              <w:jc w:val="right"/>
              <w:rPr>
                <w:rFonts w:eastAsia="Times New Roman"/>
                <w:b/>
                <w:noProof/>
                <w:color w:val="000000"/>
                <w:szCs w:val="24"/>
              </w:rPr>
            </w:pPr>
            <w:r w:rsidRPr="00046858">
              <w:rPr>
                <w:b/>
                <w:noProof/>
                <w:color w:val="000000"/>
              </w:rPr>
              <w:t>22,853</w:t>
            </w:r>
          </w:p>
        </w:tc>
        <w:tc>
          <w:tcPr>
            <w:tcW w:w="410" w:type="pct"/>
            <w:tcBorders>
              <w:top w:val="nil"/>
              <w:left w:val="nil"/>
              <w:bottom w:val="single" w:sz="8" w:space="0" w:color="auto"/>
              <w:right w:val="single" w:sz="8" w:space="0" w:color="auto"/>
            </w:tcBorders>
            <w:shd w:val="clear" w:color="000000" w:fill="D9D9D9"/>
            <w:vAlign w:val="center"/>
            <w:hideMark/>
          </w:tcPr>
          <w:p w14:paraId="1385784C" w14:textId="77777777" w:rsidR="00C67F54" w:rsidRPr="00046858" w:rsidRDefault="008575CF">
            <w:pPr>
              <w:spacing w:before="0" w:after="0"/>
              <w:jc w:val="right"/>
              <w:rPr>
                <w:rFonts w:eastAsia="Times New Roman"/>
                <w:b/>
                <w:noProof/>
                <w:color w:val="000000"/>
                <w:szCs w:val="24"/>
              </w:rPr>
            </w:pPr>
            <w:r w:rsidRPr="00046858">
              <w:rPr>
                <w:b/>
                <w:noProof/>
                <w:color w:val="000000"/>
              </w:rPr>
              <w:t>2,853</w:t>
            </w:r>
          </w:p>
        </w:tc>
        <w:tc>
          <w:tcPr>
            <w:tcW w:w="410" w:type="pct"/>
            <w:tcBorders>
              <w:top w:val="nil"/>
              <w:left w:val="nil"/>
              <w:bottom w:val="single" w:sz="8" w:space="0" w:color="auto"/>
              <w:right w:val="single" w:sz="8" w:space="0" w:color="auto"/>
            </w:tcBorders>
            <w:shd w:val="clear" w:color="000000" w:fill="D9D9D9"/>
            <w:vAlign w:val="center"/>
            <w:hideMark/>
          </w:tcPr>
          <w:p w14:paraId="0264B4C9" w14:textId="77777777" w:rsidR="00C67F54" w:rsidRPr="00046858" w:rsidRDefault="008575CF">
            <w:pPr>
              <w:spacing w:before="0" w:after="0"/>
              <w:jc w:val="right"/>
              <w:rPr>
                <w:rFonts w:eastAsia="Times New Roman"/>
                <w:b/>
                <w:noProof/>
                <w:color w:val="000000"/>
                <w:szCs w:val="24"/>
              </w:rPr>
            </w:pPr>
            <w:r w:rsidRPr="00046858">
              <w:rPr>
                <w:b/>
                <w:noProof/>
                <w:color w:val="000000"/>
              </w:rPr>
              <w:t>12,853</w:t>
            </w:r>
          </w:p>
        </w:tc>
        <w:tc>
          <w:tcPr>
            <w:tcW w:w="410" w:type="pct"/>
            <w:tcBorders>
              <w:top w:val="nil"/>
              <w:left w:val="nil"/>
              <w:bottom w:val="single" w:sz="8" w:space="0" w:color="auto"/>
              <w:right w:val="single" w:sz="8" w:space="0" w:color="auto"/>
            </w:tcBorders>
            <w:shd w:val="clear" w:color="000000" w:fill="D9D9D9"/>
            <w:vAlign w:val="center"/>
            <w:hideMark/>
          </w:tcPr>
          <w:p w14:paraId="6C7826D5" w14:textId="77777777" w:rsidR="00C67F54" w:rsidRPr="00046858" w:rsidRDefault="008575CF">
            <w:pPr>
              <w:spacing w:before="0" w:after="0"/>
              <w:jc w:val="right"/>
              <w:rPr>
                <w:rFonts w:eastAsia="Times New Roman"/>
                <w:b/>
                <w:noProof/>
                <w:color w:val="000000"/>
                <w:szCs w:val="24"/>
              </w:rPr>
            </w:pPr>
            <w:r w:rsidRPr="00046858">
              <w:rPr>
                <w:b/>
                <w:noProof/>
                <w:color w:val="000000"/>
              </w:rPr>
              <w:t>2,853</w:t>
            </w:r>
          </w:p>
        </w:tc>
        <w:tc>
          <w:tcPr>
            <w:tcW w:w="410" w:type="pct"/>
            <w:tcBorders>
              <w:top w:val="nil"/>
              <w:left w:val="nil"/>
              <w:bottom w:val="single" w:sz="8" w:space="0" w:color="auto"/>
              <w:right w:val="single" w:sz="8" w:space="0" w:color="auto"/>
            </w:tcBorders>
            <w:shd w:val="clear" w:color="000000" w:fill="D9D9D9"/>
            <w:vAlign w:val="center"/>
            <w:hideMark/>
          </w:tcPr>
          <w:p w14:paraId="5876B2D7" w14:textId="77777777" w:rsidR="00C67F54" w:rsidRPr="00046858" w:rsidRDefault="008575CF">
            <w:pPr>
              <w:spacing w:before="0" w:after="0"/>
              <w:jc w:val="right"/>
              <w:rPr>
                <w:rFonts w:eastAsia="Times New Roman"/>
                <w:b/>
                <w:noProof/>
                <w:color w:val="000000"/>
                <w:szCs w:val="24"/>
              </w:rPr>
            </w:pPr>
            <w:r w:rsidRPr="00046858">
              <w:rPr>
                <w:b/>
                <w:noProof/>
                <w:color w:val="000000"/>
              </w:rPr>
              <w:t>12,853</w:t>
            </w:r>
          </w:p>
        </w:tc>
        <w:tc>
          <w:tcPr>
            <w:tcW w:w="410" w:type="pct"/>
            <w:tcBorders>
              <w:top w:val="nil"/>
              <w:left w:val="nil"/>
              <w:bottom w:val="single" w:sz="8" w:space="0" w:color="auto"/>
              <w:right w:val="single" w:sz="4" w:space="0" w:color="auto"/>
            </w:tcBorders>
            <w:shd w:val="clear" w:color="000000" w:fill="D9D9D9"/>
            <w:vAlign w:val="center"/>
          </w:tcPr>
          <w:p w14:paraId="5CB7BD71" w14:textId="77777777" w:rsidR="00C67F54" w:rsidRPr="00046858" w:rsidRDefault="00D5049F">
            <w:pPr>
              <w:spacing w:before="0" w:after="0"/>
              <w:jc w:val="right"/>
              <w:rPr>
                <w:rFonts w:eastAsia="Times New Roman"/>
                <w:b/>
                <w:noProof/>
                <w:color w:val="000000"/>
                <w:szCs w:val="24"/>
              </w:rPr>
            </w:pPr>
            <w:r w:rsidRPr="00046858">
              <w:rPr>
                <w:b/>
                <w:noProof/>
                <w:color w:val="000000"/>
              </w:rPr>
              <w:t>0,000</w:t>
            </w:r>
          </w:p>
        </w:tc>
        <w:tc>
          <w:tcPr>
            <w:tcW w:w="436" w:type="pct"/>
            <w:tcBorders>
              <w:top w:val="single" w:sz="4" w:space="0" w:color="auto"/>
              <w:left w:val="single" w:sz="4" w:space="0" w:color="auto"/>
              <w:bottom w:val="single" w:sz="8" w:space="0" w:color="auto"/>
              <w:right w:val="single" w:sz="8" w:space="0" w:color="auto"/>
            </w:tcBorders>
            <w:shd w:val="clear" w:color="000000" w:fill="D9D9D9"/>
            <w:vAlign w:val="center"/>
            <w:hideMark/>
          </w:tcPr>
          <w:p w14:paraId="0FEB8201" w14:textId="77777777" w:rsidR="00C67F54" w:rsidRPr="00046858" w:rsidRDefault="00D5049F">
            <w:pPr>
              <w:spacing w:before="0" w:after="0"/>
              <w:jc w:val="right"/>
              <w:rPr>
                <w:rFonts w:eastAsia="Times New Roman"/>
                <w:b/>
                <w:noProof/>
                <w:color w:val="000000"/>
                <w:szCs w:val="24"/>
              </w:rPr>
            </w:pPr>
            <w:r w:rsidRPr="00046858">
              <w:rPr>
                <w:b/>
                <w:noProof/>
                <w:color w:val="000000"/>
              </w:rPr>
              <w:t>89,971</w:t>
            </w:r>
          </w:p>
        </w:tc>
      </w:tr>
      <w:tr w:rsidR="00C67F54" w:rsidRPr="00046858" w14:paraId="426C423B" w14:textId="77777777">
        <w:trPr>
          <w:trHeight w:val="247"/>
        </w:trPr>
        <w:tc>
          <w:tcPr>
            <w:tcW w:w="771" w:type="pct"/>
            <w:tcBorders>
              <w:top w:val="nil"/>
              <w:left w:val="single" w:sz="8" w:space="0" w:color="auto"/>
              <w:bottom w:val="single" w:sz="8" w:space="0" w:color="auto"/>
              <w:right w:val="single" w:sz="8" w:space="0" w:color="000000"/>
            </w:tcBorders>
            <w:shd w:val="clear" w:color="000000" w:fill="C0C0C0"/>
            <w:vAlign w:val="center"/>
            <w:hideMark/>
          </w:tcPr>
          <w:p w14:paraId="33053B62" w14:textId="77777777" w:rsidR="00C67F54" w:rsidRPr="00046858" w:rsidRDefault="00C67F54">
            <w:pPr>
              <w:spacing w:before="0" w:after="0"/>
              <w:jc w:val="center"/>
              <w:rPr>
                <w:rFonts w:eastAsia="Times New Roman"/>
                <w:noProof/>
                <w:color w:val="000000"/>
                <w:sz w:val="22"/>
              </w:rPr>
            </w:pPr>
            <w:r w:rsidRPr="00046858">
              <w:rPr>
                <w:noProof/>
                <w:color w:val="000000"/>
                <w:sz w:val="22"/>
              </w:rPr>
              <w:t>din cadrul financiar multianual</w:t>
            </w:r>
            <w:r w:rsidRPr="00046858">
              <w:rPr>
                <w:b/>
                <w:noProof/>
                <w:color w:val="000000"/>
                <w:sz w:val="22"/>
              </w:rPr>
              <w:t xml:space="preserve"> </w:t>
            </w:r>
          </w:p>
        </w:tc>
        <w:tc>
          <w:tcPr>
            <w:tcW w:w="513" w:type="pct"/>
            <w:tcBorders>
              <w:top w:val="nil"/>
              <w:left w:val="nil"/>
              <w:bottom w:val="single" w:sz="8" w:space="0" w:color="auto"/>
              <w:right w:val="single" w:sz="8" w:space="0" w:color="auto"/>
            </w:tcBorders>
            <w:vAlign w:val="center"/>
            <w:hideMark/>
          </w:tcPr>
          <w:p w14:paraId="6AC3F0A5" w14:textId="77777777" w:rsidR="00C67F54" w:rsidRPr="00046858" w:rsidRDefault="00C67F54">
            <w:pPr>
              <w:spacing w:before="0" w:after="0"/>
              <w:rPr>
                <w:rFonts w:eastAsia="Times New Roman"/>
                <w:noProof/>
                <w:color w:val="000000"/>
                <w:sz w:val="18"/>
                <w:szCs w:val="18"/>
              </w:rPr>
            </w:pPr>
            <w:r w:rsidRPr="00046858">
              <w:rPr>
                <w:noProof/>
                <w:color w:val="000000"/>
                <w:sz w:val="18"/>
              </w:rPr>
              <w:t>Plăți</w:t>
            </w:r>
          </w:p>
        </w:tc>
        <w:tc>
          <w:tcPr>
            <w:tcW w:w="410" w:type="pct"/>
            <w:tcBorders>
              <w:top w:val="nil"/>
              <w:left w:val="nil"/>
              <w:bottom w:val="single" w:sz="8" w:space="0" w:color="auto"/>
              <w:right w:val="single" w:sz="8" w:space="0" w:color="auto"/>
            </w:tcBorders>
            <w:shd w:val="clear" w:color="000000" w:fill="D9D9D9"/>
            <w:vAlign w:val="center"/>
            <w:hideMark/>
          </w:tcPr>
          <w:p w14:paraId="79F3E62B" w14:textId="77777777" w:rsidR="00C67F54" w:rsidRPr="00046858" w:rsidRDefault="00B912E5">
            <w:pPr>
              <w:spacing w:before="0" w:after="0"/>
              <w:jc w:val="right"/>
              <w:rPr>
                <w:rFonts w:eastAsia="Times New Roman"/>
                <w:b/>
                <w:noProof/>
                <w:color w:val="000000"/>
                <w:szCs w:val="24"/>
              </w:rPr>
            </w:pPr>
            <w:r w:rsidRPr="00046858">
              <w:rPr>
                <w:b/>
                <w:noProof/>
                <w:color w:val="000000"/>
              </w:rPr>
              <w:t>20,853</w:t>
            </w:r>
          </w:p>
        </w:tc>
        <w:tc>
          <w:tcPr>
            <w:tcW w:w="410" w:type="pct"/>
            <w:tcBorders>
              <w:top w:val="nil"/>
              <w:left w:val="nil"/>
              <w:bottom w:val="single" w:sz="8" w:space="0" w:color="auto"/>
              <w:right w:val="single" w:sz="8" w:space="0" w:color="auto"/>
            </w:tcBorders>
            <w:shd w:val="clear" w:color="000000" w:fill="D9D9D9"/>
            <w:vAlign w:val="center"/>
            <w:hideMark/>
          </w:tcPr>
          <w:p w14:paraId="1CD205F8" w14:textId="77777777" w:rsidR="00C67F54" w:rsidRPr="00046858" w:rsidRDefault="00B912E5">
            <w:pPr>
              <w:spacing w:before="0" w:after="0"/>
              <w:jc w:val="right"/>
              <w:rPr>
                <w:rFonts w:eastAsia="Times New Roman"/>
                <w:b/>
                <w:noProof/>
                <w:color w:val="000000"/>
                <w:szCs w:val="24"/>
              </w:rPr>
            </w:pPr>
            <w:r w:rsidRPr="00046858">
              <w:rPr>
                <w:b/>
                <w:noProof/>
                <w:color w:val="000000"/>
              </w:rPr>
              <w:t>8,853</w:t>
            </w:r>
          </w:p>
        </w:tc>
        <w:tc>
          <w:tcPr>
            <w:tcW w:w="410" w:type="pct"/>
            <w:tcBorders>
              <w:top w:val="nil"/>
              <w:left w:val="nil"/>
              <w:bottom w:val="single" w:sz="8" w:space="0" w:color="auto"/>
              <w:right w:val="single" w:sz="8" w:space="0" w:color="auto"/>
            </w:tcBorders>
            <w:shd w:val="clear" w:color="000000" w:fill="D9D9D9"/>
            <w:vAlign w:val="center"/>
            <w:hideMark/>
          </w:tcPr>
          <w:p w14:paraId="403BC8CB" w14:textId="77777777" w:rsidR="00C67F54" w:rsidRPr="00046858" w:rsidRDefault="00B912E5">
            <w:pPr>
              <w:spacing w:before="0" w:after="0"/>
              <w:jc w:val="right"/>
              <w:rPr>
                <w:rFonts w:eastAsia="Times New Roman"/>
                <w:b/>
                <w:noProof/>
                <w:color w:val="000000"/>
                <w:szCs w:val="24"/>
              </w:rPr>
            </w:pPr>
            <w:r w:rsidRPr="00046858">
              <w:rPr>
                <w:b/>
                <w:noProof/>
                <w:color w:val="000000"/>
              </w:rPr>
              <w:t>17,853</w:t>
            </w:r>
          </w:p>
        </w:tc>
        <w:tc>
          <w:tcPr>
            <w:tcW w:w="410" w:type="pct"/>
            <w:tcBorders>
              <w:top w:val="nil"/>
              <w:left w:val="nil"/>
              <w:bottom w:val="single" w:sz="8" w:space="0" w:color="auto"/>
              <w:right w:val="single" w:sz="8" w:space="0" w:color="auto"/>
            </w:tcBorders>
            <w:shd w:val="clear" w:color="000000" w:fill="D9D9D9"/>
            <w:vAlign w:val="center"/>
            <w:hideMark/>
          </w:tcPr>
          <w:p w14:paraId="5092FB72" w14:textId="77777777" w:rsidR="00C67F54" w:rsidRPr="00046858" w:rsidRDefault="00B912E5">
            <w:pPr>
              <w:spacing w:before="0" w:after="0"/>
              <w:jc w:val="right"/>
              <w:rPr>
                <w:rFonts w:eastAsia="Times New Roman"/>
                <w:b/>
                <w:noProof/>
                <w:color w:val="000000"/>
                <w:szCs w:val="24"/>
              </w:rPr>
            </w:pPr>
            <w:r w:rsidRPr="00046858">
              <w:rPr>
                <w:b/>
                <w:noProof/>
                <w:color w:val="000000"/>
              </w:rPr>
              <w:t>9,853</w:t>
            </w:r>
          </w:p>
        </w:tc>
        <w:tc>
          <w:tcPr>
            <w:tcW w:w="410" w:type="pct"/>
            <w:tcBorders>
              <w:top w:val="nil"/>
              <w:left w:val="nil"/>
              <w:bottom w:val="single" w:sz="8" w:space="0" w:color="auto"/>
              <w:right w:val="single" w:sz="8" w:space="0" w:color="auto"/>
            </w:tcBorders>
            <w:shd w:val="clear" w:color="000000" w:fill="D9D9D9"/>
            <w:vAlign w:val="center"/>
            <w:hideMark/>
          </w:tcPr>
          <w:p w14:paraId="31C52D3D" w14:textId="77777777" w:rsidR="00C67F54" w:rsidRPr="00046858" w:rsidRDefault="00B912E5">
            <w:pPr>
              <w:spacing w:before="0" w:after="0"/>
              <w:jc w:val="right"/>
              <w:rPr>
                <w:rFonts w:eastAsia="Times New Roman"/>
                <w:b/>
                <w:noProof/>
                <w:color w:val="000000"/>
                <w:szCs w:val="24"/>
              </w:rPr>
            </w:pPr>
            <w:r w:rsidRPr="00046858">
              <w:rPr>
                <w:b/>
                <w:noProof/>
                <w:color w:val="000000"/>
              </w:rPr>
              <w:t>10,853</w:t>
            </w:r>
          </w:p>
        </w:tc>
        <w:tc>
          <w:tcPr>
            <w:tcW w:w="410" w:type="pct"/>
            <w:tcBorders>
              <w:top w:val="nil"/>
              <w:left w:val="nil"/>
              <w:bottom w:val="single" w:sz="8" w:space="0" w:color="auto"/>
              <w:right w:val="single" w:sz="8" w:space="0" w:color="auto"/>
            </w:tcBorders>
            <w:shd w:val="clear" w:color="000000" w:fill="D9D9D9"/>
            <w:vAlign w:val="center"/>
            <w:hideMark/>
          </w:tcPr>
          <w:p w14:paraId="74655B6B" w14:textId="77777777" w:rsidR="00C67F54" w:rsidRPr="00046858" w:rsidRDefault="00B912E5">
            <w:pPr>
              <w:spacing w:before="0" w:after="0"/>
              <w:jc w:val="right"/>
              <w:rPr>
                <w:rFonts w:eastAsia="Times New Roman"/>
                <w:b/>
                <w:noProof/>
                <w:color w:val="000000"/>
                <w:szCs w:val="24"/>
              </w:rPr>
            </w:pPr>
            <w:r w:rsidRPr="00046858">
              <w:rPr>
                <w:b/>
                <w:noProof/>
                <w:color w:val="000000"/>
              </w:rPr>
              <w:t>6,853</w:t>
            </w:r>
          </w:p>
        </w:tc>
        <w:tc>
          <w:tcPr>
            <w:tcW w:w="410" w:type="pct"/>
            <w:tcBorders>
              <w:top w:val="nil"/>
              <w:left w:val="nil"/>
              <w:bottom w:val="single" w:sz="8" w:space="0" w:color="auto"/>
              <w:right w:val="single" w:sz="8" w:space="0" w:color="auto"/>
            </w:tcBorders>
            <w:shd w:val="clear" w:color="000000" w:fill="D9D9D9"/>
            <w:vAlign w:val="center"/>
            <w:hideMark/>
          </w:tcPr>
          <w:p w14:paraId="6F71050A" w14:textId="77777777" w:rsidR="00C67F54" w:rsidRPr="00046858" w:rsidRDefault="00B912E5">
            <w:pPr>
              <w:spacing w:before="0" w:after="0"/>
              <w:jc w:val="right"/>
              <w:rPr>
                <w:rFonts w:eastAsia="Times New Roman"/>
                <w:b/>
                <w:noProof/>
                <w:color w:val="000000"/>
                <w:szCs w:val="24"/>
              </w:rPr>
            </w:pPr>
            <w:r w:rsidRPr="00046858">
              <w:rPr>
                <w:b/>
                <w:noProof/>
                <w:color w:val="000000"/>
              </w:rPr>
              <w:t>9,853</w:t>
            </w:r>
          </w:p>
        </w:tc>
        <w:tc>
          <w:tcPr>
            <w:tcW w:w="410" w:type="pct"/>
            <w:tcBorders>
              <w:top w:val="nil"/>
              <w:left w:val="nil"/>
              <w:bottom w:val="single" w:sz="8" w:space="0" w:color="auto"/>
              <w:right w:val="single" w:sz="4" w:space="0" w:color="auto"/>
            </w:tcBorders>
            <w:shd w:val="clear" w:color="000000" w:fill="D9D9D9"/>
            <w:vAlign w:val="center"/>
          </w:tcPr>
          <w:p w14:paraId="5DDB437F" w14:textId="77777777" w:rsidR="00C67F54" w:rsidRPr="00046858" w:rsidRDefault="00C67F54">
            <w:pPr>
              <w:spacing w:before="0" w:after="0"/>
              <w:jc w:val="right"/>
              <w:rPr>
                <w:rFonts w:eastAsia="Times New Roman"/>
                <w:b/>
                <w:noProof/>
                <w:color w:val="000000"/>
                <w:szCs w:val="24"/>
              </w:rPr>
            </w:pPr>
            <w:r w:rsidRPr="00046858">
              <w:rPr>
                <w:b/>
                <w:noProof/>
                <w:color w:val="000000"/>
              </w:rPr>
              <w:t>5,000</w:t>
            </w:r>
          </w:p>
        </w:tc>
        <w:tc>
          <w:tcPr>
            <w:tcW w:w="436" w:type="pct"/>
            <w:tcBorders>
              <w:top w:val="single" w:sz="8" w:space="0" w:color="auto"/>
              <w:left w:val="single" w:sz="4" w:space="0" w:color="auto"/>
              <w:bottom w:val="single" w:sz="8" w:space="0" w:color="auto"/>
              <w:right w:val="single" w:sz="8" w:space="0" w:color="auto"/>
            </w:tcBorders>
            <w:shd w:val="clear" w:color="000000" w:fill="D9D9D9"/>
            <w:vAlign w:val="center"/>
            <w:hideMark/>
          </w:tcPr>
          <w:p w14:paraId="3FB94A82" w14:textId="77777777" w:rsidR="00C67F54" w:rsidRPr="00046858" w:rsidRDefault="003E17EA">
            <w:pPr>
              <w:spacing w:before="0" w:after="0"/>
              <w:jc w:val="right"/>
              <w:rPr>
                <w:rFonts w:eastAsia="Times New Roman"/>
                <w:b/>
                <w:bCs/>
                <w:noProof/>
                <w:color w:val="000000"/>
                <w:szCs w:val="24"/>
              </w:rPr>
            </w:pPr>
            <w:r w:rsidRPr="00046858">
              <w:rPr>
                <w:b/>
                <w:noProof/>
                <w:color w:val="000000"/>
              </w:rPr>
              <w:t>89,971</w:t>
            </w:r>
          </w:p>
        </w:tc>
      </w:tr>
    </w:tbl>
    <w:p w14:paraId="4E35A594" w14:textId="77777777" w:rsidR="00C67F54" w:rsidRPr="00046858" w:rsidRDefault="00C67F54" w:rsidP="00C67F54">
      <w:pPr>
        <w:rPr>
          <w:noProof/>
          <w:sz w:val="18"/>
          <w:szCs w:val="18"/>
        </w:rPr>
      </w:pPr>
    </w:p>
    <w:p w14:paraId="47BD4525" w14:textId="77777777" w:rsidR="00087319" w:rsidRPr="00046858" w:rsidRDefault="00087319" w:rsidP="00087319">
      <w:pPr>
        <w:rPr>
          <w:noProof/>
        </w:rPr>
      </w:pPr>
      <w:r w:rsidRPr="00046858">
        <w:rPr>
          <w:noProof/>
        </w:rPr>
        <w:t>Impactul estimat asupra cheltuielilor și a personalului pentru 2028 și ulterior este adăugat doar cu titlu orientativ și nu aduce atingere următorului cadru financiar multianual. Sursa de finanțare și domeniul de aplicare al angajamentului financiar al Uniunii pentru perioada de după 2027 depind în continuare de rezultatul negocierilor interinstituționale privind CFM 2028-2034 și, ulterior, vor fi stabilite prin procedura bugetară anuală. Toate creditele și alocările de personal începând cu 2028 sunt orientative.</w:t>
      </w:r>
    </w:p>
    <w:p w14:paraId="431274A2" w14:textId="77777777" w:rsidR="00C67F54" w:rsidRPr="00046858" w:rsidRDefault="00C67F54" w:rsidP="00C67F54">
      <w:pPr>
        <w:pStyle w:val="ManualHeading3"/>
        <w:rPr>
          <w:bCs/>
          <w:noProof/>
          <w:szCs w:val="24"/>
        </w:rPr>
      </w:pPr>
      <w:bookmarkStart w:id="133" w:name="_Toc221194337"/>
      <w:r w:rsidRPr="00046858">
        <w:rPr>
          <w:noProof/>
        </w:rPr>
        <w:t>3.2.2.</w:t>
      </w:r>
      <w:r w:rsidRPr="00046858">
        <w:rPr>
          <w:noProof/>
        </w:rPr>
        <w:tab/>
        <w:t>Realizările preconizate finanțate din credite operaționale (nu se completează pentru agențiile descentralizate)</w:t>
      </w:r>
      <w:bookmarkEnd w:id="133"/>
    </w:p>
    <w:p w14:paraId="36113CAD" w14:textId="77777777" w:rsidR="00A03D5B" w:rsidRPr="00046858" w:rsidRDefault="00A03D5B" w:rsidP="00D76261">
      <w:pPr>
        <w:keepNext/>
        <w:jc w:val="right"/>
        <w:rPr>
          <w:noProof/>
          <w:sz w:val="20"/>
        </w:rPr>
      </w:pPr>
      <w:r w:rsidRPr="00046858">
        <w:rPr>
          <w:noProof/>
          <w:sz w:val="20"/>
        </w:rPr>
        <w:t>Credite de angajament în milioane EUR (cu trei zecimale)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588"/>
        <w:gridCol w:w="621"/>
        <w:gridCol w:w="648"/>
        <w:gridCol w:w="432"/>
        <w:gridCol w:w="720"/>
        <w:gridCol w:w="540"/>
        <w:gridCol w:w="720"/>
        <w:gridCol w:w="720"/>
        <w:gridCol w:w="900"/>
      </w:tblGrid>
      <w:tr w:rsidR="00C67F54" w:rsidRPr="00046858" w14:paraId="3F1844EC" w14:textId="77777777">
        <w:trPr>
          <w:jc w:val="center"/>
        </w:trPr>
        <w:tc>
          <w:tcPr>
            <w:tcW w:w="1423" w:type="dxa"/>
            <w:vMerge w:val="restart"/>
            <w:vAlign w:val="center"/>
          </w:tcPr>
          <w:p w14:paraId="4E5179CF" w14:textId="77777777" w:rsidR="00C67F54" w:rsidRPr="00046858" w:rsidRDefault="00C67F54" w:rsidP="00FA4434">
            <w:pPr>
              <w:keepNext/>
              <w:ind w:right="-29"/>
              <w:jc w:val="center"/>
              <w:rPr>
                <w:b/>
                <w:noProof/>
                <w:sz w:val="18"/>
                <w:szCs w:val="18"/>
              </w:rPr>
            </w:pPr>
            <w:r w:rsidRPr="00046858">
              <w:rPr>
                <w:b/>
                <w:noProof/>
                <w:sz w:val="18"/>
              </w:rPr>
              <w:t xml:space="preserve">A se indica obiectivele și realizările </w:t>
            </w:r>
          </w:p>
          <w:p w14:paraId="26BAE68C" w14:textId="77777777" w:rsidR="00C67F54" w:rsidRPr="00046858" w:rsidRDefault="00C67F54" w:rsidP="00FA4434">
            <w:pPr>
              <w:keepNext/>
              <w:ind w:right="-29"/>
              <w:jc w:val="center"/>
              <w:rPr>
                <w:b/>
                <w:noProof/>
                <w:sz w:val="18"/>
                <w:szCs w:val="18"/>
              </w:rPr>
            </w:pPr>
          </w:p>
          <w:p w14:paraId="6B2B555C" w14:textId="77777777" w:rsidR="00C67F54" w:rsidRPr="00046858" w:rsidRDefault="00C67F54" w:rsidP="00FA4434">
            <w:pPr>
              <w:keepNext/>
              <w:ind w:right="-29"/>
              <w:jc w:val="center"/>
              <w:rPr>
                <w:noProof/>
                <w:sz w:val="18"/>
                <w:szCs w:val="18"/>
              </w:rPr>
            </w:pPr>
            <w:r w:rsidRPr="00046858">
              <w:rPr>
                <w:rFonts w:ascii="Wingdings" w:hAnsi="Wingdings"/>
                <w:noProof/>
                <w:sz w:val="18"/>
              </w:rPr>
              <w:t></w:t>
            </w:r>
          </w:p>
        </w:tc>
        <w:tc>
          <w:tcPr>
            <w:tcW w:w="720" w:type="dxa"/>
            <w:vAlign w:val="center"/>
          </w:tcPr>
          <w:p w14:paraId="787695B7" w14:textId="77777777" w:rsidR="00C67F54" w:rsidRPr="00046858" w:rsidRDefault="00C67F54" w:rsidP="00FA4434">
            <w:pPr>
              <w:keepNext/>
              <w:ind w:right="-29"/>
              <w:jc w:val="center"/>
              <w:rPr>
                <w:noProof/>
                <w:sz w:val="18"/>
                <w:szCs w:val="18"/>
              </w:rPr>
            </w:pPr>
          </w:p>
        </w:tc>
        <w:tc>
          <w:tcPr>
            <w:tcW w:w="701" w:type="dxa"/>
            <w:vAlign w:val="center"/>
          </w:tcPr>
          <w:p w14:paraId="785A91E0" w14:textId="77777777" w:rsidR="00C67F54" w:rsidRPr="00046858" w:rsidRDefault="00C67F54" w:rsidP="00FA4434">
            <w:pPr>
              <w:keepNext/>
              <w:ind w:right="-29"/>
              <w:jc w:val="center"/>
              <w:rPr>
                <w:noProof/>
                <w:sz w:val="18"/>
                <w:szCs w:val="18"/>
              </w:rPr>
            </w:pPr>
          </w:p>
        </w:tc>
        <w:tc>
          <w:tcPr>
            <w:tcW w:w="1224" w:type="dxa"/>
            <w:gridSpan w:val="2"/>
            <w:tcBorders>
              <w:left w:val="nil"/>
            </w:tcBorders>
            <w:vAlign w:val="center"/>
          </w:tcPr>
          <w:p w14:paraId="459B3D14" w14:textId="47C06AE5" w:rsidR="00C67F54" w:rsidRPr="00046858" w:rsidRDefault="00C67F54" w:rsidP="00FA4434">
            <w:pPr>
              <w:keepNext/>
              <w:ind w:right="-29"/>
              <w:jc w:val="center"/>
              <w:rPr>
                <w:noProof/>
                <w:sz w:val="18"/>
                <w:szCs w:val="18"/>
              </w:rPr>
            </w:pPr>
            <w:r w:rsidRPr="00046858">
              <w:rPr>
                <w:noProof/>
                <w:sz w:val="18"/>
              </w:rPr>
              <w:t>Anul</w:t>
            </w:r>
            <w:r w:rsidR="008B6AF5">
              <w:rPr>
                <w:noProof/>
                <w:sz w:val="18"/>
              </w:rPr>
              <w:t xml:space="preserve"> </w:t>
            </w:r>
            <w:r w:rsidRPr="00046858">
              <w:rPr>
                <w:noProof/>
              </w:rPr>
              <w:cr/>
            </w:r>
            <w:r w:rsidRPr="00046858">
              <w:rPr>
                <w:noProof/>
              </w:rPr>
              <w:br/>
            </w:r>
            <w:r w:rsidRPr="00046858">
              <w:rPr>
                <w:b/>
                <w:noProof/>
                <w:sz w:val="18"/>
              </w:rPr>
              <w:t>2028</w:t>
            </w:r>
          </w:p>
        </w:tc>
        <w:tc>
          <w:tcPr>
            <w:tcW w:w="1260" w:type="dxa"/>
            <w:gridSpan w:val="2"/>
            <w:vAlign w:val="center"/>
          </w:tcPr>
          <w:p w14:paraId="6F830819" w14:textId="77777777" w:rsidR="00C67F54" w:rsidRPr="00046858" w:rsidRDefault="00C67F54" w:rsidP="00FA4434">
            <w:pPr>
              <w:keepNext/>
              <w:ind w:right="-29"/>
              <w:jc w:val="center"/>
              <w:rPr>
                <w:noProof/>
                <w:sz w:val="18"/>
                <w:szCs w:val="18"/>
              </w:rPr>
            </w:pPr>
            <w:r w:rsidRPr="00046858">
              <w:rPr>
                <w:noProof/>
                <w:sz w:val="18"/>
              </w:rPr>
              <w:t xml:space="preserve">Anul </w:t>
            </w:r>
            <w:r w:rsidRPr="00046858">
              <w:rPr>
                <w:noProof/>
              </w:rPr>
              <w:t xml:space="preserve"> </w:t>
            </w:r>
            <w:r w:rsidRPr="00046858">
              <w:rPr>
                <w:noProof/>
              </w:rPr>
              <w:cr/>
            </w:r>
            <w:r w:rsidRPr="00046858">
              <w:rPr>
                <w:noProof/>
              </w:rPr>
              <w:br/>
            </w:r>
            <w:r w:rsidRPr="00046858">
              <w:rPr>
                <w:b/>
                <w:noProof/>
                <w:sz w:val="18"/>
              </w:rPr>
              <w:t>2029</w:t>
            </w:r>
          </w:p>
        </w:tc>
        <w:tc>
          <w:tcPr>
            <w:tcW w:w="1440" w:type="dxa"/>
            <w:gridSpan w:val="2"/>
            <w:vAlign w:val="center"/>
          </w:tcPr>
          <w:p w14:paraId="10DA8D23" w14:textId="77777777" w:rsidR="00C67F54" w:rsidRPr="00046858" w:rsidRDefault="00C67F54" w:rsidP="00FA4434">
            <w:pPr>
              <w:keepNext/>
              <w:ind w:right="-29"/>
              <w:jc w:val="center"/>
              <w:rPr>
                <w:noProof/>
                <w:sz w:val="18"/>
                <w:szCs w:val="18"/>
              </w:rPr>
            </w:pPr>
            <w:r w:rsidRPr="00046858">
              <w:rPr>
                <w:noProof/>
                <w:sz w:val="18"/>
              </w:rPr>
              <w:t xml:space="preserve">Anul </w:t>
            </w:r>
            <w:r w:rsidRPr="00046858">
              <w:rPr>
                <w:noProof/>
              </w:rPr>
              <w:t xml:space="preserve"> </w:t>
            </w:r>
            <w:r w:rsidRPr="00046858">
              <w:rPr>
                <w:noProof/>
              </w:rPr>
              <w:cr/>
            </w:r>
            <w:r w:rsidRPr="00046858">
              <w:rPr>
                <w:noProof/>
              </w:rPr>
              <w:br/>
            </w:r>
            <w:r w:rsidRPr="00046858">
              <w:rPr>
                <w:b/>
                <w:noProof/>
                <w:sz w:val="18"/>
              </w:rPr>
              <w:t>2030</w:t>
            </w:r>
          </w:p>
        </w:tc>
        <w:tc>
          <w:tcPr>
            <w:tcW w:w="1539" w:type="dxa"/>
            <w:gridSpan w:val="3"/>
            <w:vAlign w:val="center"/>
          </w:tcPr>
          <w:p w14:paraId="2B653A7A" w14:textId="77777777" w:rsidR="00C67F54" w:rsidRPr="00046858" w:rsidRDefault="00C67F54" w:rsidP="00FA4434">
            <w:pPr>
              <w:keepNext/>
              <w:ind w:right="-29"/>
              <w:jc w:val="center"/>
              <w:rPr>
                <w:noProof/>
                <w:sz w:val="18"/>
                <w:szCs w:val="18"/>
              </w:rPr>
            </w:pPr>
            <w:r w:rsidRPr="00046858">
              <w:rPr>
                <w:noProof/>
                <w:sz w:val="18"/>
              </w:rPr>
              <w:t xml:space="preserve">Anul </w:t>
            </w:r>
            <w:r w:rsidRPr="00046858">
              <w:rPr>
                <w:noProof/>
              </w:rPr>
              <w:t xml:space="preserve"> </w:t>
            </w:r>
            <w:r w:rsidRPr="00046858">
              <w:rPr>
                <w:noProof/>
              </w:rPr>
              <w:cr/>
            </w:r>
            <w:r w:rsidRPr="00046858">
              <w:rPr>
                <w:noProof/>
              </w:rPr>
              <w:br/>
            </w:r>
            <w:r w:rsidRPr="00046858">
              <w:rPr>
                <w:b/>
                <w:noProof/>
                <w:sz w:val="18"/>
              </w:rPr>
              <w:t>2031</w:t>
            </w:r>
          </w:p>
        </w:tc>
        <w:tc>
          <w:tcPr>
            <w:tcW w:w="3681" w:type="dxa"/>
            <w:gridSpan w:val="6"/>
            <w:vAlign w:val="center"/>
          </w:tcPr>
          <w:p w14:paraId="65812E17" w14:textId="77777777" w:rsidR="00C67F54" w:rsidRPr="00046858" w:rsidRDefault="00C67F54" w:rsidP="00FA4434">
            <w:pPr>
              <w:keepNext/>
              <w:jc w:val="center"/>
              <w:rPr>
                <w:noProof/>
                <w:sz w:val="18"/>
                <w:szCs w:val="18"/>
              </w:rPr>
            </w:pPr>
            <w:r w:rsidRPr="00046858">
              <w:rPr>
                <w:noProof/>
                <w:sz w:val="18"/>
              </w:rPr>
              <w:t>A se introduce atâția ani câți sunt considerați necesari pentru a reflecta durata impactului (a se vedea secțiunea 1.6)</w:t>
            </w:r>
          </w:p>
        </w:tc>
        <w:tc>
          <w:tcPr>
            <w:tcW w:w="1620" w:type="dxa"/>
            <w:gridSpan w:val="2"/>
            <w:tcBorders>
              <w:left w:val="nil"/>
              <w:bottom w:val="nil"/>
            </w:tcBorders>
            <w:vAlign w:val="center"/>
          </w:tcPr>
          <w:p w14:paraId="27D2050B" w14:textId="77777777" w:rsidR="00C67F54" w:rsidRPr="00046858" w:rsidRDefault="00C67F54" w:rsidP="00FA4434">
            <w:pPr>
              <w:keepNext/>
              <w:ind w:right="-29"/>
              <w:jc w:val="center"/>
              <w:rPr>
                <w:noProof/>
                <w:sz w:val="18"/>
                <w:szCs w:val="18"/>
              </w:rPr>
            </w:pPr>
            <w:r w:rsidRPr="00046858">
              <w:rPr>
                <w:b/>
                <w:noProof/>
                <w:sz w:val="18"/>
              </w:rPr>
              <w:t>TOTAL</w:t>
            </w:r>
          </w:p>
        </w:tc>
      </w:tr>
      <w:tr w:rsidR="00C67F54" w:rsidRPr="00046858" w14:paraId="2CCA2F8B" w14:textId="77777777">
        <w:trPr>
          <w:jc w:val="center"/>
        </w:trPr>
        <w:tc>
          <w:tcPr>
            <w:tcW w:w="1423" w:type="dxa"/>
            <w:vMerge/>
            <w:vAlign w:val="center"/>
          </w:tcPr>
          <w:p w14:paraId="2118E7FB" w14:textId="77777777" w:rsidR="00C67F54" w:rsidRPr="00046858" w:rsidRDefault="00C67F54" w:rsidP="00FA4434">
            <w:pPr>
              <w:keepNext/>
              <w:ind w:right="-29"/>
              <w:jc w:val="center"/>
              <w:rPr>
                <w:noProof/>
                <w:sz w:val="18"/>
                <w:szCs w:val="18"/>
              </w:rPr>
            </w:pPr>
          </w:p>
        </w:tc>
        <w:tc>
          <w:tcPr>
            <w:tcW w:w="12185" w:type="dxa"/>
            <w:gridSpan w:val="19"/>
            <w:vAlign w:val="center"/>
          </w:tcPr>
          <w:p w14:paraId="53883E48" w14:textId="77777777" w:rsidR="00C67F54" w:rsidRPr="00046858" w:rsidRDefault="00C67F54" w:rsidP="00FA4434">
            <w:pPr>
              <w:keepNext/>
              <w:spacing w:before="60" w:after="60"/>
              <w:ind w:right="-29"/>
              <w:jc w:val="center"/>
              <w:rPr>
                <w:noProof/>
                <w:sz w:val="18"/>
                <w:szCs w:val="18"/>
              </w:rPr>
            </w:pPr>
            <w:r w:rsidRPr="00046858">
              <w:rPr>
                <w:b/>
                <w:noProof/>
                <w:sz w:val="18"/>
              </w:rPr>
              <w:t>REALIZĂRI</w:t>
            </w:r>
          </w:p>
        </w:tc>
      </w:tr>
      <w:tr w:rsidR="00C67F54" w:rsidRPr="00046858" w14:paraId="46D4309B" w14:textId="77777777">
        <w:trPr>
          <w:cantSplit/>
          <w:trHeight w:val="1134"/>
          <w:jc w:val="center"/>
        </w:trPr>
        <w:tc>
          <w:tcPr>
            <w:tcW w:w="1423" w:type="dxa"/>
            <w:vMerge/>
            <w:vAlign w:val="center"/>
          </w:tcPr>
          <w:p w14:paraId="638EA3BD" w14:textId="77777777" w:rsidR="00C67F54" w:rsidRPr="00046858" w:rsidRDefault="00C67F54" w:rsidP="00FA4434">
            <w:pPr>
              <w:keepNext/>
              <w:rPr>
                <w:noProof/>
                <w:sz w:val="18"/>
                <w:szCs w:val="18"/>
              </w:rPr>
            </w:pPr>
          </w:p>
        </w:tc>
        <w:tc>
          <w:tcPr>
            <w:tcW w:w="720" w:type="dxa"/>
            <w:vAlign w:val="center"/>
          </w:tcPr>
          <w:p w14:paraId="722C64FF" w14:textId="77777777" w:rsidR="00C67F54" w:rsidRPr="00046858" w:rsidRDefault="00C67F54" w:rsidP="00FA4434">
            <w:pPr>
              <w:keepNext/>
              <w:jc w:val="center"/>
              <w:rPr>
                <w:noProof/>
                <w:sz w:val="18"/>
                <w:szCs w:val="18"/>
              </w:rPr>
            </w:pPr>
            <w:r w:rsidRPr="00046858">
              <w:rPr>
                <w:noProof/>
                <w:sz w:val="18"/>
              </w:rPr>
              <w:t>Tip</w:t>
            </w:r>
            <w:r w:rsidRPr="00046858">
              <w:rPr>
                <w:rStyle w:val="FootnoteReference"/>
                <w:noProof/>
                <w:sz w:val="18"/>
              </w:rPr>
              <w:footnoteReference w:id="81"/>
            </w:r>
          </w:p>
          <w:p w14:paraId="2C2B7496" w14:textId="77777777" w:rsidR="00C67F54" w:rsidRPr="00046858" w:rsidRDefault="00C67F54" w:rsidP="00FA4434">
            <w:pPr>
              <w:keepNext/>
              <w:spacing w:before="0" w:after="0"/>
              <w:jc w:val="center"/>
              <w:rPr>
                <w:noProof/>
                <w:sz w:val="18"/>
                <w:szCs w:val="18"/>
              </w:rPr>
            </w:pPr>
          </w:p>
        </w:tc>
        <w:tc>
          <w:tcPr>
            <w:tcW w:w="701" w:type="dxa"/>
            <w:vAlign w:val="center"/>
          </w:tcPr>
          <w:p w14:paraId="1A247257" w14:textId="77777777" w:rsidR="00C67F54" w:rsidRPr="00046858" w:rsidRDefault="00C67F54" w:rsidP="00FA4434">
            <w:pPr>
              <w:keepNext/>
              <w:jc w:val="center"/>
              <w:rPr>
                <w:noProof/>
                <w:sz w:val="18"/>
                <w:szCs w:val="18"/>
              </w:rPr>
            </w:pPr>
            <w:r w:rsidRPr="00046858">
              <w:rPr>
                <w:noProof/>
                <w:sz w:val="18"/>
              </w:rPr>
              <w:t>Costuri medii</w:t>
            </w:r>
          </w:p>
        </w:tc>
        <w:tc>
          <w:tcPr>
            <w:tcW w:w="504" w:type="dxa"/>
            <w:tcBorders>
              <w:left w:val="nil"/>
              <w:right w:val="dashSmallGap" w:sz="4" w:space="0" w:color="auto"/>
            </w:tcBorders>
            <w:shd w:val="pct10" w:color="auto" w:fill="auto"/>
            <w:textDirection w:val="btLr"/>
            <w:vAlign w:val="center"/>
          </w:tcPr>
          <w:p w14:paraId="034330E7" w14:textId="77777777" w:rsidR="00C67F54" w:rsidRPr="00046858" w:rsidRDefault="00C67F54" w:rsidP="00FA4434">
            <w:pPr>
              <w:keepNext/>
              <w:ind w:left="113" w:right="113"/>
              <w:jc w:val="center"/>
              <w:rPr>
                <w:noProof/>
                <w:sz w:val="18"/>
                <w:szCs w:val="18"/>
              </w:rPr>
            </w:pPr>
            <w:r w:rsidRPr="00046858">
              <w:rPr>
                <w:noProof/>
                <w:sz w:val="18"/>
              </w:rPr>
              <w:t>Nr.</w:t>
            </w:r>
          </w:p>
        </w:tc>
        <w:tc>
          <w:tcPr>
            <w:tcW w:w="720" w:type="dxa"/>
            <w:tcBorders>
              <w:left w:val="dashSmallGap" w:sz="4" w:space="0" w:color="auto"/>
            </w:tcBorders>
            <w:shd w:val="pct10" w:color="auto" w:fill="auto"/>
            <w:vAlign w:val="center"/>
          </w:tcPr>
          <w:p w14:paraId="43B7B15C" w14:textId="77777777" w:rsidR="00C67F54" w:rsidRPr="00046858" w:rsidRDefault="00C67F54" w:rsidP="00FA4434">
            <w:pPr>
              <w:keepNext/>
              <w:jc w:val="center"/>
              <w:rPr>
                <w:noProof/>
                <w:sz w:val="18"/>
                <w:szCs w:val="18"/>
              </w:rPr>
            </w:pPr>
            <w:r w:rsidRPr="00046858">
              <w:rPr>
                <w:noProof/>
                <w:sz w:val="18"/>
              </w:rPr>
              <w:t>Costuri</w:t>
            </w:r>
          </w:p>
        </w:tc>
        <w:tc>
          <w:tcPr>
            <w:tcW w:w="540" w:type="dxa"/>
            <w:tcBorders>
              <w:right w:val="dashSmallGap" w:sz="4" w:space="0" w:color="auto"/>
            </w:tcBorders>
            <w:shd w:val="pct10" w:color="auto" w:fill="auto"/>
            <w:textDirection w:val="btLr"/>
            <w:vAlign w:val="center"/>
          </w:tcPr>
          <w:p w14:paraId="791BED0A" w14:textId="77777777" w:rsidR="00C67F54" w:rsidRPr="00046858" w:rsidRDefault="00C67F54" w:rsidP="00FA4434">
            <w:pPr>
              <w:keepNext/>
              <w:ind w:left="113" w:right="113"/>
              <w:jc w:val="center"/>
              <w:rPr>
                <w:noProof/>
                <w:sz w:val="18"/>
                <w:szCs w:val="18"/>
              </w:rPr>
            </w:pPr>
            <w:r w:rsidRPr="00046858">
              <w:rPr>
                <w:noProof/>
                <w:sz w:val="18"/>
              </w:rPr>
              <w:t>Nr.</w:t>
            </w:r>
          </w:p>
        </w:tc>
        <w:tc>
          <w:tcPr>
            <w:tcW w:w="720" w:type="dxa"/>
            <w:tcBorders>
              <w:left w:val="dashSmallGap" w:sz="4" w:space="0" w:color="auto"/>
            </w:tcBorders>
            <w:shd w:val="pct10" w:color="auto" w:fill="auto"/>
            <w:vAlign w:val="center"/>
          </w:tcPr>
          <w:p w14:paraId="3F618893" w14:textId="77777777" w:rsidR="00C67F54" w:rsidRPr="00046858" w:rsidRDefault="00C67F54" w:rsidP="00FA4434">
            <w:pPr>
              <w:keepNext/>
              <w:jc w:val="center"/>
              <w:rPr>
                <w:noProof/>
                <w:sz w:val="18"/>
                <w:szCs w:val="18"/>
              </w:rPr>
            </w:pPr>
            <w:r w:rsidRPr="00046858">
              <w:rPr>
                <w:noProof/>
                <w:sz w:val="18"/>
              </w:rPr>
              <w:t>Costuri</w:t>
            </w:r>
          </w:p>
        </w:tc>
        <w:tc>
          <w:tcPr>
            <w:tcW w:w="720" w:type="dxa"/>
            <w:tcBorders>
              <w:right w:val="dashSmallGap" w:sz="4" w:space="0" w:color="auto"/>
            </w:tcBorders>
            <w:shd w:val="pct10" w:color="auto" w:fill="auto"/>
            <w:textDirection w:val="btLr"/>
            <w:vAlign w:val="center"/>
          </w:tcPr>
          <w:p w14:paraId="1BC157A1" w14:textId="77777777" w:rsidR="00C67F54" w:rsidRPr="00046858" w:rsidRDefault="00C67F54" w:rsidP="00FA4434">
            <w:pPr>
              <w:keepNext/>
              <w:ind w:left="113" w:right="113"/>
              <w:jc w:val="center"/>
              <w:rPr>
                <w:noProof/>
                <w:sz w:val="18"/>
                <w:szCs w:val="18"/>
              </w:rPr>
            </w:pPr>
            <w:r w:rsidRPr="00046858">
              <w:rPr>
                <w:noProof/>
                <w:sz w:val="18"/>
              </w:rPr>
              <w:t>Nr.</w:t>
            </w:r>
          </w:p>
        </w:tc>
        <w:tc>
          <w:tcPr>
            <w:tcW w:w="720" w:type="dxa"/>
            <w:tcBorders>
              <w:left w:val="dashSmallGap" w:sz="4" w:space="0" w:color="auto"/>
            </w:tcBorders>
            <w:shd w:val="pct10" w:color="auto" w:fill="auto"/>
            <w:vAlign w:val="center"/>
          </w:tcPr>
          <w:p w14:paraId="634B885D" w14:textId="77777777" w:rsidR="00C67F54" w:rsidRPr="00046858" w:rsidRDefault="00C67F54" w:rsidP="00FA4434">
            <w:pPr>
              <w:keepNext/>
              <w:jc w:val="center"/>
              <w:rPr>
                <w:noProof/>
                <w:sz w:val="18"/>
                <w:szCs w:val="18"/>
              </w:rPr>
            </w:pPr>
            <w:r w:rsidRPr="00046858">
              <w:rPr>
                <w:noProof/>
                <w:sz w:val="18"/>
              </w:rPr>
              <w:t>Costuri</w:t>
            </w:r>
          </w:p>
        </w:tc>
        <w:tc>
          <w:tcPr>
            <w:tcW w:w="900" w:type="dxa"/>
            <w:tcBorders>
              <w:right w:val="dashSmallGap" w:sz="4" w:space="0" w:color="auto"/>
            </w:tcBorders>
            <w:shd w:val="pct10" w:color="auto" w:fill="auto"/>
            <w:textDirection w:val="btLr"/>
            <w:vAlign w:val="center"/>
          </w:tcPr>
          <w:p w14:paraId="63BB3F8F" w14:textId="77777777" w:rsidR="00C67F54" w:rsidRPr="00046858" w:rsidRDefault="00C67F54" w:rsidP="00FA4434">
            <w:pPr>
              <w:keepNext/>
              <w:ind w:left="113" w:right="113"/>
              <w:jc w:val="center"/>
              <w:rPr>
                <w:noProof/>
                <w:sz w:val="18"/>
                <w:szCs w:val="18"/>
              </w:rPr>
            </w:pPr>
            <w:r w:rsidRPr="00046858">
              <w:rPr>
                <w:noProof/>
                <w:sz w:val="18"/>
              </w:rPr>
              <w:t>Nr.</w:t>
            </w:r>
          </w:p>
        </w:tc>
        <w:tc>
          <w:tcPr>
            <w:tcW w:w="639" w:type="dxa"/>
            <w:gridSpan w:val="2"/>
            <w:tcBorders>
              <w:left w:val="dashSmallGap" w:sz="4" w:space="0" w:color="auto"/>
            </w:tcBorders>
            <w:shd w:val="pct10" w:color="auto" w:fill="auto"/>
            <w:vAlign w:val="center"/>
          </w:tcPr>
          <w:p w14:paraId="218240BF" w14:textId="77777777" w:rsidR="00C67F54" w:rsidRPr="00046858" w:rsidRDefault="00C67F54" w:rsidP="00FA4434">
            <w:pPr>
              <w:keepNext/>
              <w:jc w:val="center"/>
              <w:rPr>
                <w:noProof/>
                <w:sz w:val="18"/>
                <w:szCs w:val="18"/>
              </w:rPr>
            </w:pPr>
            <w:r w:rsidRPr="00046858">
              <w:rPr>
                <w:noProof/>
                <w:sz w:val="18"/>
              </w:rPr>
              <w:t>Costuri</w:t>
            </w:r>
          </w:p>
        </w:tc>
        <w:tc>
          <w:tcPr>
            <w:tcW w:w="621" w:type="dxa"/>
            <w:tcBorders>
              <w:right w:val="dashSmallGap" w:sz="4" w:space="0" w:color="auto"/>
            </w:tcBorders>
            <w:shd w:val="pct10" w:color="auto" w:fill="auto"/>
            <w:textDirection w:val="btLr"/>
            <w:vAlign w:val="center"/>
          </w:tcPr>
          <w:p w14:paraId="1CFA932A" w14:textId="77777777" w:rsidR="00C67F54" w:rsidRPr="00046858" w:rsidRDefault="00C67F54" w:rsidP="00FA4434">
            <w:pPr>
              <w:keepNext/>
              <w:ind w:left="113" w:right="113"/>
              <w:jc w:val="center"/>
              <w:rPr>
                <w:noProof/>
                <w:sz w:val="18"/>
                <w:szCs w:val="18"/>
              </w:rPr>
            </w:pPr>
            <w:r w:rsidRPr="00046858">
              <w:rPr>
                <w:noProof/>
                <w:sz w:val="18"/>
              </w:rPr>
              <w:t>Nr.</w:t>
            </w:r>
          </w:p>
        </w:tc>
        <w:tc>
          <w:tcPr>
            <w:tcW w:w="648" w:type="dxa"/>
            <w:tcBorders>
              <w:left w:val="dashSmallGap" w:sz="4" w:space="0" w:color="auto"/>
            </w:tcBorders>
            <w:shd w:val="pct10" w:color="auto" w:fill="auto"/>
            <w:vAlign w:val="center"/>
          </w:tcPr>
          <w:p w14:paraId="53EC7970" w14:textId="77777777" w:rsidR="00C67F54" w:rsidRPr="00046858" w:rsidRDefault="00C67F54" w:rsidP="00FA4434">
            <w:pPr>
              <w:keepNext/>
              <w:jc w:val="center"/>
              <w:rPr>
                <w:noProof/>
                <w:sz w:val="18"/>
                <w:szCs w:val="18"/>
              </w:rPr>
            </w:pPr>
            <w:r w:rsidRPr="00046858">
              <w:rPr>
                <w:noProof/>
                <w:sz w:val="18"/>
              </w:rPr>
              <w:t>Costuri</w:t>
            </w:r>
          </w:p>
        </w:tc>
        <w:tc>
          <w:tcPr>
            <w:tcW w:w="432" w:type="dxa"/>
            <w:tcBorders>
              <w:right w:val="dashSmallGap" w:sz="4" w:space="0" w:color="auto"/>
            </w:tcBorders>
            <w:shd w:val="pct10" w:color="auto" w:fill="auto"/>
            <w:textDirection w:val="btLr"/>
            <w:vAlign w:val="center"/>
          </w:tcPr>
          <w:p w14:paraId="31FBACF5" w14:textId="77777777" w:rsidR="00C67F54" w:rsidRPr="00046858" w:rsidRDefault="00C67F54" w:rsidP="00FA4434">
            <w:pPr>
              <w:keepNext/>
              <w:ind w:left="113" w:right="113"/>
              <w:jc w:val="center"/>
              <w:rPr>
                <w:noProof/>
                <w:sz w:val="18"/>
                <w:szCs w:val="18"/>
              </w:rPr>
            </w:pPr>
            <w:r w:rsidRPr="00046858">
              <w:rPr>
                <w:noProof/>
                <w:sz w:val="18"/>
              </w:rPr>
              <w:t>Nr.</w:t>
            </w:r>
          </w:p>
        </w:tc>
        <w:tc>
          <w:tcPr>
            <w:tcW w:w="720" w:type="dxa"/>
            <w:tcBorders>
              <w:left w:val="dashSmallGap" w:sz="4" w:space="0" w:color="auto"/>
            </w:tcBorders>
            <w:shd w:val="pct10" w:color="auto" w:fill="auto"/>
            <w:vAlign w:val="center"/>
          </w:tcPr>
          <w:p w14:paraId="1F2702BB" w14:textId="77777777" w:rsidR="00C67F54" w:rsidRPr="00046858" w:rsidRDefault="00C67F54" w:rsidP="00FA4434">
            <w:pPr>
              <w:keepNext/>
              <w:jc w:val="center"/>
              <w:rPr>
                <w:noProof/>
                <w:sz w:val="18"/>
                <w:szCs w:val="18"/>
              </w:rPr>
            </w:pPr>
            <w:r w:rsidRPr="00046858">
              <w:rPr>
                <w:noProof/>
                <w:sz w:val="18"/>
              </w:rPr>
              <w:t>Costuri</w:t>
            </w:r>
          </w:p>
        </w:tc>
        <w:tc>
          <w:tcPr>
            <w:tcW w:w="540" w:type="dxa"/>
            <w:tcBorders>
              <w:right w:val="dashSmallGap" w:sz="4" w:space="0" w:color="auto"/>
            </w:tcBorders>
            <w:shd w:val="pct10" w:color="auto" w:fill="auto"/>
            <w:textDirection w:val="btLr"/>
            <w:vAlign w:val="center"/>
          </w:tcPr>
          <w:p w14:paraId="36A07D9A" w14:textId="77777777" w:rsidR="00C67F54" w:rsidRPr="00046858" w:rsidRDefault="00C67F54" w:rsidP="00FA4434">
            <w:pPr>
              <w:keepNext/>
              <w:ind w:left="113" w:right="113"/>
              <w:jc w:val="center"/>
              <w:rPr>
                <w:noProof/>
                <w:sz w:val="18"/>
                <w:szCs w:val="18"/>
              </w:rPr>
            </w:pPr>
            <w:r w:rsidRPr="00046858">
              <w:rPr>
                <w:noProof/>
                <w:sz w:val="18"/>
              </w:rPr>
              <w:t>Nr.</w:t>
            </w:r>
          </w:p>
        </w:tc>
        <w:tc>
          <w:tcPr>
            <w:tcW w:w="720" w:type="dxa"/>
            <w:tcBorders>
              <w:left w:val="dashSmallGap" w:sz="4" w:space="0" w:color="auto"/>
            </w:tcBorders>
            <w:shd w:val="pct10" w:color="auto" w:fill="auto"/>
            <w:vAlign w:val="center"/>
          </w:tcPr>
          <w:p w14:paraId="45FF433A" w14:textId="77777777" w:rsidR="00C67F54" w:rsidRPr="00046858" w:rsidRDefault="00C67F54" w:rsidP="00FA4434">
            <w:pPr>
              <w:keepNext/>
              <w:jc w:val="center"/>
              <w:rPr>
                <w:noProof/>
                <w:sz w:val="18"/>
                <w:szCs w:val="18"/>
              </w:rPr>
            </w:pPr>
            <w:r w:rsidRPr="00046858">
              <w:rPr>
                <w:noProof/>
                <w:sz w:val="18"/>
              </w:rPr>
              <w:t>Costuri</w:t>
            </w:r>
          </w:p>
        </w:tc>
        <w:tc>
          <w:tcPr>
            <w:tcW w:w="720" w:type="dxa"/>
            <w:tcBorders>
              <w:right w:val="dashSmallGap" w:sz="4" w:space="0" w:color="auto"/>
            </w:tcBorders>
            <w:shd w:val="pct10" w:color="auto" w:fill="auto"/>
            <w:vAlign w:val="center"/>
          </w:tcPr>
          <w:p w14:paraId="6CC2F071" w14:textId="77777777" w:rsidR="00C67F54" w:rsidRPr="00046858" w:rsidRDefault="00C67F54" w:rsidP="00FA4434">
            <w:pPr>
              <w:keepNext/>
              <w:jc w:val="center"/>
              <w:rPr>
                <w:noProof/>
                <w:sz w:val="18"/>
                <w:szCs w:val="18"/>
              </w:rPr>
            </w:pPr>
            <w:r w:rsidRPr="00046858">
              <w:rPr>
                <w:noProof/>
                <w:sz w:val="18"/>
              </w:rPr>
              <w:t>Total nr.</w:t>
            </w:r>
          </w:p>
        </w:tc>
        <w:tc>
          <w:tcPr>
            <w:tcW w:w="900" w:type="dxa"/>
            <w:tcBorders>
              <w:left w:val="dashSmallGap" w:sz="4" w:space="0" w:color="auto"/>
            </w:tcBorders>
            <w:shd w:val="pct10" w:color="auto" w:fill="auto"/>
            <w:vAlign w:val="center"/>
          </w:tcPr>
          <w:p w14:paraId="0D8F203B" w14:textId="77777777" w:rsidR="00C67F54" w:rsidRPr="00046858" w:rsidRDefault="00C67F54" w:rsidP="00FA4434">
            <w:pPr>
              <w:keepNext/>
              <w:jc w:val="center"/>
              <w:rPr>
                <w:noProof/>
                <w:sz w:val="18"/>
                <w:szCs w:val="18"/>
              </w:rPr>
            </w:pPr>
            <w:r w:rsidRPr="00046858">
              <w:rPr>
                <w:noProof/>
                <w:sz w:val="18"/>
              </w:rPr>
              <w:t>Total costuri</w:t>
            </w:r>
          </w:p>
        </w:tc>
      </w:tr>
      <w:tr w:rsidR="00C67F54" w:rsidRPr="00046858" w14:paraId="0B9F1B08" w14:textId="77777777">
        <w:trPr>
          <w:jc w:val="center"/>
        </w:trPr>
        <w:tc>
          <w:tcPr>
            <w:tcW w:w="2844" w:type="dxa"/>
            <w:gridSpan w:val="3"/>
            <w:vAlign w:val="center"/>
          </w:tcPr>
          <w:p w14:paraId="5559747D" w14:textId="77777777" w:rsidR="00C67F54" w:rsidRPr="00046858" w:rsidRDefault="00C67F54" w:rsidP="00FA4434">
            <w:pPr>
              <w:keepNext/>
              <w:spacing w:before="60" w:after="60"/>
              <w:ind w:right="-29"/>
              <w:jc w:val="center"/>
              <w:rPr>
                <w:noProof/>
                <w:sz w:val="18"/>
                <w:szCs w:val="18"/>
              </w:rPr>
            </w:pPr>
            <w:r w:rsidRPr="00046858">
              <w:rPr>
                <w:noProof/>
                <w:sz w:val="18"/>
              </w:rPr>
              <w:t>OBIECTIVUL SPECIFIC NR. 1</w:t>
            </w:r>
            <w:r w:rsidRPr="00046858">
              <w:rPr>
                <w:rStyle w:val="FootnoteReference"/>
                <w:noProof/>
                <w:sz w:val="18"/>
              </w:rPr>
              <w:footnoteReference w:id="82"/>
            </w:r>
            <w:r w:rsidRPr="00046858">
              <w:rPr>
                <w:noProof/>
                <w:sz w:val="18"/>
              </w:rPr>
              <w:t>...</w:t>
            </w:r>
          </w:p>
        </w:tc>
        <w:tc>
          <w:tcPr>
            <w:tcW w:w="504" w:type="dxa"/>
            <w:tcBorders>
              <w:top w:val="nil"/>
              <w:left w:val="nil"/>
              <w:bottom w:val="nil"/>
              <w:right w:val="nil"/>
            </w:tcBorders>
          </w:tcPr>
          <w:p w14:paraId="63D6B281" w14:textId="77777777" w:rsidR="00C67F54" w:rsidRPr="00046858" w:rsidRDefault="00C67F54" w:rsidP="00FA4434">
            <w:pPr>
              <w:keepNext/>
              <w:spacing w:before="60" w:after="60"/>
              <w:ind w:right="-29"/>
              <w:jc w:val="center"/>
              <w:rPr>
                <w:noProof/>
                <w:sz w:val="18"/>
                <w:szCs w:val="18"/>
              </w:rPr>
            </w:pPr>
          </w:p>
        </w:tc>
        <w:tc>
          <w:tcPr>
            <w:tcW w:w="720" w:type="dxa"/>
            <w:tcBorders>
              <w:top w:val="nil"/>
              <w:left w:val="nil"/>
              <w:bottom w:val="nil"/>
              <w:right w:val="nil"/>
            </w:tcBorders>
          </w:tcPr>
          <w:p w14:paraId="3E8AE990" w14:textId="77777777" w:rsidR="00C67F54" w:rsidRPr="00046858" w:rsidRDefault="00C67F54" w:rsidP="00FA4434">
            <w:pPr>
              <w:keepNext/>
              <w:spacing w:before="60" w:after="60"/>
              <w:ind w:right="-29"/>
              <w:jc w:val="center"/>
              <w:rPr>
                <w:noProof/>
                <w:sz w:val="18"/>
                <w:szCs w:val="18"/>
              </w:rPr>
            </w:pPr>
          </w:p>
        </w:tc>
        <w:tc>
          <w:tcPr>
            <w:tcW w:w="540" w:type="dxa"/>
            <w:tcBorders>
              <w:top w:val="nil"/>
              <w:left w:val="nil"/>
              <w:bottom w:val="nil"/>
              <w:right w:val="nil"/>
            </w:tcBorders>
          </w:tcPr>
          <w:p w14:paraId="722F05F6" w14:textId="77777777" w:rsidR="00C67F54" w:rsidRPr="00046858" w:rsidRDefault="00C67F54" w:rsidP="00FA4434">
            <w:pPr>
              <w:keepNext/>
              <w:spacing w:before="60" w:after="60"/>
              <w:ind w:right="-29"/>
              <w:jc w:val="center"/>
              <w:rPr>
                <w:noProof/>
                <w:sz w:val="18"/>
                <w:szCs w:val="18"/>
              </w:rPr>
            </w:pPr>
          </w:p>
        </w:tc>
        <w:tc>
          <w:tcPr>
            <w:tcW w:w="720" w:type="dxa"/>
            <w:tcBorders>
              <w:top w:val="nil"/>
              <w:left w:val="nil"/>
              <w:bottom w:val="nil"/>
              <w:right w:val="nil"/>
            </w:tcBorders>
          </w:tcPr>
          <w:p w14:paraId="1104A79B" w14:textId="77777777" w:rsidR="00C67F54" w:rsidRPr="00046858" w:rsidRDefault="00C67F54" w:rsidP="00FA4434">
            <w:pPr>
              <w:keepNext/>
              <w:spacing w:before="60" w:after="60"/>
              <w:ind w:right="-29"/>
              <w:jc w:val="center"/>
              <w:rPr>
                <w:noProof/>
                <w:sz w:val="18"/>
                <w:szCs w:val="18"/>
              </w:rPr>
            </w:pPr>
          </w:p>
        </w:tc>
        <w:tc>
          <w:tcPr>
            <w:tcW w:w="720" w:type="dxa"/>
            <w:tcBorders>
              <w:top w:val="nil"/>
              <w:left w:val="nil"/>
              <w:bottom w:val="nil"/>
              <w:right w:val="nil"/>
            </w:tcBorders>
          </w:tcPr>
          <w:p w14:paraId="7A9E94E3" w14:textId="77777777" w:rsidR="00C67F54" w:rsidRPr="00046858" w:rsidRDefault="00C67F54" w:rsidP="00FA4434">
            <w:pPr>
              <w:keepNext/>
              <w:spacing w:before="60" w:after="60"/>
              <w:ind w:right="-29"/>
              <w:jc w:val="center"/>
              <w:rPr>
                <w:noProof/>
                <w:sz w:val="18"/>
                <w:szCs w:val="18"/>
              </w:rPr>
            </w:pPr>
          </w:p>
        </w:tc>
        <w:tc>
          <w:tcPr>
            <w:tcW w:w="720" w:type="dxa"/>
            <w:tcBorders>
              <w:top w:val="nil"/>
              <w:left w:val="nil"/>
              <w:bottom w:val="nil"/>
              <w:right w:val="nil"/>
            </w:tcBorders>
          </w:tcPr>
          <w:p w14:paraId="30C2AF6B" w14:textId="77777777" w:rsidR="00C67F54" w:rsidRPr="00046858" w:rsidRDefault="00C67F54" w:rsidP="00FA4434">
            <w:pPr>
              <w:keepNext/>
              <w:spacing w:before="60" w:after="60"/>
              <w:ind w:right="-29"/>
              <w:jc w:val="center"/>
              <w:rPr>
                <w:noProof/>
                <w:sz w:val="18"/>
                <w:szCs w:val="18"/>
              </w:rPr>
            </w:pPr>
          </w:p>
        </w:tc>
        <w:tc>
          <w:tcPr>
            <w:tcW w:w="900" w:type="dxa"/>
            <w:tcBorders>
              <w:top w:val="nil"/>
              <w:left w:val="nil"/>
              <w:bottom w:val="nil"/>
              <w:right w:val="nil"/>
            </w:tcBorders>
          </w:tcPr>
          <w:p w14:paraId="37D06587" w14:textId="77777777" w:rsidR="00C67F54" w:rsidRPr="00046858" w:rsidRDefault="00C67F54" w:rsidP="00FA4434">
            <w:pPr>
              <w:keepNext/>
              <w:spacing w:before="60" w:after="60"/>
              <w:ind w:right="-29"/>
              <w:jc w:val="center"/>
              <w:rPr>
                <w:noProof/>
                <w:sz w:val="18"/>
                <w:szCs w:val="18"/>
              </w:rPr>
            </w:pPr>
          </w:p>
        </w:tc>
        <w:tc>
          <w:tcPr>
            <w:tcW w:w="639" w:type="dxa"/>
            <w:gridSpan w:val="2"/>
            <w:tcBorders>
              <w:top w:val="nil"/>
              <w:left w:val="nil"/>
              <w:bottom w:val="nil"/>
              <w:right w:val="nil"/>
            </w:tcBorders>
          </w:tcPr>
          <w:p w14:paraId="50D3B4B9" w14:textId="77777777" w:rsidR="00C67F54" w:rsidRPr="00046858" w:rsidRDefault="00C67F54" w:rsidP="00FA4434">
            <w:pPr>
              <w:keepNext/>
              <w:spacing w:before="60" w:after="60"/>
              <w:ind w:right="-29"/>
              <w:jc w:val="center"/>
              <w:rPr>
                <w:noProof/>
                <w:sz w:val="18"/>
                <w:szCs w:val="18"/>
              </w:rPr>
            </w:pPr>
          </w:p>
        </w:tc>
        <w:tc>
          <w:tcPr>
            <w:tcW w:w="621" w:type="dxa"/>
            <w:tcBorders>
              <w:top w:val="nil"/>
              <w:left w:val="nil"/>
              <w:bottom w:val="nil"/>
              <w:right w:val="nil"/>
            </w:tcBorders>
          </w:tcPr>
          <w:p w14:paraId="64C8FE63" w14:textId="77777777" w:rsidR="00C67F54" w:rsidRPr="00046858" w:rsidRDefault="00C67F54" w:rsidP="00FA4434">
            <w:pPr>
              <w:keepNext/>
              <w:spacing w:before="60" w:after="60"/>
              <w:ind w:right="-29"/>
              <w:jc w:val="center"/>
              <w:rPr>
                <w:noProof/>
                <w:sz w:val="18"/>
                <w:szCs w:val="18"/>
              </w:rPr>
            </w:pPr>
          </w:p>
        </w:tc>
        <w:tc>
          <w:tcPr>
            <w:tcW w:w="648" w:type="dxa"/>
            <w:tcBorders>
              <w:top w:val="nil"/>
              <w:left w:val="nil"/>
              <w:bottom w:val="nil"/>
              <w:right w:val="nil"/>
            </w:tcBorders>
          </w:tcPr>
          <w:p w14:paraId="0DD40C5C" w14:textId="77777777" w:rsidR="00C67F54" w:rsidRPr="00046858" w:rsidRDefault="00C67F54" w:rsidP="00FA4434">
            <w:pPr>
              <w:keepNext/>
              <w:spacing w:before="60" w:after="60"/>
              <w:ind w:right="-29"/>
              <w:jc w:val="center"/>
              <w:rPr>
                <w:noProof/>
                <w:sz w:val="18"/>
                <w:szCs w:val="18"/>
              </w:rPr>
            </w:pPr>
          </w:p>
        </w:tc>
        <w:tc>
          <w:tcPr>
            <w:tcW w:w="432" w:type="dxa"/>
            <w:tcBorders>
              <w:top w:val="nil"/>
              <w:left w:val="nil"/>
              <w:bottom w:val="nil"/>
              <w:right w:val="nil"/>
            </w:tcBorders>
          </w:tcPr>
          <w:p w14:paraId="1AEAEA95" w14:textId="77777777" w:rsidR="00C67F54" w:rsidRPr="00046858" w:rsidRDefault="00C67F54" w:rsidP="00FA4434">
            <w:pPr>
              <w:keepNext/>
              <w:spacing w:before="60" w:after="60"/>
              <w:ind w:right="-29"/>
              <w:jc w:val="center"/>
              <w:rPr>
                <w:noProof/>
                <w:sz w:val="18"/>
                <w:szCs w:val="18"/>
              </w:rPr>
            </w:pPr>
          </w:p>
        </w:tc>
        <w:tc>
          <w:tcPr>
            <w:tcW w:w="720" w:type="dxa"/>
            <w:tcBorders>
              <w:top w:val="nil"/>
              <w:left w:val="nil"/>
              <w:bottom w:val="nil"/>
              <w:right w:val="nil"/>
            </w:tcBorders>
          </w:tcPr>
          <w:p w14:paraId="413622B5" w14:textId="77777777" w:rsidR="00C67F54" w:rsidRPr="00046858" w:rsidRDefault="00C67F54" w:rsidP="00FA4434">
            <w:pPr>
              <w:keepNext/>
              <w:spacing w:before="60" w:after="60"/>
              <w:ind w:right="-29"/>
              <w:jc w:val="center"/>
              <w:rPr>
                <w:noProof/>
                <w:sz w:val="18"/>
                <w:szCs w:val="18"/>
              </w:rPr>
            </w:pPr>
          </w:p>
        </w:tc>
        <w:tc>
          <w:tcPr>
            <w:tcW w:w="540" w:type="dxa"/>
            <w:tcBorders>
              <w:top w:val="nil"/>
              <w:left w:val="nil"/>
              <w:bottom w:val="nil"/>
              <w:right w:val="nil"/>
            </w:tcBorders>
          </w:tcPr>
          <w:p w14:paraId="54DE45A8" w14:textId="77777777" w:rsidR="00C67F54" w:rsidRPr="00046858" w:rsidRDefault="00C67F54" w:rsidP="00FA4434">
            <w:pPr>
              <w:keepNext/>
              <w:spacing w:before="60" w:after="60"/>
              <w:ind w:right="-29"/>
              <w:jc w:val="center"/>
              <w:rPr>
                <w:noProof/>
                <w:sz w:val="18"/>
                <w:szCs w:val="18"/>
              </w:rPr>
            </w:pPr>
          </w:p>
        </w:tc>
        <w:tc>
          <w:tcPr>
            <w:tcW w:w="720" w:type="dxa"/>
            <w:tcBorders>
              <w:top w:val="nil"/>
              <w:left w:val="nil"/>
              <w:bottom w:val="nil"/>
              <w:right w:val="nil"/>
            </w:tcBorders>
          </w:tcPr>
          <w:p w14:paraId="6E2317F1" w14:textId="77777777" w:rsidR="00C67F54" w:rsidRPr="00046858" w:rsidRDefault="00C67F54" w:rsidP="00FA4434">
            <w:pPr>
              <w:keepNext/>
              <w:spacing w:before="60" w:after="60"/>
              <w:ind w:right="-29"/>
              <w:jc w:val="center"/>
              <w:rPr>
                <w:noProof/>
                <w:sz w:val="18"/>
                <w:szCs w:val="18"/>
              </w:rPr>
            </w:pPr>
          </w:p>
        </w:tc>
        <w:tc>
          <w:tcPr>
            <w:tcW w:w="720" w:type="dxa"/>
            <w:tcBorders>
              <w:top w:val="nil"/>
              <w:left w:val="nil"/>
              <w:bottom w:val="nil"/>
              <w:right w:val="nil"/>
            </w:tcBorders>
          </w:tcPr>
          <w:p w14:paraId="535A778E" w14:textId="77777777" w:rsidR="00C67F54" w:rsidRPr="00046858" w:rsidRDefault="00C67F54" w:rsidP="00FA4434">
            <w:pPr>
              <w:keepNext/>
              <w:spacing w:before="60" w:after="60"/>
              <w:ind w:right="-29"/>
              <w:jc w:val="center"/>
              <w:rPr>
                <w:noProof/>
                <w:sz w:val="18"/>
                <w:szCs w:val="18"/>
              </w:rPr>
            </w:pPr>
          </w:p>
        </w:tc>
        <w:tc>
          <w:tcPr>
            <w:tcW w:w="900" w:type="dxa"/>
            <w:tcBorders>
              <w:top w:val="nil"/>
              <w:left w:val="nil"/>
              <w:bottom w:val="nil"/>
              <w:right w:val="nil"/>
            </w:tcBorders>
          </w:tcPr>
          <w:p w14:paraId="50A957EE" w14:textId="77777777" w:rsidR="00C67F54" w:rsidRPr="00046858" w:rsidRDefault="00C67F54" w:rsidP="00FA4434">
            <w:pPr>
              <w:keepNext/>
              <w:spacing w:before="60" w:after="60"/>
              <w:ind w:right="-29"/>
              <w:jc w:val="center"/>
              <w:rPr>
                <w:noProof/>
                <w:sz w:val="18"/>
                <w:szCs w:val="18"/>
              </w:rPr>
            </w:pPr>
          </w:p>
        </w:tc>
      </w:tr>
      <w:tr w:rsidR="00C67F54" w:rsidRPr="00046858" w14:paraId="0653DD9B" w14:textId="77777777">
        <w:trPr>
          <w:trHeight w:hRule="exact" w:val="369"/>
          <w:jc w:val="center"/>
        </w:trPr>
        <w:tc>
          <w:tcPr>
            <w:tcW w:w="1423" w:type="dxa"/>
          </w:tcPr>
          <w:p w14:paraId="71DCC603" w14:textId="77777777" w:rsidR="00C67F54" w:rsidRPr="00046858" w:rsidRDefault="00C67F54" w:rsidP="00FA4434">
            <w:pPr>
              <w:keepNext/>
              <w:ind w:right="-29"/>
              <w:jc w:val="center"/>
              <w:rPr>
                <w:noProof/>
                <w:sz w:val="18"/>
                <w:szCs w:val="18"/>
              </w:rPr>
            </w:pPr>
            <w:r w:rsidRPr="00046858">
              <w:rPr>
                <w:noProof/>
                <w:sz w:val="18"/>
              </w:rPr>
              <w:t>– Realizare</w:t>
            </w:r>
          </w:p>
        </w:tc>
        <w:tc>
          <w:tcPr>
            <w:tcW w:w="720" w:type="dxa"/>
          </w:tcPr>
          <w:p w14:paraId="3DA56590" w14:textId="77777777" w:rsidR="00C67F54" w:rsidRPr="00046858" w:rsidRDefault="00C67F54" w:rsidP="00FA4434">
            <w:pPr>
              <w:keepNext/>
              <w:ind w:right="-29"/>
              <w:jc w:val="center"/>
              <w:rPr>
                <w:noProof/>
                <w:sz w:val="18"/>
                <w:szCs w:val="18"/>
              </w:rPr>
            </w:pPr>
          </w:p>
        </w:tc>
        <w:tc>
          <w:tcPr>
            <w:tcW w:w="701" w:type="dxa"/>
          </w:tcPr>
          <w:p w14:paraId="0D36248D" w14:textId="77777777" w:rsidR="00C67F54" w:rsidRPr="00046858" w:rsidRDefault="00C67F54" w:rsidP="00FA4434">
            <w:pPr>
              <w:keepNext/>
              <w:ind w:right="-29"/>
              <w:jc w:val="center"/>
              <w:rPr>
                <w:noProof/>
                <w:sz w:val="18"/>
                <w:szCs w:val="18"/>
              </w:rPr>
            </w:pPr>
          </w:p>
        </w:tc>
        <w:tc>
          <w:tcPr>
            <w:tcW w:w="504" w:type="dxa"/>
            <w:tcBorders>
              <w:right w:val="dashSmallGap" w:sz="4" w:space="0" w:color="auto"/>
            </w:tcBorders>
          </w:tcPr>
          <w:p w14:paraId="7124E387" w14:textId="77777777" w:rsidR="00C67F54" w:rsidRPr="00046858" w:rsidRDefault="00C67F54" w:rsidP="00FA4434">
            <w:pPr>
              <w:keepNext/>
              <w:ind w:right="-29"/>
              <w:jc w:val="center"/>
              <w:rPr>
                <w:noProof/>
                <w:sz w:val="18"/>
                <w:szCs w:val="18"/>
              </w:rPr>
            </w:pPr>
          </w:p>
        </w:tc>
        <w:tc>
          <w:tcPr>
            <w:tcW w:w="720" w:type="dxa"/>
            <w:tcBorders>
              <w:left w:val="dashSmallGap" w:sz="4" w:space="0" w:color="auto"/>
            </w:tcBorders>
          </w:tcPr>
          <w:p w14:paraId="2F3995A0" w14:textId="77777777" w:rsidR="00C67F54" w:rsidRPr="00046858" w:rsidRDefault="00C67F54" w:rsidP="00FA4434">
            <w:pPr>
              <w:keepNext/>
              <w:ind w:right="-29"/>
              <w:jc w:val="center"/>
              <w:rPr>
                <w:noProof/>
                <w:sz w:val="18"/>
                <w:szCs w:val="18"/>
              </w:rPr>
            </w:pPr>
          </w:p>
        </w:tc>
        <w:tc>
          <w:tcPr>
            <w:tcW w:w="540" w:type="dxa"/>
            <w:tcBorders>
              <w:right w:val="dashSmallGap" w:sz="4" w:space="0" w:color="auto"/>
            </w:tcBorders>
          </w:tcPr>
          <w:p w14:paraId="4F2DDE09" w14:textId="77777777" w:rsidR="00C67F54" w:rsidRPr="00046858" w:rsidRDefault="00C67F54" w:rsidP="00FA4434">
            <w:pPr>
              <w:keepNext/>
              <w:ind w:right="-29"/>
              <w:jc w:val="center"/>
              <w:rPr>
                <w:noProof/>
                <w:sz w:val="18"/>
                <w:szCs w:val="18"/>
              </w:rPr>
            </w:pPr>
          </w:p>
        </w:tc>
        <w:tc>
          <w:tcPr>
            <w:tcW w:w="720" w:type="dxa"/>
            <w:tcBorders>
              <w:left w:val="dashSmallGap" w:sz="4" w:space="0" w:color="auto"/>
            </w:tcBorders>
          </w:tcPr>
          <w:p w14:paraId="2DABE0FA" w14:textId="77777777" w:rsidR="00C67F54" w:rsidRPr="00046858" w:rsidRDefault="00C67F54" w:rsidP="00FA4434">
            <w:pPr>
              <w:keepNext/>
              <w:ind w:right="-29"/>
              <w:jc w:val="center"/>
              <w:rPr>
                <w:noProof/>
                <w:sz w:val="18"/>
                <w:szCs w:val="18"/>
              </w:rPr>
            </w:pPr>
          </w:p>
        </w:tc>
        <w:tc>
          <w:tcPr>
            <w:tcW w:w="720" w:type="dxa"/>
            <w:tcBorders>
              <w:right w:val="dashSmallGap" w:sz="4" w:space="0" w:color="auto"/>
            </w:tcBorders>
          </w:tcPr>
          <w:p w14:paraId="35E2AB44" w14:textId="77777777" w:rsidR="00C67F54" w:rsidRPr="00046858" w:rsidRDefault="00C67F54" w:rsidP="00FA4434">
            <w:pPr>
              <w:keepNext/>
              <w:ind w:right="-29"/>
              <w:jc w:val="center"/>
              <w:rPr>
                <w:noProof/>
                <w:sz w:val="18"/>
                <w:szCs w:val="18"/>
              </w:rPr>
            </w:pPr>
          </w:p>
        </w:tc>
        <w:tc>
          <w:tcPr>
            <w:tcW w:w="720" w:type="dxa"/>
            <w:tcBorders>
              <w:left w:val="dashSmallGap" w:sz="4" w:space="0" w:color="auto"/>
            </w:tcBorders>
          </w:tcPr>
          <w:p w14:paraId="53D11E60" w14:textId="77777777" w:rsidR="00C67F54" w:rsidRPr="00046858" w:rsidRDefault="00C67F54" w:rsidP="00FA4434">
            <w:pPr>
              <w:keepNext/>
              <w:ind w:right="-29"/>
              <w:jc w:val="center"/>
              <w:rPr>
                <w:noProof/>
                <w:sz w:val="18"/>
                <w:szCs w:val="18"/>
              </w:rPr>
            </w:pPr>
          </w:p>
        </w:tc>
        <w:tc>
          <w:tcPr>
            <w:tcW w:w="900" w:type="dxa"/>
            <w:tcBorders>
              <w:right w:val="dashSmallGap" w:sz="4" w:space="0" w:color="auto"/>
            </w:tcBorders>
          </w:tcPr>
          <w:p w14:paraId="18873E71" w14:textId="77777777" w:rsidR="00C67F54" w:rsidRPr="00046858" w:rsidRDefault="00C67F54" w:rsidP="00FA4434">
            <w:pPr>
              <w:keepNext/>
              <w:ind w:right="-29"/>
              <w:jc w:val="center"/>
              <w:rPr>
                <w:noProof/>
                <w:sz w:val="18"/>
                <w:szCs w:val="18"/>
              </w:rPr>
            </w:pPr>
          </w:p>
        </w:tc>
        <w:tc>
          <w:tcPr>
            <w:tcW w:w="639" w:type="dxa"/>
            <w:gridSpan w:val="2"/>
            <w:tcBorders>
              <w:left w:val="dashSmallGap" w:sz="4" w:space="0" w:color="auto"/>
            </w:tcBorders>
          </w:tcPr>
          <w:p w14:paraId="1773284E" w14:textId="77777777" w:rsidR="00C67F54" w:rsidRPr="00046858" w:rsidRDefault="00C67F54" w:rsidP="00FA4434">
            <w:pPr>
              <w:keepNext/>
              <w:ind w:right="-29"/>
              <w:jc w:val="center"/>
              <w:rPr>
                <w:noProof/>
                <w:sz w:val="18"/>
                <w:szCs w:val="18"/>
              </w:rPr>
            </w:pPr>
          </w:p>
        </w:tc>
        <w:tc>
          <w:tcPr>
            <w:tcW w:w="621" w:type="dxa"/>
            <w:tcBorders>
              <w:right w:val="dashSmallGap" w:sz="4" w:space="0" w:color="auto"/>
            </w:tcBorders>
          </w:tcPr>
          <w:p w14:paraId="37DDF51B" w14:textId="77777777" w:rsidR="00C67F54" w:rsidRPr="00046858" w:rsidRDefault="00C67F54" w:rsidP="00FA4434">
            <w:pPr>
              <w:keepNext/>
              <w:ind w:right="-29"/>
              <w:jc w:val="center"/>
              <w:rPr>
                <w:noProof/>
                <w:sz w:val="18"/>
                <w:szCs w:val="18"/>
              </w:rPr>
            </w:pPr>
          </w:p>
        </w:tc>
        <w:tc>
          <w:tcPr>
            <w:tcW w:w="648" w:type="dxa"/>
            <w:tcBorders>
              <w:left w:val="dashSmallGap" w:sz="4" w:space="0" w:color="auto"/>
            </w:tcBorders>
          </w:tcPr>
          <w:p w14:paraId="5910CC32" w14:textId="77777777" w:rsidR="00C67F54" w:rsidRPr="00046858" w:rsidRDefault="00C67F54" w:rsidP="00FA4434">
            <w:pPr>
              <w:keepNext/>
              <w:ind w:right="-29"/>
              <w:jc w:val="center"/>
              <w:rPr>
                <w:noProof/>
                <w:sz w:val="18"/>
                <w:szCs w:val="18"/>
              </w:rPr>
            </w:pPr>
          </w:p>
        </w:tc>
        <w:tc>
          <w:tcPr>
            <w:tcW w:w="432" w:type="dxa"/>
            <w:tcBorders>
              <w:right w:val="dashSmallGap" w:sz="4" w:space="0" w:color="auto"/>
            </w:tcBorders>
          </w:tcPr>
          <w:p w14:paraId="74768DA0" w14:textId="77777777" w:rsidR="00C67F54" w:rsidRPr="00046858" w:rsidRDefault="00C67F54" w:rsidP="00FA4434">
            <w:pPr>
              <w:keepNext/>
              <w:ind w:right="-29"/>
              <w:jc w:val="center"/>
              <w:rPr>
                <w:noProof/>
                <w:sz w:val="18"/>
                <w:szCs w:val="18"/>
              </w:rPr>
            </w:pPr>
          </w:p>
        </w:tc>
        <w:tc>
          <w:tcPr>
            <w:tcW w:w="720" w:type="dxa"/>
            <w:tcBorders>
              <w:left w:val="dashSmallGap" w:sz="4" w:space="0" w:color="auto"/>
            </w:tcBorders>
          </w:tcPr>
          <w:p w14:paraId="03242FCF" w14:textId="77777777" w:rsidR="00C67F54" w:rsidRPr="00046858" w:rsidRDefault="00C67F54" w:rsidP="00FA4434">
            <w:pPr>
              <w:keepNext/>
              <w:ind w:right="-29"/>
              <w:jc w:val="center"/>
              <w:rPr>
                <w:noProof/>
                <w:sz w:val="18"/>
                <w:szCs w:val="18"/>
              </w:rPr>
            </w:pPr>
          </w:p>
        </w:tc>
        <w:tc>
          <w:tcPr>
            <w:tcW w:w="540" w:type="dxa"/>
            <w:tcBorders>
              <w:right w:val="dashSmallGap" w:sz="4" w:space="0" w:color="auto"/>
            </w:tcBorders>
          </w:tcPr>
          <w:p w14:paraId="1E4AD545" w14:textId="77777777" w:rsidR="00C67F54" w:rsidRPr="00046858" w:rsidRDefault="00C67F54" w:rsidP="00FA4434">
            <w:pPr>
              <w:keepNext/>
              <w:ind w:right="-29"/>
              <w:jc w:val="center"/>
              <w:rPr>
                <w:noProof/>
                <w:sz w:val="18"/>
                <w:szCs w:val="18"/>
              </w:rPr>
            </w:pPr>
          </w:p>
        </w:tc>
        <w:tc>
          <w:tcPr>
            <w:tcW w:w="720" w:type="dxa"/>
            <w:tcBorders>
              <w:left w:val="dashSmallGap" w:sz="4" w:space="0" w:color="auto"/>
            </w:tcBorders>
          </w:tcPr>
          <w:p w14:paraId="37E46CF8" w14:textId="77777777" w:rsidR="00C67F54" w:rsidRPr="00046858" w:rsidRDefault="00C67F54" w:rsidP="00FA4434">
            <w:pPr>
              <w:keepNext/>
              <w:ind w:right="-29"/>
              <w:jc w:val="center"/>
              <w:rPr>
                <w:noProof/>
                <w:sz w:val="18"/>
                <w:szCs w:val="18"/>
              </w:rPr>
            </w:pPr>
          </w:p>
        </w:tc>
        <w:tc>
          <w:tcPr>
            <w:tcW w:w="720" w:type="dxa"/>
          </w:tcPr>
          <w:p w14:paraId="513539B7" w14:textId="77777777" w:rsidR="00C67F54" w:rsidRPr="00046858" w:rsidRDefault="00C67F54" w:rsidP="00FA4434">
            <w:pPr>
              <w:keepNext/>
              <w:ind w:right="-29"/>
              <w:jc w:val="center"/>
              <w:rPr>
                <w:noProof/>
                <w:sz w:val="18"/>
                <w:szCs w:val="18"/>
              </w:rPr>
            </w:pPr>
          </w:p>
        </w:tc>
        <w:tc>
          <w:tcPr>
            <w:tcW w:w="900" w:type="dxa"/>
          </w:tcPr>
          <w:p w14:paraId="01F3F03C" w14:textId="77777777" w:rsidR="00C67F54" w:rsidRPr="00046858" w:rsidRDefault="00C67F54" w:rsidP="00FA4434">
            <w:pPr>
              <w:keepNext/>
              <w:ind w:right="-29"/>
              <w:jc w:val="center"/>
              <w:rPr>
                <w:noProof/>
                <w:sz w:val="18"/>
                <w:szCs w:val="18"/>
              </w:rPr>
            </w:pPr>
          </w:p>
        </w:tc>
      </w:tr>
      <w:tr w:rsidR="00C67F54" w:rsidRPr="00046858" w14:paraId="78DEB2FB" w14:textId="77777777">
        <w:trPr>
          <w:trHeight w:hRule="exact" w:val="369"/>
          <w:jc w:val="center"/>
        </w:trPr>
        <w:tc>
          <w:tcPr>
            <w:tcW w:w="1423" w:type="dxa"/>
          </w:tcPr>
          <w:p w14:paraId="5A693271" w14:textId="77777777" w:rsidR="00C67F54" w:rsidRPr="00046858" w:rsidRDefault="00C67F54" w:rsidP="00FA4434">
            <w:pPr>
              <w:keepNext/>
              <w:ind w:right="-29"/>
              <w:jc w:val="center"/>
              <w:rPr>
                <w:noProof/>
                <w:sz w:val="18"/>
                <w:szCs w:val="18"/>
              </w:rPr>
            </w:pPr>
            <w:r w:rsidRPr="00046858">
              <w:rPr>
                <w:noProof/>
                <w:sz w:val="18"/>
              </w:rPr>
              <w:t>– Realizare</w:t>
            </w:r>
          </w:p>
        </w:tc>
        <w:tc>
          <w:tcPr>
            <w:tcW w:w="720" w:type="dxa"/>
          </w:tcPr>
          <w:p w14:paraId="10C0ED30" w14:textId="77777777" w:rsidR="00C67F54" w:rsidRPr="00046858" w:rsidRDefault="00C67F54" w:rsidP="00FA4434">
            <w:pPr>
              <w:keepNext/>
              <w:ind w:right="-29"/>
              <w:jc w:val="center"/>
              <w:rPr>
                <w:noProof/>
                <w:sz w:val="18"/>
                <w:szCs w:val="18"/>
              </w:rPr>
            </w:pPr>
          </w:p>
        </w:tc>
        <w:tc>
          <w:tcPr>
            <w:tcW w:w="701" w:type="dxa"/>
          </w:tcPr>
          <w:p w14:paraId="54581451" w14:textId="77777777" w:rsidR="00C67F54" w:rsidRPr="00046858" w:rsidRDefault="00C67F54" w:rsidP="00FA4434">
            <w:pPr>
              <w:keepNext/>
              <w:ind w:right="-29"/>
              <w:jc w:val="center"/>
              <w:rPr>
                <w:noProof/>
                <w:sz w:val="18"/>
                <w:szCs w:val="18"/>
              </w:rPr>
            </w:pPr>
          </w:p>
        </w:tc>
        <w:tc>
          <w:tcPr>
            <w:tcW w:w="504" w:type="dxa"/>
            <w:tcBorders>
              <w:right w:val="dashSmallGap" w:sz="4" w:space="0" w:color="auto"/>
            </w:tcBorders>
          </w:tcPr>
          <w:p w14:paraId="52104503" w14:textId="77777777" w:rsidR="00C67F54" w:rsidRPr="00046858" w:rsidRDefault="00C67F54" w:rsidP="00FA4434">
            <w:pPr>
              <w:keepNext/>
              <w:ind w:right="-29"/>
              <w:jc w:val="center"/>
              <w:rPr>
                <w:noProof/>
                <w:sz w:val="18"/>
                <w:szCs w:val="18"/>
              </w:rPr>
            </w:pPr>
          </w:p>
        </w:tc>
        <w:tc>
          <w:tcPr>
            <w:tcW w:w="720" w:type="dxa"/>
            <w:tcBorders>
              <w:left w:val="dashSmallGap" w:sz="4" w:space="0" w:color="auto"/>
            </w:tcBorders>
          </w:tcPr>
          <w:p w14:paraId="553458E8" w14:textId="77777777" w:rsidR="00C67F54" w:rsidRPr="00046858" w:rsidRDefault="00C67F54" w:rsidP="00FA4434">
            <w:pPr>
              <w:keepNext/>
              <w:ind w:right="-29"/>
              <w:jc w:val="center"/>
              <w:rPr>
                <w:noProof/>
                <w:sz w:val="18"/>
                <w:szCs w:val="18"/>
              </w:rPr>
            </w:pPr>
          </w:p>
        </w:tc>
        <w:tc>
          <w:tcPr>
            <w:tcW w:w="540" w:type="dxa"/>
            <w:tcBorders>
              <w:right w:val="dashSmallGap" w:sz="4" w:space="0" w:color="auto"/>
            </w:tcBorders>
          </w:tcPr>
          <w:p w14:paraId="5443ADCC" w14:textId="77777777" w:rsidR="00C67F54" w:rsidRPr="00046858" w:rsidRDefault="00C67F54" w:rsidP="00FA4434">
            <w:pPr>
              <w:keepNext/>
              <w:ind w:right="-29"/>
              <w:jc w:val="center"/>
              <w:rPr>
                <w:noProof/>
                <w:sz w:val="18"/>
                <w:szCs w:val="18"/>
              </w:rPr>
            </w:pPr>
          </w:p>
        </w:tc>
        <w:tc>
          <w:tcPr>
            <w:tcW w:w="720" w:type="dxa"/>
            <w:tcBorders>
              <w:left w:val="dashSmallGap" w:sz="4" w:space="0" w:color="auto"/>
            </w:tcBorders>
          </w:tcPr>
          <w:p w14:paraId="436F4C11" w14:textId="77777777" w:rsidR="00C67F54" w:rsidRPr="00046858" w:rsidRDefault="00C67F54" w:rsidP="00FA4434">
            <w:pPr>
              <w:keepNext/>
              <w:ind w:right="-29"/>
              <w:jc w:val="center"/>
              <w:rPr>
                <w:noProof/>
                <w:sz w:val="18"/>
                <w:szCs w:val="18"/>
              </w:rPr>
            </w:pPr>
          </w:p>
        </w:tc>
        <w:tc>
          <w:tcPr>
            <w:tcW w:w="720" w:type="dxa"/>
            <w:tcBorders>
              <w:right w:val="dashSmallGap" w:sz="4" w:space="0" w:color="auto"/>
            </w:tcBorders>
          </w:tcPr>
          <w:p w14:paraId="1FC603AA" w14:textId="77777777" w:rsidR="00C67F54" w:rsidRPr="00046858" w:rsidRDefault="00C67F54" w:rsidP="00FA4434">
            <w:pPr>
              <w:keepNext/>
              <w:ind w:right="-29"/>
              <w:jc w:val="center"/>
              <w:rPr>
                <w:noProof/>
                <w:sz w:val="18"/>
                <w:szCs w:val="18"/>
              </w:rPr>
            </w:pPr>
          </w:p>
        </w:tc>
        <w:tc>
          <w:tcPr>
            <w:tcW w:w="720" w:type="dxa"/>
            <w:tcBorders>
              <w:left w:val="dashSmallGap" w:sz="4" w:space="0" w:color="auto"/>
            </w:tcBorders>
          </w:tcPr>
          <w:p w14:paraId="0A876249" w14:textId="77777777" w:rsidR="00C67F54" w:rsidRPr="00046858" w:rsidRDefault="00C67F54" w:rsidP="00FA4434">
            <w:pPr>
              <w:keepNext/>
              <w:ind w:right="-29"/>
              <w:jc w:val="center"/>
              <w:rPr>
                <w:noProof/>
                <w:sz w:val="18"/>
                <w:szCs w:val="18"/>
              </w:rPr>
            </w:pPr>
          </w:p>
        </w:tc>
        <w:tc>
          <w:tcPr>
            <w:tcW w:w="900" w:type="dxa"/>
            <w:tcBorders>
              <w:right w:val="dashSmallGap" w:sz="4" w:space="0" w:color="auto"/>
            </w:tcBorders>
          </w:tcPr>
          <w:p w14:paraId="06D22F9D" w14:textId="77777777" w:rsidR="00C67F54" w:rsidRPr="00046858" w:rsidRDefault="00C67F54" w:rsidP="00FA4434">
            <w:pPr>
              <w:keepNext/>
              <w:ind w:right="-29"/>
              <w:jc w:val="center"/>
              <w:rPr>
                <w:noProof/>
                <w:sz w:val="18"/>
                <w:szCs w:val="18"/>
              </w:rPr>
            </w:pPr>
          </w:p>
        </w:tc>
        <w:tc>
          <w:tcPr>
            <w:tcW w:w="639" w:type="dxa"/>
            <w:gridSpan w:val="2"/>
            <w:tcBorders>
              <w:left w:val="dashSmallGap" w:sz="4" w:space="0" w:color="auto"/>
            </w:tcBorders>
          </w:tcPr>
          <w:p w14:paraId="48794A24" w14:textId="77777777" w:rsidR="00C67F54" w:rsidRPr="00046858" w:rsidRDefault="00C67F54" w:rsidP="00FA4434">
            <w:pPr>
              <w:keepNext/>
              <w:ind w:right="-29"/>
              <w:jc w:val="center"/>
              <w:rPr>
                <w:noProof/>
                <w:sz w:val="18"/>
                <w:szCs w:val="18"/>
              </w:rPr>
            </w:pPr>
          </w:p>
        </w:tc>
        <w:tc>
          <w:tcPr>
            <w:tcW w:w="621" w:type="dxa"/>
            <w:tcBorders>
              <w:right w:val="dashSmallGap" w:sz="4" w:space="0" w:color="auto"/>
            </w:tcBorders>
          </w:tcPr>
          <w:p w14:paraId="701E1214" w14:textId="77777777" w:rsidR="00C67F54" w:rsidRPr="00046858" w:rsidRDefault="00C67F54" w:rsidP="00FA4434">
            <w:pPr>
              <w:keepNext/>
              <w:ind w:right="-29"/>
              <w:jc w:val="center"/>
              <w:rPr>
                <w:noProof/>
                <w:sz w:val="18"/>
                <w:szCs w:val="18"/>
              </w:rPr>
            </w:pPr>
          </w:p>
        </w:tc>
        <w:tc>
          <w:tcPr>
            <w:tcW w:w="648" w:type="dxa"/>
            <w:tcBorders>
              <w:left w:val="dashSmallGap" w:sz="4" w:space="0" w:color="auto"/>
            </w:tcBorders>
          </w:tcPr>
          <w:p w14:paraId="4CA882A6" w14:textId="77777777" w:rsidR="00C67F54" w:rsidRPr="00046858" w:rsidRDefault="00C67F54" w:rsidP="00FA4434">
            <w:pPr>
              <w:keepNext/>
              <w:ind w:right="-29"/>
              <w:jc w:val="center"/>
              <w:rPr>
                <w:noProof/>
                <w:sz w:val="18"/>
                <w:szCs w:val="18"/>
              </w:rPr>
            </w:pPr>
          </w:p>
        </w:tc>
        <w:tc>
          <w:tcPr>
            <w:tcW w:w="432" w:type="dxa"/>
            <w:tcBorders>
              <w:right w:val="dashSmallGap" w:sz="4" w:space="0" w:color="auto"/>
            </w:tcBorders>
          </w:tcPr>
          <w:p w14:paraId="77A8FE08" w14:textId="77777777" w:rsidR="00C67F54" w:rsidRPr="00046858" w:rsidRDefault="00C67F54" w:rsidP="00FA4434">
            <w:pPr>
              <w:keepNext/>
              <w:ind w:right="-29"/>
              <w:jc w:val="center"/>
              <w:rPr>
                <w:noProof/>
                <w:sz w:val="18"/>
                <w:szCs w:val="18"/>
              </w:rPr>
            </w:pPr>
          </w:p>
        </w:tc>
        <w:tc>
          <w:tcPr>
            <w:tcW w:w="720" w:type="dxa"/>
            <w:tcBorders>
              <w:left w:val="dashSmallGap" w:sz="4" w:space="0" w:color="auto"/>
            </w:tcBorders>
          </w:tcPr>
          <w:p w14:paraId="2926700B" w14:textId="77777777" w:rsidR="00C67F54" w:rsidRPr="00046858" w:rsidRDefault="00C67F54" w:rsidP="00FA4434">
            <w:pPr>
              <w:keepNext/>
              <w:ind w:right="-29"/>
              <w:jc w:val="center"/>
              <w:rPr>
                <w:noProof/>
                <w:sz w:val="18"/>
                <w:szCs w:val="18"/>
              </w:rPr>
            </w:pPr>
          </w:p>
        </w:tc>
        <w:tc>
          <w:tcPr>
            <w:tcW w:w="540" w:type="dxa"/>
            <w:tcBorders>
              <w:right w:val="dashSmallGap" w:sz="4" w:space="0" w:color="auto"/>
            </w:tcBorders>
          </w:tcPr>
          <w:p w14:paraId="42A528A4" w14:textId="77777777" w:rsidR="00C67F54" w:rsidRPr="00046858" w:rsidRDefault="00C67F54" w:rsidP="00FA4434">
            <w:pPr>
              <w:keepNext/>
              <w:ind w:right="-29"/>
              <w:jc w:val="center"/>
              <w:rPr>
                <w:noProof/>
                <w:sz w:val="18"/>
                <w:szCs w:val="18"/>
              </w:rPr>
            </w:pPr>
          </w:p>
        </w:tc>
        <w:tc>
          <w:tcPr>
            <w:tcW w:w="720" w:type="dxa"/>
            <w:tcBorders>
              <w:left w:val="dashSmallGap" w:sz="4" w:space="0" w:color="auto"/>
            </w:tcBorders>
          </w:tcPr>
          <w:p w14:paraId="551502D4" w14:textId="77777777" w:rsidR="00C67F54" w:rsidRPr="00046858" w:rsidRDefault="00C67F54" w:rsidP="00FA4434">
            <w:pPr>
              <w:keepNext/>
              <w:ind w:right="-29"/>
              <w:jc w:val="center"/>
              <w:rPr>
                <w:noProof/>
                <w:sz w:val="18"/>
                <w:szCs w:val="18"/>
              </w:rPr>
            </w:pPr>
          </w:p>
        </w:tc>
        <w:tc>
          <w:tcPr>
            <w:tcW w:w="720" w:type="dxa"/>
          </w:tcPr>
          <w:p w14:paraId="221A6465" w14:textId="77777777" w:rsidR="00C67F54" w:rsidRPr="00046858" w:rsidRDefault="00C67F54" w:rsidP="00FA4434">
            <w:pPr>
              <w:keepNext/>
              <w:ind w:right="-29"/>
              <w:jc w:val="center"/>
              <w:rPr>
                <w:noProof/>
                <w:sz w:val="18"/>
                <w:szCs w:val="18"/>
              </w:rPr>
            </w:pPr>
          </w:p>
        </w:tc>
        <w:tc>
          <w:tcPr>
            <w:tcW w:w="900" w:type="dxa"/>
          </w:tcPr>
          <w:p w14:paraId="698A4750" w14:textId="77777777" w:rsidR="00C67F54" w:rsidRPr="00046858" w:rsidRDefault="00C67F54" w:rsidP="00FA4434">
            <w:pPr>
              <w:keepNext/>
              <w:ind w:right="-29"/>
              <w:jc w:val="center"/>
              <w:rPr>
                <w:noProof/>
                <w:sz w:val="18"/>
                <w:szCs w:val="18"/>
              </w:rPr>
            </w:pPr>
          </w:p>
        </w:tc>
      </w:tr>
      <w:tr w:rsidR="00C67F54" w:rsidRPr="00046858" w14:paraId="4C3860CB" w14:textId="77777777">
        <w:trPr>
          <w:trHeight w:hRule="exact" w:val="369"/>
          <w:jc w:val="center"/>
        </w:trPr>
        <w:tc>
          <w:tcPr>
            <w:tcW w:w="1423" w:type="dxa"/>
          </w:tcPr>
          <w:p w14:paraId="12854F1B" w14:textId="77777777" w:rsidR="00C67F54" w:rsidRPr="00046858" w:rsidRDefault="00C67F54" w:rsidP="00FA4434">
            <w:pPr>
              <w:keepNext/>
              <w:ind w:right="-29"/>
              <w:jc w:val="center"/>
              <w:rPr>
                <w:noProof/>
                <w:sz w:val="18"/>
                <w:szCs w:val="18"/>
              </w:rPr>
            </w:pPr>
            <w:r w:rsidRPr="00046858">
              <w:rPr>
                <w:noProof/>
                <w:sz w:val="18"/>
              </w:rPr>
              <w:t>– Realizare</w:t>
            </w:r>
          </w:p>
        </w:tc>
        <w:tc>
          <w:tcPr>
            <w:tcW w:w="720" w:type="dxa"/>
          </w:tcPr>
          <w:p w14:paraId="1F388578" w14:textId="77777777" w:rsidR="00C67F54" w:rsidRPr="00046858" w:rsidRDefault="00C67F54" w:rsidP="00FA4434">
            <w:pPr>
              <w:keepNext/>
              <w:ind w:right="-29"/>
              <w:jc w:val="center"/>
              <w:rPr>
                <w:noProof/>
                <w:sz w:val="18"/>
                <w:szCs w:val="18"/>
              </w:rPr>
            </w:pPr>
          </w:p>
        </w:tc>
        <w:tc>
          <w:tcPr>
            <w:tcW w:w="701" w:type="dxa"/>
          </w:tcPr>
          <w:p w14:paraId="56650B15" w14:textId="77777777" w:rsidR="00C67F54" w:rsidRPr="00046858" w:rsidRDefault="00C67F54" w:rsidP="00FA4434">
            <w:pPr>
              <w:keepNext/>
              <w:ind w:right="-29"/>
              <w:jc w:val="center"/>
              <w:rPr>
                <w:noProof/>
                <w:sz w:val="18"/>
                <w:szCs w:val="18"/>
              </w:rPr>
            </w:pPr>
          </w:p>
        </w:tc>
        <w:tc>
          <w:tcPr>
            <w:tcW w:w="504" w:type="dxa"/>
          </w:tcPr>
          <w:p w14:paraId="7D671132" w14:textId="77777777" w:rsidR="00C67F54" w:rsidRPr="00046858" w:rsidRDefault="00C67F54" w:rsidP="00FA4434">
            <w:pPr>
              <w:keepNext/>
              <w:ind w:right="-29"/>
              <w:jc w:val="center"/>
              <w:rPr>
                <w:noProof/>
                <w:sz w:val="18"/>
                <w:szCs w:val="18"/>
              </w:rPr>
            </w:pPr>
          </w:p>
        </w:tc>
        <w:tc>
          <w:tcPr>
            <w:tcW w:w="720" w:type="dxa"/>
          </w:tcPr>
          <w:p w14:paraId="760BB2EE" w14:textId="77777777" w:rsidR="00C67F54" w:rsidRPr="00046858" w:rsidRDefault="00C67F54" w:rsidP="00FA4434">
            <w:pPr>
              <w:keepNext/>
              <w:ind w:right="-29"/>
              <w:jc w:val="center"/>
              <w:rPr>
                <w:noProof/>
                <w:sz w:val="18"/>
                <w:szCs w:val="18"/>
              </w:rPr>
            </w:pPr>
          </w:p>
        </w:tc>
        <w:tc>
          <w:tcPr>
            <w:tcW w:w="540" w:type="dxa"/>
          </w:tcPr>
          <w:p w14:paraId="39DC59C2" w14:textId="77777777" w:rsidR="00C67F54" w:rsidRPr="00046858" w:rsidRDefault="00C67F54" w:rsidP="00FA4434">
            <w:pPr>
              <w:keepNext/>
              <w:ind w:right="-29"/>
              <w:jc w:val="center"/>
              <w:rPr>
                <w:noProof/>
                <w:sz w:val="18"/>
                <w:szCs w:val="18"/>
              </w:rPr>
            </w:pPr>
          </w:p>
        </w:tc>
        <w:tc>
          <w:tcPr>
            <w:tcW w:w="720" w:type="dxa"/>
          </w:tcPr>
          <w:p w14:paraId="556C46B6" w14:textId="77777777" w:rsidR="00C67F54" w:rsidRPr="00046858" w:rsidRDefault="00C67F54" w:rsidP="00FA4434">
            <w:pPr>
              <w:keepNext/>
              <w:ind w:right="-29"/>
              <w:jc w:val="center"/>
              <w:rPr>
                <w:noProof/>
                <w:sz w:val="18"/>
                <w:szCs w:val="18"/>
              </w:rPr>
            </w:pPr>
          </w:p>
        </w:tc>
        <w:tc>
          <w:tcPr>
            <w:tcW w:w="720" w:type="dxa"/>
          </w:tcPr>
          <w:p w14:paraId="35E188C9" w14:textId="77777777" w:rsidR="00C67F54" w:rsidRPr="00046858" w:rsidRDefault="00C67F54" w:rsidP="00FA4434">
            <w:pPr>
              <w:keepNext/>
              <w:ind w:right="-29"/>
              <w:jc w:val="center"/>
              <w:rPr>
                <w:noProof/>
                <w:sz w:val="18"/>
                <w:szCs w:val="18"/>
              </w:rPr>
            </w:pPr>
          </w:p>
        </w:tc>
        <w:tc>
          <w:tcPr>
            <w:tcW w:w="720" w:type="dxa"/>
          </w:tcPr>
          <w:p w14:paraId="28496A9A" w14:textId="77777777" w:rsidR="00C67F54" w:rsidRPr="00046858" w:rsidRDefault="00C67F54" w:rsidP="00FA4434">
            <w:pPr>
              <w:keepNext/>
              <w:ind w:right="-29"/>
              <w:jc w:val="center"/>
              <w:rPr>
                <w:noProof/>
                <w:sz w:val="18"/>
                <w:szCs w:val="18"/>
              </w:rPr>
            </w:pPr>
          </w:p>
        </w:tc>
        <w:tc>
          <w:tcPr>
            <w:tcW w:w="900" w:type="dxa"/>
          </w:tcPr>
          <w:p w14:paraId="238B58C9" w14:textId="77777777" w:rsidR="00C67F54" w:rsidRPr="00046858" w:rsidRDefault="00C67F54" w:rsidP="00FA4434">
            <w:pPr>
              <w:keepNext/>
              <w:ind w:right="-29"/>
              <w:jc w:val="center"/>
              <w:rPr>
                <w:noProof/>
                <w:sz w:val="18"/>
                <w:szCs w:val="18"/>
              </w:rPr>
            </w:pPr>
          </w:p>
        </w:tc>
        <w:tc>
          <w:tcPr>
            <w:tcW w:w="639" w:type="dxa"/>
            <w:gridSpan w:val="2"/>
          </w:tcPr>
          <w:p w14:paraId="33D9CB65" w14:textId="77777777" w:rsidR="00C67F54" w:rsidRPr="00046858" w:rsidRDefault="00C67F54" w:rsidP="00FA4434">
            <w:pPr>
              <w:keepNext/>
              <w:ind w:right="-29"/>
              <w:jc w:val="center"/>
              <w:rPr>
                <w:noProof/>
                <w:sz w:val="18"/>
                <w:szCs w:val="18"/>
              </w:rPr>
            </w:pPr>
          </w:p>
        </w:tc>
        <w:tc>
          <w:tcPr>
            <w:tcW w:w="621" w:type="dxa"/>
          </w:tcPr>
          <w:p w14:paraId="455CBA42" w14:textId="77777777" w:rsidR="00C67F54" w:rsidRPr="00046858" w:rsidRDefault="00C67F54" w:rsidP="00FA4434">
            <w:pPr>
              <w:keepNext/>
              <w:ind w:right="-29"/>
              <w:jc w:val="center"/>
              <w:rPr>
                <w:noProof/>
                <w:sz w:val="18"/>
                <w:szCs w:val="18"/>
              </w:rPr>
            </w:pPr>
          </w:p>
        </w:tc>
        <w:tc>
          <w:tcPr>
            <w:tcW w:w="648" w:type="dxa"/>
          </w:tcPr>
          <w:p w14:paraId="11624448" w14:textId="77777777" w:rsidR="00C67F54" w:rsidRPr="00046858" w:rsidRDefault="00C67F54" w:rsidP="00FA4434">
            <w:pPr>
              <w:keepNext/>
              <w:ind w:right="-29"/>
              <w:jc w:val="center"/>
              <w:rPr>
                <w:noProof/>
                <w:sz w:val="18"/>
                <w:szCs w:val="18"/>
              </w:rPr>
            </w:pPr>
          </w:p>
        </w:tc>
        <w:tc>
          <w:tcPr>
            <w:tcW w:w="432" w:type="dxa"/>
          </w:tcPr>
          <w:p w14:paraId="01E22A85" w14:textId="77777777" w:rsidR="00C67F54" w:rsidRPr="00046858" w:rsidRDefault="00C67F54" w:rsidP="00FA4434">
            <w:pPr>
              <w:keepNext/>
              <w:ind w:right="-29"/>
              <w:jc w:val="center"/>
              <w:rPr>
                <w:noProof/>
                <w:sz w:val="18"/>
                <w:szCs w:val="18"/>
              </w:rPr>
            </w:pPr>
          </w:p>
        </w:tc>
        <w:tc>
          <w:tcPr>
            <w:tcW w:w="720" w:type="dxa"/>
          </w:tcPr>
          <w:p w14:paraId="5C85D1CF" w14:textId="77777777" w:rsidR="00C67F54" w:rsidRPr="00046858" w:rsidRDefault="00C67F54" w:rsidP="00FA4434">
            <w:pPr>
              <w:keepNext/>
              <w:ind w:right="-29"/>
              <w:jc w:val="center"/>
              <w:rPr>
                <w:noProof/>
                <w:sz w:val="18"/>
                <w:szCs w:val="18"/>
              </w:rPr>
            </w:pPr>
          </w:p>
        </w:tc>
        <w:tc>
          <w:tcPr>
            <w:tcW w:w="540" w:type="dxa"/>
          </w:tcPr>
          <w:p w14:paraId="14CED376" w14:textId="77777777" w:rsidR="00C67F54" w:rsidRPr="00046858" w:rsidRDefault="00C67F54" w:rsidP="00FA4434">
            <w:pPr>
              <w:keepNext/>
              <w:ind w:right="-29"/>
              <w:jc w:val="center"/>
              <w:rPr>
                <w:noProof/>
                <w:sz w:val="18"/>
                <w:szCs w:val="18"/>
              </w:rPr>
            </w:pPr>
          </w:p>
        </w:tc>
        <w:tc>
          <w:tcPr>
            <w:tcW w:w="720" w:type="dxa"/>
          </w:tcPr>
          <w:p w14:paraId="5D931781" w14:textId="77777777" w:rsidR="00C67F54" w:rsidRPr="00046858" w:rsidRDefault="00C67F54" w:rsidP="00FA4434">
            <w:pPr>
              <w:keepNext/>
              <w:ind w:right="-29"/>
              <w:jc w:val="center"/>
              <w:rPr>
                <w:noProof/>
                <w:sz w:val="18"/>
                <w:szCs w:val="18"/>
              </w:rPr>
            </w:pPr>
          </w:p>
        </w:tc>
        <w:tc>
          <w:tcPr>
            <w:tcW w:w="720" w:type="dxa"/>
          </w:tcPr>
          <w:p w14:paraId="6EF98E32" w14:textId="77777777" w:rsidR="00C67F54" w:rsidRPr="00046858" w:rsidRDefault="00C67F54" w:rsidP="00FA4434">
            <w:pPr>
              <w:keepNext/>
              <w:ind w:right="-29"/>
              <w:jc w:val="center"/>
              <w:rPr>
                <w:noProof/>
                <w:sz w:val="18"/>
                <w:szCs w:val="18"/>
              </w:rPr>
            </w:pPr>
          </w:p>
        </w:tc>
        <w:tc>
          <w:tcPr>
            <w:tcW w:w="900" w:type="dxa"/>
          </w:tcPr>
          <w:p w14:paraId="76D1084D" w14:textId="77777777" w:rsidR="00C67F54" w:rsidRPr="00046858" w:rsidRDefault="00C67F54" w:rsidP="00FA4434">
            <w:pPr>
              <w:keepNext/>
              <w:ind w:right="-29"/>
              <w:jc w:val="center"/>
              <w:rPr>
                <w:noProof/>
                <w:sz w:val="18"/>
                <w:szCs w:val="18"/>
              </w:rPr>
            </w:pPr>
          </w:p>
        </w:tc>
      </w:tr>
      <w:tr w:rsidR="00C67F54" w:rsidRPr="00046858" w14:paraId="3773B448" w14:textId="77777777">
        <w:trPr>
          <w:trHeight w:val="77"/>
          <w:jc w:val="center"/>
        </w:trPr>
        <w:tc>
          <w:tcPr>
            <w:tcW w:w="2844" w:type="dxa"/>
            <w:gridSpan w:val="3"/>
            <w:tcBorders>
              <w:bottom w:val="single" w:sz="12" w:space="0" w:color="auto"/>
            </w:tcBorders>
            <w:vAlign w:val="center"/>
          </w:tcPr>
          <w:p w14:paraId="29E6181A" w14:textId="77777777" w:rsidR="00C67F54" w:rsidRPr="00046858" w:rsidRDefault="00C67F54" w:rsidP="00FA4434">
            <w:pPr>
              <w:keepNext/>
              <w:ind w:right="-29"/>
              <w:jc w:val="center"/>
              <w:rPr>
                <w:noProof/>
                <w:sz w:val="18"/>
                <w:szCs w:val="18"/>
              </w:rPr>
            </w:pPr>
            <w:r w:rsidRPr="00046858">
              <w:rPr>
                <w:noProof/>
                <w:sz w:val="18"/>
              </w:rPr>
              <w:t>Subtotal pentru obiectivul specific nr. 1</w:t>
            </w:r>
          </w:p>
        </w:tc>
        <w:tc>
          <w:tcPr>
            <w:tcW w:w="504" w:type="dxa"/>
            <w:tcBorders>
              <w:bottom w:val="single" w:sz="12" w:space="0" w:color="auto"/>
            </w:tcBorders>
          </w:tcPr>
          <w:p w14:paraId="7B375470" w14:textId="77777777" w:rsidR="00C67F54" w:rsidRPr="00046858" w:rsidRDefault="00C67F54" w:rsidP="00FA4434">
            <w:pPr>
              <w:keepNext/>
              <w:ind w:right="-29"/>
              <w:jc w:val="center"/>
              <w:rPr>
                <w:noProof/>
                <w:sz w:val="18"/>
                <w:szCs w:val="18"/>
              </w:rPr>
            </w:pPr>
          </w:p>
        </w:tc>
        <w:tc>
          <w:tcPr>
            <w:tcW w:w="720" w:type="dxa"/>
            <w:tcBorders>
              <w:bottom w:val="single" w:sz="12" w:space="0" w:color="auto"/>
            </w:tcBorders>
          </w:tcPr>
          <w:p w14:paraId="14AF5955" w14:textId="77777777" w:rsidR="00C67F54" w:rsidRPr="00046858" w:rsidRDefault="00C67F54" w:rsidP="00FA4434">
            <w:pPr>
              <w:keepNext/>
              <w:ind w:right="-29"/>
              <w:jc w:val="center"/>
              <w:rPr>
                <w:noProof/>
                <w:sz w:val="18"/>
                <w:szCs w:val="18"/>
              </w:rPr>
            </w:pPr>
          </w:p>
        </w:tc>
        <w:tc>
          <w:tcPr>
            <w:tcW w:w="540" w:type="dxa"/>
            <w:tcBorders>
              <w:bottom w:val="single" w:sz="12" w:space="0" w:color="auto"/>
            </w:tcBorders>
          </w:tcPr>
          <w:p w14:paraId="2602C31C" w14:textId="77777777" w:rsidR="00C67F54" w:rsidRPr="00046858" w:rsidRDefault="00C67F54" w:rsidP="00FA4434">
            <w:pPr>
              <w:keepNext/>
              <w:ind w:right="-29"/>
              <w:jc w:val="center"/>
              <w:rPr>
                <w:noProof/>
                <w:sz w:val="18"/>
                <w:szCs w:val="18"/>
              </w:rPr>
            </w:pPr>
          </w:p>
        </w:tc>
        <w:tc>
          <w:tcPr>
            <w:tcW w:w="720" w:type="dxa"/>
            <w:tcBorders>
              <w:bottom w:val="single" w:sz="12" w:space="0" w:color="auto"/>
            </w:tcBorders>
          </w:tcPr>
          <w:p w14:paraId="5303C99C" w14:textId="77777777" w:rsidR="00C67F54" w:rsidRPr="00046858" w:rsidRDefault="00C67F54" w:rsidP="00FA4434">
            <w:pPr>
              <w:keepNext/>
              <w:ind w:right="-29"/>
              <w:jc w:val="center"/>
              <w:rPr>
                <w:noProof/>
                <w:sz w:val="18"/>
                <w:szCs w:val="18"/>
              </w:rPr>
            </w:pPr>
          </w:p>
        </w:tc>
        <w:tc>
          <w:tcPr>
            <w:tcW w:w="720" w:type="dxa"/>
            <w:tcBorders>
              <w:bottom w:val="single" w:sz="12" w:space="0" w:color="auto"/>
            </w:tcBorders>
          </w:tcPr>
          <w:p w14:paraId="535A479A" w14:textId="77777777" w:rsidR="00C67F54" w:rsidRPr="00046858" w:rsidRDefault="00C67F54" w:rsidP="00FA4434">
            <w:pPr>
              <w:keepNext/>
              <w:ind w:right="-29"/>
              <w:jc w:val="center"/>
              <w:rPr>
                <w:noProof/>
                <w:sz w:val="18"/>
                <w:szCs w:val="18"/>
              </w:rPr>
            </w:pPr>
          </w:p>
        </w:tc>
        <w:tc>
          <w:tcPr>
            <w:tcW w:w="720" w:type="dxa"/>
            <w:tcBorders>
              <w:bottom w:val="single" w:sz="12" w:space="0" w:color="auto"/>
            </w:tcBorders>
          </w:tcPr>
          <w:p w14:paraId="4979C84B" w14:textId="77777777" w:rsidR="00C67F54" w:rsidRPr="00046858" w:rsidRDefault="00C67F54" w:rsidP="00FA4434">
            <w:pPr>
              <w:keepNext/>
              <w:ind w:right="-29"/>
              <w:jc w:val="center"/>
              <w:rPr>
                <w:noProof/>
                <w:sz w:val="18"/>
                <w:szCs w:val="18"/>
              </w:rPr>
            </w:pPr>
          </w:p>
        </w:tc>
        <w:tc>
          <w:tcPr>
            <w:tcW w:w="900" w:type="dxa"/>
            <w:tcBorders>
              <w:bottom w:val="single" w:sz="12" w:space="0" w:color="auto"/>
            </w:tcBorders>
          </w:tcPr>
          <w:p w14:paraId="6005CDEB" w14:textId="77777777" w:rsidR="00C67F54" w:rsidRPr="00046858" w:rsidRDefault="00C67F54" w:rsidP="00FA4434">
            <w:pPr>
              <w:keepNext/>
              <w:ind w:right="-29"/>
              <w:jc w:val="center"/>
              <w:rPr>
                <w:noProof/>
                <w:sz w:val="18"/>
                <w:szCs w:val="18"/>
              </w:rPr>
            </w:pPr>
          </w:p>
        </w:tc>
        <w:tc>
          <w:tcPr>
            <w:tcW w:w="639" w:type="dxa"/>
            <w:gridSpan w:val="2"/>
            <w:tcBorders>
              <w:bottom w:val="single" w:sz="12" w:space="0" w:color="auto"/>
            </w:tcBorders>
          </w:tcPr>
          <w:p w14:paraId="59B9A70E" w14:textId="77777777" w:rsidR="00C67F54" w:rsidRPr="00046858" w:rsidRDefault="00C67F54" w:rsidP="00FA4434">
            <w:pPr>
              <w:keepNext/>
              <w:ind w:right="-29"/>
              <w:jc w:val="center"/>
              <w:rPr>
                <w:noProof/>
                <w:sz w:val="18"/>
                <w:szCs w:val="18"/>
              </w:rPr>
            </w:pPr>
          </w:p>
        </w:tc>
        <w:tc>
          <w:tcPr>
            <w:tcW w:w="621" w:type="dxa"/>
            <w:tcBorders>
              <w:bottom w:val="single" w:sz="12" w:space="0" w:color="auto"/>
            </w:tcBorders>
          </w:tcPr>
          <w:p w14:paraId="424AB980" w14:textId="77777777" w:rsidR="00C67F54" w:rsidRPr="00046858" w:rsidRDefault="00C67F54" w:rsidP="00FA4434">
            <w:pPr>
              <w:keepNext/>
              <w:ind w:right="-29"/>
              <w:jc w:val="center"/>
              <w:rPr>
                <w:noProof/>
                <w:sz w:val="18"/>
                <w:szCs w:val="18"/>
              </w:rPr>
            </w:pPr>
          </w:p>
        </w:tc>
        <w:tc>
          <w:tcPr>
            <w:tcW w:w="648" w:type="dxa"/>
            <w:tcBorders>
              <w:bottom w:val="single" w:sz="12" w:space="0" w:color="auto"/>
            </w:tcBorders>
          </w:tcPr>
          <w:p w14:paraId="47BB2F2D" w14:textId="77777777" w:rsidR="00C67F54" w:rsidRPr="00046858" w:rsidRDefault="00C67F54" w:rsidP="00FA4434">
            <w:pPr>
              <w:keepNext/>
              <w:ind w:right="-29"/>
              <w:jc w:val="center"/>
              <w:rPr>
                <w:noProof/>
                <w:sz w:val="18"/>
                <w:szCs w:val="18"/>
              </w:rPr>
            </w:pPr>
          </w:p>
        </w:tc>
        <w:tc>
          <w:tcPr>
            <w:tcW w:w="432" w:type="dxa"/>
            <w:tcBorders>
              <w:bottom w:val="single" w:sz="12" w:space="0" w:color="auto"/>
            </w:tcBorders>
          </w:tcPr>
          <w:p w14:paraId="730DBCB8" w14:textId="77777777" w:rsidR="00C67F54" w:rsidRPr="00046858" w:rsidRDefault="00C67F54" w:rsidP="00FA4434">
            <w:pPr>
              <w:keepNext/>
              <w:ind w:right="-29"/>
              <w:jc w:val="center"/>
              <w:rPr>
                <w:noProof/>
                <w:sz w:val="18"/>
                <w:szCs w:val="18"/>
              </w:rPr>
            </w:pPr>
          </w:p>
        </w:tc>
        <w:tc>
          <w:tcPr>
            <w:tcW w:w="720" w:type="dxa"/>
            <w:tcBorders>
              <w:bottom w:val="single" w:sz="12" w:space="0" w:color="auto"/>
            </w:tcBorders>
          </w:tcPr>
          <w:p w14:paraId="710DC3D8" w14:textId="77777777" w:rsidR="00C67F54" w:rsidRPr="00046858" w:rsidRDefault="00C67F54" w:rsidP="00FA4434">
            <w:pPr>
              <w:keepNext/>
              <w:ind w:right="-29"/>
              <w:jc w:val="center"/>
              <w:rPr>
                <w:noProof/>
                <w:sz w:val="18"/>
                <w:szCs w:val="18"/>
              </w:rPr>
            </w:pPr>
          </w:p>
        </w:tc>
        <w:tc>
          <w:tcPr>
            <w:tcW w:w="540" w:type="dxa"/>
            <w:tcBorders>
              <w:bottom w:val="single" w:sz="12" w:space="0" w:color="auto"/>
            </w:tcBorders>
          </w:tcPr>
          <w:p w14:paraId="381F2FFA" w14:textId="77777777" w:rsidR="00C67F54" w:rsidRPr="00046858" w:rsidRDefault="00C67F54" w:rsidP="00FA4434">
            <w:pPr>
              <w:keepNext/>
              <w:ind w:right="-29"/>
              <w:jc w:val="center"/>
              <w:rPr>
                <w:noProof/>
                <w:sz w:val="18"/>
                <w:szCs w:val="18"/>
              </w:rPr>
            </w:pPr>
          </w:p>
        </w:tc>
        <w:tc>
          <w:tcPr>
            <w:tcW w:w="720" w:type="dxa"/>
            <w:tcBorders>
              <w:bottom w:val="single" w:sz="12" w:space="0" w:color="auto"/>
            </w:tcBorders>
          </w:tcPr>
          <w:p w14:paraId="1F806310" w14:textId="77777777" w:rsidR="00C67F54" w:rsidRPr="00046858" w:rsidRDefault="00C67F54" w:rsidP="00FA4434">
            <w:pPr>
              <w:keepNext/>
              <w:ind w:right="-29"/>
              <w:jc w:val="center"/>
              <w:rPr>
                <w:noProof/>
                <w:sz w:val="18"/>
                <w:szCs w:val="18"/>
              </w:rPr>
            </w:pPr>
          </w:p>
        </w:tc>
        <w:tc>
          <w:tcPr>
            <w:tcW w:w="720" w:type="dxa"/>
            <w:tcBorders>
              <w:bottom w:val="single" w:sz="12" w:space="0" w:color="auto"/>
            </w:tcBorders>
          </w:tcPr>
          <w:p w14:paraId="1B651D1B" w14:textId="77777777" w:rsidR="00C67F54" w:rsidRPr="00046858" w:rsidRDefault="00C67F54" w:rsidP="00FA4434">
            <w:pPr>
              <w:keepNext/>
              <w:ind w:right="-29"/>
              <w:jc w:val="center"/>
              <w:rPr>
                <w:noProof/>
                <w:sz w:val="18"/>
                <w:szCs w:val="18"/>
              </w:rPr>
            </w:pPr>
          </w:p>
        </w:tc>
        <w:tc>
          <w:tcPr>
            <w:tcW w:w="900" w:type="dxa"/>
            <w:tcBorders>
              <w:bottom w:val="single" w:sz="12" w:space="0" w:color="auto"/>
            </w:tcBorders>
          </w:tcPr>
          <w:p w14:paraId="111A4271" w14:textId="77777777" w:rsidR="00C67F54" w:rsidRPr="00046858" w:rsidRDefault="00C67F54" w:rsidP="00FA4434">
            <w:pPr>
              <w:keepNext/>
              <w:ind w:right="-29"/>
              <w:jc w:val="center"/>
              <w:rPr>
                <w:noProof/>
                <w:sz w:val="18"/>
                <w:szCs w:val="18"/>
              </w:rPr>
            </w:pPr>
          </w:p>
        </w:tc>
      </w:tr>
      <w:tr w:rsidR="00C67F54" w:rsidRPr="00046858" w14:paraId="37954E59" w14:textId="77777777">
        <w:trPr>
          <w:jc w:val="center"/>
        </w:trPr>
        <w:tc>
          <w:tcPr>
            <w:tcW w:w="2844" w:type="dxa"/>
            <w:gridSpan w:val="3"/>
            <w:vAlign w:val="center"/>
          </w:tcPr>
          <w:p w14:paraId="6CD7EFB7" w14:textId="77777777" w:rsidR="00C67F54" w:rsidRPr="00046858" w:rsidRDefault="00C67F54" w:rsidP="00FA4434">
            <w:pPr>
              <w:keepNext/>
              <w:spacing w:before="60" w:after="60"/>
              <w:ind w:right="-29"/>
              <w:jc w:val="center"/>
              <w:rPr>
                <w:noProof/>
                <w:sz w:val="18"/>
                <w:szCs w:val="18"/>
              </w:rPr>
            </w:pPr>
            <w:r w:rsidRPr="00046858">
              <w:rPr>
                <w:noProof/>
                <w:sz w:val="18"/>
              </w:rPr>
              <w:t>OBIECTIVUL SPECIFIC NR. 2 …</w:t>
            </w:r>
          </w:p>
        </w:tc>
        <w:tc>
          <w:tcPr>
            <w:tcW w:w="504" w:type="dxa"/>
            <w:tcBorders>
              <w:top w:val="nil"/>
              <w:left w:val="nil"/>
              <w:bottom w:val="nil"/>
              <w:right w:val="nil"/>
            </w:tcBorders>
          </w:tcPr>
          <w:p w14:paraId="33143D36" w14:textId="77777777" w:rsidR="00C67F54" w:rsidRPr="00046858" w:rsidRDefault="00C67F54" w:rsidP="00FA4434">
            <w:pPr>
              <w:keepNext/>
              <w:spacing w:before="60" w:after="60"/>
              <w:ind w:right="-29"/>
              <w:jc w:val="center"/>
              <w:rPr>
                <w:noProof/>
                <w:sz w:val="18"/>
                <w:szCs w:val="18"/>
              </w:rPr>
            </w:pPr>
          </w:p>
        </w:tc>
        <w:tc>
          <w:tcPr>
            <w:tcW w:w="720" w:type="dxa"/>
            <w:tcBorders>
              <w:top w:val="nil"/>
              <w:left w:val="nil"/>
              <w:bottom w:val="nil"/>
              <w:right w:val="nil"/>
            </w:tcBorders>
          </w:tcPr>
          <w:p w14:paraId="2A7D12AA" w14:textId="77777777" w:rsidR="00C67F54" w:rsidRPr="00046858" w:rsidRDefault="00C67F54" w:rsidP="00FA4434">
            <w:pPr>
              <w:keepNext/>
              <w:spacing w:before="60" w:after="60"/>
              <w:ind w:right="-29"/>
              <w:jc w:val="center"/>
              <w:rPr>
                <w:noProof/>
                <w:sz w:val="18"/>
                <w:szCs w:val="18"/>
              </w:rPr>
            </w:pPr>
          </w:p>
        </w:tc>
        <w:tc>
          <w:tcPr>
            <w:tcW w:w="540" w:type="dxa"/>
            <w:tcBorders>
              <w:top w:val="nil"/>
              <w:left w:val="nil"/>
              <w:bottom w:val="nil"/>
              <w:right w:val="nil"/>
            </w:tcBorders>
          </w:tcPr>
          <w:p w14:paraId="1B41D9A1" w14:textId="77777777" w:rsidR="00C67F54" w:rsidRPr="00046858" w:rsidRDefault="00C67F54" w:rsidP="00FA4434">
            <w:pPr>
              <w:keepNext/>
              <w:spacing w:before="60" w:after="60"/>
              <w:ind w:right="-29"/>
              <w:jc w:val="center"/>
              <w:rPr>
                <w:noProof/>
                <w:sz w:val="18"/>
                <w:szCs w:val="18"/>
              </w:rPr>
            </w:pPr>
          </w:p>
        </w:tc>
        <w:tc>
          <w:tcPr>
            <w:tcW w:w="720" w:type="dxa"/>
            <w:tcBorders>
              <w:top w:val="nil"/>
              <w:left w:val="nil"/>
              <w:bottom w:val="nil"/>
              <w:right w:val="nil"/>
            </w:tcBorders>
          </w:tcPr>
          <w:p w14:paraId="4846AF1C" w14:textId="77777777" w:rsidR="00C67F54" w:rsidRPr="00046858" w:rsidRDefault="00C67F54" w:rsidP="00FA4434">
            <w:pPr>
              <w:keepNext/>
              <w:spacing w:before="60" w:after="60"/>
              <w:ind w:right="-29"/>
              <w:jc w:val="center"/>
              <w:rPr>
                <w:noProof/>
                <w:sz w:val="18"/>
                <w:szCs w:val="18"/>
              </w:rPr>
            </w:pPr>
          </w:p>
        </w:tc>
        <w:tc>
          <w:tcPr>
            <w:tcW w:w="720" w:type="dxa"/>
            <w:tcBorders>
              <w:top w:val="nil"/>
              <w:left w:val="nil"/>
              <w:bottom w:val="nil"/>
              <w:right w:val="nil"/>
            </w:tcBorders>
          </w:tcPr>
          <w:p w14:paraId="5AB892CC" w14:textId="77777777" w:rsidR="00C67F54" w:rsidRPr="00046858" w:rsidRDefault="00C67F54" w:rsidP="00FA4434">
            <w:pPr>
              <w:keepNext/>
              <w:spacing w:before="60" w:after="60"/>
              <w:ind w:right="-29"/>
              <w:jc w:val="center"/>
              <w:rPr>
                <w:noProof/>
                <w:sz w:val="18"/>
                <w:szCs w:val="18"/>
              </w:rPr>
            </w:pPr>
          </w:p>
        </w:tc>
        <w:tc>
          <w:tcPr>
            <w:tcW w:w="720" w:type="dxa"/>
            <w:tcBorders>
              <w:top w:val="nil"/>
              <w:left w:val="nil"/>
              <w:bottom w:val="nil"/>
              <w:right w:val="nil"/>
            </w:tcBorders>
          </w:tcPr>
          <w:p w14:paraId="75E47CD7" w14:textId="77777777" w:rsidR="00C67F54" w:rsidRPr="00046858" w:rsidRDefault="00C67F54" w:rsidP="00FA4434">
            <w:pPr>
              <w:keepNext/>
              <w:spacing w:before="60" w:after="60"/>
              <w:ind w:right="-29"/>
              <w:jc w:val="center"/>
              <w:rPr>
                <w:noProof/>
                <w:sz w:val="18"/>
                <w:szCs w:val="18"/>
              </w:rPr>
            </w:pPr>
          </w:p>
        </w:tc>
        <w:tc>
          <w:tcPr>
            <w:tcW w:w="900" w:type="dxa"/>
            <w:tcBorders>
              <w:top w:val="nil"/>
              <w:left w:val="nil"/>
              <w:bottom w:val="nil"/>
              <w:right w:val="nil"/>
            </w:tcBorders>
          </w:tcPr>
          <w:p w14:paraId="5996310D" w14:textId="77777777" w:rsidR="00C67F54" w:rsidRPr="00046858" w:rsidRDefault="00C67F54" w:rsidP="00FA4434">
            <w:pPr>
              <w:keepNext/>
              <w:spacing w:before="60" w:after="60"/>
              <w:ind w:right="-29"/>
              <w:jc w:val="center"/>
              <w:rPr>
                <w:noProof/>
                <w:sz w:val="18"/>
                <w:szCs w:val="18"/>
              </w:rPr>
            </w:pPr>
          </w:p>
        </w:tc>
        <w:tc>
          <w:tcPr>
            <w:tcW w:w="639" w:type="dxa"/>
            <w:gridSpan w:val="2"/>
            <w:tcBorders>
              <w:top w:val="nil"/>
              <w:left w:val="nil"/>
              <w:bottom w:val="nil"/>
              <w:right w:val="nil"/>
            </w:tcBorders>
          </w:tcPr>
          <w:p w14:paraId="71E49DC1" w14:textId="77777777" w:rsidR="00C67F54" w:rsidRPr="00046858" w:rsidRDefault="00C67F54" w:rsidP="00FA4434">
            <w:pPr>
              <w:keepNext/>
              <w:spacing w:before="60" w:after="60"/>
              <w:ind w:right="-29"/>
              <w:jc w:val="center"/>
              <w:rPr>
                <w:noProof/>
                <w:sz w:val="18"/>
                <w:szCs w:val="18"/>
              </w:rPr>
            </w:pPr>
          </w:p>
        </w:tc>
        <w:tc>
          <w:tcPr>
            <w:tcW w:w="621" w:type="dxa"/>
            <w:tcBorders>
              <w:top w:val="nil"/>
              <w:left w:val="nil"/>
              <w:bottom w:val="nil"/>
              <w:right w:val="nil"/>
            </w:tcBorders>
          </w:tcPr>
          <w:p w14:paraId="6A84F3BD" w14:textId="77777777" w:rsidR="00C67F54" w:rsidRPr="00046858" w:rsidRDefault="00C67F54" w:rsidP="00FA4434">
            <w:pPr>
              <w:keepNext/>
              <w:spacing w:before="60" w:after="60"/>
              <w:ind w:right="-29"/>
              <w:jc w:val="center"/>
              <w:rPr>
                <w:noProof/>
                <w:sz w:val="18"/>
                <w:szCs w:val="18"/>
              </w:rPr>
            </w:pPr>
          </w:p>
        </w:tc>
        <w:tc>
          <w:tcPr>
            <w:tcW w:w="648" w:type="dxa"/>
            <w:tcBorders>
              <w:top w:val="nil"/>
              <w:left w:val="nil"/>
              <w:bottom w:val="nil"/>
              <w:right w:val="nil"/>
            </w:tcBorders>
          </w:tcPr>
          <w:p w14:paraId="098798F8" w14:textId="77777777" w:rsidR="00C67F54" w:rsidRPr="00046858" w:rsidRDefault="00C67F54" w:rsidP="00FA4434">
            <w:pPr>
              <w:keepNext/>
              <w:spacing w:before="60" w:after="60"/>
              <w:ind w:right="-29"/>
              <w:jc w:val="center"/>
              <w:rPr>
                <w:noProof/>
                <w:sz w:val="18"/>
                <w:szCs w:val="18"/>
              </w:rPr>
            </w:pPr>
          </w:p>
        </w:tc>
        <w:tc>
          <w:tcPr>
            <w:tcW w:w="432" w:type="dxa"/>
            <w:tcBorders>
              <w:top w:val="nil"/>
              <w:left w:val="nil"/>
              <w:bottom w:val="nil"/>
              <w:right w:val="nil"/>
            </w:tcBorders>
          </w:tcPr>
          <w:p w14:paraId="32040683" w14:textId="77777777" w:rsidR="00C67F54" w:rsidRPr="00046858" w:rsidRDefault="00C67F54" w:rsidP="00FA4434">
            <w:pPr>
              <w:keepNext/>
              <w:spacing w:before="60" w:after="60"/>
              <w:ind w:right="-29"/>
              <w:jc w:val="center"/>
              <w:rPr>
                <w:noProof/>
                <w:sz w:val="18"/>
                <w:szCs w:val="18"/>
              </w:rPr>
            </w:pPr>
          </w:p>
        </w:tc>
        <w:tc>
          <w:tcPr>
            <w:tcW w:w="720" w:type="dxa"/>
            <w:tcBorders>
              <w:top w:val="nil"/>
              <w:left w:val="nil"/>
              <w:bottom w:val="nil"/>
              <w:right w:val="nil"/>
            </w:tcBorders>
          </w:tcPr>
          <w:p w14:paraId="5F7A8DB4" w14:textId="77777777" w:rsidR="00C67F54" w:rsidRPr="00046858" w:rsidRDefault="00C67F54" w:rsidP="00FA4434">
            <w:pPr>
              <w:keepNext/>
              <w:spacing w:before="60" w:after="60"/>
              <w:ind w:right="-29"/>
              <w:jc w:val="center"/>
              <w:rPr>
                <w:noProof/>
                <w:sz w:val="18"/>
                <w:szCs w:val="18"/>
              </w:rPr>
            </w:pPr>
          </w:p>
        </w:tc>
        <w:tc>
          <w:tcPr>
            <w:tcW w:w="540" w:type="dxa"/>
            <w:tcBorders>
              <w:top w:val="nil"/>
              <w:left w:val="nil"/>
              <w:bottom w:val="nil"/>
              <w:right w:val="nil"/>
            </w:tcBorders>
          </w:tcPr>
          <w:p w14:paraId="7B9B227B" w14:textId="77777777" w:rsidR="00C67F54" w:rsidRPr="00046858" w:rsidRDefault="00C67F54" w:rsidP="00FA4434">
            <w:pPr>
              <w:keepNext/>
              <w:spacing w:before="60" w:after="60"/>
              <w:ind w:right="-29"/>
              <w:jc w:val="center"/>
              <w:rPr>
                <w:noProof/>
                <w:sz w:val="18"/>
                <w:szCs w:val="18"/>
              </w:rPr>
            </w:pPr>
          </w:p>
        </w:tc>
        <w:tc>
          <w:tcPr>
            <w:tcW w:w="720" w:type="dxa"/>
            <w:tcBorders>
              <w:top w:val="nil"/>
              <w:left w:val="nil"/>
              <w:bottom w:val="nil"/>
              <w:right w:val="nil"/>
            </w:tcBorders>
          </w:tcPr>
          <w:p w14:paraId="0986BEB3" w14:textId="77777777" w:rsidR="00C67F54" w:rsidRPr="00046858" w:rsidRDefault="00C67F54" w:rsidP="00FA4434">
            <w:pPr>
              <w:keepNext/>
              <w:spacing w:before="60" w:after="60"/>
              <w:ind w:right="-29"/>
              <w:jc w:val="center"/>
              <w:rPr>
                <w:noProof/>
                <w:sz w:val="18"/>
                <w:szCs w:val="18"/>
              </w:rPr>
            </w:pPr>
          </w:p>
        </w:tc>
        <w:tc>
          <w:tcPr>
            <w:tcW w:w="720" w:type="dxa"/>
            <w:tcBorders>
              <w:top w:val="nil"/>
              <w:left w:val="nil"/>
              <w:bottom w:val="nil"/>
              <w:right w:val="nil"/>
            </w:tcBorders>
          </w:tcPr>
          <w:p w14:paraId="114E8FCE" w14:textId="77777777" w:rsidR="00C67F54" w:rsidRPr="00046858" w:rsidRDefault="00C67F54" w:rsidP="00FA4434">
            <w:pPr>
              <w:keepNext/>
              <w:spacing w:before="60" w:after="60"/>
              <w:ind w:right="-29"/>
              <w:jc w:val="center"/>
              <w:rPr>
                <w:noProof/>
                <w:sz w:val="18"/>
                <w:szCs w:val="18"/>
              </w:rPr>
            </w:pPr>
          </w:p>
        </w:tc>
        <w:tc>
          <w:tcPr>
            <w:tcW w:w="900" w:type="dxa"/>
            <w:tcBorders>
              <w:top w:val="nil"/>
              <w:left w:val="nil"/>
              <w:bottom w:val="nil"/>
              <w:right w:val="nil"/>
            </w:tcBorders>
          </w:tcPr>
          <w:p w14:paraId="0DEF7CD9" w14:textId="77777777" w:rsidR="00C67F54" w:rsidRPr="00046858" w:rsidRDefault="00C67F54" w:rsidP="00FA4434">
            <w:pPr>
              <w:keepNext/>
              <w:spacing w:before="60" w:after="60"/>
              <w:ind w:right="-29"/>
              <w:jc w:val="center"/>
              <w:rPr>
                <w:noProof/>
                <w:sz w:val="18"/>
                <w:szCs w:val="18"/>
              </w:rPr>
            </w:pPr>
          </w:p>
        </w:tc>
      </w:tr>
      <w:tr w:rsidR="00C67F54" w:rsidRPr="00046858" w14:paraId="71F030CE" w14:textId="77777777">
        <w:trPr>
          <w:trHeight w:hRule="exact" w:val="369"/>
          <w:jc w:val="center"/>
        </w:trPr>
        <w:tc>
          <w:tcPr>
            <w:tcW w:w="1423" w:type="dxa"/>
          </w:tcPr>
          <w:p w14:paraId="75EB8B0A" w14:textId="77777777" w:rsidR="00C67F54" w:rsidRPr="00046858" w:rsidRDefault="00C67F54" w:rsidP="00FA4434">
            <w:pPr>
              <w:keepNext/>
              <w:ind w:right="-29"/>
              <w:jc w:val="center"/>
              <w:rPr>
                <w:noProof/>
                <w:sz w:val="18"/>
                <w:szCs w:val="18"/>
              </w:rPr>
            </w:pPr>
            <w:r w:rsidRPr="00046858">
              <w:rPr>
                <w:noProof/>
                <w:sz w:val="18"/>
              </w:rPr>
              <w:t>– Realizare</w:t>
            </w:r>
          </w:p>
        </w:tc>
        <w:tc>
          <w:tcPr>
            <w:tcW w:w="720" w:type="dxa"/>
          </w:tcPr>
          <w:p w14:paraId="6841EF3F" w14:textId="77777777" w:rsidR="00C67F54" w:rsidRPr="00046858" w:rsidRDefault="00C67F54" w:rsidP="00FA4434">
            <w:pPr>
              <w:keepNext/>
              <w:ind w:right="-29"/>
              <w:jc w:val="center"/>
              <w:rPr>
                <w:noProof/>
                <w:sz w:val="18"/>
                <w:szCs w:val="18"/>
              </w:rPr>
            </w:pPr>
          </w:p>
        </w:tc>
        <w:tc>
          <w:tcPr>
            <w:tcW w:w="701" w:type="dxa"/>
          </w:tcPr>
          <w:p w14:paraId="44844464" w14:textId="77777777" w:rsidR="00C67F54" w:rsidRPr="00046858" w:rsidRDefault="00C67F54" w:rsidP="00FA4434">
            <w:pPr>
              <w:keepNext/>
              <w:ind w:right="-29"/>
              <w:jc w:val="center"/>
              <w:rPr>
                <w:noProof/>
                <w:sz w:val="18"/>
                <w:szCs w:val="18"/>
              </w:rPr>
            </w:pPr>
          </w:p>
        </w:tc>
        <w:tc>
          <w:tcPr>
            <w:tcW w:w="504" w:type="dxa"/>
          </w:tcPr>
          <w:p w14:paraId="21407783" w14:textId="77777777" w:rsidR="00C67F54" w:rsidRPr="00046858" w:rsidRDefault="00C67F54" w:rsidP="00FA4434">
            <w:pPr>
              <w:keepNext/>
              <w:ind w:right="-29"/>
              <w:jc w:val="center"/>
              <w:rPr>
                <w:noProof/>
                <w:sz w:val="18"/>
                <w:szCs w:val="18"/>
              </w:rPr>
            </w:pPr>
          </w:p>
        </w:tc>
        <w:tc>
          <w:tcPr>
            <w:tcW w:w="720" w:type="dxa"/>
          </w:tcPr>
          <w:p w14:paraId="4135A57F" w14:textId="77777777" w:rsidR="00C67F54" w:rsidRPr="00046858" w:rsidRDefault="00C67F54" w:rsidP="00FA4434">
            <w:pPr>
              <w:keepNext/>
              <w:ind w:right="-29"/>
              <w:jc w:val="center"/>
              <w:rPr>
                <w:noProof/>
                <w:sz w:val="18"/>
                <w:szCs w:val="18"/>
              </w:rPr>
            </w:pPr>
          </w:p>
        </w:tc>
        <w:tc>
          <w:tcPr>
            <w:tcW w:w="540" w:type="dxa"/>
          </w:tcPr>
          <w:p w14:paraId="421AC8DC" w14:textId="77777777" w:rsidR="00C67F54" w:rsidRPr="00046858" w:rsidRDefault="00C67F54" w:rsidP="00FA4434">
            <w:pPr>
              <w:keepNext/>
              <w:ind w:right="-29"/>
              <w:jc w:val="center"/>
              <w:rPr>
                <w:noProof/>
                <w:sz w:val="18"/>
                <w:szCs w:val="18"/>
              </w:rPr>
            </w:pPr>
          </w:p>
        </w:tc>
        <w:tc>
          <w:tcPr>
            <w:tcW w:w="720" w:type="dxa"/>
          </w:tcPr>
          <w:p w14:paraId="189883F4" w14:textId="77777777" w:rsidR="00C67F54" w:rsidRPr="00046858" w:rsidRDefault="00C67F54" w:rsidP="00FA4434">
            <w:pPr>
              <w:keepNext/>
              <w:ind w:right="-29"/>
              <w:jc w:val="center"/>
              <w:rPr>
                <w:noProof/>
                <w:sz w:val="18"/>
                <w:szCs w:val="18"/>
              </w:rPr>
            </w:pPr>
          </w:p>
        </w:tc>
        <w:tc>
          <w:tcPr>
            <w:tcW w:w="720" w:type="dxa"/>
          </w:tcPr>
          <w:p w14:paraId="2E0AEDED" w14:textId="77777777" w:rsidR="00C67F54" w:rsidRPr="00046858" w:rsidRDefault="00C67F54" w:rsidP="00FA4434">
            <w:pPr>
              <w:keepNext/>
              <w:ind w:right="-29"/>
              <w:jc w:val="center"/>
              <w:rPr>
                <w:noProof/>
                <w:sz w:val="18"/>
                <w:szCs w:val="18"/>
              </w:rPr>
            </w:pPr>
          </w:p>
        </w:tc>
        <w:tc>
          <w:tcPr>
            <w:tcW w:w="720" w:type="dxa"/>
          </w:tcPr>
          <w:p w14:paraId="74565F1B" w14:textId="77777777" w:rsidR="00C67F54" w:rsidRPr="00046858" w:rsidRDefault="00C67F54" w:rsidP="00FA4434">
            <w:pPr>
              <w:keepNext/>
              <w:ind w:right="-29"/>
              <w:jc w:val="center"/>
              <w:rPr>
                <w:noProof/>
                <w:sz w:val="18"/>
                <w:szCs w:val="18"/>
              </w:rPr>
            </w:pPr>
          </w:p>
        </w:tc>
        <w:tc>
          <w:tcPr>
            <w:tcW w:w="900" w:type="dxa"/>
          </w:tcPr>
          <w:p w14:paraId="308B8FFC" w14:textId="77777777" w:rsidR="00C67F54" w:rsidRPr="00046858" w:rsidRDefault="00C67F54" w:rsidP="00FA4434">
            <w:pPr>
              <w:keepNext/>
              <w:ind w:right="-29"/>
              <w:jc w:val="center"/>
              <w:rPr>
                <w:noProof/>
                <w:sz w:val="18"/>
                <w:szCs w:val="18"/>
              </w:rPr>
            </w:pPr>
          </w:p>
        </w:tc>
        <w:tc>
          <w:tcPr>
            <w:tcW w:w="639" w:type="dxa"/>
            <w:gridSpan w:val="2"/>
          </w:tcPr>
          <w:p w14:paraId="751F9614" w14:textId="77777777" w:rsidR="00C67F54" w:rsidRPr="00046858" w:rsidRDefault="00C67F54" w:rsidP="00FA4434">
            <w:pPr>
              <w:keepNext/>
              <w:ind w:right="-29"/>
              <w:jc w:val="center"/>
              <w:rPr>
                <w:noProof/>
                <w:sz w:val="18"/>
                <w:szCs w:val="18"/>
              </w:rPr>
            </w:pPr>
          </w:p>
        </w:tc>
        <w:tc>
          <w:tcPr>
            <w:tcW w:w="621" w:type="dxa"/>
          </w:tcPr>
          <w:p w14:paraId="57CD6DCF" w14:textId="77777777" w:rsidR="00C67F54" w:rsidRPr="00046858" w:rsidRDefault="00C67F54" w:rsidP="00FA4434">
            <w:pPr>
              <w:keepNext/>
              <w:ind w:right="-29"/>
              <w:jc w:val="center"/>
              <w:rPr>
                <w:noProof/>
                <w:sz w:val="18"/>
                <w:szCs w:val="18"/>
              </w:rPr>
            </w:pPr>
          </w:p>
        </w:tc>
        <w:tc>
          <w:tcPr>
            <w:tcW w:w="648" w:type="dxa"/>
          </w:tcPr>
          <w:p w14:paraId="7EFA7171" w14:textId="77777777" w:rsidR="00C67F54" w:rsidRPr="00046858" w:rsidRDefault="00C67F54" w:rsidP="00FA4434">
            <w:pPr>
              <w:keepNext/>
              <w:ind w:right="-29"/>
              <w:jc w:val="center"/>
              <w:rPr>
                <w:noProof/>
                <w:sz w:val="18"/>
                <w:szCs w:val="18"/>
              </w:rPr>
            </w:pPr>
          </w:p>
        </w:tc>
        <w:tc>
          <w:tcPr>
            <w:tcW w:w="432" w:type="dxa"/>
          </w:tcPr>
          <w:p w14:paraId="68DEF4AF" w14:textId="77777777" w:rsidR="00C67F54" w:rsidRPr="00046858" w:rsidRDefault="00C67F54" w:rsidP="00FA4434">
            <w:pPr>
              <w:keepNext/>
              <w:ind w:right="-29"/>
              <w:jc w:val="center"/>
              <w:rPr>
                <w:noProof/>
                <w:sz w:val="18"/>
                <w:szCs w:val="18"/>
              </w:rPr>
            </w:pPr>
          </w:p>
        </w:tc>
        <w:tc>
          <w:tcPr>
            <w:tcW w:w="720" w:type="dxa"/>
          </w:tcPr>
          <w:p w14:paraId="4C5DC87F" w14:textId="77777777" w:rsidR="00C67F54" w:rsidRPr="00046858" w:rsidRDefault="00C67F54" w:rsidP="00FA4434">
            <w:pPr>
              <w:keepNext/>
              <w:ind w:right="-29"/>
              <w:jc w:val="center"/>
              <w:rPr>
                <w:noProof/>
                <w:sz w:val="18"/>
                <w:szCs w:val="18"/>
              </w:rPr>
            </w:pPr>
          </w:p>
        </w:tc>
        <w:tc>
          <w:tcPr>
            <w:tcW w:w="540" w:type="dxa"/>
          </w:tcPr>
          <w:p w14:paraId="44E191B2" w14:textId="77777777" w:rsidR="00C67F54" w:rsidRPr="00046858" w:rsidRDefault="00C67F54" w:rsidP="00FA4434">
            <w:pPr>
              <w:keepNext/>
              <w:ind w:right="-29"/>
              <w:jc w:val="center"/>
              <w:rPr>
                <w:noProof/>
                <w:sz w:val="18"/>
                <w:szCs w:val="18"/>
              </w:rPr>
            </w:pPr>
          </w:p>
        </w:tc>
        <w:tc>
          <w:tcPr>
            <w:tcW w:w="720" w:type="dxa"/>
          </w:tcPr>
          <w:p w14:paraId="1C9F202D" w14:textId="77777777" w:rsidR="00C67F54" w:rsidRPr="00046858" w:rsidRDefault="00C67F54" w:rsidP="00FA4434">
            <w:pPr>
              <w:keepNext/>
              <w:ind w:right="-29"/>
              <w:jc w:val="center"/>
              <w:rPr>
                <w:noProof/>
                <w:sz w:val="18"/>
                <w:szCs w:val="18"/>
              </w:rPr>
            </w:pPr>
          </w:p>
        </w:tc>
        <w:tc>
          <w:tcPr>
            <w:tcW w:w="720" w:type="dxa"/>
          </w:tcPr>
          <w:p w14:paraId="1FA20EE7" w14:textId="77777777" w:rsidR="00C67F54" w:rsidRPr="00046858" w:rsidRDefault="00C67F54" w:rsidP="00FA4434">
            <w:pPr>
              <w:keepNext/>
              <w:ind w:right="-29"/>
              <w:jc w:val="center"/>
              <w:rPr>
                <w:noProof/>
                <w:sz w:val="18"/>
                <w:szCs w:val="18"/>
              </w:rPr>
            </w:pPr>
          </w:p>
        </w:tc>
        <w:tc>
          <w:tcPr>
            <w:tcW w:w="900" w:type="dxa"/>
          </w:tcPr>
          <w:p w14:paraId="2722825F" w14:textId="77777777" w:rsidR="00C67F54" w:rsidRPr="00046858" w:rsidRDefault="00C67F54" w:rsidP="00FA4434">
            <w:pPr>
              <w:keepNext/>
              <w:ind w:right="-29"/>
              <w:jc w:val="center"/>
              <w:rPr>
                <w:noProof/>
                <w:sz w:val="18"/>
                <w:szCs w:val="18"/>
              </w:rPr>
            </w:pPr>
          </w:p>
        </w:tc>
      </w:tr>
      <w:tr w:rsidR="00C67F54" w:rsidRPr="00046858" w14:paraId="045DC8D6" w14:textId="77777777">
        <w:trPr>
          <w:jc w:val="center"/>
        </w:trPr>
        <w:tc>
          <w:tcPr>
            <w:tcW w:w="2844" w:type="dxa"/>
            <w:gridSpan w:val="3"/>
            <w:tcBorders>
              <w:bottom w:val="single" w:sz="12" w:space="0" w:color="auto"/>
            </w:tcBorders>
            <w:vAlign w:val="center"/>
          </w:tcPr>
          <w:p w14:paraId="268D34D1" w14:textId="77777777" w:rsidR="00C67F54" w:rsidRPr="00046858" w:rsidRDefault="00C67F54" w:rsidP="00FA4434">
            <w:pPr>
              <w:keepNext/>
              <w:jc w:val="center"/>
              <w:rPr>
                <w:noProof/>
                <w:sz w:val="18"/>
                <w:szCs w:val="18"/>
              </w:rPr>
            </w:pPr>
            <w:r w:rsidRPr="00046858">
              <w:rPr>
                <w:noProof/>
                <w:sz w:val="18"/>
              </w:rPr>
              <w:t>Subtotal pentru obiectivul specific nr. 2</w:t>
            </w:r>
          </w:p>
        </w:tc>
        <w:tc>
          <w:tcPr>
            <w:tcW w:w="504" w:type="dxa"/>
            <w:tcBorders>
              <w:bottom w:val="single" w:sz="12" w:space="0" w:color="auto"/>
            </w:tcBorders>
          </w:tcPr>
          <w:p w14:paraId="122FF1A6" w14:textId="77777777" w:rsidR="00C67F54" w:rsidRPr="00046858" w:rsidRDefault="00C67F54" w:rsidP="00FA4434">
            <w:pPr>
              <w:keepNext/>
              <w:ind w:right="-29"/>
              <w:jc w:val="center"/>
              <w:rPr>
                <w:noProof/>
                <w:sz w:val="18"/>
                <w:szCs w:val="18"/>
              </w:rPr>
            </w:pPr>
          </w:p>
        </w:tc>
        <w:tc>
          <w:tcPr>
            <w:tcW w:w="720" w:type="dxa"/>
            <w:tcBorders>
              <w:bottom w:val="single" w:sz="12" w:space="0" w:color="auto"/>
            </w:tcBorders>
          </w:tcPr>
          <w:p w14:paraId="545617DD" w14:textId="77777777" w:rsidR="00C67F54" w:rsidRPr="00046858" w:rsidRDefault="00C67F54" w:rsidP="00FA4434">
            <w:pPr>
              <w:keepNext/>
              <w:ind w:right="-29"/>
              <w:jc w:val="center"/>
              <w:rPr>
                <w:noProof/>
                <w:sz w:val="18"/>
                <w:szCs w:val="18"/>
              </w:rPr>
            </w:pPr>
          </w:p>
        </w:tc>
        <w:tc>
          <w:tcPr>
            <w:tcW w:w="540" w:type="dxa"/>
            <w:tcBorders>
              <w:bottom w:val="single" w:sz="12" w:space="0" w:color="auto"/>
            </w:tcBorders>
          </w:tcPr>
          <w:p w14:paraId="05DE59B9" w14:textId="77777777" w:rsidR="00C67F54" w:rsidRPr="00046858" w:rsidRDefault="00C67F54" w:rsidP="00FA4434">
            <w:pPr>
              <w:keepNext/>
              <w:ind w:right="-29"/>
              <w:jc w:val="center"/>
              <w:rPr>
                <w:noProof/>
                <w:sz w:val="18"/>
                <w:szCs w:val="18"/>
              </w:rPr>
            </w:pPr>
          </w:p>
        </w:tc>
        <w:tc>
          <w:tcPr>
            <w:tcW w:w="720" w:type="dxa"/>
            <w:tcBorders>
              <w:bottom w:val="single" w:sz="12" w:space="0" w:color="auto"/>
            </w:tcBorders>
          </w:tcPr>
          <w:p w14:paraId="3E24B8EB" w14:textId="77777777" w:rsidR="00C67F54" w:rsidRPr="00046858" w:rsidRDefault="00C67F54" w:rsidP="00FA4434">
            <w:pPr>
              <w:keepNext/>
              <w:ind w:right="-29"/>
              <w:jc w:val="center"/>
              <w:rPr>
                <w:noProof/>
                <w:sz w:val="18"/>
                <w:szCs w:val="18"/>
              </w:rPr>
            </w:pPr>
          </w:p>
        </w:tc>
        <w:tc>
          <w:tcPr>
            <w:tcW w:w="720" w:type="dxa"/>
            <w:tcBorders>
              <w:bottom w:val="single" w:sz="12" w:space="0" w:color="auto"/>
            </w:tcBorders>
          </w:tcPr>
          <w:p w14:paraId="21D6D761" w14:textId="77777777" w:rsidR="00C67F54" w:rsidRPr="00046858" w:rsidRDefault="00C67F54" w:rsidP="00FA4434">
            <w:pPr>
              <w:keepNext/>
              <w:ind w:right="-29"/>
              <w:jc w:val="center"/>
              <w:rPr>
                <w:noProof/>
                <w:sz w:val="18"/>
                <w:szCs w:val="18"/>
              </w:rPr>
            </w:pPr>
          </w:p>
        </w:tc>
        <w:tc>
          <w:tcPr>
            <w:tcW w:w="720" w:type="dxa"/>
            <w:tcBorders>
              <w:bottom w:val="single" w:sz="12" w:space="0" w:color="auto"/>
            </w:tcBorders>
          </w:tcPr>
          <w:p w14:paraId="4A116D11" w14:textId="77777777" w:rsidR="00C67F54" w:rsidRPr="00046858" w:rsidRDefault="00C67F54" w:rsidP="00FA4434">
            <w:pPr>
              <w:keepNext/>
              <w:ind w:right="-29"/>
              <w:jc w:val="center"/>
              <w:rPr>
                <w:noProof/>
                <w:sz w:val="18"/>
                <w:szCs w:val="18"/>
              </w:rPr>
            </w:pPr>
          </w:p>
        </w:tc>
        <w:tc>
          <w:tcPr>
            <w:tcW w:w="951" w:type="dxa"/>
            <w:gridSpan w:val="2"/>
            <w:tcBorders>
              <w:bottom w:val="single" w:sz="12" w:space="0" w:color="auto"/>
            </w:tcBorders>
          </w:tcPr>
          <w:p w14:paraId="1992144C" w14:textId="77777777" w:rsidR="00C67F54" w:rsidRPr="00046858" w:rsidRDefault="00C67F54" w:rsidP="00FA4434">
            <w:pPr>
              <w:keepNext/>
              <w:ind w:right="-29"/>
              <w:jc w:val="center"/>
              <w:rPr>
                <w:noProof/>
                <w:sz w:val="18"/>
                <w:szCs w:val="18"/>
              </w:rPr>
            </w:pPr>
          </w:p>
        </w:tc>
        <w:tc>
          <w:tcPr>
            <w:tcW w:w="588" w:type="dxa"/>
            <w:tcBorders>
              <w:bottom w:val="single" w:sz="12" w:space="0" w:color="auto"/>
            </w:tcBorders>
          </w:tcPr>
          <w:p w14:paraId="14216966" w14:textId="77777777" w:rsidR="00C67F54" w:rsidRPr="00046858" w:rsidRDefault="00C67F54" w:rsidP="00FA4434">
            <w:pPr>
              <w:keepNext/>
              <w:ind w:right="-29"/>
              <w:jc w:val="center"/>
              <w:rPr>
                <w:noProof/>
                <w:sz w:val="18"/>
                <w:szCs w:val="18"/>
              </w:rPr>
            </w:pPr>
          </w:p>
        </w:tc>
        <w:tc>
          <w:tcPr>
            <w:tcW w:w="621" w:type="dxa"/>
            <w:tcBorders>
              <w:bottom w:val="single" w:sz="12" w:space="0" w:color="auto"/>
            </w:tcBorders>
          </w:tcPr>
          <w:p w14:paraId="60D533F6" w14:textId="77777777" w:rsidR="00C67F54" w:rsidRPr="00046858" w:rsidRDefault="00C67F54" w:rsidP="00FA4434">
            <w:pPr>
              <w:keepNext/>
              <w:ind w:right="-29"/>
              <w:jc w:val="center"/>
              <w:rPr>
                <w:noProof/>
                <w:sz w:val="18"/>
                <w:szCs w:val="18"/>
              </w:rPr>
            </w:pPr>
          </w:p>
        </w:tc>
        <w:tc>
          <w:tcPr>
            <w:tcW w:w="648" w:type="dxa"/>
            <w:tcBorders>
              <w:bottom w:val="single" w:sz="12" w:space="0" w:color="auto"/>
            </w:tcBorders>
          </w:tcPr>
          <w:p w14:paraId="6E375043" w14:textId="77777777" w:rsidR="00C67F54" w:rsidRPr="00046858" w:rsidRDefault="00C67F54" w:rsidP="00FA4434">
            <w:pPr>
              <w:keepNext/>
              <w:ind w:right="-29"/>
              <w:jc w:val="center"/>
              <w:rPr>
                <w:noProof/>
                <w:sz w:val="18"/>
                <w:szCs w:val="18"/>
              </w:rPr>
            </w:pPr>
          </w:p>
        </w:tc>
        <w:tc>
          <w:tcPr>
            <w:tcW w:w="432" w:type="dxa"/>
            <w:tcBorders>
              <w:bottom w:val="single" w:sz="12" w:space="0" w:color="auto"/>
            </w:tcBorders>
          </w:tcPr>
          <w:p w14:paraId="5B0F09C2" w14:textId="77777777" w:rsidR="00C67F54" w:rsidRPr="00046858" w:rsidRDefault="00C67F54" w:rsidP="00FA4434">
            <w:pPr>
              <w:keepNext/>
              <w:ind w:right="-29"/>
              <w:jc w:val="center"/>
              <w:rPr>
                <w:noProof/>
                <w:sz w:val="18"/>
                <w:szCs w:val="18"/>
              </w:rPr>
            </w:pPr>
          </w:p>
        </w:tc>
        <w:tc>
          <w:tcPr>
            <w:tcW w:w="720" w:type="dxa"/>
            <w:tcBorders>
              <w:bottom w:val="single" w:sz="12" w:space="0" w:color="auto"/>
            </w:tcBorders>
          </w:tcPr>
          <w:p w14:paraId="6AF63536" w14:textId="77777777" w:rsidR="00C67F54" w:rsidRPr="00046858" w:rsidRDefault="00C67F54" w:rsidP="00FA4434">
            <w:pPr>
              <w:keepNext/>
              <w:ind w:right="-29"/>
              <w:jc w:val="center"/>
              <w:rPr>
                <w:noProof/>
                <w:sz w:val="18"/>
                <w:szCs w:val="18"/>
              </w:rPr>
            </w:pPr>
          </w:p>
        </w:tc>
        <w:tc>
          <w:tcPr>
            <w:tcW w:w="540" w:type="dxa"/>
            <w:tcBorders>
              <w:bottom w:val="single" w:sz="12" w:space="0" w:color="auto"/>
            </w:tcBorders>
          </w:tcPr>
          <w:p w14:paraId="02643B60" w14:textId="77777777" w:rsidR="00C67F54" w:rsidRPr="00046858" w:rsidRDefault="00C67F54" w:rsidP="00FA4434">
            <w:pPr>
              <w:keepNext/>
              <w:ind w:right="-29"/>
              <w:jc w:val="center"/>
              <w:rPr>
                <w:noProof/>
                <w:sz w:val="18"/>
                <w:szCs w:val="18"/>
              </w:rPr>
            </w:pPr>
          </w:p>
        </w:tc>
        <w:tc>
          <w:tcPr>
            <w:tcW w:w="720" w:type="dxa"/>
            <w:tcBorders>
              <w:bottom w:val="single" w:sz="12" w:space="0" w:color="auto"/>
            </w:tcBorders>
          </w:tcPr>
          <w:p w14:paraId="5A4694EF" w14:textId="77777777" w:rsidR="00C67F54" w:rsidRPr="00046858" w:rsidRDefault="00C67F54" w:rsidP="00FA4434">
            <w:pPr>
              <w:keepNext/>
              <w:ind w:right="-29"/>
              <w:jc w:val="center"/>
              <w:rPr>
                <w:noProof/>
                <w:sz w:val="18"/>
                <w:szCs w:val="18"/>
              </w:rPr>
            </w:pPr>
          </w:p>
        </w:tc>
        <w:tc>
          <w:tcPr>
            <w:tcW w:w="720" w:type="dxa"/>
            <w:tcBorders>
              <w:bottom w:val="single" w:sz="12" w:space="0" w:color="auto"/>
            </w:tcBorders>
          </w:tcPr>
          <w:p w14:paraId="60CC8478" w14:textId="77777777" w:rsidR="00C67F54" w:rsidRPr="00046858" w:rsidRDefault="00C67F54" w:rsidP="00FA4434">
            <w:pPr>
              <w:keepNext/>
              <w:ind w:right="-29"/>
              <w:jc w:val="center"/>
              <w:rPr>
                <w:noProof/>
                <w:sz w:val="18"/>
                <w:szCs w:val="18"/>
              </w:rPr>
            </w:pPr>
          </w:p>
        </w:tc>
        <w:tc>
          <w:tcPr>
            <w:tcW w:w="900" w:type="dxa"/>
            <w:tcBorders>
              <w:bottom w:val="single" w:sz="12" w:space="0" w:color="auto"/>
            </w:tcBorders>
          </w:tcPr>
          <w:p w14:paraId="2102D2CD" w14:textId="77777777" w:rsidR="00C67F54" w:rsidRPr="00046858" w:rsidRDefault="00C67F54" w:rsidP="00FA4434">
            <w:pPr>
              <w:keepNext/>
              <w:ind w:right="-29"/>
              <w:jc w:val="center"/>
              <w:rPr>
                <w:noProof/>
                <w:sz w:val="18"/>
                <w:szCs w:val="18"/>
              </w:rPr>
            </w:pPr>
          </w:p>
        </w:tc>
      </w:tr>
      <w:tr w:rsidR="00C67F54" w:rsidRPr="00046858" w14:paraId="2C500017" w14:textId="77777777">
        <w:trPr>
          <w:jc w:val="center"/>
        </w:trPr>
        <w:tc>
          <w:tcPr>
            <w:tcW w:w="2844" w:type="dxa"/>
            <w:gridSpan w:val="3"/>
            <w:tcBorders>
              <w:top w:val="single" w:sz="12" w:space="0" w:color="auto"/>
              <w:left w:val="single" w:sz="12" w:space="0" w:color="auto"/>
              <w:bottom w:val="single" w:sz="12" w:space="0" w:color="auto"/>
            </w:tcBorders>
            <w:vAlign w:val="center"/>
          </w:tcPr>
          <w:p w14:paraId="1CEE5C5D" w14:textId="77777777" w:rsidR="00C67F54" w:rsidRPr="00046858" w:rsidRDefault="00C67F54" w:rsidP="00FA4434">
            <w:pPr>
              <w:keepNext/>
              <w:ind w:right="-29"/>
              <w:jc w:val="center"/>
              <w:rPr>
                <w:noProof/>
                <w:sz w:val="18"/>
                <w:szCs w:val="18"/>
              </w:rPr>
            </w:pPr>
            <w:r w:rsidRPr="00046858">
              <w:rPr>
                <w:b/>
                <w:noProof/>
                <w:sz w:val="18"/>
              </w:rPr>
              <w:t>TOTALURI</w:t>
            </w:r>
          </w:p>
        </w:tc>
        <w:tc>
          <w:tcPr>
            <w:tcW w:w="504" w:type="dxa"/>
            <w:tcBorders>
              <w:top w:val="single" w:sz="12" w:space="0" w:color="auto"/>
              <w:bottom w:val="single" w:sz="12" w:space="0" w:color="auto"/>
            </w:tcBorders>
          </w:tcPr>
          <w:p w14:paraId="7F5A0C1C" w14:textId="77777777" w:rsidR="00C67F54" w:rsidRPr="00046858" w:rsidRDefault="00C67F54" w:rsidP="00FA4434">
            <w:pPr>
              <w:keepNext/>
              <w:spacing w:before="180" w:after="180"/>
              <w:ind w:right="-29"/>
              <w:jc w:val="center"/>
              <w:rPr>
                <w:noProof/>
                <w:sz w:val="18"/>
                <w:szCs w:val="18"/>
              </w:rPr>
            </w:pPr>
          </w:p>
        </w:tc>
        <w:tc>
          <w:tcPr>
            <w:tcW w:w="720" w:type="dxa"/>
            <w:tcBorders>
              <w:top w:val="single" w:sz="12" w:space="0" w:color="auto"/>
              <w:bottom w:val="single" w:sz="12" w:space="0" w:color="auto"/>
            </w:tcBorders>
          </w:tcPr>
          <w:p w14:paraId="3C8F9472" w14:textId="77777777" w:rsidR="00C67F54" w:rsidRPr="00046858" w:rsidRDefault="00C67F54" w:rsidP="00FA4434">
            <w:pPr>
              <w:keepNext/>
              <w:spacing w:before="180" w:after="180"/>
              <w:ind w:right="-29"/>
              <w:jc w:val="center"/>
              <w:rPr>
                <w:noProof/>
                <w:sz w:val="18"/>
                <w:szCs w:val="18"/>
              </w:rPr>
            </w:pPr>
          </w:p>
        </w:tc>
        <w:tc>
          <w:tcPr>
            <w:tcW w:w="540" w:type="dxa"/>
            <w:tcBorders>
              <w:top w:val="single" w:sz="12" w:space="0" w:color="auto"/>
              <w:bottom w:val="single" w:sz="12" w:space="0" w:color="auto"/>
            </w:tcBorders>
          </w:tcPr>
          <w:p w14:paraId="6B3EA012" w14:textId="77777777" w:rsidR="00C67F54" w:rsidRPr="00046858" w:rsidRDefault="00C67F54" w:rsidP="00FA4434">
            <w:pPr>
              <w:keepNext/>
              <w:spacing w:before="180" w:after="180"/>
              <w:ind w:right="-29"/>
              <w:jc w:val="center"/>
              <w:rPr>
                <w:noProof/>
                <w:sz w:val="18"/>
                <w:szCs w:val="18"/>
              </w:rPr>
            </w:pPr>
          </w:p>
        </w:tc>
        <w:tc>
          <w:tcPr>
            <w:tcW w:w="720" w:type="dxa"/>
            <w:tcBorders>
              <w:top w:val="single" w:sz="12" w:space="0" w:color="auto"/>
              <w:bottom w:val="single" w:sz="12" w:space="0" w:color="auto"/>
            </w:tcBorders>
          </w:tcPr>
          <w:p w14:paraId="5C8FB764" w14:textId="77777777" w:rsidR="00C67F54" w:rsidRPr="00046858" w:rsidRDefault="00C67F54" w:rsidP="00FA4434">
            <w:pPr>
              <w:keepNext/>
              <w:spacing w:before="180" w:after="180"/>
              <w:ind w:right="-29"/>
              <w:jc w:val="center"/>
              <w:rPr>
                <w:noProof/>
                <w:sz w:val="18"/>
                <w:szCs w:val="18"/>
              </w:rPr>
            </w:pPr>
          </w:p>
        </w:tc>
        <w:tc>
          <w:tcPr>
            <w:tcW w:w="720" w:type="dxa"/>
            <w:tcBorders>
              <w:top w:val="single" w:sz="12" w:space="0" w:color="auto"/>
              <w:bottom w:val="single" w:sz="12" w:space="0" w:color="auto"/>
            </w:tcBorders>
          </w:tcPr>
          <w:p w14:paraId="107B640D" w14:textId="77777777" w:rsidR="00C67F54" w:rsidRPr="00046858" w:rsidRDefault="00C67F54" w:rsidP="00FA4434">
            <w:pPr>
              <w:keepNext/>
              <w:spacing w:before="180" w:after="180"/>
              <w:ind w:right="-29"/>
              <w:jc w:val="center"/>
              <w:rPr>
                <w:noProof/>
                <w:sz w:val="18"/>
                <w:szCs w:val="18"/>
              </w:rPr>
            </w:pPr>
          </w:p>
        </w:tc>
        <w:tc>
          <w:tcPr>
            <w:tcW w:w="720" w:type="dxa"/>
            <w:tcBorders>
              <w:top w:val="single" w:sz="12" w:space="0" w:color="auto"/>
              <w:bottom w:val="single" w:sz="12" w:space="0" w:color="auto"/>
            </w:tcBorders>
          </w:tcPr>
          <w:p w14:paraId="68BA0FB3" w14:textId="77777777" w:rsidR="00C67F54" w:rsidRPr="00046858" w:rsidRDefault="00C67F54" w:rsidP="00FA4434">
            <w:pPr>
              <w:keepNext/>
              <w:spacing w:before="180" w:after="180"/>
              <w:ind w:right="-29"/>
              <w:jc w:val="center"/>
              <w:rPr>
                <w:noProof/>
                <w:sz w:val="18"/>
                <w:szCs w:val="18"/>
              </w:rPr>
            </w:pPr>
          </w:p>
        </w:tc>
        <w:tc>
          <w:tcPr>
            <w:tcW w:w="900" w:type="dxa"/>
            <w:tcBorders>
              <w:top w:val="single" w:sz="12" w:space="0" w:color="auto"/>
              <w:bottom w:val="single" w:sz="12" w:space="0" w:color="auto"/>
            </w:tcBorders>
          </w:tcPr>
          <w:p w14:paraId="44F94315" w14:textId="77777777" w:rsidR="00C67F54" w:rsidRPr="00046858" w:rsidRDefault="00C67F54" w:rsidP="00FA4434">
            <w:pPr>
              <w:keepNext/>
              <w:spacing w:before="180" w:after="180"/>
              <w:ind w:right="-29"/>
              <w:jc w:val="center"/>
              <w:rPr>
                <w:noProof/>
                <w:sz w:val="18"/>
                <w:szCs w:val="18"/>
              </w:rPr>
            </w:pPr>
          </w:p>
        </w:tc>
        <w:tc>
          <w:tcPr>
            <w:tcW w:w="639" w:type="dxa"/>
            <w:gridSpan w:val="2"/>
            <w:tcBorders>
              <w:top w:val="single" w:sz="12" w:space="0" w:color="auto"/>
              <w:bottom w:val="single" w:sz="12" w:space="0" w:color="auto"/>
            </w:tcBorders>
          </w:tcPr>
          <w:p w14:paraId="298F5C8A" w14:textId="77777777" w:rsidR="00C67F54" w:rsidRPr="00046858" w:rsidRDefault="00C67F54" w:rsidP="00FA4434">
            <w:pPr>
              <w:keepNext/>
              <w:spacing w:before="180" w:after="180"/>
              <w:ind w:right="-29"/>
              <w:jc w:val="center"/>
              <w:rPr>
                <w:noProof/>
                <w:sz w:val="18"/>
                <w:szCs w:val="18"/>
              </w:rPr>
            </w:pPr>
          </w:p>
        </w:tc>
        <w:tc>
          <w:tcPr>
            <w:tcW w:w="621" w:type="dxa"/>
            <w:tcBorders>
              <w:top w:val="single" w:sz="12" w:space="0" w:color="auto"/>
              <w:bottom w:val="single" w:sz="12" w:space="0" w:color="auto"/>
            </w:tcBorders>
          </w:tcPr>
          <w:p w14:paraId="7BDDE0C9" w14:textId="77777777" w:rsidR="00C67F54" w:rsidRPr="00046858" w:rsidRDefault="00C67F54" w:rsidP="00FA4434">
            <w:pPr>
              <w:keepNext/>
              <w:spacing w:before="180" w:after="180"/>
              <w:ind w:right="-29"/>
              <w:jc w:val="center"/>
              <w:rPr>
                <w:noProof/>
                <w:sz w:val="18"/>
                <w:szCs w:val="18"/>
              </w:rPr>
            </w:pPr>
          </w:p>
        </w:tc>
        <w:tc>
          <w:tcPr>
            <w:tcW w:w="648" w:type="dxa"/>
            <w:tcBorders>
              <w:top w:val="single" w:sz="12" w:space="0" w:color="auto"/>
              <w:bottom w:val="single" w:sz="12" w:space="0" w:color="auto"/>
            </w:tcBorders>
          </w:tcPr>
          <w:p w14:paraId="0A058A3D" w14:textId="77777777" w:rsidR="00C67F54" w:rsidRPr="00046858" w:rsidRDefault="00C67F54" w:rsidP="00FA4434">
            <w:pPr>
              <w:keepNext/>
              <w:spacing w:before="180" w:after="180"/>
              <w:ind w:right="-29"/>
              <w:jc w:val="center"/>
              <w:rPr>
                <w:noProof/>
                <w:sz w:val="18"/>
                <w:szCs w:val="18"/>
              </w:rPr>
            </w:pPr>
          </w:p>
        </w:tc>
        <w:tc>
          <w:tcPr>
            <w:tcW w:w="432" w:type="dxa"/>
            <w:tcBorders>
              <w:top w:val="single" w:sz="12" w:space="0" w:color="auto"/>
              <w:bottom w:val="single" w:sz="12" w:space="0" w:color="auto"/>
            </w:tcBorders>
          </w:tcPr>
          <w:p w14:paraId="11950C85" w14:textId="77777777" w:rsidR="00C67F54" w:rsidRPr="00046858" w:rsidRDefault="00C67F54" w:rsidP="00FA4434">
            <w:pPr>
              <w:keepNext/>
              <w:spacing w:before="180" w:after="180"/>
              <w:ind w:right="-29"/>
              <w:jc w:val="center"/>
              <w:rPr>
                <w:noProof/>
                <w:sz w:val="18"/>
                <w:szCs w:val="18"/>
              </w:rPr>
            </w:pPr>
          </w:p>
        </w:tc>
        <w:tc>
          <w:tcPr>
            <w:tcW w:w="720" w:type="dxa"/>
            <w:tcBorders>
              <w:top w:val="single" w:sz="12" w:space="0" w:color="auto"/>
              <w:bottom w:val="single" w:sz="12" w:space="0" w:color="auto"/>
            </w:tcBorders>
          </w:tcPr>
          <w:p w14:paraId="1E0E134D" w14:textId="77777777" w:rsidR="00C67F54" w:rsidRPr="00046858" w:rsidRDefault="00C67F54" w:rsidP="00FA4434">
            <w:pPr>
              <w:keepNext/>
              <w:spacing w:before="180" w:after="180"/>
              <w:ind w:right="-29"/>
              <w:jc w:val="center"/>
              <w:rPr>
                <w:noProof/>
                <w:sz w:val="18"/>
                <w:szCs w:val="18"/>
              </w:rPr>
            </w:pPr>
          </w:p>
        </w:tc>
        <w:tc>
          <w:tcPr>
            <w:tcW w:w="540" w:type="dxa"/>
            <w:tcBorders>
              <w:top w:val="single" w:sz="12" w:space="0" w:color="auto"/>
              <w:bottom w:val="single" w:sz="12" w:space="0" w:color="auto"/>
            </w:tcBorders>
          </w:tcPr>
          <w:p w14:paraId="1D07214E" w14:textId="77777777" w:rsidR="00C67F54" w:rsidRPr="00046858" w:rsidRDefault="00C67F54" w:rsidP="00FA4434">
            <w:pPr>
              <w:keepNext/>
              <w:spacing w:before="180" w:after="180"/>
              <w:ind w:right="-29"/>
              <w:jc w:val="center"/>
              <w:rPr>
                <w:noProof/>
                <w:sz w:val="18"/>
                <w:szCs w:val="18"/>
              </w:rPr>
            </w:pPr>
          </w:p>
        </w:tc>
        <w:tc>
          <w:tcPr>
            <w:tcW w:w="720" w:type="dxa"/>
            <w:tcBorders>
              <w:top w:val="single" w:sz="12" w:space="0" w:color="auto"/>
              <w:bottom w:val="single" w:sz="12" w:space="0" w:color="auto"/>
            </w:tcBorders>
          </w:tcPr>
          <w:p w14:paraId="359566E2" w14:textId="77777777" w:rsidR="00C67F54" w:rsidRPr="00046858" w:rsidRDefault="00C67F54" w:rsidP="00FA4434">
            <w:pPr>
              <w:keepNext/>
              <w:spacing w:before="180" w:after="180"/>
              <w:ind w:right="-29"/>
              <w:jc w:val="center"/>
              <w:rPr>
                <w:noProof/>
                <w:sz w:val="18"/>
                <w:szCs w:val="18"/>
              </w:rPr>
            </w:pPr>
          </w:p>
        </w:tc>
        <w:tc>
          <w:tcPr>
            <w:tcW w:w="720" w:type="dxa"/>
            <w:tcBorders>
              <w:top w:val="single" w:sz="12" w:space="0" w:color="auto"/>
              <w:bottom w:val="single" w:sz="12" w:space="0" w:color="auto"/>
            </w:tcBorders>
          </w:tcPr>
          <w:p w14:paraId="3F98B2C2" w14:textId="77777777" w:rsidR="00C67F54" w:rsidRPr="00046858" w:rsidRDefault="00C67F54" w:rsidP="00FA4434">
            <w:pPr>
              <w:keepNext/>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14:paraId="600EA154" w14:textId="77777777" w:rsidR="00C67F54" w:rsidRPr="00046858" w:rsidRDefault="00C67F54" w:rsidP="00FA4434">
            <w:pPr>
              <w:keepNext/>
              <w:spacing w:before="180" w:after="180"/>
              <w:ind w:right="-29"/>
              <w:jc w:val="center"/>
              <w:rPr>
                <w:noProof/>
                <w:sz w:val="18"/>
                <w:szCs w:val="18"/>
              </w:rPr>
            </w:pPr>
          </w:p>
        </w:tc>
      </w:tr>
    </w:tbl>
    <w:p w14:paraId="14202D67" w14:textId="77777777" w:rsidR="00A03D5B" w:rsidRPr="00046858" w:rsidRDefault="00A03D5B" w:rsidP="0041561E">
      <w:pPr>
        <w:rPr>
          <w:noProof/>
        </w:rPr>
        <w:sectPr w:rsidR="00A03D5B" w:rsidRPr="00046858" w:rsidSect="0001503D">
          <w:headerReference w:type="default" r:id="rId19"/>
          <w:footerReference w:type="default" r:id="rId20"/>
          <w:pgSz w:w="16840" w:h="11907" w:orient="landscape" w:code="9"/>
          <w:pgMar w:top="1134" w:right="1418" w:bottom="567" w:left="1418" w:header="709" w:footer="709" w:gutter="0"/>
          <w:cols w:space="708"/>
          <w:docGrid w:linePitch="360"/>
        </w:sectPr>
      </w:pPr>
    </w:p>
    <w:p w14:paraId="317A80FD" w14:textId="77777777" w:rsidR="00A03D5B" w:rsidRPr="00046858" w:rsidRDefault="00A03D5B" w:rsidP="0041561E">
      <w:pPr>
        <w:pStyle w:val="ManualHeading3"/>
        <w:rPr>
          <w:bCs/>
          <w:noProof/>
          <w:szCs w:val="24"/>
        </w:rPr>
      </w:pPr>
      <w:bookmarkStart w:id="134" w:name="_Toc221194338"/>
      <w:r w:rsidRPr="00046858">
        <w:rPr>
          <w:noProof/>
        </w:rPr>
        <w:t>3.2.3.</w:t>
      </w:r>
      <w:r w:rsidRPr="00046858">
        <w:rPr>
          <w:noProof/>
        </w:rPr>
        <w:tab/>
        <w:t>Sinteza impactului estimat asupra creditelor administrative</w:t>
      </w:r>
      <w:bookmarkEnd w:id="134"/>
      <w:r w:rsidRPr="00046858">
        <w:rPr>
          <w:noProof/>
        </w:rPr>
        <w:t xml:space="preserve"> </w:t>
      </w:r>
    </w:p>
    <w:p w14:paraId="43B34912" w14:textId="77777777" w:rsidR="00A03D5B" w:rsidRPr="00046858" w:rsidRDefault="00A03D5B" w:rsidP="00C67F54">
      <w:pPr>
        <w:pStyle w:val="ListDash1"/>
        <w:ind w:left="1134" w:hanging="283"/>
        <w:rPr>
          <w:noProof/>
        </w:rPr>
      </w:pPr>
      <w:r w:rsidRPr="00046858">
        <w:rPr>
          <w:rFonts w:ascii="Wingdings" w:hAnsi="Wingdings"/>
          <w:noProof/>
        </w:rPr>
        <w:t></w:t>
      </w:r>
      <w:r w:rsidRPr="00046858">
        <w:rPr>
          <w:noProof/>
        </w:rPr>
        <w:tab/>
        <w:t xml:space="preserve">Propunerea/inițiativa nu implică utilizarea de credite cu caracter administrativ </w:t>
      </w:r>
    </w:p>
    <w:p w14:paraId="5007053D" w14:textId="77777777" w:rsidR="00A03D5B" w:rsidRPr="00046858" w:rsidRDefault="00C67F54" w:rsidP="00C67F54">
      <w:pPr>
        <w:pStyle w:val="ListDash1"/>
        <w:ind w:left="1134" w:hanging="283"/>
        <w:rPr>
          <w:noProof/>
        </w:rPr>
      </w:pPr>
      <w:r w:rsidRPr="00046858">
        <w:rPr>
          <w:rFonts w:ascii="Wingdings" w:hAnsi="Wingdings"/>
          <w:noProof/>
          <w:sz w:val="22"/>
        </w:rPr>
        <w:t></w:t>
      </w:r>
      <w:r w:rsidRPr="00046858">
        <w:rPr>
          <w:noProof/>
        </w:rPr>
        <w:tab/>
        <w:t>Propunerea/inițiativa implică utilizarea de credite cu caracter administrativ, conform explicațiilor de mai jos</w:t>
      </w:r>
    </w:p>
    <w:p w14:paraId="3860DCDD" w14:textId="77777777" w:rsidR="00A03D5B" w:rsidRPr="00046858" w:rsidRDefault="00A03D5B" w:rsidP="0041561E">
      <w:pPr>
        <w:pStyle w:val="ManualHeading3"/>
        <w:rPr>
          <w:noProof/>
        </w:rPr>
      </w:pPr>
      <w:bookmarkStart w:id="135" w:name="_Toc221194339"/>
      <w:r w:rsidRPr="00046858">
        <w:rPr>
          <w:noProof/>
        </w:rPr>
        <w:t>3.2.3.1. Credite din bugetul votat</w:t>
      </w:r>
      <w:bookmarkEnd w:id="135"/>
    </w:p>
    <w:tbl>
      <w:tblPr>
        <w:tblW w:w="5000" w:type="pct"/>
        <w:tblLook w:val="04A0" w:firstRow="1" w:lastRow="0" w:firstColumn="1" w:lastColumn="0" w:noHBand="0" w:noVBand="1"/>
      </w:tblPr>
      <w:tblGrid>
        <w:gridCol w:w="2918"/>
        <w:gridCol w:w="750"/>
        <w:gridCol w:w="749"/>
        <w:gridCol w:w="749"/>
        <w:gridCol w:w="749"/>
        <w:gridCol w:w="842"/>
        <w:gridCol w:w="838"/>
        <w:gridCol w:w="838"/>
        <w:gridCol w:w="856"/>
      </w:tblGrid>
      <w:tr w:rsidR="00C67F54" w:rsidRPr="00046858" w14:paraId="330FDDD2" w14:textId="77777777" w:rsidTr="00024D04">
        <w:trPr>
          <w:trHeight w:val="300"/>
        </w:trPr>
        <w:tc>
          <w:tcPr>
            <w:tcW w:w="1571" w:type="pct"/>
            <w:vMerge w:val="restart"/>
            <w:tcBorders>
              <w:top w:val="single" w:sz="8" w:space="0" w:color="auto"/>
              <w:left w:val="single" w:sz="8" w:space="0" w:color="auto"/>
              <w:bottom w:val="single" w:sz="8" w:space="0" w:color="auto"/>
              <w:right w:val="single" w:sz="8" w:space="0" w:color="auto"/>
            </w:tcBorders>
            <w:vAlign w:val="center"/>
            <w:hideMark/>
          </w:tcPr>
          <w:p w14:paraId="7705CCBE" w14:textId="77777777" w:rsidR="00C67F54" w:rsidRPr="00046858" w:rsidRDefault="00C67F54">
            <w:pPr>
              <w:spacing w:before="0" w:after="0"/>
              <w:jc w:val="center"/>
              <w:rPr>
                <w:b/>
                <w:bCs/>
                <w:noProof/>
                <w:color w:val="000000"/>
                <w:sz w:val="18"/>
                <w:szCs w:val="18"/>
              </w:rPr>
            </w:pPr>
            <w:r w:rsidRPr="00046858">
              <w:rPr>
                <w:b/>
                <w:noProof/>
                <w:color w:val="000000"/>
                <w:sz w:val="18"/>
              </w:rPr>
              <w:t>CREDITE VOTATE</w:t>
            </w:r>
          </w:p>
        </w:tc>
        <w:tc>
          <w:tcPr>
            <w:tcW w:w="404" w:type="pct"/>
            <w:tcBorders>
              <w:top w:val="single" w:sz="8" w:space="0" w:color="auto"/>
              <w:left w:val="nil"/>
              <w:bottom w:val="single" w:sz="8" w:space="0" w:color="auto"/>
              <w:right w:val="single" w:sz="8" w:space="0" w:color="auto"/>
            </w:tcBorders>
            <w:vAlign w:val="center"/>
            <w:hideMark/>
          </w:tcPr>
          <w:p w14:paraId="348C99A6" w14:textId="77777777" w:rsidR="00C67F54" w:rsidRPr="00046858" w:rsidRDefault="00C67F54">
            <w:pPr>
              <w:spacing w:before="0" w:after="0"/>
              <w:jc w:val="center"/>
              <w:rPr>
                <w:noProof/>
                <w:color w:val="000000"/>
                <w:sz w:val="18"/>
                <w:szCs w:val="18"/>
              </w:rPr>
            </w:pPr>
            <w:r w:rsidRPr="00046858">
              <w:rPr>
                <w:noProof/>
                <w:color w:val="000000"/>
                <w:sz w:val="18"/>
              </w:rPr>
              <w:t>Anul</w:t>
            </w:r>
          </w:p>
        </w:tc>
        <w:tc>
          <w:tcPr>
            <w:tcW w:w="403" w:type="pct"/>
            <w:tcBorders>
              <w:top w:val="single" w:sz="8" w:space="0" w:color="auto"/>
              <w:left w:val="nil"/>
              <w:bottom w:val="single" w:sz="8" w:space="0" w:color="auto"/>
              <w:right w:val="single" w:sz="8" w:space="0" w:color="auto"/>
            </w:tcBorders>
            <w:vAlign w:val="center"/>
            <w:hideMark/>
          </w:tcPr>
          <w:p w14:paraId="10EF3C44" w14:textId="77777777" w:rsidR="00C67F54" w:rsidRPr="00046858" w:rsidRDefault="00C67F54">
            <w:pPr>
              <w:spacing w:before="0" w:after="0"/>
              <w:jc w:val="center"/>
              <w:rPr>
                <w:noProof/>
                <w:color w:val="000000"/>
                <w:sz w:val="18"/>
                <w:szCs w:val="18"/>
              </w:rPr>
            </w:pPr>
            <w:r w:rsidRPr="00046858">
              <w:rPr>
                <w:noProof/>
                <w:color w:val="000000"/>
                <w:sz w:val="18"/>
              </w:rPr>
              <w:t>Anul</w:t>
            </w:r>
          </w:p>
        </w:tc>
        <w:tc>
          <w:tcPr>
            <w:tcW w:w="403" w:type="pct"/>
            <w:tcBorders>
              <w:top w:val="single" w:sz="8" w:space="0" w:color="auto"/>
              <w:left w:val="nil"/>
              <w:bottom w:val="single" w:sz="8" w:space="0" w:color="auto"/>
              <w:right w:val="single" w:sz="8" w:space="0" w:color="auto"/>
            </w:tcBorders>
            <w:vAlign w:val="center"/>
            <w:hideMark/>
          </w:tcPr>
          <w:p w14:paraId="44E7B0B4" w14:textId="77777777" w:rsidR="00C67F54" w:rsidRPr="00046858" w:rsidRDefault="00C67F54">
            <w:pPr>
              <w:spacing w:before="0" w:after="0"/>
              <w:jc w:val="center"/>
              <w:rPr>
                <w:noProof/>
                <w:color w:val="000000"/>
                <w:sz w:val="18"/>
                <w:szCs w:val="18"/>
              </w:rPr>
            </w:pPr>
            <w:r w:rsidRPr="00046858">
              <w:rPr>
                <w:noProof/>
                <w:color w:val="000000"/>
                <w:sz w:val="18"/>
              </w:rPr>
              <w:t>Anul</w:t>
            </w:r>
          </w:p>
        </w:tc>
        <w:tc>
          <w:tcPr>
            <w:tcW w:w="403" w:type="pct"/>
            <w:tcBorders>
              <w:top w:val="single" w:sz="8" w:space="0" w:color="auto"/>
              <w:left w:val="nil"/>
              <w:bottom w:val="single" w:sz="8" w:space="0" w:color="auto"/>
              <w:right w:val="single" w:sz="8" w:space="0" w:color="auto"/>
            </w:tcBorders>
            <w:vAlign w:val="center"/>
            <w:hideMark/>
          </w:tcPr>
          <w:p w14:paraId="0772C57B" w14:textId="77777777" w:rsidR="00C67F54" w:rsidRPr="00046858" w:rsidRDefault="00C67F54">
            <w:pPr>
              <w:spacing w:before="0" w:after="0"/>
              <w:jc w:val="center"/>
              <w:rPr>
                <w:noProof/>
                <w:color w:val="000000"/>
                <w:sz w:val="18"/>
                <w:szCs w:val="18"/>
              </w:rPr>
            </w:pPr>
            <w:r w:rsidRPr="00046858">
              <w:rPr>
                <w:noProof/>
                <w:color w:val="000000"/>
                <w:sz w:val="18"/>
              </w:rPr>
              <w:t>Anul</w:t>
            </w:r>
          </w:p>
        </w:tc>
        <w:tc>
          <w:tcPr>
            <w:tcW w:w="453" w:type="pct"/>
            <w:tcBorders>
              <w:top w:val="single" w:sz="8" w:space="0" w:color="auto"/>
              <w:left w:val="single" w:sz="8" w:space="0" w:color="auto"/>
              <w:bottom w:val="single" w:sz="8" w:space="0" w:color="auto"/>
              <w:right w:val="single" w:sz="8" w:space="0" w:color="auto"/>
            </w:tcBorders>
            <w:vAlign w:val="center"/>
          </w:tcPr>
          <w:p w14:paraId="590EBC39" w14:textId="77777777" w:rsidR="00C67F54" w:rsidRPr="00046858" w:rsidRDefault="00C67F54">
            <w:pPr>
              <w:spacing w:before="0" w:after="0"/>
              <w:jc w:val="center"/>
              <w:rPr>
                <w:noProof/>
                <w:color w:val="000000"/>
                <w:sz w:val="18"/>
                <w:szCs w:val="18"/>
              </w:rPr>
            </w:pPr>
            <w:r w:rsidRPr="00046858">
              <w:rPr>
                <w:noProof/>
                <w:color w:val="000000"/>
                <w:sz w:val="18"/>
              </w:rPr>
              <w:t>Anul</w:t>
            </w:r>
          </w:p>
        </w:tc>
        <w:tc>
          <w:tcPr>
            <w:tcW w:w="451" w:type="pct"/>
            <w:tcBorders>
              <w:top w:val="single" w:sz="8" w:space="0" w:color="auto"/>
              <w:left w:val="single" w:sz="8" w:space="0" w:color="auto"/>
              <w:bottom w:val="single" w:sz="8" w:space="0" w:color="auto"/>
              <w:right w:val="single" w:sz="8" w:space="0" w:color="auto"/>
            </w:tcBorders>
            <w:vAlign w:val="center"/>
          </w:tcPr>
          <w:p w14:paraId="2557CDEB" w14:textId="77777777" w:rsidR="00C67F54" w:rsidRPr="00046858" w:rsidRDefault="00C67F54">
            <w:pPr>
              <w:spacing w:before="0" w:after="0"/>
              <w:jc w:val="center"/>
              <w:rPr>
                <w:noProof/>
                <w:color w:val="000000"/>
                <w:sz w:val="18"/>
                <w:szCs w:val="18"/>
              </w:rPr>
            </w:pPr>
            <w:r w:rsidRPr="00046858">
              <w:rPr>
                <w:noProof/>
                <w:color w:val="000000"/>
                <w:sz w:val="18"/>
              </w:rPr>
              <w:t>Anul</w:t>
            </w:r>
          </w:p>
        </w:tc>
        <w:tc>
          <w:tcPr>
            <w:tcW w:w="451" w:type="pct"/>
            <w:tcBorders>
              <w:top w:val="single" w:sz="8" w:space="0" w:color="auto"/>
              <w:left w:val="single" w:sz="8" w:space="0" w:color="auto"/>
              <w:bottom w:val="single" w:sz="8" w:space="0" w:color="auto"/>
              <w:right w:val="single" w:sz="8" w:space="0" w:color="auto"/>
            </w:tcBorders>
            <w:vAlign w:val="center"/>
          </w:tcPr>
          <w:p w14:paraId="348389D6" w14:textId="77777777" w:rsidR="00C67F54" w:rsidRPr="00046858" w:rsidRDefault="00C67F54">
            <w:pPr>
              <w:spacing w:before="0" w:after="0"/>
              <w:jc w:val="center"/>
              <w:rPr>
                <w:noProof/>
                <w:color w:val="000000"/>
                <w:sz w:val="18"/>
                <w:szCs w:val="18"/>
              </w:rPr>
            </w:pPr>
            <w:r w:rsidRPr="00046858">
              <w:rPr>
                <w:noProof/>
                <w:color w:val="000000"/>
                <w:sz w:val="18"/>
              </w:rPr>
              <w:t>Anul</w:t>
            </w:r>
          </w:p>
        </w:tc>
        <w:tc>
          <w:tcPr>
            <w:tcW w:w="461" w:type="pct"/>
            <w:vMerge w:val="restart"/>
            <w:tcBorders>
              <w:top w:val="single" w:sz="8" w:space="0" w:color="auto"/>
              <w:left w:val="single" w:sz="8" w:space="0" w:color="auto"/>
              <w:bottom w:val="single" w:sz="8" w:space="0" w:color="auto"/>
              <w:right w:val="single" w:sz="8" w:space="0" w:color="auto"/>
            </w:tcBorders>
            <w:vAlign w:val="center"/>
            <w:hideMark/>
          </w:tcPr>
          <w:p w14:paraId="354BABF0" w14:textId="77777777" w:rsidR="00C67F54" w:rsidRPr="00046858" w:rsidRDefault="00C67F54">
            <w:pPr>
              <w:spacing w:before="0" w:after="0"/>
              <w:jc w:val="center"/>
              <w:rPr>
                <w:b/>
                <w:bCs/>
                <w:noProof/>
                <w:color w:val="000000"/>
                <w:sz w:val="18"/>
                <w:szCs w:val="18"/>
              </w:rPr>
            </w:pPr>
            <w:r w:rsidRPr="00046858">
              <w:rPr>
                <w:b/>
                <w:noProof/>
                <w:color w:val="000000"/>
                <w:sz w:val="18"/>
              </w:rPr>
              <w:t>TOTAL 2028-2034</w:t>
            </w:r>
          </w:p>
        </w:tc>
      </w:tr>
      <w:tr w:rsidR="00C67F54" w:rsidRPr="00046858" w14:paraId="585055A2" w14:textId="77777777" w:rsidTr="00024D04">
        <w:trPr>
          <w:trHeight w:val="300"/>
        </w:trPr>
        <w:tc>
          <w:tcPr>
            <w:tcW w:w="1571" w:type="pct"/>
            <w:vMerge/>
            <w:tcBorders>
              <w:top w:val="single" w:sz="8" w:space="0" w:color="auto"/>
              <w:left w:val="single" w:sz="8" w:space="0" w:color="auto"/>
              <w:bottom w:val="single" w:sz="8" w:space="0" w:color="auto"/>
              <w:right w:val="single" w:sz="8" w:space="0" w:color="auto"/>
            </w:tcBorders>
            <w:vAlign w:val="center"/>
            <w:hideMark/>
          </w:tcPr>
          <w:p w14:paraId="02BD8DA5" w14:textId="77777777" w:rsidR="00C67F54" w:rsidRPr="00046858" w:rsidRDefault="00C67F54">
            <w:pPr>
              <w:spacing w:before="0" w:after="0"/>
              <w:jc w:val="left"/>
              <w:rPr>
                <w:b/>
                <w:bCs/>
                <w:noProof/>
                <w:color w:val="000000"/>
                <w:sz w:val="18"/>
                <w:szCs w:val="18"/>
                <w:lang w:eastAsia="en-IE"/>
              </w:rPr>
            </w:pPr>
          </w:p>
        </w:tc>
        <w:tc>
          <w:tcPr>
            <w:tcW w:w="404" w:type="pct"/>
            <w:tcBorders>
              <w:top w:val="nil"/>
              <w:left w:val="nil"/>
              <w:bottom w:val="single" w:sz="8" w:space="0" w:color="auto"/>
              <w:right w:val="single" w:sz="8" w:space="0" w:color="auto"/>
            </w:tcBorders>
            <w:vAlign w:val="center"/>
            <w:hideMark/>
          </w:tcPr>
          <w:p w14:paraId="3CEFA9F0" w14:textId="77777777" w:rsidR="00C67F54" w:rsidRPr="00046858" w:rsidRDefault="00C67F54">
            <w:pPr>
              <w:spacing w:before="0" w:after="0"/>
              <w:jc w:val="center"/>
              <w:rPr>
                <w:b/>
                <w:bCs/>
                <w:noProof/>
                <w:color w:val="000000"/>
                <w:sz w:val="18"/>
                <w:szCs w:val="18"/>
              </w:rPr>
            </w:pPr>
            <w:r w:rsidRPr="00046858">
              <w:rPr>
                <w:b/>
                <w:noProof/>
                <w:color w:val="000000"/>
                <w:sz w:val="18"/>
              </w:rPr>
              <w:t>2028</w:t>
            </w:r>
          </w:p>
        </w:tc>
        <w:tc>
          <w:tcPr>
            <w:tcW w:w="403" w:type="pct"/>
            <w:tcBorders>
              <w:top w:val="nil"/>
              <w:left w:val="nil"/>
              <w:bottom w:val="single" w:sz="8" w:space="0" w:color="auto"/>
              <w:right w:val="single" w:sz="8" w:space="0" w:color="auto"/>
            </w:tcBorders>
            <w:vAlign w:val="center"/>
            <w:hideMark/>
          </w:tcPr>
          <w:p w14:paraId="51574277" w14:textId="77777777" w:rsidR="00C67F54" w:rsidRPr="00046858" w:rsidRDefault="00C67F54">
            <w:pPr>
              <w:spacing w:before="0" w:after="0"/>
              <w:jc w:val="center"/>
              <w:rPr>
                <w:b/>
                <w:bCs/>
                <w:noProof/>
                <w:color w:val="000000"/>
                <w:sz w:val="18"/>
                <w:szCs w:val="18"/>
              </w:rPr>
            </w:pPr>
            <w:r w:rsidRPr="00046858">
              <w:rPr>
                <w:b/>
                <w:noProof/>
                <w:color w:val="000000"/>
                <w:sz w:val="18"/>
              </w:rPr>
              <w:t>2029</w:t>
            </w:r>
          </w:p>
        </w:tc>
        <w:tc>
          <w:tcPr>
            <w:tcW w:w="403" w:type="pct"/>
            <w:tcBorders>
              <w:top w:val="nil"/>
              <w:left w:val="nil"/>
              <w:bottom w:val="single" w:sz="8" w:space="0" w:color="auto"/>
              <w:right w:val="single" w:sz="8" w:space="0" w:color="auto"/>
            </w:tcBorders>
            <w:vAlign w:val="center"/>
            <w:hideMark/>
          </w:tcPr>
          <w:p w14:paraId="1B9DBDC1" w14:textId="77777777" w:rsidR="00C67F54" w:rsidRPr="00046858" w:rsidRDefault="00C67F54">
            <w:pPr>
              <w:spacing w:before="0" w:after="0"/>
              <w:jc w:val="center"/>
              <w:rPr>
                <w:b/>
                <w:bCs/>
                <w:noProof/>
                <w:color w:val="000000"/>
                <w:sz w:val="18"/>
                <w:szCs w:val="18"/>
              </w:rPr>
            </w:pPr>
            <w:r w:rsidRPr="00046858">
              <w:rPr>
                <w:b/>
                <w:noProof/>
                <w:color w:val="000000"/>
                <w:sz w:val="18"/>
              </w:rPr>
              <w:t>2030</w:t>
            </w:r>
          </w:p>
        </w:tc>
        <w:tc>
          <w:tcPr>
            <w:tcW w:w="403" w:type="pct"/>
            <w:tcBorders>
              <w:top w:val="nil"/>
              <w:left w:val="nil"/>
              <w:bottom w:val="single" w:sz="8" w:space="0" w:color="auto"/>
              <w:right w:val="single" w:sz="8" w:space="0" w:color="auto"/>
            </w:tcBorders>
            <w:vAlign w:val="center"/>
            <w:hideMark/>
          </w:tcPr>
          <w:p w14:paraId="0D854585" w14:textId="77777777" w:rsidR="00C67F54" w:rsidRPr="00046858" w:rsidRDefault="00C67F54">
            <w:pPr>
              <w:spacing w:before="0" w:after="0"/>
              <w:jc w:val="center"/>
              <w:rPr>
                <w:b/>
                <w:bCs/>
                <w:noProof/>
                <w:color w:val="000000"/>
                <w:sz w:val="18"/>
                <w:szCs w:val="18"/>
              </w:rPr>
            </w:pPr>
            <w:r w:rsidRPr="00046858">
              <w:rPr>
                <w:b/>
                <w:noProof/>
                <w:color w:val="000000"/>
                <w:sz w:val="18"/>
              </w:rPr>
              <w:t>2031</w:t>
            </w:r>
          </w:p>
        </w:tc>
        <w:tc>
          <w:tcPr>
            <w:tcW w:w="453" w:type="pct"/>
            <w:tcBorders>
              <w:top w:val="single" w:sz="8" w:space="0" w:color="auto"/>
              <w:left w:val="single" w:sz="8" w:space="0" w:color="auto"/>
              <w:bottom w:val="single" w:sz="8" w:space="0" w:color="auto"/>
              <w:right w:val="single" w:sz="8" w:space="0" w:color="auto"/>
            </w:tcBorders>
            <w:vAlign w:val="center"/>
          </w:tcPr>
          <w:p w14:paraId="4CC8BFD4" w14:textId="77777777" w:rsidR="00C67F54" w:rsidRPr="00046858" w:rsidRDefault="00C67F54">
            <w:pPr>
              <w:spacing w:before="0" w:after="0"/>
              <w:jc w:val="center"/>
              <w:rPr>
                <w:b/>
                <w:bCs/>
                <w:noProof/>
                <w:color w:val="000000"/>
                <w:sz w:val="18"/>
                <w:szCs w:val="18"/>
              </w:rPr>
            </w:pPr>
            <w:r w:rsidRPr="00046858">
              <w:rPr>
                <w:b/>
                <w:noProof/>
                <w:color w:val="000000"/>
                <w:sz w:val="18"/>
              </w:rPr>
              <w:t>2032</w:t>
            </w:r>
          </w:p>
        </w:tc>
        <w:tc>
          <w:tcPr>
            <w:tcW w:w="451" w:type="pct"/>
            <w:tcBorders>
              <w:top w:val="single" w:sz="8" w:space="0" w:color="auto"/>
              <w:left w:val="single" w:sz="8" w:space="0" w:color="auto"/>
              <w:bottom w:val="single" w:sz="8" w:space="0" w:color="auto"/>
              <w:right w:val="single" w:sz="8" w:space="0" w:color="auto"/>
            </w:tcBorders>
            <w:vAlign w:val="center"/>
          </w:tcPr>
          <w:p w14:paraId="4C7410EA" w14:textId="77777777" w:rsidR="00C67F54" w:rsidRPr="00046858" w:rsidRDefault="00C67F54">
            <w:pPr>
              <w:spacing w:before="0" w:after="0"/>
              <w:jc w:val="center"/>
              <w:rPr>
                <w:b/>
                <w:bCs/>
                <w:noProof/>
                <w:color w:val="000000"/>
                <w:sz w:val="18"/>
                <w:szCs w:val="18"/>
              </w:rPr>
            </w:pPr>
            <w:r w:rsidRPr="00046858">
              <w:rPr>
                <w:b/>
                <w:noProof/>
                <w:color w:val="000000"/>
                <w:sz w:val="18"/>
              </w:rPr>
              <w:t>2033</w:t>
            </w:r>
          </w:p>
        </w:tc>
        <w:tc>
          <w:tcPr>
            <w:tcW w:w="451" w:type="pct"/>
            <w:tcBorders>
              <w:top w:val="single" w:sz="8" w:space="0" w:color="auto"/>
              <w:left w:val="single" w:sz="8" w:space="0" w:color="auto"/>
              <w:bottom w:val="single" w:sz="8" w:space="0" w:color="auto"/>
              <w:right w:val="single" w:sz="8" w:space="0" w:color="auto"/>
            </w:tcBorders>
            <w:vAlign w:val="center"/>
          </w:tcPr>
          <w:p w14:paraId="1BB9C63D" w14:textId="77777777" w:rsidR="00C67F54" w:rsidRPr="00046858" w:rsidRDefault="00C67F54">
            <w:pPr>
              <w:spacing w:before="0" w:after="0"/>
              <w:jc w:val="center"/>
              <w:rPr>
                <w:b/>
                <w:bCs/>
                <w:noProof/>
                <w:color w:val="000000"/>
                <w:sz w:val="18"/>
                <w:szCs w:val="18"/>
              </w:rPr>
            </w:pPr>
            <w:r w:rsidRPr="00046858">
              <w:rPr>
                <w:b/>
                <w:noProof/>
                <w:color w:val="000000"/>
                <w:sz w:val="18"/>
              </w:rPr>
              <w:t>2034</w:t>
            </w:r>
          </w:p>
        </w:tc>
        <w:tc>
          <w:tcPr>
            <w:tcW w:w="461" w:type="pct"/>
            <w:vMerge/>
            <w:tcBorders>
              <w:top w:val="single" w:sz="8" w:space="0" w:color="auto"/>
              <w:left w:val="single" w:sz="8" w:space="0" w:color="auto"/>
              <w:bottom w:val="single" w:sz="8" w:space="0" w:color="auto"/>
              <w:right w:val="single" w:sz="8" w:space="0" w:color="auto"/>
            </w:tcBorders>
            <w:vAlign w:val="center"/>
            <w:hideMark/>
          </w:tcPr>
          <w:p w14:paraId="40F6D4D9" w14:textId="77777777" w:rsidR="00C67F54" w:rsidRPr="00046858" w:rsidRDefault="00C67F54">
            <w:pPr>
              <w:spacing w:before="0" w:after="0"/>
              <w:jc w:val="left"/>
              <w:rPr>
                <w:b/>
                <w:bCs/>
                <w:noProof/>
                <w:color w:val="000000"/>
                <w:sz w:val="18"/>
                <w:szCs w:val="18"/>
                <w:lang w:eastAsia="en-IE"/>
              </w:rPr>
            </w:pPr>
          </w:p>
        </w:tc>
      </w:tr>
      <w:tr w:rsidR="00C67F54" w:rsidRPr="00046858" w14:paraId="0C4308F3"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1CF208A9" w14:textId="77777777" w:rsidR="00C67F54" w:rsidRPr="00046858" w:rsidRDefault="00C67F54">
            <w:pPr>
              <w:spacing w:before="0" w:after="0"/>
              <w:jc w:val="center"/>
              <w:rPr>
                <w:b/>
                <w:bCs/>
                <w:noProof/>
                <w:sz w:val="16"/>
                <w:szCs w:val="16"/>
              </w:rPr>
            </w:pPr>
            <w:r w:rsidRPr="00046858">
              <w:rPr>
                <w:b/>
                <w:noProof/>
                <w:sz w:val="16"/>
              </w:rPr>
              <w:t>RUBRICA 4</w:t>
            </w:r>
          </w:p>
        </w:tc>
      </w:tr>
      <w:tr w:rsidR="00C67F54" w:rsidRPr="00046858" w14:paraId="0DEC5EDC" w14:textId="77777777" w:rsidTr="00024D04">
        <w:trPr>
          <w:trHeight w:val="300"/>
        </w:trPr>
        <w:tc>
          <w:tcPr>
            <w:tcW w:w="1571" w:type="pct"/>
            <w:tcBorders>
              <w:top w:val="nil"/>
              <w:left w:val="single" w:sz="8" w:space="0" w:color="auto"/>
              <w:bottom w:val="single" w:sz="8" w:space="0" w:color="auto"/>
              <w:right w:val="single" w:sz="8" w:space="0" w:color="auto"/>
            </w:tcBorders>
            <w:vAlign w:val="center"/>
            <w:hideMark/>
          </w:tcPr>
          <w:p w14:paraId="02BB05AF" w14:textId="77777777" w:rsidR="00C67F54" w:rsidRPr="00046858" w:rsidRDefault="00C67F54">
            <w:pPr>
              <w:spacing w:before="0" w:after="0"/>
              <w:jc w:val="left"/>
              <w:rPr>
                <w:noProof/>
                <w:color w:val="000000"/>
                <w:sz w:val="16"/>
                <w:szCs w:val="16"/>
              </w:rPr>
            </w:pPr>
            <w:r w:rsidRPr="00046858">
              <w:rPr>
                <w:noProof/>
                <w:color w:val="000000"/>
                <w:sz w:val="16"/>
              </w:rPr>
              <w:t xml:space="preserve">Resurse umane </w:t>
            </w:r>
          </w:p>
        </w:tc>
        <w:tc>
          <w:tcPr>
            <w:tcW w:w="404" w:type="pct"/>
            <w:tcBorders>
              <w:top w:val="nil"/>
              <w:left w:val="nil"/>
              <w:bottom w:val="single" w:sz="8" w:space="0" w:color="auto"/>
              <w:right w:val="single" w:sz="8" w:space="0" w:color="auto"/>
            </w:tcBorders>
            <w:shd w:val="clear" w:color="000000" w:fill="D9D9D9"/>
            <w:vAlign w:val="center"/>
            <w:hideMark/>
          </w:tcPr>
          <w:p w14:paraId="5BD5AEEA" w14:textId="77777777" w:rsidR="00C67F54" w:rsidRPr="00046858" w:rsidRDefault="009E1DA0">
            <w:pPr>
              <w:spacing w:before="0" w:after="0"/>
              <w:jc w:val="right"/>
              <w:rPr>
                <w:noProof/>
                <w:color w:val="000000"/>
                <w:sz w:val="16"/>
                <w:szCs w:val="16"/>
              </w:rPr>
            </w:pPr>
            <w:r w:rsidRPr="00046858">
              <w:rPr>
                <w:noProof/>
                <w:color w:val="000000"/>
                <w:sz w:val="16"/>
              </w:rPr>
              <w:t>2,853</w:t>
            </w:r>
          </w:p>
        </w:tc>
        <w:tc>
          <w:tcPr>
            <w:tcW w:w="403" w:type="pct"/>
            <w:tcBorders>
              <w:top w:val="nil"/>
              <w:left w:val="nil"/>
              <w:bottom w:val="single" w:sz="8" w:space="0" w:color="auto"/>
              <w:right w:val="single" w:sz="8" w:space="0" w:color="auto"/>
            </w:tcBorders>
            <w:shd w:val="clear" w:color="000000" w:fill="D9D9D9"/>
            <w:vAlign w:val="center"/>
            <w:hideMark/>
          </w:tcPr>
          <w:p w14:paraId="2FA42486" w14:textId="77777777" w:rsidR="00C67F54" w:rsidRPr="00046858" w:rsidRDefault="009E1DA0">
            <w:pPr>
              <w:spacing w:before="0" w:after="0"/>
              <w:jc w:val="right"/>
              <w:rPr>
                <w:noProof/>
                <w:color w:val="000000"/>
                <w:sz w:val="16"/>
                <w:szCs w:val="16"/>
              </w:rPr>
            </w:pPr>
            <w:r w:rsidRPr="00046858">
              <w:rPr>
                <w:noProof/>
                <w:color w:val="000000"/>
                <w:sz w:val="16"/>
              </w:rPr>
              <w:t>2,853</w:t>
            </w:r>
          </w:p>
        </w:tc>
        <w:tc>
          <w:tcPr>
            <w:tcW w:w="403" w:type="pct"/>
            <w:tcBorders>
              <w:top w:val="nil"/>
              <w:left w:val="nil"/>
              <w:bottom w:val="single" w:sz="8" w:space="0" w:color="auto"/>
              <w:right w:val="single" w:sz="8" w:space="0" w:color="auto"/>
            </w:tcBorders>
            <w:shd w:val="clear" w:color="000000" w:fill="D9D9D9"/>
            <w:vAlign w:val="center"/>
            <w:hideMark/>
          </w:tcPr>
          <w:p w14:paraId="4719E72B" w14:textId="77777777" w:rsidR="00C67F54" w:rsidRPr="00046858" w:rsidRDefault="009E1DA0">
            <w:pPr>
              <w:spacing w:before="0" w:after="0"/>
              <w:jc w:val="right"/>
              <w:rPr>
                <w:noProof/>
                <w:color w:val="000000"/>
                <w:sz w:val="16"/>
                <w:szCs w:val="16"/>
              </w:rPr>
            </w:pPr>
            <w:r w:rsidRPr="00046858">
              <w:rPr>
                <w:noProof/>
                <w:color w:val="000000"/>
                <w:sz w:val="16"/>
              </w:rPr>
              <w:t>2,853</w:t>
            </w:r>
          </w:p>
        </w:tc>
        <w:tc>
          <w:tcPr>
            <w:tcW w:w="403" w:type="pct"/>
            <w:tcBorders>
              <w:top w:val="nil"/>
              <w:left w:val="nil"/>
              <w:bottom w:val="single" w:sz="8" w:space="0" w:color="auto"/>
              <w:right w:val="single" w:sz="8" w:space="0" w:color="auto"/>
            </w:tcBorders>
            <w:shd w:val="clear" w:color="000000" w:fill="D9D9D9"/>
            <w:vAlign w:val="center"/>
            <w:hideMark/>
          </w:tcPr>
          <w:p w14:paraId="47C64931" w14:textId="77777777" w:rsidR="00C67F54" w:rsidRPr="00046858" w:rsidRDefault="009E1DA0">
            <w:pPr>
              <w:spacing w:before="0" w:after="0"/>
              <w:jc w:val="right"/>
              <w:rPr>
                <w:noProof/>
                <w:color w:val="000000"/>
                <w:sz w:val="16"/>
                <w:szCs w:val="16"/>
              </w:rPr>
            </w:pPr>
            <w:r w:rsidRPr="00046858">
              <w:rPr>
                <w:noProof/>
                <w:color w:val="000000"/>
                <w:sz w:val="16"/>
              </w:rPr>
              <w:t>2,853</w:t>
            </w:r>
          </w:p>
        </w:tc>
        <w:tc>
          <w:tcPr>
            <w:tcW w:w="453" w:type="pct"/>
            <w:tcBorders>
              <w:top w:val="nil"/>
              <w:left w:val="nil"/>
              <w:bottom w:val="single" w:sz="8" w:space="0" w:color="auto"/>
              <w:right w:val="single" w:sz="4" w:space="0" w:color="auto"/>
            </w:tcBorders>
            <w:shd w:val="clear" w:color="000000" w:fill="D9D9D9"/>
            <w:vAlign w:val="center"/>
          </w:tcPr>
          <w:p w14:paraId="1CF2BE36" w14:textId="77777777" w:rsidR="00C67F54" w:rsidRPr="00046858" w:rsidRDefault="009E1DA0">
            <w:pPr>
              <w:spacing w:before="0" w:after="0"/>
              <w:jc w:val="center"/>
              <w:rPr>
                <w:b/>
                <w:bCs/>
                <w:noProof/>
                <w:color w:val="000000"/>
                <w:sz w:val="16"/>
                <w:szCs w:val="16"/>
              </w:rPr>
            </w:pPr>
            <w:r w:rsidRPr="00046858">
              <w:rPr>
                <w:noProof/>
                <w:color w:val="000000"/>
                <w:sz w:val="16"/>
              </w:rPr>
              <w:t>2,853</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2777D631" w14:textId="77777777" w:rsidR="00C67F54" w:rsidRPr="00046858" w:rsidRDefault="009E1DA0">
            <w:pPr>
              <w:spacing w:before="0" w:after="0"/>
              <w:jc w:val="center"/>
              <w:rPr>
                <w:b/>
                <w:bCs/>
                <w:noProof/>
                <w:color w:val="000000"/>
                <w:sz w:val="16"/>
                <w:szCs w:val="16"/>
              </w:rPr>
            </w:pPr>
            <w:r w:rsidRPr="00046858">
              <w:rPr>
                <w:noProof/>
                <w:color w:val="000000"/>
                <w:sz w:val="16"/>
              </w:rPr>
              <w:t>2,853</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3B60CE99" w14:textId="77777777" w:rsidR="00C67F54" w:rsidRPr="00046858" w:rsidRDefault="009E1DA0">
            <w:pPr>
              <w:spacing w:before="0" w:after="0"/>
              <w:jc w:val="center"/>
              <w:rPr>
                <w:b/>
                <w:bCs/>
                <w:noProof/>
                <w:color w:val="000000"/>
                <w:sz w:val="16"/>
                <w:szCs w:val="16"/>
              </w:rPr>
            </w:pPr>
            <w:r w:rsidRPr="00046858">
              <w:rPr>
                <w:noProof/>
                <w:color w:val="000000"/>
                <w:sz w:val="16"/>
              </w:rPr>
              <w:t>2,853</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14:paraId="0BE29149" w14:textId="77777777" w:rsidR="00C67F54" w:rsidRPr="00046858" w:rsidRDefault="00FC3B5A">
            <w:pPr>
              <w:spacing w:before="0" w:after="0"/>
              <w:jc w:val="right"/>
              <w:rPr>
                <w:b/>
                <w:bCs/>
                <w:noProof/>
                <w:color w:val="000000"/>
                <w:sz w:val="16"/>
                <w:szCs w:val="16"/>
              </w:rPr>
            </w:pPr>
            <w:r w:rsidRPr="00046858">
              <w:rPr>
                <w:b/>
                <w:noProof/>
                <w:color w:val="000000"/>
                <w:sz w:val="16"/>
              </w:rPr>
              <w:t>19,971</w:t>
            </w:r>
          </w:p>
        </w:tc>
      </w:tr>
      <w:tr w:rsidR="00C67F54" w:rsidRPr="00046858" w14:paraId="1E8E915B" w14:textId="77777777" w:rsidTr="00024D04">
        <w:trPr>
          <w:trHeight w:val="300"/>
        </w:trPr>
        <w:tc>
          <w:tcPr>
            <w:tcW w:w="1571" w:type="pct"/>
            <w:tcBorders>
              <w:top w:val="nil"/>
              <w:left w:val="single" w:sz="8" w:space="0" w:color="auto"/>
              <w:bottom w:val="single" w:sz="8" w:space="0" w:color="auto"/>
              <w:right w:val="single" w:sz="8" w:space="0" w:color="auto"/>
            </w:tcBorders>
            <w:vAlign w:val="center"/>
            <w:hideMark/>
          </w:tcPr>
          <w:p w14:paraId="3FFFE062" w14:textId="77777777" w:rsidR="00C67F54" w:rsidRPr="00046858" w:rsidRDefault="00C67F54">
            <w:pPr>
              <w:spacing w:before="0" w:after="0"/>
              <w:jc w:val="left"/>
              <w:rPr>
                <w:noProof/>
                <w:color w:val="000000"/>
                <w:sz w:val="16"/>
                <w:szCs w:val="16"/>
              </w:rPr>
            </w:pPr>
            <w:r w:rsidRPr="00046858">
              <w:rPr>
                <w:noProof/>
                <w:color w:val="000000"/>
                <w:sz w:val="16"/>
              </w:rPr>
              <w:t xml:space="preserve">Alte cheltuieli administrative </w:t>
            </w:r>
          </w:p>
        </w:tc>
        <w:tc>
          <w:tcPr>
            <w:tcW w:w="404" w:type="pct"/>
            <w:tcBorders>
              <w:top w:val="nil"/>
              <w:left w:val="nil"/>
              <w:bottom w:val="single" w:sz="8" w:space="0" w:color="auto"/>
              <w:right w:val="single" w:sz="8" w:space="0" w:color="auto"/>
            </w:tcBorders>
            <w:shd w:val="clear" w:color="000000" w:fill="D9D9D9"/>
            <w:vAlign w:val="center"/>
            <w:hideMark/>
          </w:tcPr>
          <w:p w14:paraId="564FEDDC" w14:textId="77777777" w:rsidR="00C67F54" w:rsidRPr="00046858" w:rsidRDefault="00C67F54">
            <w:pPr>
              <w:spacing w:before="0" w:after="0"/>
              <w:jc w:val="right"/>
              <w:rPr>
                <w:noProof/>
                <w:color w:val="000000"/>
                <w:sz w:val="16"/>
                <w:szCs w:val="16"/>
              </w:rPr>
            </w:pPr>
            <w:r w:rsidRPr="00046858">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5364FE17" w14:textId="77777777" w:rsidR="00C67F54" w:rsidRPr="00046858" w:rsidRDefault="00C67F54">
            <w:pPr>
              <w:spacing w:before="0" w:after="0"/>
              <w:jc w:val="right"/>
              <w:rPr>
                <w:noProof/>
                <w:color w:val="000000"/>
                <w:sz w:val="16"/>
                <w:szCs w:val="16"/>
              </w:rPr>
            </w:pPr>
            <w:r w:rsidRPr="00046858">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6474AB25" w14:textId="77777777" w:rsidR="00C67F54" w:rsidRPr="00046858" w:rsidRDefault="00C67F54">
            <w:pPr>
              <w:spacing w:before="0" w:after="0"/>
              <w:jc w:val="right"/>
              <w:rPr>
                <w:noProof/>
                <w:color w:val="000000"/>
                <w:sz w:val="16"/>
                <w:szCs w:val="16"/>
              </w:rPr>
            </w:pPr>
            <w:r w:rsidRPr="00046858">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6AD68EC5" w14:textId="77777777" w:rsidR="00C67F54" w:rsidRPr="00046858" w:rsidRDefault="00C67F54">
            <w:pPr>
              <w:spacing w:before="0" w:after="0"/>
              <w:jc w:val="right"/>
              <w:rPr>
                <w:noProof/>
                <w:color w:val="000000"/>
                <w:sz w:val="16"/>
                <w:szCs w:val="16"/>
              </w:rPr>
            </w:pPr>
            <w:r w:rsidRPr="00046858">
              <w:rPr>
                <w:noProof/>
                <w:color w:val="000000"/>
                <w:sz w:val="16"/>
              </w:rPr>
              <w:t>0,000</w:t>
            </w:r>
          </w:p>
        </w:tc>
        <w:tc>
          <w:tcPr>
            <w:tcW w:w="453" w:type="pct"/>
            <w:tcBorders>
              <w:top w:val="nil"/>
              <w:left w:val="nil"/>
              <w:bottom w:val="single" w:sz="8" w:space="0" w:color="auto"/>
              <w:right w:val="single" w:sz="4" w:space="0" w:color="auto"/>
            </w:tcBorders>
            <w:shd w:val="clear" w:color="000000" w:fill="D9D9D9"/>
            <w:vAlign w:val="center"/>
          </w:tcPr>
          <w:p w14:paraId="442FFDB9" w14:textId="77777777" w:rsidR="00C67F54" w:rsidRPr="00046858" w:rsidRDefault="00C67F54">
            <w:pPr>
              <w:spacing w:before="0" w:after="0"/>
              <w:jc w:val="center"/>
              <w:rPr>
                <w:b/>
                <w:bCs/>
                <w:noProof/>
                <w:color w:val="000000"/>
                <w:sz w:val="16"/>
                <w:szCs w:val="16"/>
              </w:rPr>
            </w:pPr>
            <w:r w:rsidRPr="00046858">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00257A41" w14:textId="77777777" w:rsidR="00C67F54" w:rsidRPr="00046858" w:rsidRDefault="00C67F54">
            <w:pPr>
              <w:spacing w:before="0" w:after="0"/>
              <w:jc w:val="center"/>
              <w:rPr>
                <w:b/>
                <w:bCs/>
                <w:noProof/>
                <w:color w:val="000000"/>
                <w:sz w:val="16"/>
                <w:szCs w:val="16"/>
              </w:rPr>
            </w:pPr>
            <w:r w:rsidRPr="00046858">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38CFAD23" w14:textId="77777777" w:rsidR="00C67F54" w:rsidRPr="00046858" w:rsidRDefault="00C67F54">
            <w:pPr>
              <w:spacing w:before="0" w:after="0"/>
              <w:jc w:val="center"/>
              <w:rPr>
                <w:b/>
                <w:bCs/>
                <w:noProof/>
                <w:color w:val="000000"/>
                <w:sz w:val="16"/>
                <w:szCs w:val="16"/>
              </w:rPr>
            </w:pPr>
            <w:r w:rsidRPr="00046858">
              <w:rPr>
                <w:noProof/>
                <w:color w:val="000000"/>
                <w:sz w:val="16"/>
              </w:rPr>
              <w:t>0,000</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14:paraId="1231E0ED" w14:textId="77777777" w:rsidR="00C67F54" w:rsidRPr="00046858" w:rsidRDefault="00C67F54">
            <w:pPr>
              <w:spacing w:before="0" w:after="0"/>
              <w:jc w:val="right"/>
              <w:rPr>
                <w:b/>
                <w:bCs/>
                <w:noProof/>
                <w:color w:val="000000"/>
                <w:sz w:val="16"/>
                <w:szCs w:val="16"/>
              </w:rPr>
            </w:pPr>
            <w:r w:rsidRPr="00046858">
              <w:rPr>
                <w:b/>
                <w:noProof/>
                <w:color w:val="000000"/>
                <w:sz w:val="16"/>
              </w:rPr>
              <w:t>0,000</w:t>
            </w:r>
          </w:p>
        </w:tc>
      </w:tr>
      <w:tr w:rsidR="00C67F54" w:rsidRPr="00046858" w14:paraId="0BE88D84" w14:textId="77777777" w:rsidTr="00024D04">
        <w:trPr>
          <w:trHeight w:val="300"/>
        </w:trPr>
        <w:tc>
          <w:tcPr>
            <w:tcW w:w="1571" w:type="pct"/>
            <w:tcBorders>
              <w:top w:val="nil"/>
              <w:left w:val="single" w:sz="8" w:space="0" w:color="auto"/>
              <w:bottom w:val="single" w:sz="8" w:space="0" w:color="auto"/>
              <w:right w:val="single" w:sz="8" w:space="0" w:color="auto"/>
            </w:tcBorders>
            <w:shd w:val="clear" w:color="000000" w:fill="CCCCCC"/>
            <w:vAlign w:val="center"/>
            <w:hideMark/>
          </w:tcPr>
          <w:p w14:paraId="5E6B1ECF" w14:textId="77777777" w:rsidR="00C67F54" w:rsidRPr="00046858" w:rsidRDefault="00C67F54">
            <w:pPr>
              <w:spacing w:before="0" w:after="0"/>
              <w:jc w:val="center"/>
              <w:rPr>
                <w:b/>
                <w:bCs/>
                <w:noProof/>
                <w:color w:val="000000"/>
                <w:sz w:val="16"/>
                <w:szCs w:val="16"/>
              </w:rPr>
            </w:pPr>
            <w:r w:rsidRPr="00046858">
              <w:rPr>
                <w:b/>
                <w:noProof/>
                <w:color w:val="000000"/>
                <w:sz w:val="16"/>
              </w:rPr>
              <w:t>Subtotal de la RUBRICA 4</w:t>
            </w:r>
          </w:p>
        </w:tc>
        <w:tc>
          <w:tcPr>
            <w:tcW w:w="404" w:type="pct"/>
            <w:tcBorders>
              <w:top w:val="nil"/>
              <w:left w:val="nil"/>
              <w:bottom w:val="single" w:sz="8" w:space="0" w:color="auto"/>
              <w:right w:val="single" w:sz="8" w:space="0" w:color="auto"/>
            </w:tcBorders>
            <w:shd w:val="clear" w:color="000000" w:fill="D9D9D9"/>
            <w:vAlign w:val="center"/>
            <w:hideMark/>
          </w:tcPr>
          <w:p w14:paraId="4E89C15E" w14:textId="77777777" w:rsidR="00C67F54" w:rsidRPr="00046858" w:rsidRDefault="00950538">
            <w:pPr>
              <w:spacing w:before="0" w:after="0"/>
              <w:jc w:val="right"/>
              <w:rPr>
                <w:b/>
                <w:bCs/>
                <w:noProof/>
                <w:color w:val="000000"/>
                <w:sz w:val="16"/>
                <w:szCs w:val="16"/>
              </w:rPr>
            </w:pPr>
            <w:r w:rsidRPr="00046858">
              <w:rPr>
                <w:b/>
                <w:noProof/>
                <w:color w:val="000000"/>
                <w:sz w:val="16"/>
              </w:rPr>
              <w:t>2,853</w:t>
            </w:r>
          </w:p>
        </w:tc>
        <w:tc>
          <w:tcPr>
            <w:tcW w:w="403" w:type="pct"/>
            <w:tcBorders>
              <w:top w:val="nil"/>
              <w:left w:val="nil"/>
              <w:bottom w:val="single" w:sz="8" w:space="0" w:color="auto"/>
              <w:right w:val="single" w:sz="8" w:space="0" w:color="auto"/>
            </w:tcBorders>
            <w:shd w:val="clear" w:color="000000" w:fill="D9D9D9"/>
            <w:vAlign w:val="center"/>
            <w:hideMark/>
          </w:tcPr>
          <w:p w14:paraId="15CC08A5" w14:textId="77777777" w:rsidR="00C67F54" w:rsidRPr="00046858" w:rsidRDefault="00950538">
            <w:pPr>
              <w:spacing w:before="0" w:after="0"/>
              <w:jc w:val="right"/>
              <w:rPr>
                <w:b/>
                <w:bCs/>
                <w:noProof/>
                <w:color w:val="000000"/>
                <w:sz w:val="16"/>
                <w:szCs w:val="16"/>
              </w:rPr>
            </w:pPr>
            <w:r w:rsidRPr="00046858">
              <w:rPr>
                <w:b/>
                <w:noProof/>
                <w:color w:val="000000"/>
                <w:sz w:val="16"/>
              </w:rPr>
              <w:t>2,853</w:t>
            </w:r>
          </w:p>
        </w:tc>
        <w:tc>
          <w:tcPr>
            <w:tcW w:w="403" w:type="pct"/>
            <w:tcBorders>
              <w:top w:val="nil"/>
              <w:left w:val="nil"/>
              <w:bottom w:val="single" w:sz="8" w:space="0" w:color="auto"/>
              <w:right w:val="single" w:sz="8" w:space="0" w:color="auto"/>
            </w:tcBorders>
            <w:shd w:val="clear" w:color="000000" w:fill="D9D9D9"/>
            <w:vAlign w:val="center"/>
            <w:hideMark/>
          </w:tcPr>
          <w:p w14:paraId="4F745F15" w14:textId="77777777" w:rsidR="00C67F54" w:rsidRPr="00046858" w:rsidRDefault="00950538">
            <w:pPr>
              <w:spacing w:before="0" w:after="0"/>
              <w:jc w:val="right"/>
              <w:rPr>
                <w:b/>
                <w:bCs/>
                <w:noProof/>
                <w:color w:val="000000"/>
                <w:sz w:val="16"/>
                <w:szCs w:val="16"/>
              </w:rPr>
            </w:pPr>
            <w:r w:rsidRPr="00046858">
              <w:rPr>
                <w:b/>
                <w:noProof/>
                <w:color w:val="000000"/>
                <w:sz w:val="16"/>
              </w:rPr>
              <w:t>2,853</w:t>
            </w:r>
          </w:p>
        </w:tc>
        <w:tc>
          <w:tcPr>
            <w:tcW w:w="403" w:type="pct"/>
            <w:tcBorders>
              <w:top w:val="nil"/>
              <w:left w:val="nil"/>
              <w:bottom w:val="single" w:sz="8" w:space="0" w:color="auto"/>
              <w:right w:val="single" w:sz="8" w:space="0" w:color="auto"/>
            </w:tcBorders>
            <w:shd w:val="clear" w:color="000000" w:fill="D9D9D9"/>
            <w:vAlign w:val="center"/>
            <w:hideMark/>
          </w:tcPr>
          <w:p w14:paraId="3E708ADC" w14:textId="77777777" w:rsidR="00C67F54" w:rsidRPr="00046858" w:rsidRDefault="00950538">
            <w:pPr>
              <w:spacing w:before="0" w:after="0"/>
              <w:jc w:val="right"/>
              <w:rPr>
                <w:b/>
                <w:bCs/>
                <w:noProof/>
                <w:color w:val="000000"/>
                <w:sz w:val="16"/>
                <w:szCs w:val="16"/>
              </w:rPr>
            </w:pPr>
            <w:r w:rsidRPr="00046858">
              <w:rPr>
                <w:b/>
                <w:noProof/>
                <w:color w:val="000000"/>
                <w:sz w:val="16"/>
              </w:rPr>
              <w:t>2,853</w:t>
            </w:r>
          </w:p>
        </w:tc>
        <w:tc>
          <w:tcPr>
            <w:tcW w:w="453" w:type="pct"/>
            <w:tcBorders>
              <w:top w:val="nil"/>
              <w:left w:val="nil"/>
              <w:bottom w:val="single" w:sz="8" w:space="0" w:color="auto"/>
              <w:right w:val="single" w:sz="4" w:space="0" w:color="auto"/>
            </w:tcBorders>
            <w:shd w:val="clear" w:color="000000" w:fill="D9D9D9"/>
            <w:vAlign w:val="center"/>
          </w:tcPr>
          <w:p w14:paraId="7E8BF8C7" w14:textId="77777777" w:rsidR="00C67F54" w:rsidRPr="00046858" w:rsidRDefault="00950538">
            <w:pPr>
              <w:spacing w:before="0" w:after="0"/>
              <w:jc w:val="center"/>
              <w:rPr>
                <w:b/>
                <w:bCs/>
                <w:noProof/>
                <w:color w:val="000000"/>
                <w:sz w:val="16"/>
                <w:szCs w:val="16"/>
              </w:rPr>
            </w:pPr>
            <w:r w:rsidRPr="00046858">
              <w:rPr>
                <w:b/>
                <w:noProof/>
                <w:color w:val="000000"/>
                <w:sz w:val="16"/>
              </w:rPr>
              <w:t>2,853</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5AD3E8D8" w14:textId="77777777" w:rsidR="00C67F54" w:rsidRPr="00046858" w:rsidRDefault="00950538">
            <w:pPr>
              <w:spacing w:before="0" w:after="0"/>
              <w:jc w:val="center"/>
              <w:rPr>
                <w:b/>
                <w:bCs/>
                <w:noProof/>
                <w:color w:val="000000"/>
                <w:sz w:val="16"/>
                <w:szCs w:val="16"/>
              </w:rPr>
            </w:pPr>
            <w:r w:rsidRPr="00046858">
              <w:rPr>
                <w:b/>
                <w:noProof/>
                <w:color w:val="000000"/>
                <w:sz w:val="16"/>
              </w:rPr>
              <w:t>2,853</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0E989EBB" w14:textId="77777777" w:rsidR="00C67F54" w:rsidRPr="00046858" w:rsidRDefault="00950538">
            <w:pPr>
              <w:spacing w:before="0" w:after="0"/>
              <w:jc w:val="center"/>
              <w:rPr>
                <w:b/>
                <w:bCs/>
                <w:noProof/>
                <w:color w:val="000000"/>
                <w:sz w:val="16"/>
                <w:szCs w:val="16"/>
              </w:rPr>
            </w:pPr>
            <w:r w:rsidRPr="00046858">
              <w:rPr>
                <w:b/>
                <w:noProof/>
                <w:color w:val="000000"/>
                <w:sz w:val="16"/>
              </w:rPr>
              <w:t>2,853</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14:paraId="100E33DE" w14:textId="77777777" w:rsidR="00C67F54" w:rsidRPr="00046858" w:rsidRDefault="00950538">
            <w:pPr>
              <w:spacing w:before="0" w:after="0"/>
              <w:jc w:val="right"/>
              <w:rPr>
                <w:b/>
                <w:bCs/>
                <w:noProof/>
                <w:color w:val="000000"/>
                <w:sz w:val="16"/>
                <w:szCs w:val="16"/>
              </w:rPr>
            </w:pPr>
            <w:r w:rsidRPr="00046858">
              <w:rPr>
                <w:b/>
                <w:noProof/>
                <w:color w:val="000000"/>
                <w:sz w:val="16"/>
              </w:rPr>
              <w:t>19,971</w:t>
            </w:r>
          </w:p>
        </w:tc>
      </w:tr>
      <w:tr w:rsidR="00C67F54" w:rsidRPr="00046858" w14:paraId="02EA6803"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7389A777" w14:textId="77777777" w:rsidR="00C67F54" w:rsidRPr="00046858" w:rsidRDefault="00C67F54">
            <w:pPr>
              <w:spacing w:before="0" w:after="0"/>
              <w:jc w:val="center"/>
              <w:rPr>
                <w:b/>
                <w:bCs/>
                <w:noProof/>
                <w:sz w:val="16"/>
                <w:szCs w:val="16"/>
              </w:rPr>
            </w:pPr>
            <w:r w:rsidRPr="00046858">
              <w:rPr>
                <w:b/>
                <w:noProof/>
                <w:sz w:val="16"/>
              </w:rPr>
              <w:t>În afara RUBRICII 4</w:t>
            </w:r>
          </w:p>
        </w:tc>
      </w:tr>
      <w:tr w:rsidR="00C67F54" w:rsidRPr="00046858" w14:paraId="48F7D627" w14:textId="77777777" w:rsidTr="00024D04">
        <w:trPr>
          <w:trHeight w:val="300"/>
        </w:trPr>
        <w:tc>
          <w:tcPr>
            <w:tcW w:w="1571" w:type="pct"/>
            <w:tcBorders>
              <w:top w:val="nil"/>
              <w:left w:val="single" w:sz="8" w:space="0" w:color="auto"/>
              <w:bottom w:val="single" w:sz="8" w:space="0" w:color="auto"/>
              <w:right w:val="single" w:sz="8" w:space="0" w:color="auto"/>
            </w:tcBorders>
            <w:vAlign w:val="center"/>
            <w:hideMark/>
          </w:tcPr>
          <w:p w14:paraId="75A4DE3A" w14:textId="77777777" w:rsidR="00C67F54" w:rsidRPr="00046858" w:rsidRDefault="00C67F54">
            <w:pPr>
              <w:spacing w:before="0" w:after="0"/>
              <w:jc w:val="left"/>
              <w:rPr>
                <w:noProof/>
                <w:color w:val="000000"/>
                <w:sz w:val="16"/>
                <w:szCs w:val="16"/>
              </w:rPr>
            </w:pPr>
            <w:r w:rsidRPr="00046858">
              <w:rPr>
                <w:noProof/>
                <w:color w:val="000000"/>
                <w:sz w:val="16"/>
              </w:rPr>
              <w:t xml:space="preserve">Resurse umane </w:t>
            </w:r>
          </w:p>
        </w:tc>
        <w:tc>
          <w:tcPr>
            <w:tcW w:w="404" w:type="pct"/>
            <w:tcBorders>
              <w:top w:val="nil"/>
              <w:left w:val="nil"/>
              <w:bottom w:val="single" w:sz="8" w:space="0" w:color="auto"/>
              <w:right w:val="single" w:sz="8" w:space="0" w:color="auto"/>
            </w:tcBorders>
            <w:shd w:val="clear" w:color="000000" w:fill="D9D9D9"/>
            <w:vAlign w:val="center"/>
            <w:hideMark/>
          </w:tcPr>
          <w:p w14:paraId="50EE5E8B" w14:textId="77777777" w:rsidR="00C67F54" w:rsidRPr="00046858" w:rsidRDefault="00C67F54">
            <w:pPr>
              <w:spacing w:before="0" w:after="0"/>
              <w:jc w:val="right"/>
              <w:rPr>
                <w:noProof/>
                <w:color w:val="000000"/>
                <w:sz w:val="16"/>
                <w:szCs w:val="16"/>
              </w:rPr>
            </w:pPr>
            <w:r w:rsidRPr="00046858">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63ADD4A2" w14:textId="77777777" w:rsidR="00C67F54" w:rsidRPr="00046858" w:rsidRDefault="00C67F54">
            <w:pPr>
              <w:spacing w:before="0" w:after="0"/>
              <w:jc w:val="right"/>
              <w:rPr>
                <w:noProof/>
                <w:color w:val="000000"/>
                <w:sz w:val="16"/>
                <w:szCs w:val="16"/>
              </w:rPr>
            </w:pPr>
            <w:r w:rsidRPr="00046858">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1EC33866" w14:textId="77777777" w:rsidR="00C67F54" w:rsidRPr="00046858" w:rsidRDefault="00C67F54">
            <w:pPr>
              <w:spacing w:before="0" w:after="0"/>
              <w:jc w:val="right"/>
              <w:rPr>
                <w:noProof/>
                <w:color w:val="000000"/>
                <w:sz w:val="16"/>
                <w:szCs w:val="16"/>
              </w:rPr>
            </w:pPr>
            <w:r w:rsidRPr="00046858">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425769F6" w14:textId="77777777" w:rsidR="00C67F54" w:rsidRPr="00046858" w:rsidRDefault="00C67F54">
            <w:pPr>
              <w:spacing w:before="0" w:after="0"/>
              <w:jc w:val="right"/>
              <w:rPr>
                <w:noProof/>
                <w:color w:val="000000"/>
                <w:sz w:val="16"/>
                <w:szCs w:val="16"/>
              </w:rPr>
            </w:pPr>
            <w:r w:rsidRPr="00046858">
              <w:rPr>
                <w:noProof/>
                <w:color w:val="000000"/>
                <w:sz w:val="16"/>
              </w:rPr>
              <w:t>0,000</w:t>
            </w:r>
          </w:p>
        </w:tc>
        <w:tc>
          <w:tcPr>
            <w:tcW w:w="453" w:type="pct"/>
            <w:tcBorders>
              <w:top w:val="nil"/>
              <w:left w:val="nil"/>
              <w:bottom w:val="single" w:sz="8" w:space="0" w:color="auto"/>
              <w:right w:val="single" w:sz="4" w:space="0" w:color="auto"/>
            </w:tcBorders>
            <w:shd w:val="clear" w:color="000000" w:fill="D9D9D9"/>
            <w:vAlign w:val="center"/>
          </w:tcPr>
          <w:p w14:paraId="2E88D218" w14:textId="77777777" w:rsidR="00C67F54" w:rsidRPr="00046858" w:rsidRDefault="00C67F54">
            <w:pPr>
              <w:spacing w:before="0" w:after="0"/>
              <w:jc w:val="center"/>
              <w:rPr>
                <w:b/>
                <w:noProof/>
                <w:color w:val="000000"/>
                <w:sz w:val="16"/>
                <w:szCs w:val="16"/>
              </w:rPr>
            </w:pPr>
            <w:r w:rsidRPr="00046858">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51F0A062" w14:textId="77777777" w:rsidR="00C67F54" w:rsidRPr="00046858" w:rsidRDefault="00C67F54">
            <w:pPr>
              <w:spacing w:before="0" w:after="0"/>
              <w:jc w:val="center"/>
              <w:rPr>
                <w:b/>
                <w:noProof/>
                <w:color w:val="000000"/>
                <w:sz w:val="16"/>
                <w:szCs w:val="16"/>
              </w:rPr>
            </w:pPr>
            <w:r w:rsidRPr="00046858">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1745BC40" w14:textId="77777777" w:rsidR="00C67F54" w:rsidRPr="00046858" w:rsidRDefault="00C67F54">
            <w:pPr>
              <w:spacing w:before="0" w:after="0"/>
              <w:jc w:val="center"/>
              <w:rPr>
                <w:b/>
                <w:noProof/>
                <w:color w:val="000000"/>
                <w:sz w:val="16"/>
                <w:szCs w:val="16"/>
              </w:rPr>
            </w:pPr>
            <w:r w:rsidRPr="00046858">
              <w:rPr>
                <w:noProof/>
                <w:color w:val="000000"/>
                <w:sz w:val="16"/>
              </w:rPr>
              <w:t>0,000</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14:paraId="6953A542" w14:textId="77777777" w:rsidR="00C67F54" w:rsidRPr="00046858" w:rsidRDefault="00024D04">
            <w:pPr>
              <w:spacing w:before="0" w:after="0"/>
              <w:jc w:val="right"/>
              <w:rPr>
                <w:b/>
                <w:noProof/>
                <w:color w:val="000000"/>
                <w:sz w:val="16"/>
                <w:szCs w:val="16"/>
              </w:rPr>
            </w:pPr>
            <w:r w:rsidRPr="00046858">
              <w:rPr>
                <w:b/>
                <w:noProof/>
                <w:color w:val="000000"/>
                <w:sz w:val="16"/>
              </w:rPr>
              <w:t>0,000</w:t>
            </w:r>
          </w:p>
        </w:tc>
      </w:tr>
      <w:tr w:rsidR="00C67F54" w:rsidRPr="00046858" w14:paraId="7C8FE9C8" w14:textId="77777777" w:rsidTr="00024D04">
        <w:trPr>
          <w:trHeight w:val="300"/>
        </w:trPr>
        <w:tc>
          <w:tcPr>
            <w:tcW w:w="1571" w:type="pct"/>
            <w:tcBorders>
              <w:top w:val="nil"/>
              <w:left w:val="single" w:sz="8" w:space="0" w:color="auto"/>
              <w:bottom w:val="single" w:sz="8" w:space="0" w:color="auto"/>
              <w:right w:val="single" w:sz="8" w:space="0" w:color="auto"/>
            </w:tcBorders>
            <w:vAlign w:val="center"/>
            <w:hideMark/>
          </w:tcPr>
          <w:p w14:paraId="66DF75B3" w14:textId="77777777" w:rsidR="00C67F54" w:rsidRPr="00046858" w:rsidRDefault="00C67F54">
            <w:pPr>
              <w:spacing w:before="0" w:after="0"/>
              <w:jc w:val="left"/>
              <w:rPr>
                <w:noProof/>
                <w:color w:val="000000"/>
                <w:sz w:val="16"/>
                <w:szCs w:val="16"/>
              </w:rPr>
            </w:pPr>
            <w:r w:rsidRPr="00046858">
              <w:rPr>
                <w:noProof/>
                <w:color w:val="000000"/>
                <w:sz w:val="16"/>
              </w:rPr>
              <w:t>Alte cheltuieli cu caracter administrativ</w:t>
            </w:r>
          </w:p>
        </w:tc>
        <w:tc>
          <w:tcPr>
            <w:tcW w:w="404" w:type="pct"/>
            <w:tcBorders>
              <w:top w:val="nil"/>
              <w:left w:val="nil"/>
              <w:bottom w:val="single" w:sz="8" w:space="0" w:color="auto"/>
              <w:right w:val="single" w:sz="8" w:space="0" w:color="auto"/>
            </w:tcBorders>
            <w:shd w:val="clear" w:color="000000" w:fill="D9D9D9"/>
            <w:vAlign w:val="center"/>
            <w:hideMark/>
          </w:tcPr>
          <w:p w14:paraId="25B34492" w14:textId="77777777" w:rsidR="00C67F54" w:rsidRPr="00046858" w:rsidRDefault="00C67F54">
            <w:pPr>
              <w:spacing w:before="0" w:after="0"/>
              <w:jc w:val="right"/>
              <w:rPr>
                <w:noProof/>
                <w:color w:val="000000"/>
                <w:sz w:val="16"/>
                <w:szCs w:val="16"/>
              </w:rPr>
            </w:pPr>
            <w:r w:rsidRPr="00046858">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695A6822" w14:textId="77777777" w:rsidR="00C67F54" w:rsidRPr="00046858" w:rsidRDefault="00C67F54">
            <w:pPr>
              <w:spacing w:before="0" w:after="0"/>
              <w:jc w:val="right"/>
              <w:rPr>
                <w:noProof/>
                <w:color w:val="000000"/>
                <w:sz w:val="16"/>
                <w:szCs w:val="16"/>
              </w:rPr>
            </w:pPr>
            <w:r w:rsidRPr="00046858">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4C59CB0D" w14:textId="77777777" w:rsidR="00C67F54" w:rsidRPr="00046858" w:rsidRDefault="00C67F54">
            <w:pPr>
              <w:spacing w:before="0" w:after="0"/>
              <w:jc w:val="right"/>
              <w:rPr>
                <w:noProof/>
                <w:color w:val="000000"/>
                <w:sz w:val="16"/>
                <w:szCs w:val="16"/>
              </w:rPr>
            </w:pPr>
            <w:r w:rsidRPr="00046858">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2BCF7E60" w14:textId="77777777" w:rsidR="00C67F54" w:rsidRPr="00046858" w:rsidRDefault="00C67F54">
            <w:pPr>
              <w:spacing w:before="0" w:after="0"/>
              <w:jc w:val="right"/>
              <w:rPr>
                <w:noProof/>
                <w:color w:val="000000"/>
                <w:sz w:val="16"/>
                <w:szCs w:val="16"/>
              </w:rPr>
            </w:pPr>
            <w:r w:rsidRPr="00046858">
              <w:rPr>
                <w:noProof/>
                <w:color w:val="000000"/>
                <w:sz w:val="16"/>
              </w:rPr>
              <w:t>0,000</w:t>
            </w:r>
          </w:p>
        </w:tc>
        <w:tc>
          <w:tcPr>
            <w:tcW w:w="453" w:type="pct"/>
            <w:tcBorders>
              <w:top w:val="nil"/>
              <w:left w:val="nil"/>
              <w:bottom w:val="single" w:sz="8" w:space="0" w:color="auto"/>
              <w:right w:val="single" w:sz="4" w:space="0" w:color="auto"/>
            </w:tcBorders>
            <w:shd w:val="clear" w:color="000000" w:fill="D9D9D9"/>
            <w:vAlign w:val="center"/>
          </w:tcPr>
          <w:p w14:paraId="522FFBBF" w14:textId="77777777" w:rsidR="00C67F54" w:rsidRPr="00046858" w:rsidRDefault="00C67F54">
            <w:pPr>
              <w:spacing w:before="0" w:after="0"/>
              <w:jc w:val="center"/>
              <w:rPr>
                <w:b/>
                <w:noProof/>
                <w:color w:val="000000"/>
                <w:sz w:val="16"/>
                <w:szCs w:val="16"/>
              </w:rPr>
            </w:pPr>
            <w:r w:rsidRPr="00046858">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15D9A42F" w14:textId="77777777" w:rsidR="00C67F54" w:rsidRPr="00046858" w:rsidRDefault="00C67F54">
            <w:pPr>
              <w:spacing w:before="0" w:after="0"/>
              <w:jc w:val="center"/>
              <w:rPr>
                <w:b/>
                <w:noProof/>
                <w:color w:val="000000"/>
                <w:sz w:val="16"/>
                <w:szCs w:val="16"/>
              </w:rPr>
            </w:pPr>
            <w:r w:rsidRPr="00046858">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597C51B9" w14:textId="77777777" w:rsidR="00C67F54" w:rsidRPr="00046858" w:rsidRDefault="00C67F54">
            <w:pPr>
              <w:spacing w:before="0" w:after="0"/>
              <w:jc w:val="center"/>
              <w:rPr>
                <w:b/>
                <w:noProof/>
                <w:color w:val="000000"/>
                <w:sz w:val="16"/>
                <w:szCs w:val="16"/>
              </w:rPr>
            </w:pPr>
            <w:r w:rsidRPr="00046858">
              <w:rPr>
                <w:noProof/>
                <w:color w:val="000000"/>
                <w:sz w:val="16"/>
              </w:rPr>
              <w:t>0,000</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14:paraId="11581E52" w14:textId="77777777" w:rsidR="00C67F54" w:rsidRPr="00046858" w:rsidRDefault="00C67F54">
            <w:pPr>
              <w:spacing w:before="0" w:after="0"/>
              <w:jc w:val="right"/>
              <w:rPr>
                <w:b/>
                <w:noProof/>
                <w:color w:val="000000"/>
                <w:sz w:val="16"/>
                <w:szCs w:val="16"/>
              </w:rPr>
            </w:pPr>
            <w:r w:rsidRPr="00046858">
              <w:rPr>
                <w:b/>
                <w:noProof/>
                <w:color w:val="000000"/>
                <w:sz w:val="16"/>
              </w:rPr>
              <w:t>0,000</w:t>
            </w:r>
          </w:p>
        </w:tc>
      </w:tr>
      <w:tr w:rsidR="00C67F54" w:rsidRPr="00046858" w14:paraId="7F91330E" w14:textId="77777777" w:rsidTr="00024D04">
        <w:trPr>
          <w:trHeight w:val="300"/>
        </w:trPr>
        <w:tc>
          <w:tcPr>
            <w:tcW w:w="1571" w:type="pct"/>
            <w:tcBorders>
              <w:top w:val="nil"/>
              <w:left w:val="single" w:sz="8" w:space="0" w:color="auto"/>
              <w:bottom w:val="single" w:sz="8" w:space="0" w:color="auto"/>
              <w:right w:val="single" w:sz="8" w:space="0" w:color="auto"/>
            </w:tcBorders>
            <w:shd w:val="clear" w:color="000000" w:fill="CCCCCC"/>
            <w:vAlign w:val="center"/>
            <w:hideMark/>
          </w:tcPr>
          <w:p w14:paraId="38088E20" w14:textId="77777777" w:rsidR="00C67F54" w:rsidRPr="00046858" w:rsidRDefault="00C67F54">
            <w:pPr>
              <w:spacing w:before="0" w:after="0"/>
              <w:jc w:val="center"/>
              <w:rPr>
                <w:b/>
                <w:noProof/>
                <w:color w:val="000000"/>
                <w:sz w:val="16"/>
                <w:szCs w:val="16"/>
              </w:rPr>
            </w:pPr>
            <w:r w:rsidRPr="00046858">
              <w:rPr>
                <w:b/>
                <w:noProof/>
                <w:color w:val="000000"/>
                <w:sz w:val="16"/>
              </w:rPr>
              <w:t>Subtotal în afara RUBRICII 4</w:t>
            </w:r>
          </w:p>
        </w:tc>
        <w:tc>
          <w:tcPr>
            <w:tcW w:w="404" w:type="pct"/>
            <w:tcBorders>
              <w:top w:val="nil"/>
              <w:left w:val="nil"/>
              <w:bottom w:val="single" w:sz="8" w:space="0" w:color="auto"/>
              <w:right w:val="single" w:sz="8" w:space="0" w:color="auto"/>
            </w:tcBorders>
            <w:shd w:val="clear" w:color="000000" w:fill="D9D9D9"/>
            <w:vAlign w:val="center"/>
            <w:hideMark/>
          </w:tcPr>
          <w:p w14:paraId="3B412DD4" w14:textId="77777777" w:rsidR="00C67F54" w:rsidRPr="00046858" w:rsidRDefault="00C67F54">
            <w:pPr>
              <w:spacing w:before="0" w:after="0"/>
              <w:jc w:val="right"/>
              <w:rPr>
                <w:b/>
                <w:noProof/>
                <w:color w:val="000000"/>
                <w:sz w:val="16"/>
                <w:szCs w:val="16"/>
              </w:rPr>
            </w:pPr>
            <w:r w:rsidRPr="00046858">
              <w:rPr>
                <w:b/>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4E87ED70" w14:textId="77777777" w:rsidR="00C67F54" w:rsidRPr="00046858" w:rsidRDefault="00C67F54">
            <w:pPr>
              <w:spacing w:before="0" w:after="0"/>
              <w:jc w:val="right"/>
              <w:rPr>
                <w:b/>
                <w:noProof/>
                <w:color w:val="000000"/>
                <w:sz w:val="16"/>
                <w:szCs w:val="16"/>
              </w:rPr>
            </w:pPr>
            <w:r w:rsidRPr="00046858">
              <w:rPr>
                <w:b/>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4FACD035" w14:textId="77777777" w:rsidR="00C67F54" w:rsidRPr="00046858" w:rsidRDefault="00C67F54">
            <w:pPr>
              <w:spacing w:before="0" w:after="0"/>
              <w:jc w:val="right"/>
              <w:rPr>
                <w:b/>
                <w:noProof/>
                <w:color w:val="000000"/>
                <w:sz w:val="16"/>
                <w:szCs w:val="16"/>
              </w:rPr>
            </w:pPr>
            <w:r w:rsidRPr="00046858">
              <w:rPr>
                <w:b/>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14:paraId="33BC5806" w14:textId="77777777" w:rsidR="00C67F54" w:rsidRPr="00046858" w:rsidRDefault="00C67F54">
            <w:pPr>
              <w:spacing w:before="0" w:after="0"/>
              <w:jc w:val="right"/>
              <w:rPr>
                <w:b/>
                <w:noProof/>
                <w:color w:val="000000"/>
                <w:sz w:val="16"/>
                <w:szCs w:val="16"/>
              </w:rPr>
            </w:pPr>
            <w:r w:rsidRPr="00046858">
              <w:rPr>
                <w:b/>
                <w:noProof/>
                <w:color w:val="000000"/>
                <w:sz w:val="16"/>
              </w:rPr>
              <w:t>0,000</w:t>
            </w:r>
          </w:p>
        </w:tc>
        <w:tc>
          <w:tcPr>
            <w:tcW w:w="453" w:type="pct"/>
            <w:tcBorders>
              <w:top w:val="nil"/>
              <w:left w:val="nil"/>
              <w:bottom w:val="single" w:sz="8" w:space="0" w:color="auto"/>
              <w:right w:val="single" w:sz="4" w:space="0" w:color="auto"/>
            </w:tcBorders>
            <w:shd w:val="clear" w:color="000000" w:fill="D9D9D9"/>
            <w:vAlign w:val="center"/>
          </w:tcPr>
          <w:p w14:paraId="5B899EB1" w14:textId="77777777" w:rsidR="00C67F54" w:rsidRPr="00046858" w:rsidRDefault="00C67F54">
            <w:pPr>
              <w:spacing w:before="0" w:after="0"/>
              <w:jc w:val="center"/>
              <w:rPr>
                <w:b/>
                <w:noProof/>
                <w:color w:val="000000"/>
                <w:sz w:val="16"/>
                <w:szCs w:val="16"/>
              </w:rPr>
            </w:pPr>
            <w:r w:rsidRPr="00046858">
              <w:rPr>
                <w:b/>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4999D533" w14:textId="77777777" w:rsidR="00C67F54" w:rsidRPr="00046858" w:rsidRDefault="00C67F54">
            <w:pPr>
              <w:spacing w:before="0" w:after="0"/>
              <w:jc w:val="center"/>
              <w:rPr>
                <w:b/>
                <w:noProof/>
                <w:color w:val="000000"/>
                <w:sz w:val="16"/>
                <w:szCs w:val="16"/>
              </w:rPr>
            </w:pPr>
            <w:r w:rsidRPr="00046858">
              <w:rPr>
                <w:b/>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2D94EAC2" w14:textId="77777777" w:rsidR="00C67F54" w:rsidRPr="00046858" w:rsidRDefault="00C67F54">
            <w:pPr>
              <w:spacing w:before="0" w:after="0"/>
              <w:jc w:val="center"/>
              <w:rPr>
                <w:b/>
                <w:noProof/>
                <w:color w:val="000000"/>
                <w:sz w:val="16"/>
                <w:szCs w:val="16"/>
              </w:rPr>
            </w:pPr>
            <w:r w:rsidRPr="00046858">
              <w:rPr>
                <w:b/>
                <w:noProof/>
                <w:color w:val="000000"/>
                <w:sz w:val="16"/>
              </w:rPr>
              <w:t>0,000</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14:paraId="44FED72A" w14:textId="77777777" w:rsidR="00C67F54" w:rsidRPr="00046858" w:rsidRDefault="00024D04">
            <w:pPr>
              <w:spacing w:before="0" w:after="0"/>
              <w:jc w:val="right"/>
              <w:rPr>
                <w:b/>
                <w:bCs/>
                <w:noProof/>
                <w:color w:val="000000"/>
                <w:sz w:val="16"/>
                <w:szCs w:val="16"/>
              </w:rPr>
            </w:pPr>
            <w:r w:rsidRPr="00046858">
              <w:rPr>
                <w:b/>
                <w:noProof/>
                <w:color w:val="000000"/>
                <w:sz w:val="16"/>
              </w:rPr>
              <w:t>0,000</w:t>
            </w:r>
          </w:p>
        </w:tc>
      </w:tr>
      <w:tr w:rsidR="00C67F54" w:rsidRPr="00046858" w14:paraId="16FD5C88"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tcPr>
          <w:p w14:paraId="0060A743" w14:textId="77777777" w:rsidR="00C67F54" w:rsidRPr="00046858" w:rsidRDefault="00C67F54">
            <w:pPr>
              <w:spacing w:before="0" w:after="0"/>
              <w:jc w:val="center"/>
              <w:rPr>
                <w:noProof/>
                <w:color w:val="000000"/>
                <w:sz w:val="16"/>
                <w:szCs w:val="16"/>
                <w:lang w:eastAsia="en-IE"/>
              </w:rPr>
            </w:pPr>
          </w:p>
        </w:tc>
      </w:tr>
      <w:tr w:rsidR="00C67F54" w:rsidRPr="00046858" w14:paraId="799EF652" w14:textId="77777777" w:rsidTr="00024D04">
        <w:trPr>
          <w:trHeight w:val="300"/>
        </w:trPr>
        <w:tc>
          <w:tcPr>
            <w:tcW w:w="1571" w:type="pct"/>
            <w:tcBorders>
              <w:top w:val="nil"/>
              <w:left w:val="single" w:sz="8" w:space="0" w:color="auto"/>
              <w:bottom w:val="single" w:sz="8" w:space="0" w:color="auto"/>
              <w:right w:val="single" w:sz="8" w:space="0" w:color="auto"/>
            </w:tcBorders>
            <w:vAlign w:val="center"/>
            <w:hideMark/>
          </w:tcPr>
          <w:p w14:paraId="10D380D0" w14:textId="77777777" w:rsidR="00C67F54" w:rsidRPr="00046858" w:rsidRDefault="00C67F54">
            <w:pPr>
              <w:spacing w:before="0" w:after="0"/>
              <w:jc w:val="center"/>
              <w:rPr>
                <w:b/>
                <w:bCs/>
                <w:noProof/>
                <w:color w:val="000000"/>
                <w:sz w:val="16"/>
                <w:szCs w:val="16"/>
              </w:rPr>
            </w:pPr>
            <w:r w:rsidRPr="00046858">
              <w:rPr>
                <w:b/>
                <w:noProof/>
                <w:color w:val="000000"/>
                <w:sz w:val="16"/>
              </w:rPr>
              <w:t>TOTAL</w:t>
            </w:r>
          </w:p>
        </w:tc>
        <w:tc>
          <w:tcPr>
            <w:tcW w:w="404" w:type="pct"/>
            <w:tcBorders>
              <w:top w:val="nil"/>
              <w:left w:val="nil"/>
              <w:bottom w:val="single" w:sz="8" w:space="0" w:color="auto"/>
              <w:right w:val="single" w:sz="8" w:space="0" w:color="auto"/>
            </w:tcBorders>
            <w:shd w:val="clear" w:color="000000" w:fill="D9D9D9"/>
            <w:vAlign w:val="center"/>
            <w:hideMark/>
          </w:tcPr>
          <w:p w14:paraId="1D015E46" w14:textId="77777777" w:rsidR="00C67F54" w:rsidRPr="00046858" w:rsidRDefault="00024D04">
            <w:pPr>
              <w:spacing w:before="0" w:after="0"/>
              <w:jc w:val="right"/>
              <w:rPr>
                <w:b/>
                <w:bCs/>
                <w:noProof/>
                <w:color w:val="000000"/>
                <w:sz w:val="16"/>
                <w:szCs w:val="16"/>
              </w:rPr>
            </w:pPr>
            <w:r w:rsidRPr="00046858">
              <w:rPr>
                <w:b/>
                <w:noProof/>
                <w:color w:val="000000"/>
                <w:sz w:val="16"/>
              </w:rPr>
              <w:t>2,853</w:t>
            </w:r>
          </w:p>
        </w:tc>
        <w:tc>
          <w:tcPr>
            <w:tcW w:w="403" w:type="pct"/>
            <w:tcBorders>
              <w:top w:val="nil"/>
              <w:left w:val="nil"/>
              <w:bottom w:val="single" w:sz="8" w:space="0" w:color="auto"/>
              <w:right w:val="single" w:sz="8" w:space="0" w:color="auto"/>
            </w:tcBorders>
            <w:shd w:val="clear" w:color="000000" w:fill="D9D9D9"/>
            <w:vAlign w:val="center"/>
            <w:hideMark/>
          </w:tcPr>
          <w:p w14:paraId="588A5DA1" w14:textId="77777777" w:rsidR="00C67F54" w:rsidRPr="00046858" w:rsidRDefault="00024D04">
            <w:pPr>
              <w:spacing w:before="0" w:after="0"/>
              <w:jc w:val="right"/>
              <w:rPr>
                <w:b/>
                <w:bCs/>
                <w:noProof/>
                <w:color w:val="000000"/>
                <w:sz w:val="16"/>
                <w:szCs w:val="16"/>
              </w:rPr>
            </w:pPr>
            <w:r w:rsidRPr="00046858">
              <w:rPr>
                <w:b/>
                <w:noProof/>
                <w:color w:val="000000"/>
                <w:sz w:val="16"/>
              </w:rPr>
              <w:t>2,853</w:t>
            </w:r>
          </w:p>
        </w:tc>
        <w:tc>
          <w:tcPr>
            <w:tcW w:w="403" w:type="pct"/>
            <w:tcBorders>
              <w:top w:val="nil"/>
              <w:left w:val="nil"/>
              <w:bottom w:val="single" w:sz="8" w:space="0" w:color="auto"/>
              <w:right w:val="single" w:sz="8" w:space="0" w:color="auto"/>
            </w:tcBorders>
            <w:shd w:val="clear" w:color="000000" w:fill="D9D9D9"/>
            <w:vAlign w:val="center"/>
            <w:hideMark/>
          </w:tcPr>
          <w:p w14:paraId="4F36D05D" w14:textId="77777777" w:rsidR="00C67F54" w:rsidRPr="00046858" w:rsidRDefault="00024D04">
            <w:pPr>
              <w:spacing w:before="0" w:after="0"/>
              <w:jc w:val="right"/>
              <w:rPr>
                <w:b/>
                <w:bCs/>
                <w:noProof/>
                <w:color w:val="000000"/>
                <w:sz w:val="16"/>
                <w:szCs w:val="16"/>
              </w:rPr>
            </w:pPr>
            <w:r w:rsidRPr="00046858">
              <w:rPr>
                <w:b/>
                <w:noProof/>
                <w:color w:val="000000"/>
                <w:sz w:val="16"/>
              </w:rPr>
              <w:t>2,853</w:t>
            </w:r>
          </w:p>
        </w:tc>
        <w:tc>
          <w:tcPr>
            <w:tcW w:w="403" w:type="pct"/>
            <w:tcBorders>
              <w:top w:val="nil"/>
              <w:left w:val="nil"/>
              <w:bottom w:val="single" w:sz="8" w:space="0" w:color="auto"/>
              <w:right w:val="single" w:sz="8" w:space="0" w:color="auto"/>
            </w:tcBorders>
            <w:shd w:val="clear" w:color="000000" w:fill="D9D9D9"/>
            <w:vAlign w:val="center"/>
            <w:hideMark/>
          </w:tcPr>
          <w:p w14:paraId="04E468B0" w14:textId="77777777" w:rsidR="00C67F54" w:rsidRPr="00046858" w:rsidRDefault="00024D04">
            <w:pPr>
              <w:spacing w:before="0" w:after="0"/>
              <w:jc w:val="right"/>
              <w:rPr>
                <w:b/>
                <w:bCs/>
                <w:noProof/>
                <w:color w:val="000000"/>
                <w:sz w:val="16"/>
                <w:szCs w:val="16"/>
              </w:rPr>
            </w:pPr>
            <w:r w:rsidRPr="00046858">
              <w:rPr>
                <w:b/>
                <w:noProof/>
                <w:color w:val="000000"/>
                <w:sz w:val="16"/>
              </w:rPr>
              <w:t>2,853</w:t>
            </w:r>
          </w:p>
        </w:tc>
        <w:tc>
          <w:tcPr>
            <w:tcW w:w="453" w:type="pct"/>
            <w:tcBorders>
              <w:top w:val="nil"/>
              <w:left w:val="nil"/>
              <w:bottom w:val="single" w:sz="8" w:space="0" w:color="auto"/>
              <w:right w:val="single" w:sz="4" w:space="0" w:color="auto"/>
            </w:tcBorders>
            <w:shd w:val="clear" w:color="000000" w:fill="D9D9D9"/>
            <w:vAlign w:val="center"/>
          </w:tcPr>
          <w:p w14:paraId="4990E6CD" w14:textId="77777777" w:rsidR="00C67F54" w:rsidRPr="00046858" w:rsidRDefault="00024D04">
            <w:pPr>
              <w:spacing w:before="0" w:after="0"/>
              <w:jc w:val="center"/>
              <w:rPr>
                <w:b/>
                <w:bCs/>
                <w:noProof/>
                <w:color w:val="000000"/>
                <w:sz w:val="16"/>
                <w:szCs w:val="16"/>
              </w:rPr>
            </w:pPr>
            <w:r w:rsidRPr="00046858">
              <w:rPr>
                <w:b/>
                <w:noProof/>
                <w:color w:val="000000"/>
                <w:sz w:val="16"/>
              </w:rPr>
              <w:t>2,853</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56F32F85" w14:textId="77777777" w:rsidR="00C67F54" w:rsidRPr="00046858" w:rsidRDefault="00024D04">
            <w:pPr>
              <w:spacing w:before="0" w:after="0"/>
              <w:jc w:val="center"/>
              <w:rPr>
                <w:b/>
                <w:bCs/>
                <w:noProof/>
                <w:color w:val="000000"/>
                <w:sz w:val="16"/>
                <w:szCs w:val="16"/>
              </w:rPr>
            </w:pPr>
            <w:r w:rsidRPr="00046858">
              <w:rPr>
                <w:b/>
                <w:noProof/>
                <w:color w:val="000000"/>
                <w:sz w:val="16"/>
              </w:rPr>
              <w:t>2,853</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4A72F47B" w14:textId="77777777" w:rsidR="00C67F54" w:rsidRPr="00046858" w:rsidRDefault="00024D04">
            <w:pPr>
              <w:spacing w:before="0" w:after="0"/>
              <w:jc w:val="center"/>
              <w:rPr>
                <w:b/>
                <w:bCs/>
                <w:noProof/>
                <w:color w:val="000000"/>
                <w:sz w:val="16"/>
                <w:szCs w:val="16"/>
              </w:rPr>
            </w:pPr>
            <w:r w:rsidRPr="00046858">
              <w:rPr>
                <w:b/>
                <w:noProof/>
                <w:color w:val="000000"/>
                <w:sz w:val="16"/>
              </w:rPr>
              <w:t>2,853</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14:paraId="3719F37E" w14:textId="77777777" w:rsidR="00C67F54" w:rsidRPr="00046858" w:rsidRDefault="00024D04">
            <w:pPr>
              <w:spacing w:before="0" w:after="0"/>
              <w:jc w:val="right"/>
              <w:rPr>
                <w:b/>
                <w:bCs/>
                <w:noProof/>
                <w:color w:val="000000"/>
                <w:sz w:val="16"/>
                <w:szCs w:val="16"/>
              </w:rPr>
            </w:pPr>
            <w:r w:rsidRPr="00046858">
              <w:rPr>
                <w:b/>
                <w:noProof/>
                <w:color w:val="000000"/>
                <w:sz w:val="16"/>
              </w:rPr>
              <w:t>19,971</w:t>
            </w:r>
          </w:p>
        </w:tc>
      </w:tr>
    </w:tbl>
    <w:p w14:paraId="625CA7EA" w14:textId="77777777" w:rsidR="00A03D5B" w:rsidRPr="00046858" w:rsidRDefault="00A03D5B" w:rsidP="0041561E">
      <w:pPr>
        <w:rPr>
          <w:noProof/>
          <w:sz w:val="22"/>
          <w:szCs w:val="28"/>
        </w:rPr>
      </w:pPr>
    </w:p>
    <w:p w14:paraId="17A2AD3A" w14:textId="77777777" w:rsidR="009379A2" w:rsidRPr="00046858" w:rsidRDefault="009379A2" w:rsidP="0041561E">
      <w:pPr>
        <w:rPr>
          <w:noProof/>
          <w:sz w:val="22"/>
          <w:szCs w:val="28"/>
        </w:rPr>
      </w:pPr>
      <w:r w:rsidRPr="00046858">
        <w:rPr>
          <w:noProof/>
          <w:sz w:val="22"/>
        </w:rPr>
        <w:t>Pentru a sprijini activitatea de monitorizare și de gestionare a crizelor, DG CNECT poate încheia un acord administrativ cu JRC pentru aproximativ 2 ENI (AC), sub rezerva disponibilității resurselor și a competențelor specifice. Prezenta fișă financiară legislativă și digitală nu conține bugetul pentru un astfel de posibil acord administrativ.</w:t>
      </w:r>
    </w:p>
    <w:p w14:paraId="56DC4F27" w14:textId="77777777" w:rsidR="00AF6D3E" w:rsidRPr="00046858" w:rsidRDefault="00AF6D3E" w:rsidP="0041561E">
      <w:pPr>
        <w:rPr>
          <w:noProof/>
          <w:sz w:val="22"/>
          <w:szCs w:val="28"/>
        </w:rPr>
      </w:pPr>
      <w:r w:rsidRPr="00046858">
        <w:rPr>
          <w:noProof/>
          <w:sz w:val="22"/>
        </w:rPr>
        <w:t>Impactul estimat asupra cheltuielilor și a personalului pentru 2028 și ulterior este adăugat doar cu titlu orientativ și nu aduce atingere următorului cadru financiar multianual. Sursa de finanțare și domeniul de aplicare al angajamentului financiar al Uniunii pentru perioada de după 2027 depind în continuare de rezultatul negocierilor interinstituționale privind CFM 2028-2034 și, ulterior, vor fi stabilite prin procedura bugetară anuală. Toate creditele și alocările de personal începând cu 2028 sunt orientative.</w:t>
      </w:r>
    </w:p>
    <w:p w14:paraId="5CD57723" w14:textId="77777777" w:rsidR="00C70CF1" w:rsidRPr="00046858" w:rsidRDefault="00C70CF1" w:rsidP="0041561E">
      <w:pPr>
        <w:rPr>
          <w:noProof/>
          <w:sz w:val="22"/>
          <w:szCs w:val="28"/>
        </w:rPr>
      </w:pPr>
    </w:p>
    <w:p w14:paraId="0448701B" w14:textId="77777777" w:rsidR="00A03D5B" w:rsidRPr="00046858" w:rsidRDefault="00A03D5B" w:rsidP="0041561E">
      <w:pPr>
        <w:pStyle w:val="ManualHeading3"/>
        <w:rPr>
          <w:bCs/>
          <w:noProof/>
          <w:szCs w:val="24"/>
        </w:rPr>
      </w:pPr>
      <w:bookmarkStart w:id="136" w:name="_Toc221194342"/>
      <w:r w:rsidRPr="00046858">
        <w:rPr>
          <w:noProof/>
        </w:rPr>
        <w:t>3.2.4.</w:t>
      </w:r>
      <w:r w:rsidRPr="00046858">
        <w:rPr>
          <w:noProof/>
        </w:rPr>
        <w:tab/>
        <w:t>Necesarul de resurse umane estimat</w:t>
      </w:r>
      <w:bookmarkEnd w:id="136"/>
      <w:r w:rsidRPr="00046858">
        <w:rPr>
          <w:noProof/>
        </w:rPr>
        <w:t xml:space="preserve"> </w:t>
      </w:r>
    </w:p>
    <w:p w14:paraId="6A016EFB" w14:textId="77777777" w:rsidR="00A03D5B" w:rsidRPr="00046858" w:rsidRDefault="00A03D5B" w:rsidP="00C67F54">
      <w:pPr>
        <w:pStyle w:val="ListDash1"/>
        <w:ind w:left="1134" w:hanging="283"/>
        <w:rPr>
          <w:noProof/>
        </w:rPr>
      </w:pPr>
      <w:r w:rsidRPr="00046858">
        <w:rPr>
          <w:rFonts w:ascii="Wingdings" w:hAnsi="Wingdings"/>
          <w:noProof/>
        </w:rPr>
        <w:t></w:t>
      </w:r>
      <w:r w:rsidRPr="00046858">
        <w:rPr>
          <w:noProof/>
        </w:rPr>
        <w:tab/>
        <w:t xml:space="preserve">Propunerea/inițiativa nu implică utilizarea de resurse umane </w:t>
      </w:r>
    </w:p>
    <w:p w14:paraId="540B95B5" w14:textId="77777777" w:rsidR="00A03D5B" w:rsidRPr="00046858" w:rsidRDefault="00C67F54" w:rsidP="00C67F54">
      <w:pPr>
        <w:pStyle w:val="ListDash1"/>
        <w:ind w:left="1134" w:hanging="283"/>
        <w:rPr>
          <w:noProof/>
        </w:rPr>
      </w:pPr>
      <w:r w:rsidRPr="00046858">
        <w:rPr>
          <w:rFonts w:ascii="Wingdings" w:hAnsi="Wingdings"/>
          <w:noProof/>
          <w:sz w:val="22"/>
        </w:rPr>
        <w:t></w:t>
      </w:r>
      <w:r w:rsidRPr="00046858">
        <w:rPr>
          <w:noProof/>
        </w:rPr>
        <w:tab/>
        <w:t>Propunerea/inițiativa implică utilizarea de resurse umane, conform explicațiilor de mai jos</w:t>
      </w:r>
    </w:p>
    <w:p w14:paraId="5B7B2AA0" w14:textId="77777777" w:rsidR="00A03D5B" w:rsidRPr="00046858" w:rsidRDefault="00A03D5B" w:rsidP="0041561E">
      <w:pPr>
        <w:pStyle w:val="ManualHeading3"/>
        <w:rPr>
          <w:noProof/>
        </w:rPr>
      </w:pPr>
      <w:bookmarkStart w:id="137" w:name="_Toc221194343"/>
      <w:r w:rsidRPr="00046858">
        <w:rPr>
          <w:noProof/>
        </w:rPr>
        <w:t>3.2.4.1.</w:t>
      </w:r>
      <w:r w:rsidRPr="00046858">
        <w:rPr>
          <w:noProof/>
        </w:rPr>
        <w:tab/>
        <w:t>Finanțare din bugetul votat</w:t>
      </w:r>
      <w:bookmarkEnd w:id="137"/>
    </w:p>
    <w:p w14:paraId="1F1F2F38" w14:textId="77777777" w:rsidR="00A03D5B" w:rsidRPr="00046858" w:rsidRDefault="00A03D5B" w:rsidP="00B61A8D">
      <w:pPr>
        <w:spacing w:after="60"/>
        <w:jc w:val="right"/>
        <w:rPr>
          <w:i/>
          <w:noProof/>
          <w:sz w:val="20"/>
        </w:rPr>
      </w:pPr>
      <w:r w:rsidRPr="00046858">
        <w:rPr>
          <w:i/>
          <w:noProof/>
          <w:sz w:val="20"/>
        </w:rPr>
        <w:t>Estimări în echivalent normă întreagă (ENI)</w:t>
      </w:r>
      <w:r w:rsidRPr="00046858">
        <w:rPr>
          <w:rStyle w:val="FootnoteReference"/>
          <w:i/>
          <w:noProof/>
          <w:sz w:val="20"/>
        </w:rPr>
        <w:footnoteReference w:id="83"/>
      </w:r>
    </w:p>
    <w:tbl>
      <w:tblPr>
        <w:tblW w:w="5000" w:type="pct"/>
        <w:tblLook w:val="04A0" w:firstRow="1" w:lastRow="0" w:firstColumn="1" w:lastColumn="0" w:noHBand="0" w:noVBand="1"/>
      </w:tblPr>
      <w:tblGrid>
        <w:gridCol w:w="1396"/>
        <w:gridCol w:w="1150"/>
        <w:gridCol w:w="964"/>
        <w:gridCol w:w="964"/>
        <w:gridCol w:w="964"/>
        <w:gridCol w:w="964"/>
        <w:gridCol w:w="964"/>
        <w:gridCol w:w="964"/>
        <w:gridCol w:w="959"/>
      </w:tblGrid>
      <w:tr w:rsidR="00C67F54" w:rsidRPr="00046858" w14:paraId="5018B646" w14:textId="77777777" w:rsidTr="00185E87">
        <w:trPr>
          <w:trHeight w:val="290"/>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0A632AD3" w14:textId="77777777" w:rsidR="00C67F54" w:rsidRPr="00046858" w:rsidRDefault="00C67F54">
            <w:pPr>
              <w:spacing w:before="0" w:after="0"/>
              <w:jc w:val="center"/>
              <w:rPr>
                <w:rFonts w:eastAsia="Times New Roman"/>
                <w:b/>
                <w:noProof/>
                <w:color w:val="000000"/>
                <w:sz w:val="18"/>
                <w:szCs w:val="18"/>
              </w:rPr>
            </w:pPr>
            <w:r w:rsidRPr="00046858">
              <w:rPr>
                <w:b/>
                <w:noProof/>
                <w:color w:val="000000"/>
                <w:sz w:val="18"/>
              </w:rPr>
              <w:t>CREDITE VOTATE</w:t>
            </w:r>
          </w:p>
        </w:tc>
        <w:tc>
          <w:tcPr>
            <w:tcW w:w="519" w:type="pct"/>
            <w:tcBorders>
              <w:top w:val="single" w:sz="8" w:space="0" w:color="auto"/>
              <w:left w:val="nil"/>
              <w:bottom w:val="nil"/>
              <w:right w:val="single" w:sz="8" w:space="0" w:color="auto"/>
            </w:tcBorders>
            <w:vAlign w:val="center"/>
            <w:hideMark/>
          </w:tcPr>
          <w:p w14:paraId="196E8BF7"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Anul</w:t>
            </w:r>
          </w:p>
        </w:tc>
        <w:tc>
          <w:tcPr>
            <w:tcW w:w="519" w:type="pct"/>
            <w:tcBorders>
              <w:top w:val="single" w:sz="8" w:space="0" w:color="auto"/>
              <w:left w:val="nil"/>
              <w:bottom w:val="nil"/>
              <w:right w:val="single" w:sz="8" w:space="0" w:color="auto"/>
            </w:tcBorders>
            <w:vAlign w:val="center"/>
            <w:hideMark/>
          </w:tcPr>
          <w:p w14:paraId="40FC35C2"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Anul</w:t>
            </w:r>
          </w:p>
        </w:tc>
        <w:tc>
          <w:tcPr>
            <w:tcW w:w="519" w:type="pct"/>
            <w:tcBorders>
              <w:top w:val="single" w:sz="8" w:space="0" w:color="auto"/>
              <w:left w:val="nil"/>
              <w:bottom w:val="nil"/>
              <w:right w:val="single" w:sz="8" w:space="0" w:color="auto"/>
            </w:tcBorders>
            <w:vAlign w:val="center"/>
            <w:hideMark/>
          </w:tcPr>
          <w:p w14:paraId="26A721B4"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Anul</w:t>
            </w:r>
          </w:p>
        </w:tc>
        <w:tc>
          <w:tcPr>
            <w:tcW w:w="519" w:type="pct"/>
            <w:tcBorders>
              <w:top w:val="single" w:sz="8" w:space="0" w:color="auto"/>
              <w:left w:val="nil"/>
              <w:bottom w:val="nil"/>
              <w:right w:val="single" w:sz="8" w:space="0" w:color="auto"/>
            </w:tcBorders>
            <w:vAlign w:val="center"/>
            <w:hideMark/>
          </w:tcPr>
          <w:p w14:paraId="74C4C224"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Anul</w:t>
            </w:r>
          </w:p>
        </w:tc>
        <w:tc>
          <w:tcPr>
            <w:tcW w:w="519" w:type="pct"/>
            <w:tcBorders>
              <w:top w:val="single" w:sz="8" w:space="0" w:color="auto"/>
              <w:left w:val="nil"/>
              <w:bottom w:val="nil"/>
              <w:right w:val="single" w:sz="8" w:space="0" w:color="auto"/>
            </w:tcBorders>
            <w:vAlign w:val="center"/>
            <w:hideMark/>
          </w:tcPr>
          <w:p w14:paraId="3B58D16B"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Anul</w:t>
            </w:r>
          </w:p>
        </w:tc>
        <w:tc>
          <w:tcPr>
            <w:tcW w:w="519" w:type="pct"/>
            <w:tcBorders>
              <w:top w:val="single" w:sz="8" w:space="0" w:color="auto"/>
              <w:left w:val="nil"/>
              <w:bottom w:val="nil"/>
              <w:right w:val="single" w:sz="8" w:space="0" w:color="auto"/>
            </w:tcBorders>
            <w:vAlign w:val="center"/>
            <w:hideMark/>
          </w:tcPr>
          <w:p w14:paraId="5966D6E7"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Anul</w:t>
            </w:r>
          </w:p>
        </w:tc>
        <w:tc>
          <w:tcPr>
            <w:tcW w:w="516" w:type="pct"/>
            <w:tcBorders>
              <w:top w:val="single" w:sz="8" w:space="0" w:color="auto"/>
              <w:left w:val="nil"/>
              <w:bottom w:val="nil"/>
              <w:right w:val="single" w:sz="8" w:space="0" w:color="auto"/>
            </w:tcBorders>
            <w:vAlign w:val="center"/>
            <w:hideMark/>
          </w:tcPr>
          <w:p w14:paraId="594F3E5F"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Anul</w:t>
            </w:r>
          </w:p>
        </w:tc>
      </w:tr>
      <w:tr w:rsidR="00C67F54" w:rsidRPr="00046858" w14:paraId="6368791C" w14:textId="77777777" w:rsidTr="00185E87">
        <w:trPr>
          <w:trHeight w:val="300"/>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14:paraId="5F158D9E" w14:textId="77777777" w:rsidR="00C67F54" w:rsidRPr="00046858" w:rsidRDefault="00C67F54">
            <w:pPr>
              <w:spacing w:before="0" w:after="0"/>
              <w:jc w:val="left"/>
              <w:rPr>
                <w:rFonts w:eastAsia="Times New Roman"/>
                <w:b/>
                <w:noProof/>
                <w:color w:val="000000"/>
                <w:sz w:val="18"/>
                <w:szCs w:val="18"/>
                <w:lang w:eastAsia="en-IE"/>
              </w:rPr>
            </w:pPr>
          </w:p>
        </w:tc>
        <w:tc>
          <w:tcPr>
            <w:tcW w:w="519" w:type="pct"/>
            <w:tcBorders>
              <w:top w:val="nil"/>
              <w:left w:val="nil"/>
              <w:bottom w:val="single" w:sz="8" w:space="0" w:color="auto"/>
              <w:right w:val="single" w:sz="8" w:space="0" w:color="auto"/>
            </w:tcBorders>
            <w:vAlign w:val="center"/>
            <w:hideMark/>
          </w:tcPr>
          <w:p w14:paraId="58E6DFB5" w14:textId="77777777" w:rsidR="00C67F54" w:rsidRPr="00046858" w:rsidRDefault="00C67F54">
            <w:pPr>
              <w:spacing w:before="0" w:after="0"/>
              <w:jc w:val="center"/>
              <w:rPr>
                <w:rFonts w:eastAsia="Times New Roman"/>
                <w:b/>
                <w:noProof/>
                <w:color w:val="000000"/>
                <w:sz w:val="20"/>
                <w:szCs w:val="20"/>
              </w:rPr>
            </w:pPr>
            <w:r w:rsidRPr="00046858">
              <w:rPr>
                <w:b/>
                <w:noProof/>
                <w:color w:val="000000"/>
                <w:sz w:val="20"/>
              </w:rPr>
              <w:t>2028</w:t>
            </w:r>
          </w:p>
        </w:tc>
        <w:tc>
          <w:tcPr>
            <w:tcW w:w="519" w:type="pct"/>
            <w:tcBorders>
              <w:top w:val="nil"/>
              <w:left w:val="nil"/>
              <w:bottom w:val="single" w:sz="8" w:space="0" w:color="auto"/>
              <w:right w:val="single" w:sz="8" w:space="0" w:color="auto"/>
            </w:tcBorders>
            <w:vAlign w:val="center"/>
            <w:hideMark/>
          </w:tcPr>
          <w:p w14:paraId="2C20FF84" w14:textId="77777777" w:rsidR="00C67F54" w:rsidRPr="00046858" w:rsidRDefault="00C67F54">
            <w:pPr>
              <w:spacing w:before="0" w:after="0"/>
              <w:jc w:val="center"/>
              <w:rPr>
                <w:rFonts w:eastAsia="Times New Roman"/>
                <w:b/>
                <w:noProof/>
                <w:color w:val="000000"/>
                <w:sz w:val="20"/>
                <w:szCs w:val="20"/>
              </w:rPr>
            </w:pPr>
            <w:r w:rsidRPr="00046858">
              <w:rPr>
                <w:b/>
                <w:noProof/>
                <w:color w:val="000000"/>
                <w:sz w:val="20"/>
              </w:rPr>
              <w:t>2029</w:t>
            </w:r>
          </w:p>
        </w:tc>
        <w:tc>
          <w:tcPr>
            <w:tcW w:w="519" w:type="pct"/>
            <w:tcBorders>
              <w:top w:val="nil"/>
              <w:left w:val="nil"/>
              <w:bottom w:val="single" w:sz="8" w:space="0" w:color="auto"/>
              <w:right w:val="single" w:sz="8" w:space="0" w:color="auto"/>
            </w:tcBorders>
            <w:vAlign w:val="center"/>
            <w:hideMark/>
          </w:tcPr>
          <w:p w14:paraId="08F73FDA" w14:textId="77777777" w:rsidR="00C67F54" w:rsidRPr="00046858" w:rsidRDefault="00C67F54">
            <w:pPr>
              <w:spacing w:before="0" w:after="0"/>
              <w:jc w:val="center"/>
              <w:rPr>
                <w:rFonts w:eastAsia="Times New Roman"/>
                <w:b/>
                <w:noProof/>
                <w:color w:val="000000"/>
                <w:sz w:val="20"/>
                <w:szCs w:val="20"/>
              </w:rPr>
            </w:pPr>
            <w:r w:rsidRPr="00046858">
              <w:rPr>
                <w:b/>
                <w:noProof/>
                <w:color w:val="000000"/>
                <w:sz w:val="20"/>
              </w:rPr>
              <w:t>2030</w:t>
            </w:r>
          </w:p>
        </w:tc>
        <w:tc>
          <w:tcPr>
            <w:tcW w:w="519" w:type="pct"/>
            <w:tcBorders>
              <w:top w:val="nil"/>
              <w:left w:val="nil"/>
              <w:bottom w:val="single" w:sz="8" w:space="0" w:color="auto"/>
              <w:right w:val="single" w:sz="8" w:space="0" w:color="auto"/>
            </w:tcBorders>
            <w:vAlign w:val="center"/>
            <w:hideMark/>
          </w:tcPr>
          <w:p w14:paraId="105939F5" w14:textId="77777777" w:rsidR="00C67F54" w:rsidRPr="00046858" w:rsidRDefault="00C67F54">
            <w:pPr>
              <w:spacing w:before="0" w:after="0"/>
              <w:jc w:val="center"/>
              <w:rPr>
                <w:rFonts w:eastAsia="Times New Roman"/>
                <w:b/>
                <w:noProof/>
                <w:color w:val="000000"/>
                <w:sz w:val="20"/>
                <w:szCs w:val="20"/>
              </w:rPr>
            </w:pPr>
            <w:r w:rsidRPr="00046858">
              <w:rPr>
                <w:b/>
                <w:noProof/>
                <w:color w:val="000000"/>
                <w:sz w:val="20"/>
              </w:rPr>
              <w:t>2031</w:t>
            </w:r>
          </w:p>
        </w:tc>
        <w:tc>
          <w:tcPr>
            <w:tcW w:w="519" w:type="pct"/>
            <w:tcBorders>
              <w:top w:val="nil"/>
              <w:left w:val="nil"/>
              <w:bottom w:val="single" w:sz="8" w:space="0" w:color="auto"/>
              <w:right w:val="single" w:sz="8" w:space="0" w:color="auto"/>
            </w:tcBorders>
            <w:vAlign w:val="center"/>
            <w:hideMark/>
          </w:tcPr>
          <w:p w14:paraId="4A11227A" w14:textId="77777777" w:rsidR="00C67F54" w:rsidRPr="00046858" w:rsidRDefault="00C67F54">
            <w:pPr>
              <w:spacing w:before="0" w:after="0"/>
              <w:jc w:val="center"/>
              <w:rPr>
                <w:rFonts w:eastAsia="Times New Roman"/>
                <w:b/>
                <w:noProof/>
                <w:color w:val="000000"/>
                <w:sz w:val="20"/>
                <w:szCs w:val="20"/>
              </w:rPr>
            </w:pPr>
            <w:r w:rsidRPr="00046858">
              <w:rPr>
                <w:b/>
                <w:noProof/>
                <w:color w:val="000000"/>
                <w:sz w:val="20"/>
              </w:rPr>
              <w:t>2032</w:t>
            </w:r>
          </w:p>
        </w:tc>
        <w:tc>
          <w:tcPr>
            <w:tcW w:w="519" w:type="pct"/>
            <w:tcBorders>
              <w:top w:val="nil"/>
              <w:left w:val="nil"/>
              <w:bottom w:val="single" w:sz="8" w:space="0" w:color="auto"/>
              <w:right w:val="single" w:sz="8" w:space="0" w:color="auto"/>
            </w:tcBorders>
            <w:vAlign w:val="center"/>
            <w:hideMark/>
          </w:tcPr>
          <w:p w14:paraId="0E647E30" w14:textId="77777777" w:rsidR="00C67F54" w:rsidRPr="00046858" w:rsidRDefault="00C67F54">
            <w:pPr>
              <w:spacing w:before="0" w:after="0"/>
              <w:jc w:val="center"/>
              <w:rPr>
                <w:rFonts w:eastAsia="Times New Roman"/>
                <w:b/>
                <w:noProof/>
                <w:color w:val="000000"/>
                <w:sz w:val="20"/>
                <w:szCs w:val="20"/>
              </w:rPr>
            </w:pPr>
            <w:r w:rsidRPr="00046858">
              <w:rPr>
                <w:b/>
                <w:noProof/>
                <w:color w:val="000000"/>
                <w:sz w:val="20"/>
              </w:rPr>
              <w:t>2033</w:t>
            </w:r>
          </w:p>
        </w:tc>
        <w:tc>
          <w:tcPr>
            <w:tcW w:w="516" w:type="pct"/>
            <w:tcBorders>
              <w:top w:val="nil"/>
              <w:left w:val="nil"/>
              <w:bottom w:val="single" w:sz="8" w:space="0" w:color="auto"/>
              <w:right w:val="single" w:sz="8" w:space="0" w:color="auto"/>
            </w:tcBorders>
            <w:vAlign w:val="center"/>
            <w:hideMark/>
          </w:tcPr>
          <w:p w14:paraId="40499F13" w14:textId="77777777" w:rsidR="00C67F54" w:rsidRPr="00046858" w:rsidRDefault="00C67F54">
            <w:pPr>
              <w:spacing w:before="0" w:after="0"/>
              <w:jc w:val="center"/>
              <w:rPr>
                <w:rFonts w:eastAsia="Times New Roman"/>
                <w:b/>
                <w:noProof/>
                <w:color w:val="000000"/>
                <w:sz w:val="20"/>
                <w:szCs w:val="20"/>
              </w:rPr>
            </w:pPr>
            <w:r w:rsidRPr="00046858">
              <w:rPr>
                <w:b/>
                <w:noProof/>
                <w:color w:val="000000"/>
                <w:sz w:val="20"/>
              </w:rPr>
              <w:t>2034</w:t>
            </w:r>
          </w:p>
        </w:tc>
      </w:tr>
      <w:tr w:rsidR="00C67F54" w:rsidRPr="00046858" w14:paraId="72E8E221" w14:textId="77777777">
        <w:trPr>
          <w:trHeight w:val="300"/>
        </w:trPr>
        <w:tc>
          <w:tcPr>
            <w:tcW w:w="5000" w:type="pct"/>
            <w:gridSpan w:val="9"/>
            <w:tcBorders>
              <w:top w:val="single" w:sz="8" w:space="0" w:color="auto"/>
              <w:left w:val="single" w:sz="8" w:space="0" w:color="auto"/>
              <w:bottom w:val="nil"/>
              <w:right w:val="nil"/>
            </w:tcBorders>
            <w:vAlign w:val="center"/>
            <w:hideMark/>
          </w:tcPr>
          <w:p w14:paraId="39FB25E0" w14:textId="77777777" w:rsidR="00C67F54" w:rsidRPr="00046858" w:rsidRDefault="00C67F54">
            <w:pPr>
              <w:spacing w:before="0" w:after="0"/>
              <w:jc w:val="center"/>
              <w:rPr>
                <w:rFonts w:ascii="Wingdings" w:eastAsia="Times New Roman" w:hAnsi="Wingdings"/>
                <w:b/>
                <w:noProof/>
                <w:color w:val="000000"/>
                <w:sz w:val="16"/>
                <w:szCs w:val="16"/>
              </w:rPr>
            </w:pPr>
            <w:r w:rsidRPr="00046858">
              <w:rPr>
                <w:rFonts w:ascii="Wingdings" w:hAnsi="Wingdings"/>
                <w:b/>
                <w:noProof/>
                <w:color w:val="000000"/>
                <w:sz w:val="16"/>
              </w:rPr>
              <w:t></w:t>
            </w:r>
            <w:r w:rsidRPr="00046858">
              <w:rPr>
                <w:b/>
                <w:noProof/>
                <w:color w:val="000000"/>
                <w:sz w:val="16"/>
              </w:rPr>
              <w:t xml:space="preserve"> Posturi din schema de personal (funcționari și agenți temporari)</w:t>
            </w:r>
          </w:p>
        </w:tc>
      </w:tr>
      <w:tr w:rsidR="00C67F54" w:rsidRPr="00046858" w14:paraId="42280A2B" w14:textId="77777777" w:rsidTr="00185E87">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6B38116F" w14:textId="77777777" w:rsidR="00C67F54" w:rsidRPr="00046858" w:rsidRDefault="00C67F54">
            <w:pPr>
              <w:spacing w:before="0" w:after="0"/>
              <w:ind w:firstLineChars="100" w:firstLine="160"/>
              <w:jc w:val="left"/>
              <w:rPr>
                <w:rFonts w:eastAsia="Times New Roman"/>
                <w:noProof/>
                <w:color w:val="000000"/>
                <w:sz w:val="16"/>
                <w:szCs w:val="16"/>
              </w:rPr>
            </w:pPr>
            <w:r w:rsidRPr="00046858">
              <w:rPr>
                <w:noProof/>
                <w:color w:val="000000"/>
                <w:sz w:val="16"/>
              </w:rPr>
              <w:t>20 01 02 01</w:t>
            </w:r>
            <w:r w:rsidRPr="00046858">
              <w:rPr>
                <w:rFonts w:ascii="Arial Narrow" w:hAnsi="Arial Narrow"/>
                <w:noProof/>
                <w:color w:val="000000"/>
                <w:sz w:val="20"/>
              </w:rPr>
              <w:t xml:space="preserve"> </w:t>
            </w:r>
            <w:r w:rsidRPr="00046858">
              <w:rPr>
                <w:noProof/>
                <w:color w:val="000000"/>
                <w:sz w:val="16"/>
              </w:rPr>
              <w:t>(la sediu și în reprezentanțele Comisiei)</w:t>
            </w:r>
          </w:p>
        </w:tc>
        <w:tc>
          <w:tcPr>
            <w:tcW w:w="519" w:type="pct"/>
            <w:tcBorders>
              <w:top w:val="nil"/>
              <w:left w:val="nil"/>
              <w:bottom w:val="single" w:sz="8" w:space="0" w:color="auto"/>
              <w:right w:val="single" w:sz="8" w:space="0" w:color="auto"/>
            </w:tcBorders>
            <w:shd w:val="clear" w:color="000000" w:fill="D9D9D9"/>
            <w:vAlign w:val="center"/>
            <w:hideMark/>
          </w:tcPr>
          <w:p w14:paraId="6101BC7E" w14:textId="77777777" w:rsidR="00C67F54" w:rsidRPr="00046858" w:rsidRDefault="00185E87">
            <w:pPr>
              <w:spacing w:before="0" w:after="0"/>
              <w:jc w:val="center"/>
              <w:rPr>
                <w:rFonts w:eastAsia="Times New Roman"/>
                <w:noProof/>
                <w:color w:val="000000"/>
                <w:sz w:val="16"/>
                <w:szCs w:val="16"/>
              </w:rPr>
            </w:pPr>
            <w:r w:rsidRPr="00046858">
              <w:rPr>
                <w:noProof/>
                <w:color w:val="000000"/>
                <w:sz w:val="16"/>
              </w:rPr>
              <w:t>12</w:t>
            </w:r>
          </w:p>
        </w:tc>
        <w:tc>
          <w:tcPr>
            <w:tcW w:w="519" w:type="pct"/>
            <w:tcBorders>
              <w:top w:val="nil"/>
              <w:left w:val="nil"/>
              <w:bottom w:val="single" w:sz="8" w:space="0" w:color="auto"/>
              <w:right w:val="single" w:sz="8" w:space="0" w:color="auto"/>
            </w:tcBorders>
            <w:shd w:val="clear" w:color="000000" w:fill="D9D9D9"/>
            <w:vAlign w:val="center"/>
            <w:hideMark/>
          </w:tcPr>
          <w:p w14:paraId="1AA920A4" w14:textId="77777777" w:rsidR="00C67F54" w:rsidRPr="00046858" w:rsidRDefault="00185E87">
            <w:pPr>
              <w:spacing w:before="0" w:after="0"/>
              <w:jc w:val="center"/>
              <w:rPr>
                <w:rFonts w:eastAsia="Times New Roman"/>
                <w:noProof/>
                <w:color w:val="000000"/>
                <w:sz w:val="16"/>
                <w:szCs w:val="16"/>
              </w:rPr>
            </w:pPr>
            <w:r w:rsidRPr="00046858">
              <w:rPr>
                <w:noProof/>
                <w:color w:val="000000"/>
                <w:sz w:val="16"/>
              </w:rPr>
              <w:t>12</w:t>
            </w:r>
          </w:p>
        </w:tc>
        <w:tc>
          <w:tcPr>
            <w:tcW w:w="519" w:type="pct"/>
            <w:tcBorders>
              <w:top w:val="nil"/>
              <w:left w:val="nil"/>
              <w:bottom w:val="single" w:sz="8" w:space="0" w:color="auto"/>
              <w:right w:val="single" w:sz="8" w:space="0" w:color="auto"/>
            </w:tcBorders>
            <w:shd w:val="clear" w:color="000000" w:fill="D9D9D9"/>
            <w:vAlign w:val="center"/>
            <w:hideMark/>
          </w:tcPr>
          <w:p w14:paraId="6555F883" w14:textId="77777777" w:rsidR="00C67F54" w:rsidRPr="00046858" w:rsidRDefault="00185E87">
            <w:pPr>
              <w:spacing w:before="0" w:after="0"/>
              <w:jc w:val="center"/>
              <w:rPr>
                <w:rFonts w:eastAsia="Times New Roman"/>
                <w:noProof/>
                <w:color w:val="000000"/>
                <w:sz w:val="16"/>
                <w:szCs w:val="16"/>
              </w:rPr>
            </w:pPr>
            <w:r w:rsidRPr="00046858">
              <w:rPr>
                <w:noProof/>
                <w:color w:val="000000"/>
                <w:sz w:val="16"/>
              </w:rPr>
              <w:t>12</w:t>
            </w:r>
          </w:p>
        </w:tc>
        <w:tc>
          <w:tcPr>
            <w:tcW w:w="519" w:type="pct"/>
            <w:tcBorders>
              <w:top w:val="nil"/>
              <w:left w:val="nil"/>
              <w:bottom w:val="single" w:sz="8" w:space="0" w:color="auto"/>
              <w:right w:val="single" w:sz="8" w:space="0" w:color="auto"/>
            </w:tcBorders>
            <w:shd w:val="clear" w:color="000000" w:fill="D9D9D9"/>
            <w:vAlign w:val="center"/>
            <w:hideMark/>
          </w:tcPr>
          <w:p w14:paraId="2E2B97A0" w14:textId="77777777" w:rsidR="00C67F54" w:rsidRPr="00046858" w:rsidRDefault="00185E87">
            <w:pPr>
              <w:spacing w:before="0" w:after="0"/>
              <w:jc w:val="center"/>
              <w:rPr>
                <w:rFonts w:eastAsia="Times New Roman"/>
                <w:noProof/>
                <w:color w:val="000000"/>
                <w:sz w:val="16"/>
                <w:szCs w:val="16"/>
              </w:rPr>
            </w:pPr>
            <w:r w:rsidRPr="00046858">
              <w:rPr>
                <w:noProof/>
                <w:color w:val="000000"/>
                <w:sz w:val="16"/>
              </w:rPr>
              <w:t>12</w:t>
            </w:r>
          </w:p>
        </w:tc>
        <w:tc>
          <w:tcPr>
            <w:tcW w:w="519" w:type="pct"/>
            <w:tcBorders>
              <w:top w:val="nil"/>
              <w:left w:val="nil"/>
              <w:bottom w:val="single" w:sz="8" w:space="0" w:color="auto"/>
              <w:right w:val="single" w:sz="8" w:space="0" w:color="auto"/>
            </w:tcBorders>
            <w:shd w:val="clear" w:color="000000" w:fill="D9D9D9"/>
            <w:vAlign w:val="center"/>
            <w:hideMark/>
          </w:tcPr>
          <w:p w14:paraId="5964AD64" w14:textId="77777777" w:rsidR="00C67F54" w:rsidRPr="00046858" w:rsidRDefault="00185E87">
            <w:pPr>
              <w:spacing w:before="0" w:after="0"/>
              <w:jc w:val="center"/>
              <w:rPr>
                <w:rFonts w:eastAsia="Times New Roman"/>
                <w:noProof/>
                <w:color w:val="000000"/>
                <w:sz w:val="16"/>
                <w:szCs w:val="16"/>
              </w:rPr>
            </w:pPr>
            <w:r w:rsidRPr="00046858">
              <w:rPr>
                <w:noProof/>
                <w:color w:val="000000"/>
                <w:sz w:val="16"/>
              </w:rPr>
              <w:t>12</w:t>
            </w:r>
          </w:p>
        </w:tc>
        <w:tc>
          <w:tcPr>
            <w:tcW w:w="519" w:type="pct"/>
            <w:tcBorders>
              <w:top w:val="nil"/>
              <w:left w:val="nil"/>
              <w:bottom w:val="single" w:sz="8" w:space="0" w:color="auto"/>
              <w:right w:val="single" w:sz="8" w:space="0" w:color="auto"/>
            </w:tcBorders>
            <w:shd w:val="clear" w:color="000000" w:fill="D9D9D9"/>
            <w:vAlign w:val="center"/>
            <w:hideMark/>
          </w:tcPr>
          <w:p w14:paraId="065CAE1F" w14:textId="77777777" w:rsidR="00C67F54" w:rsidRPr="00046858" w:rsidRDefault="00185E87">
            <w:pPr>
              <w:spacing w:before="0" w:after="0"/>
              <w:jc w:val="center"/>
              <w:rPr>
                <w:rFonts w:eastAsia="Times New Roman"/>
                <w:noProof/>
                <w:color w:val="000000"/>
                <w:sz w:val="16"/>
                <w:szCs w:val="16"/>
              </w:rPr>
            </w:pPr>
            <w:r w:rsidRPr="00046858">
              <w:rPr>
                <w:noProof/>
                <w:color w:val="000000"/>
                <w:sz w:val="16"/>
              </w:rPr>
              <w:t>12</w:t>
            </w:r>
          </w:p>
        </w:tc>
        <w:tc>
          <w:tcPr>
            <w:tcW w:w="516" w:type="pct"/>
            <w:tcBorders>
              <w:top w:val="nil"/>
              <w:left w:val="nil"/>
              <w:bottom w:val="single" w:sz="8" w:space="0" w:color="auto"/>
              <w:right w:val="single" w:sz="8" w:space="0" w:color="auto"/>
            </w:tcBorders>
            <w:shd w:val="clear" w:color="000000" w:fill="D9D9D9"/>
            <w:vAlign w:val="center"/>
            <w:hideMark/>
          </w:tcPr>
          <w:p w14:paraId="2C90981B" w14:textId="77777777" w:rsidR="00C67F54" w:rsidRPr="00046858" w:rsidRDefault="00185E87">
            <w:pPr>
              <w:spacing w:before="0" w:after="0"/>
              <w:jc w:val="center"/>
              <w:rPr>
                <w:rFonts w:eastAsia="Times New Roman"/>
                <w:noProof/>
                <w:color w:val="000000"/>
                <w:sz w:val="16"/>
                <w:szCs w:val="16"/>
              </w:rPr>
            </w:pPr>
            <w:r w:rsidRPr="00046858">
              <w:rPr>
                <w:noProof/>
                <w:color w:val="000000"/>
                <w:sz w:val="16"/>
              </w:rPr>
              <w:t>12</w:t>
            </w:r>
          </w:p>
        </w:tc>
      </w:tr>
      <w:tr w:rsidR="00C67F54" w:rsidRPr="00046858" w14:paraId="5AB5B31F" w14:textId="77777777" w:rsidTr="00185E8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151ADC9B" w14:textId="77777777" w:rsidR="00C67F54" w:rsidRPr="00046858" w:rsidRDefault="00C67F54">
            <w:pPr>
              <w:spacing w:before="0" w:after="0"/>
              <w:ind w:firstLineChars="100" w:firstLine="160"/>
              <w:jc w:val="left"/>
              <w:rPr>
                <w:rFonts w:eastAsia="Times New Roman"/>
                <w:noProof/>
                <w:color w:val="000000"/>
                <w:sz w:val="16"/>
                <w:szCs w:val="16"/>
              </w:rPr>
            </w:pPr>
            <w:r w:rsidRPr="00046858">
              <w:rPr>
                <w:noProof/>
                <w:color w:val="000000"/>
                <w:sz w:val="16"/>
              </w:rPr>
              <w:t>20 01 02 03 (delegațiile UE)</w:t>
            </w:r>
          </w:p>
        </w:tc>
        <w:tc>
          <w:tcPr>
            <w:tcW w:w="519" w:type="pct"/>
            <w:tcBorders>
              <w:top w:val="nil"/>
              <w:left w:val="nil"/>
              <w:bottom w:val="single" w:sz="8" w:space="0" w:color="auto"/>
              <w:right w:val="single" w:sz="8" w:space="0" w:color="auto"/>
            </w:tcBorders>
            <w:shd w:val="clear" w:color="000000" w:fill="D9D9D9"/>
            <w:vAlign w:val="center"/>
            <w:hideMark/>
          </w:tcPr>
          <w:p w14:paraId="428DD6A3"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6700B1F"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3679149"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73D5C02"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7FFA54C"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5753604"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0CA61664"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r>
      <w:tr w:rsidR="00C67F54" w:rsidRPr="00046858" w14:paraId="42BC7AEC" w14:textId="77777777" w:rsidTr="00185E8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07A5A054" w14:textId="77777777" w:rsidR="00C67F54" w:rsidRPr="00046858" w:rsidRDefault="00C67F54">
            <w:pPr>
              <w:spacing w:before="0" w:after="0"/>
              <w:ind w:firstLineChars="100" w:firstLine="200"/>
              <w:jc w:val="left"/>
              <w:rPr>
                <w:rFonts w:eastAsia="Times New Roman"/>
                <w:noProof/>
                <w:color w:val="000000"/>
                <w:sz w:val="16"/>
                <w:szCs w:val="16"/>
              </w:rPr>
            </w:pPr>
            <w:r w:rsidRPr="00046858">
              <w:rPr>
                <w:rFonts w:ascii="Arial Narrow" w:hAnsi="Arial Narrow"/>
                <w:noProof/>
                <w:color w:val="000000"/>
                <w:sz w:val="20"/>
              </w:rPr>
              <w:t xml:space="preserve"> </w:t>
            </w:r>
            <w:r w:rsidRPr="00046858">
              <w:rPr>
                <w:noProof/>
                <w:color w:val="000000"/>
                <w:sz w:val="16"/>
              </w:rPr>
              <w:t>(cercetare indirectă)</w:t>
            </w:r>
          </w:p>
        </w:tc>
        <w:tc>
          <w:tcPr>
            <w:tcW w:w="519" w:type="pct"/>
            <w:tcBorders>
              <w:top w:val="nil"/>
              <w:left w:val="nil"/>
              <w:bottom w:val="single" w:sz="8" w:space="0" w:color="auto"/>
              <w:right w:val="single" w:sz="8" w:space="0" w:color="auto"/>
            </w:tcBorders>
            <w:shd w:val="clear" w:color="000000" w:fill="D9D9D9"/>
            <w:vAlign w:val="center"/>
            <w:hideMark/>
          </w:tcPr>
          <w:p w14:paraId="780477DA"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E76CF05"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EF0D128"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79492F2"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9D61639"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51F470D"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6BF575FE"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r>
      <w:tr w:rsidR="00C67F54" w:rsidRPr="00046858" w14:paraId="479A2DBF" w14:textId="77777777" w:rsidTr="00185E8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53C48E11" w14:textId="77777777" w:rsidR="00C67F54" w:rsidRPr="00046858" w:rsidRDefault="00C67F54">
            <w:pPr>
              <w:spacing w:before="0" w:after="0"/>
              <w:ind w:firstLineChars="100" w:firstLine="160"/>
              <w:jc w:val="left"/>
              <w:rPr>
                <w:rFonts w:eastAsia="Times New Roman"/>
                <w:noProof/>
                <w:color w:val="000000"/>
                <w:sz w:val="16"/>
                <w:szCs w:val="16"/>
              </w:rPr>
            </w:pPr>
            <w:r w:rsidRPr="00046858">
              <w:rPr>
                <w:noProof/>
                <w:color w:val="000000"/>
                <w:sz w:val="16"/>
              </w:rPr>
              <w:t xml:space="preserve"> (cercetare directă)</w:t>
            </w:r>
          </w:p>
        </w:tc>
        <w:tc>
          <w:tcPr>
            <w:tcW w:w="519" w:type="pct"/>
            <w:tcBorders>
              <w:top w:val="nil"/>
              <w:left w:val="nil"/>
              <w:bottom w:val="single" w:sz="8" w:space="0" w:color="auto"/>
              <w:right w:val="single" w:sz="8" w:space="0" w:color="auto"/>
            </w:tcBorders>
            <w:shd w:val="clear" w:color="000000" w:fill="D9D9D9"/>
            <w:vAlign w:val="center"/>
            <w:hideMark/>
          </w:tcPr>
          <w:p w14:paraId="368B1651"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0E3E9BC"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28A8FA4"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8B53ED9"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C38F47C"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007F0DF"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4BB05ADA"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r>
      <w:tr w:rsidR="00C67F54" w:rsidRPr="00046858" w14:paraId="7B032647" w14:textId="77777777" w:rsidTr="00185E8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00D9C39E" w14:textId="77777777" w:rsidR="00C67F54" w:rsidRPr="00046858" w:rsidRDefault="00C67F54">
            <w:pPr>
              <w:spacing w:before="0" w:after="0"/>
              <w:ind w:firstLineChars="100" w:firstLine="160"/>
              <w:jc w:val="left"/>
              <w:rPr>
                <w:rFonts w:eastAsia="Times New Roman"/>
                <w:noProof/>
                <w:color w:val="000000"/>
                <w:sz w:val="16"/>
                <w:szCs w:val="16"/>
              </w:rPr>
            </w:pPr>
            <w:r w:rsidRPr="00046858">
              <w:rPr>
                <w:noProof/>
                <w:color w:val="000000"/>
                <w:sz w:val="16"/>
              </w:rPr>
              <w:t>Alte linii bugetare (a se preciza)</w:t>
            </w:r>
          </w:p>
        </w:tc>
        <w:tc>
          <w:tcPr>
            <w:tcW w:w="519" w:type="pct"/>
            <w:tcBorders>
              <w:top w:val="nil"/>
              <w:left w:val="nil"/>
              <w:bottom w:val="single" w:sz="8" w:space="0" w:color="auto"/>
              <w:right w:val="single" w:sz="8" w:space="0" w:color="auto"/>
            </w:tcBorders>
            <w:shd w:val="clear" w:color="000000" w:fill="D9D9D9"/>
            <w:vAlign w:val="center"/>
            <w:hideMark/>
          </w:tcPr>
          <w:p w14:paraId="3D3245F6"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CB2C5BC"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1589AA9"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F32054F"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D027F37"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3D74C47"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55961DD4"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r>
      <w:tr w:rsidR="00C67F54" w:rsidRPr="00046858" w14:paraId="3759D732" w14:textId="77777777">
        <w:trPr>
          <w:trHeight w:val="300"/>
        </w:trPr>
        <w:tc>
          <w:tcPr>
            <w:tcW w:w="5000" w:type="pct"/>
            <w:gridSpan w:val="9"/>
            <w:tcBorders>
              <w:top w:val="single" w:sz="8" w:space="0" w:color="auto"/>
              <w:left w:val="single" w:sz="8" w:space="0" w:color="auto"/>
              <w:bottom w:val="nil"/>
              <w:right w:val="nil"/>
            </w:tcBorders>
            <w:vAlign w:val="center"/>
            <w:hideMark/>
          </w:tcPr>
          <w:p w14:paraId="42E070F2" w14:textId="77777777" w:rsidR="00C67F54" w:rsidRPr="00046858" w:rsidRDefault="00C67F54">
            <w:pPr>
              <w:spacing w:before="0" w:after="0"/>
              <w:jc w:val="center"/>
              <w:rPr>
                <w:rFonts w:ascii="Calibri" w:eastAsia="Times New Roman" w:hAnsi="Calibri" w:cs="Calibri"/>
                <w:b/>
                <w:noProof/>
                <w:color w:val="000000"/>
                <w:sz w:val="16"/>
                <w:szCs w:val="16"/>
              </w:rPr>
            </w:pPr>
            <w:r w:rsidRPr="00046858">
              <w:rPr>
                <w:rFonts w:ascii="Calibri" w:hAnsi="Calibri"/>
                <w:b/>
                <w:noProof/>
                <w:color w:val="000000"/>
                <w:sz w:val="16"/>
              </w:rPr>
              <w:t>•</w:t>
            </w:r>
            <w:r w:rsidRPr="00046858">
              <w:rPr>
                <w:b/>
                <w:noProof/>
                <w:color w:val="000000"/>
                <w:sz w:val="16"/>
              </w:rPr>
              <w:t xml:space="preserve"> Personal extern (în ENI)</w:t>
            </w:r>
          </w:p>
        </w:tc>
      </w:tr>
      <w:tr w:rsidR="00C67F54" w:rsidRPr="00046858" w14:paraId="4E5C07D1" w14:textId="77777777" w:rsidTr="00185E8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0CA1667E" w14:textId="77777777" w:rsidR="00C67F54" w:rsidRPr="00046858" w:rsidRDefault="00C67F54">
            <w:pPr>
              <w:spacing w:before="0" w:after="0"/>
              <w:ind w:firstLineChars="100" w:firstLine="160"/>
              <w:jc w:val="left"/>
              <w:rPr>
                <w:rFonts w:eastAsia="Times New Roman"/>
                <w:noProof/>
                <w:color w:val="000000"/>
                <w:sz w:val="16"/>
                <w:szCs w:val="16"/>
              </w:rPr>
            </w:pPr>
            <w:r w:rsidRPr="00046858">
              <w:rPr>
                <w:noProof/>
                <w:color w:val="000000"/>
                <w:sz w:val="16"/>
              </w:rPr>
              <w:t>20 02 01</w:t>
            </w:r>
            <w:r w:rsidRPr="00046858">
              <w:rPr>
                <w:rFonts w:ascii="Arial Narrow" w:hAnsi="Arial Narrow"/>
                <w:noProof/>
                <w:color w:val="000000"/>
                <w:sz w:val="20"/>
              </w:rPr>
              <w:t xml:space="preserve"> </w:t>
            </w:r>
            <w:r w:rsidRPr="00046858">
              <w:rPr>
                <w:noProof/>
                <w:color w:val="000000"/>
                <w:sz w:val="16"/>
              </w:rPr>
              <w:t>(AC, END din „pachetul global”)</w:t>
            </w:r>
          </w:p>
        </w:tc>
        <w:tc>
          <w:tcPr>
            <w:tcW w:w="519" w:type="pct"/>
            <w:tcBorders>
              <w:top w:val="nil"/>
              <w:left w:val="nil"/>
              <w:bottom w:val="single" w:sz="8" w:space="0" w:color="auto"/>
              <w:right w:val="single" w:sz="8" w:space="0" w:color="auto"/>
            </w:tcBorders>
            <w:shd w:val="clear" w:color="000000" w:fill="D9D9D9"/>
            <w:vAlign w:val="center"/>
            <w:hideMark/>
          </w:tcPr>
          <w:p w14:paraId="26E5B4A2" w14:textId="77777777" w:rsidR="00C67F54" w:rsidRPr="00046858" w:rsidRDefault="002772C8">
            <w:pPr>
              <w:spacing w:before="0" w:after="0"/>
              <w:jc w:val="center"/>
              <w:rPr>
                <w:rFonts w:eastAsia="Times New Roman"/>
                <w:noProof/>
                <w:color w:val="000000"/>
                <w:sz w:val="16"/>
                <w:szCs w:val="16"/>
              </w:rPr>
            </w:pPr>
            <w:r w:rsidRPr="00046858">
              <w:rPr>
                <w:noProof/>
                <w:color w:val="000000"/>
                <w:sz w:val="16"/>
              </w:rPr>
              <w:t>5</w:t>
            </w:r>
          </w:p>
        </w:tc>
        <w:tc>
          <w:tcPr>
            <w:tcW w:w="519" w:type="pct"/>
            <w:tcBorders>
              <w:top w:val="nil"/>
              <w:left w:val="nil"/>
              <w:bottom w:val="single" w:sz="8" w:space="0" w:color="auto"/>
              <w:right w:val="single" w:sz="8" w:space="0" w:color="auto"/>
            </w:tcBorders>
            <w:shd w:val="clear" w:color="000000" w:fill="D9D9D9"/>
            <w:vAlign w:val="center"/>
            <w:hideMark/>
          </w:tcPr>
          <w:p w14:paraId="554F81EB" w14:textId="77777777" w:rsidR="00C67F54" w:rsidRPr="00046858" w:rsidRDefault="002772C8">
            <w:pPr>
              <w:spacing w:before="0" w:after="0"/>
              <w:jc w:val="center"/>
              <w:rPr>
                <w:rFonts w:eastAsia="Times New Roman"/>
                <w:noProof/>
                <w:color w:val="000000"/>
                <w:sz w:val="16"/>
                <w:szCs w:val="16"/>
              </w:rPr>
            </w:pPr>
            <w:r w:rsidRPr="00046858">
              <w:rPr>
                <w:noProof/>
                <w:color w:val="000000"/>
                <w:sz w:val="16"/>
              </w:rPr>
              <w:t>5</w:t>
            </w:r>
          </w:p>
        </w:tc>
        <w:tc>
          <w:tcPr>
            <w:tcW w:w="519" w:type="pct"/>
            <w:tcBorders>
              <w:top w:val="nil"/>
              <w:left w:val="nil"/>
              <w:bottom w:val="single" w:sz="8" w:space="0" w:color="auto"/>
              <w:right w:val="single" w:sz="8" w:space="0" w:color="auto"/>
            </w:tcBorders>
            <w:shd w:val="clear" w:color="000000" w:fill="D9D9D9"/>
            <w:vAlign w:val="center"/>
            <w:hideMark/>
          </w:tcPr>
          <w:p w14:paraId="6637F0C1" w14:textId="77777777" w:rsidR="00C67F54" w:rsidRPr="00046858" w:rsidRDefault="002772C8">
            <w:pPr>
              <w:spacing w:before="0" w:after="0"/>
              <w:jc w:val="center"/>
              <w:rPr>
                <w:rFonts w:eastAsia="Times New Roman"/>
                <w:noProof/>
                <w:color w:val="000000"/>
                <w:sz w:val="16"/>
                <w:szCs w:val="16"/>
              </w:rPr>
            </w:pPr>
            <w:r w:rsidRPr="00046858">
              <w:rPr>
                <w:noProof/>
                <w:color w:val="000000"/>
                <w:sz w:val="16"/>
              </w:rPr>
              <w:t>5</w:t>
            </w:r>
          </w:p>
        </w:tc>
        <w:tc>
          <w:tcPr>
            <w:tcW w:w="519" w:type="pct"/>
            <w:tcBorders>
              <w:top w:val="nil"/>
              <w:left w:val="nil"/>
              <w:bottom w:val="single" w:sz="8" w:space="0" w:color="auto"/>
              <w:right w:val="single" w:sz="8" w:space="0" w:color="auto"/>
            </w:tcBorders>
            <w:shd w:val="clear" w:color="000000" w:fill="D9D9D9"/>
            <w:vAlign w:val="center"/>
            <w:hideMark/>
          </w:tcPr>
          <w:p w14:paraId="0B1C1AE5" w14:textId="77777777" w:rsidR="00C67F54" w:rsidRPr="00046858" w:rsidRDefault="002772C8">
            <w:pPr>
              <w:spacing w:before="0" w:after="0"/>
              <w:jc w:val="center"/>
              <w:rPr>
                <w:rFonts w:eastAsia="Times New Roman"/>
                <w:noProof/>
                <w:color w:val="000000"/>
                <w:sz w:val="16"/>
                <w:szCs w:val="16"/>
              </w:rPr>
            </w:pPr>
            <w:r w:rsidRPr="00046858">
              <w:rPr>
                <w:noProof/>
                <w:color w:val="000000"/>
                <w:sz w:val="16"/>
              </w:rPr>
              <w:t>5</w:t>
            </w:r>
          </w:p>
        </w:tc>
        <w:tc>
          <w:tcPr>
            <w:tcW w:w="519" w:type="pct"/>
            <w:tcBorders>
              <w:top w:val="nil"/>
              <w:left w:val="nil"/>
              <w:bottom w:val="single" w:sz="8" w:space="0" w:color="auto"/>
              <w:right w:val="single" w:sz="8" w:space="0" w:color="auto"/>
            </w:tcBorders>
            <w:shd w:val="clear" w:color="000000" w:fill="D9D9D9"/>
            <w:vAlign w:val="center"/>
            <w:hideMark/>
          </w:tcPr>
          <w:p w14:paraId="5040838E" w14:textId="77777777" w:rsidR="00C67F54" w:rsidRPr="00046858" w:rsidRDefault="002772C8">
            <w:pPr>
              <w:spacing w:before="0" w:after="0"/>
              <w:jc w:val="center"/>
              <w:rPr>
                <w:rFonts w:eastAsia="Times New Roman"/>
                <w:noProof/>
                <w:color w:val="000000"/>
                <w:sz w:val="16"/>
                <w:szCs w:val="16"/>
              </w:rPr>
            </w:pPr>
            <w:r w:rsidRPr="00046858">
              <w:rPr>
                <w:noProof/>
                <w:color w:val="000000"/>
                <w:sz w:val="16"/>
              </w:rPr>
              <w:t>5</w:t>
            </w:r>
          </w:p>
        </w:tc>
        <w:tc>
          <w:tcPr>
            <w:tcW w:w="519" w:type="pct"/>
            <w:tcBorders>
              <w:top w:val="nil"/>
              <w:left w:val="nil"/>
              <w:bottom w:val="single" w:sz="8" w:space="0" w:color="auto"/>
              <w:right w:val="single" w:sz="8" w:space="0" w:color="auto"/>
            </w:tcBorders>
            <w:shd w:val="clear" w:color="000000" w:fill="D9D9D9"/>
            <w:vAlign w:val="center"/>
            <w:hideMark/>
          </w:tcPr>
          <w:p w14:paraId="5603B98C" w14:textId="77777777" w:rsidR="00C67F54" w:rsidRPr="00046858" w:rsidRDefault="002772C8">
            <w:pPr>
              <w:spacing w:before="0" w:after="0"/>
              <w:jc w:val="center"/>
              <w:rPr>
                <w:rFonts w:eastAsia="Times New Roman"/>
                <w:noProof/>
                <w:color w:val="000000"/>
                <w:sz w:val="16"/>
                <w:szCs w:val="16"/>
              </w:rPr>
            </w:pPr>
            <w:r w:rsidRPr="00046858">
              <w:rPr>
                <w:noProof/>
                <w:color w:val="000000"/>
                <w:sz w:val="16"/>
              </w:rPr>
              <w:t>5</w:t>
            </w:r>
          </w:p>
        </w:tc>
        <w:tc>
          <w:tcPr>
            <w:tcW w:w="516" w:type="pct"/>
            <w:tcBorders>
              <w:top w:val="nil"/>
              <w:left w:val="nil"/>
              <w:bottom w:val="single" w:sz="8" w:space="0" w:color="auto"/>
              <w:right w:val="single" w:sz="8" w:space="0" w:color="auto"/>
            </w:tcBorders>
            <w:shd w:val="clear" w:color="000000" w:fill="D9D9D9"/>
            <w:vAlign w:val="center"/>
            <w:hideMark/>
          </w:tcPr>
          <w:p w14:paraId="67F21D54" w14:textId="77777777" w:rsidR="00C67F54" w:rsidRPr="00046858" w:rsidRDefault="002772C8">
            <w:pPr>
              <w:spacing w:before="0" w:after="0"/>
              <w:jc w:val="center"/>
              <w:rPr>
                <w:rFonts w:eastAsia="Times New Roman"/>
                <w:noProof/>
                <w:color w:val="000000"/>
                <w:sz w:val="16"/>
                <w:szCs w:val="16"/>
              </w:rPr>
            </w:pPr>
            <w:r w:rsidRPr="00046858">
              <w:rPr>
                <w:noProof/>
                <w:color w:val="000000"/>
                <w:sz w:val="16"/>
              </w:rPr>
              <w:t>5</w:t>
            </w:r>
          </w:p>
        </w:tc>
      </w:tr>
      <w:tr w:rsidR="00C67F54" w:rsidRPr="00046858" w14:paraId="173F9612" w14:textId="77777777" w:rsidTr="00185E87">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3BA4B0C5" w14:textId="77777777" w:rsidR="00C67F54" w:rsidRPr="00046858" w:rsidRDefault="00C67F54">
            <w:pPr>
              <w:spacing w:before="0" w:after="0"/>
              <w:ind w:firstLineChars="100" w:firstLine="160"/>
              <w:jc w:val="left"/>
              <w:rPr>
                <w:rFonts w:eastAsia="Times New Roman"/>
                <w:noProof/>
                <w:color w:val="000000"/>
                <w:sz w:val="16"/>
                <w:szCs w:val="16"/>
              </w:rPr>
            </w:pPr>
            <w:r w:rsidRPr="00046858">
              <w:rPr>
                <w:noProof/>
                <w:color w:val="000000"/>
                <w:sz w:val="16"/>
              </w:rPr>
              <w:t>20 02 03 (AC, AL, END și JPD în delegațiile UE)</w:t>
            </w:r>
          </w:p>
        </w:tc>
        <w:tc>
          <w:tcPr>
            <w:tcW w:w="519" w:type="pct"/>
            <w:tcBorders>
              <w:top w:val="nil"/>
              <w:left w:val="nil"/>
              <w:bottom w:val="single" w:sz="8" w:space="0" w:color="auto"/>
              <w:right w:val="single" w:sz="8" w:space="0" w:color="auto"/>
            </w:tcBorders>
            <w:shd w:val="clear" w:color="000000" w:fill="D9D9D9"/>
            <w:vAlign w:val="center"/>
            <w:hideMark/>
          </w:tcPr>
          <w:p w14:paraId="381E5939"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F51A982"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AE0DD34"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F931332"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8543004"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0C2F4E8"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523A0787"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r>
      <w:tr w:rsidR="00C67F54" w:rsidRPr="00046858" w14:paraId="2F46B6D3" w14:textId="77777777" w:rsidTr="00185E87">
        <w:trPr>
          <w:trHeight w:val="640"/>
        </w:trPr>
        <w:tc>
          <w:tcPr>
            <w:tcW w:w="751" w:type="pct"/>
            <w:tcBorders>
              <w:top w:val="nil"/>
              <w:left w:val="single" w:sz="8" w:space="0" w:color="auto"/>
              <w:bottom w:val="nil"/>
              <w:right w:val="single" w:sz="8" w:space="0" w:color="auto"/>
            </w:tcBorders>
            <w:vAlign w:val="center"/>
            <w:hideMark/>
          </w:tcPr>
          <w:p w14:paraId="7D6CEF2D"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Linia de sprijin administrativ</w:t>
            </w:r>
          </w:p>
        </w:tc>
        <w:tc>
          <w:tcPr>
            <w:tcW w:w="619" w:type="pct"/>
            <w:tcBorders>
              <w:top w:val="nil"/>
              <w:left w:val="nil"/>
              <w:bottom w:val="single" w:sz="8" w:space="0" w:color="auto"/>
              <w:right w:val="single" w:sz="8" w:space="0" w:color="auto"/>
            </w:tcBorders>
            <w:vAlign w:val="center"/>
            <w:hideMark/>
          </w:tcPr>
          <w:p w14:paraId="57208BDB" w14:textId="77777777" w:rsidR="00C67F54" w:rsidRPr="00046858" w:rsidRDefault="00C67F54" w:rsidP="00A13600">
            <w:pPr>
              <w:pStyle w:val="ListParagraph"/>
              <w:numPr>
                <w:ilvl w:val="0"/>
                <w:numId w:val="17"/>
              </w:numPr>
              <w:spacing w:before="0" w:after="0"/>
              <w:ind w:left="169" w:hanging="152"/>
              <w:jc w:val="left"/>
              <w:rPr>
                <w:noProof/>
                <w:color w:val="000000"/>
                <w:sz w:val="16"/>
                <w:szCs w:val="16"/>
              </w:rPr>
            </w:pPr>
            <w:r w:rsidRPr="00046858">
              <w:rPr>
                <w:noProof/>
                <w:color w:val="000000"/>
                <w:sz w:val="16"/>
              </w:rPr>
              <w:t>la sediu</w:t>
            </w:r>
          </w:p>
        </w:tc>
        <w:tc>
          <w:tcPr>
            <w:tcW w:w="519" w:type="pct"/>
            <w:tcBorders>
              <w:top w:val="nil"/>
              <w:left w:val="nil"/>
              <w:bottom w:val="single" w:sz="8" w:space="0" w:color="auto"/>
              <w:right w:val="single" w:sz="8" w:space="0" w:color="auto"/>
            </w:tcBorders>
            <w:shd w:val="clear" w:color="000000" w:fill="D9D9D9"/>
            <w:vAlign w:val="center"/>
            <w:hideMark/>
          </w:tcPr>
          <w:p w14:paraId="16A229CD"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62A5DC2"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25BD5D7"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8273DF9"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4813B06"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CC21D2F"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1DE68345"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r>
      <w:tr w:rsidR="00C67F54" w:rsidRPr="00046858" w14:paraId="1DB2EA55" w14:textId="77777777" w:rsidTr="00185E87">
        <w:trPr>
          <w:trHeight w:val="430"/>
        </w:trPr>
        <w:tc>
          <w:tcPr>
            <w:tcW w:w="751" w:type="pct"/>
            <w:tcBorders>
              <w:top w:val="nil"/>
              <w:left w:val="single" w:sz="8" w:space="0" w:color="auto"/>
              <w:bottom w:val="single" w:sz="8" w:space="0" w:color="auto"/>
              <w:right w:val="single" w:sz="8" w:space="0" w:color="auto"/>
            </w:tcBorders>
            <w:vAlign w:val="center"/>
            <w:hideMark/>
          </w:tcPr>
          <w:p w14:paraId="46E07E70"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[XX.01.YY.YY]</w:t>
            </w:r>
          </w:p>
        </w:tc>
        <w:tc>
          <w:tcPr>
            <w:tcW w:w="619" w:type="pct"/>
            <w:tcBorders>
              <w:top w:val="nil"/>
              <w:left w:val="nil"/>
              <w:bottom w:val="single" w:sz="8" w:space="0" w:color="auto"/>
              <w:right w:val="single" w:sz="8" w:space="0" w:color="auto"/>
            </w:tcBorders>
            <w:vAlign w:val="center"/>
            <w:hideMark/>
          </w:tcPr>
          <w:p w14:paraId="2D5F7AF6" w14:textId="77777777" w:rsidR="00C67F54" w:rsidRPr="00046858" w:rsidRDefault="00C67F54" w:rsidP="00A13600">
            <w:pPr>
              <w:pStyle w:val="ListParagraph"/>
              <w:numPr>
                <w:ilvl w:val="0"/>
                <w:numId w:val="17"/>
              </w:numPr>
              <w:spacing w:before="0" w:after="0"/>
              <w:ind w:left="169" w:hanging="152"/>
              <w:jc w:val="left"/>
              <w:rPr>
                <w:noProof/>
                <w:color w:val="000000"/>
                <w:sz w:val="16"/>
                <w:szCs w:val="16"/>
              </w:rPr>
            </w:pPr>
            <w:r w:rsidRPr="00046858">
              <w:rPr>
                <w:noProof/>
                <w:color w:val="000000"/>
                <w:sz w:val="16"/>
              </w:rPr>
              <w:t xml:space="preserve">– în delegațiile UE </w:t>
            </w:r>
          </w:p>
        </w:tc>
        <w:tc>
          <w:tcPr>
            <w:tcW w:w="519" w:type="pct"/>
            <w:tcBorders>
              <w:top w:val="nil"/>
              <w:left w:val="nil"/>
              <w:bottom w:val="single" w:sz="8" w:space="0" w:color="auto"/>
              <w:right w:val="single" w:sz="8" w:space="0" w:color="auto"/>
            </w:tcBorders>
            <w:shd w:val="clear" w:color="000000" w:fill="D9D9D9"/>
            <w:vAlign w:val="center"/>
            <w:hideMark/>
          </w:tcPr>
          <w:p w14:paraId="42FCF4E7"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D4C0AF8"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94DD01D"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935EAD5"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47EE8B6"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3B26735"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0E2E34F9"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r>
      <w:tr w:rsidR="00C67F54" w:rsidRPr="00046858" w14:paraId="0042CBBF" w14:textId="77777777" w:rsidTr="00185E8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73D4895B" w14:textId="77777777" w:rsidR="00C67F54" w:rsidRPr="00046858" w:rsidRDefault="00C67F54">
            <w:pPr>
              <w:spacing w:before="0" w:after="0"/>
              <w:ind w:firstLineChars="100" w:firstLine="200"/>
              <w:jc w:val="left"/>
              <w:rPr>
                <w:rFonts w:eastAsia="Times New Roman"/>
                <w:noProof/>
                <w:color w:val="000000"/>
                <w:sz w:val="16"/>
                <w:szCs w:val="16"/>
              </w:rPr>
            </w:pPr>
            <w:r w:rsidRPr="00046858">
              <w:rPr>
                <w:rFonts w:ascii="Arial Narrow" w:hAnsi="Arial Narrow"/>
                <w:noProof/>
                <w:color w:val="000000"/>
                <w:sz w:val="20"/>
              </w:rPr>
              <w:t xml:space="preserve"> </w:t>
            </w:r>
            <w:r w:rsidRPr="00046858">
              <w:rPr>
                <w:noProof/>
                <w:color w:val="000000"/>
                <w:sz w:val="16"/>
              </w:rPr>
              <w:t>(AC, END – cercetare indirectă)</w:t>
            </w:r>
          </w:p>
        </w:tc>
        <w:tc>
          <w:tcPr>
            <w:tcW w:w="519" w:type="pct"/>
            <w:tcBorders>
              <w:top w:val="nil"/>
              <w:left w:val="nil"/>
              <w:bottom w:val="single" w:sz="8" w:space="0" w:color="auto"/>
              <w:right w:val="single" w:sz="8" w:space="0" w:color="auto"/>
            </w:tcBorders>
            <w:shd w:val="clear" w:color="000000" w:fill="D9D9D9"/>
            <w:vAlign w:val="center"/>
            <w:hideMark/>
          </w:tcPr>
          <w:p w14:paraId="3BA65707"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76581D4"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C329D80"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CD0F82B"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7CD33BB"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64669EC"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765A462B"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r>
      <w:tr w:rsidR="00C67F54" w:rsidRPr="00046858" w14:paraId="5C1B2AF3" w14:textId="77777777" w:rsidTr="00185E8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1D8F1610" w14:textId="77777777" w:rsidR="00C67F54" w:rsidRPr="00046858" w:rsidRDefault="00C67F54">
            <w:pPr>
              <w:spacing w:before="0" w:after="0"/>
              <w:ind w:firstLineChars="100" w:firstLine="160"/>
              <w:jc w:val="left"/>
              <w:rPr>
                <w:rFonts w:eastAsia="Times New Roman"/>
                <w:noProof/>
                <w:color w:val="000000"/>
                <w:sz w:val="16"/>
                <w:szCs w:val="16"/>
              </w:rPr>
            </w:pPr>
            <w:r w:rsidRPr="00046858">
              <w:rPr>
                <w:noProof/>
                <w:color w:val="000000"/>
                <w:sz w:val="16"/>
              </w:rPr>
              <w:t xml:space="preserve"> (AC, END – cercetare directă)</w:t>
            </w:r>
          </w:p>
        </w:tc>
        <w:tc>
          <w:tcPr>
            <w:tcW w:w="519" w:type="pct"/>
            <w:tcBorders>
              <w:top w:val="nil"/>
              <w:left w:val="nil"/>
              <w:bottom w:val="single" w:sz="8" w:space="0" w:color="auto"/>
              <w:right w:val="single" w:sz="8" w:space="0" w:color="auto"/>
            </w:tcBorders>
            <w:shd w:val="clear" w:color="000000" w:fill="D9D9D9"/>
            <w:vAlign w:val="center"/>
            <w:hideMark/>
          </w:tcPr>
          <w:p w14:paraId="154E15B8"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FA3F4A7"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FEDAF70"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C7056CB"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CBE945E"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64EC633"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67164327"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r>
      <w:tr w:rsidR="00C67F54" w:rsidRPr="00046858" w14:paraId="3214044C" w14:textId="77777777" w:rsidTr="00185E8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194B88D1" w14:textId="77777777" w:rsidR="00C67F54" w:rsidRPr="00046858" w:rsidRDefault="00C67F54">
            <w:pPr>
              <w:spacing w:before="0" w:after="0"/>
              <w:ind w:firstLineChars="100" w:firstLine="160"/>
              <w:jc w:val="left"/>
              <w:rPr>
                <w:rFonts w:eastAsia="Times New Roman"/>
                <w:noProof/>
                <w:color w:val="000000"/>
                <w:sz w:val="16"/>
                <w:szCs w:val="16"/>
              </w:rPr>
            </w:pPr>
            <w:r w:rsidRPr="00046858">
              <w:rPr>
                <w:noProof/>
                <w:color w:val="000000"/>
                <w:sz w:val="16"/>
              </w:rPr>
              <w:t>Alte linii bugetare (a se preciza) – rubrica 4</w:t>
            </w:r>
          </w:p>
        </w:tc>
        <w:tc>
          <w:tcPr>
            <w:tcW w:w="519" w:type="pct"/>
            <w:tcBorders>
              <w:top w:val="nil"/>
              <w:left w:val="nil"/>
              <w:bottom w:val="single" w:sz="8" w:space="0" w:color="auto"/>
              <w:right w:val="single" w:sz="8" w:space="0" w:color="auto"/>
            </w:tcBorders>
            <w:shd w:val="clear" w:color="000000" w:fill="D9D9D9"/>
            <w:vAlign w:val="center"/>
            <w:hideMark/>
          </w:tcPr>
          <w:p w14:paraId="01CC79EB"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C6DE47F"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EE3917D"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B513F7A"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6FD07B5"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41D832C"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1B3DEF5A"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r>
      <w:tr w:rsidR="00C67F54" w:rsidRPr="00046858" w14:paraId="6D8AFC4A" w14:textId="77777777" w:rsidTr="00185E87">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44F59EB7" w14:textId="77777777" w:rsidR="00C67F54" w:rsidRPr="00046858" w:rsidRDefault="00C67F54">
            <w:pPr>
              <w:spacing w:before="0" w:after="0"/>
              <w:ind w:firstLineChars="100" w:firstLine="160"/>
              <w:jc w:val="left"/>
              <w:rPr>
                <w:rFonts w:eastAsia="Times New Roman"/>
                <w:noProof/>
                <w:color w:val="000000"/>
                <w:sz w:val="16"/>
                <w:szCs w:val="16"/>
              </w:rPr>
            </w:pPr>
            <w:r w:rsidRPr="00046858">
              <w:rPr>
                <w:noProof/>
                <w:color w:val="000000"/>
                <w:sz w:val="16"/>
              </w:rPr>
              <w:t>Alte linii bugetare (a se preciza) – în afara rubricii 4</w:t>
            </w:r>
          </w:p>
        </w:tc>
        <w:tc>
          <w:tcPr>
            <w:tcW w:w="519" w:type="pct"/>
            <w:tcBorders>
              <w:top w:val="nil"/>
              <w:left w:val="nil"/>
              <w:bottom w:val="single" w:sz="8" w:space="0" w:color="auto"/>
              <w:right w:val="single" w:sz="8" w:space="0" w:color="auto"/>
            </w:tcBorders>
            <w:shd w:val="clear" w:color="000000" w:fill="D9D9D9"/>
            <w:vAlign w:val="center"/>
            <w:hideMark/>
          </w:tcPr>
          <w:p w14:paraId="1DD6BAC8"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1C85E80"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EDE3828"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E1D2055"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E6E59DC"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A7A25DD"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2B0B5A11" w14:textId="77777777" w:rsidR="00C67F54" w:rsidRPr="00046858" w:rsidRDefault="00C67F54">
            <w:pPr>
              <w:spacing w:before="0" w:after="0"/>
              <w:jc w:val="center"/>
              <w:rPr>
                <w:rFonts w:eastAsia="Times New Roman"/>
                <w:noProof/>
                <w:color w:val="000000"/>
                <w:sz w:val="16"/>
                <w:szCs w:val="16"/>
              </w:rPr>
            </w:pPr>
            <w:r w:rsidRPr="00046858">
              <w:rPr>
                <w:noProof/>
                <w:color w:val="000000"/>
                <w:sz w:val="16"/>
              </w:rPr>
              <w:t>0</w:t>
            </w:r>
          </w:p>
        </w:tc>
      </w:tr>
      <w:tr w:rsidR="00C67F54" w:rsidRPr="00046858" w14:paraId="5CC9E6CD" w14:textId="77777777" w:rsidTr="00185E87">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07FD92FB" w14:textId="77777777" w:rsidR="00C67F54" w:rsidRPr="00046858" w:rsidRDefault="00C67F54">
            <w:pPr>
              <w:spacing w:before="0" w:after="0"/>
              <w:ind w:firstLineChars="100" w:firstLine="160"/>
              <w:jc w:val="left"/>
              <w:rPr>
                <w:rFonts w:eastAsia="Times New Roman"/>
                <w:b/>
                <w:noProof/>
                <w:color w:val="000000"/>
                <w:sz w:val="16"/>
                <w:szCs w:val="16"/>
              </w:rPr>
            </w:pPr>
            <w:r w:rsidRPr="00046858">
              <w:rPr>
                <w:b/>
                <w:noProof/>
                <w:color w:val="000000"/>
                <w:sz w:val="16"/>
              </w:rPr>
              <w:t>TOTAL</w:t>
            </w:r>
          </w:p>
        </w:tc>
        <w:tc>
          <w:tcPr>
            <w:tcW w:w="519" w:type="pct"/>
            <w:tcBorders>
              <w:top w:val="nil"/>
              <w:left w:val="nil"/>
              <w:bottom w:val="single" w:sz="8" w:space="0" w:color="auto"/>
              <w:right w:val="single" w:sz="8" w:space="0" w:color="auto"/>
            </w:tcBorders>
            <w:shd w:val="clear" w:color="000000" w:fill="D9D9D9"/>
            <w:vAlign w:val="center"/>
            <w:hideMark/>
          </w:tcPr>
          <w:p w14:paraId="25FC5079" w14:textId="77777777" w:rsidR="00C67F54" w:rsidRPr="00046858" w:rsidRDefault="00C67F54">
            <w:pPr>
              <w:spacing w:before="0" w:after="0"/>
              <w:jc w:val="center"/>
              <w:rPr>
                <w:rFonts w:eastAsia="Times New Roman"/>
                <w:b/>
                <w:noProof/>
                <w:color w:val="000000"/>
                <w:sz w:val="16"/>
                <w:szCs w:val="16"/>
              </w:rPr>
            </w:pPr>
            <w:r w:rsidRPr="00046858">
              <w:rPr>
                <w:b/>
                <w:noProof/>
                <w:color w:val="000000"/>
                <w:sz w:val="16"/>
              </w:rPr>
              <w:t>17</w:t>
            </w:r>
          </w:p>
        </w:tc>
        <w:tc>
          <w:tcPr>
            <w:tcW w:w="519" w:type="pct"/>
            <w:tcBorders>
              <w:top w:val="nil"/>
              <w:left w:val="nil"/>
              <w:bottom w:val="single" w:sz="8" w:space="0" w:color="auto"/>
              <w:right w:val="single" w:sz="8" w:space="0" w:color="auto"/>
            </w:tcBorders>
            <w:shd w:val="clear" w:color="000000" w:fill="D9D9D9"/>
            <w:vAlign w:val="center"/>
            <w:hideMark/>
          </w:tcPr>
          <w:p w14:paraId="5BA7E8A7" w14:textId="77777777" w:rsidR="00C67F54" w:rsidRPr="00046858" w:rsidRDefault="00C67F54">
            <w:pPr>
              <w:spacing w:before="0" w:after="0"/>
              <w:jc w:val="center"/>
              <w:rPr>
                <w:rFonts w:eastAsia="Times New Roman"/>
                <w:b/>
                <w:noProof/>
                <w:color w:val="000000"/>
                <w:sz w:val="16"/>
                <w:szCs w:val="16"/>
              </w:rPr>
            </w:pPr>
            <w:r w:rsidRPr="00046858">
              <w:rPr>
                <w:b/>
                <w:noProof/>
                <w:color w:val="000000"/>
                <w:sz w:val="16"/>
              </w:rPr>
              <w:t>17</w:t>
            </w:r>
          </w:p>
        </w:tc>
        <w:tc>
          <w:tcPr>
            <w:tcW w:w="519" w:type="pct"/>
            <w:tcBorders>
              <w:top w:val="nil"/>
              <w:left w:val="nil"/>
              <w:bottom w:val="single" w:sz="8" w:space="0" w:color="auto"/>
              <w:right w:val="single" w:sz="8" w:space="0" w:color="auto"/>
            </w:tcBorders>
            <w:shd w:val="clear" w:color="000000" w:fill="D9D9D9"/>
            <w:vAlign w:val="center"/>
            <w:hideMark/>
          </w:tcPr>
          <w:p w14:paraId="53953F6F" w14:textId="77777777" w:rsidR="00C67F54" w:rsidRPr="00046858" w:rsidRDefault="00C67F54">
            <w:pPr>
              <w:spacing w:before="0" w:after="0"/>
              <w:jc w:val="center"/>
              <w:rPr>
                <w:rFonts w:eastAsia="Times New Roman"/>
                <w:b/>
                <w:noProof/>
                <w:color w:val="000000"/>
                <w:sz w:val="16"/>
                <w:szCs w:val="16"/>
              </w:rPr>
            </w:pPr>
            <w:r w:rsidRPr="00046858">
              <w:rPr>
                <w:b/>
                <w:noProof/>
                <w:color w:val="000000"/>
                <w:sz w:val="16"/>
              </w:rPr>
              <w:t>17</w:t>
            </w:r>
          </w:p>
        </w:tc>
        <w:tc>
          <w:tcPr>
            <w:tcW w:w="519" w:type="pct"/>
            <w:tcBorders>
              <w:top w:val="nil"/>
              <w:left w:val="nil"/>
              <w:bottom w:val="single" w:sz="8" w:space="0" w:color="auto"/>
              <w:right w:val="single" w:sz="8" w:space="0" w:color="auto"/>
            </w:tcBorders>
            <w:shd w:val="clear" w:color="000000" w:fill="D9D9D9"/>
            <w:vAlign w:val="center"/>
            <w:hideMark/>
          </w:tcPr>
          <w:p w14:paraId="1FAF6D54" w14:textId="77777777" w:rsidR="00C67F54" w:rsidRPr="00046858" w:rsidRDefault="00C67F54">
            <w:pPr>
              <w:spacing w:before="0" w:after="0"/>
              <w:jc w:val="center"/>
              <w:rPr>
                <w:rFonts w:eastAsia="Times New Roman"/>
                <w:b/>
                <w:noProof/>
                <w:color w:val="000000"/>
                <w:sz w:val="16"/>
                <w:szCs w:val="16"/>
              </w:rPr>
            </w:pPr>
            <w:r w:rsidRPr="00046858">
              <w:rPr>
                <w:b/>
                <w:noProof/>
                <w:color w:val="000000"/>
                <w:sz w:val="16"/>
              </w:rPr>
              <w:t>17</w:t>
            </w:r>
          </w:p>
        </w:tc>
        <w:tc>
          <w:tcPr>
            <w:tcW w:w="519" w:type="pct"/>
            <w:tcBorders>
              <w:top w:val="nil"/>
              <w:left w:val="nil"/>
              <w:bottom w:val="single" w:sz="8" w:space="0" w:color="auto"/>
              <w:right w:val="single" w:sz="8" w:space="0" w:color="auto"/>
            </w:tcBorders>
            <w:shd w:val="clear" w:color="000000" w:fill="D9D9D9"/>
            <w:vAlign w:val="center"/>
            <w:hideMark/>
          </w:tcPr>
          <w:p w14:paraId="2801E77D" w14:textId="77777777" w:rsidR="00C67F54" w:rsidRPr="00046858" w:rsidRDefault="00C67F54">
            <w:pPr>
              <w:spacing w:before="0" w:after="0"/>
              <w:jc w:val="center"/>
              <w:rPr>
                <w:rFonts w:eastAsia="Times New Roman"/>
                <w:b/>
                <w:noProof/>
                <w:color w:val="000000"/>
                <w:sz w:val="16"/>
                <w:szCs w:val="16"/>
              </w:rPr>
            </w:pPr>
            <w:r w:rsidRPr="00046858">
              <w:rPr>
                <w:b/>
                <w:noProof/>
                <w:color w:val="000000"/>
                <w:sz w:val="16"/>
              </w:rPr>
              <w:t>17</w:t>
            </w:r>
          </w:p>
        </w:tc>
        <w:tc>
          <w:tcPr>
            <w:tcW w:w="519" w:type="pct"/>
            <w:tcBorders>
              <w:top w:val="nil"/>
              <w:left w:val="nil"/>
              <w:bottom w:val="single" w:sz="8" w:space="0" w:color="auto"/>
              <w:right w:val="single" w:sz="8" w:space="0" w:color="auto"/>
            </w:tcBorders>
            <w:shd w:val="clear" w:color="000000" w:fill="D9D9D9"/>
            <w:vAlign w:val="center"/>
            <w:hideMark/>
          </w:tcPr>
          <w:p w14:paraId="6C1A742F" w14:textId="77777777" w:rsidR="00C67F54" w:rsidRPr="00046858" w:rsidRDefault="00C67F54">
            <w:pPr>
              <w:spacing w:before="0" w:after="0"/>
              <w:jc w:val="center"/>
              <w:rPr>
                <w:rFonts w:eastAsia="Times New Roman"/>
                <w:b/>
                <w:noProof/>
                <w:color w:val="000000"/>
                <w:sz w:val="16"/>
                <w:szCs w:val="16"/>
              </w:rPr>
            </w:pPr>
            <w:r w:rsidRPr="00046858">
              <w:rPr>
                <w:b/>
                <w:noProof/>
                <w:color w:val="000000"/>
                <w:sz w:val="16"/>
              </w:rPr>
              <w:t>17</w:t>
            </w:r>
          </w:p>
        </w:tc>
        <w:tc>
          <w:tcPr>
            <w:tcW w:w="516" w:type="pct"/>
            <w:tcBorders>
              <w:top w:val="nil"/>
              <w:left w:val="nil"/>
              <w:bottom w:val="single" w:sz="8" w:space="0" w:color="auto"/>
              <w:right w:val="single" w:sz="8" w:space="0" w:color="auto"/>
            </w:tcBorders>
            <w:shd w:val="clear" w:color="000000" w:fill="D9D9D9"/>
            <w:vAlign w:val="center"/>
            <w:hideMark/>
          </w:tcPr>
          <w:p w14:paraId="4DE81DBE" w14:textId="77777777" w:rsidR="00C67F54" w:rsidRPr="00046858" w:rsidRDefault="00C67F54">
            <w:pPr>
              <w:spacing w:before="0" w:after="0"/>
              <w:jc w:val="center"/>
              <w:rPr>
                <w:rFonts w:eastAsia="Times New Roman"/>
                <w:b/>
                <w:bCs/>
                <w:noProof/>
                <w:color w:val="000000"/>
                <w:sz w:val="16"/>
                <w:szCs w:val="16"/>
              </w:rPr>
            </w:pPr>
            <w:r w:rsidRPr="00046858">
              <w:rPr>
                <w:b/>
                <w:noProof/>
                <w:color w:val="000000"/>
                <w:sz w:val="16"/>
              </w:rPr>
              <w:t>17</w:t>
            </w:r>
          </w:p>
        </w:tc>
      </w:tr>
    </w:tbl>
    <w:p w14:paraId="48A82C13" w14:textId="77777777" w:rsidR="00A85283" w:rsidRPr="00046858" w:rsidRDefault="00A85283" w:rsidP="00C67F54">
      <w:pPr>
        <w:pStyle w:val="Text1"/>
        <w:ind w:left="-426" w:right="-427"/>
        <w:rPr>
          <w:noProof/>
        </w:rPr>
      </w:pPr>
      <w:r w:rsidRPr="00046858">
        <w:rPr>
          <w:noProof/>
        </w:rPr>
        <w:t>Impactul estimat asupra cheltuielilor și a personalului pentru 2028 și ulterior este adăugat doar cu titlu orientativ și nu aduce atingere următorului cadru financiar multianual. Sursa de finanțare și domeniul de aplicare al angajamentului financiar al Uniunii pentru perioada de după 2027 depind în continuare de rezultatul negocierilor interinstituționale privind CFM 2028-2034 și, ulterior, vor fi stabilite prin procedura bugetară anuală. Toate creditele și alocările de personal începând cu 2028 sunt orientative.</w:t>
      </w:r>
    </w:p>
    <w:p w14:paraId="76AFBA6D" w14:textId="77777777" w:rsidR="00A03D5B" w:rsidRPr="00046858" w:rsidRDefault="00A03D5B" w:rsidP="0041561E">
      <w:pPr>
        <w:pStyle w:val="Text1"/>
        <w:ind w:left="-426"/>
        <w:rPr>
          <w:noProof/>
          <w:color w:val="000000" w:themeColor="text1"/>
        </w:rPr>
      </w:pPr>
      <w:r w:rsidRPr="00046858">
        <w:rPr>
          <w:noProof/>
          <w:color w:val="000000" w:themeColor="text1"/>
        </w:rPr>
        <w:t xml:space="preserve">Personalul necesar pentru punerea în aplicare a propunerii (în ENI):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C67F54" w:rsidRPr="00046858" w14:paraId="22607B2A" w14:textId="77777777">
        <w:trPr>
          <w:trHeight w:val="300"/>
        </w:trPr>
        <w:tc>
          <w:tcPr>
            <w:tcW w:w="1845" w:type="dxa"/>
          </w:tcPr>
          <w:p w14:paraId="4E8FEC85" w14:textId="77777777" w:rsidR="00C67F54" w:rsidRPr="00046858" w:rsidRDefault="00C67F54">
            <w:pPr>
              <w:pStyle w:val="Text1"/>
              <w:ind w:left="0"/>
              <w:jc w:val="center"/>
              <w:rPr>
                <w:b/>
                <w:bCs/>
                <w:noProof/>
                <w:sz w:val="22"/>
                <w:szCs w:val="28"/>
              </w:rPr>
            </w:pPr>
          </w:p>
        </w:tc>
        <w:tc>
          <w:tcPr>
            <w:tcW w:w="2031" w:type="dxa"/>
          </w:tcPr>
          <w:p w14:paraId="02718D27" w14:textId="77777777" w:rsidR="00C67F54" w:rsidRPr="00046858" w:rsidRDefault="00C67F54">
            <w:pPr>
              <w:pStyle w:val="Text1"/>
              <w:ind w:left="0"/>
              <w:jc w:val="center"/>
              <w:rPr>
                <w:b/>
                <w:bCs/>
                <w:noProof/>
                <w:sz w:val="22"/>
              </w:rPr>
            </w:pPr>
            <w:r w:rsidRPr="00046858">
              <w:rPr>
                <w:b/>
                <w:noProof/>
                <w:sz w:val="22"/>
              </w:rPr>
              <w:t xml:space="preserve">Personal ce urmează să fie acoperit de personalul actual disponibil în cadrul serviciilor Comisiei </w:t>
            </w:r>
          </w:p>
        </w:tc>
        <w:tc>
          <w:tcPr>
            <w:tcW w:w="5611" w:type="dxa"/>
            <w:gridSpan w:val="3"/>
          </w:tcPr>
          <w:p w14:paraId="5940B4AF" w14:textId="77777777" w:rsidR="00C67F54" w:rsidRPr="00046858" w:rsidRDefault="00C67F54">
            <w:pPr>
              <w:pStyle w:val="Text1"/>
              <w:ind w:left="0"/>
              <w:jc w:val="center"/>
              <w:rPr>
                <w:b/>
                <w:bCs/>
                <w:noProof/>
                <w:sz w:val="22"/>
              </w:rPr>
            </w:pPr>
            <w:r w:rsidRPr="00046858">
              <w:rPr>
                <w:b/>
                <w:noProof/>
                <w:sz w:val="22"/>
              </w:rPr>
              <w:t>În mod excepțional, personal suplimentar*</w:t>
            </w:r>
          </w:p>
        </w:tc>
      </w:tr>
      <w:tr w:rsidR="00C67F54" w:rsidRPr="00046858" w14:paraId="47069599" w14:textId="77777777">
        <w:trPr>
          <w:trHeight w:val="300"/>
        </w:trPr>
        <w:tc>
          <w:tcPr>
            <w:tcW w:w="1845" w:type="dxa"/>
          </w:tcPr>
          <w:p w14:paraId="6A61BFB7" w14:textId="77777777" w:rsidR="00C67F54" w:rsidRPr="00046858" w:rsidRDefault="00C67F54">
            <w:pPr>
              <w:pStyle w:val="Text1"/>
              <w:ind w:left="0"/>
              <w:jc w:val="center"/>
              <w:rPr>
                <w:b/>
                <w:bCs/>
                <w:noProof/>
                <w:sz w:val="22"/>
                <w:szCs w:val="28"/>
              </w:rPr>
            </w:pPr>
          </w:p>
        </w:tc>
        <w:tc>
          <w:tcPr>
            <w:tcW w:w="2031" w:type="dxa"/>
          </w:tcPr>
          <w:p w14:paraId="4304B7EE" w14:textId="77777777" w:rsidR="00C67F54" w:rsidRPr="00046858" w:rsidRDefault="00C67F54">
            <w:pPr>
              <w:pStyle w:val="Text1"/>
              <w:ind w:left="0"/>
              <w:jc w:val="center"/>
              <w:rPr>
                <w:b/>
                <w:bCs/>
                <w:noProof/>
                <w:sz w:val="22"/>
                <w:szCs w:val="28"/>
              </w:rPr>
            </w:pPr>
          </w:p>
        </w:tc>
        <w:tc>
          <w:tcPr>
            <w:tcW w:w="1925" w:type="dxa"/>
          </w:tcPr>
          <w:p w14:paraId="2711073F" w14:textId="77777777" w:rsidR="00C67F54" w:rsidRPr="00046858" w:rsidRDefault="00C67F54">
            <w:pPr>
              <w:pStyle w:val="Text1"/>
              <w:ind w:left="0"/>
              <w:jc w:val="center"/>
              <w:rPr>
                <w:b/>
                <w:bCs/>
                <w:noProof/>
                <w:sz w:val="22"/>
              </w:rPr>
            </w:pPr>
            <w:r w:rsidRPr="00046858">
              <w:rPr>
                <w:b/>
                <w:noProof/>
                <w:sz w:val="22"/>
              </w:rPr>
              <w:t>Personal ce urmează să fie finanțat în cadrul rubricii 4 sau Cercetare</w:t>
            </w:r>
          </w:p>
        </w:tc>
        <w:tc>
          <w:tcPr>
            <w:tcW w:w="1938" w:type="dxa"/>
          </w:tcPr>
          <w:p w14:paraId="534FB0EF" w14:textId="77777777" w:rsidR="00C67F54" w:rsidRPr="00046858" w:rsidRDefault="00C67F54">
            <w:pPr>
              <w:pStyle w:val="Text1"/>
              <w:ind w:left="0"/>
              <w:jc w:val="center"/>
              <w:rPr>
                <w:b/>
                <w:bCs/>
                <w:noProof/>
                <w:sz w:val="22"/>
                <w:szCs w:val="28"/>
              </w:rPr>
            </w:pPr>
            <w:r w:rsidRPr="00046858">
              <w:rPr>
                <w:b/>
                <w:noProof/>
                <w:sz w:val="22"/>
              </w:rPr>
              <w:t>Personal ce urmează să fie finanțat de la linia BA</w:t>
            </w:r>
          </w:p>
        </w:tc>
        <w:tc>
          <w:tcPr>
            <w:tcW w:w="1748" w:type="dxa"/>
          </w:tcPr>
          <w:p w14:paraId="3343B1BE" w14:textId="77777777" w:rsidR="00C67F54" w:rsidRPr="00046858" w:rsidRDefault="00C67F54">
            <w:pPr>
              <w:pStyle w:val="Text1"/>
              <w:ind w:left="0"/>
              <w:jc w:val="center"/>
              <w:rPr>
                <w:b/>
                <w:bCs/>
                <w:noProof/>
                <w:sz w:val="22"/>
                <w:szCs w:val="28"/>
              </w:rPr>
            </w:pPr>
            <w:r w:rsidRPr="00046858">
              <w:rPr>
                <w:b/>
                <w:noProof/>
                <w:sz w:val="22"/>
              </w:rPr>
              <w:t>Personal ce urmează să fie finanțat din taxe</w:t>
            </w:r>
          </w:p>
        </w:tc>
      </w:tr>
      <w:tr w:rsidR="00C67F54" w:rsidRPr="00046858" w14:paraId="49125FAB" w14:textId="77777777" w:rsidTr="00B61A8D">
        <w:trPr>
          <w:trHeight w:val="300"/>
        </w:trPr>
        <w:tc>
          <w:tcPr>
            <w:tcW w:w="1845" w:type="dxa"/>
          </w:tcPr>
          <w:p w14:paraId="62A5E4AC" w14:textId="77777777" w:rsidR="00C67F54" w:rsidRPr="00046858" w:rsidRDefault="00C67F54">
            <w:pPr>
              <w:pStyle w:val="Text1"/>
              <w:ind w:left="0"/>
              <w:rPr>
                <w:noProof/>
                <w:sz w:val="22"/>
                <w:szCs w:val="28"/>
              </w:rPr>
            </w:pPr>
            <w:r w:rsidRPr="00046858">
              <w:rPr>
                <w:noProof/>
                <w:sz w:val="22"/>
              </w:rPr>
              <w:t>Posturi din schema de personal</w:t>
            </w:r>
          </w:p>
        </w:tc>
        <w:tc>
          <w:tcPr>
            <w:tcW w:w="2031" w:type="dxa"/>
            <w:vAlign w:val="center"/>
          </w:tcPr>
          <w:p w14:paraId="11428F60" w14:textId="77777777" w:rsidR="00C67F54" w:rsidRPr="00046858" w:rsidRDefault="00805708">
            <w:pPr>
              <w:pStyle w:val="Text1"/>
              <w:ind w:left="0"/>
              <w:jc w:val="center"/>
              <w:rPr>
                <w:noProof/>
                <w:sz w:val="22"/>
                <w:szCs w:val="28"/>
              </w:rPr>
            </w:pPr>
            <w:r w:rsidRPr="00046858">
              <w:rPr>
                <w:noProof/>
                <w:sz w:val="22"/>
              </w:rPr>
              <w:t>5</w:t>
            </w:r>
          </w:p>
        </w:tc>
        <w:tc>
          <w:tcPr>
            <w:tcW w:w="1925" w:type="dxa"/>
            <w:vAlign w:val="center"/>
          </w:tcPr>
          <w:p w14:paraId="41831723" w14:textId="77777777" w:rsidR="00C67F54" w:rsidRPr="00046858" w:rsidRDefault="00ED03EA">
            <w:pPr>
              <w:pStyle w:val="Text1"/>
              <w:ind w:left="0"/>
              <w:jc w:val="center"/>
              <w:rPr>
                <w:noProof/>
                <w:sz w:val="22"/>
                <w:szCs w:val="28"/>
              </w:rPr>
            </w:pPr>
            <w:r w:rsidRPr="00046858">
              <w:rPr>
                <w:noProof/>
                <w:sz w:val="22"/>
              </w:rPr>
              <w:t>7</w:t>
            </w:r>
          </w:p>
        </w:tc>
        <w:tc>
          <w:tcPr>
            <w:tcW w:w="1938" w:type="dxa"/>
          </w:tcPr>
          <w:p w14:paraId="5D1B7B92" w14:textId="77777777" w:rsidR="00C67F54" w:rsidRPr="00046858" w:rsidRDefault="00C67F54">
            <w:pPr>
              <w:pStyle w:val="Text1"/>
              <w:ind w:left="0"/>
              <w:jc w:val="center"/>
              <w:rPr>
                <w:noProof/>
                <w:sz w:val="22"/>
                <w:szCs w:val="28"/>
              </w:rPr>
            </w:pPr>
            <w:r w:rsidRPr="00046858">
              <w:rPr>
                <w:noProof/>
                <w:sz w:val="22"/>
              </w:rPr>
              <w:t>N/A</w:t>
            </w:r>
          </w:p>
        </w:tc>
        <w:tc>
          <w:tcPr>
            <w:tcW w:w="1748" w:type="dxa"/>
          </w:tcPr>
          <w:p w14:paraId="0260726D" w14:textId="77777777" w:rsidR="00C67F54" w:rsidRPr="00046858" w:rsidRDefault="00C67F54">
            <w:pPr>
              <w:pStyle w:val="Text1"/>
              <w:ind w:left="0"/>
              <w:jc w:val="center"/>
              <w:rPr>
                <w:noProof/>
                <w:sz w:val="22"/>
                <w:szCs w:val="28"/>
              </w:rPr>
            </w:pPr>
          </w:p>
        </w:tc>
      </w:tr>
      <w:tr w:rsidR="00C67F54" w:rsidRPr="00046858" w14:paraId="25E29388" w14:textId="77777777" w:rsidTr="00B61A8D">
        <w:trPr>
          <w:trHeight w:val="300"/>
        </w:trPr>
        <w:tc>
          <w:tcPr>
            <w:tcW w:w="1845" w:type="dxa"/>
          </w:tcPr>
          <w:p w14:paraId="60ECF312" w14:textId="77777777" w:rsidR="00C67F54" w:rsidRPr="00046858" w:rsidRDefault="00C67F54">
            <w:pPr>
              <w:pStyle w:val="Text1"/>
              <w:ind w:left="0"/>
              <w:rPr>
                <w:noProof/>
                <w:sz w:val="22"/>
                <w:szCs w:val="28"/>
              </w:rPr>
            </w:pPr>
            <w:r w:rsidRPr="00046858">
              <w:rPr>
                <w:noProof/>
                <w:sz w:val="22"/>
              </w:rPr>
              <w:t>Personal extern (AC, END, INT)</w:t>
            </w:r>
          </w:p>
        </w:tc>
        <w:tc>
          <w:tcPr>
            <w:tcW w:w="2031" w:type="dxa"/>
            <w:vAlign w:val="center"/>
          </w:tcPr>
          <w:p w14:paraId="7D35E31C" w14:textId="77777777" w:rsidR="00C67F54" w:rsidRPr="00046858" w:rsidRDefault="00805708">
            <w:pPr>
              <w:pStyle w:val="Text1"/>
              <w:ind w:left="0"/>
              <w:jc w:val="center"/>
              <w:rPr>
                <w:noProof/>
                <w:sz w:val="22"/>
                <w:szCs w:val="28"/>
              </w:rPr>
            </w:pPr>
            <w:r w:rsidRPr="00046858">
              <w:rPr>
                <w:noProof/>
                <w:sz w:val="22"/>
              </w:rPr>
              <w:t>2</w:t>
            </w:r>
          </w:p>
        </w:tc>
        <w:tc>
          <w:tcPr>
            <w:tcW w:w="1925" w:type="dxa"/>
            <w:vAlign w:val="center"/>
          </w:tcPr>
          <w:p w14:paraId="1756A6C1" w14:textId="77777777" w:rsidR="00C67F54" w:rsidRPr="00046858" w:rsidRDefault="00F76F01">
            <w:pPr>
              <w:pStyle w:val="Text1"/>
              <w:ind w:left="0"/>
              <w:jc w:val="center"/>
              <w:rPr>
                <w:noProof/>
                <w:sz w:val="22"/>
                <w:szCs w:val="28"/>
              </w:rPr>
            </w:pPr>
            <w:r w:rsidRPr="00046858">
              <w:rPr>
                <w:noProof/>
                <w:sz w:val="22"/>
              </w:rPr>
              <w:t>3</w:t>
            </w:r>
          </w:p>
        </w:tc>
        <w:tc>
          <w:tcPr>
            <w:tcW w:w="1938" w:type="dxa"/>
          </w:tcPr>
          <w:p w14:paraId="7247FE12" w14:textId="77777777" w:rsidR="00C67F54" w:rsidRPr="00046858" w:rsidRDefault="00C67F54">
            <w:pPr>
              <w:pStyle w:val="Text1"/>
              <w:ind w:left="0"/>
              <w:jc w:val="center"/>
              <w:rPr>
                <w:noProof/>
                <w:sz w:val="22"/>
                <w:szCs w:val="28"/>
              </w:rPr>
            </w:pPr>
          </w:p>
        </w:tc>
        <w:tc>
          <w:tcPr>
            <w:tcW w:w="1748" w:type="dxa"/>
          </w:tcPr>
          <w:p w14:paraId="4EEAEF13" w14:textId="77777777" w:rsidR="00C67F54" w:rsidRPr="00046858" w:rsidRDefault="00C67F54">
            <w:pPr>
              <w:pStyle w:val="Text1"/>
              <w:ind w:left="0"/>
              <w:jc w:val="center"/>
              <w:rPr>
                <w:noProof/>
                <w:sz w:val="22"/>
                <w:szCs w:val="28"/>
              </w:rPr>
            </w:pPr>
          </w:p>
        </w:tc>
      </w:tr>
    </w:tbl>
    <w:p w14:paraId="004283E7" w14:textId="77777777" w:rsidR="00C644EF" w:rsidRPr="00046858" w:rsidRDefault="00C644EF" w:rsidP="0041561E">
      <w:pPr>
        <w:pStyle w:val="Text1"/>
        <w:ind w:left="-426" w:right="-427"/>
        <w:rPr>
          <w:noProof/>
        </w:rPr>
      </w:pPr>
    </w:p>
    <w:p w14:paraId="12CAF0F0" w14:textId="77777777" w:rsidR="00A03D5B" w:rsidRPr="00046858" w:rsidRDefault="00A03D5B" w:rsidP="00C644EF">
      <w:pPr>
        <w:pStyle w:val="Text1"/>
        <w:keepNext/>
        <w:ind w:left="-425" w:right="-425"/>
        <w:rPr>
          <w:noProof/>
        </w:rPr>
      </w:pPr>
      <w:r w:rsidRPr="00046858">
        <w:rPr>
          <w:noProof/>
        </w:rPr>
        <w:t>Descrierea sarcinilor care trebuie efectuate de:</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C67F54" w:rsidRPr="00046858" w14:paraId="38BA2711" w14:textId="77777777">
        <w:tc>
          <w:tcPr>
            <w:tcW w:w="3240" w:type="dxa"/>
          </w:tcPr>
          <w:p w14:paraId="0E89EDA0" w14:textId="77777777" w:rsidR="00C67F54" w:rsidRPr="00046858" w:rsidRDefault="00C67F54">
            <w:pPr>
              <w:rPr>
                <w:noProof/>
                <w:sz w:val="20"/>
              </w:rPr>
            </w:pPr>
            <w:r w:rsidRPr="00046858">
              <w:rPr>
                <w:noProof/>
                <w:sz w:val="20"/>
              </w:rPr>
              <w:t>Funcționari și personal temporar</w:t>
            </w:r>
          </w:p>
        </w:tc>
        <w:tc>
          <w:tcPr>
            <w:tcW w:w="7200" w:type="dxa"/>
          </w:tcPr>
          <w:p w14:paraId="5C6DCB14" w14:textId="77777777" w:rsidR="00C67F54" w:rsidRPr="00046858" w:rsidRDefault="00C67F54">
            <w:pPr>
              <w:rPr>
                <w:noProof/>
                <w:sz w:val="20"/>
              </w:rPr>
            </w:pPr>
            <w:r w:rsidRPr="00046858">
              <w:rPr>
                <w:noProof/>
                <w:sz w:val="20"/>
              </w:rPr>
              <w:t>Unele sarcini pot fi executate prin redistribuirea personalului care îndeplinește în prezent sarcini similare, de exemplu legate de supravegherea programelor, de legătura cu părțile interesate și de raportarea pentru activitățile de cercetare și dezvoltare, precum și de consolidare a capacităților din cadrul pilonului I.</w:t>
            </w:r>
          </w:p>
          <w:p w14:paraId="7B1493E3" w14:textId="77777777" w:rsidR="00C67F54" w:rsidRPr="00046858" w:rsidRDefault="00937447">
            <w:pPr>
              <w:rPr>
                <w:noProof/>
                <w:sz w:val="20"/>
              </w:rPr>
            </w:pPr>
            <w:r w:rsidRPr="00046858">
              <w:rPr>
                <w:noProof/>
                <w:sz w:val="20"/>
              </w:rPr>
              <w:t>Sarcinile suplimentare prevăzute în propunere ar trebui îndeplinite de personal suplimentar, de exemplu definirea și supravegherea proiectelor strategice, inclusiv monitorizarea jaloanelor și a rezultatelor, verificări ale conformității (ajutoare de stat, achiziții publice), coordonarea transfrontalieră cu statele membre, definirea marilor provocări și supravegherea punerii lor în aplicare, coordonarea supravegherii administrative (nefiscale), evaluarea planurilor regionale de investiții, evaluarea proprietății și a controlului asupra întreprinderilor naționale, consultarea Consiliului european pentru semiconductori cu privire la proiecte strategice, recomandări privind cipurile din partea întreprinderilor naționale în cadrul achizițiilor publice, consultări cu alianța în vederea definirii unei strategii comune privind tehnologiile semiconductorilor, consiliere cu privire la sectoarele predispuse la riscuri, stabilirea de parteneriate strategice cu țări terțe, furnizarea de orientări privind achizițiile publice statelor membre și autorităților contractante, furnizarea de recomandări metodologice privind efectuarea evaluărilor riscurilor în materie de securitate a aprovizionării, executarea de exerciții de pregătire pentru situații de criză, înființarea și facilitarea unor forumuri dedicate cererii, sprijinirea activităților de coproiectare între producătorii de semiconductori și utilizatorii industriali din aval, furnizarea de orientări tehnice și juridice pentru achiziționarea de sisteme care integrează soluții inovatoare în materie de proiectare a semiconductorilor, asigurarea coerenței între inițiativa 2.0 și strategiile naționale/regionale, supravegherea organizării și raportarea către Consiliu/Parlament.</w:t>
            </w:r>
          </w:p>
          <w:p w14:paraId="5F7A64C6" w14:textId="1C4641DC" w:rsidR="00937447" w:rsidRPr="00046858" w:rsidRDefault="00937447" w:rsidP="00937447">
            <w:pPr>
              <w:rPr>
                <w:noProof/>
                <w:sz w:val="20"/>
              </w:rPr>
            </w:pPr>
            <w:r w:rsidRPr="00046858">
              <w:rPr>
                <w:noProof/>
                <w:sz w:val="20"/>
              </w:rPr>
              <w:t>În plus, propunerea implică sarcini suplimentare legate de Platforma B2B pentru lanțul de aprovizionare cu semiconductori, de exemplu monitorizarea lanțurilor de aprovizionare cu semiconductori, funcții de analiză și de pregătire pentru situații de criză, emiterea și gestionarea solicitărilor de informații și verificarea și agregarea datelor în stadiul anterior crizei și coordonarea transsectorială cu părțile interesate din industrie.</w:t>
            </w:r>
          </w:p>
          <w:p w14:paraId="7578DCC3" w14:textId="77777777" w:rsidR="00C67F54" w:rsidRPr="00046858" w:rsidRDefault="00C67F54">
            <w:pPr>
              <w:rPr>
                <w:noProof/>
                <w:sz w:val="20"/>
              </w:rPr>
            </w:pPr>
            <w:r w:rsidRPr="00046858">
              <w:rPr>
                <w:noProof/>
                <w:sz w:val="20"/>
              </w:rPr>
              <w:t>O parte considerabilă a sarcinilor suplimentare de mai sus poate fi pusă în aplicare prin redistribuirea personalului existent.</w:t>
            </w:r>
          </w:p>
        </w:tc>
      </w:tr>
      <w:tr w:rsidR="00C67F54" w:rsidRPr="00046858" w14:paraId="206AD613" w14:textId="77777777">
        <w:tc>
          <w:tcPr>
            <w:tcW w:w="3240" w:type="dxa"/>
          </w:tcPr>
          <w:p w14:paraId="58798553" w14:textId="77777777" w:rsidR="00C67F54" w:rsidRPr="00046858" w:rsidRDefault="00C67F54">
            <w:pPr>
              <w:spacing w:before="60" w:after="60"/>
              <w:rPr>
                <w:noProof/>
                <w:sz w:val="20"/>
              </w:rPr>
            </w:pPr>
            <w:r w:rsidRPr="00046858">
              <w:rPr>
                <w:noProof/>
                <w:sz w:val="20"/>
              </w:rPr>
              <w:t>Personal extern</w:t>
            </w:r>
          </w:p>
        </w:tc>
        <w:tc>
          <w:tcPr>
            <w:tcW w:w="7200" w:type="dxa"/>
          </w:tcPr>
          <w:p w14:paraId="48FCAC4D" w14:textId="77777777" w:rsidR="00C67F54" w:rsidRPr="00046858" w:rsidRDefault="00C67F54">
            <w:pPr>
              <w:rPr>
                <w:noProof/>
                <w:sz w:val="20"/>
              </w:rPr>
            </w:pPr>
            <w:r w:rsidRPr="00046858">
              <w:rPr>
                <w:i/>
                <w:noProof/>
                <w:sz w:val="20"/>
              </w:rPr>
              <w:t>Idem</w:t>
            </w:r>
          </w:p>
        </w:tc>
      </w:tr>
    </w:tbl>
    <w:p w14:paraId="3DA3510C" w14:textId="77777777" w:rsidR="00C67F54" w:rsidRPr="00046858" w:rsidRDefault="00C67F54" w:rsidP="00C67F54">
      <w:pPr>
        <w:pStyle w:val="ManualHeading3"/>
        <w:rPr>
          <w:noProof/>
        </w:rPr>
      </w:pPr>
      <w:bookmarkStart w:id="138" w:name="_Toc221194346"/>
      <w:r w:rsidRPr="00046858">
        <w:rPr>
          <w:noProof/>
        </w:rPr>
        <w:t>3.2.5.</w:t>
      </w:r>
      <w:r w:rsidRPr="00046858">
        <w:rPr>
          <w:noProof/>
        </w:rPr>
        <w:tab/>
        <w:t>Prezentare generală a impactului estimat asupra investițiilor legate de tehnologia digitală</w:t>
      </w:r>
      <w:bookmarkEnd w:id="138"/>
    </w:p>
    <w:p w14:paraId="3D691167" w14:textId="77777777" w:rsidR="00A03D5B" w:rsidRPr="00046858" w:rsidRDefault="00A03D5B" w:rsidP="0041561E">
      <w:pPr>
        <w:pStyle w:val="Text1"/>
        <w:spacing w:line="259" w:lineRule="auto"/>
        <w:rPr>
          <w:noProof/>
        </w:rPr>
      </w:pPr>
      <w:r w:rsidRPr="00046858">
        <w:rPr>
          <w:noProof/>
        </w:rPr>
        <w:t xml:space="preserve">Obligatoriu: în tabelul de mai jos ar trebui inclusă cea mai bună estimare a investițiilor legate de tehnologia digitală generate de propunere/inițiativă. </w:t>
      </w:r>
    </w:p>
    <w:p w14:paraId="02CD604F" w14:textId="77777777" w:rsidR="00A03D5B" w:rsidRPr="00046858" w:rsidRDefault="00A03D5B" w:rsidP="0041561E">
      <w:pPr>
        <w:pStyle w:val="Text1"/>
        <w:spacing w:line="259" w:lineRule="auto"/>
        <w:rPr>
          <w:noProof/>
        </w:rPr>
      </w:pPr>
      <w:r w:rsidRPr="00046858">
        <w:rPr>
          <w:noProof/>
        </w:rPr>
        <w:t xml:space="preserve">În mod excepțional, atunci când este necesar pentru punerea în aplicare a propunerii/inițiativei, creditele de la rubrica 4 ar trebui prezentate la linia desemnată. </w:t>
      </w:r>
    </w:p>
    <w:p w14:paraId="1BF4598B" w14:textId="77777777" w:rsidR="00C67F54" w:rsidRPr="00046858" w:rsidRDefault="00C67F54" w:rsidP="00C67F54">
      <w:pPr>
        <w:pStyle w:val="Text1"/>
        <w:spacing w:line="259" w:lineRule="auto"/>
        <w:rPr>
          <w:noProof/>
        </w:rPr>
      </w:pPr>
      <w:r w:rsidRPr="00046858">
        <w:rPr>
          <w:noProof/>
        </w:rPr>
        <w:t>Creditele de la rubricile 1-3 ar trebui reflectate drept „Cheltuieli de politică IT pentru programele operaționale”. Aceste cheltuieli se referă la bugetul operațional care trebuie utilizat pentru reutilizarea/cumpărarea/dezvoltarea platformelor/instrumentelor IT direct legate de punerea în aplicare a inițiativei și pentru investițiile asociate acestora (de exemplu licențe, studii, stocarea datelor etc.). Informațiile prezentate în acest tabel ar trebui să fie coerente cu detaliile prezentate la secțiunea 4 „Dimensiunile digitale”.</w:t>
      </w:r>
    </w:p>
    <w:tbl>
      <w:tblPr>
        <w:tblW w:w="5000" w:type="pct"/>
        <w:tblLook w:val="04A0" w:firstRow="1" w:lastRow="0" w:firstColumn="1" w:lastColumn="0" w:noHBand="0" w:noVBand="1"/>
      </w:tblPr>
      <w:tblGrid>
        <w:gridCol w:w="1472"/>
        <w:gridCol w:w="974"/>
        <w:gridCol w:w="974"/>
        <w:gridCol w:w="972"/>
        <w:gridCol w:w="973"/>
        <w:gridCol w:w="973"/>
        <w:gridCol w:w="973"/>
        <w:gridCol w:w="973"/>
        <w:gridCol w:w="1005"/>
      </w:tblGrid>
      <w:tr w:rsidR="00C67F54" w:rsidRPr="00046858" w14:paraId="29533AF7" w14:textId="77777777">
        <w:trPr>
          <w:trHeight w:val="650"/>
        </w:trPr>
        <w:tc>
          <w:tcPr>
            <w:tcW w:w="792" w:type="pct"/>
            <w:vMerge w:val="restart"/>
            <w:tcBorders>
              <w:top w:val="single" w:sz="8" w:space="0" w:color="auto"/>
              <w:left w:val="single" w:sz="8" w:space="0" w:color="auto"/>
              <w:bottom w:val="nil"/>
              <w:right w:val="single" w:sz="8" w:space="0" w:color="auto"/>
            </w:tcBorders>
            <w:vAlign w:val="center"/>
            <w:hideMark/>
          </w:tcPr>
          <w:p w14:paraId="081BEEBC" w14:textId="77777777" w:rsidR="00C67F54" w:rsidRPr="00046858" w:rsidRDefault="00C67F54">
            <w:pPr>
              <w:spacing w:before="0" w:after="0"/>
              <w:jc w:val="center"/>
              <w:rPr>
                <w:rFonts w:eastAsia="Times New Roman"/>
                <w:b/>
                <w:bCs/>
                <w:noProof/>
                <w:color w:val="000000"/>
                <w:sz w:val="18"/>
                <w:szCs w:val="18"/>
              </w:rPr>
            </w:pPr>
            <w:r w:rsidRPr="00046858">
              <w:rPr>
                <w:b/>
                <w:noProof/>
                <w:color w:val="000000" w:themeColor="text1"/>
                <w:sz w:val="18"/>
              </w:rPr>
              <w:t>TOTAL credite pentru componenta digitală și IT</w:t>
            </w:r>
          </w:p>
        </w:tc>
        <w:tc>
          <w:tcPr>
            <w:tcW w:w="524" w:type="pct"/>
            <w:tcBorders>
              <w:top w:val="single" w:sz="8" w:space="0" w:color="auto"/>
              <w:left w:val="nil"/>
              <w:bottom w:val="nil"/>
              <w:right w:val="single" w:sz="8" w:space="0" w:color="auto"/>
            </w:tcBorders>
            <w:vAlign w:val="center"/>
            <w:hideMark/>
          </w:tcPr>
          <w:p w14:paraId="32A2667C" w14:textId="77777777" w:rsidR="00C67F54" w:rsidRPr="00046858" w:rsidRDefault="00C67F54">
            <w:pPr>
              <w:spacing w:before="0" w:after="0"/>
              <w:jc w:val="center"/>
              <w:rPr>
                <w:rFonts w:eastAsia="Times New Roman"/>
                <w:noProof/>
                <w:color w:val="000000"/>
                <w:sz w:val="18"/>
                <w:szCs w:val="18"/>
              </w:rPr>
            </w:pPr>
            <w:r w:rsidRPr="00046858">
              <w:rPr>
                <w:noProof/>
                <w:color w:val="000000" w:themeColor="text1"/>
                <w:sz w:val="18"/>
              </w:rPr>
              <w:t>Anul</w:t>
            </w:r>
          </w:p>
        </w:tc>
        <w:tc>
          <w:tcPr>
            <w:tcW w:w="524" w:type="pct"/>
            <w:tcBorders>
              <w:top w:val="single" w:sz="8" w:space="0" w:color="auto"/>
              <w:left w:val="nil"/>
              <w:bottom w:val="nil"/>
              <w:right w:val="single" w:sz="8" w:space="0" w:color="auto"/>
            </w:tcBorders>
            <w:vAlign w:val="center"/>
            <w:hideMark/>
          </w:tcPr>
          <w:p w14:paraId="1B4261C4" w14:textId="77777777" w:rsidR="00C67F54" w:rsidRPr="00046858" w:rsidRDefault="00C67F54">
            <w:pPr>
              <w:spacing w:before="0" w:after="0"/>
              <w:jc w:val="center"/>
              <w:rPr>
                <w:rFonts w:eastAsia="Times New Roman"/>
                <w:noProof/>
                <w:color w:val="000000"/>
                <w:sz w:val="18"/>
                <w:szCs w:val="18"/>
              </w:rPr>
            </w:pPr>
            <w:r w:rsidRPr="00046858">
              <w:rPr>
                <w:noProof/>
                <w:color w:val="000000" w:themeColor="text1"/>
                <w:sz w:val="18"/>
              </w:rPr>
              <w:t>Anul</w:t>
            </w:r>
          </w:p>
        </w:tc>
        <w:tc>
          <w:tcPr>
            <w:tcW w:w="523" w:type="pct"/>
            <w:tcBorders>
              <w:top w:val="single" w:sz="8" w:space="0" w:color="auto"/>
              <w:left w:val="nil"/>
              <w:bottom w:val="nil"/>
              <w:right w:val="single" w:sz="8" w:space="0" w:color="auto"/>
            </w:tcBorders>
            <w:vAlign w:val="center"/>
            <w:hideMark/>
          </w:tcPr>
          <w:p w14:paraId="5CAD50F4" w14:textId="77777777" w:rsidR="00C67F54" w:rsidRPr="00046858" w:rsidRDefault="00C67F54">
            <w:pPr>
              <w:spacing w:before="0" w:after="0"/>
              <w:jc w:val="center"/>
              <w:rPr>
                <w:rFonts w:eastAsia="Times New Roman"/>
                <w:noProof/>
                <w:color w:val="000000"/>
                <w:sz w:val="18"/>
                <w:szCs w:val="18"/>
              </w:rPr>
            </w:pPr>
            <w:r w:rsidRPr="00046858">
              <w:rPr>
                <w:noProof/>
                <w:color w:val="000000" w:themeColor="text1"/>
                <w:sz w:val="18"/>
              </w:rPr>
              <w:t>Anul</w:t>
            </w:r>
          </w:p>
        </w:tc>
        <w:tc>
          <w:tcPr>
            <w:tcW w:w="524" w:type="pct"/>
            <w:tcBorders>
              <w:top w:val="single" w:sz="8" w:space="0" w:color="auto"/>
              <w:left w:val="nil"/>
              <w:bottom w:val="nil"/>
              <w:right w:val="single" w:sz="8" w:space="0" w:color="auto"/>
            </w:tcBorders>
            <w:vAlign w:val="center"/>
            <w:hideMark/>
          </w:tcPr>
          <w:p w14:paraId="000775B0" w14:textId="77777777" w:rsidR="00C67F54" w:rsidRPr="00046858" w:rsidRDefault="00C67F54">
            <w:pPr>
              <w:spacing w:before="0" w:after="0"/>
              <w:jc w:val="center"/>
              <w:rPr>
                <w:rFonts w:eastAsia="Times New Roman"/>
                <w:noProof/>
                <w:color w:val="000000"/>
                <w:sz w:val="18"/>
                <w:szCs w:val="18"/>
              </w:rPr>
            </w:pPr>
            <w:r w:rsidRPr="00046858">
              <w:rPr>
                <w:noProof/>
                <w:color w:val="000000" w:themeColor="text1"/>
                <w:sz w:val="18"/>
              </w:rPr>
              <w:t>Anul</w:t>
            </w:r>
          </w:p>
        </w:tc>
        <w:tc>
          <w:tcPr>
            <w:tcW w:w="524" w:type="pct"/>
            <w:tcBorders>
              <w:top w:val="single" w:sz="8" w:space="0" w:color="auto"/>
              <w:left w:val="nil"/>
              <w:bottom w:val="nil"/>
              <w:right w:val="single" w:sz="8" w:space="0" w:color="auto"/>
            </w:tcBorders>
            <w:vAlign w:val="center"/>
            <w:hideMark/>
          </w:tcPr>
          <w:p w14:paraId="393A9AA2" w14:textId="77777777" w:rsidR="00C67F54" w:rsidRPr="00046858" w:rsidRDefault="00C67F54">
            <w:pPr>
              <w:spacing w:before="0" w:after="0"/>
              <w:jc w:val="center"/>
              <w:rPr>
                <w:rFonts w:eastAsia="Times New Roman"/>
                <w:noProof/>
                <w:color w:val="000000"/>
                <w:sz w:val="18"/>
                <w:szCs w:val="18"/>
              </w:rPr>
            </w:pPr>
            <w:r w:rsidRPr="00046858">
              <w:rPr>
                <w:noProof/>
                <w:color w:val="000000" w:themeColor="text1"/>
                <w:sz w:val="18"/>
              </w:rPr>
              <w:t>Anul</w:t>
            </w:r>
          </w:p>
        </w:tc>
        <w:tc>
          <w:tcPr>
            <w:tcW w:w="524" w:type="pct"/>
            <w:tcBorders>
              <w:top w:val="single" w:sz="8" w:space="0" w:color="auto"/>
              <w:left w:val="nil"/>
              <w:bottom w:val="nil"/>
              <w:right w:val="single" w:sz="8" w:space="0" w:color="auto"/>
            </w:tcBorders>
            <w:vAlign w:val="center"/>
            <w:hideMark/>
          </w:tcPr>
          <w:p w14:paraId="184B0D73" w14:textId="77777777" w:rsidR="00C67F54" w:rsidRPr="00046858" w:rsidRDefault="00C67F54">
            <w:pPr>
              <w:spacing w:before="0" w:after="0"/>
              <w:jc w:val="center"/>
              <w:rPr>
                <w:rFonts w:eastAsia="Times New Roman"/>
                <w:noProof/>
                <w:color w:val="000000"/>
                <w:sz w:val="18"/>
                <w:szCs w:val="18"/>
              </w:rPr>
            </w:pPr>
            <w:r w:rsidRPr="00046858">
              <w:rPr>
                <w:noProof/>
                <w:color w:val="000000" w:themeColor="text1"/>
                <w:sz w:val="18"/>
              </w:rPr>
              <w:t>Anul</w:t>
            </w:r>
          </w:p>
        </w:tc>
        <w:tc>
          <w:tcPr>
            <w:tcW w:w="524" w:type="pct"/>
            <w:tcBorders>
              <w:top w:val="single" w:sz="8" w:space="0" w:color="auto"/>
              <w:left w:val="nil"/>
              <w:bottom w:val="nil"/>
              <w:right w:val="single" w:sz="8" w:space="0" w:color="auto"/>
            </w:tcBorders>
            <w:vAlign w:val="center"/>
            <w:hideMark/>
          </w:tcPr>
          <w:p w14:paraId="124FB8AA" w14:textId="77777777" w:rsidR="00C67F54" w:rsidRPr="00046858" w:rsidRDefault="00C67F54">
            <w:pPr>
              <w:spacing w:before="0" w:after="0"/>
              <w:jc w:val="center"/>
              <w:rPr>
                <w:rFonts w:eastAsia="Times New Roman"/>
                <w:noProof/>
                <w:color w:val="000000"/>
                <w:sz w:val="18"/>
                <w:szCs w:val="18"/>
              </w:rPr>
            </w:pPr>
            <w:r w:rsidRPr="00046858">
              <w:rPr>
                <w:noProof/>
                <w:color w:val="000000" w:themeColor="text1"/>
                <w:sz w:val="18"/>
              </w:rPr>
              <w:t>Anul</w:t>
            </w:r>
          </w:p>
        </w:tc>
        <w:tc>
          <w:tcPr>
            <w:tcW w:w="543" w:type="pct"/>
            <w:vMerge w:val="restart"/>
            <w:tcBorders>
              <w:top w:val="single" w:sz="8" w:space="0" w:color="auto"/>
              <w:left w:val="single" w:sz="8" w:space="0" w:color="auto"/>
              <w:bottom w:val="single" w:sz="8" w:space="0" w:color="000000"/>
              <w:right w:val="single" w:sz="8" w:space="0" w:color="auto"/>
            </w:tcBorders>
            <w:vAlign w:val="center"/>
            <w:hideMark/>
          </w:tcPr>
          <w:p w14:paraId="176C1AF7" w14:textId="77777777" w:rsidR="00C67F54" w:rsidRPr="00046858" w:rsidRDefault="00C67F54">
            <w:pPr>
              <w:spacing w:before="0" w:after="0"/>
              <w:jc w:val="center"/>
              <w:rPr>
                <w:rFonts w:eastAsia="Times New Roman"/>
                <w:b/>
                <w:bCs/>
                <w:noProof/>
                <w:color w:val="000000"/>
                <w:sz w:val="18"/>
                <w:szCs w:val="18"/>
              </w:rPr>
            </w:pPr>
            <w:r w:rsidRPr="00046858">
              <w:rPr>
                <w:b/>
                <w:noProof/>
                <w:color w:val="000000" w:themeColor="text1"/>
                <w:sz w:val="18"/>
              </w:rPr>
              <w:t>TOTAL CFM 2028-2034</w:t>
            </w:r>
          </w:p>
        </w:tc>
      </w:tr>
      <w:tr w:rsidR="00C67F54" w:rsidRPr="00046858" w14:paraId="7AFD40F3" w14:textId="77777777">
        <w:trPr>
          <w:trHeight w:val="300"/>
        </w:trPr>
        <w:tc>
          <w:tcPr>
            <w:tcW w:w="792" w:type="pct"/>
            <w:vMerge/>
            <w:tcBorders>
              <w:top w:val="single" w:sz="8" w:space="0" w:color="auto"/>
              <w:left w:val="single" w:sz="8" w:space="0" w:color="auto"/>
              <w:bottom w:val="nil"/>
              <w:right w:val="single" w:sz="8" w:space="0" w:color="auto"/>
            </w:tcBorders>
            <w:vAlign w:val="center"/>
            <w:hideMark/>
          </w:tcPr>
          <w:p w14:paraId="7909E946" w14:textId="77777777" w:rsidR="00C67F54" w:rsidRPr="00046858" w:rsidRDefault="00C67F54">
            <w:pPr>
              <w:spacing w:before="0" w:after="0"/>
              <w:jc w:val="left"/>
              <w:rPr>
                <w:rFonts w:eastAsia="Times New Roman"/>
                <w:b/>
                <w:bCs/>
                <w:noProof/>
                <w:color w:val="000000"/>
                <w:sz w:val="18"/>
                <w:szCs w:val="18"/>
                <w:lang w:eastAsia="en-IE"/>
              </w:rPr>
            </w:pPr>
          </w:p>
        </w:tc>
        <w:tc>
          <w:tcPr>
            <w:tcW w:w="524" w:type="pct"/>
            <w:tcBorders>
              <w:top w:val="nil"/>
              <w:left w:val="nil"/>
              <w:bottom w:val="single" w:sz="8" w:space="0" w:color="auto"/>
              <w:right w:val="single" w:sz="8" w:space="0" w:color="auto"/>
            </w:tcBorders>
            <w:vAlign w:val="center"/>
            <w:hideMark/>
          </w:tcPr>
          <w:p w14:paraId="0C471094" w14:textId="77777777" w:rsidR="00C67F54" w:rsidRPr="00046858" w:rsidRDefault="00C67F54">
            <w:pPr>
              <w:spacing w:before="0" w:after="0"/>
              <w:jc w:val="center"/>
              <w:rPr>
                <w:rFonts w:eastAsia="Times New Roman"/>
                <w:b/>
                <w:bCs/>
                <w:noProof/>
                <w:color w:val="000000"/>
                <w:sz w:val="18"/>
                <w:szCs w:val="18"/>
              </w:rPr>
            </w:pPr>
            <w:r w:rsidRPr="00046858">
              <w:rPr>
                <w:b/>
                <w:noProof/>
                <w:color w:val="000000" w:themeColor="text1"/>
                <w:sz w:val="18"/>
              </w:rPr>
              <w:t>2028</w:t>
            </w:r>
          </w:p>
        </w:tc>
        <w:tc>
          <w:tcPr>
            <w:tcW w:w="524" w:type="pct"/>
            <w:tcBorders>
              <w:top w:val="nil"/>
              <w:left w:val="nil"/>
              <w:bottom w:val="single" w:sz="8" w:space="0" w:color="auto"/>
              <w:right w:val="single" w:sz="8" w:space="0" w:color="auto"/>
            </w:tcBorders>
            <w:vAlign w:val="center"/>
            <w:hideMark/>
          </w:tcPr>
          <w:p w14:paraId="1D53B1D8" w14:textId="77777777" w:rsidR="00C67F54" w:rsidRPr="00046858" w:rsidRDefault="00C67F54">
            <w:pPr>
              <w:spacing w:before="0" w:after="0"/>
              <w:jc w:val="center"/>
              <w:rPr>
                <w:rFonts w:eastAsia="Times New Roman"/>
                <w:b/>
                <w:bCs/>
                <w:noProof/>
                <w:color w:val="000000"/>
                <w:sz w:val="18"/>
                <w:szCs w:val="18"/>
              </w:rPr>
            </w:pPr>
            <w:r w:rsidRPr="00046858">
              <w:rPr>
                <w:b/>
                <w:noProof/>
                <w:color w:val="000000" w:themeColor="text1"/>
                <w:sz w:val="18"/>
              </w:rPr>
              <w:t>2029</w:t>
            </w:r>
          </w:p>
        </w:tc>
        <w:tc>
          <w:tcPr>
            <w:tcW w:w="523" w:type="pct"/>
            <w:tcBorders>
              <w:top w:val="nil"/>
              <w:left w:val="nil"/>
              <w:bottom w:val="single" w:sz="8" w:space="0" w:color="auto"/>
              <w:right w:val="single" w:sz="8" w:space="0" w:color="auto"/>
            </w:tcBorders>
            <w:vAlign w:val="center"/>
            <w:hideMark/>
          </w:tcPr>
          <w:p w14:paraId="2EDA6829" w14:textId="77777777" w:rsidR="00C67F54" w:rsidRPr="00046858" w:rsidRDefault="00C67F54">
            <w:pPr>
              <w:spacing w:before="0" w:after="0"/>
              <w:jc w:val="center"/>
              <w:rPr>
                <w:rFonts w:eastAsia="Times New Roman"/>
                <w:b/>
                <w:bCs/>
                <w:noProof/>
                <w:color w:val="000000"/>
                <w:sz w:val="18"/>
                <w:szCs w:val="18"/>
              </w:rPr>
            </w:pPr>
            <w:r w:rsidRPr="00046858">
              <w:rPr>
                <w:b/>
                <w:noProof/>
                <w:color w:val="000000" w:themeColor="text1"/>
                <w:sz w:val="18"/>
              </w:rPr>
              <w:t>2030</w:t>
            </w:r>
          </w:p>
        </w:tc>
        <w:tc>
          <w:tcPr>
            <w:tcW w:w="524" w:type="pct"/>
            <w:tcBorders>
              <w:top w:val="nil"/>
              <w:left w:val="nil"/>
              <w:bottom w:val="single" w:sz="8" w:space="0" w:color="auto"/>
              <w:right w:val="single" w:sz="8" w:space="0" w:color="auto"/>
            </w:tcBorders>
            <w:vAlign w:val="center"/>
            <w:hideMark/>
          </w:tcPr>
          <w:p w14:paraId="0BDACBAF" w14:textId="77777777" w:rsidR="00C67F54" w:rsidRPr="00046858" w:rsidRDefault="00C67F54">
            <w:pPr>
              <w:spacing w:before="0" w:after="0"/>
              <w:jc w:val="center"/>
              <w:rPr>
                <w:rFonts w:eastAsia="Times New Roman"/>
                <w:b/>
                <w:bCs/>
                <w:noProof/>
                <w:color w:val="000000"/>
                <w:sz w:val="18"/>
                <w:szCs w:val="18"/>
              </w:rPr>
            </w:pPr>
            <w:r w:rsidRPr="00046858">
              <w:rPr>
                <w:b/>
                <w:noProof/>
                <w:color w:val="000000" w:themeColor="text1"/>
                <w:sz w:val="18"/>
              </w:rPr>
              <w:t>2031</w:t>
            </w:r>
          </w:p>
        </w:tc>
        <w:tc>
          <w:tcPr>
            <w:tcW w:w="524" w:type="pct"/>
            <w:tcBorders>
              <w:top w:val="nil"/>
              <w:left w:val="nil"/>
              <w:bottom w:val="single" w:sz="8" w:space="0" w:color="auto"/>
              <w:right w:val="single" w:sz="8" w:space="0" w:color="auto"/>
            </w:tcBorders>
            <w:vAlign w:val="center"/>
            <w:hideMark/>
          </w:tcPr>
          <w:p w14:paraId="63C4A36E" w14:textId="77777777" w:rsidR="00C67F54" w:rsidRPr="00046858" w:rsidRDefault="00C67F54">
            <w:pPr>
              <w:spacing w:before="0" w:after="0"/>
              <w:jc w:val="center"/>
              <w:rPr>
                <w:rFonts w:eastAsia="Times New Roman"/>
                <w:b/>
                <w:bCs/>
                <w:noProof/>
                <w:color w:val="000000"/>
                <w:sz w:val="18"/>
                <w:szCs w:val="18"/>
              </w:rPr>
            </w:pPr>
            <w:r w:rsidRPr="00046858">
              <w:rPr>
                <w:b/>
                <w:noProof/>
                <w:color w:val="000000" w:themeColor="text1"/>
                <w:sz w:val="18"/>
              </w:rPr>
              <w:t>2032</w:t>
            </w:r>
          </w:p>
        </w:tc>
        <w:tc>
          <w:tcPr>
            <w:tcW w:w="524" w:type="pct"/>
            <w:tcBorders>
              <w:top w:val="nil"/>
              <w:left w:val="nil"/>
              <w:bottom w:val="single" w:sz="8" w:space="0" w:color="auto"/>
              <w:right w:val="single" w:sz="8" w:space="0" w:color="auto"/>
            </w:tcBorders>
            <w:vAlign w:val="center"/>
            <w:hideMark/>
          </w:tcPr>
          <w:p w14:paraId="09BEAF45" w14:textId="77777777" w:rsidR="00C67F54" w:rsidRPr="00046858" w:rsidRDefault="00C67F54">
            <w:pPr>
              <w:spacing w:before="0" w:after="0"/>
              <w:jc w:val="center"/>
              <w:rPr>
                <w:rFonts w:eastAsia="Times New Roman"/>
                <w:b/>
                <w:bCs/>
                <w:noProof/>
                <w:color w:val="000000"/>
                <w:sz w:val="18"/>
                <w:szCs w:val="18"/>
              </w:rPr>
            </w:pPr>
            <w:r w:rsidRPr="00046858">
              <w:rPr>
                <w:b/>
                <w:noProof/>
                <w:color w:val="000000" w:themeColor="text1"/>
                <w:sz w:val="18"/>
              </w:rPr>
              <w:t>2033</w:t>
            </w:r>
          </w:p>
        </w:tc>
        <w:tc>
          <w:tcPr>
            <w:tcW w:w="524" w:type="pct"/>
            <w:tcBorders>
              <w:top w:val="nil"/>
              <w:left w:val="nil"/>
              <w:bottom w:val="single" w:sz="8" w:space="0" w:color="auto"/>
              <w:right w:val="single" w:sz="8" w:space="0" w:color="auto"/>
            </w:tcBorders>
            <w:vAlign w:val="center"/>
            <w:hideMark/>
          </w:tcPr>
          <w:p w14:paraId="7356AAA7" w14:textId="77777777" w:rsidR="00C67F54" w:rsidRPr="00046858" w:rsidRDefault="00C67F54">
            <w:pPr>
              <w:spacing w:before="0" w:after="0"/>
              <w:jc w:val="center"/>
              <w:rPr>
                <w:rFonts w:eastAsia="Times New Roman"/>
                <w:b/>
                <w:bCs/>
                <w:noProof/>
                <w:color w:val="000000"/>
                <w:sz w:val="18"/>
                <w:szCs w:val="18"/>
              </w:rPr>
            </w:pPr>
            <w:r w:rsidRPr="00046858">
              <w:rPr>
                <w:b/>
                <w:noProof/>
                <w:color w:val="000000" w:themeColor="text1"/>
                <w:sz w:val="18"/>
              </w:rPr>
              <w:t>2034</w:t>
            </w:r>
          </w:p>
        </w:tc>
        <w:tc>
          <w:tcPr>
            <w:tcW w:w="543" w:type="pct"/>
            <w:vMerge/>
            <w:tcBorders>
              <w:top w:val="single" w:sz="8" w:space="0" w:color="auto"/>
              <w:left w:val="single" w:sz="8" w:space="0" w:color="auto"/>
              <w:bottom w:val="single" w:sz="8" w:space="0" w:color="000000"/>
              <w:right w:val="single" w:sz="8" w:space="0" w:color="auto"/>
            </w:tcBorders>
            <w:vAlign w:val="center"/>
            <w:hideMark/>
          </w:tcPr>
          <w:p w14:paraId="5EDDB889" w14:textId="77777777" w:rsidR="00C67F54" w:rsidRPr="00046858" w:rsidRDefault="00C67F54">
            <w:pPr>
              <w:spacing w:before="0" w:after="0"/>
              <w:jc w:val="left"/>
              <w:rPr>
                <w:rFonts w:eastAsia="Times New Roman"/>
                <w:b/>
                <w:bCs/>
                <w:noProof/>
                <w:color w:val="000000"/>
                <w:sz w:val="18"/>
                <w:szCs w:val="18"/>
                <w:lang w:eastAsia="en-IE"/>
              </w:rPr>
            </w:pPr>
          </w:p>
        </w:tc>
      </w:tr>
      <w:tr w:rsidR="00C67F54" w:rsidRPr="00046858" w14:paraId="18877DA5" w14:textId="77777777">
        <w:trPr>
          <w:trHeight w:val="300"/>
        </w:trPr>
        <w:tc>
          <w:tcPr>
            <w:tcW w:w="5000" w:type="pct"/>
            <w:gridSpan w:val="9"/>
            <w:tcBorders>
              <w:top w:val="nil"/>
              <w:left w:val="single" w:sz="8" w:space="0" w:color="auto"/>
              <w:bottom w:val="single" w:sz="8" w:space="0" w:color="auto"/>
              <w:right w:val="single" w:sz="8" w:space="0" w:color="000000"/>
            </w:tcBorders>
            <w:vAlign w:val="center"/>
            <w:hideMark/>
          </w:tcPr>
          <w:p w14:paraId="60B19AAB" w14:textId="77777777" w:rsidR="00C67F54" w:rsidRPr="00046858" w:rsidRDefault="00C67F54">
            <w:pPr>
              <w:spacing w:before="0" w:after="0"/>
              <w:jc w:val="left"/>
              <w:rPr>
                <w:rFonts w:eastAsia="Times New Roman"/>
                <w:b/>
                <w:bCs/>
                <w:noProof/>
                <w:color w:val="000000"/>
                <w:sz w:val="16"/>
                <w:szCs w:val="16"/>
              </w:rPr>
            </w:pPr>
            <w:r w:rsidRPr="00046858">
              <w:rPr>
                <w:b/>
                <w:noProof/>
                <w:color w:val="000000"/>
                <w:sz w:val="16"/>
              </w:rPr>
              <w:t>RUBRICA 4</w:t>
            </w:r>
          </w:p>
        </w:tc>
      </w:tr>
      <w:tr w:rsidR="00C67F54" w:rsidRPr="00046858" w14:paraId="0F0F2230" w14:textId="77777777">
        <w:trPr>
          <w:trHeight w:val="790"/>
        </w:trPr>
        <w:tc>
          <w:tcPr>
            <w:tcW w:w="792" w:type="pct"/>
            <w:tcBorders>
              <w:top w:val="nil"/>
              <w:left w:val="single" w:sz="8" w:space="0" w:color="auto"/>
              <w:bottom w:val="single" w:sz="8" w:space="0" w:color="auto"/>
              <w:right w:val="single" w:sz="8" w:space="0" w:color="auto"/>
            </w:tcBorders>
            <w:vAlign w:val="center"/>
            <w:hideMark/>
          </w:tcPr>
          <w:p w14:paraId="20EBEF85" w14:textId="77777777" w:rsidR="00C67F54" w:rsidRPr="00046858" w:rsidRDefault="00C67F54">
            <w:pPr>
              <w:spacing w:before="0" w:after="0"/>
              <w:jc w:val="left"/>
              <w:rPr>
                <w:rFonts w:ascii="Arial Narrow" w:eastAsia="Times New Roman" w:hAnsi="Arial Narrow"/>
                <w:noProof/>
                <w:color w:val="000000"/>
                <w:sz w:val="20"/>
                <w:szCs w:val="20"/>
              </w:rPr>
            </w:pPr>
            <w:r w:rsidRPr="00046858">
              <w:rPr>
                <w:rFonts w:ascii="Arial Narrow" w:hAnsi="Arial Narrow"/>
                <w:noProof/>
                <w:color w:val="000000"/>
                <w:sz w:val="20"/>
              </w:rPr>
              <w:t>Cheltuieli IT (corporative)</w:t>
            </w:r>
            <w:r w:rsidRPr="00046858">
              <w:rPr>
                <w:noProof/>
                <w:color w:val="000000"/>
                <w:sz w:val="16"/>
              </w:rPr>
              <w:t xml:space="preserve"> </w:t>
            </w:r>
          </w:p>
        </w:tc>
        <w:tc>
          <w:tcPr>
            <w:tcW w:w="524" w:type="pct"/>
            <w:tcBorders>
              <w:top w:val="nil"/>
              <w:left w:val="nil"/>
              <w:bottom w:val="single" w:sz="8" w:space="0" w:color="auto"/>
              <w:right w:val="single" w:sz="8" w:space="0" w:color="auto"/>
            </w:tcBorders>
            <w:shd w:val="clear" w:color="000000" w:fill="D9D9D9"/>
            <w:vAlign w:val="center"/>
            <w:hideMark/>
          </w:tcPr>
          <w:p w14:paraId="16508D39" w14:textId="77777777" w:rsidR="00C67F54" w:rsidRPr="00046858" w:rsidRDefault="00C67F54">
            <w:pPr>
              <w:spacing w:before="0" w:after="0"/>
              <w:jc w:val="right"/>
              <w:rPr>
                <w:rFonts w:eastAsia="Times New Roman"/>
                <w:noProof/>
                <w:color w:val="000000"/>
                <w:sz w:val="16"/>
                <w:szCs w:val="16"/>
              </w:rPr>
            </w:pPr>
            <w:r w:rsidRPr="00046858">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2B467742" w14:textId="77777777" w:rsidR="00C67F54" w:rsidRPr="00046858" w:rsidRDefault="00C67F54">
            <w:pPr>
              <w:spacing w:before="0" w:after="0"/>
              <w:jc w:val="right"/>
              <w:rPr>
                <w:rFonts w:eastAsia="Times New Roman"/>
                <w:noProof/>
                <w:color w:val="000000"/>
                <w:sz w:val="16"/>
                <w:szCs w:val="16"/>
              </w:rPr>
            </w:pPr>
            <w:r w:rsidRPr="00046858">
              <w:rPr>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14:paraId="4959F79E" w14:textId="77777777" w:rsidR="00C67F54" w:rsidRPr="00046858" w:rsidRDefault="00C67F54">
            <w:pPr>
              <w:spacing w:before="0" w:after="0"/>
              <w:jc w:val="right"/>
              <w:rPr>
                <w:rFonts w:eastAsia="Times New Roman"/>
                <w:noProof/>
                <w:color w:val="000000"/>
                <w:sz w:val="16"/>
                <w:szCs w:val="16"/>
              </w:rPr>
            </w:pPr>
            <w:r w:rsidRPr="00046858">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1B7D3DAB" w14:textId="77777777" w:rsidR="00C67F54" w:rsidRPr="00046858" w:rsidRDefault="00C67F54">
            <w:pPr>
              <w:spacing w:before="0" w:after="0"/>
              <w:jc w:val="right"/>
              <w:rPr>
                <w:rFonts w:eastAsia="Times New Roman"/>
                <w:noProof/>
                <w:color w:val="000000"/>
                <w:sz w:val="16"/>
                <w:szCs w:val="16"/>
              </w:rPr>
            </w:pPr>
            <w:r w:rsidRPr="00046858">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2EB397B9" w14:textId="77777777" w:rsidR="00C67F54" w:rsidRPr="00046858" w:rsidRDefault="00C67F54">
            <w:pPr>
              <w:spacing w:before="0" w:after="0"/>
              <w:jc w:val="right"/>
              <w:rPr>
                <w:rFonts w:eastAsia="Times New Roman"/>
                <w:noProof/>
                <w:color w:val="000000"/>
                <w:sz w:val="16"/>
                <w:szCs w:val="16"/>
              </w:rPr>
            </w:pPr>
            <w:r w:rsidRPr="00046858">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3AD05C70" w14:textId="77777777" w:rsidR="00C67F54" w:rsidRPr="00046858" w:rsidRDefault="00C67F54">
            <w:pPr>
              <w:spacing w:before="0" w:after="0"/>
              <w:jc w:val="right"/>
              <w:rPr>
                <w:rFonts w:eastAsia="Times New Roman"/>
                <w:noProof/>
                <w:color w:val="000000"/>
                <w:sz w:val="16"/>
                <w:szCs w:val="16"/>
              </w:rPr>
            </w:pPr>
            <w:r w:rsidRPr="00046858">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6677126C" w14:textId="77777777" w:rsidR="00C67F54" w:rsidRPr="00046858" w:rsidRDefault="00C67F54">
            <w:pPr>
              <w:spacing w:before="0" w:after="0"/>
              <w:jc w:val="right"/>
              <w:rPr>
                <w:rFonts w:eastAsia="Times New Roman"/>
                <w:noProof/>
                <w:color w:val="000000"/>
                <w:sz w:val="16"/>
                <w:szCs w:val="16"/>
              </w:rPr>
            </w:pPr>
            <w:r w:rsidRPr="00046858">
              <w:rPr>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14:paraId="010A9BFE" w14:textId="77777777" w:rsidR="00C67F54" w:rsidRPr="00046858" w:rsidRDefault="00C67F54">
            <w:pPr>
              <w:spacing w:before="0" w:after="0"/>
              <w:jc w:val="right"/>
              <w:rPr>
                <w:rFonts w:eastAsia="Times New Roman"/>
                <w:b/>
                <w:bCs/>
                <w:noProof/>
                <w:color w:val="000000"/>
                <w:sz w:val="16"/>
                <w:szCs w:val="16"/>
              </w:rPr>
            </w:pPr>
            <w:r w:rsidRPr="00046858">
              <w:rPr>
                <w:b/>
                <w:noProof/>
                <w:color w:val="000000" w:themeColor="text1"/>
                <w:sz w:val="16"/>
              </w:rPr>
              <w:t>0</w:t>
            </w:r>
          </w:p>
        </w:tc>
      </w:tr>
      <w:tr w:rsidR="00C67F54" w:rsidRPr="00046858" w14:paraId="472B7B48" w14:textId="77777777">
        <w:trPr>
          <w:trHeight w:val="430"/>
        </w:trPr>
        <w:tc>
          <w:tcPr>
            <w:tcW w:w="792" w:type="pct"/>
            <w:tcBorders>
              <w:top w:val="nil"/>
              <w:left w:val="single" w:sz="8" w:space="0" w:color="auto"/>
              <w:bottom w:val="single" w:sz="8" w:space="0" w:color="auto"/>
              <w:right w:val="single" w:sz="8" w:space="0" w:color="auto"/>
            </w:tcBorders>
            <w:shd w:val="clear" w:color="000000" w:fill="CCCCCC"/>
            <w:vAlign w:val="center"/>
            <w:hideMark/>
          </w:tcPr>
          <w:p w14:paraId="529F46C8" w14:textId="77777777" w:rsidR="00C67F54" w:rsidRPr="00046858" w:rsidRDefault="00C67F54">
            <w:pPr>
              <w:spacing w:before="0" w:after="0"/>
              <w:jc w:val="center"/>
              <w:rPr>
                <w:rFonts w:eastAsia="Times New Roman"/>
                <w:b/>
                <w:bCs/>
                <w:noProof/>
                <w:color w:val="000000"/>
                <w:sz w:val="16"/>
                <w:szCs w:val="16"/>
              </w:rPr>
            </w:pPr>
            <w:r w:rsidRPr="00046858">
              <w:rPr>
                <w:b/>
                <w:noProof/>
                <w:color w:val="000000" w:themeColor="text1"/>
                <w:sz w:val="16"/>
              </w:rPr>
              <w:t>Subtotal de la RUBRICA 4</w:t>
            </w:r>
          </w:p>
        </w:tc>
        <w:tc>
          <w:tcPr>
            <w:tcW w:w="524" w:type="pct"/>
            <w:tcBorders>
              <w:top w:val="nil"/>
              <w:left w:val="nil"/>
              <w:bottom w:val="single" w:sz="8" w:space="0" w:color="auto"/>
              <w:right w:val="single" w:sz="8" w:space="0" w:color="auto"/>
            </w:tcBorders>
            <w:shd w:val="clear" w:color="000000" w:fill="D9D9D9"/>
            <w:vAlign w:val="center"/>
            <w:hideMark/>
          </w:tcPr>
          <w:p w14:paraId="436B469A" w14:textId="77777777" w:rsidR="00C67F54" w:rsidRPr="00046858" w:rsidRDefault="00C67F54">
            <w:pPr>
              <w:spacing w:before="0" w:after="0"/>
              <w:jc w:val="right"/>
              <w:rPr>
                <w:rFonts w:eastAsia="Times New Roman"/>
                <w:b/>
                <w:bCs/>
                <w:noProof/>
                <w:color w:val="000000"/>
                <w:sz w:val="16"/>
                <w:szCs w:val="16"/>
              </w:rPr>
            </w:pPr>
            <w:r w:rsidRPr="00046858">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05805F4F" w14:textId="77777777" w:rsidR="00C67F54" w:rsidRPr="00046858" w:rsidRDefault="00C67F54">
            <w:pPr>
              <w:spacing w:before="0" w:after="0"/>
              <w:jc w:val="right"/>
              <w:rPr>
                <w:rFonts w:eastAsia="Times New Roman"/>
                <w:b/>
                <w:bCs/>
                <w:noProof/>
                <w:color w:val="000000"/>
                <w:sz w:val="16"/>
                <w:szCs w:val="16"/>
              </w:rPr>
            </w:pPr>
            <w:r w:rsidRPr="00046858">
              <w:rPr>
                <w:b/>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14:paraId="28D5199D" w14:textId="77777777" w:rsidR="00C67F54" w:rsidRPr="00046858" w:rsidRDefault="00C67F54">
            <w:pPr>
              <w:spacing w:before="0" w:after="0"/>
              <w:jc w:val="right"/>
              <w:rPr>
                <w:rFonts w:eastAsia="Times New Roman"/>
                <w:b/>
                <w:bCs/>
                <w:noProof/>
                <w:color w:val="000000"/>
                <w:sz w:val="16"/>
                <w:szCs w:val="16"/>
              </w:rPr>
            </w:pPr>
            <w:r w:rsidRPr="00046858">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1244738E" w14:textId="77777777" w:rsidR="00C67F54" w:rsidRPr="00046858" w:rsidRDefault="00C67F54">
            <w:pPr>
              <w:spacing w:before="0" w:after="0"/>
              <w:jc w:val="right"/>
              <w:rPr>
                <w:rFonts w:eastAsia="Times New Roman"/>
                <w:b/>
                <w:bCs/>
                <w:noProof/>
                <w:color w:val="000000"/>
                <w:sz w:val="16"/>
                <w:szCs w:val="16"/>
              </w:rPr>
            </w:pPr>
            <w:r w:rsidRPr="00046858">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6711C80E" w14:textId="77777777" w:rsidR="00C67F54" w:rsidRPr="00046858" w:rsidRDefault="00C67F54">
            <w:pPr>
              <w:spacing w:before="0" w:after="0"/>
              <w:jc w:val="right"/>
              <w:rPr>
                <w:rFonts w:eastAsia="Times New Roman"/>
                <w:b/>
                <w:bCs/>
                <w:noProof/>
                <w:color w:val="000000"/>
                <w:sz w:val="16"/>
                <w:szCs w:val="16"/>
              </w:rPr>
            </w:pPr>
            <w:r w:rsidRPr="00046858">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3034A724" w14:textId="77777777" w:rsidR="00C67F54" w:rsidRPr="00046858" w:rsidRDefault="00C67F54">
            <w:pPr>
              <w:spacing w:before="0" w:after="0"/>
              <w:jc w:val="right"/>
              <w:rPr>
                <w:rFonts w:eastAsia="Times New Roman"/>
                <w:b/>
                <w:bCs/>
                <w:noProof/>
                <w:color w:val="000000"/>
                <w:sz w:val="16"/>
                <w:szCs w:val="16"/>
              </w:rPr>
            </w:pPr>
            <w:r w:rsidRPr="00046858">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6EFCD2B0" w14:textId="77777777" w:rsidR="00C67F54" w:rsidRPr="00046858" w:rsidRDefault="00C67F54">
            <w:pPr>
              <w:spacing w:before="0" w:after="0"/>
              <w:jc w:val="right"/>
              <w:rPr>
                <w:rFonts w:eastAsia="Times New Roman"/>
                <w:b/>
                <w:bCs/>
                <w:noProof/>
                <w:color w:val="000000"/>
                <w:sz w:val="16"/>
                <w:szCs w:val="16"/>
              </w:rPr>
            </w:pPr>
            <w:r w:rsidRPr="00046858">
              <w:rPr>
                <w:b/>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14:paraId="742B9622" w14:textId="77777777" w:rsidR="00C67F54" w:rsidRPr="00046858" w:rsidRDefault="00C67F54">
            <w:pPr>
              <w:spacing w:before="0" w:after="0"/>
              <w:jc w:val="right"/>
              <w:rPr>
                <w:rFonts w:eastAsia="Times New Roman"/>
                <w:b/>
                <w:bCs/>
                <w:noProof/>
                <w:color w:val="000000"/>
                <w:sz w:val="16"/>
                <w:szCs w:val="16"/>
              </w:rPr>
            </w:pPr>
            <w:r w:rsidRPr="00046858">
              <w:rPr>
                <w:b/>
                <w:noProof/>
                <w:color w:val="000000" w:themeColor="text1"/>
                <w:sz w:val="16"/>
              </w:rPr>
              <w:t>0</w:t>
            </w:r>
          </w:p>
        </w:tc>
      </w:tr>
      <w:tr w:rsidR="00C67F54" w:rsidRPr="00046858" w14:paraId="330AE809" w14:textId="77777777">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6A254668" w14:textId="77777777" w:rsidR="00C67F54" w:rsidRPr="00046858" w:rsidRDefault="00C67F54">
            <w:pPr>
              <w:spacing w:before="0" w:after="0"/>
              <w:jc w:val="left"/>
              <w:rPr>
                <w:rFonts w:eastAsia="Times New Roman"/>
                <w:b/>
                <w:bCs/>
                <w:noProof/>
                <w:color w:val="000000"/>
                <w:sz w:val="16"/>
                <w:szCs w:val="16"/>
              </w:rPr>
            </w:pPr>
            <w:r w:rsidRPr="00046858">
              <w:rPr>
                <w:b/>
                <w:noProof/>
                <w:color w:val="000000"/>
                <w:sz w:val="16"/>
              </w:rPr>
              <w:t>În afara RUBRICII 4</w:t>
            </w:r>
          </w:p>
        </w:tc>
      </w:tr>
      <w:tr w:rsidR="00C67F54" w:rsidRPr="00046858" w14:paraId="24C531A6" w14:textId="77777777">
        <w:trPr>
          <w:trHeight w:val="1570"/>
        </w:trPr>
        <w:tc>
          <w:tcPr>
            <w:tcW w:w="792" w:type="pct"/>
            <w:tcBorders>
              <w:top w:val="nil"/>
              <w:left w:val="single" w:sz="8" w:space="0" w:color="auto"/>
              <w:bottom w:val="single" w:sz="8" w:space="0" w:color="auto"/>
              <w:right w:val="single" w:sz="8" w:space="0" w:color="auto"/>
            </w:tcBorders>
            <w:vAlign w:val="center"/>
            <w:hideMark/>
          </w:tcPr>
          <w:p w14:paraId="44747C75" w14:textId="77777777" w:rsidR="00C67F54" w:rsidRPr="00046858" w:rsidRDefault="00C67F54">
            <w:pPr>
              <w:spacing w:before="0" w:after="0"/>
              <w:jc w:val="left"/>
              <w:rPr>
                <w:rFonts w:ascii="Arial Narrow" w:eastAsia="Times New Roman" w:hAnsi="Arial Narrow"/>
                <w:noProof/>
                <w:color w:val="000000"/>
                <w:sz w:val="20"/>
                <w:szCs w:val="20"/>
              </w:rPr>
            </w:pPr>
            <w:r w:rsidRPr="00046858">
              <w:rPr>
                <w:rFonts w:ascii="Arial Narrow" w:hAnsi="Arial Narrow"/>
                <w:noProof/>
                <w:color w:val="000000"/>
                <w:sz w:val="20"/>
              </w:rPr>
              <w:t>Cheltuieli de politică IT pentru programele operaționale</w:t>
            </w:r>
          </w:p>
        </w:tc>
        <w:tc>
          <w:tcPr>
            <w:tcW w:w="524" w:type="pct"/>
            <w:tcBorders>
              <w:top w:val="nil"/>
              <w:left w:val="nil"/>
              <w:bottom w:val="single" w:sz="8" w:space="0" w:color="auto"/>
              <w:right w:val="single" w:sz="8" w:space="0" w:color="auto"/>
            </w:tcBorders>
            <w:shd w:val="clear" w:color="000000" w:fill="D9D9D9"/>
            <w:vAlign w:val="center"/>
            <w:hideMark/>
          </w:tcPr>
          <w:p w14:paraId="43D77084" w14:textId="77777777" w:rsidR="00C67F54" w:rsidRPr="00046858" w:rsidRDefault="00C67F54">
            <w:pPr>
              <w:spacing w:before="0" w:after="0"/>
              <w:jc w:val="right"/>
              <w:rPr>
                <w:rFonts w:eastAsia="Times New Roman"/>
                <w:noProof/>
                <w:color w:val="000000"/>
                <w:sz w:val="16"/>
                <w:szCs w:val="16"/>
              </w:rPr>
            </w:pPr>
            <w:r w:rsidRPr="00046858">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3B0453E4" w14:textId="77777777" w:rsidR="00C67F54" w:rsidRPr="00046858" w:rsidRDefault="00C67F54">
            <w:pPr>
              <w:spacing w:before="0" w:after="0"/>
              <w:jc w:val="right"/>
              <w:rPr>
                <w:rFonts w:eastAsia="Times New Roman"/>
                <w:noProof/>
                <w:color w:val="000000"/>
                <w:sz w:val="16"/>
                <w:szCs w:val="16"/>
              </w:rPr>
            </w:pPr>
            <w:r w:rsidRPr="00046858">
              <w:rPr>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14:paraId="301326CC" w14:textId="77777777" w:rsidR="00C67F54" w:rsidRPr="00046858" w:rsidRDefault="00C67F54">
            <w:pPr>
              <w:spacing w:before="0" w:after="0"/>
              <w:jc w:val="right"/>
              <w:rPr>
                <w:rFonts w:eastAsia="Times New Roman"/>
                <w:noProof/>
                <w:color w:val="000000"/>
                <w:sz w:val="16"/>
                <w:szCs w:val="16"/>
              </w:rPr>
            </w:pPr>
            <w:r w:rsidRPr="00046858">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69C43932" w14:textId="77777777" w:rsidR="00C67F54" w:rsidRPr="00046858" w:rsidRDefault="00C67F54">
            <w:pPr>
              <w:spacing w:before="0" w:after="0"/>
              <w:jc w:val="right"/>
              <w:rPr>
                <w:rFonts w:eastAsia="Times New Roman"/>
                <w:noProof/>
                <w:color w:val="000000"/>
                <w:sz w:val="16"/>
                <w:szCs w:val="16"/>
              </w:rPr>
            </w:pPr>
            <w:r w:rsidRPr="00046858">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27D3323F" w14:textId="77777777" w:rsidR="00C67F54" w:rsidRPr="00046858" w:rsidRDefault="00C67F54">
            <w:pPr>
              <w:spacing w:before="0" w:after="0"/>
              <w:jc w:val="right"/>
              <w:rPr>
                <w:rFonts w:eastAsia="Times New Roman"/>
                <w:noProof/>
                <w:color w:val="000000"/>
                <w:sz w:val="16"/>
                <w:szCs w:val="16"/>
              </w:rPr>
            </w:pPr>
            <w:r w:rsidRPr="00046858">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6C3B50C2" w14:textId="77777777" w:rsidR="00C67F54" w:rsidRPr="00046858" w:rsidRDefault="00C67F54">
            <w:pPr>
              <w:spacing w:before="0" w:after="0"/>
              <w:jc w:val="right"/>
              <w:rPr>
                <w:rFonts w:eastAsia="Times New Roman"/>
                <w:noProof/>
                <w:color w:val="000000"/>
                <w:sz w:val="16"/>
                <w:szCs w:val="16"/>
              </w:rPr>
            </w:pPr>
            <w:r w:rsidRPr="00046858">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3A961352" w14:textId="77777777" w:rsidR="00C67F54" w:rsidRPr="00046858" w:rsidRDefault="00C67F54">
            <w:pPr>
              <w:spacing w:before="0" w:after="0"/>
              <w:jc w:val="right"/>
              <w:rPr>
                <w:rFonts w:eastAsia="Times New Roman"/>
                <w:noProof/>
                <w:color w:val="000000"/>
                <w:sz w:val="16"/>
                <w:szCs w:val="16"/>
              </w:rPr>
            </w:pPr>
            <w:r w:rsidRPr="00046858">
              <w:rPr>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14:paraId="2A6FF98C" w14:textId="77777777" w:rsidR="00C67F54" w:rsidRPr="00046858" w:rsidRDefault="00C67F54">
            <w:pPr>
              <w:spacing w:before="0" w:after="0"/>
              <w:jc w:val="right"/>
              <w:rPr>
                <w:rFonts w:eastAsia="Times New Roman"/>
                <w:b/>
                <w:bCs/>
                <w:noProof/>
                <w:color w:val="000000"/>
                <w:sz w:val="16"/>
                <w:szCs w:val="16"/>
              </w:rPr>
            </w:pPr>
            <w:r w:rsidRPr="00046858">
              <w:rPr>
                <w:b/>
                <w:noProof/>
                <w:color w:val="000000" w:themeColor="text1"/>
                <w:sz w:val="16"/>
              </w:rPr>
              <w:t>0</w:t>
            </w:r>
          </w:p>
        </w:tc>
      </w:tr>
      <w:tr w:rsidR="00C67F54" w:rsidRPr="00046858" w14:paraId="4668D348" w14:textId="77777777">
        <w:trPr>
          <w:trHeight w:val="640"/>
        </w:trPr>
        <w:tc>
          <w:tcPr>
            <w:tcW w:w="792" w:type="pct"/>
            <w:tcBorders>
              <w:top w:val="nil"/>
              <w:left w:val="single" w:sz="8" w:space="0" w:color="auto"/>
              <w:bottom w:val="single" w:sz="8" w:space="0" w:color="auto"/>
              <w:right w:val="single" w:sz="8" w:space="0" w:color="auto"/>
            </w:tcBorders>
            <w:shd w:val="clear" w:color="000000" w:fill="CCCCCC"/>
            <w:vAlign w:val="center"/>
            <w:hideMark/>
          </w:tcPr>
          <w:p w14:paraId="3C0E7337" w14:textId="77777777" w:rsidR="00C67F54" w:rsidRPr="00046858" w:rsidRDefault="00C67F54">
            <w:pPr>
              <w:spacing w:before="0" w:after="0"/>
              <w:jc w:val="center"/>
              <w:rPr>
                <w:rFonts w:eastAsia="Times New Roman"/>
                <w:b/>
                <w:bCs/>
                <w:noProof/>
                <w:color w:val="000000"/>
                <w:sz w:val="16"/>
                <w:szCs w:val="16"/>
              </w:rPr>
            </w:pPr>
            <w:r w:rsidRPr="00046858">
              <w:rPr>
                <w:b/>
                <w:noProof/>
                <w:color w:val="000000" w:themeColor="text1"/>
                <w:sz w:val="16"/>
              </w:rPr>
              <w:t>Subtotal în afara RUBRICII 4</w:t>
            </w:r>
          </w:p>
        </w:tc>
        <w:tc>
          <w:tcPr>
            <w:tcW w:w="524" w:type="pct"/>
            <w:tcBorders>
              <w:top w:val="nil"/>
              <w:left w:val="nil"/>
              <w:bottom w:val="single" w:sz="8" w:space="0" w:color="auto"/>
              <w:right w:val="single" w:sz="8" w:space="0" w:color="auto"/>
            </w:tcBorders>
            <w:shd w:val="clear" w:color="000000" w:fill="D9D9D9"/>
            <w:vAlign w:val="center"/>
            <w:hideMark/>
          </w:tcPr>
          <w:p w14:paraId="1166CA84" w14:textId="77777777" w:rsidR="00C67F54" w:rsidRPr="00046858" w:rsidRDefault="00C67F54">
            <w:pPr>
              <w:spacing w:before="0" w:after="0"/>
              <w:jc w:val="right"/>
              <w:rPr>
                <w:rFonts w:eastAsia="Times New Roman"/>
                <w:b/>
                <w:bCs/>
                <w:noProof/>
                <w:color w:val="000000"/>
                <w:sz w:val="16"/>
                <w:szCs w:val="16"/>
              </w:rPr>
            </w:pPr>
            <w:r w:rsidRPr="00046858">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2F73F302" w14:textId="77777777" w:rsidR="00C67F54" w:rsidRPr="00046858" w:rsidRDefault="00C67F54">
            <w:pPr>
              <w:spacing w:before="0" w:after="0"/>
              <w:jc w:val="right"/>
              <w:rPr>
                <w:rFonts w:eastAsia="Times New Roman"/>
                <w:b/>
                <w:bCs/>
                <w:noProof/>
                <w:color w:val="000000"/>
                <w:sz w:val="16"/>
                <w:szCs w:val="16"/>
              </w:rPr>
            </w:pPr>
            <w:r w:rsidRPr="00046858">
              <w:rPr>
                <w:b/>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14:paraId="0E3E7164" w14:textId="77777777" w:rsidR="00C67F54" w:rsidRPr="00046858" w:rsidRDefault="00C67F54">
            <w:pPr>
              <w:spacing w:before="0" w:after="0"/>
              <w:jc w:val="right"/>
              <w:rPr>
                <w:rFonts w:eastAsia="Times New Roman"/>
                <w:b/>
                <w:bCs/>
                <w:noProof/>
                <w:color w:val="000000"/>
                <w:sz w:val="16"/>
                <w:szCs w:val="16"/>
              </w:rPr>
            </w:pPr>
            <w:r w:rsidRPr="00046858">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0C90BEC1" w14:textId="77777777" w:rsidR="00C67F54" w:rsidRPr="00046858" w:rsidRDefault="00C67F54">
            <w:pPr>
              <w:spacing w:before="0" w:after="0"/>
              <w:jc w:val="right"/>
              <w:rPr>
                <w:rFonts w:eastAsia="Times New Roman"/>
                <w:b/>
                <w:bCs/>
                <w:noProof/>
                <w:color w:val="000000"/>
                <w:sz w:val="16"/>
                <w:szCs w:val="16"/>
              </w:rPr>
            </w:pPr>
            <w:r w:rsidRPr="00046858">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27F2B926" w14:textId="77777777" w:rsidR="00C67F54" w:rsidRPr="00046858" w:rsidRDefault="00C67F54">
            <w:pPr>
              <w:spacing w:before="0" w:after="0"/>
              <w:jc w:val="right"/>
              <w:rPr>
                <w:rFonts w:eastAsia="Times New Roman"/>
                <w:b/>
                <w:bCs/>
                <w:noProof/>
                <w:color w:val="000000"/>
                <w:sz w:val="16"/>
                <w:szCs w:val="16"/>
              </w:rPr>
            </w:pPr>
            <w:r w:rsidRPr="00046858">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25B5A1C6" w14:textId="77777777" w:rsidR="00C67F54" w:rsidRPr="00046858" w:rsidRDefault="00C67F54">
            <w:pPr>
              <w:spacing w:before="0" w:after="0"/>
              <w:jc w:val="right"/>
              <w:rPr>
                <w:rFonts w:eastAsia="Times New Roman"/>
                <w:b/>
                <w:bCs/>
                <w:noProof/>
                <w:color w:val="000000"/>
                <w:sz w:val="16"/>
                <w:szCs w:val="16"/>
              </w:rPr>
            </w:pPr>
            <w:r w:rsidRPr="00046858">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440C00E5" w14:textId="77777777" w:rsidR="00C67F54" w:rsidRPr="00046858" w:rsidRDefault="00C67F54">
            <w:pPr>
              <w:spacing w:before="0" w:after="0"/>
              <w:jc w:val="right"/>
              <w:rPr>
                <w:rFonts w:eastAsia="Times New Roman"/>
                <w:b/>
                <w:bCs/>
                <w:noProof/>
                <w:color w:val="000000"/>
                <w:sz w:val="16"/>
                <w:szCs w:val="16"/>
              </w:rPr>
            </w:pPr>
            <w:r w:rsidRPr="00046858">
              <w:rPr>
                <w:b/>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14:paraId="1B8B3479" w14:textId="77777777" w:rsidR="00C67F54" w:rsidRPr="00046858" w:rsidRDefault="00C67F54">
            <w:pPr>
              <w:spacing w:before="0" w:after="0"/>
              <w:jc w:val="right"/>
              <w:rPr>
                <w:rFonts w:eastAsia="Times New Roman"/>
                <w:b/>
                <w:bCs/>
                <w:noProof/>
                <w:color w:val="000000"/>
                <w:sz w:val="16"/>
                <w:szCs w:val="16"/>
              </w:rPr>
            </w:pPr>
            <w:r w:rsidRPr="00046858">
              <w:rPr>
                <w:b/>
                <w:noProof/>
                <w:color w:val="000000" w:themeColor="text1"/>
                <w:sz w:val="16"/>
              </w:rPr>
              <w:t>0</w:t>
            </w:r>
          </w:p>
        </w:tc>
      </w:tr>
      <w:tr w:rsidR="00C67F54" w:rsidRPr="00046858" w14:paraId="10AACC4F" w14:textId="77777777">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3E7E5C61" w14:textId="77777777" w:rsidR="00C67F54" w:rsidRPr="00046858" w:rsidRDefault="00C67F54">
            <w:pPr>
              <w:spacing w:before="0" w:after="0"/>
              <w:jc w:val="center"/>
              <w:rPr>
                <w:rFonts w:eastAsia="Times New Roman"/>
                <w:noProof/>
                <w:color w:val="000000"/>
                <w:sz w:val="16"/>
                <w:szCs w:val="16"/>
              </w:rPr>
            </w:pPr>
            <w:r w:rsidRPr="00046858">
              <w:rPr>
                <w:noProof/>
                <w:color w:val="000000" w:themeColor="text1"/>
                <w:sz w:val="16"/>
              </w:rPr>
              <w:t xml:space="preserve"> </w:t>
            </w:r>
          </w:p>
        </w:tc>
      </w:tr>
      <w:tr w:rsidR="00C67F54" w:rsidRPr="00046858" w14:paraId="65CB191D" w14:textId="77777777">
        <w:trPr>
          <w:trHeight w:val="300"/>
        </w:trPr>
        <w:tc>
          <w:tcPr>
            <w:tcW w:w="792" w:type="pct"/>
            <w:tcBorders>
              <w:top w:val="nil"/>
              <w:left w:val="single" w:sz="12" w:space="0" w:color="auto"/>
              <w:bottom w:val="single" w:sz="12" w:space="0" w:color="auto"/>
              <w:right w:val="single" w:sz="8" w:space="0" w:color="auto"/>
            </w:tcBorders>
            <w:vAlign w:val="center"/>
            <w:hideMark/>
          </w:tcPr>
          <w:p w14:paraId="036CA8BA" w14:textId="77777777" w:rsidR="00C67F54" w:rsidRPr="00046858" w:rsidRDefault="00C67F54">
            <w:pPr>
              <w:spacing w:before="0" w:after="0"/>
              <w:jc w:val="center"/>
              <w:rPr>
                <w:rFonts w:eastAsia="Times New Roman"/>
                <w:b/>
                <w:bCs/>
                <w:noProof/>
                <w:color w:val="000000"/>
                <w:sz w:val="16"/>
                <w:szCs w:val="16"/>
              </w:rPr>
            </w:pPr>
            <w:r w:rsidRPr="00046858">
              <w:rPr>
                <w:b/>
                <w:noProof/>
                <w:color w:val="000000" w:themeColor="text1"/>
                <w:sz w:val="16"/>
              </w:rPr>
              <w:t>TOTAL</w:t>
            </w:r>
          </w:p>
        </w:tc>
        <w:tc>
          <w:tcPr>
            <w:tcW w:w="524" w:type="pct"/>
            <w:tcBorders>
              <w:top w:val="nil"/>
              <w:left w:val="nil"/>
              <w:bottom w:val="single" w:sz="12" w:space="0" w:color="auto"/>
              <w:right w:val="single" w:sz="8" w:space="0" w:color="auto"/>
            </w:tcBorders>
            <w:shd w:val="clear" w:color="000000" w:fill="D9D9D9"/>
            <w:vAlign w:val="center"/>
            <w:hideMark/>
          </w:tcPr>
          <w:p w14:paraId="7A91999F" w14:textId="77777777" w:rsidR="00C67F54" w:rsidRPr="00046858" w:rsidRDefault="00C67F54">
            <w:pPr>
              <w:spacing w:before="0" w:after="0"/>
              <w:jc w:val="right"/>
              <w:rPr>
                <w:rFonts w:eastAsia="Times New Roman"/>
                <w:b/>
                <w:bCs/>
                <w:noProof/>
                <w:color w:val="000000"/>
                <w:sz w:val="16"/>
                <w:szCs w:val="16"/>
              </w:rPr>
            </w:pPr>
            <w:r w:rsidRPr="00046858">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3EBF4F7D" w14:textId="77777777" w:rsidR="00C67F54" w:rsidRPr="00046858" w:rsidRDefault="00C67F54">
            <w:pPr>
              <w:spacing w:before="0" w:after="0"/>
              <w:jc w:val="right"/>
              <w:rPr>
                <w:rFonts w:eastAsia="Times New Roman"/>
                <w:b/>
                <w:bCs/>
                <w:noProof/>
                <w:color w:val="000000"/>
                <w:sz w:val="16"/>
                <w:szCs w:val="16"/>
              </w:rPr>
            </w:pPr>
            <w:r w:rsidRPr="00046858">
              <w:rPr>
                <w:b/>
                <w:noProof/>
                <w:color w:val="000000" w:themeColor="text1"/>
                <w:sz w:val="16"/>
              </w:rPr>
              <w:t>0</w:t>
            </w:r>
          </w:p>
        </w:tc>
        <w:tc>
          <w:tcPr>
            <w:tcW w:w="523" w:type="pct"/>
            <w:tcBorders>
              <w:top w:val="nil"/>
              <w:left w:val="nil"/>
              <w:bottom w:val="single" w:sz="12" w:space="0" w:color="auto"/>
              <w:right w:val="single" w:sz="8" w:space="0" w:color="auto"/>
            </w:tcBorders>
            <w:shd w:val="clear" w:color="000000" w:fill="D9D9D9"/>
            <w:vAlign w:val="center"/>
            <w:hideMark/>
          </w:tcPr>
          <w:p w14:paraId="4C594973" w14:textId="77777777" w:rsidR="00C67F54" w:rsidRPr="00046858" w:rsidRDefault="00C67F54">
            <w:pPr>
              <w:spacing w:before="0" w:after="0"/>
              <w:jc w:val="right"/>
              <w:rPr>
                <w:rFonts w:eastAsia="Times New Roman"/>
                <w:b/>
                <w:bCs/>
                <w:noProof/>
                <w:color w:val="000000"/>
                <w:sz w:val="16"/>
                <w:szCs w:val="16"/>
              </w:rPr>
            </w:pPr>
            <w:r w:rsidRPr="00046858">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18638EDB" w14:textId="77777777" w:rsidR="00C67F54" w:rsidRPr="00046858" w:rsidRDefault="00C67F54">
            <w:pPr>
              <w:spacing w:before="0" w:after="0"/>
              <w:jc w:val="right"/>
              <w:rPr>
                <w:rFonts w:eastAsia="Times New Roman"/>
                <w:b/>
                <w:bCs/>
                <w:noProof/>
                <w:color w:val="000000"/>
                <w:sz w:val="16"/>
                <w:szCs w:val="16"/>
              </w:rPr>
            </w:pPr>
            <w:r w:rsidRPr="00046858">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3E6C2560" w14:textId="77777777" w:rsidR="00C67F54" w:rsidRPr="00046858" w:rsidRDefault="00C67F54">
            <w:pPr>
              <w:spacing w:before="0" w:after="0"/>
              <w:jc w:val="right"/>
              <w:rPr>
                <w:rFonts w:eastAsia="Times New Roman"/>
                <w:b/>
                <w:bCs/>
                <w:noProof/>
                <w:color w:val="000000"/>
                <w:sz w:val="16"/>
                <w:szCs w:val="16"/>
              </w:rPr>
            </w:pPr>
            <w:r w:rsidRPr="00046858">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55E2A818" w14:textId="77777777" w:rsidR="00C67F54" w:rsidRPr="00046858" w:rsidRDefault="00C67F54">
            <w:pPr>
              <w:spacing w:before="0" w:after="0"/>
              <w:jc w:val="right"/>
              <w:rPr>
                <w:rFonts w:eastAsia="Times New Roman"/>
                <w:b/>
                <w:bCs/>
                <w:noProof/>
                <w:color w:val="000000"/>
                <w:sz w:val="16"/>
                <w:szCs w:val="16"/>
              </w:rPr>
            </w:pPr>
            <w:r w:rsidRPr="00046858">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735780D9" w14:textId="77777777" w:rsidR="00C67F54" w:rsidRPr="00046858" w:rsidRDefault="00C67F54">
            <w:pPr>
              <w:spacing w:before="0" w:after="0"/>
              <w:jc w:val="right"/>
              <w:rPr>
                <w:rFonts w:eastAsia="Times New Roman"/>
                <w:b/>
                <w:bCs/>
                <w:noProof/>
                <w:color w:val="000000"/>
                <w:sz w:val="16"/>
                <w:szCs w:val="16"/>
              </w:rPr>
            </w:pPr>
            <w:r w:rsidRPr="00046858">
              <w:rPr>
                <w:b/>
                <w:noProof/>
                <w:color w:val="000000" w:themeColor="text1"/>
                <w:sz w:val="16"/>
              </w:rPr>
              <w:t>0</w:t>
            </w:r>
          </w:p>
        </w:tc>
        <w:tc>
          <w:tcPr>
            <w:tcW w:w="543" w:type="pct"/>
            <w:tcBorders>
              <w:top w:val="nil"/>
              <w:left w:val="nil"/>
              <w:bottom w:val="single" w:sz="12" w:space="0" w:color="auto"/>
              <w:right w:val="single" w:sz="8" w:space="0" w:color="auto"/>
            </w:tcBorders>
            <w:shd w:val="clear" w:color="000000" w:fill="D9D9D9"/>
            <w:vAlign w:val="center"/>
            <w:hideMark/>
          </w:tcPr>
          <w:p w14:paraId="7EF706C1" w14:textId="77777777" w:rsidR="00C67F54" w:rsidRPr="00046858" w:rsidRDefault="00C67F54">
            <w:pPr>
              <w:spacing w:before="0" w:after="0"/>
              <w:jc w:val="right"/>
              <w:rPr>
                <w:rFonts w:eastAsia="Times New Roman"/>
                <w:b/>
                <w:bCs/>
                <w:noProof/>
                <w:color w:val="000000"/>
                <w:sz w:val="16"/>
                <w:szCs w:val="16"/>
              </w:rPr>
            </w:pPr>
            <w:r w:rsidRPr="00046858">
              <w:rPr>
                <w:b/>
                <w:noProof/>
                <w:color w:val="000000" w:themeColor="text1"/>
                <w:sz w:val="16"/>
              </w:rPr>
              <w:t>0</w:t>
            </w:r>
          </w:p>
        </w:tc>
      </w:tr>
    </w:tbl>
    <w:p w14:paraId="3B8F693E" w14:textId="77777777" w:rsidR="00A03D5B" w:rsidRPr="00046858" w:rsidRDefault="00A03D5B" w:rsidP="0041561E">
      <w:pPr>
        <w:pStyle w:val="ManualHeading3"/>
        <w:rPr>
          <w:noProof/>
        </w:rPr>
      </w:pPr>
      <w:bookmarkStart w:id="139" w:name="_Toc221194347"/>
      <w:r w:rsidRPr="00046858">
        <w:rPr>
          <w:noProof/>
        </w:rPr>
        <w:t>3.2.6.</w:t>
      </w:r>
      <w:r w:rsidRPr="00046858">
        <w:rPr>
          <w:noProof/>
        </w:rPr>
        <w:tab/>
        <w:t>Compatibilitatea cu cadrul financiar multianual actual</w:t>
      </w:r>
      <w:bookmarkEnd w:id="139"/>
      <w:r w:rsidRPr="00046858">
        <w:rPr>
          <w:noProof/>
        </w:rPr>
        <w:t xml:space="preserve"> </w:t>
      </w:r>
    </w:p>
    <w:p w14:paraId="07C54518" w14:textId="77777777" w:rsidR="00A03D5B" w:rsidRPr="00046858" w:rsidRDefault="00A03D5B" w:rsidP="0041561E">
      <w:pPr>
        <w:pStyle w:val="Text1"/>
        <w:rPr>
          <w:noProof/>
        </w:rPr>
      </w:pPr>
      <w:r w:rsidRPr="00046858">
        <w:rPr>
          <w:noProof/>
        </w:rPr>
        <w:t>Propunerea/inițiativa:</w:t>
      </w:r>
    </w:p>
    <w:p w14:paraId="35F86DD4" w14:textId="77777777" w:rsidR="00A03D5B" w:rsidRPr="00046858" w:rsidRDefault="00C67F54" w:rsidP="00C67F54">
      <w:pPr>
        <w:pStyle w:val="ListDash1"/>
        <w:ind w:left="1134" w:hanging="283"/>
        <w:rPr>
          <w:noProof/>
        </w:rPr>
      </w:pPr>
      <w:r w:rsidRPr="00046858">
        <w:rPr>
          <w:rFonts w:ascii="Wingdings" w:hAnsi="Wingdings"/>
          <w:noProof/>
          <w:sz w:val="22"/>
        </w:rPr>
        <w:t></w:t>
      </w:r>
      <w:r w:rsidRPr="00046858">
        <w:rPr>
          <w:noProof/>
        </w:rPr>
        <w:tab/>
        <w:t>poate fi finanțată integral prin realocarea creditelor în cadrul rubricii relevante din cadrul financiar multianual (CFM)</w:t>
      </w:r>
    </w:p>
    <w:p w14:paraId="169A3C21" w14:textId="77777777" w:rsidR="00A03D5B" w:rsidRPr="00046858" w:rsidRDefault="00A03D5B" w:rsidP="00C67F54">
      <w:pPr>
        <w:pStyle w:val="ListDash1"/>
        <w:ind w:left="1134" w:hanging="283"/>
        <w:rPr>
          <w:noProof/>
        </w:rPr>
      </w:pPr>
      <w:r w:rsidRPr="00046858">
        <w:rPr>
          <w:rFonts w:ascii="Wingdings" w:hAnsi="Wingdings"/>
          <w:noProof/>
        </w:rPr>
        <w:t></w:t>
      </w:r>
      <w:r w:rsidRPr="00046858">
        <w:rPr>
          <w:noProof/>
        </w:rPr>
        <w:tab/>
        <w:t>necesită utilizarea marjei nealocate din cadrul rubricii corespunzătoare din CFM și/sau utilizarea instrumentelor speciale, astfel cum sunt definite în Regulamentul privind CFM</w:t>
      </w:r>
    </w:p>
    <w:p w14:paraId="360176DC" w14:textId="77777777" w:rsidR="00A03D5B" w:rsidRPr="00046858" w:rsidRDefault="00A03D5B" w:rsidP="00C67F54">
      <w:pPr>
        <w:pStyle w:val="ListDash1"/>
        <w:ind w:left="1134" w:hanging="283"/>
        <w:rPr>
          <w:noProof/>
        </w:rPr>
      </w:pPr>
      <w:r w:rsidRPr="00046858">
        <w:rPr>
          <w:rFonts w:ascii="Wingdings" w:hAnsi="Wingdings"/>
          <w:noProof/>
        </w:rPr>
        <w:t></w:t>
      </w:r>
      <w:r w:rsidRPr="00046858">
        <w:rPr>
          <w:noProof/>
        </w:rPr>
        <w:tab/>
        <w:t>necesită revizuirea CFM</w:t>
      </w:r>
    </w:p>
    <w:p w14:paraId="7139AA97" w14:textId="77777777" w:rsidR="00A03D5B" w:rsidRPr="00046858" w:rsidRDefault="00A03D5B" w:rsidP="001C20B8">
      <w:pPr>
        <w:pStyle w:val="Text1"/>
        <w:rPr>
          <w:noProof/>
        </w:rPr>
      </w:pPr>
    </w:p>
    <w:p w14:paraId="4C52466F" w14:textId="77777777" w:rsidR="00FB7F7E" w:rsidRPr="00046858" w:rsidRDefault="00FB7F7E" w:rsidP="001C20B8">
      <w:pPr>
        <w:pStyle w:val="Text1"/>
        <w:rPr>
          <w:noProof/>
        </w:rPr>
      </w:pPr>
      <w:bookmarkStart w:id="140" w:name="_Toc221194348"/>
      <w:r w:rsidRPr="00046858">
        <w:rPr>
          <w:noProof/>
        </w:rPr>
        <w:t>Impactul estimat asupra cheltuielilor și a personalului pentru 2028 și ulterior este adăugat doar cu titlu orientativ și nu aduce atingere următorului cadru financiar multianual. Sursa de finanțare și domeniul de aplicare al angajamentului financiar al Uniunii pentru perioada de după 2027 depind în continuare de rezultatul negocierilor interinstituționale privind CFM 2028-2034 și, ulterior, vor fi stabilite prin procedura bugetară anuală. Toate creditele și alocările de personal începând cu 2028 sunt orientative.</w:t>
      </w:r>
    </w:p>
    <w:p w14:paraId="0B64F99A" w14:textId="77777777" w:rsidR="00FB7F7E" w:rsidRPr="00046858" w:rsidRDefault="00FB7F7E" w:rsidP="0041561E">
      <w:pPr>
        <w:pStyle w:val="ManualHeading3"/>
        <w:rPr>
          <w:noProof/>
        </w:rPr>
      </w:pPr>
    </w:p>
    <w:p w14:paraId="3BC8444A" w14:textId="77777777" w:rsidR="00A03D5B" w:rsidRPr="00046858" w:rsidRDefault="00A03D5B" w:rsidP="0041561E">
      <w:pPr>
        <w:pStyle w:val="ManualHeading3"/>
        <w:rPr>
          <w:noProof/>
        </w:rPr>
      </w:pPr>
      <w:r w:rsidRPr="00046858">
        <w:rPr>
          <w:noProof/>
        </w:rPr>
        <w:t>3.2.7.</w:t>
      </w:r>
      <w:r w:rsidRPr="00046858">
        <w:rPr>
          <w:noProof/>
        </w:rPr>
        <w:tab/>
        <w:t>Contribuțiile terților</w:t>
      </w:r>
      <w:bookmarkEnd w:id="140"/>
      <w:r w:rsidRPr="00046858">
        <w:rPr>
          <w:noProof/>
        </w:rPr>
        <w:t xml:space="preserve"> </w:t>
      </w:r>
    </w:p>
    <w:p w14:paraId="0CF09F55" w14:textId="77777777" w:rsidR="00A03D5B" w:rsidRPr="00046858" w:rsidRDefault="00A03D5B" w:rsidP="0041561E">
      <w:pPr>
        <w:pStyle w:val="Text1"/>
        <w:rPr>
          <w:noProof/>
        </w:rPr>
      </w:pPr>
      <w:r w:rsidRPr="00046858">
        <w:rPr>
          <w:noProof/>
        </w:rPr>
        <w:t>Propunerea/inițiativa:</w:t>
      </w:r>
    </w:p>
    <w:p w14:paraId="061D2832" w14:textId="77777777" w:rsidR="00A03D5B" w:rsidRPr="00046858" w:rsidRDefault="00C67F54" w:rsidP="00C67F54">
      <w:pPr>
        <w:pStyle w:val="ListDash1"/>
        <w:ind w:left="1134" w:hanging="283"/>
        <w:rPr>
          <w:noProof/>
        </w:rPr>
      </w:pPr>
      <w:r w:rsidRPr="00046858">
        <w:rPr>
          <w:rFonts w:ascii="Wingdings" w:hAnsi="Wingdings"/>
          <w:noProof/>
          <w:sz w:val="22"/>
        </w:rPr>
        <w:t></w:t>
      </w:r>
      <w:r w:rsidRPr="00046858">
        <w:rPr>
          <w:noProof/>
        </w:rPr>
        <w:tab/>
        <w:t>nu prevede cofinanțare din partea terților</w:t>
      </w:r>
    </w:p>
    <w:p w14:paraId="279BAF00" w14:textId="77777777" w:rsidR="00A03D5B" w:rsidRPr="00046858" w:rsidRDefault="00A03D5B" w:rsidP="00C67F54">
      <w:pPr>
        <w:pStyle w:val="ListDash1"/>
        <w:ind w:left="1134" w:hanging="283"/>
        <w:rPr>
          <w:noProof/>
        </w:rPr>
      </w:pPr>
      <w:r w:rsidRPr="00046858">
        <w:rPr>
          <w:rFonts w:ascii="Wingdings" w:hAnsi="Wingdings"/>
          <w:noProof/>
        </w:rPr>
        <w:t></w:t>
      </w:r>
      <w:r w:rsidRPr="00046858">
        <w:rPr>
          <w:noProof/>
        </w:rPr>
        <w:tab/>
        <w:t>prevede cofinanțare din partea terților, estimată mai jos:</w:t>
      </w:r>
    </w:p>
    <w:p w14:paraId="1A956C9E" w14:textId="77777777" w:rsidR="00A03D5B" w:rsidRPr="00046858" w:rsidRDefault="00A03D5B" w:rsidP="0041561E">
      <w:pPr>
        <w:jc w:val="right"/>
        <w:rPr>
          <w:noProof/>
          <w:sz w:val="20"/>
        </w:rPr>
      </w:pPr>
      <w:r w:rsidRPr="00046858">
        <w:rPr>
          <w:noProof/>
          <w:sz w:val="20"/>
        </w:rPr>
        <w:t>Credite în milioane EUR (cu trei zecimale)</w:t>
      </w:r>
    </w:p>
    <w:tbl>
      <w:tblPr>
        <w:tblW w:w="5000" w:type="pct"/>
        <w:tblLook w:val="04A0" w:firstRow="1" w:lastRow="0" w:firstColumn="1" w:lastColumn="0" w:noHBand="0" w:noVBand="1"/>
      </w:tblPr>
      <w:tblGrid>
        <w:gridCol w:w="1476"/>
        <w:gridCol w:w="976"/>
        <w:gridCol w:w="975"/>
        <w:gridCol w:w="975"/>
        <w:gridCol w:w="977"/>
        <w:gridCol w:w="977"/>
        <w:gridCol w:w="977"/>
        <w:gridCol w:w="977"/>
        <w:gridCol w:w="979"/>
      </w:tblGrid>
      <w:tr w:rsidR="00C67F54" w:rsidRPr="00046858" w14:paraId="0B6A52DA" w14:textId="77777777">
        <w:trPr>
          <w:cantSplit/>
          <w:trHeight w:val="290"/>
        </w:trPr>
        <w:tc>
          <w:tcPr>
            <w:tcW w:w="794" w:type="pct"/>
            <w:vMerge w:val="restart"/>
            <w:tcBorders>
              <w:top w:val="single" w:sz="8" w:space="0" w:color="auto"/>
              <w:left w:val="single" w:sz="8" w:space="0" w:color="auto"/>
              <w:bottom w:val="single" w:sz="8" w:space="0" w:color="000000"/>
              <w:right w:val="single" w:sz="8" w:space="0" w:color="auto"/>
            </w:tcBorders>
            <w:vAlign w:val="center"/>
            <w:hideMark/>
          </w:tcPr>
          <w:p w14:paraId="7174A62A" w14:textId="77777777" w:rsidR="00C67F54" w:rsidRPr="00046858" w:rsidRDefault="00C67F54">
            <w:pPr>
              <w:spacing w:before="0" w:after="0"/>
              <w:rPr>
                <w:rFonts w:eastAsia="Times New Roman"/>
                <w:noProof/>
                <w:color w:val="000000"/>
                <w:sz w:val="20"/>
                <w:szCs w:val="20"/>
              </w:rPr>
            </w:pPr>
            <w:r w:rsidRPr="00046858">
              <w:rPr>
                <w:noProof/>
                <w:color w:val="000000"/>
                <w:sz w:val="20"/>
              </w:rPr>
              <w:t xml:space="preserve"> </w:t>
            </w:r>
          </w:p>
        </w:tc>
        <w:tc>
          <w:tcPr>
            <w:tcW w:w="525" w:type="pct"/>
            <w:tcBorders>
              <w:top w:val="single" w:sz="8" w:space="0" w:color="auto"/>
              <w:left w:val="nil"/>
              <w:bottom w:val="nil"/>
              <w:right w:val="single" w:sz="8" w:space="0" w:color="auto"/>
            </w:tcBorders>
            <w:vAlign w:val="center"/>
            <w:hideMark/>
          </w:tcPr>
          <w:p w14:paraId="23177F03"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 xml:space="preserve">Anul </w:t>
            </w:r>
          </w:p>
        </w:tc>
        <w:tc>
          <w:tcPr>
            <w:tcW w:w="525" w:type="pct"/>
            <w:tcBorders>
              <w:top w:val="single" w:sz="8" w:space="0" w:color="auto"/>
              <w:left w:val="nil"/>
              <w:bottom w:val="nil"/>
              <w:right w:val="single" w:sz="8" w:space="0" w:color="auto"/>
            </w:tcBorders>
            <w:vAlign w:val="center"/>
            <w:hideMark/>
          </w:tcPr>
          <w:p w14:paraId="57706357"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 xml:space="preserve">Anul </w:t>
            </w:r>
          </w:p>
        </w:tc>
        <w:tc>
          <w:tcPr>
            <w:tcW w:w="525" w:type="pct"/>
            <w:tcBorders>
              <w:top w:val="single" w:sz="8" w:space="0" w:color="auto"/>
              <w:left w:val="nil"/>
              <w:bottom w:val="nil"/>
              <w:right w:val="single" w:sz="8" w:space="0" w:color="auto"/>
            </w:tcBorders>
            <w:vAlign w:val="center"/>
            <w:hideMark/>
          </w:tcPr>
          <w:p w14:paraId="0D9FE4DD"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 xml:space="preserve">Anul </w:t>
            </w:r>
          </w:p>
        </w:tc>
        <w:tc>
          <w:tcPr>
            <w:tcW w:w="526" w:type="pct"/>
            <w:tcBorders>
              <w:top w:val="single" w:sz="8" w:space="0" w:color="auto"/>
              <w:left w:val="nil"/>
              <w:bottom w:val="nil"/>
              <w:right w:val="single" w:sz="8" w:space="0" w:color="auto"/>
            </w:tcBorders>
            <w:vAlign w:val="center"/>
            <w:hideMark/>
          </w:tcPr>
          <w:p w14:paraId="4A1BA71C"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 xml:space="preserve">Anul </w:t>
            </w:r>
          </w:p>
        </w:tc>
        <w:tc>
          <w:tcPr>
            <w:tcW w:w="526" w:type="pct"/>
            <w:tcBorders>
              <w:top w:val="single" w:sz="8" w:space="0" w:color="auto"/>
              <w:left w:val="nil"/>
              <w:bottom w:val="nil"/>
              <w:right w:val="single" w:sz="8" w:space="0" w:color="auto"/>
            </w:tcBorders>
            <w:vAlign w:val="center"/>
            <w:hideMark/>
          </w:tcPr>
          <w:p w14:paraId="21E6B930"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 xml:space="preserve">Anul </w:t>
            </w:r>
          </w:p>
        </w:tc>
        <w:tc>
          <w:tcPr>
            <w:tcW w:w="526" w:type="pct"/>
            <w:tcBorders>
              <w:top w:val="single" w:sz="8" w:space="0" w:color="auto"/>
              <w:left w:val="nil"/>
              <w:bottom w:val="nil"/>
              <w:right w:val="single" w:sz="8" w:space="0" w:color="auto"/>
            </w:tcBorders>
            <w:vAlign w:val="center"/>
            <w:hideMark/>
          </w:tcPr>
          <w:p w14:paraId="2B5B1C03"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 xml:space="preserve">Anul </w:t>
            </w:r>
          </w:p>
        </w:tc>
        <w:tc>
          <w:tcPr>
            <w:tcW w:w="526" w:type="pct"/>
            <w:tcBorders>
              <w:top w:val="single" w:sz="8" w:space="0" w:color="auto"/>
              <w:left w:val="nil"/>
              <w:bottom w:val="nil"/>
              <w:right w:val="single" w:sz="8" w:space="0" w:color="auto"/>
            </w:tcBorders>
            <w:vAlign w:val="center"/>
            <w:hideMark/>
          </w:tcPr>
          <w:p w14:paraId="614E740F"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 xml:space="preserve">Anul </w:t>
            </w:r>
          </w:p>
        </w:tc>
        <w:tc>
          <w:tcPr>
            <w:tcW w:w="527" w:type="pct"/>
            <w:vMerge w:val="restart"/>
            <w:tcBorders>
              <w:top w:val="single" w:sz="8" w:space="0" w:color="auto"/>
              <w:left w:val="single" w:sz="8" w:space="0" w:color="auto"/>
              <w:bottom w:val="single" w:sz="8" w:space="0" w:color="000000"/>
              <w:right w:val="single" w:sz="8" w:space="0" w:color="auto"/>
            </w:tcBorders>
            <w:vAlign w:val="center"/>
            <w:hideMark/>
          </w:tcPr>
          <w:p w14:paraId="19C73C8B"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Total</w:t>
            </w:r>
          </w:p>
        </w:tc>
      </w:tr>
      <w:tr w:rsidR="00C67F54" w:rsidRPr="00046858" w14:paraId="07CADFE1" w14:textId="77777777">
        <w:trPr>
          <w:trHeight w:val="300"/>
        </w:trPr>
        <w:tc>
          <w:tcPr>
            <w:tcW w:w="794" w:type="pct"/>
            <w:vMerge/>
            <w:tcBorders>
              <w:top w:val="single" w:sz="8" w:space="0" w:color="auto"/>
              <w:left w:val="single" w:sz="8" w:space="0" w:color="auto"/>
              <w:bottom w:val="single" w:sz="8" w:space="0" w:color="000000"/>
              <w:right w:val="single" w:sz="8" w:space="0" w:color="auto"/>
            </w:tcBorders>
            <w:vAlign w:val="center"/>
            <w:hideMark/>
          </w:tcPr>
          <w:p w14:paraId="08F92B13" w14:textId="77777777" w:rsidR="00C67F54" w:rsidRPr="00046858" w:rsidRDefault="00C67F54">
            <w:pPr>
              <w:spacing w:before="0" w:after="0"/>
              <w:jc w:val="left"/>
              <w:rPr>
                <w:rFonts w:eastAsia="Times New Roman"/>
                <w:noProof/>
                <w:color w:val="000000"/>
                <w:sz w:val="20"/>
                <w:szCs w:val="20"/>
                <w:lang w:eastAsia="en-IE"/>
              </w:rPr>
            </w:pPr>
          </w:p>
        </w:tc>
        <w:tc>
          <w:tcPr>
            <w:tcW w:w="525" w:type="pct"/>
            <w:tcBorders>
              <w:top w:val="nil"/>
              <w:left w:val="nil"/>
              <w:bottom w:val="single" w:sz="8" w:space="0" w:color="auto"/>
              <w:right w:val="single" w:sz="8" w:space="0" w:color="auto"/>
            </w:tcBorders>
            <w:vAlign w:val="center"/>
            <w:hideMark/>
          </w:tcPr>
          <w:p w14:paraId="59F61C04" w14:textId="77777777" w:rsidR="00C67F54" w:rsidRPr="00046858" w:rsidRDefault="00C67F54">
            <w:pPr>
              <w:spacing w:before="0" w:after="0"/>
              <w:jc w:val="center"/>
              <w:rPr>
                <w:rFonts w:eastAsia="Times New Roman"/>
                <w:b/>
                <w:bCs/>
                <w:noProof/>
                <w:color w:val="000000"/>
                <w:sz w:val="20"/>
                <w:szCs w:val="20"/>
              </w:rPr>
            </w:pPr>
            <w:r w:rsidRPr="00046858">
              <w:rPr>
                <w:b/>
                <w:noProof/>
                <w:color w:val="000000"/>
                <w:sz w:val="20"/>
              </w:rPr>
              <w:t>2028</w:t>
            </w:r>
          </w:p>
        </w:tc>
        <w:tc>
          <w:tcPr>
            <w:tcW w:w="525" w:type="pct"/>
            <w:tcBorders>
              <w:top w:val="nil"/>
              <w:left w:val="nil"/>
              <w:bottom w:val="single" w:sz="8" w:space="0" w:color="auto"/>
              <w:right w:val="single" w:sz="8" w:space="0" w:color="auto"/>
            </w:tcBorders>
            <w:vAlign w:val="center"/>
            <w:hideMark/>
          </w:tcPr>
          <w:p w14:paraId="519DB46C" w14:textId="77777777" w:rsidR="00C67F54" w:rsidRPr="00046858" w:rsidRDefault="00C67F54">
            <w:pPr>
              <w:spacing w:before="0" w:after="0"/>
              <w:jc w:val="center"/>
              <w:rPr>
                <w:rFonts w:eastAsia="Times New Roman"/>
                <w:b/>
                <w:bCs/>
                <w:noProof/>
                <w:color w:val="000000"/>
                <w:sz w:val="20"/>
                <w:szCs w:val="20"/>
              </w:rPr>
            </w:pPr>
            <w:r w:rsidRPr="00046858">
              <w:rPr>
                <w:b/>
                <w:noProof/>
                <w:color w:val="000000"/>
                <w:sz w:val="20"/>
              </w:rPr>
              <w:t>2029</w:t>
            </w:r>
          </w:p>
        </w:tc>
        <w:tc>
          <w:tcPr>
            <w:tcW w:w="525" w:type="pct"/>
            <w:tcBorders>
              <w:top w:val="nil"/>
              <w:left w:val="nil"/>
              <w:bottom w:val="single" w:sz="8" w:space="0" w:color="auto"/>
              <w:right w:val="single" w:sz="8" w:space="0" w:color="auto"/>
            </w:tcBorders>
            <w:vAlign w:val="center"/>
            <w:hideMark/>
          </w:tcPr>
          <w:p w14:paraId="2A1F6D73" w14:textId="77777777" w:rsidR="00C67F54" w:rsidRPr="00046858" w:rsidRDefault="00C67F54">
            <w:pPr>
              <w:spacing w:before="0" w:after="0"/>
              <w:jc w:val="center"/>
              <w:rPr>
                <w:rFonts w:eastAsia="Times New Roman"/>
                <w:b/>
                <w:bCs/>
                <w:noProof/>
                <w:color w:val="000000"/>
                <w:sz w:val="20"/>
                <w:szCs w:val="20"/>
              </w:rPr>
            </w:pPr>
            <w:r w:rsidRPr="00046858">
              <w:rPr>
                <w:b/>
                <w:noProof/>
                <w:color w:val="000000"/>
                <w:sz w:val="20"/>
              </w:rPr>
              <w:t>2030</w:t>
            </w:r>
          </w:p>
        </w:tc>
        <w:tc>
          <w:tcPr>
            <w:tcW w:w="526" w:type="pct"/>
            <w:tcBorders>
              <w:top w:val="nil"/>
              <w:left w:val="nil"/>
              <w:bottom w:val="single" w:sz="8" w:space="0" w:color="auto"/>
              <w:right w:val="single" w:sz="8" w:space="0" w:color="auto"/>
            </w:tcBorders>
            <w:vAlign w:val="center"/>
            <w:hideMark/>
          </w:tcPr>
          <w:p w14:paraId="12B6A2EE" w14:textId="77777777" w:rsidR="00C67F54" w:rsidRPr="00046858" w:rsidRDefault="00C67F54">
            <w:pPr>
              <w:spacing w:before="0" w:after="0"/>
              <w:jc w:val="center"/>
              <w:rPr>
                <w:rFonts w:eastAsia="Times New Roman"/>
                <w:b/>
                <w:bCs/>
                <w:noProof/>
                <w:color w:val="000000"/>
                <w:sz w:val="20"/>
                <w:szCs w:val="20"/>
              </w:rPr>
            </w:pPr>
            <w:r w:rsidRPr="00046858">
              <w:rPr>
                <w:b/>
                <w:noProof/>
                <w:color w:val="000000"/>
                <w:sz w:val="20"/>
              </w:rPr>
              <w:t>2031</w:t>
            </w:r>
          </w:p>
        </w:tc>
        <w:tc>
          <w:tcPr>
            <w:tcW w:w="526" w:type="pct"/>
            <w:tcBorders>
              <w:top w:val="nil"/>
              <w:left w:val="nil"/>
              <w:bottom w:val="single" w:sz="8" w:space="0" w:color="auto"/>
              <w:right w:val="single" w:sz="8" w:space="0" w:color="auto"/>
            </w:tcBorders>
            <w:vAlign w:val="center"/>
            <w:hideMark/>
          </w:tcPr>
          <w:p w14:paraId="03954940" w14:textId="77777777" w:rsidR="00C67F54" w:rsidRPr="00046858" w:rsidRDefault="00C67F54">
            <w:pPr>
              <w:spacing w:before="0" w:after="0"/>
              <w:jc w:val="center"/>
              <w:rPr>
                <w:rFonts w:eastAsia="Times New Roman"/>
                <w:b/>
                <w:bCs/>
                <w:noProof/>
                <w:color w:val="000000"/>
                <w:sz w:val="20"/>
                <w:szCs w:val="20"/>
              </w:rPr>
            </w:pPr>
            <w:r w:rsidRPr="00046858">
              <w:rPr>
                <w:b/>
                <w:noProof/>
                <w:color w:val="000000"/>
                <w:sz w:val="20"/>
              </w:rPr>
              <w:t>2032</w:t>
            </w:r>
          </w:p>
        </w:tc>
        <w:tc>
          <w:tcPr>
            <w:tcW w:w="526" w:type="pct"/>
            <w:tcBorders>
              <w:top w:val="nil"/>
              <w:left w:val="nil"/>
              <w:bottom w:val="single" w:sz="8" w:space="0" w:color="auto"/>
              <w:right w:val="single" w:sz="8" w:space="0" w:color="auto"/>
            </w:tcBorders>
            <w:vAlign w:val="center"/>
            <w:hideMark/>
          </w:tcPr>
          <w:p w14:paraId="1127C5FD" w14:textId="77777777" w:rsidR="00C67F54" w:rsidRPr="00046858" w:rsidRDefault="00C67F54">
            <w:pPr>
              <w:spacing w:before="0" w:after="0"/>
              <w:jc w:val="center"/>
              <w:rPr>
                <w:rFonts w:eastAsia="Times New Roman"/>
                <w:b/>
                <w:bCs/>
                <w:noProof/>
                <w:color w:val="000000"/>
                <w:sz w:val="20"/>
                <w:szCs w:val="20"/>
              </w:rPr>
            </w:pPr>
            <w:r w:rsidRPr="00046858">
              <w:rPr>
                <w:b/>
                <w:noProof/>
                <w:color w:val="000000"/>
                <w:sz w:val="20"/>
              </w:rPr>
              <w:t>2033</w:t>
            </w:r>
          </w:p>
        </w:tc>
        <w:tc>
          <w:tcPr>
            <w:tcW w:w="526" w:type="pct"/>
            <w:tcBorders>
              <w:top w:val="nil"/>
              <w:left w:val="nil"/>
              <w:bottom w:val="single" w:sz="8" w:space="0" w:color="auto"/>
              <w:right w:val="single" w:sz="8" w:space="0" w:color="auto"/>
            </w:tcBorders>
            <w:vAlign w:val="center"/>
            <w:hideMark/>
          </w:tcPr>
          <w:p w14:paraId="3DE3350E" w14:textId="77777777" w:rsidR="00C67F54" w:rsidRPr="00046858" w:rsidRDefault="00C67F54">
            <w:pPr>
              <w:spacing w:before="0" w:after="0"/>
              <w:jc w:val="center"/>
              <w:rPr>
                <w:rFonts w:eastAsia="Times New Roman"/>
                <w:b/>
                <w:bCs/>
                <w:noProof/>
                <w:color w:val="000000"/>
                <w:sz w:val="20"/>
                <w:szCs w:val="20"/>
              </w:rPr>
            </w:pPr>
            <w:r w:rsidRPr="00046858">
              <w:rPr>
                <w:b/>
                <w:noProof/>
                <w:color w:val="000000"/>
                <w:sz w:val="20"/>
              </w:rPr>
              <w:t>2034</w:t>
            </w:r>
          </w:p>
        </w:tc>
        <w:tc>
          <w:tcPr>
            <w:tcW w:w="527" w:type="pct"/>
            <w:vMerge/>
            <w:tcBorders>
              <w:top w:val="single" w:sz="8" w:space="0" w:color="auto"/>
              <w:left w:val="single" w:sz="8" w:space="0" w:color="auto"/>
              <w:bottom w:val="single" w:sz="8" w:space="0" w:color="000000"/>
              <w:right w:val="single" w:sz="8" w:space="0" w:color="auto"/>
            </w:tcBorders>
            <w:vAlign w:val="center"/>
            <w:hideMark/>
          </w:tcPr>
          <w:p w14:paraId="50773220" w14:textId="77777777" w:rsidR="00C67F54" w:rsidRPr="00046858" w:rsidRDefault="00C67F54">
            <w:pPr>
              <w:spacing w:before="0" w:after="0"/>
              <w:jc w:val="left"/>
              <w:rPr>
                <w:rFonts w:eastAsia="Times New Roman"/>
                <w:noProof/>
                <w:color w:val="000000"/>
                <w:sz w:val="20"/>
                <w:szCs w:val="20"/>
                <w:lang w:eastAsia="en-IE"/>
              </w:rPr>
            </w:pPr>
          </w:p>
        </w:tc>
      </w:tr>
      <w:tr w:rsidR="00C67F54" w:rsidRPr="00046858" w14:paraId="5A557BFD" w14:textId="77777777">
        <w:trPr>
          <w:cantSplit/>
          <w:trHeight w:val="1050"/>
        </w:trPr>
        <w:tc>
          <w:tcPr>
            <w:tcW w:w="794" w:type="pct"/>
            <w:tcBorders>
              <w:top w:val="nil"/>
              <w:left w:val="single" w:sz="8" w:space="0" w:color="auto"/>
              <w:bottom w:val="single" w:sz="8" w:space="0" w:color="auto"/>
              <w:right w:val="single" w:sz="8" w:space="0" w:color="auto"/>
            </w:tcBorders>
            <w:vAlign w:val="center"/>
            <w:hideMark/>
          </w:tcPr>
          <w:p w14:paraId="0CFB5D95" w14:textId="77777777" w:rsidR="00C67F54" w:rsidRPr="00046858" w:rsidRDefault="00C67F54">
            <w:pPr>
              <w:spacing w:before="0" w:after="0"/>
              <w:rPr>
                <w:rFonts w:eastAsia="Times New Roman"/>
                <w:noProof/>
                <w:color w:val="000000"/>
                <w:sz w:val="20"/>
                <w:szCs w:val="20"/>
              </w:rPr>
            </w:pPr>
            <w:r w:rsidRPr="00046858">
              <w:rPr>
                <w:noProof/>
                <w:color w:val="000000"/>
                <w:sz w:val="20"/>
              </w:rPr>
              <w:t>A se preciza organismul care asigură cofinanțarea</w:t>
            </w:r>
            <w:r w:rsidRPr="00046858">
              <w:rPr>
                <w:i/>
                <w:noProof/>
                <w:color w:val="000000"/>
                <w:sz w:val="20"/>
              </w:rPr>
              <w:t xml:space="preserve"> </w:t>
            </w:r>
          </w:p>
        </w:tc>
        <w:tc>
          <w:tcPr>
            <w:tcW w:w="525" w:type="pct"/>
            <w:tcBorders>
              <w:top w:val="nil"/>
              <w:left w:val="nil"/>
              <w:bottom w:val="single" w:sz="8" w:space="0" w:color="auto"/>
              <w:right w:val="single" w:sz="8" w:space="0" w:color="auto"/>
            </w:tcBorders>
            <w:vAlign w:val="center"/>
            <w:hideMark/>
          </w:tcPr>
          <w:p w14:paraId="2241E25D"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 xml:space="preserve"> </w:t>
            </w:r>
          </w:p>
        </w:tc>
        <w:tc>
          <w:tcPr>
            <w:tcW w:w="525" w:type="pct"/>
            <w:tcBorders>
              <w:top w:val="nil"/>
              <w:left w:val="nil"/>
              <w:bottom w:val="single" w:sz="8" w:space="0" w:color="auto"/>
              <w:right w:val="single" w:sz="8" w:space="0" w:color="auto"/>
            </w:tcBorders>
            <w:vAlign w:val="center"/>
            <w:hideMark/>
          </w:tcPr>
          <w:p w14:paraId="5495DD54"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 xml:space="preserve"> </w:t>
            </w:r>
          </w:p>
        </w:tc>
        <w:tc>
          <w:tcPr>
            <w:tcW w:w="525" w:type="pct"/>
            <w:tcBorders>
              <w:top w:val="nil"/>
              <w:left w:val="nil"/>
              <w:bottom w:val="single" w:sz="8" w:space="0" w:color="auto"/>
              <w:right w:val="single" w:sz="8" w:space="0" w:color="auto"/>
            </w:tcBorders>
            <w:vAlign w:val="center"/>
            <w:hideMark/>
          </w:tcPr>
          <w:p w14:paraId="1458CDAA"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14:paraId="2DD6A6AF"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14:paraId="1EC55CB2"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14:paraId="1481D955"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14:paraId="547B3BFD"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 xml:space="preserve"> </w:t>
            </w:r>
          </w:p>
        </w:tc>
        <w:tc>
          <w:tcPr>
            <w:tcW w:w="527" w:type="pct"/>
            <w:tcBorders>
              <w:top w:val="nil"/>
              <w:left w:val="nil"/>
              <w:bottom w:val="single" w:sz="8" w:space="0" w:color="auto"/>
              <w:right w:val="single" w:sz="8" w:space="0" w:color="auto"/>
            </w:tcBorders>
            <w:vAlign w:val="center"/>
            <w:hideMark/>
          </w:tcPr>
          <w:p w14:paraId="16B935E6"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 xml:space="preserve"> </w:t>
            </w:r>
          </w:p>
        </w:tc>
      </w:tr>
      <w:tr w:rsidR="00C67F54" w:rsidRPr="00046858" w14:paraId="0049E0D6" w14:textId="77777777">
        <w:trPr>
          <w:cantSplit/>
          <w:trHeight w:val="1050"/>
        </w:trPr>
        <w:tc>
          <w:tcPr>
            <w:tcW w:w="794" w:type="pct"/>
            <w:tcBorders>
              <w:top w:val="nil"/>
              <w:left w:val="single" w:sz="8" w:space="0" w:color="auto"/>
              <w:bottom w:val="single" w:sz="8" w:space="0" w:color="auto"/>
              <w:right w:val="single" w:sz="8" w:space="0" w:color="auto"/>
            </w:tcBorders>
            <w:vAlign w:val="center"/>
            <w:hideMark/>
          </w:tcPr>
          <w:p w14:paraId="1C828509" w14:textId="77777777" w:rsidR="00C67F54" w:rsidRPr="00046858" w:rsidRDefault="00C67F54">
            <w:pPr>
              <w:spacing w:before="0" w:after="0"/>
              <w:jc w:val="left"/>
              <w:rPr>
                <w:rFonts w:eastAsia="Times New Roman"/>
                <w:noProof/>
                <w:color w:val="000000"/>
                <w:sz w:val="20"/>
                <w:szCs w:val="20"/>
              </w:rPr>
            </w:pPr>
            <w:r w:rsidRPr="00046858">
              <w:rPr>
                <w:noProof/>
                <w:color w:val="000000"/>
                <w:sz w:val="20"/>
              </w:rPr>
              <w:t xml:space="preserve">TOTAL credite cofinanțate </w:t>
            </w:r>
          </w:p>
        </w:tc>
        <w:tc>
          <w:tcPr>
            <w:tcW w:w="525" w:type="pct"/>
            <w:tcBorders>
              <w:top w:val="nil"/>
              <w:left w:val="nil"/>
              <w:bottom w:val="single" w:sz="8" w:space="0" w:color="auto"/>
              <w:right w:val="single" w:sz="8" w:space="0" w:color="auto"/>
            </w:tcBorders>
            <w:vAlign w:val="center"/>
            <w:hideMark/>
          </w:tcPr>
          <w:p w14:paraId="563661DE"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 xml:space="preserve"> </w:t>
            </w:r>
          </w:p>
        </w:tc>
        <w:tc>
          <w:tcPr>
            <w:tcW w:w="525" w:type="pct"/>
            <w:tcBorders>
              <w:top w:val="nil"/>
              <w:left w:val="nil"/>
              <w:bottom w:val="single" w:sz="8" w:space="0" w:color="auto"/>
              <w:right w:val="single" w:sz="8" w:space="0" w:color="auto"/>
            </w:tcBorders>
            <w:vAlign w:val="center"/>
            <w:hideMark/>
          </w:tcPr>
          <w:p w14:paraId="7F5552F1"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 xml:space="preserve"> </w:t>
            </w:r>
          </w:p>
        </w:tc>
        <w:tc>
          <w:tcPr>
            <w:tcW w:w="525" w:type="pct"/>
            <w:tcBorders>
              <w:top w:val="nil"/>
              <w:left w:val="nil"/>
              <w:bottom w:val="single" w:sz="8" w:space="0" w:color="auto"/>
              <w:right w:val="single" w:sz="8" w:space="0" w:color="auto"/>
            </w:tcBorders>
            <w:vAlign w:val="center"/>
            <w:hideMark/>
          </w:tcPr>
          <w:p w14:paraId="075BEAD4"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14:paraId="6C4C837B"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14:paraId="4E5CF5ED"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14:paraId="5F5362D5"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14:paraId="1D036823"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 xml:space="preserve"> </w:t>
            </w:r>
          </w:p>
        </w:tc>
        <w:tc>
          <w:tcPr>
            <w:tcW w:w="527" w:type="pct"/>
            <w:tcBorders>
              <w:top w:val="nil"/>
              <w:left w:val="nil"/>
              <w:bottom w:val="single" w:sz="8" w:space="0" w:color="auto"/>
              <w:right w:val="single" w:sz="8" w:space="0" w:color="auto"/>
            </w:tcBorders>
            <w:vAlign w:val="center"/>
            <w:hideMark/>
          </w:tcPr>
          <w:p w14:paraId="26BEC9A1" w14:textId="77777777" w:rsidR="00C67F54" w:rsidRPr="00046858" w:rsidRDefault="00C67F54">
            <w:pPr>
              <w:spacing w:before="0" w:after="0"/>
              <w:jc w:val="center"/>
              <w:rPr>
                <w:rFonts w:eastAsia="Times New Roman"/>
                <w:noProof/>
                <w:color w:val="000000"/>
                <w:sz w:val="20"/>
                <w:szCs w:val="20"/>
              </w:rPr>
            </w:pPr>
            <w:r w:rsidRPr="00046858">
              <w:rPr>
                <w:noProof/>
                <w:color w:val="000000"/>
                <w:sz w:val="20"/>
              </w:rPr>
              <w:t xml:space="preserve"> </w:t>
            </w:r>
          </w:p>
        </w:tc>
      </w:tr>
    </w:tbl>
    <w:p w14:paraId="2D431FD3" w14:textId="77777777" w:rsidR="00A03D5B" w:rsidRPr="00046858" w:rsidRDefault="00A03D5B" w:rsidP="0041561E">
      <w:pPr>
        <w:outlineLvl w:val="1"/>
        <w:rPr>
          <w:noProof/>
          <w:szCs w:val="24"/>
        </w:rPr>
      </w:pPr>
      <w:r w:rsidRPr="00046858">
        <w:rPr>
          <w:noProof/>
        </w:rPr>
        <w:t xml:space="preserve"> </w:t>
      </w:r>
      <w:r w:rsidRPr="00046858">
        <w:rPr>
          <w:noProof/>
        </w:rPr>
        <w:cr/>
      </w:r>
      <w:r w:rsidRPr="00046858">
        <w:rPr>
          <w:noProof/>
        </w:rPr>
        <w:br/>
      </w:r>
      <w:bookmarkStart w:id="141" w:name="_Toc221194349"/>
      <w:r w:rsidRPr="00046858">
        <w:rPr>
          <w:noProof/>
        </w:rPr>
        <w:t>3.3.</w:t>
      </w:r>
      <w:r w:rsidRPr="00046858">
        <w:rPr>
          <w:noProof/>
        </w:rPr>
        <w:tab/>
        <w:t>Impactul estimat asupra veniturilor</w:t>
      </w:r>
      <w:bookmarkEnd w:id="141"/>
      <w:r w:rsidRPr="00046858">
        <w:rPr>
          <w:noProof/>
        </w:rPr>
        <w:t xml:space="preserve"> </w:t>
      </w:r>
    </w:p>
    <w:p w14:paraId="0328B055" w14:textId="77777777" w:rsidR="00A03D5B" w:rsidRPr="00046858" w:rsidRDefault="00C67F54" w:rsidP="00C67F54">
      <w:pPr>
        <w:pStyle w:val="ListDash1"/>
        <w:ind w:left="1134" w:hanging="283"/>
        <w:rPr>
          <w:noProof/>
        </w:rPr>
      </w:pPr>
      <w:r w:rsidRPr="00046858">
        <w:rPr>
          <w:rFonts w:ascii="Wingdings" w:hAnsi="Wingdings"/>
          <w:noProof/>
          <w:sz w:val="22"/>
        </w:rPr>
        <w:t></w:t>
      </w:r>
      <w:r w:rsidRPr="00046858">
        <w:rPr>
          <w:noProof/>
        </w:rPr>
        <w:tab/>
        <w:t>Propunerea/inițiativa nu are impact financiar asupra veniturilor.</w:t>
      </w:r>
    </w:p>
    <w:p w14:paraId="4B01641A" w14:textId="77777777" w:rsidR="00A03D5B" w:rsidRPr="00046858" w:rsidRDefault="00A03D5B" w:rsidP="00C67F54">
      <w:pPr>
        <w:pStyle w:val="ListDash1"/>
        <w:ind w:left="1134" w:hanging="283"/>
        <w:rPr>
          <w:noProof/>
        </w:rPr>
      </w:pPr>
      <w:r w:rsidRPr="00046858">
        <w:rPr>
          <w:rFonts w:ascii="Wingdings" w:hAnsi="Wingdings"/>
          <w:noProof/>
        </w:rPr>
        <w:t></w:t>
      </w:r>
      <w:r w:rsidRPr="00046858">
        <w:rPr>
          <w:noProof/>
        </w:rPr>
        <w:tab/>
        <w:t>Propunerea/inițiativa are următorul impact financiar:</w:t>
      </w:r>
    </w:p>
    <w:p w14:paraId="0F6A0E45" w14:textId="77777777" w:rsidR="00A03D5B" w:rsidRPr="00046858" w:rsidRDefault="00A03D5B" w:rsidP="00C67F54">
      <w:pPr>
        <w:pStyle w:val="ListNumberLevel3"/>
        <w:tabs>
          <w:tab w:val="num" w:pos="1843"/>
        </w:tabs>
        <w:rPr>
          <w:noProof/>
        </w:rPr>
      </w:pPr>
      <w:r w:rsidRPr="00046858">
        <w:rPr>
          <w:rFonts w:ascii="Wingdings" w:hAnsi="Wingdings"/>
          <w:noProof/>
        </w:rPr>
        <w:t></w:t>
      </w:r>
      <w:r w:rsidRPr="00046858">
        <w:rPr>
          <w:noProof/>
        </w:rPr>
        <w:tab/>
        <w:t xml:space="preserve">asupra resurselor proprii </w:t>
      </w:r>
    </w:p>
    <w:p w14:paraId="72B228DB" w14:textId="77777777" w:rsidR="00A03D5B" w:rsidRPr="00046858" w:rsidRDefault="00A03D5B" w:rsidP="00C67F54">
      <w:pPr>
        <w:pStyle w:val="ListNumberLevel3"/>
        <w:tabs>
          <w:tab w:val="num" w:pos="1843"/>
        </w:tabs>
        <w:rPr>
          <w:noProof/>
        </w:rPr>
      </w:pPr>
      <w:r w:rsidRPr="00046858">
        <w:rPr>
          <w:rFonts w:ascii="Wingdings" w:hAnsi="Wingdings"/>
          <w:noProof/>
        </w:rPr>
        <w:t></w:t>
      </w:r>
      <w:r w:rsidRPr="00046858">
        <w:rPr>
          <w:noProof/>
        </w:rPr>
        <w:tab/>
        <w:t>asupra altor venituri</w:t>
      </w:r>
    </w:p>
    <w:p w14:paraId="37D657D0" w14:textId="77777777" w:rsidR="00A03D5B" w:rsidRPr="00046858" w:rsidRDefault="00A03D5B" w:rsidP="00C67F54">
      <w:pPr>
        <w:pStyle w:val="ListNumberLevel3"/>
        <w:tabs>
          <w:tab w:val="num" w:pos="1843"/>
        </w:tabs>
        <w:rPr>
          <w:noProof/>
        </w:rPr>
      </w:pPr>
      <w:r w:rsidRPr="00046858">
        <w:rPr>
          <w:rFonts w:ascii="Wingdings" w:hAnsi="Wingdings"/>
          <w:noProof/>
        </w:rPr>
        <w:t></w:t>
      </w:r>
      <w:r w:rsidRPr="00046858">
        <w:rPr>
          <w:noProof/>
        </w:rPr>
        <w:tab/>
        <w:t>vă rugăm să precizați dacă veniturile sunt alocate unor linii de cheltuieli</w:t>
      </w:r>
    </w:p>
    <w:p w14:paraId="34F3A2F3" w14:textId="77777777" w:rsidR="00A03D5B" w:rsidRPr="00046858" w:rsidRDefault="00A03D5B" w:rsidP="0041561E">
      <w:pPr>
        <w:jc w:val="right"/>
        <w:rPr>
          <w:noProof/>
          <w:sz w:val="20"/>
        </w:rPr>
      </w:pPr>
      <w:r w:rsidRPr="00046858">
        <w:rPr>
          <w:noProof/>
          <w:sz w:val="20"/>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0"/>
        <w:gridCol w:w="1306"/>
        <w:gridCol w:w="910"/>
        <w:gridCol w:w="853"/>
        <w:gridCol w:w="858"/>
        <w:gridCol w:w="877"/>
        <w:gridCol w:w="875"/>
        <w:gridCol w:w="875"/>
        <w:gridCol w:w="875"/>
      </w:tblGrid>
      <w:tr w:rsidR="00C67F54" w:rsidRPr="00046858" w14:paraId="2A806557" w14:textId="77777777">
        <w:trPr>
          <w:trHeight w:val="388"/>
        </w:trPr>
        <w:tc>
          <w:tcPr>
            <w:tcW w:w="1001" w:type="pct"/>
            <w:vMerge w:val="restart"/>
            <w:vAlign w:val="center"/>
          </w:tcPr>
          <w:p w14:paraId="01BF1CB2" w14:textId="77777777" w:rsidR="00C67F54" w:rsidRPr="00046858" w:rsidRDefault="00C67F54">
            <w:pPr>
              <w:spacing w:before="40" w:after="40"/>
              <w:rPr>
                <w:noProof/>
                <w:sz w:val="18"/>
              </w:rPr>
            </w:pPr>
            <w:r w:rsidRPr="00046858">
              <w:rPr>
                <w:noProof/>
                <w:sz w:val="18"/>
              </w:rPr>
              <w:t>Linia bugetară pentru venituri:</w:t>
            </w:r>
          </w:p>
        </w:tc>
        <w:tc>
          <w:tcPr>
            <w:tcW w:w="703" w:type="pct"/>
            <w:vMerge w:val="restart"/>
            <w:vAlign w:val="center"/>
          </w:tcPr>
          <w:p w14:paraId="1BBC9908" w14:textId="77777777" w:rsidR="00C67F54" w:rsidRPr="00046858" w:rsidRDefault="00C67F54">
            <w:pPr>
              <w:jc w:val="center"/>
              <w:rPr>
                <w:noProof/>
                <w:sz w:val="18"/>
              </w:rPr>
            </w:pPr>
            <w:r w:rsidRPr="00046858">
              <w:rPr>
                <w:noProof/>
                <w:sz w:val="18"/>
              </w:rPr>
              <w:t>Credite disponibile pentru exercițiul financiar în curs</w:t>
            </w:r>
          </w:p>
        </w:tc>
        <w:tc>
          <w:tcPr>
            <w:tcW w:w="3296" w:type="pct"/>
            <w:gridSpan w:val="7"/>
            <w:vAlign w:val="center"/>
          </w:tcPr>
          <w:p w14:paraId="2D477C82" w14:textId="77777777" w:rsidR="00C67F54" w:rsidRPr="00046858" w:rsidRDefault="00C67F54">
            <w:pPr>
              <w:jc w:val="center"/>
              <w:rPr>
                <w:noProof/>
                <w:sz w:val="18"/>
                <w:szCs w:val="18"/>
              </w:rPr>
            </w:pPr>
            <w:r w:rsidRPr="00046858">
              <w:rPr>
                <w:noProof/>
                <w:sz w:val="18"/>
              </w:rPr>
              <w:t>Impactul propunerii/inițiativei</w:t>
            </w:r>
            <w:r w:rsidRPr="00046858">
              <w:rPr>
                <w:rStyle w:val="FootnoteReference"/>
                <w:noProof/>
                <w:sz w:val="18"/>
                <w:szCs w:val="18"/>
              </w:rPr>
              <w:footnoteReference w:id="84"/>
            </w:r>
          </w:p>
        </w:tc>
      </w:tr>
      <w:tr w:rsidR="00C67F54" w:rsidRPr="00046858" w14:paraId="2E6A6754" w14:textId="77777777">
        <w:trPr>
          <w:trHeight w:val="388"/>
        </w:trPr>
        <w:tc>
          <w:tcPr>
            <w:tcW w:w="1001" w:type="pct"/>
            <w:vMerge/>
          </w:tcPr>
          <w:p w14:paraId="1ABC737B" w14:textId="77777777" w:rsidR="00C67F54" w:rsidRPr="00046858" w:rsidRDefault="00C67F54">
            <w:pPr>
              <w:spacing w:before="40" w:after="40"/>
              <w:rPr>
                <w:noProof/>
                <w:sz w:val="18"/>
              </w:rPr>
            </w:pPr>
          </w:p>
        </w:tc>
        <w:tc>
          <w:tcPr>
            <w:tcW w:w="703" w:type="pct"/>
            <w:vMerge/>
          </w:tcPr>
          <w:p w14:paraId="4AA6E3FD" w14:textId="77777777" w:rsidR="00C67F54" w:rsidRPr="00046858" w:rsidRDefault="00C67F54">
            <w:pPr>
              <w:spacing w:beforeLines="40" w:before="96" w:afterLines="40" w:after="96"/>
              <w:rPr>
                <w:i/>
                <w:noProof/>
                <w:sz w:val="18"/>
              </w:rPr>
            </w:pPr>
          </w:p>
        </w:tc>
        <w:tc>
          <w:tcPr>
            <w:tcW w:w="490" w:type="pct"/>
            <w:vAlign w:val="center"/>
          </w:tcPr>
          <w:p w14:paraId="7F85447C" w14:textId="77777777" w:rsidR="00C67F54" w:rsidRPr="00046858" w:rsidRDefault="00C67F54">
            <w:pPr>
              <w:jc w:val="center"/>
              <w:rPr>
                <w:noProof/>
                <w:sz w:val="18"/>
              </w:rPr>
            </w:pPr>
            <w:r w:rsidRPr="00046858">
              <w:rPr>
                <w:noProof/>
                <w:sz w:val="18"/>
              </w:rPr>
              <w:t xml:space="preserve">Anul </w:t>
            </w:r>
            <w:r w:rsidRPr="00046858">
              <w:rPr>
                <w:b/>
                <w:noProof/>
                <w:sz w:val="18"/>
              </w:rPr>
              <w:t>2028</w:t>
            </w:r>
          </w:p>
        </w:tc>
        <w:tc>
          <w:tcPr>
            <w:tcW w:w="459" w:type="pct"/>
            <w:vAlign w:val="center"/>
          </w:tcPr>
          <w:p w14:paraId="36A1589C" w14:textId="77777777" w:rsidR="00C67F54" w:rsidRPr="00046858" w:rsidRDefault="00C67F54">
            <w:pPr>
              <w:jc w:val="center"/>
              <w:rPr>
                <w:noProof/>
                <w:sz w:val="18"/>
              </w:rPr>
            </w:pPr>
            <w:r w:rsidRPr="00046858">
              <w:rPr>
                <w:noProof/>
                <w:sz w:val="18"/>
              </w:rPr>
              <w:t xml:space="preserve">Anul </w:t>
            </w:r>
            <w:r w:rsidRPr="00046858">
              <w:rPr>
                <w:b/>
                <w:noProof/>
                <w:sz w:val="18"/>
              </w:rPr>
              <w:t>2029</w:t>
            </w:r>
          </w:p>
        </w:tc>
        <w:tc>
          <w:tcPr>
            <w:tcW w:w="462" w:type="pct"/>
            <w:vAlign w:val="center"/>
          </w:tcPr>
          <w:p w14:paraId="66D13368" w14:textId="77777777" w:rsidR="00C67F54" w:rsidRPr="00046858" w:rsidRDefault="00C67F54">
            <w:pPr>
              <w:jc w:val="center"/>
              <w:rPr>
                <w:noProof/>
                <w:sz w:val="18"/>
              </w:rPr>
            </w:pPr>
            <w:r w:rsidRPr="00046858">
              <w:rPr>
                <w:noProof/>
                <w:sz w:val="18"/>
              </w:rPr>
              <w:t xml:space="preserve">Anul </w:t>
            </w:r>
            <w:r w:rsidRPr="00046858">
              <w:rPr>
                <w:b/>
                <w:noProof/>
                <w:sz w:val="18"/>
              </w:rPr>
              <w:t>2030</w:t>
            </w:r>
          </w:p>
        </w:tc>
        <w:tc>
          <w:tcPr>
            <w:tcW w:w="472" w:type="pct"/>
            <w:vAlign w:val="center"/>
          </w:tcPr>
          <w:p w14:paraId="02AE1BB7" w14:textId="77777777" w:rsidR="00C67F54" w:rsidRPr="00046858" w:rsidRDefault="00C67F54">
            <w:pPr>
              <w:jc w:val="center"/>
              <w:rPr>
                <w:noProof/>
                <w:sz w:val="18"/>
              </w:rPr>
            </w:pPr>
            <w:r w:rsidRPr="00046858">
              <w:rPr>
                <w:noProof/>
                <w:sz w:val="18"/>
              </w:rPr>
              <w:t xml:space="preserve">Anul </w:t>
            </w:r>
            <w:r w:rsidRPr="00046858">
              <w:rPr>
                <w:b/>
                <w:noProof/>
                <w:sz w:val="18"/>
              </w:rPr>
              <w:t>2031</w:t>
            </w:r>
          </w:p>
        </w:tc>
        <w:tc>
          <w:tcPr>
            <w:tcW w:w="471" w:type="pct"/>
          </w:tcPr>
          <w:p w14:paraId="6C69E36A" w14:textId="77777777" w:rsidR="00C67F54" w:rsidRPr="00046858" w:rsidRDefault="00C67F54">
            <w:pPr>
              <w:jc w:val="center"/>
              <w:rPr>
                <w:noProof/>
                <w:sz w:val="18"/>
              </w:rPr>
            </w:pPr>
            <w:r w:rsidRPr="00046858">
              <w:rPr>
                <w:noProof/>
                <w:sz w:val="18"/>
              </w:rPr>
              <w:t xml:space="preserve">Anul </w:t>
            </w:r>
            <w:r w:rsidRPr="00046858">
              <w:rPr>
                <w:b/>
                <w:noProof/>
                <w:sz w:val="18"/>
              </w:rPr>
              <w:t>2032</w:t>
            </w:r>
          </w:p>
        </w:tc>
        <w:tc>
          <w:tcPr>
            <w:tcW w:w="471" w:type="pct"/>
          </w:tcPr>
          <w:p w14:paraId="35465298" w14:textId="77777777" w:rsidR="00C67F54" w:rsidRPr="00046858" w:rsidRDefault="00C67F54">
            <w:pPr>
              <w:jc w:val="center"/>
              <w:rPr>
                <w:noProof/>
                <w:sz w:val="18"/>
              </w:rPr>
            </w:pPr>
            <w:r w:rsidRPr="00046858">
              <w:rPr>
                <w:noProof/>
                <w:sz w:val="18"/>
              </w:rPr>
              <w:t xml:space="preserve">Anul </w:t>
            </w:r>
            <w:r w:rsidRPr="00046858">
              <w:rPr>
                <w:b/>
                <w:noProof/>
                <w:sz w:val="18"/>
              </w:rPr>
              <w:t>2033</w:t>
            </w:r>
          </w:p>
        </w:tc>
        <w:tc>
          <w:tcPr>
            <w:tcW w:w="471" w:type="pct"/>
          </w:tcPr>
          <w:p w14:paraId="65DB7027" w14:textId="77777777" w:rsidR="00C67F54" w:rsidRPr="00046858" w:rsidRDefault="00C67F54">
            <w:pPr>
              <w:jc w:val="center"/>
              <w:rPr>
                <w:noProof/>
                <w:sz w:val="18"/>
              </w:rPr>
            </w:pPr>
            <w:r w:rsidRPr="00046858">
              <w:rPr>
                <w:noProof/>
                <w:sz w:val="18"/>
              </w:rPr>
              <w:t xml:space="preserve">Anul </w:t>
            </w:r>
            <w:r w:rsidRPr="00046858">
              <w:rPr>
                <w:b/>
                <w:noProof/>
                <w:sz w:val="18"/>
              </w:rPr>
              <w:t>2034</w:t>
            </w:r>
          </w:p>
        </w:tc>
      </w:tr>
      <w:tr w:rsidR="00C67F54" w:rsidRPr="00046858" w14:paraId="5FBB132B" w14:textId="77777777">
        <w:trPr>
          <w:trHeight w:val="388"/>
        </w:trPr>
        <w:tc>
          <w:tcPr>
            <w:tcW w:w="1001" w:type="pct"/>
            <w:vAlign w:val="center"/>
          </w:tcPr>
          <w:p w14:paraId="430ACF37" w14:textId="77777777" w:rsidR="00C67F54" w:rsidRPr="00046858" w:rsidRDefault="00C67F54">
            <w:pPr>
              <w:spacing w:before="40" w:after="40"/>
              <w:rPr>
                <w:noProof/>
                <w:sz w:val="18"/>
              </w:rPr>
            </w:pPr>
            <w:r w:rsidRPr="00046858">
              <w:rPr>
                <w:noProof/>
                <w:sz w:val="18"/>
              </w:rPr>
              <w:t>Articolul ………….</w:t>
            </w:r>
          </w:p>
        </w:tc>
        <w:tc>
          <w:tcPr>
            <w:tcW w:w="703" w:type="pct"/>
          </w:tcPr>
          <w:p w14:paraId="10BC58AF" w14:textId="77777777" w:rsidR="00C67F54" w:rsidRPr="00046858" w:rsidRDefault="00C67F54">
            <w:pPr>
              <w:spacing w:beforeLines="40" w:before="96" w:afterLines="40" w:after="96"/>
              <w:jc w:val="center"/>
              <w:rPr>
                <w:i/>
                <w:noProof/>
                <w:sz w:val="18"/>
              </w:rPr>
            </w:pPr>
          </w:p>
        </w:tc>
        <w:tc>
          <w:tcPr>
            <w:tcW w:w="490" w:type="pct"/>
          </w:tcPr>
          <w:p w14:paraId="24A2F40A" w14:textId="77777777" w:rsidR="00C67F54" w:rsidRPr="00046858" w:rsidRDefault="00C67F54">
            <w:pPr>
              <w:spacing w:beforeLines="40" w:before="96" w:afterLines="40" w:after="96"/>
              <w:jc w:val="center"/>
              <w:rPr>
                <w:noProof/>
                <w:sz w:val="18"/>
              </w:rPr>
            </w:pPr>
          </w:p>
        </w:tc>
        <w:tc>
          <w:tcPr>
            <w:tcW w:w="459" w:type="pct"/>
          </w:tcPr>
          <w:p w14:paraId="1A78DB88" w14:textId="77777777" w:rsidR="00C67F54" w:rsidRPr="00046858" w:rsidRDefault="00C67F54">
            <w:pPr>
              <w:spacing w:beforeLines="40" w:before="96" w:afterLines="40" w:after="96"/>
              <w:jc w:val="center"/>
              <w:rPr>
                <w:noProof/>
                <w:sz w:val="18"/>
              </w:rPr>
            </w:pPr>
          </w:p>
        </w:tc>
        <w:tc>
          <w:tcPr>
            <w:tcW w:w="462" w:type="pct"/>
          </w:tcPr>
          <w:p w14:paraId="298AB737" w14:textId="77777777" w:rsidR="00C67F54" w:rsidRPr="00046858" w:rsidRDefault="00C67F54">
            <w:pPr>
              <w:spacing w:beforeLines="40" w:before="96" w:afterLines="40" w:after="96"/>
              <w:jc w:val="center"/>
              <w:rPr>
                <w:noProof/>
                <w:sz w:val="18"/>
              </w:rPr>
            </w:pPr>
          </w:p>
        </w:tc>
        <w:tc>
          <w:tcPr>
            <w:tcW w:w="472" w:type="pct"/>
          </w:tcPr>
          <w:p w14:paraId="49A38568" w14:textId="77777777" w:rsidR="00C67F54" w:rsidRPr="00046858" w:rsidRDefault="00C67F54">
            <w:pPr>
              <w:spacing w:beforeLines="40" w:before="96" w:afterLines="40" w:after="96"/>
              <w:jc w:val="center"/>
              <w:rPr>
                <w:noProof/>
                <w:sz w:val="18"/>
              </w:rPr>
            </w:pPr>
          </w:p>
        </w:tc>
        <w:tc>
          <w:tcPr>
            <w:tcW w:w="471" w:type="pct"/>
          </w:tcPr>
          <w:p w14:paraId="2141CB1D" w14:textId="77777777" w:rsidR="00C67F54" w:rsidRPr="00046858" w:rsidRDefault="00C67F54">
            <w:pPr>
              <w:spacing w:beforeLines="40" w:before="96" w:afterLines="40" w:after="96"/>
              <w:jc w:val="center"/>
              <w:rPr>
                <w:noProof/>
                <w:sz w:val="18"/>
              </w:rPr>
            </w:pPr>
          </w:p>
        </w:tc>
        <w:tc>
          <w:tcPr>
            <w:tcW w:w="471" w:type="pct"/>
          </w:tcPr>
          <w:p w14:paraId="7419D353" w14:textId="77777777" w:rsidR="00C67F54" w:rsidRPr="00046858" w:rsidRDefault="00C67F54">
            <w:pPr>
              <w:spacing w:beforeLines="40" w:before="96" w:afterLines="40" w:after="96"/>
              <w:jc w:val="center"/>
              <w:rPr>
                <w:noProof/>
                <w:sz w:val="18"/>
              </w:rPr>
            </w:pPr>
          </w:p>
        </w:tc>
        <w:tc>
          <w:tcPr>
            <w:tcW w:w="471" w:type="pct"/>
          </w:tcPr>
          <w:p w14:paraId="1DCD1569" w14:textId="77777777" w:rsidR="00C67F54" w:rsidRPr="00046858" w:rsidRDefault="00C67F54">
            <w:pPr>
              <w:spacing w:beforeLines="40" w:before="96" w:afterLines="40" w:after="96"/>
              <w:jc w:val="center"/>
              <w:rPr>
                <w:noProof/>
                <w:sz w:val="18"/>
              </w:rPr>
            </w:pPr>
          </w:p>
        </w:tc>
      </w:tr>
    </w:tbl>
    <w:p w14:paraId="26DB310A" w14:textId="77777777" w:rsidR="00A03D5B" w:rsidRPr="00046858" w:rsidRDefault="00A03D5B" w:rsidP="0041561E">
      <w:pPr>
        <w:pStyle w:val="Text1"/>
        <w:rPr>
          <w:noProof/>
          <w:szCs w:val="24"/>
        </w:rPr>
      </w:pPr>
      <w:r w:rsidRPr="00046858">
        <w:rPr>
          <w:noProof/>
        </w:rPr>
        <w:t>Pentru veniturile alocate, a se preciza linia (liniile) bugetară (bugetare) de cheltuieli afectată (afectate).</w:t>
      </w:r>
    </w:p>
    <w:p w14:paraId="41F50CFF" w14:textId="77777777" w:rsidR="00A03D5B" w:rsidRPr="00046858" w:rsidRDefault="00A03D5B" w:rsidP="0041561E">
      <w:pPr>
        <w:pStyle w:val="Text1"/>
        <w:pBdr>
          <w:top w:val="single" w:sz="4" w:space="1" w:color="auto"/>
          <w:left w:val="single" w:sz="4" w:space="4" w:color="auto"/>
          <w:bottom w:val="single" w:sz="4" w:space="1" w:color="auto"/>
          <w:right w:val="single" w:sz="4" w:space="4" w:color="auto"/>
        </w:pBdr>
        <w:rPr>
          <w:noProof/>
        </w:rPr>
      </w:pPr>
    </w:p>
    <w:p w14:paraId="71006D99" w14:textId="77777777" w:rsidR="00A03D5B" w:rsidRPr="00046858" w:rsidRDefault="00A03D5B" w:rsidP="0041561E">
      <w:pPr>
        <w:pStyle w:val="Text1"/>
        <w:rPr>
          <w:noProof/>
          <w:szCs w:val="24"/>
        </w:rPr>
      </w:pPr>
      <w:r w:rsidRPr="00046858">
        <w:rPr>
          <w:noProof/>
        </w:rPr>
        <w:t>Alte observații (de exemplu, metoda/formula utilizată pentru calcularea impactului asupra veniturilor sau orice alte informații).</w:t>
      </w:r>
    </w:p>
    <w:p w14:paraId="3879740E" w14:textId="77777777" w:rsidR="00A03D5B" w:rsidRPr="00046858" w:rsidRDefault="00A03D5B" w:rsidP="0041561E">
      <w:pPr>
        <w:pStyle w:val="Text1"/>
        <w:pBdr>
          <w:top w:val="single" w:sz="4" w:space="1" w:color="auto"/>
          <w:left w:val="single" w:sz="4" w:space="4" w:color="auto"/>
          <w:bottom w:val="single" w:sz="4" w:space="1" w:color="auto"/>
          <w:right w:val="single" w:sz="4" w:space="4" w:color="auto"/>
        </w:pBdr>
        <w:rPr>
          <w:noProof/>
        </w:rPr>
      </w:pPr>
    </w:p>
    <w:p w14:paraId="2665FF1A" w14:textId="77777777" w:rsidR="00BA5B99" w:rsidRPr="00046858" w:rsidRDefault="00BA5B99" w:rsidP="00BA5B99">
      <w:pPr>
        <w:pStyle w:val="Text1"/>
        <w:rPr>
          <w:noProof/>
        </w:rPr>
      </w:pPr>
      <w:bookmarkStart w:id="142" w:name="_Toc167220301"/>
      <w:bookmarkStart w:id="143" w:name="_Toc177549035"/>
    </w:p>
    <w:p w14:paraId="31F83CE5" w14:textId="77777777" w:rsidR="00BA5B99" w:rsidRPr="00046858" w:rsidRDefault="00BA5B99" w:rsidP="00BA5B99">
      <w:pPr>
        <w:pStyle w:val="Text1"/>
        <w:rPr>
          <w:noProof/>
        </w:rPr>
      </w:pPr>
    </w:p>
    <w:p w14:paraId="1B44FCBA" w14:textId="77777777" w:rsidR="00A03D5B" w:rsidRPr="00046858" w:rsidRDefault="00A03D5B" w:rsidP="0041561E">
      <w:pPr>
        <w:pStyle w:val="ManualHeading1"/>
        <w:rPr>
          <w:caps/>
          <w:noProof/>
        </w:rPr>
      </w:pPr>
      <w:r w:rsidRPr="00046858">
        <w:rPr>
          <w:noProof/>
        </w:rPr>
        <w:t>4.</w:t>
      </w:r>
      <w:r w:rsidRPr="00046858">
        <w:rPr>
          <w:noProof/>
        </w:rPr>
        <w:tab/>
      </w:r>
      <w:bookmarkStart w:id="144" w:name="_Hlk167692977"/>
      <w:r w:rsidRPr="00046858">
        <w:rPr>
          <w:caps/>
          <w:noProof/>
        </w:rPr>
        <w:t>Dimensiunile digitale</w:t>
      </w:r>
      <w:bookmarkEnd w:id="142"/>
      <w:bookmarkEnd w:id="143"/>
    </w:p>
    <w:p w14:paraId="40A035C0" w14:textId="77777777" w:rsidR="009747C6" w:rsidRPr="00046858" w:rsidRDefault="009747C6" w:rsidP="009747C6">
      <w:pPr>
        <w:pStyle w:val="Text1"/>
        <w:ind w:left="0"/>
        <w:rPr>
          <w:noProof/>
        </w:rPr>
      </w:pPr>
      <w:r w:rsidRPr="00046858">
        <w:rPr>
          <w:noProof/>
        </w:rPr>
        <w:t>Prezenta secțiune ia în considerare serviciile publice digitale transeuropene și cerințele lor de interoperabilitate transfrontalieră.</w:t>
      </w:r>
    </w:p>
    <w:p w14:paraId="5D3AD9D8" w14:textId="77777777" w:rsidR="00A03D5B" w:rsidRPr="00046858" w:rsidRDefault="00A03D5B" w:rsidP="0041561E">
      <w:pPr>
        <w:pStyle w:val="ManualHeading2"/>
        <w:rPr>
          <w:noProof/>
        </w:rPr>
      </w:pPr>
      <w:bookmarkStart w:id="145" w:name="_Toc167220302"/>
      <w:bookmarkStart w:id="146" w:name="_Toc177549037"/>
      <w:r w:rsidRPr="00046858">
        <w:rPr>
          <w:noProof/>
        </w:rPr>
        <w:t>4.1.</w:t>
      </w:r>
      <w:r w:rsidRPr="00046858">
        <w:rPr>
          <w:noProof/>
        </w:rPr>
        <w:tab/>
        <w:t>Cerințe cu relevanță digitală</w:t>
      </w:r>
      <w:bookmarkEnd w:id="145"/>
      <w:bookmarkEnd w:id="146"/>
    </w:p>
    <w:p w14:paraId="35C41E2B" w14:textId="77777777" w:rsidR="00EE7533" w:rsidRPr="00046858" w:rsidRDefault="00B37E9E" w:rsidP="00EE7533">
      <w:pPr>
        <w:pStyle w:val="Text1"/>
        <w:ind w:left="0"/>
        <w:rPr>
          <w:i/>
          <w:iCs/>
          <w:noProof/>
        </w:rPr>
      </w:pPr>
      <w:r w:rsidRPr="00046858">
        <w:rPr>
          <w:i/>
          <w:noProof/>
        </w:rPr>
        <w:t>Descriere la nivel înalt a cerințelor privind relevanța digitală și a categoriilor conexe (date, digitalizarea și automatizarea proceselor, soluții digitale și/sau servicii publice digitale)</w:t>
      </w:r>
    </w:p>
    <w:tbl>
      <w:tblPr>
        <w:tblStyle w:val="TableGrid"/>
        <w:tblW w:w="0" w:type="auto"/>
        <w:tblLook w:val="04A0" w:firstRow="1" w:lastRow="0" w:firstColumn="1" w:lastColumn="0" w:noHBand="0" w:noVBand="1"/>
      </w:tblPr>
      <w:tblGrid>
        <w:gridCol w:w="1518"/>
        <w:gridCol w:w="2433"/>
        <w:gridCol w:w="18"/>
        <w:gridCol w:w="1867"/>
        <w:gridCol w:w="1696"/>
        <w:gridCol w:w="1757"/>
      </w:tblGrid>
      <w:tr w:rsidR="004A19A0" w:rsidRPr="00046858" w14:paraId="421067CA" w14:textId="77777777" w:rsidTr="00EE3052">
        <w:trPr>
          <w:tblHeader/>
        </w:trPr>
        <w:tc>
          <w:tcPr>
            <w:tcW w:w="1518" w:type="dxa"/>
            <w:vAlign w:val="center"/>
          </w:tcPr>
          <w:p w14:paraId="3FC62446" w14:textId="77777777" w:rsidR="004A19A0" w:rsidRPr="00046858" w:rsidRDefault="004A19A0" w:rsidP="00FF721C">
            <w:pPr>
              <w:pStyle w:val="Text1"/>
              <w:ind w:left="0"/>
              <w:jc w:val="center"/>
              <w:rPr>
                <w:b/>
                <w:bCs/>
                <w:noProof/>
              </w:rPr>
            </w:pPr>
            <w:r w:rsidRPr="00046858">
              <w:rPr>
                <w:b/>
                <w:noProof/>
              </w:rPr>
              <w:t>Trimiterea la cerință</w:t>
            </w:r>
          </w:p>
        </w:tc>
        <w:tc>
          <w:tcPr>
            <w:tcW w:w="2433" w:type="dxa"/>
            <w:vAlign w:val="center"/>
          </w:tcPr>
          <w:p w14:paraId="2F6A644D" w14:textId="77777777" w:rsidR="004A19A0" w:rsidRPr="00046858" w:rsidRDefault="004A19A0" w:rsidP="00FF721C">
            <w:pPr>
              <w:pStyle w:val="Text1"/>
              <w:ind w:left="0"/>
              <w:jc w:val="center"/>
              <w:rPr>
                <w:b/>
                <w:bCs/>
                <w:noProof/>
              </w:rPr>
            </w:pPr>
            <w:r w:rsidRPr="00046858">
              <w:rPr>
                <w:b/>
                <w:noProof/>
              </w:rPr>
              <w:t>Descrierea cerinței</w:t>
            </w:r>
          </w:p>
        </w:tc>
        <w:tc>
          <w:tcPr>
            <w:tcW w:w="1885" w:type="dxa"/>
            <w:gridSpan w:val="2"/>
            <w:vAlign w:val="center"/>
          </w:tcPr>
          <w:p w14:paraId="1F96B3C5" w14:textId="77777777" w:rsidR="004A19A0" w:rsidRPr="00046858" w:rsidRDefault="004A19A0" w:rsidP="00FF721C">
            <w:pPr>
              <w:pStyle w:val="Text1"/>
              <w:ind w:left="0"/>
              <w:jc w:val="center"/>
              <w:rPr>
                <w:b/>
                <w:bCs/>
                <w:noProof/>
              </w:rPr>
            </w:pPr>
            <w:r w:rsidRPr="00046858">
              <w:rPr>
                <w:b/>
                <w:noProof/>
              </w:rPr>
              <w:t>Actorul (actorii) afectat (afectați) sau vizat (vizați) de cerință</w:t>
            </w:r>
          </w:p>
        </w:tc>
        <w:tc>
          <w:tcPr>
            <w:tcW w:w="1696" w:type="dxa"/>
            <w:vAlign w:val="center"/>
          </w:tcPr>
          <w:p w14:paraId="737B3F37" w14:textId="77777777" w:rsidR="004A19A0" w:rsidRPr="00046858" w:rsidRDefault="004A19A0" w:rsidP="00FF721C">
            <w:pPr>
              <w:pStyle w:val="Text1"/>
              <w:ind w:left="0"/>
              <w:jc w:val="center"/>
              <w:rPr>
                <w:b/>
                <w:bCs/>
                <w:noProof/>
              </w:rPr>
            </w:pPr>
            <w:r w:rsidRPr="00046858">
              <w:rPr>
                <w:b/>
                <w:noProof/>
              </w:rPr>
              <w:t>Procese la nivel înalt</w:t>
            </w:r>
          </w:p>
        </w:tc>
        <w:tc>
          <w:tcPr>
            <w:tcW w:w="1757" w:type="dxa"/>
            <w:vAlign w:val="center"/>
          </w:tcPr>
          <w:p w14:paraId="5A351917" w14:textId="77777777" w:rsidR="004A19A0" w:rsidRPr="00046858" w:rsidRDefault="004A19A0" w:rsidP="00FF721C">
            <w:pPr>
              <w:pStyle w:val="Text1"/>
              <w:ind w:left="0"/>
              <w:jc w:val="center"/>
              <w:rPr>
                <w:b/>
                <w:bCs/>
                <w:noProof/>
              </w:rPr>
            </w:pPr>
            <w:r w:rsidRPr="00046858">
              <w:rPr>
                <w:b/>
                <w:noProof/>
              </w:rPr>
              <w:t>Categorii</w:t>
            </w:r>
          </w:p>
        </w:tc>
      </w:tr>
      <w:tr w:rsidR="00B41562" w:rsidRPr="00046858" w14:paraId="14814ABA" w14:textId="77777777" w:rsidTr="004C7198">
        <w:tc>
          <w:tcPr>
            <w:tcW w:w="1518" w:type="dxa"/>
            <w:vAlign w:val="center"/>
          </w:tcPr>
          <w:p w14:paraId="0A6A8175" w14:textId="77777777" w:rsidR="00B41562" w:rsidRPr="00046858" w:rsidRDefault="00B41562" w:rsidP="00B41562">
            <w:pPr>
              <w:pStyle w:val="Text1"/>
              <w:ind w:left="0"/>
              <w:jc w:val="center"/>
              <w:rPr>
                <w:noProof/>
              </w:rPr>
            </w:pPr>
            <w:r w:rsidRPr="00046858">
              <w:rPr>
                <w:noProof/>
              </w:rPr>
              <w:t>Articolul 15</w:t>
            </w:r>
          </w:p>
        </w:tc>
        <w:tc>
          <w:tcPr>
            <w:tcW w:w="2451" w:type="dxa"/>
            <w:gridSpan w:val="2"/>
            <w:vAlign w:val="center"/>
          </w:tcPr>
          <w:p w14:paraId="32F52D83" w14:textId="77777777" w:rsidR="00B41562" w:rsidRPr="00046858" w:rsidRDefault="00B41562" w:rsidP="00EE3052">
            <w:pPr>
              <w:pStyle w:val="Text1"/>
              <w:ind w:left="0"/>
              <w:jc w:val="left"/>
              <w:rPr>
                <w:noProof/>
              </w:rPr>
            </w:pPr>
            <w:r w:rsidRPr="00046858">
              <w:rPr>
                <w:noProof/>
              </w:rPr>
              <w:t>Cererea de acordare a statutului de inițiativă europeană în domeniul tehnologiilor semiconductorilor</w:t>
            </w:r>
          </w:p>
        </w:tc>
        <w:tc>
          <w:tcPr>
            <w:tcW w:w="1867" w:type="dxa"/>
            <w:vAlign w:val="center"/>
          </w:tcPr>
          <w:p w14:paraId="02DFC36D" w14:textId="77777777" w:rsidR="00B41562" w:rsidRPr="00046858" w:rsidRDefault="00B41562" w:rsidP="00B41562">
            <w:pPr>
              <w:pStyle w:val="Text1"/>
              <w:ind w:left="0"/>
              <w:jc w:val="center"/>
              <w:rPr>
                <w:noProof/>
              </w:rPr>
            </w:pPr>
            <w:r w:rsidRPr="00046858">
              <w:rPr>
                <w:noProof/>
              </w:rPr>
              <w:t>Comisia Europeană</w:t>
            </w:r>
          </w:p>
        </w:tc>
        <w:tc>
          <w:tcPr>
            <w:tcW w:w="1696" w:type="dxa"/>
            <w:vAlign w:val="center"/>
          </w:tcPr>
          <w:p w14:paraId="5D58CEFD" w14:textId="77777777" w:rsidR="00B41562" w:rsidRPr="00046858" w:rsidRDefault="006E343C" w:rsidP="00B41562">
            <w:pPr>
              <w:pStyle w:val="Text1"/>
              <w:ind w:left="0"/>
              <w:jc w:val="center"/>
              <w:rPr>
                <w:noProof/>
              </w:rPr>
            </w:pPr>
            <w:r w:rsidRPr="00046858">
              <w:rPr>
                <w:noProof/>
              </w:rPr>
              <w:t>Depunerea cererilor</w:t>
            </w:r>
          </w:p>
        </w:tc>
        <w:tc>
          <w:tcPr>
            <w:tcW w:w="1757" w:type="dxa"/>
            <w:vAlign w:val="center"/>
          </w:tcPr>
          <w:p w14:paraId="3309A810" w14:textId="77777777" w:rsidR="00B41562" w:rsidRPr="00046858" w:rsidRDefault="00B41562" w:rsidP="00B41562">
            <w:pPr>
              <w:pStyle w:val="Text1"/>
              <w:ind w:left="0"/>
              <w:jc w:val="center"/>
              <w:rPr>
                <w:noProof/>
              </w:rPr>
            </w:pPr>
            <w:r w:rsidRPr="00046858">
              <w:rPr>
                <w:noProof/>
              </w:rPr>
              <w:t>Date</w:t>
            </w:r>
          </w:p>
        </w:tc>
      </w:tr>
      <w:tr w:rsidR="004A19A0" w:rsidRPr="00046858" w14:paraId="36A71511" w14:textId="77777777" w:rsidTr="004C7198">
        <w:tc>
          <w:tcPr>
            <w:tcW w:w="1518" w:type="dxa"/>
            <w:vAlign w:val="center"/>
          </w:tcPr>
          <w:p w14:paraId="3F1C7E0A" w14:textId="4AEB8705" w:rsidR="004A19A0" w:rsidRPr="00046858" w:rsidRDefault="004A19A0" w:rsidP="00862E9C">
            <w:pPr>
              <w:pStyle w:val="Text1"/>
              <w:ind w:left="0"/>
              <w:jc w:val="center"/>
              <w:rPr>
                <w:noProof/>
              </w:rPr>
            </w:pPr>
            <w:r w:rsidRPr="00046858">
              <w:rPr>
                <w:noProof/>
              </w:rPr>
              <w:t>Articolul 22</w:t>
            </w:r>
          </w:p>
        </w:tc>
        <w:tc>
          <w:tcPr>
            <w:tcW w:w="2451" w:type="dxa"/>
            <w:gridSpan w:val="2"/>
          </w:tcPr>
          <w:p w14:paraId="431C0F83" w14:textId="77777777" w:rsidR="004A19A0" w:rsidRPr="00046858" w:rsidRDefault="004A19A0" w:rsidP="00EE3052">
            <w:pPr>
              <w:pStyle w:val="Text1"/>
              <w:ind w:left="0"/>
              <w:jc w:val="left"/>
              <w:rPr>
                <w:noProof/>
              </w:rPr>
            </w:pPr>
            <w:r w:rsidRPr="00046858">
              <w:rPr>
                <w:noProof/>
              </w:rPr>
              <w:t>Statele membre stabilesc o procedură unică de acordare a autorizațiilor pe baza unei cereri unice, care acoperă toate autorizațiile necesare pentru inițiativele europene în domeniul tehnologiilor semiconductorilor și proiectele strategice.</w:t>
            </w:r>
          </w:p>
        </w:tc>
        <w:tc>
          <w:tcPr>
            <w:tcW w:w="1867" w:type="dxa"/>
            <w:vAlign w:val="center"/>
          </w:tcPr>
          <w:p w14:paraId="268BF22D" w14:textId="77777777" w:rsidR="004A19A0" w:rsidRPr="00046858" w:rsidRDefault="00862E9C" w:rsidP="00862E9C">
            <w:pPr>
              <w:pStyle w:val="Text1"/>
              <w:ind w:left="0"/>
              <w:jc w:val="center"/>
              <w:rPr>
                <w:noProof/>
              </w:rPr>
            </w:pPr>
            <w:r w:rsidRPr="00046858">
              <w:rPr>
                <w:noProof/>
              </w:rPr>
              <w:t>Statele membre</w:t>
            </w:r>
          </w:p>
          <w:p w14:paraId="61D67D2A" w14:textId="77777777" w:rsidR="00862E9C" w:rsidRPr="00046858" w:rsidRDefault="00862E9C" w:rsidP="00862E9C">
            <w:pPr>
              <w:pStyle w:val="Text1"/>
              <w:ind w:left="0"/>
              <w:jc w:val="center"/>
              <w:rPr>
                <w:noProof/>
              </w:rPr>
            </w:pPr>
          </w:p>
          <w:p w14:paraId="7C8CA5C5" w14:textId="77777777" w:rsidR="00862E9C" w:rsidRPr="00046858" w:rsidRDefault="00862E9C" w:rsidP="00862E9C">
            <w:pPr>
              <w:pStyle w:val="Text1"/>
              <w:ind w:left="0"/>
              <w:jc w:val="center"/>
              <w:rPr>
                <w:noProof/>
              </w:rPr>
            </w:pPr>
            <w:r w:rsidRPr="00046858">
              <w:rPr>
                <w:noProof/>
              </w:rPr>
              <w:t>Autoritățile naționale competente</w:t>
            </w:r>
          </w:p>
        </w:tc>
        <w:tc>
          <w:tcPr>
            <w:tcW w:w="1696" w:type="dxa"/>
            <w:vAlign w:val="center"/>
          </w:tcPr>
          <w:p w14:paraId="3AC07DE3" w14:textId="77777777" w:rsidR="004A19A0" w:rsidRPr="00046858" w:rsidRDefault="00862E9C" w:rsidP="00862E9C">
            <w:pPr>
              <w:pStyle w:val="Text1"/>
              <w:ind w:left="0"/>
              <w:jc w:val="center"/>
              <w:rPr>
                <w:noProof/>
              </w:rPr>
            </w:pPr>
            <w:r w:rsidRPr="00046858">
              <w:rPr>
                <w:noProof/>
              </w:rPr>
              <w:t>Acordarea autorizațiilor</w:t>
            </w:r>
          </w:p>
        </w:tc>
        <w:tc>
          <w:tcPr>
            <w:tcW w:w="1757" w:type="dxa"/>
            <w:vAlign w:val="center"/>
          </w:tcPr>
          <w:p w14:paraId="05AA491B" w14:textId="77777777" w:rsidR="004A19A0" w:rsidRPr="00046858" w:rsidRDefault="00862E9C" w:rsidP="00862E9C">
            <w:pPr>
              <w:pStyle w:val="Text1"/>
              <w:ind w:left="0"/>
              <w:jc w:val="center"/>
              <w:rPr>
                <w:noProof/>
              </w:rPr>
            </w:pPr>
            <w:r w:rsidRPr="00046858">
              <w:rPr>
                <w:noProof/>
              </w:rPr>
              <w:t>Date</w:t>
            </w:r>
          </w:p>
          <w:p w14:paraId="70C349E7" w14:textId="77777777" w:rsidR="00862E9C" w:rsidRPr="00046858" w:rsidRDefault="00862E9C" w:rsidP="00862E9C">
            <w:pPr>
              <w:pStyle w:val="Text1"/>
              <w:ind w:left="0"/>
              <w:jc w:val="center"/>
              <w:rPr>
                <w:noProof/>
              </w:rPr>
            </w:pPr>
            <w:r w:rsidRPr="00046858">
              <w:rPr>
                <w:noProof/>
              </w:rPr>
              <w:t>Soluție digitală</w:t>
            </w:r>
          </w:p>
          <w:p w14:paraId="0EF70C7F" w14:textId="77777777" w:rsidR="00862E9C" w:rsidRPr="00046858" w:rsidRDefault="00862E9C" w:rsidP="00862E9C">
            <w:pPr>
              <w:pStyle w:val="Text1"/>
              <w:ind w:left="0"/>
              <w:jc w:val="center"/>
              <w:rPr>
                <w:noProof/>
              </w:rPr>
            </w:pPr>
            <w:r w:rsidRPr="00046858">
              <w:rPr>
                <w:noProof/>
              </w:rPr>
              <w:t>Digitalizarea și automatizarea proceselor</w:t>
            </w:r>
          </w:p>
        </w:tc>
      </w:tr>
      <w:tr w:rsidR="004A19A0" w:rsidRPr="00046858" w14:paraId="454E70E8" w14:textId="77777777" w:rsidTr="004C7198">
        <w:tc>
          <w:tcPr>
            <w:tcW w:w="1518" w:type="dxa"/>
            <w:vAlign w:val="center"/>
          </w:tcPr>
          <w:p w14:paraId="42DFF81B" w14:textId="7D2ED694" w:rsidR="004A19A0" w:rsidRPr="00046858" w:rsidRDefault="00332C60" w:rsidP="00D64E25">
            <w:pPr>
              <w:pStyle w:val="Text1"/>
              <w:ind w:left="0"/>
              <w:jc w:val="center"/>
              <w:rPr>
                <w:noProof/>
              </w:rPr>
            </w:pPr>
            <w:r w:rsidRPr="00046858">
              <w:rPr>
                <w:noProof/>
              </w:rPr>
              <w:t>Articolul 24</w:t>
            </w:r>
          </w:p>
        </w:tc>
        <w:tc>
          <w:tcPr>
            <w:tcW w:w="2451" w:type="dxa"/>
            <w:gridSpan w:val="2"/>
          </w:tcPr>
          <w:p w14:paraId="253DEFDD" w14:textId="5DA39FD9" w:rsidR="004A19A0" w:rsidRPr="00046858" w:rsidRDefault="00332C60" w:rsidP="00EE3052">
            <w:pPr>
              <w:pStyle w:val="Text1"/>
              <w:ind w:left="0"/>
              <w:jc w:val="left"/>
              <w:rPr>
                <w:noProof/>
              </w:rPr>
            </w:pPr>
            <w:r w:rsidRPr="00046858">
              <w:rPr>
                <w:noProof/>
              </w:rPr>
              <w:t>Statele membre instituie un portal unic de acces la nivel național pentru depunerea cererii unice de autorizare a instalațiilor europene în domeniul tehnologiilor semiconductorilor și a proiectelor strategice.</w:t>
            </w:r>
          </w:p>
        </w:tc>
        <w:tc>
          <w:tcPr>
            <w:tcW w:w="1867" w:type="dxa"/>
            <w:vAlign w:val="center"/>
          </w:tcPr>
          <w:p w14:paraId="5427B2C6" w14:textId="77777777" w:rsidR="00DB2C0B" w:rsidRPr="00046858" w:rsidRDefault="00DB2C0B" w:rsidP="00DB2C0B">
            <w:pPr>
              <w:pStyle w:val="Text1"/>
              <w:ind w:left="0"/>
              <w:jc w:val="center"/>
              <w:rPr>
                <w:noProof/>
              </w:rPr>
            </w:pPr>
            <w:r w:rsidRPr="00046858">
              <w:rPr>
                <w:noProof/>
              </w:rPr>
              <w:t>Statele membre</w:t>
            </w:r>
          </w:p>
          <w:p w14:paraId="12022655" w14:textId="77777777" w:rsidR="00DB2C0B" w:rsidRPr="00046858" w:rsidRDefault="00DB2C0B" w:rsidP="00DB2C0B">
            <w:pPr>
              <w:pStyle w:val="Text1"/>
              <w:ind w:left="0"/>
              <w:jc w:val="center"/>
              <w:rPr>
                <w:noProof/>
              </w:rPr>
            </w:pPr>
          </w:p>
          <w:p w14:paraId="77853A88" w14:textId="77777777" w:rsidR="004A19A0" w:rsidRPr="00046858" w:rsidRDefault="00DB2C0B" w:rsidP="00DB2C0B">
            <w:pPr>
              <w:pStyle w:val="Text1"/>
              <w:ind w:left="0"/>
              <w:jc w:val="center"/>
              <w:rPr>
                <w:noProof/>
              </w:rPr>
            </w:pPr>
            <w:r w:rsidRPr="00046858">
              <w:rPr>
                <w:noProof/>
              </w:rPr>
              <w:t>Autoritățile naționale competente</w:t>
            </w:r>
          </w:p>
        </w:tc>
        <w:tc>
          <w:tcPr>
            <w:tcW w:w="1696" w:type="dxa"/>
            <w:vAlign w:val="center"/>
          </w:tcPr>
          <w:p w14:paraId="4D236153" w14:textId="77777777" w:rsidR="004A19A0" w:rsidRPr="00046858" w:rsidRDefault="00D64E25" w:rsidP="00D64E25">
            <w:pPr>
              <w:pStyle w:val="Text1"/>
              <w:ind w:left="0"/>
              <w:jc w:val="center"/>
              <w:rPr>
                <w:noProof/>
              </w:rPr>
            </w:pPr>
            <w:r w:rsidRPr="00046858">
              <w:rPr>
                <w:noProof/>
              </w:rPr>
              <w:t>Acordarea autorizațiilor</w:t>
            </w:r>
          </w:p>
        </w:tc>
        <w:tc>
          <w:tcPr>
            <w:tcW w:w="1757" w:type="dxa"/>
            <w:vAlign w:val="center"/>
          </w:tcPr>
          <w:p w14:paraId="615998F9" w14:textId="77777777" w:rsidR="004A19A0" w:rsidRPr="00046858" w:rsidRDefault="00D64E25" w:rsidP="00D64E25">
            <w:pPr>
              <w:pStyle w:val="Text1"/>
              <w:ind w:left="0"/>
              <w:jc w:val="center"/>
              <w:rPr>
                <w:noProof/>
              </w:rPr>
            </w:pPr>
            <w:r w:rsidRPr="00046858">
              <w:rPr>
                <w:noProof/>
              </w:rPr>
              <w:t>Digitalizarea și automatizarea proceselor</w:t>
            </w:r>
          </w:p>
        </w:tc>
      </w:tr>
      <w:tr w:rsidR="004A19A0" w:rsidRPr="00046858" w14:paraId="70E929AD" w14:textId="77777777" w:rsidTr="004C7198">
        <w:tc>
          <w:tcPr>
            <w:tcW w:w="1518" w:type="dxa"/>
            <w:vAlign w:val="center"/>
          </w:tcPr>
          <w:p w14:paraId="6D4E560F" w14:textId="0A906755" w:rsidR="004A19A0" w:rsidRPr="00046858" w:rsidRDefault="00EE6633" w:rsidP="00066506">
            <w:pPr>
              <w:pStyle w:val="Text1"/>
              <w:ind w:left="0"/>
              <w:jc w:val="center"/>
              <w:rPr>
                <w:noProof/>
              </w:rPr>
            </w:pPr>
            <w:r w:rsidRPr="00046858">
              <w:rPr>
                <w:noProof/>
              </w:rPr>
              <w:t>Articolul 33</w:t>
            </w:r>
          </w:p>
        </w:tc>
        <w:tc>
          <w:tcPr>
            <w:tcW w:w="2451" w:type="dxa"/>
            <w:gridSpan w:val="2"/>
            <w:vAlign w:val="center"/>
          </w:tcPr>
          <w:p w14:paraId="71487F39" w14:textId="77777777" w:rsidR="004A19A0" w:rsidRPr="00046858" w:rsidRDefault="00EE6633" w:rsidP="00066506">
            <w:pPr>
              <w:pStyle w:val="Text1"/>
              <w:ind w:left="0"/>
              <w:jc w:val="left"/>
              <w:rPr>
                <w:noProof/>
              </w:rPr>
            </w:pPr>
            <w:r w:rsidRPr="00046858">
              <w:rPr>
                <w:noProof/>
              </w:rPr>
              <w:t>Cartografierea strategică a sectorului semiconductorilor din Uniune</w:t>
            </w:r>
          </w:p>
        </w:tc>
        <w:tc>
          <w:tcPr>
            <w:tcW w:w="1867" w:type="dxa"/>
            <w:vAlign w:val="center"/>
          </w:tcPr>
          <w:p w14:paraId="05459EA1" w14:textId="77777777" w:rsidR="004A19A0" w:rsidRPr="00046858" w:rsidRDefault="00EE6633" w:rsidP="00066506">
            <w:pPr>
              <w:pStyle w:val="Text1"/>
              <w:ind w:left="0"/>
              <w:jc w:val="center"/>
              <w:rPr>
                <w:noProof/>
              </w:rPr>
            </w:pPr>
            <w:r w:rsidRPr="00046858">
              <w:rPr>
                <w:noProof/>
              </w:rPr>
              <w:t>Comisia Europeană</w:t>
            </w:r>
          </w:p>
        </w:tc>
        <w:tc>
          <w:tcPr>
            <w:tcW w:w="1696" w:type="dxa"/>
            <w:vAlign w:val="center"/>
          </w:tcPr>
          <w:p w14:paraId="5AE32FC6" w14:textId="77777777" w:rsidR="004A19A0" w:rsidRPr="00046858" w:rsidRDefault="00EE6633" w:rsidP="00066506">
            <w:pPr>
              <w:pStyle w:val="Text1"/>
              <w:ind w:left="0"/>
              <w:jc w:val="center"/>
              <w:rPr>
                <w:noProof/>
              </w:rPr>
            </w:pPr>
            <w:r w:rsidRPr="00046858">
              <w:rPr>
                <w:noProof/>
              </w:rPr>
              <w:t>Monitorizare</w:t>
            </w:r>
          </w:p>
        </w:tc>
        <w:tc>
          <w:tcPr>
            <w:tcW w:w="1757" w:type="dxa"/>
            <w:vAlign w:val="center"/>
          </w:tcPr>
          <w:p w14:paraId="58AC9BFD" w14:textId="77777777" w:rsidR="004A19A0" w:rsidRPr="00046858" w:rsidRDefault="00066506" w:rsidP="00066506">
            <w:pPr>
              <w:pStyle w:val="Text1"/>
              <w:ind w:left="0"/>
              <w:jc w:val="center"/>
              <w:rPr>
                <w:noProof/>
              </w:rPr>
            </w:pPr>
            <w:r w:rsidRPr="00046858">
              <w:rPr>
                <w:noProof/>
              </w:rPr>
              <w:t>Date</w:t>
            </w:r>
          </w:p>
        </w:tc>
      </w:tr>
      <w:tr w:rsidR="004C7198" w:rsidRPr="00046858" w14:paraId="6294A9A0" w14:textId="77777777">
        <w:tc>
          <w:tcPr>
            <w:tcW w:w="1518" w:type="dxa"/>
            <w:vAlign w:val="center"/>
          </w:tcPr>
          <w:p w14:paraId="3BF0B9D9" w14:textId="51DAD944" w:rsidR="004C7198" w:rsidRPr="00046858" w:rsidRDefault="004C7198" w:rsidP="004C7198">
            <w:pPr>
              <w:pStyle w:val="Text1"/>
              <w:ind w:left="0"/>
              <w:jc w:val="center"/>
              <w:rPr>
                <w:noProof/>
              </w:rPr>
            </w:pPr>
            <w:r w:rsidRPr="00046858">
              <w:rPr>
                <w:noProof/>
              </w:rPr>
              <w:t>Articolul 34</w:t>
            </w:r>
          </w:p>
        </w:tc>
        <w:tc>
          <w:tcPr>
            <w:tcW w:w="2451" w:type="dxa"/>
            <w:gridSpan w:val="2"/>
          </w:tcPr>
          <w:p w14:paraId="1D16982B" w14:textId="3CA8DFA9" w:rsidR="004C7198" w:rsidRPr="00046858" w:rsidRDefault="004C7198" w:rsidP="004C7198">
            <w:pPr>
              <w:pStyle w:val="Text1"/>
              <w:ind w:left="0"/>
              <w:jc w:val="left"/>
              <w:rPr>
                <w:noProof/>
              </w:rPr>
            </w:pPr>
            <w:r w:rsidRPr="00046858">
              <w:rPr>
                <w:noProof/>
              </w:rPr>
              <w:t>Înființarea Platformei B2B pentru lanțul de aprovizionare cu semiconductori</w:t>
            </w:r>
          </w:p>
        </w:tc>
        <w:tc>
          <w:tcPr>
            <w:tcW w:w="1867" w:type="dxa"/>
            <w:vAlign w:val="center"/>
          </w:tcPr>
          <w:p w14:paraId="06D87767" w14:textId="77777777" w:rsidR="004C7198" w:rsidRPr="00046858" w:rsidRDefault="004C7198" w:rsidP="004C7198">
            <w:pPr>
              <w:pStyle w:val="Text1"/>
              <w:ind w:left="0"/>
              <w:jc w:val="center"/>
              <w:rPr>
                <w:noProof/>
              </w:rPr>
            </w:pPr>
            <w:r w:rsidRPr="00046858">
              <w:rPr>
                <w:noProof/>
              </w:rPr>
              <w:t>Operatori privați</w:t>
            </w:r>
          </w:p>
        </w:tc>
        <w:tc>
          <w:tcPr>
            <w:tcW w:w="1696" w:type="dxa"/>
            <w:vAlign w:val="center"/>
          </w:tcPr>
          <w:p w14:paraId="39694C5C" w14:textId="77777777" w:rsidR="004C7198" w:rsidRPr="00046858" w:rsidRDefault="004C7198" w:rsidP="004C7198">
            <w:pPr>
              <w:pStyle w:val="Text1"/>
              <w:ind w:left="0"/>
              <w:jc w:val="center"/>
              <w:rPr>
                <w:noProof/>
              </w:rPr>
            </w:pPr>
            <w:r w:rsidRPr="00046858">
              <w:rPr>
                <w:noProof/>
              </w:rPr>
              <w:t>Partajare de date</w:t>
            </w:r>
          </w:p>
        </w:tc>
        <w:tc>
          <w:tcPr>
            <w:tcW w:w="1757" w:type="dxa"/>
            <w:vAlign w:val="center"/>
          </w:tcPr>
          <w:p w14:paraId="17A34A21" w14:textId="77777777" w:rsidR="004C7198" w:rsidRPr="00046858" w:rsidRDefault="004C7198" w:rsidP="004C7198">
            <w:pPr>
              <w:pStyle w:val="Text1"/>
              <w:ind w:left="0"/>
              <w:jc w:val="center"/>
              <w:rPr>
                <w:noProof/>
              </w:rPr>
            </w:pPr>
            <w:r w:rsidRPr="00046858">
              <w:rPr>
                <w:noProof/>
              </w:rPr>
              <w:t>Soluție digitală</w:t>
            </w:r>
          </w:p>
          <w:p w14:paraId="6E5F8C42" w14:textId="77777777" w:rsidR="004C7198" w:rsidRPr="00046858" w:rsidRDefault="004C7198" w:rsidP="004C7198">
            <w:pPr>
              <w:pStyle w:val="Text1"/>
              <w:ind w:left="0"/>
              <w:jc w:val="center"/>
              <w:rPr>
                <w:noProof/>
              </w:rPr>
            </w:pPr>
            <w:r w:rsidRPr="00046858">
              <w:rPr>
                <w:noProof/>
              </w:rPr>
              <w:t>Date</w:t>
            </w:r>
          </w:p>
        </w:tc>
      </w:tr>
      <w:tr w:rsidR="00003EB5" w:rsidRPr="00046858" w14:paraId="08647B79" w14:textId="77777777">
        <w:tc>
          <w:tcPr>
            <w:tcW w:w="1518" w:type="dxa"/>
            <w:vAlign w:val="center"/>
          </w:tcPr>
          <w:p w14:paraId="7C3C3D75" w14:textId="0E1F22BB" w:rsidR="00003EB5" w:rsidRPr="00046858" w:rsidRDefault="00003EB5">
            <w:pPr>
              <w:pStyle w:val="Text1"/>
              <w:ind w:left="0"/>
              <w:jc w:val="center"/>
              <w:rPr>
                <w:noProof/>
              </w:rPr>
            </w:pPr>
            <w:r w:rsidRPr="00046858">
              <w:rPr>
                <w:noProof/>
              </w:rPr>
              <w:t>Articolul 35</w:t>
            </w:r>
          </w:p>
        </w:tc>
        <w:tc>
          <w:tcPr>
            <w:tcW w:w="2451" w:type="dxa"/>
            <w:gridSpan w:val="2"/>
          </w:tcPr>
          <w:p w14:paraId="2E0EA5A5" w14:textId="77777777" w:rsidR="00003EB5" w:rsidRPr="00046858" w:rsidRDefault="00003EB5">
            <w:pPr>
              <w:pStyle w:val="Text1"/>
              <w:ind w:left="0"/>
              <w:jc w:val="left"/>
              <w:rPr>
                <w:noProof/>
              </w:rPr>
            </w:pPr>
            <w:r w:rsidRPr="00046858">
              <w:rPr>
                <w:noProof/>
              </w:rPr>
              <w:t>În consultare cu Consiliul european pentru semiconductori, Comisia monitorizează cu regularitate lanțul valoric al semiconductorilor, pentru a identifica factorii care pot perturba, compromite sau afecta negativ aprovizionarea sau comerțul cu semiconductori.</w:t>
            </w:r>
          </w:p>
        </w:tc>
        <w:tc>
          <w:tcPr>
            <w:tcW w:w="1867" w:type="dxa"/>
            <w:vAlign w:val="center"/>
          </w:tcPr>
          <w:p w14:paraId="02F57367" w14:textId="77777777" w:rsidR="00003EB5" w:rsidRPr="00046858" w:rsidRDefault="00003EB5">
            <w:pPr>
              <w:pStyle w:val="Text1"/>
              <w:ind w:left="0"/>
              <w:jc w:val="center"/>
              <w:rPr>
                <w:noProof/>
              </w:rPr>
            </w:pPr>
            <w:r w:rsidRPr="00046858">
              <w:rPr>
                <w:noProof/>
              </w:rPr>
              <w:t>Comisia Europeană</w:t>
            </w:r>
          </w:p>
        </w:tc>
        <w:tc>
          <w:tcPr>
            <w:tcW w:w="1696" w:type="dxa"/>
            <w:vAlign w:val="center"/>
          </w:tcPr>
          <w:p w14:paraId="1D58DC56" w14:textId="77777777" w:rsidR="00003EB5" w:rsidRPr="00046858" w:rsidRDefault="00003EB5">
            <w:pPr>
              <w:pStyle w:val="Text1"/>
              <w:ind w:left="0"/>
              <w:jc w:val="center"/>
              <w:rPr>
                <w:noProof/>
              </w:rPr>
            </w:pPr>
            <w:r w:rsidRPr="00046858">
              <w:rPr>
                <w:noProof/>
              </w:rPr>
              <w:t>Monitorizare</w:t>
            </w:r>
          </w:p>
        </w:tc>
        <w:tc>
          <w:tcPr>
            <w:tcW w:w="1757" w:type="dxa"/>
            <w:vAlign w:val="center"/>
          </w:tcPr>
          <w:p w14:paraId="75097F45" w14:textId="77777777" w:rsidR="00003EB5" w:rsidRPr="00046858" w:rsidRDefault="00003EB5">
            <w:pPr>
              <w:pStyle w:val="Text1"/>
              <w:ind w:left="0"/>
              <w:jc w:val="center"/>
              <w:rPr>
                <w:noProof/>
              </w:rPr>
            </w:pPr>
            <w:r w:rsidRPr="00046858">
              <w:rPr>
                <w:noProof/>
              </w:rPr>
              <w:t>Date</w:t>
            </w:r>
          </w:p>
        </w:tc>
      </w:tr>
      <w:tr w:rsidR="000836E9" w:rsidRPr="00046858" w14:paraId="1C864E5D" w14:textId="77777777">
        <w:tc>
          <w:tcPr>
            <w:tcW w:w="1518" w:type="dxa"/>
            <w:vAlign w:val="center"/>
          </w:tcPr>
          <w:p w14:paraId="11E178BF" w14:textId="07714031" w:rsidR="000836E9" w:rsidRPr="00046858" w:rsidRDefault="000836E9">
            <w:pPr>
              <w:pStyle w:val="Text1"/>
              <w:ind w:left="0"/>
              <w:jc w:val="center"/>
              <w:rPr>
                <w:noProof/>
              </w:rPr>
            </w:pPr>
            <w:r w:rsidRPr="00046858">
              <w:rPr>
                <w:noProof/>
              </w:rPr>
              <w:t>Articolul 38</w:t>
            </w:r>
          </w:p>
        </w:tc>
        <w:tc>
          <w:tcPr>
            <w:tcW w:w="2451" w:type="dxa"/>
            <w:gridSpan w:val="2"/>
          </w:tcPr>
          <w:p w14:paraId="11E1FC2D" w14:textId="77777777" w:rsidR="000836E9" w:rsidRPr="00046858" w:rsidRDefault="00284E24">
            <w:pPr>
              <w:pStyle w:val="Text1"/>
              <w:ind w:left="0"/>
              <w:jc w:val="left"/>
              <w:rPr>
                <w:noProof/>
              </w:rPr>
            </w:pPr>
            <w:r w:rsidRPr="00046858">
              <w:rPr>
                <w:noProof/>
              </w:rPr>
              <w:t>Colectarea preventivă a informațiilor</w:t>
            </w:r>
          </w:p>
        </w:tc>
        <w:tc>
          <w:tcPr>
            <w:tcW w:w="1867" w:type="dxa"/>
            <w:vAlign w:val="center"/>
          </w:tcPr>
          <w:p w14:paraId="2593F416" w14:textId="77777777" w:rsidR="000836E9" w:rsidRPr="00046858" w:rsidRDefault="000836E9">
            <w:pPr>
              <w:pStyle w:val="Text1"/>
              <w:ind w:left="0"/>
              <w:jc w:val="center"/>
              <w:rPr>
                <w:noProof/>
              </w:rPr>
            </w:pPr>
            <w:r w:rsidRPr="00046858">
              <w:rPr>
                <w:noProof/>
              </w:rPr>
              <w:t>Comisia Europeană</w:t>
            </w:r>
          </w:p>
        </w:tc>
        <w:tc>
          <w:tcPr>
            <w:tcW w:w="1696" w:type="dxa"/>
            <w:vAlign w:val="center"/>
          </w:tcPr>
          <w:p w14:paraId="3807AA23" w14:textId="77777777" w:rsidR="000836E9" w:rsidRPr="00046858" w:rsidRDefault="000836E9">
            <w:pPr>
              <w:pStyle w:val="Text1"/>
              <w:ind w:left="0"/>
              <w:jc w:val="center"/>
              <w:rPr>
                <w:noProof/>
              </w:rPr>
            </w:pPr>
            <w:r w:rsidRPr="00046858">
              <w:rPr>
                <w:noProof/>
              </w:rPr>
              <w:t>Raportare</w:t>
            </w:r>
          </w:p>
        </w:tc>
        <w:tc>
          <w:tcPr>
            <w:tcW w:w="1757" w:type="dxa"/>
            <w:vAlign w:val="center"/>
          </w:tcPr>
          <w:p w14:paraId="1916D8C2" w14:textId="77777777" w:rsidR="000836E9" w:rsidRPr="00046858" w:rsidRDefault="000836E9">
            <w:pPr>
              <w:pStyle w:val="Text1"/>
              <w:ind w:left="0"/>
              <w:jc w:val="center"/>
              <w:rPr>
                <w:noProof/>
              </w:rPr>
            </w:pPr>
            <w:r w:rsidRPr="00046858">
              <w:rPr>
                <w:noProof/>
              </w:rPr>
              <w:t>Date</w:t>
            </w:r>
          </w:p>
        </w:tc>
      </w:tr>
      <w:tr w:rsidR="00CF0BC4" w:rsidRPr="00046858" w14:paraId="71C9B6E6" w14:textId="77777777">
        <w:tc>
          <w:tcPr>
            <w:tcW w:w="1518" w:type="dxa"/>
            <w:vAlign w:val="center"/>
          </w:tcPr>
          <w:p w14:paraId="67790EFD" w14:textId="625B8E68" w:rsidR="00CF0BC4" w:rsidRPr="00046858" w:rsidRDefault="00CF0BC4" w:rsidP="00CF0BC4">
            <w:pPr>
              <w:pStyle w:val="Text1"/>
              <w:ind w:left="0"/>
              <w:jc w:val="center"/>
              <w:rPr>
                <w:noProof/>
              </w:rPr>
            </w:pPr>
            <w:r w:rsidRPr="00046858">
              <w:rPr>
                <w:noProof/>
              </w:rPr>
              <w:t>Articolul 41</w:t>
            </w:r>
          </w:p>
        </w:tc>
        <w:tc>
          <w:tcPr>
            <w:tcW w:w="2451" w:type="dxa"/>
            <w:gridSpan w:val="2"/>
          </w:tcPr>
          <w:p w14:paraId="2A40EB82" w14:textId="77777777" w:rsidR="00CF0BC4" w:rsidRPr="00046858" w:rsidRDefault="00CF0BC4" w:rsidP="00CF0BC4">
            <w:pPr>
              <w:pStyle w:val="Text1"/>
              <w:ind w:left="0"/>
              <w:jc w:val="left"/>
              <w:rPr>
                <w:noProof/>
              </w:rPr>
            </w:pPr>
            <w:r w:rsidRPr="00046858">
              <w:rPr>
                <w:noProof/>
              </w:rPr>
              <w:t>Colectarea de informații în stadiul de criză</w:t>
            </w:r>
          </w:p>
        </w:tc>
        <w:tc>
          <w:tcPr>
            <w:tcW w:w="1867" w:type="dxa"/>
            <w:vAlign w:val="center"/>
          </w:tcPr>
          <w:p w14:paraId="1797ADC6" w14:textId="77777777" w:rsidR="00CF0BC4" w:rsidRPr="00046858" w:rsidRDefault="00CF0BC4" w:rsidP="00CF0BC4">
            <w:pPr>
              <w:pStyle w:val="Text1"/>
              <w:ind w:left="0"/>
              <w:jc w:val="center"/>
              <w:rPr>
                <w:noProof/>
              </w:rPr>
            </w:pPr>
            <w:r w:rsidRPr="00046858">
              <w:rPr>
                <w:noProof/>
              </w:rPr>
              <w:t>Comisia Europeană</w:t>
            </w:r>
          </w:p>
        </w:tc>
        <w:tc>
          <w:tcPr>
            <w:tcW w:w="1696" w:type="dxa"/>
            <w:vAlign w:val="center"/>
          </w:tcPr>
          <w:p w14:paraId="30F24CB6" w14:textId="77777777" w:rsidR="00CF0BC4" w:rsidRPr="00046858" w:rsidRDefault="00CF0BC4" w:rsidP="00CF0BC4">
            <w:pPr>
              <w:pStyle w:val="Text1"/>
              <w:ind w:left="0"/>
              <w:jc w:val="center"/>
              <w:rPr>
                <w:noProof/>
              </w:rPr>
            </w:pPr>
            <w:r w:rsidRPr="00046858">
              <w:rPr>
                <w:noProof/>
              </w:rPr>
              <w:t>Raportare</w:t>
            </w:r>
          </w:p>
        </w:tc>
        <w:tc>
          <w:tcPr>
            <w:tcW w:w="1757" w:type="dxa"/>
            <w:vAlign w:val="center"/>
          </w:tcPr>
          <w:p w14:paraId="5A75BC68" w14:textId="77777777" w:rsidR="00CF0BC4" w:rsidRPr="00046858" w:rsidRDefault="00CF0BC4" w:rsidP="00CF0BC4">
            <w:pPr>
              <w:pStyle w:val="Text1"/>
              <w:ind w:left="0"/>
              <w:jc w:val="center"/>
              <w:rPr>
                <w:noProof/>
              </w:rPr>
            </w:pPr>
            <w:r w:rsidRPr="00046858">
              <w:rPr>
                <w:noProof/>
              </w:rPr>
              <w:t>Date</w:t>
            </w:r>
          </w:p>
        </w:tc>
      </w:tr>
    </w:tbl>
    <w:p w14:paraId="627A7C94" w14:textId="77777777" w:rsidR="00A03D5B" w:rsidRPr="00046858" w:rsidRDefault="00A03D5B" w:rsidP="0041561E">
      <w:pPr>
        <w:pStyle w:val="ManualHeading2"/>
        <w:rPr>
          <w:noProof/>
        </w:rPr>
      </w:pPr>
      <w:bookmarkStart w:id="147" w:name="_Toc167220303"/>
      <w:bookmarkStart w:id="148" w:name="_Toc177549038"/>
      <w:r w:rsidRPr="00046858">
        <w:rPr>
          <w:noProof/>
        </w:rPr>
        <w:t>4.2.</w:t>
      </w:r>
      <w:r w:rsidRPr="00046858">
        <w:rPr>
          <w:noProof/>
        </w:rPr>
        <w:tab/>
        <w:t>Date</w:t>
      </w:r>
      <w:bookmarkEnd w:id="147"/>
      <w:bookmarkEnd w:id="148"/>
    </w:p>
    <w:p w14:paraId="100A30AE" w14:textId="77777777" w:rsidR="002C7F64" w:rsidRPr="00046858" w:rsidRDefault="002C7F64" w:rsidP="002C7F64">
      <w:pPr>
        <w:pStyle w:val="Text1"/>
        <w:ind w:left="0"/>
        <w:rPr>
          <w:i/>
          <w:iCs/>
          <w:noProof/>
        </w:rPr>
      </w:pPr>
      <w:r w:rsidRPr="00046858">
        <w:rPr>
          <w:i/>
          <w:noProof/>
        </w:rPr>
        <w:t>Descrierea la nivel înalt a datelor care intră în domeniul de aplicare</w:t>
      </w:r>
    </w:p>
    <w:tbl>
      <w:tblPr>
        <w:tblStyle w:val="TableGrid"/>
        <w:tblW w:w="0" w:type="auto"/>
        <w:tblLayout w:type="fixed"/>
        <w:tblLook w:val="04A0" w:firstRow="1" w:lastRow="0" w:firstColumn="1" w:lastColumn="0" w:noHBand="0" w:noVBand="1"/>
      </w:tblPr>
      <w:tblGrid>
        <w:gridCol w:w="3936"/>
        <w:gridCol w:w="2256"/>
        <w:gridCol w:w="3097"/>
      </w:tblGrid>
      <w:tr w:rsidR="005C6AA1" w:rsidRPr="00046858" w14:paraId="1B1AF849" w14:textId="77777777" w:rsidTr="00E423C8">
        <w:tc>
          <w:tcPr>
            <w:tcW w:w="3936" w:type="dxa"/>
            <w:vAlign w:val="center"/>
          </w:tcPr>
          <w:p w14:paraId="71FA40CD" w14:textId="77777777" w:rsidR="005C6AA1" w:rsidRPr="00046858" w:rsidRDefault="005C6AA1" w:rsidP="00C17757">
            <w:pPr>
              <w:pStyle w:val="Text1"/>
              <w:ind w:left="0"/>
              <w:jc w:val="center"/>
              <w:rPr>
                <w:b/>
                <w:bCs/>
                <w:noProof/>
              </w:rPr>
            </w:pPr>
            <w:r w:rsidRPr="00046858">
              <w:rPr>
                <w:b/>
                <w:noProof/>
              </w:rPr>
              <w:t>Tipul de date</w:t>
            </w:r>
          </w:p>
        </w:tc>
        <w:tc>
          <w:tcPr>
            <w:tcW w:w="2256" w:type="dxa"/>
            <w:vAlign w:val="center"/>
          </w:tcPr>
          <w:p w14:paraId="2894DE27" w14:textId="77777777" w:rsidR="005C6AA1" w:rsidRPr="00046858" w:rsidRDefault="005C6AA1" w:rsidP="00C17757">
            <w:pPr>
              <w:pStyle w:val="Text1"/>
              <w:ind w:left="0"/>
              <w:jc w:val="center"/>
              <w:rPr>
                <w:b/>
                <w:bCs/>
                <w:noProof/>
              </w:rPr>
            </w:pPr>
            <w:r w:rsidRPr="00046858">
              <w:rPr>
                <w:b/>
                <w:noProof/>
              </w:rPr>
              <w:t>Trimitere la cerință (cerințe)</w:t>
            </w:r>
          </w:p>
        </w:tc>
        <w:tc>
          <w:tcPr>
            <w:tcW w:w="3097" w:type="dxa"/>
            <w:vAlign w:val="center"/>
          </w:tcPr>
          <w:p w14:paraId="721B4460" w14:textId="77777777" w:rsidR="005C6AA1" w:rsidRPr="00046858" w:rsidRDefault="007B635C" w:rsidP="00C17757">
            <w:pPr>
              <w:pStyle w:val="Text1"/>
              <w:ind w:left="0"/>
              <w:jc w:val="center"/>
              <w:rPr>
                <w:b/>
                <w:bCs/>
                <w:noProof/>
              </w:rPr>
            </w:pPr>
            <w:r w:rsidRPr="00046858">
              <w:rPr>
                <w:b/>
                <w:noProof/>
              </w:rPr>
              <w:t>Standard și/sau specificație (dacă este cazul)</w:t>
            </w:r>
          </w:p>
        </w:tc>
      </w:tr>
      <w:tr w:rsidR="005C6AA1" w:rsidRPr="00046858" w14:paraId="50072D1C" w14:textId="77777777" w:rsidTr="00E423C8">
        <w:tc>
          <w:tcPr>
            <w:tcW w:w="3936" w:type="dxa"/>
          </w:tcPr>
          <w:p w14:paraId="74B3C116" w14:textId="77777777" w:rsidR="005C6AA1" w:rsidRPr="00046858" w:rsidRDefault="00D927CC" w:rsidP="004F4CC0">
            <w:pPr>
              <w:pStyle w:val="Text1"/>
              <w:ind w:left="0"/>
              <w:jc w:val="center"/>
              <w:rPr>
                <w:noProof/>
              </w:rPr>
            </w:pPr>
            <w:r w:rsidRPr="00046858">
              <w:rPr>
                <w:noProof/>
              </w:rPr>
              <w:t>Date în contextul cererii de acordare a statutului de inițiativă europeană în domeniul tehnologiilor semiconductorilor</w:t>
            </w:r>
          </w:p>
        </w:tc>
        <w:tc>
          <w:tcPr>
            <w:tcW w:w="2256" w:type="dxa"/>
            <w:vAlign w:val="center"/>
          </w:tcPr>
          <w:p w14:paraId="2F036E84" w14:textId="77777777" w:rsidR="005C6AA1" w:rsidRPr="00046858" w:rsidRDefault="009A47DD" w:rsidP="00D927CC">
            <w:pPr>
              <w:pStyle w:val="Text1"/>
              <w:ind w:left="0"/>
              <w:jc w:val="center"/>
              <w:rPr>
                <w:noProof/>
              </w:rPr>
            </w:pPr>
            <w:r w:rsidRPr="00046858">
              <w:rPr>
                <w:noProof/>
              </w:rPr>
              <w:t>Articolul 15</w:t>
            </w:r>
          </w:p>
        </w:tc>
        <w:tc>
          <w:tcPr>
            <w:tcW w:w="3097" w:type="dxa"/>
            <w:vAlign w:val="center"/>
          </w:tcPr>
          <w:p w14:paraId="31B38BCE" w14:textId="77777777" w:rsidR="005C6AA1" w:rsidRPr="00046858" w:rsidRDefault="00D927CC" w:rsidP="00D927CC">
            <w:pPr>
              <w:pStyle w:val="Text1"/>
              <w:ind w:left="0"/>
              <w:jc w:val="center"/>
              <w:rPr>
                <w:noProof/>
              </w:rPr>
            </w:pPr>
            <w:r w:rsidRPr="00046858">
              <w:rPr>
                <w:noProof/>
              </w:rPr>
              <w:t>N/A</w:t>
            </w:r>
          </w:p>
        </w:tc>
      </w:tr>
      <w:tr w:rsidR="00CF2A91" w:rsidRPr="00046858" w14:paraId="3B28BEE9" w14:textId="77777777" w:rsidTr="00E423C8">
        <w:tc>
          <w:tcPr>
            <w:tcW w:w="3936" w:type="dxa"/>
          </w:tcPr>
          <w:p w14:paraId="3E5A6BC1" w14:textId="77777777" w:rsidR="00CF2A91" w:rsidRPr="00046858" w:rsidRDefault="00CF2A91" w:rsidP="004F4CC0">
            <w:pPr>
              <w:pStyle w:val="Text1"/>
              <w:ind w:left="0"/>
              <w:jc w:val="center"/>
              <w:rPr>
                <w:noProof/>
              </w:rPr>
            </w:pPr>
            <w:r w:rsidRPr="00046858">
              <w:rPr>
                <w:noProof/>
              </w:rPr>
              <w:t>Cereri de acordare a autorizațiilor</w:t>
            </w:r>
          </w:p>
        </w:tc>
        <w:tc>
          <w:tcPr>
            <w:tcW w:w="2256" w:type="dxa"/>
            <w:vAlign w:val="center"/>
          </w:tcPr>
          <w:p w14:paraId="2DE4AA20" w14:textId="3B05B009" w:rsidR="00CF2A91" w:rsidRPr="00046858" w:rsidRDefault="00CF2A91" w:rsidP="00D927CC">
            <w:pPr>
              <w:pStyle w:val="Text1"/>
              <w:ind w:left="0"/>
              <w:jc w:val="center"/>
              <w:rPr>
                <w:noProof/>
              </w:rPr>
            </w:pPr>
            <w:r w:rsidRPr="00046858">
              <w:rPr>
                <w:noProof/>
              </w:rPr>
              <w:t>Articolul 22</w:t>
            </w:r>
          </w:p>
        </w:tc>
        <w:tc>
          <w:tcPr>
            <w:tcW w:w="3097" w:type="dxa"/>
            <w:vAlign w:val="center"/>
          </w:tcPr>
          <w:p w14:paraId="385F4D64" w14:textId="77777777" w:rsidR="00CF2A91" w:rsidRPr="00046858" w:rsidRDefault="00CF2A91" w:rsidP="00D927CC">
            <w:pPr>
              <w:pStyle w:val="Text1"/>
              <w:ind w:left="0"/>
              <w:jc w:val="center"/>
              <w:rPr>
                <w:noProof/>
              </w:rPr>
            </w:pPr>
            <w:r w:rsidRPr="00046858">
              <w:rPr>
                <w:noProof/>
              </w:rPr>
              <w:t>N/A</w:t>
            </w:r>
          </w:p>
        </w:tc>
      </w:tr>
      <w:tr w:rsidR="00362B35" w:rsidRPr="00046858" w14:paraId="3C892EBB" w14:textId="77777777" w:rsidTr="00E423C8">
        <w:tc>
          <w:tcPr>
            <w:tcW w:w="3936" w:type="dxa"/>
            <w:vAlign w:val="center"/>
          </w:tcPr>
          <w:p w14:paraId="2530B25C" w14:textId="77777777" w:rsidR="00362B35" w:rsidRPr="00046858" w:rsidRDefault="00362B35" w:rsidP="00362B35">
            <w:pPr>
              <w:pStyle w:val="Text1"/>
              <w:ind w:left="0"/>
              <w:jc w:val="center"/>
              <w:rPr>
                <w:noProof/>
              </w:rPr>
            </w:pPr>
            <w:r w:rsidRPr="00046858">
              <w:rPr>
                <w:noProof/>
              </w:rPr>
              <w:t>Date necesare pentru o cartografiere strategică a sectorului semiconductorilor din Uniune</w:t>
            </w:r>
          </w:p>
        </w:tc>
        <w:tc>
          <w:tcPr>
            <w:tcW w:w="2256" w:type="dxa"/>
            <w:vAlign w:val="center"/>
          </w:tcPr>
          <w:p w14:paraId="5837325C" w14:textId="496686F7" w:rsidR="00362B35" w:rsidRPr="00046858" w:rsidRDefault="00362B35" w:rsidP="00362B35">
            <w:pPr>
              <w:pStyle w:val="Text1"/>
              <w:ind w:left="0"/>
              <w:jc w:val="center"/>
              <w:rPr>
                <w:noProof/>
              </w:rPr>
            </w:pPr>
            <w:r w:rsidRPr="00046858">
              <w:rPr>
                <w:noProof/>
              </w:rPr>
              <w:t>Articolul 33</w:t>
            </w:r>
          </w:p>
        </w:tc>
        <w:tc>
          <w:tcPr>
            <w:tcW w:w="3097" w:type="dxa"/>
            <w:vAlign w:val="center"/>
          </w:tcPr>
          <w:p w14:paraId="5893E370" w14:textId="77777777" w:rsidR="00362B35" w:rsidRPr="00046858" w:rsidRDefault="00362B35" w:rsidP="00362B35">
            <w:pPr>
              <w:pStyle w:val="Text1"/>
              <w:ind w:left="0"/>
              <w:jc w:val="center"/>
              <w:rPr>
                <w:noProof/>
              </w:rPr>
            </w:pPr>
            <w:r w:rsidRPr="00046858">
              <w:rPr>
                <w:noProof/>
              </w:rPr>
              <w:t>N/A</w:t>
            </w:r>
          </w:p>
        </w:tc>
      </w:tr>
      <w:tr w:rsidR="00362B35" w:rsidRPr="00046858" w14:paraId="25B58C57" w14:textId="77777777" w:rsidTr="00E423C8">
        <w:tc>
          <w:tcPr>
            <w:tcW w:w="3936" w:type="dxa"/>
          </w:tcPr>
          <w:p w14:paraId="75D29D1D" w14:textId="77777777" w:rsidR="00362B35" w:rsidRPr="00046858" w:rsidRDefault="00362B35" w:rsidP="00362B35">
            <w:pPr>
              <w:pStyle w:val="Text1"/>
              <w:ind w:left="0"/>
              <w:jc w:val="center"/>
              <w:rPr>
                <w:noProof/>
              </w:rPr>
            </w:pPr>
            <w:r w:rsidRPr="00046858">
              <w:rPr>
                <w:noProof/>
              </w:rPr>
              <w:t>Date în contextul Platformei B2B pentru lanțul de aprovizionare cu semiconductori</w:t>
            </w:r>
          </w:p>
        </w:tc>
        <w:tc>
          <w:tcPr>
            <w:tcW w:w="2256" w:type="dxa"/>
            <w:vAlign w:val="center"/>
          </w:tcPr>
          <w:p w14:paraId="2BE251EE" w14:textId="162CE78C" w:rsidR="00362B35" w:rsidRPr="00046858" w:rsidRDefault="00362B35" w:rsidP="00362B35">
            <w:pPr>
              <w:pStyle w:val="Text1"/>
              <w:ind w:left="0"/>
              <w:jc w:val="center"/>
              <w:rPr>
                <w:noProof/>
              </w:rPr>
            </w:pPr>
            <w:r w:rsidRPr="00046858">
              <w:rPr>
                <w:noProof/>
              </w:rPr>
              <w:t>Articolul 34</w:t>
            </w:r>
          </w:p>
        </w:tc>
        <w:tc>
          <w:tcPr>
            <w:tcW w:w="3097" w:type="dxa"/>
            <w:vAlign w:val="center"/>
          </w:tcPr>
          <w:p w14:paraId="246DDC9F" w14:textId="77777777" w:rsidR="00362B35" w:rsidRPr="00046858" w:rsidRDefault="00362B35" w:rsidP="00362B35">
            <w:pPr>
              <w:pStyle w:val="Text1"/>
              <w:ind w:left="0"/>
              <w:jc w:val="center"/>
              <w:rPr>
                <w:noProof/>
              </w:rPr>
            </w:pPr>
            <w:r w:rsidRPr="00046858">
              <w:rPr>
                <w:noProof/>
              </w:rPr>
              <w:t>N/A</w:t>
            </w:r>
          </w:p>
        </w:tc>
      </w:tr>
      <w:tr w:rsidR="00520E1E" w:rsidRPr="00046858" w14:paraId="556EC31C" w14:textId="77777777" w:rsidTr="00E423C8">
        <w:tc>
          <w:tcPr>
            <w:tcW w:w="3936" w:type="dxa"/>
          </w:tcPr>
          <w:p w14:paraId="40D5B182" w14:textId="77777777" w:rsidR="00520E1E" w:rsidRPr="00046858" w:rsidRDefault="00E423C8" w:rsidP="00362B35">
            <w:pPr>
              <w:pStyle w:val="Text1"/>
              <w:ind w:left="0"/>
              <w:jc w:val="center"/>
              <w:rPr>
                <w:noProof/>
              </w:rPr>
            </w:pPr>
            <w:r w:rsidRPr="00046858">
              <w:rPr>
                <w:noProof/>
              </w:rPr>
              <w:t>Date necesare pentru monitorizarea lanțului valoric al semiconductorilor</w:t>
            </w:r>
          </w:p>
        </w:tc>
        <w:tc>
          <w:tcPr>
            <w:tcW w:w="2256" w:type="dxa"/>
            <w:vAlign w:val="center"/>
          </w:tcPr>
          <w:p w14:paraId="6107A224" w14:textId="3B096F57" w:rsidR="00520E1E" w:rsidRPr="00046858" w:rsidRDefault="00520E1E" w:rsidP="00362B35">
            <w:pPr>
              <w:pStyle w:val="Text1"/>
              <w:ind w:left="0"/>
              <w:jc w:val="center"/>
              <w:rPr>
                <w:noProof/>
              </w:rPr>
            </w:pPr>
            <w:r w:rsidRPr="00046858">
              <w:rPr>
                <w:noProof/>
              </w:rPr>
              <w:t>Articolul 35</w:t>
            </w:r>
          </w:p>
        </w:tc>
        <w:tc>
          <w:tcPr>
            <w:tcW w:w="3097" w:type="dxa"/>
            <w:vAlign w:val="center"/>
          </w:tcPr>
          <w:p w14:paraId="7CE417B7" w14:textId="77777777" w:rsidR="00520E1E" w:rsidRPr="00046858" w:rsidRDefault="00520E1E" w:rsidP="00362B35">
            <w:pPr>
              <w:pStyle w:val="Text1"/>
              <w:ind w:left="0"/>
              <w:jc w:val="center"/>
              <w:rPr>
                <w:noProof/>
              </w:rPr>
            </w:pPr>
            <w:r w:rsidRPr="00046858">
              <w:rPr>
                <w:noProof/>
              </w:rPr>
              <w:t>N/A</w:t>
            </w:r>
          </w:p>
        </w:tc>
      </w:tr>
      <w:tr w:rsidR="00520E1E" w:rsidRPr="00046858" w14:paraId="19C20C78" w14:textId="77777777" w:rsidTr="00E423C8">
        <w:tc>
          <w:tcPr>
            <w:tcW w:w="3936" w:type="dxa"/>
          </w:tcPr>
          <w:p w14:paraId="153FFE4A" w14:textId="77777777" w:rsidR="00520E1E" w:rsidRPr="00046858" w:rsidRDefault="00284E24" w:rsidP="00362B35">
            <w:pPr>
              <w:pStyle w:val="Text1"/>
              <w:ind w:left="0"/>
              <w:jc w:val="center"/>
              <w:rPr>
                <w:noProof/>
              </w:rPr>
            </w:pPr>
            <w:r w:rsidRPr="00046858">
              <w:rPr>
                <w:noProof/>
              </w:rPr>
              <w:t>Colectarea preventivă a informațiilor</w:t>
            </w:r>
          </w:p>
        </w:tc>
        <w:tc>
          <w:tcPr>
            <w:tcW w:w="2256" w:type="dxa"/>
            <w:vAlign w:val="center"/>
          </w:tcPr>
          <w:p w14:paraId="530B0CB0" w14:textId="0D60D465" w:rsidR="00520E1E" w:rsidRPr="00046858" w:rsidRDefault="00520E1E" w:rsidP="00362B35">
            <w:pPr>
              <w:pStyle w:val="Text1"/>
              <w:ind w:left="0"/>
              <w:jc w:val="center"/>
              <w:rPr>
                <w:noProof/>
              </w:rPr>
            </w:pPr>
            <w:r w:rsidRPr="00046858">
              <w:rPr>
                <w:noProof/>
              </w:rPr>
              <w:t>Articolul 38</w:t>
            </w:r>
          </w:p>
        </w:tc>
        <w:tc>
          <w:tcPr>
            <w:tcW w:w="3097" w:type="dxa"/>
            <w:vAlign w:val="center"/>
          </w:tcPr>
          <w:p w14:paraId="69F2916E" w14:textId="77777777" w:rsidR="00520E1E" w:rsidRPr="00046858" w:rsidRDefault="00520E1E" w:rsidP="00362B35">
            <w:pPr>
              <w:pStyle w:val="Text1"/>
              <w:ind w:left="0"/>
              <w:jc w:val="center"/>
              <w:rPr>
                <w:noProof/>
              </w:rPr>
            </w:pPr>
            <w:r w:rsidRPr="00046858">
              <w:rPr>
                <w:noProof/>
              </w:rPr>
              <w:t>N/A</w:t>
            </w:r>
          </w:p>
        </w:tc>
      </w:tr>
      <w:tr w:rsidR="00CF0BC4" w:rsidRPr="00046858" w14:paraId="060599BE" w14:textId="77777777" w:rsidTr="00E423C8">
        <w:tc>
          <w:tcPr>
            <w:tcW w:w="3936" w:type="dxa"/>
          </w:tcPr>
          <w:p w14:paraId="44651376" w14:textId="77777777" w:rsidR="00CF0BC4" w:rsidRPr="00046858" w:rsidRDefault="00CF0BC4" w:rsidP="00362B35">
            <w:pPr>
              <w:pStyle w:val="Text1"/>
              <w:ind w:left="0"/>
              <w:jc w:val="center"/>
              <w:rPr>
                <w:noProof/>
              </w:rPr>
            </w:pPr>
            <w:r w:rsidRPr="00046858">
              <w:rPr>
                <w:noProof/>
              </w:rPr>
              <w:t>Colectarea de informații în stadiul de criză</w:t>
            </w:r>
          </w:p>
        </w:tc>
        <w:tc>
          <w:tcPr>
            <w:tcW w:w="2256" w:type="dxa"/>
            <w:vAlign w:val="center"/>
          </w:tcPr>
          <w:p w14:paraId="74A874B9" w14:textId="03A5F341" w:rsidR="00CF0BC4" w:rsidRPr="00046858" w:rsidRDefault="00CF0BC4" w:rsidP="00362B35">
            <w:pPr>
              <w:pStyle w:val="Text1"/>
              <w:ind w:left="0"/>
              <w:jc w:val="center"/>
              <w:rPr>
                <w:noProof/>
              </w:rPr>
            </w:pPr>
            <w:r w:rsidRPr="00046858">
              <w:rPr>
                <w:noProof/>
              </w:rPr>
              <w:t>Articolul 41</w:t>
            </w:r>
          </w:p>
        </w:tc>
        <w:tc>
          <w:tcPr>
            <w:tcW w:w="3097" w:type="dxa"/>
            <w:vAlign w:val="center"/>
          </w:tcPr>
          <w:p w14:paraId="7D92DBC2" w14:textId="77777777" w:rsidR="00CF0BC4" w:rsidRPr="00046858" w:rsidRDefault="00CF0BC4" w:rsidP="00362B35">
            <w:pPr>
              <w:pStyle w:val="Text1"/>
              <w:ind w:left="0"/>
              <w:jc w:val="center"/>
              <w:rPr>
                <w:noProof/>
              </w:rPr>
            </w:pPr>
            <w:r w:rsidRPr="00046858">
              <w:rPr>
                <w:noProof/>
              </w:rPr>
              <w:t>N/A</w:t>
            </w:r>
          </w:p>
        </w:tc>
      </w:tr>
    </w:tbl>
    <w:p w14:paraId="1FE7AFAB" w14:textId="77777777" w:rsidR="0025179A" w:rsidRPr="00046858" w:rsidRDefault="0025179A" w:rsidP="002C7F64">
      <w:pPr>
        <w:pStyle w:val="Text1"/>
        <w:ind w:left="0"/>
        <w:rPr>
          <w:b/>
          <w:bCs/>
          <w:noProof/>
        </w:rPr>
      </w:pPr>
      <w:r w:rsidRPr="00046858">
        <w:rPr>
          <w:b/>
          <w:noProof/>
        </w:rPr>
        <w:t>Fluxuri de date</w:t>
      </w:r>
      <w:r w:rsidRPr="00046858">
        <w:rPr>
          <w:noProof/>
        </w:rPr>
        <w:t xml:space="preserve"> </w:t>
      </w:r>
    </w:p>
    <w:p w14:paraId="164AFBF4" w14:textId="77777777" w:rsidR="007A328A" w:rsidRPr="00046858" w:rsidRDefault="007A328A" w:rsidP="002C7F64">
      <w:pPr>
        <w:pStyle w:val="Text1"/>
        <w:ind w:left="0"/>
        <w:rPr>
          <w:i/>
          <w:iCs/>
          <w:noProof/>
        </w:rPr>
      </w:pPr>
      <w:r w:rsidRPr="00046858">
        <w:rPr>
          <w:i/>
          <w:noProof/>
        </w:rPr>
        <w:t>Descriere la nivel înalt a fluxurilor de date</w:t>
      </w:r>
    </w:p>
    <w:tbl>
      <w:tblPr>
        <w:tblStyle w:val="TableGrid"/>
        <w:tblW w:w="0" w:type="auto"/>
        <w:tblLook w:val="04A0" w:firstRow="1" w:lastRow="0" w:firstColumn="1" w:lastColumn="0" w:noHBand="0" w:noVBand="1"/>
      </w:tblPr>
      <w:tblGrid>
        <w:gridCol w:w="1964"/>
        <w:gridCol w:w="1498"/>
        <w:gridCol w:w="1442"/>
        <w:gridCol w:w="1455"/>
        <w:gridCol w:w="1482"/>
        <w:gridCol w:w="1448"/>
      </w:tblGrid>
      <w:tr w:rsidR="00082018" w:rsidRPr="00046858" w14:paraId="2C7E223F" w14:textId="77777777" w:rsidTr="00E927DC">
        <w:tc>
          <w:tcPr>
            <w:tcW w:w="1670" w:type="dxa"/>
          </w:tcPr>
          <w:p w14:paraId="55B08865" w14:textId="77777777" w:rsidR="00082018" w:rsidRPr="00046858" w:rsidRDefault="00082018" w:rsidP="002C7F64">
            <w:pPr>
              <w:pStyle w:val="Text1"/>
              <w:ind w:left="0"/>
              <w:rPr>
                <w:b/>
                <w:bCs/>
                <w:noProof/>
              </w:rPr>
            </w:pPr>
            <w:r w:rsidRPr="00046858">
              <w:rPr>
                <w:b/>
                <w:noProof/>
              </w:rPr>
              <w:t>Tipul de date</w:t>
            </w:r>
          </w:p>
        </w:tc>
        <w:tc>
          <w:tcPr>
            <w:tcW w:w="1543" w:type="dxa"/>
          </w:tcPr>
          <w:p w14:paraId="706D72D7" w14:textId="77777777" w:rsidR="00082018" w:rsidRPr="00046858" w:rsidRDefault="00082018" w:rsidP="002C7F64">
            <w:pPr>
              <w:pStyle w:val="Text1"/>
              <w:ind w:left="0"/>
              <w:rPr>
                <w:b/>
                <w:bCs/>
                <w:noProof/>
              </w:rPr>
            </w:pPr>
            <w:r w:rsidRPr="00046858">
              <w:rPr>
                <w:b/>
                <w:noProof/>
              </w:rPr>
              <w:t>Trimitere (trimiteri) la document</w:t>
            </w:r>
          </w:p>
        </w:tc>
        <w:tc>
          <w:tcPr>
            <w:tcW w:w="1499" w:type="dxa"/>
          </w:tcPr>
          <w:p w14:paraId="31DB8E61" w14:textId="77777777" w:rsidR="00082018" w:rsidRPr="00046858" w:rsidRDefault="00082018" w:rsidP="002C7F64">
            <w:pPr>
              <w:pStyle w:val="Text1"/>
              <w:ind w:left="0"/>
              <w:rPr>
                <w:b/>
                <w:bCs/>
                <w:noProof/>
              </w:rPr>
            </w:pPr>
            <w:r w:rsidRPr="00046858">
              <w:rPr>
                <w:b/>
                <w:noProof/>
              </w:rPr>
              <w:t>Actori care furnizează datele</w:t>
            </w:r>
          </w:p>
        </w:tc>
        <w:tc>
          <w:tcPr>
            <w:tcW w:w="1537" w:type="dxa"/>
          </w:tcPr>
          <w:p w14:paraId="4EF1E4D9" w14:textId="77777777" w:rsidR="00082018" w:rsidRPr="00046858" w:rsidRDefault="00082018" w:rsidP="002C7F64">
            <w:pPr>
              <w:pStyle w:val="Text1"/>
              <w:ind w:left="0"/>
              <w:rPr>
                <w:b/>
                <w:bCs/>
                <w:noProof/>
              </w:rPr>
            </w:pPr>
            <w:r w:rsidRPr="00046858">
              <w:rPr>
                <w:b/>
                <w:noProof/>
              </w:rPr>
              <w:t>Actori care primesc datele</w:t>
            </w:r>
          </w:p>
        </w:tc>
        <w:tc>
          <w:tcPr>
            <w:tcW w:w="1513" w:type="dxa"/>
          </w:tcPr>
          <w:p w14:paraId="30E528DB" w14:textId="77777777" w:rsidR="00082018" w:rsidRPr="00046858" w:rsidRDefault="00082018" w:rsidP="002C7F64">
            <w:pPr>
              <w:pStyle w:val="Text1"/>
              <w:ind w:left="0"/>
              <w:rPr>
                <w:b/>
                <w:bCs/>
                <w:noProof/>
              </w:rPr>
            </w:pPr>
            <w:r w:rsidRPr="00046858">
              <w:rPr>
                <w:b/>
                <w:noProof/>
              </w:rPr>
              <w:t>Factorul declanșator pentru schimbul de date</w:t>
            </w:r>
          </w:p>
        </w:tc>
        <w:tc>
          <w:tcPr>
            <w:tcW w:w="1527" w:type="dxa"/>
          </w:tcPr>
          <w:p w14:paraId="625D3319" w14:textId="77777777" w:rsidR="00082018" w:rsidRPr="00046858" w:rsidRDefault="00082018" w:rsidP="002C7F64">
            <w:pPr>
              <w:pStyle w:val="Text1"/>
              <w:ind w:left="0"/>
              <w:rPr>
                <w:b/>
                <w:bCs/>
                <w:noProof/>
              </w:rPr>
            </w:pPr>
            <w:r w:rsidRPr="00046858">
              <w:rPr>
                <w:b/>
                <w:noProof/>
              </w:rPr>
              <w:t>Frecvența (dacă este cazul)</w:t>
            </w:r>
          </w:p>
        </w:tc>
      </w:tr>
      <w:tr w:rsidR="00082018" w:rsidRPr="00046858" w14:paraId="45089062" w14:textId="77777777" w:rsidTr="00E927DC">
        <w:tc>
          <w:tcPr>
            <w:tcW w:w="1670" w:type="dxa"/>
          </w:tcPr>
          <w:p w14:paraId="7DF48E65" w14:textId="77777777" w:rsidR="00082018" w:rsidRPr="00046858" w:rsidRDefault="00082018" w:rsidP="000836E9">
            <w:pPr>
              <w:pStyle w:val="Text1"/>
              <w:ind w:left="0"/>
              <w:jc w:val="left"/>
              <w:rPr>
                <w:b/>
                <w:bCs/>
                <w:noProof/>
              </w:rPr>
            </w:pPr>
            <w:r w:rsidRPr="00046858">
              <w:rPr>
                <w:noProof/>
              </w:rPr>
              <w:t>Date în contextul cererii de acordare a statutului de inițiativă europeană în domeniul tehnologiilor semiconductorilor</w:t>
            </w:r>
          </w:p>
        </w:tc>
        <w:tc>
          <w:tcPr>
            <w:tcW w:w="1543" w:type="dxa"/>
            <w:vAlign w:val="center"/>
          </w:tcPr>
          <w:p w14:paraId="2A07ABC8" w14:textId="77777777" w:rsidR="00082018" w:rsidRPr="00046858" w:rsidRDefault="00082018" w:rsidP="00175FE5">
            <w:pPr>
              <w:pStyle w:val="Text1"/>
              <w:ind w:left="0"/>
              <w:jc w:val="center"/>
              <w:rPr>
                <w:noProof/>
              </w:rPr>
            </w:pPr>
            <w:r w:rsidRPr="00046858">
              <w:rPr>
                <w:noProof/>
              </w:rPr>
              <w:t>Articolul 15</w:t>
            </w:r>
          </w:p>
        </w:tc>
        <w:tc>
          <w:tcPr>
            <w:tcW w:w="1499" w:type="dxa"/>
            <w:vAlign w:val="center"/>
          </w:tcPr>
          <w:p w14:paraId="0355F180" w14:textId="77777777" w:rsidR="00082018" w:rsidRPr="00046858" w:rsidRDefault="00082018" w:rsidP="00175FE5">
            <w:pPr>
              <w:pStyle w:val="Text1"/>
              <w:ind w:left="0"/>
              <w:jc w:val="center"/>
              <w:rPr>
                <w:noProof/>
              </w:rPr>
            </w:pPr>
            <w:r w:rsidRPr="00046858">
              <w:rPr>
                <w:noProof/>
              </w:rPr>
              <w:t>Industria</w:t>
            </w:r>
          </w:p>
        </w:tc>
        <w:tc>
          <w:tcPr>
            <w:tcW w:w="1537" w:type="dxa"/>
            <w:vAlign w:val="center"/>
          </w:tcPr>
          <w:p w14:paraId="131E66D0" w14:textId="77777777" w:rsidR="00082018" w:rsidRPr="00046858" w:rsidRDefault="00096FD8" w:rsidP="00175FE5">
            <w:pPr>
              <w:pStyle w:val="Text1"/>
              <w:ind w:left="0"/>
              <w:jc w:val="center"/>
              <w:rPr>
                <w:b/>
                <w:bCs/>
                <w:noProof/>
              </w:rPr>
            </w:pPr>
            <w:r w:rsidRPr="00046858">
              <w:rPr>
                <w:noProof/>
              </w:rPr>
              <w:t>Comisia Europeană</w:t>
            </w:r>
          </w:p>
        </w:tc>
        <w:tc>
          <w:tcPr>
            <w:tcW w:w="1513" w:type="dxa"/>
            <w:vAlign w:val="center"/>
          </w:tcPr>
          <w:p w14:paraId="105AEC98" w14:textId="77777777" w:rsidR="00082018" w:rsidRPr="00046858" w:rsidRDefault="00175FE5" w:rsidP="00175FE5">
            <w:pPr>
              <w:pStyle w:val="Text1"/>
              <w:ind w:left="0"/>
              <w:jc w:val="center"/>
              <w:rPr>
                <w:noProof/>
              </w:rPr>
            </w:pPr>
            <w:r w:rsidRPr="00046858">
              <w:rPr>
                <w:noProof/>
              </w:rPr>
              <w:t>N/A</w:t>
            </w:r>
          </w:p>
        </w:tc>
        <w:tc>
          <w:tcPr>
            <w:tcW w:w="1527" w:type="dxa"/>
            <w:vAlign w:val="center"/>
          </w:tcPr>
          <w:p w14:paraId="0B332B16" w14:textId="77777777" w:rsidR="00082018" w:rsidRPr="00046858" w:rsidRDefault="005A01F7" w:rsidP="00175FE5">
            <w:pPr>
              <w:pStyle w:val="Text1"/>
              <w:ind w:left="0"/>
              <w:jc w:val="center"/>
              <w:rPr>
                <w:noProof/>
              </w:rPr>
            </w:pPr>
            <w:r w:rsidRPr="00046858">
              <w:rPr>
                <w:noProof/>
              </w:rPr>
              <w:t>N/A</w:t>
            </w:r>
          </w:p>
        </w:tc>
      </w:tr>
      <w:tr w:rsidR="00082018" w:rsidRPr="00046858" w14:paraId="0AF65F48" w14:textId="77777777" w:rsidTr="00E927DC">
        <w:tc>
          <w:tcPr>
            <w:tcW w:w="1670" w:type="dxa"/>
          </w:tcPr>
          <w:p w14:paraId="7497CB93" w14:textId="77777777" w:rsidR="00082018" w:rsidRPr="00046858" w:rsidRDefault="00295535" w:rsidP="000836E9">
            <w:pPr>
              <w:pStyle w:val="Text1"/>
              <w:ind w:left="0"/>
              <w:jc w:val="left"/>
              <w:rPr>
                <w:b/>
                <w:bCs/>
                <w:noProof/>
              </w:rPr>
            </w:pPr>
            <w:r w:rsidRPr="00046858">
              <w:rPr>
                <w:noProof/>
              </w:rPr>
              <w:t>Cereri de acordare a autorizațiilor</w:t>
            </w:r>
          </w:p>
        </w:tc>
        <w:tc>
          <w:tcPr>
            <w:tcW w:w="1543" w:type="dxa"/>
            <w:vAlign w:val="center"/>
          </w:tcPr>
          <w:p w14:paraId="7E69CDA5" w14:textId="3DCD1315" w:rsidR="00082018" w:rsidRPr="00046858" w:rsidRDefault="00E92EE5" w:rsidP="005A01F7">
            <w:pPr>
              <w:pStyle w:val="Text1"/>
              <w:ind w:left="0"/>
              <w:jc w:val="center"/>
              <w:rPr>
                <w:noProof/>
              </w:rPr>
            </w:pPr>
            <w:r w:rsidRPr="00046858">
              <w:rPr>
                <w:noProof/>
              </w:rPr>
              <w:t>Articolul 22</w:t>
            </w:r>
          </w:p>
        </w:tc>
        <w:tc>
          <w:tcPr>
            <w:tcW w:w="1499" w:type="dxa"/>
            <w:vAlign w:val="center"/>
          </w:tcPr>
          <w:p w14:paraId="3C032DE6" w14:textId="77777777" w:rsidR="00082018" w:rsidRPr="00046858" w:rsidRDefault="00E92EE5" w:rsidP="005A01F7">
            <w:pPr>
              <w:pStyle w:val="Text1"/>
              <w:ind w:left="0"/>
              <w:jc w:val="center"/>
              <w:rPr>
                <w:noProof/>
              </w:rPr>
            </w:pPr>
            <w:r w:rsidRPr="00046858">
              <w:rPr>
                <w:noProof/>
              </w:rPr>
              <w:t>Industria</w:t>
            </w:r>
          </w:p>
        </w:tc>
        <w:tc>
          <w:tcPr>
            <w:tcW w:w="1537" w:type="dxa"/>
            <w:vAlign w:val="center"/>
          </w:tcPr>
          <w:p w14:paraId="6104AD3D" w14:textId="77777777" w:rsidR="00082018" w:rsidRPr="00046858" w:rsidRDefault="005A01F7" w:rsidP="005A01F7">
            <w:pPr>
              <w:pStyle w:val="Text1"/>
              <w:ind w:left="0"/>
              <w:jc w:val="center"/>
              <w:rPr>
                <w:noProof/>
              </w:rPr>
            </w:pPr>
            <w:r w:rsidRPr="00046858">
              <w:rPr>
                <w:noProof/>
              </w:rPr>
              <w:t>Statele membre</w:t>
            </w:r>
          </w:p>
        </w:tc>
        <w:tc>
          <w:tcPr>
            <w:tcW w:w="1513" w:type="dxa"/>
            <w:vAlign w:val="center"/>
          </w:tcPr>
          <w:p w14:paraId="0B76F174" w14:textId="77777777" w:rsidR="00082018" w:rsidRPr="00046858" w:rsidRDefault="005A01F7" w:rsidP="005A01F7">
            <w:pPr>
              <w:pStyle w:val="Text1"/>
              <w:ind w:left="0"/>
              <w:jc w:val="center"/>
              <w:rPr>
                <w:noProof/>
              </w:rPr>
            </w:pPr>
            <w:r w:rsidRPr="00046858">
              <w:rPr>
                <w:noProof/>
              </w:rPr>
              <w:t>N/A</w:t>
            </w:r>
          </w:p>
        </w:tc>
        <w:tc>
          <w:tcPr>
            <w:tcW w:w="1527" w:type="dxa"/>
            <w:vAlign w:val="center"/>
          </w:tcPr>
          <w:p w14:paraId="6D199F04" w14:textId="77777777" w:rsidR="00082018" w:rsidRPr="00046858" w:rsidRDefault="00096FD8" w:rsidP="005A01F7">
            <w:pPr>
              <w:pStyle w:val="Text1"/>
              <w:ind w:left="0"/>
              <w:jc w:val="center"/>
              <w:rPr>
                <w:noProof/>
              </w:rPr>
            </w:pPr>
            <w:r w:rsidRPr="00046858">
              <w:rPr>
                <w:noProof/>
              </w:rPr>
              <w:t>N/A</w:t>
            </w:r>
          </w:p>
        </w:tc>
      </w:tr>
      <w:tr w:rsidR="005A01F7" w:rsidRPr="00046858" w14:paraId="3C0BC3CE" w14:textId="77777777" w:rsidTr="00E927DC">
        <w:tc>
          <w:tcPr>
            <w:tcW w:w="1670" w:type="dxa"/>
          </w:tcPr>
          <w:p w14:paraId="28B20654" w14:textId="77777777" w:rsidR="005A01F7" w:rsidRPr="00046858" w:rsidRDefault="00096FD8" w:rsidP="000836E9">
            <w:pPr>
              <w:pStyle w:val="Text1"/>
              <w:ind w:left="0"/>
              <w:jc w:val="left"/>
              <w:rPr>
                <w:noProof/>
              </w:rPr>
            </w:pPr>
            <w:r w:rsidRPr="00046858">
              <w:rPr>
                <w:noProof/>
              </w:rPr>
              <w:t>Date necesare pentru o cartografiere strategică a sectorului semiconductorilor din Uniune</w:t>
            </w:r>
          </w:p>
        </w:tc>
        <w:tc>
          <w:tcPr>
            <w:tcW w:w="1543" w:type="dxa"/>
            <w:vAlign w:val="center"/>
          </w:tcPr>
          <w:p w14:paraId="50A98EB2" w14:textId="4838BE44" w:rsidR="005A01F7" w:rsidRPr="00046858" w:rsidRDefault="00096FD8" w:rsidP="005A01F7">
            <w:pPr>
              <w:pStyle w:val="Text1"/>
              <w:ind w:left="0"/>
              <w:jc w:val="center"/>
              <w:rPr>
                <w:noProof/>
              </w:rPr>
            </w:pPr>
            <w:r w:rsidRPr="00046858">
              <w:rPr>
                <w:noProof/>
              </w:rPr>
              <w:t>Articolul 33</w:t>
            </w:r>
          </w:p>
        </w:tc>
        <w:tc>
          <w:tcPr>
            <w:tcW w:w="1499" w:type="dxa"/>
            <w:vAlign w:val="center"/>
          </w:tcPr>
          <w:p w14:paraId="13D415C3" w14:textId="77777777" w:rsidR="005A01F7" w:rsidRPr="00046858" w:rsidRDefault="00096FD8" w:rsidP="005A01F7">
            <w:pPr>
              <w:pStyle w:val="Text1"/>
              <w:ind w:left="0"/>
              <w:jc w:val="center"/>
              <w:rPr>
                <w:noProof/>
              </w:rPr>
            </w:pPr>
            <w:r w:rsidRPr="00046858">
              <w:rPr>
                <w:noProof/>
              </w:rPr>
              <w:t>Industria</w:t>
            </w:r>
          </w:p>
        </w:tc>
        <w:tc>
          <w:tcPr>
            <w:tcW w:w="1537" w:type="dxa"/>
            <w:vAlign w:val="center"/>
          </w:tcPr>
          <w:p w14:paraId="4A539E2D" w14:textId="77777777" w:rsidR="005A01F7" w:rsidRPr="00046858" w:rsidRDefault="00096FD8" w:rsidP="005A01F7">
            <w:pPr>
              <w:pStyle w:val="Text1"/>
              <w:ind w:left="0"/>
              <w:jc w:val="center"/>
              <w:rPr>
                <w:noProof/>
              </w:rPr>
            </w:pPr>
            <w:r w:rsidRPr="00046858">
              <w:rPr>
                <w:noProof/>
              </w:rPr>
              <w:t>Comisia Europeană</w:t>
            </w:r>
          </w:p>
        </w:tc>
        <w:tc>
          <w:tcPr>
            <w:tcW w:w="1513" w:type="dxa"/>
            <w:vAlign w:val="center"/>
          </w:tcPr>
          <w:p w14:paraId="04E7F101" w14:textId="77777777" w:rsidR="005A01F7" w:rsidRPr="00046858" w:rsidRDefault="00096FD8" w:rsidP="005A01F7">
            <w:pPr>
              <w:pStyle w:val="Text1"/>
              <w:ind w:left="0"/>
              <w:jc w:val="center"/>
              <w:rPr>
                <w:noProof/>
              </w:rPr>
            </w:pPr>
            <w:r w:rsidRPr="00046858">
              <w:rPr>
                <w:noProof/>
              </w:rPr>
              <w:t>N/A</w:t>
            </w:r>
          </w:p>
        </w:tc>
        <w:tc>
          <w:tcPr>
            <w:tcW w:w="1527" w:type="dxa"/>
            <w:vAlign w:val="center"/>
          </w:tcPr>
          <w:p w14:paraId="51155FDF" w14:textId="77777777" w:rsidR="005A01F7" w:rsidRPr="00046858" w:rsidRDefault="00096FD8" w:rsidP="005A01F7">
            <w:pPr>
              <w:pStyle w:val="Text1"/>
              <w:ind w:left="0"/>
              <w:jc w:val="center"/>
              <w:rPr>
                <w:noProof/>
              </w:rPr>
            </w:pPr>
            <w:r w:rsidRPr="00046858">
              <w:rPr>
                <w:noProof/>
              </w:rPr>
              <w:t>N/A</w:t>
            </w:r>
          </w:p>
        </w:tc>
      </w:tr>
      <w:tr w:rsidR="00096FD8" w:rsidRPr="00046858" w14:paraId="598BC855" w14:textId="77777777" w:rsidTr="00E927DC">
        <w:tc>
          <w:tcPr>
            <w:tcW w:w="1670" w:type="dxa"/>
          </w:tcPr>
          <w:p w14:paraId="2A638EDA" w14:textId="77777777" w:rsidR="00096FD8" w:rsidRPr="00046858" w:rsidRDefault="00096FD8" w:rsidP="000836E9">
            <w:pPr>
              <w:pStyle w:val="Text1"/>
              <w:ind w:left="0"/>
              <w:jc w:val="left"/>
              <w:rPr>
                <w:noProof/>
              </w:rPr>
            </w:pPr>
            <w:r w:rsidRPr="00046858">
              <w:rPr>
                <w:noProof/>
              </w:rPr>
              <w:t>Date în contextul Platformei B2B pentru lanțul de aprovizionare cu semiconductori</w:t>
            </w:r>
          </w:p>
        </w:tc>
        <w:tc>
          <w:tcPr>
            <w:tcW w:w="1543" w:type="dxa"/>
            <w:vAlign w:val="center"/>
          </w:tcPr>
          <w:p w14:paraId="486C12F1" w14:textId="1DAA5512" w:rsidR="00096FD8" w:rsidRPr="00046858" w:rsidRDefault="00096FD8" w:rsidP="005A01F7">
            <w:pPr>
              <w:pStyle w:val="Text1"/>
              <w:ind w:left="0"/>
              <w:jc w:val="center"/>
              <w:rPr>
                <w:noProof/>
              </w:rPr>
            </w:pPr>
            <w:r w:rsidRPr="00046858">
              <w:rPr>
                <w:noProof/>
              </w:rPr>
              <w:t>Articolul 34</w:t>
            </w:r>
          </w:p>
        </w:tc>
        <w:tc>
          <w:tcPr>
            <w:tcW w:w="1499" w:type="dxa"/>
            <w:vAlign w:val="center"/>
          </w:tcPr>
          <w:p w14:paraId="751F87E8" w14:textId="77777777" w:rsidR="00096FD8" w:rsidRPr="00046858" w:rsidRDefault="00096FD8" w:rsidP="005A01F7">
            <w:pPr>
              <w:pStyle w:val="Text1"/>
              <w:ind w:left="0"/>
              <w:jc w:val="center"/>
              <w:rPr>
                <w:noProof/>
              </w:rPr>
            </w:pPr>
            <w:r w:rsidRPr="00046858">
              <w:rPr>
                <w:noProof/>
              </w:rPr>
              <w:t>Industria</w:t>
            </w:r>
          </w:p>
        </w:tc>
        <w:tc>
          <w:tcPr>
            <w:tcW w:w="1537" w:type="dxa"/>
            <w:vAlign w:val="center"/>
          </w:tcPr>
          <w:p w14:paraId="55ADBFBF" w14:textId="77777777" w:rsidR="00096FD8" w:rsidRPr="00046858" w:rsidRDefault="00096FD8" w:rsidP="005A01F7">
            <w:pPr>
              <w:pStyle w:val="Text1"/>
              <w:ind w:left="0"/>
              <w:jc w:val="center"/>
              <w:rPr>
                <w:noProof/>
              </w:rPr>
            </w:pPr>
            <w:r w:rsidRPr="00046858">
              <w:rPr>
                <w:noProof/>
              </w:rPr>
              <w:t>Comisia Europeană</w:t>
            </w:r>
          </w:p>
        </w:tc>
        <w:tc>
          <w:tcPr>
            <w:tcW w:w="1513" w:type="dxa"/>
            <w:vAlign w:val="center"/>
          </w:tcPr>
          <w:p w14:paraId="05A1F4F5" w14:textId="77777777" w:rsidR="00096FD8" w:rsidRPr="00046858" w:rsidRDefault="00096FD8" w:rsidP="005A01F7">
            <w:pPr>
              <w:pStyle w:val="Text1"/>
              <w:ind w:left="0"/>
              <w:jc w:val="center"/>
              <w:rPr>
                <w:noProof/>
              </w:rPr>
            </w:pPr>
            <w:r w:rsidRPr="00046858">
              <w:rPr>
                <w:noProof/>
              </w:rPr>
              <w:t>N/A</w:t>
            </w:r>
          </w:p>
        </w:tc>
        <w:tc>
          <w:tcPr>
            <w:tcW w:w="1527" w:type="dxa"/>
            <w:vAlign w:val="center"/>
          </w:tcPr>
          <w:p w14:paraId="313F0411" w14:textId="77777777" w:rsidR="00096FD8" w:rsidRPr="00046858" w:rsidRDefault="00096FD8" w:rsidP="005A01F7">
            <w:pPr>
              <w:pStyle w:val="Text1"/>
              <w:ind w:left="0"/>
              <w:jc w:val="center"/>
              <w:rPr>
                <w:noProof/>
              </w:rPr>
            </w:pPr>
            <w:r w:rsidRPr="00046858">
              <w:rPr>
                <w:noProof/>
              </w:rPr>
              <w:t>N/A</w:t>
            </w:r>
          </w:p>
        </w:tc>
      </w:tr>
      <w:tr w:rsidR="00096FD8" w:rsidRPr="00046858" w14:paraId="4E3CE1F5" w14:textId="77777777" w:rsidTr="00E927DC">
        <w:tc>
          <w:tcPr>
            <w:tcW w:w="1670" w:type="dxa"/>
          </w:tcPr>
          <w:p w14:paraId="62913BA5" w14:textId="77777777" w:rsidR="00096FD8" w:rsidRPr="00046858" w:rsidRDefault="00096FD8" w:rsidP="000836E9">
            <w:pPr>
              <w:pStyle w:val="Text1"/>
              <w:ind w:left="0"/>
              <w:jc w:val="left"/>
              <w:rPr>
                <w:noProof/>
              </w:rPr>
            </w:pPr>
            <w:r w:rsidRPr="00046858">
              <w:rPr>
                <w:noProof/>
              </w:rPr>
              <w:t>Date necesare pentru monitorizarea lanțului valoric al semiconductorilor</w:t>
            </w:r>
          </w:p>
        </w:tc>
        <w:tc>
          <w:tcPr>
            <w:tcW w:w="1543" w:type="dxa"/>
            <w:vAlign w:val="center"/>
          </w:tcPr>
          <w:p w14:paraId="78AA0FD1" w14:textId="37C2A219" w:rsidR="00096FD8" w:rsidRPr="00046858" w:rsidRDefault="00096FD8" w:rsidP="005A01F7">
            <w:pPr>
              <w:pStyle w:val="Text1"/>
              <w:ind w:left="0"/>
              <w:jc w:val="center"/>
              <w:rPr>
                <w:noProof/>
              </w:rPr>
            </w:pPr>
            <w:r w:rsidRPr="00046858">
              <w:rPr>
                <w:noProof/>
              </w:rPr>
              <w:t>Articolul 35</w:t>
            </w:r>
          </w:p>
        </w:tc>
        <w:tc>
          <w:tcPr>
            <w:tcW w:w="1499" w:type="dxa"/>
            <w:vAlign w:val="center"/>
          </w:tcPr>
          <w:p w14:paraId="2F2DADD4" w14:textId="77777777" w:rsidR="00096FD8" w:rsidRPr="00046858" w:rsidRDefault="00096FD8" w:rsidP="005A01F7">
            <w:pPr>
              <w:pStyle w:val="Text1"/>
              <w:ind w:left="0"/>
              <w:jc w:val="center"/>
              <w:rPr>
                <w:noProof/>
              </w:rPr>
            </w:pPr>
            <w:r w:rsidRPr="00046858">
              <w:rPr>
                <w:noProof/>
              </w:rPr>
              <w:t>Industria</w:t>
            </w:r>
          </w:p>
        </w:tc>
        <w:tc>
          <w:tcPr>
            <w:tcW w:w="1537" w:type="dxa"/>
            <w:vAlign w:val="center"/>
          </w:tcPr>
          <w:p w14:paraId="06725CE2" w14:textId="77777777" w:rsidR="00096FD8" w:rsidRPr="00046858" w:rsidRDefault="00096FD8" w:rsidP="005A01F7">
            <w:pPr>
              <w:pStyle w:val="Text1"/>
              <w:ind w:left="0"/>
              <w:jc w:val="center"/>
              <w:rPr>
                <w:noProof/>
              </w:rPr>
            </w:pPr>
            <w:r w:rsidRPr="00046858">
              <w:rPr>
                <w:noProof/>
              </w:rPr>
              <w:t>Comisia Europeană</w:t>
            </w:r>
          </w:p>
        </w:tc>
        <w:tc>
          <w:tcPr>
            <w:tcW w:w="1513" w:type="dxa"/>
            <w:vAlign w:val="center"/>
          </w:tcPr>
          <w:p w14:paraId="6C620CC9" w14:textId="77777777" w:rsidR="00096FD8" w:rsidRPr="00046858" w:rsidRDefault="00096FD8" w:rsidP="005A01F7">
            <w:pPr>
              <w:pStyle w:val="Text1"/>
              <w:ind w:left="0"/>
              <w:jc w:val="center"/>
              <w:rPr>
                <w:noProof/>
              </w:rPr>
            </w:pPr>
            <w:r w:rsidRPr="00046858">
              <w:rPr>
                <w:noProof/>
              </w:rPr>
              <w:t>N/A</w:t>
            </w:r>
          </w:p>
        </w:tc>
        <w:tc>
          <w:tcPr>
            <w:tcW w:w="1527" w:type="dxa"/>
            <w:vAlign w:val="center"/>
          </w:tcPr>
          <w:p w14:paraId="08916E30" w14:textId="77777777" w:rsidR="00096FD8" w:rsidRPr="00046858" w:rsidRDefault="00096FD8" w:rsidP="005A01F7">
            <w:pPr>
              <w:pStyle w:val="Text1"/>
              <w:ind w:left="0"/>
              <w:jc w:val="center"/>
              <w:rPr>
                <w:noProof/>
              </w:rPr>
            </w:pPr>
            <w:r w:rsidRPr="00046858">
              <w:rPr>
                <w:noProof/>
              </w:rPr>
              <w:t>N/A</w:t>
            </w:r>
          </w:p>
        </w:tc>
      </w:tr>
      <w:tr w:rsidR="00096FD8" w:rsidRPr="00046858" w14:paraId="0B3DD760" w14:textId="77777777" w:rsidTr="00E927DC">
        <w:tc>
          <w:tcPr>
            <w:tcW w:w="1670" w:type="dxa"/>
          </w:tcPr>
          <w:p w14:paraId="10B54887" w14:textId="77777777" w:rsidR="00096FD8" w:rsidRPr="00046858" w:rsidRDefault="00284E24" w:rsidP="000836E9">
            <w:pPr>
              <w:pStyle w:val="Text1"/>
              <w:ind w:left="0"/>
              <w:jc w:val="left"/>
              <w:rPr>
                <w:noProof/>
              </w:rPr>
            </w:pPr>
            <w:r w:rsidRPr="00046858">
              <w:rPr>
                <w:noProof/>
              </w:rPr>
              <w:t>Colectarea preventivă a informațiilor</w:t>
            </w:r>
          </w:p>
        </w:tc>
        <w:tc>
          <w:tcPr>
            <w:tcW w:w="1543" w:type="dxa"/>
            <w:vAlign w:val="center"/>
          </w:tcPr>
          <w:p w14:paraId="15AC1253" w14:textId="1AEE4D04" w:rsidR="00096FD8" w:rsidRPr="00046858" w:rsidRDefault="00092D2F" w:rsidP="005A01F7">
            <w:pPr>
              <w:pStyle w:val="Text1"/>
              <w:ind w:left="0"/>
              <w:jc w:val="center"/>
              <w:rPr>
                <w:noProof/>
              </w:rPr>
            </w:pPr>
            <w:r w:rsidRPr="00046858">
              <w:rPr>
                <w:noProof/>
              </w:rPr>
              <w:t>Articolul 38</w:t>
            </w:r>
          </w:p>
        </w:tc>
        <w:tc>
          <w:tcPr>
            <w:tcW w:w="1499" w:type="dxa"/>
            <w:vAlign w:val="center"/>
          </w:tcPr>
          <w:p w14:paraId="0547C53C" w14:textId="77777777" w:rsidR="00096FD8" w:rsidRPr="00046858" w:rsidRDefault="00092D2F" w:rsidP="005A01F7">
            <w:pPr>
              <w:pStyle w:val="Text1"/>
              <w:ind w:left="0"/>
              <w:jc w:val="center"/>
              <w:rPr>
                <w:noProof/>
              </w:rPr>
            </w:pPr>
            <w:r w:rsidRPr="00046858">
              <w:rPr>
                <w:noProof/>
              </w:rPr>
              <w:t>Industria</w:t>
            </w:r>
          </w:p>
        </w:tc>
        <w:tc>
          <w:tcPr>
            <w:tcW w:w="1537" w:type="dxa"/>
            <w:vAlign w:val="center"/>
          </w:tcPr>
          <w:p w14:paraId="2D66426D" w14:textId="77777777" w:rsidR="00096FD8" w:rsidRPr="00046858" w:rsidRDefault="009E3ECB" w:rsidP="005A01F7">
            <w:pPr>
              <w:pStyle w:val="Text1"/>
              <w:ind w:left="0"/>
              <w:jc w:val="center"/>
              <w:rPr>
                <w:noProof/>
              </w:rPr>
            </w:pPr>
            <w:r w:rsidRPr="00046858">
              <w:rPr>
                <w:noProof/>
              </w:rPr>
              <w:t>Comisia Europeană</w:t>
            </w:r>
          </w:p>
        </w:tc>
        <w:tc>
          <w:tcPr>
            <w:tcW w:w="1513" w:type="dxa"/>
            <w:vAlign w:val="center"/>
          </w:tcPr>
          <w:p w14:paraId="470F08D8" w14:textId="77777777" w:rsidR="00096FD8" w:rsidRPr="00046858" w:rsidRDefault="001A4D1C" w:rsidP="005A01F7">
            <w:pPr>
              <w:pStyle w:val="Text1"/>
              <w:ind w:left="0"/>
              <w:jc w:val="center"/>
              <w:rPr>
                <w:noProof/>
              </w:rPr>
            </w:pPr>
            <w:r w:rsidRPr="00046858">
              <w:rPr>
                <w:noProof/>
              </w:rPr>
              <w:t>Stadiul anterior crizei</w:t>
            </w:r>
          </w:p>
        </w:tc>
        <w:tc>
          <w:tcPr>
            <w:tcW w:w="1527" w:type="dxa"/>
            <w:vAlign w:val="center"/>
          </w:tcPr>
          <w:p w14:paraId="26D3179E" w14:textId="77777777" w:rsidR="00096FD8" w:rsidRPr="00046858" w:rsidRDefault="009E3ECB" w:rsidP="005A01F7">
            <w:pPr>
              <w:pStyle w:val="Text1"/>
              <w:ind w:left="0"/>
              <w:jc w:val="center"/>
              <w:rPr>
                <w:noProof/>
              </w:rPr>
            </w:pPr>
            <w:r w:rsidRPr="00046858">
              <w:rPr>
                <w:noProof/>
              </w:rPr>
              <w:t>N/A</w:t>
            </w:r>
          </w:p>
        </w:tc>
      </w:tr>
      <w:tr w:rsidR="00E927DC" w:rsidRPr="00046858" w14:paraId="3E739D8F" w14:textId="77777777" w:rsidTr="00E927DC">
        <w:tc>
          <w:tcPr>
            <w:tcW w:w="1670" w:type="dxa"/>
          </w:tcPr>
          <w:p w14:paraId="5E7C4295" w14:textId="77777777" w:rsidR="00E927DC" w:rsidRPr="00046858" w:rsidRDefault="00EA2199" w:rsidP="00E927DC">
            <w:pPr>
              <w:pStyle w:val="Text1"/>
              <w:ind w:left="0"/>
              <w:jc w:val="left"/>
              <w:rPr>
                <w:noProof/>
              </w:rPr>
            </w:pPr>
            <w:r w:rsidRPr="00046858">
              <w:rPr>
                <w:noProof/>
              </w:rPr>
              <w:t>Colectarea de informații în stadiul de criză</w:t>
            </w:r>
          </w:p>
        </w:tc>
        <w:tc>
          <w:tcPr>
            <w:tcW w:w="1543" w:type="dxa"/>
            <w:vAlign w:val="center"/>
          </w:tcPr>
          <w:p w14:paraId="60133D9F" w14:textId="41984B20" w:rsidR="00E927DC" w:rsidRPr="00046858" w:rsidRDefault="00E927DC" w:rsidP="00E927DC">
            <w:pPr>
              <w:pStyle w:val="Text1"/>
              <w:ind w:left="0"/>
              <w:jc w:val="center"/>
              <w:rPr>
                <w:noProof/>
              </w:rPr>
            </w:pPr>
            <w:r w:rsidRPr="00046858">
              <w:rPr>
                <w:noProof/>
              </w:rPr>
              <w:t>Articolul 41</w:t>
            </w:r>
          </w:p>
        </w:tc>
        <w:tc>
          <w:tcPr>
            <w:tcW w:w="1499" w:type="dxa"/>
            <w:vAlign w:val="center"/>
          </w:tcPr>
          <w:p w14:paraId="5D2FE164" w14:textId="77777777" w:rsidR="00E927DC" w:rsidRPr="00046858" w:rsidRDefault="00E927DC" w:rsidP="00E927DC">
            <w:pPr>
              <w:pStyle w:val="Text1"/>
              <w:ind w:left="0"/>
              <w:jc w:val="center"/>
              <w:rPr>
                <w:noProof/>
              </w:rPr>
            </w:pPr>
            <w:r w:rsidRPr="00046858">
              <w:rPr>
                <w:noProof/>
              </w:rPr>
              <w:t>Industria</w:t>
            </w:r>
          </w:p>
        </w:tc>
        <w:tc>
          <w:tcPr>
            <w:tcW w:w="1537" w:type="dxa"/>
            <w:vAlign w:val="center"/>
          </w:tcPr>
          <w:p w14:paraId="10E690FF" w14:textId="77777777" w:rsidR="00E927DC" w:rsidRPr="00046858" w:rsidRDefault="00E927DC" w:rsidP="00E927DC">
            <w:pPr>
              <w:pStyle w:val="Text1"/>
              <w:ind w:left="0"/>
              <w:jc w:val="center"/>
              <w:rPr>
                <w:noProof/>
              </w:rPr>
            </w:pPr>
            <w:r w:rsidRPr="00046858">
              <w:rPr>
                <w:noProof/>
              </w:rPr>
              <w:t>Comisia Europeană</w:t>
            </w:r>
          </w:p>
        </w:tc>
        <w:tc>
          <w:tcPr>
            <w:tcW w:w="1513" w:type="dxa"/>
            <w:vAlign w:val="center"/>
          </w:tcPr>
          <w:p w14:paraId="78554E0A" w14:textId="77777777" w:rsidR="00E927DC" w:rsidRPr="00046858" w:rsidRDefault="00E927DC" w:rsidP="00E927DC">
            <w:pPr>
              <w:pStyle w:val="Text1"/>
              <w:ind w:left="0"/>
              <w:jc w:val="center"/>
              <w:rPr>
                <w:noProof/>
              </w:rPr>
            </w:pPr>
            <w:r w:rsidRPr="00046858">
              <w:rPr>
                <w:noProof/>
              </w:rPr>
              <w:t>Stadiul de criză</w:t>
            </w:r>
          </w:p>
        </w:tc>
        <w:tc>
          <w:tcPr>
            <w:tcW w:w="1527" w:type="dxa"/>
            <w:vAlign w:val="center"/>
          </w:tcPr>
          <w:p w14:paraId="7B9FD9CE" w14:textId="77777777" w:rsidR="00E927DC" w:rsidRPr="00046858" w:rsidRDefault="00E927DC" w:rsidP="00E927DC">
            <w:pPr>
              <w:pStyle w:val="Text1"/>
              <w:ind w:left="0"/>
              <w:jc w:val="center"/>
              <w:rPr>
                <w:noProof/>
              </w:rPr>
            </w:pPr>
            <w:r w:rsidRPr="00046858">
              <w:rPr>
                <w:noProof/>
              </w:rPr>
              <w:t>N/A</w:t>
            </w:r>
          </w:p>
        </w:tc>
      </w:tr>
    </w:tbl>
    <w:p w14:paraId="74705C2D" w14:textId="77777777" w:rsidR="007A328A" w:rsidRPr="00046858" w:rsidRDefault="007A328A" w:rsidP="002C7F64">
      <w:pPr>
        <w:pStyle w:val="Text1"/>
        <w:ind w:left="0"/>
        <w:rPr>
          <w:b/>
          <w:bCs/>
          <w:noProof/>
        </w:rPr>
      </w:pPr>
    </w:p>
    <w:p w14:paraId="158D1366" w14:textId="77777777" w:rsidR="0052626B" w:rsidRPr="00046858" w:rsidRDefault="0052626B" w:rsidP="002C7F64">
      <w:pPr>
        <w:pStyle w:val="Text1"/>
        <w:ind w:left="0"/>
        <w:rPr>
          <w:b/>
          <w:bCs/>
          <w:noProof/>
        </w:rPr>
      </w:pPr>
      <w:r w:rsidRPr="00046858">
        <w:rPr>
          <w:b/>
          <w:noProof/>
        </w:rPr>
        <w:t xml:space="preserve">Alinierea la Strategia europeană privind datele </w:t>
      </w:r>
    </w:p>
    <w:p w14:paraId="602DFD01" w14:textId="77777777" w:rsidR="002C7F64" w:rsidRPr="00046858" w:rsidRDefault="0052626B" w:rsidP="002C7F64">
      <w:pPr>
        <w:pStyle w:val="Text1"/>
        <w:ind w:left="0"/>
        <w:rPr>
          <w:noProof/>
        </w:rPr>
      </w:pPr>
      <w:r w:rsidRPr="00046858">
        <w:rPr>
          <w:noProof/>
        </w:rPr>
        <w:t>Explicație privind modul în care cerința (cerințele) este (sunt) aliniată (aliniate) la Strategia europeană privind datele</w:t>
      </w:r>
    </w:p>
    <w:tbl>
      <w:tblPr>
        <w:tblStyle w:val="TableGrid"/>
        <w:tblW w:w="0" w:type="auto"/>
        <w:tblLook w:val="04A0" w:firstRow="1" w:lastRow="0" w:firstColumn="1" w:lastColumn="0" w:noHBand="0" w:noVBand="1"/>
      </w:tblPr>
      <w:tblGrid>
        <w:gridCol w:w="9289"/>
      </w:tblGrid>
      <w:tr w:rsidR="00CB4002" w:rsidRPr="00046858" w14:paraId="1AD43D7C" w14:textId="77777777" w:rsidTr="00CB4002">
        <w:tc>
          <w:tcPr>
            <w:tcW w:w="9289" w:type="dxa"/>
          </w:tcPr>
          <w:p w14:paraId="5F4FFE1B" w14:textId="77777777" w:rsidR="00CB4002" w:rsidRPr="00046858" w:rsidRDefault="00CB4002" w:rsidP="002C7F64">
            <w:pPr>
              <w:pStyle w:val="Text1"/>
              <w:ind w:left="0"/>
              <w:rPr>
                <w:noProof/>
              </w:rPr>
            </w:pPr>
            <w:r w:rsidRPr="00046858">
              <w:rPr>
                <w:noProof/>
              </w:rPr>
              <w:t>Prezenta inițiativă legislativă este în concordanță cu utilizarea datelor aflate în proprietate privată de către autoritățile guvernamentale (business-to-government – B2G) pentru a asigura decizii de politică bazate pe dovezi. Sistemul digital de autorizare este conceput astfel încât să asigure interoperabilitatea și schimbul automatizat de date între autoritățile competente, reutilizarea datelor și a documentelor deja deținute de autoritățile publice, un nivel ridicat de securitate cibernetică și de integritate a informațiilor, precum și transparența și responsabilitatea în cadrul procedurii de acordare a autorizațiilor.</w:t>
            </w:r>
          </w:p>
        </w:tc>
      </w:tr>
    </w:tbl>
    <w:p w14:paraId="5B477232" w14:textId="77777777" w:rsidR="00CB4002" w:rsidRPr="00046858" w:rsidRDefault="00CB4002" w:rsidP="002C7F64">
      <w:pPr>
        <w:pStyle w:val="Text1"/>
        <w:ind w:left="0"/>
        <w:rPr>
          <w:noProof/>
        </w:rPr>
      </w:pPr>
    </w:p>
    <w:p w14:paraId="5EF4D230" w14:textId="77777777" w:rsidR="0034217F" w:rsidRPr="00046858" w:rsidRDefault="0034217F" w:rsidP="00260F4C">
      <w:pPr>
        <w:pStyle w:val="Text1"/>
        <w:keepNext/>
        <w:ind w:left="0"/>
        <w:rPr>
          <w:b/>
          <w:bCs/>
          <w:noProof/>
        </w:rPr>
      </w:pPr>
      <w:r w:rsidRPr="00046858">
        <w:rPr>
          <w:b/>
          <w:noProof/>
        </w:rPr>
        <w:t>Alinierea la principiul „doar o singură dată”</w:t>
      </w:r>
    </w:p>
    <w:tbl>
      <w:tblPr>
        <w:tblStyle w:val="TableGrid"/>
        <w:tblW w:w="0" w:type="auto"/>
        <w:tblLook w:val="04A0" w:firstRow="1" w:lastRow="0" w:firstColumn="1" w:lastColumn="0" w:noHBand="0" w:noVBand="1"/>
      </w:tblPr>
      <w:tblGrid>
        <w:gridCol w:w="9289"/>
      </w:tblGrid>
      <w:tr w:rsidR="00C832FE" w:rsidRPr="00046858" w14:paraId="6663F50A" w14:textId="77777777" w:rsidTr="00C832FE">
        <w:tc>
          <w:tcPr>
            <w:tcW w:w="9289" w:type="dxa"/>
          </w:tcPr>
          <w:p w14:paraId="71305619" w14:textId="702BB888" w:rsidR="00C832FE" w:rsidRPr="00046858" w:rsidRDefault="00DC4B43" w:rsidP="002C7F64">
            <w:pPr>
              <w:pStyle w:val="Text1"/>
              <w:ind w:left="0"/>
              <w:rPr>
                <w:noProof/>
              </w:rPr>
            </w:pPr>
            <w:r w:rsidRPr="00046858">
              <w:rPr>
                <w:noProof/>
              </w:rPr>
              <w:t>Articolul 22 prevede instituirea unei proceduri unice de acordare a autorizațiilor, pe baza unei cereri unice care să acopere toate autorizațiile necesare pentru inițiativele europene în domeniul tehnologiilor semiconductorilor și pentru proiectele strategice.</w:t>
            </w:r>
          </w:p>
        </w:tc>
      </w:tr>
    </w:tbl>
    <w:p w14:paraId="23BC797F" w14:textId="77777777" w:rsidR="0034217F" w:rsidRPr="00046858" w:rsidRDefault="0034217F" w:rsidP="002C7F64">
      <w:pPr>
        <w:pStyle w:val="Text1"/>
        <w:ind w:left="0"/>
        <w:rPr>
          <w:noProof/>
        </w:rPr>
      </w:pPr>
    </w:p>
    <w:p w14:paraId="108DB017" w14:textId="77777777" w:rsidR="00A03D5B" w:rsidRPr="00046858" w:rsidRDefault="00A03D5B" w:rsidP="0041561E">
      <w:pPr>
        <w:pStyle w:val="ManualHeading2"/>
        <w:rPr>
          <w:noProof/>
        </w:rPr>
      </w:pPr>
      <w:bookmarkStart w:id="149" w:name="_Toc167220305"/>
      <w:bookmarkStart w:id="150" w:name="_Toc177549039"/>
      <w:r w:rsidRPr="00046858">
        <w:rPr>
          <w:noProof/>
        </w:rPr>
        <w:t>4.3.</w:t>
      </w:r>
      <w:r w:rsidRPr="00046858">
        <w:rPr>
          <w:noProof/>
        </w:rPr>
        <w:tab/>
        <w:t>Soluții digitale</w:t>
      </w:r>
      <w:bookmarkEnd w:id="149"/>
      <w:bookmarkEnd w:id="150"/>
    </w:p>
    <w:p w14:paraId="26A9299D" w14:textId="77777777" w:rsidR="005D6325" w:rsidRPr="00046858" w:rsidRDefault="005D6325" w:rsidP="005D6325">
      <w:pPr>
        <w:pStyle w:val="Text1"/>
        <w:ind w:left="0"/>
        <w:rPr>
          <w:i/>
          <w:iCs/>
          <w:noProof/>
        </w:rPr>
      </w:pPr>
      <w:r w:rsidRPr="00046858">
        <w:rPr>
          <w:i/>
          <w:noProof/>
        </w:rPr>
        <w:t>Pentru fiecare soluție digitală, vă rugăm să furnizați referința cerinței (cerințelor) corespunzătoare cu relevanță digitală, o descriere a funcționalității obligatorii a soluției digitale, organismul responsabil și orice alte aspecte relevante cum ar fi potențialul de reutilizare și accesibilitatea. În cele din urmă, explicați dacă soluția digitală intenționează să utilizeze tehnologiile IA.</w:t>
      </w:r>
    </w:p>
    <w:tbl>
      <w:tblPr>
        <w:tblStyle w:val="TableGrid"/>
        <w:tblW w:w="0" w:type="auto"/>
        <w:tblLook w:val="04A0" w:firstRow="1" w:lastRow="0" w:firstColumn="1" w:lastColumn="0" w:noHBand="0" w:noVBand="1"/>
      </w:tblPr>
      <w:tblGrid>
        <w:gridCol w:w="1415"/>
        <w:gridCol w:w="1161"/>
        <w:gridCol w:w="1463"/>
        <w:gridCol w:w="1210"/>
        <w:gridCol w:w="1480"/>
        <w:gridCol w:w="1285"/>
        <w:gridCol w:w="1275"/>
      </w:tblGrid>
      <w:tr w:rsidR="00EF03F9" w:rsidRPr="00046858" w14:paraId="6AA73201" w14:textId="77777777" w:rsidTr="008B6AF5">
        <w:trPr>
          <w:tblHeader/>
        </w:trPr>
        <w:tc>
          <w:tcPr>
            <w:tcW w:w="1188" w:type="dxa"/>
          </w:tcPr>
          <w:p w14:paraId="42AE3BE9" w14:textId="77777777" w:rsidR="00EF03F9" w:rsidRPr="00046858" w:rsidRDefault="00EF03F9" w:rsidP="004543B1">
            <w:pPr>
              <w:pStyle w:val="Text1"/>
              <w:keepNext/>
              <w:ind w:left="0"/>
              <w:jc w:val="center"/>
              <w:rPr>
                <w:noProof/>
              </w:rPr>
            </w:pPr>
            <w:r w:rsidRPr="00046858">
              <w:rPr>
                <w:b/>
                <w:noProof/>
              </w:rPr>
              <w:t>Soluție digitală</w:t>
            </w:r>
          </w:p>
        </w:tc>
        <w:tc>
          <w:tcPr>
            <w:tcW w:w="1388" w:type="dxa"/>
          </w:tcPr>
          <w:p w14:paraId="313D2540" w14:textId="77777777" w:rsidR="00EF03F9" w:rsidRPr="00046858" w:rsidRDefault="00EF03F9" w:rsidP="004543B1">
            <w:pPr>
              <w:pStyle w:val="Text1"/>
              <w:keepNext/>
              <w:ind w:left="0"/>
              <w:jc w:val="center"/>
              <w:rPr>
                <w:noProof/>
              </w:rPr>
            </w:pPr>
            <w:r w:rsidRPr="00046858">
              <w:rPr>
                <w:b/>
                <w:noProof/>
              </w:rPr>
              <w:t>Trimitere la cerință (cerințe)</w:t>
            </w:r>
          </w:p>
        </w:tc>
        <w:tc>
          <w:tcPr>
            <w:tcW w:w="1463" w:type="dxa"/>
          </w:tcPr>
          <w:p w14:paraId="11CAC64B" w14:textId="77777777" w:rsidR="00EF03F9" w:rsidRPr="00046858" w:rsidRDefault="00EF03F9" w:rsidP="004543B1">
            <w:pPr>
              <w:pStyle w:val="Text1"/>
              <w:keepNext/>
              <w:ind w:left="0"/>
              <w:jc w:val="center"/>
              <w:rPr>
                <w:noProof/>
              </w:rPr>
            </w:pPr>
            <w:r w:rsidRPr="00046858">
              <w:rPr>
                <w:b/>
                <w:noProof/>
              </w:rPr>
              <w:t>Principalele funcționalități obligatorii</w:t>
            </w:r>
          </w:p>
        </w:tc>
        <w:tc>
          <w:tcPr>
            <w:tcW w:w="1210" w:type="dxa"/>
          </w:tcPr>
          <w:p w14:paraId="2B25EE02" w14:textId="77777777" w:rsidR="00EF03F9" w:rsidRPr="00046858" w:rsidRDefault="00EF03F9" w:rsidP="004543B1">
            <w:pPr>
              <w:pStyle w:val="Text1"/>
              <w:keepNext/>
              <w:ind w:left="0"/>
              <w:jc w:val="center"/>
              <w:rPr>
                <w:noProof/>
              </w:rPr>
            </w:pPr>
            <w:r w:rsidRPr="00046858">
              <w:rPr>
                <w:b/>
                <w:noProof/>
              </w:rPr>
              <w:t>Organismul responsabil</w:t>
            </w:r>
          </w:p>
        </w:tc>
        <w:tc>
          <w:tcPr>
            <w:tcW w:w="1480" w:type="dxa"/>
          </w:tcPr>
          <w:p w14:paraId="6928967F" w14:textId="77777777" w:rsidR="00EF03F9" w:rsidRPr="00046858" w:rsidRDefault="00EF03F9" w:rsidP="004543B1">
            <w:pPr>
              <w:pStyle w:val="Text1"/>
              <w:keepNext/>
              <w:ind w:left="0"/>
              <w:jc w:val="center"/>
              <w:rPr>
                <w:noProof/>
              </w:rPr>
            </w:pPr>
            <w:r w:rsidRPr="00046858">
              <w:rPr>
                <w:b/>
                <w:noProof/>
              </w:rPr>
              <w:t>Cum este asigurată accesibilitatea?</w:t>
            </w:r>
          </w:p>
        </w:tc>
        <w:tc>
          <w:tcPr>
            <w:tcW w:w="1285" w:type="dxa"/>
          </w:tcPr>
          <w:p w14:paraId="552262D2" w14:textId="77777777" w:rsidR="00EF03F9" w:rsidRPr="00046858" w:rsidRDefault="00EF03F9" w:rsidP="004543B1">
            <w:pPr>
              <w:pStyle w:val="Text1"/>
              <w:keepNext/>
              <w:ind w:left="0"/>
              <w:jc w:val="center"/>
              <w:rPr>
                <w:noProof/>
              </w:rPr>
            </w:pPr>
            <w:r w:rsidRPr="00046858">
              <w:rPr>
                <w:b/>
                <w:noProof/>
              </w:rPr>
              <w:t>Cum se ia în considerare potențialul de reutilizare?</w:t>
            </w:r>
          </w:p>
        </w:tc>
        <w:tc>
          <w:tcPr>
            <w:tcW w:w="1275" w:type="dxa"/>
          </w:tcPr>
          <w:p w14:paraId="23360694" w14:textId="77777777" w:rsidR="00EF03F9" w:rsidRPr="00046858" w:rsidRDefault="00EF03F9" w:rsidP="004543B1">
            <w:pPr>
              <w:pStyle w:val="Text1"/>
              <w:keepNext/>
              <w:ind w:left="0"/>
              <w:jc w:val="center"/>
              <w:rPr>
                <w:noProof/>
              </w:rPr>
            </w:pPr>
            <w:r w:rsidRPr="00046858">
              <w:rPr>
                <w:b/>
                <w:noProof/>
              </w:rPr>
              <w:t>Utilizarea tehnologiilor IA</w:t>
            </w:r>
          </w:p>
        </w:tc>
      </w:tr>
      <w:tr w:rsidR="001A6B44" w:rsidRPr="00046858" w14:paraId="7D86E443" w14:textId="77777777" w:rsidTr="008B6AF5">
        <w:tc>
          <w:tcPr>
            <w:tcW w:w="1188" w:type="dxa"/>
            <w:vAlign w:val="center"/>
          </w:tcPr>
          <w:p w14:paraId="2B365331" w14:textId="77777777" w:rsidR="001A6B44" w:rsidRPr="00046858" w:rsidRDefault="001A6B44" w:rsidP="001A6B44">
            <w:pPr>
              <w:pStyle w:val="Text1"/>
              <w:ind w:left="0"/>
              <w:rPr>
                <w:noProof/>
              </w:rPr>
            </w:pPr>
            <w:r w:rsidRPr="00046858">
              <w:rPr>
                <w:noProof/>
              </w:rPr>
              <w:t>Sistemul digital de autorizare</w:t>
            </w:r>
          </w:p>
        </w:tc>
        <w:tc>
          <w:tcPr>
            <w:tcW w:w="1388" w:type="dxa"/>
            <w:vAlign w:val="center"/>
          </w:tcPr>
          <w:p w14:paraId="5E2237D2" w14:textId="39868518" w:rsidR="001A6B44" w:rsidRPr="00046858" w:rsidRDefault="001A6B44" w:rsidP="001A6B44">
            <w:pPr>
              <w:pStyle w:val="Text1"/>
              <w:ind w:left="0"/>
              <w:rPr>
                <w:noProof/>
              </w:rPr>
            </w:pPr>
            <w:r w:rsidRPr="00046858">
              <w:rPr>
                <w:noProof/>
              </w:rPr>
              <w:t>Articolul 22 și articolul 24</w:t>
            </w:r>
          </w:p>
        </w:tc>
        <w:tc>
          <w:tcPr>
            <w:tcW w:w="1463" w:type="dxa"/>
            <w:vAlign w:val="center"/>
          </w:tcPr>
          <w:p w14:paraId="61C455E5" w14:textId="77777777" w:rsidR="001A6B44" w:rsidRPr="00046858" w:rsidRDefault="001A6B44" w:rsidP="001A6B44">
            <w:pPr>
              <w:pStyle w:val="Text1"/>
              <w:ind w:left="0"/>
              <w:rPr>
                <w:noProof/>
              </w:rPr>
            </w:pPr>
            <w:r w:rsidRPr="00046858">
              <w:rPr>
                <w:noProof/>
              </w:rPr>
              <w:t>Procedurile de acordare a autorizațiilor se desfășoară prin mijloace complet digitale.</w:t>
            </w:r>
          </w:p>
          <w:p w14:paraId="44200D87" w14:textId="77777777" w:rsidR="001A6B44" w:rsidRPr="00046858" w:rsidRDefault="001A6B44" w:rsidP="001A6B44">
            <w:pPr>
              <w:pStyle w:val="Text1"/>
              <w:ind w:left="0"/>
              <w:rPr>
                <w:noProof/>
              </w:rPr>
            </w:pPr>
            <w:r w:rsidRPr="00046858">
              <w:rPr>
                <w:noProof/>
              </w:rPr>
              <w:t>Sistemul oferă o interfață unică pentru utilizatori, care permite interacțiunea cu serviciile publice relevante.</w:t>
            </w:r>
          </w:p>
          <w:p w14:paraId="1CB3DDFE" w14:textId="77777777" w:rsidR="001A6B44" w:rsidRPr="00046858" w:rsidRDefault="001A6B44" w:rsidP="001A6B44">
            <w:pPr>
              <w:pStyle w:val="Text1"/>
              <w:ind w:left="0"/>
              <w:rPr>
                <w:noProof/>
              </w:rPr>
            </w:pPr>
            <w:r w:rsidRPr="00046858">
              <w:rPr>
                <w:noProof/>
              </w:rPr>
              <w:t>Sistemul digital de autorizare permite depunerea, urmărirea și luarea deciziilor cu privire la cererile de autorizare fără suport de hârtie.</w:t>
            </w:r>
          </w:p>
        </w:tc>
        <w:tc>
          <w:tcPr>
            <w:tcW w:w="1210" w:type="dxa"/>
            <w:vAlign w:val="center"/>
          </w:tcPr>
          <w:p w14:paraId="3B582CF8" w14:textId="77777777" w:rsidR="001A6B44" w:rsidRPr="00046858" w:rsidRDefault="001A6B44" w:rsidP="001A6B44">
            <w:pPr>
              <w:pStyle w:val="Text1"/>
              <w:ind w:left="0"/>
              <w:jc w:val="left"/>
              <w:rPr>
                <w:noProof/>
              </w:rPr>
            </w:pPr>
            <w:r w:rsidRPr="00046858">
              <w:rPr>
                <w:noProof/>
              </w:rPr>
              <w:t>Statele membre</w:t>
            </w:r>
          </w:p>
          <w:p w14:paraId="40C1FBD0" w14:textId="77777777" w:rsidR="001A6B44" w:rsidRPr="00046858" w:rsidRDefault="001A6B44" w:rsidP="001A6B44">
            <w:pPr>
              <w:pStyle w:val="Text1"/>
              <w:ind w:left="0"/>
              <w:rPr>
                <w:noProof/>
              </w:rPr>
            </w:pPr>
            <w:r w:rsidRPr="00046858">
              <w:rPr>
                <w:noProof/>
              </w:rPr>
              <w:t>Autoritățile naționale competente</w:t>
            </w:r>
          </w:p>
        </w:tc>
        <w:tc>
          <w:tcPr>
            <w:tcW w:w="1480" w:type="dxa"/>
            <w:vAlign w:val="center"/>
          </w:tcPr>
          <w:p w14:paraId="6CE62C9B" w14:textId="77777777" w:rsidR="001A6B44" w:rsidRPr="00046858" w:rsidRDefault="001A6B44" w:rsidP="001A6B44">
            <w:pPr>
              <w:pStyle w:val="Text1"/>
              <w:ind w:left="0"/>
              <w:rPr>
                <w:noProof/>
              </w:rPr>
            </w:pPr>
            <w:r w:rsidRPr="00046858">
              <w:rPr>
                <w:noProof/>
              </w:rPr>
              <w:t>Sistemul digital de autorizare ar trebui să fie conceput astfel încât să asigure ușurința în utilizare și accesibilitatea pentru toți solicitanții, inclusiv pentru persoanele cu handicap.</w:t>
            </w:r>
          </w:p>
        </w:tc>
        <w:tc>
          <w:tcPr>
            <w:tcW w:w="1285" w:type="dxa"/>
            <w:vAlign w:val="center"/>
          </w:tcPr>
          <w:p w14:paraId="554A328A" w14:textId="77777777" w:rsidR="001A6B44" w:rsidRPr="00046858" w:rsidRDefault="001A6B44" w:rsidP="001A6B44">
            <w:pPr>
              <w:pStyle w:val="Text1"/>
              <w:ind w:left="0"/>
              <w:rPr>
                <w:noProof/>
              </w:rPr>
            </w:pPr>
            <w:r w:rsidRPr="00046858">
              <w:rPr>
                <w:noProof/>
              </w:rPr>
              <w:t>Sistemul digital de autorizare ar trebui să fie conceput astfel încât să asigure reutilizarea datelor și a documentelor deja deținute de autoritățile publice.</w:t>
            </w:r>
          </w:p>
        </w:tc>
        <w:tc>
          <w:tcPr>
            <w:tcW w:w="1275" w:type="dxa"/>
            <w:vAlign w:val="center"/>
          </w:tcPr>
          <w:p w14:paraId="1A81B845" w14:textId="77777777" w:rsidR="001A6B44" w:rsidRPr="00046858" w:rsidRDefault="001A6B44" w:rsidP="001A6B44">
            <w:pPr>
              <w:pStyle w:val="Text1"/>
              <w:ind w:left="0"/>
              <w:rPr>
                <w:noProof/>
              </w:rPr>
            </w:pPr>
            <w:r w:rsidRPr="00046858">
              <w:rPr>
                <w:noProof/>
              </w:rPr>
              <w:t>//</w:t>
            </w:r>
          </w:p>
        </w:tc>
      </w:tr>
      <w:tr w:rsidR="00DD6D14" w:rsidRPr="00046858" w14:paraId="71C7CB37" w14:textId="77777777" w:rsidTr="008B6AF5">
        <w:tc>
          <w:tcPr>
            <w:tcW w:w="1188" w:type="dxa"/>
            <w:vAlign w:val="center"/>
          </w:tcPr>
          <w:p w14:paraId="3AEFDD32" w14:textId="77777777" w:rsidR="00DD6D14" w:rsidRPr="00046858" w:rsidRDefault="00DD6D14" w:rsidP="00DD6D14">
            <w:pPr>
              <w:pStyle w:val="Text1"/>
              <w:ind w:left="0"/>
              <w:rPr>
                <w:noProof/>
              </w:rPr>
            </w:pPr>
            <w:r w:rsidRPr="00046858">
              <w:rPr>
                <w:noProof/>
              </w:rPr>
              <w:t>Platforma B2B pentru lanțul de aprovizionare cu semiconductori</w:t>
            </w:r>
          </w:p>
        </w:tc>
        <w:tc>
          <w:tcPr>
            <w:tcW w:w="1388" w:type="dxa"/>
            <w:vAlign w:val="center"/>
          </w:tcPr>
          <w:p w14:paraId="1F058E93" w14:textId="3C2AD103" w:rsidR="00DD6D14" w:rsidRPr="00046858" w:rsidRDefault="00DD6D14" w:rsidP="00DD6D14">
            <w:pPr>
              <w:pStyle w:val="Text1"/>
              <w:ind w:left="0"/>
              <w:rPr>
                <w:noProof/>
              </w:rPr>
            </w:pPr>
            <w:r w:rsidRPr="00046858">
              <w:rPr>
                <w:noProof/>
              </w:rPr>
              <w:t>Articolul 34</w:t>
            </w:r>
          </w:p>
        </w:tc>
        <w:tc>
          <w:tcPr>
            <w:tcW w:w="1463" w:type="dxa"/>
            <w:vAlign w:val="center"/>
          </w:tcPr>
          <w:p w14:paraId="333B54DA" w14:textId="77777777" w:rsidR="00DD6D14" w:rsidRPr="00046858" w:rsidRDefault="00783146" w:rsidP="00DD6D14">
            <w:pPr>
              <w:pStyle w:val="Text1"/>
              <w:ind w:left="0"/>
              <w:rPr>
                <w:noProof/>
              </w:rPr>
            </w:pPr>
            <w:r w:rsidRPr="00046858">
              <w:rPr>
                <w:noProof/>
              </w:rPr>
              <w:t xml:space="preserve">Platforma ar trebui să colecteze date de la întreprinderile participante pentru a spori transparența și reziliența lanțului de aprovizionare cu semiconductori. </w:t>
            </w:r>
          </w:p>
        </w:tc>
        <w:tc>
          <w:tcPr>
            <w:tcW w:w="1210" w:type="dxa"/>
            <w:vAlign w:val="center"/>
          </w:tcPr>
          <w:p w14:paraId="0632F28F" w14:textId="77777777" w:rsidR="00DD6D14" w:rsidRPr="00046858" w:rsidRDefault="00DD6D14" w:rsidP="00DD6D14">
            <w:pPr>
              <w:pStyle w:val="Text1"/>
              <w:ind w:left="0"/>
              <w:jc w:val="left"/>
              <w:rPr>
                <w:noProof/>
              </w:rPr>
            </w:pPr>
            <w:r w:rsidRPr="00046858">
              <w:rPr>
                <w:noProof/>
              </w:rPr>
              <w:t>Operatori privați</w:t>
            </w:r>
          </w:p>
        </w:tc>
        <w:tc>
          <w:tcPr>
            <w:tcW w:w="1480" w:type="dxa"/>
            <w:vAlign w:val="center"/>
          </w:tcPr>
          <w:p w14:paraId="6B9016BD" w14:textId="77777777" w:rsidR="00DD6D14" w:rsidRPr="00046858" w:rsidRDefault="00DD6D14" w:rsidP="00DD6D14">
            <w:pPr>
              <w:pStyle w:val="Text1"/>
              <w:ind w:left="0"/>
              <w:rPr>
                <w:noProof/>
              </w:rPr>
            </w:pPr>
            <w:r w:rsidRPr="00046858">
              <w:rPr>
                <w:noProof/>
              </w:rPr>
              <w:t>Platforma ar trebui să fie concepută astfel încât să asigure ușurința în utilizare și accesibilitatea pentru toți solicitanții, inclusiv pentru persoanele cu handicap.</w:t>
            </w:r>
          </w:p>
        </w:tc>
        <w:tc>
          <w:tcPr>
            <w:tcW w:w="1285" w:type="dxa"/>
            <w:vAlign w:val="center"/>
          </w:tcPr>
          <w:p w14:paraId="11C532BF" w14:textId="77777777" w:rsidR="00DD6D14" w:rsidRPr="00046858" w:rsidRDefault="00DD6D14" w:rsidP="00DD6D14">
            <w:pPr>
              <w:pStyle w:val="Text1"/>
              <w:ind w:left="0"/>
              <w:rPr>
                <w:noProof/>
              </w:rPr>
            </w:pPr>
          </w:p>
        </w:tc>
        <w:tc>
          <w:tcPr>
            <w:tcW w:w="1275" w:type="dxa"/>
            <w:vAlign w:val="center"/>
          </w:tcPr>
          <w:p w14:paraId="55387405" w14:textId="77777777" w:rsidR="00DD6D14" w:rsidRPr="00046858" w:rsidRDefault="00DD6D14" w:rsidP="00DD6D14">
            <w:pPr>
              <w:pStyle w:val="Text1"/>
              <w:ind w:left="0"/>
              <w:rPr>
                <w:noProof/>
              </w:rPr>
            </w:pPr>
            <w:r w:rsidRPr="00046858">
              <w:rPr>
                <w:noProof/>
              </w:rPr>
              <w:t>//</w:t>
            </w:r>
          </w:p>
        </w:tc>
      </w:tr>
    </w:tbl>
    <w:p w14:paraId="18CBF04C" w14:textId="77777777" w:rsidR="00E60BC1" w:rsidRPr="00046858" w:rsidRDefault="00E60BC1" w:rsidP="0038004A">
      <w:pPr>
        <w:pStyle w:val="Text1"/>
        <w:ind w:left="0"/>
        <w:rPr>
          <w:b/>
          <w:bCs/>
          <w:noProof/>
        </w:rPr>
      </w:pPr>
      <w:r w:rsidRPr="00046858">
        <w:rPr>
          <w:b/>
          <w:noProof/>
        </w:rPr>
        <w:t>Sistemul digital de autorizare</w:t>
      </w:r>
    </w:p>
    <w:tbl>
      <w:tblPr>
        <w:tblStyle w:val="TableGrid"/>
        <w:tblW w:w="0" w:type="auto"/>
        <w:tblLook w:val="04A0" w:firstRow="1" w:lastRow="0" w:firstColumn="1" w:lastColumn="0" w:noHBand="0" w:noVBand="1"/>
      </w:tblPr>
      <w:tblGrid>
        <w:gridCol w:w="2943"/>
        <w:gridCol w:w="6346"/>
      </w:tblGrid>
      <w:tr w:rsidR="0082633F" w:rsidRPr="00046858" w14:paraId="48B36C88" w14:textId="77777777" w:rsidTr="0082633F">
        <w:tc>
          <w:tcPr>
            <w:tcW w:w="2943" w:type="dxa"/>
            <w:vAlign w:val="center"/>
          </w:tcPr>
          <w:p w14:paraId="62CE5C10" w14:textId="77777777" w:rsidR="0082633F" w:rsidRPr="00046858" w:rsidRDefault="0082633F" w:rsidP="0082633F">
            <w:pPr>
              <w:pStyle w:val="Text1"/>
              <w:ind w:left="0"/>
              <w:rPr>
                <w:noProof/>
              </w:rPr>
            </w:pPr>
            <w:r w:rsidRPr="00046858">
              <w:rPr>
                <w:b/>
                <w:noProof/>
              </w:rPr>
              <w:t>Politica digitală și/sau sectorială (atunci când sunt aplicabile)</w:t>
            </w:r>
          </w:p>
        </w:tc>
        <w:tc>
          <w:tcPr>
            <w:tcW w:w="6346" w:type="dxa"/>
            <w:vAlign w:val="center"/>
          </w:tcPr>
          <w:p w14:paraId="21AEC474" w14:textId="77777777" w:rsidR="0082633F" w:rsidRPr="00046858" w:rsidRDefault="0082633F" w:rsidP="0082633F">
            <w:pPr>
              <w:pStyle w:val="Text1"/>
              <w:ind w:left="0"/>
              <w:rPr>
                <w:noProof/>
              </w:rPr>
            </w:pPr>
            <w:r w:rsidRPr="00046858">
              <w:rPr>
                <w:b/>
                <w:noProof/>
              </w:rPr>
              <w:t>Explicarea modului în care se aliniază</w:t>
            </w:r>
          </w:p>
        </w:tc>
      </w:tr>
      <w:tr w:rsidR="0082633F" w:rsidRPr="00046858" w14:paraId="69551A2C" w14:textId="77777777" w:rsidTr="0082633F">
        <w:tc>
          <w:tcPr>
            <w:tcW w:w="2943" w:type="dxa"/>
          </w:tcPr>
          <w:p w14:paraId="265787CE" w14:textId="77777777" w:rsidR="0082633F" w:rsidRPr="00046858" w:rsidRDefault="0082633F" w:rsidP="003C686F">
            <w:pPr>
              <w:pStyle w:val="Text1"/>
              <w:ind w:left="0"/>
              <w:jc w:val="left"/>
              <w:rPr>
                <w:noProof/>
              </w:rPr>
            </w:pPr>
            <w:r w:rsidRPr="00046858">
              <w:rPr>
                <w:noProof/>
              </w:rPr>
              <w:t>Cadrul UE privind securitatea cibernetică</w:t>
            </w:r>
          </w:p>
        </w:tc>
        <w:tc>
          <w:tcPr>
            <w:tcW w:w="6346" w:type="dxa"/>
          </w:tcPr>
          <w:p w14:paraId="0701C0FB" w14:textId="77777777" w:rsidR="0082633F" w:rsidRPr="00046858" w:rsidRDefault="0082633F" w:rsidP="003C686F">
            <w:pPr>
              <w:pStyle w:val="Text1"/>
              <w:ind w:left="0"/>
              <w:jc w:val="left"/>
              <w:rPr>
                <w:noProof/>
              </w:rPr>
            </w:pPr>
            <w:r w:rsidRPr="00046858">
              <w:rPr>
                <w:noProof/>
              </w:rPr>
              <w:t>Sistemul național digital de autorizare ar trebui să fie conceput astfel încât să asigure un nivel ridicat de protecție a datelor, de securitate cibernetică și de integritate a informațiilor.</w:t>
            </w:r>
          </w:p>
        </w:tc>
      </w:tr>
      <w:tr w:rsidR="0082633F" w:rsidRPr="00046858" w14:paraId="240160A8" w14:textId="77777777" w:rsidTr="0082633F">
        <w:tc>
          <w:tcPr>
            <w:tcW w:w="2943" w:type="dxa"/>
          </w:tcPr>
          <w:p w14:paraId="00DA04A5" w14:textId="77777777" w:rsidR="0082633F" w:rsidRPr="00046858" w:rsidRDefault="003C686F" w:rsidP="003C686F">
            <w:pPr>
              <w:pStyle w:val="Text1"/>
              <w:ind w:left="0"/>
              <w:jc w:val="left"/>
              <w:rPr>
                <w:noProof/>
              </w:rPr>
            </w:pPr>
            <w:r w:rsidRPr="00046858">
              <w:rPr>
                <w:noProof/>
              </w:rPr>
              <w:t>Portofelele europene pentru întreprinderi</w:t>
            </w:r>
          </w:p>
        </w:tc>
        <w:tc>
          <w:tcPr>
            <w:tcW w:w="6346" w:type="dxa"/>
          </w:tcPr>
          <w:p w14:paraId="46F0EEAE" w14:textId="77777777" w:rsidR="0082633F" w:rsidRPr="00046858" w:rsidRDefault="0028376A" w:rsidP="003C686F">
            <w:pPr>
              <w:pStyle w:val="Text1"/>
              <w:ind w:left="0"/>
              <w:jc w:val="left"/>
              <w:rPr>
                <w:noProof/>
              </w:rPr>
            </w:pPr>
            <w:r w:rsidRPr="00046858">
              <w:rPr>
                <w:noProof/>
              </w:rPr>
              <w:t>Un punct unic de acces al sistemului național digital de autorizare utilizează portofelele europene pentru întreprinderi.</w:t>
            </w:r>
          </w:p>
        </w:tc>
      </w:tr>
    </w:tbl>
    <w:p w14:paraId="63E5CAFF" w14:textId="77777777" w:rsidR="00F157DA" w:rsidRPr="00046858" w:rsidRDefault="00F157DA" w:rsidP="00F157DA">
      <w:pPr>
        <w:pStyle w:val="Text1"/>
        <w:ind w:left="0"/>
        <w:rPr>
          <w:b/>
          <w:noProof/>
        </w:rPr>
      </w:pPr>
    </w:p>
    <w:p w14:paraId="01A97ACC" w14:textId="77777777" w:rsidR="00E60BC1" w:rsidRPr="00046858" w:rsidRDefault="00E60BC1" w:rsidP="00F157DA">
      <w:pPr>
        <w:pStyle w:val="Text1"/>
        <w:ind w:left="0"/>
        <w:rPr>
          <w:b/>
          <w:bCs/>
          <w:noProof/>
        </w:rPr>
      </w:pPr>
      <w:r w:rsidRPr="00046858">
        <w:rPr>
          <w:b/>
          <w:noProof/>
        </w:rPr>
        <w:t>Platforma B2B pentru lanțul de aprovizionare cu semiconductori</w:t>
      </w:r>
    </w:p>
    <w:tbl>
      <w:tblPr>
        <w:tblStyle w:val="TableGrid"/>
        <w:tblW w:w="0" w:type="auto"/>
        <w:tblLook w:val="04A0" w:firstRow="1" w:lastRow="0" w:firstColumn="1" w:lastColumn="0" w:noHBand="0" w:noVBand="1"/>
      </w:tblPr>
      <w:tblGrid>
        <w:gridCol w:w="2943"/>
        <w:gridCol w:w="6346"/>
      </w:tblGrid>
      <w:tr w:rsidR="007E2E91" w:rsidRPr="00046858" w14:paraId="409099F4" w14:textId="77777777">
        <w:tc>
          <w:tcPr>
            <w:tcW w:w="2943" w:type="dxa"/>
            <w:vAlign w:val="center"/>
          </w:tcPr>
          <w:p w14:paraId="5DD895A3" w14:textId="77777777" w:rsidR="007E2E91" w:rsidRPr="00046858" w:rsidRDefault="007E2E91">
            <w:pPr>
              <w:pStyle w:val="Text1"/>
              <w:ind w:left="0"/>
              <w:rPr>
                <w:noProof/>
              </w:rPr>
            </w:pPr>
            <w:r w:rsidRPr="00046858">
              <w:rPr>
                <w:b/>
                <w:noProof/>
              </w:rPr>
              <w:t>Politica digitală și/sau sectorială (atunci când sunt aplicabile)</w:t>
            </w:r>
          </w:p>
        </w:tc>
        <w:tc>
          <w:tcPr>
            <w:tcW w:w="6346" w:type="dxa"/>
            <w:vAlign w:val="center"/>
          </w:tcPr>
          <w:p w14:paraId="58F16A87" w14:textId="77777777" w:rsidR="007E2E91" w:rsidRPr="00046858" w:rsidRDefault="007E2E91">
            <w:pPr>
              <w:pStyle w:val="Text1"/>
              <w:ind w:left="0"/>
              <w:rPr>
                <w:noProof/>
              </w:rPr>
            </w:pPr>
            <w:r w:rsidRPr="00046858">
              <w:rPr>
                <w:b/>
                <w:noProof/>
              </w:rPr>
              <w:t>Explicarea modului în care se aliniază</w:t>
            </w:r>
          </w:p>
        </w:tc>
      </w:tr>
      <w:tr w:rsidR="007E2E91" w:rsidRPr="00046858" w14:paraId="0A5F9655" w14:textId="77777777">
        <w:tc>
          <w:tcPr>
            <w:tcW w:w="2943" w:type="dxa"/>
          </w:tcPr>
          <w:p w14:paraId="066F087A" w14:textId="77777777" w:rsidR="007E2E91" w:rsidRPr="00046858" w:rsidRDefault="007E2E91" w:rsidP="004070E1">
            <w:pPr>
              <w:pStyle w:val="Text1"/>
              <w:ind w:left="0"/>
              <w:jc w:val="left"/>
              <w:rPr>
                <w:noProof/>
              </w:rPr>
            </w:pPr>
            <w:r w:rsidRPr="00046858">
              <w:rPr>
                <w:noProof/>
              </w:rPr>
              <w:t>Cadrul UE privind securitatea cibernetică</w:t>
            </w:r>
          </w:p>
        </w:tc>
        <w:tc>
          <w:tcPr>
            <w:tcW w:w="6346" w:type="dxa"/>
          </w:tcPr>
          <w:p w14:paraId="6CA4D3D5" w14:textId="77777777" w:rsidR="007E2E91" w:rsidRPr="00046858" w:rsidRDefault="007E2E91" w:rsidP="004070E1">
            <w:pPr>
              <w:pStyle w:val="Text1"/>
              <w:ind w:left="0"/>
              <w:jc w:val="left"/>
              <w:rPr>
                <w:noProof/>
              </w:rPr>
            </w:pPr>
            <w:r w:rsidRPr="00046858">
              <w:rPr>
                <w:noProof/>
              </w:rPr>
              <w:t>Platforma B2B pentru lanțul de aprovizionare cu semiconductori ar trebui să fie concepută astfel încât să asigure un nivel ridicat de protecție a datelor, de securitate cibernetică și de integritate a informațiilor.</w:t>
            </w:r>
          </w:p>
        </w:tc>
      </w:tr>
    </w:tbl>
    <w:p w14:paraId="1016E96A" w14:textId="77777777" w:rsidR="007E2E91" w:rsidRPr="00046858" w:rsidRDefault="007E2E91" w:rsidP="00F157DA">
      <w:pPr>
        <w:pStyle w:val="Text1"/>
        <w:ind w:left="0"/>
        <w:rPr>
          <w:b/>
          <w:bCs/>
          <w:noProof/>
        </w:rPr>
      </w:pPr>
    </w:p>
    <w:p w14:paraId="5A053344" w14:textId="77777777" w:rsidR="00A03D5B" w:rsidRPr="00046858" w:rsidRDefault="00A03D5B" w:rsidP="0041561E">
      <w:pPr>
        <w:pStyle w:val="ManualHeading2"/>
        <w:rPr>
          <w:rStyle w:val="Emphasis"/>
          <w:i w:val="0"/>
          <w:noProof/>
        </w:rPr>
      </w:pPr>
      <w:bookmarkStart w:id="151" w:name="_Toc167220304"/>
      <w:bookmarkStart w:id="152" w:name="_Toc177549040"/>
      <w:r w:rsidRPr="00046858">
        <w:rPr>
          <w:rStyle w:val="Emphasis"/>
          <w:i w:val="0"/>
          <w:noProof/>
        </w:rPr>
        <w:t>4.4.</w:t>
      </w:r>
      <w:r w:rsidRPr="00046858">
        <w:rPr>
          <w:noProof/>
        </w:rPr>
        <w:tab/>
      </w:r>
      <w:r w:rsidRPr="00046858">
        <w:rPr>
          <w:rStyle w:val="Emphasis"/>
          <w:i w:val="0"/>
          <w:noProof/>
        </w:rPr>
        <w:t>Evaluarea interoperabilității</w:t>
      </w:r>
      <w:bookmarkEnd w:id="151"/>
      <w:bookmarkEnd w:id="152"/>
    </w:p>
    <w:p w14:paraId="148C948B" w14:textId="77777777" w:rsidR="009E2C69" w:rsidRPr="00046858" w:rsidRDefault="009E2C69" w:rsidP="009E2C69">
      <w:pPr>
        <w:pStyle w:val="Text1"/>
        <w:ind w:left="0"/>
        <w:rPr>
          <w:noProof/>
        </w:rPr>
      </w:pPr>
      <w:r w:rsidRPr="00046858">
        <w:rPr>
          <w:noProof/>
        </w:rPr>
        <w:t>N/A</w:t>
      </w:r>
    </w:p>
    <w:p w14:paraId="702B4DFE" w14:textId="77777777" w:rsidR="004070E1" w:rsidRPr="00046858" w:rsidRDefault="004070E1" w:rsidP="009E2C69">
      <w:pPr>
        <w:pStyle w:val="Text1"/>
        <w:ind w:left="0"/>
        <w:rPr>
          <w:noProof/>
        </w:rPr>
      </w:pPr>
    </w:p>
    <w:p w14:paraId="485BFDA3" w14:textId="77777777" w:rsidR="00A03D5B" w:rsidRPr="00046858" w:rsidRDefault="00A03D5B" w:rsidP="0041561E">
      <w:pPr>
        <w:pStyle w:val="ManualHeading2"/>
        <w:rPr>
          <w:noProof/>
        </w:rPr>
      </w:pPr>
      <w:bookmarkStart w:id="153" w:name="_Toc167220306"/>
      <w:bookmarkStart w:id="154" w:name="_Toc177549041"/>
      <w:r w:rsidRPr="00046858">
        <w:rPr>
          <w:noProof/>
        </w:rPr>
        <w:t>4.5.</w:t>
      </w:r>
      <w:r w:rsidRPr="00046858">
        <w:rPr>
          <w:noProof/>
        </w:rPr>
        <w:tab/>
        <w:t>Măsuri de sprijinire a implementării digitale</w:t>
      </w:r>
      <w:bookmarkEnd w:id="153"/>
      <w:bookmarkEnd w:id="154"/>
    </w:p>
    <w:bookmarkEnd w:id="144"/>
    <w:p w14:paraId="0C1E3381" w14:textId="77777777" w:rsidR="00DE5B73" w:rsidRPr="00046858" w:rsidRDefault="00384FBE">
      <w:pPr>
        <w:spacing w:before="0" w:after="200" w:line="276" w:lineRule="auto"/>
        <w:jc w:val="left"/>
        <w:rPr>
          <w:noProof/>
        </w:rPr>
      </w:pPr>
      <w:r w:rsidRPr="00046858">
        <w:rPr>
          <w:noProof/>
        </w:rPr>
        <w:t>N/A</w:t>
      </w:r>
    </w:p>
    <w:p w14:paraId="7DAA94CE" w14:textId="77777777" w:rsidR="00A03D5B" w:rsidRPr="00046858" w:rsidRDefault="00A03D5B" w:rsidP="0041561E">
      <w:pPr>
        <w:rPr>
          <w:noProof/>
          <w:color w:val="008000"/>
        </w:rPr>
      </w:pPr>
    </w:p>
    <w:sectPr w:rsidR="00A03D5B" w:rsidRPr="00046858" w:rsidSect="0001503D">
      <w:headerReference w:type="default" r:id="rId21"/>
      <w:footerReference w:type="defaul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7BD08D" w14:textId="77777777" w:rsidR="005B6F3A" w:rsidRDefault="005B6F3A" w:rsidP="00A03D5B">
      <w:pPr>
        <w:spacing w:before="0" w:after="0"/>
      </w:pPr>
      <w:r>
        <w:separator/>
      </w:r>
    </w:p>
  </w:endnote>
  <w:endnote w:type="continuationSeparator" w:id="0">
    <w:p w14:paraId="4C032970" w14:textId="77777777" w:rsidR="005B6F3A" w:rsidRDefault="005B6F3A" w:rsidP="00A03D5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ptos">
    <w:panose1 w:val="00000000000000000000"/>
    <w:charset w:val="00"/>
    <w:family w:val="roman"/>
    <w:notTrueType/>
    <w:pitch w:val="default"/>
  </w:font>
  <w:font w:name="Arial Narrow">
    <w:altName w:val="Arial"/>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5B432" w14:textId="78C760A6" w:rsidR="0001503D" w:rsidRPr="0001503D" w:rsidRDefault="0001503D" w:rsidP="0001503D">
    <w:pPr>
      <w:pStyle w:val="Footer"/>
      <w:rPr>
        <w:rFonts w:ascii="Arial" w:hAnsi="Arial" w:cs="Arial"/>
        <w:b/>
        <w:sz w:val="48"/>
      </w:rPr>
    </w:pPr>
    <w:r w:rsidRPr="0001503D">
      <w:rPr>
        <w:rFonts w:ascii="Arial" w:hAnsi="Arial" w:cs="Arial"/>
        <w:b/>
        <w:sz w:val="48"/>
      </w:rPr>
      <w:t>RO</w:t>
    </w:r>
    <w:r w:rsidRPr="0001503D">
      <w:rPr>
        <w:rFonts w:ascii="Arial" w:hAnsi="Arial" w:cs="Arial"/>
        <w:b/>
        <w:sz w:val="48"/>
      </w:rPr>
      <w:tab/>
    </w:r>
    <w:r w:rsidRPr="0001503D">
      <w:rPr>
        <w:rFonts w:ascii="Arial" w:hAnsi="Arial" w:cs="Arial"/>
        <w:b/>
        <w:sz w:val="48"/>
      </w:rPr>
      <w:tab/>
    </w:r>
    <w:r w:rsidRPr="0001503D">
      <w:tab/>
    </w:r>
    <w:r w:rsidRPr="0001503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6E4D0" w14:textId="4A2EBBAB" w:rsidR="0001503D" w:rsidRPr="0001503D" w:rsidRDefault="0001503D" w:rsidP="0001503D">
    <w:pPr>
      <w:pStyle w:val="Footer"/>
      <w:rPr>
        <w:rFonts w:ascii="Arial" w:hAnsi="Arial" w:cs="Arial"/>
        <w:b/>
        <w:sz w:val="48"/>
      </w:rPr>
    </w:pPr>
    <w:r w:rsidRPr="0001503D">
      <w:rPr>
        <w:rFonts w:ascii="Arial" w:hAnsi="Arial" w:cs="Arial"/>
        <w:b/>
        <w:sz w:val="48"/>
      </w:rPr>
      <w:t>RO</w:t>
    </w:r>
    <w:r w:rsidRPr="0001503D">
      <w:rPr>
        <w:rFonts w:ascii="Arial" w:hAnsi="Arial" w:cs="Arial"/>
        <w:b/>
        <w:sz w:val="48"/>
      </w:rPr>
      <w:tab/>
    </w:r>
    <w:r w:rsidRPr="0001503D">
      <w:rPr>
        <w:rFonts w:ascii="Arial" w:hAnsi="Arial" w:cs="Arial"/>
        <w:b/>
        <w:sz w:val="48"/>
      </w:rPr>
      <w:tab/>
    </w:r>
    <w:r w:rsidRPr="0001503D">
      <w:tab/>
    </w:r>
    <w:r w:rsidRPr="0001503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09290" w14:textId="77777777" w:rsidR="0001503D" w:rsidRDefault="0001503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BF331" w14:textId="7B864D32" w:rsidR="0001503D" w:rsidRPr="0001503D" w:rsidRDefault="0001503D" w:rsidP="0001503D">
    <w:pPr>
      <w:pStyle w:val="Footer"/>
      <w:rPr>
        <w:rFonts w:ascii="Arial" w:hAnsi="Arial" w:cs="Arial"/>
        <w:b/>
        <w:sz w:val="48"/>
      </w:rPr>
    </w:pPr>
    <w:r w:rsidRPr="0001503D">
      <w:rPr>
        <w:rFonts w:ascii="Arial" w:hAnsi="Arial" w:cs="Arial"/>
        <w:b/>
        <w:sz w:val="48"/>
      </w:rPr>
      <w:t>RO</w:t>
    </w:r>
    <w:r w:rsidRPr="0001503D">
      <w:rPr>
        <w:rFonts w:ascii="Arial" w:hAnsi="Arial" w:cs="Arial"/>
        <w:b/>
        <w:sz w:val="48"/>
      </w:rPr>
      <w:tab/>
    </w:r>
    <w:r>
      <w:fldChar w:fldCharType="begin"/>
    </w:r>
    <w:r>
      <w:instrText xml:space="preserve"> PAGE  \* MERGEFORMAT </w:instrText>
    </w:r>
    <w:r>
      <w:fldChar w:fldCharType="separate"/>
    </w:r>
    <w:r w:rsidR="00AA332B">
      <w:rPr>
        <w:noProof/>
      </w:rPr>
      <w:t>112</w:t>
    </w:r>
    <w:r>
      <w:fldChar w:fldCharType="end"/>
    </w:r>
    <w:r>
      <w:tab/>
    </w:r>
    <w:r w:rsidRPr="0001503D">
      <w:tab/>
    </w:r>
    <w:r w:rsidRPr="0001503D">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CB845" w14:textId="77777777" w:rsidR="0001503D" w:rsidRDefault="0001503D" w:rsidP="0001503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FD1A8" w14:textId="47D81E4F" w:rsidR="0001503D" w:rsidRPr="0001503D" w:rsidRDefault="0001503D" w:rsidP="0001503D">
    <w:pPr>
      <w:pStyle w:val="FooterLandscape"/>
      <w:rPr>
        <w:rFonts w:ascii="Arial" w:hAnsi="Arial" w:cs="Arial"/>
        <w:b/>
        <w:sz w:val="48"/>
      </w:rPr>
    </w:pPr>
    <w:r w:rsidRPr="0001503D">
      <w:rPr>
        <w:rFonts w:ascii="Arial" w:hAnsi="Arial" w:cs="Arial"/>
        <w:b/>
        <w:sz w:val="48"/>
      </w:rPr>
      <w:t>RO</w:t>
    </w:r>
    <w:r w:rsidRPr="0001503D">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01503D">
      <w:tab/>
    </w:r>
    <w:r w:rsidRPr="0001503D">
      <w:rPr>
        <w:rFonts w:ascii="Arial" w:hAnsi="Arial" w:cs="Arial"/>
        <w:b/>
        <w:sz w:val="48"/>
      </w:rPr>
      <w:t>RO</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1B21A" w14:textId="5CA651B6" w:rsidR="0001503D" w:rsidRPr="0001503D" w:rsidRDefault="0001503D" w:rsidP="0001503D">
    <w:pPr>
      <w:pStyle w:val="Footer"/>
      <w:rPr>
        <w:rFonts w:ascii="Arial" w:hAnsi="Arial" w:cs="Arial"/>
        <w:b/>
        <w:sz w:val="48"/>
      </w:rPr>
    </w:pPr>
    <w:r w:rsidRPr="0001503D">
      <w:rPr>
        <w:rFonts w:ascii="Arial" w:hAnsi="Arial" w:cs="Arial"/>
        <w:b/>
        <w:sz w:val="48"/>
      </w:rPr>
      <w:t>RO</w:t>
    </w:r>
    <w:r w:rsidRPr="0001503D">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01503D">
      <w:tab/>
    </w:r>
    <w:r w:rsidRPr="0001503D">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DB578A" w14:textId="77777777" w:rsidR="005B6F3A" w:rsidRDefault="005B6F3A" w:rsidP="00A03D5B">
      <w:pPr>
        <w:spacing w:before="0" w:after="0"/>
      </w:pPr>
      <w:r>
        <w:separator/>
      </w:r>
    </w:p>
  </w:footnote>
  <w:footnote w:type="continuationSeparator" w:id="0">
    <w:p w14:paraId="7A85E8FC" w14:textId="77777777" w:rsidR="005B6F3A" w:rsidRDefault="005B6F3A" w:rsidP="00A03D5B">
      <w:pPr>
        <w:spacing w:before="0" w:after="0"/>
      </w:pPr>
      <w:r>
        <w:continuationSeparator/>
      </w:r>
    </w:p>
  </w:footnote>
  <w:footnote w:id="1">
    <w:p w14:paraId="2ED72E15" w14:textId="77777777" w:rsidR="008133B6" w:rsidRPr="007840DB" w:rsidRDefault="008133B6">
      <w:pPr>
        <w:pStyle w:val="FootnoteText"/>
        <w:rPr>
          <w:sz w:val="18"/>
          <w:szCs w:val="18"/>
        </w:rPr>
      </w:pPr>
      <w:r>
        <w:rPr>
          <w:rStyle w:val="FootnoteReference"/>
        </w:rPr>
        <w:footnoteRef/>
      </w:r>
      <w:r>
        <w:tab/>
      </w:r>
      <w:r>
        <w:rPr>
          <w:sz w:val="18"/>
        </w:rPr>
        <w:t xml:space="preserve">„WSTS Semiconductor Market Forecast Spring 2025” (Previziunile WSTS privind piața semiconductorilor – primăvara anului 2025), </w:t>
      </w:r>
      <w:hyperlink r:id="rId1">
        <w:r>
          <w:rPr>
            <w:rStyle w:val="Hyperlink"/>
            <w:sz w:val="18"/>
          </w:rPr>
          <w:t>https://www.wsts.org/76/103/WSTS-Semiconductor-Market-Forecast-Spring-2025</w:t>
        </w:r>
      </w:hyperlink>
      <w:r>
        <w:t>.</w:t>
      </w:r>
    </w:p>
  </w:footnote>
  <w:footnote w:id="2">
    <w:p w14:paraId="100FB28D" w14:textId="77777777" w:rsidR="0098133F" w:rsidRPr="007840DB" w:rsidRDefault="0098133F" w:rsidP="0098133F">
      <w:pPr>
        <w:pStyle w:val="FootnoteText"/>
        <w:rPr>
          <w:sz w:val="18"/>
          <w:szCs w:val="18"/>
        </w:rPr>
      </w:pPr>
      <w:r>
        <w:rPr>
          <w:rStyle w:val="FootnoteReference"/>
        </w:rPr>
        <w:footnoteRef/>
      </w:r>
      <w:r>
        <w:tab/>
      </w:r>
      <w:r>
        <w:rPr>
          <w:sz w:val="18"/>
        </w:rPr>
        <w:t>„Global Semiconductor Sales Increase Substantially in February” (Vânzările de semiconductori la nivel mondial au crescut în luna februarie),</w:t>
      </w:r>
      <w:r>
        <w:t xml:space="preserve"> </w:t>
      </w:r>
      <w:hyperlink r:id="rId2">
        <w:r>
          <w:rPr>
            <w:rStyle w:val="Hyperlink"/>
            <w:sz w:val="18"/>
          </w:rPr>
          <w:t>https://www.semiconductors.org/global-semiconductor-sales-increase-substantially-in-february/</w:t>
        </w:r>
      </w:hyperlink>
      <w:r>
        <w:t>.</w:t>
      </w:r>
    </w:p>
  </w:footnote>
  <w:footnote w:id="3">
    <w:p w14:paraId="4541734F" w14:textId="77777777" w:rsidR="000D0964" w:rsidRPr="0045703C" w:rsidRDefault="000D0964">
      <w:pPr>
        <w:pStyle w:val="FootnoteText"/>
        <w:rPr>
          <w:sz w:val="18"/>
          <w:szCs w:val="18"/>
        </w:rPr>
      </w:pPr>
      <w:r>
        <w:rPr>
          <w:rStyle w:val="FootnoteReference"/>
        </w:rPr>
        <w:footnoteRef/>
      </w:r>
      <w:r>
        <w:tab/>
      </w:r>
      <w:r>
        <w:rPr>
          <w:sz w:val="18"/>
        </w:rPr>
        <w:t xml:space="preserve">„The next era of semiconductor value creation” (Viitoarea eră a creării de valoare în sectorul semiconductorilor), McKinsey, </w:t>
      </w:r>
      <w:hyperlink r:id="rId3" w:history="1">
        <w:r>
          <w:rPr>
            <w:rStyle w:val="Hyperlink"/>
            <w:sz w:val="18"/>
          </w:rPr>
          <w:t>https://www.mckinsey.com/industries/semiconductors/our-insights/the-next-era-of-semiconductor-value-creation</w:t>
        </w:r>
      </w:hyperlink>
      <w:r>
        <w:t>.</w:t>
      </w:r>
      <w:r>
        <w:rPr>
          <w:sz w:val="18"/>
        </w:rPr>
        <w:t xml:space="preserve"> </w:t>
      </w:r>
    </w:p>
  </w:footnote>
  <w:footnote w:id="4">
    <w:p w14:paraId="7AF17E5A" w14:textId="77777777" w:rsidR="007840DB" w:rsidRPr="007840DB" w:rsidRDefault="007840DB">
      <w:pPr>
        <w:pStyle w:val="FootnoteText"/>
      </w:pPr>
      <w:r>
        <w:rPr>
          <w:rStyle w:val="FootnoteReference"/>
        </w:rPr>
        <w:footnoteRef/>
      </w:r>
      <w:r>
        <w:tab/>
      </w:r>
      <w:r>
        <w:rPr>
          <w:sz w:val="18"/>
        </w:rPr>
        <w:t xml:space="preserve">„The future of European competitiveness” (Viitorul competitivității europene), partea B, capitolul 3 – Mario Draghi, </w:t>
      </w:r>
      <w:hyperlink r:id="rId4" w:history="1">
        <w:r>
          <w:rPr>
            <w:rStyle w:val="Hyperlink"/>
            <w:sz w:val="18"/>
          </w:rPr>
          <w:t>https://commission.europa.eu/topics/competitiveness/draghi-report_en</w:t>
        </w:r>
      </w:hyperlink>
      <w:r>
        <w:t>.</w:t>
      </w:r>
    </w:p>
  </w:footnote>
  <w:footnote w:id="5">
    <w:p w14:paraId="1D894F0A" w14:textId="77777777" w:rsidR="00AD2EB6" w:rsidRPr="00AD2EB6" w:rsidRDefault="00AD2EB6">
      <w:pPr>
        <w:pStyle w:val="FootnoteText"/>
        <w:rPr>
          <w:sz w:val="18"/>
          <w:szCs w:val="18"/>
        </w:rPr>
      </w:pPr>
      <w:r>
        <w:rPr>
          <w:rStyle w:val="FootnoteReference"/>
        </w:rPr>
        <w:footnoteRef/>
      </w:r>
      <w:r>
        <w:tab/>
      </w:r>
      <w:r>
        <w:rPr>
          <w:sz w:val="18"/>
        </w:rPr>
        <w:t>IDC, „Semiconductors market data by feature size, sector and region” (Date privind piața semiconductorilor în funcție de dimensiunea elementelor, sector și regiune) – CNECT/2022/MVP/0084 – Al doilea raport intermediar</w:t>
      </w:r>
      <w:r>
        <w:t>.</w:t>
      </w:r>
      <w:r>
        <w:rPr>
          <w:sz w:val="18"/>
        </w:rPr>
        <w:t xml:space="preserve"> Lanțul valoric cuprinde proprietatea intelectuală, automatizarea proiectării electronice, bunurile de capital, substraturile, materialele, firmele fabless, producătorii de dispozitive integrate, turnătoriile și furnizorii de servicii OSAT. Sunt luate în considerare numai veniturile întreprinderilor cu sediul în UE.</w:t>
      </w:r>
    </w:p>
  </w:footnote>
  <w:footnote w:id="6">
    <w:p w14:paraId="37A9EE5A" w14:textId="77777777" w:rsidR="00EA3C6C" w:rsidRPr="00C75977" w:rsidRDefault="00EA3C6C">
      <w:pPr>
        <w:pStyle w:val="FootnoteText"/>
        <w:rPr>
          <w:sz w:val="18"/>
          <w:szCs w:val="18"/>
        </w:rPr>
      </w:pPr>
      <w:r>
        <w:rPr>
          <w:rStyle w:val="FootnoteReference"/>
        </w:rPr>
        <w:footnoteRef/>
      </w:r>
      <w:r>
        <w:tab/>
      </w:r>
      <w:r>
        <w:rPr>
          <w:sz w:val="18"/>
        </w:rPr>
        <w:t>Comunicarea Comisiei către Parlamentul European, Consiliu, Comitetul Economic și Social European și Comitetul Regiunilor, Planul de acțiune privind continentul IA [COM(2025) 165 din 9 aprilie 2025]</w:t>
      </w:r>
      <w:r>
        <w:t>.</w:t>
      </w:r>
    </w:p>
  </w:footnote>
  <w:footnote w:id="7">
    <w:p w14:paraId="0D29C39F" w14:textId="77777777" w:rsidR="00C93505" w:rsidRPr="00637267" w:rsidRDefault="00C93505" w:rsidP="00C93505">
      <w:pPr>
        <w:pStyle w:val="FootnoteText"/>
        <w:rPr>
          <w:sz w:val="18"/>
          <w:szCs w:val="18"/>
        </w:rPr>
      </w:pPr>
      <w:r>
        <w:rPr>
          <w:rStyle w:val="FootnoteReference"/>
        </w:rPr>
        <w:footnoteRef/>
      </w:r>
      <w:r>
        <w:rPr>
          <w:u w:val="single"/>
        </w:rPr>
        <w:tab/>
      </w:r>
      <w:hyperlink r:id="rId5" w:history="1">
        <w:r>
          <w:rPr>
            <w:rStyle w:val="Hyperlink"/>
            <w:sz w:val="18"/>
          </w:rPr>
          <w:t>Prioritățile pentru perioada 2024-2029 – Comisia Europeană</w:t>
        </w:r>
      </w:hyperlink>
      <w:r>
        <w:t>.</w:t>
      </w:r>
    </w:p>
  </w:footnote>
  <w:footnote w:id="8">
    <w:p w14:paraId="164264D6" w14:textId="77777777" w:rsidR="006F27FD" w:rsidRPr="00ED1396" w:rsidRDefault="006F27FD" w:rsidP="006F27FD">
      <w:pPr>
        <w:pStyle w:val="FootnoteText"/>
        <w:rPr>
          <w:sz w:val="18"/>
          <w:szCs w:val="18"/>
        </w:rPr>
      </w:pPr>
      <w:r>
        <w:rPr>
          <w:rStyle w:val="FootnoteReference"/>
        </w:rPr>
        <w:footnoteRef/>
      </w:r>
      <w:r>
        <w:tab/>
      </w:r>
      <w:r>
        <w:rPr>
          <w:sz w:val="18"/>
        </w:rPr>
        <w:t>Comunicarea Comisiei către Parlamentul European, Consiliu, Comitetul Economic și Social European și Comitetul Regiunilor – „Pactul pentru o industrie curată</w:t>
      </w:r>
      <w:r>
        <w:t>:</w:t>
      </w:r>
      <w:r>
        <w:rPr>
          <w:sz w:val="18"/>
        </w:rPr>
        <w:t xml:space="preserve"> o foaie de parcurs comună pentru competitivitate și decarbonizare [COM(2025) 85 din 26 februarie 2025].</w:t>
      </w:r>
    </w:p>
  </w:footnote>
  <w:footnote w:id="9">
    <w:p w14:paraId="0C231074" w14:textId="77777777" w:rsidR="006F27FD" w:rsidRPr="006C09FA" w:rsidRDefault="006F27FD" w:rsidP="006F27FD">
      <w:pPr>
        <w:pStyle w:val="FootnoteText"/>
        <w:rPr>
          <w:sz w:val="18"/>
          <w:szCs w:val="18"/>
        </w:rPr>
      </w:pPr>
      <w:r>
        <w:rPr>
          <w:rStyle w:val="FootnoteReference"/>
        </w:rPr>
        <w:footnoteRef/>
      </w:r>
      <w:r>
        <w:tab/>
      </w:r>
      <w:r>
        <w:rPr>
          <w:sz w:val="18"/>
        </w:rPr>
        <w:t>Comunicarea Comisiei către Parlamentul European, Consiliu, Comitetul Economic și Social European și Comitetul Regiunilor – O Busolă pentru competitivitatea UE [COM(2025) 30 din 29 ianuarie 2025]</w:t>
      </w:r>
      <w:r>
        <w:t>.</w:t>
      </w:r>
    </w:p>
  </w:footnote>
  <w:footnote w:id="10">
    <w:p w14:paraId="383AFA26" w14:textId="77777777" w:rsidR="006F27FD" w:rsidRPr="006C09FA" w:rsidRDefault="006F27FD" w:rsidP="006F27FD">
      <w:pPr>
        <w:pStyle w:val="FootnoteText"/>
        <w:rPr>
          <w:sz w:val="18"/>
          <w:szCs w:val="18"/>
        </w:rPr>
      </w:pPr>
      <w:r>
        <w:rPr>
          <w:rStyle w:val="FootnoteReference"/>
        </w:rPr>
        <w:footnoteRef/>
      </w:r>
      <w:r>
        <w:tab/>
      </w:r>
      <w:r>
        <w:rPr>
          <w:sz w:val="18"/>
        </w:rPr>
        <w:t>Comunicare comună către Parlamentul European și Consiliu – Consolidarea securității economice a UE [JOIN(2025) 977 din 3 decembrie 2025]</w:t>
      </w:r>
      <w:r>
        <w:t>.</w:t>
      </w:r>
    </w:p>
  </w:footnote>
  <w:footnote w:id="11">
    <w:p w14:paraId="499B4CA2" w14:textId="77777777" w:rsidR="00873777" w:rsidRPr="006C09FA" w:rsidRDefault="00873777" w:rsidP="00873777">
      <w:pPr>
        <w:pStyle w:val="FootnoteText"/>
        <w:rPr>
          <w:sz w:val="18"/>
          <w:szCs w:val="18"/>
        </w:rPr>
      </w:pPr>
      <w:r>
        <w:rPr>
          <w:rStyle w:val="FootnoteReference"/>
        </w:rPr>
        <w:footnoteRef/>
      </w:r>
      <w:r>
        <w:tab/>
      </w:r>
      <w:r>
        <w:rPr>
          <w:sz w:val="18"/>
        </w:rPr>
        <w:t>Comunicarea Comisiei către Parlamentul European, Consiliu, Comitetul Economic și Social European și Comitetul Regiunilor – „Busola pentru dimensiunea digitală 2030</w:t>
      </w:r>
      <w:r>
        <w:t>:</w:t>
      </w:r>
      <w:r>
        <w:rPr>
          <w:sz w:val="18"/>
        </w:rPr>
        <w:t xml:space="preserve"> modelul european pentru deceniul digital” [COM(2021) 118 din 9 martie 2021].</w:t>
      </w:r>
    </w:p>
  </w:footnote>
  <w:footnote w:id="12">
    <w:p w14:paraId="65D7D1F8" w14:textId="77777777" w:rsidR="00873777" w:rsidRPr="006A58CB" w:rsidRDefault="00873777" w:rsidP="00873777">
      <w:pPr>
        <w:pStyle w:val="FootnoteText"/>
        <w:rPr>
          <w:sz w:val="18"/>
          <w:szCs w:val="18"/>
        </w:rPr>
      </w:pPr>
      <w:r>
        <w:rPr>
          <w:rStyle w:val="FootnoteReference"/>
        </w:rPr>
        <w:footnoteRef/>
      </w:r>
      <w:r>
        <w:tab/>
      </w:r>
      <w:r>
        <w:rPr>
          <w:sz w:val="18"/>
        </w:rPr>
        <w:t>Decizia (UE) 2022/2481 a Parlamentului European și a Consiliului din 14 decembrie 2022 de instituire a programului de politică pentru 2030 privind deceniul digital, 19.12.2022</w:t>
      </w:r>
      <w:r>
        <w:t>.</w:t>
      </w:r>
    </w:p>
  </w:footnote>
  <w:footnote w:id="13">
    <w:p w14:paraId="239EFF3F" w14:textId="77777777" w:rsidR="00873777" w:rsidRPr="00FB3ADA" w:rsidRDefault="00873777" w:rsidP="00873777">
      <w:pPr>
        <w:pStyle w:val="FootnoteText"/>
        <w:rPr>
          <w:sz w:val="18"/>
          <w:szCs w:val="18"/>
        </w:rPr>
      </w:pPr>
      <w:r>
        <w:rPr>
          <w:rStyle w:val="FootnoteReference"/>
        </w:rPr>
        <w:footnoteRef/>
      </w:r>
      <w:r>
        <w:tab/>
      </w:r>
      <w:r>
        <w:rPr>
          <w:sz w:val="18"/>
        </w:rPr>
        <w:t>„Survey opens on the future of the Digital Decade Policy Programme”</w:t>
      </w:r>
      <w:hyperlink r:id="rId6" w:history="1">
        <w:r>
          <w:rPr>
            <w:rStyle w:val="Hyperlink"/>
            <w:sz w:val="18"/>
          </w:rPr>
          <w:t xml:space="preserve"> (Se deschide un sondaj referitor la viitorul programului de politică privind deceniul digital) – https://digital-strategy.ec.europa.eu/en/consultations/survey-opens-future-digital-decade-policy-programme</w:t>
        </w:r>
      </w:hyperlink>
      <w:r>
        <w:t>.</w:t>
      </w:r>
    </w:p>
  </w:footnote>
  <w:footnote w:id="14">
    <w:p w14:paraId="25B2D9CC" w14:textId="77777777" w:rsidR="00AC776C" w:rsidRPr="00F12FE1" w:rsidRDefault="00AC776C" w:rsidP="00AC776C">
      <w:pPr>
        <w:pStyle w:val="FootnoteText"/>
        <w:rPr>
          <w:sz w:val="18"/>
          <w:szCs w:val="18"/>
        </w:rPr>
      </w:pPr>
      <w:r>
        <w:rPr>
          <w:rStyle w:val="FootnoteReference"/>
        </w:rPr>
        <w:footnoteRef/>
      </w:r>
      <w:r>
        <w:tab/>
      </w:r>
      <w:r>
        <w:rPr>
          <w:sz w:val="18"/>
        </w:rPr>
        <w:t xml:space="preserve">„Semicon Coalition calls for reinforced Chips Act” </w:t>
      </w:r>
      <w:hyperlink r:id="rId7">
        <w:r>
          <w:rPr>
            <w:rStyle w:val="Hyperlink"/>
            <w:sz w:val="18"/>
          </w:rPr>
          <w:t>(Coaliția Semicon solicită adoptarea unui Regulament privind cipurile consolidat”) – https://digital-strategy.ec.europa.eu/en/news/semicon-coalition-calls-reinforced-chips-act</w:t>
        </w:r>
      </w:hyperlink>
      <w:r>
        <w:t>.</w:t>
      </w:r>
    </w:p>
  </w:footnote>
  <w:footnote w:id="15">
    <w:p w14:paraId="595A2CA4" w14:textId="77777777" w:rsidR="001C7B0C" w:rsidRPr="001C7B0C" w:rsidRDefault="001C7B0C" w:rsidP="0017780F">
      <w:pPr>
        <w:pStyle w:val="FootnoteText"/>
        <w:rPr>
          <w:sz w:val="18"/>
          <w:szCs w:val="18"/>
        </w:rPr>
      </w:pPr>
      <w:r>
        <w:rPr>
          <w:rStyle w:val="FootnoteReference"/>
        </w:rPr>
        <w:footnoteRef/>
      </w:r>
      <w:r>
        <w:tab/>
      </w:r>
      <w:r>
        <w:rPr>
          <w:sz w:val="18"/>
        </w:rPr>
        <w:t>Propunere de regulament al Parlamentului European și al Consiliului de instituire a unui cadru de măsuri pentru accelerarea capacității industriale și a decarbonizării în sectoare strategice și de modificare a Regulamentelor (UE) 2018/1724, (UE) 2024/1735 și (UE) 2024/3110 („Actul privind accelerarea industrială”) [COM(2026) 100 din 4 martie 2026]</w:t>
      </w:r>
      <w:r>
        <w:t>.</w:t>
      </w:r>
    </w:p>
  </w:footnote>
  <w:footnote w:id="16">
    <w:p w14:paraId="736F7EFE" w14:textId="77777777" w:rsidR="00F12FE1" w:rsidRPr="00763BDA" w:rsidRDefault="00F12FE1" w:rsidP="006158B0">
      <w:pPr>
        <w:pStyle w:val="FootnoteText"/>
        <w:rPr>
          <w:sz w:val="18"/>
          <w:szCs w:val="18"/>
        </w:rPr>
      </w:pPr>
      <w:r>
        <w:rPr>
          <w:rStyle w:val="FootnoteReference"/>
        </w:rPr>
        <w:footnoteRef/>
      </w:r>
      <w:r>
        <w:tab/>
      </w:r>
      <w:r>
        <w:rPr>
          <w:sz w:val="18"/>
        </w:rPr>
        <w:t>Regulamentul (UE) 2024/1252 al Parlamentului European și al Consiliului din 11 aprilie 2024 de instituire a unui cadru pentru asigurarea aprovizionării sigure și durabile cu materii prime critice și de modificare a Regulamentelor (UE) nr. 168/2013, (UE) 2018/858, (UE) 2018/1724 și (UE) 2019/1020 („Regulamentul privind materiile prime critice”)</w:t>
      </w:r>
      <w:r>
        <w:t>.</w:t>
      </w:r>
    </w:p>
  </w:footnote>
  <w:footnote w:id="17">
    <w:p w14:paraId="1767DA4D" w14:textId="77777777" w:rsidR="00533F1B" w:rsidRPr="00763BDA" w:rsidRDefault="00533F1B">
      <w:pPr>
        <w:pStyle w:val="FootnoteText"/>
        <w:rPr>
          <w:sz w:val="18"/>
          <w:szCs w:val="18"/>
        </w:rPr>
      </w:pPr>
      <w:r>
        <w:rPr>
          <w:rStyle w:val="FootnoteReference"/>
        </w:rPr>
        <w:footnoteRef/>
      </w:r>
      <w:r>
        <w:tab/>
      </w:r>
      <w:r>
        <w:rPr>
          <w:sz w:val="18"/>
        </w:rPr>
        <w:t>Comunicare comună către Parlamentul European, Consiliul European și Consiliu privind „Strategia europeană pentru securitate economică” [JOIN(2023) 20 final]</w:t>
      </w:r>
      <w:r>
        <w:t>.</w:t>
      </w:r>
    </w:p>
  </w:footnote>
  <w:footnote w:id="18">
    <w:p w14:paraId="062E718D" w14:textId="77777777" w:rsidR="007A4A07" w:rsidRPr="00763BDA" w:rsidRDefault="007A4A07">
      <w:pPr>
        <w:pStyle w:val="FootnoteText"/>
        <w:rPr>
          <w:sz w:val="18"/>
          <w:szCs w:val="18"/>
        </w:rPr>
      </w:pPr>
      <w:r>
        <w:rPr>
          <w:rStyle w:val="FootnoteReference"/>
        </w:rPr>
        <w:footnoteRef/>
      </w:r>
      <w:r>
        <w:rPr>
          <w:u w:val="single"/>
        </w:rPr>
        <w:tab/>
      </w:r>
      <w:hyperlink r:id="rId8" w:history="1">
        <w:r>
          <w:rPr>
            <w:rStyle w:val="Hyperlink"/>
            <w:sz w:val="18"/>
          </w:rPr>
          <w:t>Exportul de produse cu dublă utilizare – comerț și securitate economică</w:t>
        </w:r>
      </w:hyperlink>
      <w:r>
        <w:t>.</w:t>
      </w:r>
    </w:p>
  </w:footnote>
  <w:footnote w:id="19">
    <w:p w14:paraId="3EC6DCD4" w14:textId="77777777" w:rsidR="00F029B8" w:rsidRPr="00F029B8" w:rsidRDefault="00F029B8">
      <w:pPr>
        <w:pStyle w:val="FootnoteText"/>
        <w:rPr>
          <w:sz w:val="18"/>
          <w:szCs w:val="18"/>
        </w:rPr>
      </w:pPr>
      <w:r>
        <w:rPr>
          <w:rStyle w:val="FootnoteReference"/>
        </w:rPr>
        <w:footnoteRef/>
      </w:r>
      <w:r>
        <w:tab/>
      </w:r>
      <w:r>
        <w:rPr>
          <w:sz w:val="18"/>
        </w:rPr>
        <w:t>Regulamentul (UE) 2022/2560 al Parlamentului European și al Consiliului din 14 decembrie 2022 privind subvențiile străine care denaturează piața internă</w:t>
      </w:r>
      <w:r>
        <w:t>.</w:t>
      </w:r>
    </w:p>
  </w:footnote>
  <w:footnote w:id="20">
    <w:p w14:paraId="6E128A1A" w14:textId="77777777" w:rsidR="006D3ECB" w:rsidRPr="00F029B8" w:rsidRDefault="006D3ECB">
      <w:pPr>
        <w:pStyle w:val="FootnoteText"/>
        <w:rPr>
          <w:sz w:val="18"/>
          <w:szCs w:val="18"/>
        </w:rPr>
      </w:pPr>
      <w:r>
        <w:rPr>
          <w:rStyle w:val="FootnoteReference"/>
        </w:rPr>
        <w:footnoteRef/>
      </w:r>
      <w:r>
        <w:tab/>
      </w:r>
      <w:r>
        <w:rPr>
          <w:sz w:val="18"/>
        </w:rPr>
        <w:t xml:space="preserve">Platforma „Tehnologii strategice pentru Europa”, </w:t>
      </w:r>
      <w:hyperlink r:id="rId9" w:history="1">
        <w:r>
          <w:rPr>
            <w:rStyle w:val="Hyperlink"/>
            <w:sz w:val="18"/>
          </w:rPr>
          <w:t>https://strategic-technologies.europa.eu/index_en</w:t>
        </w:r>
      </w:hyperlink>
      <w:r>
        <w:t>.</w:t>
      </w:r>
    </w:p>
  </w:footnote>
  <w:footnote w:id="21">
    <w:p w14:paraId="58490686" w14:textId="77777777" w:rsidR="00AB15A1" w:rsidRPr="00A90956" w:rsidRDefault="00AB15A1" w:rsidP="00AB15A1">
      <w:pPr>
        <w:pStyle w:val="FootnoteText"/>
        <w:rPr>
          <w:sz w:val="18"/>
          <w:szCs w:val="18"/>
        </w:rPr>
      </w:pPr>
      <w:r>
        <w:rPr>
          <w:rStyle w:val="FootnoteReference"/>
        </w:rPr>
        <w:footnoteRef/>
      </w:r>
      <w:r>
        <w:tab/>
      </w:r>
      <w:r>
        <w:rPr>
          <w:sz w:val="18"/>
        </w:rPr>
        <w:t>Regulamentul (UE) 2024/2847 al Parlamentului European și al Consiliului din 23 octombrie 2024 privind cerințele orizontale în materie de securitate cibernetică pentru produsele cu elemente digitale și de modificare a Regulamentelor (UE) nr. 168/2013 și (UE) 2019/1020, precum și a Directivei (UE) 2020/1828 („Regulamentul privind reziliența cibernetică”)</w:t>
      </w:r>
      <w:r>
        <w:t>.</w:t>
      </w:r>
    </w:p>
  </w:footnote>
  <w:footnote w:id="22">
    <w:p w14:paraId="048C1EEC" w14:textId="77777777" w:rsidR="00FD0A9F" w:rsidRPr="006C09FA" w:rsidRDefault="00FD0A9F">
      <w:pPr>
        <w:pStyle w:val="FootnoteText"/>
        <w:rPr>
          <w:sz w:val="18"/>
          <w:szCs w:val="18"/>
        </w:rPr>
      </w:pPr>
      <w:r>
        <w:rPr>
          <w:rStyle w:val="FootnoteReference"/>
        </w:rPr>
        <w:footnoteRef/>
      </w:r>
      <w:r>
        <w:tab/>
        <w:t>Comunicarea Comisiei către Parlamentul European, Consiliu, Comitetul Economic și Social European și Comitetul Regiunilor – Plan de acțiune industrială pentru sectorul european al autovehiculelor [COM(2025) 95 final din 5 martie 2025].</w:t>
      </w:r>
    </w:p>
  </w:footnote>
  <w:footnote w:id="23">
    <w:p w14:paraId="0E8AE7DA" w14:textId="2C8C9F7A" w:rsidR="00CE0CCF" w:rsidRPr="00EB4346" w:rsidRDefault="00CE0CCF" w:rsidP="00CE0CCF">
      <w:pPr>
        <w:pStyle w:val="FootnoteText"/>
        <w:rPr>
          <w:sz w:val="18"/>
          <w:szCs w:val="18"/>
        </w:rPr>
      </w:pPr>
      <w:r>
        <w:rPr>
          <w:rStyle w:val="FootnoteReference"/>
        </w:rPr>
        <w:footnoteRef/>
      </w:r>
      <w:r>
        <w:tab/>
      </w:r>
      <w:r>
        <w:rPr>
          <w:sz w:val="18"/>
        </w:rPr>
        <w:t>PIIEC-ul candidat privind tehnologiile avansate ale semiconductorilor este conceput în prezent pentru a valorifica inițiativele existente ale UE, în special liniile-pilot și platforma europeană de proiectare, asigurând mai degrabă continuitatea și accelerarea decât duplicarea</w:t>
      </w:r>
      <w:r>
        <w:t>.</w:t>
      </w:r>
      <w:r>
        <w:rPr>
          <w:sz w:val="18"/>
        </w:rPr>
        <w:t xml:space="preserve"> Sub impulsul unor tendințe majore precum IA, automatizarea, securitatea și durabilitatea, PIIEC-ul candidat privind tehnologiile avansate ale semiconductorilor poate oferi, în cele din urmă, un răspuns european colectiv la schimbările tehnologice disruptive. Acesta s-ar putea concentra pe domenii-cheie tehnologice, care includ, de exemplu, cipurile și acceleratoarele de IA, circuitele integrate fotonice, integrarea eterogenă și încapsularea avansată, senzorii, electronica de putere, soluțiile eficiente din punct de vedere energetic și comunicarea securizată, acoperind în același timp întregul lanț valoric al semiconductorilor, inclusiv tehnologiile generice, cum ar fi automatizarea proiectării electronice, echipamentele, testarea, materialele și plachetele. </w:t>
      </w:r>
    </w:p>
  </w:footnote>
  <w:footnote w:id="24">
    <w:p w14:paraId="01ED5ECE" w14:textId="77777777" w:rsidR="00D00C10" w:rsidRPr="00D00C10" w:rsidRDefault="00D00C10">
      <w:pPr>
        <w:pStyle w:val="FootnoteText"/>
        <w:rPr>
          <w:sz w:val="18"/>
          <w:szCs w:val="18"/>
        </w:rPr>
      </w:pPr>
      <w:r>
        <w:rPr>
          <w:rStyle w:val="FootnoteReference"/>
        </w:rPr>
        <w:footnoteRef/>
      </w:r>
      <w:r>
        <w:tab/>
      </w:r>
      <w:r>
        <w:rPr>
          <w:sz w:val="18"/>
        </w:rPr>
        <w:t>Propunere de regulament al Parlamentului European și al Consiliului de instituire a Fondului european pentru competitivitate („FEC”), inclusiv a programului specific pentru activități de cercetare și inovare în domeniul apărării, de abrogare a Regulamentelor (UE) 2021/522, (UE) 2021/694, (UE) 2021/697, (UE) 2021/783, de abrogare a unor dispoziții ale Regulamentelor (UE) 2021/696, (UE) 2023/588 și de modificare a Regulamentului (UE) [EDIP] [COM(2025) 555 din 16 iulie 2025]</w:t>
      </w:r>
      <w:r>
        <w:t>.</w:t>
      </w:r>
      <w:r>
        <w:rPr>
          <w:sz w:val="18"/>
        </w:rPr>
        <w:t xml:space="preserve"> </w:t>
      </w:r>
    </w:p>
  </w:footnote>
  <w:footnote w:id="25">
    <w:p w14:paraId="0A5AB8B1" w14:textId="77777777" w:rsidR="001678A1" w:rsidRPr="001678A1" w:rsidRDefault="001678A1">
      <w:pPr>
        <w:pStyle w:val="FootnoteText"/>
      </w:pPr>
      <w:r>
        <w:rPr>
          <w:rStyle w:val="FootnoteReference"/>
        </w:rPr>
        <w:footnoteRef/>
      </w:r>
      <w:r>
        <w:tab/>
      </w:r>
      <w:r>
        <w:rPr>
          <w:sz w:val="18"/>
        </w:rPr>
        <w:t xml:space="preserve">„Commission invites contributions to shape future EU Quantum Act” (Comisia invită la prezentarea de contribuții pentru conturarea viitorului act legislativ al UE privind tehnologiile cuantice), </w:t>
      </w:r>
      <w:hyperlink r:id="rId10" w:history="1">
        <w:r>
          <w:rPr>
            <w:rStyle w:val="Hyperlink"/>
            <w:sz w:val="18"/>
          </w:rPr>
          <w:t>https://digital-strategy.ec.europa.eu/en/news/commission-invites-contributions-shape-future-eu-quantum-act</w:t>
        </w:r>
      </w:hyperlink>
      <w:r>
        <w:t>.</w:t>
      </w:r>
    </w:p>
  </w:footnote>
  <w:footnote w:id="26">
    <w:p w14:paraId="556C0617" w14:textId="77777777" w:rsidR="00251782" w:rsidRPr="00251782" w:rsidRDefault="00251782">
      <w:pPr>
        <w:pStyle w:val="FootnoteText"/>
      </w:pPr>
      <w:r>
        <w:rPr>
          <w:rStyle w:val="FootnoteReference"/>
        </w:rPr>
        <w:footnoteRef/>
      </w:r>
      <w:r>
        <w:tab/>
        <w:t>Link către anexa la raportul de evaluare aferentă documentului de lucru al serviciilor Comisiei.</w:t>
      </w:r>
    </w:p>
  </w:footnote>
  <w:footnote w:id="27">
    <w:p w14:paraId="2C327C23" w14:textId="77777777" w:rsidR="00A03D5B" w:rsidRPr="002A691F" w:rsidRDefault="00A03D5B" w:rsidP="0041561E">
      <w:pPr>
        <w:pStyle w:val="FootnoteText"/>
      </w:pPr>
      <w:r>
        <w:rPr>
          <w:rStyle w:val="FootnoteReference"/>
        </w:rPr>
        <w:footnoteRef/>
      </w:r>
      <w:r>
        <w:tab/>
        <w:t>JO C , , p. .</w:t>
      </w:r>
    </w:p>
  </w:footnote>
  <w:footnote w:id="28">
    <w:p w14:paraId="27D10277" w14:textId="77777777" w:rsidR="00A03D5B" w:rsidRPr="002A691F" w:rsidRDefault="00A03D5B" w:rsidP="0041561E">
      <w:pPr>
        <w:pStyle w:val="FootnoteText"/>
      </w:pPr>
      <w:r>
        <w:rPr>
          <w:rStyle w:val="FootnoteReference"/>
        </w:rPr>
        <w:footnoteRef/>
      </w:r>
      <w:r>
        <w:tab/>
        <w:t>JO C , , p. .</w:t>
      </w:r>
    </w:p>
  </w:footnote>
  <w:footnote w:id="29">
    <w:p w14:paraId="1858481B" w14:textId="77777777" w:rsidR="00DC10BB" w:rsidRPr="00D05C59" w:rsidRDefault="00DC10BB" w:rsidP="00DC10BB">
      <w:pPr>
        <w:pStyle w:val="FootnoteText"/>
      </w:pPr>
      <w:r>
        <w:rPr>
          <w:rStyle w:val="FootnoteReference"/>
        </w:rPr>
        <w:footnoteRef/>
      </w:r>
      <w:r>
        <w:tab/>
        <w:t>Regulamentul (UE) 2023/1781 al Parlamentului European și al Consiliului din 13 septembrie 2023 de stabilire a unui cadru de măsuri pentru consolidarea ecosistemului european al semiconductorilor și de modificare a Regulamentului (UE) 2021/694 (Regulamentul privind cipurile) (JO L 229, 18.9.2023, p. 1: http://data.europa.eu/eli/reg/2023/1781/oj).</w:t>
      </w:r>
    </w:p>
  </w:footnote>
  <w:footnote w:id="30">
    <w:p w14:paraId="0DD2E21E" w14:textId="77777777" w:rsidR="00CC0F98" w:rsidRPr="00CC0F98" w:rsidRDefault="00CC0F98">
      <w:pPr>
        <w:pStyle w:val="FootnoteText"/>
      </w:pPr>
      <w:r>
        <w:rPr>
          <w:rStyle w:val="FootnoteReference"/>
        </w:rPr>
        <w:footnoteRef/>
      </w:r>
      <w:r>
        <w:tab/>
        <w:t>[a se adăuga trimiterea la raportul de evaluare publicat].</w:t>
      </w:r>
    </w:p>
  </w:footnote>
  <w:footnote w:id="31">
    <w:p w14:paraId="6E39561D" w14:textId="77777777" w:rsidR="00796A47" w:rsidRPr="00796A47" w:rsidRDefault="00796A47">
      <w:pPr>
        <w:pStyle w:val="FootnoteText"/>
      </w:pPr>
      <w:r>
        <w:rPr>
          <w:rStyle w:val="FootnoteReference"/>
        </w:rPr>
        <w:footnoteRef/>
      </w:r>
      <w:r>
        <w:tab/>
        <w:t>„Terms of reference” (Termeni de referință) – </w:t>
      </w:r>
      <w:hyperlink r:id="rId11" w:history="1">
        <w:r>
          <w:rPr>
            <w:rStyle w:val="Hyperlink"/>
          </w:rPr>
          <w:t>https://ec.europa.eu/newsroom/dae/redirection/document/78326</w:t>
        </w:r>
      </w:hyperlink>
      <w:r>
        <w:t xml:space="preserve">. </w:t>
      </w:r>
    </w:p>
  </w:footnote>
  <w:footnote w:id="32">
    <w:p w14:paraId="28A97FBC" w14:textId="77777777" w:rsidR="008672EE" w:rsidRPr="008672EE" w:rsidRDefault="008672EE">
      <w:pPr>
        <w:pStyle w:val="FootnoteText"/>
      </w:pPr>
      <w:r>
        <w:rPr>
          <w:rStyle w:val="FootnoteReference"/>
        </w:rPr>
        <w:footnoteRef/>
      </w:r>
      <w:r>
        <w:tab/>
        <w:t>Propunere de regulament al Parlamentului European și al Consiliului de instituire a programului-cadru pentru cercetare și inovare Orizont Europa pentru perioada 2028-2034, de stabilire a normelor sale de participare și de diseminare și de abrogare a Regulamentului (UE) 2021/695.</w:t>
      </w:r>
    </w:p>
  </w:footnote>
  <w:footnote w:id="33">
    <w:p w14:paraId="09962A0A" w14:textId="77777777" w:rsidR="00907EA3" w:rsidRPr="00B822E7" w:rsidRDefault="00907EA3" w:rsidP="00907EA3">
      <w:pPr>
        <w:pStyle w:val="FootnoteText"/>
      </w:pPr>
      <w:r>
        <w:rPr>
          <w:rStyle w:val="FootnoteReference"/>
        </w:rPr>
        <w:footnoteRef/>
      </w:r>
      <w:r>
        <w:tab/>
        <w:t>Regulamentul (UE) 2021/695 al Parlamentului European și al Consiliului din 28 aprilie 2021 de instituire a programului-cadru pentru cercetare și inovare Orizont Europa, de stabilire a normelor sale de participare și de diseminare și de abrogare a Regulamentelor (UE) nr. 1290/2013 și (UE) nr. 1291/2013 (JO L 170, 12.5.2021, p. 1, ELI: http://data.europa.eu/eli/reg/2021/695/oj).</w:t>
      </w:r>
    </w:p>
  </w:footnote>
  <w:footnote w:id="34">
    <w:p w14:paraId="60D773D5" w14:textId="77777777" w:rsidR="00F44049" w:rsidRPr="00F44049" w:rsidRDefault="00F44049">
      <w:pPr>
        <w:pStyle w:val="FootnoteText"/>
      </w:pPr>
      <w:r>
        <w:rPr>
          <w:rStyle w:val="FootnoteReference"/>
        </w:rPr>
        <w:footnoteRef/>
      </w:r>
      <w:r>
        <w:tab/>
        <w:t>Propunere de regulament al Parlamentului European și al Consiliului de instituire a Fondului european pentru competitivitate („FEC”), inclusiv a programului specific pentru activități de cercetare și inovare în domeniul apărării, de abrogare a Regulamentelor (UE) 2021/522, (UE) 2021/694, (UE) 2021/697, (UE) 2021/783, de abrogare a unor dispoziții ale Regulamentelor (UE) 2021/696, (UE) 2023/588 și de modificare a Regulamentului (UE) [EDIP].</w:t>
      </w:r>
    </w:p>
  </w:footnote>
  <w:footnote w:id="35">
    <w:p w14:paraId="4483A70B" w14:textId="77777777" w:rsidR="000436B0" w:rsidRPr="0066257A" w:rsidRDefault="000436B0" w:rsidP="000436B0">
      <w:pPr>
        <w:pStyle w:val="FootnoteText"/>
      </w:pPr>
      <w:r>
        <w:rPr>
          <w:rStyle w:val="FootnoteReference"/>
        </w:rPr>
        <w:footnoteRef/>
      </w:r>
      <w:r>
        <w:tab/>
        <w:t>Regulamentul (UE) 2021/523 al Parlamentului European și al Consiliului din 24 martie 2021 de instituire a Programului InvestEU și de modificare a Regulamentului (UE) 2015/1017 (JO L 107, 26.3.2021, p. 30, ELI: http://data.europa.eu/eli/reg/2021/523/oj).</w:t>
      </w:r>
    </w:p>
  </w:footnote>
  <w:footnote w:id="36">
    <w:p w14:paraId="09AC23B8" w14:textId="77777777" w:rsidR="00751AE3" w:rsidRPr="0066257A" w:rsidRDefault="00751AE3" w:rsidP="00751AE3">
      <w:pPr>
        <w:pStyle w:val="FootnoteText"/>
      </w:pPr>
      <w:r>
        <w:rPr>
          <w:rStyle w:val="FootnoteReference"/>
        </w:rPr>
        <w:footnoteRef/>
      </w:r>
      <w:r>
        <w:tab/>
        <w:t>Regulamentul (UE) 2021/694 al Parlamentului European și al Consiliului din 29 aprilie 2021 de instituire a programului „Europa digitală” și de abrogare a Deciziei (UE) 2015/2240 (JO L 166, 11.5.2021, p. 1, ELI: http://data.europa.eu/eli/reg/2021/694/oj).</w:t>
      </w:r>
    </w:p>
  </w:footnote>
  <w:footnote w:id="37">
    <w:p w14:paraId="2BE311B4" w14:textId="77777777" w:rsidR="00FF4895" w:rsidRPr="0066257A" w:rsidRDefault="00FF4895" w:rsidP="00FF4895">
      <w:pPr>
        <w:pStyle w:val="FootnoteText"/>
      </w:pPr>
      <w:r>
        <w:rPr>
          <w:rStyle w:val="FootnoteReference"/>
        </w:rPr>
        <w:footnoteRef/>
      </w:r>
      <w:r>
        <w:tab/>
        <w:t>Regulamentul (UE) 2021/2085 al Consiliului din 19 noiembrie 2021 de instituire a întreprinderilor comune din cadrul programului Orizont Europa și de abrogare a Regulamentelor (CE) nr. 219/2007, (UE) nr. 557/2014, (UE) nr. 558/2014, (UE) nr. 559/2014, (UE) nr. 560/2014, (UE) nr. 561/2014 și (UE) nr. 642/2014 (JO L 427, 30.11.2021, p. 17, ELI: http://data.europa.eu/eli/reg/2021/2085/oj).</w:t>
      </w:r>
    </w:p>
  </w:footnote>
  <w:footnote w:id="38">
    <w:p w14:paraId="412AE149" w14:textId="77777777" w:rsidR="00AE1905" w:rsidRPr="00AE1905" w:rsidRDefault="00AE1905">
      <w:pPr>
        <w:pStyle w:val="FootnoteText"/>
      </w:pPr>
      <w:r>
        <w:rPr>
          <w:rStyle w:val="FootnoteReference"/>
        </w:rPr>
        <w:footnoteRef/>
      </w:r>
      <w:r>
        <w:tab/>
        <w:t>Comunicarea Comisiei către Parlamentul European, Consiliu, Comitetul Economic și Social European și Comitetul Regiunilor – „Un plan strategic pentru educația în domeniul STEM: competențe pentru competitivitate și inovare”.</w:t>
      </w:r>
    </w:p>
  </w:footnote>
  <w:footnote w:id="39">
    <w:p w14:paraId="25117E85" w14:textId="77777777" w:rsidR="00F92AAE" w:rsidRPr="00F92AAE" w:rsidRDefault="00F92AAE">
      <w:pPr>
        <w:pStyle w:val="FootnoteText"/>
      </w:pPr>
      <w:r>
        <w:rPr>
          <w:rStyle w:val="FootnoteReference"/>
        </w:rPr>
        <w:footnoteRef/>
      </w:r>
      <w:r>
        <w:rPr>
          <w:u w:val="single"/>
        </w:rPr>
        <w:tab/>
      </w:r>
      <w:hyperlink r:id="rId12" w:history="1">
        <w:r>
          <w:rPr>
            <w:rStyle w:val="Hyperlink"/>
          </w:rPr>
          <w:t>https://pact-for-skills.ec.europa.eu/index_en</w:t>
        </w:r>
      </w:hyperlink>
      <w:r>
        <w:t xml:space="preserve">. </w:t>
      </w:r>
    </w:p>
  </w:footnote>
  <w:footnote w:id="40">
    <w:p w14:paraId="2B2F755B" w14:textId="77777777" w:rsidR="00DB5A25" w:rsidRPr="00DB5A25" w:rsidRDefault="00DB5A25">
      <w:pPr>
        <w:pStyle w:val="FootnoteText"/>
      </w:pPr>
      <w:r>
        <w:rPr>
          <w:rStyle w:val="FootnoteReference"/>
        </w:rPr>
        <w:footnoteRef/>
      </w:r>
      <w:r>
        <w:rPr>
          <w:u w:val="single"/>
        </w:rPr>
        <w:tab/>
      </w:r>
      <w:hyperlink r:id="rId13" w:history="1">
        <w:r>
          <w:rPr>
            <w:rStyle w:val="Hyperlink"/>
          </w:rPr>
          <w:t>https://digital-strategy.ec.europa.eu/en/news/new-digital-skills-academies-support-eus-technological-sovereignty-competitiveness-and-preparedness</w:t>
        </w:r>
      </w:hyperlink>
      <w:r>
        <w:t xml:space="preserve">. </w:t>
      </w:r>
    </w:p>
  </w:footnote>
  <w:footnote w:id="41">
    <w:p w14:paraId="56B5F102" w14:textId="77777777" w:rsidR="00136C8F" w:rsidRPr="00136C8F" w:rsidRDefault="00136C8F" w:rsidP="00136C8F">
      <w:pPr>
        <w:pStyle w:val="FootnoteText"/>
      </w:pPr>
      <w:r>
        <w:rPr>
          <w:rStyle w:val="FootnoteReference"/>
        </w:rPr>
        <w:footnoteRef/>
      </w:r>
      <w:r>
        <w:tab/>
        <w:t>Comunicarea Comisiei către Parlamentul European, Consiliu, Comitetul Economic și Social European și Comitetul Regiunilor – „Un model pentru o diplomă europeană”.</w:t>
      </w:r>
    </w:p>
  </w:footnote>
  <w:footnote w:id="42">
    <w:p w14:paraId="1CEBC879" w14:textId="77777777" w:rsidR="00385F3E" w:rsidRPr="00385F3E" w:rsidRDefault="00385F3E">
      <w:pPr>
        <w:pStyle w:val="FootnoteText"/>
      </w:pPr>
      <w:r>
        <w:rPr>
          <w:rStyle w:val="FootnoteReference"/>
        </w:rPr>
        <w:footnoteRef/>
      </w:r>
      <w:r>
        <w:rPr>
          <w:u w:val="single"/>
        </w:rPr>
        <w:tab/>
      </w:r>
      <w:hyperlink r:id="rId14" w:history="1">
        <w:r>
          <w:rPr>
            <w:rStyle w:val="Hyperlink"/>
          </w:rPr>
          <w:t>https://ec.europa.eu/info/law/better-regulation/have-your-say/initiatives/15892-Fair-labour-mobility-package-Skills-portability-1-digitalised-cross-border-portability-of-qualifications-and-skills_ro</w:t>
        </w:r>
      </w:hyperlink>
      <w:r>
        <w:t xml:space="preserve">. </w:t>
      </w:r>
    </w:p>
  </w:footnote>
  <w:footnote w:id="43">
    <w:p w14:paraId="1C768F45" w14:textId="77777777" w:rsidR="002415D8" w:rsidRPr="002415D8" w:rsidRDefault="002415D8">
      <w:pPr>
        <w:pStyle w:val="FootnoteText"/>
      </w:pPr>
      <w:r>
        <w:rPr>
          <w:rStyle w:val="FootnoteReference"/>
        </w:rPr>
        <w:footnoteRef/>
      </w:r>
      <w:r>
        <w:rPr>
          <w:u w:val="single"/>
        </w:rPr>
        <w:tab/>
      </w:r>
      <w:hyperlink r:id="rId15" w:history="1">
        <w:r>
          <w:rPr>
            <w:rStyle w:val="Hyperlink"/>
          </w:rPr>
          <w:t>https://education.ec.europa.eu/education-levels/higher-education/european-universities-initiative/map</w:t>
        </w:r>
      </w:hyperlink>
      <w:r>
        <w:t xml:space="preserve">. </w:t>
      </w:r>
    </w:p>
  </w:footnote>
  <w:footnote w:id="44">
    <w:p w14:paraId="0B62FE38" w14:textId="77777777" w:rsidR="006E39C9" w:rsidRPr="006E39C9" w:rsidRDefault="006E39C9">
      <w:pPr>
        <w:pStyle w:val="FootnoteText"/>
      </w:pPr>
      <w:r>
        <w:rPr>
          <w:rStyle w:val="FootnoteReference"/>
        </w:rPr>
        <w:footnoteRef/>
      </w:r>
      <w:r>
        <w:tab/>
        <w:t>Regulamentul (UE) 2026/1047 al Parlamentului European și al Consiliului din 29 aprilie 2026 privind crearea unei Rezerve UE de talente.</w:t>
      </w:r>
    </w:p>
  </w:footnote>
  <w:footnote w:id="45">
    <w:p w14:paraId="6FBF6E00" w14:textId="77777777" w:rsidR="004E1977" w:rsidRPr="00C8109A" w:rsidRDefault="004E1977" w:rsidP="004E1977">
      <w:pPr>
        <w:pStyle w:val="FootnoteText"/>
      </w:pPr>
      <w:r>
        <w:rPr>
          <w:rStyle w:val="FootnoteReference"/>
        </w:rPr>
        <w:footnoteRef/>
      </w:r>
      <w:r>
        <w:tab/>
        <w:t>Comunicarea Comisiei către Parlamentul European, Consiliu, Comitetul Economic și Social European și Comitetul Regiunilor – „Busola pentru dimensiunea digitală 2030: modelul european pentru deceniul digital” [COM(2021) 118 final din 9 martie 2021].</w:t>
      </w:r>
    </w:p>
  </w:footnote>
  <w:footnote w:id="46">
    <w:p w14:paraId="1DEBF707" w14:textId="77777777" w:rsidR="00D24533" w:rsidRPr="00C8109A" w:rsidRDefault="00D24533" w:rsidP="00D24533">
      <w:pPr>
        <w:pStyle w:val="FootnoteText"/>
      </w:pPr>
      <w:r>
        <w:rPr>
          <w:rStyle w:val="FootnoteReference"/>
        </w:rPr>
        <w:footnoteRef/>
      </w:r>
      <w:r>
        <w:tab/>
        <w:t>Directiva (UE) 2016/943 a Parlamentului European și a Consiliului din 8 iunie 2016 privind protecția know-how-ului și a informațiilor de afaceri nedivulgate (secrete comerciale) împotriva dobândirii, utilizării și divulgării ilegale (JO L 157, 15.6.2016, p. 1, ELI: http://data.europa.eu/eli/dir/2016/943/oj).</w:t>
      </w:r>
    </w:p>
  </w:footnote>
  <w:footnote w:id="47">
    <w:p w14:paraId="0070994B" w14:textId="77777777" w:rsidR="0064501F" w:rsidRPr="0066257A" w:rsidRDefault="0064501F" w:rsidP="0064501F">
      <w:pPr>
        <w:pStyle w:val="FootnoteText"/>
      </w:pPr>
      <w:r>
        <w:rPr>
          <w:rStyle w:val="FootnoteReference"/>
        </w:rPr>
        <w:footnoteRef/>
      </w:r>
      <w:r>
        <w:tab/>
        <w:t>Comunicarea Comisiei către Parlamentul European, Consiliu, Comitetul Economic și Social European și Comitetul Regiunilor – „Actul european privind cipurile” [COM(2022) 45 final din 8 februarie 2022].</w:t>
      </w:r>
    </w:p>
  </w:footnote>
  <w:footnote w:id="48">
    <w:p w14:paraId="7AB58C3D" w14:textId="77777777" w:rsidR="00436D63" w:rsidRPr="0066257A" w:rsidRDefault="00436D63" w:rsidP="00436D63">
      <w:pPr>
        <w:pStyle w:val="FootnoteText"/>
      </w:pPr>
      <w:r>
        <w:rPr>
          <w:rStyle w:val="FootnoteReference"/>
        </w:rPr>
        <w:footnoteRef/>
      </w:r>
      <w:r>
        <w:tab/>
        <w:t>Comunicarea Comisiei intitulată „Cadrul pentru ajutoarele de stat pentru cercetare, dezvoltare și inovare (C/2022/7388) (JO C 414, 28.10.2022, p. 1).</w:t>
      </w:r>
    </w:p>
  </w:footnote>
  <w:footnote w:id="49">
    <w:p w14:paraId="21D1F0A2" w14:textId="77777777" w:rsidR="00436D63" w:rsidRPr="0066257A" w:rsidRDefault="00436D63" w:rsidP="00436D63">
      <w:pPr>
        <w:pStyle w:val="FootnoteText"/>
      </w:pPr>
      <w:r>
        <w:rPr>
          <w:rStyle w:val="FootnoteReference"/>
        </w:rPr>
        <w:footnoteRef/>
      </w:r>
      <w:r>
        <w:tab/>
        <w:t>Regulamentul (UE) nr. 651/2014 al Comisiei din 17 iunie 2014 de declarare a anumitor categorii de ajutoare compatibile cu piața internă în aplicarea articolelor 107 și 108 din tratat (JO L 187, 26.6.2014, p. 1, ELI: http://data.europa.eu/eli/reg/2014/651/oj).</w:t>
      </w:r>
    </w:p>
  </w:footnote>
  <w:footnote w:id="50">
    <w:p w14:paraId="0E09283C" w14:textId="77777777" w:rsidR="00CB2FC1" w:rsidRPr="00CB2FC1" w:rsidRDefault="00CB2FC1" w:rsidP="0045003F">
      <w:pPr>
        <w:pStyle w:val="FootnoteText"/>
        <w:ind w:left="0" w:firstLine="0"/>
      </w:pPr>
      <w:r>
        <w:rPr>
          <w:rStyle w:val="FootnoteReference"/>
        </w:rPr>
        <w:footnoteRef/>
      </w:r>
      <w:r>
        <w:tab/>
        <w:t>Regulamentul (UE, Euratom) 2024/2509 al Parlamentului European și al Consiliului din 23 septembrie 2024 privind normele financiare aplicabile bugetului general al Uniunii (JO L, 2024/2509, 26.9.2024, ELI: http://data.europa.eu/eli/reg/2024/2509/oj).</w:t>
      </w:r>
    </w:p>
  </w:footnote>
  <w:footnote w:id="51">
    <w:p w14:paraId="10592DD0" w14:textId="77777777" w:rsidR="005B714A" w:rsidRDefault="005B714A" w:rsidP="005B714A">
      <w:pPr>
        <w:pStyle w:val="FootnoteText"/>
      </w:pPr>
      <w:r>
        <w:rPr>
          <w:rStyle w:val="FootnoteReference"/>
        </w:rPr>
        <w:footnoteRef/>
      </w:r>
      <w:r>
        <w:tab/>
        <w:t>Propunere de regulament al Parlamentului European și al Consiliului privind accelerarea evaluărilor de mediu</w:t>
      </w:r>
    </w:p>
    <w:p w14:paraId="483F37E3" w14:textId="77777777" w:rsidR="005B714A" w:rsidRPr="00B150CB" w:rsidRDefault="005B714A" w:rsidP="005B714A">
      <w:pPr>
        <w:pStyle w:val="FootnoteText"/>
      </w:pPr>
      <w:r>
        <w:t>[COM(2025) 984 final din 10 decembrie 2025].</w:t>
      </w:r>
    </w:p>
  </w:footnote>
  <w:footnote w:id="52">
    <w:p w14:paraId="3C4FE990" w14:textId="77777777" w:rsidR="00DB4371" w:rsidRPr="00DB4371" w:rsidRDefault="00DB4371" w:rsidP="003C7484">
      <w:pPr>
        <w:pStyle w:val="FootnoteText"/>
        <w:ind w:left="0" w:firstLine="0"/>
      </w:pPr>
      <w:r>
        <w:rPr>
          <w:rStyle w:val="FootnoteReference"/>
        </w:rPr>
        <w:footnoteRef/>
      </w:r>
      <w:r>
        <w:tab/>
        <w:t>Directiva (UE) 2022/2555 a Parlamentului European și a Consiliului din 14 decembrie 2022 privind măsuri pentru un nivel comun ridicat de securitate cibernetică în Uniune, de modificare a Regulamentului (UE) nr. 910/2014 și a Directivei (UE) 2018/1972 și de abrogare a Directivei (UE) 2016/1148 (Directiva NIS 2) (JO L 333, 27.12.2022, p. 80, ELI: http://data.europa.eu/eli/dir/2022/2555/oj).</w:t>
      </w:r>
    </w:p>
  </w:footnote>
  <w:footnote w:id="53">
    <w:p w14:paraId="60C01AF1" w14:textId="77777777" w:rsidR="002866F3" w:rsidRPr="00AD07B0" w:rsidRDefault="002866F3" w:rsidP="002866F3">
      <w:pPr>
        <w:pStyle w:val="FootnoteText"/>
        <w:ind w:left="0" w:firstLine="0"/>
      </w:pPr>
      <w:r>
        <w:rPr>
          <w:rStyle w:val="FootnoteReference"/>
        </w:rPr>
        <w:footnoteRef/>
      </w:r>
      <w:r>
        <w:tab/>
        <w:t>Directiva 2014/23/UE a Parlamentului European și a Consiliului din 26 februarie 2014 privind atribuirea contractelor de concesiune (JO L 94, 28.3.2014, p. 1, ELI: http://data.europa.eu/eli/dir/2014/23/oj).</w:t>
      </w:r>
    </w:p>
  </w:footnote>
  <w:footnote w:id="54">
    <w:p w14:paraId="44D68364" w14:textId="77777777" w:rsidR="003C7484" w:rsidRPr="003C7484" w:rsidRDefault="003C7484" w:rsidP="005F3E41">
      <w:pPr>
        <w:pStyle w:val="FootnoteText"/>
        <w:ind w:left="0" w:firstLine="0"/>
      </w:pPr>
      <w:r>
        <w:rPr>
          <w:rStyle w:val="FootnoteReference"/>
        </w:rPr>
        <w:footnoteRef/>
      </w:r>
      <w:r>
        <w:tab/>
        <w:t>Directiva 2014/24/UE a Parlamentului European și a Consiliului din 26 februarie 2014 privind achizițiile publice și de abrogare a Directivei 2004/18/CE (JO L 94, 28.3.2014, p. 65, ELI: http://data.europa.eu/eli/dir/2014/24/oj).</w:t>
      </w:r>
    </w:p>
  </w:footnote>
  <w:footnote w:id="55">
    <w:p w14:paraId="747B661F" w14:textId="77777777" w:rsidR="003C7484" w:rsidRPr="003C7484" w:rsidRDefault="003C7484" w:rsidP="002866F3">
      <w:pPr>
        <w:pStyle w:val="FootnoteText"/>
        <w:ind w:left="0" w:firstLine="0"/>
      </w:pPr>
      <w:r>
        <w:rPr>
          <w:rStyle w:val="FootnoteReference"/>
        </w:rPr>
        <w:footnoteRef/>
      </w:r>
      <w:r>
        <w:tab/>
        <w:t>Directiva 2014/25/UE a Parlamentului European și a Consiliului din 26 februarie 2014 privind achizițiile efectuate de entitățile care își desfășoară activitatea în sectoarele apei, energiei, transporturilor și serviciilor poștale și de abrogare a Directivei 2004/17/CΕ (JO L 94, 28.3.2014, p. 243, ELI: http://data.europa.eu/eli/dir/2014/25/oj).</w:t>
      </w:r>
    </w:p>
  </w:footnote>
  <w:footnote w:id="56">
    <w:p w14:paraId="3D09A873" w14:textId="77777777" w:rsidR="009B7B5D" w:rsidRPr="009B7B5D" w:rsidRDefault="009B7B5D" w:rsidP="009646C7">
      <w:pPr>
        <w:pStyle w:val="FootnoteText"/>
        <w:ind w:left="0" w:firstLine="0"/>
      </w:pPr>
      <w:r>
        <w:rPr>
          <w:rStyle w:val="FootnoteReference"/>
        </w:rPr>
        <w:footnoteRef/>
      </w:r>
      <w:r>
        <w:tab/>
        <w:t xml:space="preserve">Protocol de modificare a Acordului privind achizițiile publice (JO L 68, 7.3.2014, p. 2, ELI: </w:t>
      </w:r>
      <w:hyperlink r:id="rId16" w:history="1">
        <w:r>
          <w:rPr>
            <w:rStyle w:val="Hyperlink"/>
          </w:rPr>
          <w:t>http://data.europa.eu/eli/prot/2014/115/oj</w:t>
        </w:r>
      </w:hyperlink>
      <w:r>
        <w:t>), care a intrat în vigoare la 6 aprilie 2014 (JO L 89, 25.3.2014, p. 5).</w:t>
      </w:r>
    </w:p>
  </w:footnote>
  <w:footnote w:id="57">
    <w:p w14:paraId="369020EA" w14:textId="77777777" w:rsidR="001963F4" w:rsidRPr="001963F4" w:rsidRDefault="001963F4">
      <w:pPr>
        <w:pStyle w:val="FootnoteText"/>
      </w:pPr>
      <w:r>
        <w:rPr>
          <w:rStyle w:val="FootnoteReference"/>
        </w:rPr>
        <w:footnoteRef/>
      </w:r>
      <w:r>
        <w:tab/>
        <w:t xml:space="preserve">Regulamentul (UE) nr. 654/2014 al Parlamentului European și al Consiliului din 15 mai 2014 privind exercitarea drepturilor Uniunii pentru aplicarea și respectarea normelor comerțului internațional și de modificare a Regulamentului (CE) nr. 3286/94 al Consiliului privind adoptarea procedurilor comunitare în domeniul politicii comerciale comune în vederea asigurării exercitării de către Comunitate a drepturilor care îi sunt conferite de normele comerțului internațional, în special de cele instituite sub egida Organizației Mondiale a Comerțului (JO L 189, 27.6.2014, p. 50, ELI: </w:t>
      </w:r>
      <w:hyperlink r:id="rId17" w:tooltip="Oferă acces la acest document prin identificatorul său uniform de resurse ELI." w:history="1">
        <w:r>
          <w:rPr>
            <w:rStyle w:val="Hyperlink"/>
            <w:color w:val="auto"/>
            <w:u w:val="none"/>
          </w:rPr>
          <w:t>http://data.europa.eu/eli/reg/2014/654/oj</w:t>
        </w:r>
      </w:hyperlink>
      <w:r>
        <w:t>).</w:t>
      </w:r>
    </w:p>
  </w:footnote>
  <w:footnote w:id="58">
    <w:p w14:paraId="524B8261" w14:textId="77777777" w:rsidR="007E7DEA" w:rsidRPr="007E7DEA" w:rsidRDefault="007E7DEA">
      <w:pPr>
        <w:pStyle w:val="FootnoteText"/>
      </w:pPr>
      <w:r>
        <w:rPr>
          <w:rStyle w:val="FootnoteReference"/>
        </w:rPr>
        <w:footnoteRef/>
      </w:r>
      <w:r>
        <w:tab/>
        <w:t xml:space="preserve">Pentru mai multe informații, a se vedea capitolul 6 din Orientările privind aplicabilitatea articolului 101 din Tratatul privind funcționarea Uniunii Europene acordurilor de cooperare orizontală („Orientările orizontale”). </w:t>
      </w:r>
    </w:p>
  </w:footnote>
  <w:footnote w:id="59">
    <w:p w14:paraId="35D5A71E" w14:textId="77777777" w:rsidR="0058580D" w:rsidRPr="0058580D" w:rsidRDefault="0058580D">
      <w:pPr>
        <w:pStyle w:val="FootnoteText"/>
      </w:pPr>
      <w:r>
        <w:rPr>
          <w:rStyle w:val="FootnoteReference"/>
        </w:rPr>
        <w:footnoteRef/>
      </w:r>
      <w:r>
        <w:tab/>
        <w:t>Regulamentul (UE) 2015/479 al Parlamentului European și al Consiliului din 11 martie 2015 privind instituirea unui regim comun aplicabil exporturilor (text codificat) (JO L 83, 27.3.2015, p. 34, ELI: http://data.europa.eu/eli/reg/2015/479/oj).</w:t>
      </w:r>
    </w:p>
  </w:footnote>
  <w:footnote w:id="60">
    <w:p w14:paraId="6079089B" w14:textId="77777777" w:rsidR="009C20BF" w:rsidRPr="009C20BF" w:rsidRDefault="009C20BF">
      <w:pPr>
        <w:pStyle w:val="FootnoteText"/>
      </w:pPr>
      <w:r>
        <w:rPr>
          <w:rStyle w:val="FootnoteReference"/>
        </w:rPr>
        <w:footnoteRef/>
      </w:r>
      <w:r>
        <w:tab/>
        <w:t>Directiva (UE) 2022/2557 a Parlamentului European și a Consiliului din 14 decembrie 2022 privind reziliența entităților critice și de abrogare a Directivei 2008/114/CE a Consiliului (JO L 333, 27.12.2022, p. 164, ELI: http://data.europa.eu/eli/dir/2022/2557/oj).</w:t>
      </w:r>
    </w:p>
  </w:footnote>
  <w:footnote w:id="61">
    <w:p w14:paraId="1E4C12EE" w14:textId="77777777" w:rsidR="00165012" w:rsidRPr="00165012" w:rsidRDefault="00165012">
      <w:pPr>
        <w:pStyle w:val="FootnoteText"/>
      </w:pPr>
      <w:r>
        <w:rPr>
          <w:rStyle w:val="FootnoteReference"/>
        </w:rPr>
        <w:footnoteRef/>
      </w:r>
      <w:r>
        <w:tab/>
        <w:t>Directiva 85/374/CEE a Consiliului din 25 iulie 1985 de apropiere a actelor cu putere de lege și a actelor administrative ale statelor membre cu privire la răspunderea pentru produsele cu defect (JO L 210, 7.8.1985, p. 29, ELI: http://data.europa.eu/eli/dir/1985/374/oj).</w:t>
      </w:r>
    </w:p>
  </w:footnote>
  <w:footnote w:id="62">
    <w:p w14:paraId="677EE829" w14:textId="77777777" w:rsidR="008E497C" w:rsidRPr="008E497C" w:rsidRDefault="008E497C">
      <w:pPr>
        <w:pStyle w:val="FootnoteText"/>
      </w:pPr>
      <w:r>
        <w:rPr>
          <w:rStyle w:val="FootnoteReference"/>
        </w:rPr>
        <w:footnoteRef/>
      </w:r>
      <w:r>
        <w:tab/>
        <w:t>Comisia Europeană: Direcția Generală Parteneriate Internaționale, „The Global Gateway strategy” (Strategia Global Gateway), Oficiul pentru Publicații al Uniunii Europene, 2025, https://data.europa.eu/doi/10.2841/5607451.</w:t>
      </w:r>
    </w:p>
  </w:footnote>
  <w:footnote w:id="63">
    <w:p w14:paraId="0A9D537A" w14:textId="77777777" w:rsidR="005023B2" w:rsidRPr="005023B2" w:rsidRDefault="005023B2">
      <w:pPr>
        <w:pStyle w:val="FootnoteText"/>
      </w:pPr>
      <w:r>
        <w:rPr>
          <w:rStyle w:val="FootnoteReference"/>
        </w:rPr>
        <w:footnoteRef/>
      </w:r>
      <w:r>
        <w:tab/>
        <w:t>Comisia Europeană: Direcția Generală Rețele de Comunicare, Conținut și Tehnologie, „</w:t>
      </w:r>
      <w:r>
        <w:rPr>
          <w:i/>
        </w:rPr>
        <w:t>An international digital strategy for the European Union (</w:t>
      </w:r>
      <w:r>
        <w:t>O strategie digitală internațională pentru Uniunea Europeană), Comisia Europeană, 2025, </w:t>
      </w:r>
      <w:hyperlink r:id="rId18" w:tgtFrame="_blank" w:history="1">
        <w:r>
          <w:rPr>
            <w:rStyle w:val="Hyperlink"/>
            <w:color w:val="auto"/>
            <w:u w:val="none"/>
          </w:rPr>
          <w:t>https://data.europa.eu/doi/10.2759/4019528</w:t>
        </w:r>
      </w:hyperlink>
      <w:r>
        <w:t>.</w:t>
      </w:r>
    </w:p>
  </w:footnote>
  <w:footnote w:id="64">
    <w:p w14:paraId="509815FC" w14:textId="77777777" w:rsidR="00260BE1" w:rsidRPr="00260BE1" w:rsidRDefault="00260BE1">
      <w:pPr>
        <w:pStyle w:val="FootnoteText"/>
      </w:pPr>
      <w:r>
        <w:rPr>
          <w:rStyle w:val="FootnoteReference"/>
        </w:rPr>
        <w:footnoteRef/>
      </w:r>
      <w:r>
        <w:tab/>
        <w:t>Comisia Europeană: Direcția Generală Rețele de Comunicare, Conținut și Tehnologie, „</w:t>
      </w:r>
      <w:r>
        <w:rPr>
          <w:i/>
        </w:rPr>
        <w:t>Alliance on Processors and Semiconductors Technologies</w:t>
      </w:r>
      <w:r>
        <w:t>” (Alianța pentru procesoare și tehnologiile semiconductorilor)</w:t>
      </w:r>
      <w:r>
        <w:rPr>
          <w:i/>
        </w:rPr>
        <w:t>,</w:t>
      </w:r>
      <w:r>
        <w:t xml:space="preserve"> https://digital-strategy.ec.europa.eu/en/policies/alliance-processors-and-semiconductor-technologies.</w:t>
      </w:r>
    </w:p>
  </w:footnote>
  <w:footnote w:id="65">
    <w:p w14:paraId="759033E5" w14:textId="77777777" w:rsidR="000E5C68" w:rsidRPr="000E5C68" w:rsidRDefault="000E5C68">
      <w:pPr>
        <w:pStyle w:val="FootnoteText"/>
      </w:pPr>
      <w:r>
        <w:rPr>
          <w:rStyle w:val="FootnoteReference"/>
        </w:rPr>
        <w:footnoteRef/>
      </w:r>
      <w:r>
        <w:tab/>
      </w:r>
      <w:bookmarkStart w:id="1" w:name="_Hlk227849119"/>
      <w:r>
        <w:t>Decizia (UE, Euratom) 2015/443 a Comisiei din 13 martie 2015 privind securitatea în cadrul Comisiei (JO L 72, 17.3.2015, p. 41, ELI: http://data.europa.eu/eli/dec/2015/443/oj).</w:t>
      </w:r>
      <w:bookmarkEnd w:id="1"/>
    </w:p>
  </w:footnote>
  <w:footnote w:id="66">
    <w:p w14:paraId="3823BFBE" w14:textId="77777777" w:rsidR="00166155" w:rsidRPr="00554D53" w:rsidRDefault="00166155">
      <w:pPr>
        <w:pStyle w:val="FootnoteText"/>
      </w:pPr>
      <w:r>
        <w:rPr>
          <w:rStyle w:val="FootnoteReference"/>
        </w:rPr>
        <w:footnoteRef/>
      </w:r>
      <w:r>
        <w:tab/>
      </w:r>
      <w:bookmarkStart w:id="2" w:name="_Hlk227849209"/>
      <w:r>
        <w:t>JO L 123, 12.5.2016, p. 1, ELI: http://data.europa.eu/eli/agree_interinstit/2016/512/oj.</w:t>
      </w:r>
      <w:bookmarkEnd w:id="2"/>
    </w:p>
  </w:footnote>
  <w:footnote w:id="67">
    <w:p w14:paraId="4E7FB710" w14:textId="77777777" w:rsidR="004E1687" w:rsidRPr="00EA22AB" w:rsidRDefault="004E1687" w:rsidP="004E1687">
      <w:pPr>
        <w:pStyle w:val="FootnoteText"/>
      </w:pPr>
      <w:r>
        <w:rPr>
          <w:rStyle w:val="FootnoteReference"/>
        </w:rPr>
        <w:footnoteRef/>
      </w:r>
      <w:r>
        <w:tab/>
        <w:t>Recomandarea Comisiei din 6 mai 2003 privind definirea microîntreprinderilor și a întreprinderilor mici și mijlocii [notificată cu numărul C(2003) 1422] (JO L 124, 20.5.2003, p. 36, ELI: http://data.europa.eu/eli/reco/2003/361/oj).</w:t>
      </w:r>
    </w:p>
  </w:footnote>
  <w:footnote w:id="68">
    <w:p w14:paraId="149EAEE4" w14:textId="77777777" w:rsidR="00E52175" w:rsidRPr="003427A9" w:rsidRDefault="00E52175">
      <w:pPr>
        <w:pStyle w:val="FootnoteText"/>
      </w:pPr>
      <w:r>
        <w:rPr>
          <w:rStyle w:val="FootnoteReference"/>
        </w:rPr>
        <w:footnoteRef/>
      </w:r>
      <w:r>
        <w:tab/>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 ELI: http://data.europa.eu/eli/reg/2016/679/oj).</w:t>
      </w:r>
    </w:p>
  </w:footnote>
  <w:footnote w:id="69">
    <w:p w14:paraId="26A81EA5" w14:textId="77777777" w:rsidR="000C2489" w:rsidRPr="00906832" w:rsidRDefault="000C2489" w:rsidP="000C2489">
      <w:pPr>
        <w:pStyle w:val="FootnoteText"/>
      </w:pPr>
      <w:r>
        <w:rPr>
          <w:rStyle w:val="FootnoteReference"/>
        </w:rPr>
        <w:footnoteRef/>
      </w:r>
      <w:r>
        <w:tab/>
        <w:t>Regulamentul (UE, Euratom) 2020/2093 al Consiliului din 17 decembrie 2020 de stabilire a cadrului financiar multianual pentru perioada 2021-2027 (JO L 433I, 22.12.2020, p. 11, ELI: http://data.europa.eu/eli/reg/2020/2093/oj).</w:t>
      </w:r>
    </w:p>
  </w:footnote>
  <w:footnote w:id="70">
    <w:p w14:paraId="1AAC742A" w14:textId="77777777" w:rsidR="008422FA" w:rsidRPr="0066257A" w:rsidRDefault="008422FA" w:rsidP="008422FA">
      <w:pPr>
        <w:pStyle w:val="FootnoteText"/>
      </w:pPr>
      <w:r>
        <w:rPr>
          <w:rStyle w:val="FootnoteReference"/>
        </w:rPr>
        <w:footnoteRef/>
      </w:r>
      <w:r>
        <w:tab/>
        <w:t>Regulamentul (UE) 2021/1173 al Consiliului din 13 iulie 2021 privind instituirea întreprinderii comune pentru calculul european de înaltă performanță și de abrogare a Regulamentului (UE) 2018/1488 (JO L 256, 19.7.2021, p. 3, ELI: http://data.europa.eu/eli/reg/2021/1173/oj).</w:t>
      </w:r>
    </w:p>
  </w:footnote>
  <w:footnote w:id="71">
    <w:p w14:paraId="64F12907" w14:textId="77777777" w:rsidR="007A0ED6" w:rsidRPr="007A0ED6" w:rsidRDefault="007A0ED6" w:rsidP="002801FF">
      <w:pPr>
        <w:pStyle w:val="FootnoteText"/>
        <w:ind w:left="0" w:firstLine="0"/>
      </w:pPr>
      <w:r>
        <w:rPr>
          <w:rStyle w:val="FootnoteReference"/>
        </w:rPr>
        <w:footnoteRef/>
      </w:r>
      <w:r>
        <w:tab/>
        <w:t>Comunicarea Comisiei către Parlamentul European, Consiliu, Comitetul Economic și Social European și Comitetul Regiunilor – Agenda europeană pentru competențe în scopul promovării competitivității durabile, a echității sociale și a rezilienței [COM(2020) 274 final/2].</w:t>
      </w:r>
    </w:p>
  </w:footnote>
  <w:footnote w:id="72">
    <w:p w14:paraId="12BFCD1C" w14:textId="77777777" w:rsidR="009C6CDB" w:rsidRPr="008E497C" w:rsidRDefault="009C6CDB" w:rsidP="009C6CDB">
      <w:pPr>
        <w:pStyle w:val="FootnoteText"/>
      </w:pPr>
      <w:r>
        <w:rPr>
          <w:rStyle w:val="FootnoteReference"/>
        </w:rPr>
        <w:footnoteRef/>
      </w:r>
      <w:r>
        <w:tab/>
        <w:t>Comisia Europeană: Direcția Generală Parteneriate Internaționale, „The Global Gateway strategy” (Strategia Global Gateway), Oficiul pentru Publicații al Uniunii Europene, 2025, https://data.europa.eu/doi/10.2841/5607451.</w:t>
      </w:r>
    </w:p>
    <w:p w14:paraId="632C5D4C" w14:textId="77777777" w:rsidR="009C6CDB" w:rsidRPr="009C6CDB" w:rsidRDefault="009C6CDB">
      <w:pPr>
        <w:pStyle w:val="FootnoteText"/>
        <w:rPr>
          <w:lang w:val="en-IE"/>
        </w:rPr>
      </w:pPr>
    </w:p>
  </w:footnote>
  <w:footnote w:id="73">
    <w:p w14:paraId="38041A4E" w14:textId="77777777" w:rsidR="009C6CDB" w:rsidRPr="008E497C" w:rsidRDefault="009C6CDB" w:rsidP="009C6CDB">
      <w:pPr>
        <w:pStyle w:val="FootnoteText"/>
      </w:pPr>
      <w:r>
        <w:rPr>
          <w:rStyle w:val="FootnoteReference"/>
        </w:rPr>
        <w:footnoteRef/>
      </w:r>
      <w:r>
        <w:tab/>
        <w:t>Comisia Europeană: Direcția Generală Parteneriate Internaționale, „The Global Gateway strategy” (Strategia Global Gateway), Oficiul pentru Publicații al Uniunii Europene, 2025, https://data.europa.eu/doi/10.2841/5607451.</w:t>
      </w:r>
    </w:p>
    <w:p w14:paraId="1071F92E" w14:textId="77777777" w:rsidR="009C6CDB" w:rsidRPr="009C6CDB" w:rsidRDefault="009C6CDB">
      <w:pPr>
        <w:pStyle w:val="FootnoteText"/>
        <w:rPr>
          <w:lang w:val="en-IE"/>
        </w:rPr>
      </w:pPr>
    </w:p>
  </w:footnote>
  <w:footnote w:id="74">
    <w:p w14:paraId="7F712130" w14:textId="77777777" w:rsidR="00A03D5B" w:rsidRDefault="00A03D5B" w:rsidP="0041561E">
      <w:pPr>
        <w:pStyle w:val="FootnoteText"/>
      </w:pPr>
      <w:r>
        <w:rPr>
          <w:rStyle w:val="FootnoteReference"/>
        </w:rPr>
        <w:footnoteRef/>
      </w:r>
      <w:r>
        <w:tab/>
        <w:t>Astfel cum se menționează la articolul 58 alineatul (2) litera (a) sau (b) din Regulamentul financiar.</w:t>
      </w:r>
    </w:p>
  </w:footnote>
  <w:footnote w:id="75">
    <w:p w14:paraId="32133995" w14:textId="77777777" w:rsidR="00673CE0" w:rsidRPr="00673CE0" w:rsidRDefault="00673CE0">
      <w:pPr>
        <w:pStyle w:val="FootnoteText"/>
      </w:pPr>
      <w:r>
        <w:rPr>
          <w:rStyle w:val="FootnoteReference"/>
        </w:rPr>
        <w:footnoteRef/>
      </w:r>
      <w:r>
        <w:tab/>
        <w:t>Document de lucru al serviciilor Comisiei.</w:t>
      </w:r>
    </w:p>
  </w:footnote>
  <w:footnote w:id="76">
    <w:p w14:paraId="2694C872" w14:textId="77777777" w:rsidR="00A03D5B" w:rsidRDefault="00A03D5B" w:rsidP="0041561E">
      <w:pPr>
        <w:pStyle w:val="FootnoteText"/>
        <w:rPr>
          <w:szCs w:val="24"/>
        </w:rPr>
      </w:pPr>
      <w:r>
        <w:rPr>
          <w:rStyle w:val="FootnoteReference"/>
        </w:rPr>
        <w:footnoteRef/>
      </w:r>
      <w:r>
        <w:tab/>
        <w:t>Dif. = credite diferențiate / Nedif. = credite nediferențiate.</w:t>
      </w:r>
    </w:p>
  </w:footnote>
  <w:footnote w:id="77">
    <w:p w14:paraId="34DA838C" w14:textId="77777777" w:rsidR="00A03D5B" w:rsidRDefault="00A03D5B" w:rsidP="0041561E">
      <w:pPr>
        <w:pStyle w:val="FootnoteText"/>
        <w:rPr>
          <w:szCs w:val="24"/>
        </w:rPr>
      </w:pPr>
      <w:r>
        <w:rPr>
          <w:rStyle w:val="FootnoteReference"/>
        </w:rPr>
        <w:footnoteRef/>
      </w:r>
      <w:r>
        <w:tab/>
        <w:t xml:space="preserve">AELS: Asociația Europeană a Liberului Schimb. </w:t>
      </w:r>
    </w:p>
  </w:footnote>
  <w:footnote w:id="78">
    <w:p w14:paraId="3DF56C4C" w14:textId="77777777" w:rsidR="00A03D5B" w:rsidRDefault="00A03D5B" w:rsidP="0041561E">
      <w:pPr>
        <w:pStyle w:val="FootnoteText"/>
        <w:rPr>
          <w:szCs w:val="24"/>
        </w:rPr>
      </w:pPr>
      <w:r>
        <w:rPr>
          <w:rStyle w:val="FootnoteReference"/>
        </w:rPr>
        <w:footnoteRef/>
      </w:r>
      <w:r>
        <w:tab/>
        <w:t>Țările candidate și, după caz, candidații potențiali din Balcanii de Vest.</w:t>
      </w:r>
    </w:p>
  </w:footnote>
  <w:footnote w:id="79">
    <w:p w14:paraId="0B4882AB" w14:textId="77777777" w:rsidR="00C67F54" w:rsidRPr="001A37C8" w:rsidRDefault="00C67F54" w:rsidP="00C67F54">
      <w:pPr>
        <w:pStyle w:val="FootnoteText"/>
      </w:pPr>
      <w:r>
        <w:rPr>
          <w:rStyle w:val="FootnoteReference"/>
        </w:rPr>
        <w:footnoteRef/>
      </w:r>
      <w:r>
        <w:tab/>
      </w:r>
      <w:r>
        <w:rPr>
          <w:color w:val="000000"/>
          <w:sz w:val="18"/>
        </w:rPr>
        <w:t>Asistență tehnică și/sau administrativă și cheltuieli de sprijin pentru punerea în aplicare a programelor și/sau a acțiunilor UE (fostele linii „BA”), cercetare indirectă și cercetare directă</w:t>
      </w:r>
      <w:r>
        <w:t>.</w:t>
      </w:r>
    </w:p>
  </w:footnote>
  <w:footnote w:id="80">
    <w:p w14:paraId="77C9928A" w14:textId="77777777" w:rsidR="00C67F54" w:rsidRPr="001004A6" w:rsidRDefault="00C67F54" w:rsidP="00C67F54">
      <w:pPr>
        <w:pStyle w:val="FootnoteText"/>
      </w:pPr>
      <w:r>
        <w:rPr>
          <w:rStyle w:val="FootnoteReference"/>
        </w:rPr>
        <w:footnoteRef/>
      </w:r>
      <w:r>
        <w:tab/>
      </w:r>
      <w:r>
        <w:rPr>
          <w:color w:val="374151"/>
          <w:sz w:val="18"/>
        </w:rPr>
        <w:t>Pentru determinarea creditelor necesare, ar trebui utilizate cifrele anuale privind costurile medii disponibile pe pagina web BUDGpedia</w:t>
      </w:r>
      <w:r>
        <w:t>.</w:t>
      </w:r>
    </w:p>
  </w:footnote>
  <w:footnote w:id="81">
    <w:p w14:paraId="0B07AFB9" w14:textId="77777777" w:rsidR="00C67F54" w:rsidRDefault="00C67F54" w:rsidP="00C67F54">
      <w:pPr>
        <w:pStyle w:val="FootnoteText"/>
        <w:rPr>
          <w:szCs w:val="24"/>
        </w:rPr>
      </w:pPr>
      <w:r>
        <w:rPr>
          <w:rStyle w:val="FootnoteReference"/>
        </w:rPr>
        <w:footnoteRef/>
      </w:r>
      <w:r>
        <w:tab/>
        <w:t>Realizările se referă la produsele și serviciile care trebuie furnizate (de ex.: numărul de schimburi de studenți finanțate, numărul de km de drumuri construiți etc.).</w:t>
      </w:r>
    </w:p>
  </w:footnote>
  <w:footnote w:id="82">
    <w:p w14:paraId="40ECFBC9" w14:textId="77777777" w:rsidR="00C67F54" w:rsidRDefault="00C67F54" w:rsidP="00C67F54">
      <w:pPr>
        <w:pStyle w:val="FootnoteText"/>
        <w:rPr>
          <w:szCs w:val="24"/>
        </w:rPr>
      </w:pPr>
      <w:r>
        <w:rPr>
          <w:rStyle w:val="FootnoteReference"/>
        </w:rPr>
        <w:footnoteRef/>
      </w:r>
      <w:r>
        <w:tab/>
        <w:t xml:space="preserve">Conform descrierii din secțiunea 1.3.2. „Obiectiv(e) specific(e)”. </w:t>
      </w:r>
    </w:p>
  </w:footnote>
  <w:footnote w:id="83">
    <w:p w14:paraId="5E8434F8" w14:textId="77777777" w:rsidR="00C67F54" w:rsidRPr="00F94A0A" w:rsidRDefault="00C67F54" w:rsidP="00C67F54">
      <w:pPr>
        <w:pStyle w:val="FootnoteText"/>
      </w:pPr>
      <w:r>
        <w:rPr>
          <w:rStyle w:val="FootnoteReference"/>
        </w:rPr>
        <w:footnoteRef/>
      </w:r>
      <w:r>
        <w:tab/>
        <w:t>Vă rugăm să precizați după tabel câte ENI din numărul indicat sunt deja alocate gestionării acțiunii și/sau pot fi redistribuite în cadrul DG-ului pe care îl reprezentați și care este valoarea nevoilor dumneavoastră nete.</w:t>
      </w:r>
    </w:p>
  </w:footnote>
  <w:footnote w:id="84">
    <w:p w14:paraId="10F0FDF7" w14:textId="77777777" w:rsidR="00C67F54" w:rsidRDefault="00C67F54" w:rsidP="00C67F54">
      <w:pPr>
        <w:pStyle w:val="FootnoteText"/>
        <w:rPr>
          <w:szCs w:val="24"/>
        </w:rPr>
      </w:pPr>
      <w:r>
        <w:rPr>
          <w:rStyle w:val="FootnoteReference"/>
        </w:rPr>
        <w:footnoteRef/>
      </w:r>
      <w:r>
        <w:tab/>
        <w:t>În ceea ce privește resursele proprii tradiționale (taxe vamale, cotizații pentru zahăr), sumele indicate trebuie să fie sume nete, și anume sumele brute după deducerea unei cote de 20 % pentru costurile de colectare.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53242" w14:textId="77777777" w:rsidR="0001503D" w:rsidRDefault="000150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DC5AB" w14:textId="77777777" w:rsidR="0001503D" w:rsidRDefault="0001503D" w:rsidP="000150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9FBE5" w14:textId="77777777" w:rsidR="0001503D" w:rsidRPr="0001503D" w:rsidRDefault="0001503D" w:rsidP="0001503D">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75DC2" w14:textId="77777777" w:rsidR="0001503D" w:rsidRPr="0001503D" w:rsidRDefault="0001503D" w:rsidP="000150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EE46CD1"/>
    <w:multiLevelType w:val="multilevel"/>
    <w:tmpl w:val="84121772"/>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8E3AF1"/>
    <w:multiLevelType w:val="hybridMultilevel"/>
    <w:tmpl w:val="C6C88EF0"/>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3"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1"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3"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lvlRestart w:val="0"/>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1"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2"/>
  </w:num>
  <w:num w:numId="3">
    <w:abstractNumId w:val="10"/>
  </w:num>
  <w:num w:numId="4">
    <w:abstractNumId w:val="19"/>
  </w:num>
  <w:num w:numId="5">
    <w:abstractNumId w:val="18"/>
  </w:num>
  <w:num w:numId="6">
    <w:abstractNumId w:val="29"/>
  </w:num>
  <w:num w:numId="7">
    <w:abstractNumId w:val="26"/>
  </w:num>
  <w:num w:numId="8">
    <w:abstractNumId w:val="30"/>
  </w:num>
  <w:num w:numId="9">
    <w:abstractNumId w:val="31"/>
  </w:num>
  <w:num w:numId="10">
    <w:abstractNumId w:val="3"/>
  </w:num>
  <w:num w:numId="11">
    <w:abstractNumId w:val="12"/>
  </w:num>
  <w:num w:numId="12">
    <w:abstractNumId w:val="4"/>
  </w:num>
  <w:num w:numId="13">
    <w:abstractNumId w:val="13"/>
  </w:num>
  <w:num w:numId="14">
    <w:abstractNumId w:val="11"/>
  </w:num>
  <w:num w:numId="15">
    <w:abstractNumId w:val="20"/>
  </w:num>
  <w:num w:numId="16">
    <w:abstractNumId w:val="9"/>
  </w:num>
  <w:num w:numId="17">
    <w:abstractNumId w:val="2"/>
  </w:num>
  <w:num w:numId="18">
    <w:abstractNumId w:val="1"/>
  </w:num>
  <w:num w:numId="19">
    <w:abstractNumId w:val="17"/>
    <w:lvlOverride w:ilvl="0">
      <w:startOverride w:val="1"/>
    </w:lvlOverride>
  </w:num>
  <w:num w:numId="20">
    <w:abstractNumId w:val="28"/>
    <w:lvlOverride w:ilvl="0">
      <w:startOverride w:val="1"/>
    </w:lvlOverride>
  </w:num>
  <w:num w:numId="21">
    <w:abstractNumId w:val="28"/>
    <w:lvlOverride w:ilvl="0">
      <w:startOverride w:val="1"/>
    </w:lvlOverride>
  </w:num>
  <w:num w:numId="22">
    <w:abstractNumId w:val="28"/>
    <w:lvlOverride w:ilvl="0">
      <w:startOverride w:val="1"/>
    </w:lvlOverride>
  </w:num>
  <w:num w:numId="23">
    <w:abstractNumId w:val="28"/>
    <w:lvlOverride w:ilvl="0">
      <w:startOverride w:val="1"/>
    </w:lvlOverride>
  </w:num>
  <w:num w:numId="24">
    <w:abstractNumId w:val="28"/>
    <w:lvlOverride w:ilvl="0">
      <w:startOverride w:val="1"/>
    </w:lvlOverride>
  </w:num>
  <w:num w:numId="25">
    <w:abstractNumId w:val="25"/>
  </w:num>
  <w:num w:numId="26">
    <w:abstractNumId w:val="14"/>
  </w:num>
  <w:num w:numId="27">
    <w:abstractNumId w:val="28"/>
  </w:num>
  <w:num w:numId="28">
    <w:abstractNumId w:val="8"/>
  </w:num>
  <w:num w:numId="29">
    <w:abstractNumId w:val="15"/>
  </w:num>
  <w:num w:numId="30">
    <w:abstractNumId w:val="16"/>
  </w:num>
  <w:num w:numId="31">
    <w:abstractNumId w:val="6"/>
  </w:num>
  <w:num w:numId="32">
    <w:abstractNumId w:val="27"/>
  </w:num>
  <w:num w:numId="33">
    <w:abstractNumId w:val="5"/>
  </w:num>
  <w:num w:numId="34">
    <w:abstractNumId w:val="17"/>
  </w:num>
  <w:num w:numId="35">
    <w:abstractNumId w:val="23"/>
  </w:num>
  <w:num w:numId="36">
    <w:abstractNumId w:val="24"/>
  </w:num>
  <w:num w:numId="37">
    <w:abstractNumId w:val="7"/>
  </w:num>
  <w:num w:numId="38">
    <w:abstractNumId w:val="21"/>
  </w:num>
  <w:num w:numId="39">
    <w:abstractNumId w:val="3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16 10:42:4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9BD63DA6-CA9E-4893-BE69-A03D6F72038F"/>
    <w:docVar w:name="LW_COVERPAGE_TYPE" w:val="1"/>
    <w:docVar w:name="LW_CreatedUtc" w:val="2026-03-12T13:17:25.1992809Z"/>
    <w:docVar w:name="LW_CROSSREFERENCE" w:val="{SEC(2026) 504 final} - {SWD(2026) 504 final} - {SWD(2026) 505 final}"/>
    <w:docVar w:name="LW_DocType" w:val="COM"/>
    <w:docVar w:name="LW_EMISSION" w:val="3.6.2026"/>
    <w:docVar w:name="LW_EMISSION_ISODATE" w:val="2026-06-03"/>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139"/>
    <w:docVar w:name="LW_REF.II.NEW.CP_YEAR" w:val="2026"/>
    <w:docVar w:name="LW_REF.INST.NEW" w:val="COM"/>
    <w:docVar w:name="LW_REF.INST.NEW_ADOPTED" w:val="final"/>
    <w:docVar w:name="LW_REF.INST.NEW_TEXT" w:val="(2026) 50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un cadru de m\u259?suri pentru consolidarea ecosistemului semiconductorilor din Uniune \u537?i de abrogare a Regulamentului (UE) 2023/1781 (Regulamentul privind cipurile 2.0)"/>
    <w:docVar w:name="LW_TYPE.DOC.CP" w:val="REGULAMENT AL PARLAMENTULUI EUROPEAN \u536?I AL CONSILIULUI"/>
    <w:docVar w:name="LwApiVersions" w:val="LW4CoDe 1.24.5.0; LW 9.2, Build 20251112"/>
  </w:docVars>
  <w:rsids>
    <w:rsidRoot w:val="00A03D5B"/>
    <w:rsid w:val="000002EC"/>
    <w:rsid w:val="000004F3"/>
    <w:rsid w:val="0000056E"/>
    <w:rsid w:val="00000590"/>
    <w:rsid w:val="0000060A"/>
    <w:rsid w:val="000006E4"/>
    <w:rsid w:val="00000AAF"/>
    <w:rsid w:val="00000E06"/>
    <w:rsid w:val="00000E54"/>
    <w:rsid w:val="00000E56"/>
    <w:rsid w:val="00000F2E"/>
    <w:rsid w:val="00001019"/>
    <w:rsid w:val="00001268"/>
    <w:rsid w:val="00001348"/>
    <w:rsid w:val="00001578"/>
    <w:rsid w:val="000015E8"/>
    <w:rsid w:val="00001640"/>
    <w:rsid w:val="00001A89"/>
    <w:rsid w:val="00001AA4"/>
    <w:rsid w:val="00001C61"/>
    <w:rsid w:val="00001D96"/>
    <w:rsid w:val="0000203B"/>
    <w:rsid w:val="000020B6"/>
    <w:rsid w:val="00002211"/>
    <w:rsid w:val="00002485"/>
    <w:rsid w:val="000025D2"/>
    <w:rsid w:val="00002740"/>
    <w:rsid w:val="000028B7"/>
    <w:rsid w:val="00002A68"/>
    <w:rsid w:val="00002B3D"/>
    <w:rsid w:val="00002B72"/>
    <w:rsid w:val="00002C2B"/>
    <w:rsid w:val="00002D8C"/>
    <w:rsid w:val="00002DDF"/>
    <w:rsid w:val="00002DE3"/>
    <w:rsid w:val="00003029"/>
    <w:rsid w:val="000030FA"/>
    <w:rsid w:val="00003147"/>
    <w:rsid w:val="00003211"/>
    <w:rsid w:val="000032F5"/>
    <w:rsid w:val="000034ED"/>
    <w:rsid w:val="00003748"/>
    <w:rsid w:val="00003A91"/>
    <w:rsid w:val="00003ADF"/>
    <w:rsid w:val="00003BFF"/>
    <w:rsid w:val="00003D68"/>
    <w:rsid w:val="00003E28"/>
    <w:rsid w:val="00003EB5"/>
    <w:rsid w:val="00003F02"/>
    <w:rsid w:val="00003F6C"/>
    <w:rsid w:val="00003F96"/>
    <w:rsid w:val="000041B5"/>
    <w:rsid w:val="00004203"/>
    <w:rsid w:val="0000424E"/>
    <w:rsid w:val="000044CA"/>
    <w:rsid w:val="00004541"/>
    <w:rsid w:val="000047FB"/>
    <w:rsid w:val="00004887"/>
    <w:rsid w:val="00004A5D"/>
    <w:rsid w:val="00004BE5"/>
    <w:rsid w:val="00004BE7"/>
    <w:rsid w:val="00004DC0"/>
    <w:rsid w:val="00004E7C"/>
    <w:rsid w:val="0000525A"/>
    <w:rsid w:val="00005656"/>
    <w:rsid w:val="000056C9"/>
    <w:rsid w:val="000057DD"/>
    <w:rsid w:val="00005A2B"/>
    <w:rsid w:val="00005B87"/>
    <w:rsid w:val="00005CDD"/>
    <w:rsid w:val="00005D18"/>
    <w:rsid w:val="00005DFB"/>
    <w:rsid w:val="00005E42"/>
    <w:rsid w:val="00005F2E"/>
    <w:rsid w:val="00006135"/>
    <w:rsid w:val="00006246"/>
    <w:rsid w:val="00006247"/>
    <w:rsid w:val="000062DD"/>
    <w:rsid w:val="00006375"/>
    <w:rsid w:val="00006469"/>
    <w:rsid w:val="00006502"/>
    <w:rsid w:val="00006504"/>
    <w:rsid w:val="0000653E"/>
    <w:rsid w:val="000066CD"/>
    <w:rsid w:val="00006774"/>
    <w:rsid w:val="00006777"/>
    <w:rsid w:val="000067A4"/>
    <w:rsid w:val="000067B2"/>
    <w:rsid w:val="00006802"/>
    <w:rsid w:val="00006857"/>
    <w:rsid w:val="00006925"/>
    <w:rsid w:val="00006B22"/>
    <w:rsid w:val="00007190"/>
    <w:rsid w:val="0000733E"/>
    <w:rsid w:val="0000761D"/>
    <w:rsid w:val="000076C6"/>
    <w:rsid w:val="0000788D"/>
    <w:rsid w:val="000078A9"/>
    <w:rsid w:val="000078AE"/>
    <w:rsid w:val="00007926"/>
    <w:rsid w:val="00007BB7"/>
    <w:rsid w:val="00007C01"/>
    <w:rsid w:val="00007C79"/>
    <w:rsid w:val="00007C83"/>
    <w:rsid w:val="00007E84"/>
    <w:rsid w:val="00007F29"/>
    <w:rsid w:val="00010012"/>
    <w:rsid w:val="00010067"/>
    <w:rsid w:val="00010077"/>
    <w:rsid w:val="000100A7"/>
    <w:rsid w:val="00010270"/>
    <w:rsid w:val="0001027E"/>
    <w:rsid w:val="000103E8"/>
    <w:rsid w:val="0001058F"/>
    <w:rsid w:val="00010632"/>
    <w:rsid w:val="00010635"/>
    <w:rsid w:val="00010663"/>
    <w:rsid w:val="0001067E"/>
    <w:rsid w:val="00010843"/>
    <w:rsid w:val="00010931"/>
    <w:rsid w:val="00010B84"/>
    <w:rsid w:val="00010C75"/>
    <w:rsid w:val="00010E00"/>
    <w:rsid w:val="00010EA7"/>
    <w:rsid w:val="00010F36"/>
    <w:rsid w:val="00011192"/>
    <w:rsid w:val="000111B9"/>
    <w:rsid w:val="00011274"/>
    <w:rsid w:val="000112E5"/>
    <w:rsid w:val="000115A8"/>
    <w:rsid w:val="00011840"/>
    <w:rsid w:val="000118AB"/>
    <w:rsid w:val="00011B06"/>
    <w:rsid w:val="00011B35"/>
    <w:rsid w:val="00011BD8"/>
    <w:rsid w:val="00011CD8"/>
    <w:rsid w:val="00011DED"/>
    <w:rsid w:val="00011DF7"/>
    <w:rsid w:val="00011E84"/>
    <w:rsid w:val="00011EDC"/>
    <w:rsid w:val="000122CF"/>
    <w:rsid w:val="00012303"/>
    <w:rsid w:val="0001243D"/>
    <w:rsid w:val="0001246C"/>
    <w:rsid w:val="00012569"/>
    <w:rsid w:val="000125BB"/>
    <w:rsid w:val="000125F9"/>
    <w:rsid w:val="00012646"/>
    <w:rsid w:val="0001264C"/>
    <w:rsid w:val="0001268F"/>
    <w:rsid w:val="000127B7"/>
    <w:rsid w:val="00012A63"/>
    <w:rsid w:val="00012B59"/>
    <w:rsid w:val="00012BEA"/>
    <w:rsid w:val="00012C29"/>
    <w:rsid w:val="00012C4E"/>
    <w:rsid w:val="00012F1B"/>
    <w:rsid w:val="00012F88"/>
    <w:rsid w:val="00012F94"/>
    <w:rsid w:val="00013023"/>
    <w:rsid w:val="00013102"/>
    <w:rsid w:val="00013173"/>
    <w:rsid w:val="000132EB"/>
    <w:rsid w:val="00013310"/>
    <w:rsid w:val="00013414"/>
    <w:rsid w:val="000134DF"/>
    <w:rsid w:val="000134FB"/>
    <w:rsid w:val="000135A4"/>
    <w:rsid w:val="000135F8"/>
    <w:rsid w:val="0001375C"/>
    <w:rsid w:val="000138DE"/>
    <w:rsid w:val="00013A32"/>
    <w:rsid w:val="00013B33"/>
    <w:rsid w:val="00013BD9"/>
    <w:rsid w:val="00013C07"/>
    <w:rsid w:val="00013E85"/>
    <w:rsid w:val="00013EEA"/>
    <w:rsid w:val="00013F58"/>
    <w:rsid w:val="00013FD3"/>
    <w:rsid w:val="00013FDF"/>
    <w:rsid w:val="00014041"/>
    <w:rsid w:val="00014046"/>
    <w:rsid w:val="00014188"/>
    <w:rsid w:val="000143F4"/>
    <w:rsid w:val="0001452A"/>
    <w:rsid w:val="00014776"/>
    <w:rsid w:val="000147BC"/>
    <w:rsid w:val="000147EA"/>
    <w:rsid w:val="00014806"/>
    <w:rsid w:val="0001483D"/>
    <w:rsid w:val="00014AE2"/>
    <w:rsid w:val="00014B9E"/>
    <w:rsid w:val="00014BB6"/>
    <w:rsid w:val="00014CC3"/>
    <w:rsid w:val="00014D83"/>
    <w:rsid w:val="00014E5B"/>
    <w:rsid w:val="00014F0E"/>
    <w:rsid w:val="00014F25"/>
    <w:rsid w:val="00014FAB"/>
    <w:rsid w:val="0001503D"/>
    <w:rsid w:val="00015079"/>
    <w:rsid w:val="0001508D"/>
    <w:rsid w:val="00015166"/>
    <w:rsid w:val="00015236"/>
    <w:rsid w:val="0001524E"/>
    <w:rsid w:val="0001525E"/>
    <w:rsid w:val="0001532E"/>
    <w:rsid w:val="00015359"/>
    <w:rsid w:val="0001546E"/>
    <w:rsid w:val="0001546F"/>
    <w:rsid w:val="0001552B"/>
    <w:rsid w:val="00015835"/>
    <w:rsid w:val="000159B4"/>
    <w:rsid w:val="00015A72"/>
    <w:rsid w:val="00015A9D"/>
    <w:rsid w:val="00015B9C"/>
    <w:rsid w:val="00015BA0"/>
    <w:rsid w:val="00015C74"/>
    <w:rsid w:val="00015DA4"/>
    <w:rsid w:val="00015F80"/>
    <w:rsid w:val="00016104"/>
    <w:rsid w:val="000162C7"/>
    <w:rsid w:val="000164A6"/>
    <w:rsid w:val="000164B3"/>
    <w:rsid w:val="000165D6"/>
    <w:rsid w:val="00016614"/>
    <w:rsid w:val="0001689F"/>
    <w:rsid w:val="00016AED"/>
    <w:rsid w:val="0001704C"/>
    <w:rsid w:val="0001710F"/>
    <w:rsid w:val="00017120"/>
    <w:rsid w:val="000171D2"/>
    <w:rsid w:val="00017313"/>
    <w:rsid w:val="000173DF"/>
    <w:rsid w:val="00017659"/>
    <w:rsid w:val="000176DA"/>
    <w:rsid w:val="000177BC"/>
    <w:rsid w:val="00017857"/>
    <w:rsid w:val="00017AB9"/>
    <w:rsid w:val="00017B38"/>
    <w:rsid w:val="00017F61"/>
    <w:rsid w:val="00017FA2"/>
    <w:rsid w:val="00020142"/>
    <w:rsid w:val="000201B6"/>
    <w:rsid w:val="0002020B"/>
    <w:rsid w:val="0002025E"/>
    <w:rsid w:val="00020355"/>
    <w:rsid w:val="0002043A"/>
    <w:rsid w:val="000204D2"/>
    <w:rsid w:val="0002050B"/>
    <w:rsid w:val="0002051B"/>
    <w:rsid w:val="0002062B"/>
    <w:rsid w:val="00020668"/>
    <w:rsid w:val="0002066E"/>
    <w:rsid w:val="000206A4"/>
    <w:rsid w:val="00020A89"/>
    <w:rsid w:val="00020AD6"/>
    <w:rsid w:val="00020B4C"/>
    <w:rsid w:val="00020BD7"/>
    <w:rsid w:val="00020D2E"/>
    <w:rsid w:val="00020D36"/>
    <w:rsid w:val="00020DF0"/>
    <w:rsid w:val="00020EAC"/>
    <w:rsid w:val="00020EB7"/>
    <w:rsid w:val="00020EF8"/>
    <w:rsid w:val="00020F09"/>
    <w:rsid w:val="00020FB2"/>
    <w:rsid w:val="00020FD6"/>
    <w:rsid w:val="000210CC"/>
    <w:rsid w:val="0002116A"/>
    <w:rsid w:val="000212A3"/>
    <w:rsid w:val="000212A7"/>
    <w:rsid w:val="000214E0"/>
    <w:rsid w:val="0002150B"/>
    <w:rsid w:val="000215FA"/>
    <w:rsid w:val="0002164C"/>
    <w:rsid w:val="000218ED"/>
    <w:rsid w:val="00021A58"/>
    <w:rsid w:val="00021C74"/>
    <w:rsid w:val="00021D9C"/>
    <w:rsid w:val="00021E3C"/>
    <w:rsid w:val="00021E90"/>
    <w:rsid w:val="00021EFB"/>
    <w:rsid w:val="00021FC2"/>
    <w:rsid w:val="0002204E"/>
    <w:rsid w:val="00022167"/>
    <w:rsid w:val="0002219D"/>
    <w:rsid w:val="00022337"/>
    <w:rsid w:val="00022359"/>
    <w:rsid w:val="00022498"/>
    <w:rsid w:val="000229BE"/>
    <w:rsid w:val="00022A5D"/>
    <w:rsid w:val="00022B04"/>
    <w:rsid w:val="00022C34"/>
    <w:rsid w:val="00022E98"/>
    <w:rsid w:val="000231F5"/>
    <w:rsid w:val="00023245"/>
    <w:rsid w:val="00023566"/>
    <w:rsid w:val="00023763"/>
    <w:rsid w:val="00023B1E"/>
    <w:rsid w:val="00023C5C"/>
    <w:rsid w:val="00023CAC"/>
    <w:rsid w:val="00023E0F"/>
    <w:rsid w:val="00023E55"/>
    <w:rsid w:val="00023E62"/>
    <w:rsid w:val="00023EAE"/>
    <w:rsid w:val="00023F59"/>
    <w:rsid w:val="0002407B"/>
    <w:rsid w:val="0002409D"/>
    <w:rsid w:val="000241E8"/>
    <w:rsid w:val="00024552"/>
    <w:rsid w:val="00024639"/>
    <w:rsid w:val="00024768"/>
    <w:rsid w:val="00024909"/>
    <w:rsid w:val="00024CD2"/>
    <w:rsid w:val="00024CFB"/>
    <w:rsid w:val="00024D04"/>
    <w:rsid w:val="00024D42"/>
    <w:rsid w:val="00025018"/>
    <w:rsid w:val="00025094"/>
    <w:rsid w:val="000250FD"/>
    <w:rsid w:val="000251E2"/>
    <w:rsid w:val="000253A2"/>
    <w:rsid w:val="0002560D"/>
    <w:rsid w:val="000256F1"/>
    <w:rsid w:val="0002579D"/>
    <w:rsid w:val="000259BC"/>
    <w:rsid w:val="00025B2A"/>
    <w:rsid w:val="00025C8C"/>
    <w:rsid w:val="00025D00"/>
    <w:rsid w:val="00025EA6"/>
    <w:rsid w:val="00025FA3"/>
    <w:rsid w:val="00026039"/>
    <w:rsid w:val="000260C1"/>
    <w:rsid w:val="000261BE"/>
    <w:rsid w:val="00026397"/>
    <w:rsid w:val="000265F7"/>
    <w:rsid w:val="0002689D"/>
    <w:rsid w:val="000268BE"/>
    <w:rsid w:val="00026AF6"/>
    <w:rsid w:val="00026B1D"/>
    <w:rsid w:val="00026B90"/>
    <w:rsid w:val="00027244"/>
    <w:rsid w:val="000272D8"/>
    <w:rsid w:val="000272F1"/>
    <w:rsid w:val="000273CC"/>
    <w:rsid w:val="00027561"/>
    <w:rsid w:val="000275B9"/>
    <w:rsid w:val="000276EC"/>
    <w:rsid w:val="000277F0"/>
    <w:rsid w:val="00027A10"/>
    <w:rsid w:val="00027C34"/>
    <w:rsid w:val="00027C54"/>
    <w:rsid w:val="00027E8E"/>
    <w:rsid w:val="00027EA0"/>
    <w:rsid w:val="00027F40"/>
    <w:rsid w:val="00030156"/>
    <w:rsid w:val="0003017E"/>
    <w:rsid w:val="000301BE"/>
    <w:rsid w:val="000301F8"/>
    <w:rsid w:val="000304C3"/>
    <w:rsid w:val="00030648"/>
    <w:rsid w:val="0003071B"/>
    <w:rsid w:val="0003094D"/>
    <w:rsid w:val="00030967"/>
    <w:rsid w:val="00030AEB"/>
    <w:rsid w:val="00030C1C"/>
    <w:rsid w:val="00030D7A"/>
    <w:rsid w:val="00030E32"/>
    <w:rsid w:val="00030E87"/>
    <w:rsid w:val="00030EDC"/>
    <w:rsid w:val="00030EEC"/>
    <w:rsid w:val="00030FCA"/>
    <w:rsid w:val="00030FDE"/>
    <w:rsid w:val="00031073"/>
    <w:rsid w:val="00031365"/>
    <w:rsid w:val="0003151C"/>
    <w:rsid w:val="00031573"/>
    <w:rsid w:val="00031709"/>
    <w:rsid w:val="000317CD"/>
    <w:rsid w:val="0003185B"/>
    <w:rsid w:val="00031900"/>
    <w:rsid w:val="00031C06"/>
    <w:rsid w:val="00031D25"/>
    <w:rsid w:val="00031DF9"/>
    <w:rsid w:val="000320D3"/>
    <w:rsid w:val="00032472"/>
    <w:rsid w:val="000324B0"/>
    <w:rsid w:val="000326AB"/>
    <w:rsid w:val="00032C45"/>
    <w:rsid w:val="00032CBF"/>
    <w:rsid w:val="00032D94"/>
    <w:rsid w:val="00032E19"/>
    <w:rsid w:val="00032E7F"/>
    <w:rsid w:val="00032E94"/>
    <w:rsid w:val="00032F04"/>
    <w:rsid w:val="00032FD6"/>
    <w:rsid w:val="00033042"/>
    <w:rsid w:val="0003322F"/>
    <w:rsid w:val="00033240"/>
    <w:rsid w:val="0003334E"/>
    <w:rsid w:val="00033482"/>
    <w:rsid w:val="000334C1"/>
    <w:rsid w:val="000336DA"/>
    <w:rsid w:val="0003370A"/>
    <w:rsid w:val="000339AA"/>
    <w:rsid w:val="000339E8"/>
    <w:rsid w:val="00033A1A"/>
    <w:rsid w:val="00033E42"/>
    <w:rsid w:val="00033E63"/>
    <w:rsid w:val="00033EBB"/>
    <w:rsid w:val="00033FC3"/>
    <w:rsid w:val="00034210"/>
    <w:rsid w:val="000342DD"/>
    <w:rsid w:val="000342FB"/>
    <w:rsid w:val="00034373"/>
    <w:rsid w:val="00034456"/>
    <w:rsid w:val="000344B3"/>
    <w:rsid w:val="0003450B"/>
    <w:rsid w:val="000345D7"/>
    <w:rsid w:val="000345DE"/>
    <w:rsid w:val="0003461F"/>
    <w:rsid w:val="000347F9"/>
    <w:rsid w:val="0003487C"/>
    <w:rsid w:val="00034B7B"/>
    <w:rsid w:val="00034BE1"/>
    <w:rsid w:val="00034BEA"/>
    <w:rsid w:val="00034CD8"/>
    <w:rsid w:val="00034D82"/>
    <w:rsid w:val="00034E2C"/>
    <w:rsid w:val="00035026"/>
    <w:rsid w:val="00035061"/>
    <w:rsid w:val="0003515E"/>
    <w:rsid w:val="00035268"/>
    <w:rsid w:val="000353ED"/>
    <w:rsid w:val="000356C6"/>
    <w:rsid w:val="000356F8"/>
    <w:rsid w:val="0003571C"/>
    <w:rsid w:val="0003574E"/>
    <w:rsid w:val="000357B9"/>
    <w:rsid w:val="000357DA"/>
    <w:rsid w:val="0003584C"/>
    <w:rsid w:val="0003590A"/>
    <w:rsid w:val="00035935"/>
    <w:rsid w:val="00035986"/>
    <w:rsid w:val="00035A0D"/>
    <w:rsid w:val="00035E10"/>
    <w:rsid w:val="00035ED6"/>
    <w:rsid w:val="0003601E"/>
    <w:rsid w:val="00036028"/>
    <w:rsid w:val="00036079"/>
    <w:rsid w:val="00036154"/>
    <w:rsid w:val="000362B0"/>
    <w:rsid w:val="00036389"/>
    <w:rsid w:val="000365C0"/>
    <w:rsid w:val="000366A3"/>
    <w:rsid w:val="0003671C"/>
    <w:rsid w:val="00036820"/>
    <w:rsid w:val="000369CE"/>
    <w:rsid w:val="00036C74"/>
    <w:rsid w:val="00036D82"/>
    <w:rsid w:val="00036DBD"/>
    <w:rsid w:val="00036F28"/>
    <w:rsid w:val="00037155"/>
    <w:rsid w:val="000371E6"/>
    <w:rsid w:val="00037240"/>
    <w:rsid w:val="000372D1"/>
    <w:rsid w:val="000374A3"/>
    <w:rsid w:val="000374A8"/>
    <w:rsid w:val="00037558"/>
    <w:rsid w:val="000376C3"/>
    <w:rsid w:val="00037727"/>
    <w:rsid w:val="00037874"/>
    <w:rsid w:val="000379A4"/>
    <w:rsid w:val="000379E6"/>
    <w:rsid w:val="00037A3F"/>
    <w:rsid w:val="00037B23"/>
    <w:rsid w:val="00037CBF"/>
    <w:rsid w:val="00037DEA"/>
    <w:rsid w:val="00037E39"/>
    <w:rsid w:val="00037E82"/>
    <w:rsid w:val="00037F6C"/>
    <w:rsid w:val="000400DB"/>
    <w:rsid w:val="00040151"/>
    <w:rsid w:val="0004019C"/>
    <w:rsid w:val="00040251"/>
    <w:rsid w:val="000403CB"/>
    <w:rsid w:val="0004044E"/>
    <w:rsid w:val="000404CB"/>
    <w:rsid w:val="000404DF"/>
    <w:rsid w:val="0004066E"/>
    <w:rsid w:val="000406B8"/>
    <w:rsid w:val="00040931"/>
    <w:rsid w:val="00040AF1"/>
    <w:rsid w:val="00040AF6"/>
    <w:rsid w:val="00040B7E"/>
    <w:rsid w:val="00040BFB"/>
    <w:rsid w:val="00040ED8"/>
    <w:rsid w:val="00040F87"/>
    <w:rsid w:val="0004121A"/>
    <w:rsid w:val="000413DE"/>
    <w:rsid w:val="000414C0"/>
    <w:rsid w:val="000414CB"/>
    <w:rsid w:val="000415E4"/>
    <w:rsid w:val="00041607"/>
    <w:rsid w:val="000417C6"/>
    <w:rsid w:val="000418B8"/>
    <w:rsid w:val="00041941"/>
    <w:rsid w:val="00041A7A"/>
    <w:rsid w:val="00041C0B"/>
    <w:rsid w:val="00041CF8"/>
    <w:rsid w:val="00041DD0"/>
    <w:rsid w:val="00042160"/>
    <w:rsid w:val="000423A7"/>
    <w:rsid w:val="00042483"/>
    <w:rsid w:val="0004248D"/>
    <w:rsid w:val="000424FD"/>
    <w:rsid w:val="00042585"/>
    <w:rsid w:val="0004259E"/>
    <w:rsid w:val="000425BA"/>
    <w:rsid w:val="000427EF"/>
    <w:rsid w:val="00042865"/>
    <w:rsid w:val="00042894"/>
    <w:rsid w:val="00042A4F"/>
    <w:rsid w:val="00042C72"/>
    <w:rsid w:val="00042CB2"/>
    <w:rsid w:val="00042D9C"/>
    <w:rsid w:val="00042F9C"/>
    <w:rsid w:val="00043089"/>
    <w:rsid w:val="0004308E"/>
    <w:rsid w:val="000433D7"/>
    <w:rsid w:val="00043406"/>
    <w:rsid w:val="0004366E"/>
    <w:rsid w:val="000436AC"/>
    <w:rsid w:val="000436B0"/>
    <w:rsid w:val="00043838"/>
    <w:rsid w:val="00043895"/>
    <w:rsid w:val="00043930"/>
    <w:rsid w:val="000439D7"/>
    <w:rsid w:val="00043A7A"/>
    <w:rsid w:val="00043C34"/>
    <w:rsid w:val="00043D6E"/>
    <w:rsid w:val="00044024"/>
    <w:rsid w:val="0004402F"/>
    <w:rsid w:val="000440F8"/>
    <w:rsid w:val="00044151"/>
    <w:rsid w:val="000441DF"/>
    <w:rsid w:val="00044460"/>
    <w:rsid w:val="0004470E"/>
    <w:rsid w:val="000448D5"/>
    <w:rsid w:val="00044B71"/>
    <w:rsid w:val="00044BC4"/>
    <w:rsid w:val="00044C84"/>
    <w:rsid w:val="00044DC7"/>
    <w:rsid w:val="00044F01"/>
    <w:rsid w:val="00044F2E"/>
    <w:rsid w:val="00044FCC"/>
    <w:rsid w:val="00044FF5"/>
    <w:rsid w:val="00045093"/>
    <w:rsid w:val="000450BF"/>
    <w:rsid w:val="0004522A"/>
    <w:rsid w:val="0004531A"/>
    <w:rsid w:val="0004558E"/>
    <w:rsid w:val="000455E0"/>
    <w:rsid w:val="00045790"/>
    <w:rsid w:val="000457C2"/>
    <w:rsid w:val="000457E7"/>
    <w:rsid w:val="00045977"/>
    <w:rsid w:val="000459A7"/>
    <w:rsid w:val="00045A2E"/>
    <w:rsid w:val="00045CC4"/>
    <w:rsid w:val="00045D54"/>
    <w:rsid w:val="00045DC4"/>
    <w:rsid w:val="0004619F"/>
    <w:rsid w:val="00046309"/>
    <w:rsid w:val="00046761"/>
    <w:rsid w:val="00046769"/>
    <w:rsid w:val="0004679C"/>
    <w:rsid w:val="00046811"/>
    <w:rsid w:val="00046858"/>
    <w:rsid w:val="000468F3"/>
    <w:rsid w:val="000469DE"/>
    <w:rsid w:val="00046B6D"/>
    <w:rsid w:val="00046BAE"/>
    <w:rsid w:val="00046C7B"/>
    <w:rsid w:val="00046CFD"/>
    <w:rsid w:val="00046E75"/>
    <w:rsid w:val="000470C0"/>
    <w:rsid w:val="0004712C"/>
    <w:rsid w:val="000472DA"/>
    <w:rsid w:val="000474B2"/>
    <w:rsid w:val="000474C5"/>
    <w:rsid w:val="00047549"/>
    <w:rsid w:val="000475A8"/>
    <w:rsid w:val="000477A6"/>
    <w:rsid w:val="000479E0"/>
    <w:rsid w:val="00047A81"/>
    <w:rsid w:val="00047B5A"/>
    <w:rsid w:val="00047B5F"/>
    <w:rsid w:val="00047C71"/>
    <w:rsid w:val="00047D3B"/>
    <w:rsid w:val="00047E1E"/>
    <w:rsid w:val="00047ED1"/>
    <w:rsid w:val="00047F6D"/>
    <w:rsid w:val="0005013B"/>
    <w:rsid w:val="00050199"/>
    <w:rsid w:val="000501C1"/>
    <w:rsid w:val="00050215"/>
    <w:rsid w:val="00050286"/>
    <w:rsid w:val="000502AD"/>
    <w:rsid w:val="00050572"/>
    <w:rsid w:val="000506F8"/>
    <w:rsid w:val="000508CC"/>
    <w:rsid w:val="00050BF0"/>
    <w:rsid w:val="00050C6D"/>
    <w:rsid w:val="00050D37"/>
    <w:rsid w:val="000510F7"/>
    <w:rsid w:val="00051133"/>
    <w:rsid w:val="000511A1"/>
    <w:rsid w:val="0005132D"/>
    <w:rsid w:val="00051437"/>
    <w:rsid w:val="00051476"/>
    <w:rsid w:val="000516A1"/>
    <w:rsid w:val="000516B0"/>
    <w:rsid w:val="0005186C"/>
    <w:rsid w:val="00051A67"/>
    <w:rsid w:val="00051A8F"/>
    <w:rsid w:val="00051A98"/>
    <w:rsid w:val="00051D9A"/>
    <w:rsid w:val="00051FB3"/>
    <w:rsid w:val="00052041"/>
    <w:rsid w:val="000521C5"/>
    <w:rsid w:val="000522A4"/>
    <w:rsid w:val="000522C3"/>
    <w:rsid w:val="00052356"/>
    <w:rsid w:val="000523AC"/>
    <w:rsid w:val="00052474"/>
    <w:rsid w:val="000524EA"/>
    <w:rsid w:val="00052534"/>
    <w:rsid w:val="00052577"/>
    <w:rsid w:val="000525BE"/>
    <w:rsid w:val="00052622"/>
    <w:rsid w:val="0005272B"/>
    <w:rsid w:val="00052CB6"/>
    <w:rsid w:val="00052CC6"/>
    <w:rsid w:val="00052D3B"/>
    <w:rsid w:val="00052DB9"/>
    <w:rsid w:val="00052DF7"/>
    <w:rsid w:val="00052E13"/>
    <w:rsid w:val="00052EBD"/>
    <w:rsid w:val="00052F11"/>
    <w:rsid w:val="00052F43"/>
    <w:rsid w:val="00052F62"/>
    <w:rsid w:val="00053302"/>
    <w:rsid w:val="000534C4"/>
    <w:rsid w:val="00053702"/>
    <w:rsid w:val="00053860"/>
    <w:rsid w:val="0005388B"/>
    <w:rsid w:val="00053B48"/>
    <w:rsid w:val="00053D2E"/>
    <w:rsid w:val="00053D70"/>
    <w:rsid w:val="00053F2F"/>
    <w:rsid w:val="000540DB"/>
    <w:rsid w:val="00054171"/>
    <w:rsid w:val="00054188"/>
    <w:rsid w:val="000542AF"/>
    <w:rsid w:val="0005439F"/>
    <w:rsid w:val="000543AD"/>
    <w:rsid w:val="000545A4"/>
    <w:rsid w:val="000548C9"/>
    <w:rsid w:val="00054AB9"/>
    <w:rsid w:val="00054AEC"/>
    <w:rsid w:val="00054CC6"/>
    <w:rsid w:val="00054D71"/>
    <w:rsid w:val="00054D84"/>
    <w:rsid w:val="00054FE8"/>
    <w:rsid w:val="0005504F"/>
    <w:rsid w:val="0005513A"/>
    <w:rsid w:val="000553B1"/>
    <w:rsid w:val="000553E8"/>
    <w:rsid w:val="00055408"/>
    <w:rsid w:val="00055423"/>
    <w:rsid w:val="000554A4"/>
    <w:rsid w:val="0005550D"/>
    <w:rsid w:val="00055524"/>
    <w:rsid w:val="000559E3"/>
    <w:rsid w:val="00055A6E"/>
    <w:rsid w:val="00055A77"/>
    <w:rsid w:val="00055C97"/>
    <w:rsid w:val="00055CFA"/>
    <w:rsid w:val="00055E12"/>
    <w:rsid w:val="000561F7"/>
    <w:rsid w:val="000561F8"/>
    <w:rsid w:val="00056344"/>
    <w:rsid w:val="000564F7"/>
    <w:rsid w:val="0005670D"/>
    <w:rsid w:val="000567A9"/>
    <w:rsid w:val="0005695D"/>
    <w:rsid w:val="00056A48"/>
    <w:rsid w:val="00056B50"/>
    <w:rsid w:val="00056B5C"/>
    <w:rsid w:val="00056BBE"/>
    <w:rsid w:val="00056D13"/>
    <w:rsid w:val="00056DC9"/>
    <w:rsid w:val="00056FC9"/>
    <w:rsid w:val="0005711F"/>
    <w:rsid w:val="00057137"/>
    <w:rsid w:val="00057270"/>
    <w:rsid w:val="000576F9"/>
    <w:rsid w:val="000578BA"/>
    <w:rsid w:val="00057930"/>
    <w:rsid w:val="000579CF"/>
    <w:rsid w:val="00057A27"/>
    <w:rsid w:val="00057A6D"/>
    <w:rsid w:val="00057D12"/>
    <w:rsid w:val="00057D9E"/>
    <w:rsid w:val="00057DA8"/>
    <w:rsid w:val="00057DAD"/>
    <w:rsid w:val="00057F7A"/>
    <w:rsid w:val="00057FED"/>
    <w:rsid w:val="000600F3"/>
    <w:rsid w:val="00060334"/>
    <w:rsid w:val="00060445"/>
    <w:rsid w:val="00060571"/>
    <w:rsid w:val="000605C3"/>
    <w:rsid w:val="00060671"/>
    <w:rsid w:val="00060899"/>
    <w:rsid w:val="000609D6"/>
    <w:rsid w:val="00060A0A"/>
    <w:rsid w:val="00060BE1"/>
    <w:rsid w:val="00060CF8"/>
    <w:rsid w:val="00060DAA"/>
    <w:rsid w:val="00060E53"/>
    <w:rsid w:val="00060E6A"/>
    <w:rsid w:val="00060EA0"/>
    <w:rsid w:val="00060F4C"/>
    <w:rsid w:val="00060F67"/>
    <w:rsid w:val="00061024"/>
    <w:rsid w:val="0006131A"/>
    <w:rsid w:val="00061369"/>
    <w:rsid w:val="000613D4"/>
    <w:rsid w:val="00061401"/>
    <w:rsid w:val="00061475"/>
    <w:rsid w:val="00061535"/>
    <w:rsid w:val="000615D4"/>
    <w:rsid w:val="00061601"/>
    <w:rsid w:val="000616E4"/>
    <w:rsid w:val="00061782"/>
    <w:rsid w:val="000617F8"/>
    <w:rsid w:val="00061872"/>
    <w:rsid w:val="000618E8"/>
    <w:rsid w:val="00061AA0"/>
    <w:rsid w:val="00061ACD"/>
    <w:rsid w:val="00061B09"/>
    <w:rsid w:val="00061BC6"/>
    <w:rsid w:val="00061C07"/>
    <w:rsid w:val="00061DA0"/>
    <w:rsid w:val="00061DEE"/>
    <w:rsid w:val="00061E7A"/>
    <w:rsid w:val="00061E83"/>
    <w:rsid w:val="000620B5"/>
    <w:rsid w:val="00062133"/>
    <w:rsid w:val="000621C2"/>
    <w:rsid w:val="000621F1"/>
    <w:rsid w:val="00062601"/>
    <w:rsid w:val="000627AF"/>
    <w:rsid w:val="00062801"/>
    <w:rsid w:val="0006280B"/>
    <w:rsid w:val="00062902"/>
    <w:rsid w:val="0006291A"/>
    <w:rsid w:val="00062C23"/>
    <w:rsid w:val="00062C7B"/>
    <w:rsid w:val="00062E20"/>
    <w:rsid w:val="00062EBC"/>
    <w:rsid w:val="00062F09"/>
    <w:rsid w:val="000630A7"/>
    <w:rsid w:val="00063231"/>
    <w:rsid w:val="00063358"/>
    <w:rsid w:val="00063375"/>
    <w:rsid w:val="000634AD"/>
    <w:rsid w:val="0006358C"/>
    <w:rsid w:val="000635AE"/>
    <w:rsid w:val="0006362C"/>
    <w:rsid w:val="00063720"/>
    <w:rsid w:val="0006381E"/>
    <w:rsid w:val="000638A3"/>
    <w:rsid w:val="000639CE"/>
    <w:rsid w:val="00063A51"/>
    <w:rsid w:val="00063B90"/>
    <w:rsid w:val="00063C0E"/>
    <w:rsid w:val="00063C39"/>
    <w:rsid w:val="00063C7B"/>
    <w:rsid w:val="00063CE2"/>
    <w:rsid w:val="00063D54"/>
    <w:rsid w:val="000641CB"/>
    <w:rsid w:val="0006433B"/>
    <w:rsid w:val="00064543"/>
    <w:rsid w:val="00064592"/>
    <w:rsid w:val="000645A7"/>
    <w:rsid w:val="00064626"/>
    <w:rsid w:val="000646D6"/>
    <w:rsid w:val="0006480E"/>
    <w:rsid w:val="0006490A"/>
    <w:rsid w:val="00064977"/>
    <w:rsid w:val="0006499F"/>
    <w:rsid w:val="00064FD7"/>
    <w:rsid w:val="00065133"/>
    <w:rsid w:val="000652A1"/>
    <w:rsid w:val="00065356"/>
    <w:rsid w:val="0006562E"/>
    <w:rsid w:val="00065897"/>
    <w:rsid w:val="000659DC"/>
    <w:rsid w:val="00065C73"/>
    <w:rsid w:val="00065CC9"/>
    <w:rsid w:val="00065CDA"/>
    <w:rsid w:val="00065CEF"/>
    <w:rsid w:val="00065ECD"/>
    <w:rsid w:val="00066001"/>
    <w:rsid w:val="00066152"/>
    <w:rsid w:val="000664A0"/>
    <w:rsid w:val="00066506"/>
    <w:rsid w:val="00066965"/>
    <w:rsid w:val="0006698B"/>
    <w:rsid w:val="000669D6"/>
    <w:rsid w:val="000669E7"/>
    <w:rsid w:val="00066B39"/>
    <w:rsid w:val="00066DD9"/>
    <w:rsid w:val="00066F61"/>
    <w:rsid w:val="00067037"/>
    <w:rsid w:val="000671BD"/>
    <w:rsid w:val="00067242"/>
    <w:rsid w:val="00067552"/>
    <w:rsid w:val="00067583"/>
    <w:rsid w:val="0006766E"/>
    <w:rsid w:val="000676E5"/>
    <w:rsid w:val="000678D6"/>
    <w:rsid w:val="00067901"/>
    <w:rsid w:val="0006796B"/>
    <w:rsid w:val="000679F2"/>
    <w:rsid w:val="00067B3E"/>
    <w:rsid w:val="00067B9E"/>
    <w:rsid w:val="00067BCD"/>
    <w:rsid w:val="00067C12"/>
    <w:rsid w:val="00067C26"/>
    <w:rsid w:val="00067CB2"/>
    <w:rsid w:val="00067EB7"/>
    <w:rsid w:val="00070104"/>
    <w:rsid w:val="0007014D"/>
    <w:rsid w:val="000701B7"/>
    <w:rsid w:val="0007032E"/>
    <w:rsid w:val="00070499"/>
    <w:rsid w:val="00070523"/>
    <w:rsid w:val="000707D7"/>
    <w:rsid w:val="00070960"/>
    <w:rsid w:val="000709B6"/>
    <w:rsid w:val="000709D5"/>
    <w:rsid w:val="00070A03"/>
    <w:rsid w:val="00070D9C"/>
    <w:rsid w:val="00070EAB"/>
    <w:rsid w:val="00071002"/>
    <w:rsid w:val="0007128A"/>
    <w:rsid w:val="000714D7"/>
    <w:rsid w:val="0007172E"/>
    <w:rsid w:val="0007175F"/>
    <w:rsid w:val="0007190B"/>
    <w:rsid w:val="00071C97"/>
    <w:rsid w:val="00071CFA"/>
    <w:rsid w:val="00071D81"/>
    <w:rsid w:val="00072018"/>
    <w:rsid w:val="000721CE"/>
    <w:rsid w:val="000721D6"/>
    <w:rsid w:val="000722BC"/>
    <w:rsid w:val="000723BE"/>
    <w:rsid w:val="000724BE"/>
    <w:rsid w:val="00072521"/>
    <w:rsid w:val="000725DA"/>
    <w:rsid w:val="00072647"/>
    <w:rsid w:val="00072672"/>
    <w:rsid w:val="0007280D"/>
    <w:rsid w:val="00072A16"/>
    <w:rsid w:val="00072A7B"/>
    <w:rsid w:val="00072EB3"/>
    <w:rsid w:val="00072FDA"/>
    <w:rsid w:val="0007304E"/>
    <w:rsid w:val="0007325E"/>
    <w:rsid w:val="00073405"/>
    <w:rsid w:val="00073427"/>
    <w:rsid w:val="000734AE"/>
    <w:rsid w:val="00073533"/>
    <w:rsid w:val="0007356F"/>
    <w:rsid w:val="000735E4"/>
    <w:rsid w:val="0007383E"/>
    <w:rsid w:val="00073880"/>
    <w:rsid w:val="000738B1"/>
    <w:rsid w:val="00073B15"/>
    <w:rsid w:val="00073BB9"/>
    <w:rsid w:val="00073D56"/>
    <w:rsid w:val="00073FC9"/>
    <w:rsid w:val="0007413A"/>
    <w:rsid w:val="0007419E"/>
    <w:rsid w:val="00074407"/>
    <w:rsid w:val="00074443"/>
    <w:rsid w:val="00074554"/>
    <w:rsid w:val="000745D6"/>
    <w:rsid w:val="000746F4"/>
    <w:rsid w:val="000747E7"/>
    <w:rsid w:val="000748A3"/>
    <w:rsid w:val="00074A05"/>
    <w:rsid w:val="00074A99"/>
    <w:rsid w:val="00074AAE"/>
    <w:rsid w:val="00074E67"/>
    <w:rsid w:val="00074F21"/>
    <w:rsid w:val="00075243"/>
    <w:rsid w:val="00075578"/>
    <w:rsid w:val="000757F5"/>
    <w:rsid w:val="00075846"/>
    <w:rsid w:val="00075872"/>
    <w:rsid w:val="000758BD"/>
    <w:rsid w:val="00075A10"/>
    <w:rsid w:val="00075A69"/>
    <w:rsid w:val="00075A8F"/>
    <w:rsid w:val="00075BB9"/>
    <w:rsid w:val="00075BD2"/>
    <w:rsid w:val="00075CA8"/>
    <w:rsid w:val="00075D38"/>
    <w:rsid w:val="00075D76"/>
    <w:rsid w:val="00075E34"/>
    <w:rsid w:val="00076082"/>
    <w:rsid w:val="000761C8"/>
    <w:rsid w:val="00076374"/>
    <w:rsid w:val="0007637A"/>
    <w:rsid w:val="000763A1"/>
    <w:rsid w:val="000764D5"/>
    <w:rsid w:val="00076623"/>
    <w:rsid w:val="000766A6"/>
    <w:rsid w:val="000766C8"/>
    <w:rsid w:val="00076752"/>
    <w:rsid w:val="00076A6F"/>
    <w:rsid w:val="00076ABD"/>
    <w:rsid w:val="00076C8B"/>
    <w:rsid w:val="00076CC5"/>
    <w:rsid w:val="00076D7F"/>
    <w:rsid w:val="00076E87"/>
    <w:rsid w:val="00076F7D"/>
    <w:rsid w:val="0007706A"/>
    <w:rsid w:val="000770EF"/>
    <w:rsid w:val="00077144"/>
    <w:rsid w:val="0007733D"/>
    <w:rsid w:val="00077541"/>
    <w:rsid w:val="000776E5"/>
    <w:rsid w:val="0007793B"/>
    <w:rsid w:val="000779E7"/>
    <w:rsid w:val="00077A55"/>
    <w:rsid w:val="00077BA0"/>
    <w:rsid w:val="00077EB6"/>
    <w:rsid w:val="000802A4"/>
    <w:rsid w:val="000802CD"/>
    <w:rsid w:val="000802F8"/>
    <w:rsid w:val="00080459"/>
    <w:rsid w:val="00080469"/>
    <w:rsid w:val="00080580"/>
    <w:rsid w:val="000805A0"/>
    <w:rsid w:val="00080681"/>
    <w:rsid w:val="000806D5"/>
    <w:rsid w:val="0008076F"/>
    <w:rsid w:val="000808BC"/>
    <w:rsid w:val="000808D8"/>
    <w:rsid w:val="0008094F"/>
    <w:rsid w:val="0008099A"/>
    <w:rsid w:val="000809E7"/>
    <w:rsid w:val="00080BC0"/>
    <w:rsid w:val="00080CC1"/>
    <w:rsid w:val="00080D81"/>
    <w:rsid w:val="00080EFA"/>
    <w:rsid w:val="0008106B"/>
    <w:rsid w:val="000810D8"/>
    <w:rsid w:val="0008129F"/>
    <w:rsid w:val="000813C5"/>
    <w:rsid w:val="00081425"/>
    <w:rsid w:val="000814B4"/>
    <w:rsid w:val="00081583"/>
    <w:rsid w:val="000815B7"/>
    <w:rsid w:val="00081732"/>
    <w:rsid w:val="00081747"/>
    <w:rsid w:val="00081777"/>
    <w:rsid w:val="00081828"/>
    <w:rsid w:val="00081A16"/>
    <w:rsid w:val="00081DC8"/>
    <w:rsid w:val="00081DCD"/>
    <w:rsid w:val="00081E5A"/>
    <w:rsid w:val="00081EE5"/>
    <w:rsid w:val="00081F7D"/>
    <w:rsid w:val="00082018"/>
    <w:rsid w:val="000822AD"/>
    <w:rsid w:val="000822BB"/>
    <w:rsid w:val="00082387"/>
    <w:rsid w:val="000824E4"/>
    <w:rsid w:val="00082501"/>
    <w:rsid w:val="000825D8"/>
    <w:rsid w:val="00082601"/>
    <w:rsid w:val="00082602"/>
    <w:rsid w:val="000827B5"/>
    <w:rsid w:val="0008284C"/>
    <w:rsid w:val="0008287D"/>
    <w:rsid w:val="0008295A"/>
    <w:rsid w:val="00082BC0"/>
    <w:rsid w:val="00082CD7"/>
    <w:rsid w:val="00082DE2"/>
    <w:rsid w:val="00082FFD"/>
    <w:rsid w:val="0008315D"/>
    <w:rsid w:val="00083346"/>
    <w:rsid w:val="00083535"/>
    <w:rsid w:val="000836E9"/>
    <w:rsid w:val="0008374F"/>
    <w:rsid w:val="000837C6"/>
    <w:rsid w:val="00083A89"/>
    <w:rsid w:val="00083AA8"/>
    <w:rsid w:val="00083B03"/>
    <w:rsid w:val="00083B7B"/>
    <w:rsid w:val="00083BD8"/>
    <w:rsid w:val="00083C04"/>
    <w:rsid w:val="00083C63"/>
    <w:rsid w:val="00083D5A"/>
    <w:rsid w:val="00083D90"/>
    <w:rsid w:val="00083F33"/>
    <w:rsid w:val="000841A2"/>
    <w:rsid w:val="00084325"/>
    <w:rsid w:val="000843FB"/>
    <w:rsid w:val="000844FD"/>
    <w:rsid w:val="00084546"/>
    <w:rsid w:val="00084575"/>
    <w:rsid w:val="0008457D"/>
    <w:rsid w:val="00084623"/>
    <w:rsid w:val="00084817"/>
    <w:rsid w:val="000849E6"/>
    <w:rsid w:val="00084A8E"/>
    <w:rsid w:val="00084B13"/>
    <w:rsid w:val="00084C99"/>
    <w:rsid w:val="00084DFE"/>
    <w:rsid w:val="00084F26"/>
    <w:rsid w:val="00085094"/>
    <w:rsid w:val="000851CA"/>
    <w:rsid w:val="00085274"/>
    <w:rsid w:val="00085532"/>
    <w:rsid w:val="0008556F"/>
    <w:rsid w:val="0008560D"/>
    <w:rsid w:val="000859F2"/>
    <w:rsid w:val="00085A41"/>
    <w:rsid w:val="00085A68"/>
    <w:rsid w:val="00085A76"/>
    <w:rsid w:val="00085AAB"/>
    <w:rsid w:val="00085D89"/>
    <w:rsid w:val="00085E14"/>
    <w:rsid w:val="00085FAE"/>
    <w:rsid w:val="00086017"/>
    <w:rsid w:val="0008611B"/>
    <w:rsid w:val="0008622B"/>
    <w:rsid w:val="000863F2"/>
    <w:rsid w:val="00086467"/>
    <w:rsid w:val="00086488"/>
    <w:rsid w:val="000864BF"/>
    <w:rsid w:val="000865AC"/>
    <w:rsid w:val="00086668"/>
    <w:rsid w:val="000866E0"/>
    <w:rsid w:val="000869C6"/>
    <w:rsid w:val="000869D9"/>
    <w:rsid w:val="00086B07"/>
    <w:rsid w:val="00086B5B"/>
    <w:rsid w:val="00086CD2"/>
    <w:rsid w:val="00086D24"/>
    <w:rsid w:val="00086D45"/>
    <w:rsid w:val="00086E4D"/>
    <w:rsid w:val="0008730B"/>
    <w:rsid w:val="00087319"/>
    <w:rsid w:val="00087358"/>
    <w:rsid w:val="0008756F"/>
    <w:rsid w:val="000875F5"/>
    <w:rsid w:val="000876C2"/>
    <w:rsid w:val="000877A7"/>
    <w:rsid w:val="00087A99"/>
    <w:rsid w:val="00087B55"/>
    <w:rsid w:val="00087C55"/>
    <w:rsid w:val="00087D83"/>
    <w:rsid w:val="00087DD6"/>
    <w:rsid w:val="00087DEE"/>
    <w:rsid w:val="00087E68"/>
    <w:rsid w:val="00090054"/>
    <w:rsid w:val="00090122"/>
    <w:rsid w:val="00090184"/>
    <w:rsid w:val="000902AB"/>
    <w:rsid w:val="000904C7"/>
    <w:rsid w:val="000904EA"/>
    <w:rsid w:val="0009051D"/>
    <w:rsid w:val="000906E4"/>
    <w:rsid w:val="000906EB"/>
    <w:rsid w:val="0009073B"/>
    <w:rsid w:val="000907A0"/>
    <w:rsid w:val="000908E8"/>
    <w:rsid w:val="00090A34"/>
    <w:rsid w:val="00090AFB"/>
    <w:rsid w:val="00090CA7"/>
    <w:rsid w:val="00090F8E"/>
    <w:rsid w:val="00091053"/>
    <w:rsid w:val="00091080"/>
    <w:rsid w:val="000911C0"/>
    <w:rsid w:val="00091315"/>
    <w:rsid w:val="00091323"/>
    <w:rsid w:val="00091460"/>
    <w:rsid w:val="000916BA"/>
    <w:rsid w:val="000918D5"/>
    <w:rsid w:val="0009196B"/>
    <w:rsid w:val="00091A75"/>
    <w:rsid w:val="00091AEE"/>
    <w:rsid w:val="00091C65"/>
    <w:rsid w:val="00091C6C"/>
    <w:rsid w:val="00091E6C"/>
    <w:rsid w:val="00091EAC"/>
    <w:rsid w:val="00091FFD"/>
    <w:rsid w:val="00092085"/>
    <w:rsid w:val="000921BB"/>
    <w:rsid w:val="00092225"/>
    <w:rsid w:val="00092375"/>
    <w:rsid w:val="000923B4"/>
    <w:rsid w:val="0009246A"/>
    <w:rsid w:val="00092527"/>
    <w:rsid w:val="00092A96"/>
    <w:rsid w:val="00092C09"/>
    <w:rsid w:val="00092D2F"/>
    <w:rsid w:val="00092E4F"/>
    <w:rsid w:val="00092E92"/>
    <w:rsid w:val="00093054"/>
    <w:rsid w:val="0009336E"/>
    <w:rsid w:val="0009342B"/>
    <w:rsid w:val="000934D1"/>
    <w:rsid w:val="00093629"/>
    <w:rsid w:val="00093679"/>
    <w:rsid w:val="00093776"/>
    <w:rsid w:val="00093849"/>
    <w:rsid w:val="00093AD0"/>
    <w:rsid w:val="00093B48"/>
    <w:rsid w:val="00093BA0"/>
    <w:rsid w:val="00093BE1"/>
    <w:rsid w:val="00093C3A"/>
    <w:rsid w:val="00093CE7"/>
    <w:rsid w:val="00093D3C"/>
    <w:rsid w:val="00093F5A"/>
    <w:rsid w:val="00094086"/>
    <w:rsid w:val="00094152"/>
    <w:rsid w:val="00094279"/>
    <w:rsid w:val="00094409"/>
    <w:rsid w:val="0009440D"/>
    <w:rsid w:val="0009481D"/>
    <w:rsid w:val="00094A2B"/>
    <w:rsid w:val="00094CBE"/>
    <w:rsid w:val="00094E3E"/>
    <w:rsid w:val="00094EAC"/>
    <w:rsid w:val="00095104"/>
    <w:rsid w:val="00095122"/>
    <w:rsid w:val="0009512A"/>
    <w:rsid w:val="00095198"/>
    <w:rsid w:val="000951EF"/>
    <w:rsid w:val="00095208"/>
    <w:rsid w:val="00095228"/>
    <w:rsid w:val="000953E7"/>
    <w:rsid w:val="00095506"/>
    <w:rsid w:val="0009563A"/>
    <w:rsid w:val="00095648"/>
    <w:rsid w:val="000956F3"/>
    <w:rsid w:val="00095828"/>
    <w:rsid w:val="000958CF"/>
    <w:rsid w:val="000958EA"/>
    <w:rsid w:val="00095A45"/>
    <w:rsid w:val="00095A7D"/>
    <w:rsid w:val="00095A7E"/>
    <w:rsid w:val="00095B71"/>
    <w:rsid w:val="00095F3C"/>
    <w:rsid w:val="00096202"/>
    <w:rsid w:val="00096469"/>
    <w:rsid w:val="0009647C"/>
    <w:rsid w:val="00096695"/>
    <w:rsid w:val="0009677D"/>
    <w:rsid w:val="000967F8"/>
    <w:rsid w:val="000967FC"/>
    <w:rsid w:val="00096AB8"/>
    <w:rsid w:val="00096C4D"/>
    <w:rsid w:val="00096C7C"/>
    <w:rsid w:val="00096D33"/>
    <w:rsid w:val="00096FD8"/>
    <w:rsid w:val="000970FE"/>
    <w:rsid w:val="000971C5"/>
    <w:rsid w:val="0009746E"/>
    <w:rsid w:val="00097539"/>
    <w:rsid w:val="000976A0"/>
    <w:rsid w:val="000976CA"/>
    <w:rsid w:val="00097798"/>
    <w:rsid w:val="0009787A"/>
    <w:rsid w:val="0009793A"/>
    <w:rsid w:val="00097A90"/>
    <w:rsid w:val="00097AC7"/>
    <w:rsid w:val="00097BED"/>
    <w:rsid w:val="00097CC9"/>
    <w:rsid w:val="00097D0B"/>
    <w:rsid w:val="00097D19"/>
    <w:rsid w:val="00097E33"/>
    <w:rsid w:val="00097E39"/>
    <w:rsid w:val="00097F47"/>
    <w:rsid w:val="000A0012"/>
    <w:rsid w:val="000A0120"/>
    <w:rsid w:val="000A0124"/>
    <w:rsid w:val="000A0223"/>
    <w:rsid w:val="000A0243"/>
    <w:rsid w:val="000A02F9"/>
    <w:rsid w:val="000A0318"/>
    <w:rsid w:val="000A0696"/>
    <w:rsid w:val="000A09A6"/>
    <w:rsid w:val="000A0B0D"/>
    <w:rsid w:val="000A0B28"/>
    <w:rsid w:val="000A0BAE"/>
    <w:rsid w:val="000A0C13"/>
    <w:rsid w:val="000A0C6D"/>
    <w:rsid w:val="000A0CC9"/>
    <w:rsid w:val="000A0FC6"/>
    <w:rsid w:val="000A1197"/>
    <w:rsid w:val="000A12A9"/>
    <w:rsid w:val="000A1351"/>
    <w:rsid w:val="000A1581"/>
    <w:rsid w:val="000A1696"/>
    <w:rsid w:val="000A1729"/>
    <w:rsid w:val="000A18C2"/>
    <w:rsid w:val="000A18FC"/>
    <w:rsid w:val="000A1C22"/>
    <w:rsid w:val="000A1C73"/>
    <w:rsid w:val="000A1CBC"/>
    <w:rsid w:val="000A2150"/>
    <w:rsid w:val="000A220D"/>
    <w:rsid w:val="000A2435"/>
    <w:rsid w:val="000A2488"/>
    <w:rsid w:val="000A2669"/>
    <w:rsid w:val="000A2777"/>
    <w:rsid w:val="000A278C"/>
    <w:rsid w:val="000A286C"/>
    <w:rsid w:val="000A296D"/>
    <w:rsid w:val="000A29D4"/>
    <w:rsid w:val="000A2A7D"/>
    <w:rsid w:val="000A2AAB"/>
    <w:rsid w:val="000A2B1D"/>
    <w:rsid w:val="000A2C7F"/>
    <w:rsid w:val="000A2FFB"/>
    <w:rsid w:val="000A3020"/>
    <w:rsid w:val="000A30AF"/>
    <w:rsid w:val="000A3109"/>
    <w:rsid w:val="000A317D"/>
    <w:rsid w:val="000A3211"/>
    <w:rsid w:val="000A322F"/>
    <w:rsid w:val="000A34B5"/>
    <w:rsid w:val="000A376F"/>
    <w:rsid w:val="000A382E"/>
    <w:rsid w:val="000A39BE"/>
    <w:rsid w:val="000A39C4"/>
    <w:rsid w:val="000A39D7"/>
    <w:rsid w:val="000A3C5F"/>
    <w:rsid w:val="000A3C94"/>
    <w:rsid w:val="000A3E5A"/>
    <w:rsid w:val="000A413E"/>
    <w:rsid w:val="000A41FF"/>
    <w:rsid w:val="000A420C"/>
    <w:rsid w:val="000A428B"/>
    <w:rsid w:val="000A433E"/>
    <w:rsid w:val="000A4409"/>
    <w:rsid w:val="000A4526"/>
    <w:rsid w:val="000A45CA"/>
    <w:rsid w:val="000A475D"/>
    <w:rsid w:val="000A476E"/>
    <w:rsid w:val="000A487B"/>
    <w:rsid w:val="000A497D"/>
    <w:rsid w:val="000A4AB2"/>
    <w:rsid w:val="000A4C7A"/>
    <w:rsid w:val="000A4CAE"/>
    <w:rsid w:val="000A4E06"/>
    <w:rsid w:val="000A4EC8"/>
    <w:rsid w:val="000A51A2"/>
    <w:rsid w:val="000A53C9"/>
    <w:rsid w:val="000A53D6"/>
    <w:rsid w:val="000A542C"/>
    <w:rsid w:val="000A54C7"/>
    <w:rsid w:val="000A592C"/>
    <w:rsid w:val="000A5A6B"/>
    <w:rsid w:val="000A5B87"/>
    <w:rsid w:val="000A5C7A"/>
    <w:rsid w:val="000A5E1E"/>
    <w:rsid w:val="000A6076"/>
    <w:rsid w:val="000A627A"/>
    <w:rsid w:val="000A6398"/>
    <w:rsid w:val="000A67F4"/>
    <w:rsid w:val="000A67FF"/>
    <w:rsid w:val="000A6946"/>
    <w:rsid w:val="000A698C"/>
    <w:rsid w:val="000A6ABF"/>
    <w:rsid w:val="000A6B06"/>
    <w:rsid w:val="000A6B53"/>
    <w:rsid w:val="000A6BEC"/>
    <w:rsid w:val="000A6C0F"/>
    <w:rsid w:val="000A6C26"/>
    <w:rsid w:val="000A6D28"/>
    <w:rsid w:val="000A7168"/>
    <w:rsid w:val="000A721F"/>
    <w:rsid w:val="000A7575"/>
    <w:rsid w:val="000A7675"/>
    <w:rsid w:val="000A76A5"/>
    <w:rsid w:val="000A76B1"/>
    <w:rsid w:val="000A7717"/>
    <w:rsid w:val="000A7718"/>
    <w:rsid w:val="000A7964"/>
    <w:rsid w:val="000A7982"/>
    <w:rsid w:val="000A79E7"/>
    <w:rsid w:val="000A7A37"/>
    <w:rsid w:val="000A7A77"/>
    <w:rsid w:val="000A7BC0"/>
    <w:rsid w:val="000A7D5C"/>
    <w:rsid w:val="000A7EF0"/>
    <w:rsid w:val="000B0034"/>
    <w:rsid w:val="000B01C0"/>
    <w:rsid w:val="000B0232"/>
    <w:rsid w:val="000B02E8"/>
    <w:rsid w:val="000B02FC"/>
    <w:rsid w:val="000B040E"/>
    <w:rsid w:val="000B051A"/>
    <w:rsid w:val="000B0566"/>
    <w:rsid w:val="000B05FC"/>
    <w:rsid w:val="000B061A"/>
    <w:rsid w:val="000B06B6"/>
    <w:rsid w:val="000B08DC"/>
    <w:rsid w:val="000B093E"/>
    <w:rsid w:val="000B0AA7"/>
    <w:rsid w:val="000B0DD9"/>
    <w:rsid w:val="000B0DE7"/>
    <w:rsid w:val="000B0DF9"/>
    <w:rsid w:val="000B0E15"/>
    <w:rsid w:val="000B0E59"/>
    <w:rsid w:val="000B0EC8"/>
    <w:rsid w:val="000B1115"/>
    <w:rsid w:val="000B1490"/>
    <w:rsid w:val="000B153A"/>
    <w:rsid w:val="000B172B"/>
    <w:rsid w:val="000B17E3"/>
    <w:rsid w:val="000B18E1"/>
    <w:rsid w:val="000B19C5"/>
    <w:rsid w:val="000B1B16"/>
    <w:rsid w:val="000B1C20"/>
    <w:rsid w:val="000B1D40"/>
    <w:rsid w:val="000B1E2D"/>
    <w:rsid w:val="000B1E31"/>
    <w:rsid w:val="000B1ECB"/>
    <w:rsid w:val="000B2055"/>
    <w:rsid w:val="000B216E"/>
    <w:rsid w:val="000B21EE"/>
    <w:rsid w:val="000B22EB"/>
    <w:rsid w:val="000B233D"/>
    <w:rsid w:val="000B2374"/>
    <w:rsid w:val="000B242E"/>
    <w:rsid w:val="000B2478"/>
    <w:rsid w:val="000B2729"/>
    <w:rsid w:val="000B2760"/>
    <w:rsid w:val="000B2776"/>
    <w:rsid w:val="000B27A2"/>
    <w:rsid w:val="000B2AC0"/>
    <w:rsid w:val="000B2B08"/>
    <w:rsid w:val="000B2BF5"/>
    <w:rsid w:val="000B2DBE"/>
    <w:rsid w:val="000B2FE9"/>
    <w:rsid w:val="000B3025"/>
    <w:rsid w:val="000B3116"/>
    <w:rsid w:val="000B31B6"/>
    <w:rsid w:val="000B31C6"/>
    <w:rsid w:val="000B31C8"/>
    <w:rsid w:val="000B33F4"/>
    <w:rsid w:val="000B34D7"/>
    <w:rsid w:val="000B3545"/>
    <w:rsid w:val="000B3597"/>
    <w:rsid w:val="000B35FE"/>
    <w:rsid w:val="000B37A2"/>
    <w:rsid w:val="000B3864"/>
    <w:rsid w:val="000B38FA"/>
    <w:rsid w:val="000B3971"/>
    <w:rsid w:val="000B3B4D"/>
    <w:rsid w:val="000B3C24"/>
    <w:rsid w:val="000B3C7F"/>
    <w:rsid w:val="000B3C8F"/>
    <w:rsid w:val="000B3CD3"/>
    <w:rsid w:val="000B4098"/>
    <w:rsid w:val="000B40C7"/>
    <w:rsid w:val="000B4120"/>
    <w:rsid w:val="000B41AC"/>
    <w:rsid w:val="000B42E6"/>
    <w:rsid w:val="000B42F0"/>
    <w:rsid w:val="000B4453"/>
    <w:rsid w:val="000B4527"/>
    <w:rsid w:val="000B4587"/>
    <w:rsid w:val="000B4590"/>
    <w:rsid w:val="000B47AB"/>
    <w:rsid w:val="000B47DC"/>
    <w:rsid w:val="000B48F1"/>
    <w:rsid w:val="000B4A68"/>
    <w:rsid w:val="000B4A7E"/>
    <w:rsid w:val="000B4ADB"/>
    <w:rsid w:val="000B4C49"/>
    <w:rsid w:val="000B4C65"/>
    <w:rsid w:val="000B4E7E"/>
    <w:rsid w:val="000B50D5"/>
    <w:rsid w:val="000B50F8"/>
    <w:rsid w:val="000B5156"/>
    <w:rsid w:val="000B51D0"/>
    <w:rsid w:val="000B51D5"/>
    <w:rsid w:val="000B5221"/>
    <w:rsid w:val="000B5339"/>
    <w:rsid w:val="000B5352"/>
    <w:rsid w:val="000B5569"/>
    <w:rsid w:val="000B5582"/>
    <w:rsid w:val="000B5591"/>
    <w:rsid w:val="000B562E"/>
    <w:rsid w:val="000B57B9"/>
    <w:rsid w:val="000B5A9F"/>
    <w:rsid w:val="000B5B36"/>
    <w:rsid w:val="000B5B40"/>
    <w:rsid w:val="000B5B88"/>
    <w:rsid w:val="000B5BCF"/>
    <w:rsid w:val="000B5C96"/>
    <w:rsid w:val="000B5CBE"/>
    <w:rsid w:val="000B5D4D"/>
    <w:rsid w:val="000B6029"/>
    <w:rsid w:val="000B612B"/>
    <w:rsid w:val="000B62B6"/>
    <w:rsid w:val="000B6588"/>
    <w:rsid w:val="000B6604"/>
    <w:rsid w:val="000B67D6"/>
    <w:rsid w:val="000B6C03"/>
    <w:rsid w:val="000B6C20"/>
    <w:rsid w:val="000B6E9A"/>
    <w:rsid w:val="000B7069"/>
    <w:rsid w:val="000B70AE"/>
    <w:rsid w:val="000B714F"/>
    <w:rsid w:val="000B715C"/>
    <w:rsid w:val="000B71AC"/>
    <w:rsid w:val="000B73AD"/>
    <w:rsid w:val="000B7512"/>
    <w:rsid w:val="000B764B"/>
    <w:rsid w:val="000B7678"/>
    <w:rsid w:val="000B7687"/>
    <w:rsid w:val="000B777E"/>
    <w:rsid w:val="000B7785"/>
    <w:rsid w:val="000B7952"/>
    <w:rsid w:val="000B7B5B"/>
    <w:rsid w:val="000B7C28"/>
    <w:rsid w:val="000B7D17"/>
    <w:rsid w:val="000B7D18"/>
    <w:rsid w:val="000B7F64"/>
    <w:rsid w:val="000B7F6A"/>
    <w:rsid w:val="000B7F71"/>
    <w:rsid w:val="000C0015"/>
    <w:rsid w:val="000C0294"/>
    <w:rsid w:val="000C045B"/>
    <w:rsid w:val="000C059B"/>
    <w:rsid w:val="000C0713"/>
    <w:rsid w:val="000C08A0"/>
    <w:rsid w:val="000C0A79"/>
    <w:rsid w:val="000C0CBC"/>
    <w:rsid w:val="000C11B7"/>
    <w:rsid w:val="000C1289"/>
    <w:rsid w:val="000C1293"/>
    <w:rsid w:val="000C14FD"/>
    <w:rsid w:val="000C1508"/>
    <w:rsid w:val="000C156C"/>
    <w:rsid w:val="000C161D"/>
    <w:rsid w:val="000C16A5"/>
    <w:rsid w:val="000C17B5"/>
    <w:rsid w:val="000C1A23"/>
    <w:rsid w:val="000C1A2A"/>
    <w:rsid w:val="000C1B39"/>
    <w:rsid w:val="000C1DAE"/>
    <w:rsid w:val="000C1EB3"/>
    <w:rsid w:val="000C1ED1"/>
    <w:rsid w:val="000C216A"/>
    <w:rsid w:val="000C235D"/>
    <w:rsid w:val="000C2489"/>
    <w:rsid w:val="000C271D"/>
    <w:rsid w:val="000C279E"/>
    <w:rsid w:val="000C28EC"/>
    <w:rsid w:val="000C297A"/>
    <w:rsid w:val="000C2A14"/>
    <w:rsid w:val="000C2A43"/>
    <w:rsid w:val="000C2BC4"/>
    <w:rsid w:val="000C2D86"/>
    <w:rsid w:val="000C2E39"/>
    <w:rsid w:val="000C2FAA"/>
    <w:rsid w:val="000C2FC1"/>
    <w:rsid w:val="000C306B"/>
    <w:rsid w:val="000C310E"/>
    <w:rsid w:val="000C3338"/>
    <w:rsid w:val="000C33C2"/>
    <w:rsid w:val="000C36A0"/>
    <w:rsid w:val="000C36F3"/>
    <w:rsid w:val="000C3A35"/>
    <w:rsid w:val="000C3A5B"/>
    <w:rsid w:val="000C3AFE"/>
    <w:rsid w:val="000C3E5D"/>
    <w:rsid w:val="000C3E9C"/>
    <w:rsid w:val="000C3E9D"/>
    <w:rsid w:val="000C415F"/>
    <w:rsid w:val="000C4323"/>
    <w:rsid w:val="000C4566"/>
    <w:rsid w:val="000C461D"/>
    <w:rsid w:val="000C4898"/>
    <w:rsid w:val="000C4A47"/>
    <w:rsid w:val="000C4AE2"/>
    <w:rsid w:val="000C4B3C"/>
    <w:rsid w:val="000C4B42"/>
    <w:rsid w:val="000C5088"/>
    <w:rsid w:val="000C550D"/>
    <w:rsid w:val="000C558E"/>
    <w:rsid w:val="000C563C"/>
    <w:rsid w:val="000C565D"/>
    <w:rsid w:val="000C56D0"/>
    <w:rsid w:val="000C5883"/>
    <w:rsid w:val="000C5B5C"/>
    <w:rsid w:val="000C5B96"/>
    <w:rsid w:val="000C5BE4"/>
    <w:rsid w:val="000C5C8E"/>
    <w:rsid w:val="000C5CA8"/>
    <w:rsid w:val="000C5D21"/>
    <w:rsid w:val="000C5E92"/>
    <w:rsid w:val="000C5FFE"/>
    <w:rsid w:val="000C615C"/>
    <w:rsid w:val="000C61FE"/>
    <w:rsid w:val="000C622F"/>
    <w:rsid w:val="000C64AD"/>
    <w:rsid w:val="000C659C"/>
    <w:rsid w:val="000C68A9"/>
    <w:rsid w:val="000C6D00"/>
    <w:rsid w:val="000C6D7F"/>
    <w:rsid w:val="000C6E53"/>
    <w:rsid w:val="000C6EC2"/>
    <w:rsid w:val="000C6F00"/>
    <w:rsid w:val="000C6F54"/>
    <w:rsid w:val="000C6FBB"/>
    <w:rsid w:val="000C6FF9"/>
    <w:rsid w:val="000C7022"/>
    <w:rsid w:val="000C73FF"/>
    <w:rsid w:val="000C74F7"/>
    <w:rsid w:val="000C7558"/>
    <w:rsid w:val="000C799F"/>
    <w:rsid w:val="000C7B0F"/>
    <w:rsid w:val="000C7B54"/>
    <w:rsid w:val="000C7B61"/>
    <w:rsid w:val="000C7C02"/>
    <w:rsid w:val="000C7D63"/>
    <w:rsid w:val="000C7F98"/>
    <w:rsid w:val="000D00CB"/>
    <w:rsid w:val="000D0248"/>
    <w:rsid w:val="000D024D"/>
    <w:rsid w:val="000D02D6"/>
    <w:rsid w:val="000D04A0"/>
    <w:rsid w:val="000D05DE"/>
    <w:rsid w:val="000D06B2"/>
    <w:rsid w:val="000D06DA"/>
    <w:rsid w:val="000D080F"/>
    <w:rsid w:val="000D090F"/>
    <w:rsid w:val="000D0964"/>
    <w:rsid w:val="000D0982"/>
    <w:rsid w:val="000D098D"/>
    <w:rsid w:val="000D09B2"/>
    <w:rsid w:val="000D0BAA"/>
    <w:rsid w:val="000D0EDB"/>
    <w:rsid w:val="000D0F4D"/>
    <w:rsid w:val="000D0F84"/>
    <w:rsid w:val="000D1056"/>
    <w:rsid w:val="000D10BD"/>
    <w:rsid w:val="000D10F2"/>
    <w:rsid w:val="000D1107"/>
    <w:rsid w:val="000D11A4"/>
    <w:rsid w:val="000D1201"/>
    <w:rsid w:val="000D12D9"/>
    <w:rsid w:val="000D13C6"/>
    <w:rsid w:val="000D13E2"/>
    <w:rsid w:val="000D13E9"/>
    <w:rsid w:val="000D15B6"/>
    <w:rsid w:val="000D15D5"/>
    <w:rsid w:val="000D16CC"/>
    <w:rsid w:val="000D16D1"/>
    <w:rsid w:val="000D1745"/>
    <w:rsid w:val="000D1968"/>
    <w:rsid w:val="000D1993"/>
    <w:rsid w:val="000D1E31"/>
    <w:rsid w:val="000D1FEA"/>
    <w:rsid w:val="000D205C"/>
    <w:rsid w:val="000D2222"/>
    <w:rsid w:val="000D226A"/>
    <w:rsid w:val="000D22E3"/>
    <w:rsid w:val="000D2335"/>
    <w:rsid w:val="000D23C5"/>
    <w:rsid w:val="000D2492"/>
    <w:rsid w:val="000D250A"/>
    <w:rsid w:val="000D262E"/>
    <w:rsid w:val="000D27C2"/>
    <w:rsid w:val="000D2801"/>
    <w:rsid w:val="000D2ABC"/>
    <w:rsid w:val="000D2E3E"/>
    <w:rsid w:val="000D2E7C"/>
    <w:rsid w:val="000D2F38"/>
    <w:rsid w:val="000D2F86"/>
    <w:rsid w:val="000D31B7"/>
    <w:rsid w:val="000D3205"/>
    <w:rsid w:val="000D340F"/>
    <w:rsid w:val="000D3474"/>
    <w:rsid w:val="000D3798"/>
    <w:rsid w:val="000D37E5"/>
    <w:rsid w:val="000D3895"/>
    <w:rsid w:val="000D393F"/>
    <w:rsid w:val="000D3BF0"/>
    <w:rsid w:val="000D3CC3"/>
    <w:rsid w:val="000D3DA1"/>
    <w:rsid w:val="000D3E0E"/>
    <w:rsid w:val="000D4192"/>
    <w:rsid w:val="000D42A1"/>
    <w:rsid w:val="000D42B3"/>
    <w:rsid w:val="000D485D"/>
    <w:rsid w:val="000D4BBF"/>
    <w:rsid w:val="000D4CC0"/>
    <w:rsid w:val="000D4E53"/>
    <w:rsid w:val="000D4E8D"/>
    <w:rsid w:val="000D4E98"/>
    <w:rsid w:val="000D4EF7"/>
    <w:rsid w:val="000D4F1A"/>
    <w:rsid w:val="000D5048"/>
    <w:rsid w:val="000D505C"/>
    <w:rsid w:val="000D519A"/>
    <w:rsid w:val="000D5243"/>
    <w:rsid w:val="000D52E8"/>
    <w:rsid w:val="000D541B"/>
    <w:rsid w:val="000D546E"/>
    <w:rsid w:val="000D54DB"/>
    <w:rsid w:val="000D54FE"/>
    <w:rsid w:val="000D5655"/>
    <w:rsid w:val="000D581F"/>
    <w:rsid w:val="000D5840"/>
    <w:rsid w:val="000D5955"/>
    <w:rsid w:val="000D5B14"/>
    <w:rsid w:val="000D5CA8"/>
    <w:rsid w:val="000D5CD5"/>
    <w:rsid w:val="000D5D4A"/>
    <w:rsid w:val="000D5EAD"/>
    <w:rsid w:val="000D5F3A"/>
    <w:rsid w:val="000D5F50"/>
    <w:rsid w:val="000D6037"/>
    <w:rsid w:val="000D613D"/>
    <w:rsid w:val="000D614F"/>
    <w:rsid w:val="000D6353"/>
    <w:rsid w:val="000D63A3"/>
    <w:rsid w:val="000D646F"/>
    <w:rsid w:val="000D6501"/>
    <w:rsid w:val="000D662F"/>
    <w:rsid w:val="000D663B"/>
    <w:rsid w:val="000D66AB"/>
    <w:rsid w:val="000D66F6"/>
    <w:rsid w:val="000D685B"/>
    <w:rsid w:val="000D6868"/>
    <w:rsid w:val="000D6D2A"/>
    <w:rsid w:val="000D7226"/>
    <w:rsid w:val="000D73E4"/>
    <w:rsid w:val="000D73F0"/>
    <w:rsid w:val="000D741F"/>
    <w:rsid w:val="000D75F4"/>
    <w:rsid w:val="000D7612"/>
    <w:rsid w:val="000D76FD"/>
    <w:rsid w:val="000D7A0D"/>
    <w:rsid w:val="000D7A3B"/>
    <w:rsid w:val="000D7A57"/>
    <w:rsid w:val="000D7A97"/>
    <w:rsid w:val="000D7AB1"/>
    <w:rsid w:val="000D7AFC"/>
    <w:rsid w:val="000D7B61"/>
    <w:rsid w:val="000E018A"/>
    <w:rsid w:val="000E0249"/>
    <w:rsid w:val="000E0254"/>
    <w:rsid w:val="000E02BF"/>
    <w:rsid w:val="000E030E"/>
    <w:rsid w:val="000E0312"/>
    <w:rsid w:val="000E04DC"/>
    <w:rsid w:val="000E0516"/>
    <w:rsid w:val="000E05F4"/>
    <w:rsid w:val="000E066A"/>
    <w:rsid w:val="000E0670"/>
    <w:rsid w:val="000E077B"/>
    <w:rsid w:val="000E0822"/>
    <w:rsid w:val="000E0848"/>
    <w:rsid w:val="000E0869"/>
    <w:rsid w:val="000E093A"/>
    <w:rsid w:val="000E0956"/>
    <w:rsid w:val="000E0AB7"/>
    <w:rsid w:val="000E0AD9"/>
    <w:rsid w:val="000E0ECB"/>
    <w:rsid w:val="000E0FE0"/>
    <w:rsid w:val="000E1061"/>
    <w:rsid w:val="000E10B4"/>
    <w:rsid w:val="000E10FA"/>
    <w:rsid w:val="000E1126"/>
    <w:rsid w:val="000E134A"/>
    <w:rsid w:val="000E135A"/>
    <w:rsid w:val="000E13BF"/>
    <w:rsid w:val="000E150D"/>
    <w:rsid w:val="000E163F"/>
    <w:rsid w:val="000E16E4"/>
    <w:rsid w:val="000E18ED"/>
    <w:rsid w:val="000E193F"/>
    <w:rsid w:val="000E1AA5"/>
    <w:rsid w:val="000E1B74"/>
    <w:rsid w:val="000E1BE9"/>
    <w:rsid w:val="000E1E56"/>
    <w:rsid w:val="000E2174"/>
    <w:rsid w:val="000E21B2"/>
    <w:rsid w:val="000E2364"/>
    <w:rsid w:val="000E24CD"/>
    <w:rsid w:val="000E25A0"/>
    <w:rsid w:val="000E268D"/>
    <w:rsid w:val="000E2A29"/>
    <w:rsid w:val="000E2AD8"/>
    <w:rsid w:val="000E2DB9"/>
    <w:rsid w:val="000E2ED2"/>
    <w:rsid w:val="000E37BF"/>
    <w:rsid w:val="000E37F4"/>
    <w:rsid w:val="000E3874"/>
    <w:rsid w:val="000E3ADA"/>
    <w:rsid w:val="000E3B16"/>
    <w:rsid w:val="000E3BC1"/>
    <w:rsid w:val="000E3D96"/>
    <w:rsid w:val="000E3DBA"/>
    <w:rsid w:val="000E3DD4"/>
    <w:rsid w:val="000E3DD9"/>
    <w:rsid w:val="000E3ECD"/>
    <w:rsid w:val="000E3EEE"/>
    <w:rsid w:val="000E3F12"/>
    <w:rsid w:val="000E41E1"/>
    <w:rsid w:val="000E443E"/>
    <w:rsid w:val="000E445B"/>
    <w:rsid w:val="000E44B6"/>
    <w:rsid w:val="000E4531"/>
    <w:rsid w:val="000E470F"/>
    <w:rsid w:val="000E476F"/>
    <w:rsid w:val="000E4880"/>
    <w:rsid w:val="000E499D"/>
    <w:rsid w:val="000E4E37"/>
    <w:rsid w:val="000E4F1A"/>
    <w:rsid w:val="000E527F"/>
    <w:rsid w:val="000E533F"/>
    <w:rsid w:val="000E5362"/>
    <w:rsid w:val="000E53EF"/>
    <w:rsid w:val="000E5425"/>
    <w:rsid w:val="000E561D"/>
    <w:rsid w:val="000E5752"/>
    <w:rsid w:val="000E579C"/>
    <w:rsid w:val="000E57F1"/>
    <w:rsid w:val="000E59C9"/>
    <w:rsid w:val="000E5A7B"/>
    <w:rsid w:val="000E5B39"/>
    <w:rsid w:val="000E5B47"/>
    <w:rsid w:val="000E5B76"/>
    <w:rsid w:val="000E5C68"/>
    <w:rsid w:val="000E5CFC"/>
    <w:rsid w:val="000E5F5F"/>
    <w:rsid w:val="000E5FAD"/>
    <w:rsid w:val="000E5FDC"/>
    <w:rsid w:val="000E60DA"/>
    <w:rsid w:val="000E6279"/>
    <w:rsid w:val="000E62DB"/>
    <w:rsid w:val="000E6432"/>
    <w:rsid w:val="000E64EF"/>
    <w:rsid w:val="000E65CE"/>
    <w:rsid w:val="000E6741"/>
    <w:rsid w:val="000E67DD"/>
    <w:rsid w:val="000E6D83"/>
    <w:rsid w:val="000E6E4F"/>
    <w:rsid w:val="000E6F05"/>
    <w:rsid w:val="000E7038"/>
    <w:rsid w:val="000E732A"/>
    <w:rsid w:val="000E735D"/>
    <w:rsid w:val="000E7365"/>
    <w:rsid w:val="000E74A5"/>
    <w:rsid w:val="000E7576"/>
    <w:rsid w:val="000E75D5"/>
    <w:rsid w:val="000E76B8"/>
    <w:rsid w:val="000E76EA"/>
    <w:rsid w:val="000E7792"/>
    <w:rsid w:val="000E77B8"/>
    <w:rsid w:val="000E7A99"/>
    <w:rsid w:val="000E7B80"/>
    <w:rsid w:val="000E7B9E"/>
    <w:rsid w:val="000E7BBA"/>
    <w:rsid w:val="000E7BBC"/>
    <w:rsid w:val="000E7BE0"/>
    <w:rsid w:val="000E7BFE"/>
    <w:rsid w:val="000E7E06"/>
    <w:rsid w:val="000E7E08"/>
    <w:rsid w:val="000E7E31"/>
    <w:rsid w:val="000E7F88"/>
    <w:rsid w:val="000F0018"/>
    <w:rsid w:val="000F0093"/>
    <w:rsid w:val="000F00D1"/>
    <w:rsid w:val="000F02A7"/>
    <w:rsid w:val="000F0402"/>
    <w:rsid w:val="000F040F"/>
    <w:rsid w:val="000F0413"/>
    <w:rsid w:val="000F056F"/>
    <w:rsid w:val="000F0602"/>
    <w:rsid w:val="000F06CF"/>
    <w:rsid w:val="000F0731"/>
    <w:rsid w:val="000F0A36"/>
    <w:rsid w:val="000F0D7A"/>
    <w:rsid w:val="000F0E92"/>
    <w:rsid w:val="000F1010"/>
    <w:rsid w:val="000F127F"/>
    <w:rsid w:val="000F128B"/>
    <w:rsid w:val="000F13CA"/>
    <w:rsid w:val="000F160F"/>
    <w:rsid w:val="000F1678"/>
    <w:rsid w:val="000F1B4F"/>
    <w:rsid w:val="000F1BDC"/>
    <w:rsid w:val="000F1E7A"/>
    <w:rsid w:val="000F1F9E"/>
    <w:rsid w:val="000F2050"/>
    <w:rsid w:val="000F2084"/>
    <w:rsid w:val="000F20B4"/>
    <w:rsid w:val="000F213E"/>
    <w:rsid w:val="000F231B"/>
    <w:rsid w:val="000F2419"/>
    <w:rsid w:val="000F2552"/>
    <w:rsid w:val="000F257C"/>
    <w:rsid w:val="000F269C"/>
    <w:rsid w:val="000F26CB"/>
    <w:rsid w:val="000F28EB"/>
    <w:rsid w:val="000F2907"/>
    <w:rsid w:val="000F2918"/>
    <w:rsid w:val="000F2948"/>
    <w:rsid w:val="000F2A33"/>
    <w:rsid w:val="000F2A94"/>
    <w:rsid w:val="000F2D36"/>
    <w:rsid w:val="000F2D4D"/>
    <w:rsid w:val="000F2E6D"/>
    <w:rsid w:val="000F2F8F"/>
    <w:rsid w:val="000F317D"/>
    <w:rsid w:val="000F32B3"/>
    <w:rsid w:val="000F35BA"/>
    <w:rsid w:val="000F378A"/>
    <w:rsid w:val="000F3808"/>
    <w:rsid w:val="000F3A64"/>
    <w:rsid w:val="000F3B63"/>
    <w:rsid w:val="000F3D5E"/>
    <w:rsid w:val="000F3E64"/>
    <w:rsid w:val="000F3F91"/>
    <w:rsid w:val="000F4038"/>
    <w:rsid w:val="000F4267"/>
    <w:rsid w:val="000F4279"/>
    <w:rsid w:val="000F4280"/>
    <w:rsid w:val="000F42E4"/>
    <w:rsid w:val="000F453A"/>
    <w:rsid w:val="000F458E"/>
    <w:rsid w:val="000F4706"/>
    <w:rsid w:val="000F477D"/>
    <w:rsid w:val="000F479A"/>
    <w:rsid w:val="000F4845"/>
    <w:rsid w:val="000F493D"/>
    <w:rsid w:val="000F4C10"/>
    <w:rsid w:val="000F4D3B"/>
    <w:rsid w:val="000F4EAD"/>
    <w:rsid w:val="000F4ECC"/>
    <w:rsid w:val="000F50EB"/>
    <w:rsid w:val="000F5121"/>
    <w:rsid w:val="000F538B"/>
    <w:rsid w:val="000F540D"/>
    <w:rsid w:val="000F54CE"/>
    <w:rsid w:val="000F54DA"/>
    <w:rsid w:val="000F5503"/>
    <w:rsid w:val="000F5685"/>
    <w:rsid w:val="000F568E"/>
    <w:rsid w:val="000F579C"/>
    <w:rsid w:val="000F5848"/>
    <w:rsid w:val="000F5A05"/>
    <w:rsid w:val="000F5A5F"/>
    <w:rsid w:val="000F5BAB"/>
    <w:rsid w:val="000F5C04"/>
    <w:rsid w:val="000F5C7D"/>
    <w:rsid w:val="000F5D93"/>
    <w:rsid w:val="000F5E1E"/>
    <w:rsid w:val="000F5F6A"/>
    <w:rsid w:val="000F6440"/>
    <w:rsid w:val="000F64A9"/>
    <w:rsid w:val="000F65A0"/>
    <w:rsid w:val="000F65A4"/>
    <w:rsid w:val="000F65DC"/>
    <w:rsid w:val="000F66E1"/>
    <w:rsid w:val="000F670A"/>
    <w:rsid w:val="000F67AC"/>
    <w:rsid w:val="000F6818"/>
    <w:rsid w:val="000F682E"/>
    <w:rsid w:val="000F68EF"/>
    <w:rsid w:val="000F6906"/>
    <w:rsid w:val="000F6955"/>
    <w:rsid w:val="000F6C59"/>
    <w:rsid w:val="000F6D22"/>
    <w:rsid w:val="000F6F4B"/>
    <w:rsid w:val="000F6FCC"/>
    <w:rsid w:val="000F70A2"/>
    <w:rsid w:val="000F7246"/>
    <w:rsid w:val="000F730B"/>
    <w:rsid w:val="000F7547"/>
    <w:rsid w:val="000F7848"/>
    <w:rsid w:val="000F7919"/>
    <w:rsid w:val="000F79BE"/>
    <w:rsid w:val="000F7DA2"/>
    <w:rsid w:val="000F7E13"/>
    <w:rsid w:val="000F7E8B"/>
    <w:rsid w:val="000F7F3B"/>
    <w:rsid w:val="00100214"/>
    <w:rsid w:val="001003FA"/>
    <w:rsid w:val="00100491"/>
    <w:rsid w:val="001004AB"/>
    <w:rsid w:val="00100504"/>
    <w:rsid w:val="0010050D"/>
    <w:rsid w:val="00100702"/>
    <w:rsid w:val="0010070C"/>
    <w:rsid w:val="00100737"/>
    <w:rsid w:val="00100965"/>
    <w:rsid w:val="001009AF"/>
    <w:rsid w:val="001009D8"/>
    <w:rsid w:val="00100A32"/>
    <w:rsid w:val="00100CCD"/>
    <w:rsid w:val="00100DB6"/>
    <w:rsid w:val="00100E03"/>
    <w:rsid w:val="00100F5B"/>
    <w:rsid w:val="00101122"/>
    <w:rsid w:val="001011DB"/>
    <w:rsid w:val="0010124E"/>
    <w:rsid w:val="0010129D"/>
    <w:rsid w:val="00101627"/>
    <w:rsid w:val="0010179F"/>
    <w:rsid w:val="001017C3"/>
    <w:rsid w:val="00101904"/>
    <w:rsid w:val="00101A0C"/>
    <w:rsid w:val="00101B97"/>
    <w:rsid w:val="00101C77"/>
    <w:rsid w:val="00101CA0"/>
    <w:rsid w:val="00101E49"/>
    <w:rsid w:val="00101E81"/>
    <w:rsid w:val="001020DF"/>
    <w:rsid w:val="00102195"/>
    <w:rsid w:val="0010224E"/>
    <w:rsid w:val="00102408"/>
    <w:rsid w:val="00102485"/>
    <w:rsid w:val="00102496"/>
    <w:rsid w:val="001024F2"/>
    <w:rsid w:val="001025EC"/>
    <w:rsid w:val="001026AD"/>
    <w:rsid w:val="001027BA"/>
    <w:rsid w:val="00102D29"/>
    <w:rsid w:val="00102E8A"/>
    <w:rsid w:val="00102EF5"/>
    <w:rsid w:val="00102F07"/>
    <w:rsid w:val="00103068"/>
    <w:rsid w:val="0010307C"/>
    <w:rsid w:val="00103196"/>
    <w:rsid w:val="00103355"/>
    <w:rsid w:val="0010341A"/>
    <w:rsid w:val="0010344C"/>
    <w:rsid w:val="0010347F"/>
    <w:rsid w:val="001034D5"/>
    <w:rsid w:val="00103525"/>
    <w:rsid w:val="00103709"/>
    <w:rsid w:val="001037D7"/>
    <w:rsid w:val="00103A3E"/>
    <w:rsid w:val="00103BC7"/>
    <w:rsid w:val="00103C18"/>
    <w:rsid w:val="00103C52"/>
    <w:rsid w:val="00103CA1"/>
    <w:rsid w:val="00103D0D"/>
    <w:rsid w:val="00103FBF"/>
    <w:rsid w:val="00104129"/>
    <w:rsid w:val="00104179"/>
    <w:rsid w:val="00104225"/>
    <w:rsid w:val="0010428D"/>
    <w:rsid w:val="001045E7"/>
    <w:rsid w:val="001047D2"/>
    <w:rsid w:val="00104839"/>
    <w:rsid w:val="00104873"/>
    <w:rsid w:val="001048A4"/>
    <w:rsid w:val="00104B81"/>
    <w:rsid w:val="00104C72"/>
    <w:rsid w:val="00104DCD"/>
    <w:rsid w:val="00104E81"/>
    <w:rsid w:val="00104ED3"/>
    <w:rsid w:val="00104EFD"/>
    <w:rsid w:val="00104F7D"/>
    <w:rsid w:val="00105026"/>
    <w:rsid w:val="001052E0"/>
    <w:rsid w:val="0010535F"/>
    <w:rsid w:val="001054C6"/>
    <w:rsid w:val="00105744"/>
    <w:rsid w:val="001058F0"/>
    <w:rsid w:val="0010596D"/>
    <w:rsid w:val="00105ACA"/>
    <w:rsid w:val="00105AFD"/>
    <w:rsid w:val="00105C43"/>
    <w:rsid w:val="00105DF1"/>
    <w:rsid w:val="00105EDC"/>
    <w:rsid w:val="00105F0F"/>
    <w:rsid w:val="0010602A"/>
    <w:rsid w:val="001060E9"/>
    <w:rsid w:val="0010659F"/>
    <w:rsid w:val="001065F2"/>
    <w:rsid w:val="001065F5"/>
    <w:rsid w:val="00106746"/>
    <w:rsid w:val="0010697E"/>
    <w:rsid w:val="001069A5"/>
    <w:rsid w:val="00106A32"/>
    <w:rsid w:val="00106A7B"/>
    <w:rsid w:val="00106A7D"/>
    <w:rsid w:val="00106A89"/>
    <w:rsid w:val="00106B9F"/>
    <w:rsid w:val="00106BEA"/>
    <w:rsid w:val="00106DA5"/>
    <w:rsid w:val="00106DD1"/>
    <w:rsid w:val="00106EA3"/>
    <w:rsid w:val="00106EDB"/>
    <w:rsid w:val="001070C7"/>
    <w:rsid w:val="0010715A"/>
    <w:rsid w:val="001071D8"/>
    <w:rsid w:val="00107362"/>
    <w:rsid w:val="00107484"/>
    <w:rsid w:val="001074A5"/>
    <w:rsid w:val="00107501"/>
    <w:rsid w:val="0010756D"/>
    <w:rsid w:val="001075CC"/>
    <w:rsid w:val="001076BE"/>
    <w:rsid w:val="001076D6"/>
    <w:rsid w:val="00107902"/>
    <w:rsid w:val="00107960"/>
    <w:rsid w:val="0010799A"/>
    <w:rsid w:val="00107A7E"/>
    <w:rsid w:val="00107BBE"/>
    <w:rsid w:val="00107D11"/>
    <w:rsid w:val="00107DC9"/>
    <w:rsid w:val="00107DE5"/>
    <w:rsid w:val="0011019E"/>
    <w:rsid w:val="00110224"/>
    <w:rsid w:val="001105E3"/>
    <w:rsid w:val="001105FB"/>
    <w:rsid w:val="00110770"/>
    <w:rsid w:val="0011078E"/>
    <w:rsid w:val="00110870"/>
    <w:rsid w:val="00110941"/>
    <w:rsid w:val="001109E8"/>
    <w:rsid w:val="00110AA2"/>
    <w:rsid w:val="00110C74"/>
    <w:rsid w:val="0011108B"/>
    <w:rsid w:val="00111150"/>
    <w:rsid w:val="001111CA"/>
    <w:rsid w:val="0011127A"/>
    <w:rsid w:val="001112A6"/>
    <w:rsid w:val="001112B1"/>
    <w:rsid w:val="001112E0"/>
    <w:rsid w:val="001115D3"/>
    <w:rsid w:val="00111844"/>
    <w:rsid w:val="0011186A"/>
    <w:rsid w:val="00111982"/>
    <w:rsid w:val="001119B4"/>
    <w:rsid w:val="00111B03"/>
    <w:rsid w:val="00111C70"/>
    <w:rsid w:val="00111DF8"/>
    <w:rsid w:val="00111F3A"/>
    <w:rsid w:val="00111FBD"/>
    <w:rsid w:val="0011222F"/>
    <w:rsid w:val="00112334"/>
    <w:rsid w:val="001124D0"/>
    <w:rsid w:val="00112651"/>
    <w:rsid w:val="00112824"/>
    <w:rsid w:val="001128FF"/>
    <w:rsid w:val="00112952"/>
    <w:rsid w:val="00112ABA"/>
    <w:rsid w:val="00112C81"/>
    <w:rsid w:val="00112CB9"/>
    <w:rsid w:val="00112D04"/>
    <w:rsid w:val="00112E6E"/>
    <w:rsid w:val="00112E96"/>
    <w:rsid w:val="00113252"/>
    <w:rsid w:val="001132CA"/>
    <w:rsid w:val="00113317"/>
    <w:rsid w:val="00113366"/>
    <w:rsid w:val="001133CB"/>
    <w:rsid w:val="00113460"/>
    <w:rsid w:val="0011355F"/>
    <w:rsid w:val="0011356C"/>
    <w:rsid w:val="001135C1"/>
    <w:rsid w:val="001135E5"/>
    <w:rsid w:val="00113609"/>
    <w:rsid w:val="0011366F"/>
    <w:rsid w:val="001136EE"/>
    <w:rsid w:val="00113ABC"/>
    <w:rsid w:val="00113AE9"/>
    <w:rsid w:val="00113BD0"/>
    <w:rsid w:val="00113D42"/>
    <w:rsid w:val="00113EDB"/>
    <w:rsid w:val="00113F19"/>
    <w:rsid w:val="00114122"/>
    <w:rsid w:val="00114151"/>
    <w:rsid w:val="00114278"/>
    <w:rsid w:val="001143D1"/>
    <w:rsid w:val="00114715"/>
    <w:rsid w:val="001147BB"/>
    <w:rsid w:val="00114836"/>
    <w:rsid w:val="00114AEB"/>
    <w:rsid w:val="00114B78"/>
    <w:rsid w:val="00115132"/>
    <w:rsid w:val="0011546A"/>
    <w:rsid w:val="001155A7"/>
    <w:rsid w:val="0011571F"/>
    <w:rsid w:val="0011581C"/>
    <w:rsid w:val="00115BD8"/>
    <w:rsid w:val="00115BF3"/>
    <w:rsid w:val="00115D35"/>
    <w:rsid w:val="00116041"/>
    <w:rsid w:val="001163F9"/>
    <w:rsid w:val="00116474"/>
    <w:rsid w:val="00116592"/>
    <w:rsid w:val="001167F3"/>
    <w:rsid w:val="00116938"/>
    <w:rsid w:val="001169A2"/>
    <w:rsid w:val="00116B60"/>
    <w:rsid w:val="00116C0D"/>
    <w:rsid w:val="00116D85"/>
    <w:rsid w:val="00116DA6"/>
    <w:rsid w:val="00116DC1"/>
    <w:rsid w:val="00116F36"/>
    <w:rsid w:val="00116F45"/>
    <w:rsid w:val="001170D4"/>
    <w:rsid w:val="001171D1"/>
    <w:rsid w:val="001172C6"/>
    <w:rsid w:val="001175BD"/>
    <w:rsid w:val="00117685"/>
    <w:rsid w:val="001176A8"/>
    <w:rsid w:val="001176F2"/>
    <w:rsid w:val="0011775A"/>
    <w:rsid w:val="0011778A"/>
    <w:rsid w:val="00117BAD"/>
    <w:rsid w:val="00117C9C"/>
    <w:rsid w:val="00117D1A"/>
    <w:rsid w:val="00117D9D"/>
    <w:rsid w:val="00117E3C"/>
    <w:rsid w:val="00120114"/>
    <w:rsid w:val="00120118"/>
    <w:rsid w:val="00120139"/>
    <w:rsid w:val="0012021B"/>
    <w:rsid w:val="001203CA"/>
    <w:rsid w:val="00120485"/>
    <w:rsid w:val="001204B5"/>
    <w:rsid w:val="001204E4"/>
    <w:rsid w:val="001205BE"/>
    <w:rsid w:val="001207EC"/>
    <w:rsid w:val="001207F2"/>
    <w:rsid w:val="0012083B"/>
    <w:rsid w:val="00120A4D"/>
    <w:rsid w:val="00120B5D"/>
    <w:rsid w:val="00120D56"/>
    <w:rsid w:val="00120E50"/>
    <w:rsid w:val="00120EE7"/>
    <w:rsid w:val="00120F4F"/>
    <w:rsid w:val="0012104C"/>
    <w:rsid w:val="0012113A"/>
    <w:rsid w:val="001212BD"/>
    <w:rsid w:val="00121336"/>
    <w:rsid w:val="00121368"/>
    <w:rsid w:val="00121464"/>
    <w:rsid w:val="0012146A"/>
    <w:rsid w:val="001215FA"/>
    <w:rsid w:val="00121711"/>
    <w:rsid w:val="0012172E"/>
    <w:rsid w:val="0012179D"/>
    <w:rsid w:val="001217A1"/>
    <w:rsid w:val="001219B1"/>
    <w:rsid w:val="00121A7B"/>
    <w:rsid w:val="00121B88"/>
    <w:rsid w:val="00121BE0"/>
    <w:rsid w:val="00121BEB"/>
    <w:rsid w:val="00121C77"/>
    <w:rsid w:val="00121DA9"/>
    <w:rsid w:val="00121E00"/>
    <w:rsid w:val="00121FA9"/>
    <w:rsid w:val="00121FFB"/>
    <w:rsid w:val="001220D4"/>
    <w:rsid w:val="001221B1"/>
    <w:rsid w:val="0012252A"/>
    <w:rsid w:val="0012259F"/>
    <w:rsid w:val="00122670"/>
    <w:rsid w:val="00122899"/>
    <w:rsid w:val="00122904"/>
    <w:rsid w:val="00122A8C"/>
    <w:rsid w:val="00122F93"/>
    <w:rsid w:val="001231D2"/>
    <w:rsid w:val="001231DC"/>
    <w:rsid w:val="001232FC"/>
    <w:rsid w:val="0012351E"/>
    <w:rsid w:val="0012356C"/>
    <w:rsid w:val="00123659"/>
    <w:rsid w:val="00123723"/>
    <w:rsid w:val="00123899"/>
    <w:rsid w:val="001238BE"/>
    <w:rsid w:val="001238EF"/>
    <w:rsid w:val="00123A9C"/>
    <w:rsid w:val="00123AEB"/>
    <w:rsid w:val="00123B5D"/>
    <w:rsid w:val="00123E2D"/>
    <w:rsid w:val="00123EB3"/>
    <w:rsid w:val="00123ED5"/>
    <w:rsid w:val="00123FB9"/>
    <w:rsid w:val="0012406A"/>
    <w:rsid w:val="0012428E"/>
    <w:rsid w:val="001242AF"/>
    <w:rsid w:val="00124794"/>
    <w:rsid w:val="0012490A"/>
    <w:rsid w:val="00124A47"/>
    <w:rsid w:val="00124AE6"/>
    <w:rsid w:val="00124E0D"/>
    <w:rsid w:val="00124EEC"/>
    <w:rsid w:val="00124F6E"/>
    <w:rsid w:val="001252DB"/>
    <w:rsid w:val="00125497"/>
    <w:rsid w:val="00125552"/>
    <w:rsid w:val="00125791"/>
    <w:rsid w:val="001258C6"/>
    <w:rsid w:val="00125980"/>
    <w:rsid w:val="00125A65"/>
    <w:rsid w:val="00125C8B"/>
    <w:rsid w:val="00125D20"/>
    <w:rsid w:val="00125DC3"/>
    <w:rsid w:val="00125E00"/>
    <w:rsid w:val="00125F80"/>
    <w:rsid w:val="0012636D"/>
    <w:rsid w:val="00126384"/>
    <w:rsid w:val="0012648B"/>
    <w:rsid w:val="00126850"/>
    <w:rsid w:val="001268A3"/>
    <w:rsid w:val="00126B07"/>
    <w:rsid w:val="00126BD2"/>
    <w:rsid w:val="00126C9F"/>
    <w:rsid w:val="00126CAF"/>
    <w:rsid w:val="00126CF4"/>
    <w:rsid w:val="00126D39"/>
    <w:rsid w:val="00126EA0"/>
    <w:rsid w:val="00126FA3"/>
    <w:rsid w:val="00127005"/>
    <w:rsid w:val="001270BC"/>
    <w:rsid w:val="00127120"/>
    <w:rsid w:val="00127306"/>
    <w:rsid w:val="00127318"/>
    <w:rsid w:val="00127350"/>
    <w:rsid w:val="00127409"/>
    <w:rsid w:val="00127448"/>
    <w:rsid w:val="00127557"/>
    <w:rsid w:val="0012777B"/>
    <w:rsid w:val="00127827"/>
    <w:rsid w:val="00127867"/>
    <w:rsid w:val="00127C92"/>
    <w:rsid w:val="00127DC2"/>
    <w:rsid w:val="00127FBB"/>
    <w:rsid w:val="001300FE"/>
    <w:rsid w:val="00130417"/>
    <w:rsid w:val="00130495"/>
    <w:rsid w:val="001304D3"/>
    <w:rsid w:val="0013054C"/>
    <w:rsid w:val="001307C4"/>
    <w:rsid w:val="00130871"/>
    <w:rsid w:val="00130AC9"/>
    <w:rsid w:val="00130B1D"/>
    <w:rsid w:val="00130DC6"/>
    <w:rsid w:val="00130EB4"/>
    <w:rsid w:val="00130ED5"/>
    <w:rsid w:val="00131125"/>
    <w:rsid w:val="00131129"/>
    <w:rsid w:val="001311A2"/>
    <w:rsid w:val="001312BA"/>
    <w:rsid w:val="0013147D"/>
    <w:rsid w:val="001314DE"/>
    <w:rsid w:val="001314E9"/>
    <w:rsid w:val="00131587"/>
    <w:rsid w:val="0013175B"/>
    <w:rsid w:val="00131ADF"/>
    <w:rsid w:val="00131DED"/>
    <w:rsid w:val="00131EE8"/>
    <w:rsid w:val="0013203F"/>
    <w:rsid w:val="00132050"/>
    <w:rsid w:val="0013212B"/>
    <w:rsid w:val="00132183"/>
    <w:rsid w:val="00132607"/>
    <w:rsid w:val="00132959"/>
    <w:rsid w:val="00132AD4"/>
    <w:rsid w:val="00132AF6"/>
    <w:rsid w:val="00132DFE"/>
    <w:rsid w:val="00132EB8"/>
    <w:rsid w:val="00133167"/>
    <w:rsid w:val="001331C4"/>
    <w:rsid w:val="001332EA"/>
    <w:rsid w:val="001336E3"/>
    <w:rsid w:val="00133A3D"/>
    <w:rsid w:val="00133A3F"/>
    <w:rsid w:val="00133A9D"/>
    <w:rsid w:val="00133C59"/>
    <w:rsid w:val="00133FF1"/>
    <w:rsid w:val="0013419F"/>
    <w:rsid w:val="0013434E"/>
    <w:rsid w:val="00134361"/>
    <w:rsid w:val="0013446F"/>
    <w:rsid w:val="0013460B"/>
    <w:rsid w:val="00134611"/>
    <w:rsid w:val="0013466E"/>
    <w:rsid w:val="001346BD"/>
    <w:rsid w:val="00134860"/>
    <w:rsid w:val="0013487D"/>
    <w:rsid w:val="00134950"/>
    <w:rsid w:val="00134A4E"/>
    <w:rsid w:val="00134C0C"/>
    <w:rsid w:val="00134E4F"/>
    <w:rsid w:val="00135582"/>
    <w:rsid w:val="00135894"/>
    <w:rsid w:val="001359CE"/>
    <w:rsid w:val="00135BAD"/>
    <w:rsid w:val="00135C8D"/>
    <w:rsid w:val="00135D6A"/>
    <w:rsid w:val="00135D70"/>
    <w:rsid w:val="00135E20"/>
    <w:rsid w:val="00135E21"/>
    <w:rsid w:val="00135E61"/>
    <w:rsid w:val="00135E71"/>
    <w:rsid w:val="00135E85"/>
    <w:rsid w:val="0013619F"/>
    <w:rsid w:val="0013663E"/>
    <w:rsid w:val="00136891"/>
    <w:rsid w:val="001369CD"/>
    <w:rsid w:val="001369D3"/>
    <w:rsid w:val="00136B4D"/>
    <w:rsid w:val="00136C40"/>
    <w:rsid w:val="00136C44"/>
    <w:rsid w:val="00136C8F"/>
    <w:rsid w:val="00136D22"/>
    <w:rsid w:val="00136E9F"/>
    <w:rsid w:val="00136EBD"/>
    <w:rsid w:val="00136EF1"/>
    <w:rsid w:val="00136F0D"/>
    <w:rsid w:val="00137250"/>
    <w:rsid w:val="0013727E"/>
    <w:rsid w:val="001373EF"/>
    <w:rsid w:val="00137569"/>
    <w:rsid w:val="00137632"/>
    <w:rsid w:val="00137996"/>
    <w:rsid w:val="001379AB"/>
    <w:rsid w:val="00137B09"/>
    <w:rsid w:val="00137B61"/>
    <w:rsid w:val="00137D3D"/>
    <w:rsid w:val="00137DC1"/>
    <w:rsid w:val="00137E6D"/>
    <w:rsid w:val="00137EE1"/>
    <w:rsid w:val="00140008"/>
    <w:rsid w:val="0014002B"/>
    <w:rsid w:val="00140035"/>
    <w:rsid w:val="0014006F"/>
    <w:rsid w:val="0014009F"/>
    <w:rsid w:val="001401C3"/>
    <w:rsid w:val="001401F2"/>
    <w:rsid w:val="00140224"/>
    <w:rsid w:val="001402C1"/>
    <w:rsid w:val="00140352"/>
    <w:rsid w:val="0014038C"/>
    <w:rsid w:val="00140483"/>
    <w:rsid w:val="00140556"/>
    <w:rsid w:val="001406B8"/>
    <w:rsid w:val="001406DC"/>
    <w:rsid w:val="001408C2"/>
    <w:rsid w:val="0014090C"/>
    <w:rsid w:val="00140A95"/>
    <w:rsid w:val="00140C0E"/>
    <w:rsid w:val="00140D88"/>
    <w:rsid w:val="00140E1B"/>
    <w:rsid w:val="00140E73"/>
    <w:rsid w:val="00140EAB"/>
    <w:rsid w:val="00140F46"/>
    <w:rsid w:val="001410C2"/>
    <w:rsid w:val="001411BB"/>
    <w:rsid w:val="0014131E"/>
    <w:rsid w:val="001416E2"/>
    <w:rsid w:val="00141703"/>
    <w:rsid w:val="00141814"/>
    <w:rsid w:val="001418A1"/>
    <w:rsid w:val="001418B8"/>
    <w:rsid w:val="001418DD"/>
    <w:rsid w:val="00141AEF"/>
    <w:rsid w:val="00141C6B"/>
    <w:rsid w:val="00141D2E"/>
    <w:rsid w:val="00141D65"/>
    <w:rsid w:val="00141D99"/>
    <w:rsid w:val="00141E6F"/>
    <w:rsid w:val="00142134"/>
    <w:rsid w:val="0014214B"/>
    <w:rsid w:val="00142257"/>
    <w:rsid w:val="001422F2"/>
    <w:rsid w:val="00142454"/>
    <w:rsid w:val="0014249C"/>
    <w:rsid w:val="001425F4"/>
    <w:rsid w:val="0014260B"/>
    <w:rsid w:val="00142763"/>
    <w:rsid w:val="0014281A"/>
    <w:rsid w:val="001428E6"/>
    <w:rsid w:val="00142A1A"/>
    <w:rsid w:val="00142A67"/>
    <w:rsid w:val="00142C42"/>
    <w:rsid w:val="00142DF3"/>
    <w:rsid w:val="001430D3"/>
    <w:rsid w:val="001433A2"/>
    <w:rsid w:val="00143620"/>
    <w:rsid w:val="00143857"/>
    <w:rsid w:val="001438E1"/>
    <w:rsid w:val="001438E8"/>
    <w:rsid w:val="001439A9"/>
    <w:rsid w:val="00143A4E"/>
    <w:rsid w:val="00143B0A"/>
    <w:rsid w:val="00143B5A"/>
    <w:rsid w:val="00143B94"/>
    <w:rsid w:val="00143B98"/>
    <w:rsid w:val="00143BA5"/>
    <w:rsid w:val="00143C6D"/>
    <w:rsid w:val="00143CB8"/>
    <w:rsid w:val="00143E5E"/>
    <w:rsid w:val="0014401E"/>
    <w:rsid w:val="00144035"/>
    <w:rsid w:val="001442CA"/>
    <w:rsid w:val="0014431F"/>
    <w:rsid w:val="00144355"/>
    <w:rsid w:val="001444EA"/>
    <w:rsid w:val="0014482D"/>
    <w:rsid w:val="00144B7C"/>
    <w:rsid w:val="00144D76"/>
    <w:rsid w:val="00144E50"/>
    <w:rsid w:val="00144E6B"/>
    <w:rsid w:val="00144FB4"/>
    <w:rsid w:val="00145019"/>
    <w:rsid w:val="001450DC"/>
    <w:rsid w:val="0014511C"/>
    <w:rsid w:val="001451BD"/>
    <w:rsid w:val="001451FC"/>
    <w:rsid w:val="0014527D"/>
    <w:rsid w:val="001454AF"/>
    <w:rsid w:val="001455FF"/>
    <w:rsid w:val="00145624"/>
    <w:rsid w:val="00145882"/>
    <w:rsid w:val="001459A1"/>
    <w:rsid w:val="00145A84"/>
    <w:rsid w:val="00145C42"/>
    <w:rsid w:val="00145E56"/>
    <w:rsid w:val="00145F72"/>
    <w:rsid w:val="0014602E"/>
    <w:rsid w:val="00146360"/>
    <w:rsid w:val="00146381"/>
    <w:rsid w:val="0014640A"/>
    <w:rsid w:val="001465C6"/>
    <w:rsid w:val="001465D1"/>
    <w:rsid w:val="00146776"/>
    <w:rsid w:val="00146855"/>
    <w:rsid w:val="001468B2"/>
    <w:rsid w:val="00146AB3"/>
    <w:rsid w:val="00146BD8"/>
    <w:rsid w:val="00146C3E"/>
    <w:rsid w:val="00146EEC"/>
    <w:rsid w:val="00146F5B"/>
    <w:rsid w:val="00147097"/>
    <w:rsid w:val="0014709B"/>
    <w:rsid w:val="00147486"/>
    <w:rsid w:val="001474E3"/>
    <w:rsid w:val="001474FD"/>
    <w:rsid w:val="00147572"/>
    <w:rsid w:val="0014765E"/>
    <w:rsid w:val="00147677"/>
    <w:rsid w:val="0014767B"/>
    <w:rsid w:val="00147857"/>
    <w:rsid w:val="0014796C"/>
    <w:rsid w:val="001479B1"/>
    <w:rsid w:val="00147D13"/>
    <w:rsid w:val="00147D5B"/>
    <w:rsid w:val="00147D6F"/>
    <w:rsid w:val="00147F06"/>
    <w:rsid w:val="0015008C"/>
    <w:rsid w:val="001502AF"/>
    <w:rsid w:val="00150446"/>
    <w:rsid w:val="00150511"/>
    <w:rsid w:val="001505D4"/>
    <w:rsid w:val="001507CD"/>
    <w:rsid w:val="00150826"/>
    <w:rsid w:val="00150B53"/>
    <w:rsid w:val="00150C1E"/>
    <w:rsid w:val="00150C91"/>
    <w:rsid w:val="00150D07"/>
    <w:rsid w:val="00150F1A"/>
    <w:rsid w:val="00150F9D"/>
    <w:rsid w:val="001510EB"/>
    <w:rsid w:val="00151113"/>
    <w:rsid w:val="001511C1"/>
    <w:rsid w:val="001511E1"/>
    <w:rsid w:val="001512A1"/>
    <w:rsid w:val="001512F4"/>
    <w:rsid w:val="0015130B"/>
    <w:rsid w:val="001513E8"/>
    <w:rsid w:val="001513FB"/>
    <w:rsid w:val="001513FC"/>
    <w:rsid w:val="00151522"/>
    <w:rsid w:val="00151523"/>
    <w:rsid w:val="001517D5"/>
    <w:rsid w:val="001517DF"/>
    <w:rsid w:val="00151AEA"/>
    <w:rsid w:val="00151AF0"/>
    <w:rsid w:val="00151B53"/>
    <w:rsid w:val="00151B7C"/>
    <w:rsid w:val="00151C35"/>
    <w:rsid w:val="00151D1B"/>
    <w:rsid w:val="00151D76"/>
    <w:rsid w:val="00151E32"/>
    <w:rsid w:val="00151F2E"/>
    <w:rsid w:val="00152221"/>
    <w:rsid w:val="001522AC"/>
    <w:rsid w:val="00152654"/>
    <w:rsid w:val="00152A81"/>
    <w:rsid w:val="00152B89"/>
    <w:rsid w:val="00152FBE"/>
    <w:rsid w:val="0015305A"/>
    <w:rsid w:val="001530CA"/>
    <w:rsid w:val="001533F2"/>
    <w:rsid w:val="00153703"/>
    <w:rsid w:val="0015374F"/>
    <w:rsid w:val="00153A4A"/>
    <w:rsid w:val="00153CC3"/>
    <w:rsid w:val="00153E3B"/>
    <w:rsid w:val="00153EC1"/>
    <w:rsid w:val="00153F47"/>
    <w:rsid w:val="0015403E"/>
    <w:rsid w:val="00154616"/>
    <w:rsid w:val="0015491A"/>
    <w:rsid w:val="00154A91"/>
    <w:rsid w:val="00154BB6"/>
    <w:rsid w:val="00154BCF"/>
    <w:rsid w:val="00154D33"/>
    <w:rsid w:val="00154F0A"/>
    <w:rsid w:val="00154F4C"/>
    <w:rsid w:val="00155001"/>
    <w:rsid w:val="0015502B"/>
    <w:rsid w:val="00155088"/>
    <w:rsid w:val="001550E7"/>
    <w:rsid w:val="001551E1"/>
    <w:rsid w:val="00155225"/>
    <w:rsid w:val="00155271"/>
    <w:rsid w:val="00155288"/>
    <w:rsid w:val="0015533D"/>
    <w:rsid w:val="0015553B"/>
    <w:rsid w:val="00155595"/>
    <w:rsid w:val="0015564E"/>
    <w:rsid w:val="0015589C"/>
    <w:rsid w:val="001558C0"/>
    <w:rsid w:val="00155A5D"/>
    <w:rsid w:val="00155AAD"/>
    <w:rsid w:val="00155B62"/>
    <w:rsid w:val="00155B79"/>
    <w:rsid w:val="00155C10"/>
    <w:rsid w:val="00155D20"/>
    <w:rsid w:val="00155DE1"/>
    <w:rsid w:val="00155F5F"/>
    <w:rsid w:val="00155F6A"/>
    <w:rsid w:val="00156015"/>
    <w:rsid w:val="001560AF"/>
    <w:rsid w:val="00156105"/>
    <w:rsid w:val="0015621C"/>
    <w:rsid w:val="00156251"/>
    <w:rsid w:val="001562E2"/>
    <w:rsid w:val="00156338"/>
    <w:rsid w:val="00156466"/>
    <w:rsid w:val="001564A3"/>
    <w:rsid w:val="00156775"/>
    <w:rsid w:val="0015680E"/>
    <w:rsid w:val="001568E4"/>
    <w:rsid w:val="00156972"/>
    <w:rsid w:val="00156B86"/>
    <w:rsid w:val="00156CEC"/>
    <w:rsid w:val="00156D2A"/>
    <w:rsid w:val="00156F02"/>
    <w:rsid w:val="0015710F"/>
    <w:rsid w:val="00157668"/>
    <w:rsid w:val="001576C7"/>
    <w:rsid w:val="0015775E"/>
    <w:rsid w:val="001577A2"/>
    <w:rsid w:val="001579B1"/>
    <w:rsid w:val="00157B21"/>
    <w:rsid w:val="00157B3E"/>
    <w:rsid w:val="00157C1C"/>
    <w:rsid w:val="00157C45"/>
    <w:rsid w:val="00157C65"/>
    <w:rsid w:val="00157CB9"/>
    <w:rsid w:val="00157EF1"/>
    <w:rsid w:val="00157F82"/>
    <w:rsid w:val="00157FDD"/>
    <w:rsid w:val="001602F2"/>
    <w:rsid w:val="00160480"/>
    <w:rsid w:val="00160557"/>
    <w:rsid w:val="001606F4"/>
    <w:rsid w:val="00160933"/>
    <w:rsid w:val="00160B23"/>
    <w:rsid w:val="00160CBD"/>
    <w:rsid w:val="00160CBE"/>
    <w:rsid w:val="00160DE9"/>
    <w:rsid w:val="00160EAC"/>
    <w:rsid w:val="00161033"/>
    <w:rsid w:val="00161156"/>
    <w:rsid w:val="001611B7"/>
    <w:rsid w:val="0016126B"/>
    <w:rsid w:val="0016135B"/>
    <w:rsid w:val="0016139F"/>
    <w:rsid w:val="001613F0"/>
    <w:rsid w:val="00161431"/>
    <w:rsid w:val="00161506"/>
    <w:rsid w:val="00161535"/>
    <w:rsid w:val="00161603"/>
    <w:rsid w:val="00161637"/>
    <w:rsid w:val="00161A34"/>
    <w:rsid w:val="00161DB8"/>
    <w:rsid w:val="00161EBF"/>
    <w:rsid w:val="00161F26"/>
    <w:rsid w:val="0016224D"/>
    <w:rsid w:val="001622BA"/>
    <w:rsid w:val="00162392"/>
    <w:rsid w:val="0016247A"/>
    <w:rsid w:val="00162913"/>
    <w:rsid w:val="00162BE8"/>
    <w:rsid w:val="00162DE4"/>
    <w:rsid w:val="00162DF4"/>
    <w:rsid w:val="00162E01"/>
    <w:rsid w:val="00162F5D"/>
    <w:rsid w:val="001630BC"/>
    <w:rsid w:val="001630DA"/>
    <w:rsid w:val="001631ED"/>
    <w:rsid w:val="0016323C"/>
    <w:rsid w:val="00163248"/>
    <w:rsid w:val="00163250"/>
    <w:rsid w:val="00163290"/>
    <w:rsid w:val="001634C9"/>
    <w:rsid w:val="0016357D"/>
    <w:rsid w:val="001636F1"/>
    <w:rsid w:val="00163841"/>
    <w:rsid w:val="00163945"/>
    <w:rsid w:val="00163978"/>
    <w:rsid w:val="00163A32"/>
    <w:rsid w:val="00163A5E"/>
    <w:rsid w:val="00163A9C"/>
    <w:rsid w:val="00163AE1"/>
    <w:rsid w:val="00163BE8"/>
    <w:rsid w:val="00163C67"/>
    <w:rsid w:val="00163CF6"/>
    <w:rsid w:val="00163E61"/>
    <w:rsid w:val="00163EAE"/>
    <w:rsid w:val="00163EC3"/>
    <w:rsid w:val="00163F34"/>
    <w:rsid w:val="00164081"/>
    <w:rsid w:val="0016421F"/>
    <w:rsid w:val="001644DD"/>
    <w:rsid w:val="001644FA"/>
    <w:rsid w:val="00164527"/>
    <w:rsid w:val="0016461C"/>
    <w:rsid w:val="0016464B"/>
    <w:rsid w:val="001648C7"/>
    <w:rsid w:val="00164A9F"/>
    <w:rsid w:val="00164BEA"/>
    <w:rsid w:val="00164C2A"/>
    <w:rsid w:val="00164D2D"/>
    <w:rsid w:val="00164F20"/>
    <w:rsid w:val="00165004"/>
    <w:rsid w:val="00165012"/>
    <w:rsid w:val="00165081"/>
    <w:rsid w:val="00165310"/>
    <w:rsid w:val="0016533B"/>
    <w:rsid w:val="001655F2"/>
    <w:rsid w:val="00165666"/>
    <w:rsid w:val="001657DE"/>
    <w:rsid w:val="00165999"/>
    <w:rsid w:val="00165A76"/>
    <w:rsid w:val="00165AC8"/>
    <w:rsid w:val="00165B40"/>
    <w:rsid w:val="00165F1A"/>
    <w:rsid w:val="00166144"/>
    <w:rsid w:val="00166155"/>
    <w:rsid w:val="00166254"/>
    <w:rsid w:val="001664F9"/>
    <w:rsid w:val="0016669B"/>
    <w:rsid w:val="0016669E"/>
    <w:rsid w:val="0016677B"/>
    <w:rsid w:val="00166B67"/>
    <w:rsid w:val="00166CA4"/>
    <w:rsid w:val="00166F28"/>
    <w:rsid w:val="00166F77"/>
    <w:rsid w:val="00166FD6"/>
    <w:rsid w:val="00166FEC"/>
    <w:rsid w:val="00167033"/>
    <w:rsid w:val="00167283"/>
    <w:rsid w:val="00167289"/>
    <w:rsid w:val="001672E5"/>
    <w:rsid w:val="001674F6"/>
    <w:rsid w:val="001675B8"/>
    <w:rsid w:val="001675D1"/>
    <w:rsid w:val="00167702"/>
    <w:rsid w:val="00167736"/>
    <w:rsid w:val="00167750"/>
    <w:rsid w:val="00167769"/>
    <w:rsid w:val="001678A1"/>
    <w:rsid w:val="001679DD"/>
    <w:rsid w:val="00167B12"/>
    <w:rsid w:val="00167B32"/>
    <w:rsid w:val="00170000"/>
    <w:rsid w:val="00170070"/>
    <w:rsid w:val="001701D8"/>
    <w:rsid w:val="001702E2"/>
    <w:rsid w:val="0017031E"/>
    <w:rsid w:val="00170387"/>
    <w:rsid w:val="001703E4"/>
    <w:rsid w:val="001704FA"/>
    <w:rsid w:val="00170508"/>
    <w:rsid w:val="0017051F"/>
    <w:rsid w:val="00170632"/>
    <w:rsid w:val="00170657"/>
    <w:rsid w:val="0017074C"/>
    <w:rsid w:val="0017079A"/>
    <w:rsid w:val="001708E8"/>
    <w:rsid w:val="00170905"/>
    <w:rsid w:val="00170ABC"/>
    <w:rsid w:val="00170B5A"/>
    <w:rsid w:val="00170CDF"/>
    <w:rsid w:val="00170D23"/>
    <w:rsid w:val="00170D6A"/>
    <w:rsid w:val="00170E86"/>
    <w:rsid w:val="00170F6C"/>
    <w:rsid w:val="00170F90"/>
    <w:rsid w:val="00170FBC"/>
    <w:rsid w:val="00170FDD"/>
    <w:rsid w:val="00171031"/>
    <w:rsid w:val="0017116B"/>
    <w:rsid w:val="0017116C"/>
    <w:rsid w:val="001711D8"/>
    <w:rsid w:val="00171404"/>
    <w:rsid w:val="001714F4"/>
    <w:rsid w:val="001715F7"/>
    <w:rsid w:val="00171633"/>
    <w:rsid w:val="00171658"/>
    <w:rsid w:val="0017178E"/>
    <w:rsid w:val="001717EE"/>
    <w:rsid w:val="0017183A"/>
    <w:rsid w:val="00171973"/>
    <w:rsid w:val="00171B04"/>
    <w:rsid w:val="00171BCD"/>
    <w:rsid w:val="00171DE6"/>
    <w:rsid w:val="00171E9D"/>
    <w:rsid w:val="00172072"/>
    <w:rsid w:val="0017222C"/>
    <w:rsid w:val="00172292"/>
    <w:rsid w:val="001724E6"/>
    <w:rsid w:val="00172506"/>
    <w:rsid w:val="001725A5"/>
    <w:rsid w:val="001725AB"/>
    <w:rsid w:val="001725C0"/>
    <w:rsid w:val="0017261F"/>
    <w:rsid w:val="0017283E"/>
    <w:rsid w:val="0017290F"/>
    <w:rsid w:val="001729E7"/>
    <w:rsid w:val="00172B2C"/>
    <w:rsid w:val="00172C18"/>
    <w:rsid w:val="00172F59"/>
    <w:rsid w:val="00173048"/>
    <w:rsid w:val="001730B4"/>
    <w:rsid w:val="00173255"/>
    <w:rsid w:val="00173371"/>
    <w:rsid w:val="001734F8"/>
    <w:rsid w:val="00173589"/>
    <w:rsid w:val="00173644"/>
    <w:rsid w:val="0017384C"/>
    <w:rsid w:val="001738D9"/>
    <w:rsid w:val="00173950"/>
    <w:rsid w:val="0017395F"/>
    <w:rsid w:val="001739C1"/>
    <w:rsid w:val="00173A22"/>
    <w:rsid w:val="00173A59"/>
    <w:rsid w:val="00173F7F"/>
    <w:rsid w:val="0017401A"/>
    <w:rsid w:val="0017401C"/>
    <w:rsid w:val="00174092"/>
    <w:rsid w:val="001742C8"/>
    <w:rsid w:val="0017439E"/>
    <w:rsid w:val="00174430"/>
    <w:rsid w:val="0017457A"/>
    <w:rsid w:val="001745A3"/>
    <w:rsid w:val="00174697"/>
    <w:rsid w:val="001747EE"/>
    <w:rsid w:val="001748B4"/>
    <w:rsid w:val="00174959"/>
    <w:rsid w:val="00174E99"/>
    <w:rsid w:val="0017507F"/>
    <w:rsid w:val="00175348"/>
    <w:rsid w:val="00175374"/>
    <w:rsid w:val="001756CD"/>
    <w:rsid w:val="00175CE9"/>
    <w:rsid w:val="00175CF2"/>
    <w:rsid w:val="00175E49"/>
    <w:rsid w:val="00175FE5"/>
    <w:rsid w:val="0017609F"/>
    <w:rsid w:val="00176190"/>
    <w:rsid w:val="00176313"/>
    <w:rsid w:val="001763BB"/>
    <w:rsid w:val="00176446"/>
    <w:rsid w:val="001764C2"/>
    <w:rsid w:val="00176666"/>
    <w:rsid w:val="001768AB"/>
    <w:rsid w:val="00176A26"/>
    <w:rsid w:val="00176A30"/>
    <w:rsid w:val="00176ADE"/>
    <w:rsid w:val="00176B23"/>
    <w:rsid w:val="00176B36"/>
    <w:rsid w:val="00176B83"/>
    <w:rsid w:val="00176C84"/>
    <w:rsid w:val="00176D2E"/>
    <w:rsid w:val="00176D4A"/>
    <w:rsid w:val="00176DB7"/>
    <w:rsid w:val="00176DE8"/>
    <w:rsid w:val="00176E45"/>
    <w:rsid w:val="00176F1E"/>
    <w:rsid w:val="00176F26"/>
    <w:rsid w:val="001771E5"/>
    <w:rsid w:val="001771F6"/>
    <w:rsid w:val="0017742F"/>
    <w:rsid w:val="0017755A"/>
    <w:rsid w:val="001776D1"/>
    <w:rsid w:val="0017777D"/>
    <w:rsid w:val="0017780F"/>
    <w:rsid w:val="00177962"/>
    <w:rsid w:val="001779BB"/>
    <w:rsid w:val="001779DF"/>
    <w:rsid w:val="00177B1C"/>
    <w:rsid w:val="00177B83"/>
    <w:rsid w:val="00177C51"/>
    <w:rsid w:val="00177D22"/>
    <w:rsid w:val="00177D68"/>
    <w:rsid w:val="00177E30"/>
    <w:rsid w:val="001801AC"/>
    <w:rsid w:val="00180335"/>
    <w:rsid w:val="001804D6"/>
    <w:rsid w:val="00180584"/>
    <w:rsid w:val="00180637"/>
    <w:rsid w:val="00180691"/>
    <w:rsid w:val="001806B6"/>
    <w:rsid w:val="001806EA"/>
    <w:rsid w:val="0018082B"/>
    <w:rsid w:val="00180836"/>
    <w:rsid w:val="00180926"/>
    <w:rsid w:val="00180A2A"/>
    <w:rsid w:val="00180A3F"/>
    <w:rsid w:val="00180AB0"/>
    <w:rsid w:val="00180E2A"/>
    <w:rsid w:val="00180F6C"/>
    <w:rsid w:val="001811E5"/>
    <w:rsid w:val="00181302"/>
    <w:rsid w:val="001815D2"/>
    <w:rsid w:val="001818FB"/>
    <w:rsid w:val="001819B7"/>
    <w:rsid w:val="00181BCE"/>
    <w:rsid w:val="00181C7B"/>
    <w:rsid w:val="00181DAA"/>
    <w:rsid w:val="00181E5E"/>
    <w:rsid w:val="00181F19"/>
    <w:rsid w:val="00182057"/>
    <w:rsid w:val="001820EE"/>
    <w:rsid w:val="00182194"/>
    <w:rsid w:val="001822E0"/>
    <w:rsid w:val="00182338"/>
    <w:rsid w:val="00182453"/>
    <w:rsid w:val="00182619"/>
    <w:rsid w:val="0018261C"/>
    <w:rsid w:val="001826DA"/>
    <w:rsid w:val="0018272E"/>
    <w:rsid w:val="00182C7A"/>
    <w:rsid w:val="00182D21"/>
    <w:rsid w:val="00182D2B"/>
    <w:rsid w:val="00182DDD"/>
    <w:rsid w:val="00182EB8"/>
    <w:rsid w:val="00182F28"/>
    <w:rsid w:val="0018317A"/>
    <w:rsid w:val="0018317D"/>
    <w:rsid w:val="001831EC"/>
    <w:rsid w:val="00183375"/>
    <w:rsid w:val="001836E4"/>
    <w:rsid w:val="0018373B"/>
    <w:rsid w:val="00183824"/>
    <w:rsid w:val="001838BE"/>
    <w:rsid w:val="00183929"/>
    <w:rsid w:val="00183A26"/>
    <w:rsid w:val="00183CDD"/>
    <w:rsid w:val="00183D10"/>
    <w:rsid w:val="00183EE0"/>
    <w:rsid w:val="00183F4C"/>
    <w:rsid w:val="0018407A"/>
    <w:rsid w:val="001840C9"/>
    <w:rsid w:val="00184110"/>
    <w:rsid w:val="001842B1"/>
    <w:rsid w:val="0018435E"/>
    <w:rsid w:val="0018443B"/>
    <w:rsid w:val="0018444C"/>
    <w:rsid w:val="00184458"/>
    <w:rsid w:val="00184576"/>
    <w:rsid w:val="001846EC"/>
    <w:rsid w:val="00184734"/>
    <w:rsid w:val="00184741"/>
    <w:rsid w:val="001847A5"/>
    <w:rsid w:val="001848AA"/>
    <w:rsid w:val="00184C00"/>
    <w:rsid w:val="00184CF0"/>
    <w:rsid w:val="00184DB4"/>
    <w:rsid w:val="00184F01"/>
    <w:rsid w:val="00184F1B"/>
    <w:rsid w:val="001851C2"/>
    <w:rsid w:val="001851F6"/>
    <w:rsid w:val="00185213"/>
    <w:rsid w:val="001854AB"/>
    <w:rsid w:val="00185660"/>
    <w:rsid w:val="00185814"/>
    <w:rsid w:val="001858DF"/>
    <w:rsid w:val="00185913"/>
    <w:rsid w:val="00185931"/>
    <w:rsid w:val="00185999"/>
    <w:rsid w:val="0018599D"/>
    <w:rsid w:val="001859B1"/>
    <w:rsid w:val="001859DF"/>
    <w:rsid w:val="00185B1A"/>
    <w:rsid w:val="00185C82"/>
    <w:rsid w:val="00185D44"/>
    <w:rsid w:val="00185DBE"/>
    <w:rsid w:val="00185E87"/>
    <w:rsid w:val="00185E9A"/>
    <w:rsid w:val="00185ED6"/>
    <w:rsid w:val="00186237"/>
    <w:rsid w:val="00186314"/>
    <w:rsid w:val="001864FA"/>
    <w:rsid w:val="00186556"/>
    <w:rsid w:val="00186613"/>
    <w:rsid w:val="00186637"/>
    <w:rsid w:val="001866AC"/>
    <w:rsid w:val="001867A3"/>
    <w:rsid w:val="00186982"/>
    <w:rsid w:val="00186A5A"/>
    <w:rsid w:val="00186AB3"/>
    <w:rsid w:val="00186D31"/>
    <w:rsid w:val="00186E94"/>
    <w:rsid w:val="00186F36"/>
    <w:rsid w:val="00186FA4"/>
    <w:rsid w:val="00187013"/>
    <w:rsid w:val="001870A8"/>
    <w:rsid w:val="001870E5"/>
    <w:rsid w:val="001870E6"/>
    <w:rsid w:val="00187182"/>
    <w:rsid w:val="00187377"/>
    <w:rsid w:val="0018742A"/>
    <w:rsid w:val="00187545"/>
    <w:rsid w:val="0018754D"/>
    <w:rsid w:val="001875B4"/>
    <w:rsid w:val="00187C53"/>
    <w:rsid w:val="00187D47"/>
    <w:rsid w:val="00187DAA"/>
    <w:rsid w:val="00187E1D"/>
    <w:rsid w:val="00187E3C"/>
    <w:rsid w:val="00187EBE"/>
    <w:rsid w:val="00187FB0"/>
    <w:rsid w:val="0019011B"/>
    <w:rsid w:val="00190293"/>
    <w:rsid w:val="001904E4"/>
    <w:rsid w:val="001907F0"/>
    <w:rsid w:val="00190856"/>
    <w:rsid w:val="001908D1"/>
    <w:rsid w:val="00190A96"/>
    <w:rsid w:val="00190BE9"/>
    <w:rsid w:val="00190BEF"/>
    <w:rsid w:val="00190D9E"/>
    <w:rsid w:val="00190F33"/>
    <w:rsid w:val="001911CA"/>
    <w:rsid w:val="001913EE"/>
    <w:rsid w:val="001915D1"/>
    <w:rsid w:val="001915E1"/>
    <w:rsid w:val="00191712"/>
    <w:rsid w:val="001917AD"/>
    <w:rsid w:val="001917E2"/>
    <w:rsid w:val="00191844"/>
    <w:rsid w:val="001918B3"/>
    <w:rsid w:val="00191946"/>
    <w:rsid w:val="00191A27"/>
    <w:rsid w:val="00191D57"/>
    <w:rsid w:val="00191EED"/>
    <w:rsid w:val="00192087"/>
    <w:rsid w:val="0019214D"/>
    <w:rsid w:val="0019219E"/>
    <w:rsid w:val="001921D6"/>
    <w:rsid w:val="0019223F"/>
    <w:rsid w:val="00192260"/>
    <w:rsid w:val="0019256F"/>
    <w:rsid w:val="0019259F"/>
    <w:rsid w:val="001925B9"/>
    <w:rsid w:val="00192612"/>
    <w:rsid w:val="001926E3"/>
    <w:rsid w:val="0019287F"/>
    <w:rsid w:val="001928A9"/>
    <w:rsid w:val="001928AD"/>
    <w:rsid w:val="0019291E"/>
    <w:rsid w:val="00192A1E"/>
    <w:rsid w:val="00192B64"/>
    <w:rsid w:val="00192B89"/>
    <w:rsid w:val="00192E29"/>
    <w:rsid w:val="00192FF6"/>
    <w:rsid w:val="0019349A"/>
    <w:rsid w:val="0019352E"/>
    <w:rsid w:val="001935C3"/>
    <w:rsid w:val="0019362B"/>
    <w:rsid w:val="00193729"/>
    <w:rsid w:val="00193789"/>
    <w:rsid w:val="00193876"/>
    <w:rsid w:val="00193AEC"/>
    <w:rsid w:val="00193AFE"/>
    <w:rsid w:val="00193BD5"/>
    <w:rsid w:val="00193EE2"/>
    <w:rsid w:val="00194097"/>
    <w:rsid w:val="001940F3"/>
    <w:rsid w:val="001940F5"/>
    <w:rsid w:val="0019423E"/>
    <w:rsid w:val="00194259"/>
    <w:rsid w:val="001945F3"/>
    <w:rsid w:val="00194812"/>
    <w:rsid w:val="0019481E"/>
    <w:rsid w:val="0019492B"/>
    <w:rsid w:val="001949E1"/>
    <w:rsid w:val="00194A23"/>
    <w:rsid w:val="00194A89"/>
    <w:rsid w:val="00194B49"/>
    <w:rsid w:val="00194E21"/>
    <w:rsid w:val="00194E28"/>
    <w:rsid w:val="00194E2B"/>
    <w:rsid w:val="00195034"/>
    <w:rsid w:val="0019505B"/>
    <w:rsid w:val="00195081"/>
    <w:rsid w:val="00195434"/>
    <w:rsid w:val="0019547B"/>
    <w:rsid w:val="00195954"/>
    <w:rsid w:val="00195A49"/>
    <w:rsid w:val="00195A4E"/>
    <w:rsid w:val="00195C2B"/>
    <w:rsid w:val="00195C78"/>
    <w:rsid w:val="00195D17"/>
    <w:rsid w:val="00196045"/>
    <w:rsid w:val="001960E0"/>
    <w:rsid w:val="001961B7"/>
    <w:rsid w:val="001961E3"/>
    <w:rsid w:val="00196274"/>
    <w:rsid w:val="00196343"/>
    <w:rsid w:val="001963A7"/>
    <w:rsid w:val="001963F4"/>
    <w:rsid w:val="001963FE"/>
    <w:rsid w:val="0019641B"/>
    <w:rsid w:val="0019643E"/>
    <w:rsid w:val="0019674D"/>
    <w:rsid w:val="0019695A"/>
    <w:rsid w:val="001969D9"/>
    <w:rsid w:val="00196A1C"/>
    <w:rsid w:val="00196A57"/>
    <w:rsid w:val="00196D57"/>
    <w:rsid w:val="00196D78"/>
    <w:rsid w:val="00196F61"/>
    <w:rsid w:val="00196F66"/>
    <w:rsid w:val="001970ED"/>
    <w:rsid w:val="00197117"/>
    <w:rsid w:val="00197196"/>
    <w:rsid w:val="001971F1"/>
    <w:rsid w:val="00197291"/>
    <w:rsid w:val="0019740D"/>
    <w:rsid w:val="00197471"/>
    <w:rsid w:val="00197541"/>
    <w:rsid w:val="00197581"/>
    <w:rsid w:val="00197613"/>
    <w:rsid w:val="001976C9"/>
    <w:rsid w:val="00197815"/>
    <w:rsid w:val="00197ADA"/>
    <w:rsid w:val="00197BD4"/>
    <w:rsid w:val="00197C6A"/>
    <w:rsid w:val="001A0041"/>
    <w:rsid w:val="001A00B9"/>
    <w:rsid w:val="001A0174"/>
    <w:rsid w:val="001A023B"/>
    <w:rsid w:val="001A025E"/>
    <w:rsid w:val="001A02A1"/>
    <w:rsid w:val="001A052A"/>
    <w:rsid w:val="001A06A0"/>
    <w:rsid w:val="001A0784"/>
    <w:rsid w:val="001A0A65"/>
    <w:rsid w:val="001A0CC2"/>
    <w:rsid w:val="001A0CCB"/>
    <w:rsid w:val="001A0D4B"/>
    <w:rsid w:val="001A0E5D"/>
    <w:rsid w:val="001A0F82"/>
    <w:rsid w:val="001A1260"/>
    <w:rsid w:val="001A12F9"/>
    <w:rsid w:val="001A1765"/>
    <w:rsid w:val="001A17EF"/>
    <w:rsid w:val="001A195B"/>
    <w:rsid w:val="001A1A27"/>
    <w:rsid w:val="001A1A76"/>
    <w:rsid w:val="001A1B7C"/>
    <w:rsid w:val="001A1D01"/>
    <w:rsid w:val="001A1D9B"/>
    <w:rsid w:val="001A1FA5"/>
    <w:rsid w:val="001A213D"/>
    <w:rsid w:val="001A215B"/>
    <w:rsid w:val="001A2226"/>
    <w:rsid w:val="001A2377"/>
    <w:rsid w:val="001A24C9"/>
    <w:rsid w:val="001A2883"/>
    <w:rsid w:val="001A28AB"/>
    <w:rsid w:val="001A2A0F"/>
    <w:rsid w:val="001A2BB2"/>
    <w:rsid w:val="001A2D81"/>
    <w:rsid w:val="001A30C8"/>
    <w:rsid w:val="001A3188"/>
    <w:rsid w:val="001A31C4"/>
    <w:rsid w:val="001A320C"/>
    <w:rsid w:val="001A327D"/>
    <w:rsid w:val="001A336C"/>
    <w:rsid w:val="001A343B"/>
    <w:rsid w:val="001A35A6"/>
    <w:rsid w:val="001A37EC"/>
    <w:rsid w:val="001A38A8"/>
    <w:rsid w:val="001A38AF"/>
    <w:rsid w:val="001A390F"/>
    <w:rsid w:val="001A3922"/>
    <w:rsid w:val="001A3A19"/>
    <w:rsid w:val="001A3BC1"/>
    <w:rsid w:val="001A3C24"/>
    <w:rsid w:val="001A3DD0"/>
    <w:rsid w:val="001A3F02"/>
    <w:rsid w:val="001A4218"/>
    <w:rsid w:val="001A42EA"/>
    <w:rsid w:val="001A4C09"/>
    <w:rsid w:val="001A4C1C"/>
    <w:rsid w:val="001A4D1C"/>
    <w:rsid w:val="001A4E4D"/>
    <w:rsid w:val="001A4F35"/>
    <w:rsid w:val="001A4F8E"/>
    <w:rsid w:val="001A5010"/>
    <w:rsid w:val="001A5013"/>
    <w:rsid w:val="001A525B"/>
    <w:rsid w:val="001A52A6"/>
    <w:rsid w:val="001A52E1"/>
    <w:rsid w:val="001A5405"/>
    <w:rsid w:val="001A5448"/>
    <w:rsid w:val="001A5584"/>
    <w:rsid w:val="001A55A5"/>
    <w:rsid w:val="001A585C"/>
    <w:rsid w:val="001A5900"/>
    <w:rsid w:val="001A5CFD"/>
    <w:rsid w:val="001A5E30"/>
    <w:rsid w:val="001A5ED4"/>
    <w:rsid w:val="001A5F67"/>
    <w:rsid w:val="001A5FCE"/>
    <w:rsid w:val="001A6043"/>
    <w:rsid w:val="001A605B"/>
    <w:rsid w:val="001A614E"/>
    <w:rsid w:val="001A616D"/>
    <w:rsid w:val="001A62F2"/>
    <w:rsid w:val="001A633B"/>
    <w:rsid w:val="001A6618"/>
    <w:rsid w:val="001A678A"/>
    <w:rsid w:val="001A6795"/>
    <w:rsid w:val="001A6A6B"/>
    <w:rsid w:val="001A6B33"/>
    <w:rsid w:val="001A6B44"/>
    <w:rsid w:val="001A6D74"/>
    <w:rsid w:val="001A717B"/>
    <w:rsid w:val="001A71D7"/>
    <w:rsid w:val="001A731B"/>
    <w:rsid w:val="001A75C5"/>
    <w:rsid w:val="001A75DF"/>
    <w:rsid w:val="001A777B"/>
    <w:rsid w:val="001A7797"/>
    <w:rsid w:val="001A77FD"/>
    <w:rsid w:val="001A7997"/>
    <w:rsid w:val="001A79A0"/>
    <w:rsid w:val="001A79B0"/>
    <w:rsid w:val="001A79CC"/>
    <w:rsid w:val="001A79E6"/>
    <w:rsid w:val="001A7A67"/>
    <w:rsid w:val="001A7AD1"/>
    <w:rsid w:val="001A7B43"/>
    <w:rsid w:val="001A7BD4"/>
    <w:rsid w:val="001A7C56"/>
    <w:rsid w:val="001A7CBE"/>
    <w:rsid w:val="001A7DC8"/>
    <w:rsid w:val="001A7E6C"/>
    <w:rsid w:val="001A7E9C"/>
    <w:rsid w:val="001A7FA5"/>
    <w:rsid w:val="001B04FD"/>
    <w:rsid w:val="001B05B1"/>
    <w:rsid w:val="001B06F8"/>
    <w:rsid w:val="001B0700"/>
    <w:rsid w:val="001B0899"/>
    <w:rsid w:val="001B08A0"/>
    <w:rsid w:val="001B08F2"/>
    <w:rsid w:val="001B09A6"/>
    <w:rsid w:val="001B0BF4"/>
    <w:rsid w:val="001B0D43"/>
    <w:rsid w:val="001B0E07"/>
    <w:rsid w:val="001B0E34"/>
    <w:rsid w:val="001B0E6B"/>
    <w:rsid w:val="001B0F22"/>
    <w:rsid w:val="001B10E9"/>
    <w:rsid w:val="001B10ED"/>
    <w:rsid w:val="001B110D"/>
    <w:rsid w:val="001B1232"/>
    <w:rsid w:val="001B155C"/>
    <w:rsid w:val="001B19BA"/>
    <w:rsid w:val="001B1A72"/>
    <w:rsid w:val="001B1AAA"/>
    <w:rsid w:val="001B1BBE"/>
    <w:rsid w:val="001B1BE4"/>
    <w:rsid w:val="001B1D54"/>
    <w:rsid w:val="001B1DB7"/>
    <w:rsid w:val="001B1EA4"/>
    <w:rsid w:val="001B1EAF"/>
    <w:rsid w:val="001B206B"/>
    <w:rsid w:val="001B210B"/>
    <w:rsid w:val="001B2141"/>
    <w:rsid w:val="001B2223"/>
    <w:rsid w:val="001B27F8"/>
    <w:rsid w:val="001B28D4"/>
    <w:rsid w:val="001B2914"/>
    <w:rsid w:val="001B2991"/>
    <w:rsid w:val="001B2AB6"/>
    <w:rsid w:val="001B2AF0"/>
    <w:rsid w:val="001B2CE6"/>
    <w:rsid w:val="001B2E34"/>
    <w:rsid w:val="001B2FDD"/>
    <w:rsid w:val="001B30DB"/>
    <w:rsid w:val="001B31C0"/>
    <w:rsid w:val="001B351A"/>
    <w:rsid w:val="001B35BA"/>
    <w:rsid w:val="001B3603"/>
    <w:rsid w:val="001B36DB"/>
    <w:rsid w:val="001B373E"/>
    <w:rsid w:val="001B3826"/>
    <w:rsid w:val="001B3976"/>
    <w:rsid w:val="001B39F3"/>
    <w:rsid w:val="001B3AA3"/>
    <w:rsid w:val="001B3ADA"/>
    <w:rsid w:val="001B3AEC"/>
    <w:rsid w:val="001B3B36"/>
    <w:rsid w:val="001B3D40"/>
    <w:rsid w:val="001B425E"/>
    <w:rsid w:val="001B42D1"/>
    <w:rsid w:val="001B4395"/>
    <w:rsid w:val="001B4430"/>
    <w:rsid w:val="001B449D"/>
    <w:rsid w:val="001B4542"/>
    <w:rsid w:val="001B472D"/>
    <w:rsid w:val="001B478D"/>
    <w:rsid w:val="001B4802"/>
    <w:rsid w:val="001B4908"/>
    <w:rsid w:val="001B4992"/>
    <w:rsid w:val="001B4AA8"/>
    <w:rsid w:val="001B4DF3"/>
    <w:rsid w:val="001B4F74"/>
    <w:rsid w:val="001B4F7D"/>
    <w:rsid w:val="001B51B9"/>
    <w:rsid w:val="001B5267"/>
    <w:rsid w:val="001B5447"/>
    <w:rsid w:val="001B547C"/>
    <w:rsid w:val="001B566C"/>
    <w:rsid w:val="001B577A"/>
    <w:rsid w:val="001B5921"/>
    <w:rsid w:val="001B59D2"/>
    <w:rsid w:val="001B5A96"/>
    <w:rsid w:val="001B5B3A"/>
    <w:rsid w:val="001B5D00"/>
    <w:rsid w:val="001B5E01"/>
    <w:rsid w:val="001B5E72"/>
    <w:rsid w:val="001B5E79"/>
    <w:rsid w:val="001B60B3"/>
    <w:rsid w:val="001B60BB"/>
    <w:rsid w:val="001B614A"/>
    <w:rsid w:val="001B642C"/>
    <w:rsid w:val="001B64EE"/>
    <w:rsid w:val="001B650D"/>
    <w:rsid w:val="001B6528"/>
    <w:rsid w:val="001B658B"/>
    <w:rsid w:val="001B68D1"/>
    <w:rsid w:val="001B6962"/>
    <w:rsid w:val="001B6CCA"/>
    <w:rsid w:val="001B6D5B"/>
    <w:rsid w:val="001B6E1A"/>
    <w:rsid w:val="001B7004"/>
    <w:rsid w:val="001B70D4"/>
    <w:rsid w:val="001B7135"/>
    <w:rsid w:val="001B71B2"/>
    <w:rsid w:val="001B71C3"/>
    <w:rsid w:val="001B720A"/>
    <w:rsid w:val="001B7283"/>
    <w:rsid w:val="001B72D9"/>
    <w:rsid w:val="001B76D0"/>
    <w:rsid w:val="001B76DC"/>
    <w:rsid w:val="001B79A1"/>
    <w:rsid w:val="001B7A5E"/>
    <w:rsid w:val="001B7B06"/>
    <w:rsid w:val="001B7B72"/>
    <w:rsid w:val="001B7E2D"/>
    <w:rsid w:val="001B7E4D"/>
    <w:rsid w:val="001B7F20"/>
    <w:rsid w:val="001B7F7D"/>
    <w:rsid w:val="001C0040"/>
    <w:rsid w:val="001C01F3"/>
    <w:rsid w:val="001C0413"/>
    <w:rsid w:val="001C04AD"/>
    <w:rsid w:val="001C0502"/>
    <w:rsid w:val="001C0765"/>
    <w:rsid w:val="001C077F"/>
    <w:rsid w:val="001C0800"/>
    <w:rsid w:val="001C08A9"/>
    <w:rsid w:val="001C08E8"/>
    <w:rsid w:val="001C09BD"/>
    <w:rsid w:val="001C0A3B"/>
    <w:rsid w:val="001C0A50"/>
    <w:rsid w:val="001C0AE9"/>
    <w:rsid w:val="001C0C5B"/>
    <w:rsid w:val="001C0CBC"/>
    <w:rsid w:val="001C0E79"/>
    <w:rsid w:val="001C10F7"/>
    <w:rsid w:val="001C1165"/>
    <w:rsid w:val="001C1285"/>
    <w:rsid w:val="001C13B1"/>
    <w:rsid w:val="001C1459"/>
    <w:rsid w:val="001C14B4"/>
    <w:rsid w:val="001C159E"/>
    <w:rsid w:val="001C16EC"/>
    <w:rsid w:val="001C1739"/>
    <w:rsid w:val="001C17B2"/>
    <w:rsid w:val="001C17E2"/>
    <w:rsid w:val="001C17E3"/>
    <w:rsid w:val="001C1810"/>
    <w:rsid w:val="001C184A"/>
    <w:rsid w:val="001C18B9"/>
    <w:rsid w:val="001C1964"/>
    <w:rsid w:val="001C1BDF"/>
    <w:rsid w:val="001C1C09"/>
    <w:rsid w:val="001C1C32"/>
    <w:rsid w:val="001C1D97"/>
    <w:rsid w:val="001C1E5B"/>
    <w:rsid w:val="001C1EE2"/>
    <w:rsid w:val="001C20B8"/>
    <w:rsid w:val="001C20E4"/>
    <w:rsid w:val="001C23F9"/>
    <w:rsid w:val="001C26BC"/>
    <w:rsid w:val="001C29E2"/>
    <w:rsid w:val="001C2A7D"/>
    <w:rsid w:val="001C2C37"/>
    <w:rsid w:val="001C2CA4"/>
    <w:rsid w:val="001C2D8A"/>
    <w:rsid w:val="001C2E38"/>
    <w:rsid w:val="001C2E99"/>
    <w:rsid w:val="001C3001"/>
    <w:rsid w:val="001C3004"/>
    <w:rsid w:val="001C308A"/>
    <w:rsid w:val="001C30DE"/>
    <w:rsid w:val="001C310E"/>
    <w:rsid w:val="001C3181"/>
    <w:rsid w:val="001C3299"/>
    <w:rsid w:val="001C32C7"/>
    <w:rsid w:val="001C3477"/>
    <w:rsid w:val="001C3626"/>
    <w:rsid w:val="001C3799"/>
    <w:rsid w:val="001C39E3"/>
    <w:rsid w:val="001C39F1"/>
    <w:rsid w:val="001C3AC6"/>
    <w:rsid w:val="001C3B63"/>
    <w:rsid w:val="001C3BBC"/>
    <w:rsid w:val="001C3C53"/>
    <w:rsid w:val="001C3CA7"/>
    <w:rsid w:val="001C3CDB"/>
    <w:rsid w:val="001C3E53"/>
    <w:rsid w:val="001C3ECB"/>
    <w:rsid w:val="001C3EEE"/>
    <w:rsid w:val="001C412A"/>
    <w:rsid w:val="001C4267"/>
    <w:rsid w:val="001C4608"/>
    <w:rsid w:val="001C4644"/>
    <w:rsid w:val="001C47B6"/>
    <w:rsid w:val="001C4854"/>
    <w:rsid w:val="001C4884"/>
    <w:rsid w:val="001C48A1"/>
    <w:rsid w:val="001C497D"/>
    <w:rsid w:val="001C4ADE"/>
    <w:rsid w:val="001C4B41"/>
    <w:rsid w:val="001C4D9D"/>
    <w:rsid w:val="001C4F5F"/>
    <w:rsid w:val="001C519A"/>
    <w:rsid w:val="001C52A2"/>
    <w:rsid w:val="001C52D7"/>
    <w:rsid w:val="001C5399"/>
    <w:rsid w:val="001C542B"/>
    <w:rsid w:val="001C5888"/>
    <w:rsid w:val="001C59E1"/>
    <w:rsid w:val="001C5C50"/>
    <w:rsid w:val="001C5D22"/>
    <w:rsid w:val="001C5D5D"/>
    <w:rsid w:val="001C5D69"/>
    <w:rsid w:val="001C5F14"/>
    <w:rsid w:val="001C5F1F"/>
    <w:rsid w:val="001C5F73"/>
    <w:rsid w:val="001C6026"/>
    <w:rsid w:val="001C602D"/>
    <w:rsid w:val="001C62AF"/>
    <w:rsid w:val="001C62BC"/>
    <w:rsid w:val="001C660F"/>
    <w:rsid w:val="001C685B"/>
    <w:rsid w:val="001C6A4C"/>
    <w:rsid w:val="001C6A8F"/>
    <w:rsid w:val="001C6D8A"/>
    <w:rsid w:val="001C6EAD"/>
    <w:rsid w:val="001C6F48"/>
    <w:rsid w:val="001C70D1"/>
    <w:rsid w:val="001C7306"/>
    <w:rsid w:val="001C73CE"/>
    <w:rsid w:val="001C747D"/>
    <w:rsid w:val="001C7539"/>
    <w:rsid w:val="001C7821"/>
    <w:rsid w:val="001C79B2"/>
    <w:rsid w:val="001C7A7B"/>
    <w:rsid w:val="001C7AD0"/>
    <w:rsid w:val="001C7B0C"/>
    <w:rsid w:val="001C7CCF"/>
    <w:rsid w:val="001C7EDB"/>
    <w:rsid w:val="001C7F47"/>
    <w:rsid w:val="001C7FDF"/>
    <w:rsid w:val="001D0027"/>
    <w:rsid w:val="001D0075"/>
    <w:rsid w:val="001D00E8"/>
    <w:rsid w:val="001D01C5"/>
    <w:rsid w:val="001D0361"/>
    <w:rsid w:val="001D043E"/>
    <w:rsid w:val="001D087E"/>
    <w:rsid w:val="001D09E4"/>
    <w:rsid w:val="001D0AD2"/>
    <w:rsid w:val="001D0B11"/>
    <w:rsid w:val="001D0C54"/>
    <w:rsid w:val="001D0CD2"/>
    <w:rsid w:val="001D0D31"/>
    <w:rsid w:val="001D112D"/>
    <w:rsid w:val="001D1236"/>
    <w:rsid w:val="001D1265"/>
    <w:rsid w:val="001D12D8"/>
    <w:rsid w:val="001D151D"/>
    <w:rsid w:val="001D159C"/>
    <w:rsid w:val="001D15E7"/>
    <w:rsid w:val="001D163E"/>
    <w:rsid w:val="001D165A"/>
    <w:rsid w:val="001D1884"/>
    <w:rsid w:val="001D1ACA"/>
    <w:rsid w:val="001D1B61"/>
    <w:rsid w:val="001D1BE4"/>
    <w:rsid w:val="001D1EAD"/>
    <w:rsid w:val="001D211F"/>
    <w:rsid w:val="001D21A1"/>
    <w:rsid w:val="001D21E0"/>
    <w:rsid w:val="001D2296"/>
    <w:rsid w:val="001D24A8"/>
    <w:rsid w:val="001D28D4"/>
    <w:rsid w:val="001D2A03"/>
    <w:rsid w:val="001D2C76"/>
    <w:rsid w:val="001D2CC3"/>
    <w:rsid w:val="001D2EBB"/>
    <w:rsid w:val="001D31B1"/>
    <w:rsid w:val="001D324D"/>
    <w:rsid w:val="001D34FA"/>
    <w:rsid w:val="001D3803"/>
    <w:rsid w:val="001D3851"/>
    <w:rsid w:val="001D38FA"/>
    <w:rsid w:val="001D399F"/>
    <w:rsid w:val="001D3A4C"/>
    <w:rsid w:val="001D3A50"/>
    <w:rsid w:val="001D3AE2"/>
    <w:rsid w:val="001D3B84"/>
    <w:rsid w:val="001D3BB6"/>
    <w:rsid w:val="001D3BCF"/>
    <w:rsid w:val="001D3BFF"/>
    <w:rsid w:val="001D4004"/>
    <w:rsid w:val="001D40A6"/>
    <w:rsid w:val="001D426A"/>
    <w:rsid w:val="001D436E"/>
    <w:rsid w:val="001D43B2"/>
    <w:rsid w:val="001D453F"/>
    <w:rsid w:val="001D45E2"/>
    <w:rsid w:val="001D4601"/>
    <w:rsid w:val="001D4644"/>
    <w:rsid w:val="001D47DF"/>
    <w:rsid w:val="001D489C"/>
    <w:rsid w:val="001D49D6"/>
    <w:rsid w:val="001D4A4A"/>
    <w:rsid w:val="001D4AD9"/>
    <w:rsid w:val="001D4BB2"/>
    <w:rsid w:val="001D4D6F"/>
    <w:rsid w:val="001D4EA4"/>
    <w:rsid w:val="001D4F13"/>
    <w:rsid w:val="001D4F71"/>
    <w:rsid w:val="001D5063"/>
    <w:rsid w:val="001D51FA"/>
    <w:rsid w:val="001D5221"/>
    <w:rsid w:val="001D5461"/>
    <w:rsid w:val="001D550B"/>
    <w:rsid w:val="001D5519"/>
    <w:rsid w:val="001D556A"/>
    <w:rsid w:val="001D5592"/>
    <w:rsid w:val="001D5AAB"/>
    <w:rsid w:val="001D5AFC"/>
    <w:rsid w:val="001D5B03"/>
    <w:rsid w:val="001D5B92"/>
    <w:rsid w:val="001D5C12"/>
    <w:rsid w:val="001D5C5D"/>
    <w:rsid w:val="001D5D90"/>
    <w:rsid w:val="001D5DE9"/>
    <w:rsid w:val="001D5E39"/>
    <w:rsid w:val="001D6061"/>
    <w:rsid w:val="001D655F"/>
    <w:rsid w:val="001D660A"/>
    <w:rsid w:val="001D6620"/>
    <w:rsid w:val="001D66B8"/>
    <w:rsid w:val="001D67AA"/>
    <w:rsid w:val="001D67D2"/>
    <w:rsid w:val="001D6807"/>
    <w:rsid w:val="001D6881"/>
    <w:rsid w:val="001D6947"/>
    <w:rsid w:val="001D6982"/>
    <w:rsid w:val="001D6ABB"/>
    <w:rsid w:val="001D6B5B"/>
    <w:rsid w:val="001D6CD3"/>
    <w:rsid w:val="001D6DF8"/>
    <w:rsid w:val="001D6EB2"/>
    <w:rsid w:val="001D6F15"/>
    <w:rsid w:val="001D7041"/>
    <w:rsid w:val="001D709F"/>
    <w:rsid w:val="001D71B8"/>
    <w:rsid w:val="001D72A3"/>
    <w:rsid w:val="001D72DF"/>
    <w:rsid w:val="001D73C4"/>
    <w:rsid w:val="001D746A"/>
    <w:rsid w:val="001D74FE"/>
    <w:rsid w:val="001D767F"/>
    <w:rsid w:val="001D774F"/>
    <w:rsid w:val="001D7A46"/>
    <w:rsid w:val="001D7AE2"/>
    <w:rsid w:val="001D7B42"/>
    <w:rsid w:val="001D7C87"/>
    <w:rsid w:val="001D7CE4"/>
    <w:rsid w:val="001D7D20"/>
    <w:rsid w:val="001D7F08"/>
    <w:rsid w:val="001D7FC2"/>
    <w:rsid w:val="001E0067"/>
    <w:rsid w:val="001E01C8"/>
    <w:rsid w:val="001E020D"/>
    <w:rsid w:val="001E0279"/>
    <w:rsid w:val="001E0285"/>
    <w:rsid w:val="001E0509"/>
    <w:rsid w:val="001E0632"/>
    <w:rsid w:val="001E0654"/>
    <w:rsid w:val="001E07F5"/>
    <w:rsid w:val="001E0932"/>
    <w:rsid w:val="001E0BE2"/>
    <w:rsid w:val="001E0D2B"/>
    <w:rsid w:val="001E1145"/>
    <w:rsid w:val="001E1189"/>
    <w:rsid w:val="001E12E9"/>
    <w:rsid w:val="001E134F"/>
    <w:rsid w:val="001E159F"/>
    <w:rsid w:val="001E1626"/>
    <w:rsid w:val="001E1794"/>
    <w:rsid w:val="001E1A37"/>
    <w:rsid w:val="001E1AB6"/>
    <w:rsid w:val="001E1AFB"/>
    <w:rsid w:val="001E1B01"/>
    <w:rsid w:val="001E1C9E"/>
    <w:rsid w:val="001E1ED4"/>
    <w:rsid w:val="001E1EF5"/>
    <w:rsid w:val="001E1F61"/>
    <w:rsid w:val="001E1F88"/>
    <w:rsid w:val="001E2111"/>
    <w:rsid w:val="001E2203"/>
    <w:rsid w:val="001E223A"/>
    <w:rsid w:val="001E22A4"/>
    <w:rsid w:val="001E231A"/>
    <w:rsid w:val="001E2551"/>
    <w:rsid w:val="001E26E0"/>
    <w:rsid w:val="001E27BC"/>
    <w:rsid w:val="001E288D"/>
    <w:rsid w:val="001E2A90"/>
    <w:rsid w:val="001E2EEF"/>
    <w:rsid w:val="001E2EF6"/>
    <w:rsid w:val="001E2F8E"/>
    <w:rsid w:val="001E303A"/>
    <w:rsid w:val="001E3085"/>
    <w:rsid w:val="001E3144"/>
    <w:rsid w:val="001E3200"/>
    <w:rsid w:val="001E32FE"/>
    <w:rsid w:val="001E33DF"/>
    <w:rsid w:val="001E3535"/>
    <w:rsid w:val="001E3691"/>
    <w:rsid w:val="001E36C7"/>
    <w:rsid w:val="001E3733"/>
    <w:rsid w:val="001E37B0"/>
    <w:rsid w:val="001E37F1"/>
    <w:rsid w:val="001E3A2B"/>
    <w:rsid w:val="001E3C49"/>
    <w:rsid w:val="001E3C83"/>
    <w:rsid w:val="001E3D1B"/>
    <w:rsid w:val="001E3D7B"/>
    <w:rsid w:val="001E3E36"/>
    <w:rsid w:val="001E3E3C"/>
    <w:rsid w:val="001E3E52"/>
    <w:rsid w:val="001E3EB7"/>
    <w:rsid w:val="001E3F91"/>
    <w:rsid w:val="001E4099"/>
    <w:rsid w:val="001E4127"/>
    <w:rsid w:val="001E43EA"/>
    <w:rsid w:val="001E449B"/>
    <w:rsid w:val="001E44A3"/>
    <w:rsid w:val="001E4739"/>
    <w:rsid w:val="001E479E"/>
    <w:rsid w:val="001E492C"/>
    <w:rsid w:val="001E495F"/>
    <w:rsid w:val="001E4A76"/>
    <w:rsid w:val="001E4BFF"/>
    <w:rsid w:val="001E4D54"/>
    <w:rsid w:val="001E4DE7"/>
    <w:rsid w:val="001E5219"/>
    <w:rsid w:val="001E5223"/>
    <w:rsid w:val="001E52FE"/>
    <w:rsid w:val="001E536D"/>
    <w:rsid w:val="001E558B"/>
    <w:rsid w:val="001E56AD"/>
    <w:rsid w:val="001E571B"/>
    <w:rsid w:val="001E5795"/>
    <w:rsid w:val="001E57A1"/>
    <w:rsid w:val="001E5822"/>
    <w:rsid w:val="001E5840"/>
    <w:rsid w:val="001E595B"/>
    <w:rsid w:val="001E5A4F"/>
    <w:rsid w:val="001E5D5D"/>
    <w:rsid w:val="001E5EA9"/>
    <w:rsid w:val="001E6013"/>
    <w:rsid w:val="001E60F8"/>
    <w:rsid w:val="001E6105"/>
    <w:rsid w:val="001E6158"/>
    <w:rsid w:val="001E6162"/>
    <w:rsid w:val="001E6179"/>
    <w:rsid w:val="001E61D2"/>
    <w:rsid w:val="001E62B6"/>
    <w:rsid w:val="001E6439"/>
    <w:rsid w:val="001E649A"/>
    <w:rsid w:val="001E66D6"/>
    <w:rsid w:val="001E66F8"/>
    <w:rsid w:val="001E6865"/>
    <w:rsid w:val="001E6887"/>
    <w:rsid w:val="001E688A"/>
    <w:rsid w:val="001E6AFE"/>
    <w:rsid w:val="001E6B88"/>
    <w:rsid w:val="001E6C28"/>
    <w:rsid w:val="001E6CD4"/>
    <w:rsid w:val="001E6E24"/>
    <w:rsid w:val="001E6EF8"/>
    <w:rsid w:val="001E70BA"/>
    <w:rsid w:val="001E71AD"/>
    <w:rsid w:val="001E7202"/>
    <w:rsid w:val="001E7286"/>
    <w:rsid w:val="001E741F"/>
    <w:rsid w:val="001E743F"/>
    <w:rsid w:val="001E750A"/>
    <w:rsid w:val="001E7586"/>
    <w:rsid w:val="001E7672"/>
    <w:rsid w:val="001E76F1"/>
    <w:rsid w:val="001E77E5"/>
    <w:rsid w:val="001E7942"/>
    <w:rsid w:val="001E7A37"/>
    <w:rsid w:val="001E7AB9"/>
    <w:rsid w:val="001E7C45"/>
    <w:rsid w:val="001E7E08"/>
    <w:rsid w:val="001E7F35"/>
    <w:rsid w:val="001F02FA"/>
    <w:rsid w:val="001F036D"/>
    <w:rsid w:val="001F0511"/>
    <w:rsid w:val="001F0768"/>
    <w:rsid w:val="001F0AD0"/>
    <w:rsid w:val="001F0B5E"/>
    <w:rsid w:val="001F0BD8"/>
    <w:rsid w:val="001F0C5A"/>
    <w:rsid w:val="001F0D85"/>
    <w:rsid w:val="001F0DA4"/>
    <w:rsid w:val="001F0E10"/>
    <w:rsid w:val="001F0E23"/>
    <w:rsid w:val="001F0F4D"/>
    <w:rsid w:val="001F0F96"/>
    <w:rsid w:val="001F0FAB"/>
    <w:rsid w:val="001F16F3"/>
    <w:rsid w:val="001F1763"/>
    <w:rsid w:val="001F1787"/>
    <w:rsid w:val="001F178C"/>
    <w:rsid w:val="001F1B5B"/>
    <w:rsid w:val="001F1E5B"/>
    <w:rsid w:val="001F1EDE"/>
    <w:rsid w:val="001F1F29"/>
    <w:rsid w:val="001F1F9F"/>
    <w:rsid w:val="001F1FB9"/>
    <w:rsid w:val="001F2471"/>
    <w:rsid w:val="001F256E"/>
    <w:rsid w:val="001F2747"/>
    <w:rsid w:val="001F295C"/>
    <w:rsid w:val="001F2AB5"/>
    <w:rsid w:val="001F2BA5"/>
    <w:rsid w:val="001F2C9B"/>
    <w:rsid w:val="001F2CAE"/>
    <w:rsid w:val="001F2CD1"/>
    <w:rsid w:val="001F2D2E"/>
    <w:rsid w:val="001F2E64"/>
    <w:rsid w:val="001F2F12"/>
    <w:rsid w:val="001F304D"/>
    <w:rsid w:val="001F328C"/>
    <w:rsid w:val="001F32EE"/>
    <w:rsid w:val="001F32FA"/>
    <w:rsid w:val="001F3345"/>
    <w:rsid w:val="001F341B"/>
    <w:rsid w:val="001F350C"/>
    <w:rsid w:val="001F373D"/>
    <w:rsid w:val="001F3762"/>
    <w:rsid w:val="001F37A1"/>
    <w:rsid w:val="001F3952"/>
    <w:rsid w:val="001F3BE2"/>
    <w:rsid w:val="001F3F01"/>
    <w:rsid w:val="001F40D1"/>
    <w:rsid w:val="001F4210"/>
    <w:rsid w:val="001F434F"/>
    <w:rsid w:val="001F43D9"/>
    <w:rsid w:val="001F4446"/>
    <w:rsid w:val="001F4465"/>
    <w:rsid w:val="001F4B29"/>
    <w:rsid w:val="001F4BA2"/>
    <w:rsid w:val="001F4CEC"/>
    <w:rsid w:val="001F5246"/>
    <w:rsid w:val="001F52B3"/>
    <w:rsid w:val="001F5312"/>
    <w:rsid w:val="001F5358"/>
    <w:rsid w:val="001F535A"/>
    <w:rsid w:val="001F548A"/>
    <w:rsid w:val="001F5537"/>
    <w:rsid w:val="001F554A"/>
    <w:rsid w:val="001F57FC"/>
    <w:rsid w:val="001F5802"/>
    <w:rsid w:val="001F5838"/>
    <w:rsid w:val="001F5ABA"/>
    <w:rsid w:val="001F5B6B"/>
    <w:rsid w:val="001F5CD5"/>
    <w:rsid w:val="001F5DC0"/>
    <w:rsid w:val="001F5E90"/>
    <w:rsid w:val="001F5EB8"/>
    <w:rsid w:val="001F6062"/>
    <w:rsid w:val="001F609D"/>
    <w:rsid w:val="001F6153"/>
    <w:rsid w:val="001F6450"/>
    <w:rsid w:val="001F6601"/>
    <w:rsid w:val="001F6622"/>
    <w:rsid w:val="001F68C7"/>
    <w:rsid w:val="001F69E3"/>
    <w:rsid w:val="001F6A4C"/>
    <w:rsid w:val="001F6A8B"/>
    <w:rsid w:val="001F6B83"/>
    <w:rsid w:val="001F6EBD"/>
    <w:rsid w:val="001F70A8"/>
    <w:rsid w:val="001F71DA"/>
    <w:rsid w:val="001F7419"/>
    <w:rsid w:val="001F76C5"/>
    <w:rsid w:val="001F76EA"/>
    <w:rsid w:val="001F782C"/>
    <w:rsid w:val="001F7930"/>
    <w:rsid w:val="001F7DB8"/>
    <w:rsid w:val="001F7F9B"/>
    <w:rsid w:val="0020005B"/>
    <w:rsid w:val="00200197"/>
    <w:rsid w:val="0020025A"/>
    <w:rsid w:val="00200287"/>
    <w:rsid w:val="00200328"/>
    <w:rsid w:val="0020041C"/>
    <w:rsid w:val="00200676"/>
    <w:rsid w:val="00200775"/>
    <w:rsid w:val="002009A2"/>
    <w:rsid w:val="00200A03"/>
    <w:rsid w:val="00200AEA"/>
    <w:rsid w:val="00200BB2"/>
    <w:rsid w:val="00200E0C"/>
    <w:rsid w:val="00200E3E"/>
    <w:rsid w:val="00200F6B"/>
    <w:rsid w:val="002011EF"/>
    <w:rsid w:val="0020143B"/>
    <w:rsid w:val="0020176C"/>
    <w:rsid w:val="0020179F"/>
    <w:rsid w:val="00201901"/>
    <w:rsid w:val="0020193D"/>
    <w:rsid w:val="0020199F"/>
    <w:rsid w:val="00201B7D"/>
    <w:rsid w:val="00201DAD"/>
    <w:rsid w:val="00201E3F"/>
    <w:rsid w:val="00201F3B"/>
    <w:rsid w:val="0020201D"/>
    <w:rsid w:val="0020227C"/>
    <w:rsid w:val="002024D3"/>
    <w:rsid w:val="002024FB"/>
    <w:rsid w:val="002025D5"/>
    <w:rsid w:val="002025EC"/>
    <w:rsid w:val="00202679"/>
    <w:rsid w:val="002026FF"/>
    <w:rsid w:val="00202814"/>
    <w:rsid w:val="0020296F"/>
    <w:rsid w:val="00202B4B"/>
    <w:rsid w:val="00202B89"/>
    <w:rsid w:val="00202C15"/>
    <w:rsid w:val="00202CA1"/>
    <w:rsid w:val="00202CE1"/>
    <w:rsid w:val="00202DC8"/>
    <w:rsid w:val="00202E9E"/>
    <w:rsid w:val="00202EF0"/>
    <w:rsid w:val="00202F80"/>
    <w:rsid w:val="002030FC"/>
    <w:rsid w:val="002031F6"/>
    <w:rsid w:val="00203293"/>
    <w:rsid w:val="002033AD"/>
    <w:rsid w:val="002034AF"/>
    <w:rsid w:val="002034D9"/>
    <w:rsid w:val="00203585"/>
    <w:rsid w:val="0020366B"/>
    <w:rsid w:val="002036DD"/>
    <w:rsid w:val="00203895"/>
    <w:rsid w:val="002038B9"/>
    <w:rsid w:val="0020398D"/>
    <w:rsid w:val="0020398E"/>
    <w:rsid w:val="00203CB7"/>
    <w:rsid w:val="00203D86"/>
    <w:rsid w:val="00203D9C"/>
    <w:rsid w:val="00203F94"/>
    <w:rsid w:val="00204035"/>
    <w:rsid w:val="00204115"/>
    <w:rsid w:val="0020411A"/>
    <w:rsid w:val="00204187"/>
    <w:rsid w:val="002043AA"/>
    <w:rsid w:val="0020445E"/>
    <w:rsid w:val="00204548"/>
    <w:rsid w:val="00204563"/>
    <w:rsid w:val="00204668"/>
    <w:rsid w:val="002046DF"/>
    <w:rsid w:val="0020473A"/>
    <w:rsid w:val="00204766"/>
    <w:rsid w:val="002047F6"/>
    <w:rsid w:val="00204877"/>
    <w:rsid w:val="002048B3"/>
    <w:rsid w:val="00204A2C"/>
    <w:rsid w:val="00204A2F"/>
    <w:rsid w:val="00204C84"/>
    <w:rsid w:val="00204DA5"/>
    <w:rsid w:val="00204DDF"/>
    <w:rsid w:val="00204E51"/>
    <w:rsid w:val="00204F3F"/>
    <w:rsid w:val="0020503C"/>
    <w:rsid w:val="002050C0"/>
    <w:rsid w:val="00205384"/>
    <w:rsid w:val="00205626"/>
    <w:rsid w:val="002056EF"/>
    <w:rsid w:val="002057D2"/>
    <w:rsid w:val="00205871"/>
    <w:rsid w:val="00205BC2"/>
    <w:rsid w:val="00205DF1"/>
    <w:rsid w:val="00205E44"/>
    <w:rsid w:val="00205F0D"/>
    <w:rsid w:val="002063A3"/>
    <w:rsid w:val="002064CE"/>
    <w:rsid w:val="002065D3"/>
    <w:rsid w:val="002067B2"/>
    <w:rsid w:val="0020686C"/>
    <w:rsid w:val="00206897"/>
    <w:rsid w:val="002068FE"/>
    <w:rsid w:val="00206915"/>
    <w:rsid w:val="002069BA"/>
    <w:rsid w:val="00206AE9"/>
    <w:rsid w:val="00206B4A"/>
    <w:rsid w:val="00206BD2"/>
    <w:rsid w:val="00206D0A"/>
    <w:rsid w:val="00206D49"/>
    <w:rsid w:val="00206DE2"/>
    <w:rsid w:val="00206DEB"/>
    <w:rsid w:val="00206F08"/>
    <w:rsid w:val="00206F48"/>
    <w:rsid w:val="0020700D"/>
    <w:rsid w:val="00207027"/>
    <w:rsid w:val="00207062"/>
    <w:rsid w:val="0020707F"/>
    <w:rsid w:val="002070CE"/>
    <w:rsid w:val="0020726E"/>
    <w:rsid w:val="002074A4"/>
    <w:rsid w:val="002074BA"/>
    <w:rsid w:val="00207629"/>
    <w:rsid w:val="002076E7"/>
    <w:rsid w:val="00207711"/>
    <w:rsid w:val="0020783A"/>
    <w:rsid w:val="00207885"/>
    <w:rsid w:val="00207914"/>
    <w:rsid w:val="00207A3F"/>
    <w:rsid w:val="00207A44"/>
    <w:rsid w:val="00207B0D"/>
    <w:rsid w:val="00207B46"/>
    <w:rsid w:val="00207BDE"/>
    <w:rsid w:val="00207D14"/>
    <w:rsid w:val="00207D17"/>
    <w:rsid w:val="00207DA2"/>
    <w:rsid w:val="00207DB6"/>
    <w:rsid w:val="00210017"/>
    <w:rsid w:val="0021001F"/>
    <w:rsid w:val="00210056"/>
    <w:rsid w:val="002101FB"/>
    <w:rsid w:val="00210262"/>
    <w:rsid w:val="00210299"/>
    <w:rsid w:val="00210301"/>
    <w:rsid w:val="00210350"/>
    <w:rsid w:val="00210643"/>
    <w:rsid w:val="0021085F"/>
    <w:rsid w:val="00210A28"/>
    <w:rsid w:val="00210A64"/>
    <w:rsid w:val="00210ADE"/>
    <w:rsid w:val="00210B43"/>
    <w:rsid w:val="00210C66"/>
    <w:rsid w:val="00210CA8"/>
    <w:rsid w:val="00210D35"/>
    <w:rsid w:val="00210F40"/>
    <w:rsid w:val="00210FA0"/>
    <w:rsid w:val="00211033"/>
    <w:rsid w:val="0021123F"/>
    <w:rsid w:val="002112B7"/>
    <w:rsid w:val="0021145C"/>
    <w:rsid w:val="00211617"/>
    <w:rsid w:val="002116BF"/>
    <w:rsid w:val="0021174A"/>
    <w:rsid w:val="0021180C"/>
    <w:rsid w:val="00211912"/>
    <w:rsid w:val="00211C4D"/>
    <w:rsid w:val="00211C5A"/>
    <w:rsid w:val="00211CAA"/>
    <w:rsid w:val="00211D8E"/>
    <w:rsid w:val="00211EB6"/>
    <w:rsid w:val="00211FA0"/>
    <w:rsid w:val="00212218"/>
    <w:rsid w:val="002122B2"/>
    <w:rsid w:val="00212433"/>
    <w:rsid w:val="00212726"/>
    <w:rsid w:val="00212779"/>
    <w:rsid w:val="002127E0"/>
    <w:rsid w:val="0021290A"/>
    <w:rsid w:val="00212A43"/>
    <w:rsid w:val="00212A80"/>
    <w:rsid w:val="00212D12"/>
    <w:rsid w:val="00212E8E"/>
    <w:rsid w:val="00212FAD"/>
    <w:rsid w:val="00213172"/>
    <w:rsid w:val="002131C1"/>
    <w:rsid w:val="002132D3"/>
    <w:rsid w:val="00213400"/>
    <w:rsid w:val="00213530"/>
    <w:rsid w:val="002135B1"/>
    <w:rsid w:val="002136B9"/>
    <w:rsid w:val="002136D9"/>
    <w:rsid w:val="0021386F"/>
    <w:rsid w:val="002139F4"/>
    <w:rsid w:val="00213AFA"/>
    <w:rsid w:val="00213C08"/>
    <w:rsid w:val="00213C10"/>
    <w:rsid w:val="00213CFA"/>
    <w:rsid w:val="00213E53"/>
    <w:rsid w:val="00214264"/>
    <w:rsid w:val="002143AB"/>
    <w:rsid w:val="002144E8"/>
    <w:rsid w:val="00214522"/>
    <w:rsid w:val="002147A0"/>
    <w:rsid w:val="0021481E"/>
    <w:rsid w:val="0021497B"/>
    <w:rsid w:val="00214A94"/>
    <w:rsid w:val="00214AE5"/>
    <w:rsid w:val="00214BAD"/>
    <w:rsid w:val="00214C16"/>
    <w:rsid w:val="00214CB1"/>
    <w:rsid w:val="00214CBF"/>
    <w:rsid w:val="00214F65"/>
    <w:rsid w:val="00214FB3"/>
    <w:rsid w:val="00215006"/>
    <w:rsid w:val="002150E1"/>
    <w:rsid w:val="00215251"/>
    <w:rsid w:val="0021533C"/>
    <w:rsid w:val="00215597"/>
    <w:rsid w:val="00215734"/>
    <w:rsid w:val="002158B3"/>
    <w:rsid w:val="002159B2"/>
    <w:rsid w:val="00215ABD"/>
    <w:rsid w:val="00215C4B"/>
    <w:rsid w:val="00215D2A"/>
    <w:rsid w:val="00215DF9"/>
    <w:rsid w:val="00215E1A"/>
    <w:rsid w:val="00216416"/>
    <w:rsid w:val="00216550"/>
    <w:rsid w:val="00216698"/>
    <w:rsid w:val="002166F6"/>
    <w:rsid w:val="0021675A"/>
    <w:rsid w:val="002168E2"/>
    <w:rsid w:val="0021694A"/>
    <w:rsid w:val="002169D4"/>
    <w:rsid w:val="00216B36"/>
    <w:rsid w:val="00216C50"/>
    <w:rsid w:val="00216DB7"/>
    <w:rsid w:val="00216EDA"/>
    <w:rsid w:val="002170A9"/>
    <w:rsid w:val="0021726D"/>
    <w:rsid w:val="0021728D"/>
    <w:rsid w:val="0021729A"/>
    <w:rsid w:val="00217308"/>
    <w:rsid w:val="002175B8"/>
    <w:rsid w:val="0021770E"/>
    <w:rsid w:val="002177C1"/>
    <w:rsid w:val="00217980"/>
    <w:rsid w:val="00217A56"/>
    <w:rsid w:val="00217B7C"/>
    <w:rsid w:val="00217BE4"/>
    <w:rsid w:val="00217CDD"/>
    <w:rsid w:val="00217DEB"/>
    <w:rsid w:val="00217E63"/>
    <w:rsid w:val="00217E71"/>
    <w:rsid w:val="00217F21"/>
    <w:rsid w:val="00220081"/>
    <w:rsid w:val="00220091"/>
    <w:rsid w:val="00220097"/>
    <w:rsid w:val="002202CA"/>
    <w:rsid w:val="002202E5"/>
    <w:rsid w:val="002203BC"/>
    <w:rsid w:val="00220616"/>
    <w:rsid w:val="00220A65"/>
    <w:rsid w:val="00220B12"/>
    <w:rsid w:val="00220C86"/>
    <w:rsid w:val="00220D8D"/>
    <w:rsid w:val="00220E51"/>
    <w:rsid w:val="00220FFD"/>
    <w:rsid w:val="00221099"/>
    <w:rsid w:val="002210C4"/>
    <w:rsid w:val="0022123C"/>
    <w:rsid w:val="00221395"/>
    <w:rsid w:val="00221606"/>
    <w:rsid w:val="002216C0"/>
    <w:rsid w:val="00221749"/>
    <w:rsid w:val="0022181D"/>
    <w:rsid w:val="002218A5"/>
    <w:rsid w:val="00221906"/>
    <w:rsid w:val="00221A38"/>
    <w:rsid w:val="00221AD7"/>
    <w:rsid w:val="00221ADC"/>
    <w:rsid w:val="00221C58"/>
    <w:rsid w:val="00221EA7"/>
    <w:rsid w:val="00221EB6"/>
    <w:rsid w:val="002221A7"/>
    <w:rsid w:val="002221F1"/>
    <w:rsid w:val="002221F2"/>
    <w:rsid w:val="00222267"/>
    <w:rsid w:val="002222FC"/>
    <w:rsid w:val="0022245E"/>
    <w:rsid w:val="002224AD"/>
    <w:rsid w:val="0022286B"/>
    <w:rsid w:val="00222A58"/>
    <w:rsid w:val="00222A6F"/>
    <w:rsid w:val="00222C83"/>
    <w:rsid w:val="00222CE2"/>
    <w:rsid w:val="0022315E"/>
    <w:rsid w:val="002233B9"/>
    <w:rsid w:val="0022343C"/>
    <w:rsid w:val="00223484"/>
    <w:rsid w:val="002236A2"/>
    <w:rsid w:val="00223A17"/>
    <w:rsid w:val="00223A3A"/>
    <w:rsid w:val="00223A7B"/>
    <w:rsid w:val="00223B11"/>
    <w:rsid w:val="00223B60"/>
    <w:rsid w:val="00223BF0"/>
    <w:rsid w:val="00223CE6"/>
    <w:rsid w:val="00223E9E"/>
    <w:rsid w:val="0022404B"/>
    <w:rsid w:val="00224121"/>
    <w:rsid w:val="0022412B"/>
    <w:rsid w:val="00224276"/>
    <w:rsid w:val="002243F1"/>
    <w:rsid w:val="002244A7"/>
    <w:rsid w:val="00224510"/>
    <w:rsid w:val="0022462E"/>
    <w:rsid w:val="002246A5"/>
    <w:rsid w:val="00224736"/>
    <w:rsid w:val="002248A0"/>
    <w:rsid w:val="00224AF4"/>
    <w:rsid w:val="00224B32"/>
    <w:rsid w:val="00224B6C"/>
    <w:rsid w:val="00224C50"/>
    <w:rsid w:val="00224DA9"/>
    <w:rsid w:val="00224DDE"/>
    <w:rsid w:val="00224E1E"/>
    <w:rsid w:val="0022509D"/>
    <w:rsid w:val="002250EB"/>
    <w:rsid w:val="00225370"/>
    <w:rsid w:val="00225495"/>
    <w:rsid w:val="002255F4"/>
    <w:rsid w:val="00225686"/>
    <w:rsid w:val="00225724"/>
    <w:rsid w:val="00225918"/>
    <w:rsid w:val="00225B53"/>
    <w:rsid w:val="00225C27"/>
    <w:rsid w:val="00225D92"/>
    <w:rsid w:val="002261A9"/>
    <w:rsid w:val="0022627C"/>
    <w:rsid w:val="00226388"/>
    <w:rsid w:val="002263E0"/>
    <w:rsid w:val="002264CF"/>
    <w:rsid w:val="002264FA"/>
    <w:rsid w:val="0022655C"/>
    <w:rsid w:val="0022687C"/>
    <w:rsid w:val="002268C1"/>
    <w:rsid w:val="0022695D"/>
    <w:rsid w:val="002269B5"/>
    <w:rsid w:val="00226A14"/>
    <w:rsid w:val="00226A49"/>
    <w:rsid w:val="00226B10"/>
    <w:rsid w:val="00226BD9"/>
    <w:rsid w:val="00226C31"/>
    <w:rsid w:val="00226CA8"/>
    <w:rsid w:val="00226CAD"/>
    <w:rsid w:val="00226DFB"/>
    <w:rsid w:val="00226EA4"/>
    <w:rsid w:val="002270E7"/>
    <w:rsid w:val="002271D8"/>
    <w:rsid w:val="00227296"/>
    <w:rsid w:val="00227298"/>
    <w:rsid w:val="002272DC"/>
    <w:rsid w:val="00227446"/>
    <w:rsid w:val="002274C1"/>
    <w:rsid w:val="0022794E"/>
    <w:rsid w:val="0022799A"/>
    <w:rsid w:val="00227AD3"/>
    <w:rsid w:val="00227B34"/>
    <w:rsid w:val="00227B6E"/>
    <w:rsid w:val="00227BD9"/>
    <w:rsid w:val="00227E30"/>
    <w:rsid w:val="00227FB8"/>
    <w:rsid w:val="002300B4"/>
    <w:rsid w:val="0023021C"/>
    <w:rsid w:val="002304E0"/>
    <w:rsid w:val="0023055C"/>
    <w:rsid w:val="00230639"/>
    <w:rsid w:val="002306B5"/>
    <w:rsid w:val="00230747"/>
    <w:rsid w:val="002307D1"/>
    <w:rsid w:val="00230A3D"/>
    <w:rsid w:val="00230A5C"/>
    <w:rsid w:val="00230B43"/>
    <w:rsid w:val="00230D38"/>
    <w:rsid w:val="00230E51"/>
    <w:rsid w:val="00230E5A"/>
    <w:rsid w:val="00230E65"/>
    <w:rsid w:val="00231064"/>
    <w:rsid w:val="00231132"/>
    <w:rsid w:val="002311C2"/>
    <w:rsid w:val="0023129B"/>
    <w:rsid w:val="00231303"/>
    <w:rsid w:val="00231461"/>
    <w:rsid w:val="0023146E"/>
    <w:rsid w:val="00231553"/>
    <w:rsid w:val="002315A4"/>
    <w:rsid w:val="00231787"/>
    <w:rsid w:val="00231BFC"/>
    <w:rsid w:val="00231D4B"/>
    <w:rsid w:val="00231DF2"/>
    <w:rsid w:val="00231ED0"/>
    <w:rsid w:val="00231FDF"/>
    <w:rsid w:val="0023206F"/>
    <w:rsid w:val="00232078"/>
    <w:rsid w:val="00232162"/>
    <w:rsid w:val="00232290"/>
    <w:rsid w:val="00232412"/>
    <w:rsid w:val="0023255D"/>
    <w:rsid w:val="002326E6"/>
    <w:rsid w:val="00232729"/>
    <w:rsid w:val="00232756"/>
    <w:rsid w:val="00232A7C"/>
    <w:rsid w:val="00232AF0"/>
    <w:rsid w:val="00232B19"/>
    <w:rsid w:val="00232D20"/>
    <w:rsid w:val="00232FFB"/>
    <w:rsid w:val="00233068"/>
    <w:rsid w:val="0023315E"/>
    <w:rsid w:val="0023326F"/>
    <w:rsid w:val="002333F2"/>
    <w:rsid w:val="002336C2"/>
    <w:rsid w:val="002336CC"/>
    <w:rsid w:val="002339A0"/>
    <w:rsid w:val="00233A66"/>
    <w:rsid w:val="00233DA0"/>
    <w:rsid w:val="00233DC7"/>
    <w:rsid w:val="00233DD8"/>
    <w:rsid w:val="00233E84"/>
    <w:rsid w:val="0023400C"/>
    <w:rsid w:val="00234075"/>
    <w:rsid w:val="00234099"/>
    <w:rsid w:val="00234112"/>
    <w:rsid w:val="002344A6"/>
    <w:rsid w:val="0023465A"/>
    <w:rsid w:val="002346E3"/>
    <w:rsid w:val="00234754"/>
    <w:rsid w:val="0023499F"/>
    <w:rsid w:val="002349AA"/>
    <w:rsid w:val="002349B7"/>
    <w:rsid w:val="002349BB"/>
    <w:rsid w:val="00234A77"/>
    <w:rsid w:val="00234AE1"/>
    <w:rsid w:val="00234AEC"/>
    <w:rsid w:val="00234B9B"/>
    <w:rsid w:val="00234C79"/>
    <w:rsid w:val="00234D21"/>
    <w:rsid w:val="00234DAD"/>
    <w:rsid w:val="00234DD8"/>
    <w:rsid w:val="00234E5A"/>
    <w:rsid w:val="00234E7E"/>
    <w:rsid w:val="002350C0"/>
    <w:rsid w:val="002352C7"/>
    <w:rsid w:val="002352DD"/>
    <w:rsid w:val="00235350"/>
    <w:rsid w:val="00235382"/>
    <w:rsid w:val="002353DF"/>
    <w:rsid w:val="002353EB"/>
    <w:rsid w:val="00235471"/>
    <w:rsid w:val="00235582"/>
    <w:rsid w:val="002355AE"/>
    <w:rsid w:val="0023562B"/>
    <w:rsid w:val="0023562D"/>
    <w:rsid w:val="0023567B"/>
    <w:rsid w:val="002358A7"/>
    <w:rsid w:val="002358D3"/>
    <w:rsid w:val="00235962"/>
    <w:rsid w:val="00235A23"/>
    <w:rsid w:val="00235A38"/>
    <w:rsid w:val="00235B0D"/>
    <w:rsid w:val="00235BE5"/>
    <w:rsid w:val="00235BEF"/>
    <w:rsid w:val="00235C60"/>
    <w:rsid w:val="00235D2D"/>
    <w:rsid w:val="00235D7E"/>
    <w:rsid w:val="00235F6B"/>
    <w:rsid w:val="00235FF5"/>
    <w:rsid w:val="0023601A"/>
    <w:rsid w:val="002360AD"/>
    <w:rsid w:val="0023613A"/>
    <w:rsid w:val="00236150"/>
    <w:rsid w:val="0023625D"/>
    <w:rsid w:val="002364D1"/>
    <w:rsid w:val="0023651F"/>
    <w:rsid w:val="00236534"/>
    <w:rsid w:val="002368DD"/>
    <w:rsid w:val="0023692A"/>
    <w:rsid w:val="0023697A"/>
    <w:rsid w:val="00236B50"/>
    <w:rsid w:val="00236BBD"/>
    <w:rsid w:val="00236C3C"/>
    <w:rsid w:val="00236CFB"/>
    <w:rsid w:val="00236D3B"/>
    <w:rsid w:val="00236FAD"/>
    <w:rsid w:val="00236FFC"/>
    <w:rsid w:val="00237016"/>
    <w:rsid w:val="0023709E"/>
    <w:rsid w:val="00237238"/>
    <w:rsid w:val="00237258"/>
    <w:rsid w:val="002373B2"/>
    <w:rsid w:val="002374DA"/>
    <w:rsid w:val="002375B5"/>
    <w:rsid w:val="002375C8"/>
    <w:rsid w:val="002378F5"/>
    <w:rsid w:val="00237C71"/>
    <w:rsid w:val="00237CDE"/>
    <w:rsid w:val="00237CE0"/>
    <w:rsid w:val="00237CFF"/>
    <w:rsid w:val="00237D02"/>
    <w:rsid w:val="00237DA7"/>
    <w:rsid w:val="00237E3F"/>
    <w:rsid w:val="00237E78"/>
    <w:rsid w:val="00237F4F"/>
    <w:rsid w:val="002400BB"/>
    <w:rsid w:val="002400CD"/>
    <w:rsid w:val="00240210"/>
    <w:rsid w:val="00240297"/>
    <w:rsid w:val="0024036E"/>
    <w:rsid w:val="002403F3"/>
    <w:rsid w:val="00240552"/>
    <w:rsid w:val="00240577"/>
    <w:rsid w:val="00240610"/>
    <w:rsid w:val="00240710"/>
    <w:rsid w:val="00240835"/>
    <w:rsid w:val="00240AA2"/>
    <w:rsid w:val="00240AC4"/>
    <w:rsid w:val="00240B18"/>
    <w:rsid w:val="00240B5A"/>
    <w:rsid w:val="00240C83"/>
    <w:rsid w:val="002410E1"/>
    <w:rsid w:val="002410F0"/>
    <w:rsid w:val="002411A2"/>
    <w:rsid w:val="00241264"/>
    <w:rsid w:val="00241343"/>
    <w:rsid w:val="002414AE"/>
    <w:rsid w:val="002415D8"/>
    <w:rsid w:val="0024160E"/>
    <w:rsid w:val="0024168C"/>
    <w:rsid w:val="002416D2"/>
    <w:rsid w:val="00241738"/>
    <w:rsid w:val="0024183F"/>
    <w:rsid w:val="00241933"/>
    <w:rsid w:val="002419CA"/>
    <w:rsid w:val="00241A44"/>
    <w:rsid w:val="00241B8A"/>
    <w:rsid w:val="00241BD8"/>
    <w:rsid w:val="00241E92"/>
    <w:rsid w:val="00241F88"/>
    <w:rsid w:val="00241F93"/>
    <w:rsid w:val="00242128"/>
    <w:rsid w:val="00242188"/>
    <w:rsid w:val="0024240E"/>
    <w:rsid w:val="00242470"/>
    <w:rsid w:val="002424D9"/>
    <w:rsid w:val="00242547"/>
    <w:rsid w:val="0024254C"/>
    <w:rsid w:val="002425C0"/>
    <w:rsid w:val="0024268E"/>
    <w:rsid w:val="00242887"/>
    <w:rsid w:val="0024288F"/>
    <w:rsid w:val="00242AAE"/>
    <w:rsid w:val="00242ABB"/>
    <w:rsid w:val="00242B30"/>
    <w:rsid w:val="00242F93"/>
    <w:rsid w:val="00243164"/>
    <w:rsid w:val="00243181"/>
    <w:rsid w:val="002431EF"/>
    <w:rsid w:val="0024331B"/>
    <w:rsid w:val="00243331"/>
    <w:rsid w:val="0024346B"/>
    <w:rsid w:val="00243827"/>
    <w:rsid w:val="0024394A"/>
    <w:rsid w:val="00243A91"/>
    <w:rsid w:val="00243A92"/>
    <w:rsid w:val="00243EF7"/>
    <w:rsid w:val="00243F7A"/>
    <w:rsid w:val="00244056"/>
    <w:rsid w:val="0024424D"/>
    <w:rsid w:val="00244365"/>
    <w:rsid w:val="00244473"/>
    <w:rsid w:val="002444E1"/>
    <w:rsid w:val="00244591"/>
    <w:rsid w:val="0024463F"/>
    <w:rsid w:val="002446AB"/>
    <w:rsid w:val="002447B2"/>
    <w:rsid w:val="002447D1"/>
    <w:rsid w:val="00244864"/>
    <w:rsid w:val="002448FD"/>
    <w:rsid w:val="00244A95"/>
    <w:rsid w:val="00244BFD"/>
    <w:rsid w:val="00244D62"/>
    <w:rsid w:val="00244F34"/>
    <w:rsid w:val="00245024"/>
    <w:rsid w:val="00245059"/>
    <w:rsid w:val="00245082"/>
    <w:rsid w:val="00245210"/>
    <w:rsid w:val="0024532D"/>
    <w:rsid w:val="002453AD"/>
    <w:rsid w:val="0024550F"/>
    <w:rsid w:val="002455C7"/>
    <w:rsid w:val="002456E6"/>
    <w:rsid w:val="00245890"/>
    <w:rsid w:val="002458E4"/>
    <w:rsid w:val="0024593E"/>
    <w:rsid w:val="00245968"/>
    <w:rsid w:val="002459AB"/>
    <w:rsid w:val="002459BB"/>
    <w:rsid w:val="00245C16"/>
    <w:rsid w:val="00245C9B"/>
    <w:rsid w:val="00245F8D"/>
    <w:rsid w:val="00245FB8"/>
    <w:rsid w:val="00245FFA"/>
    <w:rsid w:val="00246029"/>
    <w:rsid w:val="00246194"/>
    <w:rsid w:val="00246239"/>
    <w:rsid w:val="00246244"/>
    <w:rsid w:val="002462A2"/>
    <w:rsid w:val="00246371"/>
    <w:rsid w:val="0024641D"/>
    <w:rsid w:val="002464B2"/>
    <w:rsid w:val="00246515"/>
    <w:rsid w:val="00246627"/>
    <w:rsid w:val="0024676B"/>
    <w:rsid w:val="002468BA"/>
    <w:rsid w:val="00246A0A"/>
    <w:rsid w:val="00246A4A"/>
    <w:rsid w:val="00246BA4"/>
    <w:rsid w:val="00246C22"/>
    <w:rsid w:val="00246C37"/>
    <w:rsid w:val="00246C66"/>
    <w:rsid w:val="00246C70"/>
    <w:rsid w:val="00246CEF"/>
    <w:rsid w:val="00246D8E"/>
    <w:rsid w:val="00246DA6"/>
    <w:rsid w:val="00246FEE"/>
    <w:rsid w:val="00247090"/>
    <w:rsid w:val="002470F3"/>
    <w:rsid w:val="0024715C"/>
    <w:rsid w:val="00247329"/>
    <w:rsid w:val="0024739E"/>
    <w:rsid w:val="002473B2"/>
    <w:rsid w:val="002473D3"/>
    <w:rsid w:val="00247592"/>
    <w:rsid w:val="00247736"/>
    <w:rsid w:val="00247779"/>
    <w:rsid w:val="00247836"/>
    <w:rsid w:val="002478B6"/>
    <w:rsid w:val="00247A92"/>
    <w:rsid w:val="00247C40"/>
    <w:rsid w:val="00247CDA"/>
    <w:rsid w:val="00247D75"/>
    <w:rsid w:val="00247DBC"/>
    <w:rsid w:val="00247E86"/>
    <w:rsid w:val="00247F3C"/>
    <w:rsid w:val="00247F90"/>
    <w:rsid w:val="002500EF"/>
    <w:rsid w:val="00250216"/>
    <w:rsid w:val="00250360"/>
    <w:rsid w:val="0025039E"/>
    <w:rsid w:val="0025044F"/>
    <w:rsid w:val="002505E9"/>
    <w:rsid w:val="002505ED"/>
    <w:rsid w:val="002506D3"/>
    <w:rsid w:val="00250750"/>
    <w:rsid w:val="00250808"/>
    <w:rsid w:val="00250816"/>
    <w:rsid w:val="00250B61"/>
    <w:rsid w:val="00250C22"/>
    <w:rsid w:val="00250C2A"/>
    <w:rsid w:val="00250CA7"/>
    <w:rsid w:val="00250CDA"/>
    <w:rsid w:val="00250CE3"/>
    <w:rsid w:val="00250D18"/>
    <w:rsid w:val="00250DF0"/>
    <w:rsid w:val="00250FD1"/>
    <w:rsid w:val="0025126D"/>
    <w:rsid w:val="00251405"/>
    <w:rsid w:val="002516EE"/>
    <w:rsid w:val="00251782"/>
    <w:rsid w:val="0025179A"/>
    <w:rsid w:val="00251887"/>
    <w:rsid w:val="002518A0"/>
    <w:rsid w:val="002518FF"/>
    <w:rsid w:val="00251B23"/>
    <w:rsid w:val="00251E1A"/>
    <w:rsid w:val="00251EE0"/>
    <w:rsid w:val="00251F54"/>
    <w:rsid w:val="0025215C"/>
    <w:rsid w:val="0025217D"/>
    <w:rsid w:val="002521F0"/>
    <w:rsid w:val="0025226A"/>
    <w:rsid w:val="00252271"/>
    <w:rsid w:val="00252404"/>
    <w:rsid w:val="00252478"/>
    <w:rsid w:val="002525A6"/>
    <w:rsid w:val="002527AE"/>
    <w:rsid w:val="00252878"/>
    <w:rsid w:val="00252892"/>
    <w:rsid w:val="002528D0"/>
    <w:rsid w:val="002528E3"/>
    <w:rsid w:val="00252A1B"/>
    <w:rsid w:val="00252A4C"/>
    <w:rsid w:val="00252A89"/>
    <w:rsid w:val="00252B09"/>
    <w:rsid w:val="00252B5A"/>
    <w:rsid w:val="00252D81"/>
    <w:rsid w:val="00252FA1"/>
    <w:rsid w:val="002530FF"/>
    <w:rsid w:val="0025329A"/>
    <w:rsid w:val="002533F7"/>
    <w:rsid w:val="00253403"/>
    <w:rsid w:val="0025362C"/>
    <w:rsid w:val="00253711"/>
    <w:rsid w:val="00253A82"/>
    <w:rsid w:val="00253AA8"/>
    <w:rsid w:val="00253BD5"/>
    <w:rsid w:val="00253BFA"/>
    <w:rsid w:val="00253C83"/>
    <w:rsid w:val="00254013"/>
    <w:rsid w:val="00254024"/>
    <w:rsid w:val="002541E3"/>
    <w:rsid w:val="0025427C"/>
    <w:rsid w:val="00254281"/>
    <w:rsid w:val="00254499"/>
    <w:rsid w:val="0025464C"/>
    <w:rsid w:val="0025468B"/>
    <w:rsid w:val="00254826"/>
    <w:rsid w:val="0025487B"/>
    <w:rsid w:val="002549C6"/>
    <w:rsid w:val="00254C5E"/>
    <w:rsid w:val="00254D9B"/>
    <w:rsid w:val="00254FA3"/>
    <w:rsid w:val="00254FE8"/>
    <w:rsid w:val="00254FFE"/>
    <w:rsid w:val="002551F2"/>
    <w:rsid w:val="002552BD"/>
    <w:rsid w:val="002552BE"/>
    <w:rsid w:val="00255362"/>
    <w:rsid w:val="002554FD"/>
    <w:rsid w:val="0025577D"/>
    <w:rsid w:val="002557F0"/>
    <w:rsid w:val="00255952"/>
    <w:rsid w:val="00255C71"/>
    <w:rsid w:val="00255C8B"/>
    <w:rsid w:val="00255CE7"/>
    <w:rsid w:val="00255D39"/>
    <w:rsid w:val="00255E3E"/>
    <w:rsid w:val="00255E44"/>
    <w:rsid w:val="00255E47"/>
    <w:rsid w:val="0025600A"/>
    <w:rsid w:val="00256059"/>
    <w:rsid w:val="0025610E"/>
    <w:rsid w:val="0025626C"/>
    <w:rsid w:val="002563A2"/>
    <w:rsid w:val="00256468"/>
    <w:rsid w:val="0025649B"/>
    <w:rsid w:val="002564B0"/>
    <w:rsid w:val="00256588"/>
    <w:rsid w:val="002565D7"/>
    <w:rsid w:val="002567CB"/>
    <w:rsid w:val="00256817"/>
    <w:rsid w:val="002569CA"/>
    <w:rsid w:val="00256A66"/>
    <w:rsid w:val="00256B81"/>
    <w:rsid w:val="00256FC4"/>
    <w:rsid w:val="002573F3"/>
    <w:rsid w:val="00257655"/>
    <w:rsid w:val="002577B2"/>
    <w:rsid w:val="002577B5"/>
    <w:rsid w:val="00257824"/>
    <w:rsid w:val="002578EB"/>
    <w:rsid w:val="00257AF4"/>
    <w:rsid w:val="00257B95"/>
    <w:rsid w:val="00257C90"/>
    <w:rsid w:val="00257C98"/>
    <w:rsid w:val="00257D2E"/>
    <w:rsid w:val="00257D36"/>
    <w:rsid w:val="00257DAE"/>
    <w:rsid w:val="00257E41"/>
    <w:rsid w:val="00257E71"/>
    <w:rsid w:val="00257E78"/>
    <w:rsid w:val="00257E7E"/>
    <w:rsid w:val="00257F3F"/>
    <w:rsid w:val="00257FBC"/>
    <w:rsid w:val="00257FE5"/>
    <w:rsid w:val="00260062"/>
    <w:rsid w:val="00260103"/>
    <w:rsid w:val="00260113"/>
    <w:rsid w:val="00260122"/>
    <w:rsid w:val="0026027C"/>
    <w:rsid w:val="00260461"/>
    <w:rsid w:val="002604C1"/>
    <w:rsid w:val="00260899"/>
    <w:rsid w:val="002608DE"/>
    <w:rsid w:val="00260997"/>
    <w:rsid w:val="00260BE1"/>
    <w:rsid w:val="00260F4C"/>
    <w:rsid w:val="0026133A"/>
    <w:rsid w:val="00261443"/>
    <w:rsid w:val="002614BE"/>
    <w:rsid w:val="0026159A"/>
    <w:rsid w:val="002615B1"/>
    <w:rsid w:val="00261601"/>
    <w:rsid w:val="002617AE"/>
    <w:rsid w:val="0026185B"/>
    <w:rsid w:val="00261932"/>
    <w:rsid w:val="002619BA"/>
    <w:rsid w:val="00261B9A"/>
    <w:rsid w:val="00261C6E"/>
    <w:rsid w:val="00261CD0"/>
    <w:rsid w:val="00262075"/>
    <w:rsid w:val="002621C9"/>
    <w:rsid w:val="00262431"/>
    <w:rsid w:val="0026247A"/>
    <w:rsid w:val="002624EB"/>
    <w:rsid w:val="00262663"/>
    <w:rsid w:val="0026270D"/>
    <w:rsid w:val="002628A1"/>
    <w:rsid w:val="002629A3"/>
    <w:rsid w:val="00262A8A"/>
    <w:rsid w:val="00262C08"/>
    <w:rsid w:val="00262CA7"/>
    <w:rsid w:val="00262CC7"/>
    <w:rsid w:val="00262D9E"/>
    <w:rsid w:val="00262E9D"/>
    <w:rsid w:val="00263081"/>
    <w:rsid w:val="002634D3"/>
    <w:rsid w:val="0026352F"/>
    <w:rsid w:val="00263639"/>
    <w:rsid w:val="002636D0"/>
    <w:rsid w:val="00263751"/>
    <w:rsid w:val="002637AA"/>
    <w:rsid w:val="00263962"/>
    <w:rsid w:val="002639E9"/>
    <w:rsid w:val="00263A2F"/>
    <w:rsid w:val="00263A5D"/>
    <w:rsid w:val="00263AC8"/>
    <w:rsid w:val="00263B6D"/>
    <w:rsid w:val="00263BC6"/>
    <w:rsid w:val="00263DE6"/>
    <w:rsid w:val="00263FDF"/>
    <w:rsid w:val="002640C9"/>
    <w:rsid w:val="0026414D"/>
    <w:rsid w:val="0026424A"/>
    <w:rsid w:val="0026451C"/>
    <w:rsid w:val="00264537"/>
    <w:rsid w:val="0026459A"/>
    <w:rsid w:val="00264634"/>
    <w:rsid w:val="002646EF"/>
    <w:rsid w:val="00264707"/>
    <w:rsid w:val="00264732"/>
    <w:rsid w:val="00264736"/>
    <w:rsid w:val="002647A8"/>
    <w:rsid w:val="002647B4"/>
    <w:rsid w:val="002647DA"/>
    <w:rsid w:val="00264863"/>
    <w:rsid w:val="002648D1"/>
    <w:rsid w:val="00264973"/>
    <w:rsid w:val="00264AC0"/>
    <w:rsid w:val="00264BCF"/>
    <w:rsid w:val="00264C6C"/>
    <w:rsid w:val="00264D09"/>
    <w:rsid w:val="00264E59"/>
    <w:rsid w:val="00264F6E"/>
    <w:rsid w:val="00264F85"/>
    <w:rsid w:val="00264FA3"/>
    <w:rsid w:val="00264FF2"/>
    <w:rsid w:val="002650B0"/>
    <w:rsid w:val="00265134"/>
    <w:rsid w:val="00265406"/>
    <w:rsid w:val="0026558D"/>
    <w:rsid w:val="002657F8"/>
    <w:rsid w:val="00265A2D"/>
    <w:rsid w:val="00265A59"/>
    <w:rsid w:val="00265CC7"/>
    <w:rsid w:val="00265EB4"/>
    <w:rsid w:val="00265F0D"/>
    <w:rsid w:val="0026609B"/>
    <w:rsid w:val="00266162"/>
    <w:rsid w:val="002662B3"/>
    <w:rsid w:val="002663FF"/>
    <w:rsid w:val="00266425"/>
    <w:rsid w:val="0026679C"/>
    <w:rsid w:val="002667DD"/>
    <w:rsid w:val="002669BC"/>
    <w:rsid w:val="00266A1A"/>
    <w:rsid w:val="00266B3A"/>
    <w:rsid w:val="00266C79"/>
    <w:rsid w:val="00266CBC"/>
    <w:rsid w:val="00266CD9"/>
    <w:rsid w:val="00266F39"/>
    <w:rsid w:val="0026706B"/>
    <w:rsid w:val="0026709B"/>
    <w:rsid w:val="00267446"/>
    <w:rsid w:val="002674D9"/>
    <w:rsid w:val="002675CD"/>
    <w:rsid w:val="002675FE"/>
    <w:rsid w:val="0026762F"/>
    <w:rsid w:val="00267696"/>
    <w:rsid w:val="002679FF"/>
    <w:rsid w:val="00267A56"/>
    <w:rsid w:val="00267B54"/>
    <w:rsid w:val="00267BF6"/>
    <w:rsid w:val="00267CD2"/>
    <w:rsid w:val="00267CF9"/>
    <w:rsid w:val="00267DBD"/>
    <w:rsid w:val="00267DE2"/>
    <w:rsid w:val="00267F54"/>
    <w:rsid w:val="00267FC6"/>
    <w:rsid w:val="00270134"/>
    <w:rsid w:val="002701F3"/>
    <w:rsid w:val="00270300"/>
    <w:rsid w:val="0027034F"/>
    <w:rsid w:val="00270429"/>
    <w:rsid w:val="0027046D"/>
    <w:rsid w:val="00270517"/>
    <w:rsid w:val="002705A2"/>
    <w:rsid w:val="0027067E"/>
    <w:rsid w:val="002706F0"/>
    <w:rsid w:val="00270706"/>
    <w:rsid w:val="00270726"/>
    <w:rsid w:val="00270809"/>
    <w:rsid w:val="00270AD8"/>
    <w:rsid w:val="00270B6C"/>
    <w:rsid w:val="00270E01"/>
    <w:rsid w:val="00270E57"/>
    <w:rsid w:val="00270ED0"/>
    <w:rsid w:val="00271380"/>
    <w:rsid w:val="002716C0"/>
    <w:rsid w:val="002717DD"/>
    <w:rsid w:val="002717F8"/>
    <w:rsid w:val="00271999"/>
    <w:rsid w:val="002719BA"/>
    <w:rsid w:val="00271BB7"/>
    <w:rsid w:val="00271BFD"/>
    <w:rsid w:val="00271C65"/>
    <w:rsid w:val="00271E3E"/>
    <w:rsid w:val="00271E95"/>
    <w:rsid w:val="00271EB4"/>
    <w:rsid w:val="00271ECD"/>
    <w:rsid w:val="00272554"/>
    <w:rsid w:val="002725DF"/>
    <w:rsid w:val="00272622"/>
    <w:rsid w:val="002726D2"/>
    <w:rsid w:val="00272734"/>
    <w:rsid w:val="0027278C"/>
    <w:rsid w:val="002727F4"/>
    <w:rsid w:val="002729BD"/>
    <w:rsid w:val="00272E37"/>
    <w:rsid w:val="00272E71"/>
    <w:rsid w:val="002732B0"/>
    <w:rsid w:val="0027333B"/>
    <w:rsid w:val="0027336F"/>
    <w:rsid w:val="0027338B"/>
    <w:rsid w:val="00273453"/>
    <w:rsid w:val="002734D2"/>
    <w:rsid w:val="00273524"/>
    <w:rsid w:val="0027377D"/>
    <w:rsid w:val="00273A96"/>
    <w:rsid w:val="00273B4F"/>
    <w:rsid w:val="00273D6C"/>
    <w:rsid w:val="00273DF9"/>
    <w:rsid w:val="00273F23"/>
    <w:rsid w:val="00274012"/>
    <w:rsid w:val="0027404B"/>
    <w:rsid w:val="002741FE"/>
    <w:rsid w:val="002743CC"/>
    <w:rsid w:val="002743E9"/>
    <w:rsid w:val="00274523"/>
    <w:rsid w:val="0027466F"/>
    <w:rsid w:val="002748CD"/>
    <w:rsid w:val="002749E9"/>
    <w:rsid w:val="00274A97"/>
    <w:rsid w:val="00274AF7"/>
    <w:rsid w:val="00274AFE"/>
    <w:rsid w:val="00274C48"/>
    <w:rsid w:val="00274CE6"/>
    <w:rsid w:val="00274D47"/>
    <w:rsid w:val="00274F85"/>
    <w:rsid w:val="0027520A"/>
    <w:rsid w:val="0027529D"/>
    <w:rsid w:val="00275337"/>
    <w:rsid w:val="0027542D"/>
    <w:rsid w:val="00275443"/>
    <w:rsid w:val="00275483"/>
    <w:rsid w:val="00275621"/>
    <w:rsid w:val="00275774"/>
    <w:rsid w:val="002757C2"/>
    <w:rsid w:val="00275822"/>
    <w:rsid w:val="00275A26"/>
    <w:rsid w:val="00275A2B"/>
    <w:rsid w:val="00275AA5"/>
    <w:rsid w:val="00275B39"/>
    <w:rsid w:val="00275D38"/>
    <w:rsid w:val="00275EE9"/>
    <w:rsid w:val="00275F7C"/>
    <w:rsid w:val="00275F94"/>
    <w:rsid w:val="00275FC4"/>
    <w:rsid w:val="00275FE7"/>
    <w:rsid w:val="00276089"/>
    <w:rsid w:val="002760BD"/>
    <w:rsid w:val="0027612D"/>
    <w:rsid w:val="002761B7"/>
    <w:rsid w:val="00276355"/>
    <w:rsid w:val="0027637A"/>
    <w:rsid w:val="00276461"/>
    <w:rsid w:val="002764C4"/>
    <w:rsid w:val="00276500"/>
    <w:rsid w:val="0027655B"/>
    <w:rsid w:val="002765B8"/>
    <w:rsid w:val="002766DE"/>
    <w:rsid w:val="0027671E"/>
    <w:rsid w:val="00276796"/>
    <w:rsid w:val="0027684C"/>
    <w:rsid w:val="002768A4"/>
    <w:rsid w:val="00276C03"/>
    <w:rsid w:val="00276D2E"/>
    <w:rsid w:val="00276D93"/>
    <w:rsid w:val="00276DD6"/>
    <w:rsid w:val="00276EC6"/>
    <w:rsid w:val="00276F77"/>
    <w:rsid w:val="002770A9"/>
    <w:rsid w:val="002770DE"/>
    <w:rsid w:val="002771C4"/>
    <w:rsid w:val="002772C8"/>
    <w:rsid w:val="00277330"/>
    <w:rsid w:val="0027737F"/>
    <w:rsid w:val="002773CE"/>
    <w:rsid w:val="002774EE"/>
    <w:rsid w:val="0027753A"/>
    <w:rsid w:val="00277701"/>
    <w:rsid w:val="00277874"/>
    <w:rsid w:val="002778EE"/>
    <w:rsid w:val="00277AFD"/>
    <w:rsid w:val="00277C2A"/>
    <w:rsid w:val="00277C90"/>
    <w:rsid w:val="00277CB0"/>
    <w:rsid w:val="00277D67"/>
    <w:rsid w:val="00277DFE"/>
    <w:rsid w:val="00277DFF"/>
    <w:rsid w:val="00277F95"/>
    <w:rsid w:val="002800C4"/>
    <w:rsid w:val="002800D3"/>
    <w:rsid w:val="002801FF"/>
    <w:rsid w:val="00280205"/>
    <w:rsid w:val="00280292"/>
    <w:rsid w:val="00280339"/>
    <w:rsid w:val="002803E3"/>
    <w:rsid w:val="0028042A"/>
    <w:rsid w:val="002805B6"/>
    <w:rsid w:val="002806E8"/>
    <w:rsid w:val="00280746"/>
    <w:rsid w:val="002808DC"/>
    <w:rsid w:val="002809C3"/>
    <w:rsid w:val="00280AB0"/>
    <w:rsid w:val="00280BF1"/>
    <w:rsid w:val="00280F8F"/>
    <w:rsid w:val="00280FAD"/>
    <w:rsid w:val="00281114"/>
    <w:rsid w:val="00281197"/>
    <w:rsid w:val="002812C1"/>
    <w:rsid w:val="00281458"/>
    <w:rsid w:val="0028154C"/>
    <w:rsid w:val="00281632"/>
    <w:rsid w:val="002817E8"/>
    <w:rsid w:val="00281833"/>
    <w:rsid w:val="00281972"/>
    <w:rsid w:val="00281A6E"/>
    <w:rsid w:val="00281AB4"/>
    <w:rsid w:val="00281B26"/>
    <w:rsid w:val="00281B52"/>
    <w:rsid w:val="00281C11"/>
    <w:rsid w:val="00281D95"/>
    <w:rsid w:val="00281F39"/>
    <w:rsid w:val="00281F73"/>
    <w:rsid w:val="00281FF8"/>
    <w:rsid w:val="0028209B"/>
    <w:rsid w:val="002821A8"/>
    <w:rsid w:val="002823EA"/>
    <w:rsid w:val="002825B2"/>
    <w:rsid w:val="00282976"/>
    <w:rsid w:val="00282AA4"/>
    <w:rsid w:val="00282C2F"/>
    <w:rsid w:val="00282CA3"/>
    <w:rsid w:val="00282D12"/>
    <w:rsid w:val="00282DBB"/>
    <w:rsid w:val="00282E99"/>
    <w:rsid w:val="00282F27"/>
    <w:rsid w:val="0028318B"/>
    <w:rsid w:val="00283203"/>
    <w:rsid w:val="002832D7"/>
    <w:rsid w:val="002833AA"/>
    <w:rsid w:val="00283490"/>
    <w:rsid w:val="00283505"/>
    <w:rsid w:val="00283641"/>
    <w:rsid w:val="0028364E"/>
    <w:rsid w:val="002836BD"/>
    <w:rsid w:val="0028376A"/>
    <w:rsid w:val="002837DC"/>
    <w:rsid w:val="00283885"/>
    <w:rsid w:val="00283B32"/>
    <w:rsid w:val="00283BC9"/>
    <w:rsid w:val="00283C65"/>
    <w:rsid w:val="00283D9C"/>
    <w:rsid w:val="00283DA6"/>
    <w:rsid w:val="00283FB8"/>
    <w:rsid w:val="00284075"/>
    <w:rsid w:val="00284238"/>
    <w:rsid w:val="00284279"/>
    <w:rsid w:val="002843DD"/>
    <w:rsid w:val="002844D9"/>
    <w:rsid w:val="00284514"/>
    <w:rsid w:val="0028456A"/>
    <w:rsid w:val="00284618"/>
    <w:rsid w:val="00284671"/>
    <w:rsid w:val="00284734"/>
    <w:rsid w:val="002847B5"/>
    <w:rsid w:val="0028487B"/>
    <w:rsid w:val="00284B73"/>
    <w:rsid w:val="00284BDD"/>
    <w:rsid w:val="00284CF0"/>
    <w:rsid w:val="00284E24"/>
    <w:rsid w:val="00284F71"/>
    <w:rsid w:val="00284FEB"/>
    <w:rsid w:val="0028500A"/>
    <w:rsid w:val="00285075"/>
    <w:rsid w:val="002851D6"/>
    <w:rsid w:val="002851F2"/>
    <w:rsid w:val="00285393"/>
    <w:rsid w:val="0028543E"/>
    <w:rsid w:val="00285636"/>
    <w:rsid w:val="00285640"/>
    <w:rsid w:val="00285718"/>
    <w:rsid w:val="002857AA"/>
    <w:rsid w:val="00285A46"/>
    <w:rsid w:val="00285AB0"/>
    <w:rsid w:val="00285BEE"/>
    <w:rsid w:val="00285CC2"/>
    <w:rsid w:val="00285CF6"/>
    <w:rsid w:val="00285E1F"/>
    <w:rsid w:val="00285E66"/>
    <w:rsid w:val="00285EEA"/>
    <w:rsid w:val="0028646A"/>
    <w:rsid w:val="002865EC"/>
    <w:rsid w:val="0028664C"/>
    <w:rsid w:val="002866F3"/>
    <w:rsid w:val="00286B48"/>
    <w:rsid w:val="00286C90"/>
    <w:rsid w:val="00286CAE"/>
    <w:rsid w:val="00286D20"/>
    <w:rsid w:val="00287024"/>
    <w:rsid w:val="00287039"/>
    <w:rsid w:val="0028706E"/>
    <w:rsid w:val="002872BB"/>
    <w:rsid w:val="0028767E"/>
    <w:rsid w:val="00287803"/>
    <w:rsid w:val="0028782A"/>
    <w:rsid w:val="00287930"/>
    <w:rsid w:val="00287977"/>
    <w:rsid w:val="00287A6D"/>
    <w:rsid w:val="00287D0E"/>
    <w:rsid w:val="00287D37"/>
    <w:rsid w:val="00290078"/>
    <w:rsid w:val="002900C7"/>
    <w:rsid w:val="002903FF"/>
    <w:rsid w:val="00290445"/>
    <w:rsid w:val="002904BA"/>
    <w:rsid w:val="00290542"/>
    <w:rsid w:val="00290858"/>
    <w:rsid w:val="00290868"/>
    <w:rsid w:val="0029093E"/>
    <w:rsid w:val="00290A00"/>
    <w:rsid w:val="00290CCB"/>
    <w:rsid w:val="00290EC9"/>
    <w:rsid w:val="00290F9A"/>
    <w:rsid w:val="00290FD8"/>
    <w:rsid w:val="002910D1"/>
    <w:rsid w:val="002911BF"/>
    <w:rsid w:val="002916B3"/>
    <w:rsid w:val="0029177E"/>
    <w:rsid w:val="002918F4"/>
    <w:rsid w:val="0029191F"/>
    <w:rsid w:val="002919B1"/>
    <w:rsid w:val="00291F9D"/>
    <w:rsid w:val="00291FFE"/>
    <w:rsid w:val="0029236D"/>
    <w:rsid w:val="0029256C"/>
    <w:rsid w:val="00292597"/>
    <w:rsid w:val="00292633"/>
    <w:rsid w:val="00292694"/>
    <w:rsid w:val="002926C5"/>
    <w:rsid w:val="002926DA"/>
    <w:rsid w:val="002927B9"/>
    <w:rsid w:val="002928E0"/>
    <w:rsid w:val="00292982"/>
    <w:rsid w:val="00292B8B"/>
    <w:rsid w:val="00292B9C"/>
    <w:rsid w:val="00292D2B"/>
    <w:rsid w:val="00292ED9"/>
    <w:rsid w:val="002930D1"/>
    <w:rsid w:val="00293160"/>
    <w:rsid w:val="002933E1"/>
    <w:rsid w:val="002934D6"/>
    <w:rsid w:val="00293513"/>
    <w:rsid w:val="00293535"/>
    <w:rsid w:val="00293549"/>
    <w:rsid w:val="00293631"/>
    <w:rsid w:val="002937FE"/>
    <w:rsid w:val="00293968"/>
    <w:rsid w:val="002939B8"/>
    <w:rsid w:val="00293B8A"/>
    <w:rsid w:val="00293E28"/>
    <w:rsid w:val="002941C3"/>
    <w:rsid w:val="002942AB"/>
    <w:rsid w:val="002942DE"/>
    <w:rsid w:val="00294668"/>
    <w:rsid w:val="002946DE"/>
    <w:rsid w:val="002946E4"/>
    <w:rsid w:val="0029481B"/>
    <w:rsid w:val="002949DE"/>
    <w:rsid w:val="002949F0"/>
    <w:rsid w:val="00294B2D"/>
    <w:rsid w:val="00294BBC"/>
    <w:rsid w:val="00294BE7"/>
    <w:rsid w:val="00294D17"/>
    <w:rsid w:val="00294FE9"/>
    <w:rsid w:val="00295015"/>
    <w:rsid w:val="00295026"/>
    <w:rsid w:val="002950E8"/>
    <w:rsid w:val="0029533F"/>
    <w:rsid w:val="00295373"/>
    <w:rsid w:val="002953DF"/>
    <w:rsid w:val="002954B6"/>
    <w:rsid w:val="00295535"/>
    <w:rsid w:val="0029593F"/>
    <w:rsid w:val="00295AF2"/>
    <w:rsid w:val="00295B19"/>
    <w:rsid w:val="00295BEC"/>
    <w:rsid w:val="00295CC2"/>
    <w:rsid w:val="00295CEF"/>
    <w:rsid w:val="00295DBB"/>
    <w:rsid w:val="00295E38"/>
    <w:rsid w:val="00295EF6"/>
    <w:rsid w:val="00295F12"/>
    <w:rsid w:val="00295F24"/>
    <w:rsid w:val="002961A0"/>
    <w:rsid w:val="002961D8"/>
    <w:rsid w:val="00296452"/>
    <w:rsid w:val="00296496"/>
    <w:rsid w:val="00296798"/>
    <w:rsid w:val="002969EA"/>
    <w:rsid w:val="00296B32"/>
    <w:rsid w:val="00296B87"/>
    <w:rsid w:val="00296C8F"/>
    <w:rsid w:val="00296DC9"/>
    <w:rsid w:val="00296FDF"/>
    <w:rsid w:val="002970F0"/>
    <w:rsid w:val="0029721F"/>
    <w:rsid w:val="002973D8"/>
    <w:rsid w:val="0029748F"/>
    <w:rsid w:val="002976AD"/>
    <w:rsid w:val="002976C0"/>
    <w:rsid w:val="002976EC"/>
    <w:rsid w:val="00297872"/>
    <w:rsid w:val="00297923"/>
    <w:rsid w:val="00297C46"/>
    <w:rsid w:val="00297F8F"/>
    <w:rsid w:val="002A01E5"/>
    <w:rsid w:val="002A05DC"/>
    <w:rsid w:val="002A072B"/>
    <w:rsid w:val="002A0786"/>
    <w:rsid w:val="002A07E7"/>
    <w:rsid w:val="002A080F"/>
    <w:rsid w:val="002A0B05"/>
    <w:rsid w:val="002A0B6A"/>
    <w:rsid w:val="002A0BE4"/>
    <w:rsid w:val="002A0DCA"/>
    <w:rsid w:val="002A0EA8"/>
    <w:rsid w:val="002A0F1A"/>
    <w:rsid w:val="002A0FEE"/>
    <w:rsid w:val="002A11E0"/>
    <w:rsid w:val="002A1236"/>
    <w:rsid w:val="002A1347"/>
    <w:rsid w:val="002A140D"/>
    <w:rsid w:val="002A1554"/>
    <w:rsid w:val="002A1587"/>
    <w:rsid w:val="002A1785"/>
    <w:rsid w:val="002A1A5B"/>
    <w:rsid w:val="002A1BB3"/>
    <w:rsid w:val="002A1C3F"/>
    <w:rsid w:val="002A1CB2"/>
    <w:rsid w:val="002A1DCB"/>
    <w:rsid w:val="002A1E92"/>
    <w:rsid w:val="002A1F4A"/>
    <w:rsid w:val="002A2251"/>
    <w:rsid w:val="002A2347"/>
    <w:rsid w:val="002A23D4"/>
    <w:rsid w:val="002A25E6"/>
    <w:rsid w:val="002A26A6"/>
    <w:rsid w:val="002A276A"/>
    <w:rsid w:val="002A2774"/>
    <w:rsid w:val="002A2782"/>
    <w:rsid w:val="002A27A6"/>
    <w:rsid w:val="002A28D5"/>
    <w:rsid w:val="002A2A17"/>
    <w:rsid w:val="002A2ABD"/>
    <w:rsid w:val="002A2AD9"/>
    <w:rsid w:val="002A2D88"/>
    <w:rsid w:val="002A2DEC"/>
    <w:rsid w:val="002A2EF3"/>
    <w:rsid w:val="002A31E2"/>
    <w:rsid w:val="002A3330"/>
    <w:rsid w:val="002A36D6"/>
    <w:rsid w:val="002A3737"/>
    <w:rsid w:val="002A37AF"/>
    <w:rsid w:val="002A38B8"/>
    <w:rsid w:val="002A38F6"/>
    <w:rsid w:val="002A3911"/>
    <w:rsid w:val="002A398A"/>
    <w:rsid w:val="002A3AE9"/>
    <w:rsid w:val="002A3CFB"/>
    <w:rsid w:val="002A3D9E"/>
    <w:rsid w:val="002A3DBB"/>
    <w:rsid w:val="002A41FF"/>
    <w:rsid w:val="002A4210"/>
    <w:rsid w:val="002A43AF"/>
    <w:rsid w:val="002A43C1"/>
    <w:rsid w:val="002A43F7"/>
    <w:rsid w:val="002A4454"/>
    <w:rsid w:val="002A44C2"/>
    <w:rsid w:val="002A44CB"/>
    <w:rsid w:val="002A4773"/>
    <w:rsid w:val="002A4822"/>
    <w:rsid w:val="002A4843"/>
    <w:rsid w:val="002A48FE"/>
    <w:rsid w:val="002A4902"/>
    <w:rsid w:val="002A4A49"/>
    <w:rsid w:val="002A4B9E"/>
    <w:rsid w:val="002A4C3B"/>
    <w:rsid w:val="002A4D86"/>
    <w:rsid w:val="002A4F88"/>
    <w:rsid w:val="002A5078"/>
    <w:rsid w:val="002A50A1"/>
    <w:rsid w:val="002A50BA"/>
    <w:rsid w:val="002A512D"/>
    <w:rsid w:val="002A512E"/>
    <w:rsid w:val="002A5141"/>
    <w:rsid w:val="002A525C"/>
    <w:rsid w:val="002A52F4"/>
    <w:rsid w:val="002A53B0"/>
    <w:rsid w:val="002A5446"/>
    <w:rsid w:val="002A5617"/>
    <w:rsid w:val="002A5624"/>
    <w:rsid w:val="002A575A"/>
    <w:rsid w:val="002A5785"/>
    <w:rsid w:val="002A5826"/>
    <w:rsid w:val="002A597B"/>
    <w:rsid w:val="002A5ABA"/>
    <w:rsid w:val="002A5DE9"/>
    <w:rsid w:val="002A5E08"/>
    <w:rsid w:val="002A610E"/>
    <w:rsid w:val="002A628E"/>
    <w:rsid w:val="002A636C"/>
    <w:rsid w:val="002A639F"/>
    <w:rsid w:val="002A63FF"/>
    <w:rsid w:val="002A647D"/>
    <w:rsid w:val="002A648B"/>
    <w:rsid w:val="002A677A"/>
    <w:rsid w:val="002A67F0"/>
    <w:rsid w:val="002A6839"/>
    <w:rsid w:val="002A68D5"/>
    <w:rsid w:val="002A691F"/>
    <w:rsid w:val="002A6A78"/>
    <w:rsid w:val="002A6C5F"/>
    <w:rsid w:val="002A6C88"/>
    <w:rsid w:val="002A6CA9"/>
    <w:rsid w:val="002A6E3C"/>
    <w:rsid w:val="002A6F5D"/>
    <w:rsid w:val="002A6FA3"/>
    <w:rsid w:val="002A74C7"/>
    <w:rsid w:val="002A76D7"/>
    <w:rsid w:val="002A781F"/>
    <w:rsid w:val="002A78A9"/>
    <w:rsid w:val="002A7937"/>
    <w:rsid w:val="002A79B3"/>
    <w:rsid w:val="002A7D13"/>
    <w:rsid w:val="002A7FEB"/>
    <w:rsid w:val="002B002B"/>
    <w:rsid w:val="002B00D3"/>
    <w:rsid w:val="002B0159"/>
    <w:rsid w:val="002B0206"/>
    <w:rsid w:val="002B021D"/>
    <w:rsid w:val="002B0241"/>
    <w:rsid w:val="002B03D7"/>
    <w:rsid w:val="002B0441"/>
    <w:rsid w:val="002B047D"/>
    <w:rsid w:val="002B04F1"/>
    <w:rsid w:val="002B0569"/>
    <w:rsid w:val="002B0664"/>
    <w:rsid w:val="002B067F"/>
    <w:rsid w:val="002B083C"/>
    <w:rsid w:val="002B087A"/>
    <w:rsid w:val="002B099D"/>
    <w:rsid w:val="002B0A92"/>
    <w:rsid w:val="002B0AE5"/>
    <w:rsid w:val="002B0B86"/>
    <w:rsid w:val="002B0E7A"/>
    <w:rsid w:val="002B0EC4"/>
    <w:rsid w:val="002B0F1C"/>
    <w:rsid w:val="002B0F8D"/>
    <w:rsid w:val="002B1096"/>
    <w:rsid w:val="002B1132"/>
    <w:rsid w:val="002B118D"/>
    <w:rsid w:val="002B11EA"/>
    <w:rsid w:val="002B13E2"/>
    <w:rsid w:val="002B14A3"/>
    <w:rsid w:val="002B1582"/>
    <w:rsid w:val="002B1604"/>
    <w:rsid w:val="002B1698"/>
    <w:rsid w:val="002B1999"/>
    <w:rsid w:val="002B1BE2"/>
    <w:rsid w:val="002B1C5D"/>
    <w:rsid w:val="002B1EB3"/>
    <w:rsid w:val="002B207B"/>
    <w:rsid w:val="002B20A8"/>
    <w:rsid w:val="002B2340"/>
    <w:rsid w:val="002B24DC"/>
    <w:rsid w:val="002B2687"/>
    <w:rsid w:val="002B2882"/>
    <w:rsid w:val="002B292B"/>
    <w:rsid w:val="002B2995"/>
    <w:rsid w:val="002B2B04"/>
    <w:rsid w:val="002B2CB1"/>
    <w:rsid w:val="002B2D4F"/>
    <w:rsid w:val="002B2D9E"/>
    <w:rsid w:val="002B2E22"/>
    <w:rsid w:val="002B3081"/>
    <w:rsid w:val="002B30AF"/>
    <w:rsid w:val="002B31EB"/>
    <w:rsid w:val="002B349E"/>
    <w:rsid w:val="002B3658"/>
    <w:rsid w:val="002B3828"/>
    <w:rsid w:val="002B394C"/>
    <w:rsid w:val="002B39F7"/>
    <w:rsid w:val="002B3A79"/>
    <w:rsid w:val="002B3BA5"/>
    <w:rsid w:val="002B3CB1"/>
    <w:rsid w:val="002B3CC5"/>
    <w:rsid w:val="002B3F4A"/>
    <w:rsid w:val="002B412D"/>
    <w:rsid w:val="002B4131"/>
    <w:rsid w:val="002B4245"/>
    <w:rsid w:val="002B4414"/>
    <w:rsid w:val="002B444B"/>
    <w:rsid w:val="002B44E8"/>
    <w:rsid w:val="002B4862"/>
    <w:rsid w:val="002B4879"/>
    <w:rsid w:val="002B487C"/>
    <w:rsid w:val="002B498E"/>
    <w:rsid w:val="002B49E3"/>
    <w:rsid w:val="002B4B87"/>
    <w:rsid w:val="002B4CEA"/>
    <w:rsid w:val="002B5020"/>
    <w:rsid w:val="002B52B8"/>
    <w:rsid w:val="002B5476"/>
    <w:rsid w:val="002B54D9"/>
    <w:rsid w:val="002B55AD"/>
    <w:rsid w:val="002B5661"/>
    <w:rsid w:val="002B56D8"/>
    <w:rsid w:val="002B56E8"/>
    <w:rsid w:val="002B5762"/>
    <w:rsid w:val="002B5930"/>
    <w:rsid w:val="002B5A88"/>
    <w:rsid w:val="002B5AA2"/>
    <w:rsid w:val="002B5D0B"/>
    <w:rsid w:val="002B5D70"/>
    <w:rsid w:val="002B5DFB"/>
    <w:rsid w:val="002B5E15"/>
    <w:rsid w:val="002B5E41"/>
    <w:rsid w:val="002B5EC3"/>
    <w:rsid w:val="002B5FB8"/>
    <w:rsid w:val="002B600F"/>
    <w:rsid w:val="002B6065"/>
    <w:rsid w:val="002B616C"/>
    <w:rsid w:val="002B61BA"/>
    <w:rsid w:val="002B6346"/>
    <w:rsid w:val="002B6546"/>
    <w:rsid w:val="002B66FC"/>
    <w:rsid w:val="002B67B4"/>
    <w:rsid w:val="002B6816"/>
    <w:rsid w:val="002B68BB"/>
    <w:rsid w:val="002B68FD"/>
    <w:rsid w:val="002B6A55"/>
    <w:rsid w:val="002B6BD1"/>
    <w:rsid w:val="002B6CBA"/>
    <w:rsid w:val="002B6D66"/>
    <w:rsid w:val="002B6E92"/>
    <w:rsid w:val="002B6EA2"/>
    <w:rsid w:val="002B708E"/>
    <w:rsid w:val="002B722C"/>
    <w:rsid w:val="002B72FD"/>
    <w:rsid w:val="002B7313"/>
    <w:rsid w:val="002B737A"/>
    <w:rsid w:val="002B73E9"/>
    <w:rsid w:val="002B74D7"/>
    <w:rsid w:val="002B751A"/>
    <w:rsid w:val="002B7617"/>
    <w:rsid w:val="002B77DA"/>
    <w:rsid w:val="002B7979"/>
    <w:rsid w:val="002B7B85"/>
    <w:rsid w:val="002B7CE8"/>
    <w:rsid w:val="002B7E21"/>
    <w:rsid w:val="002B7EB2"/>
    <w:rsid w:val="002C000D"/>
    <w:rsid w:val="002C01E1"/>
    <w:rsid w:val="002C0273"/>
    <w:rsid w:val="002C0511"/>
    <w:rsid w:val="002C0519"/>
    <w:rsid w:val="002C0551"/>
    <w:rsid w:val="002C055D"/>
    <w:rsid w:val="002C05B8"/>
    <w:rsid w:val="002C05DB"/>
    <w:rsid w:val="002C05E8"/>
    <w:rsid w:val="002C06FE"/>
    <w:rsid w:val="002C0785"/>
    <w:rsid w:val="002C08C4"/>
    <w:rsid w:val="002C0990"/>
    <w:rsid w:val="002C0D50"/>
    <w:rsid w:val="002C0FC0"/>
    <w:rsid w:val="002C1002"/>
    <w:rsid w:val="002C10B6"/>
    <w:rsid w:val="002C1156"/>
    <w:rsid w:val="002C1208"/>
    <w:rsid w:val="002C13BF"/>
    <w:rsid w:val="002C1446"/>
    <w:rsid w:val="002C1529"/>
    <w:rsid w:val="002C1640"/>
    <w:rsid w:val="002C1658"/>
    <w:rsid w:val="002C18DB"/>
    <w:rsid w:val="002C1A2A"/>
    <w:rsid w:val="002C1B45"/>
    <w:rsid w:val="002C1B91"/>
    <w:rsid w:val="002C1C08"/>
    <w:rsid w:val="002C1CD8"/>
    <w:rsid w:val="002C1E17"/>
    <w:rsid w:val="002C1EB8"/>
    <w:rsid w:val="002C1F33"/>
    <w:rsid w:val="002C1F38"/>
    <w:rsid w:val="002C201B"/>
    <w:rsid w:val="002C204A"/>
    <w:rsid w:val="002C21CA"/>
    <w:rsid w:val="002C226B"/>
    <w:rsid w:val="002C22DF"/>
    <w:rsid w:val="002C2354"/>
    <w:rsid w:val="002C2375"/>
    <w:rsid w:val="002C249F"/>
    <w:rsid w:val="002C24BA"/>
    <w:rsid w:val="002C281D"/>
    <w:rsid w:val="002C28B1"/>
    <w:rsid w:val="002C28DC"/>
    <w:rsid w:val="002C28F8"/>
    <w:rsid w:val="002C2AE8"/>
    <w:rsid w:val="002C2B2C"/>
    <w:rsid w:val="002C2F30"/>
    <w:rsid w:val="002C2F9D"/>
    <w:rsid w:val="002C2F9E"/>
    <w:rsid w:val="002C2FEE"/>
    <w:rsid w:val="002C3016"/>
    <w:rsid w:val="002C3118"/>
    <w:rsid w:val="002C3277"/>
    <w:rsid w:val="002C3423"/>
    <w:rsid w:val="002C3588"/>
    <w:rsid w:val="002C360B"/>
    <w:rsid w:val="002C36E9"/>
    <w:rsid w:val="002C3889"/>
    <w:rsid w:val="002C3C55"/>
    <w:rsid w:val="002C3DE2"/>
    <w:rsid w:val="002C3DFF"/>
    <w:rsid w:val="002C40C0"/>
    <w:rsid w:val="002C41B9"/>
    <w:rsid w:val="002C41F3"/>
    <w:rsid w:val="002C42A5"/>
    <w:rsid w:val="002C440C"/>
    <w:rsid w:val="002C4489"/>
    <w:rsid w:val="002C46CA"/>
    <w:rsid w:val="002C4727"/>
    <w:rsid w:val="002C4776"/>
    <w:rsid w:val="002C4C99"/>
    <w:rsid w:val="002C4F3E"/>
    <w:rsid w:val="002C4FF1"/>
    <w:rsid w:val="002C50A9"/>
    <w:rsid w:val="002C524E"/>
    <w:rsid w:val="002C5294"/>
    <w:rsid w:val="002C5398"/>
    <w:rsid w:val="002C543A"/>
    <w:rsid w:val="002C5497"/>
    <w:rsid w:val="002C54FF"/>
    <w:rsid w:val="002C5503"/>
    <w:rsid w:val="002C5504"/>
    <w:rsid w:val="002C5667"/>
    <w:rsid w:val="002C5997"/>
    <w:rsid w:val="002C5A53"/>
    <w:rsid w:val="002C5A7B"/>
    <w:rsid w:val="002C5B37"/>
    <w:rsid w:val="002C5EDB"/>
    <w:rsid w:val="002C5F47"/>
    <w:rsid w:val="002C5FBA"/>
    <w:rsid w:val="002C60AF"/>
    <w:rsid w:val="002C6209"/>
    <w:rsid w:val="002C6232"/>
    <w:rsid w:val="002C64E0"/>
    <w:rsid w:val="002C64EA"/>
    <w:rsid w:val="002C6549"/>
    <w:rsid w:val="002C65A4"/>
    <w:rsid w:val="002C664D"/>
    <w:rsid w:val="002C6752"/>
    <w:rsid w:val="002C682D"/>
    <w:rsid w:val="002C68E1"/>
    <w:rsid w:val="002C6A01"/>
    <w:rsid w:val="002C6A08"/>
    <w:rsid w:val="002C6A29"/>
    <w:rsid w:val="002C6C28"/>
    <w:rsid w:val="002C6CE0"/>
    <w:rsid w:val="002C6D01"/>
    <w:rsid w:val="002C6D7E"/>
    <w:rsid w:val="002C6F3C"/>
    <w:rsid w:val="002C7018"/>
    <w:rsid w:val="002C70A8"/>
    <w:rsid w:val="002C70F7"/>
    <w:rsid w:val="002C714C"/>
    <w:rsid w:val="002C7185"/>
    <w:rsid w:val="002C718F"/>
    <w:rsid w:val="002C720E"/>
    <w:rsid w:val="002C727B"/>
    <w:rsid w:val="002C7385"/>
    <w:rsid w:val="002C74AF"/>
    <w:rsid w:val="002C7675"/>
    <w:rsid w:val="002C76BB"/>
    <w:rsid w:val="002C76D2"/>
    <w:rsid w:val="002C7A18"/>
    <w:rsid w:val="002C7ACF"/>
    <w:rsid w:val="002C7E08"/>
    <w:rsid w:val="002C7E87"/>
    <w:rsid w:val="002C7EB7"/>
    <w:rsid w:val="002C7EDA"/>
    <w:rsid w:val="002C7EF8"/>
    <w:rsid w:val="002C7F4A"/>
    <w:rsid w:val="002C7F64"/>
    <w:rsid w:val="002D0123"/>
    <w:rsid w:val="002D037F"/>
    <w:rsid w:val="002D04FD"/>
    <w:rsid w:val="002D05B6"/>
    <w:rsid w:val="002D0681"/>
    <w:rsid w:val="002D0706"/>
    <w:rsid w:val="002D079F"/>
    <w:rsid w:val="002D09D3"/>
    <w:rsid w:val="002D0F9B"/>
    <w:rsid w:val="002D0FC2"/>
    <w:rsid w:val="002D1061"/>
    <w:rsid w:val="002D10C3"/>
    <w:rsid w:val="002D10DB"/>
    <w:rsid w:val="002D1255"/>
    <w:rsid w:val="002D12B2"/>
    <w:rsid w:val="002D1338"/>
    <w:rsid w:val="002D1574"/>
    <w:rsid w:val="002D15A7"/>
    <w:rsid w:val="002D1652"/>
    <w:rsid w:val="002D16F3"/>
    <w:rsid w:val="002D1745"/>
    <w:rsid w:val="002D17D4"/>
    <w:rsid w:val="002D1909"/>
    <w:rsid w:val="002D19CF"/>
    <w:rsid w:val="002D1A7E"/>
    <w:rsid w:val="002D1AED"/>
    <w:rsid w:val="002D1D74"/>
    <w:rsid w:val="002D1EB9"/>
    <w:rsid w:val="002D1F4A"/>
    <w:rsid w:val="002D200D"/>
    <w:rsid w:val="002D2034"/>
    <w:rsid w:val="002D21B5"/>
    <w:rsid w:val="002D2249"/>
    <w:rsid w:val="002D240A"/>
    <w:rsid w:val="002D275C"/>
    <w:rsid w:val="002D27C3"/>
    <w:rsid w:val="002D2985"/>
    <w:rsid w:val="002D29D8"/>
    <w:rsid w:val="002D2A1D"/>
    <w:rsid w:val="002D2AFE"/>
    <w:rsid w:val="002D2C31"/>
    <w:rsid w:val="002D2CC7"/>
    <w:rsid w:val="002D2CFF"/>
    <w:rsid w:val="002D2DDA"/>
    <w:rsid w:val="002D2F67"/>
    <w:rsid w:val="002D2F6F"/>
    <w:rsid w:val="002D350C"/>
    <w:rsid w:val="002D3571"/>
    <w:rsid w:val="002D358F"/>
    <w:rsid w:val="002D35F6"/>
    <w:rsid w:val="002D36A5"/>
    <w:rsid w:val="002D3801"/>
    <w:rsid w:val="002D387F"/>
    <w:rsid w:val="002D3AEB"/>
    <w:rsid w:val="002D3BB0"/>
    <w:rsid w:val="002D3DF6"/>
    <w:rsid w:val="002D3EC2"/>
    <w:rsid w:val="002D3ED6"/>
    <w:rsid w:val="002D3F09"/>
    <w:rsid w:val="002D3FE6"/>
    <w:rsid w:val="002D404C"/>
    <w:rsid w:val="002D40BF"/>
    <w:rsid w:val="002D421E"/>
    <w:rsid w:val="002D42CA"/>
    <w:rsid w:val="002D42E1"/>
    <w:rsid w:val="002D4484"/>
    <w:rsid w:val="002D4597"/>
    <w:rsid w:val="002D45D1"/>
    <w:rsid w:val="002D4793"/>
    <w:rsid w:val="002D47A5"/>
    <w:rsid w:val="002D4A75"/>
    <w:rsid w:val="002D4B02"/>
    <w:rsid w:val="002D4B17"/>
    <w:rsid w:val="002D4CBC"/>
    <w:rsid w:val="002D4CFB"/>
    <w:rsid w:val="002D4DF2"/>
    <w:rsid w:val="002D4E23"/>
    <w:rsid w:val="002D4F42"/>
    <w:rsid w:val="002D5157"/>
    <w:rsid w:val="002D5365"/>
    <w:rsid w:val="002D54CD"/>
    <w:rsid w:val="002D573D"/>
    <w:rsid w:val="002D578E"/>
    <w:rsid w:val="002D58BE"/>
    <w:rsid w:val="002D5929"/>
    <w:rsid w:val="002D59AE"/>
    <w:rsid w:val="002D59B4"/>
    <w:rsid w:val="002D5A19"/>
    <w:rsid w:val="002D5ABD"/>
    <w:rsid w:val="002D5CE8"/>
    <w:rsid w:val="002D5D74"/>
    <w:rsid w:val="002D5E21"/>
    <w:rsid w:val="002D5F31"/>
    <w:rsid w:val="002D6024"/>
    <w:rsid w:val="002D6265"/>
    <w:rsid w:val="002D62AE"/>
    <w:rsid w:val="002D642F"/>
    <w:rsid w:val="002D6558"/>
    <w:rsid w:val="002D65B8"/>
    <w:rsid w:val="002D65E9"/>
    <w:rsid w:val="002D6616"/>
    <w:rsid w:val="002D66A2"/>
    <w:rsid w:val="002D689A"/>
    <w:rsid w:val="002D6918"/>
    <w:rsid w:val="002D691C"/>
    <w:rsid w:val="002D6948"/>
    <w:rsid w:val="002D6A1A"/>
    <w:rsid w:val="002D6C5E"/>
    <w:rsid w:val="002D6D53"/>
    <w:rsid w:val="002D701A"/>
    <w:rsid w:val="002D70A7"/>
    <w:rsid w:val="002D70D7"/>
    <w:rsid w:val="002D71E6"/>
    <w:rsid w:val="002D72F0"/>
    <w:rsid w:val="002D73BF"/>
    <w:rsid w:val="002D7694"/>
    <w:rsid w:val="002D7866"/>
    <w:rsid w:val="002D797F"/>
    <w:rsid w:val="002D7991"/>
    <w:rsid w:val="002D7A94"/>
    <w:rsid w:val="002D7AE1"/>
    <w:rsid w:val="002D7C54"/>
    <w:rsid w:val="002D7C86"/>
    <w:rsid w:val="002D7DA3"/>
    <w:rsid w:val="002E01CE"/>
    <w:rsid w:val="002E01FB"/>
    <w:rsid w:val="002E0274"/>
    <w:rsid w:val="002E02AB"/>
    <w:rsid w:val="002E038C"/>
    <w:rsid w:val="002E03BC"/>
    <w:rsid w:val="002E046B"/>
    <w:rsid w:val="002E04C6"/>
    <w:rsid w:val="002E0645"/>
    <w:rsid w:val="002E0731"/>
    <w:rsid w:val="002E07B4"/>
    <w:rsid w:val="002E0960"/>
    <w:rsid w:val="002E0A89"/>
    <w:rsid w:val="002E0B2E"/>
    <w:rsid w:val="002E0BD1"/>
    <w:rsid w:val="002E0D61"/>
    <w:rsid w:val="002E0D63"/>
    <w:rsid w:val="002E0D8F"/>
    <w:rsid w:val="002E0F93"/>
    <w:rsid w:val="002E102F"/>
    <w:rsid w:val="002E104C"/>
    <w:rsid w:val="002E1112"/>
    <w:rsid w:val="002E1121"/>
    <w:rsid w:val="002E113A"/>
    <w:rsid w:val="002E118E"/>
    <w:rsid w:val="002E11D4"/>
    <w:rsid w:val="002E1312"/>
    <w:rsid w:val="002E132A"/>
    <w:rsid w:val="002E1372"/>
    <w:rsid w:val="002E13AE"/>
    <w:rsid w:val="002E1502"/>
    <w:rsid w:val="002E1691"/>
    <w:rsid w:val="002E17C8"/>
    <w:rsid w:val="002E1971"/>
    <w:rsid w:val="002E1B1C"/>
    <w:rsid w:val="002E1B25"/>
    <w:rsid w:val="002E1C52"/>
    <w:rsid w:val="002E1C61"/>
    <w:rsid w:val="002E1C9B"/>
    <w:rsid w:val="002E1EE6"/>
    <w:rsid w:val="002E1F8A"/>
    <w:rsid w:val="002E201A"/>
    <w:rsid w:val="002E2036"/>
    <w:rsid w:val="002E20D5"/>
    <w:rsid w:val="002E20DE"/>
    <w:rsid w:val="002E210A"/>
    <w:rsid w:val="002E23D4"/>
    <w:rsid w:val="002E2679"/>
    <w:rsid w:val="002E2864"/>
    <w:rsid w:val="002E2AE1"/>
    <w:rsid w:val="002E2DAB"/>
    <w:rsid w:val="002E2EC8"/>
    <w:rsid w:val="002E2F00"/>
    <w:rsid w:val="002E2F4B"/>
    <w:rsid w:val="002E2FC3"/>
    <w:rsid w:val="002E32EC"/>
    <w:rsid w:val="002E3303"/>
    <w:rsid w:val="002E3410"/>
    <w:rsid w:val="002E359B"/>
    <w:rsid w:val="002E35F5"/>
    <w:rsid w:val="002E3778"/>
    <w:rsid w:val="002E3A2B"/>
    <w:rsid w:val="002E3ABB"/>
    <w:rsid w:val="002E3BBD"/>
    <w:rsid w:val="002E3D21"/>
    <w:rsid w:val="002E3D72"/>
    <w:rsid w:val="002E3D98"/>
    <w:rsid w:val="002E3E59"/>
    <w:rsid w:val="002E410E"/>
    <w:rsid w:val="002E4181"/>
    <w:rsid w:val="002E422A"/>
    <w:rsid w:val="002E42AB"/>
    <w:rsid w:val="002E42C5"/>
    <w:rsid w:val="002E4380"/>
    <w:rsid w:val="002E43D3"/>
    <w:rsid w:val="002E44FE"/>
    <w:rsid w:val="002E46FB"/>
    <w:rsid w:val="002E47E4"/>
    <w:rsid w:val="002E49C7"/>
    <w:rsid w:val="002E4AAD"/>
    <w:rsid w:val="002E4AC3"/>
    <w:rsid w:val="002E4AEE"/>
    <w:rsid w:val="002E4D8C"/>
    <w:rsid w:val="002E4EBE"/>
    <w:rsid w:val="002E4FD7"/>
    <w:rsid w:val="002E50B3"/>
    <w:rsid w:val="002E5106"/>
    <w:rsid w:val="002E53E5"/>
    <w:rsid w:val="002E5491"/>
    <w:rsid w:val="002E54A5"/>
    <w:rsid w:val="002E55F8"/>
    <w:rsid w:val="002E5682"/>
    <w:rsid w:val="002E5707"/>
    <w:rsid w:val="002E5770"/>
    <w:rsid w:val="002E5B7A"/>
    <w:rsid w:val="002E5C6F"/>
    <w:rsid w:val="002E5CAE"/>
    <w:rsid w:val="002E5CBE"/>
    <w:rsid w:val="002E5CDD"/>
    <w:rsid w:val="002E5D01"/>
    <w:rsid w:val="002E5EC7"/>
    <w:rsid w:val="002E5F4C"/>
    <w:rsid w:val="002E62B9"/>
    <w:rsid w:val="002E65EC"/>
    <w:rsid w:val="002E67F3"/>
    <w:rsid w:val="002E68C6"/>
    <w:rsid w:val="002E6963"/>
    <w:rsid w:val="002E6979"/>
    <w:rsid w:val="002E6C12"/>
    <w:rsid w:val="002E6CDA"/>
    <w:rsid w:val="002E6DBC"/>
    <w:rsid w:val="002E7013"/>
    <w:rsid w:val="002E736E"/>
    <w:rsid w:val="002E73FF"/>
    <w:rsid w:val="002E7539"/>
    <w:rsid w:val="002E758B"/>
    <w:rsid w:val="002E758D"/>
    <w:rsid w:val="002E7804"/>
    <w:rsid w:val="002E7806"/>
    <w:rsid w:val="002E7936"/>
    <w:rsid w:val="002E798B"/>
    <w:rsid w:val="002E7A67"/>
    <w:rsid w:val="002E7AB9"/>
    <w:rsid w:val="002E7BB7"/>
    <w:rsid w:val="002E7BC6"/>
    <w:rsid w:val="002E7C28"/>
    <w:rsid w:val="002E7CDB"/>
    <w:rsid w:val="002E7D64"/>
    <w:rsid w:val="002E7DA5"/>
    <w:rsid w:val="002E7DD8"/>
    <w:rsid w:val="002E7E60"/>
    <w:rsid w:val="002F00B5"/>
    <w:rsid w:val="002F00E1"/>
    <w:rsid w:val="002F01A8"/>
    <w:rsid w:val="002F0411"/>
    <w:rsid w:val="002F05A7"/>
    <w:rsid w:val="002F05EF"/>
    <w:rsid w:val="002F07C7"/>
    <w:rsid w:val="002F0978"/>
    <w:rsid w:val="002F09B7"/>
    <w:rsid w:val="002F0CF4"/>
    <w:rsid w:val="002F0E6B"/>
    <w:rsid w:val="002F0E79"/>
    <w:rsid w:val="002F13D5"/>
    <w:rsid w:val="002F149B"/>
    <w:rsid w:val="002F14BC"/>
    <w:rsid w:val="002F1522"/>
    <w:rsid w:val="002F15E1"/>
    <w:rsid w:val="002F1668"/>
    <w:rsid w:val="002F16FC"/>
    <w:rsid w:val="002F17F9"/>
    <w:rsid w:val="002F1A33"/>
    <w:rsid w:val="002F1C16"/>
    <w:rsid w:val="002F1DC0"/>
    <w:rsid w:val="002F1F50"/>
    <w:rsid w:val="002F208E"/>
    <w:rsid w:val="002F20F1"/>
    <w:rsid w:val="002F2203"/>
    <w:rsid w:val="002F23D4"/>
    <w:rsid w:val="002F258F"/>
    <w:rsid w:val="002F25A6"/>
    <w:rsid w:val="002F2854"/>
    <w:rsid w:val="002F2872"/>
    <w:rsid w:val="002F2898"/>
    <w:rsid w:val="002F28DF"/>
    <w:rsid w:val="002F29D8"/>
    <w:rsid w:val="002F2A65"/>
    <w:rsid w:val="002F2A86"/>
    <w:rsid w:val="002F2B04"/>
    <w:rsid w:val="002F2BF7"/>
    <w:rsid w:val="002F2D42"/>
    <w:rsid w:val="002F2FD0"/>
    <w:rsid w:val="002F3037"/>
    <w:rsid w:val="002F3123"/>
    <w:rsid w:val="002F3229"/>
    <w:rsid w:val="002F328D"/>
    <w:rsid w:val="002F3424"/>
    <w:rsid w:val="002F3445"/>
    <w:rsid w:val="002F359D"/>
    <w:rsid w:val="002F368F"/>
    <w:rsid w:val="002F397D"/>
    <w:rsid w:val="002F39CC"/>
    <w:rsid w:val="002F39CD"/>
    <w:rsid w:val="002F3A90"/>
    <w:rsid w:val="002F3A92"/>
    <w:rsid w:val="002F3BCF"/>
    <w:rsid w:val="002F3CBE"/>
    <w:rsid w:val="002F3D75"/>
    <w:rsid w:val="002F3E91"/>
    <w:rsid w:val="002F4061"/>
    <w:rsid w:val="002F41B2"/>
    <w:rsid w:val="002F43A6"/>
    <w:rsid w:val="002F4486"/>
    <w:rsid w:val="002F44B0"/>
    <w:rsid w:val="002F455D"/>
    <w:rsid w:val="002F4562"/>
    <w:rsid w:val="002F45FD"/>
    <w:rsid w:val="002F46EA"/>
    <w:rsid w:val="002F4711"/>
    <w:rsid w:val="002F48CE"/>
    <w:rsid w:val="002F4951"/>
    <w:rsid w:val="002F49B6"/>
    <w:rsid w:val="002F4B19"/>
    <w:rsid w:val="002F4B82"/>
    <w:rsid w:val="002F50B0"/>
    <w:rsid w:val="002F50FD"/>
    <w:rsid w:val="002F5128"/>
    <w:rsid w:val="002F532F"/>
    <w:rsid w:val="002F535A"/>
    <w:rsid w:val="002F53FB"/>
    <w:rsid w:val="002F5888"/>
    <w:rsid w:val="002F59A6"/>
    <w:rsid w:val="002F59E8"/>
    <w:rsid w:val="002F59F8"/>
    <w:rsid w:val="002F5AAE"/>
    <w:rsid w:val="002F5AC9"/>
    <w:rsid w:val="002F5B89"/>
    <w:rsid w:val="002F5E35"/>
    <w:rsid w:val="002F5EE7"/>
    <w:rsid w:val="002F5FF5"/>
    <w:rsid w:val="002F6299"/>
    <w:rsid w:val="002F62D7"/>
    <w:rsid w:val="002F63D4"/>
    <w:rsid w:val="002F65B1"/>
    <w:rsid w:val="002F65F1"/>
    <w:rsid w:val="002F6757"/>
    <w:rsid w:val="002F67BB"/>
    <w:rsid w:val="002F68EB"/>
    <w:rsid w:val="002F6935"/>
    <w:rsid w:val="002F6ACF"/>
    <w:rsid w:val="002F6AE8"/>
    <w:rsid w:val="002F6BC8"/>
    <w:rsid w:val="002F6CFF"/>
    <w:rsid w:val="002F6E81"/>
    <w:rsid w:val="002F6F3F"/>
    <w:rsid w:val="002F6F80"/>
    <w:rsid w:val="002F70C2"/>
    <w:rsid w:val="002F71E7"/>
    <w:rsid w:val="002F71F4"/>
    <w:rsid w:val="002F73CF"/>
    <w:rsid w:val="002F74B4"/>
    <w:rsid w:val="002F74FB"/>
    <w:rsid w:val="002F7554"/>
    <w:rsid w:val="002F7719"/>
    <w:rsid w:val="002F7740"/>
    <w:rsid w:val="002F781F"/>
    <w:rsid w:val="002F78F5"/>
    <w:rsid w:val="002F7A2C"/>
    <w:rsid w:val="002F7AB4"/>
    <w:rsid w:val="002F7AD2"/>
    <w:rsid w:val="002F7B82"/>
    <w:rsid w:val="002F7B90"/>
    <w:rsid w:val="002F7CBE"/>
    <w:rsid w:val="002F7CF5"/>
    <w:rsid w:val="002F7CF7"/>
    <w:rsid w:val="002F7E50"/>
    <w:rsid w:val="002F7F2B"/>
    <w:rsid w:val="00300098"/>
    <w:rsid w:val="00300328"/>
    <w:rsid w:val="00300493"/>
    <w:rsid w:val="003004A3"/>
    <w:rsid w:val="003005DF"/>
    <w:rsid w:val="003005E4"/>
    <w:rsid w:val="00300772"/>
    <w:rsid w:val="003007C2"/>
    <w:rsid w:val="00300812"/>
    <w:rsid w:val="00300821"/>
    <w:rsid w:val="003009B4"/>
    <w:rsid w:val="00300A53"/>
    <w:rsid w:val="00300A9B"/>
    <w:rsid w:val="00300BC1"/>
    <w:rsid w:val="00300C7B"/>
    <w:rsid w:val="00300C87"/>
    <w:rsid w:val="00300D0A"/>
    <w:rsid w:val="00300DE5"/>
    <w:rsid w:val="00300EFF"/>
    <w:rsid w:val="0030108C"/>
    <w:rsid w:val="003011FC"/>
    <w:rsid w:val="0030141D"/>
    <w:rsid w:val="0030150A"/>
    <w:rsid w:val="003015EA"/>
    <w:rsid w:val="00301A6F"/>
    <w:rsid w:val="00301B03"/>
    <w:rsid w:val="00301CB3"/>
    <w:rsid w:val="00301D90"/>
    <w:rsid w:val="00301E14"/>
    <w:rsid w:val="00301E1A"/>
    <w:rsid w:val="00301E22"/>
    <w:rsid w:val="00301EEF"/>
    <w:rsid w:val="00301F7D"/>
    <w:rsid w:val="0030217D"/>
    <w:rsid w:val="00302260"/>
    <w:rsid w:val="00302300"/>
    <w:rsid w:val="0030233A"/>
    <w:rsid w:val="0030249E"/>
    <w:rsid w:val="003025CD"/>
    <w:rsid w:val="00302785"/>
    <w:rsid w:val="0030283D"/>
    <w:rsid w:val="003029B2"/>
    <w:rsid w:val="003029F0"/>
    <w:rsid w:val="00302C34"/>
    <w:rsid w:val="00302CFF"/>
    <w:rsid w:val="00302F05"/>
    <w:rsid w:val="00302F8E"/>
    <w:rsid w:val="00302FD9"/>
    <w:rsid w:val="0030347A"/>
    <w:rsid w:val="003034FC"/>
    <w:rsid w:val="0030376F"/>
    <w:rsid w:val="00303869"/>
    <w:rsid w:val="00303960"/>
    <w:rsid w:val="003039C1"/>
    <w:rsid w:val="003039CE"/>
    <w:rsid w:val="00303A0D"/>
    <w:rsid w:val="00303BE0"/>
    <w:rsid w:val="00303CF1"/>
    <w:rsid w:val="00303F36"/>
    <w:rsid w:val="00303F9C"/>
    <w:rsid w:val="003043A2"/>
    <w:rsid w:val="003043B2"/>
    <w:rsid w:val="003044BA"/>
    <w:rsid w:val="00304625"/>
    <w:rsid w:val="0030467D"/>
    <w:rsid w:val="0030477C"/>
    <w:rsid w:val="0030481D"/>
    <w:rsid w:val="00304841"/>
    <w:rsid w:val="00304A40"/>
    <w:rsid w:val="00304C9E"/>
    <w:rsid w:val="00304CF4"/>
    <w:rsid w:val="00304EAD"/>
    <w:rsid w:val="00304F29"/>
    <w:rsid w:val="00304FB1"/>
    <w:rsid w:val="0030518D"/>
    <w:rsid w:val="00305537"/>
    <w:rsid w:val="0030563A"/>
    <w:rsid w:val="0030574D"/>
    <w:rsid w:val="003057C1"/>
    <w:rsid w:val="00305839"/>
    <w:rsid w:val="003058D8"/>
    <w:rsid w:val="003059B0"/>
    <w:rsid w:val="00305A31"/>
    <w:rsid w:val="00305B15"/>
    <w:rsid w:val="00305CF8"/>
    <w:rsid w:val="00305F1B"/>
    <w:rsid w:val="00305F81"/>
    <w:rsid w:val="0030611B"/>
    <w:rsid w:val="0030614C"/>
    <w:rsid w:val="0030623E"/>
    <w:rsid w:val="0030643A"/>
    <w:rsid w:val="00306593"/>
    <w:rsid w:val="00306603"/>
    <w:rsid w:val="003068CF"/>
    <w:rsid w:val="003068EE"/>
    <w:rsid w:val="0030695A"/>
    <w:rsid w:val="0030697F"/>
    <w:rsid w:val="00306995"/>
    <w:rsid w:val="00306A00"/>
    <w:rsid w:val="00306A16"/>
    <w:rsid w:val="00306A92"/>
    <w:rsid w:val="00306A9C"/>
    <w:rsid w:val="00306D3B"/>
    <w:rsid w:val="00306D45"/>
    <w:rsid w:val="00306E0E"/>
    <w:rsid w:val="00306E35"/>
    <w:rsid w:val="00306E71"/>
    <w:rsid w:val="00307090"/>
    <w:rsid w:val="003071EB"/>
    <w:rsid w:val="003072E6"/>
    <w:rsid w:val="003073BA"/>
    <w:rsid w:val="0030744F"/>
    <w:rsid w:val="0030780C"/>
    <w:rsid w:val="00307A74"/>
    <w:rsid w:val="00307AD3"/>
    <w:rsid w:val="00307E66"/>
    <w:rsid w:val="00307F7F"/>
    <w:rsid w:val="00310245"/>
    <w:rsid w:val="00310285"/>
    <w:rsid w:val="003102D8"/>
    <w:rsid w:val="00310303"/>
    <w:rsid w:val="00310371"/>
    <w:rsid w:val="003103E1"/>
    <w:rsid w:val="00310439"/>
    <w:rsid w:val="003104AE"/>
    <w:rsid w:val="003105BD"/>
    <w:rsid w:val="00310659"/>
    <w:rsid w:val="0031067F"/>
    <w:rsid w:val="003106C2"/>
    <w:rsid w:val="003108DD"/>
    <w:rsid w:val="00310F77"/>
    <w:rsid w:val="0031103E"/>
    <w:rsid w:val="0031107E"/>
    <w:rsid w:val="0031113F"/>
    <w:rsid w:val="003111F5"/>
    <w:rsid w:val="0031129A"/>
    <w:rsid w:val="0031132F"/>
    <w:rsid w:val="003113BC"/>
    <w:rsid w:val="00311486"/>
    <w:rsid w:val="00311496"/>
    <w:rsid w:val="003114EC"/>
    <w:rsid w:val="00311589"/>
    <w:rsid w:val="0031177B"/>
    <w:rsid w:val="003117C9"/>
    <w:rsid w:val="0031185F"/>
    <w:rsid w:val="00311B11"/>
    <w:rsid w:val="00311C13"/>
    <w:rsid w:val="00311CDA"/>
    <w:rsid w:val="00311CDE"/>
    <w:rsid w:val="00311DEF"/>
    <w:rsid w:val="00311E6F"/>
    <w:rsid w:val="00311F93"/>
    <w:rsid w:val="00311F95"/>
    <w:rsid w:val="0031224C"/>
    <w:rsid w:val="00312544"/>
    <w:rsid w:val="0031270C"/>
    <w:rsid w:val="00312724"/>
    <w:rsid w:val="00312852"/>
    <w:rsid w:val="00312999"/>
    <w:rsid w:val="003129EE"/>
    <w:rsid w:val="00312B5C"/>
    <w:rsid w:val="00312BD9"/>
    <w:rsid w:val="00312CB9"/>
    <w:rsid w:val="00312D03"/>
    <w:rsid w:val="00312E2D"/>
    <w:rsid w:val="00312E30"/>
    <w:rsid w:val="00312ED4"/>
    <w:rsid w:val="00312F1D"/>
    <w:rsid w:val="003130BA"/>
    <w:rsid w:val="00313159"/>
    <w:rsid w:val="00313520"/>
    <w:rsid w:val="00313525"/>
    <w:rsid w:val="0031354D"/>
    <w:rsid w:val="00313584"/>
    <w:rsid w:val="0031382B"/>
    <w:rsid w:val="0031386B"/>
    <w:rsid w:val="0031388C"/>
    <w:rsid w:val="00313901"/>
    <w:rsid w:val="0031391B"/>
    <w:rsid w:val="003139C7"/>
    <w:rsid w:val="00313AF0"/>
    <w:rsid w:val="00313C80"/>
    <w:rsid w:val="00313C9B"/>
    <w:rsid w:val="00313D13"/>
    <w:rsid w:val="00313E01"/>
    <w:rsid w:val="00313E4E"/>
    <w:rsid w:val="00313E8D"/>
    <w:rsid w:val="00314225"/>
    <w:rsid w:val="0031429B"/>
    <w:rsid w:val="00314313"/>
    <w:rsid w:val="00314388"/>
    <w:rsid w:val="00314435"/>
    <w:rsid w:val="003144D2"/>
    <w:rsid w:val="00314728"/>
    <w:rsid w:val="00314826"/>
    <w:rsid w:val="00314B59"/>
    <w:rsid w:val="00314BFB"/>
    <w:rsid w:val="00314C8F"/>
    <w:rsid w:val="00314ED3"/>
    <w:rsid w:val="003150F1"/>
    <w:rsid w:val="00315131"/>
    <w:rsid w:val="00315166"/>
    <w:rsid w:val="003153E3"/>
    <w:rsid w:val="003153E6"/>
    <w:rsid w:val="0031559F"/>
    <w:rsid w:val="0031563D"/>
    <w:rsid w:val="003156DB"/>
    <w:rsid w:val="003156DD"/>
    <w:rsid w:val="00315797"/>
    <w:rsid w:val="0031579B"/>
    <w:rsid w:val="00315820"/>
    <w:rsid w:val="003158FA"/>
    <w:rsid w:val="00315905"/>
    <w:rsid w:val="00315B7C"/>
    <w:rsid w:val="00315C2E"/>
    <w:rsid w:val="00315E05"/>
    <w:rsid w:val="00315EB9"/>
    <w:rsid w:val="0031613B"/>
    <w:rsid w:val="0031626D"/>
    <w:rsid w:val="0031639F"/>
    <w:rsid w:val="003163D2"/>
    <w:rsid w:val="00316492"/>
    <w:rsid w:val="003164ED"/>
    <w:rsid w:val="0031662C"/>
    <w:rsid w:val="00316689"/>
    <w:rsid w:val="00316992"/>
    <w:rsid w:val="00316BDF"/>
    <w:rsid w:val="00316E48"/>
    <w:rsid w:val="00316EA0"/>
    <w:rsid w:val="00316ED0"/>
    <w:rsid w:val="00316F2F"/>
    <w:rsid w:val="0031701E"/>
    <w:rsid w:val="0031728D"/>
    <w:rsid w:val="003174F0"/>
    <w:rsid w:val="003175AD"/>
    <w:rsid w:val="0031760C"/>
    <w:rsid w:val="0031780E"/>
    <w:rsid w:val="003178DB"/>
    <w:rsid w:val="00317903"/>
    <w:rsid w:val="0031790C"/>
    <w:rsid w:val="00317A88"/>
    <w:rsid w:val="00317C0B"/>
    <w:rsid w:val="00317C37"/>
    <w:rsid w:val="00317C97"/>
    <w:rsid w:val="00317CBA"/>
    <w:rsid w:val="00317CC2"/>
    <w:rsid w:val="00317D26"/>
    <w:rsid w:val="00317E72"/>
    <w:rsid w:val="00317E9D"/>
    <w:rsid w:val="00317FEB"/>
    <w:rsid w:val="00317FED"/>
    <w:rsid w:val="00320075"/>
    <w:rsid w:val="003200F2"/>
    <w:rsid w:val="003200F6"/>
    <w:rsid w:val="003201D7"/>
    <w:rsid w:val="003202F4"/>
    <w:rsid w:val="00320420"/>
    <w:rsid w:val="00320448"/>
    <w:rsid w:val="00320527"/>
    <w:rsid w:val="00320540"/>
    <w:rsid w:val="00320601"/>
    <w:rsid w:val="00320625"/>
    <w:rsid w:val="0032067A"/>
    <w:rsid w:val="0032067F"/>
    <w:rsid w:val="003207A6"/>
    <w:rsid w:val="00320C36"/>
    <w:rsid w:val="00320E3D"/>
    <w:rsid w:val="00321113"/>
    <w:rsid w:val="003213CB"/>
    <w:rsid w:val="00321510"/>
    <w:rsid w:val="00321687"/>
    <w:rsid w:val="0032173D"/>
    <w:rsid w:val="00321898"/>
    <w:rsid w:val="00321C67"/>
    <w:rsid w:val="00321D2D"/>
    <w:rsid w:val="00321D38"/>
    <w:rsid w:val="00321E02"/>
    <w:rsid w:val="00321F9E"/>
    <w:rsid w:val="0032210E"/>
    <w:rsid w:val="0032218A"/>
    <w:rsid w:val="00322683"/>
    <w:rsid w:val="003227C4"/>
    <w:rsid w:val="003228A6"/>
    <w:rsid w:val="00322971"/>
    <w:rsid w:val="00322991"/>
    <w:rsid w:val="003229F8"/>
    <w:rsid w:val="00322AB6"/>
    <w:rsid w:val="00322BE4"/>
    <w:rsid w:val="00322C84"/>
    <w:rsid w:val="00322C9C"/>
    <w:rsid w:val="00322D25"/>
    <w:rsid w:val="00322DA7"/>
    <w:rsid w:val="00322E01"/>
    <w:rsid w:val="00322ED5"/>
    <w:rsid w:val="0032322B"/>
    <w:rsid w:val="003232D1"/>
    <w:rsid w:val="00323339"/>
    <w:rsid w:val="00323347"/>
    <w:rsid w:val="00323528"/>
    <w:rsid w:val="003236C0"/>
    <w:rsid w:val="003236D6"/>
    <w:rsid w:val="00323737"/>
    <w:rsid w:val="00323739"/>
    <w:rsid w:val="00323881"/>
    <w:rsid w:val="00323F30"/>
    <w:rsid w:val="00323FDF"/>
    <w:rsid w:val="003242B2"/>
    <w:rsid w:val="0032474C"/>
    <w:rsid w:val="00324970"/>
    <w:rsid w:val="00324B66"/>
    <w:rsid w:val="00324CCF"/>
    <w:rsid w:val="00325036"/>
    <w:rsid w:val="00325524"/>
    <w:rsid w:val="003255D8"/>
    <w:rsid w:val="0032566F"/>
    <w:rsid w:val="0032568F"/>
    <w:rsid w:val="00325710"/>
    <w:rsid w:val="00325AA5"/>
    <w:rsid w:val="00325CAA"/>
    <w:rsid w:val="00325D91"/>
    <w:rsid w:val="00325FD9"/>
    <w:rsid w:val="00326267"/>
    <w:rsid w:val="003262A4"/>
    <w:rsid w:val="003262CF"/>
    <w:rsid w:val="003263B6"/>
    <w:rsid w:val="003263CD"/>
    <w:rsid w:val="00326447"/>
    <w:rsid w:val="00326929"/>
    <w:rsid w:val="003269A5"/>
    <w:rsid w:val="003269C5"/>
    <w:rsid w:val="00326AF6"/>
    <w:rsid w:val="00326DA2"/>
    <w:rsid w:val="00326E76"/>
    <w:rsid w:val="003271C9"/>
    <w:rsid w:val="00327357"/>
    <w:rsid w:val="003273B7"/>
    <w:rsid w:val="0032793D"/>
    <w:rsid w:val="003279FF"/>
    <w:rsid w:val="00327A0E"/>
    <w:rsid w:val="00327A1A"/>
    <w:rsid w:val="00327A49"/>
    <w:rsid w:val="00327A5D"/>
    <w:rsid w:val="00327C4D"/>
    <w:rsid w:val="00327C65"/>
    <w:rsid w:val="00327D79"/>
    <w:rsid w:val="00327EA1"/>
    <w:rsid w:val="00330148"/>
    <w:rsid w:val="00330294"/>
    <w:rsid w:val="003302A3"/>
    <w:rsid w:val="003304E3"/>
    <w:rsid w:val="003305DD"/>
    <w:rsid w:val="00330655"/>
    <w:rsid w:val="0033069A"/>
    <w:rsid w:val="00330943"/>
    <w:rsid w:val="00330A94"/>
    <w:rsid w:val="00330BC3"/>
    <w:rsid w:val="00330BEE"/>
    <w:rsid w:val="00330EC0"/>
    <w:rsid w:val="00330F7E"/>
    <w:rsid w:val="00330FF2"/>
    <w:rsid w:val="0033100D"/>
    <w:rsid w:val="003315EB"/>
    <w:rsid w:val="003318AA"/>
    <w:rsid w:val="003319BD"/>
    <w:rsid w:val="00331C56"/>
    <w:rsid w:val="0033204D"/>
    <w:rsid w:val="00332072"/>
    <w:rsid w:val="00332121"/>
    <w:rsid w:val="003322D1"/>
    <w:rsid w:val="0033234C"/>
    <w:rsid w:val="003323A8"/>
    <w:rsid w:val="003323DE"/>
    <w:rsid w:val="003323E0"/>
    <w:rsid w:val="003324BB"/>
    <w:rsid w:val="0033255C"/>
    <w:rsid w:val="0033262B"/>
    <w:rsid w:val="00332638"/>
    <w:rsid w:val="0033264B"/>
    <w:rsid w:val="00332720"/>
    <w:rsid w:val="003329D1"/>
    <w:rsid w:val="00332A5B"/>
    <w:rsid w:val="00332C60"/>
    <w:rsid w:val="00332D59"/>
    <w:rsid w:val="00332D92"/>
    <w:rsid w:val="00332D9A"/>
    <w:rsid w:val="00332DA6"/>
    <w:rsid w:val="00332EE0"/>
    <w:rsid w:val="00333046"/>
    <w:rsid w:val="0033307A"/>
    <w:rsid w:val="0033308B"/>
    <w:rsid w:val="0033344A"/>
    <w:rsid w:val="00333461"/>
    <w:rsid w:val="0033351E"/>
    <w:rsid w:val="003336DD"/>
    <w:rsid w:val="0033389D"/>
    <w:rsid w:val="003338AD"/>
    <w:rsid w:val="003339CD"/>
    <w:rsid w:val="00333B2C"/>
    <w:rsid w:val="00333B42"/>
    <w:rsid w:val="00333B4B"/>
    <w:rsid w:val="00333BC1"/>
    <w:rsid w:val="00333BFA"/>
    <w:rsid w:val="00333D42"/>
    <w:rsid w:val="00333F3F"/>
    <w:rsid w:val="00333FBA"/>
    <w:rsid w:val="00334028"/>
    <w:rsid w:val="003340DC"/>
    <w:rsid w:val="00334490"/>
    <w:rsid w:val="00334787"/>
    <w:rsid w:val="003347BF"/>
    <w:rsid w:val="0033492A"/>
    <w:rsid w:val="0033495C"/>
    <w:rsid w:val="00334968"/>
    <w:rsid w:val="00334A1A"/>
    <w:rsid w:val="00334AFB"/>
    <w:rsid w:val="00334B9F"/>
    <w:rsid w:val="00334D99"/>
    <w:rsid w:val="00334F33"/>
    <w:rsid w:val="00334F36"/>
    <w:rsid w:val="0033514A"/>
    <w:rsid w:val="00335237"/>
    <w:rsid w:val="003352EA"/>
    <w:rsid w:val="003353C2"/>
    <w:rsid w:val="00335429"/>
    <w:rsid w:val="00335517"/>
    <w:rsid w:val="0033553A"/>
    <w:rsid w:val="00335720"/>
    <w:rsid w:val="00335785"/>
    <w:rsid w:val="003358F9"/>
    <w:rsid w:val="00335A4A"/>
    <w:rsid w:val="00335AD4"/>
    <w:rsid w:val="00335AFE"/>
    <w:rsid w:val="00335DE4"/>
    <w:rsid w:val="00335EA1"/>
    <w:rsid w:val="00335F6C"/>
    <w:rsid w:val="003360CD"/>
    <w:rsid w:val="00336162"/>
    <w:rsid w:val="0033618E"/>
    <w:rsid w:val="003362AD"/>
    <w:rsid w:val="00336302"/>
    <w:rsid w:val="003363D6"/>
    <w:rsid w:val="0033656A"/>
    <w:rsid w:val="003368D0"/>
    <w:rsid w:val="003369AA"/>
    <w:rsid w:val="003369AD"/>
    <w:rsid w:val="00336A48"/>
    <w:rsid w:val="00336AD1"/>
    <w:rsid w:val="00336D0A"/>
    <w:rsid w:val="0033700D"/>
    <w:rsid w:val="0033750D"/>
    <w:rsid w:val="003376C2"/>
    <w:rsid w:val="00337733"/>
    <w:rsid w:val="0033775E"/>
    <w:rsid w:val="00337820"/>
    <w:rsid w:val="003378F9"/>
    <w:rsid w:val="003379ED"/>
    <w:rsid w:val="003379F2"/>
    <w:rsid w:val="00337A2A"/>
    <w:rsid w:val="00337A7D"/>
    <w:rsid w:val="00337AC7"/>
    <w:rsid w:val="00337AE0"/>
    <w:rsid w:val="00337B90"/>
    <w:rsid w:val="00337BC6"/>
    <w:rsid w:val="00337F2A"/>
    <w:rsid w:val="00340126"/>
    <w:rsid w:val="003403C1"/>
    <w:rsid w:val="003403CD"/>
    <w:rsid w:val="00340432"/>
    <w:rsid w:val="003404FC"/>
    <w:rsid w:val="00340590"/>
    <w:rsid w:val="00340607"/>
    <w:rsid w:val="0034075A"/>
    <w:rsid w:val="0034091C"/>
    <w:rsid w:val="003409E5"/>
    <w:rsid w:val="00340B3E"/>
    <w:rsid w:val="003410AB"/>
    <w:rsid w:val="00341237"/>
    <w:rsid w:val="003412E7"/>
    <w:rsid w:val="003413CF"/>
    <w:rsid w:val="00341560"/>
    <w:rsid w:val="0034164D"/>
    <w:rsid w:val="0034175C"/>
    <w:rsid w:val="0034179F"/>
    <w:rsid w:val="003418B5"/>
    <w:rsid w:val="00341937"/>
    <w:rsid w:val="00341A2F"/>
    <w:rsid w:val="00341B79"/>
    <w:rsid w:val="00341CAC"/>
    <w:rsid w:val="00341D50"/>
    <w:rsid w:val="00341E82"/>
    <w:rsid w:val="00341EED"/>
    <w:rsid w:val="00341F86"/>
    <w:rsid w:val="00341FCD"/>
    <w:rsid w:val="003420CF"/>
    <w:rsid w:val="003420F1"/>
    <w:rsid w:val="0034217F"/>
    <w:rsid w:val="003421A2"/>
    <w:rsid w:val="00342213"/>
    <w:rsid w:val="0034223E"/>
    <w:rsid w:val="00342308"/>
    <w:rsid w:val="00342320"/>
    <w:rsid w:val="003423FF"/>
    <w:rsid w:val="00342405"/>
    <w:rsid w:val="003424DF"/>
    <w:rsid w:val="00342587"/>
    <w:rsid w:val="003425B4"/>
    <w:rsid w:val="00342627"/>
    <w:rsid w:val="003426A1"/>
    <w:rsid w:val="00342767"/>
    <w:rsid w:val="00342790"/>
    <w:rsid w:val="003427A9"/>
    <w:rsid w:val="003427DF"/>
    <w:rsid w:val="003428FE"/>
    <w:rsid w:val="00342966"/>
    <w:rsid w:val="00342968"/>
    <w:rsid w:val="00342A17"/>
    <w:rsid w:val="00342A87"/>
    <w:rsid w:val="00342AE9"/>
    <w:rsid w:val="00342C1D"/>
    <w:rsid w:val="00342C73"/>
    <w:rsid w:val="00342D3F"/>
    <w:rsid w:val="00342E2E"/>
    <w:rsid w:val="00342E4A"/>
    <w:rsid w:val="00342E74"/>
    <w:rsid w:val="00342E78"/>
    <w:rsid w:val="00342EF4"/>
    <w:rsid w:val="00342F83"/>
    <w:rsid w:val="003430E7"/>
    <w:rsid w:val="00343148"/>
    <w:rsid w:val="003432F7"/>
    <w:rsid w:val="003433F4"/>
    <w:rsid w:val="00343480"/>
    <w:rsid w:val="003434B4"/>
    <w:rsid w:val="00343C2E"/>
    <w:rsid w:val="00343C4E"/>
    <w:rsid w:val="00343E6E"/>
    <w:rsid w:val="00344071"/>
    <w:rsid w:val="003440C4"/>
    <w:rsid w:val="00344101"/>
    <w:rsid w:val="00344436"/>
    <w:rsid w:val="0034468E"/>
    <w:rsid w:val="003447D8"/>
    <w:rsid w:val="003449F1"/>
    <w:rsid w:val="00344BCF"/>
    <w:rsid w:val="00344BED"/>
    <w:rsid w:val="00344E3D"/>
    <w:rsid w:val="00344F20"/>
    <w:rsid w:val="0034502E"/>
    <w:rsid w:val="00345042"/>
    <w:rsid w:val="003451EF"/>
    <w:rsid w:val="00345289"/>
    <w:rsid w:val="00345352"/>
    <w:rsid w:val="0034543D"/>
    <w:rsid w:val="003454CD"/>
    <w:rsid w:val="00345738"/>
    <w:rsid w:val="003457C2"/>
    <w:rsid w:val="00345897"/>
    <w:rsid w:val="003458B2"/>
    <w:rsid w:val="00345C31"/>
    <w:rsid w:val="00345C96"/>
    <w:rsid w:val="00345D41"/>
    <w:rsid w:val="00345F7D"/>
    <w:rsid w:val="00345FBE"/>
    <w:rsid w:val="0034603A"/>
    <w:rsid w:val="003462FE"/>
    <w:rsid w:val="00346363"/>
    <w:rsid w:val="0034647D"/>
    <w:rsid w:val="003464B5"/>
    <w:rsid w:val="003464DD"/>
    <w:rsid w:val="003465A2"/>
    <w:rsid w:val="0034664E"/>
    <w:rsid w:val="00346A1C"/>
    <w:rsid w:val="00346E45"/>
    <w:rsid w:val="00346E80"/>
    <w:rsid w:val="00346FB2"/>
    <w:rsid w:val="0034706E"/>
    <w:rsid w:val="00347357"/>
    <w:rsid w:val="00347469"/>
    <w:rsid w:val="003474AD"/>
    <w:rsid w:val="003474F9"/>
    <w:rsid w:val="00347507"/>
    <w:rsid w:val="0034752C"/>
    <w:rsid w:val="0034757D"/>
    <w:rsid w:val="003475EC"/>
    <w:rsid w:val="003478C6"/>
    <w:rsid w:val="00347AD0"/>
    <w:rsid w:val="00347B89"/>
    <w:rsid w:val="00347CD2"/>
    <w:rsid w:val="00347D7C"/>
    <w:rsid w:val="00347ED2"/>
    <w:rsid w:val="0035000E"/>
    <w:rsid w:val="00350057"/>
    <w:rsid w:val="003500D3"/>
    <w:rsid w:val="00350125"/>
    <w:rsid w:val="0035020B"/>
    <w:rsid w:val="003503CE"/>
    <w:rsid w:val="0035046F"/>
    <w:rsid w:val="0035058C"/>
    <w:rsid w:val="0035067D"/>
    <w:rsid w:val="00350686"/>
    <w:rsid w:val="003508CA"/>
    <w:rsid w:val="00350A2C"/>
    <w:rsid w:val="00350C1B"/>
    <w:rsid w:val="00350C45"/>
    <w:rsid w:val="00350DF1"/>
    <w:rsid w:val="00350EA6"/>
    <w:rsid w:val="00350F79"/>
    <w:rsid w:val="00350FB8"/>
    <w:rsid w:val="00350FF5"/>
    <w:rsid w:val="0035101F"/>
    <w:rsid w:val="00351064"/>
    <w:rsid w:val="003510AC"/>
    <w:rsid w:val="003511BA"/>
    <w:rsid w:val="00351200"/>
    <w:rsid w:val="00351218"/>
    <w:rsid w:val="0035144E"/>
    <w:rsid w:val="00351821"/>
    <w:rsid w:val="00351887"/>
    <w:rsid w:val="003518F8"/>
    <w:rsid w:val="00351A4E"/>
    <w:rsid w:val="00351C07"/>
    <w:rsid w:val="00351F58"/>
    <w:rsid w:val="00351FDA"/>
    <w:rsid w:val="00352187"/>
    <w:rsid w:val="0035228F"/>
    <w:rsid w:val="00352429"/>
    <w:rsid w:val="0035254F"/>
    <w:rsid w:val="003525B8"/>
    <w:rsid w:val="003525D3"/>
    <w:rsid w:val="00352844"/>
    <w:rsid w:val="00352948"/>
    <w:rsid w:val="00352D3A"/>
    <w:rsid w:val="00352EE9"/>
    <w:rsid w:val="00352F67"/>
    <w:rsid w:val="00352F91"/>
    <w:rsid w:val="00353073"/>
    <w:rsid w:val="00353178"/>
    <w:rsid w:val="00353223"/>
    <w:rsid w:val="00353250"/>
    <w:rsid w:val="00353295"/>
    <w:rsid w:val="00353495"/>
    <w:rsid w:val="0035355A"/>
    <w:rsid w:val="0035356E"/>
    <w:rsid w:val="00353683"/>
    <w:rsid w:val="00353955"/>
    <w:rsid w:val="00353BF1"/>
    <w:rsid w:val="00354071"/>
    <w:rsid w:val="00354156"/>
    <w:rsid w:val="00354224"/>
    <w:rsid w:val="003542AE"/>
    <w:rsid w:val="003542F2"/>
    <w:rsid w:val="00354359"/>
    <w:rsid w:val="003545D5"/>
    <w:rsid w:val="003545E0"/>
    <w:rsid w:val="003548DD"/>
    <w:rsid w:val="00354913"/>
    <w:rsid w:val="003549AC"/>
    <w:rsid w:val="00354BB6"/>
    <w:rsid w:val="00354CBE"/>
    <w:rsid w:val="00354CDB"/>
    <w:rsid w:val="00354EDD"/>
    <w:rsid w:val="0035506A"/>
    <w:rsid w:val="00355267"/>
    <w:rsid w:val="0035539B"/>
    <w:rsid w:val="003553C5"/>
    <w:rsid w:val="003553FE"/>
    <w:rsid w:val="00355410"/>
    <w:rsid w:val="0035541E"/>
    <w:rsid w:val="00355521"/>
    <w:rsid w:val="00355536"/>
    <w:rsid w:val="0035585D"/>
    <w:rsid w:val="0035591B"/>
    <w:rsid w:val="00355BB7"/>
    <w:rsid w:val="00355C37"/>
    <w:rsid w:val="00355DF9"/>
    <w:rsid w:val="00355EB4"/>
    <w:rsid w:val="0035632C"/>
    <w:rsid w:val="00356337"/>
    <w:rsid w:val="003563B3"/>
    <w:rsid w:val="00356473"/>
    <w:rsid w:val="003564F7"/>
    <w:rsid w:val="003565AB"/>
    <w:rsid w:val="003568CC"/>
    <w:rsid w:val="00356945"/>
    <w:rsid w:val="00356955"/>
    <w:rsid w:val="003569A8"/>
    <w:rsid w:val="00356A0C"/>
    <w:rsid w:val="00356ABC"/>
    <w:rsid w:val="00356AD4"/>
    <w:rsid w:val="00356D01"/>
    <w:rsid w:val="00356F4C"/>
    <w:rsid w:val="003570B6"/>
    <w:rsid w:val="00357118"/>
    <w:rsid w:val="00357142"/>
    <w:rsid w:val="0035716E"/>
    <w:rsid w:val="003571EE"/>
    <w:rsid w:val="00357287"/>
    <w:rsid w:val="00357379"/>
    <w:rsid w:val="0035746A"/>
    <w:rsid w:val="00357556"/>
    <w:rsid w:val="003575B5"/>
    <w:rsid w:val="00357714"/>
    <w:rsid w:val="0035771A"/>
    <w:rsid w:val="003578CD"/>
    <w:rsid w:val="00357BE0"/>
    <w:rsid w:val="00357C6E"/>
    <w:rsid w:val="00357DDD"/>
    <w:rsid w:val="00357EF4"/>
    <w:rsid w:val="00357F4B"/>
    <w:rsid w:val="00357FE8"/>
    <w:rsid w:val="0036005C"/>
    <w:rsid w:val="0036016A"/>
    <w:rsid w:val="003601B0"/>
    <w:rsid w:val="00360244"/>
    <w:rsid w:val="003604A9"/>
    <w:rsid w:val="0036051D"/>
    <w:rsid w:val="00360827"/>
    <w:rsid w:val="003609D8"/>
    <w:rsid w:val="00360AFA"/>
    <w:rsid w:val="00360E6A"/>
    <w:rsid w:val="003610D5"/>
    <w:rsid w:val="00361150"/>
    <w:rsid w:val="00361176"/>
    <w:rsid w:val="00361355"/>
    <w:rsid w:val="00361359"/>
    <w:rsid w:val="003613A6"/>
    <w:rsid w:val="003613F8"/>
    <w:rsid w:val="003614E4"/>
    <w:rsid w:val="003615E1"/>
    <w:rsid w:val="00361746"/>
    <w:rsid w:val="0036181D"/>
    <w:rsid w:val="00361A57"/>
    <w:rsid w:val="00361BE8"/>
    <w:rsid w:val="00361C92"/>
    <w:rsid w:val="00361ED8"/>
    <w:rsid w:val="00361F48"/>
    <w:rsid w:val="003622CA"/>
    <w:rsid w:val="00362353"/>
    <w:rsid w:val="003624EA"/>
    <w:rsid w:val="00362597"/>
    <w:rsid w:val="00362675"/>
    <w:rsid w:val="0036267F"/>
    <w:rsid w:val="00362770"/>
    <w:rsid w:val="003627FF"/>
    <w:rsid w:val="003629C9"/>
    <w:rsid w:val="003629D7"/>
    <w:rsid w:val="00362B06"/>
    <w:rsid w:val="00362B35"/>
    <w:rsid w:val="00362D18"/>
    <w:rsid w:val="00362DCB"/>
    <w:rsid w:val="00362F20"/>
    <w:rsid w:val="00362FC6"/>
    <w:rsid w:val="003630A3"/>
    <w:rsid w:val="003632A8"/>
    <w:rsid w:val="00363362"/>
    <w:rsid w:val="00363478"/>
    <w:rsid w:val="0036349C"/>
    <w:rsid w:val="00363544"/>
    <w:rsid w:val="00363A35"/>
    <w:rsid w:val="00363AB6"/>
    <w:rsid w:val="00363AF8"/>
    <w:rsid w:val="00363B97"/>
    <w:rsid w:val="00363D53"/>
    <w:rsid w:val="00363D61"/>
    <w:rsid w:val="00363FCA"/>
    <w:rsid w:val="003640F8"/>
    <w:rsid w:val="0036410F"/>
    <w:rsid w:val="003641C9"/>
    <w:rsid w:val="00364247"/>
    <w:rsid w:val="003642B8"/>
    <w:rsid w:val="003644CD"/>
    <w:rsid w:val="003645E1"/>
    <w:rsid w:val="003647A9"/>
    <w:rsid w:val="00364865"/>
    <w:rsid w:val="003648C3"/>
    <w:rsid w:val="0036492A"/>
    <w:rsid w:val="00364A29"/>
    <w:rsid w:val="00364AF7"/>
    <w:rsid w:val="00364B2F"/>
    <w:rsid w:val="00364ECC"/>
    <w:rsid w:val="00364F34"/>
    <w:rsid w:val="00365158"/>
    <w:rsid w:val="0036525D"/>
    <w:rsid w:val="00365262"/>
    <w:rsid w:val="003654E7"/>
    <w:rsid w:val="003655AD"/>
    <w:rsid w:val="003659CA"/>
    <w:rsid w:val="00365A62"/>
    <w:rsid w:val="00365A8E"/>
    <w:rsid w:val="00365B4C"/>
    <w:rsid w:val="00365C27"/>
    <w:rsid w:val="00365F12"/>
    <w:rsid w:val="00365F21"/>
    <w:rsid w:val="00365F23"/>
    <w:rsid w:val="00366100"/>
    <w:rsid w:val="003661FF"/>
    <w:rsid w:val="003662FB"/>
    <w:rsid w:val="0036634E"/>
    <w:rsid w:val="00366382"/>
    <w:rsid w:val="00366416"/>
    <w:rsid w:val="00366433"/>
    <w:rsid w:val="00366596"/>
    <w:rsid w:val="003667F8"/>
    <w:rsid w:val="003668AD"/>
    <w:rsid w:val="003668DC"/>
    <w:rsid w:val="0036697F"/>
    <w:rsid w:val="00366CA5"/>
    <w:rsid w:val="00366EC9"/>
    <w:rsid w:val="00367160"/>
    <w:rsid w:val="00367173"/>
    <w:rsid w:val="00367265"/>
    <w:rsid w:val="0036733F"/>
    <w:rsid w:val="003677B5"/>
    <w:rsid w:val="003678B4"/>
    <w:rsid w:val="00367C3E"/>
    <w:rsid w:val="00367D76"/>
    <w:rsid w:val="00367DA2"/>
    <w:rsid w:val="003701B6"/>
    <w:rsid w:val="0037020C"/>
    <w:rsid w:val="00370481"/>
    <w:rsid w:val="00370572"/>
    <w:rsid w:val="0037067D"/>
    <w:rsid w:val="00370717"/>
    <w:rsid w:val="00370863"/>
    <w:rsid w:val="003708BC"/>
    <w:rsid w:val="00370930"/>
    <w:rsid w:val="003709E6"/>
    <w:rsid w:val="00370CDA"/>
    <w:rsid w:val="00370E6E"/>
    <w:rsid w:val="00370EB3"/>
    <w:rsid w:val="003710F1"/>
    <w:rsid w:val="0037111B"/>
    <w:rsid w:val="00371417"/>
    <w:rsid w:val="00371527"/>
    <w:rsid w:val="00371568"/>
    <w:rsid w:val="00371620"/>
    <w:rsid w:val="003716B3"/>
    <w:rsid w:val="00371A41"/>
    <w:rsid w:val="00371B62"/>
    <w:rsid w:val="00371BDA"/>
    <w:rsid w:val="00371CFD"/>
    <w:rsid w:val="00371D75"/>
    <w:rsid w:val="003721BC"/>
    <w:rsid w:val="003721EE"/>
    <w:rsid w:val="0037223F"/>
    <w:rsid w:val="00372290"/>
    <w:rsid w:val="003724D7"/>
    <w:rsid w:val="00372655"/>
    <w:rsid w:val="003729C2"/>
    <w:rsid w:val="00372A39"/>
    <w:rsid w:val="00372B3F"/>
    <w:rsid w:val="00372C8E"/>
    <w:rsid w:val="00372D54"/>
    <w:rsid w:val="00372E6F"/>
    <w:rsid w:val="003730CA"/>
    <w:rsid w:val="00373140"/>
    <w:rsid w:val="003731D7"/>
    <w:rsid w:val="003732AF"/>
    <w:rsid w:val="003733D8"/>
    <w:rsid w:val="00373609"/>
    <w:rsid w:val="003739E3"/>
    <w:rsid w:val="00373B92"/>
    <w:rsid w:val="00373BC7"/>
    <w:rsid w:val="00373C49"/>
    <w:rsid w:val="00373C97"/>
    <w:rsid w:val="00373E15"/>
    <w:rsid w:val="00374129"/>
    <w:rsid w:val="0037441A"/>
    <w:rsid w:val="0037460C"/>
    <w:rsid w:val="003747CE"/>
    <w:rsid w:val="00374866"/>
    <w:rsid w:val="003748BE"/>
    <w:rsid w:val="0037491F"/>
    <w:rsid w:val="00374980"/>
    <w:rsid w:val="00374AB4"/>
    <w:rsid w:val="00374AFB"/>
    <w:rsid w:val="00374C36"/>
    <w:rsid w:val="00374C97"/>
    <w:rsid w:val="00374D4B"/>
    <w:rsid w:val="00374EA3"/>
    <w:rsid w:val="00374F0D"/>
    <w:rsid w:val="00375114"/>
    <w:rsid w:val="003753A7"/>
    <w:rsid w:val="003753E7"/>
    <w:rsid w:val="0037547F"/>
    <w:rsid w:val="003754E5"/>
    <w:rsid w:val="003755A2"/>
    <w:rsid w:val="003755BF"/>
    <w:rsid w:val="003755EC"/>
    <w:rsid w:val="00375691"/>
    <w:rsid w:val="00375769"/>
    <w:rsid w:val="00375944"/>
    <w:rsid w:val="0037594F"/>
    <w:rsid w:val="003759E8"/>
    <w:rsid w:val="00375B46"/>
    <w:rsid w:val="00375C1F"/>
    <w:rsid w:val="00375D4D"/>
    <w:rsid w:val="00375D98"/>
    <w:rsid w:val="00375E69"/>
    <w:rsid w:val="00375EB9"/>
    <w:rsid w:val="0037613C"/>
    <w:rsid w:val="00376156"/>
    <w:rsid w:val="003761CA"/>
    <w:rsid w:val="0037620E"/>
    <w:rsid w:val="00376233"/>
    <w:rsid w:val="0037629E"/>
    <w:rsid w:val="003766BF"/>
    <w:rsid w:val="0037673F"/>
    <w:rsid w:val="0037693D"/>
    <w:rsid w:val="0037696B"/>
    <w:rsid w:val="00376AE4"/>
    <w:rsid w:val="00376C26"/>
    <w:rsid w:val="00376CED"/>
    <w:rsid w:val="00376CF5"/>
    <w:rsid w:val="00376F54"/>
    <w:rsid w:val="00377177"/>
    <w:rsid w:val="00377541"/>
    <w:rsid w:val="00377578"/>
    <w:rsid w:val="00377A4B"/>
    <w:rsid w:val="00377ACA"/>
    <w:rsid w:val="00377B55"/>
    <w:rsid w:val="00377C52"/>
    <w:rsid w:val="00377EB7"/>
    <w:rsid w:val="00377F9F"/>
    <w:rsid w:val="00377FD1"/>
    <w:rsid w:val="0038004A"/>
    <w:rsid w:val="0038030F"/>
    <w:rsid w:val="00380310"/>
    <w:rsid w:val="003804BC"/>
    <w:rsid w:val="003804FF"/>
    <w:rsid w:val="0038054F"/>
    <w:rsid w:val="003805C9"/>
    <w:rsid w:val="00380656"/>
    <w:rsid w:val="00380861"/>
    <w:rsid w:val="003808E1"/>
    <w:rsid w:val="003809D7"/>
    <w:rsid w:val="003809EA"/>
    <w:rsid w:val="00380A3F"/>
    <w:rsid w:val="00380DB2"/>
    <w:rsid w:val="00380E5E"/>
    <w:rsid w:val="00380EF7"/>
    <w:rsid w:val="00380FED"/>
    <w:rsid w:val="003810F7"/>
    <w:rsid w:val="00381107"/>
    <w:rsid w:val="00381205"/>
    <w:rsid w:val="003812E7"/>
    <w:rsid w:val="00381316"/>
    <w:rsid w:val="0038131E"/>
    <w:rsid w:val="00381616"/>
    <w:rsid w:val="00381663"/>
    <w:rsid w:val="003816FC"/>
    <w:rsid w:val="0038174F"/>
    <w:rsid w:val="003817C2"/>
    <w:rsid w:val="003819D0"/>
    <w:rsid w:val="00381AFB"/>
    <w:rsid w:val="00381B54"/>
    <w:rsid w:val="00381B5F"/>
    <w:rsid w:val="00381BF7"/>
    <w:rsid w:val="00381E1A"/>
    <w:rsid w:val="00381E28"/>
    <w:rsid w:val="0038209F"/>
    <w:rsid w:val="00382114"/>
    <w:rsid w:val="0038240B"/>
    <w:rsid w:val="00382551"/>
    <w:rsid w:val="003825F9"/>
    <w:rsid w:val="0038263C"/>
    <w:rsid w:val="003826AB"/>
    <w:rsid w:val="003827C4"/>
    <w:rsid w:val="00382986"/>
    <w:rsid w:val="003829EC"/>
    <w:rsid w:val="00382A39"/>
    <w:rsid w:val="00382AC1"/>
    <w:rsid w:val="00382B28"/>
    <w:rsid w:val="00382B5B"/>
    <w:rsid w:val="00382BC9"/>
    <w:rsid w:val="00382BCD"/>
    <w:rsid w:val="00382CAE"/>
    <w:rsid w:val="00382DBF"/>
    <w:rsid w:val="00382FA0"/>
    <w:rsid w:val="00383137"/>
    <w:rsid w:val="00383158"/>
    <w:rsid w:val="0038327C"/>
    <w:rsid w:val="0038335E"/>
    <w:rsid w:val="0038345C"/>
    <w:rsid w:val="003834E9"/>
    <w:rsid w:val="0038365B"/>
    <w:rsid w:val="00383677"/>
    <w:rsid w:val="003838F1"/>
    <w:rsid w:val="003839B1"/>
    <w:rsid w:val="003839F8"/>
    <w:rsid w:val="00383A38"/>
    <w:rsid w:val="00383B1D"/>
    <w:rsid w:val="00383D65"/>
    <w:rsid w:val="00383EA5"/>
    <w:rsid w:val="00383F2C"/>
    <w:rsid w:val="003840D8"/>
    <w:rsid w:val="00384231"/>
    <w:rsid w:val="003844F5"/>
    <w:rsid w:val="00384713"/>
    <w:rsid w:val="00384715"/>
    <w:rsid w:val="0038484E"/>
    <w:rsid w:val="00384A6D"/>
    <w:rsid w:val="00384A92"/>
    <w:rsid w:val="00384C60"/>
    <w:rsid w:val="00384CC2"/>
    <w:rsid w:val="00384CE4"/>
    <w:rsid w:val="00384D1A"/>
    <w:rsid w:val="00384DE6"/>
    <w:rsid w:val="00384FBE"/>
    <w:rsid w:val="00385058"/>
    <w:rsid w:val="00385147"/>
    <w:rsid w:val="003852BD"/>
    <w:rsid w:val="003853BC"/>
    <w:rsid w:val="003854A9"/>
    <w:rsid w:val="00385549"/>
    <w:rsid w:val="0038557B"/>
    <w:rsid w:val="003855A3"/>
    <w:rsid w:val="003855FF"/>
    <w:rsid w:val="003857F5"/>
    <w:rsid w:val="0038589A"/>
    <w:rsid w:val="00385957"/>
    <w:rsid w:val="00385961"/>
    <w:rsid w:val="00385C32"/>
    <w:rsid w:val="00385D7B"/>
    <w:rsid w:val="00385F3E"/>
    <w:rsid w:val="0038605C"/>
    <w:rsid w:val="00386122"/>
    <w:rsid w:val="003861FB"/>
    <w:rsid w:val="003861FE"/>
    <w:rsid w:val="00386245"/>
    <w:rsid w:val="0038626F"/>
    <w:rsid w:val="003863F5"/>
    <w:rsid w:val="0038642C"/>
    <w:rsid w:val="0038648C"/>
    <w:rsid w:val="003868B8"/>
    <w:rsid w:val="003869D6"/>
    <w:rsid w:val="00386C32"/>
    <w:rsid w:val="00386D3C"/>
    <w:rsid w:val="00386E7E"/>
    <w:rsid w:val="00386F54"/>
    <w:rsid w:val="00386F6C"/>
    <w:rsid w:val="00386FA5"/>
    <w:rsid w:val="0038702E"/>
    <w:rsid w:val="0038707D"/>
    <w:rsid w:val="003870B5"/>
    <w:rsid w:val="003871B2"/>
    <w:rsid w:val="003871C3"/>
    <w:rsid w:val="003871FB"/>
    <w:rsid w:val="00387303"/>
    <w:rsid w:val="00387319"/>
    <w:rsid w:val="00387348"/>
    <w:rsid w:val="003876B0"/>
    <w:rsid w:val="003877B8"/>
    <w:rsid w:val="00387B1C"/>
    <w:rsid w:val="00387B6A"/>
    <w:rsid w:val="00387B86"/>
    <w:rsid w:val="00387BA9"/>
    <w:rsid w:val="00387D63"/>
    <w:rsid w:val="00387EE6"/>
    <w:rsid w:val="00390058"/>
    <w:rsid w:val="003901D4"/>
    <w:rsid w:val="0039025D"/>
    <w:rsid w:val="00390381"/>
    <w:rsid w:val="003903F3"/>
    <w:rsid w:val="0039043F"/>
    <w:rsid w:val="00390483"/>
    <w:rsid w:val="00390659"/>
    <w:rsid w:val="0039072F"/>
    <w:rsid w:val="00390831"/>
    <w:rsid w:val="0039087E"/>
    <w:rsid w:val="0039089B"/>
    <w:rsid w:val="003908EE"/>
    <w:rsid w:val="0039095E"/>
    <w:rsid w:val="00390972"/>
    <w:rsid w:val="00390AFE"/>
    <w:rsid w:val="00390C4B"/>
    <w:rsid w:val="00391005"/>
    <w:rsid w:val="00391097"/>
    <w:rsid w:val="003910AF"/>
    <w:rsid w:val="003910F6"/>
    <w:rsid w:val="0039121B"/>
    <w:rsid w:val="003913F8"/>
    <w:rsid w:val="003915F8"/>
    <w:rsid w:val="0039160E"/>
    <w:rsid w:val="00391776"/>
    <w:rsid w:val="00391864"/>
    <w:rsid w:val="0039186B"/>
    <w:rsid w:val="003919C8"/>
    <w:rsid w:val="00391A30"/>
    <w:rsid w:val="00391B19"/>
    <w:rsid w:val="00391B3C"/>
    <w:rsid w:val="00391C34"/>
    <w:rsid w:val="00391C83"/>
    <w:rsid w:val="00391DF1"/>
    <w:rsid w:val="00391E2E"/>
    <w:rsid w:val="00391F99"/>
    <w:rsid w:val="00391FF5"/>
    <w:rsid w:val="0039209C"/>
    <w:rsid w:val="00392320"/>
    <w:rsid w:val="00392452"/>
    <w:rsid w:val="0039262D"/>
    <w:rsid w:val="00392700"/>
    <w:rsid w:val="0039288E"/>
    <w:rsid w:val="00392984"/>
    <w:rsid w:val="00392CB1"/>
    <w:rsid w:val="00392CC5"/>
    <w:rsid w:val="00392D4F"/>
    <w:rsid w:val="00392DB7"/>
    <w:rsid w:val="00392EFD"/>
    <w:rsid w:val="00393004"/>
    <w:rsid w:val="00393222"/>
    <w:rsid w:val="0039323B"/>
    <w:rsid w:val="00393431"/>
    <w:rsid w:val="003936A5"/>
    <w:rsid w:val="0039373C"/>
    <w:rsid w:val="0039378D"/>
    <w:rsid w:val="00393A97"/>
    <w:rsid w:val="00393E52"/>
    <w:rsid w:val="00393ECC"/>
    <w:rsid w:val="003941A9"/>
    <w:rsid w:val="003944C8"/>
    <w:rsid w:val="0039451E"/>
    <w:rsid w:val="00394537"/>
    <w:rsid w:val="0039453B"/>
    <w:rsid w:val="0039459E"/>
    <w:rsid w:val="003947F6"/>
    <w:rsid w:val="00394892"/>
    <w:rsid w:val="0039497D"/>
    <w:rsid w:val="003949E9"/>
    <w:rsid w:val="00394ACE"/>
    <w:rsid w:val="00394C22"/>
    <w:rsid w:val="00394CC2"/>
    <w:rsid w:val="0039531C"/>
    <w:rsid w:val="003954F6"/>
    <w:rsid w:val="00395510"/>
    <w:rsid w:val="00395543"/>
    <w:rsid w:val="00395559"/>
    <w:rsid w:val="0039582A"/>
    <w:rsid w:val="00395920"/>
    <w:rsid w:val="0039596C"/>
    <w:rsid w:val="00395A61"/>
    <w:rsid w:val="00395BA3"/>
    <w:rsid w:val="00395C89"/>
    <w:rsid w:val="00395E51"/>
    <w:rsid w:val="0039606E"/>
    <w:rsid w:val="003960CE"/>
    <w:rsid w:val="00396268"/>
    <w:rsid w:val="00396276"/>
    <w:rsid w:val="0039631C"/>
    <w:rsid w:val="00396408"/>
    <w:rsid w:val="0039644A"/>
    <w:rsid w:val="00396573"/>
    <w:rsid w:val="00396575"/>
    <w:rsid w:val="003965BF"/>
    <w:rsid w:val="003965CB"/>
    <w:rsid w:val="00396725"/>
    <w:rsid w:val="003968CE"/>
    <w:rsid w:val="003969BD"/>
    <w:rsid w:val="00396B3F"/>
    <w:rsid w:val="00396E06"/>
    <w:rsid w:val="00396EAC"/>
    <w:rsid w:val="00396F28"/>
    <w:rsid w:val="003970EB"/>
    <w:rsid w:val="00397289"/>
    <w:rsid w:val="00397342"/>
    <w:rsid w:val="0039737B"/>
    <w:rsid w:val="00397430"/>
    <w:rsid w:val="0039761E"/>
    <w:rsid w:val="00397A55"/>
    <w:rsid w:val="00397A64"/>
    <w:rsid w:val="00397B1A"/>
    <w:rsid w:val="00397CEC"/>
    <w:rsid w:val="00397E66"/>
    <w:rsid w:val="00397F8E"/>
    <w:rsid w:val="003A02FC"/>
    <w:rsid w:val="003A04FB"/>
    <w:rsid w:val="003A05F0"/>
    <w:rsid w:val="003A062E"/>
    <w:rsid w:val="003A07D2"/>
    <w:rsid w:val="003A093B"/>
    <w:rsid w:val="003A0A77"/>
    <w:rsid w:val="003A0AC1"/>
    <w:rsid w:val="003A0B14"/>
    <w:rsid w:val="003A0C21"/>
    <w:rsid w:val="003A0C9A"/>
    <w:rsid w:val="003A0CAC"/>
    <w:rsid w:val="003A0D36"/>
    <w:rsid w:val="003A1009"/>
    <w:rsid w:val="003A1118"/>
    <w:rsid w:val="003A1143"/>
    <w:rsid w:val="003A11AF"/>
    <w:rsid w:val="003A1333"/>
    <w:rsid w:val="003A1413"/>
    <w:rsid w:val="003A157C"/>
    <w:rsid w:val="003A16A2"/>
    <w:rsid w:val="003A1822"/>
    <w:rsid w:val="003A18C0"/>
    <w:rsid w:val="003A1A1C"/>
    <w:rsid w:val="003A1A64"/>
    <w:rsid w:val="003A1B12"/>
    <w:rsid w:val="003A1B66"/>
    <w:rsid w:val="003A1D90"/>
    <w:rsid w:val="003A1DC5"/>
    <w:rsid w:val="003A21F9"/>
    <w:rsid w:val="003A2206"/>
    <w:rsid w:val="003A228B"/>
    <w:rsid w:val="003A22BC"/>
    <w:rsid w:val="003A23D8"/>
    <w:rsid w:val="003A24D7"/>
    <w:rsid w:val="003A2643"/>
    <w:rsid w:val="003A276B"/>
    <w:rsid w:val="003A2800"/>
    <w:rsid w:val="003A2A1C"/>
    <w:rsid w:val="003A2B72"/>
    <w:rsid w:val="003A2BFF"/>
    <w:rsid w:val="003A2C99"/>
    <w:rsid w:val="003A2F50"/>
    <w:rsid w:val="003A2F56"/>
    <w:rsid w:val="003A308B"/>
    <w:rsid w:val="003A313F"/>
    <w:rsid w:val="003A31A9"/>
    <w:rsid w:val="003A3282"/>
    <w:rsid w:val="003A32F9"/>
    <w:rsid w:val="003A3324"/>
    <w:rsid w:val="003A358B"/>
    <w:rsid w:val="003A3909"/>
    <w:rsid w:val="003A390A"/>
    <w:rsid w:val="003A395B"/>
    <w:rsid w:val="003A3AA0"/>
    <w:rsid w:val="003A3E47"/>
    <w:rsid w:val="003A3ED9"/>
    <w:rsid w:val="003A3F87"/>
    <w:rsid w:val="003A400F"/>
    <w:rsid w:val="003A42EB"/>
    <w:rsid w:val="003A4449"/>
    <w:rsid w:val="003A447B"/>
    <w:rsid w:val="003A4555"/>
    <w:rsid w:val="003A475E"/>
    <w:rsid w:val="003A47DC"/>
    <w:rsid w:val="003A487D"/>
    <w:rsid w:val="003A48B3"/>
    <w:rsid w:val="003A4A1B"/>
    <w:rsid w:val="003A4AB8"/>
    <w:rsid w:val="003A4D1D"/>
    <w:rsid w:val="003A4FB5"/>
    <w:rsid w:val="003A5111"/>
    <w:rsid w:val="003A529B"/>
    <w:rsid w:val="003A5497"/>
    <w:rsid w:val="003A5526"/>
    <w:rsid w:val="003A56A4"/>
    <w:rsid w:val="003A589E"/>
    <w:rsid w:val="003A59A5"/>
    <w:rsid w:val="003A5AF1"/>
    <w:rsid w:val="003A5B95"/>
    <w:rsid w:val="003A5BC5"/>
    <w:rsid w:val="003A5C4E"/>
    <w:rsid w:val="003A5D05"/>
    <w:rsid w:val="003A5DBA"/>
    <w:rsid w:val="003A5E6D"/>
    <w:rsid w:val="003A5F68"/>
    <w:rsid w:val="003A60D5"/>
    <w:rsid w:val="003A61E4"/>
    <w:rsid w:val="003A624F"/>
    <w:rsid w:val="003A62C4"/>
    <w:rsid w:val="003A642B"/>
    <w:rsid w:val="003A64B1"/>
    <w:rsid w:val="003A661D"/>
    <w:rsid w:val="003A66B2"/>
    <w:rsid w:val="003A6920"/>
    <w:rsid w:val="003A6941"/>
    <w:rsid w:val="003A69A4"/>
    <w:rsid w:val="003A6C64"/>
    <w:rsid w:val="003A6D78"/>
    <w:rsid w:val="003A6D96"/>
    <w:rsid w:val="003A7336"/>
    <w:rsid w:val="003A742A"/>
    <w:rsid w:val="003A747C"/>
    <w:rsid w:val="003A74AD"/>
    <w:rsid w:val="003A7771"/>
    <w:rsid w:val="003A78E5"/>
    <w:rsid w:val="003A7A48"/>
    <w:rsid w:val="003A7B4E"/>
    <w:rsid w:val="003A7B9E"/>
    <w:rsid w:val="003A7BBC"/>
    <w:rsid w:val="003A7CBF"/>
    <w:rsid w:val="003A7D42"/>
    <w:rsid w:val="003A7EC6"/>
    <w:rsid w:val="003B0090"/>
    <w:rsid w:val="003B081E"/>
    <w:rsid w:val="003B09D4"/>
    <w:rsid w:val="003B0A17"/>
    <w:rsid w:val="003B0A46"/>
    <w:rsid w:val="003B0C65"/>
    <w:rsid w:val="003B0CCE"/>
    <w:rsid w:val="003B0D0F"/>
    <w:rsid w:val="003B0E36"/>
    <w:rsid w:val="003B0EE9"/>
    <w:rsid w:val="003B0F95"/>
    <w:rsid w:val="003B105B"/>
    <w:rsid w:val="003B1134"/>
    <w:rsid w:val="003B125C"/>
    <w:rsid w:val="003B1322"/>
    <w:rsid w:val="003B13B6"/>
    <w:rsid w:val="003B1423"/>
    <w:rsid w:val="003B14F1"/>
    <w:rsid w:val="003B17B1"/>
    <w:rsid w:val="003B1832"/>
    <w:rsid w:val="003B1870"/>
    <w:rsid w:val="003B1EB1"/>
    <w:rsid w:val="003B2030"/>
    <w:rsid w:val="003B20B3"/>
    <w:rsid w:val="003B213D"/>
    <w:rsid w:val="003B2515"/>
    <w:rsid w:val="003B26BA"/>
    <w:rsid w:val="003B26E9"/>
    <w:rsid w:val="003B275A"/>
    <w:rsid w:val="003B29FF"/>
    <w:rsid w:val="003B2B01"/>
    <w:rsid w:val="003B2EBA"/>
    <w:rsid w:val="003B3089"/>
    <w:rsid w:val="003B31BE"/>
    <w:rsid w:val="003B3332"/>
    <w:rsid w:val="003B33F8"/>
    <w:rsid w:val="003B35CB"/>
    <w:rsid w:val="003B36E3"/>
    <w:rsid w:val="003B37FA"/>
    <w:rsid w:val="003B3BF0"/>
    <w:rsid w:val="003B3CFD"/>
    <w:rsid w:val="003B3D82"/>
    <w:rsid w:val="003B3E19"/>
    <w:rsid w:val="003B3FCE"/>
    <w:rsid w:val="003B40C2"/>
    <w:rsid w:val="003B428A"/>
    <w:rsid w:val="003B473E"/>
    <w:rsid w:val="003B47C1"/>
    <w:rsid w:val="003B4801"/>
    <w:rsid w:val="003B483F"/>
    <w:rsid w:val="003B4854"/>
    <w:rsid w:val="003B4A03"/>
    <w:rsid w:val="003B4A59"/>
    <w:rsid w:val="003B4A87"/>
    <w:rsid w:val="003B4B1B"/>
    <w:rsid w:val="003B4C20"/>
    <w:rsid w:val="003B4E3C"/>
    <w:rsid w:val="003B4F52"/>
    <w:rsid w:val="003B4FC5"/>
    <w:rsid w:val="003B505F"/>
    <w:rsid w:val="003B55E8"/>
    <w:rsid w:val="003B55E9"/>
    <w:rsid w:val="003B55F2"/>
    <w:rsid w:val="003B55F5"/>
    <w:rsid w:val="003B59CA"/>
    <w:rsid w:val="003B5B19"/>
    <w:rsid w:val="003B60D5"/>
    <w:rsid w:val="003B61AE"/>
    <w:rsid w:val="003B632D"/>
    <w:rsid w:val="003B6418"/>
    <w:rsid w:val="003B654A"/>
    <w:rsid w:val="003B6574"/>
    <w:rsid w:val="003B65FE"/>
    <w:rsid w:val="003B6794"/>
    <w:rsid w:val="003B692E"/>
    <w:rsid w:val="003B6A2B"/>
    <w:rsid w:val="003B6B76"/>
    <w:rsid w:val="003B6BC7"/>
    <w:rsid w:val="003B6D11"/>
    <w:rsid w:val="003B6D19"/>
    <w:rsid w:val="003B6F27"/>
    <w:rsid w:val="003B6F5B"/>
    <w:rsid w:val="003B6FF4"/>
    <w:rsid w:val="003B7150"/>
    <w:rsid w:val="003B73FF"/>
    <w:rsid w:val="003B743C"/>
    <w:rsid w:val="003B746D"/>
    <w:rsid w:val="003B7554"/>
    <w:rsid w:val="003B7587"/>
    <w:rsid w:val="003B75AE"/>
    <w:rsid w:val="003B782D"/>
    <w:rsid w:val="003B7854"/>
    <w:rsid w:val="003B79D2"/>
    <w:rsid w:val="003B7AA2"/>
    <w:rsid w:val="003B7DF8"/>
    <w:rsid w:val="003B7FF6"/>
    <w:rsid w:val="003C006C"/>
    <w:rsid w:val="003C00DD"/>
    <w:rsid w:val="003C0142"/>
    <w:rsid w:val="003C025E"/>
    <w:rsid w:val="003C02BF"/>
    <w:rsid w:val="003C02FA"/>
    <w:rsid w:val="003C058E"/>
    <w:rsid w:val="003C05D2"/>
    <w:rsid w:val="003C0AD5"/>
    <w:rsid w:val="003C0AEF"/>
    <w:rsid w:val="003C0CD2"/>
    <w:rsid w:val="003C0E86"/>
    <w:rsid w:val="003C0FAB"/>
    <w:rsid w:val="003C1124"/>
    <w:rsid w:val="003C1353"/>
    <w:rsid w:val="003C1720"/>
    <w:rsid w:val="003C18C4"/>
    <w:rsid w:val="003C1935"/>
    <w:rsid w:val="003C1984"/>
    <w:rsid w:val="003C19F9"/>
    <w:rsid w:val="003C1A03"/>
    <w:rsid w:val="003C1DF8"/>
    <w:rsid w:val="003C1E18"/>
    <w:rsid w:val="003C1F5C"/>
    <w:rsid w:val="003C1F71"/>
    <w:rsid w:val="003C1F83"/>
    <w:rsid w:val="003C201B"/>
    <w:rsid w:val="003C2168"/>
    <w:rsid w:val="003C2190"/>
    <w:rsid w:val="003C21D7"/>
    <w:rsid w:val="003C2335"/>
    <w:rsid w:val="003C24C0"/>
    <w:rsid w:val="003C2580"/>
    <w:rsid w:val="003C2650"/>
    <w:rsid w:val="003C2865"/>
    <w:rsid w:val="003C289D"/>
    <w:rsid w:val="003C2917"/>
    <w:rsid w:val="003C2A14"/>
    <w:rsid w:val="003C2DFE"/>
    <w:rsid w:val="003C2F63"/>
    <w:rsid w:val="003C3179"/>
    <w:rsid w:val="003C333E"/>
    <w:rsid w:val="003C3434"/>
    <w:rsid w:val="003C364A"/>
    <w:rsid w:val="003C37AF"/>
    <w:rsid w:val="003C38E3"/>
    <w:rsid w:val="003C39BF"/>
    <w:rsid w:val="003C3CC2"/>
    <w:rsid w:val="003C3CD4"/>
    <w:rsid w:val="003C3D9F"/>
    <w:rsid w:val="003C3E05"/>
    <w:rsid w:val="003C3EF6"/>
    <w:rsid w:val="003C408C"/>
    <w:rsid w:val="003C4117"/>
    <w:rsid w:val="003C414C"/>
    <w:rsid w:val="003C41A1"/>
    <w:rsid w:val="003C43A9"/>
    <w:rsid w:val="003C4571"/>
    <w:rsid w:val="003C4629"/>
    <w:rsid w:val="003C4682"/>
    <w:rsid w:val="003C47E4"/>
    <w:rsid w:val="003C483E"/>
    <w:rsid w:val="003C4875"/>
    <w:rsid w:val="003C4913"/>
    <w:rsid w:val="003C4B63"/>
    <w:rsid w:val="003C4BF7"/>
    <w:rsid w:val="003C4D32"/>
    <w:rsid w:val="003C4E36"/>
    <w:rsid w:val="003C4F0B"/>
    <w:rsid w:val="003C4F7F"/>
    <w:rsid w:val="003C5207"/>
    <w:rsid w:val="003C54E4"/>
    <w:rsid w:val="003C571E"/>
    <w:rsid w:val="003C5A19"/>
    <w:rsid w:val="003C5B15"/>
    <w:rsid w:val="003C5B67"/>
    <w:rsid w:val="003C5BA7"/>
    <w:rsid w:val="003C5D20"/>
    <w:rsid w:val="003C5E15"/>
    <w:rsid w:val="003C5F95"/>
    <w:rsid w:val="003C6040"/>
    <w:rsid w:val="003C6076"/>
    <w:rsid w:val="003C619E"/>
    <w:rsid w:val="003C61A7"/>
    <w:rsid w:val="003C6385"/>
    <w:rsid w:val="003C6423"/>
    <w:rsid w:val="003C651D"/>
    <w:rsid w:val="003C652C"/>
    <w:rsid w:val="003C65FE"/>
    <w:rsid w:val="003C6864"/>
    <w:rsid w:val="003C686F"/>
    <w:rsid w:val="003C6AE6"/>
    <w:rsid w:val="003C6C2F"/>
    <w:rsid w:val="003C6CB9"/>
    <w:rsid w:val="003C6D0E"/>
    <w:rsid w:val="003C6D4B"/>
    <w:rsid w:val="003C70A4"/>
    <w:rsid w:val="003C72EB"/>
    <w:rsid w:val="003C737A"/>
    <w:rsid w:val="003C7484"/>
    <w:rsid w:val="003C75FC"/>
    <w:rsid w:val="003C7712"/>
    <w:rsid w:val="003C777C"/>
    <w:rsid w:val="003C7867"/>
    <w:rsid w:val="003C78A7"/>
    <w:rsid w:val="003C78C3"/>
    <w:rsid w:val="003C78EA"/>
    <w:rsid w:val="003C7959"/>
    <w:rsid w:val="003C795E"/>
    <w:rsid w:val="003C7A42"/>
    <w:rsid w:val="003C7BB8"/>
    <w:rsid w:val="003C7C08"/>
    <w:rsid w:val="003C7D92"/>
    <w:rsid w:val="003C7FB5"/>
    <w:rsid w:val="003D00C9"/>
    <w:rsid w:val="003D01BB"/>
    <w:rsid w:val="003D0395"/>
    <w:rsid w:val="003D08DA"/>
    <w:rsid w:val="003D0C7E"/>
    <w:rsid w:val="003D0D3F"/>
    <w:rsid w:val="003D0EBF"/>
    <w:rsid w:val="003D0F48"/>
    <w:rsid w:val="003D0F9F"/>
    <w:rsid w:val="003D1159"/>
    <w:rsid w:val="003D1191"/>
    <w:rsid w:val="003D11D5"/>
    <w:rsid w:val="003D125A"/>
    <w:rsid w:val="003D12D1"/>
    <w:rsid w:val="003D1533"/>
    <w:rsid w:val="003D161D"/>
    <w:rsid w:val="003D16DB"/>
    <w:rsid w:val="003D1756"/>
    <w:rsid w:val="003D182A"/>
    <w:rsid w:val="003D18AC"/>
    <w:rsid w:val="003D18FC"/>
    <w:rsid w:val="003D1A80"/>
    <w:rsid w:val="003D1ABE"/>
    <w:rsid w:val="003D1D38"/>
    <w:rsid w:val="003D1DFA"/>
    <w:rsid w:val="003D1E53"/>
    <w:rsid w:val="003D1FB4"/>
    <w:rsid w:val="003D2088"/>
    <w:rsid w:val="003D20A3"/>
    <w:rsid w:val="003D20B2"/>
    <w:rsid w:val="003D21BC"/>
    <w:rsid w:val="003D22CE"/>
    <w:rsid w:val="003D237F"/>
    <w:rsid w:val="003D2486"/>
    <w:rsid w:val="003D2695"/>
    <w:rsid w:val="003D276B"/>
    <w:rsid w:val="003D27D2"/>
    <w:rsid w:val="003D29D1"/>
    <w:rsid w:val="003D29FC"/>
    <w:rsid w:val="003D2B90"/>
    <w:rsid w:val="003D2C24"/>
    <w:rsid w:val="003D2CB7"/>
    <w:rsid w:val="003D2EB2"/>
    <w:rsid w:val="003D2EC2"/>
    <w:rsid w:val="003D3011"/>
    <w:rsid w:val="003D34C0"/>
    <w:rsid w:val="003D356C"/>
    <w:rsid w:val="003D358A"/>
    <w:rsid w:val="003D35BD"/>
    <w:rsid w:val="003D3A00"/>
    <w:rsid w:val="003D3AFC"/>
    <w:rsid w:val="003D3AFF"/>
    <w:rsid w:val="003D3C28"/>
    <w:rsid w:val="003D3E6B"/>
    <w:rsid w:val="003D3EA2"/>
    <w:rsid w:val="003D40D2"/>
    <w:rsid w:val="003D417D"/>
    <w:rsid w:val="003D41C3"/>
    <w:rsid w:val="003D4315"/>
    <w:rsid w:val="003D43B9"/>
    <w:rsid w:val="003D44C3"/>
    <w:rsid w:val="003D455D"/>
    <w:rsid w:val="003D462E"/>
    <w:rsid w:val="003D4B3D"/>
    <w:rsid w:val="003D4DB8"/>
    <w:rsid w:val="003D4F02"/>
    <w:rsid w:val="003D545A"/>
    <w:rsid w:val="003D54D2"/>
    <w:rsid w:val="003D5696"/>
    <w:rsid w:val="003D5776"/>
    <w:rsid w:val="003D5785"/>
    <w:rsid w:val="003D57C8"/>
    <w:rsid w:val="003D58FA"/>
    <w:rsid w:val="003D5938"/>
    <w:rsid w:val="003D59DD"/>
    <w:rsid w:val="003D5A05"/>
    <w:rsid w:val="003D5B01"/>
    <w:rsid w:val="003D5B4B"/>
    <w:rsid w:val="003D5B6C"/>
    <w:rsid w:val="003D5BE4"/>
    <w:rsid w:val="003D5CD2"/>
    <w:rsid w:val="003D5D95"/>
    <w:rsid w:val="003D5E44"/>
    <w:rsid w:val="003D5E84"/>
    <w:rsid w:val="003D5F97"/>
    <w:rsid w:val="003D6123"/>
    <w:rsid w:val="003D638B"/>
    <w:rsid w:val="003D6440"/>
    <w:rsid w:val="003D665C"/>
    <w:rsid w:val="003D6788"/>
    <w:rsid w:val="003D6A47"/>
    <w:rsid w:val="003D6C8F"/>
    <w:rsid w:val="003D6E3F"/>
    <w:rsid w:val="003D6F43"/>
    <w:rsid w:val="003D6F56"/>
    <w:rsid w:val="003D7040"/>
    <w:rsid w:val="003D706D"/>
    <w:rsid w:val="003D70C2"/>
    <w:rsid w:val="003D730F"/>
    <w:rsid w:val="003D73AD"/>
    <w:rsid w:val="003D7433"/>
    <w:rsid w:val="003D7505"/>
    <w:rsid w:val="003D779D"/>
    <w:rsid w:val="003D7882"/>
    <w:rsid w:val="003D789A"/>
    <w:rsid w:val="003D78AB"/>
    <w:rsid w:val="003D796F"/>
    <w:rsid w:val="003D7B51"/>
    <w:rsid w:val="003E00B7"/>
    <w:rsid w:val="003E0640"/>
    <w:rsid w:val="003E066E"/>
    <w:rsid w:val="003E07C5"/>
    <w:rsid w:val="003E091A"/>
    <w:rsid w:val="003E0AFC"/>
    <w:rsid w:val="003E0B80"/>
    <w:rsid w:val="003E0C52"/>
    <w:rsid w:val="003E0CFC"/>
    <w:rsid w:val="003E0D5E"/>
    <w:rsid w:val="003E0DBD"/>
    <w:rsid w:val="003E111E"/>
    <w:rsid w:val="003E1144"/>
    <w:rsid w:val="003E14E0"/>
    <w:rsid w:val="003E15A3"/>
    <w:rsid w:val="003E16CD"/>
    <w:rsid w:val="003E17EA"/>
    <w:rsid w:val="003E18D6"/>
    <w:rsid w:val="003E1962"/>
    <w:rsid w:val="003E19CF"/>
    <w:rsid w:val="003E1A3F"/>
    <w:rsid w:val="003E1A64"/>
    <w:rsid w:val="003E1C29"/>
    <w:rsid w:val="003E1D29"/>
    <w:rsid w:val="003E1E93"/>
    <w:rsid w:val="003E1F02"/>
    <w:rsid w:val="003E1F4E"/>
    <w:rsid w:val="003E1F89"/>
    <w:rsid w:val="003E205B"/>
    <w:rsid w:val="003E20F6"/>
    <w:rsid w:val="003E21C4"/>
    <w:rsid w:val="003E22D6"/>
    <w:rsid w:val="003E234A"/>
    <w:rsid w:val="003E26FB"/>
    <w:rsid w:val="003E2856"/>
    <w:rsid w:val="003E29B5"/>
    <w:rsid w:val="003E2A79"/>
    <w:rsid w:val="003E2C64"/>
    <w:rsid w:val="003E2CA7"/>
    <w:rsid w:val="003E2DFF"/>
    <w:rsid w:val="003E2F69"/>
    <w:rsid w:val="003E301D"/>
    <w:rsid w:val="003E31CF"/>
    <w:rsid w:val="003E31ED"/>
    <w:rsid w:val="003E32CF"/>
    <w:rsid w:val="003E3438"/>
    <w:rsid w:val="003E35BD"/>
    <w:rsid w:val="003E36CC"/>
    <w:rsid w:val="003E37E4"/>
    <w:rsid w:val="003E3810"/>
    <w:rsid w:val="003E3937"/>
    <w:rsid w:val="003E39E3"/>
    <w:rsid w:val="003E3C1F"/>
    <w:rsid w:val="003E3CF5"/>
    <w:rsid w:val="003E3D3F"/>
    <w:rsid w:val="003E3DD4"/>
    <w:rsid w:val="003E3F14"/>
    <w:rsid w:val="003E3F21"/>
    <w:rsid w:val="003E400C"/>
    <w:rsid w:val="003E4016"/>
    <w:rsid w:val="003E4069"/>
    <w:rsid w:val="003E40A1"/>
    <w:rsid w:val="003E4150"/>
    <w:rsid w:val="003E4417"/>
    <w:rsid w:val="003E449B"/>
    <w:rsid w:val="003E45F7"/>
    <w:rsid w:val="003E4991"/>
    <w:rsid w:val="003E4A75"/>
    <w:rsid w:val="003E4AD8"/>
    <w:rsid w:val="003E4B51"/>
    <w:rsid w:val="003E4BB9"/>
    <w:rsid w:val="003E4D01"/>
    <w:rsid w:val="003E4D73"/>
    <w:rsid w:val="003E4E9E"/>
    <w:rsid w:val="003E4EF6"/>
    <w:rsid w:val="003E4F57"/>
    <w:rsid w:val="003E4FBB"/>
    <w:rsid w:val="003E53ED"/>
    <w:rsid w:val="003E541B"/>
    <w:rsid w:val="003E54AA"/>
    <w:rsid w:val="003E56C6"/>
    <w:rsid w:val="003E585B"/>
    <w:rsid w:val="003E592E"/>
    <w:rsid w:val="003E5968"/>
    <w:rsid w:val="003E5AC6"/>
    <w:rsid w:val="003E5DEB"/>
    <w:rsid w:val="003E61F7"/>
    <w:rsid w:val="003E6307"/>
    <w:rsid w:val="003E6445"/>
    <w:rsid w:val="003E64BF"/>
    <w:rsid w:val="003E6588"/>
    <w:rsid w:val="003E6646"/>
    <w:rsid w:val="003E68AE"/>
    <w:rsid w:val="003E6A26"/>
    <w:rsid w:val="003E6B10"/>
    <w:rsid w:val="003E6D89"/>
    <w:rsid w:val="003E6F97"/>
    <w:rsid w:val="003E7281"/>
    <w:rsid w:val="003E737F"/>
    <w:rsid w:val="003E73E6"/>
    <w:rsid w:val="003E744A"/>
    <w:rsid w:val="003E769C"/>
    <w:rsid w:val="003E771E"/>
    <w:rsid w:val="003E786A"/>
    <w:rsid w:val="003E78DD"/>
    <w:rsid w:val="003E79C0"/>
    <w:rsid w:val="003E79E7"/>
    <w:rsid w:val="003E7BCC"/>
    <w:rsid w:val="003E7C40"/>
    <w:rsid w:val="003E7E12"/>
    <w:rsid w:val="003E7E93"/>
    <w:rsid w:val="003E7F7C"/>
    <w:rsid w:val="003E7F82"/>
    <w:rsid w:val="003F0029"/>
    <w:rsid w:val="003F005A"/>
    <w:rsid w:val="003F0066"/>
    <w:rsid w:val="003F00B6"/>
    <w:rsid w:val="003F014C"/>
    <w:rsid w:val="003F037F"/>
    <w:rsid w:val="003F03B8"/>
    <w:rsid w:val="003F069D"/>
    <w:rsid w:val="003F071A"/>
    <w:rsid w:val="003F08FE"/>
    <w:rsid w:val="003F0959"/>
    <w:rsid w:val="003F0A30"/>
    <w:rsid w:val="003F0A82"/>
    <w:rsid w:val="003F0ADC"/>
    <w:rsid w:val="003F0AE1"/>
    <w:rsid w:val="003F0B91"/>
    <w:rsid w:val="003F0C5F"/>
    <w:rsid w:val="003F0E93"/>
    <w:rsid w:val="003F0EB4"/>
    <w:rsid w:val="003F0F45"/>
    <w:rsid w:val="003F0FA0"/>
    <w:rsid w:val="003F1019"/>
    <w:rsid w:val="003F1364"/>
    <w:rsid w:val="003F15AD"/>
    <w:rsid w:val="003F16A3"/>
    <w:rsid w:val="003F16D5"/>
    <w:rsid w:val="003F17AA"/>
    <w:rsid w:val="003F195C"/>
    <w:rsid w:val="003F1986"/>
    <w:rsid w:val="003F1997"/>
    <w:rsid w:val="003F1C27"/>
    <w:rsid w:val="003F1D81"/>
    <w:rsid w:val="003F1E48"/>
    <w:rsid w:val="003F1E53"/>
    <w:rsid w:val="003F1F3F"/>
    <w:rsid w:val="003F1F52"/>
    <w:rsid w:val="003F202F"/>
    <w:rsid w:val="003F20FE"/>
    <w:rsid w:val="003F23F4"/>
    <w:rsid w:val="003F2400"/>
    <w:rsid w:val="003F2589"/>
    <w:rsid w:val="003F26F8"/>
    <w:rsid w:val="003F27C4"/>
    <w:rsid w:val="003F2A66"/>
    <w:rsid w:val="003F2AA9"/>
    <w:rsid w:val="003F2C85"/>
    <w:rsid w:val="003F2CD7"/>
    <w:rsid w:val="003F2D42"/>
    <w:rsid w:val="003F2EDA"/>
    <w:rsid w:val="003F2FEB"/>
    <w:rsid w:val="003F34C7"/>
    <w:rsid w:val="003F356A"/>
    <w:rsid w:val="003F3695"/>
    <w:rsid w:val="003F377A"/>
    <w:rsid w:val="003F3CA4"/>
    <w:rsid w:val="003F3CCE"/>
    <w:rsid w:val="003F3E20"/>
    <w:rsid w:val="003F3E93"/>
    <w:rsid w:val="003F4033"/>
    <w:rsid w:val="003F42C0"/>
    <w:rsid w:val="003F4450"/>
    <w:rsid w:val="003F4505"/>
    <w:rsid w:val="003F4571"/>
    <w:rsid w:val="003F46AD"/>
    <w:rsid w:val="003F47FB"/>
    <w:rsid w:val="003F4824"/>
    <w:rsid w:val="003F49BF"/>
    <w:rsid w:val="003F49EC"/>
    <w:rsid w:val="003F4A59"/>
    <w:rsid w:val="003F4A99"/>
    <w:rsid w:val="003F4DE2"/>
    <w:rsid w:val="003F4EBF"/>
    <w:rsid w:val="003F5068"/>
    <w:rsid w:val="003F5171"/>
    <w:rsid w:val="003F51A9"/>
    <w:rsid w:val="003F5297"/>
    <w:rsid w:val="003F5412"/>
    <w:rsid w:val="003F5706"/>
    <w:rsid w:val="003F57FA"/>
    <w:rsid w:val="003F58BA"/>
    <w:rsid w:val="003F5A04"/>
    <w:rsid w:val="003F5A35"/>
    <w:rsid w:val="003F5A58"/>
    <w:rsid w:val="003F5AF3"/>
    <w:rsid w:val="003F5C73"/>
    <w:rsid w:val="003F5CCE"/>
    <w:rsid w:val="003F5E12"/>
    <w:rsid w:val="003F5E1A"/>
    <w:rsid w:val="003F603A"/>
    <w:rsid w:val="003F60AF"/>
    <w:rsid w:val="003F61CB"/>
    <w:rsid w:val="003F6263"/>
    <w:rsid w:val="003F632C"/>
    <w:rsid w:val="003F634D"/>
    <w:rsid w:val="003F637E"/>
    <w:rsid w:val="003F655C"/>
    <w:rsid w:val="003F65E6"/>
    <w:rsid w:val="003F6604"/>
    <w:rsid w:val="003F678D"/>
    <w:rsid w:val="003F67BD"/>
    <w:rsid w:val="003F6A2E"/>
    <w:rsid w:val="003F6E71"/>
    <w:rsid w:val="003F70A7"/>
    <w:rsid w:val="003F70D7"/>
    <w:rsid w:val="003F71AB"/>
    <w:rsid w:val="003F795F"/>
    <w:rsid w:val="003F7A00"/>
    <w:rsid w:val="003F7A08"/>
    <w:rsid w:val="003F7AE7"/>
    <w:rsid w:val="003F7B37"/>
    <w:rsid w:val="003F7C49"/>
    <w:rsid w:val="003F7CD2"/>
    <w:rsid w:val="003F7CF6"/>
    <w:rsid w:val="003F7D33"/>
    <w:rsid w:val="003F7D5A"/>
    <w:rsid w:val="003F7DB8"/>
    <w:rsid w:val="003F7E2B"/>
    <w:rsid w:val="003F7EB4"/>
    <w:rsid w:val="003F7FCC"/>
    <w:rsid w:val="004001B6"/>
    <w:rsid w:val="0040045D"/>
    <w:rsid w:val="00400503"/>
    <w:rsid w:val="00400547"/>
    <w:rsid w:val="0040056C"/>
    <w:rsid w:val="004005BF"/>
    <w:rsid w:val="004006F4"/>
    <w:rsid w:val="00400756"/>
    <w:rsid w:val="004009AE"/>
    <w:rsid w:val="00400AC0"/>
    <w:rsid w:val="00400B63"/>
    <w:rsid w:val="00400C29"/>
    <w:rsid w:val="00400D1F"/>
    <w:rsid w:val="00400DAB"/>
    <w:rsid w:val="00400DE4"/>
    <w:rsid w:val="00400DFC"/>
    <w:rsid w:val="00400E55"/>
    <w:rsid w:val="00400EBF"/>
    <w:rsid w:val="00400F86"/>
    <w:rsid w:val="0040121B"/>
    <w:rsid w:val="00401230"/>
    <w:rsid w:val="00401357"/>
    <w:rsid w:val="004013E0"/>
    <w:rsid w:val="004014A7"/>
    <w:rsid w:val="0040159E"/>
    <w:rsid w:val="00401798"/>
    <w:rsid w:val="00401856"/>
    <w:rsid w:val="00401874"/>
    <w:rsid w:val="0040198D"/>
    <w:rsid w:val="004019A3"/>
    <w:rsid w:val="00401A03"/>
    <w:rsid w:val="00401A4C"/>
    <w:rsid w:val="00401A55"/>
    <w:rsid w:val="00401BA9"/>
    <w:rsid w:val="00401BBE"/>
    <w:rsid w:val="00401D4F"/>
    <w:rsid w:val="00401DD8"/>
    <w:rsid w:val="00401EDA"/>
    <w:rsid w:val="004020FB"/>
    <w:rsid w:val="00402190"/>
    <w:rsid w:val="00402266"/>
    <w:rsid w:val="00402289"/>
    <w:rsid w:val="004026B0"/>
    <w:rsid w:val="00402777"/>
    <w:rsid w:val="0040294D"/>
    <w:rsid w:val="0040297D"/>
    <w:rsid w:val="004029DD"/>
    <w:rsid w:val="004029F4"/>
    <w:rsid w:val="00402AE5"/>
    <w:rsid w:val="00402BA0"/>
    <w:rsid w:val="00402F17"/>
    <w:rsid w:val="004033EF"/>
    <w:rsid w:val="004034A9"/>
    <w:rsid w:val="00403514"/>
    <w:rsid w:val="004035B0"/>
    <w:rsid w:val="004036B1"/>
    <w:rsid w:val="004036DA"/>
    <w:rsid w:val="00403785"/>
    <w:rsid w:val="0040378D"/>
    <w:rsid w:val="00403932"/>
    <w:rsid w:val="00403ABB"/>
    <w:rsid w:val="00403B41"/>
    <w:rsid w:val="00403B6C"/>
    <w:rsid w:val="00403B7E"/>
    <w:rsid w:val="00403BD4"/>
    <w:rsid w:val="00403C03"/>
    <w:rsid w:val="00403D76"/>
    <w:rsid w:val="00403DB0"/>
    <w:rsid w:val="00403DE4"/>
    <w:rsid w:val="00403EEB"/>
    <w:rsid w:val="00403F71"/>
    <w:rsid w:val="0040439B"/>
    <w:rsid w:val="00404435"/>
    <w:rsid w:val="00404447"/>
    <w:rsid w:val="004044FE"/>
    <w:rsid w:val="004047C3"/>
    <w:rsid w:val="00404800"/>
    <w:rsid w:val="00404828"/>
    <w:rsid w:val="00404880"/>
    <w:rsid w:val="0040488A"/>
    <w:rsid w:val="00404909"/>
    <w:rsid w:val="00404A81"/>
    <w:rsid w:val="00404A9F"/>
    <w:rsid w:val="00404AF7"/>
    <w:rsid w:val="00404D4C"/>
    <w:rsid w:val="00404DA3"/>
    <w:rsid w:val="00404E5F"/>
    <w:rsid w:val="00404E91"/>
    <w:rsid w:val="00404F2F"/>
    <w:rsid w:val="00404F3F"/>
    <w:rsid w:val="00405037"/>
    <w:rsid w:val="004050E5"/>
    <w:rsid w:val="0040514B"/>
    <w:rsid w:val="0040525D"/>
    <w:rsid w:val="0040529B"/>
    <w:rsid w:val="004053C9"/>
    <w:rsid w:val="00405438"/>
    <w:rsid w:val="00405463"/>
    <w:rsid w:val="00405504"/>
    <w:rsid w:val="004055C1"/>
    <w:rsid w:val="00405816"/>
    <w:rsid w:val="00405992"/>
    <w:rsid w:val="00405A0C"/>
    <w:rsid w:val="00405DC5"/>
    <w:rsid w:val="00405E68"/>
    <w:rsid w:val="0040617D"/>
    <w:rsid w:val="00406264"/>
    <w:rsid w:val="004063D5"/>
    <w:rsid w:val="00406497"/>
    <w:rsid w:val="004064FD"/>
    <w:rsid w:val="0040657C"/>
    <w:rsid w:val="004067BA"/>
    <w:rsid w:val="004067E0"/>
    <w:rsid w:val="00406908"/>
    <w:rsid w:val="00406912"/>
    <w:rsid w:val="004069A2"/>
    <w:rsid w:val="004069FC"/>
    <w:rsid w:val="00406A0E"/>
    <w:rsid w:val="00406AF1"/>
    <w:rsid w:val="00406C5B"/>
    <w:rsid w:val="00406C78"/>
    <w:rsid w:val="00406CD6"/>
    <w:rsid w:val="00406D78"/>
    <w:rsid w:val="00406DA0"/>
    <w:rsid w:val="0040707A"/>
    <w:rsid w:val="004070E1"/>
    <w:rsid w:val="00407202"/>
    <w:rsid w:val="00407218"/>
    <w:rsid w:val="00407292"/>
    <w:rsid w:val="004072B1"/>
    <w:rsid w:val="0040732F"/>
    <w:rsid w:val="0040739B"/>
    <w:rsid w:val="00407409"/>
    <w:rsid w:val="004075CA"/>
    <w:rsid w:val="00407707"/>
    <w:rsid w:val="004077DA"/>
    <w:rsid w:val="00407815"/>
    <w:rsid w:val="004079A6"/>
    <w:rsid w:val="00407B00"/>
    <w:rsid w:val="00407B66"/>
    <w:rsid w:val="00407BBC"/>
    <w:rsid w:val="00407EA0"/>
    <w:rsid w:val="00410011"/>
    <w:rsid w:val="00410217"/>
    <w:rsid w:val="00410267"/>
    <w:rsid w:val="00410467"/>
    <w:rsid w:val="004104FC"/>
    <w:rsid w:val="00410530"/>
    <w:rsid w:val="004105D0"/>
    <w:rsid w:val="0041075F"/>
    <w:rsid w:val="00410779"/>
    <w:rsid w:val="00410801"/>
    <w:rsid w:val="0041090E"/>
    <w:rsid w:val="00410A84"/>
    <w:rsid w:val="00410BBE"/>
    <w:rsid w:val="00410C7B"/>
    <w:rsid w:val="00410EFE"/>
    <w:rsid w:val="00410F73"/>
    <w:rsid w:val="00410F8E"/>
    <w:rsid w:val="004110A6"/>
    <w:rsid w:val="0041114C"/>
    <w:rsid w:val="0041122F"/>
    <w:rsid w:val="00411705"/>
    <w:rsid w:val="00411843"/>
    <w:rsid w:val="004118E6"/>
    <w:rsid w:val="00411A04"/>
    <w:rsid w:val="00411C16"/>
    <w:rsid w:val="00411C71"/>
    <w:rsid w:val="00411CF5"/>
    <w:rsid w:val="00411DCB"/>
    <w:rsid w:val="00411EE2"/>
    <w:rsid w:val="004120E9"/>
    <w:rsid w:val="00412130"/>
    <w:rsid w:val="00412131"/>
    <w:rsid w:val="00412161"/>
    <w:rsid w:val="00412638"/>
    <w:rsid w:val="0041268A"/>
    <w:rsid w:val="004126E3"/>
    <w:rsid w:val="0041270E"/>
    <w:rsid w:val="00412988"/>
    <w:rsid w:val="00412AEC"/>
    <w:rsid w:val="00412B1D"/>
    <w:rsid w:val="00412CE7"/>
    <w:rsid w:val="00412DD9"/>
    <w:rsid w:val="00412E93"/>
    <w:rsid w:val="00412EEC"/>
    <w:rsid w:val="00412FE4"/>
    <w:rsid w:val="00413094"/>
    <w:rsid w:val="0041311A"/>
    <w:rsid w:val="004134FB"/>
    <w:rsid w:val="0041395B"/>
    <w:rsid w:val="00413C2A"/>
    <w:rsid w:val="00413E36"/>
    <w:rsid w:val="00413F14"/>
    <w:rsid w:val="00413FE7"/>
    <w:rsid w:val="004140B2"/>
    <w:rsid w:val="00414107"/>
    <w:rsid w:val="004143FD"/>
    <w:rsid w:val="0041456E"/>
    <w:rsid w:val="004145CA"/>
    <w:rsid w:val="00414672"/>
    <w:rsid w:val="004146CB"/>
    <w:rsid w:val="0041483B"/>
    <w:rsid w:val="004148C4"/>
    <w:rsid w:val="004149A2"/>
    <w:rsid w:val="004149C2"/>
    <w:rsid w:val="004149C8"/>
    <w:rsid w:val="004149CE"/>
    <w:rsid w:val="00414C93"/>
    <w:rsid w:val="00414D02"/>
    <w:rsid w:val="00414E17"/>
    <w:rsid w:val="00414E6E"/>
    <w:rsid w:val="00414EEA"/>
    <w:rsid w:val="00414F4C"/>
    <w:rsid w:val="00415149"/>
    <w:rsid w:val="004151E9"/>
    <w:rsid w:val="004152C1"/>
    <w:rsid w:val="00415333"/>
    <w:rsid w:val="00415404"/>
    <w:rsid w:val="00415517"/>
    <w:rsid w:val="0041561E"/>
    <w:rsid w:val="0041563D"/>
    <w:rsid w:val="0041567E"/>
    <w:rsid w:val="004157E0"/>
    <w:rsid w:val="004158C5"/>
    <w:rsid w:val="00415917"/>
    <w:rsid w:val="00415B05"/>
    <w:rsid w:val="00415B82"/>
    <w:rsid w:val="00415F75"/>
    <w:rsid w:val="00416445"/>
    <w:rsid w:val="00416916"/>
    <w:rsid w:val="00416AF5"/>
    <w:rsid w:val="00416BBE"/>
    <w:rsid w:val="00416C69"/>
    <w:rsid w:val="00416F13"/>
    <w:rsid w:val="00416FDA"/>
    <w:rsid w:val="004170A1"/>
    <w:rsid w:val="00417103"/>
    <w:rsid w:val="00417124"/>
    <w:rsid w:val="0041741A"/>
    <w:rsid w:val="00417489"/>
    <w:rsid w:val="0041758F"/>
    <w:rsid w:val="0041767A"/>
    <w:rsid w:val="004176BB"/>
    <w:rsid w:val="00417ABF"/>
    <w:rsid w:val="00417B42"/>
    <w:rsid w:val="00417B45"/>
    <w:rsid w:val="00417E47"/>
    <w:rsid w:val="00417F2E"/>
    <w:rsid w:val="00417F69"/>
    <w:rsid w:val="0042020F"/>
    <w:rsid w:val="0042026F"/>
    <w:rsid w:val="004202D3"/>
    <w:rsid w:val="004203E0"/>
    <w:rsid w:val="0042041C"/>
    <w:rsid w:val="0042045F"/>
    <w:rsid w:val="004205DA"/>
    <w:rsid w:val="00420638"/>
    <w:rsid w:val="004206F3"/>
    <w:rsid w:val="0042083E"/>
    <w:rsid w:val="004208BF"/>
    <w:rsid w:val="00420954"/>
    <w:rsid w:val="00420965"/>
    <w:rsid w:val="00420B0C"/>
    <w:rsid w:val="00420DE3"/>
    <w:rsid w:val="00420FBC"/>
    <w:rsid w:val="004212DE"/>
    <w:rsid w:val="004213A6"/>
    <w:rsid w:val="004213E2"/>
    <w:rsid w:val="004215D8"/>
    <w:rsid w:val="0042165E"/>
    <w:rsid w:val="00421662"/>
    <w:rsid w:val="00421AA0"/>
    <w:rsid w:val="00421AD6"/>
    <w:rsid w:val="00421B8E"/>
    <w:rsid w:val="00421D64"/>
    <w:rsid w:val="00421F28"/>
    <w:rsid w:val="00421FEC"/>
    <w:rsid w:val="0042232B"/>
    <w:rsid w:val="004224AD"/>
    <w:rsid w:val="004224E0"/>
    <w:rsid w:val="00422644"/>
    <w:rsid w:val="0042268D"/>
    <w:rsid w:val="00422746"/>
    <w:rsid w:val="0042278B"/>
    <w:rsid w:val="004229DB"/>
    <w:rsid w:val="00422A6B"/>
    <w:rsid w:val="00422A89"/>
    <w:rsid w:val="00422C2C"/>
    <w:rsid w:val="00422C7C"/>
    <w:rsid w:val="00422C9C"/>
    <w:rsid w:val="00422CA6"/>
    <w:rsid w:val="00422F96"/>
    <w:rsid w:val="00422FB0"/>
    <w:rsid w:val="004230A1"/>
    <w:rsid w:val="004230C9"/>
    <w:rsid w:val="0042323B"/>
    <w:rsid w:val="00423246"/>
    <w:rsid w:val="00423281"/>
    <w:rsid w:val="0042333A"/>
    <w:rsid w:val="00423374"/>
    <w:rsid w:val="004233B1"/>
    <w:rsid w:val="004233B7"/>
    <w:rsid w:val="00423552"/>
    <w:rsid w:val="0042365A"/>
    <w:rsid w:val="0042397A"/>
    <w:rsid w:val="0042399A"/>
    <w:rsid w:val="004239F0"/>
    <w:rsid w:val="004239F4"/>
    <w:rsid w:val="00423BED"/>
    <w:rsid w:val="00423D43"/>
    <w:rsid w:val="00423D56"/>
    <w:rsid w:val="00423F88"/>
    <w:rsid w:val="00424006"/>
    <w:rsid w:val="00424291"/>
    <w:rsid w:val="0042433A"/>
    <w:rsid w:val="004246B0"/>
    <w:rsid w:val="00424831"/>
    <w:rsid w:val="00424898"/>
    <w:rsid w:val="004248D6"/>
    <w:rsid w:val="004248FF"/>
    <w:rsid w:val="00424AA0"/>
    <w:rsid w:val="00424AD1"/>
    <w:rsid w:val="00424B2A"/>
    <w:rsid w:val="00424B6F"/>
    <w:rsid w:val="00424C76"/>
    <w:rsid w:val="00424D06"/>
    <w:rsid w:val="00424D50"/>
    <w:rsid w:val="00424DDA"/>
    <w:rsid w:val="00424E0F"/>
    <w:rsid w:val="0042516F"/>
    <w:rsid w:val="004253FF"/>
    <w:rsid w:val="0042550A"/>
    <w:rsid w:val="0042568B"/>
    <w:rsid w:val="0042578F"/>
    <w:rsid w:val="004257EA"/>
    <w:rsid w:val="004257FA"/>
    <w:rsid w:val="004258B9"/>
    <w:rsid w:val="004259F4"/>
    <w:rsid w:val="00425A02"/>
    <w:rsid w:val="00425A7F"/>
    <w:rsid w:val="00425B8A"/>
    <w:rsid w:val="00425C96"/>
    <w:rsid w:val="00425E0A"/>
    <w:rsid w:val="00425E71"/>
    <w:rsid w:val="004260EE"/>
    <w:rsid w:val="004262B0"/>
    <w:rsid w:val="0042633B"/>
    <w:rsid w:val="0042639F"/>
    <w:rsid w:val="00426421"/>
    <w:rsid w:val="0042648E"/>
    <w:rsid w:val="004264AB"/>
    <w:rsid w:val="004264F5"/>
    <w:rsid w:val="00426758"/>
    <w:rsid w:val="004267A0"/>
    <w:rsid w:val="0042683E"/>
    <w:rsid w:val="00426932"/>
    <w:rsid w:val="00426AA0"/>
    <w:rsid w:val="00426B14"/>
    <w:rsid w:val="00426B36"/>
    <w:rsid w:val="00426C18"/>
    <w:rsid w:val="00426C39"/>
    <w:rsid w:val="00426C47"/>
    <w:rsid w:val="00426CA9"/>
    <w:rsid w:val="00426D40"/>
    <w:rsid w:val="00426E63"/>
    <w:rsid w:val="00426E6C"/>
    <w:rsid w:val="00427017"/>
    <w:rsid w:val="00427039"/>
    <w:rsid w:val="0042707F"/>
    <w:rsid w:val="004270F1"/>
    <w:rsid w:val="0042711B"/>
    <w:rsid w:val="00427130"/>
    <w:rsid w:val="0042728B"/>
    <w:rsid w:val="0042729B"/>
    <w:rsid w:val="004272A1"/>
    <w:rsid w:val="00427414"/>
    <w:rsid w:val="0042741E"/>
    <w:rsid w:val="00427435"/>
    <w:rsid w:val="00427587"/>
    <w:rsid w:val="004275A6"/>
    <w:rsid w:val="004276D0"/>
    <w:rsid w:val="0042777C"/>
    <w:rsid w:val="004278CC"/>
    <w:rsid w:val="004278FE"/>
    <w:rsid w:val="00427914"/>
    <w:rsid w:val="004279D1"/>
    <w:rsid w:val="00427AA4"/>
    <w:rsid w:val="00427AF2"/>
    <w:rsid w:val="00427C55"/>
    <w:rsid w:val="00427CEE"/>
    <w:rsid w:val="00427DD3"/>
    <w:rsid w:val="00427DE4"/>
    <w:rsid w:val="00427F35"/>
    <w:rsid w:val="00427F39"/>
    <w:rsid w:val="00430017"/>
    <w:rsid w:val="004300C5"/>
    <w:rsid w:val="004303DD"/>
    <w:rsid w:val="00430443"/>
    <w:rsid w:val="004304D5"/>
    <w:rsid w:val="004306FE"/>
    <w:rsid w:val="004307F0"/>
    <w:rsid w:val="00430A3C"/>
    <w:rsid w:val="00430AD6"/>
    <w:rsid w:val="00430B0F"/>
    <w:rsid w:val="00430BC4"/>
    <w:rsid w:val="00430C0C"/>
    <w:rsid w:val="00430C92"/>
    <w:rsid w:val="00430CFD"/>
    <w:rsid w:val="00430D2D"/>
    <w:rsid w:val="00430DFB"/>
    <w:rsid w:val="004312E0"/>
    <w:rsid w:val="00431366"/>
    <w:rsid w:val="00431446"/>
    <w:rsid w:val="00431547"/>
    <w:rsid w:val="0043156F"/>
    <w:rsid w:val="004315FD"/>
    <w:rsid w:val="0043166A"/>
    <w:rsid w:val="004316B8"/>
    <w:rsid w:val="004317D0"/>
    <w:rsid w:val="004317F4"/>
    <w:rsid w:val="0043197F"/>
    <w:rsid w:val="00431A96"/>
    <w:rsid w:val="00431CC3"/>
    <w:rsid w:val="00431D07"/>
    <w:rsid w:val="00431D46"/>
    <w:rsid w:val="00431D68"/>
    <w:rsid w:val="00431EF1"/>
    <w:rsid w:val="00431F47"/>
    <w:rsid w:val="004320C0"/>
    <w:rsid w:val="004321CF"/>
    <w:rsid w:val="0043228F"/>
    <w:rsid w:val="004323FC"/>
    <w:rsid w:val="0043242B"/>
    <w:rsid w:val="0043254C"/>
    <w:rsid w:val="004326D6"/>
    <w:rsid w:val="004329B3"/>
    <w:rsid w:val="004329D8"/>
    <w:rsid w:val="00432C3C"/>
    <w:rsid w:val="00432DBE"/>
    <w:rsid w:val="00432F02"/>
    <w:rsid w:val="00432F37"/>
    <w:rsid w:val="00432FAE"/>
    <w:rsid w:val="00432FBA"/>
    <w:rsid w:val="0043306E"/>
    <w:rsid w:val="00433129"/>
    <w:rsid w:val="004331DE"/>
    <w:rsid w:val="00433209"/>
    <w:rsid w:val="0043325B"/>
    <w:rsid w:val="004332EA"/>
    <w:rsid w:val="0043340B"/>
    <w:rsid w:val="0043347A"/>
    <w:rsid w:val="004334F2"/>
    <w:rsid w:val="00433673"/>
    <w:rsid w:val="0043367D"/>
    <w:rsid w:val="0043378D"/>
    <w:rsid w:val="0043390B"/>
    <w:rsid w:val="004339F4"/>
    <w:rsid w:val="00433A10"/>
    <w:rsid w:val="00433BC7"/>
    <w:rsid w:val="00433CFD"/>
    <w:rsid w:val="00433E82"/>
    <w:rsid w:val="00433EF9"/>
    <w:rsid w:val="00433FAA"/>
    <w:rsid w:val="004341B5"/>
    <w:rsid w:val="004344D6"/>
    <w:rsid w:val="00434504"/>
    <w:rsid w:val="00434564"/>
    <w:rsid w:val="00434875"/>
    <w:rsid w:val="00434994"/>
    <w:rsid w:val="004349EA"/>
    <w:rsid w:val="00434A4E"/>
    <w:rsid w:val="00434B35"/>
    <w:rsid w:val="00434D45"/>
    <w:rsid w:val="00434F23"/>
    <w:rsid w:val="0043500B"/>
    <w:rsid w:val="00435017"/>
    <w:rsid w:val="0043501F"/>
    <w:rsid w:val="004352CE"/>
    <w:rsid w:val="0043558E"/>
    <w:rsid w:val="004358A5"/>
    <w:rsid w:val="00435932"/>
    <w:rsid w:val="00435956"/>
    <w:rsid w:val="00435A20"/>
    <w:rsid w:val="00435AA4"/>
    <w:rsid w:val="00435D4E"/>
    <w:rsid w:val="00435E76"/>
    <w:rsid w:val="00435EE6"/>
    <w:rsid w:val="00435F18"/>
    <w:rsid w:val="00435F29"/>
    <w:rsid w:val="00435FB8"/>
    <w:rsid w:val="0043613F"/>
    <w:rsid w:val="00436146"/>
    <w:rsid w:val="00436228"/>
    <w:rsid w:val="0043676D"/>
    <w:rsid w:val="00436842"/>
    <w:rsid w:val="00436A66"/>
    <w:rsid w:val="00436D63"/>
    <w:rsid w:val="00436E26"/>
    <w:rsid w:val="00436E30"/>
    <w:rsid w:val="00436F73"/>
    <w:rsid w:val="00436FCC"/>
    <w:rsid w:val="00437012"/>
    <w:rsid w:val="0043710A"/>
    <w:rsid w:val="0043713B"/>
    <w:rsid w:val="00437189"/>
    <w:rsid w:val="004373BB"/>
    <w:rsid w:val="004374C3"/>
    <w:rsid w:val="004376E5"/>
    <w:rsid w:val="00437721"/>
    <w:rsid w:val="00437806"/>
    <w:rsid w:val="0043785C"/>
    <w:rsid w:val="00437904"/>
    <w:rsid w:val="0043791B"/>
    <w:rsid w:val="00437930"/>
    <w:rsid w:val="00437933"/>
    <w:rsid w:val="00437ABC"/>
    <w:rsid w:val="00437BC2"/>
    <w:rsid w:val="00437C5C"/>
    <w:rsid w:val="00440103"/>
    <w:rsid w:val="00440274"/>
    <w:rsid w:val="00440292"/>
    <w:rsid w:val="00440387"/>
    <w:rsid w:val="004403E4"/>
    <w:rsid w:val="004404F4"/>
    <w:rsid w:val="00440574"/>
    <w:rsid w:val="004405B1"/>
    <w:rsid w:val="00440735"/>
    <w:rsid w:val="00440825"/>
    <w:rsid w:val="004408DD"/>
    <w:rsid w:val="00440970"/>
    <w:rsid w:val="00440AB2"/>
    <w:rsid w:val="00440B7D"/>
    <w:rsid w:val="00440C36"/>
    <w:rsid w:val="00440C9A"/>
    <w:rsid w:val="00440CE5"/>
    <w:rsid w:val="00440D37"/>
    <w:rsid w:val="00440F77"/>
    <w:rsid w:val="00440FC6"/>
    <w:rsid w:val="004411B7"/>
    <w:rsid w:val="004411E6"/>
    <w:rsid w:val="0044133B"/>
    <w:rsid w:val="004413B2"/>
    <w:rsid w:val="004413B8"/>
    <w:rsid w:val="00441501"/>
    <w:rsid w:val="004415BB"/>
    <w:rsid w:val="004415E9"/>
    <w:rsid w:val="004415F1"/>
    <w:rsid w:val="004415F7"/>
    <w:rsid w:val="00441870"/>
    <w:rsid w:val="004418F4"/>
    <w:rsid w:val="00441B90"/>
    <w:rsid w:val="00441CE3"/>
    <w:rsid w:val="004422F1"/>
    <w:rsid w:val="004423B8"/>
    <w:rsid w:val="00442503"/>
    <w:rsid w:val="004425E2"/>
    <w:rsid w:val="0044294C"/>
    <w:rsid w:val="00442A21"/>
    <w:rsid w:val="00442A73"/>
    <w:rsid w:val="00442CE2"/>
    <w:rsid w:val="00442DA3"/>
    <w:rsid w:val="00442F72"/>
    <w:rsid w:val="0044334E"/>
    <w:rsid w:val="00443350"/>
    <w:rsid w:val="0044335F"/>
    <w:rsid w:val="00443421"/>
    <w:rsid w:val="00443478"/>
    <w:rsid w:val="0044352B"/>
    <w:rsid w:val="004435B9"/>
    <w:rsid w:val="00443646"/>
    <w:rsid w:val="004437C4"/>
    <w:rsid w:val="004437D5"/>
    <w:rsid w:val="00443837"/>
    <w:rsid w:val="00443853"/>
    <w:rsid w:val="00443916"/>
    <w:rsid w:val="00443AF0"/>
    <w:rsid w:val="00443E85"/>
    <w:rsid w:val="00443EC8"/>
    <w:rsid w:val="00443F51"/>
    <w:rsid w:val="00443F90"/>
    <w:rsid w:val="0044412A"/>
    <w:rsid w:val="00444405"/>
    <w:rsid w:val="004448FD"/>
    <w:rsid w:val="00444B3D"/>
    <w:rsid w:val="00444B88"/>
    <w:rsid w:val="00444DBB"/>
    <w:rsid w:val="00444E1A"/>
    <w:rsid w:val="00444EF2"/>
    <w:rsid w:val="00444F56"/>
    <w:rsid w:val="004450AC"/>
    <w:rsid w:val="004452D4"/>
    <w:rsid w:val="00445310"/>
    <w:rsid w:val="004453F2"/>
    <w:rsid w:val="00445564"/>
    <w:rsid w:val="00445720"/>
    <w:rsid w:val="00445886"/>
    <w:rsid w:val="004458D0"/>
    <w:rsid w:val="00445AB3"/>
    <w:rsid w:val="00445CD1"/>
    <w:rsid w:val="00446043"/>
    <w:rsid w:val="004460FE"/>
    <w:rsid w:val="00446407"/>
    <w:rsid w:val="0044662C"/>
    <w:rsid w:val="00446749"/>
    <w:rsid w:val="00446809"/>
    <w:rsid w:val="004468B4"/>
    <w:rsid w:val="00446A1B"/>
    <w:rsid w:val="00446ADB"/>
    <w:rsid w:val="00446C5A"/>
    <w:rsid w:val="00446CFF"/>
    <w:rsid w:val="00446D31"/>
    <w:rsid w:val="00446E5E"/>
    <w:rsid w:val="00446FFD"/>
    <w:rsid w:val="0044711E"/>
    <w:rsid w:val="0044715C"/>
    <w:rsid w:val="004471E0"/>
    <w:rsid w:val="00447671"/>
    <w:rsid w:val="004476E5"/>
    <w:rsid w:val="0044776A"/>
    <w:rsid w:val="004479C6"/>
    <w:rsid w:val="00447A75"/>
    <w:rsid w:val="00447A83"/>
    <w:rsid w:val="00447BE7"/>
    <w:rsid w:val="00447E66"/>
    <w:rsid w:val="00447EC9"/>
    <w:rsid w:val="0045003F"/>
    <w:rsid w:val="0045027E"/>
    <w:rsid w:val="004503A1"/>
    <w:rsid w:val="0045049B"/>
    <w:rsid w:val="004504EB"/>
    <w:rsid w:val="0045054B"/>
    <w:rsid w:val="00450588"/>
    <w:rsid w:val="0045067F"/>
    <w:rsid w:val="00450746"/>
    <w:rsid w:val="004507C0"/>
    <w:rsid w:val="004508CD"/>
    <w:rsid w:val="00450AE0"/>
    <w:rsid w:val="00450B1E"/>
    <w:rsid w:val="00450F20"/>
    <w:rsid w:val="004510AE"/>
    <w:rsid w:val="004510C3"/>
    <w:rsid w:val="00451211"/>
    <w:rsid w:val="0045121B"/>
    <w:rsid w:val="004512EE"/>
    <w:rsid w:val="00451378"/>
    <w:rsid w:val="00451470"/>
    <w:rsid w:val="00451494"/>
    <w:rsid w:val="00451497"/>
    <w:rsid w:val="0045150B"/>
    <w:rsid w:val="004516EC"/>
    <w:rsid w:val="00451766"/>
    <w:rsid w:val="004517EC"/>
    <w:rsid w:val="0045187A"/>
    <w:rsid w:val="00451AEE"/>
    <w:rsid w:val="00451C0F"/>
    <w:rsid w:val="00451D9F"/>
    <w:rsid w:val="00451DB9"/>
    <w:rsid w:val="00451F36"/>
    <w:rsid w:val="00451F88"/>
    <w:rsid w:val="00451FC5"/>
    <w:rsid w:val="00451FCD"/>
    <w:rsid w:val="00452131"/>
    <w:rsid w:val="0045235A"/>
    <w:rsid w:val="0045235C"/>
    <w:rsid w:val="004524C2"/>
    <w:rsid w:val="004525B6"/>
    <w:rsid w:val="0045268D"/>
    <w:rsid w:val="004526EB"/>
    <w:rsid w:val="00452723"/>
    <w:rsid w:val="004527CD"/>
    <w:rsid w:val="004527E7"/>
    <w:rsid w:val="00452958"/>
    <w:rsid w:val="0045297B"/>
    <w:rsid w:val="004529E4"/>
    <w:rsid w:val="00452AC2"/>
    <w:rsid w:val="00452C5B"/>
    <w:rsid w:val="00452CCF"/>
    <w:rsid w:val="00452EF4"/>
    <w:rsid w:val="00453005"/>
    <w:rsid w:val="0045312A"/>
    <w:rsid w:val="0045324B"/>
    <w:rsid w:val="004532D9"/>
    <w:rsid w:val="00453475"/>
    <w:rsid w:val="00453583"/>
    <w:rsid w:val="00453863"/>
    <w:rsid w:val="00453944"/>
    <w:rsid w:val="0045396E"/>
    <w:rsid w:val="00453E30"/>
    <w:rsid w:val="00453E84"/>
    <w:rsid w:val="00453F2B"/>
    <w:rsid w:val="00453FE4"/>
    <w:rsid w:val="004540A7"/>
    <w:rsid w:val="0045414D"/>
    <w:rsid w:val="00454211"/>
    <w:rsid w:val="0045425C"/>
    <w:rsid w:val="00454279"/>
    <w:rsid w:val="00454320"/>
    <w:rsid w:val="00454357"/>
    <w:rsid w:val="00454365"/>
    <w:rsid w:val="004543B1"/>
    <w:rsid w:val="004543D1"/>
    <w:rsid w:val="0045447D"/>
    <w:rsid w:val="00454480"/>
    <w:rsid w:val="004545C9"/>
    <w:rsid w:val="00454616"/>
    <w:rsid w:val="004546E4"/>
    <w:rsid w:val="004546F1"/>
    <w:rsid w:val="0045476F"/>
    <w:rsid w:val="004547A4"/>
    <w:rsid w:val="004547A9"/>
    <w:rsid w:val="00454844"/>
    <w:rsid w:val="00454877"/>
    <w:rsid w:val="004548AC"/>
    <w:rsid w:val="00454987"/>
    <w:rsid w:val="0045498C"/>
    <w:rsid w:val="00454A28"/>
    <w:rsid w:val="00454E4E"/>
    <w:rsid w:val="0045510A"/>
    <w:rsid w:val="004553F3"/>
    <w:rsid w:val="00455569"/>
    <w:rsid w:val="004555D6"/>
    <w:rsid w:val="004556A4"/>
    <w:rsid w:val="00455887"/>
    <w:rsid w:val="00455AF5"/>
    <w:rsid w:val="00455B5C"/>
    <w:rsid w:val="00455BCA"/>
    <w:rsid w:val="00455F73"/>
    <w:rsid w:val="00456181"/>
    <w:rsid w:val="004561F3"/>
    <w:rsid w:val="004564F1"/>
    <w:rsid w:val="004566D6"/>
    <w:rsid w:val="004567EB"/>
    <w:rsid w:val="00456854"/>
    <w:rsid w:val="0045686C"/>
    <w:rsid w:val="0045689A"/>
    <w:rsid w:val="00456AF4"/>
    <w:rsid w:val="00456B2E"/>
    <w:rsid w:val="00456D06"/>
    <w:rsid w:val="00456DA3"/>
    <w:rsid w:val="00456DCB"/>
    <w:rsid w:val="00456F72"/>
    <w:rsid w:val="0045703C"/>
    <w:rsid w:val="004571A2"/>
    <w:rsid w:val="00457279"/>
    <w:rsid w:val="0045729E"/>
    <w:rsid w:val="0045779D"/>
    <w:rsid w:val="00457831"/>
    <w:rsid w:val="004578DC"/>
    <w:rsid w:val="004578EA"/>
    <w:rsid w:val="00457934"/>
    <w:rsid w:val="00457953"/>
    <w:rsid w:val="00457A40"/>
    <w:rsid w:val="00457B1D"/>
    <w:rsid w:val="00457BA9"/>
    <w:rsid w:val="00457D16"/>
    <w:rsid w:val="00457D21"/>
    <w:rsid w:val="00457E0A"/>
    <w:rsid w:val="00457E47"/>
    <w:rsid w:val="00457FEA"/>
    <w:rsid w:val="0046009E"/>
    <w:rsid w:val="004601EF"/>
    <w:rsid w:val="00460480"/>
    <w:rsid w:val="004607C6"/>
    <w:rsid w:val="004608C4"/>
    <w:rsid w:val="00460BB9"/>
    <w:rsid w:val="00460E2F"/>
    <w:rsid w:val="00460EFF"/>
    <w:rsid w:val="00460F9A"/>
    <w:rsid w:val="0046105D"/>
    <w:rsid w:val="00461415"/>
    <w:rsid w:val="00461676"/>
    <w:rsid w:val="0046167E"/>
    <w:rsid w:val="004616A7"/>
    <w:rsid w:val="0046174C"/>
    <w:rsid w:val="004617B8"/>
    <w:rsid w:val="0046190D"/>
    <w:rsid w:val="0046196B"/>
    <w:rsid w:val="004619E6"/>
    <w:rsid w:val="00461A0C"/>
    <w:rsid w:val="00461A7D"/>
    <w:rsid w:val="00461C42"/>
    <w:rsid w:val="00461F85"/>
    <w:rsid w:val="00462150"/>
    <w:rsid w:val="004621A8"/>
    <w:rsid w:val="00462254"/>
    <w:rsid w:val="004622BD"/>
    <w:rsid w:val="0046259C"/>
    <w:rsid w:val="0046263F"/>
    <w:rsid w:val="00462690"/>
    <w:rsid w:val="004627B9"/>
    <w:rsid w:val="00462977"/>
    <w:rsid w:val="00462BBB"/>
    <w:rsid w:val="00462F30"/>
    <w:rsid w:val="00462F6C"/>
    <w:rsid w:val="004630CD"/>
    <w:rsid w:val="00463166"/>
    <w:rsid w:val="00463183"/>
    <w:rsid w:val="004632B2"/>
    <w:rsid w:val="004633FF"/>
    <w:rsid w:val="00463513"/>
    <w:rsid w:val="0046375F"/>
    <w:rsid w:val="00463901"/>
    <w:rsid w:val="004639A5"/>
    <w:rsid w:val="004639BD"/>
    <w:rsid w:val="00463B24"/>
    <w:rsid w:val="00463B40"/>
    <w:rsid w:val="00463B44"/>
    <w:rsid w:val="00463CCD"/>
    <w:rsid w:val="00463D5E"/>
    <w:rsid w:val="00463EEE"/>
    <w:rsid w:val="00464061"/>
    <w:rsid w:val="0046414D"/>
    <w:rsid w:val="004644B9"/>
    <w:rsid w:val="00464680"/>
    <w:rsid w:val="004649A3"/>
    <w:rsid w:val="00464A5C"/>
    <w:rsid w:val="00464D46"/>
    <w:rsid w:val="00464E4A"/>
    <w:rsid w:val="00464E96"/>
    <w:rsid w:val="00464F39"/>
    <w:rsid w:val="0046510A"/>
    <w:rsid w:val="00465334"/>
    <w:rsid w:val="0046547B"/>
    <w:rsid w:val="00465611"/>
    <w:rsid w:val="00465665"/>
    <w:rsid w:val="00465842"/>
    <w:rsid w:val="00465AB8"/>
    <w:rsid w:val="00465B69"/>
    <w:rsid w:val="00465C77"/>
    <w:rsid w:val="00465D5C"/>
    <w:rsid w:val="00465EF1"/>
    <w:rsid w:val="00465FC1"/>
    <w:rsid w:val="004661B6"/>
    <w:rsid w:val="004662BC"/>
    <w:rsid w:val="00466385"/>
    <w:rsid w:val="004665D7"/>
    <w:rsid w:val="00466AE3"/>
    <w:rsid w:val="00466B83"/>
    <w:rsid w:val="00466BCC"/>
    <w:rsid w:val="00466BD8"/>
    <w:rsid w:val="00466C87"/>
    <w:rsid w:val="00466C93"/>
    <w:rsid w:val="00466CBB"/>
    <w:rsid w:val="00466E7D"/>
    <w:rsid w:val="004670E4"/>
    <w:rsid w:val="004670EB"/>
    <w:rsid w:val="0046735E"/>
    <w:rsid w:val="00467380"/>
    <w:rsid w:val="0046745C"/>
    <w:rsid w:val="004674A7"/>
    <w:rsid w:val="00467563"/>
    <w:rsid w:val="00467581"/>
    <w:rsid w:val="0046786B"/>
    <w:rsid w:val="00467878"/>
    <w:rsid w:val="00467897"/>
    <w:rsid w:val="004678BE"/>
    <w:rsid w:val="004678E9"/>
    <w:rsid w:val="004678FE"/>
    <w:rsid w:val="00467BA1"/>
    <w:rsid w:val="00467BFB"/>
    <w:rsid w:val="00467D22"/>
    <w:rsid w:val="00467E0C"/>
    <w:rsid w:val="00467E73"/>
    <w:rsid w:val="00470000"/>
    <w:rsid w:val="00470062"/>
    <w:rsid w:val="00470194"/>
    <w:rsid w:val="004703D0"/>
    <w:rsid w:val="004703D2"/>
    <w:rsid w:val="004704A3"/>
    <w:rsid w:val="00470620"/>
    <w:rsid w:val="00470766"/>
    <w:rsid w:val="004707DF"/>
    <w:rsid w:val="0047091A"/>
    <w:rsid w:val="00470ABC"/>
    <w:rsid w:val="00470B1E"/>
    <w:rsid w:val="00470E27"/>
    <w:rsid w:val="00471018"/>
    <w:rsid w:val="004713B7"/>
    <w:rsid w:val="0047143E"/>
    <w:rsid w:val="00471585"/>
    <w:rsid w:val="0047158E"/>
    <w:rsid w:val="004717F1"/>
    <w:rsid w:val="004718F2"/>
    <w:rsid w:val="00471924"/>
    <w:rsid w:val="00471ADF"/>
    <w:rsid w:val="00471B72"/>
    <w:rsid w:val="00471BBD"/>
    <w:rsid w:val="00471BE0"/>
    <w:rsid w:val="00471C71"/>
    <w:rsid w:val="00471ECF"/>
    <w:rsid w:val="00471F17"/>
    <w:rsid w:val="0047204E"/>
    <w:rsid w:val="0047214B"/>
    <w:rsid w:val="00472245"/>
    <w:rsid w:val="00472500"/>
    <w:rsid w:val="00472506"/>
    <w:rsid w:val="00472551"/>
    <w:rsid w:val="004727C4"/>
    <w:rsid w:val="00472973"/>
    <w:rsid w:val="00472BC5"/>
    <w:rsid w:val="00472DC6"/>
    <w:rsid w:val="00472E35"/>
    <w:rsid w:val="004730A2"/>
    <w:rsid w:val="00473194"/>
    <w:rsid w:val="00473537"/>
    <w:rsid w:val="0047359C"/>
    <w:rsid w:val="004736B0"/>
    <w:rsid w:val="004737D7"/>
    <w:rsid w:val="00473823"/>
    <w:rsid w:val="00473937"/>
    <w:rsid w:val="00473C08"/>
    <w:rsid w:val="00473E3E"/>
    <w:rsid w:val="00473F7C"/>
    <w:rsid w:val="004740F6"/>
    <w:rsid w:val="004741A2"/>
    <w:rsid w:val="004742D3"/>
    <w:rsid w:val="004742DE"/>
    <w:rsid w:val="004743C6"/>
    <w:rsid w:val="0047448E"/>
    <w:rsid w:val="00474558"/>
    <w:rsid w:val="004745C9"/>
    <w:rsid w:val="00474717"/>
    <w:rsid w:val="00474810"/>
    <w:rsid w:val="0047481C"/>
    <w:rsid w:val="00474953"/>
    <w:rsid w:val="00474956"/>
    <w:rsid w:val="00474970"/>
    <w:rsid w:val="004749AE"/>
    <w:rsid w:val="00474AC0"/>
    <w:rsid w:val="00474C68"/>
    <w:rsid w:val="00474D1F"/>
    <w:rsid w:val="00474DFE"/>
    <w:rsid w:val="00474E5D"/>
    <w:rsid w:val="00474E78"/>
    <w:rsid w:val="00474F78"/>
    <w:rsid w:val="00475105"/>
    <w:rsid w:val="0047545D"/>
    <w:rsid w:val="004754A4"/>
    <w:rsid w:val="004754A5"/>
    <w:rsid w:val="00475586"/>
    <w:rsid w:val="00475784"/>
    <w:rsid w:val="0047587A"/>
    <w:rsid w:val="00475987"/>
    <w:rsid w:val="00475CAC"/>
    <w:rsid w:val="00475CCB"/>
    <w:rsid w:val="00475DEC"/>
    <w:rsid w:val="00475E5E"/>
    <w:rsid w:val="00475EC7"/>
    <w:rsid w:val="00475FF1"/>
    <w:rsid w:val="00476237"/>
    <w:rsid w:val="00476378"/>
    <w:rsid w:val="00476382"/>
    <w:rsid w:val="004764FC"/>
    <w:rsid w:val="00476634"/>
    <w:rsid w:val="00476704"/>
    <w:rsid w:val="00476985"/>
    <w:rsid w:val="00476A0D"/>
    <w:rsid w:val="00476B32"/>
    <w:rsid w:val="00476B83"/>
    <w:rsid w:val="00476EB7"/>
    <w:rsid w:val="0047702A"/>
    <w:rsid w:val="00477119"/>
    <w:rsid w:val="004771BD"/>
    <w:rsid w:val="0047736F"/>
    <w:rsid w:val="00477672"/>
    <w:rsid w:val="00477959"/>
    <w:rsid w:val="004779AA"/>
    <w:rsid w:val="004779E4"/>
    <w:rsid w:val="00477A85"/>
    <w:rsid w:val="00477B46"/>
    <w:rsid w:val="00477D48"/>
    <w:rsid w:val="00477ED2"/>
    <w:rsid w:val="00477F36"/>
    <w:rsid w:val="00480116"/>
    <w:rsid w:val="0048021D"/>
    <w:rsid w:val="00480383"/>
    <w:rsid w:val="0048039D"/>
    <w:rsid w:val="00480526"/>
    <w:rsid w:val="00480554"/>
    <w:rsid w:val="004805BE"/>
    <w:rsid w:val="00480679"/>
    <w:rsid w:val="00480703"/>
    <w:rsid w:val="0048071C"/>
    <w:rsid w:val="00480812"/>
    <w:rsid w:val="00480857"/>
    <w:rsid w:val="00480AE7"/>
    <w:rsid w:val="00480AED"/>
    <w:rsid w:val="00480C2A"/>
    <w:rsid w:val="00480DB3"/>
    <w:rsid w:val="00480FE2"/>
    <w:rsid w:val="0048103B"/>
    <w:rsid w:val="00481138"/>
    <w:rsid w:val="0048120B"/>
    <w:rsid w:val="0048122C"/>
    <w:rsid w:val="00481821"/>
    <w:rsid w:val="00481895"/>
    <w:rsid w:val="004818EC"/>
    <w:rsid w:val="00481A03"/>
    <w:rsid w:val="00481B18"/>
    <w:rsid w:val="00481D79"/>
    <w:rsid w:val="00481E79"/>
    <w:rsid w:val="00481EF9"/>
    <w:rsid w:val="004821CF"/>
    <w:rsid w:val="004823AE"/>
    <w:rsid w:val="00482510"/>
    <w:rsid w:val="00482512"/>
    <w:rsid w:val="004825A1"/>
    <w:rsid w:val="004826A4"/>
    <w:rsid w:val="004827A1"/>
    <w:rsid w:val="004827B2"/>
    <w:rsid w:val="004827EF"/>
    <w:rsid w:val="00482843"/>
    <w:rsid w:val="00482874"/>
    <w:rsid w:val="00482931"/>
    <w:rsid w:val="00482B12"/>
    <w:rsid w:val="00482B1A"/>
    <w:rsid w:val="00482D2E"/>
    <w:rsid w:val="00482F29"/>
    <w:rsid w:val="00482F2E"/>
    <w:rsid w:val="00482FC1"/>
    <w:rsid w:val="004831B4"/>
    <w:rsid w:val="004831F4"/>
    <w:rsid w:val="004834B2"/>
    <w:rsid w:val="004835A0"/>
    <w:rsid w:val="00483737"/>
    <w:rsid w:val="004837B0"/>
    <w:rsid w:val="004837D7"/>
    <w:rsid w:val="004838FE"/>
    <w:rsid w:val="00483B93"/>
    <w:rsid w:val="00483D60"/>
    <w:rsid w:val="00483D6A"/>
    <w:rsid w:val="00483DE0"/>
    <w:rsid w:val="00483EFF"/>
    <w:rsid w:val="00484039"/>
    <w:rsid w:val="00484082"/>
    <w:rsid w:val="0048411E"/>
    <w:rsid w:val="00484121"/>
    <w:rsid w:val="00484157"/>
    <w:rsid w:val="00484349"/>
    <w:rsid w:val="0048434D"/>
    <w:rsid w:val="0048444E"/>
    <w:rsid w:val="004845EA"/>
    <w:rsid w:val="00484610"/>
    <w:rsid w:val="004846A3"/>
    <w:rsid w:val="004848D8"/>
    <w:rsid w:val="00484D5B"/>
    <w:rsid w:val="00484F8B"/>
    <w:rsid w:val="004850A9"/>
    <w:rsid w:val="00485213"/>
    <w:rsid w:val="00485532"/>
    <w:rsid w:val="00485667"/>
    <w:rsid w:val="0048567C"/>
    <w:rsid w:val="0048569B"/>
    <w:rsid w:val="004856C3"/>
    <w:rsid w:val="0048576B"/>
    <w:rsid w:val="004857EA"/>
    <w:rsid w:val="00485887"/>
    <w:rsid w:val="004858CE"/>
    <w:rsid w:val="004858F0"/>
    <w:rsid w:val="004859FF"/>
    <w:rsid w:val="00485D26"/>
    <w:rsid w:val="0048601D"/>
    <w:rsid w:val="00486023"/>
    <w:rsid w:val="00486055"/>
    <w:rsid w:val="00486250"/>
    <w:rsid w:val="0048667F"/>
    <w:rsid w:val="0048668F"/>
    <w:rsid w:val="0048671B"/>
    <w:rsid w:val="004867F0"/>
    <w:rsid w:val="00486889"/>
    <w:rsid w:val="00486945"/>
    <w:rsid w:val="00486985"/>
    <w:rsid w:val="00486BA0"/>
    <w:rsid w:val="00486D23"/>
    <w:rsid w:val="00486DC2"/>
    <w:rsid w:val="00487024"/>
    <w:rsid w:val="00487072"/>
    <w:rsid w:val="0048711D"/>
    <w:rsid w:val="0048717E"/>
    <w:rsid w:val="0048718A"/>
    <w:rsid w:val="004871B1"/>
    <w:rsid w:val="004871CB"/>
    <w:rsid w:val="004874AB"/>
    <w:rsid w:val="004874FB"/>
    <w:rsid w:val="0048751B"/>
    <w:rsid w:val="00487538"/>
    <w:rsid w:val="00487690"/>
    <w:rsid w:val="0048773F"/>
    <w:rsid w:val="004877E4"/>
    <w:rsid w:val="00487951"/>
    <w:rsid w:val="00487AFF"/>
    <w:rsid w:val="00487BF3"/>
    <w:rsid w:val="004900AA"/>
    <w:rsid w:val="0049023A"/>
    <w:rsid w:val="00490252"/>
    <w:rsid w:val="00490387"/>
    <w:rsid w:val="0049048D"/>
    <w:rsid w:val="00490911"/>
    <w:rsid w:val="004909F3"/>
    <w:rsid w:val="00490C13"/>
    <w:rsid w:val="00490C58"/>
    <w:rsid w:val="00490CCE"/>
    <w:rsid w:val="00490F42"/>
    <w:rsid w:val="00491137"/>
    <w:rsid w:val="0049125C"/>
    <w:rsid w:val="0049159E"/>
    <w:rsid w:val="0049164B"/>
    <w:rsid w:val="004917C2"/>
    <w:rsid w:val="00491892"/>
    <w:rsid w:val="00491AD6"/>
    <w:rsid w:val="00491BBF"/>
    <w:rsid w:val="00491BD7"/>
    <w:rsid w:val="00491C52"/>
    <w:rsid w:val="00491E51"/>
    <w:rsid w:val="00491FC8"/>
    <w:rsid w:val="00491FF4"/>
    <w:rsid w:val="0049201D"/>
    <w:rsid w:val="004921CF"/>
    <w:rsid w:val="004922EC"/>
    <w:rsid w:val="00492604"/>
    <w:rsid w:val="0049261B"/>
    <w:rsid w:val="00492660"/>
    <w:rsid w:val="004927E1"/>
    <w:rsid w:val="00492A97"/>
    <w:rsid w:val="00492CAB"/>
    <w:rsid w:val="00492F42"/>
    <w:rsid w:val="00492F7B"/>
    <w:rsid w:val="0049321A"/>
    <w:rsid w:val="0049326B"/>
    <w:rsid w:val="0049334F"/>
    <w:rsid w:val="004934D5"/>
    <w:rsid w:val="004936BC"/>
    <w:rsid w:val="004936D2"/>
    <w:rsid w:val="00493856"/>
    <w:rsid w:val="004938FC"/>
    <w:rsid w:val="00493B82"/>
    <w:rsid w:val="00493D5A"/>
    <w:rsid w:val="00493EEB"/>
    <w:rsid w:val="00493FF2"/>
    <w:rsid w:val="00494092"/>
    <w:rsid w:val="00494261"/>
    <w:rsid w:val="004942AC"/>
    <w:rsid w:val="00494385"/>
    <w:rsid w:val="0049442A"/>
    <w:rsid w:val="004944C7"/>
    <w:rsid w:val="0049452E"/>
    <w:rsid w:val="004945F6"/>
    <w:rsid w:val="00494725"/>
    <w:rsid w:val="00494863"/>
    <w:rsid w:val="00494999"/>
    <w:rsid w:val="00494ACB"/>
    <w:rsid w:val="00494C05"/>
    <w:rsid w:val="00494C38"/>
    <w:rsid w:val="00494D3F"/>
    <w:rsid w:val="00494E4E"/>
    <w:rsid w:val="00494F23"/>
    <w:rsid w:val="00494FF9"/>
    <w:rsid w:val="00495009"/>
    <w:rsid w:val="00495089"/>
    <w:rsid w:val="0049519A"/>
    <w:rsid w:val="00495402"/>
    <w:rsid w:val="0049549D"/>
    <w:rsid w:val="004954F2"/>
    <w:rsid w:val="00495504"/>
    <w:rsid w:val="004957B8"/>
    <w:rsid w:val="00495A9F"/>
    <w:rsid w:val="00495BE2"/>
    <w:rsid w:val="00495C71"/>
    <w:rsid w:val="00495C8A"/>
    <w:rsid w:val="00495CC4"/>
    <w:rsid w:val="00495D01"/>
    <w:rsid w:val="00495DA2"/>
    <w:rsid w:val="00495E28"/>
    <w:rsid w:val="00495E3C"/>
    <w:rsid w:val="00495FBF"/>
    <w:rsid w:val="00496107"/>
    <w:rsid w:val="004961FF"/>
    <w:rsid w:val="00496234"/>
    <w:rsid w:val="004962AD"/>
    <w:rsid w:val="0049668C"/>
    <w:rsid w:val="004966AA"/>
    <w:rsid w:val="0049680C"/>
    <w:rsid w:val="00496C7C"/>
    <w:rsid w:val="0049711A"/>
    <w:rsid w:val="004971DE"/>
    <w:rsid w:val="004971E2"/>
    <w:rsid w:val="00497221"/>
    <w:rsid w:val="004973E7"/>
    <w:rsid w:val="00497F7F"/>
    <w:rsid w:val="004A0017"/>
    <w:rsid w:val="004A00C6"/>
    <w:rsid w:val="004A026C"/>
    <w:rsid w:val="004A04D5"/>
    <w:rsid w:val="004A0702"/>
    <w:rsid w:val="004A07F6"/>
    <w:rsid w:val="004A0952"/>
    <w:rsid w:val="004A0AC8"/>
    <w:rsid w:val="004A0B5E"/>
    <w:rsid w:val="004A0B80"/>
    <w:rsid w:val="004A0B8F"/>
    <w:rsid w:val="004A0C14"/>
    <w:rsid w:val="004A0D49"/>
    <w:rsid w:val="004A0E16"/>
    <w:rsid w:val="004A0EF6"/>
    <w:rsid w:val="004A1007"/>
    <w:rsid w:val="004A1296"/>
    <w:rsid w:val="004A145F"/>
    <w:rsid w:val="004A1482"/>
    <w:rsid w:val="004A14E0"/>
    <w:rsid w:val="004A14F0"/>
    <w:rsid w:val="004A1500"/>
    <w:rsid w:val="004A160C"/>
    <w:rsid w:val="004A1896"/>
    <w:rsid w:val="004A19A0"/>
    <w:rsid w:val="004A1A2F"/>
    <w:rsid w:val="004A1C38"/>
    <w:rsid w:val="004A1D9B"/>
    <w:rsid w:val="004A1E85"/>
    <w:rsid w:val="004A1EFB"/>
    <w:rsid w:val="004A1FF3"/>
    <w:rsid w:val="004A2130"/>
    <w:rsid w:val="004A2172"/>
    <w:rsid w:val="004A21E0"/>
    <w:rsid w:val="004A21F4"/>
    <w:rsid w:val="004A22D0"/>
    <w:rsid w:val="004A22E0"/>
    <w:rsid w:val="004A25B9"/>
    <w:rsid w:val="004A2635"/>
    <w:rsid w:val="004A27B9"/>
    <w:rsid w:val="004A289E"/>
    <w:rsid w:val="004A29CE"/>
    <w:rsid w:val="004A2B0E"/>
    <w:rsid w:val="004A2B40"/>
    <w:rsid w:val="004A2BFE"/>
    <w:rsid w:val="004A2E09"/>
    <w:rsid w:val="004A2EDD"/>
    <w:rsid w:val="004A3146"/>
    <w:rsid w:val="004A31B7"/>
    <w:rsid w:val="004A31D2"/>
    <w:rsid w:val="004A326D"/>
    <w:rsid w:val="004A339C"/>
    <w:rsid w:val="004A36CF"/>
    <w:rsid w:val="004A36F5"/>
    <w:rsid w:val="004A3888"/>
    <w:rsid w:val="004A389B"/>
    <w:rsid w:val="004A38A9"/>
    <w:rsid w:val="004A3962"/>
    <w:rsid w:val="004A398C"/>
    <w:rsid w:val="004A3BBE"/>
    <w:rsid w:val="004A3BF0"/>
    <w:rsid w:val="004A3E40"/>
    <w:rsid w:val="004A41F6"/>
    <w:rsid w:val="004A4301"/>
    <w:rsid w:val="004A435E"/>
    <w:rsid w:val="004A45B3"/>
    <w:rsid w:val="004A4615"/>
    <w:rsid w:val="004A476A"/>
    <w:rsid w:val="004A47D8"/>
    <w:rsid w:val="004A4916"/>
    <w:rsid w:val="004A4A0B"/>
    <w:rsid w:val="004A4D53"/>
    <w:rsid w:val="004A4EE5"/>
    <w:rsid w:val="004A4F8E"/>
    <w:rsid w:val="004A508C"/>
    <w:rsid w:val="004A510D"/>
    <w:rsid w:val="004A511B"/>
    <w:rsid w:val="004A51AD"/>
    <w:rsid w:val="004A5577"/>
    <w:rsid w:val="004A5592"/>
    <w:rsid w:val="004A567C"/>
    <w:rsid w:val="004A5717"/>
    <w:rsid w:val="004A5775"/>
    <w:rsid w:val="004A57C1"/>
    <w:rsid w:val="004A58EF"/>
    <w:rsid w:val="004A595D"/>
    <w:rsid w:val="004A599A"/>
    <w:rsid w:val="004A5AA0"/>
    <w:rsid w:val="004A5CDE"/>
    <w:rsid w:val="004A5D0C"/>
    <w:rsid w:val="004A5E6F"/>
    <w:rsid w:val="004A5EE5"/>
    <w:rsid w:val="004A6003"/>
    <w:rsid w:val="004A60B0"/>
    <w:rsid w:val="004A6117"/>
    <w:rsid w:val="004A6180"/>
    <w:rsid w:val="004A62E6"/>
    <w:rsid w:val="004A63F8"/>
    <w:rsid w:val="004A6496"/>
    <w:rsid w:val="004A65C6"/>
    <w:rsid w:val="004A65E1"/>
    <w:rsid w:val="004A6680"/>
    <w:rsid w:val="004A680F"/>
    <w:rsid w:val="004A6829"/>
    <w:rsid w:val="004A68C8"/>
    <w:rsid w:val="004A69E5"/>
    <w:rsid w:val="004A6B04"/>
    <w:rsid w:val="004A6BAA"/>
    <w:rsid w:val="004A6CF4"/>
    <w:rsid w:val="004A7011"/>
    <w:rsid w:val="004A709C"/>
    <w:rsid w:val="004A70A8"/>
    <w:rsid w:val="004A7273"/>
    <w:rsid w:val="004A73C5"/>
    <w:rsid w:val="004A7626"/>
    <w:rsid w:val="004A7637"/>
    <w:rsid w:val="004A7673"/>
    <w:rsid w:val="004A767F"/>
    <w:rsid w:val="004A771C"/>
    <w:rsid w:val="004A78C8"/>
    <w:rsid w:val="004A7A0C"/>
    <w:rsid w:val="004A7B61"/>
    <w:rsid w:val="004A7C2D"/>
    <w:rsid w:val="004A7D7E"/>
    <w:rsid w:val="004A7E74"/>
    <w:rsid w:val="004A7F39"/>
    <w:rsid w:val="004B001C"/>
    <w:rsid w:val="004B0151"/>
    <w:rsid w:val="004B026A"/>
    <w:rsid w:val="004B051D"/>
    <w:rsid w:val="004B0651"/>
    <w:rsid w:val="004B069B"/>
    <w:rsid w:val="004B06E7"/>
    <w:rsid w:val="004B07E2"/>
    <w:rsid w:val="004B0966"/>
    <w:rsid w:val="004B09FD"/>
    <w:rsid w:val="004B0B83"/>
    <w:rsid w:val="004B0BC9"/>
    <w:rsid w:val="004B0C8C"/>
    <w:rsid w:val="004B0D15"/>
    <w:rsid w:val="004B0D90"/>
    <w:rsid w:val="004B0F80"/>
    <w:rsid w:val="004B0F97"/>
    <w:rsid w:val="004B0FF0"/>
    <w:rsid w:val="004B1008"/>
    <w:rsid w:val="004B1073"/>
    <w:rsid w:val="004B119B"/>
    <w:rsid w:val="004B11DE"/>
    <w:rsid w:val="004B1276"/>
    <w:rsid w:val="004B13E3"/>
    <w:rsid w:val="004B1582"/>
    <w:rsid w:val="004B1830"/>
    <w:rsid w:val="004B1A22"/>
    <w:rsid w:val="004B1BBF"/>
    <w:rsid w:val="004B1C8B"/>
    <w:rsid w:val="004B1D9E"/>
    <w:rsid w:val="004B1FC8"/>
    <w:rsid w:val="004B2087"/>
    <w:rsid w:val="004B2323"/>
    <w:rsid w:val="004B2398"/>
    <w:rsid w:val="004B23BA"/>
    <w:rsid w:val="004B24E3"/>
    <w:rsid w:val="004B2554"/>
    <w:rsid w:val="004B25AF"/>
    <w:rsid w:val="004B25ED"/>
    <w:rsid w:val="004B2677"/>
    <w:rsid w:val="004B269A"/>
    <w:rsid w:val="004B28FD"/>
    <w:rsid w:val="004B290A"/>
    <w:rsid w:val="004B2ADC"/>
    <w:rsid w:val="004B2D42"/>
    <w:rsid w:val="004B2D43"/>
    <w:rsid w:val="004B2D5E"/>
    <w:rsid w:val="004B2D68"/>
    <w:rsid w:val="004B2E58"/>
    <w:rsid w:val="004B2E9A"/>
    <w:rsid w:val="004B303C"/>
    <w:rsid w:val="004B305F"/>
    <w:rsid w:val="004B3083"/>
    <w:rsid w:val="004B31EB"/>
    <w:rsid w:val="004B3245"/>
    <w:rsid w:val="004B3460"/>
    <w:rsid w:val="004B3516"/>
    <w:rsid w:val="004B358B"/>
    <w:rsid w:val="004B3644"/>
    <w:rsid w:val="004B369A"/>
    <w:rsid w:val="004B3799"/>
    <w:rsid w:val="004B39C6"/>
    <w:rsid w:val="004B39F5"/>
    <w:rsid w:val="004B3BBB"/>
    <w:rsid w:val="004B4094"/>
    <w:rsid w:val="004B40ED"/>
    <w:rsid w:val="004B42EF"/>
    <w:rsid w:val="004B430F"/>
    <w:rsid w:val="004B4346"/>
    <w:rsid w:val="004B437F"/>
    <w:rsid w:val="004B47FA"/>
    <w:rsid w:val="004B486B"/>
    <w:rsid w:val="004B4883"/>
    <w:rsid w:val="004B48CE"/>
    <w:rsid w:val="004B4979"/>
    <w:rsid w:val="004B49E8"/>
    <w:rsid w:val="004B4B32"/>
    <w:rsid w:val="004B4C2A"/>
    <w:rsid w:val="004B4DA3"/>
    <w:rsid w:val="004B4DE7"/>
    <w:rsid w:val="004B4E99"/>
    <w:rsid w:val="004B4F3E"/>
    <w:rsid w:val="004B4F69"/>
    <w:rsid w:val="004B4FE2"/>
    <w:rsid w:val="004B52D1"/>
    <w:rsid w:val="004B5310"/>
    <w:rsid w:val="004B532B"/>
    <w:rsid w:val="004B56CD"/>
    <w:rsid w:val="004B5826"/>
    <w:rsid w:val="004B58C2"/>
    <w:rsid w:val="004B5911"/>
    <w:rsid w:val="004B596A"/>
    <w:rsid w:val="004B59A8"/>
    <w:rsid w:val="004B59FE"/>
    <w:rsid w:val="004B5C02"/>
    <w:rsid w:val="004B5DD4"/>
    <w:rsid w:val="004B5E2A"/>
    <w:rsid w:val="004B5F20"/>
    <w:rsid w:val="004B602C"/>
    <w:rsid w:val="004B648C"/>
    <w:rsid w:val="004B649A"/>
    <w:rsid w:val="004B64C1"/>
    <w:rsid w:val="004B64FD"/>
    <w:rsid w:val="004B6786"/>
    <w:rsid w:val="004B6794"/>
    <w:rsid w:val="004B67FC"/>
    <w:rsid w:val="004B6888"/>
    <w:rsid w:val="004B6905"/>
    <w:rsid w:val="004B69A8"/>
    <w:rsid w:val="004B6BC1"/>
    <w:rsid w:val="004B6C36"/>
    <w:rsid w:val="004B6D90"/>
    <w:rsid w:val="004B6F09"/>
    <w:rsid w:val="004B6F5F"/>
    <w:rsid w:val="004B6F78"/>
    <w:rsid w:val="004B7041"/>
    <w:rsid w:val="004B7098"/>
    <w:rsid w:val="004B71F0"/>
    <w:rsid w:val="004B748F"/>
    <w:rsid w:val="004B75CA"/>
    <w:rsid w:val="004B77B2"/>
    <w:rsid w:val="004B7994"/>
    <w:rsid w:val="004B7A0C"/>
    <w:rsid w:val="004B7B90"/>
    <w:rsid w:val="004B7E0A"/>
    <w:rsid w:val="004B7E3C"/>
    <w:rsid w:val="004B7EF5"/>
    <w:rsid w:val="004B7FD4"/>
    <w:rsid w:val="004C0164"/>
    <w:rsid w:val="004C01DE"/>
    <w:rsid w:val="004C0201"/>
    <w:rsid w:val="004C0545"/>
    <w:rsid w:val="004C056B"/>
    <w:rsid w:val="004C0573"/>
    <w:rsid w:val="004C060A"/>
    <w:rsid w:val="004C078C"/>
    <w:rsid w:val="004C0C35"/>
    <w:rsid w:val="004C0E67"/>
    <w:rsid w:val="004C0E7C"/>
    <w:rsid w:val="004C0EEA"/>
    <w:rsid w:val="004C0F47"/>
    <w:rsid w:val="004C1040"/>
    <w:rsid w:val="004C10C2"/>
    <w:rsid w:val="004C1194"/>
    <w:rsid w:val="004C11B2"/>
    <w:rsid w:val="004C1336"/>
    <w:rsid w:val="004C134A"/>
    <w:rsid w:val="004C1404"/>
    <w:rsid w:val="004C15D4"/>
    <w:rsid w:val="004C1682"/>
    <w:rsid w:val="004C1737"/>
    <w:rsid w:val="004C18BF"/>
    <w:rsid w:val="004C1BBA"/>
    <w:rsid w:val="004C1C14"/>
    <w:rsid w:val="004C1CCC"/>
    <w:rsid w:val="004C1E0D"/>
    <w:rsid w:val="004C1F15"/>
    <w:rsid w:val="004C20AB"/>
    <w:rsid w:val="004C2209"/>
    <w:rsid w:val="004C221D"/>
    <w:rsid w:val="004C23FB"/>
    <w:rsid w:val="004C2474"/>
    <w:rsid w:val="004C2494"/>
    <w:rsid w:val="004C24FB"/>
    <w:rsid w:val="004C2519"/>
    <w:rsid w:val="004C25A2"/>
    <w:rsid w:val="004C269A"/>
    <w:rsid w:val="004C26B3"/>
    <w:rsid w:val="004C27A7"/>
    <w:rsid w:val="004C28E7"/>
    <w:rsid w:val="004C2A4E"/>
    <w:rsid w:val="004C2B39"/>
    <w:rsid w:val="004C2C53"/>
    <w:rsid w:val="004C2CB6"/>
    <w:rsid w:val="004C2FB7"/>
    <w:rsid w:val="004C30F0"/>
    <w:rsid w:val="004C3147"/>
    <w:rsid w:val="004C31F7"/>
    <w:rsid w:val="004C3288"/>
    <w:rsid w:val="004C3550"/>
    <w:rsid w:val="004C36D6"/>
    <w:rsid w:val="004C3754"/>
    <w:rsid w:val="004C38FD"/>
    <w:rsid w:val="004C3A7C"/>
    <w:rsid w:val="004C3B5B"/>
    <w:rsid w:val="004C3BEE"/>
    <w:rsid w:val="004C3C33"/>
    <w:rsid w:val="004C3E4B"/>
    <w:rsid w:val="004C3E9A"/>
    <w:rsid w:val="004C4060"/>
    <w:rsid w:val="004C412F"/>
    <w:rsid w:val="004C4227"/>
    <w:rsid w:val="004C4363"/>
    <w:rsid w:val="004C4373"/>
    <w:rsid w:val="004C4742"/>
    <w:rsid w:val="004C4875"/>
    <w:rsid w:val="004C48CE"/>
    <w:rsid w:val="004C4A28"/>
    <w:rsid w:val="004C4AED"/>
    <w:rsid w:val="004C4D92"/>
    <w:rsid w:val="004C4E40"/>
    <w:rsid w:val="004C4E72"/>
    <w:rsid w:val="004C4FAA"/>
    <w:rsid w:val="004C503A"/>
    <w:rsid w:val="004C5096"/>
    <w:rsid w:val="004C51B1"/>
    <w:rsid w:val="004C521F"/>
    <w:rsid w:val="004C544E"/>
    <w:rsid w:val="004C54AA"/>
    <w:rsid w:val="004C5611"/>
    <w:rsid w:val="004C56A2"/>
    <w:rsid w:val="004C583B"/>
    <w:rsid w:val="004C5BEF"/>
    <w:rsid w:val="004C5C03"/>
    <w:rsid w:val="004C5C76"/>
    <w:rsid w:val="004C5DC0"/>
    <w:rsid w:val="004C5DE6"/>
    <w:rsid w:val="004C5EBC"/>
    <w:rsid w:val="004C5F53"/>
    <w:rsid w:val="004C5F76"/>
    <w:rsid w:val="004C602A"/>
    <w:rsid w:val="004C605A"/>
    <w:rsid w:val="004C610E"/>
    <w:rsid w:val="004C6126"/>
    <w:rsid w:val="004C621C"/>
    <w:rsid w:val="004C62DD"/>
    <w:rsid w:val="004C63E6"/>
    <w:rsid w:val="004C645B"/>
    <w:rsid w:val="004C67BC"/>
    <w:rsid w:val="004C691F"/>
    <w:rsid w:val="004C69AC"/>
    <w:rsid w:val="004C6A69"/>
    <w:rsid w:val="004C6BEE"/>
    <w:rsid w:val="004C6D1E"/>
    <w:rsid w:val="004C6D4E"/>
    <w:rsid w:val="004C6F4A"/>
    <w:rsid w:val="004C6FFA"/>
    <w:rsid w:val="004C703D"/>
    <w:rsid w:val="004C7078"/>
    <w:rsid w:val="004C716D"/>
    <w:rsid w:val="004C7198"/>
    <w:rsid w:val="004C7363"/>
    <w:rsid w:val="004C738B"/>
    <w:rsid w:val="004C7437"/>
    <w:rsid w:val="004C745B"/>
    <w:rsid w:val="004C748D"/>
    <w:rsid w:val="004C74DA"/>
    <w:rsid w:val="004C75E3"/>
    <w:rsid w:val="004C7637"/>
    <w:rsid w:val="004C7760"/>
    <w:rsid w:val="004C7882"/>
    <w:rsid w:val="004C7959"/>
    <w:rsid w:val="004C7980"/>
    <w:rsid w:val="004C79D3"/>
    <w:rsid w:val="004C7DC6"/>
    <w:rsid w:val="004C7ECD"/>
    <w:rsid w:val="004C7F17"/>
    <w:rsid w:val="004C7F5B"/>
    <w:rsid w:val="004C7FB2"/>
    <w:rsid w:val="004D02E1"/>
    <w:rsid w:val="004D038B"/>
    <w:rsid w:val="004D04D7"/>
    <w:rsid w:val="004D059F"/>
    <w:rsid w:val="004D0632"/>
    <w:rsid w:val="004D0890"/>
    <w:rsid w:val="004D0A04"/>
    <w:rsid w:val="004D0F8A"/>
    <w:rsid w:val="004D0FB5"/>
    <w:rsid w:val="004D0FE8"/>
    <w:rsid w:val="004D113A"/>
    <w:rsid w:val="004D11F5"/>
    <w:rsid w:val="004D123C"/>
    <w:rsid w:val="004D1323"/>
    <w:rsid w:val="004D141C"/>
    <w:rsid w:val="004D1585"/>
    <w:rsid w:val="004D15CA"/>
    <w:rsid w:val="004D1733"/>
    <w:rsid w:val="004D187F"/>
    <w:rsid w:val="004D18BE"/>
    <w:rsid w:val="004D1B07"/>
    <w:rsid w:val="004D1B70"/>
    <w:rsid w:val="004D1CA0"/>
    <w:rsid w:val="004D1D90"/>
    <w:rsid w:val="004D1E60"/>
    <w:rsid w:val="004D1E7C"/>
    <w:rsid w:val="004D2095"/>
    <w:rsid w:val="004D21C5"/>
    <w:rsid w:val="004D2222"/>
    <w:rsid w:val="004D25FD"/>
    <w:rsid w:val="004D2746"/>
    <w:rsid w:val="004D2775"/>
    <w:rsid w:val="004D2794"/>
    <w:rsid w:val="004D27C4"/>
    <w:rsid w:val="004D27CC"/>
    <w:rsid w:val="004D2841"/>
    <w:rsid w:val="004D2963"/>
    <w:rsid w:val="004D29B5"/>
    <w:rsid w:val="004D2A3A"/>
    <w:rsid w:val="004D2D86"/>
    <w:rsid w:val="004D2E2F"/>
    <w:rsid w:val="004D2E50"/>
    <w:rsid w:val="004D2E7D"/>
    <w:rsid w:val="004D2E7F"/>
    <w:rsid w:val="004D2F71"/>
    <w:rsid w:val="004D2FBB"/>
    <w:rsid w:val="004D3017"/>
    <w:rsid w:val="004D305B"/>
    <w:rsid w:val="004D311B"/>
    <w:rsid w:val="004D3170"/>
    <w:rsid w:val="004D31B8"/>
    <w:rsid w:val="004D324E"/>
    <w:rsid w:val="004D32B1"/>
    <w:rsid w:val="004D3381"/>
    <w:rsid w:val="004D34C3"/>
    <w:rsid w:val="004D34CE"/>
    <w:rsid w:val="004D37A9"/>
    <w:rsid w:val="004D394C"/>
    <w:rsid w:val="004D39C0"/>
    <w:rsid w:val="004D3A74"/>
    <w:rsid w:val="004D3BDF"/>
    <w:rsid w:val="004D3CDC"/>
    <w:rsid w:val="004D3F2D"/>
    <w:rsid w:val="004D3FB3"/>
    <w:rsid w:val="004D40A9"/>
    <w:rsid w:val="004D40B9"/>
    <w:rsid w:val="004D40E7"/>
    <w:rsid w:val="004D4130"/>
    <w:rsid w:val="004D4147"/>
    <w:rsid w:val="004D4434"/>
    <w:rsid w:val="004D443A"/>
    <w:rsid w:val="004D46A2"/>
    <w:rsid w:val="004D46A7"/>
    <w:rsid w:val="004D4720"/>
    <w:rsid w:val="004D49BF"/>
    <w:rsid w:val="004D49C9"/>
    <w:rsid w:val="004D4D38"/>
    <w:rsid w:val="004D4DAE"/>
    <w:rsid w:val="004D4DE3"/>
    <w:rsid w:val="004D4F8A"/>
    <w:rsid w:val="004D50A9"/>
    <w:rsid w:val="004D513D"/>
    <w:rsid w:val="004D518F"/>
    <w:rsid w:val="004D5330"/>
    <w:rsid w:val="004D53C9"/>
    <w:rsid w:val="004D55EF"/>
    <w:rsid w:val="004D5668"/>
    <w:rsid w:val="004D569E"/>
    <w:rsid w:val="004D574A"/>
    <w:rsid w:val="004D5887"/>
    <w:rsid w:val="004D5B04"/>
    <w:rsid w:val="004D5D51"/>
    <w:rsid w:val="004D5E8F"/>
    <w:rsid w:val="004D5F17"/>
    <w:rsid w:val="004D5F1B"/>
    <w:rsid w:val="004D5FDC"/>
    <w:rsid w:val="004D602F"/>
    <w:rsid w:val="004D61A4"/>
    <w:rsid w:val="004D6200"/>
    <w:rsid w:val="004D6344"/>
    <w:rsid w:val="004D6375"/>
    <w:rsid w:val="004D6413"/>
    <w:rsid w:val="004D66FB"/>
    <w:rsid w:val="004D68D1"/>
    <w:rsid w:val="004D6B1B"/>
    <w:rsid w:val="004D6C5A"/>
    <w:rsid w:val="004D6C7F"/>
    <w:rsid w:val="004D6D39"/>
    <w:rsid w:val="004D6F17"/>
    <w:rsid w:val="004D6F5A"/>
    <w:rsid w:val="004D6FB8"/>
    <w:rsid w:val="004D7222"/>
    <w:rsid w:val="004D72C9"/>
    <w:rsid w:val="004D72D6"/>
    <w:rsid w:val="004D73D7"/>
    <w:rsid w:val="004D746C"/>
    <w:rsid w:val="004D746E"/>
    <w:rsid w:val="004D75BA"/>
    <w:rsid w:val="004D761D"/>
    <w:rsid w:val="004D766D"/>
    <w:rsid w:val="004D7830"/>
    <w:rsid w:val="004D788E"/>
    <w:rsid w:val="004D78E4"/>
    <w:rsid w:val="004D7DED"/>
    <w:rsid w:val="004D7E03"/>
    <w:rsid w:val="004D7E23"/>
    <w:rsid w:val="004D7E3B"/>
    <w:rsid w:val="004D7E5D"/>
    <w:rsid w:val="004D7E8A"/>
    <w:rsid w:val="004E0243"/>
    <w:rsid w:val="004E0275"/>
    <w:rsid w:val="004E02A6"/>
    <w:rsid w:val="004E03EF"/>
    <w:rsid w:val="004E0654"/>
    <w:rsid w:val="004E0683"/>
    <w:rsid w:val="004E06B6"/>
    <w:rsid w:val="004E0743"/>
    <w:rsid w:val="004E07C1"/>
    <w:rsid w:val="004E0A2D"/>
    <w:rsid w:val="004E0B04"/>
    <w:rsid w:val="004E0BB7"/>
    <w:rsid w:val="004E0D5D"/>
    <w:rsid w:val="004E0F98"/>
    <w:rsid w:val="004E1022"/>
    <w:rsid w:val="004E108D"/>
    <w:rsid w:val="004E10F0"/>
    <w:rsid w:val="004E13A7"/>
    <w:rsid w:val="004E13BA"/>
    <w:rsid w:val="004E163A"/>
    <w:rsid w:val="004E1687"/>
    <w:rsid w:val="004E16B4"/>
    <w:rsid w:val="004E1708"/>
    <w:rsid w:val="004E1977"/>
    <w:rsid w:val="004E1A1B"/>
    <w:rsid w:val="004E1A8F"/>
    <w:rsid w:val="004E1ACF"/>
    <w:rsid w:val="004E1D46"/>
    <w:rsid w:val="004E1DF1"/>
    <w:rsid w:val="004E1F62"/>
    <w:rsid w:val="004E1FA0"/>
    <w:rsid w:val="004E1FDD"/>
    <w:rsid w:val="004E201A"/>
    <w:rsid w:val="004E21AF"/>
    <w:rsid w:val="004E21B7"/>
    <w:rsid w:val="004E2451"/>
    <w:rsid w:val="004E2884"/>
    <w:rsid w:val="004E28ED"/>
    <w:rsid w:val="004E29E5"/>
    <w:rsid w:val="004E2BDD"/>
    <w:rsid w:val="004E2C6F"/>
    <w:rsid w:val="004E2D6C"/>
    <w:rsid w:val="004E2DAB"/>
    <w:rsid w:val="004E2E0C"/>
    <w:rsid w:val="004E2EBE"/>
    <w:rsid w:val="004E2FCB"/>
    <w:rsid w:val="004E2FDB"/>
    <w:rsid w:val="004E2FFA"/>
    <w:rsid w:val="004E30D7"/>
    <w:rsid w:val="004E31C3"/>
    <w:rsid w:val="004E31C6"/>
    <w:rsid w:val="004E3231"/>
    <w:rsid w:val="004E3262"/>
    <w:rsid w:val="004E33F9"/>
    <w:rsid w:val="004E34B0"/>
    <w:rsid w:val="004E3519"/>
    <w:rsid w:val="004E36C0"/>
    <w:rsid w:val="004E3733"/>
    <w:rsid w:val="004E3735"/>
    <w:rsid w:val="004E3767"/>
    <w:rsid w:val="004E3871"/>
    <w:rsid w:val="004E3995"/>
    <w:rsid w:val="004E39B5"/>
    <w:rsid w:val="004E3A93"/>
    <w:rsid w:val="004E3AA8"/>
    <w:rsid w:val="004E3ADE"/>
    <w:rsid w:val="004E3AFB"/>
    <w:rsid w:val="004E3BC0"/>
    <w:rsid w:val="004E3D53"/>
    <w:rsid w:val="004E3E70"/>
    <w:rsid w:val="004E4139"/>
    <w:rsid w:val="004E427B"/>
    <w:rsid w:val="004E42BE"/>
    <w:rsid w:val="004E4379"/>
    <w:rsid w:val="004E4511"/>
    <w:rsid w:val="004E4539"/>
    <w:rsid w:val="004E4643"/>
    <w:rsid w:val="004E4845"/>
    <w:rsid w:val="004E495A"/>
    <w:rsid w:val="004E4A64"/>
    <w:rsid w:val="004E4D6F"/>
    <w:rsid w:val="004E4DD8"/>
    <w:rsid w:val="004E4EA6"/>
    <w:rsid w:val="004E5116"/>
    <w:rsid w:val="004E5143"/>
    <w:rsid w:val="004E517A"/>
    <w:rsid w:val="004E51A3"/>
    <w:rsid w:val="004E5317"/>
    <w:rsid w:val="004E5408"/>
    <w:rsid w:val="004E5451"/>
    <w:rsid w:val="004E5681"/>
    <w:rsid w:val="004E56D9"/>
    <w:rsid w:val="004E58CD"/>
    <w:rsid w:val="004E5AB1"/>
    <w:rsid w:val="004E5BE9"/>
    <w:rsid w:val="004E5C49"/>
    <w:rsid w:val="004E5C4D"/>
    <w:rsid w:val="004E5C6C"/>
    <w:rsid w:val="004E6228"/>
    <w:rsid w:val="004E6309"/>
    <w:rsid w:val="004E637E"/>
    <w:rsid w:val="004E64F2"/>
    <w:rsid w:val="004E6504"/>
    <w:rsid w:val="004E656F"/>
    <w:rsid w:val="004E65C9"/>
    <w:rsid w:val="004E65F5"/>
    <w:rsid w:val="004E6684"/>
    <w:rsid w:val="004E6AC1"/>
    <w:rsid w:val="004E6D30"/>
    <w:rsid w:val="004E6E3F"/>
    <w:rsid w:val="004E6E8A"/>
    <w:rsid w:val="004E6E9F"/>
    <w:rsid w:val="004E6F2E"/>
    <w:rsid w:val="004E70D4"/>
    <w:rsid w:val="004E714B"/>
    <w:rsid w:val="004E715A"/>
    <w:rsid w:val="004E716E"/>
    <w:rsid w:val="004E730E"/>
    <w:rsid w:val="004E7316"/>
    <w:rsid w:val="004E7385"/>
    <w:rsid w:val="004E73BB"/>
    <w:rsid w:val="004E73C7"/>
    <w:rsid w:val="004E747B"/>
    <w:rsid w:val="004E7519"/>
    <w:rsid w:val="004E7659"/>
    <w:rsid w:val="004E778F"/>
    <w:rsid w:val="004E77EA"/>
    <w:rsid w:val="004E7850"/>
    <w:rsid w:val="004E78BC"/>
    <w:rsid w:val="004E78E2"/>
    <w:rsid w:val="004E7E9B"/>
    <w:rsid w:val="004F00BD"/>
    <w:rsid w:val="004F0151"/>
    <w:rsid w:val="004F01EC"/>
    <w:rsid w:val="004F02AC"/>
    <w:rsid w:val="004F036C"/>
    <w:rsid w:val="004F03F1"/>
    <w:rsid w:val="004F052B"/>
    <w:rsid w:val="004F05A9"/>
    <w:rsid w:val="004F0658"/>
    <w:rsid w:val="004F0820"/>
    <w:rsid w:val="004F0952"/>
    <w:rsid w:val="004F0AF0"/>
    <w:rsid w:val="004F0BFD"/>
    <w:rsid w:val="004F0CB4"/>
    <w:rsid w:val="004F0D58"/>
    <w:rsid w:val="004F0D7E"/>
    <w:rsid w:val="004F0E56"/>
    <w:rsid w:val="004F0E6F"/>
    <w:rsid w:val="004F0F7C"/>
    <w:rsid w:val="004F0FE4"/>
    <w:rsid w:val="004F103E"/>
    <w:rsid w:val="004F104F"/>
    <w:rsid w:val="004F1056"/>
    <w:rsid w:val="004F105D"/>
    <w:rsid w:val="004F1063"/>
    <w:rsid w:val="004F10F5"/>
    <w:rsid w:val="004F1180"/>
    <w:rsid w:val="004F11E9"/>
    <w:rsid w:val="004F1211"/>
    <w:rsid w:val="004F147D"/>
    <w:rsid w:val="004F1692"/>
    <w:rsid w:val="004F1857"/>
    <w:rsid w:val="004F1980"/>
    <w:rsid w:val="004F1AA0"/>
    <w:rsid w:val="004F1AB0"/>
    <w:rsid w:val="004F1BB8"/>
    <w:rsid w:val="004F1D3F"/>
    <w:rsid w:val="004F1D5B"/>
    <w:rsid w:val="004F1E65"/>
    <w:rsid w:val="004F1FA2"/>
    <w:rsid w:val="004F2025"/>
    <w:rsid w:val="004F2042"/>
    <w:rsid w:val="004F2497"/>
    <w:rsid w:val="004F24F2"/>
    <w:rsid w:val="004F2506"/>
    <w:rsid w:val="004F26D0"/>
    <w:rsid w:val="004F26EC"/>
    <w:rsid w:val="004F27B2"/>
    <w:rsid w:val="004F2911"/>
    <w:rsid w:val="004F29B1"/>
    <w:rsid w:val="004F2A61"/>
    <w:rsid w:val="004F2B49"/>
    <w:rsid w:val="004F2C66"/>
    <w:rsid w:val="004F2CF1"/>
    <w:rsid w:val="004F2DF1"/>
    <w:rsid w:val="004F2F13"/>
    <w:rsid w:val="004F2F1A"/>
    <w:rsid w:val="004F2F97"/>
    <w:rsid w:val="004F2FA1"/>
    <w:rsid w:val="004F3206"/>
    <w:rsid w:val="004F33BC"/>
    <w:rsid w:val="004F3634"/>
    <w:rsid w:val="004F371C"/>
    <w:rsid w:val="004F3760"/>
    <w:rsid w:val="004F3997"/>
    <w:rsid w:val="004F39A4"/>
    <w:rsid w:val="004F39D1"/>
    <w:rsid w:val="004F3B82"/>
    <w:rsid w:val="004F3F47"/>
    <w:rsid w:val="004F400B"/>
    <w:rsid w:val="004F4042"/>
    <w:rsid w:val="004F40D6"/>
    <w:rsid w:val="004F42BE"/>
    <w:rsid w:val="004F4341"/>
    <w:rsid w:val="004F4392"/>
    <w:rsid w:val="004F4494"/>
    <w:rsid w:val="004F4536"/>
    <w:rsid w:val="004F454B"/>
    <w:rsid w:val="004F46E9"/>
    <w:rsid w:val="004F47DB"/>
    <w:rsid w:val="004F4942"/>
    <w:rsid w:val="004F4C40"/>
    <w:rsid w:val="004F4CC0"/>
    <w:rsid w:val="004F50B9"/>
    <w:rsid w:val="004F50D5"/>
    <w:rsid w:val="004F5113"/>
    <w:rsid w:val="004F51A3"/>
    <w:rsid w:val="004F51DE"/>
    <w:rsid w:val="004F51EF"/>
    <w:rsid w:val="004F5236"/>
    <w:rsid w:val="004F52AE"/>
    <w:rsid w:val="004F53F1"/>
    <w:rsid w:val="004F54A3"/>
    <w:rsid w:val="004F5563"/>
    <w:rsid w:val="004F55CD"/>
    <w:rsid w:val="004F55E8"/>
    <w:rsid w:val="004F5615"/>
    <w:rsid w:val="004F57D1"/>
    <w:rsid w:val="004F5819"/>
    <w:rsid w:val="004F586D"/>
    <w:rsid w:val="004F5B30"/>
    <w:rsid w:val="004F5BEB"/>
    <w:rsid w:val="004F5D7F"/>
    <w:rsid w:val="004F5FA0"/>
    <w:rsid w:val="004F608C"/>
    <w:rsid w:val="004F6122"/>
    <w:rsid w:val="004F61D5"/>
    <w:rsid w:val="004F629F"/>
    <w:rsid w:val="004F630B"/>
    <w:rsid w:val="004F63CE"/>
    <w:rsid w:val="004F65A7"/>
    <w:rsid w:val="004F6656"/>
    <w:rsid w:val="004F66A0"/>
    <w:rsid w:val="004F6702"/>
    <w:rsid w:val="004F68C4"/>
    <w:rsid w:val="004F68F5"/>
    <w:rsid w:val="004F6AA8"/>
    <w:rsid w:val="004F6F1D"/>
    <w:rsid w:val="004F7171"/>
    <w:rsid w:val="004F7455"/>
    <w:rsid w:val="004F7529"/>
    <w:rsid w:val="004F7532"/>
    <w:rsid w:val="004F75D2"/>
    <w:rsid w:val="004F7736"/>
    <w:rsid w:val="004F78E7"/>
    <w:rsid w:val="004F7938"/>
    <w:rsid w:val="004F794D"/>
    <w:rsid w:val="004F7998"/>
    <w:rsid w:val="004F7ADD"/>
    <w:rsid w:val="004F7AE0"/>
    <w:rsid w:val="004F7BC7"/>
    <w:rsid w:val="004F7BD8"/>
    <w:rsid w:val="004F7C25"/>
    <w:rsid w:val="004F7E05"/>
    <w:rsid w:val="005001B0"/>
    <w:rsid w:val="005002E6"/>
    <w:rsid w:val="0050030A"/>
    <w:rsid w:val="005003D7"/>
    <w:rsid w:val="00500415"/>
    <w:rsid w:val="005004F4"/>
    <w:rsid w:val="00500501"/>
    <w:rsid w:val="00500569"/>
    <w:rsid w:val="00500594"/>
    <w:rsid w:val="0050069F"/>
    <w:rsid w:val="005006D5"/>
    <w:rsid w:val="0050074D"/>
    <w:rsid w:val="00500865"/>
    <w:rsid w:val="005008A6"/>
    <w:rsid w:val="00500903"/>
    <w:rsid w:val="00500B2E"/>
    <w:rsid w:val="00500B59"/>
    <w:rsid w:val="00500C4A"/>
    <w:rsid w:val="00500CF4"/>
    <w:rsid w:val="00500EEB"/>
    <w:rsid w:val="00500F24"/>
    <w:rsid w:val="00500F33"/>
    <w:rsid w:val="00500F9B"/>
    <w:rsid w:val="00501044"/>
    <w:rsid w:val="0050106C"/>
    <w:rsid w:val="00501187"/>
    <w:rsid w:val="005011DC"/>
    <w:rsid w:val="00501207"/>
    <w:rsid w:val="00501499"/>
    <w:rsid w:val="00501561"/>
    <w:rsid w:val="005018CC"/>
    <w:rsid w:val="005018D6"/>
    <w:rsid w:val="00501946"/>
    <w:rsid w:val="00501A18"/>
    <w:rsid w:val="00501AB5"/>
    <w:rsid w:val="00501AED"/>
    <w:rsid w:val="00501BD1"/>
    <w:rsid w:val="00501BD9"/>
    <w:rsid w:val="00501D52"/>
    <w:rsid w:val="00501E70"/>
    <w:rsid w:val="005020D6"/>
    <w:rsid w:val="0050221F"/>
    <w:rsid w:val="005022A8"/>
    <w:rsid w:val="005023B2"/>
    <w:rsid w:val="005024EE"/>
    <w:rsid w:val="00502694"/>
    <w:rsid w:val="00502740"/>
    <w:rsid w:val="005027AB"/>
    <w:rsid w:val="00502993"/>
    <w:rsid w:val="00502AD3"/>
    <w:rsid w:val="00502C48"/>
    <w:rsid w:val="00502EE8"/>
    <w:rsid w:val="00502F7C"/>
    <w:rsid w:val="00503004"/>
    <w:rsid w:val="005032A0"/>
    <w:rsid w:val="005037EB"/>
    <w:rsid w:val="005038EF"/>
    <w:rsid w:val="0050394B"/>
    <w:rsid w:val="00503A93"/>
    <w:rsid w:val="00503A96"/>
    <w:rsid w:val="00503AE9"/>
    <w:rsid w:val="00503CE0"/>
    <w:rsid w:val="00503D2D"/>
    <w:rsid w:val="00503D51"/>
    <w:rsid w:val="00503E60"/>
    <w:rsid w:val="00503F48"/>
    <w:rsid w:val="00503FC2"/>
    <w:rsid w:val="0050414A"/>
    <w:rsid w:val="00504287"/>
    <w:rsid w:val="00504503"/>
    <w:rsid w:val="00504A18"/>
    <w:rsid w:val="00504A7B"/>
    <w:rsid w:val="00504BE3"/>
    <w:rsid w:val="00504C34"/>
    <w:rsid w:val="00504D4E"/>
    <w:rsid w:val="00504DFA"/>
    <w:rsid w:val="00504EA5"/>
    <w:rsid w:val="00504F09"/>
    <w:rsid w:val="0050527F"/>
    <w:rsid w:val="005054C6"/>
    <w:rsid w:val="005055EF"/>
    <w:rsid w:val="0050575F"/>
    <w:rsid w:val="0050594F"/>
    <w:rsid w:val="00505A55"/>
    <w:rsid w:val="00505C4B"/>
    <w:rsid w:val="00505CAE"/>
    <w:rsid w:val="00505CDA"/>
    <w:rsid w:val="00505DF2"/>
    <w:rsid w:val="00505E61"/>
    <w:rsid w:val="00505F1A"/>
    <w:rsid w:val="00505F78"/>
    <w:rsid w:val="00506009"/>
    <w:rsid w:val="00506210"/>
    <w:rsid w:val="00506225"/>
    <w:rsid w:val="005062B7"/>
    <w:rsid w:val="005063D6"/>
    <w:rsid w:val="005063DB"/>
    <w:rsid w:val="00506493"/>
    <w:rsid w:val="00506CF4"/>
    <w:rsid w:val="00506D13"/>
    <w:rsid w:val="00506D80"/>
    <w:rsid w:val="00506EB4"/>
    <w:rsid w:val="005072CA"/>
    <w:rsid w:val="00507318"/>
    <w:rsid w:val="005074C2"/>
    <w:rsid w:val="0050755F"/>
    <w:rsid w:val="00507676"/>
    <w:rsid w:val="0050768B"/>
    <w:rsid w:val="0050768C"/>
    <w:rsid w:val="005076F7"/>
    <w:rsid w:val="00507704"/>
    <w:rsid w:val="0050774D"/>
    <w:rsid w:val="0050778A"/>
    <w:rsid w:val="0050788C"/>
    <w:rsid w:val="00507907"/>
    <w:rsid w:val="00507976"/>
    <w:rsid w:val="00507A37"/>
    <w:rsid w:val="00507A4E"/>
    <w:rsid w:val="00507A61"/>
    <w:rsid w:val="00507B77"/>
    <w:rsid w:val="00507D5E"/>
    <w:rsid w:val="00507D8C"/>
    <w:rsid w:val="00507DA2"/>
    <w:rsid w:val="00507E6A"/>
    <w:rsid w:val="00507E9A"/>
    <w:rsid w:val="0051010A"/>
    <w:rsid w:val="005101BB"/>
    <w:rsid w:val="005103C7"/>
    <w:rsid w:val="005104D0"/>
    <w:rsid w:val="00510517"/>
    <w:rsid w:val="0051057F"/>
    <w:rsid w:val="0051079F"/>
    <w:rsid w:val="005107B4"/>
    <w:rsid w:val="005109FB"/>
    <w:rsid w:val="00510B68"/>
    <w:rsid w:val="00510BF5"/>
    <w:rsid w:val="00510C59"/>
    <w:rsid w:val="00511148"/>
    <w:rsid w:val="00511233"/>
    <w:rsid w:val="00511311"/>
    <w:rsid w:val="0051147A"/>
    <w:rsid w:val="00511549"/>
    <w:rsid w:val="005115A7"/>
    <w:rsid w:val="00511696"/>
    <w:rsid w:val="0051172B"/>
    <w:rsid w:val="00511823"/>
    <w:rsid w:val="00511835"/>
    <w:rsid w:val="0051184E"/>
    <w:rsid w:val="00511B13"/>
    <w:rsid w:val="00511B42"/>
    <w:rsid w:val="00511B4C"/>
    <w:rsid w:val="00511B5D"/>
    <w:rsid w:val="00511B63"/>
    <w:rsid w:val="00511D05"/>
    <w:rsid w:val="00511DB5"/>
    <w:rsid w:val="0051224E"/>
    <w:rsid w:val="005127C1"/>
    <w:rsid w:val="00512C64"/>
    <w:rsid w:val="00512D90"/>
    <w:rsid w:val="00512E22"/>
    <w:rsid w:val="00512F51"/>
    <w:rsid w:val="00513010"/>
    <w:rsid w:val="0051326A"/>
    <w:rsid w:val="005132EE"/>
    <w:rsid w:val="00513307"/>
    <w:rsid w:val="0051338E"/>
    <w:rsid w:val="005133DC"/>
    <w:rsid w:val="005136A5"/>
    <w:rsid w:val="00513749"/>
    <w:rsid w:val="005138A7"/>
    <w:rsid w:val="0051395F"/>
    <w:rsid w:val="00513A67"/>
    <w:rsid w:val="00513AC6"/>
    <w:rsid w:val="00513AD1"/>
    <w:rsid w:val="00513BEB"/>
    <w:rsid w:val="00513C2D"/>
    <w:rsid w:val="00513CFE"/>
    <w:rsid w:val="00513D9B"/>
    <w:rsid w:val="00513DFC"/>
    <w:rsid w:val="00513F0A"/>
    <w:rsid w:val="00513F7A"/>
    <w:rsid w:val="00514040"/>
    <w:rsid w:val="005141F3"/>
    <w:rsid w:val="00514292"/>
    <w:rsid w:val="00514394"/>
    <w:rsid w:val="005143E9"/>
    <w:rsid w:val="005144F1"/>
    <w:rsid w:val="0051467C"/>
    <w:rsid w:val="005146F9"/>
    <w:rsid w:val="00514762"/>
    <w:rsid w:val="00514903"/>
    <w:rsid w:val="00514966"/>
    <w:rsid w:val="00514B20"/>
    <w:rsid w:val="00514D39"/>
    <w:rsid w:val="00514FC2"/>
    <w:rsid w:val="00515099"/>
    <w:rsid w:val="00515133"/>
    <w:rsid w:val="00515244"/>
    <w:rsid w:val="005152AB"/>
    <w:rsid w:val="005152E9"/>
    <w:rsid w:val="00515336"/>
    <w:rsid w:val="005153BE"/>
    <w:rsid w:val="005153FD"/>
    <w:rsid w:val="005154EF"/>
    <w:rsid w:val="0051550B"/>
    <w:rsid w:val="00515628"/>
    <w:rsid w:val="0051567C"/>
    <w:rsid w:val="00515771"/>
    <w:rsid w:val="0051577F"/>
    <w:rsid w:val="0051578B"/>
    <w:rsid w:val="00515922"/>
    <w:rsid w:val="00515CED"/>
    <w:rsid w:val="00515E2A"/>
    <w:rsid w:val="00515E39"/>
    <w:rsid w:val="005161EC"/>
    <w:rsid w:val="005162E7"/>
    <w:rsid w:val="0051637C"/>
    <w:rsid w:val="00516383"/>
    <w:rsid w:val="00516413"/>
    <w:rsid w:val="0051675A"/>
    <w:rsid w:val="0051678C"/>
    <w:rsid w:val="00516928"/>
    <w:rsid w:val="005169A2"/>
    <w:rsid w:val="005169A3"/>
    <w:rsid w:val="00516A35"/>
    <w:rsid w:val="00516DA8"/>
    <w:rsid w:val="00516E9F"/>
    <w:rsid w:val="0051708C"/>
    <w:rsid w:val="005170CD"/>
    <w:rsid w:val="005173C2"/>
    <w:rsid w:val="005173FB"/>
    <w:rsid w:val="0051754B"/>
    <w:rsid w:val="005176A6"/>
    <w:rsid w:val="005176D4"/>
    <w:rsid w:val="00517818"/>
    <w:rsid w:val="00517913"/>
    <w:rsid w:val="00517A06"/>
    <w:rsid w:val="00517A15"/>
    <w:rsid w:val="00517A2B"/>
    <w:rsid w:val="00517A97"/>
    <w:rsid w:val="00517CC5"/>
    <w:rsid w:val="00517D49"/>
    <w:rsid w:val="00517D87"/>
    <w:rsid w:val="00517DF5"/>
    <w:rsid w:val="00517E01"/>
    <w:rsid w:val="00517EA0"/>
    <w:rsid w:val="005200B1"/>
    <w:rsid w:val="005200F4"/>
    <w:rsid w:val="0052016C"/>
    <w:rsid w:val="005201BF"/>
    <w:rsid w:val="00520285"/>
    <w:rsid w:val="005203DA"/>
    <w:rsid w:val="00520450"/>
    <w:rsid w:val="00520535"/>
    <w:rsid w:val="00520692"/>
    <w:rsid w:val="005206A3"/>
    <w:rsid w:val="00520944"/>
    <w:rsid w:val="00520A94"/>
    <w:rsid w:val="00520AAB"/>
    <w:rsid w:val="00520C7D"/>
    <w:rsid w:val="00520D98"/>
    <w:rsid w:val="00520E1E"/>
    <w:rsid w:val="00520E9B"/>
    <w:rsid w:val="005210CA"/>
    <w:rsid w:val="00521187"/>
    <w:rsid w:val="005213AD"/>
    <w:rsid w:val="0052165D"/>
    <w:rsid w:val="00521722"/>
    <w:rsid w:val="0052188F"/>
    <w:rsid w:val="005218A0"/>
    <w:rsid w:val="00521D16"/>
    <w:rsid w:val="00521D50"/>
    <w:rsid w:val="00521D77"/>
    <w:rsid w:val="0052247E"/>
    <w:rsid w:val="005224ED"/>
    <w:rsid w:val="005227DF"/>
    <w:rsid w:val="00522934"/>
    <w:rsid w:val="00522A42"/>
    <w:rsid w:val="00522B29"/>
    <w:rsid w:val="00522BE9"/>
    <w:rsid w:val="00522DB7"/>
    <w:rsid w:val="00522DD7"/>
    <w:rsid w:val="00522E83"/>
    <w:rsid w:val="0052303B"/>
    <w:rsid w:val="0052305F"/>
    <w:rsid w:val="0052315B"/>
    <w:rsid w:val="00523191"/>
    <w:rsid w:val="005231B7"/>
    <w:rsid w:val="00523254"/>
    <w:rsid w:val="005232AF"/>
    <w:rsid w:val="00523313"/>
    <w:rsid w:val="0052341A"/>
    <w:rsid w:val="00523596"/>
    <w:rsid w:val="005235B4"/>
    <w:rsid w:val="00523617"/>
    <w:rsid w:val="00523644"/>
    <w:rsid w:val="005236FC"/>
    <w:rsid w:val="00523736"/>
    <w:rsid w:val="00523803"/>
    <w:rsid w:val="00523862"/>
    <w:rsid w:val="005238CF"/>
    <w:rsid w:val="00523C7D"/>
    <w:rsid w:val="00523D28"/>
    <w:rsid w:val="00523D90"/>
    <w:rsid w:val="00523EC6"/>
    <w:rsid w:val="005241BD"/>
    <w:rsid w:val="0052441B"/>
    <w:rsid w:val="00524489"/>
    <w:rsid w:val="005244D9"/>
    <w:rsid w:val="0052480C"/>
    <w:rsid w:val="00524B28"/>
    <w:rsid w:val="00524E01"/>
    <w:rsid w:val="00524EA0"/>
    <w:rsid w:val="00524EB4"/>
    <w:rsid w:val="00524EED"/>
    <w:rsid w:val="00524F5B"/>
    <w:rsid w:val="005250DD"/>
    <w:rsid w:val="005251A6"/>
    <w:rsid w:val="00525224"/>
    <w:rsid w:val="00525278"/>
    <w:rsid w:val="0052542F"/>
    <w:rsid w:val="005255D1"/>
    <w:rsid w:val="00525625"/>
    <w:rsid w:val="005256F1"/>
    <w:rsid w:val="0052579F"/>
    <w:rsid w:val="005257BC"/>
    <w:rsid w:val="0052584D"/>
    <w:rsid w:val="0052588F"/>
    <w:rsid w:val="00525931"/>
    <w:rsid w:val="0052596A"/>
    <w:rsid w:val="00525AB9"/>
    <w:rsid w:val="00525B6D"/>
    <w:rsid w:val="00525B78"/>
    <w:rsid w:val="00525BE9"/>
    <w:rsid w:val="00525C47"/>
    <w:rsid w:val="00525DA7"/>
    <w:rsid w:val="00525DD2"/>
    <w:rsid w:val="00525EAB"/>
    <w:rsid w:val="00525EFE"/>
    <w:rsid w:val="0052604F"/>
    <w:rsid w:val="005260F8"/>
    <w:rsid w:val="005260FD"/>
    <w:rsid w:val="0052626B"/>
    <w:rsid w:val="00526299"/>
    <w:rsid w:val="005262B3"/>
    <w:rsid w:val="005262EC"/>
    <w:rsid w:val="00526425"/>
    <w:rsid w:val="005264B6"/>
    <w:rsid w:val="005266A8"/>
    <w:rsid w:val="005267CA"/>
    <w:rsid w:val="00526844"/>
    <w:rsid w:val="00526ABB"/>
    <w:rsid w:val="00526B91"/>
    <w:rsid w:val="00526C09"/>
    <w:rsid w:val="00526C27"/>
    <w:rsid w:val="00526E95"/>
    <w:rsid w:val="00527145"/>
    <w:rsid w:val="005271AD"/>
    <w:rsid w:val="0052731B"/>
    <w:rsid w:val="00527337"/>
    <w:rsid w:val="00527690"/>
    <w:rsid w:val="005276A0"/>
    <w:rsid w:val="00527ACC"/>
    <w:rsid w:val="00527D18"/>
    <w:rsid w:val="00527F51"/>
    <w:rsid w:val="005300AE"/>
    <w:rsid w:val="0053022C"/>
    <w:rsid w:val="0053036B"/>
    <w:rsid w:val="0053043D"/>
    <w:rsid w:val="00530484"/>
    <w:rsid w:val="0053053D"/>
    <w:rsid w:val="005306FF"/>
    <w:rsid w:val="00530702"/>
    <w:rsid w:val="00530903"/>
    <w:rsid w:val="00530933"/>
    <w:rsid w:val="00530A60"/>
    <w:rsid w:val="00530D67"/>
    <w:rsid w:val="00530D9B"/>
    <w:rsid w:val="00530E13"/>
    <w:rsid w:val="00530E7E"/>
    <w:rsid w:val="00530E81"/>
    <w:rsid w:val="00530EE0"/>
    <w:rsid w:val="00530FF6"/>
    <w:rsid w:val="005310C8"/>
    <w:rsid w:val="00531198"/>
    <w:rsid w:val="00531294"/>
    <w:rsid w:val="0053156A"/>
    <w:rsid w:val="0053163F"/>
    <w:rsid w:val="0053176B"/>
    <w:rsid w:val="005317AC"/>
    <w:rsid w:val="005317D5"/>
    <w:rsid w:val="00531B38"/>
    <w:rsid w:val="00531B53"/>
    <w:rsid w:val="00531C75"/>
    <w:rsid w:val="00531E4E"/>
    <w:rsid w:val="00531E92"/>
    <w:rsid w:val="00532075"/>
    <w:rsid w:val="005320FA"/>
    <w:rsid w:val="00532114"/>
    <w:rsid w:val="0053218F"/>
    <w:rsid w:val="005323FC"/>
    <w:rsid w:val="00532431"/>
    <w:rsid w:val="00532489"/>
    <w:rsid w:val="00532639"/>
    <w:rsid w:val="00532727"/>
    <w:rsid w:val="00532765"/>
    <w:rsid w:val="005327F6"/>
    <w:rsid w:val="0053280F"/>
    <w:rsid w:val="00532CA8"/>
    <w:rsid w:val="00532CF2"/>
    <w:rsid w:val="00532D2F"/>
    <w:rsid w:val="00533060"/>
    <w:rsid w:val="00533065"/>
    <w:rsid w:val="005330B7"/>
    <w:rsid w:val="005331C2"/>
    <w:rsid w:val="005332EC"/>
    <w:rsid w:val="0053330A"/>
    <w:rsid w:val="00533323"/>
    <w:rsid w:val="0053349C"/>
    <w:rsid w:val="00533618"/>
    <w:rsid w:val="005337CC"/>
    <w:rsid w:val="00533925"/>
    <w:rsid w:val="0053399E"/>
    <w:rsid w:val="00533B67"/>
    <w:rsid w:val="00533B8C"/>
    <w:rsid w:val="00533BB0"/>
    <w:rsid w:val="00533C1D"/>
    <w:rsid w:val="00533C76"/>
    <w:rsid w:val="00533D83"/>
    <w:rsid w:val="00533E3D"/>
    <w:rsid w:val="00533E82"/>
    <w:rsid w:val="00533F1B"/>
    <w:rsid w:val="00533F45"/>
    <w:rsid w:val="00533F50"/>
    <w:rsid w:val="00533F9D"/>
    <w:rsid w:val="0053406B"/>
    <w:rsid w:val="00534237"/>
    <w:rsid w:val="00534261"/>
    <w:rsid w:val="0053435E"/>
    <w:rsid w:val="00534470"/>
    <w:rsid w:val="005345D9"/>
    <w:rsid w:val="005346F9"/>
    <w:rsid w:val="005347F0"/>
    <w:rsid w:val="00534D6D"/>
    <w:rsid w:val="00534DDB"/>
    <w:rsid w:val="00534DDC"/>
    <w:rsid w:val="00534E1E"/>
    <w:rsid w:val="00534E23"/>
    <w:rsid w:val="00534E7A"/>
    <w:rsid w:val="00534EAC"/>
    <w:rsid w:val="00534EE5"/>
    <w:rsid w:val="00535079"/>
    <w:rsid w:val="00535158"/>
    <w:rsid w:val="005353B8"/>
    <w:rsid w:val="0053546A"/>
    <w:rsid w:val="00535538"/>
    <w:rsid w:val="005355A0"/>
    <w:rsid w:val="005356E2"/>
    <w:rsid w:val="00535744"/>
    <w:rsid w:val="00535847"/>
    <w:rsid w:val="00535C0D"/>
    <w:rsid w:val="00535C9C"/>
    <w:rsid w:val="00535CF8"/>
    <w:rsid w:val="00535E32"/>
    <w:rsid w:val="00535E4D"/>
    <w:rsid w:val="00535F3A"/>
    <w:rsid w:val="00535FDA"/>
    <w:rsid w:val="005361EA"/>
    <w:rsid w:val="005363F3"/>
    <w:rsid w:val="00536408"/>
    <w:rsid w:val="00536700"/>
    <w:rsid w:val="00536786"/>
    <w:rsid w:val="005369AD"/>
    <w:rsid w:val="00536BCC"/>
    <w:rsid w:val="00536DDB"/>
    <w:rsid w:val="00536FFB"/>
    <w:rsid w:val="00537028"/>
    <w:rsid w:val="00537202"/>
    <w:rsid w:val="00537386"/>
    <w:rsid w:val="005373B7"/>
    <w:rsid w:val="00537718"/>
    <w:rsid w:val="0053799B"/>
    <w:rsid w:val="005379B9"/>
    <w:rsid w:val="00537A71"/>
    <w:rsid w:val="00537BF8"/>
    <w:rsid w:val="00537C4A"/>
    <w:rsid w:val="00537E28"/>
    <w:rsid w:val="00537F31"/>
    <w:rsid w:val="005400B2"/>
    <w:rsid w:val="0054015B"/>
    <w:rsid w:val="0054022E"/>
    <w:rsid w:val="00540234"/>
    <w:rsid w:val="0054032E"/>
    <w:rsid w:val="00540368"/>
    <w:rsid w:val="00540426"/>
    <w:rsid w:val="0054044B"/>
    <w:rsid w:val="00540458"/>
    <w:rsid w:val="00540599"/>
    <w:rsid w:val="005406AA"/>
    <w:rsid w:val="005406BE"/>
    <w:rsid w:val="005407AC"/>
    <w:rsid w:val="00540853"/>
    <w:rsid w:val="00540891"/>
    <w:rsid w:val="00540949"/>
    <w:rsid w:val="005409A9"/>
    <w:rsid w:val="00540A5D"/>
    <w:rsid w:val="00540C2E"/>
    <w:rsid w:val="00540CE8"/>
    <w:rsid w:val="00540D0D"/>
    <w:rsid w:val="00540E7B"/>
    <w:rsid w:val="00540F53"/>
    <w:rsid w:val="0054109B"/>
    <w:rsid w:val="00541106"/>
    <w:rsid w:val="00541185"/>
    <w:rsid w:val="0054129D"/>
    <w:rsid w:val="00541370"/>
    <w:rsid w:val="00541433"/>
    <w:rsid w:val="00541465"/>
    <w:rsid w:val="0054152D"/>
    <w:rsid w:val="005415DF"/>
    <w:rsid w:val="00541654"/>
    <w:rsid w:val="005416A4"/>
    <w:rsid w:val="00541AA9"/>
    <w:rsid w:val="00541E6A"/>
    <w:rsid w:val="00541EE3"/>
    <w:rsid w:val="00542033"/>
    <w:rsid w:val="00542046"/>
    <w:rsid w:val="00542177"/>
    <w:rsid w:val="005422F8"/>
    <w:rsid w:val="005423CA"/>
    <w:rsid w:val="00542613"/>
    <w:rsid w:val="00542650"/>
    <w:rsid w:val="00542669"/>
    <w:rsid w:val="005426F6"/>
    <w:rsid w:val="00542996"/>
    <w:rsid w:val="00542A04"/>
    <w:rsid w:val="00542B7C"/>
    <w:rsid w:val="00542CCF"/>
    <w:rsid w:val="00542DE2"/>
    <w:rsid w:val="00542E9C"/>
    <w:rsid w:val="00542FAC"/>
    <w:rsid w:val="005433D1"/>
    <w:rsid w:val="0054357E"/>
    <w:rsid w:val="00543608"/>
    <w:rsid w:val="00543A9E"/>
    <w:rsid w:val="00543AE2"/>
    <w:rsid w:val="00543CBD"/>
    <w:rsid w:val="00543CCF"/>
    <w:rsid w:val="00543CD5"/>
    <w:rsid w:val="00543DD9"/>
    <w:rsid w:val="00543E28"/>
    <w:rsid w:val="00544296"/>
    <w:rsid w:val="0054429C"/>
    <w:rsid w:val="005443CC"/>
    <w:rsid w:val="00544510"/>
    <w:rsid w:val="00544524"/>
    <w:rsid w:val="00544723"/>
    <w:rsid w:val="0054476B"/>
    <w:rsid w:val="00544878"/>
    <w:rsid w:val="005448C3"/>
    <w:rsid w:val="005448F8"/>
    <w:rsid w:val="00544A16"/>
    <w:rsid w:val="00544AF3"/>
    <w:rsid w:val="00544BAD"/>
    <w:rsid w:val="00544BB2"/>
    <w:rsid w:val="00544C13"/>
    <w:rsid w:val="00544C3C"/>
    <w:rsid w:val="00544CBA"/>
    <w:rsid w:val="00544DC2"/>
    <w:rsid w:val="00544DDE"/>
    <w:rsid w:val="00544E4E"/>
    <w:rsid w:val="00544F6A"/>
    <w:rsid w:val="00544FFB"/>
    <w:rsid w:val="005451C7"/>
    <w:rsid w:val="00545524"/>
    <w:rsid w:val="00545751"/>
    <w:rsid w:val="00545840"/>
    <w:rsid w:val="0054594D"/>
    <w:rsid w:val="00545B2C"/>
    <w:rsid w:val="00545CF2"/>
    <w:rsid w:val="00545D7A"/>
    <w:rsid w:val="00545ED3"/>
    <w:rsid w:val="00545FBF"/>
    <w:rsid w:val="00545FEB"/>
    <w:rsid w:val="00546203"/>
    <w:rsid w:val="00546278"/>
    <w:rsid w:val="005463A7"/>
    <w:rsid w:val="005463B7"/>
    <w:rsid w:val="005465DD"/>
    <w:rsid w:val="00546641"/>
    <w:rsid w:val="00546A37"/>
    <w:rsid w:val="00546A67"/>
    <w:rsid w:val="00546A91"/>
    <w:rsid w:val="00546B52"/>
    <w:rsid w:val="00546C45"/>
    <w:rsid w:val="00546C61"/>
    <w:rsid w:val="00546CB2"/>
    <w:rsid w:val="00546CE1"/>
    <w:rsid w:val="00546CFB"/>
    <w:rsid w:val="0054711E"/>
    <w:rsid w:val="0054713D"/>
    <w:rsid w:val="005472E7"/>
    <w:rsid w:val="00547521"/>
    <w:rsid w:val="0054774C"/>
    <w:rsid w:val="00547795"/>
    <w:rsid w:val="00547992"/>
    <w:rsid w:val="00547A7A"/>
    <w:rsid w:val="00547B7E"/>
    <w:rsid w:val="00547D85"/>
    <w:rsid w:val="00547E0A"/>
    <w:rsid w:val="00547E78"/>
    <w:rsid w:val="00550002"/>
    <w:rsid w:val="00550051"/>
    <w:rsid w:val="00550069"/>
    <w:rsid w:val="0055042A"/>
    <w:rsid w:val="00550479"/>
    <w:rsid w:val="0055050D"/>
    <w:rsid w:val="00550612"/>
    <w:rsid w:val="005506EC"/>
    <w:rsid w:val="00550790"/>
    <w:rsid w:val="00550810"/>
    <w:rsid w:val="00550832"/>
    <w:rsid w:val="00550B7D"/>
    <w:rsid w:val="00550C66"/>
    <w:rsid w:val="00550CAE"/>
    <w:rsid w:val="00550D54"/>
    <w:rsid w:val="00550E94"/>
    <w:rsid w:val="00550ECF"/>
    <w:rsid w:val="00550F18"/>
    <w:rsid w:val="005511C8"/>
    <w:rsid w:val="005512AB"/>
    <w:rsid w:val="005512BC"/>
    <w:rsid w:val="00551642"/>
    <w:rsid w:val="0055175A"/>
    <w:rsid w:val="005518BF"/>
    <w:rsid w:val="005518C2"/>
    <w:rsid w:val="005518D5"/>
    <w:rsid w:val="00551ADF"/>
    <w:rsid w:val="00551C7E"/>
    <w:rsid w:val="00551CBE"/>
    <w:rsid w:val="00551D04"/>
    <w:rsid w:val="00551F85"/>
    <w:rsid w:val="00551FE1"/>
    <w:rsid w:val="005521EA"/>
    <w:rsid w:val="00552292"/>
    <w:rsid w:val="005522C2"/>
    <w:rsid w:val="005523C9"/>
    <w:rsid w:val="00552666"/>
    <w:rsid w:val="005526D4"/>
    <w:rsid w:val="005527C0"/>
    <w:rsid w:val="00552822"/>
    <w:rsid w:val="00552A74"/>
    <w:rsid w:val="00552B8F"/>
    <w:rsid w:val="00552C4C"/>
    <w:rsid w:val="00552CD0"/>
    <w:rsid w:val="00552DD6"/>
    <w:rsid w:val="00552E32"/>
    <w:rsid w:val="00552EB4"/>
    <w:rsid w:val="00553061"/>
    <w:rsid w:val="005530C3"/>
    <w:rsid w:val="005531AE"/>
    <w:rsid w:val="00553220"/>
    <w:rsid w:val="00553373"/>
    <w:rsid w:val="00553465"/>
    <w:rsid w:val="00553644"/>
    <w:rsid w:val="00553667"/>
    <w:rsid w:val="0055366E"/>
    <w:rsid w:val="00553908"/>
    <w:rsid w:val="0055392E"/>
    <w:rsid w:val="0055398A"/>
    <w:rsid w:val="00553A4C"/>
    <w:rsid w:val="00553C96"/>
    <w:rsid w:val="00553E11"/>
    <w:rsid w:val="00553F0F"/>
    <w:rsid w:val="00553F16"/>
    <w:rsid w:val="00553F5A"/>
    <w:rsid w:val="00554046"/>
    <w:rsid w:val="00554129"/>
    <w:rsid w:val="00554132"/>
    <w:rsid w:val="00554229"/>
    <w:rsid w:val="0055443D"/>
    <w:rsid w:val="00554448"/>
    <w:rsid w:val="00554714"/>
    <w:rsid w:val="005547E5"/>
    <w:rsid w:val="005548C9"/>
    <w:rsid w:val="00554A88"/>
    <w:rsid w:val="00554C4D"/>
    <w:rsid w:val="00554D53"/>
    <w:rsid w:val="00554E16"/>
    <w:rsid w:val="0055515C"/>
    <w:rsid w:val="00555233"/>
    <w:rsid w:val="005552A3"/>
    <w:rsid w:val="005553DE"/>
    <w:rsid w:val="00555476"/>
    <w:rsid w:val="00555536"/>
    <w:rsid w:val="005555A8"/>
    <w:rsid w:val="0055563C"/>
    <w:rsid w:val="0055575F"/>
    <w:rsid w:val="0055576A"/>
    <w:rsid w:val="005558DC"/>
    <w:rsid w:val="00555ABE"/>
    <w:rsid w:val="00555C73"/>
    <w:rsid w:val="00555DF6"/>
    <w:rsid w:val="00555E21"/>
    <w:rsid w:val="00555E69"/>
    <w:rsid w:val="00555FD9"/>
    <w:rsid w:val="00555FEA"/>
    <w:rsid w:val="0055609D"/>
    <w:rsid w:val="005560E4"/>
    <w:rsid w:val="0055621C"/>
    <w:rsid w:val="0055626F"/>
    <w:rsid w:val="00556284"/>
    <w:rsid w:val="0055634F"/>
    <w:rsid w:val="005563AC"/>
    <w:rsid w:val="005563C3"/>
    <w:rsid w:val="00556423"/>
    <w:rsid w:val="005568AF"/>
    <w:rsid w:val="0055694C"/>
    <w:rsid w:val="005569C7"/>
    <w:rsid w:val="00556AAC"/>
    <w:rsid w:val="00556B51"/>
    <w:rsid w:val="00556C74"/>
    <w:rsid w:val="00556CCF"/>
    <w:rsid w:val="00556D46"/>
    <w:rsid w:val="00556E59"/>
    <w:rsid w:val="00556FC8"/>
    <w:rsid w:val="00557009"/>
    <w:rsid w:val="0055761F"/>
    <w:rsid w:val="00557812"/>
    <w:rsid w:val="00557A07"/>
    <w:rsid w:val="00557AB7"/>
    <w:rsid w:val="00557C2D"/>
    <w:rsid w:val="00557E28"/>
    <w:rsid w:val="00557F39"/>
    <w:rsid w:val="00560133"/>
    <w:rsid w:val="00560136"/>
    <w:rsid w:val="005601A0"/>
    <w:rsid w:val="005603D8"/>
    <w:rsid w:val="0056044D"/>
    <w:rsid w:val="005604D0"/>
    <w:rsid w:val="00560525"/>
    <w:rsid w:val="00560610"/>
    <w:rsid w:val="00560706"/>
    <w:rsid w:val="00560995"/>
    <w:rsid w:val="00560A64"/>
    <w:rsid w:val="00560C97"/>
    <w:rsid w:val="00560F00"/>
    <w:rsid w:val="00560FA6"/>
    <w:rsid w:val="00561027"/>
    <w:rsid w:val="00561364"/>
    <w:rsid w:val="005613E3"/>
    <w:rsid w:val="00561676"/>
    <w:rsid w:val="00561A32"/>
    <w:rsid w:val="00561BB5"/>
    <w:rsid w:val="00561C46"/>
    <w:rsid w:val="00561CD8"/>
    <w:rsid w:val="00561DA8"/>
    <w:rsid w:val="00561E0C"/>
    <w:rsid w:val="00561F8F"/>
    <w:rsid w:val="00562149"/>
    <w:rsid w:val="00562380"/>
    <w:rsid w:val="00562456"/>
    <w:rsid w:val="00562629"/>
    <w:rsid w:val="005629F1"/>
    <w:rsid w:val="005629F8"/>
    <w:rsid w:val="00562A03"/>
    <w:rsid w:val="00562B51"/>
    <w:rsid w:val="00562C3B"/>
    <w:rsid w:val="00562CEC"/>
    <w:rsid w:val="00562F04"/>
    <w:rsid w:val="00562F61"/>
    <w:rsid w:val="0056308E"/>
    <w:rsid w:val="005630D1"/>
    <w:rsid w:val="005631E4"/>
    <w:rsid w:val="00563203"/>
    <w:rsid w:val="00563272"/>
    <w:rsid w:val="00563294"/>
    <w:rsid w:val="005636F9"/>
    <w:rsid w:val="0056371D"/>
    <w:rsid w:val="005637BB"/>
    <w:rsid w:val="00563848"/>
    <w:rsid w:val="005638A3"/>
    <w:rsid w:val="0056395D"/>
    <w:rsid w:val="00563C09"/>
    <w:rsid w:val="00563F83"/>
    <w:rsid w:val="0056407F"/>
    <w:rsid w:val="0056410E"/>
    <w:rsid w:val="00564186"/>
    <w:rsid w:val="005641EF"/>
    <w:rsid w:val="005642FB"/>
    <w:rsid w:val="00564338"/>
    <w:rsid w:val="0056433A"/>
    <w:rsid w:val="00564413"/>
    <w:rsid w:val="00564687"/>
    <w:rsid w:val="00564696"/>
    <w:rsid w:val="00564810"/>
    <w:rsid w:val="00564BF3"/>
    <w:rsid w:val="00564CD2"/>
    <w:rsid w:val="00565040"/>
    <w:rsid w:val="00565102"/>
    <w:rsid w:val="00565159"/>
    <w:rsid w:val="00565206"/>
    <w:rsid w:val="00565333"/>
    <w:rsid w:val="00565400"/>
    <w:rsid w:val="005654C6"/>
    <w:rsid w:val="00565699"/>
    <w:rsid w:val="005656EF"/>
    <w:rsid w:val="005656F8"/>
    <w:rsid w:val="00565D52"/>
    <w:rsid w:val="005662B0"/>
    <w:rsid w:val="005662CF"/>
    <w:rsid w:val="005664F9"/>
    <w:rsid w:val="0056666F"/>
    <w:rsid w:val="0056679C"/>
    <w:rsid w:val="00566985"/>
    <w:rsid w:val="00566A2D"/>
    <w:rsid w:val="00566A31"/>
    <w:rsid w:val="00566AEC"/>
    <w:rsid w:val="00566B18"/>
    <w:rsid w:val="00566B6B"/>
    <w:rsid w:val="00566BC7"/>
    <w:rsid w:val="00566CE0"/>
    <w:rsid w:val="00566D03"/>
    <w:rsid w:val="00566D55"/>
    <w:rsid w:val="00566D5B"/>
    <w:rsid w:val="0056707B"/>
    <w:rsid w:val="00567086"/>
    <w:rsid w:val="0056708E"/>
    <w:rsid w:val="00567185"/>
    <w:rsid w:val="00567475"/>
    <w:rsid w:val="005674A1"/>
    <w:rsid w:val="005674A2"/>
    <w:rsid w:val="005677D5"/>
    <w:rsid w:val="00567A72"/>
    <w:rsid w:val="00567A99"/>
    <w:rsid w:val="00567B46"/>
    <w:rsid w:val="00567C64"/>
    <w:rsid w:val="00567CF0"/>
    <w:rsid w:val="00567CFD"/>
    <w:rsid w:val="00567F8F"/>
    <w:rsid w:val="005700ED"/>
    <w:rsid w:val="005701E3"/>
    <w:rsid w:val="005702E9"/>
    <w:rsid w:val="00570383"/>
    <w:rsid w:val="00570506"/>
    <w:rsid w:val="00570826"/>
    <w:rsid w:val="0057082D"/>
    <w:rsid w:val="0057097C"/>
    <w:rsid w:val="00570BF3"/>
    <w:rsid w:val="00570CBF"/>
    <w:rsid w:val="00570DE8"/>
    <w:rsid w:val="0057119C"/>
    <w:rsid w:val="00571269"/>
    <w:rsid w:val="005712EB"/>
    <w:rsid w:val="0057131F"/>
    <w:rsid w:val="00571339"/>
    <w:rsid w:val="00571415"/>
    <w:rsid w:val="00571602"/>
    <w:rsid w:val="0057161C"/>
    <w:rsid w:val="005716AC"/>
    <w:rsid w:val="005718BE"/>
    <w:rsid w:val="00571A30"/>
    <w:rsid w:val="00571B30"/>
    <w:rsid w:val="00571C49"/>
    <w:rsid w:val="00571D39"/>
    <w:rsid w:val="00571DAE"/>
    <w:rsid w:val="00571DBD"/>
    <w:rsid w:val="005720CA"/>
    <w:rsid w:val="00572180"/>
    <w:rsid w:val="00572181"/>
    <w:rsid w:val="005721D8"/>
    <w:rsid w:val="0057227D"/>
    <w:rsid w:val="00572309"/>
    <w:rsid w:val="005723CF"/>
    <w:rsid w:val="005723E6"/>
    <w:rsid w:val="00572471"/>
    <w:rsid w:val="0057251A"/>
    <w:rsid w:val="0057273B"/>
    <w:rsid w:val="0057288D"/>
    <w:rsid w:val="005728B6"/>
    <w:rsid w:val="00572BA3"/>
    <w:rsid w:val="00572E16"/>
    <w:rsid w:val="00572E73"/>
    <w:rsid w:val="00572FED"/>
    <w:rsid w:val="0057304B"/>
    <w:rsid w:val="005731B4"/>
    <w:rsid w:val="0057320F"/>
    <w:rsid w:val="005732E1"/>
    <w:rsid w:val="0057331C"/>
    <w:rsid w:val="0057331F"/>
    <w:rsid w:val="00573458"/>
    <w:rsid w:val="005734B9"/>
    <w:rsid w:val="00573723"/>
    <w:rsid w:val="00573952"/>
    <w:rsid w:val="00573A23"/>
    <w:rsid w:val="00573A56"/>
    <w:rsid w:val="00573C4F"/>
    <w:rsid w:val="00573E94"/>
    <w:rsid w:val="00573FEE"/>
    <w:rsid w:val="0057419E"/>
    <w:rsid w:val="0057435E"/>
    <w:rsid w:val="00574413"/>
    <w:rsid w:val="005745BA"/>
    <w:rsid w:val="0057464C"/>
    <w:rsid w:val="005746E4"/>
    <w:rsid w:val="0057471F"/>
    <w:rsid w:val="0057486A"/>
    <w:rsid w:val="00574A04"/>
    <w:rsid w:val="00574A06"/>
    <w:rsid w:val="00574C0E"/>
    <w:rsid w:val="00574E51"/>
    <w:rsid w:val="00574ED5"/>
    <w:rsid w:val="00574EF4"/>
    <w:rsid w:val="00575031"/>
    <w:rsid w:val="0057505B"/>
    <w:rsid w:val="005751A4"/>
    <w:rsid w:val="005752E4"/>
    <w:rsid w:val="0057543B"/>
    <w:rsid w:val="005754B4"/>
    <w:rsid w:val="00575515"/>
    <w:rsid w:val="0057553B"/>
    <w:rsid w:val="005755A9"/>
    <w:rsid w:val="00575600"/>
    <w:rsid w:val="005757E2"/>
    <w:rsid w:val="0057582F"/>
    <w:rsid w:val="00575842"/>
    <w:rsid w:val="0057585A"/>
    <w:rsid w:val="00575DC9"/>
    <w:rsid w:val="00575EE6"/>
    <w:rsid w:val="00575F20"/>
    <w:rsid w:val="00576020"/>
    <w:rsid w:val="005764D5"/>
    <w:rsid w:val="00576517"/>
    <w:rsid w:val="005765FD"/>
    <w:rsid w:val="00576602"/>
    <w:rsid w:val="00576619"/>
    <w:rsid w:val="00576635"/>
    <w:rsid w:val="0057679A"/>
    <w:rsid w:val="005769E6"/>
    <w:rsid w:val="00576A2F"/>
    <w:rsid w:val="00576B8A"/>
    <w:rsid w:val="00576D17"/>
    <w:rsid w:val="00576F36"/>
    <w:rsid w:val="00577005"/>
    <w:rsid w:val="00577006"/>
    <w:rsid w:val="00577032"/>
    <w:rsid w:val="00577054"/>
    <w:rsid w:val="005770B1"/>
    <w:rsid w:val="005770F1"/>
    <w:rsid w:val="00577150"/>
    <w:rsid w:val="00577219"/>
    <w:rsid w:val="005772C7"/>
    <w:rsid w:val="005774BB"/>
    <w:rsid w:val="00577665"/>
    <w:rsid w:val="00577687"/>
    <w:rsid w:val="005777C9"/>
    <w:rsid w:val="005777CB"/>
    <w:rsid w:val="005779D2"/>
    <w:rsid w:val="00577AC3"/>
    <w:rsid w:val="00577CA5"/>
    <w:rsid w:val="00577E72"/>
    <w:rsid w:val="00577EDB"/>
    <w:rsid w:val="0058004A"/>
    <w:rsid w:val="00580217"/>
    <w:rsid w:val="00580268"/>
    <w:rsid w:val="005803C9"/>
    <w:rsid w:val="0058043F"/>
    <w:rsid w:val="00580608"/>
    <w:rsid w:val="0058078E"/>
    <w:rsid w:val="00580891"/>
    <w:rsid w:val="005808B8"/>
    <w:rsid w:val="0058092A"/>
    <w:rsid w:val="0058097F"/>
    <w:rsid w:val="00580B76"/>
    <w:rsid w:val="00580BBF"/>
    <w:rsid w:val="00580BE2"/>
    <w:rsid w:val="00580BF6"/>
    <w:rsid w:val="00580DFF"/>
    <w:rsid w:val="00580F3E"/>
    <w:rsid w:val="00581325"/>
    <w:rsid w:val="00581352"/>
    <w:rsid w:val="005815B1"/>
    <w:rsid w:val="00581887"/>
    <w:rsid w:val="005818F2"/>
    <w:rsid w:val="00581971"/>
    <w:rsid w:val="005819A8"/>
    <w:rsid w:val="005819DF"/>
    <w:rsid w:val="00581B17"/>
    <w:rsid w:val="00581B31"/>
    <w:rsid w:val="00581B77"/>
    <w:rsid w:val="00581EEC"/>
    <w:rsid w:val="00581F84"/>
    <w:rsid w:val="00582210"/>
    <w:rsid w:val="00582280"/>
    <w:rsid w:val="005824D7"/>
    <w:rsid w:val="0058282B"/>
    <w:rsid w:val="00582A61"/>
    <w:rsid w:val="00582B9A"/>
    <w:rsid w:val="00582C1F"/>
    <w:rsid w:val="00582CFC"/>
    <w:rsid w:val="00582D8E"/>
    <w:rsid w:val="00582E03"/>
    <w:rsid w:val="00582E61"/>
    <w:rsid w:val="00582F00"/>
    <w:rsid w:val="00582F16"/>
    <w:rsid w:val="0058304F"/>
    <w:rsid w:val="005830F9"/>
    <w:rsid w:val="00583479"/>
    <w:rsid w:val="005834DE"/>
    <w:rsid w:val="005834E2"/>
    <w:rsid w:val="005835DB"/>
    <w:rsid w:val="0058375C"/>
    <w:rsid w:val="00583770"/>
    <w:rsid w:val="00583B57"/>
    <w:rsid w:val="00583D3C"/>
    <w:rsid w:val="00583D92"/>
    <w:rsid w:val="00583E74"/>
    <w:rsid w:val="00583EE8"/>
    <w:rsid w:val="00583F02"/>
    <w:rsid w:val="00583F3F"/>
    <w:rsid w:val="00583FDE"/>
    <w:rsid w:val="0058405C"/>
    <w:rsid w:val="00584161"/>
    <w:rsid w:val="00584167"/>
    <w:rsid w:val="005841B5"/>
    <w:rsid w:val="005841B6"/>
    <w:rsid w:val="005841C2"/>
    <w:rsid w:val="00584468"/>
    <w:rsid w:val="00584515"/>
    <w:rsid w:val="005845DE"/>
    <w:rsid w:val="005845F2"/>
    <w:rsid w:val="00584625"/>
    <w:rsid w:val="0058472C"/>
    <w:rsid w:val="005847AF"/>
    <w:rsid w:val="005847B3"/>
    <w:rsid w:val="00584930"/>
    <w:rsid w:val="00584A47"/>
    <w:rsid w:val="00584C0B"/>
    <w:rsid w:val="00584DDE"/>
    <w:rsid w:val="00584E59"/>
    <w:rsid w:val="00584F7D"/>
    <w:rsid w:val="00585131"/>
    <w:rsid w:val="00585294"/>
    <w:rsid w:val="00585383"/>
    <w:rsid w:val="005854CE"/>
    <w:rsid w:val="005855C6"/>
    <w:rsid w:val="005856AA"/>
    <w:rsid w:val="0058580D"/>
    <w:rsid w:val="0058583B"/>
    <w:rsid w:val="0058585F"/>
    <w:rsid w:val="00585A8F"/>
    <w:rsid w:val="00585C65"/>
    <w:rsid w:val="00585D67"/>
    <w:rsid w:val="00585DFB"/>
    <w:rsid w:val="00585E1F"/>
    <w:rsid w:val="00585E44"/>
    <w:rsid w:val="005860AE"/>
    <w:rsid w:val="00586289"/>
    <w:rsid w:val="005862CD"/>
    <w:rsid w:val="00586435"/>
    <w:rsid w:val="0058645F"/>
    <w:rsid w:val="00586520"/>
    <w:rsid w:val="005865AA"/>
    <w:rsid w:val="005866D7"/>
    <w:rsid w:val="00586853"/>
    <w:rsid w:val="00586923"/>
    <w:rsid w:val="00586AC1"/>
    <w:rsid w:val="00586FA6"/>
    <w:rsid w:val="0058704F"/>
    <w:rsid w:val="0058715D"/>
    <w:rsid w:val="0058734B"/>
    <w:rsid w:val="00587417"/>
    <w:rsid w:val="00587565"/>
    <w:rsid w:val="0058782E"/>
    <w:rsid w:val="005878AB"/>
    <w:rsid w:val="00587A1D"/>
    <w:rsid w:val="00587A47"/>
    <w:rsid w:val="00587A6B"/>
    <w:rsid w:val="00587B47"/>
    <w:rsid w:val="00587B97"/>
    <w:rsid w:val="00587BDA"/>
    <w:rsid w:val="00587CE4"/>
    <w:rsid w:val="00587F27"/>
    <w:rsid w:val="00587F28"/>
    <w:rsid w:val="00587F92"/>
    <w:rsid w:val="00590243"/>
    <w:rsid w:val="00590484"/>
    <w:rsid w:val="005904C2"/>
    <w:rsid w:val="005904E7"/>
    <w:rsid w:val="0059072E"/>
    <w:rsid w:val="0059077B"/>
    <w:rsid w:val="005908B3"/>
    <w:rsid w:val="0059094C"/>
    <w:rsid w:val="00590A5C"/>
    <w:rsid w:val="00590A78"/>
    <w:rsid w:val="00590AF1"/>
    <w:rsid w:val="00590D08"/>
    <w:rsid w:val="00590E7E"/>
    <w:rsid w:val="00590F25"/>
    <w:rsid w:val="0059108E"/>
    <w:rsid w:val="00591324"/>
    <w:rsid w:val="00591341"/>
    <w:rsid w:val="005913C9"/>
    <w:rsid w:val="005913F4"/>
    <w:rsid w:val="0059166D"/>
    <w:rsid w:val="005916B2"/>
    <w:rsid w:val="005916EA"/>
    <w:rsid w:val="00591746"/>
    <w:rsid w:val="00591BE9"/>
    <w:rsid w:val="00591C99"/>
    <w:rsid w:val="00591E67"/>
    <w:rsid w:val="00591EF0"/>
    <w:rsid w:val="00591F42"/>
    <w:rsid w:val="00591FE5"/>
    <w:rsid w:val="0059211A"/>
    <w:rsid w:val="00592379"/>
    <w:rsid w:val="0059244C"/>
    <w:rsid w:val="005924F9"/>
    <w:rsid w:val="005925A4"/>
    <w:rsid w:val="005925C9"/>
    <w:rsid w:val="005925E8"/>
    <w:rsid w:val="005925F7"/>
    <w:rsid w:val="005929C5"/>
    <w:rsid w:val="00592ADC"/>
    <w:rsid w:val="00592AEF"/>
    <w:rsid w:val="00592D4F"/>
    <w:rsid w:val="00592D8B"/>
    <w:rsid w:val="00592FE2"/>
    <w:rsid w:val="0059301A"/>
    <w:rsid w:val="00593073"/>
    <w:rsid w:val="00593128"/>
    <w:rsid w:val="005931F0"/>
    <w:rsid w:val="005933A2"/>
    <w:rsid w:val="0059341E"/>
    <w:rsid w:val="00593451"/>
    <w:rsid w:val="0059354E"/>
    <w:rsid w:val="005935A5"/>
    <w:rsid w:val="005938E1"/>
    <w:rsid w:val="00593CD2"/>
    <w:rsid w:val="00593CE4"/>
    <w:rsid w:val="00593DBE"/>
    <w:rsid w:val="00593E73"/>
    <w:rsid w:val="00593F5A"/>
    <w:rsid w:val="00593F6B"/>
    <w:rsid w:val="005940C2"/>
    <w:rsid w:val="0059416C"/>
    <w:rsid w:val="005941AB"/>
    <w:rsid w:val="0059420C"/>
    <w:rsid w:val="005943B8"/>
    <w:rsid w:val="005943B9"/>
    <w:rsid w:val="0059445D"/>
    <w:rsid w:val="005945EE"/>
    <w:rsid w:val="00594678"/>
    <w:rsid w:val="005947AA"/>
    <w:rsid w:val="00594832"/>
    <w:rsid w:val="00594B8C"/>
    <w:rsid w:val="00594B99"/>
    <w:rsid w:val="00594BB9"/>
    <w:rsid w:val="00594C17"/>
    <w:rsid w:val="00594C1A"/>
    <w:rsid w:val="00594D03"/>
    <w:rsid w:val="00594D13"/>
    <w:rsid w:val="00594D43"/>
    <w:rsid w:val="00594E80"/>
    <w:rsid w:val="00594F35"/>
    <w:rsid w:val="00594F96"/>
    <w:rsid w:val="00594FC5"/>
    <w:rsid w:val="00595128"/>
    <w:rsid w:val="0059526E"/>
    <w:rsid w:val="0059531F"/>
    <w:rsid w:val="005953EB"/>
    <w:rsid w:val="00595480"/>
    <w:rsid w:val="00595494"/>
    <w:rsid w:val="005954D4"/>
    <w:rsid w:val="005954FB"/>
    <w:rsid w:val="00595575"/>
    <w:rsid w:val="00595AB3"/>
    <w:rsid w:val="00595CCB"/>
    <w:rsid w:val="00595D29"/>
    <w:rsid w:val="0059633D"/>
    <w:rsid w:val="005969BF"/>
    <w:rsid w:val="00596A08"/>
    <w:rsid w:val="00596B14"/>
    <w:rsid w:val="00596CE4"/>
    <w:rsid w:val="00596DAA"/>
    <w:rsid w:val="00596EE6"/>
    <w:rsid w:val="00596F0A"/>
    <w:rsid w:val="00596FA1"/>
    <w:rsid w:val="00596FC7"/>
    <w:rsid w:val="00597093"/>
    <w:rsid w:val="0059740F"/>
    <w:rsid w:val="005974CF"/>
    <w:rsid w:val="005974DD"/>
    <w:rsid w:val="005976B0"/>
    <w:rsid w:val="005977CE"/>
    <w:rsid w:val="005977F2"/>
    <w:rsid w:val="00597832"/>
    <w:rsid w:val="00597845"/>
    <w:rsid w:val="00597A26"/>
    <w:rsid w:val="00597B0A"/>
    <w:rsid w:val="00597C7B"/>
    <w:rsid w:val="00597CC6"/>
    <w:rsid w:val="00597DDD"/>
    <w:rsid w:val="00597E72"/>
    <w:rsid w:val="00597F17"/>
    <w:rsid w:val="005A00AA"/>
    <w:rsid w:val="005A01F7"/>
    <w:rsid w:val="005A0337"/>
    <w:rsid w:val="005A034C"/>
    <w:rsid w:val="005A0384"/>
    <w:rsid w:val="005A08E0"/>
    <w:rsid w:val="005A08FF"/>
    <w:rsid w:val="005A09B9"/>
    <w:rsid w:val="005A0CB1"/>
    <w:rsid w:val="005A0D81"/>
    <w:rsid w:val="005A0E43"/>
    <w:rsid w:val="005A0FF6"/>
    <w:rsid w:val="005A1010"/>
    <w:rsid w:val="005A110C"/>
    <w:rsid w:val="005A1145"/>
    <w:rsid w:val="005A1272"/>
    <w:rsid w:val="005A1364"/>
    <w:rsid w:val="005A1428"/>
    <w:rsid w:val="005A143B"/>
    <w:rsid w:val="005A1514"/>
    <w:rsid w:val="005A1547"/>
    <w:rsid w:val="005A1578"/>
    <w:rsid w:val="005A157C"/>
    <w:rsid w:val="005A15BE"/>
    <w:rsid w:val="005A1638"/>
    <w:rsid w:val="005A16AA"/>
    <w:rsid w:val="005A16E4"/>
    <w:rsid w:val="005A1770"/>
    <w:rsid w:val="005A17CC"/>
    <w:rsid w:val="005A182D"/>
    <w:rsid w:val="005A193D"/>
    <w:rsid w:val="005A19F6"/>
    <w:rsid w:val="005A1A7A"/>
    <w:rsid w:val="005A1A9C"/>
    <w:rsid w:val="005A1B11"/>
    <w:rsid w:val="005A1D04"/>
    <w:rsid w:val="005A1E02"/>
    <w:rsid w:val="005A1E5A"/>
    <w:rsid w:val="005A1E7C"/>
    <w:rsid w:val="005A1E99"/>
    <w:rsid w:val="005A1ED3"/>
    <w:rsid w:val="005A1EF0"/>
    <w:rsid w:val="005A1FEE"/>
    <w:rsid w:val="005A2038"/>
    <w:rsid w:val="005A21A4"/>
    <w:rsid w:val="005A239C"/>
    <w:rsid w:val="005A2489"/>
    <w:rsid w:val="005A2555"/>
    <w:rsid w:val="005A2577"/>
    <w:rsid w:val="005A26A0"/>
    <w:rsid w:val="005A26CC"/>
    <w:rsid w:val="005A2948"/>
    <w:rsid w:val="005A29F3"/>
    <w:rsid w:val="005A2ACA"/>
    <w:rsid w:val="005A2C05"/>
    <w:rsid w:val="005A2DDD"/>
    <w:rsid w:val="005A2E0B"/>
    <w:rsid w:val="005A2E32"/>
    <w:rsid w:val="005A30DB"/>
    <w:rsid w:val="005A30DD"/>
    <w:rsid w:val="005A312C"/>
    <w:rsid w:val="005A3248"/>
    <w:rsid w:val="005A33B1"/>
    <w:rsid w:val="005A344B"/>
    <w:rsid w:val="005A348F"/>
    <w:rsid w:val="005A34C0"/>
    <w:rsid w:val="005A353E"/>
    <w:rsid w:val="005A3610"/>
    <w:rsid w:val="005A3647"/>
    <w:rsid w:val="005A36A6"/>
    <w:rsid w:val="005A37D6"/>
    <w:rsid w:val="005A39A4"/>
    <w:rsid w:val="005A3ABE"/>
    <w:rsid w:val="005A3E88"/>
    <w:rsid w:val="005A3ED7"/>
    <w:rsid w:val="005A3FB8"/>
    <w:rsid w:val="005A3FEC"/>
    <w:rsid w:val="005A4174"/>
    <w:rsid w:val="005A4447"/>
    <w:rsid w:val="005A4460"/>
    <w:rsid w:val="005A45D4"/>
    <w:rsid w:val="005A47C7"/>
    <w:rsid w:val="005A485C"/>
    <w:rsid w:val="005A48F5"/>
    <w:rsid w:val="005A499A"/>
    <w:rsid w:val="005A4A26"/>
    <w:rsid w:val="005A4DDF"/>
    <w:rsid w:val="005A4E2C"/>
    <w:rsid w:val="005A4EC7"/>
    <w:rsid w:val="005A4EE7"/>
    <w:rsid w:val="005A4EFF"/>
    <w:rsid w:val="005A4F57"/>
    <w:rsid w:val="005A4FD3"/>
    <w:rsid w:val="005A506B"/>
    <w:rsid w:val="005A5362"/>
    <w:rsid w:val="005A54EB"/>
    <w:rsid w:val="005A5776"/>
    <w:rsid w:val="005A5808"/>
    <w:rsid w:val="005A5C0F"/>
    <w:rsid w:val="005A5C9C"/>
    <w:rsid w:val="005A5CC1"/>
    <w:rsid w:val="005A5E52"/>
    <w:rsid w:val="005A5ED2"/>
    <w:rsid w:val="005A5EE3"/>
    <w:rsid w:val="005A5F07"/>
    <w:rsid w:val="005A61C2"/>
    <w:rsid w:val="005A624F"/>
    <w:rsid w:val="005A62B1"/>
    <w:rsid w:val="005A6337"/>
    <w:rsid w:val="005A6389"/>
    <w:rsid w:val="005A658B"/>
    <w:rsid w:val="005A6610"/>
    <w:rsid w:val="005A6714"/>
    <w:rsid w:val="005A6757"/>
    <w:rsid w:val="005A688B"/>
    <w:rsid w:val="005A6919"/>
    <w:rsid w:val="005A693E"/>
    <w:rsid w:val="005A6B2F"/>
    <w:rsid w:val="005A6C60"/>
    <w:rsid w:val="005A6D6F"/>
    <w:rsid w:val="005A6E10"/>
    <w:rsid w:val="005A6F74"/>
    <w:rsid w:val="005A71C8"/>
    <w:rsid w:val="005A7343"/>
    <w:rsid w:val="005A7391"/>
    <w:rsid w:val="005A7542"/>
    <w:rsid w:val="005A7669"/>
    <w:rsid w:val="005A7683"/>
    <w:rsid w:val="005A76B6"/>
    <w:rsid w:val="005A79D6"/>
    <w:rsid w:val="005A7A8A"/>
    <w:rsid w:val="005A7BD4"/>
    <w:rsid w:val="005A7C5A"/>
    <w:rsid w:val="005A7C6F"/>
    <w:rsid w:val="005A7C89"/>
    <w:rsid w:val="005A7D09"/>
    <w:rsid w:val="005A7D9D"/>
    <w:rsid w:val="005A7DA1"/>
    <w:rsid w:val="005A7E18"/>
    <w:rsid w:val="005B0206"/>
    <w:rsid w:val="005B042B"/>
    <w:rsid w:val="005B07C8"/>
    <w:rsid w:val="005B083D"/>
    <w:rsid w:val="005B08ED"/>
    <w:rsid w:val="005B09A6"/>
    <w:rsid w:val="005B0C18"/>
    <w:rsid w:val="005B0CA2"/>
    <w:rsid w:val="005B0D07"/>
    <w:rsid w:val="005B0D5B"/>
    <w:rsid w:val="005B0E91"/>
    <w:rsid w:val="005B0EB2"/>
    <w:rsid w:val="005B10FB"/>
    <w:rsid w:val="005B1140"/>
    <w:rsid w:val="005B117B"/>
    <w:rsid w:val="005B1273"/>
    <w:rsid w:val="005B1350"/>
    <w:rsid w:val="005B1419"/>
    <w:rsid w:val="005B1421"/>
    <w:rsid w:val="005B1426"/>
    <w:rsid w:val="005B142B"/>
    <w:rsid w:val="005B15BC"/>
    <w:rsid w:val="005B1616"/>
    <w:rsid w:val="005B168A"/>
    <w:rsid w:val="005B177F"/>
    <w:rsid w:val="005B1851"/>
    <w:rsid w:val="005B1A5E"/>
    <w:rsid w:val="005B1C4E"/>
    <w:rsid w:val="005B1C53"/>
    <w:rsid w:val="005B1DB4"/>
    <w:rsid w:val="005B1E69"/>
    <w:rsid w:val="005B1EB6"/>
    <w:rsid w:val="005B20A6"/>
    <w:rsid w:val="005B216F"/>
    <w:rsid w:val="005B2397"/>
    <w:rsid w:val="005B23FB"/>
    <w:rsid w:val="005B2491"/>
    <w:rsid w:val="005B2578"/>
    <w:rsid w:val="005B2599"/>
    <w:rsid w:val="005B26AE"/>
    <w:rsid w:val="005B2707"/>
    <w:rsid w:val="005B2A1A"/>
    <w:rsid w:val="005B2B09"/>
    <w:rsid w:val="005B2CF4"/>
    <w:rsid w:val="005B2F11"/>
    <w:rsid w:val="005B2FE8"/>
    <w:rsid w:val="005B3096"/>
    <w:rsid w:val="005B3182"/>
    <w:rsid w:val="005B31E1"/>
    <w:rsid w:val="005B321B"/>
    <w:rsid w:val="005B32D7"/>
    <w:rsid w:val="005B3342"/>
    <w:rsid w:val="005B336E"/>
    <w:rsid w:val="005B3422"/>
    <w:rsid w:val="005B34CD"/>
    <w:rsid w:val="005B3564"/>
    <w:rsid w:val="005B35BB"/>
    <w:rsid w:val="005B36F4"/>
    <w:rsid w:val="005B3832"/>
    <w:rsid w:val="005B399F"/>
    <w:rsid w:val="005B3A56"/>
    <w:rsid w:val="005B3CF0"/>
    <w:rsid w:val="005B3D31"/>
    <w:rsid w:val="005B3D4E"/>
    <w:rsid w:val="005B3FBD"/>
    <w:rsid w:val="005B40F3"/>
    <w:rsid w:val="005B4132"/>
    <w:rsid w:val="005B4171"/>
    <w:rsid w:val="005B41C1"/>
    <w:rsid w:val="005B438C"/>
    <w:rsid w:val="005B43D3"/>
    <w:rsid w:val="005B47B0"/>
    <w:rsid w:val="005B4836"/>
    <w:rsid w:val="005B486D"/>
    <w:rsid w:val="005B4949"/>
    <w:rsid w:val="005B4968"/>
    <w:rsid w:val="005B4AAC"/>
    <w:rsid w:val="005B4AB8"/>
    <w:rsid w:val="005B4B1E"/>
    <w:rsid w:val="005B4B24"/>
    <w:rsid w:val="005B4C75"/>
    <w:rsid w:val="005B4DF3"/>
    <w:rsid w:val="005B4E25"/>
    <w:rsid w:val="005B4E76"/>
    <w:rsid w:val="005B4FA6"/>
    <w:rsid w:val="005B50C7"/>
    <w:rsid w:val="005B515E"/>
    <w:rsid w:val="005B517F"/>
    <w:rsid w:val="005B51B1"/>
    <w:rsid w:val="005B5559"/>
    <w:rsid w:val="005B5863"/>
    <w:rsid w:val="005B58AB"/>
    <w:rsid w:val="005B59FA"/>
    <w:rsid w:val="005B5B48"/>
    <w:rsid w:val="005B5CEC"/>
    <w:rsid w:val="005B5EB9"/>
    <w:rsid w:val="005B5F0B"/>
    <w:rsid w:val="005B6168"/>
    <w:rsid w:val="005B619F"/>
    <w:rsid w:val="005B6211"/>
    <w:rsid w:val="005B62D8"/>
    <w:rsid w:val="005B6319"/>
    <w:rsid w:val="005B6458"/>
    <w:rsid w:val="005B6475"/>
    <w:rsid w:val="005B6485"/>
    <w:rsid w:val="005B6636"/>
    <w:rsid w:val="005B668C"/>
    <w:rsid w:val="005B6708"/>
    <w:rsid w:val="005B6AE9"/>
    <w:rsid w:val="005B6C51"/>
    <w:rsid w:val="005B6CCD"/>
    <w:rsid w:val="005B6D7F"/>
    <w:rsid w:val="005B6DE8"/>
    <w:rsid w:val="005B6E70"/>
    <w:rsid w:val="005B6F3A"/>
    <w:rsid w:val="005B714A"/>
    <w:rsid w:val="005B73AE"/>
    <w:rsid w:val="005B7729"/>
    <w:rsid w:val="005B7740"/>
    <w:rsid w:val="005B77A8"/>
    <w:rsid w:val="005B780B"/>
    <w:rsid w:val="005B7A12"/>
    <w:rsid w:val="005B7B9D"/>
    <w:rsid w:val="005B7CB2"/>
    <w:rsid w:val="005B7DA5"/>
    <w:rsid w:val="005B7E2D"/>
    <w:rsid w:val="005B7F08"/>
    <w:rsid w:val="005B7F19"/>
    <w:rsid w:val="005C006F"/>
    <w:rsid w:val="005C0139"/>
    <w:rsid w:val="005C0203"/>
    <w:rsid w:val="005C020E"/>
    <w:rsid w:val="005C027E"/>
    <w:rsid w:val="005C02E5"/>
    <w:rsid w:val="005C0323"/>
    <w:rsid w:val="005C0341"/>
    <w:rsid w:val="005C0374"/>
    <w:rsid w:val="005C0621"/>
    <w:rsid w:val="005C0634"/>
    <w:rsid w:val="005C0698"/>
    <w:rsid w:val="005C0703"/>
    <w:rsid w:val="005C096F"/>
    <w:rsid w:val="005C0A38"/>
    <w:rsid w:val="005C0BCD"/>
    <w:rsid w:val="005C0D28"/>
    <w:rsid w:val="005C0DD3"/>
    <w:rsid w:val="005C0DF5"/>
    <w:rsid w:val="005C0E09"/>
    <w:rsid w:val="005C10F9"/>
    <w:rsid w:val="005C12FB"/>
    <w:rsid w:val="005C1317"/>
    <w:rsid w:val="005C13BA"/>
    <w:rsid w:val="005C13D5"/>
    <w:rsid w:val="005C1567"/>
    <w:rsid w:val="005C15A7"/>
    <w:rsid w:val="005C1793"/>
    <w:rsid w:val="005C1AF6"/>
    <w:rsid w:val="005C1B54"/>
    <w:rsid w:val="005C1B6B"/>
    <w:rsid w:val="005C1B97"/>
    <w:rsid w:val="005C1C0A"/>
    <w:rsid w:val="005C1C53"/>
    <w:rsid w:val="005C1CE9"/>
    <w:rsid w:val="005C1D39"/>
    <w:rsid w:val="005C20E7"/>
    <w:rsid w:val="005C21FE"/>
    <w:rsid w:val="005C229A"/>
    <w:rsid w:val="005C22E9"/>
    <w:rsid w:val="005C248E"/>
    <w:rsid w:val="005C253B"/>
    <w:rsid w:val="005C25B6"/>
    <w:rsid w:val="005C25B9"/>
    <w:rsid w:val="005C265B"/>
    <w:rsid w:val="005C26F0"/>
    <w:rsid w:val="005C2A12"/>
    <w:rsid w:val="005C2E72"/>
    <w:rsid w:val="005C32FB"/>
    <w:rsid w:val="005C3367"/>
    <w:rsid w:val="005C3634"/>
    <w:rsid w:val="005C3655"/>
    <w:rsid w:val="005C368E"/>
    <w:rsid w:val="005C3806"/>
    <w:rsid w:val="005C3825"/>
    <w:rsid w:val="005C3830"/>
    <w:rsid w:val="005C38A3"/>
    <w:rsid w:val="005C38BC"/>
    <w:rsid w:val="005C393C"/>
    <w:rsid w:val="005C3B40"/>
    <w:rsid w:val="005C3E5C"/>
    <w:rsid w:val="005C3F8C"/>
    <w:rsid w:val="005C4418"/>
    <w:rsid w:val="005C4431"/>
    <w:rsid w:val="005C44D3"/>
    <w:rsid w:val="005C4691"/>
    <w:rsid w:val="005C476B"/>
    <w:rsid w:val="005C478D"/>
    <w:rsid w:val="005C479C"/>
    <w:rsid w:val="005C48C8"/>
    <w:rsid w:val="005C48E9"/>
    <w:rsid w:val="005C493F"/>
    <w:rsid w:val="005C4A4D"/>
    <w:rsid w:val="005C4BEE"/>
    <w:rsid w:val="005C4D96"/>
    <w:rsid w:val="005C4EAA"/>
    <w:rsid w:val="005C50E3"/>
    <w:rsid w:val="005C5146"/>
    <w:rsid w:val="005C51C0"/>
    <w:rsid w:val="005C544E"/>
    <w:rsid w:val="005C56B2"/>
    <w:rsid w:val="005C57C1"/>
    <w:rsid w:val="005C5A7F"/>
    <w:rsid w:val="005C5AB3"/>
    <w:rsid w:val="005C5B01"/>
    <w:rsid w:val="005C5BE8"/>
    <w:rsid w:val="005C5F0F"/>
    <w:rsid w:val="005C5F4B"/>
    <w:rsid w:val="005C5FAB"/>
    <w:rsid w:val="005C6104"/>
    <w:rsid w:val="005C623C"/>
    <w:rsid w:val="005C64BE"/>
    <w:rsid w:val="005C6881"/>
    <w:rsid w:val="005C6903"/>
    <w:rsid w:val="005C6936"/>
    <w:rsid w:val="005C693F"/>
    <w:rsid w:val="005C6AA1"/>
    <w:rsid w:val="005C6ACD"/>
    <w:rsid w:val="005C6B19"/>
    <w:rsid w:val="005C6BDB"/>
    <w:rsid w:val="005C6D24"/>
    <w:rsid w:val="005C6D69"/>
    <w:rsid w:val="005C6DA0"/>
    <w:rsid w:val="005C6E01"/>
    <w:rsid w:val="005C6F4E"/>
    <w:rsid w:val="005C6FCA"/>
    <w:rsid w:val="005C70A6"/>
    <w:rsid w:val="005C7327"/>
    <w:rsid w:val="005C734B"/>
    <w:rsid w:val="005C73C3"/>
    <w:rsid w:val="005C73F1"/>
    <w:rsid w:val="005C74BE"/>
    <w:rsid w:val="005C74C8"/>
    <w:rsid w:val="005C752F"/>
    <w:rsid w:val="005C7578"/>
    <w:rsid w:val="005C7914"/>
    <w:rsid w:val="005C7A31"/>
    <w:rsid w:val="005C7B7E"/>
    <w:rsid w:val="005D001B"/>
    <w:rsid w:val="005D01E1"/>
    <w:rsid w:val="005D027C"/>
    <w:rsid w:val="005D02C1"/>
    <w:rsid w:val="005D02DE"/>
    <w:rsid w:val="005D03F3"/>
    <w:rsid w:val="005D0524"/>
    <w:rsid w:val="005D06B5"/>
    <w:rsid w:val="005D0794"/>
    <w:rsid w:val="005D07C6"/>
    <w:rsid w:val="005D09EE"/>
    <w:rsid w:val="005D0B70"/>
    <w:rsid w:val="005D0E96"/>
    <w:rsid w:val="005D120A"/>
    <w:rsid w:val="005D145B"/>
    <w:rsid w:val="005D147F"/>
    <w:rsid w:val="005D157D"/>
    <w:rsid w:val="005D168D"/>
    <w:rsid w:val="005D16D1"/>
    <w:rsid w:val="005D16D4"/>
    <w:rsid w:val="005D1728"/>
    <w:rsid w:val="005D182E"/>
    <w:rsid w:val="005D1892"/>
    <w:rsid w:val="005D19DB"/>
    <w:rsid w:val="005D1A07"/>
    <w:rsid w:val="005D1A08"/>
    <w:rsid w:val="005D1A35"/>
    <w:rsid w:val="005D1A52"/>
    <w:rsid w:val="005D1ACA"/>
    <w:rsid w:val="005D1C90"/>
    <w:rsid w:val="005D1D2B"/>
    <w:rsid w:val="005D1DA0"/>
    <w:rsid w:val="005D1DAF"/>
    <w:rsid w:val="005D1E4B"/>
    <w:rsid w:val="005D1E73"/>
    <w:rsid w:val="005D1EF4"/>
    <w:rsid w:val="005D1F90"/>
    <w:rsid w:val="005D1F9A"/>
    <w:rsid w:val="005D2078"/>
    <w:rsid w:val="005D2085"/>
    <w:rsid w:val="005D2160"/>
    <w:rsid w:val="005D2274"/>
    <w:rsid w:val="005D227F"/>
    <w:rsid w:val="005D22BF"/>
    <w:rsid w:val="005D23C1"/>
    <w:rsid w:val="005D244F"/>
    <w:rsid w:val="005D256E"/>
    <w:rsid w:val="005D278D"/>
    <w:rsid w:val="005D2954"/>
    <w:rsid w:val="005D29A5"/>
    <w:rsid w:val="005D2A31"/>
    <w:rsid w:val="005D2BEC"/>
    <w:rsid w:val="005D3092"/>
    <w:rsid w:val="005D3264"/>
    <w:rsid w:val="005D32F8"/>
    <w:rsid w:val="005D3539"/>
    <w:rsid w:val="005D362F"/>
    <w:rsid w:val="005D3770"/>
    <w:rsid w:val="005D39CF"/>
    <w:rsid w:val="005D3A77"/>
    <w:rsid w:val="005D3ABB"/>
    <w:rsid w:val="005D3AE7"/>
    <w:rsid w:val="005D3C68"/>
    <w:rsid w:val="005D3C7B"/>
    <w:rsid w:val="005D3DB5"/>
    <w:rsid w:val="005D3EC2"/>
    <w:rsid w:val="005D4013"/>
    <w:rsid w:val="005D428F"/>
    <w:rsid w:val="005D43C4"/>
    <w:rsid w:val="005D463C"/>
    <w:rsid w:val="005D46A3"/>
    <w:rsid w:val="005D472B"/>
    <w:rsid w:val="005D4776"/>
    <w:rsid w:val="005D497A"/>
    <w:rsid w:val="005D49B1"/>
    <w:rsid w:val="005D4C8F"/>
    <w:rsid w:val="005D4CE3"/>
    <w:rsid w:val="005D4D89"/>
    <w:rsid w:val="005D4E80"/>
    <w:rsid w:val="005D4E8E"/>
    <w:rsid w:val="005D4FA5"/>
    <w:rsid w:val="005D4FE8"/>
    <w:rsid w:val="005D5013"/>
    <w:rsid w:val="005D50DA"/>
    <w:rsid w:val="005D532D"/>
    <w:rsid w:val="005D54BE"/>
    <w:rsid w:val="005D54BF"/>
    <w:rsid w:val="005D55CA"/>
    <w:rsid w:val="005D56B8"/>
    <w:rsid w:val="005D58ED"/>
    <w:rsid w:val="005D5910"/>
    <w:rsid w:val="005D5956"/>
    <w:rsid w:val="005D59AB"/>
    <w:rsid w:val="005D5A54"/>
    <w:rsid w:val="005D5C4E"/>
    <w:rsid w:val="005D5C8A"/>
    <w:rsid w:val="005D5CC4"/>
    <w:rsid w:val="005D5D8A"/>
    <w:rsid w:val="005D5ECC"/>
    <w:rsid w:val="005D6004"/>
    <w:rsid w:val="005D626D"/>
    <w:rsid w:val="005D6318"/>
    <w:rsid w:val="005D6325"/>
    <w:rsid w:val="005D6359"/>
    <w:rsid w:val="005D6879"/>
    <w:rsid w:val="005D6898"/>
    <w:rsid w:val="005D6A4D"/>
    <w:rsid w:val="005D6A98"/>
    <w:rsid w:val="005D6BF8"/>
    <w:rsid w:val="005D6C37"/>
    <w:rsid w:val="005D6CF1"/>
    <w:rsid w:val="005D6CFB"/>
    <w:rsid w:val="005D6D9B"/>
    <w:rsid w:val="005D7016"/>
    <w:rsid w:val="005D70C0"/>
    <w:rsid w:val="005D7104"/>
    <w:rsid w:val="005D71A2"/>
    <w:rsid w:val="005D7265"/>
    <w:rsid w:val="005D7547"/>
    <w:rsid w:val="005D78B4"/>
    <w:rsid w:val="005D79B5"/>
    <w:rsid w:val="005D79E5"/>
    <w:rsid w:val="005D7A1E"/>
    <w:rsid w:val="005D7A8C"/>
    <w:rsid w:val="005D7B8B"/>
    <w:rsid w:val="005E0014"/>
    <w:rsid w:val="005E00E9"/>
    <w:rsid w:val="005E020F"/>
    <w:rsid w:val="005E044D"/>
    <w:rsid w:val="005E05A0"/>
    <w:rsid w:val="005E093A"/>
    <w:rsid w:val="005E0BE1"/>
    <w:rsid w:val="005E0CF9"/>
    <w:rsid w:val="005E0D01"/>
    <w:rsid w:val="005E0D9F"/>
    <w:rsid w:val="005E0F76"/>
    <w:rsid w:val="005E0F86"/>
    <w:rsid w:val="005E105E"/>
    <w:rsid w:val="005E10BE"/>
    <w:rsid w:val="005E12F1"/>
    <w:rsid w:val="005E15B6"/>
    <w:rsid w:val="005E1A3F"/>
    <w:rsid w:val="005E1A69"/>
    <w:rsid w:val="005E1B4C"/>
    <w:rsid w:val="005E1B90"/>
    <w:rsid w:val="005E1D26"/>
    <w:rsid w:val="005E1D75"/>
    <w:rsid w:val="005E2134"/>
    <w:rsid w:val="005E247D"/>
    <w:rsid w:val="005E2647"/>
    <w:rsid w:val="005E26F7"/>
    <w:rsid w:val="005E2701"/>
    <w:rsid w:val="005E2991"/>
    <w:rsid w:val="005E29C4"/>
    <w:rsid w:val="005E2A62"/>
    <w:rsid w:val="005E2CE2"/>
    <w:rsid w:val="005E3011"/>
    <w:rsid w:val="005E3116"/>
    <w:rsid w:val="005E33CC"/>
    <w:rsid w:val="005E341B"/>
    <w:rsid w:val="005E342E"/>
    <w:rsid w:val="005E3447"/>
    <w:rsid w:val="005E3501"/>
    <w:rsid w:val="005E35CF"/>
    <w:rsid w:val="005E363B"/>
    <w:rsid w:val="005E375A"/>
    <w:rsid w:val="005E37B6"/>
    <w:rsid w:val="005E382E"/>
    <w:rsid w:val="005E39EC"/>
    <w:rsid w:val="005E43CB"/>
    <w:rsid w:val="005E43FD"/>
    <w:rsid w:val="005E4536"/>
    <w:rsid w:val="005E465E"/>
    <w:rsid w:val="005E473B"/>
    <w:rsid w:val="005E4807"/>
    <w:rsid w:val="005E48C1"/>
    <w:rsid w:val="005E48F5"/>
    <w:rsid w:val="005E4951"/>
    <w:rsid w:val="005E4A6B"/>
    <w:rsid w:val="005E4B0F"/>
    <w:rsid w:val="005E4B55"/>
    <w:rsid w:val="005E4C98"/>
    <w:rsid w:val="005E4CCC"/>
    <w:rsid w:val="005E4D27"/>
    <w:rsid w:val="005E4F06"/>
    <w:rsid w:val="005E5025"/>
    <w:rsid w:val="005E5049"/>
    <w:rsid w:val="005E5152"/>
    <w:rsid w:val="005E51F3"/>
    <w:rsid w:val="005E5391"/>
    <w:rsid w:val="005E53C8"/>
    <w:rsid w:val="005E54A0"/>
    <w:rsid w:val="005E5537"/>
    <w:rsid w:val="005E563A"/>
    <w:rsid w:val="005E5651"/>
    <w:rsid w:val="005E5808"/>
    <w:rsid w:val="005E580A"/>
    <w:rsid w:val="005E5892"/>
    <w:rsid w:val="005E5A2C"/>
    <w:rsid w:val="005E5B1E"/>
    <w:rsid w:val="005E5F94"/>
    <w:rsid w:val="005E6239"/>
    <w:rsid w:val="005E6264"/>
    <w:rsid w:val="005E63C9"/>
    <w:rsid w:val="005E6767"/>
    <w:rsid w:val="005E67C8"/>
    <w:rsid w:val="005E6889"/>
    <w:rsid w:val="005E697E"/>
    <w:rsid w:val="005E69EE"/>
    <w:rsid w:val="005E6BA7"/>
    <w:rsid w:val="005E6E3D"/>
    <w:rsid w:val="005E6EEA"/>
    <w:rsid w:val="005E6EF4"/>
    <w:rsid w:val="005E7042"/>
    <w:rsid w:val="005E7051"/>
    <w:rsid w:val="005E7075"/>
    <w:rsid w:val="005E70B8"/>
    <w:rsid w:val="005E731B"/>
    <w:rsid w:val="005E733F"/>
    <w:rsid w:val="005E751F"/>
    <w:rsid w:val="005E7557"/>
    <w:rsid w:val="005E7592"/>
    <w:rsid w:val="005E7593"/>
    <w:rsid w:val="005E78B1"/>
    <w:rsid w:val="005E7ADF"/>
    <w:rsid w:val="005E7B07"/>
    <w:rsid w:val="005E7B09"/>
    <w:rsid w:val="005E7C6C"/>
    <w:rsid w:val="005E7CD2"/>
    <w:rsid w:val="005E7D20"/>
    <w:rsid w:val="005E7EEA"/>
    <w:rsid w:val="005E7FB7"/>
    <w:rsid w:val="005E7FDF"/>
    <w:rsid w:val="005E7FE0"/>
    <w:rsid w:val="005F000B"/>
    <w:rsid w:val="005F006A"/>
    <w:rsid w:val="005F0165"/>
    <w:rsid w:val="005F0232"/>
    <w:rsid w:val="005F0327"/>
    <w:rsid w:val="005F038E"/>
    <w:rsid w:val="005F0596"/>
    <w:rsid w:val="005F0643"/>
    <w:rsid w:val="005F067A"/>
    <w:rsid w:val="005F069B"/>
    <w:rsid w:val="005F07B8"/>
    <w:rsid w:val="005F082F"/>
    <w:rsid w:val="005F08C6"/>
    <w:rsid w:val="005F0948"/>
    <w:rsid w:val="005F09EC"/>
    <w:rsid w:val="005F0A67"/>
    <w:rsid w:val="005F0CAA"/>
    <w:rsid w:val="005F0E6F"/>
    <w:rsid w:val="005F0E97"/>
    <w:rsid w:val="005F0EDD"/>
    <w:rsid w:val="005F0F1C"/>
    <w:rsid w:val="005F0FF0"/>
    <w:rsid w:val="005F117E"/>
    <w:rsid w:val="005F1457"/>
    <w:rsid w:val="005F147C"/>
    <w:rsid w:val="005F15CB"/>
    <w:rsid w:val="005F1601"/>
    <w:rsid w:val="005F1655"/>
    <w:rsid w:val="005F172B"/>
    <w:rsid w:val="005F1822"/>
    <w:rsid w:val="005F1997"/>
    <w:rsid w:val="005F19B9"/>
    <w:rsid w:val="005F1BF0"/>
    <w:rsid w:val="005F1C04"/>
    <w:rsid w:val="005F1D96"/>
    <w:rsid w:val="005F1DAB"/>
    <w:rsid w:val="005F1FC7"/>
    <w:rsid w:val="005F2028"/>
    <w:rsid w:val="005F2046"/>
    <w:rsid w:val="005F2099"/>
    <w:rsid w:val="005F21C6"/>
    <w:rsid w:val="005F2212"/>
    <w:rsid w:val="005F2228"/>
    <w:rsid w:val="005F232C"/>
    <w:rsid w:val="005F2394"/>
    <w:rsid w:val="005F25F6"/>
    <w:rsid w:val="005F261C"/>
    <w:rsid w:val="005F26E3"/>
    <w:rsid w:val="005F279E"/>
    <w:rsid w:val="005F27DB"/>
    <w:rsid w:val="005F29A3"/>
    <w:rsid w:val="005F2A2F"/>
    <w:rsid w:val="005F2A5E"/>
    <w:rsid w:val="005F2A97"/>
    <w:rsid w:val="005F2BE3"/>
    <w:rsid w:val="005F2D35"/>
    <w:rsid w:val="005F2E41"/>
    <w:rsid w:val="005F2FCB"/>
    <w:rsid w:val="005F31F7"/>
    <w:rsid w:val="005F3266"/>
    <w:rsid w:val="005F32A6"/>
    <w:rsid w:val="005F33C1"/>
    <w:rsid w:val="005F33E4"/>
    <w:rsid w:val="005F3479"/>
    <w:rsid w:val="005F3762"/>
    <w:rsid w:val="005F3A41"/>
    <w:rsid w:val="005F3C41"/>
    <w:rsid w:val="005F3C4C"/>
    <w:rsid w:val="005F3E41"/>
    <w:rsid w:val="005F3E5A"/>
    <w:rsid w:val="005F3E6A"/>
    <w:rsid w:val="005F3FFC"/>
    <w:rsid w:val="005F4008"/>
    <w:rsid w:val="005F430A"/>
    <w:rsid w:val="005F435F"/>
    <w:rsid w:val="005F444A"/>
    <w:rsid w:val="005F4469"/>
    <w:rsid w:val="005F45D3"/>
    <w:rsid w:val="005F46DC"/>
    <w:rsid w:val="005F4836"/>
    <w:rsid w:val="005F484F"/>
    <w:rsid w:val="005F4962"/>
    <w:rsid w:val="005F4A7D"/>
    <w:rsid w:val="005F4AD1"/>
    <w:rsid w:val="005F4B78"/>
    <w:rsid w:val="005F4D8F"/>
    <w:rsid w:val="005F4F63"/>
    <w:rsid w:val="005F4FCA"/>
    <w:rsid w:val="005F5108"/>
    <w:rsid w:val="005F5174"/>
    <w:rsid w:val="005F51BF"/>
    <w:rsid w:val="005F51D7"/>
    <w:rsid w:val="005F53E7"/>
    <w:rsid w:val="005F57C1"/>
    <w:rsid w:val="005F58BD"/>
    <w:rsid w:val="005F58FA"/>
    <w:rsid w:val="005F5AD4"/>
    <w:rsid w:val="005F5BA9"/>
    <w:rsid w:val="005F5BDF"/>
    <w:rsid w:val="005F5C3E"/>
    <w:rsid w:val="005F5D53"/>
    <w:rsid w:val="005F5EF1"/>
    <w:rsid w:val="005F5FB1"/>
    <w:rsid w:val="005F6010"/>
    <w:rsid w:val="005F6021"/>
    <w:rsid w:val="005F6270"/>
    <w:rsid w:val="005F645D"/>
    <w:rsid w:val="005F6581"/>
    <w:rsid w:val="005F66FE"/>
    <w:rsid w:val="005F67A9"/>
    <w:rsid w:val="005F6803"/>
    <w:rsid w:val="005F6945"/>
    <w:rsid w:val="005F6B38"/>
    <w:rsid w:val="005F6C6A"/>
    <w:rsid w:val="005F6CFC"/>
    <w:rsid w:val="005F6D62"/>
    <w:rsid w:val="005F6E25"/>
    <w:rsid w:val="005F701F"/>
    <w:rsid w:val="005F70FE"/>
    <w:rsid w:val="005F715E"/>
    <w:rsid w:val="005F7192"/>
    <w:rsid w:val="005F727B"/>
    <w:rsid w:val="005F72AC"/>
    <w:rsid w:val="005F73AC"/>
    <w:rsid w:val="005F74F4"/>
    <w:rsid w:val="005F75C1"/>
    <w:rsid w:val="005F77BF"/>
    <w:rsid w:val="005F77E3"/>
    <w:rsid w:val="005F7888"/>
    <w:rsid w:val="005F7897"/>
    <w:rsid w:val="005F7919"/>
    <w:rsid w:val="005F7C00"/>
    <w:rsid w:val="005F7D14"/>
    <w:rsid w:val="005F7DC4"/>
    <w:rsid w:val="0060001B"/>
    <w:rsid w:val="0060014F"/>
    <w:rsid w:val="00600216"/>
    <w:rsid w:val="006002A6"/>
    <w:rsid w:val="006003A1"/>
    <w:rsid w:val="006004F0"/>
    <w:rsid w:val="0060061F"/>
    <w:rsid w:val="0060074C"/>
    <w:rsid w:val="006007D2"/>
    <w:rsid w:val="00600937"/>
    <w:rsid w:val="006009F8"/>
    <w:rsid w:val="00600A42"/>
    <w:rsid w:val="00600A4A"/>
    <w:rsid w:val="00600A83"/>
    <w:rsid w:val="00600AEF"/>
    <w:rsid w:val="00600B23"/>
    <w:rsid w:val="00600B82"/>
    <w:rsid w:val="00600BF7"/>
    <w:rsid w:val="00600D71"/>
    <w:rsid w:val="00600E58"/>
    <w:rsid w:val="00600E60"/>
    <w:rsid w:val="00601075"/>
    <w:rsid w:val="00601124"/>
    <w:rsid w:val="006012DF"/>
    <w:rsid w:val="00601563"/>
    <w:rsid w:val="00601861"/>
    <w:rsid w:val="00601953"/>
    <w:rsid w:val="00601970"/>
    <w:rsid w:val="006019D4"/>
    <w:rsid w:val="00601A2E"/>
    <w:rsid w:val="00601B3A"/>
    <w:rsid w:val="00601B9A"/>
    <w:rsid w:val="00601BBD"/>
    <w:rsid w:val="00601D4A"/>
    <w:rsid w:val="00601D92"/>
    <w:rsid w:val="00601FE7"/>
    <w:rsid w:val="0060208E"/>
    <w:rsid w:val="00602104"/>
    <w:rsid w:val="0060218A"/>
    <w:rsid w:val="006021A6"/>
    <w:rsid w:val="00602214"/>
    <w:rsid w:val="006024F4"/>
    <w:rsid w:val="0060260D"/>
    <w:rsid w:val="0060260E"/>
    <w:rsid w:val="0060262D"/>
    <w:rsid w:val="006026A1"/>
    <w:rsid w:val="006027AB"/>
    <w:rsid w:val="006029BE"/>
    <w:rsid w:val="00602A32"/>
    <w:rsid w:val="00602A3D"/>
    <w:rsid w:val="00602BFE"/>
    <w:rsid w:val="00602EFA"/>
    <w:rsid w:val="00602F2B"/>
    <w:rsid w:val="00603000"/>
    <w:rsid w:val="00603191"/>
    <w:rsid w:val="00603273"/>
    <w:rsid w:val="006032AE"/>
    <w:rsid w:val="00603301"/>
    <w:rsid w:val="0060331D"/>
    <w:rsid w:val="00603372"/>
    <w:rsid w:val="006033AB"/>
    <w:rsid w:val="006034D9"/>
    <w:rsid w:val="0060352E"/>
    <w:rsid w:val="006036BB"/>
    <w:rsid w:val="00603836"/>
    <w:rsid w:val="0060384E"/>
    <w:rsid w:val="006039EE"/>
    <w:rsid w:val="00603B6E"/>
    <w:rsid w:val="00603C80"/>
    <w:rsid w:val="00603DA7"/>
    <w:rsid w:val="00603EAA"/>
    <w:rsid w:val="00603F4D"/>
    <w:rsid w:val="00604125"/>
    <w:rsid w:val="00604199"/>
    <w:rsid w:val="00604223"/>
    <w:rsid w:val="00604263"/>
    <w:rsid w:val="006043C0"/>
    <w:rsid w:val="00604456"/>
    <w:rsid w:val="00604523"/>
    <w:rsid w:val="006045E5"/>
    <w:rsid w:val="00604615"/>
    <w:rsid w:val="00604655"/>
    <w:rsid w:val="006046C4"/>
    <w:rsid w:val="006047F0"/>
    <w:rsid w:val="00604871"/>
    <w:rsid w:val="00604A91"/>
    <w:rsid w:val="00604BAD"/>
    <w:rsid w:val="00604BD4"/>
    <w:rsid w:val="00604CB6"/>
    <w:rsid w:val="00604D50"/>
    <w:rsid w:val="00604D77"/>
    <w:rsid w:val="006050E8"/>
    <w:rsid w:val="00605449"/>
    <w:rsid w:val="00605544"/>
    <w:rsid w:val="0060556D"/>
    <w:rsid w:val="00605688"/>
    <w:rsid w:val="006056C8"/>
    <w:rsid w:val="0060595A"/>
    <w:rsid w:val="00605986"/>
    <w:rsid w:val="00605999"/>
    <w:rsid w:val="00605AF7"/>
    <w:rsid w:val="00605B91"/>
    <w:rsid w:val="00605C64"/>
    <w:rsid w:val="00605D26"/>
    <w:rsid w:val="00605ECB"/>
    <w:rsid w:val="00605F40"/>
    <w:rsid w:val="00605F45"/>
    <w:rsid w:val="00605F4B"/>
    <w:rsid w:val="00605F79"/>
    <w:rsid w:val="00605F99"/>
    <w:rsid w:val="00605FF7"/>
    <w:rsid w:val="00606013"/>
    <w:rsid w:val="006060CB"/>
    <w:rsid w:val="00606178"/>
    <w:rsid w:val="006061F6"/>
    <w:rsid w:val="00606245"/>
    <w:rsid w:val="006062C9"/>
    <w:rsid w:val="006062FE"/>
    <w:rsid w:val="00606392"/>
    <w:rsid w:val="006063C4"/>
    <w:rsid w:val="00606594"/>
    <w:rsid w:val="00606762"/>
    <w:rsid w:val="006068DE"/>
    <w:rsid w:val="00606D23"/>
    <w:rsid w:val="00606F6C"/>
    <w:rsid w:val="00606F8F"/>
    <w:rsid w:val="00606FE0"/>
    <w:rsid w:val="0060705D"/>
    <w:rsid w:val="006070BD"/>
    <w:rsid w:val="00607144"/>
    <w:rsid w:val="00607232"/>
    <w:rsid w:val="0060729C"/>
    <w:rsid w:val="00607361"/>
    <w:rsid w:val="006073F8"/>
    <w:rsid w:val="00607518"/>
    <w:rsid w:val="006075C5"/>
    <w:rsid w:val="00607655"/>
    <w:rsid w:val="006076FC"/>
    <w:rsid w:val="0060778D"/>
    <w:rsid w:val="00607809"/>
    <w:rsid w:val="00607880"/>
    <w:rsid w:val="00607890"/>
    <w:rsid w:val="006078F6"/>
    <w:rsid w:val="006079B9"/>
    <w:rsid w:val="00607A11"/>
    <w:rsid w:val="00607A65"/>
    <w:rsid w:val="00607DBA"/>
    <w:rsid w:val="00607E03"/>
    <w:rsid w:val="00607F69"/>
    <w:rsid w:val="00610151"/>
    <w:rsid w:val="0061018D"/>
    <w:rsid w:val="006101A0"/>
    <w:rsid w:val="0061025B"/>
    <w:rsid w:val="006102DD"/>
    <w:rsid w:val="00610461"/>
    <w:rsid w:val="006104A6"/>
    <w:rsid w:val="006104D2"/>
    <w:rsid w:val="00610687"/>
    <w:rsid w:val="00610776"/>
    <w:rsid w:val="006107E2"/>
    <w:rsid w:val="006107EF"/>
    <w:rsid w:val="00610B53"/>
    <w:rsid w:val="00610C74"/>
    <w:rsid w:val="00610DCD"/>
    <w:rsid w:val="00610F3F"/>
    <w:rsid w:val="00610FF2"/>
    <w:rsid w:val="0061100F"/>
    <w:rsid w:val="0061101D"/>
    <w:rsid w:val="006110AD"/>
    <w:rsid w:val="006111CC"/>
    <w:rsid w:val="00611319"/>
    <w:rsid w:val="00611446"/>
    <w:rsid w:val="0061173F"/>
    <w:rsid w:val="006119CB"/>
    <w:rsid w:val="00611AE2"/>
    <w:rsid w:val="00611B4D"/>
    <w:rsid w:val="00611B92"/>
    <w:rsid w:val="00611CAF"/>
    <w:rsid w:val="00611D91"/>
    <w:rsid w:val="00611DCC"/>
    <w:rsid w:val="00611E23"/>
    <w:rsid w:val="00611E48"/>
    <w:rsid w:val="00611E91"/>
    <w:rsid w:val="00611EA9"/>
    <w:rsid w:val="00611F4F"/>
    <w:rsid w:val="00612154"/>
    <w:rsid w:val="006121A8"/>
    <w:rsid w:val="00612270"/>
    <w:rsid w:val="006122C6"/>
    <w:rsid w:val="00612373"/>
    <w:rsid w:val="00612469"/>
    <w:rsid w:val="006124B3"/>
    <w:rsid w:val="006124E0"/>
    <w:rsid w:val="00612515"/>
    <w:rsid w:val="0061262A"/>
    <w:rsid w:val="0061273B"/>
    <w:rsid w:val="0061281F"/>
    <w:rsid w:val="0061283C"/>
    <w:rsid w:val="00612912"/>
    <w:rsid w:val="00612AD2"/>
    <w:rsid w:val="00612F74"/>
    <w:rsid w:val="00612FE2"/>
    <w:rsid w:val="00612FF2"/>
    <w:rsid w:val="006131B2"/>
    <w:rsid w:val="0061327D"/>
    <w:rsid w:val="006134C3"/>
    <w:rsid w:val="00613928"/>
    <w:rsid w:val="0061395D"/>
    <w:rsid w:val="00613979"/>
    <w:rsid w:val="00613C00"/>
    <w:rsid w:val="00613D45"/>
    <w:rsid w:val="00613E90"/>
    <w:rsid w:val="00613ED0"/>
    <w:rsid w:val="006140F2"/>
    <w:rsid w:val="0061410B"/>
    <w:rsid w:val="00614245"/>
    <w:rsid w:val="0061471A"/>
    <w:rsid w:val="00614730"/>
    <w:rsid w:val="00614806"/>
    <w:rsid w:val="00614826"/>
    <w:rsid w:val="00614A5C"/>
    <w:rsid w:val="00614B71"/>
    <w:rsid w:val="00614D69"/>
    <w:rsid w:val="00614D86"/>
    <w:rsid w:val="00614E11"/>
    <w:rsid w:val="00614E71"/>
    <w:rsid w:val="00614F23"/>
    <w:rsid w:val="006151D4"/>
    <w:rsid w:val="0061528B"/>
    <w:rsid w:val="00615437"/>
    <w:rsid w:val="006154EB"/>
    <w:rsid w:val="0061557C"/>
    <w:rsid w:val="006155ED"/>
    <w:rsid w:val="0061579F"/>
    <w:rsid w:val="00615815"/>
    <w:rsid w:val="006158B0"/>
    <w:rsid w:val="00615913"/>
    <w:rsid w:val="00615ADB"/>
    <w:rsid w:val="00615CDD"/>
    <w:rsid w:val="00615D7C"/>
    <w:rsid w:val="00615F4E"/>
    <w:rsid w:val="00615FF5"/>
    <w:rsid w:val="00616021"/>
    <w:rsid w:val="006161D7"/>
    <w:rsid w:val="006161DB"/>
    <w:rsid w:val="006161F6"/>
    <w:rsid w:val="0061632A"/>
    <w:rsid w:val="006163DF"/>
    <w:rsid w:val="00616456"/>
    <w:rsid w:val="006164B0"/>
    <w:rsid w:val="006164E1"/>
    <w:rsid w:val="0061663E"/>
    <w:rsid w:val="0061680C"/>
    <w:rsid w:val="006169F8"/>
    <w:rsid w:val="00616A32"/>
    <w:rsid w:val="00616B30"/>
    <w:rsid w:val="00616C6F"/>
    <w:rsid w:val="00616CE8"/>
    <w:rsid w:val="00616E6E"/>
    <w:rsid w:val="00616F6D"/>
    <w:rsid w:val="00616FA8"/>
    <w:rsid w:val="00617026"/>
    <w:rsid w:val="00617283"/>
    <w:rsid w:val="00617366"/>
    <w:rsid w:val="006174CC"/>
    <w:rsid w:val="00617615"/>
    <w:rsid w:val="006176F0"/>
    <w:rsid w:val="006177BE"/>
    <w:rsid w:val="00617A66"/>
    <w:rsid w:val="00617ADC"/>
    <w:rsid w:val="00617B20"/>
    <w:rsid w:val="00617BE4"/>
    <w:rsid w:val="00617C40"/>
    <w:rsid w:val="00617D0D"/>
    <w:rsid w:val="00617DB9"/>
    <w:rsid w:val="00617EEB"/>
    <w:rsid w:val="00617F25"/>
    <w:rsid w:val="00620050"/>
    <w:rsid w:val="006200A7"/>
    <w:rsid w:val="0062018B"/>
    <w:rsid w:val="006201F4"/>
    <w:rsid w:val="0062036E"/>
    <w:rsid w:val="006203BD"/>
    <w:rsid w:val="006205D6"/>
    <w:rsid w:val="0062075A"/>
    <w:rsid w:val="006208F7"/>
    <w:rsid w:val="00620974"/>
    <w:rsid w:val="00620ACA"/>
    <w:rsid w:val="00620ADC"/>
    <w:rsid w:val="00620C24"/>
    <w:rsid w:val="00620C6B"/>
    <w:rsid w:val="00620DB1"/>
    <w:rsid w:val="00620E8A"/>
    <w:rsid w:val="00620FC6"/>
    <w:rsid w:val="006213D2"/>
    <w:rsid w:val="0062140E"/>
    <w:rsid w:val="006214A3"/>
    <w:rsid w:val="0062169D"/>
    <w:rsid w:val="006216A7"/>
    <w:rsid w:val="00621A41"/>
    <w:rsid w:val="00621AB9"/>
    <w:rsid w:val="00621ADA"/>
    <w:rsid w:val="00621C00"/>
    <w:rsid w:val="00621E82"/>
    <w:rsid w:val="006220AC"/>
    <w:rsid w:val="006220E0"/>
    <w:rsid w:val="0062245A"/>
    <w:rsid w:val="006224D2"/>
    <w:rsid w:val="00622534"/>
    <w:rsid w:val="0062263E"/>
    <w:rsid w:val="006226E8"/>
    <w:rsid w:val="0062279F"/>
    <w:rsid w:val="00622992"/>
    <w:rsid w:val="006229A1"/>
    <w:rsid w:val="006229B7"/>
    <w:rsid w:val="00622CAF"/>
    <w:rsid w:val="00622D34"/>
    <w:rsid w:val="00622EFE"/>
    <w:rsid w:val="00622F56"/>
    <w:rsid w:val="00623094"/>
    <w:rsid w:val="00623357"/>
    <w:rsid w:val="0062335A"/>
    <w:rsid w:val="006235C3"/>
    <w:rsid w:val="0062378B"/>
    <w:rsid w:val="00623956"/>
    <w:rsid w:val="00623A10"/>
    <w:rsid w:val="00623B2A"/>
    <w:rsid w:val="00623BAC"/>
    <w:rsid w:val="00623C06"/>
    <w:rsid w:val="00623D76"/>
    <w:rsid w:val="00623DDD"/>
    <w:rsid w:val="00623E5C"/>
    <w:rsid w:val="00623F32"/>
    <w:rsid w:val="00624062"/>
    <w:rsid w:val="006240A3"/>
    <w:rsid w:val="0062445C"/>
    <w:rsid w:val="0062473D"/>
    <w:rsid w:val="00624B55"/>
    <w:rsid w:val="00624C54"/>
    <w:rsid w:val="00624DCA"/>
    <w:rsid w:val="00624EAB"/>
    <w:rsid w:val="00625034"/>
    <w:rsid w:val="0062505C"/>
    <w:rsid w:val="006250B4"/>
    <w:rsid w:val="006250CA"/>
    <w:rsid w:val="0062527C"/>
    <w:rsid w:val="006252FD"/>
    <w:rsid w:val="00625341"/>
    <w:rsid w:val="006253C4"/>
    <w:rsid w:val="0062543B"/>
    <w:rsid w:val="0062553B"/>
    <w:rsid w:val="006258E4"/>
    <w:rsid w:val="0062591C"/>
    <w:rsid w:val="00625BF0"/>
    <w:rsid w:val="00625CE7"/>
    <w:rsid w:val="00625D2C"/>
    <w:rsid w:val="00625D2D"/>
    <w:rsid w:val="00625D8F"/>
    <w:rsid w:val="00625F4E"/>
    <w:rsid w:val="006262F2"/>
    <w:rsid w:val="0062633C"/>
    <w:rsid w:val="00626372"/>
    <w:rsid w:val="0062652C"/>
    <w:rsid w:val="006265E6"/>
    <w:rsid w:val="0062661C"/>
    <w:rsid w:val="006267B9"/>
    <w:rsid w:val="00626AFE"/>
    <w:rsid w:val="00626AFF"/>
    <w:rsid w:val="00626B8B"/>
    <w:rsid w:val="00626B95"/>
    <w:rsid w:val="00626C07"/>
    <w:rsid w:val="00626C44"/>
    <w:rsid w:val="00626CE1"/>
    <w:rsid w:val="00626D4A"/>
    <w:rsid w:val="00626D78"/>
    <w:rsid w:val="00626E8F"/>
    <w:rsid w:val="006270BE"/>
    <w:rsid w:val="00627160"/>
    <w:rsid w:val="00627162"/>
    <w:rsid w:val="00627217"/>
    <w:rsid w:val="00627473"/>
    <w:rsid w:val="00627784"/>
    <w:rsid w:val="00627821"/>
    <w:rsid w:val="00627B21"/>
    <w:rsid w:val="00627C89"/>
    <w:rsid w:val="00627F75"/>
    <w:rsid w:val="00630015"/>
    <w:rsid w:val="006302B4"/>
    <w:rsid w:val="00630304"/>
    <w:rsid w:val="006303B5"/>
    <w:rsid w:val="006304AD"/>
    <w:rsid w:val="006305F7"/>
    <w:rsid w:val="00630694"/>
    <w:rsid w:val="006306A0"/>
    <w:rsid w:val="006306A2"/>
    <w:rsid w:val="006308B2"/>
    <w:rsid w:val="0063096B"/>
    <w:rsid w:val="00630ACB"/>
    <w:rsid w:val="00630B04"/>
    <w:rsid w:val="00630B3D"/>
    <w:rsid w:val="00630B6D"/>
    <w:rsid w:val="00630CEF"/>
    <w:rsid w:val="00630E7F"/>
    <w:rsid w:val="00630FC8"/>
    <w:rsid w:val="00630FE7"/>
    <w:rsid w:val="006310D3"/>
    <w:rsid w:val="0063129B"/>
    <w:rsid w:val="00631543"/>
    <w:rsid w:val="00631586"/>
    <w:rsid w:val="00631830"/>
    <w:rsid w:val="0063190C"/>
    <w:rsid w:val="00631A6D"/>
    <w:rsid w:val="00631A82"/>
    <w:rsid w:val="00631AB1"/>
    <w:rsid w:val="00631BF9"/>
    <w:rsid w:val="00631C44"/>
    <w:rsid w:val="00631DCB"/>
    <w:rsid w:val="00631DD0"/>
    <w:rsid w:val="00631F9A"/>
    <w:rsid w:val="00632038"/>
    <w:rsid w:val="006321DC"/>
    <w:rsid w:val="0063222C"/>
    <w:rsid w:val="006322E1"/>
    <w:rsid w:val="00632342"/>
    <w:rsid w:val="00632367"/>
    <w:rsid w:val="00632405"/>
    <w:rsid w:val="0063240B"/>
    <w:rsid w:val="006327D9"/>
    <w:rsid w:val="0063288D"/>
    <w:rsid w:val="006329B7"/>
    <w:rsid w:val="00632A81"/>
    <w:rsid w:val="00632AB0"/>
    <w:rsid w:val="00632B0E"/>
    <w:rsid w:val="00632B65"/>
    <w:rsid w:val="00632BBE"/>
    <w:rsid w:val="00632C86"/>
    <w:rsid w:val="00633107"/>
    <w:rsid w:val="006334BA"/>
    <w:rsid w:val="00633513"/>
    <w:rsid w:val="00633760"/>
    <w:rsid w:val="0063377F"/>
    <w:rsid w:val="006339BA"/>
    <w:rsid w:val="00633AB6"/>
    <w:rsid w:val="00633B04"/>
    <w:rsid w:val="00633B7F"/>
    <w:rsid w:val="00633C70"/>
    <w:rsid w:val="00633C81"/>
    <w:rsid w:val="00633C87"/>
    <w:rsid w:val="00633CF6"/>
    <w:rsid w:val="00633D0A"/>
    <w:rsid w:val="00633D61"/>
    <w:rsid w:val="00633FB8"/>
    <w:rsid w:val="00634023"/>
    <w:rsid w:val="0063409B"/>
    <w:rsid w:val="0063412A"/>
    <w:rsid w:val="0063423E"/>
    <w:rsid w:val="0063431B"/>
    <w:rsid w:val="006343E0"/>
    <w:rsid w:val="006346B8"/>
    <w:rsid w:val="0063487A"/>
    <w:rsid w:val="00634BA2"/>
    <w:rsid w:val="00634C8F"/>
    <w:rsid w:val="00634CAE"/>
    <w:rsid w:val="00634CE7"/>
    <w:rsid w:val="00634D3F"/>
    <w:rsid w:val="00634FEB"/>
    <w:rsid w:val="0063506B"/>
    <w:rsid w:val="00635112"/>
    <w:rsid w:val="0063528C"/>
    <w:rsid w:val="006352E6"/>
    <w:rsid w:val="0063532B"/>
    <w:rsid w:val="0063563F"/>
    <w:rsid w:val="006356E2"/>
    <w:rsid w:val="006356FD"/>
    <w:rsid w:val="006357FA"/>
    <w:rsid w:val="0063590F"/>
    <w:rsid w:val="006359DB"/>
    <w:rsid w:val="00635ADA"/>
    <w:rsid w:val="00635BAB"/>
    <w:rsid w:val="00635BC7"/>
    <w:rsid w:val="00635CE2"/>
    <w:rsid w:val="00635D66"/>
    <w:rsid w:val="00635E18"/>
    <w:rsid w:val="00635E5B"/>
    <w:rsid w:val="00635E94"/>
    <w:rsid w:val="00635F14"/>
    <w:rsid w:val="006361CB"/>
    <w:rsid w:val="006361EC"/>
    <w:rsid w:val="00636235"/>
    <w:rsid w:val="006363DF"/>
    <w:rsid w:val="006365C3"/>
    <w:rsid w:val="00636643"/>
    <w:rsid w:val="006368AB"/>
    <w:rsid w:val="00636944"/>
    <w:rsid w:val="006369B0"/>
    <w:rsid w:val="00636B5B"/>
    <w:rsid w:val="00636C1D"/>
    <w:rsid w:val="00636D78"/>
    <w:rsid w:val="00637134"/>
    <w:rsid w:val="00637267"/>
    <w:rsid w:val="006372FC"/>
    <w:rsid w:val="00637309"/>
    <w:rsid w:val="00637675"/>
    <w:rsid w:val="006376C6"/>
    <w:rsid w:val="006376EB"/>
    <w:rsid w:val="006379B9"/>
    <w:rsid w:val="00637A89"/>
    <w:rsid w:val="00637B4B"/>
    <w:rsid w:val="00637DB5"/>
    <w:rsid w:val="00637E6A"/>
    <w:rsid w:val="00637EC0"/>
    <w:rsid w:val="00637EF7"/>
    <w:rsid w:val="00637FFD"/>
    <w:rsid w:val="00640009"/>
    <w:rsid w:val="00640080"/>
    <w:rsid w:val="0064014A"/>
    <w:rsid w:val="00640178"/>
    <w:rsid w:val="0064030B"/>
    <w:rsid w:val="00640380"/>
    <w:rsid w:val="006406B9"/>
    <w:rsid w:val="00640710"/>
    <w:rsid w:val="006409E0"/>
    <w:rsid w:val="00640B17"/>
    <w:rsid w:val="00640B2E"/>
    <w:rsid w:val="00640CAE"/>
    <w:rsid w:val="00640D2E"/>
    <w:rsid w:val="00640E5C"/>
    <w:rsid w:val="00640F1F"/>
    <w:rsid w:val="006410B9"/>
    <w:rsid w:val="00641238"/>
    <w:rsid w:val="006412D1"/>
    <w:rsid w:val="00641376"/>
    <w:rsid w:val="006413FE"/>
    <w:rsid w:val="00641592"/>
    <w:rsid w:val="00641731"/>
    <w:rsid w:val="0064179F"/>
    <w:rsid w:val="00641BFE"/>
    <w:rsid w:val="00641F3F"/>
    <w:rsid w:val="0064223E"/>
    <w:rsid w:val="006423D4"/>
    <w:rsid w:val="006423DC"/>
    <w:rsid w:val="0064246B"/>
    <w:rsid w:val="00642569"/>
    <w:rsid w:val="006426D5"/>
    <w:rsid w:val="0064281D"/>
    <w:rsid w:val="00642A6F"/>
    <w:rsid w:val="00642A77"/>
    <w:rsid w:val="00642BE7"/>
    <w:rsid w:val="00642C35"/>
    <w:rsid w:val="00642CF6"/>
    <w:rsid w:val="00642EBB"/>
    <w:rsid w:val="00643047"/>
    <w:rsid w:val="0064304A"/>
    <w:rsid w:val="00643091"/>
    <w:rsid w:val="0064313A"/>
    <w:rsid w:val="0064318B"/>
    <w:rsid w:val="00643252"/>
    <w:rsid w:val="006432EB"/>
    <w:rsid w:val="006432F8"/>
    <w:rsid w:val="00643367"/>
    <w:rsid w:val="00643499"/>
    <w:rsid w:val="00643534"/>
    <w:rsid w:val="00643705"/>
    <w:rsid w:val="006439EF"/>
    <w:rsid w:val="006439FE"/>
    <w:rsid w:val="00643AA3"/>
    <w:rsid w:val="00643B27"/>
    <w:rsid w:val="00643B7A"/>
    <w:rsid w:val="00643C4F"/>
    <w:rsid w:val="00643C67"/>
    <w:rsid w:val="00643EE4"/>
    <w:rsid w:val="00643F2B"/>
    <w:rsid w:val="00644109"/>
    <w:rsid w:val="00644208"/>
    <w:rsid w:val="00644425"/>
    <w:rsid w:val="006445F6"/>
    <w:rsid w:val="00644A01"/>
    <w:rsid w:val="00644A1E"/>
    <w:rsid w:val="00644B32"/>
    <w:rsid w:val="00644BF4"/>
    <w:rsid w:val="00644CEB"/>
    <w:rsid w:val="0064501F"/>
    <w:rsid w:val="00645080"/>
    <w:rsid w:val="00645091"/>
    <w:rsid w:val="00645243"/>
    <w:rsid w:val="006453CD"/>
    <w:rsid w:val="006455C2"/>
    <w:rsid w:val="006455C3"/>
    <w:rsid w:val="00645688"/>
    <w:rsid w:val="0064586C"/>
    <w:rsid w:val="00645894"/>
    <w:rsid w:val="00645960"/>
    <w:rsid w:val="00645A4D"/>
    <w:rsid w:val="00645ADE"/>
    <w:rsid w:val="00645B30"/>
    <w:rsid w:val="00646095"/>
    <w:rsid w:val="00646186"/>
    <w:rsid w:val="006461CB"/>
    <w:rsid w:val="006461FA"/>
    <w:rsid w:val="006464C9"/>
    <w:rsid w:val="0064661A"/>
    <w:rsid w:val="00646701"/>
    <w:rsid w:val="00646778"/>
    <w:rsid w:val="00646788"/>
    <w:rsid w:val="00646799"/>
    <w:rsid w:val="00646817"/>
    <w:rsid w:val="0064695D"/>
    <w:rsid w:val="00646ACA"/>
    <w:rsid w:val="00646C24"/>
    <w:rsid w:val="00646D3D"/>
    <w:rsid w:val="006470D8"/>
    <w:rsid w:val="00647112"/>
    <w:rsid w:val="0064716E"/>
    <w:rsid w:val="0064726A"/>
    <w:rsid w:val="00647277"/>
    <w:rsid w:val="006472CB"/>
    <w:rsid w:val="00647449"/>
    <w:rsid w:val="00647552"/>
    <w:rsid w:val="00647709"/>
    <w:rsid w:val="0064787A"/>
    <w:rsid w:val="00647880"/>
    <w:rsid w:val="00647B7D"/>
    <w:rsid w:val="00647C0C"/>
    <w:rsid w:val="00647D07"/>
    <w:rsid w:val="00647E72"/>
    <w:rsid w:val="006500D7"/>
    <w:rsid w:val="0065040B"/>
    <w:rsid w:val="006504CD"/>
    <w:rsid w:val="00650629"/>
    <w:rsid w:val="00650643"/>
    <w:rsid w:val="006506FB"/>
    <w:rsid w:val="006507B0"/>
    <w:rsid w:val="00650838"/>
    <w:rsid w:val="00650863"/>
    <w:rsid w:val="00650A83"/>
    <w:rsid w:val="00650C17"/>
    <w:rsid w:val="00650D6C"/>
    <w:rsid w:val="00650F82"/>
    <w:rsid w:val="006511F4"/>
    <w:rsid w:val="00651287"/>
    <w:rsid w:val="006513BE"/>
    <w:rsid w:val="006513DD"/>
    <w:rsid w:val="006513E2"/>
    <w:rsid w:val="00651501"/>
    <w:rsid w:val="006515FE"/>
    <w:rsid w:val="00651608"/>
    <w:rsid w:val="00651629"/>
    <w:rsid w:val="00651694"/>
    <w:rsid w:val="0065186C"/>
    <w:rsid w:val="00651BB9"/>
    <w:rsid w:val="00651D85"/>
    <w:rsid w:val="00651DA8"/>
    <w:rsid w:val="00651EC0"/>
    <w:rsid w:val="0065202B"/>
    <w:rsid w:val="00652090"/>
    <w:rsid w:val="0065210F"/>
    <w:rsid w:val="006521E7"/>
    <w:rsid w:val="00652558"/>
    <w:rsid w:val="00652919"/>
    <w:rsid w:val="00652B90"/>
    <w:rsid w:val="00652D1E"/>
    <w:rsid w:val="00653111"/>
    <w:rsid w:val="00653446"/>
    <w:rsid w:val="00653466"/>
    <w:rsid w:val="006535A9"/>
    <w:rsid w:val="006536F3"/>
    <w:rsid w:val="00653789"/>
    <w:rsid w:val="00653915"/>
    <w:rsid w:val="006539DB"/>
    <w:rsid w:val="00653B03"/>
    <w:rsid w:val="00653BB7"/>
    <w:rsid w:val="00653CC4"/>
    <w:rsid w:val="00653E1B"/>
    <w:rsid w:val="00653EF7"/>
    <w:rsid w:val="00653F13"/>
    <w:rsid w:val="00654351"/>
    <w:rsid w:val="006547A0"/>
    <w:rsid w:val="00654991"/>
    <w:rsid w:val="006549CD"/>
    <w:rsid w:val="00654A1B"/>
    <w:rsid w:val="00654AF1"/>
    <w:rsid w:val="00654B1C"/>
    <w:rsid w:val="00654B3F"/>
    <w:rsid w:val="00654BB0"/>
    <w:rsid w:val="00654BFC"/>
    <w:rsid w:val="00654C2C"/>
    <w:rsid w:val="00655098"/>
    <w:rsid w:val="006551A0"/>
    <w:rsid w:val="00655572"/>
    <w:rsid w:val="006555B1"/>
    <w:rsid w:val="00655646"/>
    <w:rsid w:val="0065564D"/>
    <w:rsid w:val="00655655"/>
    <w:rsid w:val="00655726"/>
    <w:rsid w:val="0065573E"/>
    <w:rsid w:val="00655938"/>
    <w:rsid w:val="006559C9"/>
    <w:rsid w:val="00655B2E"/>
    <w:rsid w:val="00655CCC"/>
    <w:rsid w:val="00655CE1"/>
    <w:rsid w:val="00655DFE"/>
    <w:rsid w:val="00655E8A"/>
    <w:rsid w:val="006562B4"/>
    <w:rsid w:val="006562D6"/>
    <w:rsid w:val="0065637B"/>
    <w:rsid w:val="006563D4"/>
    <w:rsid w:val="006563EE"/>
    <w:rsid w:val="00656676"/>
    <w:rsid w:val="00656684"/>
    <w:rsid w:val="006566DE"/>
    <w:rsid w:val="00656710"/>
    <w:rsid w:val="00656715"/>
    <w:rsid w:val="00656A49"/>
    <w:rsid w:val="00656D16"/>
    <w:rsid w:val="00656DD9"/>
    <w:rsid w:val="006574D1"/>
    <w:rsid w:val="00657519"/>
    <w:rsid w:val="00657576"/>
    <w:rsid w:val="0065768D"/>
    <w:rsid w:val="006576B1"/>
    <w:rsid w:val="0065791A"/>
    <w:rsid w:val="00657B66"/>
    <w:rsid w:val="00657B70"/>
    <w:rsid w:val="00657B79"/>
    <w:rsid w:val="00657BA1"/>
    <w:rsid w:val="00657C8A"/>
    <w:rsid w:val="00657DB9"/>
    <w:rsid w:val="00657DEA"/>
    <w:rsid w:val="00657E9B"/>
    <w:rsid w:val="00657EF0"/>
    <w:rsid w:val="00657F89"/>
    <w:rsid w:val="00660137"/>
    <w:rsid w:val="00660166"/>
    <w:rsid w:val="006601CB"/>
    <w:rsid w:val="006602B0"/>
    <w:rsid w:val="006602E6"/>
    <w:rsid w:val="006602F8"/>
    <w:rsid w:val="00660446"/>
    <w:rsid w:val="00660521"/>
    <w:rsid w:val="00660563"/>
    <w:rsid w:val="00660694"/>
    <w:rsid w:val="006608D1"/>
    <w:rsid w:val="006609D0"/>
    <w:rsid w:val="00660B04"/>
    <w:rsid w:val="00660B13"/>
    <w:rsid w:val="00660B65"/>
    <w:rsid w:val="00660B67"/>
    <w:rsid w:val="00660BA1"/>
    <w:rsid w:val="00660DA2"/>
    <w:rsid w:val="00661140"/>
    <w:rsid w:val="006611A3"/>
    <w:rsid w:val="00661227"/>
    <w:rsid w:val="00661484"/>
    <w:rsid w:val="006614ED"/>
    <w:rsid w:val="00661619"/>
    <w:rsid w:val="00661728"/>
    <w:rsid w:val="00661893"/>
    <w:rsid w:val="006618DC"/>
    <w:rsid w:val="006618E6"/>
    <w:rsid w:val="00661985"/>
    <w:rsid w:val="006619EB"/>
    <w:rsid w:val="00661BE1"/>
    <w:rsid w:val="00661CC9"/>
    <w:rsid w:val="00661D85"/>
    <w:rsid w:val="00661E1D"/>
    <w:rsid w:val="00661EF3"/>
    <w:rsid w:val="00661F03"/>
    <w:rsid w:val="00661F14"/>
    <w:rsid w:val="00661F8A"/>
    <w:rsid w:val="00662064"/>
    <w:rsid w:val="006621E0"/>
    <w:rsid w:val="00662445"/>
    <w:rsid w:val="00662450"/>
    <w:rsid w:val="0066255B"/>
    <w:rsid w:val="0066257A"/>
    <w:rsid w:val="0066270D"/>
    <w:rsid w:val="0066283F"/>
    <w:rsid w:val="00662866"/>
    <w:rsid w:val="00662B56"/>
    <w:rsid w:val="00662BE8"/>
    <w:rsid w:val="00662C13"/>
    <w:rsid w:val="00662C91"/>
    <w:rsid w:val="00662E30"/>
    <w:rsid w:val="00662F75"/>
    <w:rsid w:val="00663040"/>
    <w:rsid w:val="00663069"/>
    <w:rsid w:val="00663301"/>
    <w:rsid w:val="006633A5"/>
    <w:rsid w:val="00663518"/>
    <w:rsid w:val="006636B3"/>
    <w:rsid w:val="006637A4"/>
    <w:rsid w:val="006637E9"/>
    <w:rsid w:val="0066380D"/>
    <w:rsid w:val="00663880"/>
    <w:rsid w:val="00663967"/>
    <w:rsid w:val="00663B4E"/>
    <w:rsid w:val="00663B93"/>
    <w:rsid w:val="00663BAC"/>
    <w:rsid w:val="00663C00"/>
    <w:rsid w:val="00663C8B"/>
    <w:rsid w:val="00663C92"/>
    <w:rsid w:val="00663D26"/>
    <w:rsid w:val="00663E2B"/>
    <w:rsid w:val="00663FAD"/>
    <w:rsid w:val="00664113"/>
    <w:rsid w:val="0066421B"/>
    <w:rsid w:val="006642D5"/>
    <w:rsid w:val="006643E3"/>
    <w:rsid w:val="0066441F"/>
    <w:rsid w:val="006644C7"/>
    <w:rsid w:val="006644D2"/>
    <w:rsid w:val="0066454E"/>
    <w:rsid w:val="006646A2"/>
    <w:rsid w:val="006648A1"/>
    <w:rsid w:val="006648F1"/>
    <w:rsid w:val="006649A5"/>
    <w:rsid w:val="00664A40"/>
    <w:rsid w:val="00664E74"/>
    <w:rsid w:val="00664EA6"/>
    <w:rsid w:val="006650BA"/>
    <w:rsid w:val="006650F0"/>
    <w:rsid w:val="00665114"/>
    <w:rsid w:val="0066516B"/>
    <w:rsid w:val="0066518B"/>
    <w:rsid w:val="00665230"/>
    <w:rsid w:val="006652A7"/>
    <w:rsid w:val="006652ED"/>
    <w:rsid w:val="0066531B"/>
    <w:rsid w:val="00665343"/>
    <w:rsid w:val="00665559"/>
    <w:rsid w:val="00665611"/>
    <w:rsid w:val="00665692"/>
    <w:rsid w:val="0066570B"/>
    <w:rsid w:val="006657DE"/>
    <w:rsid w:val="006657F9"/>
    <w:rsid w:val="00665881"/>
    <w:rsid w:val="00665C55"/>
    <w:rsid w:val="00665CA5"/>
    <w:rsid w:val="00665DDB"/>
    <w:rsid w:val="006661A7"/>
    <w:rsid w:val="006661DD"/>
    <w:rsid w:val="00666382"/>
    <w:rsid w:val="00666460"/>
    <w:rsid w:val="0066647A"/>
    <w:rsid w:val="006664F8"/>
    <w:rsid w:val="006667C4"/>
    <w:rsid w:val="00666A02"/>
    <w:rsid w:val="00666A42"/>
    <w:rsid w:val="00666AAF"/>
    <w:rsid w:val="00666B28"/>
    <w:rsid w:val="00666B63"/>
    <w:rsid w:val="00666B6F"/>
    <w:rsid w:val="00666BBE"/>
    <w:rsid w:val="00666D7D"/>
    <w:rsid w:val="00666D8B"/>
    <w:rsid w:val="00666E56"/>
    <w:rsid w:val="00666E81"/>
    <w:rsid w:val="00667138"/>
    <w:rsid w:val="006671E4"/>
    <w:rsid w:val="006671FD"/>
    <w:rsid w:val="0066740B"/>
    <w:rsid w:val="00667525"/>
    <w:rsid w:val="00667529"/>
    <w:rsid w:val="0066764F"/>
    <w:rsid w:val="00667669"/>
    <w:rsid w:val="006676F2"/>
    <w:rsid w:val="00667705"/>
    <w:rsid w:val="0066798B"/>
    <w:rsid w:val="00667A0C"/>
    <w:rsid w:val="00667A2C"/>
    <w:rsid w:val="00667E63"/>
    <w:rsid w:val="00667F2B"/>
    <w:rsid w:val="006702B7"/>
    <w:rsid w:val="00670373"/>
    <w:rsid w:val="006703B5"/>
    <w:rsid w:val="006704E2"/>
    <w:rsid w:val="0067062B"/>
    <w:rsid w:val="0067067B"/>
    <w:rsid w:val="00670709"/>
    <w:rsid w:val="00670757"/>
    <w:rsid w:val="00670780"/>
    <w:rsid w:val="006708A4"/>
    <w:rsid w:val="00670B7E"/>
    <w:rsid w:val="00670D16"/>
    <w:rsid w:val="00670F54"/>
    <w:rsid w:val="00671080"/>
    <w:rsid w:val="006711E1"/>
    <w:rsid w:val="00671220"/>
    <w:rsid w:val="0067125C"/>
    <w:rsid w:val="00671457"/>
    <w:rsid w:val="006714F4"/>
    <w:rsid w:val="00671653"/>
    <w:rsid w:val="006717FE"/>
    <w:rsid w:val="00671821"/>
    <w:rsid w:val="006718D0"/>
    <w:rsid w:val="00671950"/>
    <w:rsid w:val="00671979"/>
    <w:rsid w:val="00671A06"/>
    <w:rsid w:val="00671B00"/>
    <w:rsid w:val="00671EB7"/>
    <w:rsid w:val="00671EEB"/>
    <w:rsid w:val="0067203D"/>
    <w:rsid w:val="00672115"/>
    <w:rsid w:val="006721A5"/>
    <w:rsid w:val="00672234"/>
    <w:rsid w:val="00672311"/>
    <w:rsid w:val="006723ED"/>
    <w:rsid w:val="006723FF"/>
    <w:rsid w:val="00672487"/>
    <w:rsid w:val="0067263D"/>
    <w:rsid w:val="006726ED"/>
    <w:rsid w:val="0067279E"/>
    <w:rsid w:val="00672940"/>
    <w:rsid w:val="00672A15"/>
    <w:rsid w:val="00672AB4"/>
    <w:rsid w:val="00672CB0"/>
    <w:rsid w:val="00672D5B"/>
    <w:rsid w:val="006730D3"/>
    <w:rsid w:val="00673124"/>
    <w:rsid w:val="006731BE"/>
    <w:rsid w:val="006732EB"/>
    <w:rsid w:val="006735AA"/>
    <w:rsid w:val="006735EA"/>
    <w:rsid w:val="006735F9"/>
    <w:rsid w:val="00673699"/>
    <w:rsid w:val="006736E7"/>
    <w:rsid w:val="00673A0B"/>
    <w:rsid w:val="00673A2D"/>
    <w:rsid w:val="00673CE0"/>
    <w:rsid w:val="00673DE7"/>
    <w:rsid w:val="00673E00"/>
    <w:rsid w:val="0067439C"/>
    <w:rsid w:val="006744A0"/>
    <w:rsid w:val="006744C8"/>
    <w:rsid w:val="00674636"/>
    <w:rsid w:val="006746B1"/>
    <w:rsid w:val="006746E9"/>
    <w:rsid w:val="00674707"/>
    <w:rsid w:val="00674735"/>
    <w:rsid w:val="006747DB"/>
    <w:rsid w:val="00674812"/>
    <w:rsid w:val="00674821"/>
    <w:rsid w:val="00674A46"/>
    <w:rsid w:val="00674F59"/>
    <w:rsid w:val="006750FE"/>
    <w:rsid w:val="00675123"/>
    <w:rsid w:val="00675228"/>
    <w:rsid w:val="006752DB"/>
    <w:rsid w:val="00675340"/>
    <w:rsid w:val="00675461"/>
    <w:rsid w:val="00675469"/>
    <w:rsid w:val="00675519"/>
    <w:rsid w:val="0067565F"/>
    <w:rsid w:val="0067588B"/>
    <w:rsid w:val="006758BA"/>
    <w:rsid w:val="006758EB"/>
    <w:rsid w:val="00675A36"/>
    <w:rsid w:val="00675A8E"/>
    <w:rsid w:val="00675B58"/>
    <w:rsid w:val="00675CB7"/>
    <w:rsid w:val="006760ED"/>
    <w:rsid w:val="006762BE"/>
    <w:rsid w:val="006762CE"/>
    <w:rsid w:val="00676307"/>
    <w:rsid w:val="0067630D"/>
    <w:rsid w:val="00676697"/>
    <w:rsid w:val="00676869"/>
    <w:rsid w:val="006768ED"/>
    <w:rsid w:val="0067692B"/>
    <w:rsid w:val="00676BF3"/>
    <w:rsid w:val="00676D5E"/>
    <w:rsid w:val="00676D84"/>
    <w:rsid w:val="00676DA6"/>
    <w:rsid w:val="00676DC3"/>
    <w:rsid w:val="00677298"/>
    <w:rsid w:val="00677325"/>
    <w:rsid w:val="00677334"/>
    <w:rsid w:val="00677545"/>
    <w:rsid w:val="006777C1"/>
    <w:rsid w:val="006777EE"/>
    <w:rsid w:val="00677810"/>
    <w:rsid w:val="006778D3"/>
    <w:rsid w:val="006779EE"/>
    <w:rsid w:val="00677AF7"/>
    <w:rsid w:val="00677BA8"/>
    <w:rsid w:val="00677BDA"/>
    <w:rsid w:val="00677C6C"/>
    <w:rsid w:val="00677CC7"/>
    <w:rsid w:val="00677CD5"/>
    <w:rsid w:val="00677E79"/>
    <w:rsid w:val="00677E9B"/>
    <w:rsid w:val="00677EB4"/>
    <w:rsid w:val="00677F89"/>
    <w:rsid w:val="006801AA"/>
    <w:rsid w:val="006801E3"/>
    <w:rsid w:val="006802E2"/>
    <w:rsid w:val="006804E0"/>
    <w:rsid w:val="00680515"/>
    <w:rsid w:val="00680662"/>
    <w:rsid w:val="00680757"/>
    <w:rsid w:val="006807D6"/>
    <w:rsid w:val="00680883"/>
    <w:rsid w:val="00680A14"/>
    <w:rsid w:val="00680A54"/>
    <w:rsid w:val="00680AF0"/>
    <w:rsid w:val="00680DAD"/>
    <w:rsid w:val="00680DE3"/>
    <w:rsid w:val="00680EB4"/>
    <w:rsid w:val="00681026"/>
    <w:rsid w:val="0068118F"/>
    <w:rsid w:val="0068126E"/>
    <w:rsid w:val="00681282"/>
    <w:rsid w:val="00681483"/>
    <w:rsid w:val="00681486"/>
    <w:rsid w:val="0068157A"/>
    <w:rsid w:val="00681585"/>
    <w:rsid w:val="006815C7"/>
    <w:rsid w:val="0068168B"/>
    <w:rsid w:val="0068168E"/>
    <w:rsid w:val="0068175A"/>
    <w:rsid w:val="006819AE"/>
    <w:rsid w:val="006819B3"/>
    <w:rsid w:val="00681ACA"/>
    <w:rsid w:val="00681D29"/>
    <w:rsid w:val="00681D39"/>
    <w:rsid w:val="00681D46"/>
    <w:rsid w:val="00682037"/>
    <w:rsid w:val="0068220E"/>
    <w:rsid w:val="006822D8"/>
    <w:rsid w:val="0068230A"/>
    <w:rsid w:val="006824FF"/>
    <w:rsid w:val="006825B0"/>
    <w:rsid w:val="0068274E"/>
    <w:rsid w:val="0068277D"/>
    <w:rsid w:val="006827C1"/>
    <w:rsid w:val="00682A60"/>
    <w:rsid w:val="00682AC4"/>
    <w:rsid w:val="00682BF4"/>
    <w:rsid w:val="00682C5A"/>
    <w:rsid w:val="00682DD5"/>
    <w:rsid w:val="00682EBD"/>
    <w:rsid w:val="00683022"/>
    <w:rsid w:val="00683053"/>
    <w:rsid w:val="00683176"/>
    <w:rsid w:val="0068324D"/>
    <w:rsid w:val="006834C7"/>
    <w:rsid w:val="006836D6"/>
    <w:rsid w:val="00683701"/>
    <w:rsid w:val="006837CD"/>
    <w:rsid w:val="00683856"/>
    <w:rsid w:val="00683881"/>
    <w:rsid w:val="00683885"/>
    <w:rsid w:val="006838B1"/>
    <w:rsid w:val="00683B4B"/>
    <w:rsid w:val="00683D91"/>
    <w:rsid w:val="0068406C"/>
    <w:rsid w:val="0068421A"/>
    <w:rsid w:val="00684233"/>
    <w:rsid w:val="006842E9"/>
    <w:rsid w:val="0068454E"/>
    <w:rsid w:val="0068469A"/>
    <w:rsid w:val="00684770"/>
    <w:rsid w:val="00684788"/>
    <w:rsid w:val="006847B7"/>
    <w:rsid w:val="00684817"/>
    <w:rsid w:val="0068491A"/>
    <w:rsid w:val="00684971"/>
    <w:rsid w:val="00684A0D"/>
    <w:rsid w:val="00684A37"/>
    <w:rsid w:val="00684AE9"/>
    <w:rsid w:val="00684AF7"/>
    <w:rsid w:val="00684F1F"/>
    <w:rsid w:val="0068513A"/>
    <w:rsid w:val="00685465"/>
    <w:rsid w:val="006855C9"/>
    <w:rsid w:val="0068562C"/>
    <w:rsid w:val="0068567D"/>
    <w:rsid w:val="00685728"/>
    <w:rsid w:val="00685951"/>
    <w:rsid w:val="00685A00"/>
    <w:rsid w:val="00685CAC"/>
    <w:rsid w:val="00685DA6"/>
    <w:rsid w:val="00686038"/>
    <w:rsid w:val="00686048"/>
    <w:rsid w:val="006860FD"/>
    <w:rsid w:val="00686147"/>
    <w:rsid w:val="006862F8"/>
    <w:rsid w:val="0068631F"/>
    <w:rsid w:val="006863D3"/>
    <w:rsid w:val="00686470"/>
    <w:rsid w:val="006864F2"/>
    <w:rsid w:val="00686520"/>
    <w:rsid w:val="00686615"/>
    <w:rsid w:val="00686618"/>
    <w:rsid w:val="006866BF"/>
    <w:rsid w:val="006866D8"/>
    <w:rsid w:val="0068699D"/>
    <w:rsid w:val="006869AF"/>
    <w:rsid w:val="00686A6D"/>
    <w:rsid w:val="00686BE1"/>
    <w:rsid w:val="00686C68"/>
    <w:rsid w:val="00686E58"/>
    <w:rsid w:val="00686E94"/>
    <w:rsid w:val="00686ED6"/>
    <w:rsid w:val="00686F5D"/>
    <w:rsid w:val="0068713C"/>
    <w:rsid w:val="0068750C"/>
    <w:rsid w:val="0068757F"/>
    <w:rsid w:val="006877DE"/>
    <w:rsid w:val="00687930"/>
    <w:rsid w:val="006879CE"/>
    <w:rsid w:val="00687CF8"/>
    <w:rsid w:val="00687D59"/>
    <w:rsid w:val="00687DC9"/>
    <w:rsid w:val="00687E57"/>
    <w:rsid w:val="00687E82"/>
    <w:rsid w:val="0069029B"/>
    <w:rsid w:val="0069044F"/>
    <w:rsid w:val="00690468"/>
    <w:rsid w:val="0069049E"/>
    <w:rsid w:val="00690517"/>
    <w:rsid w:val="006905BB"/>
    <w:rsid w:val="0069079A"/>
    <w:rsid w:val="006907BF"/>
    <w:rsid w:val="00690828"/>
    <w:rsid w:val="00690A3F"/>
    <w:rsid w:val="00690AB6"/>
    <w:rsid w:val="00690CBD"/>
    <w:rsid w:val="00690CCD"/>
    <w:rsid w:val="00690CCF"/>
    <w:rsid w:val="00690D5F"/>
    <w:rsid w:val="00690DD8"/>
    <w:rsid w:val="00690E3B"/>
    <w:rsid w:val="00690EC6"/>
    <w:rsid w:val="00690F92"/>
    <w:rsid w:val="00690FDD"/>
    <w:rsid w:val="006910AA"/>
    <w:rsid w:val="00691379"/>
    <w:rsid w:val="00691438"/>
    <w:rsid w:val="006914DA"/>
    <w:rsid w:val="00691731"/>
    <w:rsid w:val="006918FE"/>
    <w:rsid w:val="0069192C"/>
    <w:rsid w:val="00691A92"/>
    <w:rsid w:val="00691B93"/>
    <w:rsid w:val="00691C24"/>
    <w:rsid w:val="00692020"/>
    <w:rsid w:val="00692028"/>
    <w:rsid w:val="0069206C"/>
    <w:rsid w:val="006920DA"/>
    <w:rsid w:val="0069212C"/>
    <w:rsid w:val="00692143"/>
    <w:rsid w:val="006923F1"/>
    <w:rsid w:val="0069242F"/>
    <w:rsid w:val="006926A4"/>
    <w:rsid w:val="00692930"/>
    <w:rsid w:val="00692A79"/>
    <w:rsid w:val="00692AB4"/>
    <w:rsid w:val="00692B37"/>
    <w:rsid w:val="006930C3"/>
    <w:rsid w:val="0069321D"/>
    <w:rsid w:val="006932F3"/>
    <w:rsid w:val="006938EC"/>
    <w:rsid w:val="00693931"/>
    <w:rsid w:val="00693A19"/>
    <w:rsid w:val="00693A62"/>
    <w:rsid w:val="00693AB2"/>
    <w:rsid w:val="00693BA6"/>
    <w:rsid w:val="00693BDC"/>
    <w:rsid w:val="00693D17"/>
    <w:rsid w:val="00693D73"/>
    <w:rsid w:val="00693EE5"/>
    <w:rsid w:val="00693FE9"/>
    <w:rsid w:val="00694002"/>
    <w:rsid w:val="0069408B"/>
    <w:rsid w:val="00694253"/>
    <w:rsid w:val="00694284"/>
    <w:rsid w:val="00694306"/>
    <w:rsid w:val="006944DA"/>
    <w:rsid w:val="006945BF"/>
    <w:rsid w:val="00694672"/>
    <w:rsid w:val="00694702"/>
    <w:rsid w:val="00694733"/>
    <w:rsid w:val="006948CF"/>
    <w:rsid w:val="006949DE"/>
    <w:rsid w:val="00694A96"/>
    <w:rsid w:val="00694A98"/>
    <w:rsid w:val="00694AA5"/>
    <w:rsid w:val="00694B17"/>
    <w:rsid w:val="00694BB3"/>
    <w:rsid w:val="00694C07"/>
    <w:rsid w:val="00694C13"/>
    <w:rsid w:val="00694C3B"/>
    <w:rsid w:val="00694D8B"/>
    <w:rsid w:val="00694FBA"/>
    <w:rsid w:val="006950C4"/>
    <w:rsid w:val="006951F3"/>
    <w:rsid w:val="006952DC"/>
    <w:rsid w:val="00695327"/>
    <w:rsid w:val="0069536B"/>
    <w:rsid w:val="006955BB"/>
    <w:rsid w:val="0069576D"/>
    <w:rsid w:val="006959C4"/>
    <w:rsid w:val="00695A06"/>
    <w:rsid w:val="00695A1E"/>
    <w:rsid w:val="00695A69"/>
    <w:rsid w:val="00695EB5"/>
    <w:rsid w:val="00695EDE"/>
    <w:rsid w:val="00695FB9"/>
    <w:rsid w:val="0069612F"/>
    <w:rsid w:val="006961E6"/>
    <w:rsid w:val="00696217"/>
    <w:rsid w:val="006962B0"/>
    <w:rsid w:val="006963CC"/>
    <w:rsid w:val="00696495"/>
    <w:rsid w:val="006964CD"/>
    <w:rsid w:val="006964E9"/>
    <w:rsid w:val="00696521"/>
    <w:rsid w:val="00696546"/>
    <w:rsid w:val="0069661D"/>
    <w:rsid w:val="00696779"/>
    <w:rsid w:val="0069683E"/>
    <w:rsid w:val="00696B6B"/>
    <w:rsid w:val="00696C59"/>
    <w:rsid w:val="00696CD8"/>
    <w:rsid w:val="00696DF7"/>
    <w:rsid w:val="00696F4D"/>
    <w:rsid w:val="00697003"/>
    <w:rsid w:val="00697011"/>
    <w:rsid w:val="006972AB"/>
    <w:rsid w:val="006973C5"/>
    <w:rsid w:val="0069757F"/>
    <w:rsid w:val="006975F4"/>
    <w:rsid w:val="00697726"/>
    <w:rsid w:val="00697768"/>
    <w:rsid w:val="006977E0"/>
    <w:rsid w:val="00697981"/>
    <w:rsid w:val="00697A0F"/>
    <w:rsid w:val="00697BEA"/>
    <w:rsid w:val="00697BEC"/>
    <w:rsid w:val="00697CEF"/>
    <w:rsid w:val="00697D37"/>
    <w:rsid w:val="00697F0A"/>
    <w:rsid w:val="00697F43"/>
    <w:rsid w:val="006A011C"/>
    <w:rsid w:val="006A022E"/>
    <w:rsid w:val="006A0353"/>
    <w:rsid w:val="006A03F3"/>
    <w:rsid w:val="006A0633"/>
    <w:rsid w:val="006A0868"/>
    <w:rsid w:val="006A0881"/>
    <w:rsid w:val="006A08CB"/>
    <w:rsid w:val="006A0BC6"/>
    <w:rsid w:val="006A0C10"/>
    <w:rsid w:val="006A0D06"/>
    <w:rsid w:val="006A0D0C"/>
    <w:rsid w:val="006A0E2D"/>
    <w:rsid w:val="006A0EF8"/>
    <w:rsid w:val="006A0F9C"/>
    <w:rsid w:val="006A100A"/>
    <w:rsid w:val="006A1230"/>
    <w:rsid w:val="006A1321"/>
    <w:rsid w:val="006A13A3"/>
    <w:rsid w:val="006A13DD"/>
    <w:rsid w:val="006A1468"/>
    <w:rsid w:val="006A14F9"/>
    <w:rsid w:val="006A1508"/>
    <w:rsid w:val="006A1750"/>
    <w:rsid w:val="006A1859"/>
    <w:rsid w:val="006A1A51"/>
    <w:rsid w:val="006A1CBB"/>
    <w:rsid w:val="006A1D40"/>
    <w:rsid w:val="006A1D97"/>
    <w:rsid w:val="006A1E4F"/>
    <w:rsid w:val="006A1EB2"/>
    <w:rsid w:val="006A1F75"/>
    <w:rsid w:val="006A23AE"/>
    <w:rsid w:val="006A24A4"/>
    <w:rsid w:val="006A24B7"/>
    <w:rsid w:val="006A280E"/>
    <w:rsid w:val="006A292B"/>
    <w:rsid w:val="006A2A4C"/>
    <w:rsid w:val="006A2B26"/>
    <w:rsid w:val="006A2F6E"/>
    <w:rsid w:val="006A2F8B"/>
    <w:rsid w:val="006A30D2"/>
    <w:rsid w:val="006A325F"/>
    <w:rsid w:val="006A337E"/>
    <w:rsid w:val="006A365A"/>
    <w:rsid w:val="006A374D"/>
    <w:rsid w:val="006A3792"/>
    <w:rsid w:val="006A387F"/>
    <w:rsid w:val="006A38D6"/>
    <w:rsid w:val="006A393E"/>
    <w:rsid w:val="006A39D7"/>
    <w:rsid w:val="006A3A61"/>
    <w:rsid w:val="006A3B08"/>
    <w:rsid w:val="006A3B71"/>
    <w:rsid w:val="006A3BA5"/>
    <w:rsid w:val="006A3C18"/>
    <w:rsid w:val="006A3CDD"/>
    <w:rsid w:val="006A3DA7"/>
    <w:rsid w:val="006A3EF4"/>
    <w:rsid w:val="006A3F75"/>
    <w:rsid w:val="006A40FB"/>
    <w:rsid w:val="006A413B"/>
    <w:rsid w:val="006A41E9"/>
    <w:rsid w:val="006A44A5"/>
    <w:rsid w:val="006A45B3"/>
    <w:rsid w:val="006A45D8"/>
    <w:rsid w:val="006A463F"/>
    <w:rsid w:val="006A4A4D"/>
    <w:rsid w:val="006A4B11"/>
    <w:rsid w:val="006A4C3E"/>
    <w:rsid w:val="006A4EBB"/>
    <w:rsid w:val="006A4F6C"/>
    <w:rsid w:val="006A500F"/>
    <w:rsid w:val="006A5031"/>
    <w:rsid w:val="006A506A"/>
    <w:rsid w:val="006A518B"/>
    <w:rsid w:val="006A51C0"/>
    <w:rsid w:val="006A51D7"/>
    <w:rsid w:val="006A51E6"/>
    <w:rsid w:val="006A51F7"/>
    <w:rsid w:val="006A540D"/>
    <w:rsid w:val="006A544D"/>
    <w:rsid w:val="006A54DD"/>
    <w:rsid w:val="006A5523"/>
    <w:rsid w:val="006A558A"/>
    <w:rsid w:val="006A559E"/>
    <w:rsid w:val="006A55FE"/>
    <w:rsid w:val="006A567C"/>
    <w:rsid w:val="006A56B3"/>
    <w:rsid w:val="006A58CB"/>
    <w:rsid w:val="006A59B5"/>
    <w:rsid w:val="006A5A03"/>
    <w:rsid w:val="006A5B66"/>
    <w:rsid w:val="006A5BBD"/>
    <w:rsid w:val="006A5C48"/>
    <w:rsid w:val="006A5D61"/>
    <w:rsid w:val="006A5D6B"/>
    <w:rsid w:val="006A5F8D"/>
    <w:rsid w:val="006A5FB8"/>
    <w:rsid w:val="006A60FE"/>
    <w:rsid w:val="006A60FF"/>
    <w:rsid w:val="006A6108"/>
    <w:rsid w:val="006A61C0"/>
    <w:rsid w:val="006A6346"/>
    <w:rsid w:val="006A645E"/>
    <w:rsid w:val="006A66B3"/>
    <w:rsid w:val="006A66B8"/>
    <w:rsid w:val="006A69D4"/>
    <w:rsid w:val="006A6A9E"/>
    <w:rsid w:val="006A6AD1"/>
    <w:rsid w:val="006A6B25"/>
    <w:rsid w:val="006A6FB8"/>
    <w:rsid w:val="006A735E"/>
    <w:rsid w:val="006A73BC"/>
    <w:rsid w:val="006A73ED"/>
    <w:rsid w:val="006A76B5"/>
    <w:rsid w:val="006A76D4"/>
    <w:rsid w:val="006A781B"/>
    <w:rsid w:val="006A7A58"/>
    <w:rsid w:val="006A7BF7"/>
    <w:rsid w:val="006A7D82"/>
    <w:rsid w:val="006A7E06"/>
    <w:rsid w:val="006B0040"/>
    <w:rsid w:val="006B0135"/>
    <w:rsid w:val="006B0293"/>
    <w:rsid w:val="006B0404"/>
    <w:rsid w:val="006B04B0"/>
    <w:rsid w:val="006B059E"/>
    <w:rsid w:val="006B05C7"/>
    <w:rsid w:val="006B0763"/>
    <w:rsid w:val="006B07E7"/>
    <w:rsid w:val="006B080E"/>
    <w:rsid w:val="006B09B5"/>
    <w:rsid w:val="006B09F0"/>
    <w:rsid w:val="006B0A67"/>
    <w:rsid w:val="006B0BFC"/>
    <w:rsid w:val="006B0D13"/>
    <w:rsid w:val="006B0FB9"/>
    <w:rsid w:val="006B110E"/>
    <w:rsid w:val="006B121D"/>
    <w:rsid w:val="006B124A"/>
    <w:rsid w:val="006B131F"/>
    <w:rsid w:val="006B14F0"/>
    <w:rsid w:val="006B155F"/>
    <w:rsid w:val="006B1598"/>
    <w:rsid w:val="006B15B7"/>
    <w:rsid w:val="006B18F4"/>
    <w:rsid w:val="006B1A16"/>
    <w:rsid w:val="006B1CA9"/>
    <w:rsid w:val="006B1D51"/>
    <w:rsid w:val="006B1D58"/>
    <w:rsid w:val="006B1E0E"/>
    <w:rsid w:val="006B1F66"/>
    <w:rsid w:val="006B207D"/>
    <w:rsid w:val="006B22D1"/>
    <w:rsid w:val="006B238F"/>
    <w:rsid w:val="006B23F4"/>
    <w:rsid w:val="006B279E"/>
    <w:rsid w:val="006B2802"/>
    <w:rsid w:val="006B2C9D"/>
    <w:rsid w:val="006B2E7F"/>
    <w:rsid w:val="006B2F3E"/>
    <w:rsid w:val="006B2F51"/>
    <w:rsid w:val="006B2FE2"/>
    <w:rsid w:val="006B30AF"/>
    <w:rsid w:val="006B31B7"/>
    <w:rsid w:val="006B3202"/>
    <w:rsid w:val="006B323F"/>
    <w:rsid w:val="006B34B8"/>
    <w:rsid w:val="006B34D6"/>
    <w:rsid w:val="006B3628"/>
    <w:rsid w:val="006B3A51"/>
    <w:rsid w:val="006B3A8A"/>
    <w:rsid w:val="006B3EC4"/>
    <w:rsid w:val="006B3F42"/>
    <w:rsid w:val="006B3FBC"/>
    <w:rsid w:val="006B4112"/>
    <w:rsid w:val="006B420D"/>
    <w:rsid w:val="006B424B"/>
    <w:rsid w:val="006B42A1"/>
    <w:rsid w:val="006B447D"/>
    <w:rsid w:val="006B44CE"/>
    <w:rsid w:val="006B487C"/>
    <w:rsid w:val="006B4883"/>
    <w:rsid w:val="006B489B"/>
    <w:rsid w:val="006B49E8"/>
    <w:rsid w:val="006B4B2C"/>
    <w:rsid w:val="006B4BCD"/>
    <w:rsid w:val="006B4D3A"/>
    <w:rsid w:val="006B4F47"/>
    <w:rsid w:val="006B512F"/>
    <w:rsid w:val="006B52EA"/>
    <w:rsid w:val="006B534B"/>
    <w:rsid w:val="006B5384"/>
    <w:rsid w:val="006B538B"/>
    <w:rsid w:val="006B5392"/>
    <w:rsid w:val="006B53C1"/>
    <w:rsid w:val="006B5536"/>
    <w:rsid w:val="006B5589"/>
    <w:rsid w:val="006B55E8"/>
    <w:rsid w:val="006B573E"/>
    <w:rsid w:val="006B5934"/>
    <w:rsid w:val="006B5A00"/>
    <w:rsid w:val="006B5A02"/>
    <w:rsid w:val="006B5D6F"/>
    <w:rsid w:val="006B5DA9"/>
    <w:rsid w:val="006B5E16"/>
    <w:rsid w:val="006B5E62"/>
    <w:rsid w:val="006B64DA"/>
    <w:rsid w:val="006B669F"/>
    <w:rsid w:val="006B6784"/>
    <w:rsid w:val="006B6D0D"/>
    <w:rsid w:val="006B6E58"/>
    <w:rsid w:val="006B6E5D"/>
    <w:rsid w:val="006B6EF7"/>
    <w:rsid w:val="006B6F56"/>
    <w:rsid w:val="006B7053"/>
    <w:rsid w:val="006B714A"/>
    <w:rsid w:val="006B75EE"/>
    <w:rsid w:val="006B770E"/>
    <w:rsid w:val="006B788E"/>
    <w:rsid w:val="006B798D"/>
    <w:rsid w:val="006B7AE9"/>
    <w:rsid w:val="006B7AFF"/>
    <w:rsid w:val="006B7CC4"/>
    <w:rsid w:val="006B7E76"/>
    <w:rsid w:val="006B7F5E"/>
    <w:rsid w:val="006C0039"/>
    <w:rsid w:val="006C006E"/>
    <w:rsid w:val="006C0080"/>
    <w:rsid w:val="006C01EA"/>
    <w:rsid w:val="006C02CE"/>
    <w:rsid w:val="006C07DC"/>
    <w:rsid w:val="006C0878"/>
    <w:rsid w:val="006C08F0"/>
    <w:rsid w:val="006C09C4"/>
    <w:rsid w:val="006C09FA"/>
    <w:rsid w:val="006C0B1D"/>
    <w:rsid w:val="006C0E83"/>
    <w:rsid w:val="006C124A"/>
    <w:rsid w:val="006C125D"/>
    <w:rsid w:val="006C1436"/>
    <w:rsid w:val="006C1562"/>
    <w:rsid w:val="006C174D"/>
    <w:rsid w:val="006C1ADE"/>
    <w:rsid w:val="006C1B31"/>
    <w:rsid w:val="006C1C9C"/>
    <w:rsid w:val="006C20FA"/>
    <w:rsid w:val="006C224B"/>
    <w:rsid w:val="006C22A2"/>
    <w:rsid w:val="006C240C"/>
    <w:rsid w:val="006C2537"/>
    <w:rsid w:val="006C2590"/>
    <w:rsid w:val="006C25AB"/>
    <w:rsid w:val="006C2929"/>
    <w:rsid w:val="006C2A82"/>
    <w:rsid w:val="006C2B50"/>
    <w:rsid w:val="006C2B5A"/>
    <w:rsid w:val="006C2CF8"/>
    <w:rsid w:val="006C2D10"/>
    <w:rsid w:val="006C2EE2"/>
    <w:rsid w:val="006C3213"/>
    <w:rsid w:val="006C3502"/>
    <w:rsid w:val="006C366B"/>
    <w:rsid w:val="006C38CC"/>
    <w:rsid w:val="006C393A"/>
    <w:rsid w:val="006C39DB"/>
    <w:rsid w:val="006C3A93"/>
    <w:rsid w:val="006C3A98"/>
    <w:rsid w:val="006C3B95"/>
    <w:rsid w:val="006C3BE6"/>
    <w:rsid w:val="006C3E81"/>
    <w:rsid w:val="006C40DA"/>
    <w:rsid w:val="006C4332"/>
    <w:rsid w:val="006C4516"/>
    <w:rsid w:val="006C4564"/>
    <w:rsid w:val="006C4675"/>
    <w:rsid w:val="006C47A8"/>
    <w:rsid w:val="006C47B1"/>
    <w:rsid w:val="006C49C5"/>
    <w:rsid w:val="006C4ADE"/>
    <w:rsid w:val="006C4C8E"/>
    <w:rsid w:val="006C4CD2"/>
    <w:rsid w:val="006C4D1E"/>
    <w:rsid w:val="006C4F3E"/>
    <w:rsid w:val="006C5136"/>
    <w:rsid w:val="006C5329"/>
    <w:rsid w:val="006C546F"/>
    <w:rsid w:val="006C54FC"/>
    <w:rsid w:val="006C5598"/>
    <w:rsid w:val="006C55C8"/>
    <w:rsid w:val="006C57FB"/>
    <w:rsid w:val="006C5A8E"/>
    <w:rsid w:val="006C5BAC"/>
    <w:rsid w:val="006C5C0F"/>
    <w:rsid w:val="006C5D05"/>
    <w:rsid w:val="006C5D61"/>
    <w:rsid w:val="006C5DC9"/>
    <w:rsid w:val="006C5E7C"/>
    <w:rsid w:val="006C5E7F"/>
    <w:rsid w:val="006C6040"/>
    <w:rsid w:val="006C62B8"/>
    <w:rsid w:val="006C6319"/>
    <w:rsid w:val="006C63F3"/>
    <w:rsid w:val="006C6430"/>
    <w:rsid w:val="006C64C0"/>
    <w:rsid w:val="006C64F9"/>
    <w:rsid w:val="006C66D2"/>
    <w:rsid w:val="006C66F0"/>
    <w:rsid w:val="006C6766"/>
    <w:rsid w:val="006C69FB"/>
    <w:rsid w:val="006C6C27"/>
    <w:rsid w:val="006C6C5E"/>
    <w:rsid w:val="006C6C87"/>
    <w:rsid w:val="006C6CEC"/>
    <w:rsid w:val="006C6D28"/>
    <w:rsid w:val="006C6DE0"/>
    <w:rsid w:val="006C6E87"/>
    <w:rsid w:val="006C7043"/>
    <w:rsid w:val="006C70F2"/>
    <w:rsid w:val="006C714E"/>
    <w:rsid w:val="006C72DF"/>
    <w:rsid w:val="006C7402"/>
    <w:rsid w:val="006C760F"/>
    <w:rsid w:val="006C76EC"/>
    <w:rsid w:val="006C7730"/>
    <w:rsid w:val="006C77E1"/>
    <w:rsid w:val="006C791E"/>
    <w:rsid w:val="006C7A4D"/>
    <w:rsid w:val="006C7AE5"/>
    <w:rsid w:val="006C7B79"/>
    <w:rsid w:val="006C7FBC"/>
    <w:rsid w:val="006D008D"/>
    <w:rsid w:val="006D00D3"/>
    <w:rsid w:val="006D00D7"/>
    <w:rsid w:val="006D018B"/>
    <w:rsid w:val="006D01F2"/>
    <w:rsid w:val="006D036C"/>
    <w:rsid w:val="006D03F5"/>
    <w:rsid w:val="006D0419"/>
    <w:rsid w:val="006D0590"/>
    <w:rsid w:val="006D08C9"/>
    <w:rsid w:val="006D092D"/>
    <w:rsid w:val="006D095E"/>
    <w:rsid w:val="006D0982"/>
    <w:rsid w:val="006D0B3F"/>
    <w:rsid w:val="006D0B45"/>
    <w:rsid w:val="006D0D88"/>
    <w:rsid w:val="006D0DD5"/>
    <w:rsid w:val="006D0DE2"/>
    <w:rsid w:val="006D1202"/>
    <w:rsid w:val="006D1310"/>
    <w:rsid w:val="006D147D"/>
    <w:rsid w:val="006D1521"/>
    <w:rsid w:val="006D1644"/>
    <w:rsid w:val="006D164D"/>
    <w:rsid w:val="006D17DF"/>
    <w:rsid w:val="006D17EE"/>
    <w:rsid w:val="006D19AA"/>
    <w:rsid w:val="006D1AB7"/>
    <w:rsid w:val="006D1AFA"/>
    <w:rsid w:val="006D1BA0"/>
    <w:rsid w:val="006D1CA2"/>
    <w:rsid w:val="006D1CDB"/>
    <w:rsid w:val="006D1E09"/>
    <w:rsid w:val="006D20ED"/>
    <w:rsid w:val="006D211D"/>
    <w:rsid w:val="006D2291"/>
    <w:rsid w:val="006D22E8"/>
    <w:rsid w:val="006D23AD"/>
    <w:rsid w:val="006D28F4"/>
    <w:rsid w:val="006D2A1A"/>
    <w:rsid w:val="006D2A9B"/>
    <w:rsid w:val="006D2ABC"/>
    <w:rsid w:val="006D2B8F"/>
    <w:rsid w:val="006D2ED3"/>
    <w:rsid w:val="006D2FD3"/>
    <w:rsid w:val="006D30FE"/>
    <w:rsid w:val="006D3169"/>
    <w:rsid w:val="006D31D9"/>
    <w:rsid w:val="006D337A"/>
    <w:rsid w:val="006D33EE"/>
    <w:rsid w:val="006D34ED"/>
    <w:rsid w:val="006D390B"/>
    <w:rsid w:val="006D390D"/>
    <w:rsid w:val="006D3AA7"/>
    <w:rsid w:val="006D3DA5"/>
    <w:rsid w:val="006D3ECB"/>
    <w:rsid w:val="006D3EF0"/>
    <w:rsid w:val="006D401D"/>
    <w:rsid w:val="006D4060"/>
    <w:rsid w:val="006D40DE"/>
    <w:rsid w:val="006D41AF"/>
    <w:rsid w:val="006D41C2"/>
    <w:rsid w:val="006D449A"/>
    <w:rsid w:val="006D4576"/>
    <w:rsid w:val="006D45D9"/>
    <w:rsid w:val="006D46AC"/>
    <w:rsid w:val="006D49B6"/>
    <w:rsid w:val="006D4B8D"/>
    <w:rsid w:val="006D4C7B"/>
    <w:rsid w:val="006D4C82"/>
    <w:rsid w:val="006D4D8E"/>
    <w:rsid w:val="006D4F5A"/>
    <w:rsid w:val="006D4FD7"/>
    <w:rsid w:val="006D5089"/>
    <w:rsid w:val="006D517B"/>
    <w:rsid w:val="006D521F"/>
    <w:rsid w:val="006D52AB"/>
    <w:rsid w:val="006D5354"/>
    <w:rsid w:val="006D565E"/>
    <w:rsid w:val="006D58D5"/>
    <w:rsid w:val="006D596F"/>
    <w:rsid w:val="006D5B59"/>
    <w:rsid w:val="006D5C8F"/>
    <w:rsid w:val="006D5E3B"/>
    <w:rsid w:val="006D5EF4"/>
    <w:rsid w:val="006D5F85"/>
    <w:rsid w:val="006D5FCE"/>
    <w:rsid w:val="006D6006"/>
    <w:rsid w:val="006D6038"/>
    <w:rsid w:val="006D603F"/>
    <w:rsid w:val="006D6268"/>
    <w:rsid w:val="006D62BF"/>
    <w:rsid w:val="006D638A"/>
    <w:rsid w:val="006D63DB"/>
    <w:rsid w:val="006D6420"/>
    <w:rsid w:val="006D646F"/>
    <w:rsid w:val="006D6568"/>
    <w:rsid w:val="006D6645"/>
    <w:rsid w:val="006D67D0"/>
    <w:rsid w:val="006D67E5"/>
    <w:rsid w:val="006D6940"/>
    <w:rsid w:val="006D6C22"/>
    <w:rsid w:val="006D6E88"/>
    <w:rsid w:val="006D6FB0"/>
    <w:rsid w:val="006D7135"/>
    <w:rsid w:val="006D7147"/>
    <w:rsid w:val="006D72EB"/>
    <w:rsid w:val="006D7466"/>
    <w:rsid w:val="006D74BF"/>
    <w:rsid w:val="006D7659"/>
    <w:rsid w:val="006D7AD1"/>
    <w:rsid w:val="006D7B5D"/>
    <w:rsid w:val="006D7E95"/>
    <w:rsid w:val="006D7F54"/>
    <w:rsid w:val="006E0106"/>
    <w:rsid w:val="006E0137"/>
    <w:rsid w:val="006E0358"/>
    <w:rsid w:val="006E0363"/>
    <w:rsid w:val="006E050F"/>
    <w:rsid w:val="006E05A2"/>
    <w:rsid w:val="006E05F5"/>
    <w:rsid w:val="006E0653"/>
    <w:rsid w:val="006E081B"/>
    <w:rsid w:val="006E0876"/>
    <w:rsid w:val="006E088A"/>
    <w:rsid w:val="006E0A9A"/>
    <w:rsid w:val="006E0B1C"/>
    <w:rsid w:val="006E0BD3"/>
    <w:rsid w:val="006E0E79"/>
    <w:rsid w:val="006E0F84"/>
    <w:rsid w:val="006E10A4"/>
    <w:rsid w:val="006E11F7"/>
    <w:rsid w:val="006E1377"/>
    <w:rsid w:val="006E13F4"/>
    <w:rsid w:val="006E1599"/>
    <w:rsid w:val="006E1619"/>
    <w:rsid w:val="006E172B"/>
    <w:rsid w:val="006E1773"/>
    <w:rsid w:val="006E1775"/>
    <w:rsid w:val="006E17A8"/>
    <w:rsid w:val="006E1AE3"/>
    <w:rsid w:val="006E1BDB"/>
    <w:rsid w:val="006E1BF2"/>
    <w:rsid w:val="006E1E58"/>
    <w:rsid w:val="006E1EAE"/>
    <w:rsid w:val="006E1F2B"/>
    <w:rsid w:val="006E1FD1"/>
    <w:rsid w:val="006E202B"/>
    <w:rsid w:val="006E205D"/>
    <w:rsid w:val="006E2081"/>
    <w:rsid w:val="006E22C2"/>
    <w:rsid w:val="006E2418"/>
    <w:rsid w:val="006E25B8"/>
    <w:rsid w:val="006E2632"/>
    <w:rsid w:val="006E270B"/>
    <w:rsid w:val="006E2713"/>
    <w:rsid w:val="006E277D"/>
    <w:rsid w:val="006E289D"/>
    <w:rsid w:val="006E29DA"/>
    <w:rsid w:val="006E2A2F"/>
    <w:rsid w:val="006E2ACE"/>
    <w:rsid w:val="006E2BCA"/>
    <w:rsid w:val="006E2D90"/>
    <w:rsid w:val="006E2DEF"/>
    <w:rsid w:val="006E2EFA"/>
    <w:rsid w:val="006E2FEA"/>
    <w:rsid w:val="006E3047"/>
    <w:rsid w:val="006E310B"/>
    <w:rsid w:val="006E3243"/>
    <w:rsid w:val="006E3259"/>
    <w:rsid w:val="006E343C"/>
    <w:rsid w:val="006E34FF"/>
    <w:rsid w:val="006E3618"/>
    <w:rsid w:val="006E372F"/>
    <w:rsid w:val="006E37A9"/>
    <w:rsid w:val="006E37B2"/>
    <w:rsid w:val="006E37BE"/>
    <w:rsid w:val="006E37D1"/>
    <w:rsid w:val="006E380F"/>
    <w:rsid w:val="006E3866"/>
    <w:rsid w:val="006E393E"/>
    <w:rsid w:val="006E39C9"/>
    <w:rsid w:val="006E3A0C"/>
    <w:rsid w:val="006E3A35"/>
    <w:rsid w:val="006E3BBD"/>
    <w:rsid w:val="006E3C72"/>
    <w:rsid w:val="006E3D19"/>
    <w:rsid w:val="006E41F3"/>
    <w:rsid w:val="006E42B8"/>
    <w:rsid w:val="006E437B"/>
    <w:rsid w:val="006E43A4"/>
    <w:rsid w:val="006E4605"/>
    <w:rsid w:val="006E4694"/>
    <w:rsid w:val="006E46BF"/>
    <w:rsid w:val="006E46C0"/>
    <w:rsid w:val="006E46E4"/>
    <w:rsid w:val="006E4790"/>
    <w:rsid w:val="006E47F1"/>
    <w:rsid w:val="006E486D"/>
    <w:rsid w:val="006E4A21"/>
    <w:rsid w:val="006E4A47"/>
    <w:rsid w:val="006E4AD0"/>
    <w:rsid w:val="006E4CAE"/>
    <w:rsid w:val="006E4F94"/>
    <w:rsid w:val="006E5025"/>
    <w:rsid w:val="006E5158"/>
    <w:rsid w:val="006E51CA"/>
    <w:rsid w:val="006E52CB"/>
    <w:rsid w:val="006E558E"/>
    <w:rsid w:val="006E56BE"/>
    <w:rsid w:val="006E56D9"/>
    <w:rsid w:val="006E57B7"/>
    <w:rsid w:val="006E589E"/>
    <w:rsid w:val="006E5917"/>
    <w:rsid w:val="006E59D6"/>
    <w:rsid w:val="006E5B78"/>
    <w:rsid w:val="006E5C22"/>
    <w:rsid w:val="006E5DCB"/>
    <w:rsid w:val="006E5E9D"/>
    <w:rsid w:val="006E5F30"/>
    <w:rsid w:val="006E63AF"/>
    <w:rsid w:val="006E6551"/>
    <w:rsid w:val="006E670E"/>
    <w:rsid w:val="006E6750"/>
    <w:rsid w:val="006E6862"/>
    <w:rsid w:val="006E688C"/>
    <w:rsid w:val="006E69B8"/>
    <w:rsid w:val="006E69CE"/>
    <w:rsid w:val="006E6A3D"/>
    <w:rsid w:val="006E6A68"/>
    <w:rsid w:val="006E6B4F"/>
    <w:rsid w:val="006E6B7C"/>
    <w:rsid w:val="006E6C5F"/>
    <w:rsid w:val="006E6CB2"/>
    <w:rsid w:val="006E6CC6"/>
    <w:rsid w:val="006E6F3A"/>
    <w:rsid w:val="006E6F3D"/>
    <w:rsid w:val="006E7060"/>
    <w:rsid w:val="006E71F7"/>
    <w:rsid w:val="006E7208"/>
    <w:rsid w:val="006E73B4"/>
    <w:rsid w:val="006E7609"/>
    <w:rsid w:val="006E77DD"/>
    <w:rsid w:val="006E78F2"/>
    <w:rsid w:val="006E796E"/>
    <w:rsid w:val="006E7CD6"/>
    <w:rsid w:val="006E7D6B"/>
    <w:rsid w:val="006E7D72"/>
    <w:rsid w:val="006F007F"/>
    <w:rsid w:val="006F0253"/>
    <w:rsid w:val="006F0295"/>
    <w:rsid w:val="006F0398"/>
    <w:rsid w:val="006F0440"/>
    <w:rsid w:val="006F0509"/>
    <w:rsid w:val="006F05D8"/>
    <w:rsid w:val="006F068F"/>
    <w:rsid w:val="006F0838"/>
    <w:rsid w:val="006F0930"/>
    <w:rsid w:val="006F0AD0"/>
    <w:rsid w:val="006F0B32"/>
    <w:rsid w:val="006F0B67"/>
    <w:rsid w:val="006F0B99"/>
    <w:rsid w:val="006F0D54"/>
    <w:rsid w:val="006F0DC4"/>
    <w:rsid w:val="006F0EB5"/>
    <w:rsid w:val="006F0EBE"/>
    <w:rsid w:val="006F1160"/>
    <w:rsid w:val="006F118F"/>
    <w:rsid w:val="006F11A9"/>
    <w:rsid w:val="006F11B8"/>
    <w:rsid w:val="006F12DD"/>
    <w:rsid w:val="006F133D"/>
    <w:rsid w:val="006F1462"/>
    <w:rsid w:val="006F15B1"/>
    <w:rsid w:val="006F15DA"/>
    <w:rsid w:val="006F1768"/>
    <w:rsid w:val="006F178B"/>
    <w:rsid w:val="006F1AD2"/>
    <w:rsid w:val="006F1C78"/>
    <w:rsid w:val="006F1CAE"/>
    <w:rsid w:val="006F1D06"/>
    <w:rsid w:val="006F1D83"/>
    <w:rsid w:val="006F2109"/>
    <w:rsid w:val="006F2127"/>
    <w:rsid w:val="006F2166"/>
    <w:rsid w:val="006F249D"/>
    <w:rsid w:val="006F25F5"/>
    <w:rsid w:val="006F26B0"/>
    <w:rsid w:val="006F26C1"/>
    <w:rsid w:val="006F27D6"/>
    <w:rsid w:val="006F27FD"/>
    <w:rsid w:val="006F289F"/>
    <w:rsid w:val="006F2A9B"/>
    <w:rsid w:val="006F2B28"/>
    <w:rsid w:val="006F2E52"/>
    <w:rsid w:val="006F2EB1"/>
    <w:rsid w:val="006F2F09"/>
    <w:rsid w:val="006F2F2F"/>
    <w:rsid w:val="006F2FF7"/>
    <w:rsid w:val="006F3026"/>
    <w:rsid w:val="006F3054"/>
    <w:rsid w:val="006F3061"/>
    <w:rsid w:val="006F3160"/>
    <w:rsid w:val="006F31DD"/>
    <w:rsid w:val="006F33B5"/>
    <w:rsid w:val="006F3461"/>
    <w:rsid w:val="006F3514"/>
    <w:rsid w:val="006F35F9"/>
    <w:rsid w:val="006F3644"/>
    <w:rsid w:val="006F37CB"/>
    <w:rsid w:val="006F37FE"/>
    <w:rsid w:val="006F3835"/>
    <w:rsid w:val="006F3878"/>
    <w:rsid w:val="006F39CB"/>
    <w:rsid w:val="006F3BBD"/>
    <w:rsid w:val="006F3BC6"/>
    <w:rsid w:val="006F3EA2"/>
    <w:rsid w:val="006F3F44"/>
    <w:rsid w:val="006F40A7"/>
    <w:rsid w:val="006F410C"/>
    <w:rsid w:val="006F413F"/>
    <w:rsid w:val="006F417C"/>
    <w:rsid w:val="006F417E"/>
    <w:rsid w:val="006F432D"/>
    <w:rsid w:val="006F45DE"/>
    <w:rsid w:val="006F47AE"/>
    <w:rsid w:val="006F4882"/>
    <w:rsid w:val="006F49AE"/>
    <w:rsid w:val="006F4A2D"/>
    <w:rsid w:val="006F4A67"/>
    <w:rsid w:val="006F4CDC"/>
    <w:rsid w:val="006F4CE6"/>
    <w:rsid w:val="006F4D01"/>
    <w:rsid w:val="006F4D0B"/>
    <w:rsid w:val="006F4D6D"/>
    <w:rsid w:val="006F4DFE"/>
    <w:rsid w:val="006F4EE3"/>
    <w:rsid w:val="006F504E"/>
    <w:rsid w:val="006F505F"/>
    <w:rsid w:val="006F50CC"/>
    <w:rsid w:val="006F5592"/>
    <w:rsid w:val="006F57FC"/>
    <w:rsid w:val="006F58CD"/>
    <w:rsid w:val="006F59C5"/>
    <w:rsid w:val="006F5A3C"/>
    <w:rsid w:val="006F5AC9"/>
    <w:rsid w:val="006F5B52"/>
    <w:rsid w:val="006F5BD3"/>
    <w:rsid w:val="006F5BE6"/>
    <w:rsid w:val="006F5D09"/>
    <w:rsid w:val="006F5E87"/>
    <w:rsid w:val="006F5F9E"/>
    <w:rsid w:val="006F603B"/>
    <w:rsid w:val="006F605B"/>
    <w:rsid w:val="006F60D8"/>
    <w:rsid w:val="006F62E5"/>
    <w:rsid w:val="006F62EC"/>
    <w:rsid w:val="006F6334"/>
    <w:rsid w:val="006F65B6"/>
    <w:rsid w:val="006F6644"/>
    <w:rsid w:val="006F677C"/>
    <w:rsid w:val="006F6937"/>
    <w:rsid w:val="006F6B0F"/>
    <w:rsid w:val="006F6D5D"/>
    <w:rsid w:val="006F6EDB"/>
    <w:rsid w:val="006F70FA"/>
    <w:rsid w:val="006F732A"/>
    <w:rsid w:val="006F7348"/>
    <w:rsid w:val="006F7426"/>
    <w:rsid w:val="006F7495"/>
    <w:rsid w:val="006F75D8"/>
    <w:rsid w:val="006F76A0"/>
    <w:rsid w:val="006F76BF"/>
    <w:rsid w:val="006F78C8"/>
    <w:rsid w:val="006F791C"/>
    <w:rsid w:val="006F7964"/>
    <w:rsid w:val="006F7A2E"/>
    <w:rsid w:val="006F7B91"/>
    <w:rsid w:val="006F7B98"/>
    <w:rsid w:val="006F7BA8"/>
    <w:rsid w:val="006F7C3F"/>
    <w:rsid w:val="006F7D81"/>
    <w:rsid w:val="006F7E95"/>
    <w:rsid w:val="006F7F70"/>
    <w:rsid w:val="00700184"/>
    <w:rsid w:val="0070033D"/>
    <w:rsid w:val="007003C7"/>
    <w:rsid w:val="00700429"/>
    <w:rsid w:val="007004AB"/>
    <w:rsid w:val="00700505"/>
    <w:rsid w:val="0070064D"/>
    <w:rsid w:val="007006B9"/>
    <w:rsid w:val="007007E0"/>
    <w:rsid w:val="0070080D"/>
    <w:rsid w:val="007008CA"/>
    <w:rsid w:val="0070096A"/>
    <w:rsid w:val="00700CFD"/>
    <w:rsid w:val="00700ED9"/>
    <w:rsid w:val="00701344"/>
    <w:rsid w:val="0070143A"/>
    <w:rsid w:val="00701505"/>
    <w:rsid w:val="00701636"/>
    <w:rsid w:val="007017D6"/>
    <w:rsid w:val="00701905"/>
    <w:rsid w:val="00701B8E"/>
    <w:rsid w:val="00701EC9"/>
    <w:rsid w:val="00701F08"/>
    <w:rsid w:val="007022A5"/>
    <w:rsid w:val="00702313"/>
    <w:rsid w:val="0070232B"/>
    <w:rsid w:val="007024DE"/>
    <w:rsid w:val="00702836"/>
    <w:rsid w:val="00702AFE"/>
    <w:rsid w:val="00702B02"/>
    <w:rsid w:val="00702B69"/>
    <w:rsid w:val="00702BE7"/>
    <w:rsid w:val="00702DCE"/>
    <w:rsid w:val="007030E4"/>
    <w:rsid w:val="00703229"/>
    <w:rsid w:val="00703429"/>
    <w:rsid w:val="00703496"/>
    <w:rsid w:val="007038AA"/>
    <w:rsid w:val="0070396D"/>
    <w:rsid w:val="00703982"/>
    <w:rsid w:val="00703B7F"/>
    <w:rsid w:val="00703D96"/>
    <w:rsid w:val="00703F57"/>
    <w:rsid w:val="00704046"/>
    <w:rsid w:val="00704226"/>
    <w:rsid w:val="00704275"/>
    <w:rsid w:val="0070427D"/>
    <w:rsid w:val="00704937"/>
    <w:rsid w:val="00704A83"/>
    <w:rsid w:val="00704AAF"/>
    <w:rsid w:val="00704B25"/>
    <w:rsid w:val="00704EC0"/>
    <w:rsid w:val="00704FE1"/>
    <w:rsid w:val="00705298"/>
    <w:rsid w:val="0070539B"/>
    <w:rsid w:val="007056D4"/>
    <w:rsid w:val="0070577C"/>
    <w:rsid w:val="007057F3"/>
    <w:rsid w:val="0070582D"/>
    <w:rsid w:val="00705960"/>
    <w:rsid w:val="00705A14"/>
    <w:rsid w:val="00705AEA"/>
    <w:rsid w:val="00705BA3"/>
    <w:rsid w:val="00705BBC"/>
    <w:rsid w:val="00705BC5"/>
    <w:rsid w:val="00705C94"/>
    <w:rsid w:val="00705CF5"/>
    <w:rsid w:val="00705D52"/>
    <w:rsid w:val="00705DAE"/>
    <w:rsid w:val="00705F84"/>
    <w:rsid w:val="00705FB1"/>
    <w:rsid w:val="0070615F"/>
    <w:rsid w:val="007063AC"/>
    <w:rsid w:val="0070650A"/>
    <w:rsid w:val="0070658C"/>
    <w:rsid w:val="0070663E"/>
    <w:rsid w:val="007068F3"/>
    <w:rsid w:val="00706983"/>
    <w:rsid w:val="00706C3D"/>
    <w:rsid w:val="00706C67"/>
    <w:rsid w:val="00706D00"/>
    <w:rsid w:val="00706DDB"/>
    <w:rsid w:val="00706F3B"/>
    <w:rsid w:val="007070D6"/>
    <w:rsid w:val="007070FA"/>
    <w:rsid w:val="007071BE"/>
    <w:rsid w:val="0070721F"/>
    <w:rsid w:val="007073ED"/>
    <w:rsid w:val="0070743B"/>
    <w:rsid w:val="00707680"/>
    <w:rsid w:val="00707683"/>
    <w:rsid w:val="007076F5"/>
    <w:rsid w:val="0070770F"/>
    <w:rsid w:val="0070781E"/>
    <w:rsid w:val="00707845"/>
    <w:rsid w:val="007078DE"/>
    <w:rsid w:val="00707C7F"/>
    <w:rsid w:val="00707F4D"/>
    <w:rsid w:val="007100C6"/>
    <w:rsid w:val="00710150"/>
    <w:rsid w:val="00710156"/>
    <w:rsid w:val="007102D2"/>
    <w:rsid w:val="007102F7"/>
    <w:rsid w:val="007103D7"/>
    <w:rsid w:val="0071065C"/>
    <w:rsid w:val="00710727"/>
    <w:rsid w:val="00710A50"/>
    <w:rsid w:val="00710C03"/>
    <w:rsid w:val="00710D60"/>
    <w:rsid w:val="00710E12"/>
    <w:rsid w:val="00710E49"/>
    <w:rsid w:val="00710E4B"/>
    <w:rsid w:val="00710E93"/>
    <w:rsid w:val="007110AA"/>
    <w:rsid w:val="0071131F"/>
    <w:rsid w:val="00711414"/>
    <w:rsid w:val="00711456"/>
    <w:rsid w:val="007116DA"/>
    <w:rsid w:val="00711794"/>
    <w:rsid w:val="007118E2"/>
    <w:rsid w:val="007119B9"/>
    <w:rsid w:val="00711D4B"/>
    <w:rsid w:val="00711D4D"/>
    <w:rsid w:val="00712026"/>
    <w:rsid w:val="007121AA"/>
    <w:rsid w:val="007121F6"/>
    <w:rsid w:val="00712257"/>
    <w:rsid w:val="00712412"/>
    <w:rsid w:val="0071248C"/>
    <w:rsid w:val="0071259C"/>
    <w:rsid w:val="007125FC"/>
    <w:rsid w:val="00712655"/>
    <w:rsid w:val="00712862"/>
    <w:rsid w:val="00712B39"/>
    <w:rsid w:val="00712B6F"/>
    <w:rsid w:val="00712D03"/>
    <w:rsid w:val="00712DE7"/>
    <w:rsid w:val="00712F63"/>
    <w:rsid w:val="0071314D"/>
    <w:rsid w:val="007131BE"/>
    <w:rsid w:val="007131F7"/>
    <w:rsid w:val="00713293"/>
    <w:rsid w:val="00713299"/>
    <w:rsid w:val="007132E1"/>
    <w:rsid w:val="007132E8"/>
    <w:rsid w:val="0071332F"/>
    <w:rsid w:val="00713568"/>
    <w:rsid w:val="0071356B"/>
    <w:rsid w:val="007135EC"/>
    <w:rsid w:val="007135FE"/>
    <w:rsid w:val="00713848"/>
    <w:rsid w:val="00713AA9"/>
    <w:rsid w:val="00713AC4"/>
    <w:rsid w:val="00713ACA"/>
    <w:rsid w:val="00713C88"/>
    <w:rsid w:val="00713CAA"/>
    <w:rsid w:val="00713D1A"/>
    <w:rsid w:val="00713EBE"/>
    <w:rsid w:val="00713ECA"/>
    <w:rsid w:val="00713FDE"/>
    <w:rsid w:val="007140E3"/>
    <w:rsid w:val="00714241"/>
    <w:rsid w:val="007143D2"/>
    <w:rsid w:val="007146DC"/>
    <w:rsid w:val="007147D9"/>
    <w:rsid w:val="007147DA"/>
    <w:rsid w:val="007148DF"/>
    <w:rsid w:val="00714A30"/>
    <w:rsid w:val="00714A96"/>
    <w:rsid w:val="00714BB1"/>
    <w:rsid w:val="00714D36"/>
    <w:rsid w:val="00714DC2"/>
    <w:rsid w:val="00714DDD"/>
    <w:rsid w:val="0071506A"/>
    <w:rsid w:val="00715108"/>
    <w:rsid w:val="00715149"/>
    <w:rsid w:val="0071517D"/>
    <w:rsid w:val="00715412"/>
    <w:rsid w:val="0071550A"/>
    <w:rsid w:val="007155BB"/>
    <w:rsid w:val="007155CF"/>
    <w:rsid w:val="007155F2"/>
    <w:rsid w:val="0071562F"/>
    <w:rsid w:val="00715666"/>
    <w:rsid w:val="00715708"/>
    <w:rsid w:val="0071571B"/>
    <w:rsid w:val="00715897"/>
    <w:rsid w:val="007158E4"/>
    <w:rsid w:val="00715977"/>
    <w:rsid w:val="00715995"/>
    <w:rsid w:val="007159DB"/>
    <w:rsid w:val="00715A40"/>
    <w:rsid w:val="00715D18"/>
    <w:rsid w:val="00715F24"/>
    <w:rsid w:val="007166B3"/>
    <w:rsid w:val="007166F4"/>
    <w:rsid w:val="007166F5"/>
    <w:rsid w:val="0071671B"/>
    <w:rsid w:val="0071681D"/>
    <w:rsid w:val="00716997"/>
    <w:rsid w:val="007169E3"/>
    <w:rsid w:val="00716A7B"/>
    <w:rsid w:val="00716A87"/>
    <w:rsid w:val="00716AAB"/>
    <w:rsid w:val="00716B46"/>
    <w:rsid w:val="00716C5E"/>
    <w:rsid w:val="00716CCB"/>
    <w:rsid w:val="00716CD9"/>
    <w:rsid w:val="00716E1C"/>
    <w:rsid w:val="00717012"/>
    <w:rsid w:val="00717128"/>
    <w:rsid w:val="00717141"/>
    <w:rsid w:val="007171E6"/>
    <w:rsid w:val="00717347"/>
    <w:rsid w:val="00717364"/>
    <w:rsid w:val="0071768B"/>
    <w:rsid w:val="00717849"/>
    <w:rsid w:val="0071785B"/>
    <w:rsid w:val="007178E3"/>
    <w:rsid w:val="00717A3D"/>
    <w:rsid w:val="00717B19"/>
    <w:rsid w:val="00717B3C"/>
    <w:rsid w:val="00717B9D"/>
    <w:rsid w:val="00717C9F"/>
    <w:rsid w:val="00717F84"/>
    <w:rsid w:val="00720054"/>
    <w:rsid w:val="007201BA"/>
    <w:rsid w:val="007202E9"/>
    <w:rsid w:val="00720304"/>
    <w:rsid w:val="00720310"/>
    <w:rsid w:val="0072037D"/>
    <w:rsid w:val="00720565"/>
    <w:rsid w:val="007205E0"/>
    <w:rsid w:val="00720617"/>
    <w:rsid w:val="0072071D"/>
    <w:rsid w:val="007208BB"/>
    <w:rsid w:val="007209CB"/>
    <w:rsid w:val="00720ABE"/>
    <w:rsid w:val="00720B52"/>
    <w:rsid w:val="00720C2A"/>
    <w:rsid w:val="00720C48"/>
    <w:rsid w:val="00720C60"/>
    <w:rsid w:val="00720C88"/>
    <w:rsid w:val="00720EC7"/>
    <w:rsid w:val="00720F71"/>
    <w:rsid w:val="007211E9"/>
    <w:rsid w:val="007214A8"/>
    <w:rsid w:val="00721737"/>
    <w:rsid w:val="00721767"/>
    <w:rsid w:val="007219A2"/>
    <w:rsid w:val="00721A6A"/>
    <w:rsid w:val="00721BCF"/>
    <w:rsid w:val="00721D28"/>
    <w:rsid w:val="00721DC5"/>
    <w:rsid w:val="00721DF2"/>
    <w:rsid w:val="00721E15"/>
    <w:rsid w:val="007220CB"/>
    <w:rsid w:val="007220F1"/>
    <w:rsid w:val="007223CF"/>
    <w:rsid w:val="007224A8"/>
    <w:rsid w:val="007224AD"/>
    <w:rsid w:val="007224CC"/>
    <w:rsid w:val="007224E6"/>
    <w:rsid w:val="00722520"/>
    <w:rsid w:val="007225D2"/>
    <w:rsid w:val="007225D7"/>
    <w:rsid w:val="007226F8"/>
    <w:rsid w:val="007227D4"/>
    <w:rsid w:val="0072282B"/>
    <w:rsid w:val="007229BD"/>
    <w:rsid w:val="00722D2A"/>
    <w:rsid w:val="00722DF1"/>
    <w:rsid w:val="00722F3B"/>
    <w:rsid w:val="00723033"/>
    <w:rsid w:val="007231EE"/>
    <w:rsid w:val="0072330D"/>
    <w:rsid w:val="00723371"/>
    <w:rsid w:val="007233A2"/>
    <w:rsid w:val="007233E9"/>
    <w:rsid w:val="0072352A"/>
    <w:rsid w:val="007235FB"/>
    <w:rsid w:val="00723709"/>
    <w:rsid w:val="007238D3"/>
    <w:rsid w:val="0072398C"/>
    <w:rsid w:val="00723BF8"/>
    <w:rsid w:val="00723C53"/>
    <w:rsid w:val="00723CC6"/>
    <w:rsid w:val="00723D15"/>
    <w:rsid w:val="00723D95"/>
    <w:rsid w:val="00723E16"/>
    <w:rsid w:val="00723EF2"/>
    <w:rsid w:val="00723F34"/>
    <w:rsid w:val="00724037"/>
    <w:rsid w:val="007241F7"/>
    <w:rsid w:val="007242E8"/>
    <w:rsid w:val="0072442E"/>
    <w:rsid w:val="00724437"/>
    <w:rsid w:val="00724496"/>
    <w:rsid w:val="007244A8"/>
    <w:rsid w:val="007244DE"/>
    <w:rsid w:val="00724756"/>
    <w:rsid w:val="007247EE"/>
    <w:rsid w:val="0072485C"/>
    <w:rsid w:val="0072489B"/>
    <w:rsid w:val="007248F8"/>
    <w:rsid w:val="00724A00"/>
    <w:rsid w:val="00724BDF"/>
    <w:rsid w:val="00724D8D"/>
    <w:rsid w:val="00724DB4"/>
    <w:rsid w:val="00724E47"/>
    <w:rsid w:val="00724F8A"/>
    <w:rsid w:val="00725067"/>
    <w:rsid w:val="00725118"/>
    <w:rsid w:val="007255DA"/>
    <w:rsid w:val="0072578E"/>
    <w:rsid w:val="007258E7"/>
    <w:rsid w:val="00725A54"/>
    <w:rsid w:val="00725B31"/>
    <w:rsid w:val="00725BA3"/>
    <w:rsid w:val="00725C00"/>
    <w:rsid w:val="00725F26"/>
    <w:rsid w:val="00725F34"/>
    <w:rsid w:val="00725FEE"/>
    <w:rsid w:val="007260DE"/>
    <w:rsid w:val="007261A4"/>
    <w:rsid w:val="007261B8"/>
    <w:rsid w:val="00726228"/>
    <w:rsid w:val="007263F4"/>
    <w:rsid w:val="007264D9"/>
    <w:rsid w:val="0072657E"/>
    <w:rsid w:val="007265C7"/>
    <w:rsid w:val="0072675F"/>
    <w:rsid w:val="0072677F"/>
    <w:rsid w:val="007268D6"/>
    <w:rsid w:val="00726A0F"/>
    <w:rsid w:val="00726B40"/>
    <w:rsid w:val="00726B44"/>
    <w:rsid w:val="00726CD7"/>
    <w:rsid w:val="00726D8D"/>
    <w:rsid w:val="00726DA4"/>
    <w:rsid w:val="00726DAF"/>
    <w:rsid w:val="00726E72"/>
    <w:rsid w:val="00727285"/>
    <w:rsid w:val="007272C9"/>
    <w:rsid w:val="0072741B"/>
    <w:rsid w:val="00727468"/>
    <w:rsid w:val="007274A2"/>
    <w:rsid w:val="007274F3"/>
    <w:rsid w:val="00727997"/>
    <w:rsid w:val="00727AB9"/>
    <w:rsid w:val="00727AC1"/>
    <w:rsid w:val="00727B50"/>
    <w:rsid w:val="00727CFC"/>
    <w:rsid w:val="00727F15"/>
    <w:rsid w:val="0073037D"/>
    <w:rsid w:val="00730480"/>
    <w:rsid w:val="007306CE"/>
    <w:rsid w:val="00730798"/>
    <w:rsid w:val="00730799"/>
    <w:rsid w:val="00730815"/>
    <w:rsid w:val="007308B3"/>
    <w:rsid w:val="007308D4"/>
    <w:rsid w:val="00730938"/>
    <w:rsid w:val="00730A56"/>
    <w:rsid w:val="00730AB1"/>
    <w:rsid w:val="00730B7B"/>
    <w:rsid w:val="00730D29"/>
    <w:rsid w:val="00730D4F"/>
    <w:rsid w:val="00730DC4"/>
    <w:rsid w:val="00730E51"/>
    <w:rsid w:val="00730F20"/>
    <w:rsid w:val="0073122E"/>
    <w:rsid w:val="0073131D"/>
    <w:rsid w:val="00731362"/>
    <w:rsid w:val="007317F2"/>
    <w:rsid w:val="00731815"/>
    <w:rsid w:val="00731842"/>
    <w:rsid w:val="00731B39"/>
    <w:rsid w:val="00731CF9"/>
    <w:rsid w:val="00732068"/>
    <w:rsid w:val="00732396"/>
    <w:rsid w:val="007324E6"/>
    <w:rsid w:val="0073258C"/>
    <w:rsid w:val="0073277C"/>
    <w:rsid w:val="00732854"/>
    <w:rsid w:val="0073287B"/>
    <w:rsid w:val="0073289C"/>
    <w:rsid w:val="007329D7"/>
    <w:rsid w:val="00732A08"/>
    <w:rsid w:val="00732D2A"/>
    <w:rsid w:val="00732F03"/>
    <w:rsid w:val="0073305E"/>
    <w:rsid w:val="007332BE"/>
    <w:rsid w:val="00733393"/>
    <w:rsid w:val="007334BA"/>
    <w:rsid w:val="007335DB"/>
    <w:rsid w:val="00733616"/>
    <w:rsid w:val="0073361A"/>
    <w:rsid w:val="00733714"/>
    <w:rsid w:val="00733795"/>
    <w:rsid w:val="00733A04"/>
    <w:rsid w:val="00733AD6"/>
    <w:rsid w:val="00733AF9"/>
    <w:rsid w:val="00733B0D"/>
    <w:rsid w:val="00733CAA"/>
    <w:rsid w:val="00733CBB"/>
    <w:rsid w:val="0073424D"/>
    <w:rsid w:val="0073433D"/>
    <w:rsid w:val="007344A0"/>
    <w:rsid w:val="007347BF"/>
    <w:rsid w:val="00734848"/>
    <w:rsid w:val="0073486D"/>
    <w:rsid w:val="007349B6"/>
    <w:rsid w:val="007349FC"/>
    <w:rsid w:val="00734B4C"/>
    <w:rsid w:val="00734E10"/>
    <w:rsid w:val="0073505B"/>
    <w:rsid w:val="0073513A"/>
    <w:rsid w:val="00735186"/>
    <w:rsid w:val="00735474"/>
    <w:rsid w:val="00735655"/>
    <w:rsid w:val="00735845"/>
    <w:rsid w:val="007358E5"/>
    <w:rsid w:val="00735E6F"/>
    <w:rsid w:val="00735F02"/>
    <w:rsid w:val="00735F4F"/>
    <w:rsid w:val="0073615A"/>
    <w:rsid w:val="0073623B"/>
    <w:rsid w:val="00736298"/>
    <w:rsid w:val="0073629A"/>
    <w:rsid w:val="00736398"/>
    <w:rsid w:val="00736596"/>
    <w:rsid w:val="00736902"/>
    <w:rsid w:val="00736D2D"/>
    <w:rsid w:val="00737092"/>
    <w:rsid w:val="007371CD"/>
    <w:rsid w:val="00737325"/>
    <w:rsid w:val="00737378"/>
    <w:rsid w:val="0073742A"/>
    <w:rsid w:val="00737490"/>
    <w:rsid w:val="007375E1"/>
    <w:rsid w:val="00737808"/>
    <w:rsid w:val="0073788A"/>
    <w:rsid w:val="00737AF9"/>
    <w:rsid w:val="00737B62"/>
    <w:rsid w:val="00737BB0"/>
    <w:rsid w:val="00737BC6"/>
    <w:rsid w:val="00737C5B"/>
    <w:rsid w:val="00737EBC"/>
    <w:rsid w:val="00737EEA"/>
    <w:rsid w:val="00737EED"/>
    <w:rsid w:val="00737FAC"/>
    <w:rsid w:val="0074003C"/>
    <w:rsid w:val="0074015F"/>
    <w:rsid w:val="007401D7"/>
    <w:rsid w:val="0074028B"/>
    <w:rsid w:val="0074036D"/>
    <w:rsid w:val="007403D8"/>
    <w:rsid w:val="007403F8"/>
    <w:rsid w:val="00740504"/>
    <w:rsid w:val="00740A3F"/>
    <w:rsid w:val="00740A56"/>
    <w:rsid w:val="00740AF6"/>
    <w:rsid w:val="00740CFE"/>
    <w:rsid w:val="00740DFA"/>
    <w:rsid w:val="00740E67"/>
    <w:rsid w:val="00740E8D"/>
    <w:rsid w:val="00740EC1"/>
    <w:rsid w:val="00740F05"/>
    <w:rsid w:val="00741042"/>
    <w:rsid w:val="00741089"/>
    <w:rsid w:val="007410CD"/>
    <w:rsid w:val="0074148A"/>
    <w:rsid w:val="007414ED"/>
    <w:rsid w:val="007414FE"/>
    <w:rsid w:val="007415D4"/>
    <w:rsid w:val="007416D3"/>
    <w:rsid w:val="00741CBC"/>
    <w:rsid w:val="00741CC6"/>
    <w:rsid w:val="00741D34"/>
    <w:rsid w:val="00741DB2"/>
    <w:rsid w:val="00741EDF"/>
    <w:rsid w:val="00742243"/>
    <w:rsid w:val="007422AC"/>
    <w:rsid w:val="007422F6"/>
    <w:rsid w:val="0074243E"/>
    <w:rsid w:val="00742483"/>
    <w:rsid w:val="007424F0"/>
    <w:rsid w:val="00742603"/>
    <w:rsid w:val="00742607"/>
    <w:rsid w:val="00742B30"/>
    <w:rsid w:val="00742E57"/>
    <w:rsid w:val="007430E5"/>
    <w:rsid w:val="007431FE"/>
    <w:rsid w:val="0074322F"/>
    <w:rsid w:val="00743276"/>
    <w:rsid w:val="00743383"/>
    <w:rsid w:val="007436D7"/>
    <w:rsid w:val="00743718"/>
    <w:rsid w:val="0074373E"/>
    <w:rsid w:val="00743763"/>
    <w:rsid w:val="00743C75"/>
    <w:rsid w:val="00743C76"/>
    <w:rsid w:val="00743CE5"/>
    <w:rsid w:val="0074405B"/>
    <w:rsid w:val="00744235"/>
    <w:rsid w:val="00744296"/>
    <w:rsid w:val="007442D2"/>
    <w:rsid w:val="00744391"/>
    <w:rsid w:val="00744490"/>
    <w:rsid w:val="007446CE"/>
    <w:rsid w:val="00744888"/>
    <w:rsid w:val="007449A5"/>
    <w:rsid w:val="00744B15"/>
    <w:rsid w:val="00744D02"/>
    <w:rsid w:val="00744DF6"/>
    <w:rsid w:val="00744DFA"/>
    <w:rsid w:val="00745255"/>
    <w:rsid w:val="00745325"/>
    <w:rsid w:val="007454C1"/>
    <w:rsid w:val="0074558A"/>
    <w:rsid w:val="00745702"/>
    <w:rsid w:val="007457C5"/>
    <w:rsid w:val="00745AD2"/>
    <w:rsid w:val="00745AF5"/>
    <w:rsid w:val="00745B7D"/>
    <w:rsid w:val="00745BC8"/>
    <w:rsid w:val="00745D31"/>
    <w:rsid w:val="00745D4D"/>
    <w:rsid w:val="00745FCF"/>
    <w:rsid w:val="00745FEB"/>
    <w:rsid w:val="0074614E"/>
    <w:rsid w:val="0074631A"/>
    <w:rsid w:val="007463BA"/>
    <w:rsid w:val="007463EB"/>
    <w:rsid w:val="0074672B"/>
    <w:rsid w:val="00746756"/>
    <w:rsid w:val="00746854"/>
    <w:rsid w:val="00746894"/>
    <w:rsid w:val="00746B2C"/>
    <w:rsid w:val="00746B2E"/>
    <w:rsid w:val="00746BBC"/>
    <w:rsid w:val="00746C47"/>
    <w:rsid w:val="00746C4C"/>
    <w:rsid w:val="00746D6B"/>
    <w:rsid w:val="00746D79"/>
    <w:rsid w:val="00746DA7"/>
    <w:rsid w:val="00746E73"/>
    <w:rsid w:val="00746F51"/>
    <w:rsid w:val="007470F4"/>
    <w:rsid w:val="0074721E"/>
    <w:rsid w:val="0074753F"/>
    <w:rsid w:val="007475DB"/>
    <w:rsid w:val="0074770A"/>
    <w:rsid w:val="00747833"/>
    <w:rsid w:val="007478BE"/>
    <w:rsid w:val="0074791F"/>
    <w:rsid w:val="007479D0"/>
    <w:rsid w:val="00747C0E"/>
    <w:rsid w:val="00747DD8"/>
    <w:rsid w:val="00747EE3"/>
    <w:rsid w:val="00747F77"/>
    <w:rsid w:val="00747FDA"/>
    <w:rsid w:val="007501FE"/>
    <w:rsid w:val="00750233"/>
    <w:rsid w:val="007504AD"/>
    <w:rsid w:val="007504E2"/>
    <w:rsid w:val="0075062E"/>
    <w:rsid w:val="007506BD"/>
    <w:rsid w:val="0075073F"/>
    <w:rsid w:val="007507C0"/>
    <w:rsid w:val="00750916"/>
    <w:rsid w:val="0075099F"/>
    <w:rsid w:val="00750D7D"/>
    <w:rsid w:val="00750EA6"/>
    <w:rsid w:val="00750EE9"/>
    <w:rsid w:val="00750EF5"/>
    <w:rsid w:val="00750FA0"/>
    <w:rsid w:val="0075141C"/>
    <w:rsid w:val="007514AE"/>
    <w:rsid w:val="00751823"/>
    <w:rsid w:val="00751ACF"/>
    <w:rsid w:val="00751AE3"/>
    <w:rsid w:val="00751C40"/>
    <w:rsid w:val="00751C96"/>
    <w:rsid w:val="00751E33"/>
    <w:rsid w:val="00751E47"/>
    <w:rsid w:val="00751E63"/>
    <w:rsid w:val="00751EE6"/>
    <w:rsid w:val="00751F2D"/>
    <w:rsid w:val="00751F91"/>
    <w:rsid w:val="00752006"/>
    <w:rsid w:val="00752168"/>
    <w:rsid w:val="00752208"/>
    <w:rsid w:val="007523CA"/>
    <w:rsid w:val="00752542"/>
    <w:rsid w:val="0075261B"/>
    <w:rsid w:val="00752748"/>
    <w:rsid w:val="007528D4"/>
    <w:rsid w:val="00752995"/>
    <w:rsid w:val="007529DC"/>
    <w:rsid w:val="00752A5A"/>
    <w:rsid w:val="00752AC1"/>
    <w:rsid w:val="00752B41"/>
    <w:rsid w:val="00752BB1"/>
    <w:rsid w:val="00752D71"/>
    <w:rsid w:val="00752E1C"/>
    <w:rsid w:val="00753004"/>
    <w:rsid w:val="0075316A"/>
    <w:rsid w:val="0075317D"/>
    <w:rsid w:val="007531B0"/>
    <w:rsid w:val="0075332A"/>
    <w:rsid w:val="007533E7"/>
    <w:rsid w:val="0075374B"/>
    <w:rsid w:val="00753787"/>
    <w:rsid w:val="007537AA"/>
    <w:rsid w:val="00753859"/>
    <w:rsid w:val="00753ACF"/>
    <w:rsid w:val="00753FFA"/>
    <w:rsid w:val="0075412D"/>
    <w:rsid w:val="007542D3"/>
    <w:rsid w:val="007544EA"/>
    <w:rsid w:val="00754539"/>
    <w:rsid w:val="007547E9"/>
    <w:rsid w:val="007548FC"/>
    <w:rsid w:val="0075492A"/>
    <w:rsid w:val="00754A21"/>
    <w:rsid w:val="00754AB5"/>
    <w:rsid w:val="00754BC9"/>
    <w:rsid w:val="00754E78"/>
    <w:rsid w:val="00754EA6"/>
    <w:rsid w:val="007550E7"/>
    <w:rsid w:val="007553F9"/>
    <w:rsid w:val="00755458"/>
    <w:rsid w:val="00755516"/>
    <w:rsid w:val="007555E1"/>
    <w:rsid w:val="0075577F"/>
    <w:rsid w:val="00755915"/>
    <w:rsid w:val="007559A6"/>
    <w:rsid w:val="00755ACE"/>
    <w:rsid w:val="00755B88"/>
    <w:rsid w:val="00755BBF"/>
    <w:rsid w:val="00755C21"/>
    <w:rsid w:val="00755E5C"/>
    <w:rsid w:val="00755F4E"/>
    <w:rsid w:val="00755F77"/>
    <w:rsid w:val="0075603C"/>
    <w:rsid w:val="00756072"/>
    <w:rsid w:val="00756165"/>
    <w:rsid w:val="00756238"/>
    <w:rsid w:val="0075629B"/>
    <w:rsid w:val="0075631E"/>
    <w:rsid w:val="00756503"/>
    <w:rsid w:val="00756610"/>
    <w:rsid w:val="00756838"/>
    <w:rsid w:val="00756CA4"/>
    <w:rsid w:val="00756EFA"/>
    <w:rsid w:val="007571C9"/>
    <w:rsid w:val="007577A1"/>
    <w:rsid w:val="007578AF"/>
    <w:rsid w:val="00757A4D"/>
    <w:rsid w:val="00757CCD"/>
    <w:rsid w:val="00757DA2"/>
    <w:rsid w:val="00757DFD"/>
    <w:rsid w:val="00757E51"/>
    <w:rsid w:val="00760121"/>
    <w:rsid w:val="007601BF"/>
    <w:rsid w:val="0076057E"/>
    <w:rsid w:val="00760625"/>
    <w:rsid w:val="00760803"/>
    <w:rsid w:val="0076098E"/>
    <w:rsid w:val="007609B2"/>
    <w:rsid w:val="00760A6B"/>
    <w:rsid w:val="00760B92"/>
    <w:rsid w:val="00760F4F"/>
    <w:rsid w:val="00760FCE"/>
    <w:rsid w:val="00761191"/>
    <w:rsid w:val="00761253"/>
    <w:rsid w:val="007615DF"/>
    <w:rsid w:val="0076167C"/>
    <w:rsid w:val="00761794"/>
    <w:rsid w:val="00761816"/>
    <w:rsid w:val="00761841"/>
    <w:rsid w:val="007618E7"/>
    <w:rsid w:val="00761C13"/>
    <w:rsid w:val="00761CDA"/>
    <w:rsid w:val="00761D72"/>
    <w:rsid w:val="00761FD3"/>
    <w:rsid w:val="00762039"/>
    <w:rsid w:val="007620FA"/>
    <w:rsid w:val="00762120"/>
    <w:rsid w:val="007621B7"/>
    <w:rsid w:val="007622D8"/>
    <w:rsid w:val="00762307"/>
    <w:rsid w:val="00762415"/>
    <w:rsid w:val="007624A4"/>
    <w:rsid w:val="007625EE"/>
    <w:rsid w:val="0076271E"/>
    <w:rsid w:val="007628BD"/>
    <w:rsid w:val="00762908"/>
    <w:rsid w:val="00762A0D"/>
    <w:rsid w:val="00762AB8"/>
    <w:rsid w:val="00762D19"/>
    <w:rsid w:val="0076335A"/>
    <w:rsid w:val="00763381"/>
    <w:rsid w:val="0076353E"/>
    <w:rsid w:val="00763628"/>
    <w:rsid w:val="007636C0"/>
    <w:rsid w:val="007637D8"/>
    <w:rsid w:val="0076381B"/>
    <w:rsid w:val="00763958"/>
    <w:rsid w:val="007639CA"/>
    <w:rsid w:val="00763A55"/>
    <w:rsid w:val="00763AF9"/>
    <w:rsid w:val="00763BDA"/>
    <w:rsid w:val="00763C10"/>
    <w:rsid w:val="00763CE2"/>
    <w:rsid w:val="0076400E"/>
    <w:rsid w:val="0076407A"/>
    <w:rsid w:val="007642AC"/>
    <w:rsid w:val="007645DA"/>
    <w:rsid w:val="00764769"/>
    <w:rsid w:val="0076494C"/>
    <w:rsid w:val="00764BD2"/>
    <w:rsid w:val="00764D98"/>
    <w:rsid w:val="00764E08"/>
    <w:rsid w:val="00764E8A"/>
    <w:rsid w:val="00764FAD"/>
    <w:rsid w:val="00764FDD"/>
    <w:rsid w:val="0076516C"/>
    <w:rsid w:val="007652EA"/>
    <w:rsid w:val="0076538B"/>
    <w:rsid w:val="00765440"/>
    <w:rsid w:val="007654B4"/>
    <w:rsid w:val="007654D8"/>
    <w:rsid w:val="0076550E"/>
    <w:rsid w:val="0076553F"/>
    <w:rsid w:val="00765674"/>
    <w:rsid w:val="007656CE"/>
    <w:rsid w:val="007656DE"/>
    <w:rsid w:val="007656F0"/>
    <w:rsid w:val="0076594C"/>
    <w:rsid w:val="007659E5"/>
    <w:rsid w:val="00765A52"/>
    <w:rsid w:val="00765A9D"/>
    <w:rsid w:val="00765B3D"/>
    <w:rsid w:val="00765E1F"/>
    <w:rsid w:val="00765EB3"/>
    <w:rsid w:val="007662A8"/>
    <w:rsid w:val="007663F2"/>
    <w:rsid w:val="0076655F"/>
    <w:rsid w:val="00766775"/>
    <w:rsid w:val="007667C8"/>
    <w:rsid w:val="007667EB"/>
    <w:rsid w:val="0076686D"/>
    <w:rsid w:val="00766A63"/>
    <w:rsid w:val="00766BDC"/>
    <w:rsid w:val="00766D4B"/>
    <w:rsid w:val="00766EA3"/>
    <w:rsid w:val="00766EB3"/>
    <w:rsid w:val="00766F3B"/>
    <w:rsid w:val="00766F5E"/>
    <w:rsid w:val="00767008"/>
    <w:rsid w:val="007671CC"/>
    <w:rsid w:val="007671EF"/>
    <w:rsid w:val="0076723F"/>
    <w:rsid w:val="007672BF"/>
    <w:rsid w:val="007673BF"/>
    <w:rsid w:val="007676A6"/>
    <w:rsid w:val="0076793E"/>
    <w:rsid w:val="007679E6"/>
    <w:rsid w:val="007679E7"/>
    <w:rsid w:val="00767A28"/>
    <w:rsid w:val="00767B20"/>
    <w:rsid w:val="00767C5E"/>
    <w:rsid w:val="00767CEE"/>
    <w:rsid w:val="00767D6F"/>
    <w:rsid w:val="00767DE6"/>
    <w:rsid w:val="00767EA8"/>
    <w:rsid w:val="007702E6"/>
    <w:rsid w:val="007703BD"/>
    <w:rsid w:val="00770534"/>
    <w:rsid w:val="00770600"/>
    <w:rsid w:val="00770700"/>
    <w:rsid w:val="00770837"/>
    <w:rsid w:val="007708F5"/>
    <w:rsid w:val="00770A06"/>
    <w:rsid w:val="00770B16"/>
    <w:rsid w:val="00770BAE"/>
    <w:rsid w:val="00770C39"/>
    <w:rsid w:val="00770C4D"/>
    <w:rsid w:val="00770CE3"/>
    <w:rsid w:val="00770D4C"/>
    <w:rsid w:val="00770DB3"/>
    <w:rsid w:val="00770E9E"/>
    <w:rsid w:val="00770F5D"/>
    <w:rsid w:val="00771172"/>
    <w:rsid w:val="0077119A"/>
    <w:rsid w:val="00771480"/>
    <w:rsid w:val="007714A3"/>
    <w:rsid w:val="007714A4"/>
    <w:rsid w:val="007715D7"/>
    <w:rsid w:val="007715E0"/>
    <w:rsid w:val="00771600"/>
    <w:rsid w:val="0077179E"/>
    <w:rsid w:val="00771832"/>
    <w:rsid w:val="00771B50"/>
    <w:rsid w:val="00771BCB"/>
    <w:rsid w:val="00771DF9"/>
    <w:rsid w:val="00771FED"/>
    <w:rsid w:val="0077217A"/>
    <w:rsid w:val="007721F2"/>
    <w:rsid w:val="007724C0"/>
    <w:rsid w:val="00772619"/>
    <w:rsid w:val="00772689"/>
    <w:rsid w:val="00772770"/>
    <w:rsid w:val="007727BD"/>
    <w:rsid w:val="00772812"/>
    <w:rsid w:val="007729E6"/>
    <w:rsid w:val="00772A67"/>
    <w:rsid w:val="00772AC0"/>
    <w:rsid w:val="00772C92"/>
    <w:rsid w:val="00772CA7"/>
    <w:rsid w:val="00772DDB"/>
    <w:rsid w:val="00772EAD"/>
    <w:rsid w:val="00772F19"/>
    <w:rsid w:val="007731AE"/>
    <w:rsid w:val="00773331"/>
    <w:rsid w:val="007736A1"/>
    <w:rsid w:val="007736A5"/>
    <w:rsid w:val="007736B9"/>
    <w:rsid w:val="00773774"/>
    <w:rsid w:val="0077394A"/>
    <w:rsid w:val="00773B7F"/>
    <w:rsid w:val="00773B8C"/>
    <w:rsid w:val="00773BAA"/>
    <w:rsid w:val="00773DAD"/>
    <w:rsid w:val="00773DBA"/>
    <w:rsid w:val="00773E2A"/>
    <w:rsid w:val="00773ECF"/>
    <w:rsid w:val="00773EE1"/>
    <w:rsid w:val="00774003"/>
    <w:rsid w:val="0077409A"/>
    <w:rsid w:val="007740FA"/>
    <w:rsid w:val="007742A2"/>
    <w:rsid w:val="007743D5"/>
    <w:rsid w:val="007744B0"/>
    <w:rsid w:val="007745D0"/>
    <w:rsid w:val="00774616"/>
    <w:rsid w:val="0077465D"/>
    <w:rsid w:val="007746E0"/>
    <w:rsid w:val="00774719"/>
    <w:rsid w:val="00774720"/>
    <w:rsid w:val="007749A8"/>
    <w:rsid w:val="007749D2"/>
    <w:rsid w:val="00774A90"/>
    <w:rsid w:val="00774B91"/>
    <w:rsid w:val="00774ECA"/>
    <w:rsid w:val="00774F80"/>
    <w:rsid w:val="0077500D"/>
    <w:rsid w:val="0077513B"/>
    <w:rsid w:val="00775170"/>
    <w:rsid w:val="007751F1"/>
    <w:rsid w:val="00775248"/>
    <w:rsid w:val="0077528A"/>
    <w:rsid w:val="007752BD"/>
    <w:rsid w:val="007752E3"/>
    <w:rsid w:val="0077531F"/>
    <w:rsid w:val="007754CC"/>
    <w:rsid w:val="0077554C"/>
    <w:rsid w:val="00775636"/>
    <w:rsid w:val="0077599B"/>
    <w:rsid w:val="00775A5A"/>
    <w:rsid w:val="00775A96"/>
    <w:rsid w:val="00775AEF"/>
    <w:rsid w:val="00775B3C"/>
    <w:rsid w:val="00775B7C"/>
    <w:rsid w:val="00775BA7"/>
    <w:rsid w:val="00775CF5"/>
    <w:rsid w:val="00775DC9"/>
    <w:rsid w:val="00775F9F"/>
    <w:rsid w:val="00775FC7"/>
    <w:rsid w:val="00776064"/>
    <w:rsid w:val="007762FF"/>
    <w:rsid w:val="00776491"/>
    <w:rsid w:val="0077675C"/>
    <w:rsid w:val="00776825"/>
    <w:rsid w:val="0077689C"/>
    <w:rsid w:val="0077697B"/>
    <w:rsid w:val="00776A6A"/>
    <w:rsid w:val="00776CC0"/>
    <w:rsid w:val="00776DBB"/>
    <w:rsid w:val="00776E71"/>
    <w:rsid w:val="00776F56"/>
    <w:rsid w:val="00777104"/>
    <w:rsid w:val="00777238"/>
    <w:rsid w:val="007773BA"/>
    <w:rsid w:val="007773CE"/>
    <w:rsid w:val="0077767D"/>
    <w:rsid w:val="0077767E"/>
    <w:rsid w:val="00777695"/>
    <w:rsid w:val="00777905"/>
    <w:rsid w:val="00777C30"/>
    <w:rsid w:val="00777DFA"/>
    <w:rsid w:val="00777E3B"/>
    <w:rsid w:val="00777EC8"/>
    <w:rsid w:val="00777F31"/>
    <w:rsid w:val="00777FD3"/>
    <w:rsid w:val="007803A2"/>
    <w:rsid w:val="007804F9"/>
    <w:rsid w:val="007805D4"/>
    <w:rsid w:val="00780711"/>
    <w:rsid w:val="00780725"/>
    <w:rsid w:val="00780A53"/>
    <w:rsid w:val="00780A97"/>
    <w:rsid w:val="00780AE9"/>
    <w:rsid w:val="00780B01"/>
    <w:rsid w:val="00780CA7"/>
    <w:rsid w:val="00780D62"/>
    <w:rsid w:val="00780DA5"/>
    <w:rsid w:val="00780F40"/>
    <w:rsid w:val="00781042"/>
    <w:rsid w:val="007813F5"/>
    <w:rsid w:val="007814EE"/>
    <w:rsid w:val="007814FF"/>
    <w:rsid w:val="00781689"/>
    <w:rsid w:val="0078168E"/>
    <w:rsid w:val="007816BC"/>
    <w:rsid w:val="007817B0"/>
    <w:rsid w:val="00781854"/>
    <w:rsid w:val="0078194A"/>
    <w:rsid w:val="007819D7"/>
    <w:rsid w:val="00781AB6"/>
    <w:rsid w:val="00781B51"/>
    <w:rsid w:val="00781B58"/>
    <w:rsid w:val="00781C04"/>
    <w:rsid w:val="00781C91"/>
    <w:rsid w:val="00781CED"/>
    <w:rsid w:val="00781E10"/>
    <w:rsid w:val="00781F9E"/>
    <w:rsid w:val="00782166"/>
    <w:rsid w:val="00782251"/>
    <w:rsid w:val="007822CB"/>
    <w:rsid w:val="00782449"/>
    <w:rsid w:val="00782574"/>
    <w:rsid w:val="007825DC"/>
    <w:rsid w:val="007826FC"/>
    <w:rsid w:val="00782710"/>
    <w:rsid w:val="0078272F"/>
    <w:rsid w:val="00782871"/>
    <w:rsid w:val="00782881"/>
    <w:rsid w:val="00782A4C"/>
    <w:rsid w:val="00782CB6"/>
    <w:rsid w:val="00782D00"/>
    <w:rsid w:val="00782D96"/>
    <w:rsid w:val="00782DC8"/>
    <w:rsid w:val="00782EED"/>
    <w:rsid w:val="00783045"/>
    <w:rsid w:val="00783092"/>
    <w:rsid w:val="007830FF"/>
    <w:rsid w:val="0078312B"/>
    <w:rsid w:val="00783146"/>
    <w:rsid w:val="007834F2"/>
    <w:rsid w:val="0078379A"/>
    <w:rsid w:val="0078384D"/>
    <w:rsid w:val="00783AB5"/>
    <w:rsid w:val="00783E9A"/>
    <w:rsid w:val="00783ECD"/>
    <w:rsid w:val="00783FDA"/>
    <w:rsid w:val="007840DB"/>
    <w:rsid w:val="007841B3"/>
    <w:rsid w:val="007842C5"/>
    <w:rsid w:val="007845A2"/>
    <w:rsid w:val="007847FF"/>
    <w:rsid w:val="00784974"/>
    <w:rsid w:val="00784CBB"/>
    <w:rsid w:val="00784CF1"/>
    <w:rsid w:val="00784D43"/>
    <w:rsid w:val="00785028"/>
    <w:rsid w:val="0078508C"/>
    <w:rsid w:val="007850B4"/>
    <w:rsid w:val="00785168"/>
    <w:rsid w:val="0078517D"/>
    <w:rsid w:val="0078537F"/>
    <w:rsid w:val="007853B5"/>
    <w:rsid w:val="00785538"/>
    <w:rsid w:val="0078568B"/>
    <w:rsid w:val="007857BF"/>
    <w:rsid w:val="007859F4"/>
    <w:rsid w:val="00785E43"/>
    <w:rsid w:val="00785E93"/>
    <w:rsid w:val="00786171"/>
    <w:rsid w:val="0078624E"/>
    <w:rsid w:val="00786894"/>
    <w:rsid w:val="007869E3"/>
    <w:rsid w:val="00786A7F"/>
    <w:rsid w:val="00786B26"/>
    <w:rsid w:val="00786E32"/>
    <w:rsid w:val="00786E9F"/>
    <w:rsid w:val="00786EF1"/>
    <w:rsid w:val="00786F46"/>
    <w:rsid w:val="00786F89"/>
    <w:rsid w:val="00786FC6"/>
    <w:rsid w:val="00786FE4"/>
    <w:rsid w:val="00787038"/>
    <w:rsid w:val="00787059"/>
    <w:rsid w:val="007870FB"/>
    <w:rsid w:val="0078732F"/>
    <w:rsid w:val="007873E6"/>
    <w:rsid w:val="0078746E"/>
    <w:rsid w:val="007874B0"/>
    <w:rsid w:val="00787542"/>
    <w:rsid w:val="00787568"/>
    <w:rsid w:val="0078781D"/>
    <w:rsid w:val="007879E9"/>
    <w:rsid w:val="00787AFC"/>
    <w:rsid w:val="00787BAB"/>
    <w:rsid w:val="00787D36"/>
    <w:rsid w:val="00787E57"/>
    <w:rsid w:val="00787ED8"/>
    <w:rsid w:val="007900B7"/>
    <w:rsid w:val="00790218"/>
    <w:rsid w:val="007902B9"/>
    <w:rsid w:val="00790411"/>
    <w:rsid w:val="00790533"/>
    <w:rsid w:val="00790587"/>
    <w:rsid w:val="007906B9"/>
    <w:rsid w:val="00790746"/>
    <w:rsid w:val="00790748"/>
    <w:rsid w:val="00790860"/>
    <w:rsid w:val="007909D3"/>
    <w:rsid w:val="00790A8D"/>
    <w:rsid w:val="00790B8D"/>
    <w:rsid w:val="00790C7E"/>
    <w:rsid w:val="00790F71"/>
    <w:rsid w:val="0079115E"/>
    <w:rsid w:val="00791394"/>
    <w:rsid w:val="0079153A"/>
    <w:rsid w:val="0079166A"/>
    <w:rsid w:val="007916C6"/>
    <w:rsid w:val="007916E0"/>
    <w:rsid w:val="00791739"/>
    <w:rsid w:val="007919FD"/>
    <w:rsid w:val="00791AEC"/>
    <w:rsid w:val="00791B99"/>
    <w:rsid w:val="00791BA8"/>
    <w:rsid w:val="00791C16"/>
    <w:rsid w:val="00791D28"/>
    <w:rsid w:val="00791E3A"/>
    <w:rsid w:val="007920C7"/>
    <w:rsid w:val="00792128"/>
    <w:rsid w:val="00792277"/>
    <w:rsid w:val="0079231F"/>
    <w:rsid w:val="00792327"/>
    <w:rsid w:val="0079272E"/>
    <w:rsid w:val="007927AD"/>
    <w:rsid w:val="007928F2"/>
    <w:rsid w:val="00792991"/>
    <w:rsid w:val="00792E57"/>
    <w:rsid w:val="00792FFF"/>
    <w:rsid w:val="00793086"/>
    <w:rsid w:val="007932B0"/>
    <w:rsid w:val="007932EF"/>
    <w:rsid w:val="0079333A"/>
    <w:rsid w:val="00793715"/>
    <w:rsid w:val="00793928"/>
    <w:rsid w:val="00793940"/>
    <w:rsid w:val="00793987"/>
    <w:rsid w:val="00793A44"/>
    <w:rsid w:val="00793B02"/>
    <w:rsid w:val="00793C8B"/>
    <w:rsid w:val="00793CA8"/>
    <w:rsid w:val="00793CBC"/>
    <w:rsid w:val="00793D9D"/>
    <w:rsid w:val="0079427C"/>
    <w:rsid w:val="007943F1"/>
    <w:rsid w:val="0079443F"/>
    <w:rsid w:val="0079453C"/>
    <w:rsid w:val="007945BD"/>
    <w:rsid w:val="007947F0"/>
    <w:rsid w:val="00794887"/>
    <w:rsid w:val="007949AD"/>
    <w:rsid w:val="00794A15"/>
    <w:rsid w:val="00794E11"/>
    <w:rsid w:val="007952C5"/>
    <w:rsid w:val="0079531D"/>
    <w:rsid w:val="00795547"/>
    <w:rsid w:val="00795572"/>
    <w:rsid w:val="007956C4"/>
    <w:rsid w:val="00795739"/>
    <w:rsid w:val="007957AA"/>
    <w:rsid w:val="007958BF"/>
    <w:rsid w:val="007958FF"/>
    <w:rsid w:val="00795917"/>
    <w:rsid w:val="00795AC9"/>
    <w:rsid w:val="00795C2A"/>
    <w:rsid w:val="00795CB2"/>
    <w:rsid w:val="00795D1E"/>
    <w:rsid w:val="00795D5C"/>
    <w:rsid w:val="00795D61"/>
    <w:rsid w:val="00795E14"/>
    <w:rsid w:val="00795EC6"/>
    <w:rsid w:val="00795F51"/>
    <w:rsid w:val="007960B8"/>
    <w:rsid w:val="00796117"/>
    <w:rsid w:val="00796118"/>
    <w:rsid w:val="00796144"/>
    <w:rsid w:val="007962CE"/>
    <w:rsid w:val="0079641A"/>
    <w:rsid w:val="007964DF"/>
    <w:rsid w:val="0079657C"/>
    <w:rsid w:val="0079678D"/>
    <w:rsid w:val="0079678E"/>
    <w:rsid w:val="00796803"/>
    <w:rsid w:val="007968E1"/>
    <w:rsid w:val="007969FD"/>
    <w:rsid w:val="00796A05"/>
    <w:rsid w:val="00796A47"/>
    <w:rsid w:val="00796A4A"/>
    <w:rsid w:val="00796B0D"/>
    <w:rsid w:val="00796BA3"/>
    <w:rsid w:val="00796C06"/>
    <w:rsid w:val="00796C5B"/>
    <w:rsid w:val="00796CCB"/>
    <w:rsid w:val="00796D2E"/>
    <w:rsid w:val="00796DE7"/>
    <w:rsid w:val="00796E9C"/>
    <w:rsid w:val="00797028"/>
    <w:rsid w:val="007973B6"/>
    <w:rsid w:val="00797500"/>
    <w:rsid w:val="0079751B"/>
    <w:rsid w:val="00797555"/>
    <w:rsid w:val="00797C2F"/>
    <w:rsid w:val="00797C4B"/>
    <w:rsid w:val="00797D7F"/>
    <w:rsid w:val="00797E18"/>
    <w:rsid w:val="00797E50"/>
    <w:rsid w:val="00797E64"/>
    <w:rsid w:val="007A0054"/>
    <w:rsid w:val="007A0127"/>
    <w:rsid w:val="007A01F1"/>
    <w:rsid w:val="007A027D"/>
    <w:rsid w:val="007A0288"/>
    <w:rsid w:val="007A02D3"/>
    <w:rsid w:val="007A03F1"/>
    <w:rsid w:val="007A04C6"/>
    <w:rsid w:val="007A04EF"/>
    <w:rsid w:val="007A050F"/>
    <w:rsid w:val="007A068A"/>
    <w:rsid w:val="007A0730"/>
    <w:rsid w:val="007A07EC"/>
    <w:rsid w:val="007A088A"/>
    <w:rsid w:val="007A0AB5"/>
    <w:rsid w:val="007A0ABD"/>
    <w:rsid w:val="007A0D78"/>
    <w:rsid w:val="007A0D89"/>
    <w:rsid w:val="007A0DAC"/>
    <w:rsid w:val="007A0DE1"/>
    <w:rsid w:val="007A0E1E"/>
    <w:rsid w:val="007A0E67"/>
    <w:rsid w:val="007A0ED6"/>
    <w:rsid w:val="007A0FB5"/>
    <w:rsid w:val="007A10D9"/>
    <w:rsid w:val="007A110C"/>
    <w:rsid w:val="007A11B1"/>
    <w:rsid w:val="007A1288"/>
    <w:rsid w:val="007A167C"/>
    <w:rsid w:val="007A18DC"/>
    <w:rsid w:val="007A1A36"/>
    <w:rsid w:val="007A1B5B"/>
    <w:rsid w:val="007A1BAA"/>
    <w:rsid w:val="007A1CD3"/>
    <w:rsid w:val="007A1F4D"/>
    <w:rsid w:val="007A1F85"/>
    <w:rsid w:val="007A2016"/>
    <w:rsid w:val="007A2177"/>
    <w:rsid w:val="007A2289"/>
    <w:rsid w:val="007A2309"/>
    <w:rsid w:val="007A2383"/>
    <w:rsid w:val="007A23B8"/>
    <w:rsid w:val="007A2403"/>
    <w:rsid w:val="007A240E"/>
    <w:rsid w:val="007A251F"/>
    <w:rsid w:val="007A2660"/>
    <w:rsid w:val="007A26C2"/>
    <w:rsid w:val="007A2705"/>
    <w:rsid w:val="007A2776"/>
    <w:rsid w:val="007A2AC6"/>
    <w:rsid w:val="007A2C80"/>
    <w:rsid w:val="007A2F4B"/>
    <w:rsid w:val="007A30D0"/>
    <w:rsid w:val="007A321D"/>
    <w:rsid w:val="007A328A"/>
    <w:rsid w:val="007A34E6"/>
    <w:rsid w:val="007A3644"/>
    <w:rsid w:val="007A3672"/>
    <w:rsid w:val="007A3798"/>
    <w:rsid w:val="007A37DA"/>
    <w:rsid w:val="007A38BD"/>
    <w:rsid w:val="007A3AFD"/>
    <w:rsid w:val="007A3B72"/>
    <w:rsid w:val="007A3C5E"/>
    <w:rsid w:val="007A3F3C"/>
    <w:rsid w:val="007A4054"/>
    <w:rsid w:val="007A4148"/>
    <w:rsid w:val="007A428B"/>
    <w:rsid w:val="007A4314"/>
    <w:rsid w:val="007A4333"/>
    <w:rsid w:val="007A4371"/>
    <w:rsid w:val="007A4529"/>
    <w:rsid w:val="007A4656"/>
    <w:rsid w:val="007A46A7"/>
    <w:rsid w:val="007A48AA"/>
    <w:rsid w:val="007A4A07"/>
    <w:rsid w:val="007A4A0B"/>
    <w:rsid w:val="007A4A5E"/>
    <w:rsid w:val="007A4AF2"/>
    <w:rsid w:val="007A4B85"/>
    <w:rsid w:val="007A4BA0"/>
    <w:rsid w:val="007A4BCB"/>
    <w:rsid w:val="007A4EBB"/>
    <w:rsid w:val="007A4F01"/>
    <w:rsid w:val="007A4F15"/>
    <w:rsid w:val="007A4F3B"/>
    <w:rsid w:val="007A4F66"/>
    <w:rsid w:val="007A4F8F"/>
    <w:rsid w:val="007A50FC"/>
    <w:rsid w:val="007A52CA"/>
    <w:rsid w:val="007A53CC"/>
    <w:rsid w:val="007A5460"/>
    <w:rsid w:val="007A5525"/>
    <w:rsid w:val="007A555E"/>
    <w:rsid w:val="007A55B9"/>
    <w:rsid w:val="007A55F3"/>
    <w:rsid w:val="007A5605"/>
    <w:rsid w:val="007A57C8"/>
    <w:rsid w:val="007A5825"/>
    <w:rsid w:val="007A5A16"/>
    <w:rsid w:val="007A5A71"/>
    <w:rsid w:val="007A5E86"/>
    <w:rsid w:val="007A5ECF"/>
    <w:rsid w:val="007A5FA3"/>
    <w:rsid w:val="007A645F"/>
    <w:rsid w:val="007A649C"/>
    <w:rsid w:val="007A6537"/>
    <w:rsid w:val="007A65D5"/>
    <w:rsid w:val="007A68D0"/>
    <w:rsid w:val="007A697C"/>
    <w:rsid w:val="007A6B4C"/>
    <w:rsid w:val="007A6C0E"/>
    <w:rsid w:val="007A6F6B"/>
    <w:rsid w:val="007A7005"/>
    <w:rsid w:val="007A70EB"/>
    <w:rsid w:val="007A7120"/>
    <w:rsid w:val="007A7420"/>
    <w:rsid w:val="007A759F"/>
    <w:rsid w:val="007A781E"/>
    <w:rsid w:val="007A7831"/>
    <w:rsid w:val="007A79D6"/>
    <w:rsid w:val="007A7A0B"/>
    <w:rsid w:val="007A7A81"/>
    <w:rsid w:val="007A7DD6"/>
    <w:rsid w:val="007A7E18"/>
    <w:rsid w:val="007A7EA8"/>
    <w:rsid w:val="007A7EF7"/>
    <w:rsid w:val="007B008F"/>
    <w:rsid w:val="007B012E"/>
    <w:rsid w:val="007B0231"/>
    <w:rsid w:val="007B0264"/>
    <w:rsid w:val="007B02CD"/>
    <w:rsid w:val="007B0424"/>
    <w:rsid w:val="007B069D"/>
    <w:rsid w:val="007B088E"/>
    <w:rsid w:val="007B09B0"/>
    <w:rsid w:val="007B0A46"/>
    <w:rsid w:val="007B0AB2"/>
    <w:rsid w:val="007B0B0C"/>
    <w:rsid w:val="007B0B49"/>
    <w:rsid w:val="007B0B99"/>
    <w:rsid w:val="007B0BD3"/>
    <w:rsid w:val="007B0D16"/>
    <w:rsid w:val="007B0DBC"/>
    <w:rsid w:val="007B0EC2"/>
    <w:rsid w:val="007B1401"/>
    <w:rsid w:val="007B1516"/>
    <w:rsid w:val="007B1736"/>
    <w:rsid w:val="007B1C83"/>
    <w:rsid w:val="007B1CE3"/>
    <w:rsid w:val="007B20E7"/>
    <w:rsid w:val="007B2242"/>
    <w:rsid w:val="007B2262"/>
    <w:rsid w:val="007B2266"/>
    <w:rsid w:val="007B226C"/>
    <w:rsid w:val="007B2300"/>
    <w:rsid w:val="007B2326"/>
    <w:rsid w:val="007B2427"/>
    <w:rsid w:val="007B2453"/>
    <w:rsid w:val="007B267E"/>
    <w:rsid w:val="007B270E"/>
    <w:rsid w:val="007B27FC"/>
    <w:rsid w:val="007B2863"/>
    <w:rsid w:val="007B297B"/>
    <w:rsid w:val="007B2A22"/>
    <w:rsid w:val="007B2A6E"/>
    <w:rsid w:val="007B2B00"/>
    <w:rsid w:val="007B2C0A"/>
    <w:rsid w:val="007B2D84"/>
    <w:rsid w:val="007B2F3E"/>
    <w:rsid w:val="007B3029"/>
    <w:rsid w:val="007B3031"/>
    <w:rsid w:val="007B31B9"/>
    <w:rsid w:val="007B3437"/>
    <w:rsid w:val="007B346F"/>
    <w:rsid w:val="007B352B"/>
    <w:rsid w:val="007B3534"/>
    <w:rsid w:val="007B3563"/>
    <w:rsid w:val="007B36D2"/>
    <w:rsid w:val="007B36F8"/>
    <w:rsid w:val="007B370A"/>
    <w:rsid w:val="007B3764"/>
    <w:rsid w:val="007B3B8A"/>
    <w:rsid w:val="007B3BB9"/>
    <w:rsid w:val="007B3C37"/>
    <w:rsid w:val="007B3DD0"/>
    <w:rsid w:val="007B3E59"/>
    <w:rsid w:val="007B3EA8"/>
    <w:rsid w:val="007B419C"/>
    <w:rsid w:val="007B41DD"/>
    <w:rsid w:val="007B422B"/>
    <w:rsid w:val="007B4563"/>
    <w:rsid w:val="007B468E"/>
    <w:rsid w:val="007B4723"/>
    <w:rsid w:val="007B481E"/>
    <w:rsid w:val="007B48C8"/>
    <w:rsid w:val="007B48E2"/>
    <w:rsid w:val="007B4ADB"/>
    <w:rsid w:val="007B4CD5"/>
    <w:rsid w:val="007B4D78"/>
    <w:rsid w:val="007B4FB2"/>
    <w:rsid w:val="007B4FFC"/>
    <w:rsid w:val="007B502F"/>
    <w:rsid w:val="007B513D"/>
    <w:rsid w:val="007B5262"/>
    <w:rsid w:val="007B52E3"/>
    <w:rsid w:val="007B538A"/>
    <w:rsid w:val="007B5499"/>
    <w:rsid w:val="007B552F"/>
    <w:rsid w:val="007B5544"/>
    <w:rsid w:val="007B58F5"/>
    <w:rsid w:val="007B5ACD"/>
    <w:rsid w:val="007B5B12"/>
    <w:rsid w:val="007B5D4A"/>
    <w:rsid w:val="007B5D77"/>
    <w:rsid w:val="007B5DFC"/>
    <w:rsid w:val="007B5FB3"/>
    <w:rsid w:val="007B60F5"/>
    <w:rsid w:val="007B6106"/>
    <w:rsid w:val="007B6237"/>
    <w:rsid w:val="007B624F"/>
    <w:rsid w:val="007B62E2"/>
    <w:rsid w:val="007B635C"/>
    <w:rsid w:val="007B660B"/>
    <w:rsid w:val="007B6B13"/>
    <w:rsid w:val="007B6B18"/>
    <w:rsid w:val="007B6D04"/>
    <w:rsid w:val="007B6E33"/>
    <w:rsid w:val="007B6E46"/>
    <w:rsid w:val="007B6F09"/>
    <w:rsid w:val="007B722F"/>
    <w:rsid w:val="007B7285"/>
    <w:rsid w:val="007B76B9"/>
    <w:rsid w:val="007B7785"/>
    <w:rsid w:val="007B778F"/>
    <w:rsid w:val="007B7E10"/>
    <w:rsid w:val="007B7E44"/>
    <w:rsid w:val="007B7EBA"/>
    <w:rsid w:val="007C0212"/>
    <w:rsid w:val="007C02BE"/>
    <w:rsid w:val="007C039A"/>
    <w:rsid w:val="007C04B5"/>
    <w:rsid w:val="007C0568"/>
    <w:rsid w:val="007C063B"/>
    <w:rsid w:val="007C06BF"/>
    <w:rsid w:val="007C0756"/>
    <w:rsid w:val="007C079D"/>
    <w:rsid w:val="007C088A"/>
    <w:rsid w:val="007C09BD"/>
    <w:rsid w:val="007C0E03"/>
    <w:rsid w:val="007C11F6"/>
    <w:rsid w:val="007C1294"/>
    <w:rsid w:val="007C12DE"/>
    <w:rsid w:val="007C1325"/>
    <w:rsid w:val="007C13E8"/>
    <w:rsid w:val="007C1564"/>
    <w:rsid w:val="007C156F"/>
    <w:rsid w:val="007C17EB"/>
    <w:rsid w:val="007C18CD"/>
    <w:rsid w:val="007C19E6"/>
    <w:rsid w:val="007C19F4"/>
    <w:rsid w:val="007C1A26"/>
    <w:rsid w:val="007C1B5F"/>
    <w:rsid w:val="007C1CBF"/>
    <w:rsid w:val="007C1E64"/>
    <w:rsid w:val="007C1F99"/>
    <w:rsid w:val="007C1FDD"/>
    <w:rsid w:val="007C246D"/>
    <w:rsid w:val="007C2495"/>
    <w:rsid w:val="007C24C9"/>
    <w:rsid w:val="007C2576"/>
    <w:rsid w:val="007C26BC"/>
    <w:rsid w:val="007C26BF"/>
    <w:rsid w:val="007C274A"/>
    <w:rsid w:val="007C28D7"/>
    <w:rsid w:val="007C28E7"/>
    <w:rsid w:val="007C28FD"/>
    <w:rsid w:val="007C2AF3"/>
    <w:rsid w:val="007C2B70"/>
    <w:rsid w:val="007C2C11"/>
    <w:rsid w:val="007C2C6A"/>
    <w:rsid w:val="007C2CD5"/>
    <w:rsid w:val="007C3103"/>
    <w:rsid w:val="007C312C"/>
    <w:rsid w:val="007C3363"/>
    <w:rsid w:val="007C3376"/>
    <w:rsid w:val="007C3391"/>
    <w:rsid w:val="007C3439"/>
    <w:rsid w:val="007C36DA"/>
    <w:rsid w:val="007C3843"/>
    <w:rsid w:val="007C38F5"/>
    <w:rsid w:val="007C3924"/>
    <w:rsid w:val="007C3945"/>
    <w:rsid w:val="007C3A2C"/>
    <w:rsid w:val="007C3A85"/>
    <w:rsid w:val="007C3B63"/>
    <w:rsid w:val="007C3CD5"/>
    <w:rsid w:val="007C3DA3"/>
    <w:rsid w:val="007C406D"/>
    <w:rsid w:val="007C4101"/>
    <w:rsid w:val="007C4106"/>
    <w:rsid w:val="007C41DA"/>
    <w:rsid w:val="007C4270"/>
    <w:rsid w:val="007C4358"/>
    <w:rsid w:val="007C448B"/>
    <w:rsid w:val="007C45B2"/>
    <w:rsid w:val="007C4651"/>
    <w:rsid w:val="007C48AB"/>
    <w:rsid w:val="007C4974"/>
    <w:rsid w:val="007C49D4"/>
    <w:rsid w:val="007C4A58"/>
    <w:rsid w:val="007C4BEB"/>
    <w:rsid w:val="007C4BEE"/>
    <w:rsid w:val="007C4D11"/>
    <w:rsid w:val="007C4D91"/>
    <w:rsid w:val="007C4F2C"/>
    <w:rsid w:val="007C4F88"/>
    <w:rsid w:val="007C5142"/>
    <w:rsid w:val="007C55FA"/>
    <w:rsid w:val="007C5611"/>
    <w:rsid w:val="007C56D2"/>
    <w:rsid w:val="007C57FB"/>
    <w:rsid w:val="007C58EE"/>
    <w:rsid w:val="007C596F"/>
    <w:rsid w:val="007C5AEA"/>
    <w:rsid w:val="007C5BB6"/>
    <w:rsid w:val="007C5CFC"/>
    <w:rsid w:val="007C5E35"/>
    <w:rsid w:val="007C6107"/>
    <w:rsid w:val="007C62A3"/>
    <w:rsid w:val="007C6624"/>
    <w:rsid w:val="007C6689"/>
    <w:rsid w:val="007C66A1"/>
    <w:rsid w:val="007C6876"/>
    <w:rsid w:val="007C6AC6"/>
    <w:rsid w:val="007C6AFB"/>
    <w:rsid w:val="007C6BAD"/>
    <w:rsid w:val="007C6BFC"/>
    <w:rsid w:val="007C6C85"/>
    <w:rsid w:val="007C6E48"/>
    <w:rsid w:val="007C6FC2"/>
    <w:rsid w:val="007C702B"/>
    <w:rsid w:val="007C7183"/>
    <w:rsid w:val="007C7745"/>
    <w:rsid w:val="007C7845"/>
    <w:rsid w:val="007C7996"/>
    <w:rsid w:val="007C7BAA"/>
    <w:rsid w:val="007C7CFE"/>
    <w:rsid w:val="007C7E60"/>
    <w:rsid w:val="007C7E79"/>
    <w:rsid w:val="007C7EA9"/>
    <w:rsid w:val="007C7EFC"/>
    <w:rsid w:val="007D00F5"/>
    <w:rsid w:val="007D01AA"/>
    <w:rsid w:val="007D044D"/>
    <w:rsid w:val="007D04D3"/>
    <w:rsid w:val="007D0731"/>
    <w:rsid w:val="007D079D"/>
    <w:rsid w:val="007D0843"/>
    <w:rsid w:val="007D08EA"/>
    <w:rsid w:val="007D0A5F"/>
    <w:rsid w:val="007D0A99"/>
    <w:rsid w:val="007D0DB5"/>
    <w:rsid w:val="007D0ED2"/>
    <w:rsid w:val="007D1131"/>
    <w:rsid w:val="007D11C2"/>
    <w:rsid w:val="007D1290"/>
    <w:rsid w:val="007D1367"/>
    <w:rsid w:val="007D144F"/>
    <w:rsid w:val="007D1456"/>
    <w:rsid w:val="007D1483"/>
    <w:rsid w:val="007D16CF"/>
    <w:rsid w:val="007D16F4"/>
    <w:rsid w:val="007D1701"/>
    <w:rsid w:val="007D1758"/>
    <w:rsid w:val="007D1821"/>
    <w:rsid w:val="007D18A6"/>
    <w:rsid w:val="007D199B"/>
    <w:rsid w:val="007D1B46"/>
    <w:rsid w:val="007D1CDB"/>
    <w:rsid w:val="007D1D82"/>
    <w:rsid w:val="007D1F85"/>
    <w:rsid w:val="007D2021"/>
    <w:rsid w:val="007D216E"/>
    <w:rsid w:val="007D238F"/>
    <w:rsid w:val="007D26A1"/>
    <w:rsid w:val="007D287D"/>
    <w:rsid w:val="007D2D34"/>
    <w:rsid w:val="007D2ECB"/>
    <w:rsid w:val="007D2ED3"/>
    <w:rsid w:val="007D2F53"/>
    <w:rsid w:val="007D3112"/>
    <w:rsid w:val="007D3154"/>
    <w:rsid w:val="007D3497"/>
    <w:rsid w:val="007D357C"/>
    <w:rsid w:val="007D38F0"/>
    <w:rsid w:val="007D39C9"/>
    <w:rsid w:val="007D3AFC"/>
    <w:rsid w:val="007D3D18"/>
    <w:rsid w:val="007D3DA6"/>
    <w:rsid w:val="007D3DCD"/>
    <w:rsid w:val="007D3EF5"/>
    <w:rsid w:val="007D3EFF"/>
    <w:rsid w:val="007D3F6D"/>
    <w:rsid w:val="007D3F8E"/>
    <w:rsid w:val="007D41B6"/>
    <w:rsid w:val="007D433F"/>
    <w:rsid w:val="007D4492"/>
    <w:rsid w:val="007D473F"/>
    <w:rsid w:val="007D4828"/>
    <w:rsid w:val="007D4871"/>
    <w:rsid w:val="007D489B"/>
    <w:rsid w:val="007D48DC"/>
    <w:rsid w:val="007D4997"/>
    <w:rsid w:val="007D49F4"/>
    <w:rsid w:val="007D4A16"/>
    <w:rsid w:val="007D4AAB"/>
    <w:rsid w:val="007D4AB2"/>
    <w:rsid w:val="007D4B68"/>
    <w:rsid w:val="007D4C07"/>
    <w:rsid w:val="007D4F09"/>
    <w:rsid w:val="007D5012"/>
    <w:rsid w:val="007D51EB"/>
    <w:rsid w:val="007D5225"/>
    <w:rsid w:val="007D5313"/>
    <w:rsid w:val="007D535E"/>
    <w:rsid w:val="007D56B9"/>
    <w:rsid w:val="007D56F2"/>
    <w:rsid w:val="007D573D"/>
    <w:rsid w:val="007D57DE"/>
    <w:rsid w:val="007D584B"/>
    <w:rsid w:val="007D587A"/>
    <w:rsid w:val="007D5949"/>
    <w:rsid w:val="007D59EC"/>
    <w:rsid w:val="007D5B08"/>
    <w:rsid w:val="007D5B11"/>
    <w:rsid w:val="007D5BAD"/>
    <w:rsid w:val="007D5BEF"/>
    <w:rsid w:val="007D5CE2"/>
    <w:rsid w:val="007D5F71"/>
    <w:rsid w:val="007D60BB"/>
    <w:rsid w:val="007D61B2"/>
    <w:rsid w:val="007D6280"/>
    <w:rsid w:val="007D6282"/>
    <w:rsid w:val="007D6355"/>
    <w:rsid w:val="007D66A5"/>
    <w:rsid w:val="007D693A"/>
    <w:rsid w:val="007D6AAF"/>
    <w:rsid w:val="007D6BE5"/>
    <w:rsid w:val="007D6ECC"/>
    <w:rsid w:val="007D6F5B"/>
    <w:rsid w:val="007D713F"/>
    <w:rsid w:val="007D72CF"/>
    <w:rsid w:val="007D7455"/>
    <w:rsid w:val="007D74E1"/>
    <w:rsid w:val="007D76FC"/>
    <w:rsid w:val="007D7783"/>
    <w:rsid w:val="007D7790"/>
    <w:rsid w:val="007D78C2"/>
    <w:rsid w:val="007D797D"/>
    <w:rsid w:val="007D79F9"/>
    <w:rsid w:val="007D7A08"/>
    <w:rsid w:val="007D7DFC"/>
    <w:rsid w:val="007D7EAC"/>
    <w:rsid w:val="007E0267"/>
    <w:rsid w:val="007E031E"/>
    <w:rsid w:val="007E0489"/>
    <w:rsid w:val="007E05B0"/>
    <w:rsid w:val="007E06AD"/>
    <w:rsid w:val="007E085B"/>
    <w:rsid w:val="007E08E8"/>
    <w:rsid w:val="007E0908"/>
    <w:rsid w:val="007E0AA5"/>
    <w:rsid w:val="007E0CA4"/>
    <w:rsid w:val="007E0D1B"/>
    <w:rsid w:val="007E1294"/>
    <w:rsid w:val="007E12F4"/>
    <w:rsid w:val="007E145A"/>
    <w:rsid w:val="007E14FB"/>
    <w:rsid w:val="007E1534"/>
    <w:rsid w:val="007E15F6"/>
    <w:rsid w:val="007E1616"/>
    <w:rsid w:val="007E1646"/>
    <w:rsid w:val="007E1709"/>
    <w:rsid w:val="007E1722"/>
    <w:rsid w:val="007E1726"/>
    <w:rsid w:val="007E178A"/>
    <w:rsid w:val="007E188C"/>
    <w:rsid w:val="007E1946"/>
    <w:rsid w:val="007E195E"/>
    <w:rsid w:val="007E1B18"/>
    <w:rsid w:val="007E1B24"/>
    <w:rsid w:val="007E1C5E"/>
    <w:rsid w:val="007E1C6D"/>
    <w:rsid w:val="007E1D12"/>
    <w:rsid w:val="007E1D4E"/>
    <w:rsid w:val="007E1E1C"/>
    <w:rsid w:val="007E1EFA"/>
    <w:rsid w:val="007E2220"/>
    <w:rsid w:val="007E229B"/>
    <w:rsid w:val="007E2453"/>
    <w:rsid w:val="007E2658"/>
    <w:rsid w:val="007E267A"/>
    <w:rsid w:val="007E2B30"/>
    <w:rsid w:val="007E2B38"/>
    <w:rsid w:val="007E2C48"/>
    <w:rsid w:val="007E2E91"/>
    <w:rsid w:val="007E2FB0"/>
    <w:rsid w:val="007E3135"/>
    <w:rsid w:val="007E3446"/>
    <w:rsid w:val="007E345B"/>
    <w:rsid w:val="007E3555"/>
    <w:rsid w:val="007E39A8"/>
    <w:rsid w:val="007E3AA4"/>
    <w:rsid w:val="007E3B18"/>
    <w:rsid w:val="007E3BA3"/>
    <w:rsid w:val="007E3D2A"/>
    <w:rsid w:val="007E3E6F"/>
    <w:rsid w:val="007E3EA7"/>
    <w:rsid w:val="007E402B"/>
    <w:rsid w:val="007E40C5"/>
    <w:rsid w:val="007E40D2"/>
    <w:rsid w:val="007E4323"/>
    <w:rsid w:val="007E439B"/>
    <w:rsid w:val="007E43F6"/>
    <w:rsid w:val="007E4522"/>
    <w:rsid w:val="007E4665"/>
    <w:rsid w:val="007E46EC"/>
    <w:rsid w:val="007E4A01"/>
    <w:rsid w:val="007E4AC5"/>
    <w:rsid w:val="007E4B2E"/>
    <w:rsid w:val="007E4BEC"/>
    <w:rsid w:val="007E4C55"/>
    <w:rsid w:val="007E4D30"/>
    <w:rsid w:val="007E4DDF"/>
    <w:rsid w:val="007E4DEE"/>
    <w:rsid w:val="007E4E8D"/>
    <w:rsid w:val="007E4FA0"/>
    <w:rsid w:val="007E520A"/>
    <w:rsid w:val="007E5464"/>
    <w:rsid w:val="007E5505"/>
    <w:rsid w:val="007E5506"/>
    <w:rsid w:val="007E551E"/>
    <w:rsid w:val="007E55D1"/>
    <w:rsid w:val="007E5642"/>
    <w:rsid w:val="007E5C12"/>
    <w:rsid w:val="007E5D87"/>
    <w:rsid w:val="007E5DC0"/>
    <w:rsid w:val="007E5DD5"/>
    <w:rsid w:val="007E5EDE"/>
    <w:rsid w:val="007E5F06"/>
    <w:rsid w:val="007E60C0"/>
    <w:rsid w:val="007E6135"/>
    <w:rsid w:val="007E62C9"/>
    <w:rsid w:val="007E64B0"/>
    <w:rsid w:val="007E6BA8"/>
    <w:rsid w:val="007E6CD4"/>
    <w:rsid w:val="007E6E90"/>
    <w:rsid w:val="007E6F57"/>
    <w:rsid w:val="007E6F5F"/>
    <w:rsid w:val="007E70BA"/>
    <w:rsid w:val="007E7175"/>
    <w:rsid w:val="007E71BA"/>
    <w:rsid w:val="007E7234"/>
    <w:rsid w:val="007E7910"/>
    <w:rsid w:val="007E7969"/>
    <w:rsid w:val="007E79A1"/>
    <w:rsid w:val="007E7B28"/>
    <w:rsid w:val="007E7B84"/>
    <w:rsid w:val="007E7B90"/>
    <w:rsid w:val="007E7BC8"/>
    <w:rsid w:val="007E7C84"/>
    <w:rsid w:val="007E7CBD"/>
    <w:rsid w:val="007E7DEA"/>
    <w:rsid w:val="007E7E52"/>
    <w:rsid w:val="007E7EA3"/>
    <w:rsid w:val="007E7F07"/>
    <w:rsid w:val="007E7F14"/>
    <w:rsid w:val="007F001E"/>
    <w:rsid w:val="007F00F2"/>
    <w:rsid w:val="007F0129"/>
    <w:rsid w:val="007F022F"/>
    <w:rsid w:val="007F0242"/>
    <w:rsid w:val="007F02D2"/>
    <w:rsid w:val="007F036F"/>
    <w:rsid w:val="007F037B"/>
    <w:rsid w:val="007F05B4"/>
    <w:rsid w:val="007F06F2"/>
    <w:rsid w:val="007F0756"/>
    <w:rsid w:val="007F07A4"/>
    <w:rsid w:val="007F07EF"/>
    <w:rsid w:val="007F0877"/>
    <w:rsid w:val="007F08D3"/>
    <w:rsid w:val="007F08DE"/>
    <w:rsid w:val="007F090C"/>
    <w:rsid w:val="007F09A9"/>
    <w:rsid w:val="007F0AD5"/>
    <w:rsid w:val="007F0AE3"/>
    <w:rsid w:val="007F0CC0"/>
    <w:rsid w:val="007F0D6C"/>
    <w:rsid w:val="007F0FA8"/>
    <w:rsid w:val="007F1030"/>
    <w:rsid w:val="007F10FC"/>
    <w:rsid w:val="007F112E"/>
    <w:rsid w:val="007F1294"/>
    <w:rsid w:val="007F139F"/>
    <w:rsid w:val="007F1540"/>
    <w:rsid w:val="007F162B"/>
    <w:rsid w:val="007F1790"/>
    <w:rsid w:val="007F18A4"/>
    <w:rsid w:val="007F1AB6"/>
    <w:rsid w:val="007F1AD8"/>
    <w:rsid w:val="007F1DC7"/>
    <w:rsid w:val="007F1E4A"/>
    <w:rsid w:val="007F20AD"/>
    <w:rsid w:val="007F24C2"/>
    <w:rsid w:val="007F24F6"/>
    <w:rsid w:val="007F261F"/>
    <w:rsid w:val="007F280C"/>
    <w:rsid w:val="007F2870"/>
    <w:rsid w:val="007F29A1"/>
    <w:rsid w:val="007F29CD"/>
    <w:rsid w:val="007F2BCC"/>
    <w:rsid w:val="007F2BCD"/>
    <w:rsid w:val="007F2BE7"/>
    <w:rsid w:val="007F2C48"/>
    <w:rsid w:val="007F2C83"/>
    <w:rsid w:val="007F2CC8"/>
    <w:rsid w:val="007F2EB3"/>
    <w:rsid w:val="007F2F3C"/>
    <w:rsid w:val="007F3034"/>
    <w:rsid w:val="007F31C9"/>
    <w:rsid w:val="007F32CC"/>
    <w:rsid w:val="007F32CE"/>
    <w:rsid w:val="007F3406"/>
    <w:rsid w:val="007F3423"/>
    <w:rsid w:val="007F36B5"/>
    <w:rsid w:val="007F37AB"/>
    <w:rsid w:val="007F38C9"/>
    <w:rsid w:val="007F3941"/>
    <w:rsid w:val="007F3C59"/>
    <w:rsid w:val="007F3EA4"/>
    <w:rsid w:val="007F3F40"/>
    <w:rsid w:val="007F4186"/>
    <w:rsid w:val="007F41B8"/>
    <w:rsid w:val="007F41C2"/>
    <w:rsid w:val="007F42EF"/>
    <w:rsid w:val="007F4593"/>
    <w:rsid w:val="007F48F0"/>
    <w:rsid w:val="007F49D0"/>
    <w:rsid w:val="007F4ABA"/>
    <w:rsid w:val="007F4ABD"/>
    <w:rsid w:val="007F4B18"/>
    <w:rsid w:val="007F4CCB"/>
    <w:rsid w:val="007F4D65"/>
    <w:rsid w:val="007F4F2A"/>
    <w:rsid w:val="007F4F8A"/>
    <w:rsid w:val="007F51C5"/>
    <w:rsid w:val="007F52ED"/>
    <w:rsid w:val="007F54E1"/>
    <w:rsid w:val="007F56AC"/>
    <w:rsid w:val="007F56BC"/>
    <w:rsid w:val="007F5753"/>
    <w:rsid w:val="007F58CB"/>
    <w:rsid w:val="007F59F1"/>
    <w:rsid w:val="007F5AA8"/>
    <w:rsid w:val="007F5AAA"/>
    <w:rsid w:val="007F5B08"/>
    <w:rsid w:val="007F5CF4"/>
    <w:rsid w:val="007F5DCF"/>
    <w:rsid w:val="007F5E83"/>
    <w:rsid w:val="007F5F78"/>
    <w:rsid w:val="007F5FA6"/>
    <w:rsid w:val="007F602F"/>
    <w:rsid w:val="007F6328"/>
    <w:rsid w:val="007F63D6"/>
    <w:rsid w:val="007F6419"/>
    <w:rsid w:val="007F6459"/>
    <w:rsid w:val="007F6483"/>
    <w:rsid w:val="007F65A9"/>
    <w:rsid w:val="007F65EB"/>
    <w:rsid w:val="007F66C3"/>
    <w:rsid w:val="007F6A1D"/>
    <w:rsid w:val="007F6D78"/>
    <w:rsid w:val="007F6DD9"/>
    <w:rsid w:val="007F6E14"/>
    <w:rsid w:val="007F6ED8"/>
    <w:rsid w:val="007F6EE6"/>
    <w:rsid w:val="007F6F40"/>
    <w:rsid w:val="007F6F5C"/>
    <w:rsid w:val="007F710A"/>
    <w:rsid w:val="007F7299"/>
    <w:rsid w:val="007F72F8"/>
    <w:rsid w:val="007F7646"/>
    <w:rsid w:val="007F7743"/>
    <w:rsid w:val="007F7754"/>
    <w:rsid w:val="007F7876"/>
    <w:rsid w:val="007F7886"/>
    <w:rsid w:val="007F7A31"/>
    <w:rsid w:val="007F7AD3"/>
    <w:rsid w:val="007F7BDD"/>
    <w:rsid w:val="007F7C1B"/>
    <w:rsid w:val="007F7D01"/>
    <w:rsid w:val="007F7E66"/>
    <w:rsid w:val="0080025D"/>
    <w:rsid w:val="008002AF"/>
    <w:rsid w:val="0080034D"/>
    <w:rsid w:val="00800351"/>
    <w:rsid w:val="00800358"/>
    <w:rsid w:val="008005B0"/>
    <w:rsid w:val="008005D8"/>
    <w:rsid w:val="008005EF"/>
    <w:rsid w:val="008007F3"/>
    <w:rsid w:val="00800919"/>
    <w:rsid w:val="00800998"/>
    <w:rsid w:val="008009A6"/>
    <w:rsid w:val="00800D4B"/>
    <w:rsid w:val="00800F70"/>
    <w:rsid w:val="00800F79"/>
    <w:rsid w:val="008010BA"/>
    <w:rsid w:val="008011F3"/>
    <w:rsid w:val="0080125A"/>
    <w:rsid w:val="008012CF"/>
    <w:rsid w:val="0080143D"/>
    <w:rsid w:val="008015D5"/>
    <w:rsid w:val="0080164F"/>
    <w:rsid w:val="00801864"/>
    <w:rsid w:val="008018F9"/>
    <w:rsid w:val="00801BD6"/>
    <w:rsid w:val="00801D33"/>
    <w:rsid w:val="00801D7D"/>
    <w:rsid w:val="00802053"/>
    <w:rsid w:val="008020FE"/>
    <w:rsid w:val="00802152"/>
    <w:rsid w:val="008023E6"/>
    <w:rsid w:val="008023F6"/>
    <w:rsid w:val="00802517"/>
    <w:rsid w:val="00802557"/>
    <w:rsid w:val="00802601"/>
    <w:rsid w:val="00802A2C"/>
    <w:rsid w:val="00802AFB"/>
    <w:rsid w:val="00802B34"/>
    <w:rsid w:val="00802BF4"/>
    <w:rsid w:val="00802CE7"/>
    <w:rsid w:val="00802E3C"/>
    <w:rsid w:val="00802ECF"/>
    <w:rsid w:val="0080306F"/>
    <w:rsid w:val="00803099"/>
    <w:rsid w:val="008030B5"/>
    <w:rsid w:val="00803122"/>
    <w:rsid w:val="0080315C"/>
    <w:rsid w:val="00803172"/>
    <w:rsid w:val="008031CC"/>
    <w:rsid w:val="008032C9"/>
    <w:rsid w:val="008032D7"/>
    <w:rsid w:val="00803397"/>
    <w:rsid w:val="0080339E"/>
    <w:rsid w:val="008034F2"/>
    <w:rsid w:val="008035B0"/>
    <w:rsid w:val="0080362B"/>
    <w:rsid w:val="008036B6"/>
    <w:rsid w:val="008036E4"/>
    <w:rsid w:val="008037EF"/>
    <w:rsid w:val="00803885"/>
    <w:rsid w:val="008038C4"/>
    <w:rsid w:val="00803AF1"/>
    <w:rsid w:val="00803FE7"/>
    <w:rsid w:val="00804024"/>
    <w:rsid w:val="00804066"/>
    <w:rsid w:val="008041DF"/>
    <w:rsid w:val="00804280"/>
    <w:rsid w:val="00804296"/>
    <w:rsid w:val="00804323"/>
    <w:rsid w:val="008044B3"/>
    <w:rsid w:val="008045E5"/>
    <w:rsid w:val="00804690"/>
    <w:rsid w:val="0080477D"/>
    <w:rsid w:val="00804A0B"/>
    <w:rsid w:val="00804BFB"/>
    <w:rsid w:val="00804F1F"/>
    <w:rsid w:val="00804FED"/>
    <w:rsid w:val="00805147"/>
    <w:rsid w:val="00805289"/>
    <w:rsid w:val="008052DD"/>
    <w:rsid w:val="0080533F"/>
    <w:rsid w:val="00805342"/>
    <w:rsid w:val="008053BE"/>
    <w:rsid w:val="008053D7"/>
    <w:rsid w:val="00805522"/>
    <w:rsid w:val="008055EE"/>
    <w:rsid w:val="00805653"/>
    <w:rsid w:val="0080566D"/>
    <w:rsid w:val="00805708"/>
    <w:rsid w:val="008058A3"/>
    <w:rsid w:val="008058C1"/>
    <w:rsid w:val="00805A3D"/>
    <w:rsid w:val="00805BE7"/>
    <w:rsid w:val="00805CE9"/>
    <w:rsid w:val="00805CF8"/>
    <w:rsid w:val="00805E75"/>
    <w:rsid w:val="00805F14"/>
    <w:rsid w:val="00806003"/>
    <w:rsid w:val="0080634B"/>
    <w:rsid w:val="00806491"/>
    <w:rsid w:val="008064BB"/>
    <w:rsid w:val="0080675E"/>
    <w:rsid w:val="008068B0"/>
    <w:rsid w:val="0080691F"/>
    <w:rsid w:val="0080697D"/>
    <w:rsid w:val="00806990"/>
    <w:rsid w:val="00806A81"/>
    <w:rsid w:val="00806B09"/>
    <w:rsid w:val="00806B5F"/>
    <w:rsid w:val="00806C3F"/>
    <w:rsid w:val="00806D75"/>
    <w:rsid w:val="00806D9A"/>
    <w:rsid w:val="00807026"/>
    <w:rsid w:val="00807066"/>
    <w:rsid w:val="0080725B"/>
    <w:rsid w:val="00807339"/>
    <w:rsid w:val="008075A9"/>
    <w:rsid w:val="00807625"/>
    <w:rsid w:val="00807930"/>
    <w:rsid w:val="00807943"/>
    <w:rsid w:val="008079A3"/>
    <w:rsid w:val="00807B59"/>
    <w:rsid w:val="00807C37"/>
    <w:rsid w:val="00807DFD"/>
    <w:rsid w:val="00807F0C"/>
    <w:rsid w:val="00810038"/>
    <w:rsid w:val="00810458"/>
    <w:rsid w:val="0081057E"/>
    <w:rsid w:val="00810618"/>
    <w:rsid w:val="008106E9"/>
    <w:rsid w:val="008107BE"/>
    <w:rsid w:val="00810822"/>
    <w:rsid w:val="00810DE4"/>
    <w:rsid w:val="00810FB6"/>
    <w:rsid w:val="00810FB9"/>
    <w:rsid w:val="0081107B"/>
    <w:rsid w:val="0081108C"/>
    <w:rsid w:val="0081127A"/>
    <w:rsid w:val="008113B5"/>
    <w:rsid w:val="008114F0"/>
    <w:rsid w:val="0081152D"/>
    <w:rsid w:val="008115EC"/>
    <w:rsid w:val="008116D3"/>
    <w:rsid w:val="00811738"/>
    <w:rsid w:val="008117D5"/>
    <w:rsid w:val="00811823"/>
    <w:rsid w:val="0081187B"/>
    <w:rsid w:val="00811A2D"/>
    <w:rsid w:val="00811B67"/>
    <w:rsid w:val="00811C7B"/>
    <w:rsid w:val="00811CEA"/>
    <w:rsid w:val="00811D42"/>
    <w:rsid w:val="00811E69"/>
    <w:rsid w:val="00811E85"/>
    <w:rsid w:val="00812038"/>
    <w:rsid w:val="00812207"/>
    <w:rsid w:val="0081229A"/>
    <w:rsid w:val="0081251F"/>
    <w:rsid w:val="008125C1"/>
    <w:rsid w:val="008126B2"/>
    <w:rsid w:val="00812726"/>
    <w:rsid w:val="008128A5"/>
    <w:rsid w:val="0081299A"/>
    <w:rsid w:val="00812AFF"/>
    <w:rsid w:val="00812C15"/>
    <w:rsid w:val="00812C4E"/>
    <w:rsid w:val="00812C6F"/>
    <w:rsid w:val="00812DE7"/>
    <w:rsid w:val="00812F00"/>
    <w:rsid w:val="00813263"/>
    <w:rsid w:val="008133B6"/>
    <w:rsid w:val="008134CF"/>
    <w:rsid w:val="0081353C"/>
    <w:rsid w:val="00813679"/>
    <w:rsid w:val="008136AC"/>
    <w:rsid w:val="00813980"/>
    <w:rsid w:val="00813B25"/>
    <w:rsid w:val="00813B2C"/>
    <w:rsid w:val="00813D00"/>
    <w:rsid w:val="00813EED"/>
    <w:rsid w:val="00813EFF"/>
    <w:rsid w:val="00814231"/>
    <w:rsid w:val="008142C0"/>
    <w:rsid w:val="008142E8"/>
    <w:rsid w:val="00814430"/>
    <w:rsid w:val="008144A7"/>
    <w:rsid w:val="008144CA"/>
    <w:rsid w:val="008144E0"/>
    <w:rsid w:val="008145FD"/>
    <w:rsid w:val="00814600"/>
    <w:rsid w:val="00814634"/>
    <w:rsid w:val="00814788"/>
    <w:rsid w:val="0081484B"/>
    <w:rsid w:val="00814CAA"/>
    <w:rsid w:val="00814DB2"/>
    <w:rsid w:val="00814E3B"/>
    <w:rsid w:val="00814F02"/>
    <w:rsid w:val="00814F76"/>
    <w:rsid w:val="0081518E"/>
    <w:rsid w:val="008153E2"/>
    <w:rsid w:val="008156B1"/>
    <w:rsid w:val="008157D6"/>
    <w:rsid w:val="008158A7"/>
    <w:rsid w:val="00815A14"/>
    <w:rsid w:val="00815A2B"/>
    <w:rsid w:val="00815AFC"/>
    <w:rsid w:val="00815B8F"/>
    <w:rsid w:val="00815BA4"/>
    <w:rsid w:val="00815BBE"/>
    <w:rsid w:val="008162B8"/>
    <w:rsid w:val="008163AC"/>
    <w:rsid w:val="00816447"/>
    <w:rsid w:val="00816530"/>
    <w:rsid w:val="00816866"/>
    <w:rsid w:val="00816890"/>
    <w:rsid w:val="008168DA"/>
    <w:rsid w:val="00816A1D"/>
    <w:rsid w:val="00816EAB"/>
    <w:rsid w:val="00816F30"/>
    <w:rsid w:val="00817153"/>
    <w:rsid w:val="00817225"/>
    <w:rsid w:val="0081732D"/>
    <w:rsid w:val="008174AE"/>
    <w:rsid w:val="008174C9"/>
    <w:rsid w:val="0081752D"/>
    <w:rsid w:val="008175AA"/>
    <w:rsid w:val="00817652"/>
    <w:rsid w:val="008177D9"/>
    <w:rsid w:val="00817997"/>
    <w:rsid w:val="00817A99"/>
    <w:rsid w:val="00817E8E"/>
    <w:rsid w:val="00817EA6"/>
    <w:rsid w:val="00817F66"/>
    <w:rsid w:val="00820083"/>
    <w:rsid w:val="008203D6"/>
    <w:rsid w:val="008203F6"/>
    <w:rsid w:val="008205ED"/>
    <w:rsid w:val="0082070B"/>
    <w:rsid w:val="00820890"/>
    <w:rsid w:val="0082090F"/>
    <w:rsid w:val="0082093C"/>
    <w:rsid w:val="00820958"/>
    <w:rsid w:val="008209AF"/>
    <w:rsid w:val="00820A31"/>
    <w:rsid w:val="00820A40"/>
    <w:rsid w:val="00820C19"/>
    <w:rsid w:val="00820C21"/>
    <w:rsid w:val="00820DB0"/>
    <w:rsid w:val="00820EF0"/>
    <w:rsid w:val="00820FE6"/>
    <w:rsid w:val="0082109B"/>
    <w:rsid w:val="008210B2"/>
    <w:rsid w:val="00821105"/>
    <w:rsid w:val="00821108"/>
    <w:rsid w:val="008212D8"/>
    <w:rsid w:val="00821423"/>
    <w:rsid w:val="0082143A"/>
    <w:rsid w:val="00821517"/>
    <w:rsid w:val="00821536"/>
    <w:rsid w:val="008215CA"/>
    <w:rsid w:val="008215F5"/>
    <w:rsid w:val="008217E8"/>
    <w:rsid w:val="008219EC"/>
    <w:rsid w:val="00821A27"/>
    <w:rsid w:val="00821D1B"/>
    <w:rsid w:val="00821E35"/>
    <w:rsid w:val="00822046"/>
    <w:rsid w:val="0082239F"/>
    <w:rsid w:val="008223A7"/>
    <w:rsid w:val="008226CA"/>
    <w:rsid w:val="008226F2"/>
    <w:rsid w:val="0082278E"/>
    <w:rsid w:val="008228A4"/>
    <w:rsid w:val="00822B40"/>
    <w:rsid w:val="00822B4B"/>
    <w:rsid w:val="00822BBC"/>
    <w:rsid w:val="00822C28"/>
    <w:rsid w:val="00822DE6"/>
    <w:rsid w:val="00822E5B"/>
    <w:rsid w:val="00822F76"/>
    <w:rsid w:val="00822FA4"/>
    <w:rsid w:val="00823077"/>
    <w:rsid w:val="008230A0"/>
    <w:rsid w:val="008230EF"/>
    <w:rsid w:val="0082319D"/>
    <w:rsid w:val="008231AB"/>
    <w:rsid w:val="008231B9"/>
    <w:rsid w:val="00823223"/>
    <w:rsid w:val="008233EA"/>
    <w:rsid w:val="008233ED"/>
    <w:rsid w:val="00823465"/>
    <w:rsid w:val="008234A4"/>
    <w:rsid w:val="0082351A"/>
    <w:rsid w:val="008235A1"/>
    <w:rsid w:val="008236A1"/>
    <w:rsid w:val="008236CD"/>
    <w:rsid w:val="008236E9"/>
    <w:rsid w:val="008237D3"/>
    <w:rsid w:val="0082383A"/>
    <w:rsid w:val="008238C8"/>
    <w:rsid w:val="00823D5E"/>
    <w:rsid w:val="00823E7A"/>
    <w:rsid w:val="00823EF2"/>
    <w:rsid w:val="00823F72"/>
    <w:rsid w:val="008240E5"/>
    <w:rsid w:val="00824176"/>
    <w:rsid w:val="008243E3"/>
    <w:rsid w:val="008243F1"/>
    <w:rsid w:val="008245A0"/>
    <w:rsid w:val="008245F8"/>
    <w:rsid w:val="00824627"/>
    <w:rsid w:val="00824801"/>
    <w:rsid w:val="00824861"/>
    <w:rsid w:val="00824B47"/>
    <w:rsid w:val="00824D12"/>
    <w:rsid w:val="00824D20"/>
    <w:rsid w:val="00824D2F"/>
    <w:rsid w:val="00824E4B"/>
    <w:rsid w:val="00824F74"/>
    <w:rsid w:val="00824F8A"/>
    <w:rsid w:val="00824F9C"/>
    <w:rsid w:val="00825053"/>
    <w:rsid w:val="008250B9"/>
    <w:rsid w:val="008250BB"/>
    <w:rsid w:val="00825364"/>
    <w:rsid w:val="00825465"/>
    <w:rsid w:val="008255EC"/>
    <w:rsid w:val="008255F9"/>
    <w:rsid w:val="00825668"/>
    <w:rsid w:val="008256D2"/>
    <w:rsid w:val="0082589E"/>
    <w:rsid w:val="008258B2"/>
    <w:rsid w:val="008258DB"/>
    <w:rsid w:val="00825D87"/>
    <w:rsid w:val="00825FE6"/>
    <w:rsid w:val="00826191"/>
    <w:rsid w:val="0082633F"/>
    <w:rsid w:val="00826419"/>
    <w:rsid w:val="0082641C"/>
    <w:rsid w:val="008264EC"/>
    <w:rsid w:val="008266AD"/>
    <w:rsid w:val="00826744"/>
    <w:rsid w:val="008267B0"/>
    <w:rsid w:val="00826A59"/>
    <w:rsid w:val="00826A76"/>
    <w:rsid w:val="00826B19"/>
    <w:rsid w:val="00826C80"/>
    <w:rsid w:val="00826CB3"/>
    <w:rsid w:val="00826E10"/>
    <w:rsid w:val="00826E86"/>
    <w:rsid w:val="00826F00"/>
    <w:rsid w:val="00827363"/>
    <w:rsid w:val="00827AF3"/>
    <w:rsid w:val="00827F95"/>
    <w:rsid w:val="00827FBC"/>
    <w:rsid w:val="0083032A"/>
    <w:rsid w:val="00830343"/>
    <w:rsid w:val="008303C3"/>
    <w:rsid w:val="0083056B"/>
    <w:rsid w:val="008305F7"/>
    <w:rsid w:val="00830619"/>
    <w:rsid w:val="0083085D"/>
    <w:rsid w:val="008308EC"/>
    <w:rsid w:val="00830A14"/>
    <w:rsid w:val="00830ADA"/>
    <w:rsid w:val="00830C2F"/>
    <w:rsid w:val="00830CAD"/>
    <w:rsid w:val="00830D11"/>
    <w:rsid w:val="00830E7C"/>
    <w:rsid w:val="00830ED8"/>
    <w:rsid w:val="00831074"/>
    <w:rsid w:val="00831081"/>
    <w:rsid w:val="00831121"/>
    <w:rsid w:val="008312F1"/>
    <w:rsid w:val="0083146D"/>
    <w:rsid w:val="008315BB"/>
    <w:rsid w:val="0083197D"/>
    <w:rsid w:val="00831ACF"/>
    <w:rsid w:val="00831AE8"/>
    <w:rsid w:val="00831BEA"/>
    <w:rsid w:val="00831CDA"/>
    <w:rsid w:val="00831D1A"/>
    <w:rsid w:val="00831D9B"/>
    <w:rsid w:val="00831E30"/>
    <w:rsid w:val="00831E86"/>
    <w:rsid w:val="00831F19"/>
    <w:rsid w:val="00831FBE"/>
    <w:rsid w:val="00831FD0"/>
    <w:rsid w:val="00831FDC"/>
    <w:rsid w:val="0083209E"/>
    <w:rsid w:val="00832109"/>
    <w:rsid w:val="008321AE"/>
    <w:rsid w:val="00832319"/>
    <w:rsid w:val="008324B9"/>
    <w:rsid w:val="00832613"/>
    <w:rsid w:val="008326D3"/>
    <w:rsid w:val="00832923"/>
    <w:rsid w:val="00832A38"/>
    <w:rsid w:val="00832B20"/>
    <w:rsid w:val="00832D0F"/>
    <w:rsid w:val="00832EFC"/>
    <w:rsid w:val="0083304F"/>
    <w:rsid w:val="00833163"/>
    <w:rsid w:val="008331F7"/>
    <w:rsid w:val="00833389"/>
    <w:rsid w:val="00833644"/>
    <w:rsid w:val="0083372C"/>
    <w:rsid w:val="00833978"/>
    <w:rsid w:val="00833B75"/>
    <w:rsid w:val="00833D3B"/>
    <w:rsid w:val="00833D49"/>
    <w:rsid w:val="00833D57"/>
    <w:rsid w:val="00833F0F"/>
    <w:rsid w:val="00834034"/>
    <w:rsid w:val="0083404A"/>
    <w:rsid w:val="00834106"/>
    <w:rsid w:val="008341BF"/>
    <w:rsid w:val="00834204"/>
    <w:rsid w:val="008345B8"/>
    <w:rsid w:val="008345BB"/>
    <w:rsid w:val="00834622"/>
    <w:rsid w:val="00834789"/>
    <w:rsid w:val="00834819"/>
    <w:rsid w:val="008348B4"/>
    <w:rsid w:val="00834964"/>
    <w:rsid w:val="00834978"/>
    <w:rsid w:val="0083498E"/>
    <w:rsid w:val="00834BB1"/>
    <w:rsid w:val="00834D19"/>
    <w:rsid w:val="00834D66"/>
    <w:rsid w:val="00834DD9"/>
    <w:rsid w:val="00834E8B"/>
    <w:rsid w:val="00835169"/>
    <w:rsid w:val="008351A4"/>
    <w:rsid w:val="0083540D"/>
    <w:rsid w:val="0083549A"/>
    <w:rsid w:val="0083555A"/>
    <w:rsid w:val="00835578"/>
    <w:rsid w:val="008355A9"/>
    <w:rsid w:val="008355D7"/>
    <w:rsid w:val="0083563D"/>
    <w:rsid w:val="00835861"/>
    <w:rsid w:val="00835871"/>
    <w:rsid w:val="00835914"/>
    <w:rsid w:val="00835A3E"/>
    <w:rsid w:val="00835B6C"/>
    <w:rsid w:val="00835D45"/>
    <w:rsid w:val="00835E8C"/>
    <w:rsid w:val="00835F15"/>
    <w:rsid w:val="00836001"/>
    <w:rsid w:val="0083606A"/>
    <w:rsid w:val="0083607E"/>
    <w:rsid w:val="0083623F"/>
    <w:rsid w:val="008363B2"/>
    <w:rsid w:val="00836487"/>
    <w:rsid w:val="00836535"/>
    <w:rsid w:val="00836682"/>
    <w:rsid w:val="00836685"/>
    <w:rsid w:val="00836782"/>
    <w:rsid w:val="00836BB4"/>
    <w:rsid w:val="00836C89"/>
    <w:rsid w:val="00836D93"/>
    <w:rsid w:val="00836E14"/>
    <w:rsid w:val="00836FED"/>
    <w:rsid w:val="008370E0"/>
    <w:rsid w:val="008371F3"/>
    <w:rsid w:val="008372B3"/>
    <w:rsid w:val="008374BD"/>
    <w:rsid w:val="0083759C"/>
    <w:rsid w:val="008377B7"/>
    <w:rsid w:val="008377D6"/>
    <w:rsid w:val="0083796F"/>
    <w:rsid w:val="00837BC9"/>
    <w:rsid w:val="00837CA0"/>
    <w:rsid w:val="00837CDD"/>
    <w:rsid w:val="00837F00"/>
    <w:rsid w:val="00837FAC"/>
    <w:rsid w:val="00840032"/>
    <w:rsid w:val="0084006F"/>
    <w:rsid w:val="00840082"/>
    <w:rsid w:val="00840124"/>
    <w:rsid w:val="00840504"/>
    <w:rsid w:val="00840668"/>
    <w:rsid w:val="00840712"/>
    <w:rsid w:val="00840A11"/>
    <w:rsid w:val="00840B69"/>
    <w:rsid w:val="00840CCA"/>
    <w:rsid w:val="00840F94"/>
    <w:rsid w:val="0084102D"/>
    <w:rsid w:val="0084119A"/>
    <w:rsid w:val="008411DE"/>
    <w:rsid w:val="00841264"/>
    <w:rsid w:val="008412A2"/>
    <w:rsid w:val="008412BB"/>
    <w:rsid w:val="008413F2"/>
    <w:rsid w:val="0084152C"/>
    <w:rsid w:val="00841595"/>
    <w:rsid w:val="008418F4"/>
    <w:rsid w:val="008419F4"/>
    <w:rsid w:val="00841A35"/>
    <w:rsid w:val="00841B2D"/>
    <w:rsid w:val="00841B3D"/>
    <w:rsid w:val="00841D3A"/>
    <w:rsid w:val="00841ED4"/>
    <w:rsid w:val="00841F5B"/>
    <w:rsid w:val="008421A5"/>
    <w:rsid w:val="008422FA"/>
    <w:rsid w:val="0084240D"/>
    <w:rsid w:val="00842497"/>
    <w:rsid w:val="008425AE"/>
    <w:rsid w:val="0084275C"/>
    <w:rsid w:val="008427E2"/>
    <w:rsid w:val="0084291D"/>
    <w:rsid w:val="00842ADC"/>
    <w:rsid w:val="00842BE0"/>
    <w:rsid w:val="00842CA4"/>
    <w:rsid w:val="00842CD7"/>
    <w:rsid w:val="00842D8B"/>
    <w:rsid w:val="00842EC1"/>
    <w:rsid w:val="00843005"/>
    <w:rsid w:val="00843070"/>
    <w:rsid w:val="008430B0"/>
    <w:rsid w:val="00843100"/>
    <w:rsid w:val="008431D8"/>
    <w:rsid w:val="008432F5"/>
    <w:rsid w:val="00843318"/>
    <w:rsid w:val="00843376"/>
    <w:rsid w:val="0084340B"/>
    <w:rsid w:val="00843430"/>
    <w:rsid w:val="0084343F"/>
    <w:rsid w:val="0084348A"/>
    <w:rsid w:val="00843769"/>
    <w:rsid w:val="008437AF"/>
    <w:rsid w:val="008437FD"/>
    <w:rsid w:val="008438F4"/>
    <w:rsid w:val="00843A03"/>
    <w:rsid w:val="00843A0A"/>
    <w:rsid w:val="00843A98"/>
    <w:rsid w:val="00843DA3"/>
    <w:rsid w:val="00843EF3"/>
    <w:rsid w:val="00843F29"/>
    <w:rsid w:val="00843F88"/>
    <w:rsid w:val="0084403F"/>
    <w:rsid w:val="0084414D"/>
    <w:rsid w:val="0084428E"/>
    <w:rsid w:val="008442D3"/>
    <w:rsid w:val="0084440A"/>
    <w:rsid w:val="00844777"/>
    <w:rsid w:val="008448F5"/>
    <w:rsid w:val="00844932"/>
    <w:rsid w:val="00844A92"/>
    <w:rsid w:val="00844B69"/>
    <w:rsid w:val="00844B6C"/>
    <w:rsid w:val="00844CE2"/>
    <w:rsid w:val="00844D3D"/>
    <w:rsid w:val="00844E02"/>
    <w:rsid w:val="00844E72"/>
    <w:rsid w:val="00844F27"/>
    <w:rsid w:val="00844F2F"/>
    <w:rsid w:val="0084504F"/>
    <w:rsid w:val="00845054"/>
    <w:rsid w:val="00845091"/>
    <w:rsid w:val="0084518C"/>
    <w:rsid w:val="00845278"/>
    <w:rsid w:val="008453EB"/>
    <w:rsid w:val="008454D7"/>
    <w:rsid w:val="008457A3"/>
    <w:rsid w:val="0084580A"/>
    <w:rsid w:val="00845849"/>
    <w:rsid w:val="008458C6"/>
    <w:rsid w:val="008458DB"/>
    <w:rsid w:val="00845A02"/>
    <w:rsid w:val="00845AE5"/>
    <w:rsid w:val="00845B9C"/>
    <w:rsid w:val="00845C4A"/>
    <w:rsid w:val="00845C5D"/>
    <w:rsid w:val="00845C74"/>
    <w:rsid w:val="00845D36"/>
    <w:rsid w:val="00845E09"/>
    <w:rsid w:val="00845F59"/>
    <w:rsid w:val="00845F62"/>
    <w:rsid w:val="00845F69"/>
    <w:rsid w:val="00845F7A"/>
    <w:rsid w:val="00846166"/>
    <w:rsid w:val="00846290"/>
    <w:rsid w:val="00846345"/>
    <w:rsid w:val="00846451"/>
    <w:rsid w:val="00846579"/>
    <w:rsid w:val="00846795"/>
    <w:rsid w:val="008467E1"/>
    <w:rsid w:val="00846E25"/>
    <w:rsid w:val="00846EFA"/>
    <w:rsid w:val="00846EFB"/>
    <w:rsid w:val="00846F11"/>
    <w:rsid w:val="00846FDF"/>
    <w:rsid w:val="008471A6"/>
    <w:rsid w:val="008472BF"/>
    <w:rsid w:val="008472EA"/>
    <w:rsid w:val="00847541"/>
    <w:rsid w:val="00847801"/>
    <w:rsid w:val="00847866"/>
    <w:rsid w:val="008478C4"/>
    <w:rsid w:val="008478E3"/>
    <w:rsid w:val="00847972"/>
    <w:rsid w:val="00847A29"/>
    <w:rsid w:val="00847B76"/>
    <w:rsid w:val="00847B77"/>
    <w:rsid w:val="00847FB4"/>
    <w:rsid w:val="00847FC4"/>
    <w:rsid w:val="0085003E"/>
    <w:rsid w:val="00850473"/>
    <w:rsid w:val="00850508"/>
    <w:rsid w:val="0085058A"/>
    <w:rsid w:val="00850684"/>
    <w:rsid w:val="008506A2"/>
    <w:rsid w:val="00850954"/>
    <w:rsid w:val="008509AC"/>
    <w:rsid w:val="00850B5B"/>
    <w:rsid w:val="00850B63"/>
    <w:rsid w:val="00850B88"/>
    <w:rsid w:val="00850B93"/>
    <w:rsid w:val="00850BEB"/>
    <w:rsid w:val="00850D16"/>
    <w:rsid w:val="00850EC5"/>
    <w:rsid w:val="00850F76"/>
    <w:rsid w:val="00851016"/>
    <w:rsid w:val="00851096"/>
    <w:rsid w:val="0085110D"/>
    <w:rsid w:val="008511E6"/>
    <w:rsid w:val="0085133C"/>
    <w:rsid w:val="0085138C"/>
    <w:rsid w:val="0085147E"/>
    <w:rsid w:val="008514A3"/>
    <w:rsid w:val="008514C3"/>
    <w:rsid w:val="008514D0"/>
    <w:rsid w:val="008515C3"/>
    <w:rsid w:val="00851608"/>
    <w:rsid w:val="0085160D"/>
    <w:rsid w:val="00851671"/>
    <w:rsid w:val="008516DD"/>
    <w:rsid w:val="008517FB"/>
    <w:rsid w:val="00851B6C"/>
    <w:rsid w:val="00851B85"/>
    <w:rsid w:val="00851C28"/>
    <w:rsid w:val="00851EA0"/>
    <w:rsid w:val="00851F36"/>
    <w:rsid w:val="00851F8D"/>
    <w:rsid w:val="00851FAF"/>
    <w:rsid w:val="0085203F"/>
    <w:rsid w:val="008521A6"/>
    <w:rsid w:val="0085221B"/>
    <w:rsid w:val="008522CF"/>
    <w:rsid w:val="008524BF"/>
    <w:rsid w:val="00852714"/>
    <w:rsid w:val="0085289E"/>
    <w:rsid w:val="0085298D"/>
    <w:rsid w:val="00852BC3"/>
    <w:rsid w:val="00852C1E"/>
    <w:rsid w:val="00852C25"/>
    <w:rsid w:val="00852C2D"/>
    <w:rsid w:val="00852C4F"/>
    <w:rsid w:val="00852C92"/>
    <w:rsid w:val="00852DA2"/>
    <w:rsid w:val="00852F1A"/>
    <w:rsid w:val="00852F21"/>
    <w:rsid w:val="00853427"/>
    <w:rsid w:val="0085354A"/>
    <w:rsid w:val="00853570"/>
    <w:rsid w:val="0085360A"/>
    <w:rsid w:val="00853662"/>
    <w:rsid w:val="0085385B"/>
    <w:rsid w:val="00853B64"/>
    <w:rsid w:val="00853BC9"/>
    <w:rsid w:val="00853CB6"/>
    <w:rsid w:val="00853E32"/>
    <w:rsid w:val="00853F32"/>
    <w:rsid w:val="00854009"/>
    <w:rsid w:val="008540A6"/>
    <w:rsid w:val="00854166"/>
    <w:rsid w:val="0085416C"/>
    <w:rsid w:val="008541F2"/>
    <w:rsid w:val="0085467E"/>
    <w:rsid w:val="00854696"/>
    <w:rsid w:val="008546B1"/>
    <w:rsid w:val="0085475E"/>
    <w:rsid w:val="00854901"/>
    <w:rsid w:val="00854AAF"/>
    <w:rsid w:val="00854C30"/>
    <w:rsid w:val="00854D57"/>
    <w:rsid w:val="00854DB4"/>
    <w:rsid w:val="008551DD"/>
    <w:rsid w:val="0085525F"/>
    <w:rsid w:val="008553F1"/>
    <w:rsid w:val="008553F3"/>
    <w:rsid w:val="0085540D"/>
    <w:rsid w:val="00855513"/>
    <w:rsid w:val="008555C5"/>
    <w:rsid w:val="0085594C"/>
    <w:rsid w:val="00855C90"/>
    <w:rsid w:val="00855D01"/>
    <w:rsid w:val="00855D0B"/>
    <w:rsid w:val="00855D4A"/>
    <w:rsid w:val="00855F15"/>
    <w:rsid w:val="008560BE"/>
    <w:rsid w:val="00856148"/>
    <w:rsid w:val="00856161"/>
    <w:rsid w:val="008561BB"/>
    <w:rsid w:val="00856337"/>
    <w:rsid w:val="00856338"/>
    <w:rsid w:val="0085650A"/>
    <w:rsid w:val="00856546"/>
    <w:rsid w:val="0085656C"/>
    <w:rsid w:val="00856672"/>
    <w:rsid w:val="00856756"/>
    <w:rsid w:val="008568C3"/>
    <w:rsid w:val="00856A54"/>
    <w:rsid w:val="00856A79"/>
    <w:rsid w:val="00856B4A"/>
    <w:rsid w:val="00856C60"/>
    <w:rsid w:val="00856CF4"/>
    <w:rsid w:val="00856D8C"/>
    <w:rsid w:val="00856DA8"/>
    <w:rsid w:val="00856EFD"/>
    <w:rsid w:val="00856F27"/>
    <w:rsid w:val="00857093"/>
    <w:rsid w:val="00857119"/>
    <w:rsid w:val="00857234"/>
    <w:rsid w:val="00857327"/>
    <w:rsid w:val="008573B7"/>
    <w:rsid w:val="008573E1"/>
    <w:rsid w:val="008575CF"/>
    <w:rsid w:val="00857862"/>
    <w:rsid w:val="0085790A"/>
    <w:rsid w:val="00857BA0"/>
    <w:rsid w:val="00857C00"/>
    <w:rsid w:val="00857CAF"/>
    <w:rsid w:val="00857CCC"/>
    <w:rsid w:val="00857D58"/>
    <w:rsid w:val="00860084"/>
    <w:rsid w:val="008601C7"/>
    <w:rsid w:val="0086025B"/>
    <w:rsid w:val="00860390"/>
    <w:rsid w:val="008604AE"/>
    <w:rsid w:val="0086053A"/>
    <w:rsid w:val="00860629"/>
    <w:rsid w:val="00860650"/>
    <w:rsid w:val="0086071A"/>
    <w:rsid w:val="00860868"/>
    <w:rsid w:val="00860932"/>
    <w:rsid w:val="00860A65"/>
    <w:rsid w:val="00860BD7"/>
    <w:rsid w:val="00860C68"/>
    <w:rsid w:val="00860D7D"/>
    <w:rsid w:val="00860F19"/>
    <w:rsid w:val="00860F27"/>
    <w:rsid w:val="00861081"/>
    <w:rsid w:val="0086118D"/>
    <w:rsid w:val="00861287"/>
    <w:rsid w:val="008613DA"/>
    <w:rsid w:val="00861467"/>
    <w:rsid w:val="008616D0"/>
    <w:rsid w:val="0086176A"/>
    <w:rsid w:val="00861D4F"/>
    <w:rsid w:val="00861D9E"/>
    <w:rsid w:val="00861E5C"/>
    <w:rsid w:val="00861EF1"/>
    <w:rsid w:val="00861FF0"/>
    <w:rsid w:val="0086210D"/>
    <w:rsid w:val="008623DD"/>
    <w:rsid w:val="008623F8"/>
    <w:rsid w:val="00862784"/>
    <w:rsid w:val="00862785"/>
    <w:rsid w:val="00862993"/>
    <w:rsid w:val="00862AA2"/>
    <w:rsid w:val="00862AF3"/>
    <w:rsid w:val="00862B22"/>
    <w:rsid w:val="00862BBD"/>
    <w:rsid w:val="00862C92"/>
    <w:rsid w:val="00862CB8"/>
    <w:rsid w:val="00862E9C"/>
    <w:rsid w:val="00862F52"/>
    <w:rsid w:val="00862F63"/>
    <w:rsid w:val="00862FC8"/>
    <w:rsid w:val="0086315C"/>
    <w:rsid w:val="0086316F"/>
    <w:rsid w:val="00863369"/>
    <w:rsid w:val="008633F4"/>
    <w:rsid w:val="0086353B"/>
    <w:rsid w:val="0086370B"/>
    <w:rsid w:val="008637E3"/>
    <w:rsid w:val="00863B05"/>
    <w:rsid w:val="00863B27"/>
    <w:rsid w:val="00863B30"/>
    <w:rsid w:val="00863D00"/>
    <w:rsid w:val="00864360"/>
    <w:rsid w:val="00864578"/>
    <w:rsid w:val="00864581"/>
    <w:rsid w:val="008647F6"/>
    <w:rsid w:val="008648B8"/>
    <w:rsid w:val="00864AFC"/>
    <w:rsid w:val="00864B2F"/>
    <w:rsid w:val="00864B4C"/>
    <w:rsid w:val="00864C74"/>
    <w:rsid w:val="00864CB3"/>
    <w:rsid w:val="00864D92"/>
    <w:rsid w:val="00865075"/>
    <w:rsid w:val="00865135"/>
    <w:rsid w:val="00865152"/>
    <w:rsid w:val="008651B3"/>
    <w:rsid w:val="00865300"/>
    <w:rsid w:val="00865503"/>
    <w:rsid w:val="0086554C"/>
    <w:rsid w:val="0086574F"/>
    <w:rsid w:val="008657E1"/>
    <w:rsid w:val="0086584E"/>
    <w:rsid w:val="008659AC"/>
    <w:rsid w:val="00865B3A"/>
    <w:rsid w:val="00865C67"/>
    <w:rsid w:val="00865DBE"/>
    <w:rsid w:val="00865E1F"/>
    <w:rsid w:val="00865EA0"/>
    <w:rsid w:val="0086601E"/>
    <w:rsid w:val="008660C0"/>
    <w:rsid w:val="008661B9"/>
    <w:rsid w:val="008663FF"/>
    <w:rsid w:val="008664AE"/>
    <w:rsid w:val="0086668E"/>
    <w:rsid w:val="0086675C"/>
    <w:rsid w:val="008667F1"/>
    <w:rsid w:val="00866860"/>
    <w:rsid w:val="00866913"/>
    <w:rsid w:val="00866A87"/>
    <w:rsid w:val="00866AA3"/>
    <w:rsid w:val="00866AA9"/>
    <w:rsid w:val="00866AB7"/>
    <w:rsid w:val="00866CA6"/>
    <w:rsid w:val="00866D23"/>
    <w:rsid w:val="00866E2B"/>
    <w:rsid w:val="00867077"/>
    <w:rsid w:val="008670B4"/>
    <w:rsid w:val="008672EE"/>
    <w:rsid w:val="008673EF"/>
    <w:rsid w:val="00867417"/>
    <w:rsid w:val="00867435"/>
    <w:rsid w:val="008678C9"/>
    <w:rsid w:val="008678F5"/>
    <w:rsid w:val="0086791A"/>
    <w:rsid w:val="008679A8"/>
    <w:rsid w:val="008679C9"/>
    <w:rsid w:val="00867A2F"/>
    <w:rsid w:val="00867DD3"/>
    <w:rsid w:val="00867FC9"/>
    <w:rsid w:val="00867FE9"/>
    <w:rsid w:val="008701C5"/>
    <w:rsid w:val="008702C4"/>
    <w:rsid w:val="0087038D"/>
    <w:rsid w:val="008703C5"/>
    <w:rsid w:val="00870443"/>
    <w:rsid w:val="0087055E"/>
    <w:rsid w:val="008705E0"/>
    <w:rsid w:val="008707D1"/>
    <w:rsid w:val="0087087B"/>
    <w:rsid w:val="00870999"/>
    <w:rsid w:val="00870A8E"/>
    <w:rsid w:val="00870C2B"/>
    <w:rsid w:val="00870D7E"/>
    <w:rsid w:val="00870DAB"/>
    <w:rsid w:val="00870DEA"/>
    <w:rsid w:val="008710B4"/>
    <w:rsid w:val="00871131"/>
    <w:rsid w:val="00871251"/>
    <w:rsid w:val="0087125E"/>
    <w:rsid w:val="008712AE"/>
    <w:rsid w:val="008713D5"/>
    <w:rsid w:val="00871532"/>
    <w:rsid w:val="008715CB"/>
    <w:rsid w:val="00871693"/>
    <w:rsid w:val="00871758"/>
    <w:rsid w:val="008718E3"/>
    <w:rsid w:val="00871AC2"/>
    <w:rsid w:val="00871AFB"/>
    <w:rsid w:val="00871C71"/>
    <w:rsid w:val="00871CCD"/>
    <w:rsid w:val="00871E2C"/>
    <w:rsid w:val="00871E88"/>
    <w:rsid w:val="00871EBE"/>
    <w:rsid w:val="00871F34"/>
    <w:rsid w:val="00871F66"/>
    <w:rsid w:val="00871FE3"/>
    <w:rsid w:val="008720FF"/>
    <w:rsid w:val="008721DE"/>
    <w:rsid w:val="00872200"/>
    <w:rsid w:val="0087249A"/>
    <w:rsid w:val="008724B7"/>
    <w:rsid w:val="0087262C"/>
    <w:rsid w:val="00872759"/>
    <w:rsid w:val="008727F1"/>
    <w:rsid w:val="00872863"/>
    <w:rsid w:val="0087287D"/>
    <w:rsid w:val="00872880"/>
    <w:rsid w:val="00872915"/>
    <w:rsid w:val="008729F2"/>
    <w:rsid w:val="00872A76"/>
    <w:rsid w:val="00872B12"/>
    <w:rsid w:val="00872C50"/>
    <w:rsid w:val="00872CF3"/>
    <w:rsid w:val="00872D80"/>
    <w:rsid w:val="00872F26"/>
    <w:rsid w:val="00872FD4"/>
    <w:rsid w:val="00873002"/>
    <w:rsid w:val="00873013"/>
    <w:rsid w:val="008730BB"/>
    <w:rsid w:val="008731FD"/>
    <w:rsid w:val="00873267"/>
    <w:rsid w:val="00873480"/>
    <w:rsid w:val="008734DD"/>
    <w:rsid w:val="0087355B"/>
    <w:rsid w:val="0087365B"/>
    <w:rsid w:val="00873679"/>
    <w:rsid w:val="00873693"/>
    <w:rsid w:val="00873777"/>
    <w:rsid w:val="00873779"/>
    <w:rsid w:val="008737EA"/>
    <w:rsid w:val="00873B87"/>
    <w:rsid w:val="00873BBB"/>
    <w:rsid w:val="00873BDD"/>
    <w:rsid w:val="00873D16"/>
    <w:rsid w:val="00873D25"/>
    <w:rsid w:val="00873D51"/>
    <w:rsid w:val="00873EFD"/>
    <w:rsid w:val="00873FD2"/>
    <w:rsid w:val="00873FFC"/>
    <w:rsid w:val="0087408C"/>
    <w:rsid w:val="008741F3"/>
    <w:rsid w:val="00874219"/>
    <w:rsid w:val="008742C5"/>
    <w:rsid w:val="0087438D"/>
    <w:rsid w:val="008746E2"/>
    <w:rsid w:val="0087499D"/>
    <w:rsid w:val="00874C89"/>
    <w:rsid w:val="00874D22"/>
    <w:rsid w:val="00874D2E"/>
    <w:rsid w:val="00874D31"/>
    <w:rsid w:val="00874DE0"/>
    <w:rsid w:val="00874F6C"/>
    <w:rsid w:val="00874FA8"/>
    <w:rsid w:val="0087501B"/>
    <w:rsid w:val="008750DE"/>
    <w:rsid w:val="0087513D"/>
    <w:rsid w:val="00875642"/>
    <w:rsid w:val="008756BF"/>
    <w:rsid w:val="00875B15"/>
    <w:rsid w:val="00875BD0"/>
    <w:rsid w:val="00875BEB"/>
    <w:rsid w:val="00875E41"/>
    <w:rsid w:val="00875E92"/>
    <w:rsid w:val="00875F46"/>
    <w:rsid w:val="00875FC6"/>
    <w:rsid w:val="008760D0"/>
    <w:rsid w:val="00876399"/>
    <w:rsid w:val="008764BF"/>
    <w:rsid w:val="00876536"/>
    <w:rsid w:val="008765E8"/>
    <w:rsid w:val="00876636"/>
    <w:rsid w:val="00876654"/>
    <w:rsid w:val="0087665C"/>
    <w:rsid w:val="0087685C"/>
    <w:rsid w:val="00876A3D"/>
    <w:rsid w:val="00876DD1"/>
    <w:rsid w:val="00876EDB"/>
    <w:rsid w:val="00876FB6"/>
    <w:rsid w:val="00877236"/>
    <w:rsid w:val="008772B6"/>
    <w:rsid w:val="008773AF"/>
    <w:rsid w:val="008773E3"/>
    <w:rsid w:val="008773F7"/>
    <w:rsid w:val="008776F7"/>
    <w:rsid w:val="00877736"/>
    <w:rsid w:val="00877911"/>
    <w:rsid w:val="00877A06"/>
    <w:rsid w:val="00877AA2"/>
    <w:rsid w:val="00877BBD"/>
    <w:rsid w:val="00877DBF"/>
    <w:rsid w:val="008801B9"/>
    <w:rsid w:val="00880210"/>
    <w:rsid w:val="0088026D"/>
    <w:rsid w:val="00880317"/>
    <w:rsid w:val="008803E3"/>
    <w:rsid w:val="0088043B"/>
    <w:rsid w:val="008804F9"/>
    <w:rsid w:val="008805F4"/>
    <w:rsid w:val="0088066B"/>
    <w:rsid w:val="008806B0"/>
    <w:rsid w:val="0088072E"/>
    <w:rsid w:val="008808B6"/>
    <w:rsid w:val="008809B1"/>
    <w:rsid w:val="00880AC2"/>
    <w:rsid w:val="00880AC9"/>
    <w:rsid w:val="00880B3B"/>
    <w:rsid w:val="00880B72"/>
    <w:rsid w:val="00880C1C"/>
    <w:rsid w:val="00880C54"/>
    <w:rsid w:val="00880D2B"/>
    <w:rsid w:val="00880D68"/>
    <w:rsid w:val="00880FA1"/>
    <w:rsid w:val="00880FF9"/>
    <w:rsid w:val="00881065"/>
    <w:rsid w:val="00881115"/>
    <w:rsid w:val="00881272"/>
    <w:rsid w:val="00881283"/>
    <w:rsid w:val="00881434"/>
    <w:rsid w:val="0088149B"/>
    <w:rsid w:val="0088174B"/>
    <w:rsid w:val="00881786"/>
    <w:rsid w:val="008817FB"/>
    <w:rsid w:val="00881838"/>
    <w:rsid w:val="008818B2"/>
    <w:rsid w:val="008819CD"/>
    <w:rsid w:val="00881A84"/>
    <w:rsid w:val="00881B1D"/>
    <w:rsid w:val="00881B2A"/>
    <w:rsid w:val="00881C38"/>
    <w:rsid w:val="00881CA5"/>
    <w:rsid w:val="00881DED"/>
    <w:rsid w:val="00881E6D"/>
    <w:rsid w:val="008821F8"/>
    <w:rsid w:val="008822F7"/>
    <w:rsid w:val="0088236C"/>
    <w:rsid w:val="0088276B"/>
    <w:rsid w:val="008827FF"/>
    <w:rsid w:val="0088298C"/>
    <w:rsid w:val="00882A09"/>
    <w:rsid w:val="00882ADC"/>
    <w:rsid w:val="00882D04"/>
    <w:rsid w:val="00882D82"/>
    <w:rsid w:val="00882EAA"/>
    <w:rsid w:val="00882ED3"/>
    <w:rsid w:val="00882EF7"/>
    <w:rsid w:val="008831CA"/>
    <w:rsid w:val="00883478"/>
    <w:rsid w:val="0088355E"/>
    <w:rsid w:val="00883647"/>
    <w:rsid w:val="00883763"/>
    <w:rsid w:val="00883BAD"/>
    <w:rsid w:val="00883D52"/>
    <w:rsid w:val="00883EB9"/>
    <w:rsid w:val="00883ED8"/>
    <w:rsid w:val="00883F31"/>
    <w:rsid w:val="00883FF5"/>
    <w:rsid w:val="0088400C"/>
    <w:rsid w:val="008841BA"/>
    <w:rsid w:val="0088422F"/>
    <w:rsid w:val="008842C4"/>
    <w:rsid w:val="008843E4"/>
    <w:rsid w:val="0088452F"/>
    <w:rsid w:val="0088454E"/>
    <w:rsid w:val="00884640"/>
    <w:rsid w:val="00884643"/>
    <w:rsid w:val="008846BC"/>
    <w:rsid w:val="00884737"/>
    <w:rsid w:val="00884972"/>
    <w:rsid w:val="00884AD1"/>
    <w:rsid w:val="00884AFE"/>
    <w:rsid w:val="00884B37"/>
    <w:rsid w:val="00884BC1"/>
    <w:rsid w:val="00884CE6"/>
    <w:rsid w:val="00884EEC"/>
    <w:rsid w:val="00885000"/>
    <w:rsid w:val="0088544B"/>
    <w:rsid w:val="00885674"/>
    <w:rsid w:val="00885681"/>
    <w:rsid w:val="00885812"/>
    <w:rsid w:val="00885827"/>
    <w:rsid w:val="008858A0"/>
    <w:rsid w:val="0088593A"/>
    <w:rsid w:val="008859C5"/>
    <w:rsid w:val="00885A93"/>
    <w:rsid w:val="00885B3B"/>
    <w:rsid w:val="00885BC6"/>
    <w:rsid w:val="00885C55"/>
    <w:rsid w:val="00885E6A"/>
    <w:rsid w:val="00885E8B"/>
    <w:rsid w:val="008862D4"/>
    <w:rsid w:val="008862D7"/>
    <w:rsid w:val="0088638E"/>
    <w:rsid w:val="0088650B"/>
    <w:rsid w:val="0088652C"/>
    <w:rsid w:val="00886626"/>
    <w:rsid w:val="0088677D"/>
    <w:rsid w:val="008867B8"/>
    <w:rsid w:val="008867FA"/>
    <w:rsid w:val="008868A0"/>
    <w:rsid w:val="00886A18"/>
    <w:rsid w:val="00886A95"/>
    <w:rsid w:val="00886AA7"/>
    <w:rsid w:val="00886C61"/>
    <w:rsid w:val="00886D09"/>
    <w:rsid w:val="0088707A"/>
    <w:rsid w:val="008870FB"/>
    <w:rsid w:val="0088727E"/>
    <w:rsid w:val="008872FB"/>
    <w:rsid w:val="00887402"/>
    <w:rsid w:val="00887418"/>
    <w:rsid w:val="00887536"/>
    <w:rsid w:val="00887624"/>
    <w:rsid w:val="0088794A"/>
    <w:rsid w:val="00887994"/>
    <w:rsid w:val="00887AD7"/>
    <w:rsid w:val="00887B59"/>
    <w:rsid w:val="00887BF6"/>
    <w:rsid w:val="00887C25"/>
    <w:rsid w:val="00887C7B"/>
    <w:rsid w:val="00887DB9"/>
    <w:rsid w:val="00887EB1"/>
    <w:rsid w:val="00887ECF"/>
    <w:rsid w:val="00887F4D"/>
    <w:rsid w:val="00887FC9"/>
    <w:rsid w:val="00890016"/>
    <w:rsid w:val="008900C2"/>
    <w:rsid w:val="008900D9"/>
    <w:rsid w:val="008902B0"/>
    <w:rsid w:val="0089044D"/>
    <w:rsid w:val="00890639"/>
    <w:rsid w:val="008908FB"/>
    <w:rsid w:val="00890948"/>
    <w:rsid w:val="00890C89"/>
    <w:rsid w:val="00890CAD"/>
    <w:rsid w:val="00890D96"/>
    <w:rsid w:val="00890DBD"/>
    <w:rsid w:val="00890E1D"/>
    <w:rsid w:val="00890E94"/>
    <w:rsid w:val="00890F3A"/>
    <w:rsid w:val="00890FB6"/>
    <w:rsid w:val="00890FC4"/>
    <w:rsid w:val="008911CD"/>
    <w:rsid w:val="008912B6"/>
    <w:rsid w:val="008913B9"/>
    <w:rsid w:val="0089142E"/>
    <w:rsid w:val="00891524"/>
    <w:rsid w:val="00891555"/>
    <w:rsid w:val="0089161B"/>
    <w:rsid w:val="0089161E"/>
    <w:rsid w:val="00891668"/>
    <w:rsid w:val="0089169C"/>
    <w:rsid w:val="00891B4A"/>
    <w:rsid w:val="00891CB5"/>
    <w:rsid w:val="00891DE5"/>
    <w:rsid w:val="00892098"/>
    <w:rsid w:val="008920B4"/>
    <w:rsid w:val="008920D5"/>
    <w:rsid w:val="0089234C"/>
    <w:rsid w:val="00892499"/>
    <w:rsid w:val="00892517"/>
    <w:rsid w:val="00892639"/>
    <w:rsid w:val="008928C4"/>
    <w:rsid w:val="00892947"/>
    <w:rsid w:val="0089298F"/>
    <w:rsid w:val="00892A4E"/>
    <w:rsid w:val="00892C42"/>
    <w:rsid w:val="00892CCE"/>
    <w:rsid w:val="00892D9A"/>
    <w:rsid w:val="00892E17"/>
    <w:rsid w:val="00892F00"/>
    <w:rsid w:val="00893180"/>
    <w:rsid w:val="0089324A"/>
    <w:rsid w:val="00893300"/>
    <w:rsid w:val="0089336B"/>
    <w:rsid w:val="0089347F"/>
    <w:rsid w:val="0089359E"/>
    <w:rsid w:val="008935B7"/>
    <w:rsid w:val="00893AFB"/>
    <w:rsid w:val="00893BA8"/>
    <w:rsid w:val="00893DD5"/>
    <w:rsid w:val="00893EB0"/>
    <w:rsid w:val="00893F20"/>
    <w:rsid w:val="0089409C"/>
    <w:rsid w:val="00894130"/>
    <w:rsid w:val="0089414B"/>
    <w:rsid w:val="008942CB"/>
    <w:rsid w:val="008942DC"/>
    <w:rsid w:val="008942F2"/>
    <w:rsid w:val="008943CA"/>
    <w:rsid w:val="0089442C"/>
    <w:rsid w:val="0089461D"/>
    <w:rsid w:val="00894657"/>
    <w:rsid w:val="008947B4"/>
    <w:rsid w:val="008949E5"/>
    <w:rsid w:val="00894A08"/>
    <w:rsid w:val="00894A71"/>
    <w:rsid w:val="00894AF4"/>
    <w:rsid w:val="00894CD2"/>
    <w:rsid w:val="00894CFE"/>
    <w:rsid w:val="00894DEA"/>
    <w:rsid w:val="00894E25"/>
    <w:rsid w:val="00894F5D"/>
    <w:rsid w:val="00895006"/>
    <w:rsid w:val="008950D8"/>
    <w:rsid w:val="008950DF"/>
    <w:rsid w:val="00895114"/>
    <w:rsid w:val="00895122"/>
    <w:rsid w:val="00895135"/>
    <w:rsid w:val="00895490"/>
    <w:rsid w:val="008954E4"/>
    <w:rsid w:val="008955C6"/>
    <w:rsid w:val="00895953"/>
    <w:rsid w:val="00895B23"/>
    <w:rsid w:val="00895C35"/>
    <w:rsid w:val="00895C3F"/>
    <w:rsid w:val="00895D83"/>
    <w:rsid w:val="00895DF9"/>
    <w:rsid w:val="00895F53"/>
    <w:rsid w:val="00895F89"/>
    <w:rsid w:val="0089603F"/>
    <w:rsid w:val="008961A6"/>
    <w:rsid w:val="008961B3"/>
    <w:rsid w:val="00896494"/>
    <w:rsid w:val="00896634"/>
    <w:rsid w:val="00896700"/>
    <w:rsid w:val="0089687C"/>
    <w:rsid w:val="00896CC2"/>
    <w:rsid w:val="00896CF6"/>
    <w:rsid w:val="008970A8"/>
    <w:rsid w:val="00897158"/>
    <w:rsid w:val="00897162"/>
    <w:rsid w:val="008972CB"/>
    <w:rsid w:val="00897365"/>
    <w:rsid w:val="008974FD"/>
    <w:rsid w:val="0089755B"/>
    <w:rsid w:val="00897578"/>
    <w:rsid w:val="008976A8"/>
    <w:rsid w:val="008976F1"/>
    <w:rsid w:val="008977A0"/>
    <w:rsid w:val="00897941"/>
    <w:rsid w:val="00897A0E"/>
    <w:rsid w:val="00897A18"/>
    <w:rsid w:val="00897FCE"/>
    <w:rsid w:val="008A01FB"/>
    <w:rsid w:val="008A0271"/>
    <w:rsid w:val="008A028F"/>
    <w:rsid w:val="008A02DD"/>
    <w:rsid w:val="008A0335"/>
    <w:rsid w:val="008A06FD"/>
    <w:rsid w:val="008A08F5"/>
    <w:rsid w:val="008A0ADA"/>
    <w:rsid w:val="008A0B24"/>
    <w:rsid w:val="008A0B57"/>
    <w:rsid w:val="008A0B62"/>
    <w:rsid w:val="008A0CD6"/>
    <w:rsid w:val="008A0EC3"/>
    <w:rsid w:val="008A11B4"/>
    <w:rsid w:val="008A1274"/>
    <w:rsid w:val="008A12E4"/>
    <w:rsid w:val="008A13CB"/>
    <w:rsid w:val="008A163D"/>
    <w:rsid w:val="008A1922"/>
    <w:rsid w:val="008A1953"/>
    <w:rsid w:val="008A1B3E"/>
    <w:rsid w:val="008A1B4D"/>
    <w:rsid w:val="008A1BC3"/>
    <w:rsid w:val="008A1BD2"/>
    <w:rsid w:val="008A1C1F"/>
    <w:rsid w:val="008A1C6E"/>
    <w:rsid w:val="008A1D51"/>
    <w:rsid w:val="008A1EC8"/>
    <w:rsid w:val="008A1F2D"/>
    <w:rsid w:val="008A2057"/>
    <w:rsid w:val="008A2080"/>
    <w:rsid w:val="008A2202"/>
    <w:rsid w:val="008A2205"/>
    <w:rsid w:val="008A225F"/>
    <w:rsid w:val="008A2300"/>
    <w:rsid w:val="008A24D0"/>
    <w:rsid w:val="008A2681"/>
    <w:rsid w:val="008A2765"/>
    <w:rsid w:val="008A2780"/>
    <w:rsid w:val="008A2793"/>
    <w:rsid w:val="008A27B0"/>
    <w:rsid w:val="008A27F6"/>
    <w:rsid w:val="008A2837"/>
    <w:rsid w:val="008A2914"/>
    <w:rsid w:val="008A29AF"/>
    <w:rsid w:val="008A2A0F"/>
    <w:rsid w:val="008A2A12"/>
    <w:rsid w:val="008A2A70"/>
    <w:rsid w:val="008A2A95"/>
    <w:rsid w:val="008A2B75"/>
    <w:rsid w:val="008A2C35"/>
    <w:rsid w:val="008A2C4C"/>
    <w:rsid w:val="008A2DDC"/>
    <w:rsid w:val="008A2E0A"/>
    <w:rsid w:val="008A2E1F"/>
    <w:rsid w:val="008A2EB8"/>
    <w:rsid w:val="008A3023"/>
    <w:rsid w:val="008A31E5"/>
    <w:rsid w:val="008A31EB"/>
    <w:rsid w:val="008A32F4"/>
    <w:rsid w:val="008A3496"/>
    <w:rsid w:val="008A36FF"/>
    <w:rsid w:val="008A37A9"/>
    <w:rsid w:val="008A3906"/>
    <w:rsid w:val="008A3966"/>
    <w:rsid w:val="008A399C"/>
    <w:rsid w:val="008A3AEB"/>
    <w:rsid w:val="008A3B40"/>
    <w:rsid w:val="008A3BC0"/>
    <w:rsid w:val="008A3C3F"/>
    <w:rsid w:val="008A3DF5"/>
    <w:rsid w:val="008A4683"/>
    <w:rsid w:val="008A4889"/>
    <w:rsid w:val="008A4894"/>
    <w:rsid w:val="008A4A58"/>
    <w:rsid w:val="008A4D62"/>
    <w:rsid w:val="008A4DBB"/>
    <w:rsid w:val="008A4E0D"/>
    <w:rsid w:val="008A4F2C"/>
    <w:rsid w:val="008A5002"/>
    <w:rsid w:val="008A50A1"/>
    <w:rsid w:val="008A527C"/>
    <w:rsid w:val="008A53EA"/>
    <w:rsid w:val="008A55CC"/>
    <w:rsid w:val="008A57E9"/>
    <w:rsid w:val="008A581A"/>
    <w:rsid w:val="008A5A7B"/>
    <w:rsid w:val="008A5B1C"/>
    <w:rsid w:val="008A5E8F"/>
    <w:rsid w:val="008A5F1E"/>
    <w:rsid w:val="008A60CA"/>
    <w:rsid w:val="008A6147"/>
    <w:rsid w:val="008A61DA"/>
    <w:rsid w:val="008A631A"/>
    <w:rsid w:val="008A63A7"/>
    <w:rsid w:val="008A64EA"/>
    <w:rsid w:val="008A67EA"/>
    <w:rsid w:val="008A69EB"/>
    <w:rsid w:val="008A6A2A"/>
    <w:rsid w:val="008A6B44"/>
    <w:rsid w:val="008A6B7F"/>
    <w:rsid w:val="008A6D2F"/>
    <w:rsid w:val="008A6E8A"/>
    <w:rsid w:val="008A7179"/>
    <w:rsid w:val="008A7200"/>
    <w:rsid w:val="008A732A"/>
    <w:rsid w:val="008A73A4"/>
    <w:rsid w:val="008A74A7"/>
    <w:rsid w:val="008A7543"/>
    <w:rsid w:val="008A760C"/>
    <w:rsid w:val="008A76BE"/>
    <w:rsid w:val="008A782E"/>
    <w:rsid w:val="008A78FB"/>
    <w:rsid w:val="008A792E"/>
    <w:rsid w:val="008A79D8"/>
    <w:rsid w:val="008A7A71"/>
    <w:rsid w:val="008A7C8D"/>
    <w:rsid w:val="008A7D66"/>
    <w:rsid w:val="008A7DFC"/>
    <w:rsid w:val="008A7ECA"/>
    <w:rsid w:val="008A7FE0"/>
    <w:rsid w:val="008B000E"/>
    <w:rsid w:val="008B009B"/>
    <w:rsid w:val="008B00A3"/>
    <w:rsid w:val="008B027F"/>
    <w:rsid w:val="008B0422"/>
    <w:rsid w:val="008B0584"/>
    <w:rsid w:val="008B0766"/>
    <w:rsid w:val="008B0937"/>
    <w:rsid w:val="008B0A55"/>
    <w:rsid w:val="008B0AC7"/>
    <w:rsid w:val="008B0ADA"/>
    <w:rsid w:val="008B0B96"/>
    <w:rsid w:val="008B0C8E"/>
    <w:rsid w:val="008B0D16"/>
    <w:rsid w:val="008B0FB0"/>
    <w:rsid w:val="008B1000"/>
    <w:rsid w:val="008B106C"/>
    <w:rsid w:val="008B1086"/>
    <w:rsid w:val="008B10A3"/>
    <w:rsid w:val="008B132B"/>
    <w:rsid w:val="008B1566"/>
    <w:rsid w:val="008B1594"/>
    <w:rsid w:val="008B1689"/>
    <w:rsid w:val="008B17C9"/>
    <w:rsid w:val="008B1933"/>
    <w:rsid w:val="008B1A22"/>
    <w:rsid w:val="008B1B65"/>
    <w:rsid w:val="008B1B96"/>
    <w:rsid w:val="008B1BBB"/>
    <w:rsid w:val="008B1C36"/>
    <w:rsid w:val="008B1EC3"/>
    <w:rsid w:val="008B1EE4"/>
    <w:rsid w:val="008B1F37"/>
    <w:rsid w:val="008B20BD"/>
    <w:rsid w:val="008B2230"/>
    <w:rsid w:val="008B2282"/>
    <w:rsid w:val="008B23A0"/>
    <w:rsid w:val="008B23C0"/>
    <w:rsid w:val="008B24E5"/>
    <w:rsid w:val="008B2596"/>
    <w:rsid w:val="008B25AB"/>
    <w:rsid w:val="008B2644"/>
    <w:rsid w:val="008B27E3"/>
    <w:rsid w:val="008B286A"/>
    <w:rsid w:val="008B2913"/>
    <w:rsid w:val="008B2914"/>
    <w:rsid w:val="008B291F"/>
    <w:rsid w:val="008B2AED"/>
    <w:rsid w:val="008B2B82"/>
    <w:rsid w:val="008B2B94"/>
    <w:rsid w:val="008B2CB0"/>
    <w:rsid w:val="008B2D3E"/>
    <w:rsid w:val="008B2E1C"/>
    <w:rsid w:val="008B2EF4"/>
    <w:rsid w:val="008B2F0D"/>
    <w:rsid w:val="008B30D1"/>
    <w:rsid w:val="008B311A"/>
    <w:rsid w:val="008B3204"/>
    <w:rsid w:val="008B3232"/>
    <w:rsid w:val="008B336F"/>
    <w:rsid w:val="008B33E2"/>
    <w:rsid w:val="008B3560"/>
    <w:rsid w:val="008B35BE"/>
    <w:rsid w:val="008B36F9"/>
    <w:rsid w:val="008B3852"/>
    <w:rsid w:val="008B3941"/>
    <w:rsid w:val="008B3B8E"/>
    <w:rsid w:val="008B3C97"/>
    <w:rsid w:val="008B3CCD"/>
    <w:rsid w:val="008B3D2A"/>
    <w:rsid w:val="008B3E84"/>
    <w:rsid w:val="008B3F13"/>
    <w:rsid w:val="008B3F6F"/>
    <w:rsid w:val="008B4367"/>
    <w:rsid w:val="008B441E"/>
    <w:rsid w:val="008B44E4"/>
    <w:rsid w:val="008B458C"/>
    <w:rsid w:val="008B46E8"/>
    <w:rsid w:val="008B47A9"/>
    <w:rsid w:val="008B481A"/>
    <w:rsid w:val="008B4CDA"/>
    <w:rsid w:val="008B4CE3"/>
    <w:rsid w:val="008B4E20"/>
    <w:rsid w:val="008B4E22"/>
    <w:rsid w:val="008B5050"/>
    <w:rsid w:val="008B5217"/>
    <w:rsid w:val="008B5402"/>
    <w:rsid w:val="008B5551"/>
    <w:rsid w:val="008B56EF"/>
    <w:rsid w:val="008B570F"/>
    <w:rsid w:val="008B5710"/>
    <w:rsid w:val="008B58F0"/>
    <w:rsid w:val="008B5B45"/>
    <w:rsid w:val="008B5BA8"/>
    <w:rsid w:val="008B5C7A"/>
    <w:rsid w:val="008B5C8E"/>
    <w:rsid w:val="008B5C9F"/>
    <w:rsid w:val="008B5CC9"/>
    <w:rsid w:val="008B6068"/>
    <w:rsid w:val="008B6225"/>
    <w:rsid w:val="008B6235"/>
    <w:rsid w:val="008B653C"/>
    <w:rsid w:val="008B6652"/>
    <w:rsid w:val="008B6689"/>
    <w:rsid w:val="008B66C0"/>
    <w:rsid w:val="008B66C2"/>
    <w:rsid w:val="008B672D"/>
    <w:rsid w:val="008B6874"/>
    <w:rsid w:val="008B6AF5"/>
    <w:rsid w:val="008B6B5E"/>
    <w:rsid w:val="008B6CBD"/>
    <w:rsid w:val="008B6D74"/>
    <w:rsid w:val="008B70B3"/>
    <w:rsid w:val="008B7141"/>
    <w:rsid w:val="008B73DD"/>
    <w:rsid w:val="008B73E2"/>
    <w:rsid w:val="008B74F2"/>
    <w:rsid w:val="008B7666"/>
    <w:rsid w:val="008B76B3"/>
    <w:rsid w:val="008B76E8"/>
    <w:rsid w:val="008B7736"/>
    <w:rsid w:val="008B798C"/>
    <w:rsid w:val="008B7A54"/>
    <w:rsid w:val="008B7B27"/>
    <w:rsid w:val="008B7C7D"/>
    <w:rsid w:val="008B7D0F"/>
    <w:rsid w:val="008C0127"/>
    <w:rsid w:val="008C01F7"/>
    <w:rsid w:val="008C0264"/>
    <w:rsid w:val="008C0397"/>
    <w:rsid w:val="008C04B4"/>
    <w:rsid w:val="008C054C"/>
    <w:rsid w:val="008C06DE"/>
    <w:rsid w:val="008C0872"/>
    <w:rsid w:val="008C0BA1"/>
    <w:rsid w:val="008C0D1F"/>
    <w:rsid w:val="008C0DAD"/>
    <w:rsid w:val="008C0F0A"/>
    <w:rsid w:val="008C0F7C"/>
    <w:rsid w:val="008C0FA9"/>
    <w:rsid w:val="008C1384"/>
    <w:rsid w:val="008C13FC"/>
    <w:rsid w:val="008C143F"/>
    <w:rsid w:val="008C14A0"/>
    <w:rsid w:val="008C14E6"/>
    <w:rsid w:val="008C14FF"/>
    <w:rsid w:val="008C173D"/>
    <w:rsid w:val="008C1770"/>
    <w:rsid w:val="008C1782"/>
    <w:rsid w:val="008C17AA"/>
    <w:rsid w:val="008C1815"/>
    <w:rsid w:val="008C1957"/>
    <w:rsid w:val="008C1AB2"/>
    <w:rsid w:val="008C1B49"/>
    <w:rsid w:val="008C1B66"/>
    <w:rsid w:val="008C1C02"/>
    <w:rsid w:val="008C1C0D"/>
    <w:rsid w:val="008C1DBC"/>
    <w:rsid w:val="008C1E4B"/>
    <w:rsid w:val="008C2256"/>
    <w:rsid w:val="008C22A1"/>
    <w:rsid w:val="008C24E4"/>
    <w:rsid w:val="008C26E9"/>
    <w:rsid w:val="008C27C8"/>
    <w:rsid w:val="008C2867"/>
    <w:rsid w:val="008C2BC5"/>
    <w:rsid w:val="008C2EC5"/>
    <w:rsid w:val="008C2ED7"/>
    <w:rsid w:val="008C2EF6"/>
    <w:rsid w:val="008C2FBC"/>
    <w:rsid w:val="008C3028"/>
    <w:rsid w:val="008C304E"/>
    <w:rsid w:val="008C3172"/>
    <w:rsid w:val="008C325C"/>
    <w:rsid w:val="008C32DB"/>
    <w:rsid w:val="008C336D"/>
    <w:rsid w:val="008C349E"/>
    <w:rsid w:val="008C3556"/>
    <w:rsid w:val="008C3694"/>
    <w:rsid w:val="008C3755"/>
    <w:rsid w:val="008C376C"/>
    <w:rsid w:val="008C37D1"/>
    <w:rsid w:val="008C382A"/>
    <w:rsid w:val="008C3A33"/>
    <w:rsid w:val="008C3B2E"/>
    <w:rsid w:val="008C3C66"/>
    <w:rsid w:val="008C3D8C"/>
    <w:rsid w:val="008C3E14"/>
    <w:rsid w:val="008C3E5D"/>
    <w:rsid w:val="008C3EBA"/>
    <w:rsid w:val="008C3EBF"/>
    <w:rsid w:val="008C40F5"/>
    <w:rsid w:val="008C4152"/>
    <w:rsid w:val="008C429E"/>
    <w:rsid w:val="008C42EC"/>
    <w:rsid w:val="008C4307"/>
    <w:rsid w:val="008C4361"/>
    <w:rsid w:val="008C49A0"/>
    <w:rsid w:val="008C4BC9"/>
    <w:rsid w:val="008C4EB6"/>
    <w:rsid w:val="008C4F16"/>
    <w:rsid w:val="008C530F"/>
    <w:rsid w:val="008C5358"/>
    <w:rsid w:val="008C5671"/>
    <w:rsid w:val="008C5678"/>
    <w:rsid w:val="008C56A1"/>
    <w:rsid w:val="008C5708"/>
    <w:rsid w:val="008C5768"/>
    <w:rsid w:val="008C5774"/>
    <w:rsid w:val="008C58A1"/>
    <w:rsid w:val="008C58DF"/>
    <w:rsid w:val="008C598D"/>
    <w:rsid w:val="008C5A6B"/>
    <w:rsid w:val="008C5CA6"/>
    <w:rsid w:val="008C5D6E"/>
    <w:rsid w:val="008C5E81"/>
    <w:rsid w:val="008C5ED3"/>
    <w:rsid w:val="008C5F89"/>
    <w:rsid w:val="008C634D"/>
    <w:rsid w:val="008C63A9"/>
    <w:rsid w:val="008C63AD"/>
    <w:rsid w:val="008C6537"/>
    <w:rsid w:val="008C6554"/>
    <w:rsid w:val="008C6583"/>
    <w:rsid w:val="008C6645"/>
    <w:rsid w:val="008C6831"/>
    <w:rsid w:val="008C6862"/>
    <w:rsid w:val="008C6ACB"/>
    <w:rsid w:val="008C6C4E"/>
    <w:rsid w:val="008C6C68"/>
    <w:rsid w:val="008C724F"/>
    <w:rsid w:val="008C7255"/>
    <w:rsid w:val="008C727B"/>
    <w:rsid w:val="008C73D1"/>
    <w:rsid w:val="008C74D9"/>
    <w:rsid w:val="008C76E1"/>
    <w:rsid w:val="008C7907"/>
    <w:rsid w:val="008C79D4"/>
    <w:rsid w:val="008C79FE"/>
    <w:rsid w:val="008C7A09"/>
    <w:rsid w:val="008C7B8B"/>
    <w:rsid w:val="008C7B9A"/>
    <w:rsid w:val="008C7C02"/>
    <w:rsid w:val="008C7C75"/>
    <w:rsid w:val="008C7DD9"/>
    <w:rsid w:val="008C7E4A"/>
    <w:rsid w:val="008C7F20"/>
    <w:rsid w:val="008D0022"/>
    <w:rsid w:val="008D0124"/>
    <w:rsid w:val="008D0177"/>
    <w:rsid w:val="008D01CA"/>
    <w:rsid w:val="008D0342"/>
    <w:rsid w:val="008D045C"/>
    <w:rsid w:val="008D049A"/>
    <w:rsid w:val="008D0576"/>
    <w:rsid w:val="008D08C2"/>
    <w:rsid w:val="008D09D6"/>
    <w:rsid w:val="008D0A0A"/>
    <w:rsid w:val="008D0A45"/>
    <w:rsid w:val="008D0B9B"/>
    <w:rsid w:val="008D0C5E"/>
    <w:rsid w:val="008D0D72"/>
    <w:rsid w:val="008D0E8C"/>
    <w:rsid w:val="008D0EAE"/>
    <w:rsid w:val="008D102B"/>
    <w:rsid w:val="008D10A6"/>
    <w:rsid w:val="008D12BE"/>
    <w:rsid w:val="008D13DC"/>
    <w:rsid w:val="008D14A3"/>
    <w:rsid w:val="008D14E5"/>
    <w:rsid w:val="008D1746"/>
    <w:rsid w:val="008D1758"/>
    <w:rsid w:val="008D199C"/>
    <w:rsid w:val="008D19BC"/>
    <w:rsid w:val="008D1CCD"/>
    <w:rsid w:val="008D1E1E"/>
    <w:rsid w:val="008D1ECC"/>
    <w:rsid w:val="008D1F67"/>
    <w:rsid w:val="008D21D3"/>
    <w:rsid w:val="008D2329"/>
    <w:rsid w:val="008D26AB"/>
    <w:rsid w:val="008D2831"/>
    <w:rsid w:val="008D2842"/>
    <w:rsid w:val="008D2864"/>
    <w:rsid w:val="008D2883"/>
    <w:rsid w:val="008D28B9"/>
    <w:rsid w:val="008D291A"/>
    <w:rsid w:val="008D2977"/>
    <w:rsid w:val="008D2993"/>
    <w:rsid w:val="008D2A93"/>
    <w:rsid w:val="008D2CCF"/>
    <w:rsid w:val="008D2D13"/>
    <w:rsid w:val="008D2E05"/>
    <w:rsid w:val="008D2E25"/>
    <w:rsid w:val="008D2FE7"/>
    <w:rsid w:val="008D32C8"/>
    <w:rsid w:val="008D3462"/>
    <w:rsid w:val="008D359C"/>
    <w:rsid w:val="008D3751"/>
    <w:rsid w:val="008D391C"/>
    <w:rsid w:val="008D39D4"/>
    <w:rsid w:val="008D39DE"/>
    <w:rsid w:val="008D3B4C"/>
    <w:rsid w:val="008D3C06"/>
    <w:rsid w:val="008D3C36"/>
    <w:rsid w:val="008D3E38"/>
    <w:rsid w:val="008D3F2C"/>
    <w:rsid w:val="008D40F9"/>
    <w:rsid w:val="008D4222"/>
    <w:rsid w:val="008D442B"/>
    <w:rsid w:val="008D456E"/>
    <w:rsid w:val="008D46AD"/>
    <w:rsid w:val="008D48C6"/>
    <w:rsid w:val="008D493A"/>
    <w:rsid w:val="008D4A6A"/>
    <w:rsid w:val="008D4E54"/>
    <w:rsid w:val="008D4F39"/>
    <w:rsid w:val="008D5071"/>
    <w:rsid w:val="008D507B"/>
    <w:rsid w:val="008D5080"/>
    <w:rsid w:val="008D511E"/>
    <w:rsid w:val="008D5173"/>
    <w:rsid w:val="008D51D8"/>
    <w:rsid w:val="008D5269"/>
    <w:rsid w:val="008D52D1"/>
    <w:rsid w:val="008D52E1"/>
    <w:rsid w:val="008D5383"/>
    <w:rsid w:val="008D547F"/>
    <w:rsid w:val="008D5717"/>
    <w:rsid w:val="008D57B7"/>
    <w:rsid w:val="008D57C6"/>
    <w:rsid w:val="008D582C"/>
    <w:rsid w:val="008D584A"/>
    <w:rsid w:val="008D58C7"/>
    <w:rsid w:val="008D59F4"/>
    <w:rsid w:val="008D5B3F"/>
    <w:rsid w:val="008D5D13"/>
    <w:rsid w:val="008D5D35"/>
    <w:rsid w:val="008D5E9F"/>
    <w:rsid w:val="008D5EC7"/>
    <w:rsid w:val="008D5EF6"/>
    <w:rsid w:val="008D600B"/>
    <w:rsid w:val="008D6147"/>
    <w:rsid w:val="008D6149"/>
    <w:rsid w:val="008D619E"/>
    <w:rsid w:val="008D623B"/>
    <w:rsid w:val="008D65C3"/>
    <w:rsid w:val="008D66E6"/>
    <w:rsid w:val="008D693B"/>
    <w:rsid w:val="008D6988"/>
    <w:rsid w:val="008D69BF"/>
    <w:rsid w:val="008D6A02"/>
    <w:rsid w:val="008D6AD5"/>
    <w:rsid w:val="008D6D0F"/>
    <w:rsid w:val="008D6E7B"/>
    <w:rsid w:val="008D6ED9"/>
    <w:rsid w:val="008D6F73"/>
    <w:rsid w:val="008D729B"/>
    <w:rsid w:val="008D72AC"/>
    <w:rsid w:val="008D72FF"/>
    <w:rsid w:val="008D75EE"/>
    <w:rsid w:val="008D7648"/>
    <w:rsid w:val="008D7680"/>
    <w:rsid w:val="008D76DE"/>
    <w:rsid w:val="008D7704"/>
    <w:rsid w:val="008D77E8"/>
    <w:rsid w:val="008D786E"/>
    <w:rsid w:val="008D7883"/>
    <w:rsid w:val="008D79D2"/>
    <w:rsid w:val="008D7A4A"/>
    <w:rsid w:val="008D7A7D"/>
    <w:rsid w:val="008D7ABA"/>
    <w:rsid w:val="008D7B9C"/>
    <w:rsid w:val="008D7CF7"/>
    <w:rsid w:val="008D7E5B"/>
    <w:rsid w:val="008E00F4"/>
    <w:rsid w:val="008E02B0"/>
    <w:rsid w:val="008E02BC"/>
    <w:rsid w:val="008E0312"/>
    <w:rsid w:val="008E045E"/>
    <w:rsid w:val="008E0518"/>
    <w:rsid w:val="008E0524"/>
    <w:rsid w:val="008E0565"/>
    <w:rsid w:val="008E0596"/>
    <w:rsid w:val="008E062B"/>
    <w:rsid w:val="008E080E"/>
    <w:rsid w:val="008E086A"/>
    <w:rsid w:val="008E095A"/>
    <w:rsid w:val="008E09EB"/>
    <w:rsid w:val="008E0A7F"/>
    <w:rsid w:val="008E0BC6"/>
    <w:rsid w:val="008E0C73"/>
    <w:rsid w:val="008E0C77"/>
    <w:rsid w:val="008E0C98"/>
    <w:rsid w:val="008E0CC6"/>
    <w:rsid w:val="008E0EC0"/>
    <w:rsid w:val="008E0F23"/>
    <w:rsid w:val="008E0FEE"/>
    <w:rsid w:val="008E113E"/>
    <w:rsid w:val="008E11B9"/>
    <w:rsid w:val="008E15C1"/>
    <w:rsid w:val="008E15EB"/>
    <w:rsid w:val="008E16D5"/>
    <w:rsid w:val="008E1869"/>
    <w:rsid w:val="008E1889"/>
    <w:rsid w:val="008E195F"/>
    <w:rsid w:val="008E1A54"/>
    <w:rsid w:val="008E1A8B"/>
    <w:rsid w:val="008E1B64"/>
    <w:rsid w:val="008E1C37"/>
    <w:rsid w:val="008E1CE9"/>
    <w:rsid w:val="008E1CFD"/>
    <w:rsid w:val="008E1D76"/>
    <w:rsid w:val="008E20A6"/>
    <w:rsid w:val="008E24DB"/>
    <w:rsid w:val="008E252C"/>
    <w:rsid w:val="008E261A"/>
    <w:rsid w:val="008E2718"/>
    <w:rsid w:val="008E27A5"/>
    <w:rsid w:val="008E2815"/>
    <w:rsid w:val="008E2A77"/>
    <w:rsid w:val="008E2D40"/>
    <w:rsid w:val="008E2E03"/>
    <w:rsid w:val="008E2E0A"/>
    <w:rsid w:val="008E2F17"/>
    <w:rsid w:val="008E2F1C"/>
    <w:rsid w:val="008E319C"/>
    <w:rsid w:val="008E339B"/>
    <w:rsid w:val="008E340D"/>
    <w:rsid w:val="008E3443"/>
    <w:rsid w:val="008E367E"/>
    <w:rsid w:val="008E3751"/>
    <w:rsid w:val="008E39D5"/>
    <w:rsid w:val="008E3A40"/>
    <w:rsid w:val="008E3B4C"/>
    <w:rsid w:val="008E3BA9"/>
    <w:rsid w:val="008E3D28"/>
    <w:rsid w:val="008E3DE8"/>
    <w:rsid w:val="008E409A"/>
    <w:rsid w:val="008E4133"/>
    <w:rsid w:val="008E41ED"/>
    <w:rsid w:val="008E457F"/>
    <w:rsid w:val="008E4581"/>
    <w:rsid w:val="008E45C8"/>
    <w:rsid w:val="008E471B"/>
    <w:rsid w:val="008E497C"/>
    <w:rsid w:val="008E4A9C"/>
    <w:rsid w:val="008E4C12"/>
    <w:rsid w:val="008E4D8E"/>
    <w:rsid w:val="008E4E4B"/>
    <w:rsid w:val="008E4E7D"/>
    <w:rsid w:val="008E4E89"/>
    <w:rsid w:val="008E4F10"/>
    <w:rsid w:val="008E5002"/>
    <w:rsid w:val="008E5031"/>
    <w:rsid w:val="008E537B"/>
    <w:rsid w:val="008E53A9"/>
    <w:rsid w:val="008E558A"/>
    <w:rsid w:val="008E55B3"/>
    <w:rsid w:val="008E56CD"/>
    <w:rsid w:val="008E57C6"/>
    <w:rsid w:val="008E57E6"/>
    <w:rsid w:val="008E5997"/>
    <w:rsid w:val="008E5A3A"/>
    <w:rsid w:val="008E5ABE"/>
    <w:rsid w:val="008E5B65"/>
    <w:rsid w:val="008E5C47"/>
    <w:rsid w:val="008E5CBC"/>
    <w:rsid w:val="008E5CC1"/>
    <w:rsid w:val="008E5CF1"/>
    <w:rsid w:val="008E5DA0"/>
    <w:rsid w:val="008E5DB0"/>
    <w:rsid w:val="008E5FAD"/>
    <w:rsid w:val="008E600F"/>
    <w:rsid w:val="008E607A"/>
    <w:rsid w:val="008E60B0"/>
    <w:rsid w:val="008E60F1"/>
    <w:rsid w:val="008E6267"/>
    <w:rsid w:val="008E6426"/>
    <w:rsid w:val="008E6436"/>
    <w:rsid w:val="008E6489"/>
    <w:rsid w:val="008E660B"/>
    <w:rsid w:val="008E6755"/>
    <w:rsid w:val="008E6BC9"/>
    <w:rsid w:val="008E6C0B"/>
    <w:rsid w:val="008E6D68"/>
    <w:rsid w:val="008E6D74"/>
    <w:rsid w:val="008E6DDA"/>
    <w:rsid w:val="008E6E90"/>
    <w:rsid w:val="008E6F1D"/>
    <w:rsid w:val="008E6F61"/>
    <w:rsid w:val="008E709A"/>
    <w:rsid w:val="008E71AA"/>
    <w:rsid w:val="008E72E1"/>
    <w:rsid w:val="008E7590"/>
    <w:rsid w:val="008E75B4"/>
    <w:rsid w:val="008E76B6"/>
    <w:rsid w:val="008E79C3"/>
    <w:rsid w:val="008E7BBF"/>
    <w:rsid w:val="008E7BD1"/>
    <w:rsid w:val="008E7BFC"/>
    <w:rsid w:val="008E7CC2"/>
    <w:rsid w:val="008E7E1C"/>
    <w:rsid w:val="008E7EC7"/>
    <w:rsid w:val="008F01CA"/>
    <w:rsid w:val="008F0275"/>
    <w:rsid w:val="008F0297"/>
    <w:rsid w:val="008F0510"/>
    <w:rsid w:val="008F075C"/>
    <w:rsid w:val="008F07B5"/>
    <w:rsid w:val="008F0CAE"/>
    <w:rsid w:val="008F0D64"/>
    <w:rsid w:val="008F0DBE"/>
    <w:rsid w:val="008F0DCF"/>
    <w:rsid w:val="008F0DE9"/>
    <w:rsid w:val="008F10B6"/>
    <w:rsid w:val="008F10C7"/>
    <w:rsid w:val="008F116D"/>
    <w:rsid w:val="008F11F0"/>
    <w:rsid w:val="008F1233"/>
    <w:rsid w:val="008F12CA"/>
    <w:rsid w:val="008F131A"/>
    <w:rsid w:val="008F1427"/>
    <w:rsid w:val="008F1604"/>
    <w:rsid w:val="008F16A9"/>
    <w:rsid w:val="008F172D"/>
    <w:rsid w:val="008F1B3E"/>
    <w:rsid w:val="008F1D88"/>
    <w:rsid w:val="008F1DBC"/>
    <w:rsid w:val="008F1E39"/>
    <w:rsid w:val="008F1E7B"/>
    <w:rsid w:val="008F1EB5"/>
    <w:rsid w:val="008F1EF2"/>
    <w:rsid w:val="008F2082"/>
    <w:rsid w:val="008F2237"/>
    <w:rsid w:val="008F2357"/>
    <w:rsid w:val="008F2396"/>
    <w:rsid w:val="008F23DC"/>
    <w:rsid w:val="008F2457"/>
    <w:rsid w:val="008F24A4"/>
    <w:rsid w:val="008F2532"/>
    <w:rsid w:val="008F2599"/>
    <w:rsid w:val="008F25AF"/>
    <w:rsid w:val="008F2799"/>
    <w:rsid w:val="008F287A"/>
    <w:rsid w:val="008F28D1"/>
    <w:rsid w:val="008F2903"/>
    <w:rsid w:val="008F2A4D"/>
    <w:rsid w:val="008F2B1E"/>
    <w:rsid w:val="008F2CB9"/>
    <w:rsid w:val="008F2D14"/>
    <w:rsid w:val="008F2D34"/>
    <w:rsid w:val="008F2FEC"/>
    <w:rsid w:val="008F338C"/>
    <w:rsid w:val="008F33CE"/>
    <w:rsid w:val="008F3421"/>
    <w:rsid w:val="008F353E"/>
    <w:rsid w:val="008F3614"/>
    <w:rsid w:val="008F3671"/>
    <w:rsid w:val="008F36FF"/>
    <w:rsid w:val="008F374B"/>
    <w:rsid w:val="008F38E4"/>
    <w:rsid w:val="008F3908"/>
    <w:rsid w:val="008F3A60"/>
    <w:rsid w:val="008F3B88"/>
    <w:rsid w:val="008F40C1"/>
    <w:rsid w:val="008F4140"/>
    <w:rsid w:val="008F426D"/>
    <w:rsid w:val="008F47CC"/>
    <w:rsid w:val="008F4838"/>
    <w:rsid w:val="008F4A0B"/>
    <w:rsid w:val="008F4A63"/>
    <w:rsid w:val="008F4CC5"/>
    <w:rsid w:val="008F4D1E"/>
    <w:rsid w:val="008F5063"/>
    <w:rsid w:val="008F50FF"/>
    <w:rsid w:val="008F5147"/>
    <w:rsid w:val="008F5218"/>
    <w:rsid w:val="008F52C9"/>
    <w:rsid w:val="008F542A"/>
    <w:rsid w:val="008F54F5"/>
    <w:rsid w:val="008F5592"/>
    <w:rsid w:val="008F5770"/>
    <w:rsid w:val="008F5B07"/>
    <w:rsid w:val="008F5BBA"/>
    <w:rsid w:val="008F5CDA"/>
    <w:rsid w:val="008F5D9B"/>
    <w:rsid w:val="008F5E2E"/>
    <w:rsid w:val="008F5E36"/>
    <w:rsid w:val="008F5ED9"/>
    <w:rsid w:val="008F604E"/>
    <w:rsid w:val="008F6171"/>
    <w:rsid w:val="008F620B"/>
    <w:rsid w:val="008F635A"/>
    <w:rsid w:val="008F636E"/>
    <w:rsid w:val="008F6472"/>
    <w:rsid w:val="008F6664"/>
    <w:rsid w:val="008F6668"/>
    <w:rsid w:val="008F668E"/>
    <w:rsid w:val="008F6698"/>
    <w:rsid w:val="008F6903"/>
    <w:rsid w:val="008F69BC"/>
    <w:rsid w:val="008F69C9"/>
    <w:rsid w:val="008F6A50"/>
    <w:rsid w:val="008F6AF4"/>
    <w:rsid w:val="008F6BC6"/>
    <w:rsid w:val="008F6E5A"/>
    <w:rsid w:val="008F6E8D"/>
    <w:rsid w:val="008F6FC6"/>
    <w:rsid w:val="008F6FD8"/>
    <w:rsid w:val="008F7040"/>
    <w:rsid w:val="008F7150"/>
    <w:rsid w:val="008F7160"/>
    <w:rsid w:val="008F71F3"/>
    <w:rsid w:val="008F73E9"/>
    <w:rsid w:val="008F751E"/>
    <w:rsid w:val="008F7546"/>
    <w:rsid w:val="008F7594"/>
    <w:rsid w:val="008F7649"/>
    <w:rsid w:val="008F780D"/>
    <w:rsid w:val="008F79A6"/>
    <w:rsid w:val="008F7AD2"/>
    <w:rsid w:val="008F7AD5"/>
    <w:rsid w:val="008F7C2F"/>
    <w:rsid w:val="008F7F2C"/>
    <w:rsid w:val="008F7F64"/>
    <w:rsid w:val="008F7FBD"/>
    <w:rsid w:val="00900004"/>
    <w:rsid w:val="009000E4"/>
    <w:rsid w:val="0090021B"/>
    <w:rsid w:val="009002CF"/>
    <w:rsid w:val="00900661"/>
    <w:rsid w:val="00900B44"/>
    <w:rsid w:val="00900B6E"/>
    <w:rsid w:val="00900BD8"/>
    <w:rsid w:val="00900C3D"/>
    <w:rsid w:val="00900DD7"/>
    <w:rsid w:val="00900E65"/>
    <w:rsid w:val="00900E8A"/>
    <w:rsid w:val="00900E98"/>
    <w:rsid w:val="009010A8"/>
    <w:rsid w:val="0090121F"/>
    <w:rsid w:val="009014CA"/>
    <w:rsid w:val="009014F7"/>
    <w:rsid w:val="00901515"/>
    <w:rsid w:val="00901656"/>
    <w:rsid w:val="00901700"/>
    <w:rsid w:val="00901789"/>
    <w:rsid w:val="009018A2"/>
    <w:rsid w:val="00901AB1"/>
    <w:rsid w:val="00901B27"/>
    <w:rsid w:val="00901BE1"/>
    <w:rsid w:val="00901C23"/>
    <w:rsid w:val="00901CD3"/>
    <w:rsid w:val="00901ED1"/>
    <w:rsid w:val="00902009"/>
    <w:rsid w:val="00902114"/>
    <w:rsid w:val="00902372"/>
    <w:rsid w:val="009023A0"/>
    <w:rsid w:val="00902412"/>
    <w:rsid w:val="0090243A"/>
    <w:rsid w:val="009024C7"/>
    <w:rsid w:val="009024F6"/>
    <w:rsid w:val="00902549"/>
    <w:rsid w:val="009026CB"/>
    <w:rsid w:val="009028DB"/>
    <w:rsid w:val="009028FA"/>
    <w:rsid w:val="0090295A"/>
    <w:rsid w:val="009029B3"/>
    <w:rsid w:val="00902A08"/>
    <w:rsid w:val="00902B71"/>
    <w:rsid w:val="00902BBA"/>
    <w:rsid w:val="00902DBB"/>
    <w:rsid w:val="00902DD7"/>
    <w:rsid w:val="00902E07"/>
    <w:rsid w:val="00902EF4"/>
    <w:rsid w:val="00903043"/>
    <w:rsid w:val="0090347E"/>
    <w:rsid w:val="0090349C"/>
    <w:rsid w:val="00903517"/>
    <w:rsid w:val="00903584"/>
    <w:rsid w:val="00903619"/>
    <w:rsid w:val="00903909"/>
    <w:rsid w:val="00903919"/>
    <w:rsid w:val="00903A62"/>
    <w:rsid w:val="00903CCD"/>
    <w:rsid w:val="00903E32"/>
    <w:rsid w:val="00903EC6"/>
    <w:rsid w:val="00903F1D"/>
    <w:rsid w:val="009040A6"/>
    <w:rsid w:val="009041EF"/>
    <w:rsid w:val="00904331"/>
    <w:rsid w:val="00904445"/>
    <w:rsid w:val="0090459D"/>
    <w:rsid w:val="009048D5"/>
    <w:rsid w:val="00904968"/>
    <w:rsid w:val="00904A24"/>
    <w:rsid w:val="00904BD5"/>
    <w:rsid w:val="00904D51"/>
    <w:rsid w:val="00904E50"/>
    <w:rsid w:val="00904FBB"/>
    <w:rsid w:val="00905112"/>
    <w:rsid w:val="00905183"/>
    <w:rsid w:val="00905228"/>
    <w:rsid w:val="00905397"/>
    <w:rsid w:val="0090550A"/>
    <w:rsid w:val="009056B8"/>
    <w:rsid w:val="0090574B"/>
    <w:rsid w:val="00905795"/>
    <w:rsid w:val="009057C6"/>
    <w:rsid w:val="00905853"/>
    <w:rsid w:val="00905916"/>
    <w:rsid w:val="009059DF"/>
    <w:rsid w:val="00905A48"/>
    <w:rsid w:val="00905A55"/>
    <w:rsid w:val="00905B3F"/>
    <w:rsid w:val="00905B44"/>
    <w:rsid w:val="00905DA8"/>
    <w:rsid w:val="00905EAD"/>
    <w:rsid w:val="00906290"/>
    <w:rsid w:val="0090644E"/>
    <w:rsid w:val="00906539"/>
    <w:rsid w:val="00906621"/>
    <w:rsid w:val="009067A2"/>
    <w:rsid w:val="00906813"/>
    <w:rsid w:val="0090690C"/>
    <w:rsid w:val="00906B97"/>
    <w:rsid w:val="00906B9B"/>
    <w:rsid w:val="00906C76"/>
    <w:rsid w:val="00906CD6"/>
    <w:rsid w:val="00906E25"/>
    <w:rsid w:val="00906E26"/>
    <w:rsid w:val="00906F50"/>
    <w:rsid w:val="00907125"/>
    <w:rsid w:val="00907147"/>
    <w:rsid w:val="0090741C"/>
    <w:rsid w:val="0090744F"/>
    <w:rsid w:val="009076BC"/>
    <w:rsid w:val="00907720"/>
    <w:rsid w:val="0090776B"/>
    <w:rsid w:val="00907803"/>
    <w:rsid w:val="00907859"/>
    <w:rsid w:val="00907923"/>
    <w:rsid w:val="009079CA"/>
    <w:rsid w:val="00907A68"/>
    <w:rsid w:val="00907BB6"/>
    <w:rsid w:val="00907C68"/>
    <w:rsid w:val="00907D85"/>
    <w:rsid w:val="00907EA3"/>
    <w:rsid w:val="00907EDE"/>
    <w:rsid w:val="009100C0"/>
    <w:rsid w:val="009100EA"/>
    <w:rsid w:val="0091011E"/>
    <w:rsid w:val="0091018A"/>
    <w:rsid w:val="0091019E"/>
    <w:rsid w:val="009101DC"/>
    <w:rsid w:val="00910213"/>
    <w:rsid w:val="0091028B"/>
    <w:rsid w:val="0091037E"/>
    <w:rsid w:val="00910530"/>
    <w:rsid w:val="009107F7"/>
    <w:rsid w:val="0091083C"/>
    <w:rsid w:val="00910849"/>
    <w:rsid w:val="009108F7"/>
    <w:rsid w:val="00910ABF"/>
    <w:rsid w:val="00910C32"/>
    <w:rsid w:val="00910C98"/>
    <w:rsid w:val="00910D3F"/>
    <w:rsid w:val="00910DAA"/>
    <w:rsid w:val="00910DD5"/>
    <w:rsid w:val="00910FA2"/>
    <w:rsid w:val="00910FFB"/>
    <w:rsid w:val="009110F5"/>
    <w:rsid w:val="009114B9"/>
    <w:rsid w:val="009114DB"/>
    <w:rsid w:val="009115BD"/>
    <w:rsid w:val="009116D4"/>
    <w:rsid w:val="0091180F"/>
    <w:rsid w:val="00911A4E"/>
    <w:rsid w:val="00911AD6"/>
    <w:rsid w:val="00911ADF"/>
    <w:rsid w:val="00911B07"/>
    <w:rsid w:val="00911B83"/>
    <w:rsid w:val="00911BFB"/>
    <w:rsid w:val="00911C38"/>
    <w:rsid w:val="00911CAD"/>
    <w:rsid w:val="00911F37"/>
    <w:rsid w:val="00911FA5"/>
    <w:rsid w:val="0091234D"/>
    <w:rsid w:val="009123F0"/>
    <w:rsid w:val="00912630"/>
    <w:rsid w:val="00912B79"/>
    <w:rsid w:val="00912B83"/>
    <w:rsid w:val="00912CFA"/>
    <w:rsid w:val="00912E49"/>
    <w:rsid w:val="00912E94"/>
    <w:rsid w:val="00912FCD"/>
    <w:rsid w:val="0091300B"/>
    <w:rsid w:val="00913022"/>
    <w:rsid w:val="00913091"/>
    <w:rsid w:val="00913111"/>
    <w:rsid w:val="0091338F"/>
    <w:rsid w:val="009133BE"/>
    <w:rsid w:val="0091347B"/>
    <w:rsid w:val="00913594"/>
    <w:rsid w:val="00913597"/>
    <w:rsid w:val="0091378E"/>
    <w:rsid w:val="00913954"/>
    <w:rsid w:val="00913AAD"/>
    <w:rsid w:val="00913B72"/>
    <w:rsid w:val="00913C19"/>
    <w:rsid w:val="00913C6B"/>
    <w:rsid w:val="00913EB2"/>
    <w:rsid w:val="00913FBF"/>
    <w:rsid w:val="0091424E"/>
    <w:rsid w:val="00914256"/>
    <w:rsid w:val="0091462D"/>
    <w:rsid w:val="00914653"/>
    <w:rsid w:val="009146A9"/>
    <w:rsid w:val="00914711"/>
    <w:rsid w:val="00914742"/>
    <w:rsid w:val="009147B0"/>
    <w:rsid w:val="00914817"/>
    <w:rsid w:val="0091493D"/>
    <w:rsid w:val="009149DE"/>
    <w:rsid w:val="00914A48"/>
    <w:rsid w:val="00914B47"/>
    <w:rsid w:val="00914C29"/>
    <w:rsid w:val="00914EBD"/>
    <w:rsid w:val="00914EF9"/>
    <w:rsid w:val="0091510A"/>
    <w:rsid w:val="00915179"/>
    <w:rsid w:val="00915225"/>
    <w:rsid w:val="009152F7"/>
    <w:rsid w:val="009152F8"/>
    <w:rsid w:val="00915323"/>
    <w:rsid w:val="00915918"/>
    <w:rsid w:val="0091593C"/>
    <w:rsid w:val="00915965"/>
    <w:rsid w:val="00915983"/>
    <w:rsid w:val="00915A2F"/>
    <w:rsid w:val="00915B3F"/>
    <w:rsid w:val="00915E48"/>
    <w:rsid w:val="00915E9B"/>
    <w:rsid w:val="00915EFC"/>
    <w:rsid w:val="00915F0E"/>
    <w:rsid w:val="00915FFF"/>
    <w:rsid w:val="009160BB"/>
    <w:rsid w:val="0091623C"/>
    <w:rsid w:val="0091628D"/>
    <w:rsid w:val="00916370"/>
    <w:rsid w:val="00916406"/>
    <w:rsid w:val="0091669D"/>
    <w:rsid w:val="009167BB"/>
    <w:rsid w:val="009167C0"/>
    <w:rsid w:val="009169DC"/>
    <w:rsid w:val="00916B89"/>
    <w:rsid w:val="00916C3E"/>
    <w:rsid w:val="00916DE2"/>
    <w:rsid w:val="00917148"/>
    <w:rsid w:val="00917157"/>
    <w:rsid w:val="009171EA"/>
    <w:rsid w:val="00917304"/>
    <w:rsid w:val="00917387"/>
    <w:rsid w:val="009173C8"/>
    <w:rsid w:val="009174C2"/>
    <w:rsid w:val="00917554"/>
    <w:rsid w:val="009175E7"/>
    <w:rsid w:val="00917633"/>
    <w:rsid w:val="009177AF"/>
    <w:rsid w:val="00917867"/>
    <w:rsid w:val="00917BAF"/>
    <w:rsid w:val="00917C73"/>
    <w:rsid w:val="00917DAC"/>
    <w:rsid w:val="00917DB5"/>
    <w:rsid w:val="00917E6B"/>
    <w:rsid w:val="009201C6"/>
    <w:rsid w:val="009201DF"/>
    <w:rsid w:val="00920508"/>
    <w:rsid w:val="009207BF"/>
    <w:rsid w:val="00920894"/>
    <w:rsid w:val="00920A03"/>
    <w:rsid w:val="00920A05"/>
    <w:rsid w:val="00920CAA"/>
    <w:rsid w:val="009210C8"/>
    <w:rsid w:val="009212AD"/>
    <w:rsid w:val="009213E1"/>
    <w:rsid w:val="009213FF"/>
    <w:rsid w:val="0092143D"/>
    <w:rsid w:val="0092158D"/>
    <w:rsid w:val="0092183B"/>
    <w:rsid w:val="00921984"/>
    <w:rsid w:val="00921A2E"/>
    <w:rsid w:val="00921E4C"/>
    <w:rsid w:val="0092209B"/>
    <w:rsid w:val="009220D7"/>
    <w:rsid w:val="009220FD"/>
    <w:rsid w:val="009222FA"/>
    <w:rsid w:val="0092233B"/>
    <w:rsid w:val="00922347"/>
    <w:rsid w:val="00922356"/>
    <w:rsid w:val="00922548"/>
    <w:rsid w:val="0092263B"/>
    <w:rsid w:val="009226F8"/>
    <w:rsid w:val="009227D5"/>
    <w:rsid w:val="00922A51"/>
    <w:rsid w:val="00922A71"/>
    <w:rsid w:val="00922AA3"/>
    <w:rsid w:val="00922C2E"/>
    <w:rsid w:val="009231BE"/>
    <w:rsid w:val="00923269"/>
    <w:rsid w:val="009232C6"/>
    <w:rsid w:val="00923305"/>
    <w:rsid w:val="0092336C"/>
    <w:rsid w:val="00923439"/>
    <w:rsid w:val="0092353E"/>
    <w:rsid w:val="009235B2"/>
    <w:rsid w:val="00923B2E"/>
    <w:rsid w:val="00923B5D"/>
    <w:rsid w:val="00923BF4"/>
    <w:rsid w:val="00923CEE"/>
    <w:rsid w:val="00923D21"/>
    <w:rsid w:val="00923F15"/>
    <w:rsid w:val="00924145"/>
    <w:rsid w:val="0092428F"/>
    <w:rsid w:val="009242AE"/>
    <w:rsid w:val="00924335"/>
    <w:rsid w:val="009244DC"/>
    <w:rsid w:val="0092453D"/>
    <w:rsid w:val="00924642"/>
    <w:rsid w:val="00924765"/>
    <w:rsid w:val="0092483D"/>
    <w:rsid w:val="00924A42"/>
    <w:rsid w:val="00924B00"/>
    <w:rsid w:val="00924F4C"/>
    <w:rsid w:val="009250F5"/>
    <w:rsid w:val="0092510A"/>
    <w:rsid w:val="00925179"/>
    <w:rsid w:val="009251ED"/>
    <w:rsid w:val="009252EC"/>
    <w:rsid w:val="00925367"/>
    <w:rsid w:val="00925392"/>
    <w:rsid w:val="009253EB"/>
    <w:rsid w:val="009253EC"/>
    <w:rsid w:val="00925423"/>
    <w:rsid w:val="009254B9"/>
    <w:rsid w:val="009256C1"/>
    <w:rsid w:val="00925758"/>
    <w:rsid w:val="00925A24"/>
    <w:rsid w:val="00925BB8"/>
    <w:rsid w:val="00925C45"/>
    <w:rsid w:val="00925D38"/>
    <w:rsid w:val="00925DCF"/>
    <w:rsid w:val="00925DDC"/>
    <w:rsid w:val="00925F4C"/>
    <w:rsid w:val="00925FB6"/>
    <w:rsid w:val="0092604F"/>
    <w:rsid w:val="009260BD"/>
    <w:rsid w:val="0092625D"/>
    <w:rsid w:val="00926325"/>
    <w:rsid w:val="00926351"/>
    <w:rsid w:val="0092636E"/>
    <w:rsid w:val="00926407"/>
    <w:rsid w:val="0092642F"/>
    <w:rsid w:val="009264EA"/>
    <w:rsid w:val="009264F0"/>
    <w:rsid w:val="00926A4D"/>
    <w:rsid w:val="00926AE8"/>
    <w:rsid w:val="00926B9D"/>
    <w:rsid w:val="00926CA9"/>
    <w:rsid w:val="00926E00"/>
    <w:rsid w:val="00926E2F"/>
    <w:rsid w:val="00927184"/>
    <w:rsid w:val="009271A5"/>
    <w:rsid w:val="00927376"/>
    <w:rsid w:val="009275D6"/>
    <w:rsid w:val="00927612"/>
    <w:rsid w:val="009276E4"/>
    <w:rsid w:val="00927706"/>
    <w:rsid w:val="00927722"/>
    <w:rsid w:val="009277B2"/>
    <w:rsid w:val="009279FF"/>
    <w:rsid w:val="00927A75"/>
    <w:rsid w:val="00927ACF"/>
    <w:rsid w:val="00927C61"/>
    <w:rsid w:val="00927CF9"/>
    <w:rsid w:val="00927DCC"/>
    <w:rsid w:val="00927FCB"/>
    <w:rsid w:val="009300FC"/>
    <w:rsid w:val="009304D4"/>
    <w:rsid w:val="00930746"/>
    <w:rsid w:val="009308D7"/>
    <w:rsid w:val="00930AF6"/>
    <w:rsid w:val="00930C28"/>
    <w:rsid w:val="00930D48"/>
    <w:rsid w:val="00930E7B"/>
    <w:rsid w:val="00930EB8"/>
    <w:rsid w:val="00931348"/>
    <w:rsid w:val="009313AC"/>
    <w:rsid w:val="00931667"/>
    <w:rsid w:val="009316D7"/>
    <w:rsid w:val="0093175A"/>
    <w:rsid w:val="00931786"/>
    <w:rsid w:val="00931834"/>
    <w:rsid w:val="0093198A"/>
    <w:rsid w:val="009319A1"/>
    <w:rsid w:val="00931B5A"/>
    <w:rsid w:val="00931C95"/>
    <w:rsid w:val="00931CFE"/>
    <w:rsid w:val="00931DDD"/>
    <w:rsid w:val="00931E3D"/>
    <w:rsid w:val="00931E56"/>
    <w:rsid w:val="00931ECA"/>
    <w:rsid w:val="00931EE4"/>
    <w:rsid w:val="00931F29"/>
    <w:rsid w:val="0093208E"/>
    <w:rsid w:val="00932501"/>
    <w:rsid w:val="0093251D"/>
    <w:rsid w:val="00932587"/>
    <w:rsid w:val="00932696"/>
    <w:rsid w:val="009327D8"/>
    <w:rsid w:val="009329FE"/>
    <w:rsid w:val="00932A61"/>
    <w:rsid w:val="00932A9D"/>
    <w:rsid w:val="00932C50"/>
    <w:rsid w:val="00932DEB"/>
    <w:rsid w:val="00932FB8"/>
    <w:rsid w:val="0093319B"/>
    <w:rsid w:val="009332CB"/>
    <w:rsid w:val="0093337E"/>
    <w:rsid w:val="00933402"/>
    <w:rsid w:val="00933508"/>
    <w:rsid w:val="0093378F"/>
    <w:rsid w:val="009337D7"/>
    <w:rsid w:val="009339C2"/>
    <w:rsid w:val="009339E3"/>
    <w:rsid w:val="00933CE3"/>
    <w:rsid w:val="00933EDE"/>
    <w:rsid w:val="00933EF0"/>
    <w:rsid w:val="00933F35"/>
    <w:rsid w:val="009340A7"/>
    <w:rsid w:val="0093444C"/>
    <w:rsid w:val="0093448F"/>
    <w:rsid w:val="00934499"/>
    <w:rsid w:val="009344D0"/>
    <w:rsid w:val="009344D7"/>
    <w:rsid w:val="009346CD"/>
    <w:rsid w:val="0093479B"/>
    <w:rsid w:val="009347C4"/>
    <w:rsid w:val="009347F9"/>
    <w:rsid w:val="00934893"/>
    <w:rsid w:val="00934979"/>
    <w:rsid w:val="00934A34"/>
    <w:rsid w:val="00934A94"/>
    <w:rsid w:val="00934AB2"/>
    <w:rsid w:val="00934C1B"/>
    <w:rsid w:val="00934D63"/>
    <w:rsid w:val="00934F5D"/>
    <w:rsid w:val="00935084"/>
    <w:rsid w:val="009350F9"/>
    <w:rsid w:val="00935114"/>
    <w:rsid w:val="009351D2"/>
    <w:rsid w:val="009351FB"/>
    <w:rsid w:val="0093526F"/>
    <w:rsid w:val="0093533E"/>
    <w:rsid w:val="0093565A"/>
    <w:rsid w:val="0093568D"/>
    <w:rsid w:val="009357B5"/>
    <w:rsid w:val="009358C1"/>
    <w:rsid w:val="009358D9"/>
    <w:rsid w:val="009358E7"/>
    <w:rsid w:val="00935BB7"/>
    <w:rsid w:val="00935C15"/>
    <w:rsid w:val="00935CAD"/>
    <w:rsid w:val="00935CE0"/>
    <w:rsid w:val="00935E4A"/>
    <w:rsid w:val="00936049"/>
    <w:rsid w:val="009360BA"/>
    <w:rsid w:val="0093611A"/>
    <w:rsid w:val="00936147"/>
    <w:rsid w:val="0093635A"/>
    <w:rsid w:val="00936426"/>
    <w:rsid w:val="009364C5"/>
    <w:rsid w:val="00936703"/>
    <w:rsid w:val="00936727"/>
    <w:rsid w:val="00936733"/>
    <w:rsid w:val="0093676E"/>
    <w:rsid w:val="009368FC"/>
    <w:rsid w:val="009369D9"/>
    <w:rsid w:val="00936AFD"/>
    <w:rsid w:val="00936B0E"/>
    <w:rsid w:val="00936BB1"/>
    <w:rsid w:val="00936BB9"/>
    <w:rsid w:val="00936BCD"/>
    <w:rsid w:val="00936C70"/>
    <w:rsid w:val="00936CB8"/>
    <w:rsid w:val="00936CC5"/>
    <w:rsid w:val="00936DDC"/>
    <w:rsid w:val="00936F9D"/>
    <w:rsid w:val="00936FC6"/>
    <w:rsid w:val="009370BC"/>
    <w:rsid w:val="009372F2"/>
    <w:rsid w:val="00937447"/>
    <w:rsid w:val="0093744B"/>
    <w:rsid w:val="0093747D"/>
    <w:rsid w:val="009374F4"/>
    <w:rsid w:val="0093751D"/>
    <w:rsid w:val="009376AB"/>
    <w:rsid w:val="0093774B"/>
    <w:rsid w:val="009379A2"/>
    <w:rsid w:val="00937AFF"/>
    <w:rsid w:val="00937B45"/>
    <w:rsid w:val="00937BCA"/>
    <w:rsid w:val="00937D29"/>
    <w:rsid w:val="00937FA0"/>
    <w:rsid w:val="00937FB3"/>
    <w:rsid w:val="009404FF"/>
    <w:rsid w:val="00940596"/>
    <w:rsid w:val="009405EB"/>
    <w:rsid w:val="009405F7"/>
    <w:rsid w:val="009406C9"/>
    <w:rsid w:val="00940775"/>
    <w:rsid w:val="009409D8"/>
    <w:rsid w:val="00940D4D"/>
    <w:rsid w:val="00940D8E"/>
    <w:rsid w:val="00940FA1"/>
    <w:rsid w:val="00941416"/>
    <w:rsid w:val="009414DF"/>
    <w:rsid w:val="009415D6"/>
    <w:rsid w:val="009416FD"/>
    <w:rsid w:val="00941743"/>
    <w:rsid w:val="00941A1A"/>
    <w:rsid w:val="00941BCC"/>
    <w:rsid w:val="00941CC1"/>
    <w:rsid w:val="00941CF8"/>
    <w:rsid w:val="00941E4D"/>
    <w:rsid w:val="00941FBD"/>
    <w:rsid w:val="009421BD"/>
    <w:rsid w:val="009421D1"/>
    <w:rsid w:val="00942286"/>
    <w:rsid w:val="009423BF"/>
    <w:rsid w:val="009424CC"/>
    <w:rsid w:val="00942559"/>
    <w:rsid w:val="0094276F"/>
    <w:rsid w:val="00942888"/>
    <w:rsid w:val="00942A6C"/>
    <w:rsid w:val="00942B8D"/>
    <w:rsid w:val="00942B9F"/>
    <w:rsid w:val="00942C78"/>
    <w:rsid w:val="00942CA7"/>
    <w:rsid w:val="00942DA8"/>
    <w:rsid w:val="00942DC6"/>
    <w:rsid w:val="00942F66"/>
    <w:rsid w:val="00943036"/>
    <w:rsid w:val="00943041"/>
    <w:rsid w:val="009430BE"/>
    <w:rsid w:val="009430D3"/>
    <w:rsid w:val="00943359"/>
    <w:rsid w:val="00943671"/>
    <w:rsid w:val="0094369C"/>
    <w:rsid w:val="0094380F"/>
    <w:rsid w:val="0094383F"/>
    <w:rsid w:val="009438B0"/>
    <w:rsid w:val="00943CAE"/>
    <w:rsid w:val="00943CE3"/>
    <w:rsid w:val="00943D06"/>
    <w:rsid w:val="00943ECA"/>
    <w:rsid w:val="00944039"/>
    <w:rsid w:val="009441D2"/>
    <w:rsid w:val="009441FF"/>
    <w:rsid w:val="0094421A"/>
    <w:rsid w:val="00944396"/>
    <w:rsid w:val="0094441B"/>
    <w:rsid w:val="009445C3"/>
    <w:rsid w:val="00944C25"/>
    <w:rsid w:val="00944E08"/>
    <w:rsid w:val="00944E17"/>
    <w:rsid w:val="00945179"/>
    <w:rsid w:val="009453EF"/>
    <w:rsid w:val="0094545E"/>
    <w:rsid w:val="0094564E"/>
    <w:rsid w:val="0094587B"/>
    <w:rsid w:val="009458B2"/>
    <w:rsid w:val="00945959"/>
    <w:rsid w:val="00945980"/>
    <w:rsid w:val="009459D6"/>
    <w:rsid w:val="00945A3B"/>
    <w:rsid w:val="00945BF5"/>
    <w:rsid w:val="009462FC"/>
    <w:rsid w:val="0094646E"/>
    <w:rsid w:val="00946473"/>
    <w:rsid w:val="00946535"/>
    <w:rsid w:val="00946561"/>
    <w:rsid w:val="00946639"/>
    <w:rsid w:val="00946928"/>
    <w:rsid w:val="00946968"/>
    <w:rsid w:val="00946A44"/>
    <w:rsid w:val="00946A84"/>
    <w:rsid w:val="00946BD1"/>
    <w:rsid w:val="00946C76"/>
    <w:rsid w:val="00946E8A"/>
    <w:rsid w:val="00946EC7"/>
    <w:rsid w:val="00946FD8"/>
    <w:rsid w:val="0094713E"/>
    <w:rsid w:val="009471C5"/>
    <w:rsid w:val="009472AA"/>
    <w:rsid w:val="0094744F"/>
    <w:rsid w:val="0094753D"/>
    <w:rsid w:val="00947564"/>
    <w:rsid w:val="0094756B"/>
    <w:rsid w:val="009475C5"/>
    <w:rsid w:val="00947676"/>
    <w:rsid w:val="00947939"/>
    <w:rsid w:val="00947AF6"/>
    <w:rsid w:val="00947B9B"/>
    <w:rsid w:val="00947BC4"/>
    <w:rsid w:val="00947D9D"/>
    <w:rsid w:val="00947E0C"/>
    <w:rsid w:val="00947E14"/>
    <w:rsid w:val="00947E8F"/>
    <w:rsid w:val="00947F88"/>
    <w:rsid w:val="00947FB8"/>
    <w:rsid w:val="00950089"/>
    <w:rsid w:val="00950175"/>
    <w:rsid w:val="009501A6"/>
    <w:rsid w:val="009502D9"/>
    <w:rsid w:val="00950309"/>
    <w:rsid w:val="00950429"/>
    <w:rsid w:val="00950471"/>
    <w:rsid w:val="00950519"/>
    <w:rsid w:val="00950521"/>
    <w:rsid w:val="00950538"/>
    <w:rsid w:val="00950948"/>
    <w:rsid w:val="00950986"/>
    <w:rsid w:val="0095098F"/>
    <w:rsid w:val="00950A2E"/>
    <w:rsid w:val="00950A56"/>
    <w:rsid w:val="00950A82"/>
    <w:rsid w:val="00950AB2"/>
    <w:rsid w:val="00950B0C"/>
    <w:rsid w:val="00950B95"/>
    <w:rsid w:val="00950D7F"/>
    <w:rsid w:val="00950DF1"/>
    <w:rsid w:val="00950E3E"/>
    <w:rsid w:val="00950F07"/>
    <w:rsid w:val="00950F62"/>
    <w:rsid w:val="009511DE"/>
    <w:rsid w:val="00951312"/>
    <w:rsid w:val="009513B5"/>
    <w:rsid w:val="00951673"/>
    <w:rsid w:val="009516C4"/>
    <w:rsid w:val="009517B4"/>
    <w:rsid w:val="00951865"/>
    <w:rsid w:val="0095190D"/>
    <w:rsid w:val="00951B79"/>
    <w:rsid w:val="00951E6A"/>
    <w:rsid w:val="0095217A"/>
    <w:rsid w:val="00952285"/>
    <w:rsid w:val="009522F4"/>
    <w:rsid w:val="00952406"/>
    <w:rsid w:val="00952424"/>
    <w:rsid w:val="0095250B"/>
    <w:rsid w:val="009525FE"/>
    <w:rsid w:val="00952626"/>
    <w:rsid w:val="0095280F"/>
    <w:rsid w:val="009528C7"/>
    <w:rsid w:val="00952C35"/>
    <w:rsid w:val="00952D67"/>
    <w:rsid w:val="00952FF7"/>
    <w:rsid w:val="00952FFE"/>
    <w:rsid w:val="0095301C"/>
    <w:rsid w:val="0095309E"/>
    <w:rsid w:val="009532DC"/>
    <w:rsid w:val="00953346"/>
    <w:rsid w:val="009533BE"/>
    <w:rsid w:val="00953485"/>
    <w:rsid w:val="009534B4"/>
    <w:rsid w:val="009534F3"/>
    <w:rsid w:val="00953716"/>
    <w:rsid w:val="009537A0"/>
    <w:rsid w:val="00953815"/>
    <w:rsid w:val="0095387B"/>
    <w:rsid w:val="009538F8"/>
    <w:rsid w:val="0095392C"/>
    <w:rsid w:val="00953A42"/>
    <w:rsid w:val="00953A7E"/>
    <w:rsid w:val="00954032"/>
    <w:rsid w:val="0095412A"/>
    <w:rsid w:val="009542DB"/>
    <w:rsid w:val="009546A1"/>
    <w:rsid w:val="00954987"/>
    <w:rsid w:val="009549D4"/>
    <w:rsid w:val="00954A35"/>
    <w:rsid w:val="00954D3B"/>
    <w:rsid w:val="00954D98"/>
    <w:rsid w:val="00954DB1"/>
    <w:rsid w:val="00954EA5"/>
    <w:rsid w:val="00954FF5"/>
    <w:rsid w:val="009550AE"/>
    <w:rsid w:val="0095534D"/>
    <w:rsid w:val="0095539E"/>
    <w:rsid w:val="0095547F"/>
    <w:rsid w:val="009554BA"/>
    <w:rsid w:val="009555D5"/>
    <w:rsid w:val="009556BD"/>
    <w:rsid w:val="009557E3"/>
    <w:rsid w:val="009557E6"/>
    <w:rsid w:val="00955941"/>
    <w:rsid w:val="00955971"/>
    <w:rsid w:val="009559EC"/>
    <w:rsid w:val="009559FC"/>
    <w:rsid w:val="00955B1A"/>
    <w:rsid w:val="00955B2D"/>
    <w:rsid w:val="00955C3D"/>
    <w:rsid w:val="00955CB4"/>
    <w:rsid w:val="00955CC5"/>
    <w:rsid w:val="00955D08"/>
    <w:rsid w:val="00955DB2"/>
    <w:rsid w:val="00955E20"/>
    <w:rsid w:val="00955E40"/>
    <w:rsid w:val="00955E80"/>
    <w:rsid w:val="00955E81"/>
    <w:rsid w:val="00955E8A"/>
    <w:rsid w:val="00955F5B"/>
    <w:rsid w:val="00956027"/>
    <w:rsid w:val="009562CA"/>
    <w:rsid w:val="0095643B"/>
    <w:rsid w:val="0095646B"/>
    <w:rsid w:val="00956498"/>
    <w:rsid w:val="009564DB"/>
    <w:rsid w:val="00956566"/>
    <w:rsid w:val="009565A6"/>
    <w:rsid w:val="0095665D"/>
    <w:rsid w:val="009567B0"/>
    <w:rsid w:val="0095686C"/>
    <w:rsid w:val="00956BA5"/>
    <w:rsid w:val="00956C59"/>
    <w:rsid w:val="00956EFA"/>
    <w:rsid w:val="00956F05"/>
    <w:rsid w:val="0095713E"/>
    <w:rsid w:val="009571A5"/>
    <w:rsid w:val="00957377"/>
    <w:rsid w:val="00957598"/>
    <w:rsid w:val="0095759A"/>
    <w:rsid w:val="009576CE"/>
    <w:rsid w:val="00957917"/>
    <w:rsid w:val="00957998"/>
    <w:rsid w:val="00957ACA"/>
    <w:rsid w:val="00957B6F"/>
    <w:rsid w:val="00957CEB"/>
    <w:rsid w:val="00957D24"/>
    <w:rsid w:val="00957D4C"/>
    <w:rsid w:val="00957EE3"/>
    <w:rsid w:val="00960040"/>
    <w:rsid w:val="009602FA"/>
    <w:rsid w:val="009604B2"/>
    <w:rsid w:val="009605AF"/>
    <w:rsid w:val="009605F5"/>
    <w:rsid w:val="00960636"/>
    <w:rsid w:val="0096069D"/>
    <w:rsid w:val="009607AE"/>
    <w:rsid w:val="00960800"/>
    <w:rsid w:val="00960841"/>
    <w:rsid w:val="009608A6"/>
    <w:rsid w:val="009608CF"/>
    <w:rsid w:val="0096098F"/>
    <w:rsid w:val="00960A41"/>
    <w:rsid w:val="00960B82"/>
    <w:rsid w:val="00960C21"/>
    <w:rsid w:val="00960DE2"/>
    <w:rsid w:val="00960E3E"/>
    <w:rsid w:val="00960FA3"/>
    <w:rsid w:val="009611BA"/>
    <w:rsid w:val="009612BA"/>
    <w:rsid w:val="009613B1"/>
    <w:rsid w:val="009613C6"/>
    <w:rsid w:val="009613C9"/>
    <w:rsid w:val="00961520"/>
    <w:rsid w:val="00961649"/>
    <w:rsid w:val="00961933"/>
    <w:rsid w:val="00961B56"/>
    <w:rsid w:val="009620F2"/>
    <w:rsid w:val="00962126"/>
    <w:rsid w:val="0096215C"/>
    <w:rsid w:val="009621BB"/>
    <w:rsid w:val="00962287"/>
    <w:rsid w:val="0096233C"/>
    <w:rsid w:val="009625D3"/>
    <w:rsid w:val="00962758"/>
    <w:rsid w:val="00962796"/>
    <w:rsid w:val="0096284E"/>
    <w:rsid w:val="00962AF4"/>
    <w:rsid w:val="00962C02"/>
    <w:rsid w:val="00962CF8"/>
    <w:rsid w:val="00962E60"/>
    <w:rsid w:val="00962F5E"/>
    <w:rsid w:val="00963133"/>
    <w:rsid w:val="00963535"/>
    <w:rsid w:val="009637FC"/>
    <w:rsid w:val="0096382E"/>
    <w:rsid w:val="00963930"/>
    <w:rsid w:val="00963AB4"/>
    <w:rsid w:val="00963C94"/>
    <w:rsid w:val="00963D0C"/>
    <w:rsid w:val="00963D64"/>
    <w:rsid w:val="00963DA7"/>
    <w:rsid w:val="00963F4B"/>
    <w:rsid w:val="0096403B"/>
    <w:rsid w:val="00964057"/>
    <w:rsid w:val="00964119"/>
    <w:rsid w:val="0096418F"/>
    <w:rsid w:val="009641E0"/>
    <w:rsid w:val="00964292"/>
    <w:rsid w:val="009643E8"/>
    <w:rsid w:val="009645B8"/>
    <w:rsid w:val="009646C7"/>
    <w:rsid w:val="00964BA7"/>
    <w:rsid w:val="00964BD5"/>
    <w:rsid w:val="00964C46"/>
    <w:rsid w:val="00964CD1"/>
    <w:rsid w:val="00964D7B"/>
    <w:rsid w:val="00964ED0"/>
    <w:rsid w:val="00964ED3"/>
    <w:rsid w:val="00964F1C"/>
    <w:rsid w:val="00964FA1"/>
    <w:rsid w:val="009651D0"/>
    <w:rsid w:val="0096525D"/>
    <w:rsid w:val="00965490"/>
    <w:rsid w:val="009654CD"/>
    <w:rsid w:val="00965856"/>
    <w:rsid w:val="0096593C"/>
    <w:rsid w:val="009659F1"/>
    <w:rsid w:val="00965B83"/>
    <w:rsid w:val="00965CB4"/>
    <w:rsid w:val="00965CF4"/>
    <w:rsid w:val="00965E1A"/>
    <w:rsid w:val="00965EFB"/>
    <w:rsid w:val="009664BF"/>
    <w:rsid w:val="009665FB"/>
    <w:rsid w:val="00966621"/>
    <w:rsid w:val="00966CA8"/>
    <w:rsid w:val="00966D28"/>
    <w:rsid w:val="00966D6A"/>
    <w:rsid w:val="00966FB7"/>
    <w:rsid w:val="009673CB"/>
    <w:rsid w:val="00967441"/>
    <w:rsid w:val="009674CF"/>
    <w:rsid w:val="009674D8"/>
    <w:rsid w:val="009674EA"/>
    <w:rsid w:val="009674F8"/>
    <w:rsid w:val="009676FC"/>
    <w:rsid w:val="00967732"/>
    <w:rsid w:val="00967741"/>
    <w:rsid w:val="00967924"/>
    <w:rsid w:val="0096792D"/>
    <w:rsid w:val="009679D6"/>
    <w:rsid w:val="00967A4D"/>
    <w:rsid w:val="00967C08"/>
    <w:rsid w:val="00967C3C"/>
    <w:rsid w:val="00967D4A"/>
    <w:rsid w:val="00967E1E"/>
    <w:rsid w:val="00970329"/>
    <w:rsid w:val="009703CE"/>
    <w:rsid w:val="009705F5"/>
    <w:rsid w:val="00970663"/>
    <w:rsid w:val="009706C1"/>
    <w:rsid w:val="009706E9"/>
    <w:rsid w:val="009707DE"/>
    <w:rsid w:val="00970829"/>
    <w:rsid w:val="00970AED"/>
    <w:rsid w:val="00970C8E"/>
    <w:rsid w:val="00970D30"/>
    <w:rsid w:val="00970D41"/>
    <w:rsid w:val="00970EA5"/>
    <w:rsid w:val="0097103A"/>
    <w:rsid w:val="00971089"/>
    <w:rsid w:val="009710C1"/>
    <w:rsid w:val="009711C6"/>
    <w:rsid w:val="009711FD"/>
    <w:rsid w:val="00971249"/>
    <w:rsid w:val="009712C0"/>
    <w:rsid w:val="009714E2"/>
    <w:rsid w:val="00971569"/>
    <w:rsid w:val="009716D8"/>
    <w:rsid w:val="0097179B"/>
    <w:rsid w:val="0097199A"/>
    <w:rsid w:val="009719F9"/>
    <w:rsid w:val="00971A1D"/>
    <w:rsid w:val="00971DCC"/>
    <w:rsid w:val="00971FA8"/>
    <w:rsid w:val="00971FEB"/>
    <w:rsid w:val="00972228"/>
    <w:rsid w:val="0097229D"/>
    <w:rsid w:val="00972419"/>
    <w:rsid w:val="00972530"/>
    <w:rsid w:val="009725F0"/>
    <w:rsid w:val="009728AC"/>
    <w:rsid w:val="00972B03"/>
    <w:rsid w:val="00972B47"/>
    <w:rsid w:val="00972B5B"/>
    <w:rsid w:val="00972CE6"/>
    <w:rsid w:val="00972DC4"/>
    <w:rsid w:val="00972F32"/>
    <w:rsid w:val="00972F63"/>
    <w:rsid w:val="00973206"/>
    <w:rsid w:val="00973224"/>
    <w:rsid w:val="00973242"/>
    <w:rsid w:val="0097327A"/>
    <w:rsid w:val="00973337"/>
    <w:rsid w:val="00973423"/>
    <w:rsid w:val="009737A7"/>
    <w:rsid w:val="00973CA8"/>
    <w:rsid w:val="00973F30"/>
    <w:rsid w:val="00973FE5"/>
    <w:rsid w:val="00974070"/>
    <w:rsid w:val="0097429F"/>
    <w:rsid w:val="0097430A"/>
    <w:rsid w:val="00974310"/>
    <w:rsid w:val="0097437A"/>
    <w:rsid w:val="009743C7"/>
    <w:rsid w:val="0097452F"/>
    <w:rsid w:val="00974542"/>
    <w:rsid w:val="009745E2"/>
    <w:rsid w:val="009747C6"/>
    <w:rsid w:val="009747F5"/>
    <w:rsid w:val="00974898"/>
    <w:rsid w:val="009748E4"/>
    <w:rsid w:val="00974926"/>
    <w:rsid w:val="00974943"/>
    <w:rsid w:val="00974949"/>
    <w:rsid w:val="0097499D"/>
    <w:rsid w:val="00974ADA"/>
    <w:rsid w:val="00974C42"/>
    <w:rsid w:val="00974C62"/>
    <w:rsid w:val="00974CD4"/>
    <w:rsid w:val="00974EC5"/>
    <w:rsid w:val="00974EED"/>
    <w:rsid w:val="00975026"/>
    <w:rsid w:val="00975032"/>
    <w:rsid w:val="00975280"/>
    <w:rsid w:val="0097545E"/>
    <w:rsid w:val="009756C5"/>
    <w:rsid w:val="0097587A"/>
    <w:rsid w:val="00975925"/>
    <w:rsid w:val="00975AF1"/>
    <w:rsid w:val="00975B19"/>
    <w:rsid w:val="00975C22"/>
    <w:rsid w:val="00975CA4"/>
    <w:rsid w:val="00975FBF"/>
    <w:rsid w:val="00975FFB"/>
    <w:rsid w:val="009763A7"/>
    <w:rsid w:val="009763FF"/>
    <w:rsid w:val="009764EB"/>
    <w:rsid w:val="00976548"/>
    <w:rsid w:val="0097665A"/>
    <w:rsid w:val="009768B4"/>
    <w:rsid w:val="00976973"/>
    <w:rsid w:val="009769F9"/>
    <w:rsid w:val="00976B51"/>
    <w:rsid w:val="00976D27"/>
    <w:rsid w:val="009770B0"/>
    <w:rsid w:val="0097727C"/>
    <w:rsid w:val="0097730F"/>
    <w:rsid w:val="00977432"/>
    <w:rsid w:val="009775BA"/>
    <w:rsid w:val="009776CC"/>
    <w:rsid w:val="00977983"/>
    <w:rsid w:val="009779A8"/>
    <w:rsid w:val="009779C7"/>
    <w:rsid w:val="00977C21"/>
    <w:rsid w:val="00977E78"/>
    <w:rsid w:val="009800BC"/>
    <w:rsid w:val="009800F9"/>
    <w:rsid w:val="0098044C"/>
    <w:rsid w:val="00980586"/>
    <w:rsid w:val="0098059F"/>
    <w:rsid w:val="0098064A"/>
    <w:rsid w:val="009806A1"/>
    <w:rsid w:val="00980748"/>
    <w:rsid w:val="009808AF"/>
    <w:rsid w:val="009808C0"/>
    <w:rsid w:val="00980A19"/>
    <w:rsid w:val="00980A74"/>
    <w:rsid w:val="00980C38"/>
    <w:rsid w:val="00980C7D"/>
    <w:rsid w:val="00980F7F"/>
    <w:rsid w:val="0098100C"/>
    <w:rsid w:val="009811C6"/>
    <w:rsid w:val="009811C9"/>
    <w:rsid w:val="0098133F"/>
    <w:rsid w:val="009813C4"/>
    <w:rsid w:val="009814A4"/>
    <w:rsid w:val="009814A7"/>
    <w:rsid w:val="009814DA"/>
    <w:rsid w:val="0098159D"/>
    <w:rsid w:val="00981848"/>
    <w:rsid w:val="0098195B"/>
    <w:rsid w:val="00981AE8"/>
    <w:rsid w:val="00981B27"/>
    <w:rsid w:val="00981C1F"/>
    <w:rsid w:val="00981D48"/>
    <w:rsid w:val="00981E62"/>
    <w:rsid w:val="00981EFB"/>
    <w:rsid w:val="0098221C"/>
    <w:rsid w:val="00982269"/>
    <w:rsid w:val="009825A9"/>
    <w:rsid w:val="00982620"/>
    <w:rsid w:val="009827C7"/>
    <w:rsid w:val="009827D7"/>
    <w:rsid w:val="009828C6"/>
    <w:rsid w:val="00982915"/>
    <w:rsid w:val="00982A73"/>
    <w:rsid w:val="00982A7D"/>
    <w:rsid w:val="00982D0F"/>
    <w:rsid w:val="00982D10"/>
    <w:rsid w:val="00982F96"/>
    <w:rsid w:val="00982FA0"/>
    <w:rsid w:val="009830E6"/>
    <w:rsid w:val="009830EC"/>
    <w:rsid w:val="009833CA"/>
    <w:rsid w:val="00983551"/>
    <w:rsid w:val="009835BB"/>
    <w:rsid w:val="00983626"/>
    <w:rsid w:val="00983759"/>
    <w:rsid w:val="009837DE"/>
    <w:rsid w:val="00983951"/>
    <w:rsid w:val="00983AF1"/>
    <w:rsid w:val="00983EA1"/>
    <w:rsid w:val="00983F04"/>
    <w:rsid w:val="00983F66"/>
    <w:rsid w:val="00984058"/>
    <w:rsid w:val="009840DD"/>
    <w:rsid w:val="009840EB"/>
    <w:rsid w:val="00984238"/>
    <w:rsid w:val="00984548"/>
    <w:rsid w:val="009845B9"/>
    <w:rsid w:val="00984679"/>
    <w:rsid w:val="009847C7"/>
    <w:rsid w:val="009847DF"/>
    <w:rsid w:val="009847F1"/>
    <w:rsid w:val="0098485C"/>
    <w:rsid w:val="009848D1"/>
    <w:rsid w:val="009849F9"/>
    <w:rsid w:val="00984A3E"/>
    <w:rsid w:val="00984B1A"/>
    <w:rsid w:val="00984B74"/>
    <w:rsid w:val="00984CDC"/>
    <w:rsid w:val="00984D3A"/>
    <w:rsid w:val="00984ED6"/>
    <w:rsid w:val="00984F3D"/>
    <w:rsid w:val="00984F53"/>
    <w:rsid w:val="00984F62"/>
    <w:rsid w:val="00985054"/>
    <w:rsid w:val="00985154"/>
    <w:rsid w:val="00985228"/>
    <w:rsid w:val="009853C3"/>
    <w:rsid w:val="009854FC"/>
    <w:rsid w:val="009855B9"/>
    <w:rsid w:val="00985640"/>
    <w:rsid w:val="00985840"/>
    <w:rsid w:val="00985945"/>
    <w:rsid w:val="00985A57"/>
    <w:rsid w:val="00985AEE"/>
    <w:rsid w:val="00985BCA"/>
    <w:rsid w:val="00985BCC"/>
    <w:rsid w:val="00985FF8"/>
    <w:rsid w:val="00986336"/>
    <w:rsid w:val="0098638E"/>
    <w:rsid w:val="0098649D"/>
    <w:rsid w:val="00986528"/>
    <w:rsid w:val="009865AB"/>
    <w:rsid w:val="00986649"/>
    <w:rsid w:val="009867EA"/>
    <w:rsid w:val="009867F2"/>
    <w:rsid w:val="00986907"/>
    <w:rsid w:val="00986AB7"/>
    <w:rsid w:val="00986C5D"/>
    <w:rsid w:val="00986CAA"/>
    <w:rsid w:val="00986DDF"/>
    <w:rsid w:val="00986E48"/>
    <w:rsid w:val="0098709D"/>
    <w:rsid w:val="009870F4"/>
    <w:rsid w:val="0098719A"/>
    <w:rsid w:val="009871D6"/>
    <w:rsid w:val="009872FB"/>
    <w:rsid w:val="00987503"/>
    <w:rsid w:val="00987577"/>
    <w:rsid w:val="009875DE"/>
    <w:rsid w:val="00987954"/>
    <w:rsid w:val="009879C8"/>
    <w:rsid w:val="00987B2D"/>
    <w:rsid w:val="00987B7E"/>
    <w:rsid w:val="00987CD7"/>
    <w:rsid w:val="00987FFA"/>
    <w:rsid w:val="009901A4"/>
    <w:rsid w:val="0099020B"/>
    <w:rsid w:val="009902F2"/>
    <w:rsid w:val="00990438"/>
    <w:rsid w:val="0099047C"/>
    <w:rsid w:val="009905B5"/>
    <w:rsid w:val="00990AA3"/>
    <w:rsid w:val="00990B62"/>
    <w:rsid w:val="00990B84"/>
    <w:rsid w:val="00990D8F"/>
    <w:rsid w:val="00990DF4"/>
    <w:rsid w:val="0099104A"/>
    <w:rsid w:val="009911D2"/>
    <w:rsid w:val="0099122A"/>
    <w:rsid w:val="009914C8"/>
    <w:rsid w:val="009916EE"/>
    <w:rsid w:val="009917E3"/>
    <w:rsid w:val="00991905"/>
    <w:rsid w:val="00991B3F"/>
    <w:rsid w:val="00991CB2"/>
    <w:rsid w:val="00991DE0"/>
    <w:rsid w:val="00991F56"/>
    <w:rsid w:val="00991FE7"/>
    <w:rsid w:val="00992211"/>
    <w:rsid w:val="00992278"/>
    <w:rsid w:val="009925A9"/>
    <w:rsid w:val="009926BE"/>
    <w:rsid w:val="0099275A"/>
    <w:rsid w:val="00992BF1"/>
    <w:rsid w:val="00992C74"/>
    <w:rsid w:val="00992D99"/>
    <w:rsid w:val="00992DC0"/>
    <w:rsid w:val="00992FF4"/>
    <w:rsid w:val="009930CF"/>
    <w:rsid w:val="00993112"/>
    <w:rsid w:val="0099330E"/>
    <w:rsid w:val="0099367D"/>
    <w:rsid w:val="009936B9"/>
    <w:rsid w:val="009936D8"/>
    <w:rsid w:val="009936EB"/>
    <w:rsid w:val="00993723"/>
    <w:rsid w:val="009937A1"/>
    <w:rsid w:val="009937BA"/>
    <w:rsid w:val="0099382E"/>
    <w:rsid w:val="00993A0A"/>
    <w:rsid w:val="00993A28"/>
    <w:rsid w:val="00993BA9"/>
    <w:rsid w:val="00993D6F"/>
    <w:rsid w:val="00993E1A"/>
    <w:rsid w:val="00994341"/>
    <w:rsid w:val="0099437A"/>
    <w:rsid w:val="009943BC"/>
    <w:rsid w:val="009943FD"/>
    <w:rsid w:val="00994501"/>
    <w:rsid w:val="009945ED"/>
    <w:rsid w:val="009946AD"/>
    <w:rsid w:val="00994877"/>
    <w:rsid w:val="0099494D"/>
    <w:rsid w:val="009949AD"/>
    <w:rsid w:val="009949B9"/>
    <w:rsid w:val="00994A48"/>
    <w:rsid w:val="00994AA5"/>
    <w:rsid w:val="00994BD4"/>
    <w:rsid w:val="00994C82"/>
    <w:rsid w:val="00994CC6"/>
    <w:rsid w:val="00994DEE"/>
    <w:rsid w:val="00994E9C"/>
    <w:rsid w:val="00994EF5"/>
    <w:rsid w:val="00995033"/>
    <w:rsid w:val="009953F1"/>
    <w:rsid w:val="0099551F"/>
    <w:rsid w:val="00995567"/>
    <w:rsid w:val="009955A7"/>
    <w:rsid w:val="0099563E"/>
    <w:rsid w:val="0099575C"/>
    <w:rsid w:val="009957C5"/>
    <w:rsid w:val="009959B6"/>
    <w:rsid w:val="00995BDB"/>
    <w:rsid w:val="00995C6B"/>
    <w:rsid w:val="00995D76"/>
    <w:rsid w:val="00995EE7"/>
    <w:rsid w:val="00995FC2"/>
    <w:rsid w:val="009961D9"/>
    <w:rsid w:val="009961F3"/>
    <w:rsid w:val="009962F4"/>
    <w:rsid w:val="00996369"/>
    <w:rsid w:val="0099644D"/>
    <w:rsid w:val="009964A1"/>
    <w:rsid w:val="009965DA"/>
    <w:rsid w:val="009965F4"/>
    <w:rsid w:val="00996666"/>
    <w:rsid w:val="0099674B"/>
    <w:rsid w:val="0099684F"/>
    <w:rsid w:val="009968AC"/>
    <w:rsid w:val="009969ED"/>
    <w:rsid w:val="00996AAE"/>
    <w:rsid w:val="00996CAC"/>
    <w:rsid w:val="00996FAD"/>
    <w:rsid w:val="00996FBB"/>
    <w:rsid w:val="00996FF3"/>
    <w:rsid w:val="009970D2"/>
    <w:rsid w:val="009974FB"/>
    <w:rsid w:val="00997520"/>
    <w:rsid w:val="0099771B"/>
    <w:rsid w:val="00997763"/>
    <w:rsid w:val="00997868"/>
    <w:rsid w:val="009978B0"/>
    <w:rsid w:val="00997908"/>
    <w:rsid w:val="009979E6"/>
    <w:rsid w:val="00997A28"/>
    <w:rsid w:val="00997AFA"/>
    <w:rsid w:val="00997C17"/>
    <w:rsid w:val="00997D87"/>
    <w:rsid w:val="00997EA7"/>
    <w:rsid w:val="009A001B"/>
    <w:rsid w:val="009A02B2"/>
    <w:rsid w:val="009A037B"/>
    <w:rsid w:val="009A0679"/>
    <w:rsid w:val="009A06AE"/>
    <w:rsid w:val="009A06CE"/>
    <w:rsid w:val="009A0730"/>
    <w:rsid w:val="009A0867"/>
    <w:rsid w:val="009A088D"/>
    <w:rsid w:val="009A08A4"/>
    <w:rsid w:val="009A092A"/>
    <w:rsid w:val="009A09CF"/>
    <w:rsid w:val="009A0AB0"/>
    <w:rsid w:val="009A0B63"/>
    <w:rsid w:val="009A0CC5"/>
    <w:rsid w:val="009A107E"/>
    <w:rsid w:val="009A1149"/>
    <w:rsid w:val="009A12F3"/>
    <w:rsid w:val="009A13AC"/>
    <w:rsid w:val="009A1484"/>
    <w:rsid w:val="009A1590"/>
    <w:rsid w:val="009A15D5"/>
    <w:rsid w:val="009A1836"/>
    <w:rsid w:val="009A19C8"/>
    <w:rsid w:val="009A19F0"/>
    <w:rsid w:val="009A1DCD"/>
    <w:rsid w:val="009A1F55"/>
    <w:rsid w:val="009A20B5"/>
    <w:rsid w:val="009A20F7"/>
    <w:rsid w:val="009A2326"/>
    <w:rsid w:val="009A2355"/>
    <w:rsid w:val="009A2399"/>
    <w:rsid w:val="009A2494"/>
    <w:rsid w:val="009A24FC"/>
    <w:rsid w:val="009A2538"/>
    <w:rsid w:val="009A266D"/>
    <w:rsid w:val="009A267E"/>
    <w:rsid w:val="009A27AD"/>
    <w:rsid w:val="009A2884"/>
    <w:rsid w:val="009A2D9C"/>
    <w:rsid w:val="009A2E15"/>
    <w:rsid w:val="009A2E8B"/>
    <w:rsid w:val="009A2FC4"/>
    <w:rsid w:val="009A3256"/>
    <w:rsid w:val="009A3376"/>
    <w:rsid w:val="009A358E"/>
    <w:rsid w:val="009A3614"/>
    <w:rsid w:val="009A363F"/>
    <w:rsid w:val="009A371D"/>
    <w:rsid w:val="009A379A"/>
    <w:rsid w:val="009A380E"/>
    <w:rsid w:val="009A38F3"/>
    <w:rsid w:val="009A3A22"/>
    <w:rsid w:val="009A3A6B"/>
    <w:rsid w:val="009A3A78"/>
    <w:rsid w:val="009A3A94"/>
    <w:rsid w:val="009A3ADF"/>
    <w:rsid w:val="009A3B3A"/>
    <w:rsid w:val="009A3B5B"/>
    <w:rsid w:val="009A3DC7"/>
    <w:rsid w:val="009A3EEE"/>
    <w:rsid w:val="009A3F8F"/>
    <w:rsid w:val="009A3F90"/>
    <w:rsid w:val="009A44D4"/>
    <w:rsid w:val="009A4554"/>
    <w:rsid w:val="009A456B"/>
    <w:rsid w:val="009A4591"/>
    <w:rsid w:val="009A4608"/>
    <w:rsid w:val="009A4626"/>
    <w:rsid w:val="009A47DD"/>
    <w:rsid w:val="009A486E"/>
    <w:rsid w:val="009A48B8"/>
    <w:rsid w:val="009A48E8"/>
    <w:rsid w:val="009A4968"/>
    <w:rsid w:val="009A49E8"/>
    <w:rsid w:val="009A4E89"/>
    <w:rsid w:val="009A4F0C"/>
    <w:rsid w:val="009A51A5"/>
    <w:rsid w:val="009A5216"/>
    <w:rsid w:val="009A54C2"/>
    <w:rsid w:val="009A560D"/>
    <w:rsid w:val="009A56E8"/>
    <w:rsid w:val="009A5939"/>
    <w:rsid w:val="009A59C1"/>
    <w:rsid w:val="009A5A5D"/>
    <w:rsid w:val="009A5A88"/>
    <w:rsid w:val="009A5CD2"/>
    <w:rsid w:val="009A5D39"/>
    <w:rsid w:val="009A5E60"/>
    <w:rsid w:val="009A5E71"/>
    <w:rsid w:val="009A5FD9"/>
    <w:rsid w:val="009A6037"/>
    <w:rsid w:val="009A613B"/>
    <w:rsid w:val="009A617C"/>
    <w:rsid w:val="009A62CD"/>
    <w:rsid w:val="009A6306"/>
    <w:rsid w:val="009A633F"/>
    <w:rsid w:val="009A634D"/>
    <w:rsid w:val="009A649F"/>
    <w:rsid w:val="009A659E"/>
    <w:rsid w:val="009A66FE"/>
    <w:rsid w:val="009A6763"/>
    <w:rsid w:val="009A6905"/>
    <w:rsid w:val="009A6917"/>
    <w:rsid w:val="009A6D4A"/>
    <w:rsid w:val="009A6E09"/>
    <w:rsid w:val="009A6E6E"/>
    <w:rsid w:val="009A6EBF"/>
    <w:rsid w:val="009A7041"/>
    <w:rsid w:val="009A7065"/>
    <w:rsid w:val="009A719D"/>
    <w:rsid w:val="009A7366"/>
    <w:rsid w:val="009A74A7"/>
    <w:rsid w:val="009A7679"/>
    <w:rsid w:val="009A76EB"/>
    <w:rsid w:val="009A776C"/>
    <w:rsid w:val="009A783E"/>
    <w:rsid w:val="009A78F8"/>
    <w:rsid w:val="009A7AD2"/>
    <w:rsid w:val="009A7AE4"/>
    <w:rsid w:val="009A7B0D"/>
    <w:rsid w:val="009A7B74"/>
    <w:rsid w:val="009A7C13"/>
    <w:rsid w:val="009A7C1F"/>
    <w:rsid w:val="009A7E09"/>
    <w:rsid w:val="009A7F04"/>
    <w:rsid w:val="009A7F10"/>
    <w:rsid w:val="009B0118"/>
    <w:rsid w:val="009B0259"/>
    <w:rsid w:val="009B068E"/>
    <w:rsid w:val="009B0868"/>
    <w:rsid w:val="009B0886"/>
    <w:rsid w:val="009B09A6"/>
    <w:rsid w:val="009B09F0"/>
    <w:rsid w:val="009B0B1B"/>
    <w:rsid w:val="009B0B1C"/>
    <w:rsid w:val="009B0C26"/>
    <w:rsid w:val="009B108C"/>
    <w:rsid w:val="009B1252"/>
    <w:rsid w:val="009B17AC"/>
    <w:rsid w:val="009B17C5"/>
    <w:rsid w:val="009B18BF"/>
    <w:rsid w:val="009B19C8"/>
    <w:rsid w:val="009B1A56"/>
    <w:rsid w:val="009B1AEA"/>
    <w:rsid w:val="009B1BAE"/>
    <w:rsid w:val="009B1BB1"/>
    <w:rsid w:val="009B1DA4"/>
    <w:rsid w:val="009B1E5B"/>
    <w:rsid w:val="009B1E8C"/>
    <w:rsid w:val="009B1F02"/>
    <w:rsid w:val="009B1F50"/>
    <w:rsid w:val="009B1FB4"/>
    <w:rsid w:val="009B2327"/>
    <w:rsid w:val="009B23C7"/>
    <w:rsid w:val="009B2480"/>
    <w:rsid w:val="009B24A2"/>
    <w:rsid w:val="009B25A7"/>
    <w:rsid w:val="009B2657"/>
    <w:rsid w:val="009B2743"/>
    <w:rsid w:val="009B29C0"/>
    <w:rsid w:val="009B2AB3"/>
    <w:rsid w:val="009B2BEB"/>
    <w:rsid w:val="009B2E9B"/>
    <w:rsid w:val="009B2EFE"/>
    <w:rsid w:val="009B2FB3"/>
    <w:rsid w:val="009B3091"/>
    <w:rsid w:val="009B3207"/>
    <w:rsid w:val="009B330A"/>
    <w:rsid w:val="009B331B"/>
    <w:rsid w:val="009B3477"/>
    <w:rsid w:val="009B3507"/>
    <w:rsid w:val="009B35E1"/>
    <w:rsid w:val="009B3785"/>
    <w:rsid w:val="009B37F1"/>
    <w:rsid w:val="009B38B0"/>
    <w:rsid w:val="009B38C8"/>
    <w:rsid w:val="009B38E1"/>
    <w:rsid w:val="009B3A07"/>
    <w:rsid w:val="009B3A2A"/>
    <w:rsid w:val="009B3DAA"/>
    <w:rsid w:val="009B3FD5"/>
    <w:rsid w:val="009B412F"/>
    <w:rsid w:val="009B4175"/>
    <w:rsid w:val="009B41B8"/>
    <w:rsid w:val="009B443A"/>
    <w:rsid w:val="009B44EB"/>
    <w:rsid w:val="009B4ADC"/>
    <w:rsid w:val="009B4CB4"/>
    <w:rsid w:val="009B4D28"/>
    <w:rsid w:val="009B4DF7"/>
    <w:rsid w:val="009B4F52"/>
    <w:rsid w:val="009B50B4"/>
    <w:rsid w:val="009B513A"/>
    <w:rsid w:val="009B52AB"/>
    <w:rsid w:val="009B538A"/>
    <w:rsid w:val="009B546B"/>
    <w:rsid w:val="009B54A7"/>
    <w:rsid w:val="009B569E"/>
    <w:rsid w:val="009B5755"/>
    <w:rsid w:val="009B5856"/>
    <w:rsid w:val="009B5935"/>
    <w:rsid w:val="009B596F"/>
    <w:rsid w:val="009B59AF"/>
    <w:rsid w:val="009B5AC8"/>
    <w:rsid w:val="009B5D5E"/>
    <w:rsid w:val="009B5E3B"/>
    <w:rsid w:val="009B5E76"/>
    <w:rsid w:val="009B641C"/>
    <w:rsid w:val="009B6438"/>
    <w:rsid w:val="009B652B"/>
    <w:rsid w:val="009B6622"/>
    <w:rsid w:val="009B6626"/>
    <w:rsid w:val="009B6726"/>
    <w:rsid w:val="009B6896"/>
    <w:rsid w:val="009B6B9C"/>
    <w:rsid w:val="009B6C6C"/>
    <w:rsid w:val="009B6CEC"/>
    <w:rsid w:val="009B6D2A"/>
    <w:rsid w:val="009B6E2E"/>
    <w:rsid w:val="009B70A1"/>
    <w:rsid w:val="009B70CC"/>
    <w:rsid w:val="009B70D6"/>
    <w:rsid w:val="009B70DF"/>
    <w:rsid w:val="009B717C"/>
    <w:rsid w:val="009B733B"/>
    <w:rsid w:val="009B7499"/>
    <w:rsid w:val="009B7774"/>
    <w:rsid w:val="009B7795"/>
    <w:rsid w:val="009B786A"/>
    <w:rsid w:val="009B7B5D"/>
    <w:rsid w:val="009B7BF2"/>
    <w:rsid w:val="009B7D78"/>
    <w:rsid w:val="009B7EFA"/>
    <w:rsid w:val="009C005B"/>
    <w:rsid w:val="009C006C"/>
    <w:rsid w:val="009C00C9"/>
    <w:rsid w:val="009C02E6"/>
    <w:rsid w:val="009C0591"/>
    <w:rsid w:val="009C0609"/>
    <w:rsid w:val="009C063C"/>
    <w:rsid w:val="009C0956"/>
    <w:rsid w:val="009C0AA2"/>
    <w:rsid w:val="009C0ACD"/>
    <w:rsid w:val="009C0BE7"/>
    <w:rsid w:val="009C0F69"/>
    <w:rsid w:val="009C1372"/>
    <w:rsid w:val="009C13C3"/>
    <w:rsid w:val="009C13F0"/>
    <w:rsid w:val="009C14CC"/>
    <w:rsid w:val="009C1572"/>
    <w:rsid w:val="009C15E7"/>
    <w:rsid w:val="009C1748"/>
    <w:rsid w:val="009C1754"/>
    <w:rsid w:val="009C17D8"/>
    <w:rsid w:val="009C1A22"/>
    <w:rsid w:val="009C1BA9"/>
    <w:rsid w:val="009C1BCD"/>
    <w:rsid w:val="009C1CAD"/>
    <w:rsid w:val="009C1EE1"/>
    <w:rsid w:val="009C1EF7"/>
    <w:rsid w:val="009C1F4B"/>
    <w:rsid w:val="009C1F80"/>
    <w:rsid w:val="009C1FE3"/>
    <w:rsid w:val="009C200D"/>
    <w:rsid w:val="009C20BF"/>
    <w:rsid w:val="009C2182"/>
    <w:rsid w:val="009C21E4"/>
    <w:rsid w:val="009C228E"/>
    <w:rsid w:val="009C22F3"/>
    <w:rsid w:val="009C2437"/>
    <w:rsid w:val="009C258D"/>
    <w:rsid w:val="009C293D"/>
    <w:rsid w:val="009C2BB4"/>
    <w:rsid w:val="009C2D90"/>
    <w:rsid w:val="009C3055"/>
    <w:rsid w:val="009C3199"/>
    <w:rsid w:val="009C3577"/>
    <w:rsid w:val="009C35C4"/>
    <w:rsid w:val="009C36B1"/>
    <w:rsid w:val="009C36B9"/>
    <w:rsid w:val="009C36ED"/>
    <w:rsid w:val="009C3A18"/>
    <w:rsid w:val="009C3C8C"/>
    <w:rsid w:val="009C3E02"/>
    <w:rsid w:val="009C3E57"/>
    <w:rsid w:val="009C3FE8"/>
    <w:rsid w:val="009C4003"/>
    <w:rsid w:val="009C4038"/>
    <w:rsid w:val="009C40A9"/>
    <w:rsid w:val="009C41E3"/>
    <w:rsid w:val="009C4376"/>
    <w:rsid w:val="009C438F"/>
    <w:rsid w:val="009C4750"/>
    <w:rsid w:val="009C47EF"/>
    <w:rsid w:val="009C48F4"/>
    <w:rsid w:val="009C4978"/>
    <w:rsid w:val="009C4ABD"/>
    <w:rsid w:val="009C4B17"/>
    <w:rsid w:val="009C4B37"/>
    <w:rsid w:val="009C4D7B"/>
    <w:rsid w:val="009C50DA"/>
    <w:rsid w:val="009C514E"/>
    <w:rsid w:val="009C52FD"/>
    <w:rsid w:val="009C5427"/>
    <w:rsid w:val="009C5437"/>
    <w:rsid w:val="009C56E3"/>
    <w:rsid w:val="009C56E8"/>
    <w:rsid w:val="009C5727"/>
    <w:rsid w:val="009C581A"/>
    <w:rsid w:val="009C5842"/>
    <w:rsid w:val="009C58DD"/>
    <w:rsid w:val="009C5A1F"/>
    <w:rsid w:val="009C5A34"/>
    <w:rsid w:val="009C5AC7"/>
    <w:rsid w:val="009C5C1F"/>
    <w:rsid w:val="009C5CB3"/>
    <w:rsid w:val="009C6103"/>
    <w:rsid w:val="009C61AA"/>
    <w:rsid w:val="009C6265"/>
    <w:rsid w:val="009C628D"/>
    <w:rsid w:val="009C63A2"/>
    <w:rsid w:val="009C64C7"/>
    <w:rsid w:val="009C64F5"/>
    <w:rsid w:val="009C65CF"/>
    <w:rsid w:val="009C66EB"/>
    <w:rsid w:val="009C6718"/>
    <w:rsid w:val="009C686C"/>
    <w:rsid w:val="009C69EE"/>
    <w:rsid w:val="009C6A13"/>
    <w:rsid w:val="009C6AB1"/>
    <w:rsid w:val="009C6C57"/>
    <w:rsid w:val="009C6CDB"/>
    <w:rsid w:val="009C6E55"/>
    <w:rsid w:val="009C738E"/>
    <w:rsid w:val="009C74AB"/>
    <w:rsid w:val="009C7514"/>
    <w:rsid w:val="009C7541"/>
    <w:rsid w:val="009C760E"/>
    <w:rsid w:val="009C79B8"/>
    <w:rsid w:val="009C79CC"/>
    <w:rsid w:val="009C7AAA"/>
    <w:rsid w:val="009C7C33"/>
    <w:rsid w:val="009C7F9C"/>
    <w:rsid w:val="009D005A"/>
    <w:rsid w:val="009D0228"/>
    <w:rsid w:val="009D024F"/>
    <w:rsid w:val="009D048A"/>
    <w:rsid w:val="009D04DD"/>
    <w:rsid w:val="009D057C"/>
    <w:rsid w:val="009D05A9"/>
    <w:rsid w:val="009D0607"/>
    <w:rsid w:val="009D0782"/>
    <w:rsid w:val="009D07AF"/>
    <w:rsid w:val="009D0ADC"/>
    <w:rsid w:val="009D0BA2"/>
    <w:rsid w:val="009D0C42"/>
    <w:rsid w:val="009D0F93"/>
    <w:rsid w:val="009D104B"/>
    <w:rsid w:val="009D10EC"/>
    <w:rsid w:val="009D11EE"/>
    <w:rsid w:val="009D1230"/>
    <w:rsid w:val="009D1262"/>
    <w:rsid w:val="009D1290"/>
    <w:rsid w:val="009D12A3"/>
    <w:rsid w:val="009D139A"/>
    <w:rsid w:val="009D149B"/>
    <w:rsid w:val="009D160A"/>
    <w:rsid w:val="009D183A"/>
    <w:rsid w:val="009D1845"/>
    <w:rsid w:val="009D185F"/>
    <w:rsid w:val="009D1983"/>
    <w:rsid w:val="009D1A56"/>
    <w:rsid w:val="009D1B89"/>
    <w:rsid w:val="009D1BD3"/>
    <w:rsid w:val="009D1BDB"/>
    <w:rsid w:val="009D1D52"/>
    <w:rsid w:val="009D2082"/>
    <w:rsid w:val="009D2404"/>
    <w:rsid w:val="009D260F"/>
    <w:rsid w:val="009D26B2"/>
    <w:rsid w:val="009D26C7"/>
    <w:rsid w:val="009D277D"/>
    <w:rsid w:val="009D2895"/>
    <w:rsid w:val="009D2B08"/>
    <w:rsid w:val="009D2B86"/>
    <w:rsid w:val="009D2CBB"/>
    <w:rsid w:val="009D2E64"/>
    <w:rsid w:val="009D2EE0"/>
    <w:rsid w:val="009D30E6"/>
    <w:rsid w:val="009D30FD"/>
    <w:rsid w:val="009D3286"/>
    <w:rsid w:val="009D3347"/>
    <w:rsid w:val="009D3365"/>
    <w:rsid w:val="009D3621"/>
    <w:rsid w:val="009D3629"/>
    <w:rsid w:val="009D363B"/>
    <w:rsid w:val="009D37A8"/>
    <w:rsid w:val="009D37E8"/>
    <w:rsid w:val="009D38D4"/>
    <w:rsid w:val="009D3940"/>
    <w:rsid w:val="009D3BB1"/>
    <w:rsid w:val="009D3BEC"/>
    <w:rsid w:val="009D3C48"/>
    <w:rsid w:val="009D3DE4"/>
    <w:rsid w:val="009D3FFB"/>
    <w:rsid w:val="009D41F7"/>
    <w:rsid w:val="009D4209"/>
    <w:rsid w:val="009D422E"/>
    <w:rsid w:val="009D42A3"/>
    <w:rsid w:val="009D43F3"/>
    <w:rsid w:val="009D43FF"/>
    <w:rsid w:val="009D440A"/>
    <w:rsid w:val="009D45B9"/>
    <w:rsid w:val="009D4630"/>
    <w:rsid w:val="009D4A3B"/>
    <w:rsid w:val="009D4E08"/>
    <w:rsid w:val="009D5052"/>
    <w:rsid w:val="009D50D3"/>
    <w:rsid w:val="009D513F"/>
    <w:rsid w:val="009D553E"/>
    <w:rsid w:val="009D55A7"/>
    <w:rsid w:val="009D5670"/>
    <w:rsid w:val="009D5A51"/>
    <w:rsid w:val="009D5A8D"/>
    <w:rsid w:val="009D5AC2"/>
    <w:rsid w:val="009D5C2D"/>
    <w:rsid w:val="009D5D8A"/>
    <w:rsid w:val="009D5DE0"/>
    <w:rsid w:val="009D5F67"/>
    <w:rsid w:val="009D600C"/>
    <w:rsid w:val="009D6094"/>
    <w:rsid w:val="009D60B8"/>
    <w:rsid w:val="009D616E"/>
    <w:rsid w:val="009D633C"/>
    <w:rsid w:val="009D6825"/>
    <w:rsid w:val="009D6A19"/>
    <w:rsid w:val="009D6A2C"/>
    <w:rsid w:val="009D6C3E"/>
    <w:rsid w:val="009D6D2E"/>
    <w:rsid w:val="009D6E77"/>
    <w:rsid w:val="009D6F0C"/>
    <w:rsid w:val="009D7066"/>
    <w:rsid w:val="009D7216"/>
    <w:rsid w:val="009D73A1"/>
    <w:rsid w:val="009D74FA"/>
    <w:rsid w:val="009D788E"/>
    <w:rsid w:val="009D7AB5"/>
    <w:rsid w:val="009D7B04"/>
    <w:rsid w:val="009D7B9B"/>
    <w:rsid w:val="009D7BF1"/>
    <w:rsid w:val="009D7CC6"/>
    <w:rsid w:val="009D7ED3"/>
    <w:rsid w:val="009D7EE9"/>
    <w:rsid w:val="009E0225"/>
    <w:rsid w:val="009E0275"/>
    <w:rsid w:val="009E03A0"/>
    <w:rsid w:val="009E05C1"/>
    <w:rsid w:val="009E074D"/>
    <w:rsid w:val="009E0782"/>
    <w:rsid w:val="009E07D5"/>
    <w:rsid w:val="009E0A7E"/>
    <w:rsid w:val="009E0B17"/>
    <w:rsid w:val="009E0C94"/>
    <w:rsid w:val="009E0CA9"/>
    <w:rsid w:val="009E0D45"/>
    <w:rsid w:val="009E0E0E"/>
    <w:rsid w:val="009E0E61"/>
    <w:rsid w:val="009E0FCE"/>
    <w:rsid w:val="009E123E"/>
    <w:rsid w:val="009E136D"/>
    <w:rsid w:val="009E140F"/>
    <w:rsid w:val="009E170D"/>
    <w:rsid w:val="009E1738"/>
    <w:rsid w:val="009E179D"/>
    <w:rsid w:val="009E1832"/>
    <w:rsid w:val="009E1983"/>
    <w:rsid w:val="009E1ADA"/>
    <w:rsid w:val="009E1B22"/>
    <w:rsid w:val="009E1B64"/>
    <w:rsid w:val="009E1CCC"/>
    <w:rsid w:val="009E1D5E"/>
    <w:rsid w:val="009E1DA0"/>
    <w:rsid w:val="009E1DE1"/>
    <w:rsid w:val="009E1E88"/>
    <w:rsid w:val="009E1FFD"/>
    <w:rsid w:val="009E20BA"/>
    <w:rsid w:val="009E2338"/>
    <w:rsid w:val="009E24F9"/>
    <w:rsid w:val="009E24FC"/>
    <w:rsid w:val="009E265E"/>
    <w:rsid w:val="009E2A08"/>
    <w:rsid w:val="009E2C09"/>
    <w:rsid w:val="009E2C5F"/>
    <w:rsid w:val="009E2C69"/>
    <w:rsid w:val="009E2D46"/>
    <w:rsid w:val="009E2E74"/>
    <w:rsid w:val="009E3116"/>
    <w:rsid w:val="009E31BE"/>
    <w:rsid w:val="009E3342"/>
    <w:rsid w:val="009E35D6"/>
    <w:rsid w:val="009E3998"/>
    <w:rsid w:val="009E39A3"/>
    <w:rsid w:val="009E3AA6"/>
    <w:rsid w:val="009E3B28"/>
    <w:rsid w:val="009E3CE8"/>
    <w:rsid w:val="009E3D10"/>
    <w:rsid w:val="009E3DB2"/>
    <w:rsid w:val="009E3ECB"/>
    <w:rsid w:val="009E3FF6"/>
    <w:rsid w:val="009E4151"/>
    <w:rsid w:val="009E41AA"/>
    <w:rsid w:val="009E422D"/>
    <w:rsid w:val="009E43B0"/>
    <w:rsid w:val="009E452B"/>
    <w:rsid w:val="009E45AA"/>
    <w:rsid w:val="009E463B"/>
    <w:rsid w:val="009E46F2"/>
    <w:rsid w:val="009E487F"/>
    <w:rsid w:val="009E4892"/>
    <w:rsid w:val="009E4A9E"/>
    <w:rsid w:val="009E4ADA"/>
    <w:rsid w:val="009E4B6C"/>
    <w:rsid w:val="009E4CED"/>
    <w:rsid w:val="009E4E5F"/>
    <w:rsid w:val="009E4F06"/>
    <w:rsid w:val="009E50E2"/>
    <w:rsid w:val="009E514A"/>
    <w:rsid w:val="009E5165"/>
    <w:rsid w:val="009E51A8"/>
    <w:rsid w:val="009E5413"/>
    <w:rsid w:val="009E54C4"/>
    <w:rsid w:val="009E5819"/>
    <w:rsid w:val="009E5ACB"/>
    <w:rsid w:val="009E5AE5"/>
    <w:rsid w:val="009E5D28"/>
    <w:rsid w:val="009E5D78"/>
    <w:rsid w:val="009E5E26"/>
    <w:rsid w:val="009E5F04"/>
    <w:rsid w:val="009E5F0F"/>
    <w:rsid w:val="009E5F7E"/>
    <w:rsid w:val="009E602C"/>
    <w:rsid w:val="009E611F"/>
    <w:rsid w:val="009E61D8"/>
    <w:rsid w:val="009E6494"/>
    <w:rsid w:val="009E6691"/>
    <w:rsid w:val="009E66CB"/>
    <w:rsid w:val="009E66F1"/>
    <w:rsid w:val="009E672F"/>
    <w:rsid w:val="009E687C"/>
    <w:rsid w:val="009E68C3"/>
    <w:rsid w:val="009E69BE"/>
    <w:rsid w:val="009E6A48"/>
    <w:rsid w:val="009E6A82"/>
    <w:rsid w:val="009E6CCD"/>
    <w:rsid w:val="009E7182"/>
    <w:rsid w:val="009E72CA"/>
    <w:rsid w:val="009E7347"/>
    <w:rsid w:val="009E746A"/>
    <w:rsid w:val="009E7510"/>
    <w:rsid w:val="009E76CE"/>
    <w:rsid w:val="009E7755"/>
    <w:rsid w:val="009E7806"/>
    <w:rsid w:val="009E7814"/>
    <w:rsid w:val="009E7ADF"/>
    <w:rsid w:val="009E7C21"/>
    <w:rsid w:val="009E7C87"/>
    <w:rsid w:val="009E7E5D"/>
    <w:rsid w:val="009E7F5C"/>
    <w:rsid w:val="009F016B"/>
    <w:rsid w:val="009F04EA"/>
    <w:rsid w:val="009F06F8"/>
    <w:rsid w:val="009F0910"/>
    <w:rsid w:val="009F0AE2"/>
    <w:rsid w:val="009F0D05"/>
    <w:rsid w:val="009F0D72"/>
    <w:rsid w:val="009F0D83"/>
    <w:rsid w:val="009F0D8D"/>
    <w:rsid w:val="009F0DDB"/>
    <w:rsid w:val="009F0E77"/>
    <w:rsid w:val="009F0F19"/>
    <w:rsid w:val="009F0F20"/>
    <w:rsid w:val="009F0F83"/>
    <w:rsid w:val="009F0FB3"/>
    <w:rsid w:val="009F1102"/>
    <w:rsid w:val="009F1196"/>
    <w:rsid w:val="009F122F"/>
    <w:rsid w:val="009F167F"/>
    <w:rsid w:val="009F22DE"/>
    <w:rsid w:val="009F2354"/>
    <w:rsid w:val="009F2403"/>
    <w:rsid w:val="009F2479"/>
    <w:rsid w:val="009F2B73"/>
    <w:rsid w:val="009F2D31"/>
    <w:rsid w:val="009F2FA4"/>
    <w:rsid w:val="009F305E"/>
    <w:rsid w:val="009F3074"/>
    <w:rsid w:val="009F3086"/>
    <w:rsid w:val="009F31BD"/>
    <w:rsid w:val="009F3558"/>
    <w:rsid w:val="009F3650"/>
    <w:rsid w:val="009F36A5"/>
    <w:rsid w:val="009F38FC"/>
    <w:rsid w:val="009F397A"/>
    <w:rsid w:val="009F3A52"/>
    <w:rsid w:val="009F3C14"/>
    <w:rsid w:val="009F3C40"/>
    <w:rsid w:val="009F3E21"/>
    <w:rsid w:val="009F3E4C"/>
    <w:rsid w:val="009F3F4F"/>
    <w:rsid w:val="009F4171"/>
    <w:rsid w:val="009F4178"/>
    <w:rsid w:val="009F418B"/>
    <w:rsid w:val="009F41BF"/>
    <w:rsid w:val="009F42B5"/>
    <w:rsid w:val="009F4369"/>
    <w:rsid w:val="009F4379"/>
    <w:rsid w:val="009F4532"/>
    <w:rsid w:val="009F458E"/>
    <w:rsid w:val="009F4604"/>
    <w:rsid w:val="009F4731"/>
    <w:rsid w:val="009F481D"/>
    <w:rsid w:val="009F482D"/>
    <w:rsid w:val="009F483D"/>
    <w:rsid w:val="009F48D5"/>
    <w:rsid w:val="009F4938"/>
    <w:rsid w:val="009F4966"/>
    <w:rsid w:val="009F4C96"/>
    <w:rsid w:val="009F4CE8"/>
    <w:rsid w:val="009F4D07"/>
    <w:rsid w:val="009F4D62"/>
    <w:rsid w:val="009F4ED7"/>
    <w:rsid w:val="009F4F6E"/>
    <w:rsid w:val="009F515D"/>
    <w:rsid w:val="009F51DD"/>
    <w:rsid w:val="009F527B"/>
    <w:rsid w:val="009F52C2"/>
    <w:rsid w:val="009F55E4"/>
    <w:rsid w:val="009F573D"/>
    <w:rsid w:val="009F5AD9"/>
    <w:rsid w:val="009F5E4A"/>
    <w:rsid w:val="009F611D"/>
    <w:rsid w:val="009F63AD"/>
    <w:rsid w:val="009F6596"/>
    <w:rsid w:val="009F65AF"/>
    <w:rsid w:val="009F6B79"/>
    <w:rsid w:val="009F6C50"/>
    <w:rsid w:val="009F6D2D"/>
    <w:rsid w:val="009F6E51"/>
    <w:rsid w:val="009F6F0D"/>
    <w:rsid w:val="009F6F6B"/>
    <w:rsid w:val="009F6FA5"/>
    <w:rsid w:val="009F6FA7"/>
    <w:rsid w:val="009F72BA"/>
    <w:rsid w:val="009F740D"/>
    <w:rsid w:val="009F74D6"/>
    <w:rsid w:val="009F777C"/>
    <w:rsid w:val="009F7781"/>
    <w:rsid w:val="009F77CA"/>
    <w:rsid w:val="009F795F"/>
    <w:rsid w:val="009F7AB3"/>
    <w:rsid w:val="009F7BAE"/>
    <w:rsid w:val="009F7CE0"/>
    <w:rsid w:val="009F7F94"/>
    <w:rsid w:val="009F7FB9"/>
    <w:rsid w:val="00A00161"/>
    <w:rsid w:val="00A001DC"/>
    <w:rsid w:val="00A0034F"/>
    <w:rsid w:val="00A003EC"/>
    <w:rsid w:val="00A00622"/>
    <w:rsid w:val="00A00647"/>
    <w:rsid w:val="00A00660"/>
    <w:rsid w:val="00A0066B"/>
    <w:rsid w:val="00A00731"/>
    <w:rsid w:val="00A007EA"/>
    <w:rsid w:val="00A0088A"/>
    <w:rsid w:val="00A00905"/>
    <w:rsid w:val="00A009D3"/>
    <w:rsid w:val="00A00AC3"/>
    <w:rsid w:val="00A00C11"/>
    <w:rsid w:val="00A00F49"/>
    <w:rsid w:val="00A00F89"/>
    <w:rsid w:val="00A00FA3"/>
    <w:rsid w:val="00A010CF"/>
    <w:rsid w:val="00A01218"/>
    <w:rsid w:val="00A01254"/>
    <w:rsid w:val="00A013AB"/>
    <w:rsid w:val="00A01495"/>
    <w:rsid w:val="00A01635"/>
    <w:rsid w:val="00A0178D"/>
    <w:rsid w:val="00A01804"/>
    <w:rsid w:val="00A01862"/>
    <w:rsid w:val="00A01956"/>
    <w:rsid w:val="00A01988"/>
    <w:rsid w:val="00A01A95"/>
    <w:rsid w:val="00A01D91"/>
    <w:rsid w:val="00A01E50"/>
    <w:rsid w:val="00A01F4A"/>
    <w:rsid w:val="00A0209A"/>
    <w:rsid w:val="00A02403"/>
    <w:rsid w:val="00A0264C"/>
    <w:rsid w:val="00A027D7"/>
    <w:rsid w:val="00A0286F"/>
    <w:rsid w:val="00A028BA"/>
    <w:rsid w:val="00A028E5"/>
    <w:rsid w:val="00A02977"/>
    <w:rsid w:val="00A02A09"/>
    <w:rsid w:val="00A02AB7"/>
    <w:rsid w:val="00A02B2E"/>
    <w:rsid w:val="00A02BC1"/>
    <w:rsid w:val="00A02CE1"/>
    <w:rsid w:val="00A02D2B"/>
    <w:rsid w:val="00A02E8F"/>
    <w:rsid w:val="00A02E90"/>
    <w:rsid w:val="00A02F98"/>
    <w:rsid w:val="00A03061"/>
    <w:rsid w:val="00A030B4"/>
    <w:rsid w:val="00A03311"/>
    <w:rsid w:val="00A033E8"/>
    <w:rsid w:val="00A0344E"/>
    <w:rsid w:val="00A0352A"/>
    <w:rsid w:val="00A035C6"/>
    <w:rsid w:val="00A03849"/>
    <w:rsid w:val="00A038B4"/>
    <w:rsid w:val="00A038BC"/>
    <w:rsid w:val="00A038E7"/>
    <w:rsid w:val="00A03983"/>
    <w:rsid w:val="00A03996"/>
    <w:rsid w:val="00A03AC0"/>
    <w:rsid w:val="00A03BF1"/>
    <w:rsid w:val="00A03C40"/>
    <w:rsid w:val="00A03CC8"/>
    <w:rsid w:val="00A03D10"/>
    <w:rsid w:val="00A03D5B"/>
    <w:rsid w:val="00A03F1B"/>
    <w:rsid w:val="00A03F74"/>
    <w:rsid w:val="00A03FDE"/>
    <w:rsid w:val="00A0424F"/>
    <w:rsid w:val="00A042BF"/>
    <w:rsid w:val="00A043DD"/>
    <w:rsid w:val="00A044A3"/>
    <w:rsid w:val="00A044CF"/>
    <w:rsid w:val="00A04805"/>
    <w:rsid w:val="00A0480A"/>
    <w:rsid w:val="00A04815"/>
    <w:rsid w:val="00A048DE"/>
    <w:rsid w:val="00A0494A"/>
    <w:rsid w:val="00A04AD7"/>
    <w:rsid w:val="00A04BBC"/>
    <w:rsid w:val="00A04C26"/>
    <w:rsid w:val="00A04E44"/>
    <w:rsid w:val="00A04FA2"/>
    <w:rsid w:val="00A04FD9"/>
    <w:rsid w:val="00A05050"/>
    <w:rsid w:val="00A051D8"/>
    <w:rsid w:val="00A052C3"/>
    <w:rsid w:val="00A0530C"/>
    <w:rsid w:val="00A053A4"/>
    <w:rsid w:val="00A053F5"/>
    <w:rsid w:val="00A05649"/>
    <w:rsid w:val="00A0577E"/>
    <w:rsid w:val="00A057D4"/>
    <w:rsid w:val="00A05885"/>
    <w:rsid w:val="00A058DA"/>
    <w:rsid w:val="00A0596E"/>
    <w:rsid w:val="00A05B8F"/>
    <w:rsid w:val="00A05BBF"/>
    <w:rsid w:val="00A05CA7"/>
    <w:rsid w:val="00A05D78"/>
    <w:rsid w:val="00A05E48"/>
    <w:rsid w:val="00A06038"/>
    <w:rsid w:val="00A060C8"/>
    <w:rsid w:val="00A060FE"/>
    <w:rsid w:val="00A06134"/>
    <w:rsid w:val="00A06245"/>
    <w:rsid w:val="00A063E3"/>
    <w:rsid w:val="00A066D8"/>
    <w:rsid w:val="00A0692A"/>
    <w:rsid w:val="00A069B3"/>
    <w:rsid w:val="00A06A32"/>
    <w:rsid w:val="00A06A86"/>
    <w:rsid w:val="00A06B2C"/>
    <w:rsid w:val="00A06BBB"/>
    <w:rsid w:val="00A06CD4"/>
    <w:rsid w:val="00A06EED"/>
    <w:rsid w:val="00A06F8F"/>
    <w:rsid w:val="00A07151"/>
    <w:rsid w:val="00A07426"/>
    <w:rsid w:val="00A07872"/>
    <w:rsid w:val="00A07929"/>
    <w:rsid w:val="00A07A28"/>
    <w:rsid w:val="00A07AD5"/>
    <w:rsid w:val="00A07BE9"/>
    <w:rsid w:val="00A07C0A"/>
    <w:rsid w:val="00A07C57"/>
    <w:rsid w:val="00A07CC6"/>
    <w:rsid w:val="00A07DD1"/>
    <w:rsid w:val="00A07DED"/>
    <w:rsid w:val="00A07E43"/>
    <w:rsid w:val="00A07F02"/>
    <w:rsid w:val="00A07F26"/>
    <w:rsid w:val="00A10032"/>
    <w:rsid w:val="00A101E6"/>
    <w:rsid w:val="00A101FD"/>
    <w:rsid w:val="00A10318"/>
    <w:rsid w:val="00A103C9"/>
    <w:rsid w:val="00A103E1"/>
    <w:rsid w:val="00A105F6"/>
    <w:rsid w:val="00A105FF"/>
    <w:rsid w:val="00A10607"/>
    <w:rsid w:val="00A1072C"/>
    <w:rsid w:val="00A1087A"/>
    <w:rsid w:val="00A108C1"/>
    <w:rsid w:val="00A10915"/>
    <w:rsid w:val="00A10A2A"/>
    <w:rsid w:val="00A10C0C"/>
    <w:rsid w:val="00A10C95"/>
    <w:rsid w:val="00A10D5B"/>
    <w:rsid w:val="00A111A4"/>
    <w:rsid w:val="00A115C7"/>
    <w:rsid w:val="00A1166F"/>
    <w:rsid w:val="00A116B4"/>
    <w:rsid w:val="00A117D4"/>
    <w:rsid w:val="00A117F7"/>
    <w:rsid w:val="00A11958"/>
    <w:rsid w:val="00A11A02"/>
    <w:rsid w:val="00A11A52"/>
    <w:rsid w:val="00A11A95"/>
    <w:rsid w:val="00A11DC3"/>
    <w:rsid w:val="00A11DE7"/>
    <w:rsid w:val="00A11DFB"/>
    <w:rsid w:val="00A11E9E"/>
    <w:rsid w:val="00A11FE5"/>
    <w:rsid w:val="00A120C1"/>
    <w:rsid w:val="00A12256"/>
    <w:rsid w:val="00A123D8"/>
    <w:rsid w:val="00A124A6"/>
    <w:rsid w:val="00A125BC"/>
    <w:rsid w:val="00A12759"/>
    <w:rsid w:val="00A1289E"/>
    <w:rsid w:val="00A12A77"/>
    <w:rsid w:val="00A12ABD"/>
    <w:rsid w:val="00A12DC6"/>
    <w:rsid w:val="00A12DF9"/>
    <w:rsid w:val="00A12E6B"/>
    <w:rsid w:val="00A12EE1"/>
    <w:rsid w:val="00A132C1"/>
    <w:rsid w:val="00A1349B"/>
    <w:rsid w:val="00A13529"/>
    <w:rsid w:val="00A13534"/>
    <w:rsid w:val="00A13600"/>
    <w:rsid w:val="00A137E3"/>
    <w:rsid w:val="00A138AF"/>
    <w:rsid w:val="00A139C3"/>
    <w:rsid w:val="00A13C09"/>
    <w:rsid w:val="00A13D14"/>
    <w:rsid w:val="00A13DE0"/>
    <w:rsid w:val="00A13EFA"/>
    <w:rsid w:val="00A13F54"/>
    <w:rsid w:val="00A14093"/>
    <w:rsid w:val="00A14156"/>
    <w:rsid w:val="00A141F8"/>
    <w:rsid w:val="00A142B1"/>
    <w:rsid w:val="00A14618"/>
    <w:rsid w:val="00A146C6"/>
    <w:rsid w:val="00A14741"/>
    <w:rsid w:val="00A14795"/>
    <w:rsid w:val="00A14804"/>
    <w:rsid w:val="00A1482F"/>
    <w:rsid w:val="00A148AD"/>
    <w:rsid w:val="00A14997"/>
    <w:rsid w:val="00A14A29"/>
    <w:rsid w:val="00A14AD3"/>
    <w:rsid w:val="00A14C4C"/>
    <w:rsid w:val="00A14C79"/>
    <w:rsid w:val="00A14D3F"/>
    <w:rsid w:val="00A14E08"/>
    <w:rsid w:val="00A14F6A"/>
    <w:rsid w:val="00A15222"/>
    <w:rsid w:val="00A1533C"/>
    <w:rsid w:val="00A154C4"/>
    <w:rsid w:val="00A154C5"/>
    <w:rsid w:val="00A155CC"/>
    <w:rsid w:val="00A1566D"/>
    <w:rsid w:val="00A15851"/>
    <w:rsid w:val="00A15948"/>
    <w:rsid w:val="00A15A9B"/>
    <w:rsid w:val="00A15E3F"/>
    <w:rsid w:val="00A15E94"/>
    <w:rsid w:val="00A15F34"/>
    <w:rsid w:val="00A1609D"/>
    <w:rsid w:val="00A16232"/>
    <w:rsid w:val="00A16247"/>
    <w:rsid w:val="00A16271"/>
    <w:rsid w:val="00A162A1"/>
    <w:rsid w:val="00A162DF"/>
    <w:rsid w:val="00A163EA"/>
    <w:rsid w:val="00A1640A"/>
    <w:rsid w:val="00A16437"/>
    <w:rsid w:val="00A164D2"/>
    <w:rsid w:val="00A16538"/>
    <w:rsid w:val="00A16593"/>
    <w:rsid w:val="00A1691D"/>
    <w:rsid w:val="00A16920"/>
    <w:rsid w:val="00A16A13"/>
    <w:rsid w:val="00A16AD0"/>
    <w:rsid w:val="00A16BAB"/>
    <w:rsid w:val="00A16C93"/>
    <w:rsid w:val="00A16F23"/>
    <w:rsid w:val="00A16F48"/>
    <w:rsid w:val="00A16FF2"/>
    <w:rsid w:val="00A170E0"/>
    <w:rsid w:val="00A17268"/>
    <w:rsid w:val="00A1749E"/>
    <w:rsid w:val="00A17610"/>
    <w:rsid w:val="00A17687"/>
    <w:rsid w:val="00A1774F"/>
    <w:rsid w:val="00A1778E"/>
    <w:rsid w:val="00A177AD"/>
    <w:rsid w:val="00A17804"/>
    <w:rsid w:val="00A1794A"/>
    <w:rsid w:val="00A17955"/>
    <w:rsid w:val="00A17977"/>
    <w:rsid w:val="00A17A36"/>
    <w:rsid w:val="00A17A64"/>
    <w:rsid w:val="00A17ADD"/>
    <w:rsid w:val="00A17B2A"/>
    <w:rsid w:val="00A17DA6"/>
    <w:rsid w:val="00A17E20"/>
    <w:rsid w:val="00A17FC0"/>
    <w:rsid w:val="00A2005F"/>
    <w:rsid w:val="00A200E8"/>
    <w:rsid w:val="00A2025C"/>
    <w:rsid w:val="00A203DE"/>
    <w:rsid w:val="00A2041A"/>
    <w:rsid w:val="00A20427"/>
    <w:rsid w:val="00A2055C"/>
    <w:rsid w:val="00A20650"/>
    <w:rsid w:val="00A20692"/>
    <w:rsid w:val="00A2092D"/>
    <w:rsid w:val="00A209A2"/>
    <w:rsid w:val="00A20A34"/>
    <w:rsid w:val="00A20ACE"/>
    <w:rsid w:val="00A20C66"/>
    <w:rsid w:val="00A20DBC"/>
    <w:rsid w:val="00A20EA5"/>
    <w:rsid w:val="00A20FE9"/>
    <w:rsid w:val="00A2111F"/>
    <w:rsid w:val="00A211E8"/>
    <w:rsid w:val="00A216CE"/>
    <w:rsid w:val="00A217D2"/>
    <w:rsid w:val="00A21810"/>
    <w:rsid w:val="00A2181F"/>
    <w:rsid w:val="00A21823"/>
    <w:rsid w:val="00A21845"/>
    <w:rsid w:val="00A21893"/>
    <w:rsid w:val="00A21B52"/>
    <w:rsid w:val="00A21BAA"/>
    <w:rsid w:val="00A21D5F"/>
    <w:rsid w:val="00A21FAB"/>
    <w:rsid w:val="00A22154"/>
    <w:rsid w:val="00A222AF"/>
    <w:rsid w:val="00A2237A"/>
    <w:rsid w:val="00A2249F"/>
    <w:rsid w:val="00A225AF"/>
    <w:rsid w:val="00A22887"/>
    <w:rsid w:val="00A22907"/>
    <w:rsid w:val="00A22B20"/>
    <w:rsid w:val="00A22B80"/>
    <w:rsid w:val="00A22BD4"/>
    <w:rsid w:val="00A22BE3"/>
    <w:rsid w:val="00A22CC7"/>
    <w:rsid w:val="00A22D1B"/>
    <w:rsid w:val="00A22D22"/>
    <w:rsid w:val="00A22E5C"/>
    <w:rsid w:val="00A22F81"/>
    <w:rsid w:val="00A2315C"/>
    <w:rsid w:val="00A23181"/>
    <w:rsid w:val="00A233A4"/>
    <w:rsid w:val="00A2344C"/>
    <w:rsid w:val="00A234BB"/>
    <w:rsid w:val="00A2369A"/>
    <w:rsid w:val="00A2375B"/>
    <w:rsid w:val="00A23839"/>
    <w:rsid w:val="00A23954"/>
    <w:rsid w:val="00A23961"/>
    <w:rsid w:val="00A23B31"/>
    <w:rsid w:val="00A23C17"/>
    <w:rsid w:val="00A23D33"/>
    <w:rsid w:val="00A23DC4"/>
    <w:rsid w:val="00A23E90"/>
    <w:rsid w:val="00A23FE3"/>
    <w:rsid w:val="00A2415D"/>
    <w:rsid w:val="00A241C7"/>
    <w:rsid w:val="00A24223"/>
    <w:rsid w:val="00A2434E"/>
    <w:rsid w:val="00A24446"/>
    <w:rsid w:val="00A24485"/>
    <w:rsid w:val="00A24571"/>
    <w:rsid w:val="00A24583"/>
    <w:rsid w:val="00A245E1"/>
    <w:rsid w:val="00A24763"/>
    <w:rsid w:val="00A247E9"/>
    <w:rsid w:val="00A24820"/>
    <w:rsid w:val="00A24880"/>
    <w:rsid w:val="00A24B52"/>
    <w:rsid w:val="00A24CC9"/>
    <w:rsid w:val="00A24D9C"/>
    <w:rsid w:val="00A24DD8"/>
    <w:rsid w:val="00A24F29"/>
    <w:rsid w:val="00A24FE0"/>
    <w:rsid w:val="00A2520D"/>
    <w:rsid w:val="00A25421"/>
    <w:rsid w:val="00A2542B"/>
    <w:rsid w:val="00A25446"/>
    <w:rsid w:val="00A25528"/>
    <w:rsid w:val="00A25742"/>
    <w:rsid w:val="00A25883"/>
    <w:rsid w:val="00A259FC"/>
    <w:rsid w:val="00A25A80"/>
    <w:rsid w:val="00A25CFB"/>
    <w:rsid w:val="00A25DA1"/>
    <w:rsid w:val="00A25E9C"/>
    <w:rsid w:val="00A26168"/>
    <w:rsid w:val="00A2618F"/>
    <w:rsid w:val="00A2624D"/>
    <w:rsid w:val="00A26262"/>
    <w:rsid w:val="00A263EC"/>
    <w:rsid w:val="00A2642C"/>
    <w:rsid w:val="00A26477"/>
    <w:rsid w:val="00A265B3"/>
    <w:rsid w:val="00A267FC"/>
    <w:rsid w:val="00A268EA"/>
    <w:rsid w:val="00A26966"/>
    <w:rsid w:val="00A26B60"/>
    <w:rsid w:val="00A26C2A"/>
    <w:rsid w:val="00A26C9B"/>
    <w:rsid w:val="00A26E51"/>
    <w:rsid w:val="00A2714D"/>
    <w:rsid w:val="00A271F7"/>
    <w:rsid w:val="00A2729A"/>
    <w:rsid w:val="00A27307"/>
    <w:rsid w:val="00A274AF"/>
    <w:rsid w:val="00A274B3"/>
    <w:rsid w:val="00A27510"/>
    <w:rsid w:val="00A275F8"/>
    <w:rsid w:val="00A27930"/>
    <w:rsid w:val="00A27989"/>
    <w:rsid w:val="00A279AB"/>
    <w:rsid w:val="00A279D0"/>
    <w:rsid w:val="00A279D5"/>
    <w:rsid w:val="00A27AE1"/>
    <w:rsid w:val="00A27CA6"/>
    <w:rsid w:val="00A27CD8"/>
    <w:rsid w:val="00A27D0A"/>
    <w:rsid w:val="00A27E35"/>
    <w:rsid w:val="00A27E9C"/>
    <w:rsid w:val="00A300FA"/>
    <w:rsid w:val="00A3016C"/>
    <w:rsid w:val="00A3016F"/>
    <w:rsid w:val="00A3024F"/>
    <w:rsid w:val="00A30422"/>
    <w:rsid w:val="00A30451"/>
    <w:rsid w:val="00A3046A"/>
    <w:rsid w:val="00A3053D"/>
    <w:rsid w:val="00A30550"/>
    <w:rsid w:val="00A30646"/>
    <w:rsid w:val="00A306BE"/>
    <w:rsid w:val="00A3075E"/>
    <w:rsid w:val="00A307DD"/>
    <w:rsid w:val="00A3084B"/>
    <w:rsid w:val="00A308D4"/>
    <w:rsid w:val="00A309EF"/>
    <w:rsid w:val="00A30AC3"/>
    <w:rsid w:val="00A30B98"/>
    <w:rsid w:val="00A30CAE"/>
    <w:rsid w:val="00A30CBD"/>
    <w:rsid w:val="00A30DA3"/>
    <w:rsid w:val="00A30F4E"/>
    <w:rsid w:val="00A31050"/>
    <w:rsid w:val="00A31303"/>
    <w:rsid w:val="00A31336"/>
    <w:rsid w:val="00A313CB"/>
    <w:rsid w:val="00A313D2"/>
    <w:rsid w:val="00A31826"/>
    <w:rsid w:val="00A318C1"/>
    <w:rsid w:val="00A3191D"/>
    <w:rsid w:val="00A31990"/>
    <w:rsid w:val="00A31A70"/>
    <w:rsid w:val="00A31A8F"/>
    <w:rsid w:val="00A31AD6"/>
    <w:rsid w:val="00A31AF9"/>
    <w:rsid w:val="00A31BDF"/>
    <w:rsid w:val="00A31D26"/>
    <w:rsid w:val="00A31E3B"/>
    <w:rsid w:val="00A31EB7"/>
    <w:rsid w:val="00A31F03"/>
    <w:rsid w:val="00A31F09"/>
    <w:rsid w:val="00A321C5"/>
    <w:rsid w:val="00A32345"/>
    <w:rsid w:val="00A32519"/>
    <w:rsid w:val="00A32652"/>
    <w:rsid w:val="00A32720"/>
    <w:rsid w:val="00A32B79"/>
    <w:rsid w:val="00A32B8D"/>
    <w:rsid w:val="00A32C43"/>
    <w:rsid w:val="00A32D67"/>
    <w:rsid w:val="00A32EF7"/>
    <w:rsid w:val="00A32FAA"/>
    <w:rsid w:val="00A33096"/>
    <w:rsid w:val="00A3316B"/>
    <w:rsid w:val="00A331B5"/>
    <w:rsid w:val="00A33392"/>
    <w:rsid w:val="00A333D4"/>
    <w:rsid w:val="00A335A3"/>
    <w:rsid w:val="00A335C2"/>
    <w:rsid w:val="00A33603"/>
    <w:rsid w:val="00A33635"/>
    <w:rsid w:val="00A3373A"/>
    <w:rsid w:val="00A337AD"/>
    <w:rsid w:val="00A33845"/>
    <w:rsid w:val="00A33D99"/>
    <w:rsid w:val="00A33EA1"/>
    <w:rsid w:val="00A343C1"/>
    <w:rsid w:val="00A34410"/>
    <w:rsid w:val="00A34428"/>
    <w:rsid w:val="00A344C6"/>
    <w:rsid w:val="00A34618"/>
    <w:rsid w:val="00A34645"/>
    <w:rsid w:val="00A34737"/>
    <w:rsid w:val="00A3474F"/>
    <w:rsid w:val="00A34790"/>
    <w:rsid w:val="00A34970"/>
    <w:rsid w:val="00A34BF3"/>
    <w:rsid w:val="00A34CA2"/>
    <w:rsid w:val="00A34CC6"/>
    <w:rsid w:val="00A34D05"/>
    <w:rsid w:val="00A34D67"/>
    <w:rsid w:val="00A34E56"/>
    <w:rsid w:val="00A34E68"/>
    <w:rsid w:val="00A34F86"/>
    <w:rsid w:val="00A352AB"/>
    <w:rsid w:val="00A3564D"/>
    <w:rsid w:val="00A3565D"/>
    <w:rsid w:val="00A356C0"/>
    <w:rsid w:val="00A356F4"/>
    <w:rsid w:val="00A35719"/>
    <w:rsid w:val="00A35860"/>
    <w:rsid w:val="00A359B6"/>
    <w:rsid w:val="00A35A61"/>
    <w:rsid w:val="00A35ABE"/>
    <w:rsid w:val="00A35B7E"/>
    <w:rsid w:val="00A35BF3"/>
    <w:rsid w:val="00A35BF4"/>
    <w:rsid w:val="00A35C75"/>
    <w:rsid w:val="00A35D0B"/>
    <w:rsid w:val="00A35EFA"/>
    <w:rsid w:val="00A35EFE"/>
    <w:rsid w:val="00A360DA"/>
    <w:rsid w:val="00A362FA"/>
    <w:rsid w:val="00A36327"/>
    <w:rsid w:val="00A364F3"/>
    <w:rsid w:val="00A36734"/>
    <w:rsid w:val="00A36777"/>
    <w:rsid w:val="00A367E9"/>
    <w:rsid w:val="00A369FA"/>
    <w:rsid w:val="00A36BE0"/>
    <w:rsid w:val="00A36CCC"/>
    <w:rsid w:val="00A36D13"/>
    <w:rsid w:val="00A36DEE"/>
    <w:rsid w:val="00A36E23"/>
    <w:rsid w:val="00A36E9E"/>
    <w:rsid w:val="00A36F7B"/>
    <w:rsid w:val="00A3713A"/>
    <w:rsid w:val="00A3714B"/>
    <w:rsid w:val="00A374B1"/>
    <w:rsid w:val="00A3755F"/>
    <w:rsid w:val="00A375B8"/>
    <w:rsid w:val="00A375EC"/>
    <w:rsid w:val="00A3760A"/>
    <w:rsid w:val="00A3767F"/>
    <w:rsid w:val="00A3776B"/>
    <w:rsid w:val="00A377C0"/>
    <w:rsid w:val="00A377C2"/>
    <w:rsid w:val="00A37968"/>
    <w:rsid w:val="00A37A13"/>
    <w:rsid w:val="00A37AA7"/>
    <w:rsid w:val="00A37BA0"/>
    <w:rsid w:val="00A37F06"/>
    <w:rsid w:val="00A37F68"/>
    <w:rsid w:val="00A4016C"/>
    <w:rsid w:val="00A40233"/>
    <w:rsid w:val="00A40429"/>
    <w:rsid w:val="00A40526"/>
    <w:rsid w:val="00A40650"/>
    <w:rsid w:val="00A4077D"/>
    <w:rsid w:val="00A408D1"/>
    <w:rsid w:val="00A4091F"/>
    <w:rsid w:val="00A409F6"/>
    <w:rsid w:val="00A40D48"/>
    <w:rsid w:val="00A40E0D"/>
    <w:rsid w:val="00A40E96"/>
    <w:rsid w:val="00A40E97"/>
    <w:rsid w:val="00A41092"/>
    <w:rsid w:val="00A410E9"/>
    <w:rsid w:val="00A41166"/>
    <w:rsid w:val="00A41226"/>
    <w:rsid w:val="00A41317"/>
    <w:rsid w:val="00A4131C"/>
    <w:rsid w:val="00A41391"/>
    <w:rsid w:val="00A413B4"/>
    <w:rsid w:val="00A41494"/>
    <w:rsid w:val="00A414E1"/>
    <w:rsid w:val="00A415A1"/>
    <w:rsid w:val="00A41674"/>
    <w:rsid w:val="00A41684"/>
    <w:rsid w:val="00A41775"/>
    <w:rsid w:val="00A417D4"/>
    <w:rsid w:val="00A419A6"/>
    <w:rsid w:val="00A41A92"/>
    <w:rsid w:val="00A41B1A"/>
    <w:rsid w:val="00A41BB4"/>
    <w:rsid w:val="00A41C1C"/>
    <w:rsid w:val="00A41CFC"/>
    <w:rsid w:val="00A42011"/>
    <w:rsid w:val="00A421C2"/>
    <w:rsid w:val="00A42282"/>
    <w:rsid w:val="00A4231D"/>
    <w:rsid w:val="00A42500"/>
    <w:rsid w:val="00A4258D"/>
    <w:rsid w:val="00A425EE"/>
    <w:rsid w:val="00A427E5"/>
    <w:rsid w:val="00A42842"/>
    <w:rsid w:val="00A42899"/>
    <w:rsid w:val="00A429C4"/>
    <w:rsid w:val="00A42B9B"/>
    <w:rsid w:val="00A42EB0"/>
    <w:rsid w:val="00A4306A"/>
    <w:rsid w:val="00A430B1"/>
    <w:rsid w:val="00A430CB"/>
    <w:rsid w:val="00A430E3"/>
    <w:rsid w:val="00A431C2"/>
    <w:rsid w:val="00A431DF"/>
    <w:rsid w:val="00A4327A"/>
    <w:rsid w:val="00A432B6"/>
    <w:rsid w:val="00A436FB"/>
    <w:rsid w:val="00A43B35"/>
    <w:rsid w:val="00A43B6B"/>
    <w:rsid w:val="00A43CCB"/>
    <w:rsid w:val="00A43CD1"/>
    <w:rsid w:val="00A43D0F"/>
    <w:rsid w:val="00A43EAF"/>
    <w:rsid w:val="00A43EF9"/>
    <w:rsid w:val="00A44088"/>
    <w:rsid w:val="00A4443C"/>
    <w:rsid w:val="00A444B0"/>
    <w:rsid w:val="00A4471D"/>
    <w:rsid w:val="00A44953"/>
    <w:rsid w:val="00A44A2F"/>
    <w:rsid w:val="00A44B4C"/>
    <w:rsid w:val="00A44B59"/>
    <w:rsid w:val="00A44B7D"/>
    <w:rsid w:val="00A44E29"/>
    <w:rsid w:val="00A44FBE"/>
    <w:rsid w:val="00A4500F"/>
    <w:rsid w:val="00A45072"/>
    <w:rsid w:val="00A45132"/>
    <w:rsid w:val="00A45576"/>
    <w:rsid w:val="00A45674"/>
    <w:rsid w:val="00A4568B"/>
    <w:rsid w:val="00A456EB"/>
    <w:rsid w:val="00A4582D"/>
    <w:rsid w:val="00A4588B"/>
    <w:rsid w:val="00A458E8"/>
    <w:rsid w:val="00A45963"/>
    <w:rsid w:val="00A45A79"/>
    <w:rsid w:val="00A45B09"/>
    <w:rsid w:val="00A45C76"/>
    <w:rsid w:val="00A45CBC"/>
    <w:rsid w:val="00A45CE2"/>
    <w:rsid w:val="00A45CE6"/>
    <w:rsid w:val="00A45DAC"/>
    <w:rsid w:val="00A45EA9"/>
    <w:rsid w:val="00A45F3A"/>
    <w:rsid w:val="00A46255"/>
    <w:rsid w:val="00A46322"/>
    <w:rsid w:val="00A46325"/>
    <w:rsid w:val="00A463C6"/>
    <w:rsid w:val="00A46482"/>
    <w:rsid w:val="00A464E0"/>
    <w:rsid w:val="00A46521"/>
    <w:rsid w:val="00A46557"/>
    <w:rsid w:val="00A46629"/>
    <w:rsid w:val="00A46794"/>
    <w:rsid w:val="00A468BE"/>
    <w:rsid w:val="00A4690C"/>
    <w:rsid w:val="00A469CB"/>
    <w:rsid w:val="00A469F1"/>
    <w:rsid w:val="00A46ACC"/>
    <w:rsid w:val="00A46B93"/>
    <w:rsid w:val="00A46D82"/>
    <w:rsid w:val="00A46E8A"/>
    <w:rsid w:val="00A46F74"/>
    <w:rsid w:val="00A46FAB"/>
    <w:rsid w:val="00A47214"/>
    <w:rsid w:val="00A472F4"/>
    <w:rsid w:val="00A47317"/>
    <w:rsid w:val="00A4745D"/>
    <w:rsid w:val="00A4747E"/>
    <w:rsid w:val="00A476AC"/>
    <w:rsid w:val="00A47704"/>
    <w:rsid w:val="00A47789"/>
    <w:rsid w:val="00A4788E"/>
    <w:rsid w:val="00A479A9"/>
    <w:rsid w:val="00A479F5"/>
    <w:rsid w:val="00A47AC1"/>
    <w:rsid w:val="00A47B13"/>
    <w:rsid w:val="00A47D21"/>
    <w:rsid w:val="00A47D43"/>
    <w:rsid w:val="00A47FED"/>
    <w:rsid w:val="00A50220"/>
    <w:rsid w:val="00A5051F"/>
    <w:rsid w:val="00A5064A"/>
    <w:rsid w:val="00A50C17"/>
    <w:rsid w:val="00A50C23"/>
    <w:rsid w:val="00A50C3F"/>
    <w:rsid w:val="00A50E8F"/>
    <w:rsid w:val="00A51167"/>
    <w:rsid w:val="00A51346"/>
    <w:rsid w:val="00A515D2"/>
    <w:rsid w:val="00A51665"/>
    <w:rsid w:val="00A517D0"/>
    <w:rsid w:val="00A518F0"/>
    <w:rsid w:val="00A51925"/>
    <w:rsid w:val="00A519E6"/>
    <w:rsid w:val="00A51A31"/>
    <w:rsid w:val="00A51BAB"/>
    <w:rsid w:val="00A51DBE"/>
    <w:rsid w:val="00A51E55"/>
    <w:rsid w:val="00A520F4"/>
    <w:rsid w:val="00A5217B"/>
    <w:rsid w:val="00A5220E"/>
    <w:rsid w:val="00A52253"/>
    <w:rsid w:val="00A5229B"/>
    <w:rsid w:val="00A5262E"/>
    <w:rsid w:val="00A5268E"/>
    <w:rsid w:val="00A52944"/>
    <w:rsid w:val="00A5297F"/>
    <w:rsid w:val="00A52A3B"/>
    <w:rsid w:val="00A52DE3"/>
    <w:rsid w:val="00A52E03"/>
    <w:rsid w:val="00A52E0D"/>
    <w:rsid w:val="00A52EC3"/>
    <w:rsid w:val="00A52FAE"/>
    <w:rsid w:val="00A53016"/>
    <w:rsid w:val="00A5356F"/>
    <w:rsid w:val="00A53814"/>
    <w:rsid w:val="00A5385A"/>
    <w:rsid w:val="00A539DD"/>
    <w:rsid w:val="00A53C52"/>
    <w:rsid w:val="00A53DC0"/>
    <w:rsid w:val="00A5402C"/>
    <w:rsid w:val="00A541D5"/>
    <w:rsid w:val="00A54269"/>
    <w:rsid w:val="00A542AC"/>
    <w:rsid w:val="00A5435D"/>
    <w:rsid w:val="00A54526"/>
    <w:rsid w:val="00A5455C"/>
    <w:rsid w:val="00A54572"/>
    <w:rsid w:val="00A54719"/>
    <w:rsid w:val="00A54749"/>
    <w:rsid w:val="00A54844"/>
    <w:rsid w:val="00A54AD0"/>
    <w:rsid w:val="00A54AEF"/>
    <w:rsid w:val="00A54B6D"/>
    <w:rsid w:val="00A54B9A"/>
    <w:rsid w:val="00A54CC2"/>
    <w:rsid w:val="00A54DEB"/>
    <w:rsid w:val="00A54F5D"/>
    <w:rsid w:val="00A550BC"/>
    <w:rsid w:val="00A5545E"/>
    <w:rsid w:val="00A55486"/>
    <w:rsid w:val="00A557EB"/>
    <w:rsid w:val="00A55800"/>
    <w:rsid w:val="00A558B9"/>
    <w:rsid w:val="00A558BE"/>
    <w:rsid w:val="00A5599E"/>
    <w:rsid w:val="00A55BE1"/>
    <w:rsid w:val="00A55CCE"/>
    <w:rsid w:val="00A55D21"/>
    <w:rsid w:val="00A55E6D"/>
    <w:rsid w:val="00A560E6"/>
    <w:rsid w:val="00A56467"/>
    <w:rsid w:val="00A5656B"/>
    <w:rsid w:val="00A565BE"/>
    <w:rsid w:val="00A56743"/>
    <w:rsid w:val="00A5679D"/>
    <w:rsid w:val="00A567B0"/>
    <w:rsid w:val="00A568B2"/>
    <w:rsid w:val="00A56917"/>
    <w:rsid w:val="00A56B3F"/>
    <w:rsid w:val="00A56D28"/>
    <w:rsid w:val="00A56D32"/>
    <w:rsid w:val="00A5702A"/>
    <w:rsid w:val="00A57125"/>
    <w:rsid w:val="00A57168"/>
    <w:rsid w:val="00A57301"/>
    <w:rsid w:val="00A57384"/>
    <w:rsid w:val="00A57469"/>
    <w:rsid w:val="00A574E0"/>
    <w:rsid w:val="00A57662"/>
    <w:rsid w:val="00A5779D"/>
    <w:rsid w:val="00A577FC"/>
    <w:rsid w:val="00A579C1"/>
    <w:rsid w:val="00A57A51"/>
    <w:rsid w:val="00A57A52"/>
    <w:rsid w:val="00A57AC2"/>
    <w:rsid w:val="00A57C40"/>
    <w:rsid w:val="00A57E13"/>
    <w:rsid w:val="00A6010D"/>
    <w:rsid w:val="00A601EF"/>
    <w:rsid w:val="00A601F6"/>
    <w:rsid w:val="00A60202"/>
    <w:rsid w:val="00A60208"/>
    <w:rsid w:val="00A60942"/>
    <w:rsid w:val="00A609D4"/>
    <w:rsid w:val="00A60A0B"/>
    <w:rsid w:val="00A60B1B"/>
    <w:rsid w:val="00A60B55"/>
    <w:rsid w:val="00A60C04"/>
    <w:rsid w:val="00A60C41"/>
    <w:rsid w:val="00A60C93"/>
    <w:rsid w:val="00A61041"/>
    <w:rsid w:val="00A61166"/>
    <w:rsid w:val="00A612F5"/>
    <w:rsid w:val="00A61368"/>
    <w:rsid w:val="00A613A4"/>
    <w:rsid w:val="00A6140B"/>
    <w:rsid w:val="00A61413"/>
    <w:rsid w:val="00A614D7"/>
    <w:rsid w:val="00A61795"/>
    <w:rsid w:val="00A617B6"/>
    <w:rsid w:val="00A61853"/>
    <w:rsid w:val="00A618CB"/>
    <w:rsid w:val="00A61B07"/>
    <w:rsid w:val="00A61CF9"/>
    <w:rsid w:val="00A61E2D"/>
    <w:rsid w:val="00A61E97"/>
    <w:rsid w:val="00A61F2B"/>
    <w:rsid w:val="00A62033"/>
    <w:rsid w:val="00A6235C"/>
    <w:rsid w:val="00A62417"/>
    <w:rsid w:val="00A6242F"/>
    <w:rsid w:val="00A624A5"/>
    <w:rsid w:val="00A62519"/>
    <w:rsid w:val="00A6253D"/>
    <w:rsid w:val="00A625A9"/>
    <w:rsid w:val="00A625F2"/>
    <w:rsid w:val="00A62729"/>
    <w:rsid w:val="00A62B10"/>
    <w:rsid w:val="00A62C61"/>
    <w:rsid w:val="00A62EDE"/>
    <w:rsid w:val="00A62FCE"/>
    <w:rsid w:val="00A6360C"/>
    <w:rsid w:val="00A6380E"/>
    <w:rsid w:val="00A63874"/>
    <w:rsid w:val="00A638F5"/>
    <w:rsid w:val="00A63AA7"/>
    <w:rsid w:val="00A63AF2"/>
    <w:rsid w:val="00A63E18"/>
    <w:rsid w:val="00A63F99"/>
    <w:rsid w:val="00A63FFF"/>
    <w:rsid w:val="00A6416C"/>
    <w:rsid w:val="00A64270"/>
    <w:rsid w:val="00A64273"/>
    <w:rsid w:val="00A6428E"/>
    <w:rsid w:val="00A642EE"/>
    <w:rsid w:val="00A64369"/>
    <w:rsid w:val="00A64370"/>
    <w:rsid w:val="00A6442F"/>
    <w:rsid w:val="00A64466"/>
    <w:rsid w:val="00A645A7"/>
    <w:rsid w:val="00A6460E"/>
    <w:rsid w:val="00A647AF"/>
    <w:rsid w:val="00A647CB"/>
    <w:rsid w:val="00A64A85"/>
    <w:rsid w:val="00A64AF7"/>
    <w:rsid w:val="00A64B3E"/>
    <w:rsid w:val="00A64D48"/>
    <w:rsid w:val="00A64ED6"/>
    <w:rsid w:val="00A6512B"/>
    <w:rsid w:val="00A6541D"/>
    <w:rsid w:val="00A65611"/>
    <w:rsid w:val="00A656E3"/>
    <w:rsid w:val="00A6578A"/>
    <w:rsid w:val="00A658F8"/>
    <w:rsid w:val="00A65A44"/>
    <w:rsid w:val="00A65B3B"/>
    <w:rsid w:val="00A65C10"/>
    <w:rsid w:val="00A65C16"/>
    <w:rsid w:val="00A65E6C"/>
    <w:rsid w:val="00A65FAF"/>
    <w:rsid w:val="00A6628F"/>
    <w:rsid w:val="00A66314"/>
    <w:rsid w:val="00A66784"/>
    <w:rsid w:val="00A667FE"/>
    <w:rsid w:val="00A6683F"/>
    <w:rsid w:val="00A66A0E"/>
    <w:rsid w:val="00A66B23"/>
    <w:rsid w:val="00A66B3C"/>
    <w:rsid w:val="00A66C9C"/>
    <w:rsid w:val="00A66FCB"/>
    <w:rsid w:val="00A6717B"/>
    <w:rsid w:val="00A672F7"/>
    <w:rsid w:val="00A67320"/>
    <w:rsid w:val="00A676C0"/>
    <w:rsid w:val="00A676D5"/>
    <w:rsid w:val="00A678FE"/>
    <w:rsid w:val="00A67A54"/>
    <w:rsid w:val="00A67CE0"/>
    <w:rsid w:val="00A67D64"/>
    <w:rsid w:val="00A67DFD"/>
    <w:rsid w:val="00A67F8A"/>
    <w:rsid w:val="00A700FB"/>
    <w:rsid w:val="00A70122"/>
    <w:rsid w:val="00A7012C"/>
    <w:rsid w:val="00A70191"/>
    <w:rsid w:val="00A70278"/>
    <w:rsid w:val="00A702BA"/>
    <w:rsid w:val="00A703A3"/>
    <w:rsid w:val="00A703BF"/>
    <w:rsid w:val="00A7050E"/>
    <w:rsid w:val="00A70553"/>
    <w:rsid w:val="00A70769"/>
    <w:rsid w:val="00A70771"/>
    <w:rsid w:val="00A70B93"/>
    <w:rsid w:val="00A70D42"/>
    <w:rsid w:val="00A70DBE"/>
    <w:rsid w:val="00A70EAB"/>
    <w:rsid w:val="00A70F6D"/>
    <w:rsid w:val="00A71085"/>
    <w:rsid w:val="00A710A0"/>
    <w:rsid w:val="00A71201"/>
    <w:rsid w:val="00A712CA"/>
    <w:rsid w:val="00A71406"/>
    <w:rsid w:val="00A7143B"/>
    <w:rsid w:val="00A71489"/>
    <w:rsid w:val="00A714CD"/>
    <w:rsid w:val="00A7156B"/>
    <w:rsid w:val="00A716B5"/>
    <w:rsid w:val="00A71729"/>
    <w:rsid w:val="00A717A9"/>
    <w:rsid w:val="00A718FA"/>
    <w:rsid w:val="00A71A55"/>
    <w:rsid w:val="00A71ACB"/>
    <w:rsid w:val="00A71B2E"/>
    <w:rsid w:val="00A71BE2"/>
    <w:rsid w:val="00A71BFC"/>
    <w:rsid w:val="00A71D1C"/>
    <w:rsid w:val="00A7200E"/>
    <w:rsid w:val="00A72174"/>
    <w:rsid w:val="00A721F1"/>
    <w:rsid w:val="00A72530"/>
    <w:rsid w:val="00A725AE"/>
    <w:rsid w:val="00A72618"/>
    <w:rsid w:val="00A7262B"/>
    <w:rsid w:val="00A72763"/>
    <w:rsid w:val="00A72813"/>
    <w:rsid w:val="00A7289A"/>
    <w:rsid w:val="00A729C1"/>
    <w:rsid w:val="00A72B54"/>
    <w:rsid w:val="00A72BCE"/>
    <w:rsid w:val="00A72CDC"/>
    <w:rsid w:val="00A72D0E"/>
    <w:rsid w:val="00A72DFC"/>
    <w:rsid w:val="00A72E43"/>
    <w:rsid w:val="00A72F65"/>
    <w:rsid w:val="00A72FA6"/>
    <w:rsid w:val="00A72FFA"/>
    <w:rsid w:val="00A731E0"/>
    <w:rsid w:val="00A73221"/>
    <w:rsid w:val="00A733A9"/>
    <w:rsid w:val="00A733AF"/>
    <w:rsid w:val="00A737BA"/>
    <w:rsid w:val="00A73816"/>
    <w:rsid w:val="00A739AE"/>
    <w:rsid w:val="00A73B4C"/>
    <w:rsid w:val="00A73F41"/>
    <w:rsid w:val="00A73F98"/>
    <w:rsid w:val="00A745B7"/>
    <w:rsid w:val="00A7470E"/>
    <w:rsid w:val="00A7477B"/>
    <w:rsid w:val="00A74CE3"/>
    <w:rsid w:val="00A74D58"/>
    <w:rsid w:val="00A74D82"/>
    <w:rsid w:val="00A74F74"/>
    <w:rsid w:val="00A75003"/>
    <w:rsid w:val="00A7507B"/>
    <w:rsid w:val="00A75504"/>
    <w:rsid w:val="00A75873"/>
    <w:rsid w:val="00A759AF"/>
    <w:rsid w:val="00A75A97"/>
    <w:rsid w:val="00A75BD0"/>
    <w:rsid w:val="00A75CF1"/>
    <w:rsid w:val="00A75DCC"/>
    <w:rsid w:val="00A76006"/>
    <w:rsid w:val="00A7613B"/>
    <w:rsid w:val="00A762A6"/>
    <w:rsid w:val="00A763D8"/>
    <w:rsid w:val="00A76441"/>
    <w:rsid w:val="00A76518"/>
    <w:rsid w:val="00A76618"/>
    <w:rsid w:val="00A7662F"/>
    <w:rsid w:val="00A76636"/>
    <w:rsid w:val="00A76859"/>
    <w:rsid w:val="00A7687C"/>
    <w:rsid w:val="00A769EE"/>
    <w:rsid w:val="00A76C25"/>
    <w:rsid w:val="00A76D30"/>
    <w:rsid w:val="00A76EE0"/>
    <w:rsid w:val="00A76FE9"/>
    <w:rsid w:val="00A7723C"/>
    <w:rsid w:val="00A77465"/>
    <w:rsid w:val="00A77589"/>
    <w:rsid w:val="00A7768D"/>
    <w:rsid w:val="00A776A4"/>
    <w:rsid w:val="00A776B0"/>
    <w:rsid w:val="00A777DC"/>
    <w:rsid w:val="00A7780A"/>
    <w:rsid w:val="00A77879"/>
    <w:rsid w:val="00A778A9"/>
    <w:rsid w:val="00A77B0A"/>
    <w:rsid w:val="00A77C5A"/>
    <w:rsid w:val="00A77CCE"/>
    <w:rsid w:val="00A77D4A"/>
    <w:rsid w:val="00A77EAC"/>
    <w:rsid w:val="00A77FC8"/>
    <w:rsid w:val="00A77FEB"/>
    <w:rsid w:val="00A801C8"/>
    <w:rsid w:val="00A804C2"/>
    <w:rsid w:val="00A80BDB"/>
    <w:rsid w:val="00A80CD1"/>
    <w:rsid w:val="00A80CF7"/>
    <w:rsid w:val="00A80DA2"/>
    <w:rsid w:val="00A80F13"/>
    <w:rsid w:val="00A80F90"/>
    <w:rsid w:val="00A80FFB"/>
    <w:rsid w:val="00A81058"/>
    <w:rsid w:val="00A810C0"/>
    <w:rsid w:val="00A810FC"/>
    <w:rsid w:val="00A812BC"/>
    <w:rsid w:val="00A81393"/>
    <w:rsid w:val="00A8145D"/>
    <w:rsid w:val="00A8160A"/>
    <w:rsid w:val="00A818A1"/>
    <w:rsid w:val="00A818AC"/>
    <w:rsid w:val="00A8195B"/>
    <w:rsid w:val="00A819AA"/>
    <w:rsid w:val="00A81ADB"/>
    <w:rsid w:val="00A81C6D"/>
    <w:rsid w:val="00A81D97"/>
    <w:rsid w:val="00A81DEB"/>
    <w:rsid w:val="00A81E1B"/>
    <w:rsid w:val="00A82256"/>
    <w:rsid w:val="00A822C1"/>
    <w:rsid w:val="00A82325"/>
    <w:rsid w:val="00A82429"/>
    <w:rsid w:val="00A825FF"/>
    <w:rsid w:val="00A82638"/>
    <w:rsid w:val="00A82716"/>
    <w:rsid w:val="00A8293B"/>
    <w:rsid w:val="00A82ADE"/>
    <w:rsid w:val="00A82C37"/>
    <w:rsid w:val="00A82D21"/>
    <w:rsid w:val="00A82DD1"/>
    <w:rsid w:val="00A82DF6"/>
    <w:rsid w:val="00A82E80"/>
    <w:rsid w:val="00A82F07"/>
    <w:rsid w:val="00A8307F"/>
    <w:rsid w:val="00A833AA"/>
    <w:rsid w:val="00A834B5"/>
    <w:rsid w:val="00A835C3"/>
    <w:rsid w:val="00A83633"/>
    <w:rsid w:val="00A837FE"/>
    <w:rsid w:val="00A8382F"/>
    <w:rsid w:val="00A83925"/>
    <w:rsid w:val="00A8397C"/>
    <w:rsid w:val="00A83A1D"/>
    <w:rsid w:val="00A83B7E"/>
    <w:rsid w:val="00A83CD2"/>
    <w:rsid w:val="00A83E9D"/>
    <w:rsid w:val="00A83EBF"/>
    <w:rsid w:val="00A8404F"/>
    <w:rsid w:val="00A84083"/>
    <w:rsid w:val="00A8412C"/>
    <w:rsid w:val="00A8413A"/>
    <w:rsid w:val="00A8436B"/>
    <w:rsid w:val="00A843F1"/>
    <w:rsid w:val="00A84548"/>
    <w:rsid w:val="00A846F6"/>
    <w:rsid w:val="00A84734"/>
    <w:rsid w:val="00A84887"/>
    <w:rsid w:val="00A849FF"/>
    <w:rsid w:val="00A84A6E"/>
    <w:rsid w:val="00A84AA6"/>
    <w:rsid w:val="00A84B75"/>
    <w:rsid w:val="00A84CBB"/>
    <w:rsid w:val="00A84CE3"/>
    <w:rsid w:val="00A85283"/>
    <w:rsid w:val="00A85373"/>
    <w:rsid w:val="00A853FB"/>
    <w:rsid w:val="00A85508"/>
    <w:rsid w:val="00A85646"/>
    <w:rsid w:val="00A8567C"/>
    <w:rsid w:val="00A8573A"/>
    <w:rsid w:val="00A8574D"/>
    <w:rsid w:val="00A85776"/>
    <w:rsid w:val="00A857A1"/>
    <w:rsid w:val="00A857DB"/>
    <w:rsid w:val="00A85805"/>
    <w:rsid w:val="00A8580C"/>
    <w:rsid w:val="00A858EC"/>
    <w:rsid w:val="00A85971"/>
    <w:rsid w:val="00A85C2A"/>
    <w:rsid w:val="00A85D25"/>
    <w:rsid w:val="00A85D8B"/>
    <w:rsid w:val="00A85E97"/>
    <w:rsid w:val="00A85F79"/>
    <w:rsid w:val="00A86059"/>
    <w:rsid w:val="00A86171"/>
    <w:rsid w:val="00A86377"/>
    <w:rsid w:val="00A863A0"/>
    <w:rsid w:val="00A864C2"/>
    <w:rsid w:val="00A86946"/>
    <w:rsid w:val="00A86988"/>
    <w:rsid w:val="00A8698A"/>
    <w:rsid w:val="00A86A9D"/>
    <w:rsid w:val="00A86ADA"/>
    <w:rsid w:val="00A86B60"/>
    <w:rsid w:val="00A86BA8"/>
    <w:rsid w:val="00A86C5E"/>
    <w:rsid w:val="00A86CDF"/>
    <w:rsid w:val="00A86D3B"/>
    <w:rsid w:val="00A86E1E"/>
    <w:rsid w:val="00A87025"/>
    <w:rsid w:val="00A87095"/>
    <w:rsid w:val="00A87210"/>
    <w:rsid w:val="00A8736E"/>
    <w:rsid w:val="00A87377"/>
    <w:rsid w:val="00A874B8"/>
    <w:rsid w:val="00A876B8"/>
    <w:rsid w:val="00A87761"/>
    <w:rsid w:val="00A87A55"/>
    <w:rsid w:val="00A87BC6"/>
    <w:rsid w:val="00A87BCF"/>
    <w:rsid w:val="00A87C1D"/>
    <w:rsid w:val="00A87DD8"/>
    <w:rsid w:val="00A87E52"/>
    <w:rsid w:val="00A90063"/>
    <w:rsid w:val="00A9039D"/>
    <w:rsid w:val="00A903FE"/>
    <w:rsid w:val="00A90413"/>
    <w:rsid w:val="00A90447"/>
    <w:rsid w:val="00A907CE"/>
    <w:rsid w:val="00A908CE"/>
    <w:rsid w:val="00A908DC"/>
    <w:rsid w:val="00A90956"/>
    <w:rsid w:val="00A90BC0"/>
    <w:rsid w:val="00A90CCD"/>
    <w:rsid w:val="00A90DF0"/>
    <w:rsid w:val="00A90F7B"/>
    <w:rsid w:val="00A91199"/>
    <w:rsid w:val="00A912A0"/>
    <w:rsid w:val="00A91439"/>
    <w:rsid w:val="00A91514"/>
    <w:rsid w:val="00A915B1"/>
    <w:rsid w:val="00A9174A"/>
    <w:rsid w:val="00A9184E"/>
    <w:rsid w:val="00A919C8"/>
    <w:rsid w:val="00A91A59"/>
    <w:rsid w:val="00A91BA2"/>
    <w:rsid w:val="00A91D42"/>
    <w:rsid w:val="00A91DF8"/>
    <w:rsid w:val="00A91EA1"/>
    <w:rsid w:val="00A91EE7"/>
    <w:rsid w:val="00A91F5B"/>
    <w:rsid w:val="00A92313"/>
    <w:rsid w:val="00A92347"/>
    <w:rsid w:val="00A9250B"/>
    <w:rsid w:val="00A92565"/>
    <w:rsid w:val="00A928EC"/>
    <w:rsid w:val="00A92931"/>
    <w:rsid w:val="00A9297F"/>
    <w:rsid w:val="00A92A28"/>
    <w:rsid w:val="00A92AA2"/>
    <w:rsid w:val="00A92B74"/>
    <w:rsid w:val="00A92CF6"/>
    <w:rsid w:val="00A92E4F"/>
    <w:rsid w:val="00A92F37"/>
    <w:rsid w:val="00A92F9F"/>
    <w:rsid w:val="00A92FC4"/>
    <w:rsid w:val="00A92FD7"/>
    <w:rsid w:val="00A93002"/>
    <w:rsid w:val="00A9312D"/>
    <w:rsid w:val="00A93171"/>
    <w:rsid w:val="00A9318D"/>
    <w:rsid w:val="00A931FC"/>
    <w:rsid w:val="00A932F4"/>
    <w:rsid w:val="00A9330F"/>
    <w:rsid w:val="00A933E7"/>
    <w:rsid w:val="00A93647"/>
    <w:rsid w:val="00A936F3"/>
    <w:rsid w:val="00A9373B"/>
    <w:rsid w:val="00A93883"/>
    <w:rsid w:val="00A93A30"/>
    <w:rsid w:val="00A93A7E"/>
    <w:rsid w:val="00A93B83"/>
    <w:rsid w:val="00A93BF3"/>
    <w:rsid w:val="00A93C5B"/>
    <w:rsid w:val="00A93F21"/>
    <w:rsid w:val="00A93F81"/>
    <w:rsid w:val="00A94130"/>
    <w:rsid w:val="00A941F9"/>
    <w:rsid w:val="00A94215"/>
    <w:rsid w:val="00A94283"/>
    <w:rsid w:val="00A942BD"/>
    <w:rsid w:val="00A944AC"/>
    <w:rsid w:val="00A944E1"/>
    <w:rsid w:val="00A946E7"/>
    <w:rsid w:val="00A948B0"/>
    <w:rsid w:val="00A94A4E"/>
    <w:rsid w:val="00A94B03"/>
    <w:rsid w:val="00A94C8A"/>
    <w:rsid w:val="00A94D1B"/>
    <w:rsid w:val="00A94D75"/>
    <w:rsid w:val="00A94D9A"/>
    <w:rsid w:val="00A94E50"/>
    <w:rsid w:val="00A94E59"/>
    <w:rsid w:val="00A94F39"/>
    <w:rsid w:val="00A94FFF"/>
    <w:rsid w:val="00A95422"/>
    <w:rsid w:val="00A954C2"/>
    <w:rsid w:val="00A95683"/>
    <w:rsid w:val="00A95704"/>
    <w:rsid w:val="00A9593C"/>
    <w:rsid w:val="00A95980"/>
    <w:rsid w:val="00A959BC"/>
    <w:rsid w:val="00A95B8B"/>
    <w:rsid w:val="00A95C83"/>
    <w:rsid w:val="00A95CBC"/>
    <w:rsid w:val="00A95F4B"/>
    <w:rsid w:val="00A95F74"/>
    <w:rsid w:val="00A960FD"/>
    <w:rsid w:val="00A9613A"/>
    <w:rsid w:val="00A9613E"/>
    <w:rsid w:val="00A9622E"/>
    <w:rsid w:val="00A9623D"/>
    <w:rsid w:val="00A962A0"/>
    <w:rsid w:val="00A9638A"/>
    <w:rsid w:val="00A964D7"/>
    <w:rsid w:val="00A964F3"/>
    <w:rsid w:val="00A96691"/>
    <w:rsid w:val="00A9673F"/>
    <w:rsid w:val="00A96778"/>
    <w:rsid w:val="00A967EA"/>
    <w:rsid w:val="00A9684B"/>
    <w:rsid w:val="00A96B5F"/>
    <w:rsid w:val="00A96B84"/>
    <w:rsid w:val="00A96BAC"/>
    <w:rsid w:val="00A96C93"/>
    <w:rsid w:val="00A970C4"/>
    <w:rsid w:val="00A971FB"/>
    <w:rsid w:val="00A972C1"/>
    <w:rsid w:val="00A9733F"/>
    <w:rsid w:val="00A9737B"/>
    <w:rsid w:val="00A974EB"/>
    <w:rsid w:val="00A97528"/>
    <w:rsid w:val="00A9761D"/>
    <w:rsid w:val="00A97653"/>
    <w:rsid w:val="00A97763"/>
    <w:rsid w:val="00A97769"/>
    <w:rsid w:val="00A97AD9"/>
    <w:rsid w:val="00A97B8F"/>
    <w:rsid w:val="00A97BAD"/>
    <w:rsid w:val="00A97D4F"/>
    <w:rsid w:val="00AA01CF"/>
    <w:rsid w:val="00AA04DC"/>
    <w:rsid w:val="00AA057D"/>
    <w:rsid w:val="00AA07A7"/>
    <w:rsid w:val="00AA0958"/>
    <w:rsid w:val="00AA0A2C"/>
    <w:rsid w:val="00AA0AAC"/>
    <w:rsid w:val="00AA0B6F"/>
    <w:rsid w:val="00AA0B81"/>
    <w:rsid w:val="00AA0B9F"/>
    <w:rsid w:val="00AA0BA3"/>
    <w:rsid w:val="00AA0BAB"/>
    <w:rsid w:val="00AA0CF3"/>
    <w:rsid w:val="00AA0DF7"/>
    <w:rsid w:val="00AA0F98"/>
    <w:rsid w:val="00AA10A4"/>
    <w:rsid w:val="00AA10DC"/>
    <w:rsid w:val="00AA126B"/>
    <w:rsid w:val="00AA139D"/>
    <w:rsid w:val="00AA14BB"/>
    <w:rsid w:val="00AA14E7"/>
    <w:rsid w:val="00AA153E"/>
    <w:rsid w:val="00AA15CC"/>
    <w:rsid w:val="00AA163A"/>
    <w:rsid w:val="00AA16BA"/>
    <w:rsid w:val="00AA16F9"/>
    <w:rsid w:val="00AA174C"/>
    <w:rsid w:val="00AA17C2"/>
    <w:rsid w:val="00AA17FD"/>
    <w:rsid w:val="00AA181A"/>
    <w:rsid w:val="00AA1897"/>
    <w:rsid w:val="00AA18AB"/>
    <w:rsid w:val="00AA1B8F"/>
    <w:rsid w:val="00AA1EB9"/>
    <w:rsid w:val="00AA203A"/>
    <w:rsid w:val="00AA208D"/>
    <w:rsid w:val="00AA20CE"/>
    <w:rsid w:val="00AA2164"/>
    <w:rsid w:val="00AA2182"/>
    <w:rsid w:val="00AA223F"/>
    <w:rsid w:val="00AA2282"/>
    <w:rsid w:val="00AA2323"/>
    <w:rsid w:val="00AA2329"/>
    <w:rsid w:val="00AA2407"/>
    <w:rsid w:val="00AA2438"/>
    <w:rsid w:val="00AA25BC"/>
    <w:rsid w:val="00AA2605"/>
    <w:rsid w:val="00AA2625"/>
    <w:rsid w:val="00AA2692"/>
    <w:rsid w:val="00AA26B7"/>
    <w:rsid w:val="00AA2712"/>
    <w:rsid w:val="00AA2754"/>
    <w:rsid w:val="00AA2767"/>
    <w:rsid w:val="00AA2AE2"/>
    <w:rsid w:val="00AA2EB1"/>
    <w:rsid w:val="00AA2F39"/>
    <w:rsid w:val="00AA3012"/>
    <w:rsid w:val="00AA3107"/>
    <w:rsid w:val="00AA3202"/>
    <w:rsid w:val="00AA3205"/>
    <w:rsid w:val="00AA32DF"/>
    <w:rsid w:val="00AA332B"/>
    <w:rsid w:val="00AA33C2"/>
    <w:rsid w:val="00AA345B"/>
    <w:rsid w:val="00AA3460"/>
    <w:rsid w:val="00AA3525"/>
    <w:rsid w:val="00AA37F0"/>
    <w:rsid w:val="00AA385B"/>
    <w:rsid w:val="00AA3910"/>
    <w:rsid w:val="00AA3993"/>
    <w:rsid w:val="00AA3A50"/>
    <w:rsid w:val="00AA3CFF"/>
    <w:rsid w:val="00AA3DCF"/>
    <w:rsid w:val="00AA3E13"/>
    <w:rsid w:val="00AA3E16"/>
    <w:rsid w:val="00AA3E89"/>
    <w:rsid w:val="00AA3F1F"/>
    <w:rsid w:val="00AA43FB"/>
    <w:rsid w:val="00AA45EB"/>
    <w:rsid w:val="00AA4834"/>
    <w:rsid w:val="00AA4854"/>
    <w:rsid w:val="00AA486B"/>
    <w:rsid w:val="00AA48BE"/>
    <w:rsid w:val="00AA4ACF"/>
    <w:rsid w:val="00AA4B9F"/>
    <w:rsid w:val="00AA4D65"/>
    <w:rsid w:val="00AA4E21"/>
    <w:rsid w:val="00AA4FA6"/>
    <w:rsid w:val="00AA4FAC"/>
    <w:rsid w:val="00AA5102"/>
    <w:rsid w:val="00AA51BE"/>
    <w:rsid w:val="00AA521A"/>
    <w:rsid w:val="00AA5444"/>
    <w:rsid w:val="00AA546C"/>
    <w:rsid w:val="00AA591B"/>
    <w:rsid w:val="00AA5932"/>
    <w:rsid w:val="00AA59E4"/>
    <w:rsid w:val="00AA5D2B"/>
    <w:rsid w:val="00AA5DF7"/>
    <w:rsid w:val="00AA5E3E"/>
    <w:rsid w:val="00AA5F8C"/>
    <w:rsid w:val="00AA5F8D"/>
    <w:rsid w:val="00AA5FB9"/>
    <w:rsid w:val="00AA6327"/>
    <w:rsid w:val="00AA649E"/>
    <w:rsid w:val="00AA6542"/>
    <w:rsid w:val="00AA6569"/>
    <w:rsid w:val="00AA65A2"/>
    <w:rsid w:val="00AA65DE"/>
    <w:rsid w:val="00AA6632"/>
    <w:rsid w:val="00AA67BB"/>
    <w:rsid w:val="00AA6A1E"/>
    <w:rsid w:val="00AA6C7D"/>
    <w:rsid w:val="00AA6C99"/>
    <w:rsid w:val="00AA6CB2"/>
    <w:rsid w:val="00AA6CDE"/>
    <w:rsid w:val="00AA6DDE"/>
    <w:rsid w:val="00AA7043"/>
    <w:rsid w:val="00AA707D"/>
    <w:rsid w:val="00AA712D"/>
    <w:rsid w:val="00AA71ED"/>
    <w:rsid w:val="00AA71F1"/>
    <w:rsid w:val="00AA7382"/>
    <w:rsid w:val="00AA7456"/>
    <w:rsid w:val="00AA74B4"/>
    <w:rsid w:val="00AA75B7"/>
    <w:rsid w:val="00AA763D"/>
    <w:rsid w:val="00AA76FE"/>
    <w:rsid w:val="00AA789F"/>
    <w:rsid w:val="00AA78CF"/>
    <w:rsid w:val="00AA792D"/>
    <w:rsid w:val="00AA7989"/>
    <w:rsid w:val="00AA7AF9"/>
    <w:rsid w:val="00AA7B0F"/>
    <w:rsid w:val="00AA7DB4"/>
    <w:rsid w:val="00AA7EF8"/>
    <w:rsid w:val="00AA7F89"/>
    <w:rsid w:val="00AB02CC"/>
    <w:rsid w:val="00AB03CF"/>
    <w:rsid w:val="00AB046E"/>
    <w:rsid w:val="00AB04A9"/>
    <w:rsid w:val="00AB04B2"/>
    <w:rsid w:val="00AB0778"/>
    <w:rsid w:val="00AB0B0E"/>
    <w:rsid w:val="00AB0B31"/>
    <w:rsid w:val="00AB0B8C"/>
    <w:rsid w:val="00AB0CE8"/>
    <w:rsid w:val="00AB0CFE"/>
    <w:rsid w:val="00AB0D4F"/>
    <w:rsid w:val="00AB0EA7"/>
    <w:rsid w:val="00AB105B"/>
    <w:rsid w:val="00AB1111"/>
    <w:rsid w:val="00AB1123"/>
    <w:rsid w:val="00AB11E3"/>
    <w:rsid w:val="00AB1200"/>
    <w:rsid w:val="00AB12ED"/>
    <w:rsid w:val="00AB151D"/>
    <w:rsid w:val="00AB15A1"/>
    <w:rsid w:val="00AB177B"/>
    <w:rsid w:val="00AB18A6"/>
    <w:rsid w:val="00AB18DB"/>
    <w:rsid w:val="00AB1C35"/>
    <w:rsid w:val="00AB1EB0"/>
    <w:rsid w:val="00AB1EB6"/>
    <w:rsid w:val="00AB1F7A"/>
    <w:rsid w:val="00AB1FC9"/>
    <w:rsid w:val="00AB204D"/>
    <w:rsid w:val="00AB227A"/>
    <w:rsid w:val="00AB2312"/>
    <w:rsid w:val="00AB250C"/>
    <w:rsid w:val="00AB2600"/>
    <w:rsid w:val="00AB266C"/>
    <w:rsid w:val="00AB26B6"/>
    <w:rsid w:val="00AB2714"/>
    <w:rsid w:val="00AB29B9"/>
    <w:rsid w:val="00AB2AE2"/>
    <w:rsid w:val="00AB2B42"/>
    <w:rsid w:val="00AB2B4A"/>
    <w:rsid w:val="00AB2B8E"/>
    <w:rsid w:val="00AB2BD7"/>
    <w:rsid w:val="00AB2D20"/>
    <w:rsid w:val="00AB2DE4"/>
    <w:rsid w:val="00AB320F"/>
    <w:rsid w:val="00AB3320"/>
    <w:rsid w:val="00AB33F7"/>
    <w:rsid w:val="00AB34E4"/>
    <w:rsid w:val="00AB36BF"/>
    <w:rsid w:val="00AB379A"/>
    <w:rsid w:val="00AB3834"/>
    <w:rsid w:val="00AB387F"/>
    <w:rsid w:val="00AB392C"/>
    <w:rsid w:val="00AB3A80"/>
    <w:rsid w:val="00AB3C64"/>
    <w:rsid w:val="00AB3D03"/>
    <w:rsid w:val="00AB3EF1"/>
    <w:rsid w:val="00AB3FE4"/>
    <w:rsid w:val="00AB410B"/>
    <w:rsid w:val="00AB42A1"/>
    <w:rsid w:val="00AB4336"/>
    <w:rsid w:val="00AB4B13"/>
    <w:rsid w:val="00AB4C84"/>
    <w:rsid w:val="00AB4D39"/>
    <w:rsid w:val="00AB4D6B"/>
    <w:rsid w:val="00AB4E45"/>
    <w:rsid w:val="00AB4EFA"/>
    <w:rsid w:val="00AB4F2A"/>
    <w:rsid w:val="00AB4F92"/>
    <w:rsid w:val="00AB5022"/>
    <w:rsid w:val="00AB52CE"/>
    <w:rsid w:val="00AB55FA"/>
    <w:rsid w:val="00AB563E"/>
    <w:rsid w:val="00AB56DD"/>
    <w:rsid w:val="00AB5809"/>
    <w:rsid w:val="00AB5A55"/>
    <w:rsid w:val="00AB5A5E"/>
    <w:rsid w:val="00AB5A7E"/>
    <w:rsid w:val="00AB5C22"/>
    <w:rsid w:val="00AB5CDC"/>
    <w:rsid w:val="00AB5EAA"/>
    <w:rsid w:val="00AB5F7B"/>
    <w:rsid w:val="00AB6352"/>
    <w:rsid w:val="00AB6467"/>
    <w:rsid w:val="00AB6563"/>
    <w:rsid w:val="00AB663E"/>
    <w:rsid w:val="00AB682B"/>
    <w:rsid w:val="00AB684F"/>
    <w:rsid w:val="00AB68E1"/>
    <w:rsid w:val="00AB692D"/>
    <w:rsid w:val="00AB696C"/>
    <w:rsid w:val="00AB69A9"/>
    <w:rsid w:val="00AB6C06"/>
    <w:rsid w:val="00AB6C71"/>
    <w:rsid w:val="00AB6C83"/>
    <w:rsid w:val="00AB6CD0"/>
    <w:rsid w:val="00AB6D28"/>
    <w:rsid w:val="00AB6F3F"/>
    <w:rsid w:val="00AB6FB3"/>
    <w:rsid w:val="00AB70AE"/>
    <w:rsid w:val="00AB70DE"/>
    <w:rsid w:val="00AB71BF"/>
    <w:rsid w:val="00AB7248"/>
    <w:rsid w:val="00AB72E1"/>
    <w:rsid w:val="00AB7313"/>
    <w:rsid w:val="00AB7352"/>
    <w:rsid w:val="00AB73AC"/>
    <w:rsid w:val="00AB74F5"/>
    <w:rsid w:val="00AB7567"/>
    <w:rsid w:val="00AB75A3"/>
    <w:rsid w:val="00AB75A4"/>
    <w:rsid w:val="00AB75B5"/>
    <w:rsid w:val="00AB76C7"/>
    <w:rsid w:val="00AB772A"/>
    <w:rsid w:val="00AB7F73"/>
    <w:rsid w:val="00AC0052"/>
    <w:rsid w:val="00AC025B"/>
    <w:rsid w:val="00AC031D"/>
    <w:rsid w:val="00AC0362"/>
    <w:rsid w:val="00AC03AD"/>
    <w:rsid w:val="00AC03CF"/>
    <w:rsid w:val="00AC054B"/>
    <w:rsid w:val="00AC0586"/>
    <w:rsid w:val="00AC05BC"/>
    <w:rsid w:val="00AC089A"/>
    <w:rsid w:val="00AC0BB3"/>
    <w:rsid w:val="00AC0D27"/>
    <w:rsid w:val="00AC0E9C"/>
    <w:rsid w:val="00AC0F1E"/>
    <w:rsid w:val="00AC0FCC"/>
    <w:rsid w:val="00AC101A"/>
    <w:rsid w:val="00AC109E"/>
    <w:rsid w:val="00AC1271"/>
    <w:rsid w:val="00AC14E7"/>
    <w:rsid w:val="00AC158F"/>
    <w:rsid w:val="00AC15A9"/>
    <w:rsid w:val="00AC16C4"/>
    <w:rsid w:val="00AC1736"/>
    <w:rsid w:val="00AC185E"/>
    <w:rsid w:val="00AC1999"/>
    <w:rsid w:val="00AC1A31"/>
    <w:rsid w:val="00AC1C30"/>
    <w:rsid w:val="00AC1CF7"/>
    <w:rsid w:val="00AC1D86"/>
    <w:rsid w:val="00AC1E76"/>
    <w:rsid w:val="00AC2622"/>
    <w:rsid w:val="00AC275A"/>
    <w:rsid w:val="00AC280D"/>
    <w:rsid w:val="00AC2890"/>
    <w:rsid w:val="00AC2990"/>
    <w:rsid w:val="00AC2B65"/>
    <w:rsid w:val="00AC2C00"/>
    <w:rsid w:val="00AC2CC4"/>
    <w:rsid w:val="00AC2D12"/>
    <w:rsid w:val="00AC2DFF"/>
    <w:rsid w:val="00AC2FB4"/>
    <w:rsid w:val="00AC3130"/>
    <w:rsid w:val="00AC3277"/>
    <w:rsid w:val="00AC3279"/>
    <w:rsid w:val="00AC32E0"/>
    <w:rsid w:val="00AC335C"/>
    <w:rsid w:val="00AC3438"/>
    <w:rsid w:val="00AC36C1"/>
    <w:rsid w:val="00AC37F8"/>
    <w:rsid w:val="00AC39AB"/>
    <w:rsid w:val="00AC39E8"/>
    <w:rsid w:val="00AC3D25"/>
    <w:rsid w:val="00AC4205"/>
    <w:rsid w:val="00AC46F9"/>
    <w:rsid w:val="00AC47D6"/>
    <w:rsid w:val="00AC47DC"/>
    <w:rsid w:val="00AC4960"/>
    <w:rsid w:val="00AC4980"/>
    <w:rsid w:val="00AC4A8C"/>
    <w:rsid w:val="00AC4B61"/>
    <w:rsid w:val="00AC4BF6"/>
    <w:rsid w:val="00AC4C07"/>
    <w:rsid w:val="00AC4D19"/>
    <w:rsid w:val="00AC4D5C"/>
    <w:rsid w:val="00AC4E19"/>
    <w:rsid w:val="00AC4F5E"/>
    <w:rsid w:val="00AC5232"/>
    <w:rsid w:val="00AC5275"/>
    <w:rsid w:val="00AC545E"/>
    <w:rsid w:val="00AC54A6"/>
    <w:rsid w:val="00AC554F"/>
    <w:rsid w:val="00AC55BC"/>
    <w:rsid w:val="00AC5631"/>
    <w:rsid w:val="00AC56B4"/>
    <w:rsid w:val="00AC5757"/>
    <w:rsid w:val="00AC581E"/>
    <w:rsid w:val="00AC5849"/>
    <w:rsid w:val="00AC592C"/>
    <w:rsid w:val="00AC5A59"/>
    <w:rsid w:val="00AC5BDB"/>
    <w:rsid w:val="00AC5CA8"/>
    <w:rsid w:val="00AC5E28"/>
    <w:rsid w:val="00AC5E4A"/>
    <w:rsid w:val="00AC5F17"/>
    <w:rsid w:val="00AC610D"/>
    <w:rsid w:val="00AC6141"/>
    <w:rsid w:val="00AC6321"/>
    <w:rsid w:val="00AC63F2"/>
    <w:rsid w:val="00AC650B"/>
    <w:rsid w:val="00AC650C"/>
    <w:rsid w:val="00AC6527"/>
    <w:rsid w:val="00AC666A"/>
    <w:rsid w:val="00AC6946"/>
    <w:rsid w:val="00AC69E0"/>
    <w:rsid w:val="00AC6BE5"/>
    <w:rsid w:val="00AC6C19"/>
    <w:rsid w:val="00AC6C5E"/>
    <w:rsid w:val="00AC6DCF"/>
    <w:rsid w:val="00AC7066"/>
    <w:rsid w:val="00AC70FE"/>
    <w:rsid w:val="00AC7158"/>
    <w:rsid w:val="00AC727D"/>
    <w:rsid w:val="00AC737A"/>
    <w:rsid w:val="00AC7663"/>
    <w:rsid w:val="00AC769C"/>
    <w:rsid w:val="00AC771F"/>
    <w:rsid w:val="00AC776C"/>
    <w:rsid w:val="00AC786C"/>
    <w:rsid w:val="00AC78A2"/>
    <w:rsid w:val="00AC79D1"/>
    <w:rsid w:val="00AC7B9B"/>
    <w:rsid w:val="00AC7CDD"/>
    <w:rsid w:val="00AC7E0B"/>
    <w:rsid w:val="00AC7E72"/>
    <w:rsid w:val="00AC7EA5"/>
    <w:rsid w:val="00AC7EAF"/>
    <w:rsid w:val="00AC7EFB"/>
    <w:rsid w:val="00AD0079"/>
    <w:rsid w:val="00AD0099"/>
    <w:rsid w:val="00AD0262"/>
    <w:rsid w:val="00AD0302"/>
    <w:rsid w:val="00AD03D1"/>
    <w:rsid w:val="00AD07B0"/>
    <w:rsid w:val="00AD09B3"/>
    <w:rsid w:val="00AD0AD9"/>
    <w:rsid w:val="00AD0E2E"/>
    <w:rsid w:val="00AD11EE"/>
    <w:rsid w:val="00AD12F3"/>
    <w:rsid w:val="00AD1393"/>
    <w:rsid w:val="00AD14AD"/>
    <w:rsid w:val="00AD14DF"/>
    <w:rsid w:val="00AD1793"/>
    <w:rsid w:val="00AD17E7"/>
    <w:rsid w:val="00AD18C0"/>
    <w:rsid w:val="00AD1908"/>
    <w:rsid w:val="00AD1B6D"/>
    <w:rsid w:val="00AD1B8C"/>
    <w:rsid w:val="00AD1C8E"/>
    <w:rsid w:val="00AD1CB3"/>
    <w:rsid w:val="00AD1CE6"/>
    <w:rsid w:val="00AD1D9D"/>
    <w:rsid w:val="00AD1F33"/>
    <w:rsid w:val="00AD1F63"/>
    <w:rsid w:val="00AD1F7E"/>
    <w:rsid w:val="00AD1FA4"/>
    <w:rsid w:val="00AD2027"/>
    <w:rsid w:val="00AD2221"/>
    <w:rsid w:val="00AD22A4"/>
    <w:rsid w:val="00AD2341"/>
    <w:rsid w:val="00AD235A"/>
    <w:rsid w:val="00AD2800"/>
    <w:rsid w:val="00AD2B50"/>
    <w:rsid w:val="00AD2BCC"/>
    <w:rsid w:val="00AD2D16"/>
    <w:rsid w:val="00AD2DBF"/>
    <w:rsid w:val="00AD2E08"/>
    <w:rsid w:val="00AD2E56"/>
    <w:rsid w:val="00AD2E6B"/>
    <w:rsid w:val="00AD2EB6"/>
    <w:rsid w:val="00AD2FF7"/>
    <w:rsid w:val="00AD3058"/>
    <w:rsid w:val="00AD309D"/>
    <w:rsid w:val="00AD30C1"/>
    <w:rsid w:val="00AD30C9"/>
    <w:rsid w:val="00AD30DB"/>
    <w:rsid w:val="00AD316E"/>
    <w:rsid w:val="00AD31F0"/>
    <w:rsid w:val="00AD3292"/>
    <w:rsid w:val="00AD3296"/>
    <w:rsid w:val="00AD32ED"/>
    <w:rsid w:val="00AD331F"/>
    <w:rsid w:val="00AD3490"/>
    <w:rsid w:val="00AD36BE"/>
    <w:rsid w:val="00AD3980"/>
    <w:rsid w:val="00AD3981"/>
    <w:rsid w:val="00AD39EF"/>
    <w:rsid w:val="00AD3A54"/>
    <w:rsid w:val="00AD3CE4"/>
    <w:rsid w:val="00AD40B8"/>
    <w:rsid w:val="00AD40E4"/>
    <w:rsid w:val="00AD42D4"/>
    <w:rsid w:val="00AD43C5"/>
    <w:rsid w:val="00AD445A"/>
    <w:rsid w:val="00AD447A"/>
    <w:rsid w:val="00AD4548"/>
    <w:rsid w:val="00AD4725"/>
    <w:rsid w:val="00AD47F0"/>
    <w:rsid w:val="00AD48C0"/>
    <w:rsid w:val="00AD48E3"/>
    <w:rsid w:val="00AD4B35"/>
    <w:rsid w:val="00AD4BEE"/>
    <w:rsid w:val="00AD4CED"/>
    <w:rsid w:val="00AD4DA4"/>
    <w:rsid w:val="00AD508C"/>
    <w:rsid w:val="00AD5147"/>
    <w:rsid w:val="00AD514F"/>
    <w:rsid w:val="00AD5172"/>
    <w:rsid w:val="00AD52E1"/>
    <w:rsid w:val="00AD530E"/>
    <w:rsid w:val="00AD532E"/>
    <w:rsid w:val="00AD55AB"/>
    <w:rsid w:val="00AD5657"/>
    <w:rsid w:val="00AD56DE"/>
    <w:rsid w:val="00AD58B9"/>
    <w:rsid w:val="00AD5C39"/>
    <w:rsid w:val="00AD5D49"/>
    <w:rsid w:val="00AD5E66"/>
    <w:rsid w:val="00AD5F53"/>
    <w:rsid w:val="00AD5F58"/>
    <w:rsid w:val="00AD5F75"/>
    <w:rsid w:val="00AD6084"/>
    <w:rsid w:val="00AD6111"/>
    <w:rsid w:val="00AD61C5"/>
    <w:rsid w:val="00AD62CB"/>
    <w:rsid w:val="00AD6333"/>
    <w:rsid w:val="00AD63FA"/>
    <w:rsid w:val="00AD64FF"/>
    <w:rsid w:val="00AD650D"/>
    <w:rsid w:val="00AD6557"/>
    <w:rsid w:val="00AD67AB"/>
    <w:rsid w:val="00AD67EE"/>
    <w:rsid w:val="00AD682E"/>
    <w:rsid w:val="00AD692B"/>
    <w:rsid w:val="00AD6A9A"/>
    <w:rsid w:val="00AD6C80"/>
    <w:rsid w:val="00AD6D9C"/>
    <w:rsid w:val="00AD6E2A"/>
    <w:rsid w:val="00AD6ECB"/>
    <w:rsid w:val="00AD706D"/>
    <w:rsid w:val="00AD756A"/>
    <w:rsid w:val="00AD757D"/>
    <w:rsid w:val="00AD76F1"/>
    <w:rsid w:val="00AD7B35"/>
    <w:rsid w:val="00AD7DBE"/>
    <w:rsid w:val="00AD7FC5"/>
    <w:rsid w:val="00AE0135"/>
    <w:rsid w:val="00AE01F1"/>
    <w:rsid w:val="00AE0249"/>
    <w:rsid w:val="00AE0258"/>
    <w:rsid w:val="00AE0384"/>
    <w:rsid w:val="00AE03E1"/>
    <w:rsid w:val="00AE0445"/>
    <w:rsid w:val="00AE044E"/>
    <w:rsid w:val="00AE0497"/>
    <w:rsid w:val="00AE05E0"/>
    <w:rsid w:val="00AE0651"/>
    <w:rsid w:val="00AE07EE"/>
    <w:rsid w:val="00AE0AE2"/>
    <w:rsid w:val="00AE0B39"/>
    <w:rsid w:val="00AE0BAF"/>
    <w:rsid w:val="00AE0D80"/>
    <w:rsid w:val="00AE0F26"/>
    <w:rsid w:val="00AE1361"/>
    <w:rsid w:val="00AE13F7"/>
    <w:rsid w:val="00AE1459"/>
    <w:rsid w:val="00AE1474"/>
    <w:rsid w:val="00AE1634"/>
    <w:rsid w:val="00AE1674"/>
    <w:rsid w:val="00AE171C"/>
    <w:rsid w:val="00AE17B4"/>
    <w:rsid w:val="00AE17CB"/>
    <w:rsid w:val="00AE1905"/>
    <w:rsid w:val="00AE1C3C"/>
    <w:rsid w:val="00AE1C78"/>
    <w:rsid w:val="00AE1E3A"/>
    <w:rsid w:val="00AE2038"/>
    <w:rsid w:val="00AE20C4"/>
    <w:rsid w:val="00AE214A"/>
    <w:rsid w:val="00AE2464"/>
    <w:rsid w:val="00AE247E"/>
    <w:rsid w:val="00AE25D1"/>
    <w:rsid w:val="00AE2604"/>
    <w:rsid w:val="00AE2745"/>
    <w:rsid w:val="00AE274B"/>
    <w:rsid w:val="00AE2819"/>
    <w:rsid w:val="00AE2ABE"/>
    <w:rsid w:val="00AE2AEB"/>
    <w:rsid w:val="00AE2C86"/>
    <w:rsid w:val="00AE2CCE"/>
    <w:rsid w:val="00AE2D5C"/>
    <w:rsid w:val="00AE2E02"/>
    <w:rsid w:val="00AE2F08"/>
    <w:rsid w:val="00AE317C"/>
    <w:rsid w:val="00AE325A"/>
    <w:rsid w:val="00AE328A"/>
    <w:rsid w:val="00AE345A"/>
    <w:rsid w:val="00AE34D1"/>
    <w:rsid w:val="00AE365E"/>
    <w:rsid w:val="00AE3661"/>
    <w:rsid w:val="00AE3798"/>
    <w:rsid w:val="00AE3816"/>
    <w:rsid w:val="00AE387C"/>
    <w:rsid w:val="00AE3ECA"/>
    <w:rsid w:val="00AE3EEF"/>
    <w:rsid w:val="00AE3F55"/>
    <w:rsid w:val="00AE4048"/>
    <w:rsid w:val="00AE410F"/>
    <w:rsid w:val="00AE414A"/>
    <w:rsid w:val="00AE41BC"/>
    <w:rsid w:val="00AE431C"/>
    <w:rsid w:val="00AE47B7"/>
    <w:rsid w:val="00AE47D1"/>
    <w:rsid w:val="00AE48CC"/>
    <w:rsid w:val="00AE48DE"/>
    <w:rsid w:val="00AE49C9"/>
    <w:rsid w:val="00AE4B88"/>
    <w:rsid w:val="00AE4C1B"/>
    <w:rsid w:val="00AE4C29"/>
    <w:rsid w:val="00AE4C3F"/>
    <w:rsid w:val="00AE4C52"/>
    <w:rsid w:val="00AE4D10"/>
    <w:rsid w:val="00AE5138"/>
    <w:rsid w:val="00AE515B"/>
    <w:rsid w:val="00AE523F"/>
    <w:rsid w:val="00AE5414"/>
    <w:rsid w:val="00AE54CE"/>
    <w:rsid w:val="00AE581D"/>
    <w:rsid w:val="00AE59A7"/>
    <w:rsid w:val="00AE59D9"/>
    <w:rsid w:val="00AE5B83"/>
    <w:rsid w:val="00AE5E21"/>
    <w:rsid w:val="00AE5E47"/>
    <w:rsid w:val="00AE5E7B"/>
    <w:rsid w:val="00AE5F10"/>
    <w:rsid w:val="00AE5F48"/>
    <w:rsid w:val="00AE5FFB"/>
    <w:rsid w:val="00AE6061"/>
    <w:rsid w:val="00AE60DE"/>
    <w:rsid w:val="00AE610F"/>
    <w:rsid w:val="00AE614A"/>
    <w:rsid w:val="00AE636A"/>
    <w:rsid w:val="00AE646E"/>
    <w:rsid w:val="00AE6475"/>
    <w:rsid w:val="00AE647E"/>
    <w:rsid w:val="00AE6528"/>
    <w:rsid w:val="00AE6601"/>
    <w:rsid w:val="00AE66E8"/>
    <w:rsid w:val="00AE67C8"/>
    <w:rsid w:val="00AE67CA"/>
    <w:rsid w:val="00AE68BF"/>
    <w:rsid w:val="00AE6BCC"/>
    <w:rsid w:val="00AE6C38"/>
    <w:rsid w:val="00AE6D23"/>
    <w:rsid w:val="00AE6E93"/>
    <w:rsid w:val="00AE6FD9"/>
    <w:rsid w:val="00AE702B"/>
    <w:rsid w:val="00AE7230"/>
    <w:rsid w:val="00AE73F0"/>
    <w:rsid w:val="00AE7450"/>
    <w:rsid w:val="00AE75A0"/>
    <w:rsid w:val="00AE75EB"/>
    <w:rsid w:val="00AE7724"/>
    <w:rsid w:val="00AE7740"/>
    <w:rsid w:val="00AE77CA"/>
    <w:rsid w:val="00AE7851"/>
    <w:rsid w:val="00AE7893"/>
    <w:rsid w:val="00AE78DF"/>
    <w:rsid w:val="00AE7CAA"/>
    <w:rsid w:val="00AE7D75"/>
    <w:rsid w:val="00AF0194"/>
    <w:rsid w:val="00AF02EE"/>
    <w:rsid w:val="00AF0456"/>
    <w:rsid w:val="00AF0469"/>
    <w:rsid w:val="00AF0494"/>
    <w:rsid w:val="00AF0613"/>
    <w:rsid w:val="00AF0647"/>
    <w:rsid w:val="00AF06C6"/>
    <w:rsid w:val="00AF06D0"/>
    <w:rsid w:val="00AF0B1A"/>
    <w:rsid w:val="00AF0C8D"/>
    <w:rsid w:val="00AF1171"/>
    <w:rsid w:val="00AF12F4"/>
    <w:rsid w:val="00AF13AF"/>
    <w:rsid w:val="00AF13BC"/>
    <w:rsid w:val="00AF13F3"/>
    <w:rsid w:val="00AF1444"/>
    <w:rsid w:val="00AF1A76"/>
    <w:rsid w:val="00AF1B83"/>
    <w:rsid w:val="00AF1BBF"/>
    <w:rsid w:val="00AF1D63"/>
    <w:rsid w:val="00AF201F"/>
    <w:rsid w:val="00AF2129"/>
    <w:rsid w:val="00AF22A9"/>
    <w:rsid w:val="00AF23E0"/>
    <w:rsid w:val="00AF27F8"/>
    <w:rsid w:val="00AF2810"/>
    <w:rsid w:val="00AF28D6"/>
    <w:rsid w:val="00AF2A93"/>
    <w:rsid w:val="00AF2B72"/>
    <w:rsid w:val="00AF2B8A"/>
    <w:rsid w:val="00AF2BAE"/>
    <w:rsid w:val="00AF2CE0"/>
    <w:rsid w:val="00AF2DF8"/>
    <w:rsid w:val="00AF3014"/>
    <w:rsid w:val="00AF32B4"/>
    <w:rsid w:val="00AF343A"/>
    <w:rsid w:val="00AF36BC"/>
    <w:rsid w:val="00AF3801"/>
    <w:rsid w:val="00AF39CC"/>
    <w:rsid w:val="00AF3AB1"/>
    <w:rsid w:val="00AF3B68"/>
    <w:rsid w:val="00AF3C7B"/>
    <w:rsid w:val="00AF3D52"/>
    <w:rsid w:val="00AF3F19"/>
    <w:rsid w:val="00AF3FAB"/>
    <w:rsid w:val="00AF3FC0"/>
    <w:rsid w:val="00AF40B3"/>
    <w:rsid w:val="00AF40D5"/>
    <w:rsid w:val="00AF40F2"/>
    <w:rsid w:val="00AF427B"/>
    <w:rsid w:val="00AF439C"/>
    <w:rsid w:val="00AF43B5"/>
    <w:rsid w:val="00AF44EA"/>
    <w:rsid w:val="00AF4528"/>
    <w:rsid w:val="00AF4672"/>
    <w:rsid w:val="00AF46DA"/>
    <w:rsid w:val="00AF4757"/>
    <w:rsid w:val="00AF4776"/>
    <w:rsid w:val="00AF4935"/>
    <w:rsid w:val="00AF49EA"/>
    <w:rsid w:val="00AF4AAE"/>
    <w:rsid w:val="00AF4BC2"/>
    <w:rsid w:val="00AF4CBE"/>
    <w:rsid w:val="00AF4E5F"/>
    <w:rsid w:val="00AF4FC8"/>
    <w:rsid w:val="00AF5119"/>
    <w:rsid w:val="00AF527D"/>
    <w:rsid w:val="00AF537C"/>
    <w:rsid w:val="00AF53B3"/>
    <w:rsid w:val="00AF56E9"/>
    <w:rsid w:val="00AF5843"/>
    <w:rsid w:val="00AF5871"/>
    <w:rsid w:val="00AF5A4D"/>
    <w:rsid w:val="00AF5AA2"/>
    <w:rsid w:val="00AF5B43"/>
    <w:rsid w:val="00AF5D0C"/>
    <w:rsid w:val="00AF5D37"/>
    <w:rsid w:val="00AF5D5C"/>
    <w:rsid w:val="00AF5F5D"/>
    <w:rsid w:val="00AF60C6"/>
    <w:rsid w:val="00AF6125"/>
    <w:rsid w:val="00AF626A"/>
    <w:rsid w:val="00AF6289"/>
    <w:rsid w:val="00AF62F7"/>
    <w:rsid w:val="00AF632D"/>
    <w:rsid w:val="00AF63EE"/>
    <w:rsid w:val="00AF63FC"/>
    <w:rsid w:val="00AF6485"/>
    <w:rsid w:val="00AF66B4"/>
    <w:rsid w:val="00AF696D"/>
    <w:rsid w:val="00AF6A0E"/>
    <w:rsid w:val="00AF6D3E"/>
    <w:rsid w:val="00AF7106"/>
    <w:rsid w:val="00AF712A"/>
    <w:rsid w:val="00AF71D5"/>
    <w:rsid w:val="00AF724A"/>
    <w:rsid w:val="00AF73A5"/>
    <w:rsid w:val="00AF73CD"/>
    <w:rsid w:val="00AF7480"/>
    <w:rsid w:val="00AF76BA"/>
    <w:rsid w:val="00AF771F"/>
    <w:rsid w:val="00AF77E2"/>
    <w:rsid w:val="00AF784E"/>
    <w:rsid w:val="00AF7B94"/>
    <w:rsid w:val="00AF7BEB"/>
    <w:rsid w:val="00AF7E67"/>
    <w:rsid w:val="00AF7EE1"/>
    <w:rsid w:val="00B000FC"/>
    <w:rsid w:val="00B001F5"/>
    <w:rsid w:val="00B002B1"/>
    <w:rsid w:val="00B00429"/>
    <w:rsid w:val="00B00535"/>
    <w:rsid w:val="00B00551"/>
    <w:rsid w:val="00B005A1"/>
    <w:rsid w:val="00B005AB"/>
    <w:rsid w:val="00B0075B"/>
    <w:rsid w:val="00B007F5"/>
    <w:rsid w:val="00B00815"/>
    <w:rsid w:val="00B00837"/>
    <w:rsid w:val="00B00860"/>
    <w:rsid w:val="00B0091F"/>
    <w:rsid w:val="00B00C17"/>
    <w:rsid w:val="00B00CE5"/>
    <w:rsid w:val="00B00E0D"/>
    <w:rsid w:val="00B010AB"/>
    <w:rsid w:val="00B010FA"/>
    <w:rsid w:val="00B011D3"/>
    <w:rsid w:val="00B01479"/>
    <w:rsid w:val="00B0179F"/>
    <w:rsid w:val="00B017B1"/>
    <w:rsid w:val="00B018EF"/>
    <w:rsid w:val="00B019F7"/>
    <w:rsid w:val="00B01AA1"/>
    <w:rsid w:val="00B01AD9"/>
    <w:rsid w:val="00B01B56"/>
    <w:rsid w:val="00B01B9A"/>
    <w:rsid w:val="00B01C7A"/>
    <w:rsid w:val="00B01C94"/>
    <w:rsid w:val="00B01E18"/>
    <w:rsid w:val="00B020A0"/>
    <w:rsid w:val="00B021DB"/>
    <w:rsid w:val="00B022D0"/>
    <w:rsid w:val="00B022E1"/>
    <w:rsid w:val="00B0235C"/>
    <w:rsid w:val="00B024D9"/>
    <w:rsid w:val="00B0264A"/>
    <w:rsid w:val="00B026E6"/>
    <w:rsid w:val="00B027A8"/>
    <w:rsid w:val="00B02AD9"/>
    <w:rsid w:val="00B02CFB"/>
    <w:rsid w:val="00B02D88"/>
    <w:rsid w:val="00B02E0F"/>
    <w:rsid w:val="00B02E28"/>
    <w:rsid w:val="00B02E97"/>
    <w:rsid w:val="00B02FAE"/>
    <w:rsid w:val="00B0304C"/>
    <w:rsid w:val="00B0311F"/>
    <w:rsid w:val="00B0323A"/>
    <w:rsid w:val="00B033B3"/>
    <w:rsid w:val="00B033E9"/>
    <w:rsid w:val="00B03725"/>
    <w:rsid w:val="00B0390A"/>
    <w:rsid w:val="00B039FB"/>
    <w:rsid w:val="00B03B26"/>
    <w:rsid w:val="00B03C79"/>
    <w:rsid w:val="00B03CDC"/>
    <w:rsid w:val="00B03CF5"/>
    <w:rsid w:val="00B03E0C"/>
    <w:rsid w:val="00B03EBE"/>
    <w:rsid w:val="00B03EC3"/>
    <w:rsid w:val="00B03ECB"/>
    <w:rsid w:val="00B040B5"/>
    <w:rsid w:val="00B04338"/>
    <w:rsid w:val="00B043A7"/>
    <w:rsid w:val="00B044D1"/>
    <w:rsid w:val="00B0459F"/>
    <w:rsid w:val="00B048D0"/>
    <w:rsid w:val="00B048DC"/>
    <w:rsid w:val="00B04932"/>
    <w:rsid w:val="00B04952"/>
    <w:rsid w:val="00B04A21"/>
    <w:rsid w:val="00B04A62"/>
    <w:rsid w:val="00B04D76"/>
    <w:rsid w:val="00B04DA6"/>
    <w:rsid w:val="00B04EC9"/>
    <w:rsid w:val="00B04F62"/>
    <w:rsid w:val="00B05212"/>
    <w:rsid w:val="00B0543A"/>
    <w:rsid w:val="00B054BD"/>
    <w:rsid w:val="00B055C2"/>
    <w:rsid w:val="00B0566E"/>
    <w:rsid w:val="00B05881"/>
    <w:rsid w:val="00B05A63"/>
    <w:rsid w:val="00B05C0E"/>
    <w:rsid w:val="00B05D75"/>
    <w:rsid w:val="00B05EA0"/>
    <w:rsid w:val="00B061DF"/>
    <w:rsid w:val="00B0622F"/>
    <w:rsid w:val="00B06426"/>
    <w:rsid w:val="00B06435"/>
    <w:rsid w:val="00B064B8"/>
    <w:rsid w:val="00B06573"/>
    <w:rsid w:val="00B066B9"/>
    <w:rsid w:val="00B0681B"/>
    <w:rsid w:val="00B06A54"/>
    <w:rsid w:val="00B06BAF"/>
    <w:rsid w:val="00B06C6D"/>
    <w:rsid w:val="00B06CA9"/>
    <w:rsid w:val="00B06D17"/>
    <w:rsid w:val="00B06DDB"/>
    <w:rsid w:val="00B06F07"/>
    <w:rsid w:val="00B070D2"/>
    <w:rsid w:val="00B071B5"/>
    <w:rsid w:val="00B07240"/>
    <w:rsid w:val="00B072D4"/>
    <w:rsid w:val="00B0740D"/>
    <w:rsid w:val="00B07430"/>
    <w:rsid w:val="00B07469"/>
    <w:rsid w:val="00B0763F"/>
    <w:rsid w:val="00B07687"/>
    <w:rsid w:val="00B076DD"/>
    <w:rsid w:val="00B076EC"/>
    <w:rsid w:val="00B0774F"/>
    <w:rsid w:val="00B07A43"/>
    <w:rsid w:val="00B07A89"/>
    <w:rsid w:val="00B07B2B"/>
    <w:rsid w:val="00B07BD0"/>
    <w:rsid w:val="00B07C01"/>
    <w:rsid w:val="00B07FA6"/>
    <w:rsid w:val="00B1002B"/>
    <w:rsid w:val="00B10298"/>
    <w:rsid w:val="00B1035B"/>
    <w:rsid w:val="00B1044F"/>
    <w:rsid w:val="00B10594"/>
    <w:rsid w:val="00B1062A"/>
    <w:rsid w:val="00B1069A"/>
    <w:rsid w:val="00B106D1"/>
    <w:rsid w:val="00B108E0"/>
    <w:rsid w:val="00B10BED"/>
    <w:rsid w:val="00B10C22"/>
    <w:rsid w:val="00B10C4F"/>
    <w:rsid w:val="00B10DC2"/>
    <w:rsid w:val="00B10E2D"/>
    <w:rsid w:val="00B10E94"/>
    <w:rsid w:val="00B10EBB"/>
    <w:rsid w:val="00B10EEE"/>
    <w:rsid w:val="00B11081"/>
    <w:rsid w:val="00B111E9"/>
    <w:rsid w:val="00B1141D"/>
    <w:rsid w:val="00B11577"/>
    <w:rsid w:val="00B115EE"/>
    <w:rsid w:val="00B116C3"/>
    <w:rsid w:val="00B118D6"/>
    <w:rsid w:val="00B11A24"/>
    <w:rsid w:val="00B11B0A"/>
    <w:rsid w:val="00B11D11"/>
    <w:rsid w:val="00B11D14"/>
    <w:rsid w:val="00B11D2D"/>
    <w:rsid w:val="00B11F65"/>
    <w:rsid w:val="00B1206A"/>
    <w:rsid w:val="00B120CC"/>
    <w:rsid w:val="00B121C1"/>
    <w:rsid w:val="00B12440"/>
    <w:rsid w:val="00B126D3"/>
    <w:rsid w:val="00B126EB"/>
    <w:rsid w:val="00B12793"/>
    <w:rsid w:val="00B127F4"/>
    <w:rsid w:val="00B1295C"/>
    <w:rsid w:val="00B12E00"/>
    <w:rsid w:val="00B12E9B"/>
    <w:rsid w:val="00B12EB4"/>
    <w:rsid w:val="00B12EB9"/>
    <w:rsid w:val="00B12F0E"/>
    <w:rsid w:val="00B12F76"/>
    <w:rsid w:val="00B12FA7"/>
    <w:rsid w:val="00B1363E"/>
    <w:rsid w:val="00B13725"/>
    <w:rsid w:val="00B1373B"/>
    <w:rsid w:val="00B13801"/>
    <w:rsid w:val="00B138BD"/>
    <w:rsid w:val="00B13901"/>
    <w:rsid w:val="00B13952"/>
    <w:rsid w:val="00B13BCA"/>
    <w:rsid w:val="00B13C29"/>
    <w:rsid w:val="00B13F5D"/>
    <w:rsid w:val="00B14046"/>
    <w:rsid w:val="00B140F8"/>
    <w:rsid w:val="00B1425D"/>
    <w:rsid w:val="00B14452"/>
    <w:rsid w:val="00B1452E"/>
    <w:rsid w:val="00B1459B"/>
    <w:rsid w:val="00B146B1"/>
    <w:rsid w:val="00B146DA"/>
    <w:rsid w:val="00B147C9"/>
    <w:rsid w:val="00B14996"/>
    <w:rsid w:val="00B14A3B"/>
    <w:rsid w:val="00B14B8F"/>
    <w:rsid w:val="00B14C21"/>
    <w:rsid w:val="00B14D24"/>
    <w:rsid w:val="00B14D8C"/>
    <w:rsid w:val="00B14D9E"/>
    <w:rsid w:val="00B14EEE"/>
    <w:rsid w:val="00B14F2E"/>
    <w:rsid w:val="00B14F9C"/>
    <w:rsid w:val="00B14FA6"/>
    <w:rsid w:val="00B15099"/>
    <w:rsid w:val="00B150CB"/>
    <w:rsid w:val="00B150D9"/>
    <w:rsid w:val="00B15114"/>
    <w:rsid w:val="00B1522E"/>
    <w:rsid w:val="00B152B3"/>
    <w:rsid w:val="00B15370"/>
    <w:rsid w:val="00B1550A"/>
    <w:rsid w:val="00B15553"/>
    <w:rsid w:val="00B156A8"/>
    <w:rsid w:val="00B15914"/>
    <w:rsid w:val="00B15981"/>
    <w:rsid w:val="00B15A91"/>
    <w:rsid w:val="00B15B1B"/>
    <w:rsid w:val="00B15CE0"/>
    <w:rsid w:val="00B1603D"/>
    <w:rsid w:val="00B16106"/>
    <w:rsid w:val="00B162E4"/>
    <w:rsid w:val="00B16314"/>
    <w:rsid w:val="00B16443"/>
    <w:rsid w:val="00B16460"/>
    <w:rsid w:val="00B164B7"/>
    <w:rsid w:val="00B16629"/>
    <w:rsid w:val="00B166A4"/>
    <w:rsid w:val="00B167EC"/>
    <w:rsid w:val="00B16803"/>
    <w:rsid w:val="00B1680B"/>
    <w:rsid w:val="00B1687E"/>
    <w:rsid w:val="00B16986"/>
    <w:rsid w:val="00B16ADD"/>
    <w:rsid w:val="00B16B84"/>
    <w:rsid w:val="00B16B8B"/>
    <w:rsid w:val="00B16BED"/>
    <w:rsid w:val="00B16C8C"/>
    <w:rsid w:val="00B16D8C"/>
    <w:rsid w:val="00B16DDE"/>
    <w:rsid w:val="00B171E2"/>
    <w:rsid w:val="00B1736E"/>
    <w:rsid w:val="00B176B5"/>
    <w:rsid w:val="00B176EB"/>
    <w:rsid w:val="00B17703"/>
    <w:rsid w:val="00B177E0"/>
    <w:rsid w:val="00B1787B"/>
    <w:rsid w:val="00B178D5"/>
    <w:rsid w:val="00B1795C"/>
    <w:rsid w:val="00B179C4"/>
    <w:rsid w:val="00B17AAF"/>
    <w:rsid w:val="00B17BC0"/>
    <w:rsid w:val="00B17C4A"/>
    <w:rsid w:val="00B17CBB"/>
    <w:rsid w:val="00B17E9E"/>
    <w:rsid w:val="00B20136"/>
    <w:rsid w:val="00B2022D"/>
    <w:rsid w:val="00B20424"/>
    <w:rsid w:val="00B2045F"/>
    <w:rsid w:val="00B20546"/>
    <w:rsid w:val="00B2056C"/>
    <w:rsid w:val="00B20691"/>
    <w:rsid w:val="00B2072D"/>
    <w:rsid w:val="00B20764"/>
    <w:rsid w:val="00B2078F"/>
    <w:rsid w:val="00B207E3"/>
    <w:rsid w:val="00B20880"/>
    <w:rsid w:val="00B208A5"/>
    <w:rsid w:val="00B208F3"/>
    <w:rsid w:val="00B20A2D"/>
    <w:rsid w:val="00B20C74"/>
    <w:rsid w:val="00B20DE0"/>
    <w:rsid w:val="00B21001"/>
    <w:rsid w:val="00B211E0"/>
    <w:rsid w:val="00B2142C"/>
    <w:rsid w:val="00B2147C"/>
    <w:rsid w:val="00B2157D"/>
    <w:rsid w:val="00B21590"/>
    <w:rsid w:val="00B219A8"/>
    <w:rsid w:val="00B21BB5"/>
    <w:rsid w:val="00B21C7C"/>
    <w:rsid w:val="00B22020"/>
    <w:rsid w:val="00B220E7"/>
    <w:rsid w:val="00B221D9"/>
    <w:rsid w:val="00B221F6"/>
    <w:rsid w:val="00B22300"/>
    <w:rsid w:val="00B22342"/>
    <w:rsid w:val="00B226A7"/>
    <w:rsid w:val="00B22835"/>
    <w:rsid w:val="00B22BCC"/>
    <w:rsid w:val="00B22C85"/>
    <w:rsid w:val="00B22D53"/>
    <w:rsid w:val="00B22D75"/>
    <w:rsid w:val="00B22DD1"/>
    <w:rsid w:val="00B22E75"/>
    <w:rsid w:val="00B22F73"/>
    <w:rsid w:val="00B22FC3"/>
    <w:rsid w:val="00B22FFD"/>
    <w:rsid w:val="00B23142"/>
    <w:rsid w:val="00B232DC"/>
    <w:rsid w:val="00B23408"/>
    <w:rsid w:val="00B234BD"/>
    <w:rsid w:val="00B234DE"/>
    <w:rsid w:val="00B235E2"/>
    <w:rsid w:val="00B236BA"/>
    <w:rsid w:val="00B237EF"/>
    <w:rsid w:val="00B23837"/>
    <w:rsid w:val="00B23885"/>
    <w:rsid w:val="00B23906"/>
    <w:rsid w:val="00B23A3E"/>
    <w:rsid w:val="00B23A4D"/>
    <w:rsid w:val="00B23A65"/>
    <w:rsid w:val="00B23ABB"/>
    <w:rsid w:val="00B23B63"/>
    <w:rsid w:val="00B23BD9"/>
    <w:rsid w:val="00B23C0A"/>
    <w:rsid w:val="00B23C2C"/>
    <w:rsid w:val="00B23D11"/>
    <w:rsid w:val="00B23EE2"/>
    <w:rsid w:val="00B23F9D"/>
    <w:rsid w:val="00B24009"/>
    <w:rsid w:val="00B24050"/>
    <w:rsid w:val="00B240F7"/>
    <w:rsid w:val="00B2420C"/>
    <w:rsid w:val="00B243F2"/>
    <w:rsid w:val="00B24432"/>
    <w:rsid w:val="00B2444E"/>
    <w:rsid w:val="00B245A2"/>
    <w:rsid w:val="00B2481B"/>
    <w:rsid w:val="00B249C9"/>
    <w:rsid w:val="00B24CD2"/>
    <w:rsid w:val="00B24D2D"/>
    <w:rsid w:val="00B24D7E"/>
    <w:rsid w:val="00B24E75"/>
    <w:rsid w:val="00B24EDE"/>
    <w:rsid w:val="00B24F46"/>
    <w:rsid w:val="00B24F6A"/>
    <w:rsid w:val="00B253CC"/>
    <w:rsid w:val="00B25684"/>
    <w:rsid w:val="00B259D7"/>
    <w:rsid w:val="00B25B41"/>
    <w:rsid w:val="00B25B89"/>
    <w:rsid w:val="00B25E68"/>
    <w:rsid w:val="00B25FF8"/>
    <w:rsid w:val="00B26022"/>
    <w:rsid w:val="00B26024"/>
    <w:rsid w:val="00B2604D"/>
    <w:rsid w:val="00B263BA"/>
    <w:rsid w:val="00B26404"/>
    <w:rsid w:val="00B26414"/>
    <w:rsid w:val="00B26798"/>
    <w:rsid w:val="00B268F8"/>
    <w:rsid w:val="00B26A59"/>
    <w:rsid w:val="00B26C00"/>
    <w:rsid w:val="00B26C81"/>
    <w:rsid w:val="00B26CF9"/>
    <w:rsid w:val="00B26D0C"/>
    <w:rsid w:val="00B26DF7"/>
    <w:rsid w:val="00B26F44"/>
    <w:rsid w:val="00B273E8"/>
    <w:rsid w:val="00B273EC"/>
    <w:rsid w:val="00B274B6"/>
    <w:rsid w:val="00B274EE"/>
    <w:rsid w:val="00B27847"/>
    <w:rsid w:val="00B278C3"/>
    <w:rsid w:val="00B27A25"/>
    <w:rsid w:val="00B27BFC"/>
    <w:rsid w:val="00B27D52"/>
    <w:rsid w:val="00B27E1F"/>
    <w:rsid w:val="00B27ED4"/>
    <w:rsid w:val="00B3005C"/>
    <w:rsid w:val="00B300ED"/>
    <w:rsid w:val="00B30183"/>
    <w:rsid w:val="00B301C6"/>
    <w:rsid w:val="00B3032F"/>
    <w:rsid w:val="00B3077D"/>
    <w:rsid w:val="00B30C86"/>
    <w:rsid w:val="00B30D3A"/>
    <w:rsid w:val="00B30E2B"/>
    <w:rsid w:val="00B30F0C"/>
    <w:rsid w:val="00B30F1B"/>
    <w:rsid w:val="00B30F46"/>
    <w:rsid w:val="00B31001"/>
    <w:rsid w:val="00B313FF"/>
    <w:rsid w:val="00B314CA"/>
    <w:rsid w:val="00B314D6"/>
    <w:rsid w:val="00B314E6"/>
    <w:rsid w:val="00B31544"/>
    <w:rsid w:val="00B3160D"/>
    <w:rsid w:val="00B31738"/>
    <w:rsid w:val="00B318F9"/>
    <w:rsid w:val="00B319AE"/>
    <w:rsid w:val="00B31A5E"/>
    <w:rsid w:val="00B31A8D"/>
    <w:rsid w:val="00B31CB4"/>
    <w:rsid w:val="00B31DBF"/>
    <w:rsid w:val="00B31E20"/>
    <w:rsid w:val="00B31E80"/>
    <w:rsid w:val="00B3203D"/>
    <w:rsid w:val="00B32140"/>
    <w:rsid w:val="00B3240A"/>
    <w:rsid w:val="00B32440"/>
    <w:rsid w:val="00B32466"/>
    <w:rsid w:val="00B327FC"/>
    <w:rsid w:val="00B32811"/>
    <w:rsid w:val="00B32862"/>
    <w:rsid w:val="00B32892"/>
    <w:rsid w:val="00B3294C"/>
    <w:rsid w:val="00B3299F"/>
    <w:rsid w:val="00B329E8"/>
    <w:rsid w:val="00B32C23"/>
    <w:rsid w:val="00B32E42"/>
    <w:rsid w:val="00B32F4E"/>
    <w:rsid w:val="00B32F52"/>
    <w:rsid w:val="00B32FBB"/>
    <w:rsid w:val="00B33019"/>
    <w:rsid w:val="00B333C7"/>
    <w:rsid w:val="00B333F9"/>
    <w:rsid w:val="00B334C1"/>
    <w:rsid w:val="00B335A5"/>
    <w:rsid w:val="00B3370E"/>
    <w:rsid w:val="00B33797"/>
    <w:rsid w:val="00B3382E"/>
    <w:rsid w:val="00B33884"/>
    <w:rsid w:val="00B338AB"/>
    <w:rsid w:val="00B33C23"/>
    <w:rsid w:val="00B33D7D"/>
    <w:rsid w:val="00B33EE3"/>
    <w:rsid w:val="00B33FC6"/>
    <w:rsid w:val="00B340A7"/>
    <w:rsid w:val="00B340BE"/>
    <w:rsid w:val="00B3415A"/>
    <w:rsid w:val="00B34290"/>
    <w:rsid w:val="00B34310"/>
    <w:rsid w:val="00B3435B"/>
    <w:rsid w:val="00B34488"/>
    <w:rsid w:val="00B34AAB"/>
    <w:rsid w:val="00B34DBF"/>
    <w:rsid w:val="00B34E88"/>
    <w:rsid w:val="00B34FBE"/>
    <w:rsid w:val="00B3504E"/>
    <w:rsid w:val="00B35099"/>
    <w:rsid w:val="00B35184"/>
    <w:rsid w:val="00B35241"/>
    <w:rsid w:val="00B35672"/>
    <w:rsid w:val="00B35AED"/>
    <w:rsid w:val="00B35C74"/>
    <w:rsid w:val="00B35CB5"/>
    <w:rsid w:val="00B35D6D"/>
    <w:rsid w:val="00B35DCE"/>
    <w:rsid w:val="00B360A2"/>
    <w:rsid w:val="00B36106"/>
    <w:rsid w:val="00B3617F"/>
    <w:rsid w:val="00B361D6"/>
    <w:rsid w:val="00B3627D"/>
    <w:rsid w:val="00B3633C"/>
    <w:rsid w:val="00B36423"/>
    <w:rsid w:val="00B364C7"/>
    <w:rsid w:val="00B365CD"/>
    <w:rsid w:val="00B367C6"/>
    <w:rsid w:val="00B36932"/>
    <w:rsid w:val="00B36AFF"/>
    <w:rsid w:val="00B36BAE"/>
    <w:rsid w:val="00B36FF1"/>
    <w:rsid w:val="00B37069"/>
    <w:rsid w:val="00B37128"/>
    <w:rsid w:val="00B37134"/>
    <w:rsid w:val="00B37299"/>
    <w:rsid w:val="00B37373"/>
    <w:rsid w:val="00B3748D"/>
    <w:rsid w:val="00B3753B"/>
    <w:rsid w:val="00B3761E"/>
    <w:rsid w:val="00B37805"/>
    <w:rsid w:val="00B37A5F"/>
    <w:rsid w:val="00B37A7D"/>
    <w:rsid w:val="00B37D00"/>
    <w:rsid w:val="00B37E84"/>
    <w:rsid w:val="00B37E9E"/>
    <w:rsid w:val="00B37FBD"/>
    <w:rsid w:val="00B401F3"/>
    <w:rsid w:val="00B40556"/>
    <w:rsid w:val="00B40814"/>
    <w:rsid w:val="00B40AF0"/>
    <w:rsid w:val="00B40B06"/>
    <w:rsid w:val="00B40BDC"/>
    <w:rsid w:val="00B40BEF"/>
    <w:rsid w:val="00B40C2C"/>
    <w:rsid w:val="00B40D68"/>
    <w:rsid w:val="00B40D76"/>
    <w:rsid w:val="00B40DD2"/>
    <w:rsid w:val="00B40F40"/>
    <w:rsid w:val="00B41239"/>
    <w:rsid w:val="00B41262"/>
    <w:rsid w:val="00B412AD"/>
    <w:rsid w:val="00B4133B"/>
    <w:rsid w:val="00B414E6"/>
    <w:rsid w:val="00B41509"/>
    <w:rsid w:val="00B41562"/>
    <w:rsid w:val="00B41563"/>
    <w:rsid w:val="00B4159A"/>
    <w:rsid w:val="00B415EC"/>
    <w:rsid w:val="00B419DB"/>
    <w:rsid w:val="00B41A8B"/>
    <w:rsid w:val="00B41B27"/>
    <w:rsid w:val="00B41C84"/>
    <w:rsid w:val="00B41D39"/>
    <w:rsid w:val="00B41D42"/>
    <w:rsid w:val="00B41EDE"/>
    <w:rsid w:val="00B420EC"/>
    <w:rsid w:val="00B42127"/>
    <w:rsid w:val="00B42226"/>
    <w:rsid w:val="00B42233"/>
    <w:rsid w:val="00B4229E"/>
    <w:rsid w:val="00B42A02"/>
    <w:rsid w:val="00B42C75"/>
    <w:rsid w:val="00B42CDA"/>
    <w:rsid w:val="00B42DA3"/>
    <w:rsid w:val="00B42F04"/>
    <w:rsid w:val="00B42F08"/>
    <w:rsid w:val="00B430C5"/>
    <w:rsid w:val="00B430E0"/>
    <w:rsid w:val="00B43102"/>
    <w:rsid w:val="00B43153"/>
    <w:rsid w:val="00B43305"/>
    <w:rsid w:val="00B43308"/>
    <w:rsid w:val="00B434A4"/>
    <w:rsid w:val="00B434F5"/>
    <w:rsid w:val="00B435A4"/>
    <w:rsid w:val="00B43770"/>
    <w:rsid w:val="00B4379F"/>
    <w:rsid w:val="00B43954"/>
    <w:rsid w:val="00B43C48"/>
    <w:rsid w:val="00B43D5D"/>
    <w:rsid w:val="00B43F42"/>
    <w:rsid w:val="00B44054"/>
    <w:rsid w:val="00B44093"/>
    <w:rsid w:val="00B440BE"/>
    <w:rsid w:val="00B4410E"/>
    <w:rsid w:val="00B441EF"/>
    <w:rsid w:val="00B44364"/>
    <w:rsid w:val="00B443C2"/>
    <w:rsid w:val="00B443E7"/>
    <w:rsid w:val="00B443F6"/>
    <w:rsid w:val="00B44409"/>
    <w:rsid w:val="00B44520"/>
    <w:rsid w:val="00B4457F"/>
    <w:rsid w:val="00B4463D"/>
    <w:rsid w:val="00B448CF"/>
    <w:rsid w:val="00B449F8"/>
    <w:rsid w:val="00B44BC6"/>
    <w:rsid w:val="00B44C45"/>
    <w:rsid w:val="00B44CB7"/>
    <w:rsid w:val="00B44D85"/>
    <w:rsid w:val="00B44DC0"/>
    <w:rsid w:val="00B44EBC"/>
    <w:rsid w:val="00B44FCF"/>
    <w:rsid w:val="00B451BA"/>
    <w:rsid w:val="00B4523A"/>
    <w:rsid w:val="00B453FD"/>
    <w:rsid w:val="00B45492"/>
    <w:rsid w:val="00B45512"/>
    <w:rsid w:val="00B455DD"/>
    <w:rsid w:val="00B45884"/>
    <w:rsid w:val="00B45BD6"/>
    <w:rsid w:val="00B45CC8"/>
    <w:rsid w:val="00B45E38"/>
    <w:rsid w:val="00B45F02"/>
    <w:rsid w:val="00B45F43"/>
    <w:rsid w:val="00B46020"/>
    <w:rsid w:val="00B461BF"/>
    <w:rsid w:val="00B4640B"/>
    <w:rsid w:val="00B467EA"/>
    <w:rsid w:val="00B46A47"/>
    <w:rsid w:val="00B46B9E"/>
    <w:rsid w:val="00B46BA6"/>
    <w:rsid w:val="00B46BC6"/>
    <w:rsid w:val="00B46E1E"/>
    <w:rsid w:val="00B46E23"/>
    <w:rsid w:val="00B46EDE"/>
    <w:rsid w:val="00B46F42"/>
    <w:rsid w:val="00B46FA5"/>
    <w:rsid w:val="00B4705E"/>
    <w:rsid w:val="00B470FE"/>
    <w:rsid w:val="00B472B8"/>
    <w:rsid w:val="00B47303"/>
    <w:rsid w:val="00B47523"/>
    <w:rsid w:val="00B475F5"/>
    <w:rsid w:val="00B477B4"/>
    <w:rsid w:val="00B47871"/>
    <w:rsid w:val="00B47883"/>
    <w:rsid w:val="00B479AB"/>
    <w:rsid w:val="00B47A54"/>
    <w:rsid w:val="00B47BB8"/>
    <w:rsid w:val="00B47C98"/>
    <w:rsid w:val="00B47E03"/>
    <w:rsid w:val="00B47E34"/>
    <w:rsid w:val="00B47E48"/>
    <w:rsid w:val="00B50057"/>
    <w:rsid w:val="00B500BF"/>
    <w:rsid w:val="00B500E9"/>
    <w:rsid w:val="00B501A1"/>
    <w:rsid w:val="00B5051F"/>
    <w:rsid w:val="00B5053F"/>
    <w:rsid w:val="00B506FC"/>
    <w:rsid w:val="00B5072E"/>
    <w:rsid w:val="00B507DC"/>
    <w:rsid w:val="00B50872"/>
    <w:rsid w:val="00B508B5"/>
    <w:rsid w:val="00B509C4"/>
    <w:rsid w:val="00B509E8"/>
    <w:rsid w:val="00B509EF"/>
    <w:rsid w:val="00B50A33"/>
    <w:rsid w:val="00B50C89"/>
    <w:rsid w:val="00B50E43"/>
    <w:rsid w:val="00B50F18"/>
    <w:rsid w:val="00B51168"/>
    <w:rsid w:val="00B5120E"/>
    <w:rsid w:val="00B51335"/>
    <w:rsid w:val="00B5151E"/>
    <w:rsid w:val="00B51541"/>
    <w:rsid w:val="00B51651"/>
    <w:rsid w:val="00B516FA"/>
    <w:rsid w:val="00B516FD"/>
    <w:rsid w:val="00B51756"/>
    <w:rsid w:val="00B5187F"/>
    <w:rsid w:val="00B5191F"/>
    <w:rsid w:val="00B51949"/>
    <w:rsid w:val="00B5195F"/>
    <w:rsid w:val="00B51A19"/>
    <w:rsid w:val="00B51B29"/>
    <w:rsid w:val="00B51C8A"/>
    <w:rsid w:val="00B51CF9"/>
    <w:rsid w:val="00B51D12"/>
    <w:rsid w:val="00B51E3D"/>
    <w:rsid w:val="00B522A6"/>
    <w:rsid w:val="00B52348"/>
    <w:rsid w:val="00B52353"/>
    <w:rsid w:val="00B523F0"/>
    <w:rsid w:val="00B52467"/>
    <w:rsid w:val="00B525D5"/>
    <w:rsid w:val="00B52712"/>
    <w:rsid w:val="00B52979"/>
    <w:rsid w:val="00B52AC5"/>
    <w:rsid w:val="00B52CE3"/>
    <w:rsid w:val="00B52D0D"/>
    <w:rsid w:val="00B52DE0"/>
    <w:rsid w:val="00B52E97"/>
    <w:rsid w:val="00B53046"/>
    <w:rsid w:val="00B531A9"/>
    <w:rsid w:val="00B53311"/>
    <w:rsid w:val="00B5336E"/>
    <w:rsid w:val="00B5336F"/>
    <w:rsid w:val="00B5342D"/>
    <w:rsid w:val="00B535D4"/>
    <w:rsid w:val="00B53647"/>
    <w:rsid w:val="00B53758"/>
    <w:rsid w:val="00B539B7"/>
    <w:rsid w:val="00B53A42"/>
    <w:rsid w:val="00B53ABE"/>
    <w:rsid w:val="00B53CF0"/>
    <w:rsid w:val="00B53D5D"/>
    <w:rsid w:val="00B53D95"/>
    <w:rsid w:val="00B53DC5"/>
    <w:rsid w:val="00B53FCE"/>
    <w:rsid w:val="00B540D4"/>
    <w:rsid w:val="00B54277"/>
    <w:rsid w:val="00B54445"/>
    <w:rsid w:val="00B54706"/>
    <w:rsid w:val="00B548ED"/>
    <w:rsid w:val="00B54AC9"/>
    <w:rsid w:val="00B54BF9"/>
    <w:rsid w:val="00B54D26"/>
    <w:rsid w:val="00B54D4D"/>
    <w:rsid w:val="00B54D7A"/>
    <w:rsid w:val="00B55131"/>
    <w:rsid w:val="00B55362"/>
    <w:rsid w:val="00B55395"/>
    <w:rsid w:val="00B553D0"/>
    <w:rsid w:val="00B55AB3"/>
    <w:rsid w:val="00B55B0A"/>
    <w:rsid w:val="00B55B25"/>
    <w:rsid w:val="00B55C01"/>
    <w:rsid w:val="00B55C1E"/>
    <w:rsid w:val="00B55C56"/>
    <w:rsid w:val="00B55CD0"/>
    <w:rsid w:val="00B55EF3"/>
    <w:rsid w:val="00B56372"/>
    <w:rsid w:val="00B565D9"/>
    <w:rsid w:val="00B5669B"/>
    <w:rsid w:val="00B56A30"/>
    <w:rsid w:val="00B56AC6"/>
    <w:rsid w:val="00B56BE0"/>
    <w:rsid w:val="00B56CAE"/>
    <w:rsid w:val="00B56DE0"/>
    <w:rsid w:val="00B56E2C"/>
    <w:rsid w:val="00B56F79"/>
    <w:rsid w:val="00B56FD6"/>
    <w:rsid w:val="00B5728D"/>
    <w:rsid w:val="00B576B0"/>
    <w:rsid w:val="00B57961"/>
    <w:rsid w:val="00B57B3C"/>
    <w:rsid w:val="00B57C2D"/>
    <w:rsid w:val="00B57D58"/>
    <w:rsid w:val="00B60080"/>
    <w:rsid w:val="00B60095"/>
    <w:rsid w:val="00B600B1"/>
    <w:rsid w:val="00B60104"/>
    <w:rsid w:val="00B6011B"/>
    <w:rsid w:val="00B60200"/>
    <w:rsid w:val="00B60229"/>
    <w:rsid w:val="00B603B8"/>
    <w:rsid w:val="00B604B9"/>
    <w:rsid w:val="00B6077A"/>
    <w:rsid w:val="00B607B3"/>
    <w:rsid w:val="00B608D3"/>
    <w:rsid w:val="00B60BF3"/>
    <w:rsid w:val="00B60D0E"/>
    <w:rsid w:val="00B60F4B"/>
    <w:rsid w:val="00B60F8D"/>
    <w:rsid w:val="00B610C2"/>
    <w:rsid w:val="00B61453"/>
    <w:rsid w:val="00B6150D"/>
    <w:rsid w:val="00B6154D"/>
    <w:rsid w:val="00B61568"/>
    <w:rsid w:val="00B616C3"/>
    <w:rsid w:val="00B6170C"/>
    <w:rsid w:val="00B61743"/>
    <w:rsid w:val="00B61797"/>
    <w:rsid w:val="00B61844"/>
    <w:rsid w:val="00B61A8D"/>
    <w:rsid w:val="00B61AB0"/>
    <w:rsid w:val="00B61B60"/>
    <w:rsid w:val="00B61B76"/>
    <w:rsid w:val="00B61BA4"/>
    <w:rsid w:val="00B61D93"/>
    <w:rsid w:val="00B61DAF"/>
    <w:rsid w:val="00B61EAE"/>
    <w:rsid w:val="00B620CB"/>
    <w:rsid w:val="00B62562"/>
    <w:rsid w:val="00B627F3"/>
    <w:rsid w:val="00B62A86"/>
    <w:rsid w:val="00B62C89"/>
    <w:rsid w:val="00B62E70"/>
    <w:rsid w:val="00B62ED1"/>
    <w:rsid w:val="00B62F86"/>
    <w:rsid w:val="00B630CE"/>
    <w:rsid w:val="00B6317B"/>
    <w:rsid w:val="00B63357"/>
    <w:rsid w:val="00B633F4"/>
    <w:rsid w:val="00B63401"/>
    <w:rsid w:val="00B6395F"/>
    <w:rsid w:val="00B639BE"/>
    <w:rsid w:val="00B63A37"/>
    <w:rsid w:val="00B63B81"/>
    <w:rsid w:val="00B63C02"/>
    <w:rsid w:val="00B63CAE"/>
    <w:rsid w:val="00B63F01"/>
    <w:rsid w:val="00B641A8"/>
    <w:rsid w:val="00B64258"/>
    <w:rsid w:val="00B6437C"/>
    <w:rsid w:val="00B64427"/>
    <w:rsid w:val="00B64443"/>
    <w:rsid w:val="00B644E0"/>
    <w:rsid w:val="00B64518"/>
    <w:rsid w:val="00B645EC"/>
    <w:rsid w:val="00B64607"/>
    <w:rsid w:val="00B649E1"/>
    <w:rsid w:val="00B64A1F"/>
    <w:rsid w:val="00B64A4F"/>
    <w:rsid w:val="00B64A9C"/>
    <w:rsid w:val="00B64C04"/>
    <w:rsid w:val="00B64C5C"/>
    <w:rsid w:val="00B64C6F"/>
    <w:rsid w:val="00B64E45"/>
    <w:rsid w:val="00B6513C"/>
    <w:rsid w:val="00B6515C"/>
    <w:rsid w:val="00B65184"/>
    <w:rsid w:val="00B651D2"/>
    <w:rsid w:val="00B65257"/>
    <w:rsid w:val="00B65374"/>
    <w:rsid w:val="00B654A2"/>
    <w:rsid w:val="00B6554A"/>
    <w:rsid w:val="00B65565"/>
    <w:rsid w:val="00B6564F"/>
    <w:rsid w:val="00B656E3"/>
    <w:rsid w:val="00B656F7"/>
    <w:rsid w:val="00B658DD"/>
    <w:rsid w:val="00B658E8"/>
    <w:rsid w:val="00B6597B"/>
    <w:rsid w:val="00B65998"/>
    <w:rsid w:val="00B65A2B"/>
    <w:rsid w:val="00B65B02"/>
    <w:rsid w:val="00B65B44"/>
    <w:rsid w:val="00B65BA8"/>
    <w:rsid w:val="00B65D36"/>
    <w:rsid w:val="00B65D55"/>
    <w:rsid w:val="00B65DF7"/>
    <w:rsid w:val="00B65F28"/>
    <w:rsid w:val="00B66013"/>
    <w:rsid w:val="00B663AC"/>
    <w:rsid w:val="00B6646D"/>
    <w:rsid w:val="00B66551"/>
    <w:rsid w:val="00B665BD"/>
    <w:rsid w:val="00B66602"/>
    <w:rsid w:val="00B6668A"/>
    <w:rsid w:val="00B66754"/>
    <w:rsid w:val="00B667C7"/>
    <w:rsid w:val="00B66904"/>
    <w:rsid w:val="00B6690D"/>
    <w:rsid w:val="00B66BAC"/>
    <w:rsid w:val="00B66BC0"/>
    <w:rsid w:val="00B66BE1"/>
    <w:rsid w:val="00B66CC7"/>
    <w:rsid w:val="00B66CDD"/>
    <w:rsid w:val="00B66DF3"/>
    <w:rsid w:val="00B66EC3"/>
    <w:rsid w:val="00B66FCA"/>
    <w:rsid w:val="00B66FDA"/>
    <w:rsid w:val="00B6704E"/>
    <w:rsid w:val="00B670EE"/>
    <w:rsid w:val="00B67128"/>
    <w:rsid w:val="00B6712B"/>
    <w:rsid w:val="00B67264"/>
    <w:rsid w:val="00B672EC"/>
    <w:rsid w:val="00B67305"/>
    <w:rsid w:val="00B6736E"/>
    <w:rsid w:val="00B6737F"/>
    <w:rsid w:val="00B673E5"/>
    <w:rsid w:val="00B67435"/>
    <w:rsid w:val="00B67499"/>
    <w:rsid w:val="00B67906"/>
    <w:rsid w:val="00B67A27"/>
    <w:rsid w:val="00B67ACB"/>
    <w:rsid w:val="00B67ADD"/>
    <w:rsid w:val="00B70052"/>
    <w:rsid w:val="00B702D5"/>
    <w:rsid w:val="00B703FD"/>
    <w:rsid w:val="00B70457"/>
    <w:rsid w:val="00B708DF"/>
    <w:rsid w:val="00B70919"/>
    <w:rsid w:val="00B709FE"/>
    <w:rsid w:val="00B70CDC"/>
    <w:rsid w:val="00B70D03"/>
    <w:rsid w:val="00B70DE7"/>
    <w:rsid w:val="00B70ED0"/>
    <w:rsid w:val="00B7103B"/>
    <w:rsid w:val="00B71277"/>
    <w:rsid w:val="00B71323"/>
    <w:rsid w:val="00B7137E"/>
    <w:rsid w:val="00B71459"/>
    <w:rsid w:val="00B714B6"/>
    <w:rsid w:val="00B71539"/>
    <w:rsid w:val="00B715B9"/>
    <w:rsid w:val="00B715F2"/>
    <w:rsid w:val="00B71638"/>
    <w:rsid w:val="00B7164B"/>
    <w:rsid w:val="00B7175D"/>
    <w:rsid w:val="00B717A5"/>
    <w:rsid w:val="00B71825"/>
    <w:rsid w:val="00B7194A"/>
    <w:rsid w:val="00B71A26"/>
    <w:rsid w:val="00B71E39"/>
    <w:rsid w:val="00B71EFD"/>
    <w:rsid w:val="00B7200C"/>
    <w:rsid w:val="00B72019"/>
    <w:rsid w:val="00B7221E"/>
    <w:rsid w:val="00B7253E"/>
    <w:rsid w:val="00B727F5"/>
    <w:rsid w:val="00B72A1C"/>
    <w:rsid w:val="00B72A3B"/>
    <w:rsid w:val="00B72A59"/>
    <w:rsid w:val="00B72B12"/>
    <w:rsid w:val="00B72B39"/>
    <w:rsid w:val="00B72C31"/>
    <w:rsid w:val="00B72DB3"/>
    <w:rsid w:val="00B72E9D"/>
    <w:rsid w:val="00B7301F"/>
    <w:rsid w:val="00B73202"/>
    <w:rsid w:val="00B7332C"/>
    <w:rsid w:val="00B733EB"/>
    <w:rsid w:val="00B73410"/>
    <w:rsid w:val="00B734B8"/>
    <w:rsid w:val="00B735F2"/>
    <w:rsid w:val="00B735FE"/>
    <w:rsid w:val="00B7363F"/>
    <w:rsid w:val="00B736C8"/>
    <w:rsid w:val="00B73804"/>
    <w:rsid w:val="00B738C5"/>
    <w:rsid w:val="00B73AAE"/>
    <w:rsid w:val="00B73B2C"/>
    <w:rsid w:val="00B73DB5"/>
    <w:rsid w:val="00B73E76"/>
    <w:rsid w:val="00B73F40"/>
    <w:rsid w:val="00B73FE9"/>
    <w:rsid w:val="00B74041"/>
    <w:rsid w:val="00B74066"/>
    <w:rsid w:val="00B74163"/>
    <w:rsid w:val="00B74260"/>
    <w:rsid w:val="00B742CA"/>
    <w:rsid w:val="00B74355"/>
    <w:rsid w:val="00B74364"/>
    <w:rsid w:val="00B743E2"/>
    <w:rsid w:val="00B7460E"/>
    <w:rsid w:val="00B7466E"/>
    <w:rsid w:val="00B74681"/>
    <w:rsid w:val="00B747A3"/>
    <w:rsid w:val="00B74A45"/>
    <w:rsid w:val="00B74AEB"/>
    <w:rsid w:val="00B74DF0"/>
    <w:rsid w:val="00B74E5E"/>
    <w:rsid w:val="00B74E6E"/>
    <w:rsid w:val="00B74F0A"/>
    <w:rsid w:val="00B7509A"/>
    <w:rsid w:val="00B7519E"/>
    <w:rsid w:val="00B751AE"/>
    <w:rsid w:val="00B75325"/>
    <w:rsid w:val="00B75489"/>
    <w:rsid w:val="00B7552E"/>
    <w:rsid w:val="00B755E7"/>
    <w:rsid w:val="00B75641"/>
    <w:rsid w:val="00B75A88"/>
    <w:rsid w:val="00B75B80"/>
    <w:rsid w:val="00B75DBF"/>
    <w:rsid w:val="00B75E74"/>
    <w:rsid w:val="00B75FF2"/>
    <w:rsid w:val="00B76038"/>
    <w:rsid w:val="00B760F4"/>
    <w:rsid w:val="00B7616E"/>
    <w:rsid w:val="00B761D9"/>
    <w:rsid w:val="00B7620E"/>
    <w:rsid w:val="00B762AF"/>
    <w:rsid w:val="00B7645F"/>
    <w:rsid w:val="00B764A0"/>
    <w:rsid w:val="00B7678D"/>
    <w:rsid w:val="00B7682A"/>
    <w:rsid w:val="00B76CDF"/>
    <w:rsid w:val="00B76D6F"/>
    <w:rsid w:val="00B76E00"/>
    <w:rsid w:val="00B76EF2"/>
    <w:rsid w:val="00B7715B"/>
    <w:rsid w:val="00B771FD"/>
    <w:rsid w:val="00B773F1"/>
    <w:rsid w:val="00B77588"/>
    <w:rsid w:val="00B7768A"/>
    <w:rsid w:val="00B776AD"/>
    <w:rsid w:val="00B778E6"/>
    <w:rsid w:val="00B77964"/>
    <w:rsid w:val="00B779F3"/>
    <w:rsid w:val="00B77B32"/>
    <w:rsid w:val="00B77B9D"/>
    <w:rsid w:val="00B77DDF"/>
    <w:rsid w:val="00B77EC6"/>
    <w:rsid w:val="00B77FF5"/>
    <w:rsid w:val="00B802F4"/>
    <w:rsid w:val="00B80466"/>
    <w:rsid w:val="00B80488"/>
    <w:rsid w:val="00B80645"/>
    <w:rsid w:val="00B80659"/>
    <w:rsid w:val="00B80705"/>
    <w:rsid w:val="00B808E5"/>
    <w:rsid w:val="00B80D06"/>
    <w:rsid w:val="00B80D5D"/>
    <w:rsid w:val="00B81150"/>
    <w:rsid w:val="00B81325"/>
    <w:rsid w:val="00B81639"/>
    <w:rsid w:val="00B8184A"/>
    <w:rsid w:val="00B81915"/>
    <w:rsid w:val="00B81A2B"/>
    <w:rsid w:val="00B81A38"/>
    <w:rsid w:val="00B81AA8"/>
    <w:rsid w:val="00B81D33"/>
    <w:rsid w:val="00B81DAF"/>
    <w:rsid w:val="00B81DFC"/>
    <w:rsid w:val="00B81E05"/>
    <w:rsid w:val="00B81EAF"/>
    <w:rsid w:val="00B81EB9"/>
    <w:rsid w:val="00B81FFF"/>
    <w:rsid w:val="00B8207F"/>
    <w:rsid w:val="00B82213"/>
    <w:rsid w:val="00B8246E"/>
    <w:rsid w:val="00B82778"/>
    <w:rsid w:val="00B8281C"/>
    <w:rsid w:val="00B82888"/>
    <w:rsid w:val="00B82964"/>
    <w:rsid w:val="00B829DF"/>
    <w:rsid w:val="00B82A3B"/>
    <w:rsid w:val="00B82BBE"/>
    <w:rsid w:val="00B82D6B"/>
    <w:rsid w:val="00B82E40"/>
    <w:rsid w:val="00B82EA0"/>
    <w:rsid w:val="00B82F92"/>
    <w:rsid w:val="00B8303F"/>
    <w:rsid w:val="00B830FB"/>
    <w:rsid w:val="00B83247"/>
    <w:rsid w:val="00B834D9"/>
    <w:rsid w:val="00B8372B"/>
    <w:rsid w:val="00B83769"/>
    <w:rsid w:val="00B83780"/>
    <w:rsid w:val="00B839B5"/>
    <w:rsid w:val="00B83AD7"/>
    <w:rsid w:val="00B83B99"/>
    <w:rsid w:val="00B83C76"/>
    <w:rsid w:val="00B83DE9"/>
    <w:rsid w:val="00B83E36"/>
    <w:rsid w:val="00B83F14"/>
    <w:rsid w:val="00B83F54"/>
    <w:rsid w:val="00B84151"/>
    <w:rsid w:val="00B84175"/>
    <w:rsid w:val="00B842AE"/>
    <w:rsid w:val="00B842BD"/>
    <w:rsid w:val="00B8455B"/>
    <w:rsid w:val="00B84588"/>
    <w:rsid w:val="00B846CB"/>
    <w:rsid w:val="00B84785"/>
    <w:rsid w:val="00B847E0"/>
    <w:rsid w:val="00B84857"/>
    <w:rsid w:val="00B84863"/>
    <w:rsid w:val="00B85034"/>
    <w:rsid w:val="00B853F7"/>
    <w:rsid w:val="00B8545F"/>
    <w:rsid w:val="00B8547A"/>
    <w:rsid w:val="00B855EB"/>
    <w:rsid w:val="00B855EE"/>
    <w:rsid w:val="00B856A6"/>
    <w:rsid w:val="00B8587F"/>
    <w:rsid w:val="00B858A3"/>
    <w:rsid w:val="00B85B34"/>
    <w:rsid w:val="00B85E2D"/>
    <w:rsid w:val="00B85FEA"/>
    <w:rsid w:val="00B862B8"/>
    <w:rsid w:val="00B86388"/>
    <w:rsid w:val="00B863AB"/>
    <w:rsid w:val="00B86510"/>
    <w:rsid w:val="00B86584"/>
    <w:rsid w:val="00B867CB"/>
    <w:rsid w:val="00B869DA"/>
    <w:rsid w:val="00B86A3B"/>
    <w:rsid w:val="00B86ACA"/>
    <w:rsid w:val="00B86BAC"/>
    <w:rsid w:val="00B86DD7"/>
    <w:rsid w:val="00B86F04"/>
    <w:rsid w:val="00B86FB9"/>
    <w:rsid w:val="00B86FFB"/>
    <w:rsid w:val="00B870FA"/>
    <w:rsid w:val="00B87166"/>
    <w:rsid w:val="00B873E5"/>
    <w:rsid w:val="00B87474"/>
    <w:rsid w:val="00B874D0"/>
    <w:rsid w:val="00B876AF"/>
    <w:rsid w:val="00B8776F"/>
    <w:rsid w:val="00B8791A"/>
    <w:rsid w:val="00B87973"/>
    <w:rsid w:val="00B87990"/>
    <w:rsid w:val="00B87A4B"/>
    <w:rsid w:val="00B87B40"/>
    <w:rsid w:val="00B87B9C"/>
    <w:rsid w:val="00B87C07"/>
    <w:rsid w:val="00B87C20"/>
    <w:rsid w:val="00B87C5F"/>
    <w:rsid w:val="00B87C9B"/>
    <w:rsid w:val="00B87D1F"/>
    <w:rsid w:val="00B87DCB"/>
    <w:rsid w:val="00B87DF4"/>
    <w:rsid w:val="00B87E4E"/>
    <w:rsid w:val="00B9014B"/>
    <w:rsid w:val="00B901A8"/>
    <w:rsid w:val="00B901D9"/>
    <w:rsid w:val="00B90228"/>
    <w:rsid w:val="00B90237"/>
    <w:rsid w:val="00B90294"/>
    <w:rsid w:val="00B902DE"/>
    <w:rsid w:val="00B90334"/>
    <w:rsid w:val="00B9036D"/>
    <w:rsid w:val="00B9037E"/>
    <w:rsid w:val="00B9046E"/>
    <w:rsid w:val="00B90614"/>
    <w:rsid w:val="00B906EC"/>
    <w:rsid w:val="00B907B1"/>
    <w:rsid w:val="00B90AF4"/>
    <w:rsid w:val="00B90E23"/>
    <w:rsid w:val="00B90F9B"/>
    <w:rsid w:val="00B912A8"/>
    <w:rsid w:val="00B912CA"/>
    <w:rsid w:val="00B912E5"/>
    <w:rsid w:val="00B913F0"/>
    <w:rsid w:val="00B91474"/>
    <w:rsid w:val="00B91503"/>
    <w:rsid w:val="00B9153E"/>
    <w:rsid w:val="00B915A1"/>
    <w:rsid w:val="00B918DA"/>
    <w:rsid w:val="00B91C03"/>
    <w:rsid w:val="00B91DBF"/>
    <w:rsid w:val="00B91E98"/>
    <w:rsid w:val="00B920FE"/>
    <w:rsid w:val="00B9219E"/>
    <w:rsid w:val="00B922D2"/>
    <w:rsid w:val="00B92303"/>
    <w:rsid w:val="00B926A7"/>
    <w:rsid w:val="00B926FA"/>
    <w:rsid w:val="00B92822"/>
    <w:rsid w:val="00B92903"/>
    <w:rsid w:val="00B929CA"/>
    <w:rsid w:val="00B929DA"/>
    <w:rsid w:val="00B92B69"/>
    <w:rsid w:val="00B92B6A"/>
    <w:rsid w:val="00B92C43"/>
    <w:rsid w:val="00B92CAF"/>
    <w:rsid w:val="00B92DA3"/>
    <w:rsid w:val="00B92E04"/>
    <w:rsid w:val="00B92E05"/>
    <w:rsid w:val="00B92E12"/>
    <w:rsid w:val="00B92E2F"/>
    <w:rsid w:val="00B92E4C"/>
    <w:rsid w:val="00B93135"/>
    <w:rsid w:val="00B933A7"/>
    <w:rsid w:val="00B935E5"/>
    <w:rsid w:val="00B93606"/>
    <w:rsid w:val="00B93B51"/>
    <w:rsid w:val="00B93CB5"/>
    <w:rsid w:val="00B93CDD"/>
    <w:rsid w:val="00B93D6D"/>
    <w:rsid w:val="00B93EFA"/>
    <w:rsid w:val="00B93FF8"/>
    <w:rsid w:val="00B9407A"/>
    <w:rsid w:val="00B944A2"/>
    <w:rsid w:val="00B94674"/>
    <w:rsid w:val="00B94763"/>
    <w:rsid w:val="00B947D9"/>
    <w:rsid w:val="00B9495A"/>
    <w:rsid w:val="00B94C56"/>
    <w:rsid w:val="00B94C5A"/>
    <w:rsid w:val="00B94DFA"/>
    <w:rsid w:val="00B94F32"/>
    <w:rsid w:val="00B94FBD"/>
    <w:rsid w:val="00B95172"/>
    <w:rsid w:val="00B9522E"/>
    <w:rsid w:val="00B95389"/>
    <w:rsid w:val="00B953C6"/>
    <w:rsid w:val="00B9569F"/>
    <w:rsid w:val="00B956FE"/>
    <w:rsid w:val="00B95854"/>
    <w:rsid w:val="00B95884"/>
    <w:rsid w:val="00B958D5"/>
    <w:rsid w:val="00B95949"/>
    <w:rsid w:val="00B95A36"/>
    <w:rsid w:val="00B95B0E"/>
    <w:rsid w:val="00B95C71"/>
    <w:rsid w:val="00B95C73"/>
    <w:rsid w:val="00B95FC3"/>
    <w:rsid w:val="00B9602F"/>
    <w:rsid w:val="00B96094"/>
    <w:rsid w:val="00B9631C"/>
    <w:rsid w:val="00B96471"/>
    <w:rsid w:val="00B965CC"/>
    <w:rsid w:val="00B96874"/>
    <w:rsid w:val="00B96959"/>
    <w:rsid w:val="00B96AD4"/>
    <w:rsid w:val="00B96C1B"/>
    <w:rsid w:val="00B96D8D"/>
    <w:rsid w:val="00B96DA9"/>
    <w:rsid w:val="00B96DC5"/>
    <w:rsid w:val="00B9726E"/>
    <w:rsid w:val="00B97396"/>
    <w:rsid w:val="00B97604"/>
    <w:rsid w:val="00B97775"/>
    <w:rsid w:val="00B97785"/>
    <w:rsid w:val="00B977AD"/>
    <w:rsid w:val="00B977AF"/>
    <w:rsid w:val="00B977D2"/>
    <w:rsid w:val="00B977DD"/>
    <w:rsid w:val="00B97808"/>
    <w:rsid w:val="00B97860"/>
    <w:rsid w:val="00B97B90"/>
    <w:rsid w:val="00B97C17"/>
    <w:rsid w:val="00B97CB6"/>
    <w:rsid w:val="00B97E26"/>
    <w:rsid w:val="00B97EE8"/>
    <w:rsid w:val="00B97F57"/>
    <w:rsid w:val="00B97F90"/>
    <w:rsid w:val="00BA0042"/>
    <w:rsid w:val="00BA0124"/>
    <w:rsid w:val="00BA0266"/>
    <w:rsid w:val="00BA0270"/>
    <w:rsid w:val="00BA02F4"/>
    <w:rsid w:val="00BA0531"/>
    <w:rsid w:val="00BA0590"/>
    <w:rsid w:val="00BA0709"/>
    <w:rsid w:val="00BA0747"/>
    <w:rsid w:val="00BA080A"/>
    <w:rsid w:val="00BA084A"/>
    <w:rsid w:val="00BA09E4"/>
    <w:rsid w:val="00BA0A61"/>
    <w:rsid w:val="00BA0CBD"/>
    <w:rsid w:val="00BA0FCA"/>
    <w:rsid w:val="00BA1045"/>
    <w:rsid w:val="00BA110C"/>
    <w:rsid w:val="00BA1280"/>
    <w:rsid w:val="00BA12DC"/>
    <w:rsid w:val="00BA13FE"/>
    <w:rsid w:val="00BA141F"/>
    <w:rsid w:val="00BA152F"/>
    <w:rsid w:val="00BA158E"/>
    <w:rsid w:val="00BA1603"/>
    <w:rsid w:val="00BA18F9"/>
    <w:rsid w:val="00BA1A18"/>
    <w:rsid w:val="00BA1A25"/>
    <w:rsid w:val="00BA1AC2"/>
    <w:rsid w:val="00BA1B90"/>
    <w:rsid w:val="00BA1C30"/>
    <w:rsid w:val="00BA1C7F"/>
    <w:rsid w:val="00BA2762"/>
    <w:rsid w:val="00BA27FF"/>
    <w:rsid w:val="00BA2831"/>
    <w:rsid w:val="00BA2CAD"/>
    <w:rsid w:val="00BA2DB5"/>
    <w:rsid w:val="00BA2E30"/>
    <w:rsid w:val="00BA30AD"/>
    <w:rsid w:val="00BA30F0"/>
    <w:rsid w:val="00BA3101"/>
    <w:rsid w:val="00BA31EC"/>
    <w:rsid w:val="00BA32C9"/>
    <w:rsid w:val="00BA343A"/>
    <w:rsid w:val="00BA351E"/>
    <w:rsid w:val="00BA368C"/>
    <w:rsid w:val="00BA36F2"/>
    <w:rsid w:val="00BA3787"/>
    <w:rsid w:val="00BA380A"/>
    <w:rsid w:val="00BA380D"/>
    <w:rsid w:val="00BA3C2E"/>
    <w:rsid w:val="00BA3EDF"/>
    <w:rsid w:val="00BA4055"/>
    <w:rsid w:val="00BA40D8"/>
    <w:rsid w:val="00BA40EC"/>
    <w:rsid w:val="00BA43E4"/>
    <w:rsid w:val="00BA44CE"/>
    <w:rsid w:val="00BA4552"/>
    <w:rsid w:val="00BA4606"/>
    <w:rsid w:val="00BA4647"/>
    <w:rsid w:val="00BA4728"/>
    <w:rsid w:val="00BA4796"/>
    <w:rsid w:val="00BA4A95"/>
    <w:rsid w:val="00BA4D72"/>
    <w:rsid w:val="00BA4D73"/>
    <w:rsid w:val="00BA4F2F"/>
    <w:rsid w:val="00BA4FE9"/>
    <w:rsid w:val="00BA5267"/>
    <w:rsid w:val="00BA53F9"/>
    <w:rsid w:val="00BA5553"/>
    <w:rsid w:val="00BA555A"/>
    <w:rsid w:val="00BA579D"/>
    <w:rsid w:val="00BA5813"/>
    <w:rsid w:val="00BA59FA"/>
    <w:rsid w:val="00BA5A76"/>
    <w:rsid w:val="00BA5ACD"/>
    <w:rsid w:val="00BA5AE9"/>
    <w:rsid w:val="00BA5B99"/>
    <w:rsid w:val="00BA5BD8"/>
    <w:rsid w:val="00BA5C20"/>
    <w:rsid w:val="00BA5EC5"/>
    <w:rsid w:val="00BA5EFA"/>
    <w:rsid w:val="00BA5FB8"/>
    <w:rsid w:val="00BA5FDB"/>
    <w:rsid w:val="00BA602B"/>
    <w:rsid w:val="00BA60FA"/>
    <w:rsid w:val="00BA6127"/>
    <w:rsid w:val="00BA627A"/>
    <w:rsid w:val="00BA6494"/>
    <w:rsid w:val="00BA64C0"/>
    <w:rsid w:val="00BA65D7"/>
    <w:rsid w:val="00BA662F"/>
    <w:rsid w:val="00BA66AD"/>
    <w:rsid w:val="00BA6A00"/>
    <w:rsid w:val="00BA6BD5"/>
    <w:rsid w:val="00BA6C9D"/>
    <w:rsid w:val="00BA6CF9"/>
    <w:rsid w:val="00BA6DAB"/>
    <w:rsid w:val="00BA6E6B"/>
    <w:rsid w:val="00BA6F4F"/>
    <w:rsid w:val="00BA7234"/>
    <w:rsid w:val="00BA72EC"/>
    <w:rsid w:val="00BA7407"/>
    <w:rsid w:val="00BA755E"/>
    <w:rsid w:val="00BA791C"/>
    <w:rsid w:val="00BA7A3F"/>
    <w:rsid w:val="00BA7C13"/>
    <w:rsid w:val="00BA7E29"/>
    <w:rsid w:val="00BA7EA7"/>
    <w:rsid w:val="00BA7EE6"/>
    <w:rsid w:val="00BA7F80"/>
    <w:rsid w:val="00BB0041"/>
    <w:rsid w:val="00BB02C1"/>
    <w:rsid w:val="00BB03C2"/>
    <w:rsid w:val="00BB054B"/>
    <w:rsid w:val="00BB0798"/>
    <w:rsid w:val="00BB079C"/>
    <w:rsid w:val="00BB087A"/>
    <w:rsid w:val="00BB09CC"/>
    <w:rsid w:val="00BB09FF"/>
    <w:rsid w:val="00BB0A7F"/>
    <w:rsid w:val="00BB0CD7"/>
    <w:rsid w:val="00BB0CED"/>
    <w:rsid w:val="00BB0D90"/>
    <w:rsid w:val="00BB0E3D"/>
    <w:rsid w:val="00BB0E82"/>
    <w:rsid w:val="00BB0EB5"/>
    <w:rsid w:val="00BB0F97"/>
    <w:rsid w:val="00BB11F6"/>
    <w:rsid w:val="00BB1207"/>
    <w:rsid w:val="00BB12E4"/>
    <w:rsid w:val="00BB12E9"/>
    <w:rsid w:val="00BB13D9"/>
    <w:rsid w:val="00BB14AE"/>
    <w:rsid w:val="00BB1515"/>
    <w:rsid w:val="00BB15E3"/>
    <w:rsid w:val="00BB163A"/>
    <w:rsid w:val="00BB18B5"/>
    <w:rsid w:val="00BB1A7F"/>
    <w:rsid w:val="00BB1AA5"/>
    <w:rsid w:val="00BB1B43"/>
    <w:rsid w:val="00BB1D05"/>
    <w:rsid w:val="00BB1FC8"/>
    <w:rsid w:val="00BB2123"/>
    <w:rsid w:val="00BB2206"/>
    <w:rsid w:val="00BB2334"/>
    <w:rsid w:val="00BB240F"/>
    <w:rsid w:val="00BB259C"/>
    <w:rsid w:val="00BB27A6"/>
    <w:rsid w:val="00BB27EC"/>
    <w:rsid w:val="00BB2868"/>
    <w:rsid w:val="00BB28FE"/>
    <w:rsid w:val="00BB29D6"/>
    <w:rsid w:val="00BB2AB9"/>
    <w:rsid w:val="00BB2B00"/>
    <w:rsid w:val="00BB2C7A"/>
    <w:rsid w:val="00BB2CA1"/>
    <w:rsid w:val="00BB2CAA"/>
    <w:rsid w:val="00BB2CD8"/>
    <w:rsid w:val="00BB2D93"/>
    <w:rsid w:val="00BB2D94"/>
    <w:rsid w:val="00BB2FC6"/>
    <w:rsid w:val="00BB3096"/>
    <w:rsid w:val="00BB34B3"/>
    <w:rsid w:val="00BB3557"/>
    <w:rsid w:val="00BB3602"/>
    <w:rsid w:val="00BB3671"/>
    <w:rsid w:val="00BB37B8"/>
    <w:rsid w:val="00BB3929"/>
    <w:rsid w:val="00BB398A"/>
    <w:rsid w:val="00BB3A1C"/>
    <w:rsid w:val="00BB3A51"/>
    <w:rsid w:val="00BB3A6A"/>
    <w:rsid w:val="00BB3B18"/>
    <w:rsid w:val="00BB3CE8"/>
    <w:rsid w:val="00BB3D37"/>
    <w:rsid w:val="00BB3D64"/>
    <w:rsid w:val="00BB3E0F"/>
    <w:rsid w:val="00BB3F96"/>
    <w:rsid w:val="00BB4101"/>
    <w:rsid w:val="00BB455B"/>
    <w:rsid w:val="00BB476E"/>
    <w:rsid w:val="00BB487D"/>
    <w:rsid w:val="00BB4A4D"/>
    <w:rsid w:val="00BB4A5D"/>
    <w:rsid w:val="00BB4B1C"/>
    <w:rsid w:val="00BB4BAD"/>
    <w:rsid w:val="00BB4BB3"/>
    <w:rsid w:val="00BB4C6B"/>
    <w:rsid w:val="00BB4C7D"/>
    <w:rsid w:val="00BB4D71"/>
    <w:rsid w:val="00BB4DAA"/>
    <w:rsid w:val="00BB4FD7"/>
    <w:rsid w:val="00BB5072"/>
    <w:rsid w:val="00BB50E2"/>
    <w:rsid w:val="00BB5207"/>
    <w:rsid w:val="00BB535F"/>
    <w:rsid w:val="00BB5541"/>
    <w:rsid w:val="00BB5569"/>
    <w:rsid w:val="00BB5710"/>
    <w:rsid w:val="00BB57BF"/>
    <w:rsid w:val="00BB5826"/>
    <w:rsid w:val="00BB5BE7"/>
    <w:rsid w:val="00BB5CF9"/>
    <w:rsid w:val="00BB5DCC"/>
    <w:rsid w:val="00BB5E36"/>
    <w:rsid w:val="00BB5F91"/>
    <w:rsid w:val="00BB62F5"/>
    <w:rsid w:val="00BB662A"/>
    <w:rsid w:val="00BB669A"/>
    <w:rsid w:val="00BB6709"/>
    <w:rsid w:val="00BB674A"/>
    <w:rsid w:val="00BB68E8"/>
    <w:rsid w:val="00BB6BD9"/>
    <w:rsid w:val="00BB6D1B"/>
    <w:rsid w:val="00BB6DBC"/>
    <w:rsid w:val="00BB708B"/>
    <w:rsid w:val="00BB708C"/>
    <w:rsid w:val="00BB70E7"/>
    <w:rsid w:val="00BB7104"/>
    <w:rsid w:val="00BB7316"/>
    <w:rsid w:val="00BB731F"/>
    <w:rsid w:val="00BB74DD"/>
    <w:rsid w:val="00BB7578"/>
    <w:rsid w:val="00BB75F4"/>
    <w:rsid w:val="00BB77EF"/>
    <w:rsid w:val="00BB79A8"/>
    <w:rsid w:val="00BB79E4"/>
    <w:rsid w:val="00BB7A12"/>
    <w:rsid w:val="00BB7C63"/>
    <w:rsid w:val="00BB7E1A"/>
    <w:rsid w:val="00BC02F0"/>
    <w:rsid w:val="00BC037F"/>
    <w:rsid w:val="00BC0464"/>
    <w:rsid w:val="00BC0582"/>
    <w:rsid w:val="00BC068A"/>
    <w:rsid w:val="00BC06B6"/>
    <w:rsid w:val="00BC070E"/>
    <w:rsid w:val="00BC0794"/>
    <w:rsid w:val="00BC0809"/>
    <w:rsid w:val="00BC08D5"/>
    <w:rsid w:val="00BC0985"/>
    <w:rsid w:val="00BC0B01"/>
    <w:rsid w:val="00BC0B49"/>
    <w:rsid w:val="00BC0B8F"/>
    <w:rsid w:val="00BC0E78"/>
    <w:rsid w:val="00BC0F55"/>
    <w:rsid w:val="00BC0F90"/>
    <w:rsid w:val="00BC10F8"/>
    <w:rsid w:val="00BC10FF"/>
    <w:rsid w:val="00BC11CF"/>
    <w:rsid w:val="00BC11E9"/>
    <w:rsid w:val="00BC13E7"/>
    <w:rsid w:val="00BC17BB"/>
    <w:rsid w:val="00BC197D"/>
    <w:rsid w:val="00BC1AC1"/>
    <w:rsid w:val="00BC1B99"/>
    <w:rsid w:val="00BC1C3D"/>
    <w:rsid w:val="00BC1C8F"/>
    <w:rsid w:val="00BC1E0C"/>
    <w:rsid w:val="00BC1E2D"/>
    <w:rsid w:val="00BC1F13"/>
    <w:rsid w:val="00BC1FC3"/>
    <w:rsid w:val="00BC2111"/>
    <w:rsid w:val="00BC23CA"/>
    <w:rsid w:val="00BC2624"/>
    <w:rsid w:val="00BC2725"/>
    <w:rsid w:val="00BC2769"/>
    <w:rsid w:val="00BC27C9"/>
    <w:rsid w:val="00BC2840"/>
    <w:rsid w:val="00BC28DB"/>
    <w:rsid w:val="00BC2A19"/>
    <w:rsid w:val="00BC2A6B"/>
    <w:rsid w:val="00BC2BBD"/>
    <w:rsid w:val="00BC2BE6"/>
    <w:rsid w:val="00BC2CDD"/>
    <w:rsid w:val="00BC2D84"/>
    <w:rsid w:val="00BC2E25"/>
    <w:rsid w:val="00BC2E80"/>
    <w:rsid w:val="00BC2EF6"/>
    <w:rsid w:val="00BC2F02"/>
    <w:rsid w:val="00BC2F50"/>
    <w:rsid w:val="00BC309C"/>
    <w:rsid w:val="00BC321E"/>
    <w:rsid w:val="00BC3330"/>
    <w:rsid w:val="00BC3372"/>
    <w:rsid w:val="00BC337E"/>
    <w:rsid w:val="00BC33A2"/>
    <w:rsid w:val="00BC3526"/>
    <w:rsid w:val="00BC3543"/>
    <w:rsid w:val="00BC3983"/>
    <w:rsid w:val="00BC3AF7"/>
    <w:rsid w:val="00BC3B07"/>
    <w:rsid w:val="00BC3B7B"/>
    <w:rsid w:val="00BC3C15"/>
    <w:rsid w:val="00BC3C58"/>
    <w:rsid w:val="00BC3EB3"/>
    <w:rsid w:val="00BC4049"/>
    <w:rsid w:val="00BC4076"/>
    <w:rsid w:val="00BC40FD"/>
    <w:rsid w:val="00BC410D"/>
    <w:rsid w:val="00BC427B"/>
    <w:rsid w:val="00BC4284"/>
    <w:rsid w:val="00BC43EA"/>
    <w:rsid w:val="00BC44DF"/>
    <w:rsid w:val="00BC4553"/>
    <w:rsid w:val="00BC4821"/>
    <w:rsid w:val="00BC4B75"/>
    <w:rsid w:val="00BC4D97"/>
    <w:rsid w:val="00BC4EF5"/>
    <w:rsid w:val="00BC4F5C"/>
    <w:rsid w:val="00BC4FC3"/>
    <w:rsid w:val="00BC511D"/>
    <w:rsid w:val="00BC5278"/>
    <w:rsid w:val="00BC52E0"/>
    <w:rsid w:val="00BC5577"/>
    <w:rsid w:val="00BC55A2"/>
    <w:rsid w:val="00BC560B"/>
    <w:rsid w:val="00BC5739"/>
    <w:rsid w:val="00BC57F5"/>
    <w:rsid w:val="00BC594E"/>
    <w:rsid w:val="00BC5AEF"/>
    <w:rsid w:val="00BC5C42"/>
    <w:rsid w:val="00BC5FB2"/>
    <w:rsid w:val="00BC61EB"/>
    <w:rsid w:val="00BC62BE"/>
    <w:rsid w:val="00BC62F5"/>
    <w:rsid w:val="00BC6392"/>
    <w:rsid w:val="00BC6399"/>
    <w:rsid w:val="00BC6657"/>
    <w:rsid w:val="00BC665D"/>
    <w:rsid w:val="00BC66D1"/>
    <w:rsid w:val="00BC68B9"/>
    <w:rsid w:val="00BC691B"/>
    <w:rsid w:val="00BC6BA7"/>
    <w:rsid w:val="00BC6C7E"/>
    <w:rsid w:val="00BC6CA3"/>
    <w:rsid w:val="00BC6DCF"/>
    <w:rsid w:val="00BC6F5D"/>
    <w:rsid w:val="00BC7002"/>
    <w:rsid w:val="00BC7009"/>
    <w:rsid w:val="00BC708D"/>
    <w:rsid w:val="00BC716D"/>
    <w:rsid w:val="00BC718D"/>
    <w:rsid w:val="00BC72BE"/>
    <w:rsid w:val="00BC740E"/>
    <w:rsid w:val="00BC7426"/>
    <w:rsid w:val="00BC7556"/>
    <w:rsid w:val="00BC7839"/>
    <w:rsid w:val="00BC79B5"/>
    <w:rsid w:val="00BC7B06"/>
    <w:rsid w:val="00BC7B94"/>
    <w:rsid w:val="00BC7BC5"/>
    <w:rsid w:val="00BC7C23"/>
    <w:rsid w:val="00BC7D47"/>
    <w:rsid w:val="00BC7D9A"/>
    <w:rsid w:val="00BC7E4D"/>
    <w:rsid w:val="00BC7E52"/>
    <w:rsid w:val="00BD01D0"/>
    <w:rsid w:val="00BD0385"/>
    <w:rsid w:val="00BD03BE"/>
    <w:rsid w:val="00BD04F8"/>
    <w:rsid w:val="00BD055B"/>
    <w:rsid w:val="00BD05E9"/>
    <w:rsid w:val="00BD0633"/>
    <w:rsid w:val="00BD06D5"/>
    <w:rsid w:val="00BD071D"/>
    <w:rsid w:val="00BD089D"/>
    <w:rsid w:val="00BD0B17"/>
    <w:rsid w:val="00BD0DD9"/>
    <w:rsid w:val="00BD103D"/>
    <w:rsid w:val="00BD1115"/>
    <w:rsid w:val="00BD1167"/>
    <w:rsid w:val="00BD1170"/>
    <w:rsid w:val="00BD148D"/>
    <w:rsid w:val="00BD14FD"/>
    <w:rsid w:val="00BD155B"/>
    <w:rsid w:val="00BD181F"/>
    <w:rsid w:val="00BD18E6"/>
    <w:rsid w:val="00BD1957"/>
    <w:rsid w:val="00BD1BBD"/>
    <w:rsid w:val="00BD1C09"/>
    <w:rsid w:val="00BD1C63"/>
    <w:rsid w:val="00BD1E6C"/>
    <w:rsid w:val="00BD1EF1"/>
    <w:rsid w:val="00BD1F9C"/>
    <w:rsid w:val="00BD1FF1"/>
    <w:rsid w:val="00BD2185"/>
    <w:rsid w:val="00BD21FC"/>
    <w:rsid w:val="00BD227D"/>
    <w:rsid w:val="00BD2362"/>
    <w:rsid w:val="00BD23C3"/>
    <w:rsid w:val="00BD2473"/>
    <w:rsid w:val="00BD260A"/>
    <w:rsid w:val="00BD2715"/>
    <w:rsid w:val="00BD273C"/>
    <w:rsid w:val="00BD2757"/>
    <w:rsid w:val="00BD27CD"/>
    <w:rsid w:val="00BD29A8"/>
    <w:rsid w:val="00BD2A54"/>
    <w:rsid w:val="00BD2B63"/>
    <w:rsid w:val="00BD2B71"/>
    <w:rsid w:val="00BD2CB1"/>
    <w:rsid w:val="00BD3057"/>
    <w:rsid w:val="00BD307A"/>
    <w:rsid w:val="00BD31B4"/>
    <w:rsid w:val="00BD3257"/>
    <w:rsid w:val="00BD3333"/>
    <w:rsid w:val="00BD33BD"/>
    <w:rsid w:val="00BD344B"/>
    <w:rsid w:val="00BD3471"/>
    <w:rsid w:val="00BD3539"/>
    <w:rsid w:val="00BD3607"/>
    <w:rsid w:val="00BD379F"/>
    <w:rsid w:val="00BD3834"/>
    <w:rsid w:val="00BD38A2"/>
    <w:rsid w:val="00BD39D8"/>
    <w:rsid w:val="00BD3D95"/>
    <w:rsid w:val="00BD3E29"/>
    <w:rsid w:val="00BD3E80"/>
    <w:rsid w:val="00BD3F1E"/>
    <w:rsid w:val="00BD4000"/>
    <w:rsid w:val="00BD40E4"/>
    <w:rsid w:val="00BD41C1"/>
    <w:rsid w:val="00BD41C2"/>
    <w:rsid w:val="00BD4237"/>
    <w:rsid w:val="00BD430D"/>
    <w:rsid w:val="00BD4319"/>
    <w:rsid w:val="00BD44E0"/>
    <w:rsid w:val="00BD479E"/>
    <w:rsid w:val="00BD479F"/>
    <w:rsid w:val="00BD47A8"/>
    <w:rsid w:val="00BD48D7"/>
    <w:rsid w:val="00BD499D"/>
    <w:rsid w:val="00BD4C38"/>
    <w:rsid w:val="00BD4C8D"/>
    <w:rsid w:val="00BD4DB0"/>
    <w:rsid w:val="00BD4DB7"/>
    <w:rsid w:val="00BD4DC3"/>
    <w:rsid w:val="00BD4E31"/>
    <w:rsid w:val="00BD4E5C"/>
    <w:rsid w:val="00BD4F1F"/>
    <w:rsid w:val="00BD50DD"/>
    <w:rsid w:val="00BD51C8"/>
    <w:rsid w:val="00BD5276"/>
    <w:rsid w:val="00BD5358"/>
    <w:rsid w:val="00BD5439"/>
    <w:rsid w:val="00BD5604"/>
    <w:rsid w:val="00BD5709"/>
    <w:rsid w:val="00BD58F3"/>
    <w:rsid w:val="00BD5914"/>
    <w:rsid w:val="00BD5A75"/>
    <w:rsid w:val="00BD5DB4"/>
    <w:rsid w:val="00BD603A"/>
    <w:rsid w:val="00BD60B0"/>
    <w:rsid w:val="00BD636E"/>
    <w:rsid w:val="00BD63C7"/>
    <w:rsid w:val="00BD6416"/>
    <w:rsid w:val="00BD6498"/>
    <w:rsid w:val="00BD6575"/>
    <w:rsid w:val="00BD657B"/>
    <w:rsid w:val="00BD65D3"/>
    <w:rsid w:val="00BD6739"/>
    <w:rsid w:val="00BD6851"/>
    <w:rsid w:val="00BD6A2B"/>
    <w:rsid w:val="00BD6BE2"/>
    <w:rsid w:val="00BD6CAC"/>
    <w:rsid w:val="00BD6D5C"/>
    <w:rsid w:val="00BD6E65"/>
    <w:rsid w:val="00BD6F2A"/>
    <w:rsid w:val="00BD707F"/>
    <w:rsid w:val="00BD7092"/>
    <w:rsid w:val="00BD711E"/>
    <w:rsid w:val="00BD73E9"/>
    <w:rsid w:val="00BD74A4"/>
    <w:rsid w:val="00BD7620"/>
    <w:rsid w:val="00BD7780"/>
    <w:rsid w:val="00BD77C3"/>
    <w:rsid w:val="00BD7925"/>
    <w:rsid w:val="00BD7986"/>
    <w:rsid w:val="00BD7A2B"/>
    <w:rsid w:val="00BD7B02"/>
    <w:rsid w:val="00BD7B47"/>
    <w:rsid w:val="00BD7BA6"/>
    <w:rsid w:val="00BD7BE8"/>
    <w:rsid w:val="00BD7C1C"/>
    <w:rsid w:val="00BE0065"/>
    <w:rsid w:val="00BE01B6"/>
    <w:rsid w:val="00BE01C4"/>
    <w:rsid w:val="00BE04CB"/>
    <w:rsid w:val="00BE0618"/>
    <w:rsid w:val="00BE079B"/>
    <w:rsid w:val="00BE0935"/>
    <w:rsid w:val="00BE0AA0"/>
    <w:rsid w:val="00BE0B18"/>
    <w:rsid w:val="00BE0D2C"/>
    <w:rsid w:val="00BE0DE7"/>
    <w:rsid w:val="00BE0E69"/>
    <w:rsid w:val="00BE0F32"/>
    <w:rsid w:val="00BE0FDD"/>
    <w:rsid w:val="00BE1016"/>
    <w:rsid w:val="00BE118A"/>
    <w:rsid w:val="00BE12A4"/>
    <w:rsid w:val="00BE1350"/>
    <w:rsid w:val="00BE13A3"/>
    <w:rsid w:val="00BE1484"/>
    <w:rsid w:val="00BE14FE"/>
    <w:rsid w:val="00BE1523"/>
    <w:rsid w:val="00BE1676"/>
    <w:rsid w:val="00BE17DB"/>
    <w:rsid w:val="00BE1816"/>
    <w:rsid w:val="00BE19C6"/>
    <w:rsid w:val="00BE1C72"/>
    <w:rsid w:val="00BE1D40"/>
    <w:rsid w:val="00BE1DBF"/>
    <w:rsid w:val="00BE1EE6"/>
    <w:rsid w:val="00BE20E3"/>
    <w:rsid w:val="00BE2141"/>
    <w:rsid w:val="00BE223C"/>
    <w:rsid w:val="00BE2342"/>
    <w:rsid w:val="00BE235E"/>
    <w:rsid w:val="00BE25A5"/>
    <w:rsid w:val="00BE2676"/>
    <w:rsid w:val="00BE26F4"/>
    <w:rsid w:val="00BE2746"/>
    <w:rsid w:val="00BE27ED"/>
    <w:rsid w:val="00BE280C"/>
    <w:rsid w:val="00BE28EF"/>
    <w:rsid w:val="00BE29CF"/>
    <w:rsid w:val="00BE2A57"/>
    <w:rsid w:val="00BE2AB7"/>
    <w:rsid w:val="00BE2C07"/>
    <w:rsid w:val="00BE2CA6"/>
    <w:rsid w:val="00BE2CE0"/>
    <w:rsid w:val="00BE2D3D"/>
    <w:rsid w:val="00BE2D83"/>
    <w:rsid w:val="00BE2E08"/>
    <w:rsid w:val="00BE2E5A"/>
    <w:rsid w:val="00BE2E88"/>
    <w:rsid w:val="00BE2EA3"/>
    <w:rsid w:val="00BE2F03"/>
    <w:rsid w:val="00BE2FF6"/>
    <w:rsid w:val="00BE30C5"/>
    <w:rsid w:val="00BE3435"/>
    <w:rsid w:val="00BE3458"/>
    <w:rsid w:val="00BE34BD"/>
    <w:rsid w:val="00BE367A"/>
    <w:rsid w:val="00BE3686"/>
    <w:rsid w:val="00BE39F6"/>
    <w:rsid w:val="00BE3B35"/>
    <w:rsid w:val="00BE3BBC"/>
    <w:rsid w:val="00BE3C41"/>
    <w:rsid w:val="00BE3C6F"/>
    <w:rsid w:val="00BE3C86"/>
    <w:rsid w:val="00BE4067"/>
    <w:rsid w:val="00BE40E3"/>
    <w:rsid w:val="00BE40F3"/>
    <w:rsid w:val="00BE42CC"/>
    <w:rsid w:val="00BE4440"/>
    <w:rsid w:val="00BE4782"/>
    <w:rsid w:val="00BE4797"/>
    <w:rsid w:val="00BE4857"/>
    <w:rsid w:val="00BE485E"/>
    <w:rsid w:val="00BE4877"/>
    <w:rsid w:val="00BE49DC"/>
    <w:rsid w:val="00BE4BDB"/>
    <w:rsid w:val="00BE4C45"/>
    <w:rsid w:val="00BE4E81"/>
    <w:rsid w:val="00BE4EBA"/>
    <w:rsid w:val="00BE4F6E"/>
    <w:rsid w:val="00BE5031"/>
    <w:rsid w:val="00BE5246"/>
    <w:rsid w:val="00BE5376"/>
    <w:rsid w:val="00BE553F"/>
    <w:rsid w:val="00BE5569"/>
    <w:rsid w:val="00BE55CE"/>
    <w:rsid w:val="00BE5914"/>
    <w:rsid w:val="00BE5C5A"/>
    <w:rsid w:val="00BE5D17"/>
    <w:rsid w:val="00BE6044"/>
    <w:rsid w:val="00BE60E4"/>
    <w:rsid w:val="00BE61EC"/>
    <w:rsid w:val="00BE6219"/>
    <w:rsid w:val="00BE63A0"/>
    <w:rsid w:val="00BE651C"/>
    <w:rsid w:val="00BE66D3"/>
    <w:rsid w:val="00BE686E"/>
    <w:rsid w:val="00BE6A3C"/>
    <w:rsid w:val="00BE6B7F"/>
    <w:rsid w:val="00BE6BC5"/>
    <w:rsid w:val="00BE6CA3"/>
    <w:rsid w:val="00BE6DC4"/>
    <w:rsid w:val="00BE6E55"/>
    <w:rsid w:val="00BE6F0F"/>
    <w:rsid w:val="00BE6FE4"/>
    <w:rsid w:val="00BE72A0"/>
    <w:rsid w:val="00BE76B9"/>
    <w:rsid w:val="00BE7726"/>
    <w:rsid w:val="00BE77B1"/>
    <w:rsid w:val="00BE7951"/>
    <w:rsid w:val="00BE7990"/>
    <w:rsid w:val="00BE7BE0"/>
    <w:rsid w:val="00BE7D21"/>
    <w:rsid w:val="00BF002F"/>
    <w:rsid w:val="00BF00E2"/>
    <w:rsid w:val="00BF0119"/>
    <w:rsid w:val="00BF0503"/>
    <w:rsid w:val="00BF052E"/>
    <w:rsid w:val="00BF0684"/>
    <w:rsid w:val="00BF0854"/>
    <w:rsid w:val="00BF0A46"/>
    <w:rsid w:val="00BF0ABE"/>
    <w:rsid w:val="00BF0BB9"/>
    <w:rsid w:val="00BF116C"/>
    <w:rsid w:val="00BF1304"/>
    <w:rsid w:val="00BF13A5"/>
    <w:rsid w:val="00BF14D8"/>
    <w:rsid w:val="00BF150A"/>
    <w:rsid w:val="00BF1524"/>
    <w:rsid w:val="00BF18CC"/>
    <w:rsid w:val="00BF1C10"/>
    <w:rsid w:val="00BF1D8E"/>
    <w:rsid w:val="00BF1E98"/>
    <w:rsid w:val="00BF200D"/>
    <w:rsid w:val="00BF201C"/>
    <w:rsid w:val="00BF202F"/>
    <w:rsid w:val="00BF2321"/>
    <w:rsid w:val="00BF24A1"/>
    <w:rsid w:val="00BF25D9"/>
    <w:rsid w:val="00BF2635"/>
    <w:rsid w:val="00BF2683"/>
    <w:rsid w:val="00BF295B"/>
    <w:rsid w:val="00BF2C4B"/>
    <w:rsid w:val="00BF2E60"/>
    <w:rsid w:val="00BF317E"/>
    <w:rsid w:val="00BF31A3"/>
    <w:rsid w:val="00BF338C"/>
    <w:rsid w:val="00BF359A"/>
    <w:rsid w:val="00BF35A1"/>
    <w:rsid w:val="00BF360F"/>
    <w:rsid w:val="00BF3613"/>
    <w:rsid w:val="00BF395A"/>
    <w:rsid w:val="00BF3A07"/>
    <w:rsid w:val="00BF3A1B"/>
    <w:rsid w:val="00BF3A59"/>
    <w:rsid w:val="00BF3ADE"/>
    <w:rsid w:val="00BF3BEE"/>
    <w:rsid w:val="00BF3CBF"/>
    <w:rsid w:val="00BF3EC9"/>
    <w:rsid w:val="00BF410E"/>
    <w:rsid w:val="00BF4131"/>
    <w:rsid w:val="00BF424E"/>
    <w:rsid w:val="00BF4268"/>
    <w:rsid w:val="00BF43FC"/>
    <w:rsid w:val="00BF4401"/>
    <w:rsid w:val="00BF4429"/>
    <w:rsid w:val="00BF442C"/>
    <w:rsid w:val="00BF44B8"/>
    <w:rsid w:val="00BF45BD"/>
    <w:rsid w:val="00BF45E5"/>
    <w:rsid w:val="00BF466F"/>
    <w:rsid w:val="00BF481D"/>
    <w:rsid w:val="00BF4889"/>
    <w:rsid w:val="00BF4AFA"/>
    <w:rsid w:val="00BF4BD5"/>
    <w:rsid w:val="00BF4CA4"/>
    <w:rsid w:val="00BF4FB0"/>
    <w:rsid w:val="00BF515E"/>
    <w:rsid w:val="00BF518B"/>
    <w:rsid w:val="00BF5317"/>
    <w:rsid w:val="00BF5480"/>
    <w:rsid w:val="00BF56E7"/>
    <w:rsid w:val="00BF5712"/>
    <w:rsid w:val="00BF57FF"/>
    <w:rsid w:val="00BF5826"/>
    <w:rsid w:val="00BF5C3A"/>
    <w:rsid w:val="00BF5CBC"/>
    <w:rsid w:val="00BF5CE0"/>
    <w:rsid w:val="00BF5DFE"/>
    <w:rsid w:val="00BF5E30"/>
    <w:rsid w:val="00BF5F4F"/>
    <w:rsid w:val="00BF64EA"/>
    <w:rsid w:val="00BF6503"/>
    <w:rsid w:val="00BF6532"/>
    <w:rsid w:val="00BF6599"/>
    <w:rsid w:val="00BF67C6"/>
    <w:rsid w:val="00BF681F"/>
    <w:rsid w:val="00BF6920"/>
    <w:rsid w:val="00BF6B7B"/>
    <w:rsid w:val="00BF6EDC"/>
    <w:rsid w:val="00BF6FF2"/>
    <w:rsid w:val="00BF70BD"/>
    <w:rsid w:val="00BF7198"/>
    <w:rsid w:val="00BF73D4"/>
    <w:rsid w:val="00BF7589"/>
    <w:rsid w:val="00BF760A"/>
    <w:rsid w:val="00BF768C"/>
    <w:rsid w:val="00BF7759"/>
    <w:rsid w:val="00BF7A74"/>
    <w:rsid w:val="00BF7AF3"/>
    <w:rsid w:val="00BF7BB0"/>
    <w:rsid w:val="00BF7EA1"/>
    <w:rsid w:val="00BF7EA7"/>
    <w:rsid w:val="00C000E9"/>
    <w:rsid w:val="00C00250"/>
    <w:rsid w:val="00C0031F"/>
    <w:rsid w:val="00C00384"/>
    <w:rsid w:val="00C003FC"/>
    <w:rsid w:val="00C00485"/>
    <w:rsid w:val="00C0053C"/>
    <w:rsid w:val="00C005E6"/>
    <w:rsid w:val="00C00637"/>
    <w:rsid w:val="00C00661"/>
    <w:rsid w:val="00C0072E"/>
    <w:rsid w:val="00C007B5"/>
    <w:rsid w:val="00C00839"/>
    <w:rsid w:val="00C00896"/>
    <w:rsid w:val="00C00957"/>
    <w:rsid w:val="00C00BF9"/>
    <w:rsid w:val="00C00C2B"/>
    <w:rsid w:val="00C00D35"/>
    <w:rsid w:val="00C00E11"/>
    <w:rsid w:val="00C00FAC"/>
    <w:rsid w:val="00C0121C"/>
    <w:rsid w:val="00C012B9"/>
    <w:rsid w:val="00C01409"/>
    <w:rsid w:val="00C0141A"/>
    <w:rsid w:val="00C0144C"/>
    <w:rsid w:val="00C014B1"/>
    <w:rsid w:val="00C01533"/>
    <w:rsid w:val="00C01880"/>
    <w:rsid w:val="00C0189A"/>
    <w:rsid w:val="00C01B21"/>
    <w:rsid w:val="00C01CE9"/>
    <w:rsid w:val="00C020E5"/>
    <w:rsid w:val="00C021ED"/>
    <w:rsid w:val="00C0229A"/>
    <w:rsid w:val="00C02601"/>
    <w:rsid w:val="00C0264C"/>
    <w:rsid w:val="00C02A3B"/>
    <w:rsid w:val="00C02B29"/>
    <w:rsid w:val="00C02C6F"/>
    <w:rsid w:val="00C02D3E"/>
    <w:rsid w:val="00C02D52"/>
    <w:rsid w:val="00C02E40"/>
    <w:rsid w:val="00C02EA1"/>
    <w:rsid w:val="00C03489"/>
    <w:rsid w:val="00C034EE"/>
    <w:rsid w:val="00C0355F"/>
    <w:rsid w:val="00C0370F"/>
    <w:rsid w:val="00C038E0"/>
    <w:rsid w:val="00C03951"/>
    <w:rsid w:val="00C03C71"/>
    <w:rsid w:val="00C03E93"/>
    <w:rsid w:val="00C04056"/>
    <w:rsid w:val="00C040E2"/>
    <w:rsid w:val="00C0410D"/>
    <w:rsid w:val="00C0423D"/>
    <w:rsid w:val="00C0450C"/>
    <w:rsid w:val="00C045AD"/>
    <w:rsid w:val="00C0482C"/>
    <w:rsid w:val="00C04867"/>
    <w:rsid w:val="00C04939"/>
    <w:rsid w:val="00C04B96"/>
    <w:rsid w:val="00C04BBE"/>
    <w:rsid w:val="00C04CAB"/>
    <w:rsid w:val="00C04CCB"/>
    <w:rsid w:val="00C04DB5"/>
    <w:rsid w:val="00C04DDE"/>
    <w:rsid w:val="00C050D8"/>
    <w:rsid w:val="00C05205"/>
    <w:rsid w:val="00C052AB"/>
    <w:rsid w:val="00C05579"/>
    <w:rsid w:val="00C0576E"/>
    <w:rsid w:val="00C058F8"/>
    <w:rsid w:val="00C05985"/>
    <w:rsid w:val="00C05B3D"/>
    <w:rsid w:val="00C05C21"/>
    <w:rsid w:val="00C05C93"/>
    <w:rsid w:val="00C05CD0"/>
    <w:rsid w:val="00C05E28"/>
    <w:rsid w:val="00C05E44"/>
    <w:rsid w:val="00C05EA6"/>
    <w:rsid w:val="00C06009"/>
    <w:rsid w:val="00C060EC"/>
    <w:rsid w:val="00C060FA"/>
    <w:rsid w:val="00C0612C"/>
    <w:rsid w:val="00C06250"/>
    <w:rsid w:val="00C0639B"/>
    <w:rsid w:val="00C063FA"/>
    <w:rsid w:val="00C0660D"/>
    <w:rsid w:val="00C0668B"/>
    <w:rsid w:val="00C0674D"/>
    <w:rsid w:val="00C0699E"/>
    <w:rsid w:val="00C069BE"/>
    <w:rsid w:val="00C06B0B"/>
    <w:rsid w:val="00C06CCF"/>
    <w:rsid w:val="00C06EB3"/>
    <w:rsid w:val="00C06FD8"/>
    <w:rsid w:val="00C0742A"/>
    <w:rsid w:val="00C07630"/>
    <w:rsid w:val="00C0771D"/>
    <w:rsid w:val="00C07831"/>
    <w:rsid w:val="00C078ED"/>
    <w:rsid w:val="00C07981"/>
    <w:rsid w:val="00C07995"/>
    <w:rsid w:val="00C07B1A"/>
    <w:rsid w:val="00C07B29"/>
    <w:rsid w:val="00C07B49"/>
    <w:rsid w:val="00C07B59"/>
    <w:rsid w:val="00C07B6C"/>
    <w:rsid w:val="00C07ECA"/>
    <w:rsid w:val="00C07F21"/>
    <w:rsid w:val="00C10014"/>
    <w:rsid w:val="00C10060"/>
    <w:rsid w:val="00C10090"/>
    <w:rsid w:val="00C100A3"/>
    <w:rsid w:val="00C10123"/>
    <w:rsid w:val="00C1015B"/>
    <w:rsid w:val="00C1025F"/>
    <w:rsid w:val="00C10282"/>
    <w:rsid w:val="00C1070C"/>
    <w:rsid w:val="00C1080D"/>
    <w:rsid w:val="00C10ACF"/>
    <w:rsid w:val="00C10AEC"/>
    <w:rsid w:val="00C10B7D"/>
    <w:rsid w:val="00C10FE3"/>
    <w:rsid w:val="00C110F1"/>
    <w:rsid w:val="00C11106"/>
    <w:rsid w:val="00C1128D"/>
    <w:rsid w:val="00C11294"/>
    <w:rsid w:val="00C113EA"/>
    <w:rsid w:val="00C11476"/>
    <w:rsid w:val="00C11781"/>
    <w:rsid w:val="00C11837"/>
    <w:rsid w:val="00C118B9"/>
    <w:rsid w:val="00C118E9"/>
    <w:rsid w:val="00C118FE"/>
    <w:rsid w:val="00C11934"/>
    <w:rsid w:val="00C11A03"/>
    <w:rsid w:val="00C11D1C"/>
    <w:rsid w:val="00C11DC7"/>
    <w:rsid w:val="00C11F97"/>
    <w:rsid w:val="00C11FC0"/>
    <w:rsid w:val="00C1211B"/>
    <w:rsid w:val="00C12239"/>
    <w:rsid w:val="00C12301"/>
    <w:rsid w:val="00C1239B"/>
    <w:rsid w:val="00C12434"/>
    <w:rsid w:val="00C12591"/>
    <w:rsid w:val="00C12734"/>
    <w:rsid w:val="00C1288A"/>
    <w:rsid w:val="00C12B61"/>
    <w:rsid w:val="00C12C0C"/>
    <w:rsid w:val="00C12C77"/>
    <w:rsid w:val="00C12D02"/>
    <w:rsid w:val="00C12D7F"/>
    <w:rsid w:val="00C12EB9"/>
    <w:rsid w:val="00C12F6D"/>
    <w:rsid w:val="00C1302D"/>
    <w:rsid w:val="00C1328D"/>
    <w:rsid w:val="00C1341B"/>
    <w:rsid w:val="00C1347D"/>
    <w:rsid w:val="00C135AE"/>
    <w:rsid w:val="00C135FF"/>
    <w:rsid w:val="00C137B2"/>
    <w:rsid w:val="00C13855"/>
    <w:rsid w:val="00C13860"/>
    <w:rsid w:val="00C138F0"/>
    <w:rsid w:val="00C139D8"/>
    <w:rsid w:val="00C13ABA"/>
    <w:rsid w:val="00C13B0B"/>
    <w:rsid w:val="00C13C75"/>
    <w:rsid w:val="00C13C7E"/>
    <w:rsid w:val="00C14097"/>
    <w:rsid w:val="00C141C4"/>
    <w:rsid w:val="00C14220"/>
    <w:rsid w:val="00C14454"/>
    <w:rsid w:val="00C14461"/>
    <w:rsid w:val="00C144DD"/>
    <w:rsid w:val="00C14653"/>
    <w:rsid w:val="00C146ED"/>
    <w:rsid w:val="00C14706"/>
    <w:rsid w:val="00C1493C"/>
    <w:rsid w:val="00C14B08"/>
    <w:rsid w:val="00C14B3E"/>
    <w:rsid w:val="00C14E5C"/>
    <w:rsid w:val="00C14F69"/>
    <w:rsid w:val="00C152A7"/>
    <w:rsid w:val="00C15355"/>
    <w:rsid w:val="00C15486"/>
    <w:rsid w:val="00C154ED"/>
    <w:rsid w:val="00C15582"/>
    <w:rsid w:val="00C15591"/>
    <w:rsid w:val="00C155EF"/>
    <w:rsid w:val="00C15684"/>
    <w:rsid w:val="00C1570C"/>
    <w:rsid w:val="00C1582D"/>
    <w:rsid w:val="00C1583D"/>
    <w:rsid w:val="00C15964"/>
    <w:rsid w:val="00C15AD3"/>
    <w:rsid w:val="00C15BFA"/>
    <w:rsid w:val="00C15C7D"/>
    <w:rsid w:val="00C15D5F"/>
    <w:rsid w:val="00C15F2F"/>
    <w:rsid w:val="00C15F8B"/>
    <w:rsid w:val="00C16061"/>
    <w:rsid w:val="00C1615A"/>
    <w:rsid w:val="00C16208"/>
    <w:rsid w:val="00C1621C"/>
    <w:rsid w:val="00C16282"/>
    <w:rsid w:val="00C164B0"/>
    <w:rsid w:val="00C1652B"/>
    <w:rsid w:val="00C16648"/>
    <w:rsid w:val="00C1699A"/>
    <w:rsid w:val="00C16CA9"/>
    <w:rsid w:val="00C16D83"/>
    <w:rsid w:val="00C16DEA"/>
    <w:rsid w:val="00C16E6C"/>
    <w:rsid w:val="00C16E97"/>
    <w:rsid w:val="00C1751A"/>
    <w:rsid w:val="00C17538"/>
    <w:rsid w:val="00C17577"/>
    <w:rsid w:val="00C175A0"/>
    <w:rsid w:val="00C175E1"/>
    <w:rsid w:val="00C176B3"/>
    <w:rsid w:val="00C17757"/>
    <w:rsid w:val="00C177C0"/>
    <w:rsid w:val="00C178DF"/>
    <w:rsid w:val="00C178FE"/>
    <w:rsid w:val="00C1792C"/>
    <w:rsid w:val="00C17B5A"/>
    <w:rsid w:val="00C17C43"/>
    <w:rsid w:val="00C17D56"/>
    <w:rsid w:val="00C17EA8"/>
    <w:rsid w:val="00C17ED0"/>
    <w:rsid w:val="00C17F50"/>
    <w:rsid w:val="00C20014"/>
    <w:rsid w:val="00C200B3"/>
    <w:rsid w:val="00C20185"/>
    <w:rsid w:val="00C20339"/>
    <w:rsid w:val="00C203BD"/>
    <w:rsid w:val="00C2048A"/>
    <w:rsid w:val="00C205FE"/>
    <w:rsid w:val="00C20853"/>
    <w:rsid w:val="00C20A24"/>
    <w:rsid w:val="00C20A9D"/>
    <w:rsid w:val="00C20AAB"/>
    <w:rsid w:val="00C20B1C"/>
    <w:rsid w:val="00C20C12"/>
    <w:rsid w:val="00C20D02"/>
    <w:rsid w:val="00C21048"/>
    <w:rsid w:val="00C210E5"/>
    <w:rsid w:val="00C2113E"/>
    <w:rsid w:val="00C21220"/>
    <w:rsid w:val="00C212F7"/>
    <w:rsid w:val="00C21489"/>
    <w:rsid w:val="00C214FE"/>
    <w:rsid w:val="00C2178F"/>
    <w:rsid w:val="00C217C0"/>
    <w:rsid w:val="00C217F1"/>
    <w:rsid w:val="00C21943"/>
    <w:rsid w:val="00C219D2"/>
    <w:rsid w:val="00C21AB0"/>
    <w:rsid w:val="00C21B13"/>
    <w:rsid w:val="00C21BB0"/>
    <w:rsid w:val="00C21CBF"/>
    <w:rsid w:val="00C21CCA"/>
    <w:rsid w:val="00C21F17"/>
    <w:rsid w:val="00C22000"/>
    <w:rsid w:val="00C22257"/>
    <w:rsid w:val="00C224E2"/>
    <w:rsid w:val="00C225FC"/>
    <w:rsid w:val="00C22645"/>
    <w:rsid w:val="00C2278A"/>
    <w:rsid w:val="00C2299E"/>
    <w:rsid w:val="00C22A55"/>
    <w:rsid w:val="00C22A72"/>
    <w:rsid w:val="00C22AA8"/>
    <w:rsid w:val="00C22AC9"/>
    <w:rsid w:val="00C22C44"/>
    <w:rsid w:val="00C22CAE"/>
    <w:rsid w:val="00C22CE2"/>
    <w:rsid w:val="00C22D5B"/>
    <w:rsid w:val="00C22D77"/>
    <w:rsid w:val="00C22ECD"/>
    <w:rsid w:val="00C22F18"/>
    <w:rsid w:val="00C22F2E"/>
    <w:rsid w:val="00C22FB0"/>
    <w:rsid w:val="00C23099"/>
    <w:rsid w:val="00C23174"/>
    <w:rsid w:val="00C23216"/>
    <w:rsid w:val="00C2331C"/>
    <w:rsid w:val="00C2340D"/>
    <w:rsid w:val="00C23460"/>
    <w:rsid w:val="00C23521"/>
    <w:rsid w:val="00C237F5"/>
    <w:rsid w:val="00C23A45"/>
    <w:rsid w:val="00C23B34"/>
    <w:rsid w:val="00C23DA5"/>
    <w:rsid w:val="00C23DF1"/>
    <w:rsid w:val="00C23F0E"/>
    <w:rsid w:val="00C2413C"/>
    <w:rsid w:val="00C24393"/>
    <w:rsid w:val="00C24498"/>
    <w:rsid w:val="00C244BE"/>
    <w:rsid w:val="00C245FB"/>
    <w:rsid w:val="00C246F4"/>
    <w:rsid w:val="00C24853"/>
    <w:rsid w:val="00C248BD"/>
    <w:rsid w:val="00C249A8"/>
    <w:rsid w:val="00C24A90"/>
    <w:rsid w:val="00C24B77"/>
    <w:rsid w:val="00C24D89"/>
    <w:rsid w:val="00C24E06"/>
    <w:rsid w:val="00C24E91"/>
    <w:rsid w:val="00C24EEC"/>
    <w:rsid w:val="00C24F55"/>
    <w:rsid w:val="00C25125"/>
    <w:rsid w:val="00C25239"/>
    <w:rsid w:val="00C25251"/>
    <w:rsid w:val="00C252E2"/>
    <w:rsid w:val="00C25419"/>
    <w:rsid w:val="00C2541D"/>
    <w:rsid w:val="00C256D7"/>
    <w:rsid w:val="00C25718"/>
    <w:rsid w:val="00C2573C"/>
    <w:rsid w:val="00C257A2"/>
    <w:rsid w:val="00C2592F"/>
    <w:rsid w:val="00C259E9"/>
    <w:rsid w:val="00C25A57"/>
    <w:rsid w:val="00C25E3E"/>
    <w:rsid w:val="00C25E9F"/>
    <w:rsid w:val="00C25F16"/>
    <w:rsid w:val="00C260BC"/>
    <w:rsid w:val="00C263F7"/>
    <w:rsid w:val="00C2667B"/>
    <w:rsid w:val="00C26902"/>
    <w:rsid w:val="00C26BFE"/>
    <w:rsid w:val="00C26D9B"/>
    <w:rsid w:val="00C26EF3"/>
    <w:rsid w:val="00C26FEB"/>
    <w:rsid w:val="00C2705F"/>
    <w:rsid w:val="00C271D1"/>
    <w:rsid w:val="00C27202"/>
    <w:rsid w:val="00C2725E"/>
    <w:rsid w:val="00C27403"/>
    <w:rsid w:val="00C274C3"/>
    <w:rsid w:val="00C2757E"/>
    <w:rsid w:val="00C27642"/>
    <w:rsid w:val="00C27901"/>
    <w:rsid w:val="00C27A4F"/>
    <w:rsid w:val="00C27D5A"/>
    <w:rsid w:val="00C27E71"/>
    <w:rsid w:val="00C27EBD"/>
    <w:rsid w:val="00C27F4E"/>
    <w:rsid w:val="00C27F9E"/>
    <w:rsid w:val="00C27FDB"/>
    <w:rsid w:val="00C30535"/>
    <w:rsid w:val="00C305DC"/>
    <w:rsid w:val="00C3080F"/>
    <w:rsid w:val="00C3094D"/>
    <w:rsid w:val="00C30E60"/>
    <w:rsid w:val="00C30F1C"/>
    <w:rsid w:val="00C3104D"/>
    <w:rsid w:val="00C31070"/>
    <w:rsid w:val="00C311D7"/>
    <w:rsid w:val="00C31346"/>
    <w:rsid w:val="00C31479"/>
    <w:rsid w:val="00C3166C"/>
    <w:rsid w:val="00C317EA"/>
    <w:rsid w:val="00C31824"/>
    <w:rsid w:val="00C31857"/>
    <w:rsid w:val="00C3191F"/>
    <w:rsid w:val="00C319B3"/>
    <w:rsid w:val="00C31BBD"/>
    <w:rsid w:val="00C31D87"/>
    <w:rsid w:val="00C31DC4"/>
    <w:rsid w:val="00C31F83"/>
    <w:rsid w:val="00C3200A"/>
    <w:rsid w:val="00C32030"/>
    <w:rsid w:val="00C320A8"/>
    <w:rsid w:val="00C32480"/>
    <w:rsid w:val="00C324EC"/>
    <w:rsid w:val="00C32508"/>
    <w:rsid w:val="00C32538"/>
    <w:rsid w:val="00C325D1"/>
    <w:rsid w:val="00C328D3"/>
    <w:rsid w:val="00C32968"/>
    <w:rsid w:val="00C32D4B"/>
    <w:rsid w:val="00C32D61"/>
    <w:rsid w:val="00C32E12"/>
    <w:rsid w:val="00C32EFE"/>
    <w:rsid w:val="00C33001"/>
    <w:rsid w:val="00C3308C"/>
    <w:rsid w:val="00C330A8"/>
    <w:rsid w:val="00C330AF"/>
    <w:rsid w:val="00C33146"/>
    <w:rsid w:val="00C33293"/>
    <w:rsid w:val="00C333D5"/>
    <w:rsid w:val="00C334C2"/>
    <w:rsid w:val="00C33606"/>
    <w:rsid w:val="00C33663"/>
    <w:rsid w:val="00C33800"/>
    <w:rsid w:val="00C33996"/>
    <w:rsid w:val="00C33AEA"/>
    <w:rsid w:val="00C33CB8"/>
    <w:rsid w:val="00C33E20"/>
    <w:rsid w:val="00C33E38"/>
    <w:rsid w:val="00C33ED7"/>
    <w:rsid w:val="00C33F81"/>
    <w:rsid w:val="00C33FA6"/>
    <w:rsid w:val="00C33FC0"/>
    <w:rsid w:val="00C33FD2"/>
    <w:rsid w:val="00C33FFD"/>
    <w:rsid w:val="00C34129"/>
    <w:rsid w:val="00C34246"/>
    <w:rsid w:val="00C343B9"/>
    <w:rsid w:val="00C345AE"/>
    <w:rsid w:val="00C34664"/>
    <w:rsid w:val="00C34886"/>
    <w:rsid w:val="00C348E4"/>
    <w:rsid w:val="00C34B73"/>
    <w:rsid w:val="00C34BD7"/>
    <w:rsid w:val="00C34C33"/>
    <w:rsid w:val="00C34F62"/>
    <w:rsid w:val="00C351E0"/>
    <w:rsid w:val="00C3525E"/>
    <w:rsid w:val="00C35317"/>
    <w:rsid w:val="00C35511"/>
    <w:rsid w:val="00C35539"/>
    <w:rsid w:val="00C356C3"/>
    <w:rsid w:val="00C356C5"/>
    <w:rsid w:val="00C3586E"/>
    <w:rsid w:val="00C35FA1"/>
    <w:rsid w:val="00C3604C"/>
    <w:rsid w:val="00C3608B"/>
    <w:rsid w:val="00C360F1"/>
    <w:rsid w:val="00C36192"/>
    <w:rsid w:val="00C36561"/>
    <w:rsid w:val="00C36798"/>
    <w:rsid w:val="00C36842"/>
    <w:rsid w:val="00C369F0"/>
    <w:rsid w:val="00C36B31"/>
    <w:rsid w:val="00C36C89"/>
    <w:rsid w:val="00C36CCB"/>
    <w:rsid w:val="00C37091"/>
    <w:rsid w:val="00C3721C"/>
    <w:rsid w:val="00C37296"/>
    <w:rsid w:val="00C372DD"/>
    <w:rsid w:val="00C37401"/>
    <w:rsid w:val="00C3753D"/>
    <w:rsid w:val="00C37600"/>
    <w:rsid w:val="00C37728"/>
    <w:rsid w:val="00C3799A"/>
    <w:rsid w:val="00C37B72"/>
    <w:rsid w:val="00C40351"/>
    <w:rsid w:val="00C4043F"/>
    <w:rsid w:val="00C40556"/>
    <w:rsid w:val="00C4059A"/>
    <w:rsid w:val="00C4077A"/>
    <w:rsid w:val="00C407A4"/>
    <w:rsid w:val="00C409BF"/>
    <w:rsid w:val="00C40ADE"/>
    <w:rsid w:val="00C40B10"/>
    <w:rsid w:val="00C40B36"/>
    <w:rsid w:val="00C40C3F"/>
    <w:rsid w:val="00C410A8"/>
    <w:rsid w:val="00C413B8"/>
    <w:rsid w:val="00C4143C"/>
    <w:rsid w:val="00C41634"/>
    <w:rsid w:val="00C416B2"/>
    <w:rsid w:val="00C416ED"/>
    <w:rsid w:val="00C41717"/>
    <w:rsid w:val="00C41745"/>
    <w:rsid w:val="00C41771"/>
    <w:rsid w:val="00C41920"/>
    <w:rsid w:val="00C419BC"/>
    <w:rsid w:val="00C41A1C"/>
    <w:rsid w:val="00C41DE1"/>
    <w:rsid w:val="00C41DEB"/>
    <w:rsid w:val="00C42048"/>
    <w:rsid w:val="00C420AB"/>
    <w:rsid w:val="00C4216E"/>
    <w:rsid w:val="00C4223D"/>
    <w:rsid w:val="00C4229F"/>
    <w:rsid w:val="00C42540"/>
    <w:rsid w:val="00C42699"/>
    <w:rsid w:val="00C427A9"/>
    <w:rsid w:val="00C42ABA"/>
    <w:rsid w:val="00C42B64"/>
    <w:rsid w:val="00C42BC0"/>
    <w:rsid w:val="00C42DED"/>
    <w:rsid w:val="00C42E97"/>
    <w:rsid w:val="00C42F55"/>
    <w:rsid w:val="00C42F6A"/>
    <w:rsid w:val="00C4307C"/>
    <w:rsid w:val="00C430AD"/>
    <w:rsid w:val="00C430C5"/>
    <w:rsid w:val="00C43474"/>
    <w:rsid w:val="00C434DD"/>
    <w:rsid w:val="00C43594"/>
    <w:rsid w:val="00C436B0"/>
    <w:rsid w:val="00C43741"/>
    <w:rsid w:val="00C437B9"/>
    <w:rsid w:val="00C43B5E"/>
    <w:rsid w:val="00C43BDD"/>
    <w:rsid w:val="00C43D54"/>
    <w:rsid w:val="00C43D5E"/>
    <w:rsid w:val="00C43DCB"/>
    <w:rsid w:val="00C43DF0"/>
    <w:rsid w:val="00C43E22"/>
    <w:rsid w:val="00C43EF6"/>
    <w:rsid w:val="00C43F0B"/>
    <w:rsid w:val="00C43F20"/>
    <w:rsid w:val="00C4424B"/>
    <w:rsid w:val="00C44352"/>
    <w:rsid w:val="00C4445E"/>
    <w:rsid w:val="00C444B2"/>
    <w:rsid w:val="00C444BD"/>
    <w:rsid w:val="00C44729"/>
    <w:rsid w:val="00C4478B"/>
    <w:rsid w:val="00C44A1D"/>
    <w:rsid w:val="00C44A7F"/>
    <w:rsid w:val="00C44B3E"/>
    <w:rsid w:val="00C44DD2"/>
    <w:rsid w:val="00C45325"/>
    <w:rsid w:val="00C4533D"/>
    <w:rsid w:val="00C4544C"/>
    <w:rsid w:val="00C4550C"/>
    <w:rsid w:val="00C4552B"/>
    <w:rsid w:val="00C4563A"/>
    <w:rsid w:val="00C45784"/>
    <w:rsid w:val="00C45879"/>
    <w:rsid w:val="00C45902"/>
    <w:rsid w:val="00C45A54"/>
    <w:rsid w:val="00C45CCB"/>
    <w:rsid w:val="00C45CED"/>
    <w:rsid w:val="00C45DED"/>
    <w:rsid w:val="00C45EE2"/>
    <w:rsid w:val="00C45FDE"/>
    <w:rsid w:val="00C46088"/>
    <w:rsid w:val="00C46161"/>
    <w:rsid w:val="00C46210"/>
    <w:rsid w:val="00C46222"/>
    <w:rsid w:val="00C46240"/>
    <w:rsid w:val="00C46396"/>
    <w:rsid w:val="00C463B0"/>
    <w:rsid w:val="00C464C3"/>
    <w:rsid w:val="00C46575"/>
    <w:rsid w:val="00C4663F"/>
    <w:rsid w:val="00C466CD"/>
    <w:rsid w:val="00C4686A"/>
    <w:rsid w:val="00C468CA"/>
    <w:rsid w:val="00C46AF8"/>
    <w:rsid w:val="00C46B83"/>
    <w:rsid w:val="00C46DC8"/>
    <w:rsid w:val="00C46E73"/>
    <w:rsid w:val="00C46E7A"/>
    <w:rsid w:val="00C47007"/>
    <w:rsid w:val="00C47067"/>
    <w:rsid w:val="00C47275"/>
    <w:rsid w:val="00C472EB"/>
    <w:rsid w:val="00C47302"/>
    <w:rsid w:val="00C47485"/>
    <w:rsid w:val="00C4757A"/>
    <w:rsid w:val="00C475F2"/>
    <w:rsid w:val="00C476BE"/>
    <w:rsid w:val="00C47893"/>
    <w:rsid w:val="00C47A6A"/>
    <w:rsid w:val="00C47C45"/>
    <w:rsid w:val="00C47CE0"/>
    <w:rsid w:val="00C5026E"/>
    <w:rsid w:val="00C503B4"/>
    <w:rsid w:val="00C503C1"/>
    <w:rsid w:val="00C504A6"/>
    <w:rsid w:val="00C50515"/>
    <w:rsid w:val="00C505EB"/>
    <w:rsid w:val="00C50618"/>
    <w:rsid w:val="00C50624"/>
    <w:rsid w:val="00C507F2"/>
    <w:rsid w:val="00C50857"/>
    <w:rsid w:val="00C50859"/>
    <w:rsid w:val="00C508E7"/>
    <w:rsid w:val="00C509C4"/>
    <w:rsid w:val="00C50B76"/>
    <w:rsid w:val="00C50C12"/>
    <w:rsid w:val="00C50D47"/>
    <w:rsid w:val="00C50D9B"/>
    <w:rsid w:val="00C50E38"/>
    <w:rsid w:val="00C50E8D"/>
    <w:rsid w:val="00C50F83"/>
    <w:rsid w:val="00C50F96"/>
    <w:rsid w:val="00C510AC"/>
    <w:rsid w:val="00C51105"/>
    <w:rsid w:val="00C51578"/>
    <w:rsid w:val="00C517E1"/>
    <w:rsid w:val="00C517E3"/>
    <w:rsid w:val="00C51B88"/>
    <w:rsid w:val="00C51CB1"/>
    <w:rsid w:val="00C51E40"/>
    <w:rsid w:val="00C51E67"/>
    <w:rsid w:val="00C51EDD"/>
    <w:rsid w:val="00C5221E"/>
    <w:rsid w:val="00C52287"/>
    <w:rsid w:val="00C5236B"/>
    <w:rsid w:val="00C52497"/>
    <w:rsid w:val="00C524D6"/>
    <w:rsid w:val="00C52595"/>
    <w:rsid w:val="00C52768"/>
    <w:rsid w:val="00C52860"/>
    <w:rsid w:val="00C528DA"/>
    <w:rsid w:val="00C529E5"/>
    <w:rsid w:val="00C52AB8"/>
    <w:rsid w:val="00C52DD1"/>
    <w:rsid w:val="00C52E90"/>
    <w:rsid w:val="00C52ED3"/>
    <w:rsid w:val="00C52EDF"/>
    <w:rsid w:val="00C52FBB"/>
    <w:rsid w:val="00C5331F"/>
    <w:rsid w:val="00C5357A"/>
    <w:rsid w:val="00C53637"/>
    <w:rsid w:val="00C536A8"/>
    <w:rsid w:val="00C536EF"/>
    <w:rsid w:val="00C53716"/>
    <w:rsid w:val="00C539E8"/>
    <w:rsid w:val="00C53C36"/>
    <w:rsid w:val="00C53D33"/>
    <w:rsid w:val="00C53D3E"/>
    <w:rsid w:val="00C53EAA"/>
    <w:rsid w:val="00C54102"/>
    <w:rsid w:val="00C54223"/>
    <w:rsid w:val="00C542F0"/>
    <w:rsid w:val="00C54370"/>
    <w:rsid w:val="00C544E1"/>
    <w:rsid w:val="00C54686"/>
    <w:rsid w:val="00C546C1"/>
    <w:rsid w:val="00C547F4"/>
    <w:rsid w:val="00C548EA"/>
    <w:rsid w:val="00C549D3"/>
    <w:rsid w:val="00C54C3D"/>
    <w:rsid w:val="00C54CC1"/>
    <w:rsid w:val="00C54D62"/>
    <w:rsid w:val="00C55088"/>
    <w:rsid w:val="00C552D3"/>
    <w:rsid w:val="00C55431"/>
    <w:rsid w:val="00C55537"/>
    <w:rsid w:val="00C55682"/>
    <w:rsid w:val="00C5589D"/>
    <w:rsid w:val="00C55C3C"/>
    <w:rsid w:val="00C55CF9"/>
    <w:rsid w:val="00C55D00"/>
    <w:rsid w:val="00C55F99"/>
    <w:rsid w:val="00C55FC4"/>
    <w:rsid w:val="00C560AE"/>
    <w:rsid w:val="00C56156"/>
    <w:rsid w:val="00C56689"/>
    <w:rsid w:val="00C566C5"/>
    <w:rsid w:val="00C56734"/>
    <w:rsid w:val="00C56779"/>
    <w:rsid w:val="00C56846"/>
    <w:rsid w:val="00C5688C"/>
    <w:rsid w:val="00C568FC"/>
    <w:rsid w:val="00C569C2"/>
    <w:rsid w:val="00C56A77"/>
    <w:rsid w:val="00C56ABA"/>
    <w:rsid w:val="00C56ADC"/>
    <w:rsid w:val="00C56B13"/>
    <w:rsid w:val="00C56B83"/>
    <w:rsid w:val="00C56B98"/>
    <w:rsid w:val="00C56E34"/>
    <w:rsid w:val="00C56E80"/>
    <w:rsid w:val="00C56F10"/>
    <w:rsid w:val="00C56F47"/>
    <w:rsid w:val="00C56F73"/>
    <w:rsid w:val="00C57036"/>
    <w:rsid w:val="00C57047"/>
    <w:rsid w:val="00C5738D"/>
    <w:rsid w:val="00C5765C"/>
    <w:rsid w:val="00C576E5"/>
    <w:rsid w:val="00C57731"/>
    <w:rsid w:val="00C577C1"/>
    <w:rsid w:val="00C57833"/>
    <w:rsid w:val="00C57858"/>
    <w:rsid w:val="00C578B5"/>
    <w:rsid w:val="00C579FD"/>
    <w:rsid w:val="00C57AAE"/>
    <w:rsid w:val="00C57B35"/>
    <w:rsid w:val="00C57C2F"/>
    <w:rsid w:val="00C57C36"/>
    <w:rsid w:val="00C57D6F"/>
    <w:rsid w:val="00C57DF3"/>
    <w:rsid w:val="00C57F77"/>
    <w:rsid w:val="00C57FB3"/>
    <w:rsid w:val="00C57FD3"/>
    <w:rsid w:val="00C603EE"/>
    <w:rsid w:val="00C605A5"/>
    <w:rsid w:val="00C609B4"/>
    <w:rsid w:val="00C60B70"/>
    <w:rsid w:val="00C611C9"/>
    <w:rsid w:val="00C61484"/>
    <w:rsid w:val="00C61730"/>
    <w:rsid w:val="00C619F2"/>
    <w:rsid w:val="00C61A00"/>
    <w:rsid w:val="00C61A64"/>
    <w:rsid w:val="00C61B49"/>
    <w:rsid w:val="00C61FE9"/>
    <w:rsid w:val="00C62083"/>
    <w:rsid w:val="00C62089"/>
    <w:rsid w:val="00C62174"/>
    <w:rsid w:val="00C6218F"/>
    <w:rsid w:val="00C623E1"/>
    <w:rsid w:val="00C6258C"/>
    <w:rsid w:val="00C625EE"/>
    <w:rsid w:val="00C6268C"/>
    <w:rsid w:val="00C628BA"/>
    <w:rsid w:val="00C62AC6"/>
    <w:rsid w:val="00C62B47"/>
    <w:rsid w:val="00C62EC6"/>
    <w:rsid w:val="00C62F32"/>
    <w:rsid w:val="00C62FF5"/>
    <w:rsid w:val="00C63055"/>
    <w:rsid w:val="00C6310F"/>
    <w:rsid w:val="00C6312B"/>
    <w:rsid w:val="00C634F7"/>
    <w:rsid w:val="00C6351A"/>
    <w:rsid w:val="00C635E4"/>
    <w:rsid w:val="00C636CE"/>
    <w:rsid w:val="00C63762"/>
    <w:rsid w:val="00C637C4"/>
    <w:rsid w:val="00C63876"/>
    <w:rsid w:val="00C63885"/>
    <w:rsid w:val="00C63994"/>
    <w:rsid w:val="00C63A2C"/>
    <w:rsid w:val="00C63D4B"/>
    <w:rsid w:val="00C63D5A"/>
    <w:rsid w:val="00C63F16"/>
    <w:rsid w:val="00C63F9F"/>
    <w:rsid w:val="00C6407C"/>
    <w:rsid w:val="00C641C8"/>
    <w:rsid w:val="00C64276"/>
    <w:rsid w:val="00C64322"/>
    <w:rsid w:val="00C643DA"/>
    <w:rsid w:val="00C6448B"/>
    <w:rsid w:val="00C644EF"/>
    <w:rsid w:val="00C646A3"/>
    <w:rsid w:val="00C6475E"/>
    <w:rsid w:val="00C647A1"/>
    <w:rsid w:val="00C64A3F"/>
    <w:rsid w:val="00C64A81"/>
    <w:rsid w:val="00C64EEA"/>
    <w:rsid w:val="00C64F10"/>
    <w:rsid w:val="00C64F20"/>
    <w:rsid w:val="00C65011"/>
    <w:rsid w:val="00C650D7"/>
    <w:rsid w:val="00C651AD"/>
    <w:rsid w:val="00C651C6"/>
    <w:rsid w:val="00C65260"/>
    <w:rsid w:val="00C65285"/>
    <w:rsid w:val="00C65415"/>
    <w:rsid w:val="00C65625"/>
    <w:rsid w:val="00C6581E"/>
    <w:rsid w:val="00C65B90"/>
    <w:rsid w:val="00C65C6D"/>
    <w:rsid w:val="00C6604B"/>
    <w:rsid w:val="00C660E9"/>
    <w:rsid w:val="00C661F4"/>
    <w:rsid w:val="00C663A5"/>
    <w:rsid w:val="00C665C8"/>
    <w:rsid w:val="00C666A1"/>
    <w:rsid w:val="00C66703"/>
    <w:rsid w:val="00C667B0"/>
    <w:rsid w:val="00C668C1"/>
    <w:rsid w:val="00C66A54"/>
    <w:rsid w:val="00C66A5F"/>
    <w:rsid w:val="00C66AC3"/>
    <w:rsid w:val="00C66B58"/>
    <w:rsid w:val="00C66CCB"/>
    <w:rsid w:val="00C66D23"/>
    <w:rsid w:val="00C66D77"/>
    <w:rsid w:val="00C66DD0"/>
    <w:rsid w:val="00C66F6D"/>
    <w:rsid w:val="00C66F8E"/>
    <w:rsid w:val="00C67008"/>
    <w:rsid w:val="00C67314"/>
    <w:rsid w:val="00C67954"/>
    <w:rsid w:val="00C67AB6"/>
    <w:rsid w:val="00C67C4D"/>
    <w:rsid w:val="00C67C86"/>
    <w:rsid w:val="00C67F54"/>
    <w:rsid w:val="00C67FDA"/>
    <w:rsid w:val="00C7010F"/>
    <w:rsid w:val="00C70219"/>
    <w:rsid w:val="00C70374"/>
    <w:rsid w:val="00C703D7"/>
    <w:rsid w:val="00C70546"/>
    <w:rsid w:val="00C70582"/>
    <w:rsid w:val="00C705A9"/>
    <w:rsid w:val="00C70661"/>
    <w:rsid w:val="00C70C48"/>
    <w:rsid w:val="00C70CF1"/>
    <w:rsid w:val="00C70D13"/>
    <w:rsid w:val="00C70D71"/>
    <w:rsid w:val="00C70DBA"/>
    <w:rsid w:val="00C70EEE"/>
    <w:rsid w:val="00C7146E"/>
    <w:rsid w:val="00C71608"/>
    <w:rsid w:val="00C716EC"/>
    <w:rsid w:val="00C71950"/>
    <w:rsid w:val="00C71AF5"/>
    <w:rsid w:val="00C71C25"/>
    <w:rsid w:val="00C71F01"/>
    <w:rsid w:val="00C71FD0"/>
    <w:rsid w:val="00C7205F"/>
    <w:rsid w:val="00C72063"/>
    <w:rsid w:val="00C72122"/>
    <w:rsid w:val="00C721E1"/>
    <w:rsid w:val="00C72296"/>
    <w:rsid w:val="00C723AE"/>
    <w:rsid w:val="00C724C7"/>
    <w:rsid w:val="00C72512"/>
    <w:rsid w:val="00C72662"/>
    <w:rsid w:val="00C72668"/>
    <w:rsid w:val="00C72727"/>
    <w:rsid w:val="00C72728"/>
    <w:rsid w:val="00C727A0"/>
    <w:rsid w:val="00C727B4"/>
    <w:rsid w:val="00C728A6"/>
    <w:rsid w:val="00C7292F"/>
    <w:rsid w:val="00C72990"/>
    <w:rsid w:val="00C72A4A"/>
    <w:rsid w:val="00C72C11"/>
    <w:rsid w:val="00C72CCB"/>
    <w:rsid w:val="00C72D24"/>
    <w:rsid w:val="00C72DFF"/>
    <w:rsid w:val="00C72EC5"/>
    <w:rsid w:val="00C72EF6"/>
    <w:rsid w:val="00C73109"/>
    <w:rsid w:val="00C731D9"/>
    <w:rsid w:val="00C733CC"/>
    <w:rsid w:val="00C7347C"/>
    <w:rsid w:val="00C73674"/>
    <w:rsid w:val="00C7371C"/>
    <w:rsid w:val="00C73787"/>
    <w:rsid w:val="00C73A3B"/>
    <w:rsid w:val="00C73A4D"/>
    <w:rsid w:val="00C73A4F"/>
    <w:rsid w:val="00C73A55"/>
    <w:rsid w:val="00C73AAA"/>
    <w:rsid w:val="00C73CCE"/>
    <w:rsid w:val="00C740FC"/>
    <w:rsid w:val="00C741B1"/>
    <w:rsid w:val="00C741F9"/>
    <w:rsid w:val="00C7445C"/>
    <w:rsid w:val="00C745CC"/>
    <w:rsid w:val="00C7467F"/>
    <w:rsid w:val="00C74687"/>
    <w:rsid w:val="00C7475B"/>
    <w:rsid w:val="00C74876"/>
    <w:rsid w:val="00C7495F"/>
    <w:rsid w:val="00C74ADB"/>
    <w:rsid w:val="00C74B41"/>
    <w:rsid w:val="00C74E50"/>
    <w:rsid w:val="00C750CB"/>
    <w:rsid w:val="00C7528F"/>
    <w:rsid w:val="00C75296"/>
    <w:rsid w:val="00C75360"/>
    <w:rsid w:val="00C75400"/>
    <w:rsid w:val="00C75416"/>
    <w:rsid w:val="00C754CB"/>
    <w:rsid w:val="00C755EF"/>
    <w:rsid w:val="00C7573A"/>
    <w:rsid w:val="00C75977"/>
    <w:rsid w:val="00C75ACC"/>
    <w:rsid w:val="00C75C39"/>
    <w:rsid w:val="00C75CD0"/>
    <w:rsid w:val="00C75D91"/>
    <w:rsid w:val="00C75E1C"/>
    <w:rsid w:val="00C75E3A"/>
    <w:rsid w:val="00C75F73"/>
    <w:rsid w:val="00C7606E"/>
    <w:rsid w:val="00C760B8"/>
    <w:rsid w:val="00C76302"/>
    <w:rsid w:val="00C76312"/>
    <w:rsid w:val="00C763AA"/>
    <w:rsid w:val="00C7640A"/>
    <w:rsid w:val="00C76488"/>
    <w:rsid w:val="00C7656C"/>
    <w:rsid w:val="00C76733"/>
    <w:rsid w:val="00C76741"/>
    <w:rsid w:val="00C767C7"/>
    <w:rsid w:val="00C76960"/>
    <w:rsid w:val="00C769D0"/>
    <w:rsid w:val="00C769E1"/>
    <w:rsid w:val="00C76A32"/>
    <w:rsid w:val="00C76A69"/>
    <w:rsid w:val="00C76AC6"/>
    <w:rsid w:val="00C76AF9"/>
    <w:rsid w:val="00C76BE8"/>
    <w:rsid w:val="00C76CA0"/>
    <w:rsid w:val="00C76D3A"/>
    <w:rsid w:val="00C76E90"/>
    <w:rsid w:val="00C772F4"/>
    <w:rsid w:val="00C77442"/>
    <w:rsid w:val="00C7744E"/>
    <w:rsid w:val="00C77506"/>
    <w:rsid w:val="00C77621"/>
    <w:rsid w:val="00C7762F"/>
    <w:rsid w:val="00C7772B"/>
    <w:rsid w:val="00C777B6"/>
    <w:rsid w:val="00C777E4"/>
    <w:rsid w:val="00C77802"/>
    <w:rsid w:val="00C778EB"/>
    <w:rsid w:val="00C77951"/>
    <w:rsid w:val="00C77D90"/>
    <w:rsid w:val="00C77E72"/>
    <w:rsid w:val="00C77E9C"/>
    <w:rsid w:val="00C800AA"/>
    <w:rsid w:val="00C8018A"/>
    <w:rsid w:val="00C8018B"/>
    <w:rsid w:val="00C802F5"/>
    <w:rsid w:val="00C80435"/>
    <w:rsid w:val="00C807E7"/>
    <w:rsid w:val="00C808DE"/>
    <w:rsid w:val="00C80A29"/>
    <w:rsid w:val="00C80AA4"/>
    <w:rsid w:val="00C80B45"/>
    <w:rsid w:val="00C80BA1"/>
    <w:rsid w:val="00C812F1"/>
    <w:rsid w:val="00C8139E"/>
    <w:rsid w:val="00C814AB"/>
    <w:rsid w:val="00C814D7"/>
    <w:rsid w:val="00C81544"/>
    <w:rsid w:val="00C81677"/>
    <w:rsid w:val="00C81755"/>
    <w:rsid w:val="00C817DB"/>
    <w:rsid w:val="00C817EF"/>
    <w:rsid w:val="00C81806"/>
    <w:rsid w:val="00C818B1"/>
    <w:rsid w:val="00C818C4"/>
    <w:rsid w:val="00C81AEC"/>
    <w:rsid w:val="00C81B8B"/>
    <w:rsid w:val="00C81BA0"/>
    <w:rsid w:val="00C81C76"/>
    <w:rsid w:val="00C81EB2"/>
    <w:rsid w:val="00C81FEE"/>
    <w:rsid w:val="00C8209A"/>
    <w:rsid w:val="00C82133"/>
    <w:rsid w:val="00C8225A"/>
    <w:rsid w:val="00C8229E"/>
    <w:rsid w:val="00C822D7"/>
    <w:rsid w:val="00C822F1"/>
    <w:rsid w:val="00C82452"/>
    <w:rsid w:val="00C8247D"/>
    <w:rsid w:val="00C8249B"/>
    <w:rsid w:val="00C824C3"/>
    <w:rsid w:val="00C825A0"/>
    <w:rsid w:val="00C828EC"/>
    <w:rsid w:val="00C82916"/>
    <w:rsid w:val="00C8291F"/>
    <w:rsid w:val="00C82CC0"/>
    <w:rsid w:val="00C82D42"/>
    <w:rsid w:val="00C82E50"/>
    <w:rsid w:val="00C82E71"/>
    <w:rsid w:val="00C82E9A"/>
    <w:rsid w:val="00C83016"/>
    <w:rsid w:val="00C83028"/>
    <w:rsid w:val="00C83142"/>
    <w:rsid w:val="00C831F0"/>
    <w:rsid w:val="00C832FE"/>
    <w:rsid w:val="00C83340"/>
    <w:rsid w:val="00C8360F"/>
    <w:rsid w:val="00C839C1"/>
    <w:rsid w:val="00C83A3A"/>
    <w:rsid w:val="00C83DCD"/>
    <w:rsid w:val="00C83EEC"/>
    <w:rsid w:val="00C841D5"/>
    <w:rsid w:val="00C84330"/>
    <w:rsid w:val="00C8449C"/>
    <w:rsid w:val="00C8461A"/>
    <w:rsid w:val="00C846A6"/>
    <w:rsid w:val="00C84934"/>
    <w:rsid w:val="00C84A2B"/>
    <w:rsid w:val="00C84B45"/>
    <w:rsid w:val="00C84C3D"/>
    <w:rsid w:val="00C84CAF"/>
    <w:rsid w:val="00C84CC1"/>
    <w:rsid w:val="00C84D20"/>
    <w:rsid w:val="00C84DCE"/>
    <w:rsid w:val="00C84F9E"/>
    <w:rsid w:val="00C85186"/>
    <w:rsid w:val="00C85196"/>
    <w:rsid w:val="00C852B0"/>
    <w:rsid w:val="00C852C5"/>
    <w:rsid w:val="00C8534C"/>
    <w:rsid w:val="00C8556D"/>
    <w:rsid w:val="00C855B5"/>
    <w:rsid w:val="00C857C6"/>
    <w:rsid w:val="00C858A7"/>
    <w:rsid w:val="00C85937"/>
    <w:rsid w:val="00C85AE3"/>
    <w:rsid w:val="00C85B6B"/>
    <w:rsid w:val="00C85BB9"/>
    <w:rsid w:val="00C85ED2"/>
    <w:rsid w:val="00C85FED"/>
    <w:rsid w:val="00C862CB"/>
    <w:rsid w:val="00C863EB"/>
    <w:rsid w:val="00C864E6"/>
    <w:rsid w:val="00C86502"/>
    <w:rsid w:val="00C8652F"/>
    <w:rsid w:val="00C867C4"/>
    <w:rsid w:val="00C867D1"/>
    <w:rsid w:val="00C868A4"/>
    <w:rsid w:val="00C8697F"/>
    <w:rsid w:val="00C86A55"/>
    <w:rsid w:val="00C86AC7"/>
    <w:rsid w:val="00C86AF8"/>
    <w:rsid w:val="00C86B72"/>
    <w:rsid w:val="00C86BB2"/>
    <w:rsid w:val="00C86D91"/>
    <w:rsid w:val="00C86F9B"/>
    <w:rsid w:val="00C87005"/>
    <w:rsid w:val="00C87289"/>
    <w:rsid w:val="00C87346"/>
    <w:rsid w:val="00C87581"/>
    <w:rsid w:val="00C875A1"/>
    <w:rsid w:val="00C87626"/>
    <w:rsid w:val="00C876B7"/>
    <w:rsid w:val="00C877F6"/>
    <w:rsid w:val="00C878A3"/>
    <w:rsid w:val="00C87B32"/>
    <w:rsid w:val="00C87DF7"/>
    <w:rsid w:val="00C87FD5"/>
    <w:rsid w:val="00C902CD"/>
    <w:rsid w:val="00C902FB"/>
    <w:rsid w:val="00C90326"/>
    <w:rsid w:val="00C903C2"/>
    <w:rsid w:val="00C903EE"/>
    <w:rsid w:val="00C905CE"/>
    <w:rsid w:val="00C9064E"/>
    <w:rsid w:val="00C907FC"/>
    <w:rsid w:val="00C9099D"/>
    <w:rsid w:val="00C909F6"/>
    <w:rsid w:val="00C90A94"/>
    <w:rsid w:val="00C90AD5"/>
    <w:rsid w:val="00C90B7C"/>
    <w:rsid w:val="00C90E0F"/>
    <w:rsid w:val="00C90E6F"/>
    <w:rsid w:val="00C91043"/>
    <w:rsid w:val="00C91245"/>
    <w:rsid w:val="00C914B2"/>
    <w:rsid w:val="00C916F7"/>
    <w:rsid w:val="00C9170F"/>
    <w:rsid w:val="00C91778"/>
    <w:rsid w:val="00C917EE"/>
    <w:rsid w:val="00C9186B"/>
    <w:rsid w:val="00C918DD"/>
    <w:rsid w:val="00C91A2B"/>
    <w:rsid w:val="00C91AA1"/>
    <w:rsid w:val="00C91ADB"/>
    <w:rsid w:val="00C91C12"/>
    <w:rsid w:val="00C91C35"/>
    <w:rsid w:val="00C91EB6"/>
    <w:rsid w:val="00C921D0"/>
    <w:rsid w:val="00C92205"/>
    <w:rsid w:val="00C9225C"/>
    <w:rsid w:val="00C922EE"/>
    <w:rsid w:val="00C92317"/>
    <w:rsid w:val="00C923A9"/>
    <w:rsid w:val="00C92413"/>
    <w:rsid w:val="00C92442"/>
    <w:rsid w:val="00C924D2"/>
    <w:rsid w:val="00C926AE"/>
    <w:rsid w:val="00C927D7"/>
    <w:rsid w:val="00C92888"/>
    <w:rsid w:val="00C92901"/>
    <w:rsid w:val="00C929DF"/>
    <w:rsid w:val="00C92A02"/>
    <w:rsid w:val="00C92B62"/>
    <w:rsid w:val="00C92C1D"/>
    <w:rsid w:val="00C92D86"/>
    <w:rsid w:val="00C92F05"/>
    <w:rsid w:val="00C92F38"/>
    <w:rsid w:val="00C9308E"/>
    <w:rsid w:val="00C930F4"/>
    <w:rsid w:val="00C931AF"/>
    <w:rsid w:val="00C93228"/>
    <w:rsid w:val="00C9335F"/>
    <w:rsid w:val="00C933BA"/>
    <w:rsid w:val="00C93505"/>
    <w:rsid w:val="00C93540"/>
    <w:rsid w:val="00C935B8"/>
    <w:rsid w:val="00C9361B"/>
    <w:rsid w:val="00C93796"/>
    <w:rsid w:val="00C93A22"/>
    <w:rsid w:val="00C93A54"/>
    <w:rsid w:val="00C93BD2"/>
    <w:rsid w:val="00C93D77"/>
    <w:rsid w:val="00C93FCE"/>
    <w:rsid w:val="00C94068"/>
    <w:rsid w:val="00C9406E"/>
    <w:rsid w:val="00C9411F"/>
    <w:rsid w:val="00C94174"/>
    <w:rsid w:val="00C94393"/>
    <w:rsid w:val="00C943F9"/>
    <w:rsid w:val="00C9453D"/>
    <w:rsid w:val="00C945D0"/>
    <w:rsid w:val="00C947D8"/>
    <w:rsid w:val="00C94B8F"/>
    <w:rsid w:val="00C94D29"/>
    <w:rsid w:val="00C94E42"/>
    <w:rsid w:val="00C94F60"/>
    <w:rsid w:val="00C950DD"/>
    <w:rsid w:val="00C951A6"/>
    <w:rsid w:val="00C95371"/>
    <w:rsid w:val="00C9537C"/>
    <w:rsid w:val="00C953B5"/>
    <w:rsid w:val="00C954B0"/>
    <w:rsid w:val="00C954DA"/>
    <w:rsid w:val="00C954F8"/>
    <w:rsid w:val="00C954FD"/>
    <w:rsid w:val="00C95531"/>
    <w:rsid w:val="00C9556C"/>
    <w:rsid w:val="00C956A1"/>
    <w:rsid w:val="00C956B5"/>
    <w:rsid w:val="00C9572A"/>
    <w:rsid w:val="00C95883"/>
    <w:rsid w:val="00C958F0"/>
    <w:rsid w:val="00C95927"/>
    <w:rsid w:val="00C95BC1"/>
    <w:rsid w:val="00C95D2E"/>
    <w:rsid w:val="00C95DA1"/>
    <w:rsid w:val="00C95FD3"/>
    <w:rsid w:val="00C960F8"/>
    <w:rsid w:val="00C9614E"/>
    <w:rsid w:val="00C9632C"/>
    <w:rsid w:val="00C9655A"/>
    <w:rsid w:val="00C966AD"/>
    <w:rsid w:val="00C96763"/>
    <w:rsid w:val="00C96815"/>
    <w:rsid w:val="00C9696F"/>
    <w:rsid w:val="00C96A01"/>
    <w:rsid w:val="00C96AF0"/>
    <w:rsid w:val="00C96B17"/>
    <w:rsid w:val="00C96C0F"/>
    <w:rsid w:val="00C96C69"/>
    <w:rsid w:val="00C96D54"/>
    <w:rsid w:val="00C970C0"/>
    <w:rsid w:val="00C9718E"/>
    <w:rsid w:val="00C97281"/>
    <w:rsid w:val="00C973BF"/>
    <w:rsid w:val="00C97677"/>
    <w:rsid w:val="00C977EE"/>
    <w:rsid w:val="00C978AC"/>
    <w:rsid w:val="00C978DE"/>
    <w:rsid w:val="00C979E9"/>
    <w:rsid w:val="00C97BB6"/>
    <w:rsid w:val="00C97C86"/>
    <w:rsid w:val="00C97CBA"/>
    <w:rsid w:val="00C97FC5"/>
    <w:rsid w:val="00CA007B"/>
    <w:rsid w:val="00CA007E"/>
    <w:rsid w:val="00CA0133"/>
    <w:rsid w:val="00CA01D6"/>
    <w:rsid w:val="00CA07D4"/>
    <w:rsid w:val="00CA0824"/>
    <w:rsid w:val="00CA0A76"/>
    <w:rsid w:val="00CA0B35"/>
    <w:rsid w:val="00CA0CC0"/>
    <w:rsid w:val="00CA0E2E"/>
    <w:rsid w:val="00CA0E2F"/>
    <w:rsid w:val="00CA0E5D"/>
    <w:rsid w:val="00CA0EB2"/>
    <w:rsid w:val="00CA0F12"/>
    <w:rsid w:val="00CA0FFE"/>
    <w:rsid w:val="00CA1344"/>
    <w:rsid w:val="00CA17D8"/>
    <w:rsid w:val="00CA189A"/>
    <w:rsid w:val="00CA18E6"/>
    <w:rsid w:val="00CA1A4A"/>
    <w:rsid w:val="00CA1B37"/>
    <w:rsid w:val="00CA1B95"/>
    <w:rsid w:val="00CA1E0B"/>
    <w:rsid w:val="00CA1E9B"/>
    <w:rsid w:val="00CA1EC2"/>
    <w:rsid w:val="00CA1F51"/>
    <w:rsid w:val="00CA1FA7"/>
    <w:rsid w:val="00CA2012"/>
    <w:rsid w:val="00CA2586"/>
    <w:rsid w:val="00CA2646"/>
    <w:rsid w:val="00CA2689"/>
    <w:rsid w:val="00CA2712"/>
    <w:rsid w:val="00CA28AD"/>
    <w:rsid w:val="00CA293A"/>
    <w:rsid w:val="00CA2C43"/>
    <w:rsid w:val="00CA2CE5"/>
    <w:rsid w:val="00CA2D07"/>
    <w:rsid w:val="00CA2F8F"/>
    <w:rsid w:val="00CA3008"/>
    <w:rsid w:val="00CA3363"/>
    <w:rsid w:val="00CA337D"/>
    <w:rsid w:val="00CA3564"/>
    <w:rsid w:val="00CA37CB"/>
    <w:rsid w:val="00CA37D7"/>
    <w:rsid w:val="00CA3857"/>
    <w:rsid w:val="00CA3924"/>
    <w:rsid w:val="00CA393C"/>
    <w:rsid w:val="00CA39F9"/>
    <w:rsid w:val="00CA3B27"/>
    <w:rsid w:val="00CA3B73"/>
    <w:rsid w:val="00CA3BD8"/>
    <w:rsid w:val="00CA3D0C"/>
    <w:rsid w:val="00CA3DAD"/>
    <w:rsid w:val="00CA4000"/>
    <w:rsid w:val="00CA40D1"/>
    <w:rsid w:val="00CA464C"/>
    <w:rsid w:val="00CA4B78"/>
    <w:rsid w:val="00CA4B81"/>
    <w:rsid w:val="00CA4D9E"/>
    <w:rsid w:val="00CA4DC1"/>
    <w:rsid w:val="00CA4E25"/>
    <w:rsid w:val="00CA4E7E"/>
    <w:rsid w:val="00CA512B"/>
    <w:rsid w:val="00CA51AB"/>
    <w:rsid w:val="00CA5258"/>
    <w:rsid w:val="00CA525D"/>
    <w:rsid w:val="00CA527C"/>
    <w:rsid w:val="00CA53DA"/>
    <w:rsid w:val="00CA55B2"/>
    <w:rsid w:val="00CA5916"/>
    <w:rsid w:val="00CA5A1F"/>
    <w:rsid w:val="00CA5B12"/>
    <w:rsid w:val="00CA5B42"/>
    <w:rsid w:val="00CA5CC3"/>
    <w:rsid w:val="00CA5D59"/>
    <w:rsid w:val="00CA5D89"/>
    <w:rsid w:val="00CA5DDD"/>
    <w:rsid w:val="00CA5EE7"/>
    <w:rsid w:val="00CA5FE0"/>
    <w:rsid w:val="00CA6005"/>
    <w:rsid w:val="00CA6011"/>
    <w:rsid w:val="00CA6099"/>
    <w:rsid w:val="00CA6255"/>
    <w:rsid w:val="00CA6354"/>
    <w:rsid w:val="00CA6374"/>
    <w:rsid w:val="00CA6546"/>
    <w:rsid w:val="00CA6586"/>
    <w:rsid w:val="00CA6593"/>
    <w:rsid w:val="00CA6670"/>
    <w:rsid w:val="00CA67D9"/>
    <w:rsid w:val="00CA6857"/>
    <w:rsid w:val="00CA687E"/>
    <w:rsid w:val="00CA69F0"/>
    <w:rsid w:val="00CA6CE8"/>
    <w:rsid w:val="00CA6CF4"/>
    <w:rsid w:val="00CA6D82"/>
    <w:rsid w:val="00CA6E22"/>
    <w:rsid w:val="00CA6F0B"/>
    <w:rsid w:val="00CA6FBE"/>
    <w:rsid w:val="00CA6FE2"/>
    <w:rsid w:val="00CA702D"/>
    <w:rsid w:val="00CA7078"/>
    <w:rsid w:val="00CA72EB"/>
    <w:rsid w:val="00CA73D1"/>
    <w:rsid w:val="00CA73DC"/>
    <w:rsid w:val="00CA7537"/>
    <w:rsid w:val="00CA766C"/>
    <w:rsid w:val="00CA77F5"/>
    <w:rsid w:val="00CA7C8A"/>
    <w:rsid w:val="00CA7CF0"/>
    <w:rsid w:val="00CA7DF8"/>
    <w:rsid w:val="00CA7E49"/>
    <w:rsid w:val="00CA7E77"/>
    <w:rsid w:val="00CA7F69"/>
    <w:rsid w:val="00CB021B"/>
    <w:rsid w:val="00CB02C8"/>
    <w:rsid w:val="00CB0331"/>
    <w:rsid w:val="00CB0507"/>
    <w:rsid w:val="00CB0528"/>
    <w:rsid w:val="00CB05F8"/>
    <w:rsid w:val="00CB066E"/>
    <w:rsid w:val="00CB067A"/>
    <w:rsid w:val="00CB06D2"/>
    <w:rsid w:val="00CB0727"/>
    <w:rsid w:val="00CB0839"/>
    <w:rsid w:val="00CB0A00"/>
    <w:rsid w:val="00CB0A14"/>
    <w:rsid w:val="00CB0A3C"/>
    <w:rsid w:val="00CB0B8A"/>
    <w:rsid w:val="00CB0D0E"/>
    <w:rsid w:val="00CB0D23"/>
    <w:rsid w:val="00CB0DB6"/>
    <w:rsid w:val="00CB0DC0"/>
    <w:rsid w:val="00CB0FEE"/>
    <w:rsid w:val="00CB11BA"/>
    <w:rsid w:val="00CB125F"/>
    <w:rsid w:val="00CB1317"/>
    <w:rsid w:val="00CB1412"/>
    <w:rsid w:val="00CB147E"/>
    <w:rsid w:val="00CB1760"/>
    <w:rsid w:val="00CB1946"/>
    <w:rsid w:val="00CB196D"/>
    <w:rsid w:val="00CB1BE9"/>
    <w:rsid w:val="00CB1CE2"/>
    <w:rsid w:val="00CB1D5C"/>
    <w:rsid w:val="00CB1D6A"/>
    <w:rsid w:val="00CB1E1B"/>
    <w:rsid w:val="00CB1FEF"/>
    <w:rsid w:val="00CB20BE"/>
    <w:rsid w:val="00CB2151"/>
    <w:rsid w:val="00CB21C1"/>
    <w:rsid w:val="00CB222A"/>
    <w:rsid w:val="00CB2364"/>
    <w:rsid w:val="00CB2377"/>
    <w:rsid w:val="00CB23B2"/>
    <w:rsid w:val="00CB23EB"/>
    <w:rsid w:val="00CB2406"/>
    <w:rsid w:val="00CB241D"/>
    <w:rsid w:val="00CB24BD"/>
    <w:rsid w:val="00CB254C"/>
    <w:rsid w:val="00CB256C"/>
    <w:rsid w:val="00CB25AF"/>
    <w:rsid w:val="00CB262B"/>
    <w:rsid w:val="00CB2702"/>
    <w:rsid w:val="00CB2E89"/>
    <w:rsid w:val="00CB2EB8"/>
    <w:rsid w:val="00CB2FC1"/>
    <w:rsid w:val="00CB3059"/>
    <w:rsid w:val="00CB3183"/>
    <w:rsid w:val="00CB3945"/>
    <w:rsid w:val="00CB39C9"/>
    <w:rsid w:val="00CB3A5E"/>
    <w:rsid w:val="00CB3ADA"/>
    <w:rsid w:val="00CB3B29"/>
    <w:rsid w:val="00CB3BD6"/>
    <w:rsid w:val="00CB3DAA"/>
    <w:rsid w:val="00CB3ED5"/>
    <w:rsid w:val="00CB3F73"/>
    <w:rsid w:val="00CB4002"/>
    <w:rsid w:val="00CB407E"/>
    <w:rsid w:val="00CB409C"/>
    <w:rsid w:val="00CB412A"/>
    <w:rsid w:val="00CB4141"/>
    <w:rsid w:val="00CB417F"/>
    <w:rsid w:val="00CB4209"/>
    <w:rsid w:val="00CB4235"/>
    <w:rsid w:val="00CB43AF"/>
    <w:rsid w:val="00CB4562"/>
    <w:rsid w:val="00CB4574"/>
    <w:rsid w:val="00CB45AA"/>
    <w:rsid w:val="00CB475F"/>
    <w:rsid w:val="00CB4978"/>
    <w:rsid w:val="00CB4CAC"/>
    <w:rsid w:val="00CB4CD2"/>
    <w:rsid w:val="00CB4CD6"/>
    <w:rsid w:val="00CB4CD9"/>
    <w:rsid w:val="00CB4E9C"/>
    <w:rsid w:val="00CB503C"/>
    <w:rsid w:val="00CB5052"/>
    <w:rsid w:val="00CB5080"/>
    <w:rsid w:val="00CB5098"/>
    <w:rsid w:val="00CB50FF"/>
    <w:rsid w:val="00CB51F3"/>
    <w:rsid w:val="00CB5230"/>
    <w:rsid w:val="00CB5441"/>
    <w:rsid w:val="00CB550A"/>
    <w:rsid w:val="00CB55DF"/>
    <w:rsid w:val="00CB55E5"/>
    <w:rsid w:val="00CB5B33"/>
    <w:rsid w:val="00CB5BA7"/>
    <w:rsid w:val="00CB5BAC"/>
    <w:rsid w:val="00CB5BF0"/>
    <w:rsid w:val="00CB5BFA"/>
    <w:rsid w:val="00CB5C1B"/>
    <w:rsid w:val="00CB5C4E"/>
    <w:rsid w:val="00CB5D7B"/>
    <w:rsid w:val="00CB5F0D"/>
    <w:rsid w:val="00CB5F27"/>
    <w:rsid w:val="00CB5F8F"/>
    <w:rsid w:val="00CB6073"/>
    <w:rsid w:val="00CB645C"/>
    <w:rsid w:val="00CB6543"/>
    <w:rsid w:val="00CB67DD"/>
    <w:rsid w:val="00CB6811"/>
    <w:rsid w:val="00CB6A95"/>
    <w:rsid w:val="00CB6AE2"/>
    <w:rsid w:val="00CB6AE5"/>
    <w:rsid w:val="00CB6C97"/>
    <w:rsid w:val="00CB6EE1"/>
    <w:rsid w:val="00CB700A"/>
    <w:rsid w:val="00CB706B"/>
    <w:rsid w:val="00CB70A2"/>
    <w:rsid w:val="00CB70CC"/>
    <w:rsid w:val="00CB7315"/>
    <w:rsid w:val="00CB733C"/>
    <w:rsid w:val="00CB73FF"/>
    <w:rsid w:val="00CB74DA"/>
    <w:rsid w:val="00CB74F5"/>
    <w:rsid w:val="00CB75A8"/>
    <w:rsid w:val="00CB75EE"/>
    <w:rsid w:val="00CB772C"/>
    <w:rsid w:val="00CB7737"/>
    <w:rsid w:val="00CB773D"/>
    <w:rsid w:val="00CB7777"/>
    <w:rsid w:val="00CB77AD"/>
    <w:rsid w:val="00CB7821"/>
    <w:rsid w:val="00CB7A9D"/>
    <w:rsid w:val="00CB7AA0"/>
    <w:rsid w:val="00CB7BAB"/>
    <w:rsid w:val="00CB7D47"/>
    <w:rsid w:val="00CB7DC6"/>
    <w:rsid w:val="00CB7ED0"/>
    <w:rsid w:val="00CC009D"/>
    <w:rsid w:val="00CC00A4"/>
    <w:rsid w:val="00CC0204"/>
    <w:rsid w:val="00CC03DD"/>
    <w:rsid w:val="00CC0400"/>
    <w:rsid w:val="00CC0403"/>
    <w:rsid w:val="00CC04F6"/>
    <w:rsid w:val="00CC06C2"/>
    <w:rsid w:val="00CC07F2"/>
    <w:rsid w:val="00CC0808"/>
    <w:rsid w:val="00CC0830"/>
    <w:rsid w:val="00CC0881"/>
    <w:rsid w:val="00CC099E"/>
    <w:rsid w:val="00CC0A6A"/>
    <w:rsid w:val="00CC0B6B"/>
    <w:rsid w:val="00CC0B92"/>
    <w:rsid w:val="00CC0CE8"/>
    <w:rsid w:val="00CC0D0B"/>
    <w:rsid w:val="00CC0E23"/>
    <w:rsid w:val="00CC0EA5"/>
    <w:rsid w:val="00CC0F98"/>
    <w:rsid w:val="00CC10CF"/>
    <w:rsid w:val="00CC1417"/>
    <w:rsid w:val="00CC166B"/>
    <w:rsid w:val="00CC1779"/>
    <w:rsid w:val="00CC188B"/>
    <w:rsid w:val="00CC1910"/>
    <w:rsid w:val="00CC1A94"/>
    <w:rsid w:val="00CC1AE2"/>
    <w:rsid w:val="00CC1B2D"/>
    <w:rsid w:val="00CC1B48"/>
    <w:rsid w:val="00CC1C48"/>
    <w:rsid w:val="00CC1C78"/>
    <w:rsid w:val="00CC1DAB"/>
    <w:rsid w:val="00CC211C"/>
    <w:rsid w:val="00CC23CD"/>
    <w:rsid w:val="00CC2605"/>
    <w:rsid w:val="00CC2836"/>
    <w:rsid w:val="00CC2880"/>
    <w:rsid w:val="00CC288E"/>
    <w:rsid w:val="00CC2AB3"/>
    <w:rsid w:val="00CC2D65"/>
    <w:rsid w:val="00CC2DFE"/>
    <w:rsid w:val="00CC2F0E"/>
    <w:rsid w:val="00CC3063"/>
    <w:rsid w:val="00CC30AF"/>
    <w:rsid w:val="00CC31DE"/>
    <w:rsid w:val="00CC322F"/>
    <w:rsid w:val="00CC328E"/>
    <w:rsid w:val="00CC3423"/>
    <w:rsid w:val="00CC34B2"/>
    <w:rsid w:val="00CC354D"/>
    <w:rsid w:val="00CC360C"/>
    <w:rsid w:val="00CC368F"/>
    <w:rsid w:val="00CC3762"/>
    <w:rsid w:val="00CC3791"/>
    <w:rsid w:val="00CC38A1"/>
    <w:rsid w:val="00CC3A20"/>
    <w:rsid w:val="00CC3BD5"/>
    <w:rsid w:val="00CC3C4D"/>
    <w:rsid w:val="00CC3C9B"/>
    <w:rsid w:val="00CC3D5F"/>
    <w:rsid w:val="00CC3D8F"/>
    <w:rsid w:val="00CC3E51"/>
    <w:rsid w:val="00CC3E56"/>
    <w:rsid w:val="00CC411F"/>
    <w:rsid w:val="00CC4257"/>
    <w:rsid w:val="00CC430D"/>
    <w:rsid w:val="00CC433F"/>
    <w:rsid w:val="00CC4484"/>
    <w:rsid w:val="00CC45E3"/>
    <w:rsid w:val="00CC4661"/>
    <w:rsid w:val="00CC471D"/>
    <w:rsid w:val="00CC4792"/>
    <w:rsid w:val="00CC4925"/>
    <w:rsid w:val="00CC4AB0"/>
    <w:rsid w:val="00CC4B69"/>
    <w:rsid w:val="00CC4E71"/>
    <w:rsid w:val="00CC4EA4"/>
    <w:rsid w:val="00CC4EBE"/>
    <w:rsid w:val="00CC4F48"/>
    <w:rsid w:val="00CC5166"/>
    <w:rsid w:val="00CC51DB"/>
    <w:rsid w:val="00CC5207"/>
    <w:rsid w:val="00CC5236"/>
    <w:rsid w:val="00CC53B6"/>
    <w:rsid w:val="00CC5583"/>
    <w:rsid w:val="00CC55B4"/>
    <w:rsid w:val="00CC5612"/>
    <w:rsid w:val="00CC5759"/>
    <w:rsid w:val="00CC5960"/>
    <w:rsid w:val="00CC5CB7"/>
    <w:rsid w:val="00CC5D92"/>
    <w:rsid w:val="00CC608B"/>
    <w:rsid w:val="00CC60A1"/>
    <w:rsid w:val="00CC62FF"/>
    <w:rsid w:val="00CC640F"/>
    <w:rsid w:val="00CC642C"/>
    <w:rsid w:val="00CC64A0"/>
    <w:rsid w:val="00CC64D6"/>
    <w:rsid w:val="00CC6645"/>
    <w:rsid w:val="00CC66D5"/>
    <w:rsid w:val="00CC6727"/>
    <w:rsid w:val="00CC674B"/>
    <w:rsid w:val="00CC6779"/>
    <w:rsid w:val="00CC6843"/>
    <w:rsid w:val="00CC6D04"/>
    <w:rsid w:val="00CC6D84"/>
    <w:rsid w:val="00CC6E1D"/>
    <w:rsid w:val="00CC6FE3"/>
    <w:rsid w:val="00CC70C1"/>
    <w:rsid w:val="00CC72F2"/>
    <w:rsid w:val="00CC73C4"/>
    <w:rsid w:val="00CC73D3"/>
    <w:rsid w:val="00CC741D"/>
    <w:rsid w:val="00CC7468"/>
    <w:rsid w:val="00CC7872"/>
    <w:rsid w:val="00CC78E3"/>
    <w:rsid w:val="00CC7A27"/>
    <w:rsid w:val="00CC7BFA"/>
    <w:rsid w:val="00CC7D59"/>
    <w:rsid w:val="00CC7DAE"/>
    <w:rsid w:val="00CC7ED3"/>
    <w:rsid w:val="00CC7FB1"/>
    <w:rsid w:val="00CD0057"/>
    <w:rsid w:val="00CD00ED"/>
    <w:rsid w:val="00CD01CA"/>
    <w:rsid w:val="00CD0213"/>
    <w:rsid w:val="00CD0220"/>
    <w:rsid w:val="00CD0425"/>
    <w:rsid w:val="00CD0454"/>
    <w:rsid w:val="00CD0588"/>
    <w:rsid w:val="00CD061A"/>
    <w:rsid w:val="00CD0633"/>
    <w:rsid w:val="00CD07E9"/>
    <w:rsid w:val="00CD08DB"/>
    <w:rsid w:val="00CD093F"/>
    <w:rsid w:val="00CD0AFE"/>
    <w:rsid w:val="00CD0B37"/>
    <w:rsid w:val="00CD0F39"/>
    <w:rsid w:val="00CD0F54"/>
    <w:rsid w:val="00CD1078"/>
    <w:rsid w:val="00CD10AB"/>
    <w:rsid w:val="00CD13CE"/>
    <w:rsid w:val="00CD13E3"/>
    <w:rsid w:val="00CD1566"/>
    <w:rsid w:val="00CD15C5"/>
    <w:rsid w:val="00CD17A3"/>
    <w:rsid w:val="00CD17D2"/>
    <w:rsid w:val="00CD1838"/>
    <w:rsid w:val="00CD188D"/>
    <w:rsid w:val="00CD18FD"/>
    <w:rsid w:val="00CD1B95"/>
    <w:rsid w:val="00CD1CF2"/>
    <w:rsid w:val="00CD1D12"/>
    <w:rsid w:val="00CD206F"/>
    <w:rsid w:val="00CD207F"/>
    <w:rsid w:val="00CD21A2"/>
    <w:rsid w:val="00CD23C6"/>
    <w:rsid w:val="00CD23F3"/>
    <w:rsid w:val="00CD247F"/>
    <w:rsid w:val="00CD24AE"/>
    <w:rsid w:val="00CD24AF"/>
    <w:rsid w:val="00CD25D3"/>
    <w:rsid w:val="00CD2695"/>
    <w:rsid w:val="00CD28F7"/>
    <w:rsid w:val="00CD2A17"/>
    <w:rsid w:val="00CD2A2B"/>
    <w:rsid w:val="00CD2A35"/>
    <w:rsid w:val="00CD2B53"/>
    <w:rsid w:val="00CD2C27"/>
    <w:rsid w:val="00CD2C97"/>
    <w:rsid w:val="00CD2C99"/>
    <w:rsid w:val="00CD2CA0"/>
    <w:rsid w:val="00CD2F4B"/>
    <w:rsid w:val="00CD2F57"/>
    <w:rsid w:val="00CD2FC4"/>
    <w:rsid w:val="00CD3107"/>
    <w:rsid w:val="00CD3114"/>
    <w:rsid w:val="00CD3128"/>
    <w:rsid w:val="00CD327A"/>
    <w:rsid w:val="00CD3469"/>
    <w:rsid w:val="00CD34E8"/>
    <w:rsid w:val="00CD3712"/>
    <w:rsid w:val="00CD380A"/>
    <w:rsid w:val="00CD38DE"/>
    <w:rsid w:val="00CD3939"/>
    <w:rsid w:val="00CD39A0"/>
    <w:rsid w:val="00CD39F4"/>
    <w:rsid w:val="00CD3A09"/>
    <w:rsid w:val="00CD3AA5"/>
    <w:rsid w:val="00CD3DDC"/>
    <w:rsid w:val="00CD3F78"/>
    <w:rsid w:val="00CD408F"/>
    <w:rsid w:val="00CD4161"/>
    <w:rsid w:val="00CD41DB"/>
    <w:rsid w:val="00CD4223"/>
    <w:rsid w:val="00CD425F"/>
    <w:rsid w:val="00CD439A"/>
    <w:rsid w:val="00CD43D2"/>
    <w:rsid w:val="00CD43DF"/>
    <w:rsid w:val="00CD4453"/>
    <w:rsid w:val="00CD4813"/>
    <w:rsid w:val="00CD49D7"/>
    <w:rsid w:val="00CD4A66"/>
    <w:rsid w:val="00CD4AC1"/>
    <w:rsid w:val="00CD4C69"/>
    <w:rsid w:val="00CD4D7B"/>
    <w:rsid w:val="00CD4DF4"/>
    <w:rsid w:val="00CD4E63"/>
    <w:rsid w:val="00CD5021"/>
    <w:rsid w:val="00CD514C"/>
    <w:rsid w:val="00CD516F"/>
    <w:rsid w:val="00CD534B"/>
    <w:rsid w:val="00CD535A"/>
    <w:rsid w:val="00CD5763"/>
    <w:rsid w:val="00CD58A9"/>
    <w:rsid w:val="00CD58C6"/>
    <w:rsid w:val="00CD5AD4"/>
    <w:rsid w:val="00CD5BDC"/>
    <w:rsid w:val="00CD5C2F"/>
    <w:rsid w:val="00CD5F25"/>
    <w:rsid w:val="00CD5FD3"/>
    <w:rsid w:val="00CD5FF0"/>
    <w:rsid w:val="00CD6207"/>
    <w:rsid w:val="00CD6210"/>
    <w:rsid w:val="00CD622D"/>
    <w:rsid w:val="00CD64A7"/>
    <w:rsid w:val="00CD64F2"/>
    <w:rsid w:val="00CD656B"/>
    <w:rsid w:val="00CD6620"/>
    <w:rsid w:val="00CD6690"/>
    <w:rsid w:val="00CD66B6"/>
    <w:rsid w:val="00CD67DE"/>
    <w:rsid w:val="00CD6823"/>
    <w:rsid w:val="00CD694A"/>
    <w:rsid w:val="00CD6A74"/>
    <w:rsid w:val="00CD6AD0"/>
    <w:rsid w:val="00CD6C16"/>
    <w:rsid w:val="00CD6C5A"/>
    <w:rsid w:val="00CD717B"/>
    <w:rsid w:val="00CD7318"/>
    <w:rsid w:val="00CD73CA"/>
    <w:rsid w:val="00CD73E0"/>
    <w:rsid w:val="00CD7476"/>
    <w:rsid w:val="00CD7659"/>
    <w:rsid w:val="00CD7678"/>
    <w:rsid w:val="00CD77CF"/>
    <w:rsid w:val="00CD7DBC"/>
    <w:rsid w:val="00CD7EFD"/>
    <w:rsid w:val="00CE003F"/>
    <w:rsid w:val="00CE00B0"/>
    <w:rsid w:val="00CE016C"/>
    <w:rsid w:val="00CE025F"/>
    <w:rsid w:val="00CE0296"/>
    <w:rsid w:val="00CE02C5"/>
    <w:rsid w:val="00CE0326"/>
    <w:rsid w:val="00CE0405"/>
    <w:rsid w:val="00CE05E9"/>
    <w:rsid w:val="00CE067A"/>
    <w:rsid w:val="00CE06C8"/>
    <w:rsid w:val="00CE06D8"/>
    <w:rsid w:val="00CE078C"/>
    <w:rsid w:val="00CE0887"/>
    <w:rsid w:val="00CE09C0"/>
    <w:rsid w:val="00CE0AB5"/>
    <w:rsid w:val="00CE0CCF"/>
    <w:rsid w:val="00CE0D1F"/>
    <w:rsid w:val="00CE0DF7"/>
    <w:rsid w:val="00CE0E8D"/>
    <w:rsid w:val="00CE0EEF"/>
    <w:rsid w:val="00CE100E"/>
    <w:rsid w:val="00CE1212"/>
    <w:rsid w:val="00CE12CA"/>
    <w:rsid w:val="00CE1308"/>
    <w:rsid w:val="00CE15CA"/>
    <w:rsid w:val="00CE1614"/>
    <w:rsid w:val="00CE1765"/>
    <w:rsid w:val="00CE176B"/>
    <w:rsid w:val="00CE19B9"/>
    <w:rsid w:val="00CE1CB2"/>
    <w:rsid w:val="00CE1D6E"/>
    <w:rsid w:val="00CE2232"/>
    <w:rsid w:val="00CE2293"/>
    <w:rsid w:val="00CE2299"/>
    <w:rsid w:val="00CE24E7"/>
    <w:rsid w:val="00CE24E9"/>
    <w:rsid w:val="00CE2590"/>
    <w:rsid w:val="00CE26B2"/>
    <w:rsid w:val="00CE26B3"/>
    <w:rsid w:val="00CE2A3E"/>
    <w:rsid w:val="00CE2B85"/>
    <w:rsid w:val="00CE2C97"/>
    <w:rsid w:val="00CE2CA1"/>
    <w:rsid w:val="00CE2E14"/>
    <w:rsid w:val="00CE2EC2"/>
    <w:rsid w:val="00CE2F63"/>
    <w:rsid w:val="00CE32AF"/>
    <w:rsid w:val="00CE344F"/>
    <w:rsid w:val="00CE34DF"/>
    <w:rsid w:val="00CE3500"/>
    <w:rsid w:val="00CE3641"/>
    <w:rsid w:val="00CE36B4"/>
    <w:rsid w:val="00CE387B"/>
    <w:rsid w:val="00CE3B6F"/>
    <w:rsid w:val="00CE3D2A"/>
    <w:rsid w:val="00CE3D8A"/>
    <w:rsid w:val="00CE3DB5"/>
    <w:rsid w:val="00CE41BE"/>
    <w:rsid w:val="00CE4265"/>
    <w:rsid w:val="00CE4354"/>
    <w:rsid w:val="00CE4375"/>
    <w:rsid w:val="00CE441C"/>
    <w:rsid w:val="00CE46D5"/>
    <w:rsid w:val="00CE4778"/>
    <w:rsid w:val="00CE47E2"/>
    <w:rsid w:val="00CE48E9"/>
    <w:rsid w:val="00CE4A48"/>
    <w:rsid w:val="00CE4C82"/>
    <w:rsid w:val="00CE4CAB"/>
    <w:rsid w:val="00CE4D5C"/>
    <w:rsid w:val="00CE4FA4"/>
    <w:rsid w:val="00CE504C"/>
    <w:rsid w:val="00CE504E"/>
    <w:rsid w:val="00CE51A1"/>
    <w:rsid w:val="00CE51E3"/>
    <w:rsid w:val="00CE52E8"/>
    <w:rsid w:val="00CE5308"/>
    <w:rsid w:val="00CE533C"/>
    <w:rsid w:val="00CE54CC"/>
    <w:rsid w:val="00CE5754"/>
    <w:rsid w:val="00CE585C"/>
    <w:rsid w:val="00CE58E8"/>
    <w:rsid w:val="00CE58F9"/>
    <w:rsid w:val="00CE598D"/>
    <w:rsid w:val="00CE5A86"/>
    <w:rsid w:val="00CE5C6E"/>
    <w:rsid w:val="00CE5CA9"/>
    <w:rsid w:val="00CE5D0B"/>
    <w:rsid w:val="00CE5F4F"/>
    <w:rsid w:val="00CE5F6B"/>
    <w:rsid w:val="00CE5FCB"/>
    <w:rsid w:val="00CE605E"/>
    <w:rsid w:val="00CE609B"/>
    <w:rsid w:val="00CE61CB"/>
    <w:rsid w:val="00CE62EC"/>
    <w:rsid w:val="00CE6335"/>
    <w:rsid w:val="00CE6417"/>
    <w:rsid w:val="00CE646E"/>
    <w:rsid w:val="00CE65A0"/>
    <w:rsid w:val="00CE6678"/>
    <w:rsid w:val="00CE6723"/>
    <w:rsid w:val="00CE689D"/>
    <w:rsid w:val="00CE6972"/>
    <w:rsid w:val="00CE6A9C"/>
    <w:rsid w:val="00CE6AEE"/>
    <w:rsid w:val="00CE6BE0"/>
    <w:rsid w:val="00CE705F"/>
    <w:rsid w:val="00CE70B0"/>
    <w:rsid w:val="00CE70BF"/>
    <w:rsid w:val="00CE7112"/>
    <w:rsid w:val="00CE73AA"/>
    <w:rsid w:val="00CE74CB"/>
    <w:rsid w:val="00CE751D"/>
    <w:rsid w:val="00CE7534"/>
    <w:rsid w:val="00CE756C"/>
    <w:rsid w:val="00CE7589"/>
    <w:rsid w:val="00CE7749"/>
    <w:rsid w:val="00CE79CB"/>
    <w:rsid w:val="00CE7CCA"/>
    <w:rsid w:val="00CE7F63"/>
    <w:rsid w:val="00CE7F80"/>
    <w:rsid w:val="00CF00BC"/>
    <w:rsid w:val="00CF011E"/>
    <w:rsid w:val="00CF01D3"/>
    <w:rsid w:val="00CF01F0"/>
    <w:rsid w:val="00CF03C0"/>
    <w:rsid w:val="00CF04C5"/>
    <w:rsid w:val="00CF04D9"/>
    <w:rsid w:val="00CF051B"/>
    <w:rsid w:val="00CF0758"/>
    <w:rsid w:val="00CF0892"/>
    <w:rsid w:val="00CF099B"/>
    <w:rsid w:val="00CF0B08"/>
    <w:rsid w:val="00CF0BA8"/>
    <w:rsid w:val="00CF0BC4"/>
    <w:rsid w:val="00CF0BEB"/>
    <w:rsid w:val="00CF0DA6"/>
    <w:rsid w:val="00CF0DD5"/>
    <w:rsid w:val="00CF0DFB"/>
    <w:rsid w:val="00CF0FAB"/>
    <w:rsid w:val="00CF12E6"/>
    <w:rsid w:val="00CF149F"/>
    <w:rsid w:val="00CF1597"/>
    <w:rsid w:val="00CF1715"/>
    <w:rsid w:val="00CF19DF"/>
    <w:rsid w:val="00CF1A75"/>
    <w:rsid w:val="00CF1B49"/>
    <w:rsid w:val="00CF1C08"/>
    <w:rsid w:val="00CF1E28"/>
    <w:rsid w:val="00CF1E8A"/>
    <w:rsid w:val="00CF23B0"/>
    <w:rsid w:val="00CF245A"/>
    <w:rsid w:val="00CF263F"/>
    <w:rsid w:val="00CF287A"/>
    <w:rsid w:val="00CF29CA"/>
    <w:rsid w:val="00CF2A91"/>
    <w:rsid w:val="00CF2B50"/>
    <w:rsid w:val="00CF2BA5"/>
    <w:rsid w:val="00CF2BB2"/>
    <w:rsid w:val="00CF2BB5"/>
    <w:rsid w:val="00CF2BBB"/>
    <w:rsid w:val="00CF2CDD"/>
    <w:rsid w:val="00CF2D02"/>
    <w:rsid w:val="00CF2F6B"/>
    <w:rsid w:val="00CF3120"/>
    <w:rsid w:val="00CF31B1"/>
    <w:rsid w:val="00CF3200"/>
    <w:rsid w:val="00CF323C"/>
    <w:rsid w:val="00CF329E"/>
    <w:rsid w:val="00CF32BA"/>
    <w:rsid w:val="00CF3306"/>
    <w:rsid w:val="00CF3357"/>
    <w:rsid w:val="00CF33CA"/>
    <w:rsid w:val="00CF349A"/>
    <w:rsid w:val="00CF36A2"/>
    <w:rsid w:val="00CF36DB"/>
    <w:rsid w:val="00CF37C4"/>
    <w:rsid w:val="00CF37E1"/>
    <w:rsid w:val="00CF3838"/>
    <w:rsid w:val="00CF385C"/>
    <w:rsid w:val="00CF38DD"/>
    <w:rsid w:val="00CF3A3F"/>
    <w:rsid w:val="00CF3C59"/>
    <w:rsid w:val="00CF3CD0"/>
    <w:rsid w:val="00CF3F14"/>
    <w:rsid w:val="00CF3F87"/>
    <w:rsid w:val="00CF4039"/>
    <w:rsid w:val="00CF408F"/>
    <w:rsid w:val="00CF40E9"/>
    <w:rsid w:val="00CF41AA"/>
    <w:rsid w:val="00CF41B1"/>
    <w:rsid w:val="00CF4330"/>
    <w:rsid w:val="00CF448A"/>
    <w:rsid w:val="00CF457B"/>
    <w:rsid w:val="00CF46D8"/>
    <w:rsid w:val="00CF4776"/>
    <w:rsid w:val="00CF480F"/>
    <w:rsid w:val="00CF4980"/>
    <w:rsid w:val="00CF4A19"/>
    <w:rsid w:val="00CF4A74"/>
    <w:rsid w:val="00CF4A91"/>
    <w:rsid w:val="00CF4DF9"/>
    <w:rsid w:val="00CF4EAF"/>
    <w:rsid w:val="00CF4F10"/>
    <w:rsid w:val="00CF4F23"/>
    <w:rsid w:val="00CF504C"/>
    <w:rsid w:val="00CF505B"/>
    <w:rsid w:val="00CF50F9"/>
    <w:rsid w:val="00CF51C4"/>
    <w:rsid w:val="00CF52B8"/>
    <w:rsid w:val="00CF53DE"/>
    <w:rsid w:val="00CF5411"/>
    <w:rsid w:val="00CF5554"/>
    <w:rsid w:val="00CF5708"/>
    <w:rsid w:val="00CF572A"/>
    <w:rsid w:val="00CF5734"/>
    <w:rsid w:val="00CF57B7"/>
    <w:rsid w:val="00CF5887"/>
    <w:rsid w:val="00CF59BE"/>
    <w:rsid w:val="00CF5D6A"/>
    <w:rsid w:val="00CF5FF2"/>
    <w:rsid w:val="00CF602E"/>
    <w:rsid w:val="00CF6092"/>
    <w:rsid w:val="00CF6124"/>
    <w:rsid w:val="00CF619C"/>
    <w:rsid w:val="00CF62F4"/>
    <w:rsid w:val="00CF6483"/>
    <w:rsid w:val="00CF66DD"/>
    <w:rsid w:val="00CF676F"/>
    <w:rsid w:val="00CF67D9"/>
    <w:rsid w:val="00CF6941"/>
    <w:rsid w:val="00CF6972"/>
    <w:rsid w:val="00CF6D18"/>
    <w:rsid w:val="00CF6DAA"/>
    <w:rsid w:val="00CF6DAB"/>
    <w:rsid w:val="00CF6FFC"/>
    <w:rsid w:val="00CF70DE"/>
    <w:rsid w:val="00CF72E7"/>
    <w:rsid w:val="00CF7434"/>
    <w:rsid w:val="00CF76C9"/>
    <w:rsid w:val="00CF7818"/>
    <w:rsid w:val="00CF784E"/>
    <w:rsid w:val="00CF7934"/>
    <w:rsid w:val="00CF793F"/>
    <w:rsid w:val="00CF7966"/>
    <w:rsid w:val="00CF7989"/>
    <w:rsid w:val="00CF7A79"/>
    <w:rsid w:val="00CF7DB9"/>
    <w:rsid w:val="00CF7EEB"/>
    <w:rsid w:val="00CF7F75"/>
    <w:rsid w:val="00D00015"/>
    <w:rsid w:val="00D0002E"/>
    <w:rsid w:val="00D0029B"/>
    <w:rsid w:val="00D007FB"/>
    <w:rsid w:val="00D00916"/>
    <w:rsid w:val="00D00C10"/>
    <w:rsid w:val="00D00C45"/>
    <w:rsid w:val="00D00D34"/>
    <w:rsid w:val="00D00D87"/>
    <w:rsid w:val="00D00E02"/>
    <w:rsid w:val="00D00E2F"/>
    <w:rsid w:val="00D00F8F"/>
    <w:rsid w:val="00D0109F"/>
    <w:rsid w:val="00D013C5"/>
    <w:rsid w:val="00D013DB"/>
    <w:rsid w:val="00D013EB"/>
    <w:rsid w:val="00D01462"/>
    <w:rsid w:val="00D01487"/>
    <w:rsid w:val="00D01549"/>
    <w:rsid w:val="00D016B0"/>
    <w:rsid w:val="00D016D2"/>
    <w:rsid w:val="00D01741"/>
    <w:rsid w:val="00D017EB"/>
    <w:rsid w:val="00D01803"/>
    <w:rsid w:val="00D01956"/>
    <w:rsid w:val="00D019A8"/>
    <w:rsid w:val="00D01B60"/>
    <w:rsid w:val="00D01B95"/>
    <w:rsid w:val="00D01BDF"/>
    <w:rsid w:val="00D01C6A"/>
    <w:rsid w:val="00D01D5B"/>
    <w:rsid w:val="00D01E20"/>
    <w:rsid w:val="00D01EF7"/>
    <w:rsid w:val="00D01F93"/>
    <w:rsid w:val="00D01FD7"/>
    <w:rsid w:val="00D0209F"/>
    <w:rsid w:val="00D021B1"/>
    <w:rsid w:val="00D02361"/>
    <w:rsid w:val="00D02780"/>
    <w:rsid w:val="00D0278A"/>
    <w:rsid w:val="00D0291B"/>
    <w:rsid w:val="00D029D8"/>
    <w:rsid w:val="00D02AB9"/>
    <w:rsid w:val="00D02AF3"/>
    <w:rsid w:val="00D02B0C"/>
    <w:rsid w:val="00D02B77"/>
    <w:rsid w:val="00D02BC2"/>
    <w:rsid w:val="00D02C22"/>
    <w:rsid w:val="00D02C70"/>
    <w:rsid w:val="00D02F99"/>
    <w:rsid w:val="00D02FAD"/>
    <w:rsid w:val="00D03076"/>
    <w:rsid w:val="00D030D7"/>
    <w:rsid w:val="00D03141"/>
    <w:rsid w:val="00D03232"/>
    <w:rsid w:val="00D03243"/>
    <w:rsid w:val="00D0350F"/>
    <w:rsid w:val="00D03611"/>
    <w:rsid w:val="00D0361F"/>
    <w:rsid w:val="00D03821"/>
    <w:rsid w:val="00D03A47"/>
    <w:rsid w:val="00D03A7A"/>
    <w:rsid w:val="00D03B10"/>
    <w:rsid w:val="00D03D8D"/>
    <w:rsid w:val="00D03E20"/>
    <w:rsid w:val="00D0403B"/>
    <w:rsid w:val="00D040A0"/>
    <w:rsid w:val="00D04275"/>
    <w:rsid w:val="00D042B1"/>
    <w:rsid w:val="00D042CD"/>
    <w:rsid w:val="00D042D7"/>
    <w:rsid w:val="00D043FA"/>
    <w:rsid w:val="00D04538"/>
    <w:rsid w:val="00D046E2"/>
    <w:rsid w:val="00D046F4"/>
    <w:rsid w:val="00D04798"/>
    <w:rsid w:val="00D047D5"/>
    <w:rsid w:val="00D049D1"/>
    <w:rsid w:val="00D04A3E"/>
    <w:rsid w:val="00D04B53"/>
    <w:rsid w:val="00D04B79"/>
    <w:rsid w:val="00D04B87"/>
    <w:rsid w:val="00D04BE6"/>
    <w:rsid w:val="00D04C28"/>
    <w:rsid w:val="00D04C3B"/>
    <w:rsid w:val="00D04D18"/>
    <w:rsid w:val="00D050A8"/>
    <w:rsid w:val="00D0540C"/>
    <w:rsid w:val="00D05440"/>
    <w:rsid w:val="00D054C9"/>
    <w:rsid w:val="00D0570E"/>
    <w:rsid w:val="00D0579B"/>
    <w:rsid w:val="00D05AEC"/>
    <w:rsid w:val="00D05B02"/>
    <w:rsid w:val="00D05C59"/>
    <w:rsid w:val="00D05CC2"/>
    <w:rsid w:val="00D05DBB"/>
    <w:rsid w:val="00D05E00"/>
    <w:rsid w:val="00D05E67"/>
    <w:rsid w:val="00D05F29"/>
    <w:rsid w:val="00D0608A"/>
    <w:rsid w:val="00D0621C"/>
    <w:rsid w:val="00D062F2"/>
    <w:rsid w:val="00D0638B"/>
    <w:rsid w:val="00D064C8"/>
    <w:rsid w:val="00D0677B"/>
    <w:rsid w:val="00D06899"/>
    <w:rsid w:val="00D068CE"/>
    <w:rsid w:val="00D0694A"/>
    <w:rsid w:val="00D06D4E"/>
    <w:rsid w:val="00D06E1D"/>
    <w:rsid w:val="00D06EFD"/>
    <w:rsid w:val="00D070F4"/>
    <w:rsid w:val="00D0716C"/>
    <w:rsid w:val="00D071BB"/>
    <w:rsid w:val="00D071D9"/>
    <w:rsid w:val="00D0740A"/>
    <w:rsid w:val="00D07729"/>
    <w:rsid w:val="00D07813"/>
    <w:rsid w:val="00D07A44"/>
    <w:rsid w:val="00D07A90"/>
    <w:rsid w:val="00D07B51"/>
    <w:rsid w:val="00D07FBB"/>
    <w:rsid w:val="00D10003"/>
    <w:rsid w:val="00D1000A"/>
    <w:rsid w:val="00D10346"/>
    <w:rsid w:val="00D10440"/>
    <w:rsid w:val="00D104A0"/>
    <w:rsid w:val="00D105E8"/>
    <w:rsid w:val="00D10602"/>
    <w:rsid w:val="00D1084D"/>
    <w:rsid w:val="00D108B0"/>
    <w:rsid w:val="00D10A2B"/>
    <w:rsid w:val="00D10D33"/>
    <w:rsid w:val="00D10D43"/>
    <w:rsid w:val="00D10D7B"/>
    <w:rsid w:val="00D11014"/>
    <w:rsid w:val="00D11090"/>
    <w:rsid w:val="00D1111D"/>
    <w:rsid w:val="00D1125E"/>
    <w:rsid w:val="00D11269"/>
    <w:rsid w:val="00D112A5"/>
    <w:rsid w:val="00D112BE"/>
    <w:rsid w:val="00D1154F"/>
    <w:rsid w:val="00D115FD"/>
    <w:rsid w:val="00D116D3"/>
    <w:rsid w:val="00D11966"/>
    <w:rsid w:val="00D119F6"/>
    <w:rsid w:val="00D11C02"/>
    <w:rsid w:val="00D11E4A"/>
    <w:rsid w:val="00D11F13"/>
    <w:rsid w:val="00D11F98"/>
    <w:rsid w:val="00D11F99"/>
    <w:rsid w:val="00D12108"/>
    <w:rsid w:val="00D1222E"/>
    <w:rsid w:val="00D123DB"/>
    <w:rsid w:val="00D12521"/>
    <w:rsid w:val="00D12820"/>
    <w:rsid w:val="00D12913"/>
    <w:rsid w:val="00D129B2"/>
    <w:rsid w:val="00D129E5"/>
    <w:rsid w:val="00D12A37"/>
    <w:rsid w:val="00D12B46"/>
    <w:rsid w:val="00D12BDD"/>
    <w:rsid w:val="00D12C0A"/>
    <w:rsid w:val="00D12E59"/>
    <w:rsid w:val="00D12F41"/>
    <w:rsid w:val="00D1313C"/>
    <w:rsid w:val="00D13206"/>
    <w:rsid w:val="00D13484"/>
    <w:rsid w:val="00D134BB"/>
    <w:rsid w:val="00D13509"/>
    <w:rsid w:val="00D13707"/>
    <w:rsid w:val="00D1378D"/>
    <w:rsid w:val="00D137B4"/>
    <w:rsid w:val="00D137E6"/>
    <w:rsid w:val="00D138F6"/>
    <w:rsid w:val="00D13B9E"/>
    <w:rsid w:val="00D13BB7"/>
    <w:rsid w:val="00D13CA1"/>
    <w:rsid w:val="00D13CE2"/>
    <w:rsid w:val="00D13E4D"/>
    <w:rsid w:val="00D14011"/>
    <w:rsid w:val="00D140DE"/>
    <w:rsid w:val="00D14330"/>
    <w:rsid w:val="00D14477"/>
    <w:rsid w:val="00D14538"/>
    <w:rsid w:val="00D1467B"/>
    <w:rsid w:val="00D14752"/>
    <w:rsid w:val="00D14773"/>
    <w:rsid w:val="00D1487E"/>
    <w:rsid w:val="00D148C2"/>
    <w:rsid w:val="00D14A9C"/>
    <w:rsid w:val="00D14BA7"/>
    <w:rsid w:val="00D14BE4"/>
    <w:rsid w:val="00D14C56"/>
    <w:rsid w:val="00D14C65"/>
    <w:rsid w:val="00D14D12"/>
    <w:rsid w:val="00D14F10"/>
    <w:rsid w:val="00D15073"/>
    <w:rsid w:val="00D150E3"/>
    <w:rsid w:val="00D1527C"/>
    <w:rsid w:val="00D15381"/>
    <w:rsid w:val="00D15670"/>
    <w:rsid w:val="00D15716"/>
    <w:rsid w:val="00D1577A"/>
    <w:rsid w:val="00D157D9"/>
    <w:rsid w:val="00D15890"/>
    <w:rsid w:val="00D158CD"/>
    <w:rsid w:val="00D15B35"/>
    <w:rsid w:val="00D15B8B"/>
    <w:rsid w:val="00D15BEA"/>
    <w:rsid w:val="00D15DB6"/>
    <w:rsid w:val="00D15E37"/>
    <w:rsid w:val="00D16026"/>
    <w:rsid w:val="00D1603B"/>
    <w:rsid w:val="00D160B6"/>
    <w:rsid w:val="00D160DD"/>
    <w:rsid w:val="00D16183"/>
    <w:rsid w:val="00D1622F"/>
    <w:rsid w:val="00D162F2"/>
    <w:rsid w:val="00D1631F"/>
    <w:rsid w:val="00D16388"/>
    <w:rsid w:val="00D16495"/>
    <w:rsid w:val="00D167CF"/>
    <w:rsid w:val="00D168A6"/>
    <w:rsid w:val="00D168EF"/>
    <w:rsid w:val="00D1695E"/>
    <w:rsid w:val="00D16B1A"/>
    <w:rsid w:val="00D16B6C"/>
    <w:rsid w:val="00D16BC3"/>
    <w:rsid w:val="00D16C0A"/>
    <w:rsid w:val="00D16D3A"/>
    <w:rsid w:val="00D16F8B"/>
    <w:rsid w:val="00D17113"/>
    <w:rsid w:val="00D172A0"/>
    <w:rsid w:val="00D173C4"/>
    <w:rsid w:val="00D17459"/>
    <w:rsid w:val="00D176F1"/>
    <w:rsid w:val="00D17720"/>
    <w:rsid w:val="00D17919"/>
    <w:rsid w:val="00D17A01"/>
    <w:rsid w:val="00D17C22"/>
    <w:rsid w:val="00D17C3C"/>
    <w:rsid w:val="00D17D7C"/>
    <w:rsid w:val="00D17E04"/>
    <w:rsid w:val="00D17EA8"/>
    <w:rsid w:val="00D200CF"/>
    <w:rsid w:val="00D200EE"/>
    <w:rsid w:val="00D20128"/>
    <w:rsid w:val="00D20381"/>
    <w:rsid w:val="00D204E0"/>
    <w:rsid w:val="00D204E4"/>
    <w:rsid w:val="00D2055B"/>
    <w:rsid w:val="00D20567"/>
    <w:rsid w:val="00D20581"/>
    <w:rsid w:val="00D206BC"/>
    <w:rsid w:val="00D20714"/>
    <w:rsid w:val="00D2071C"/>
    <w:rsid w:val="00D2073F"/>
    <w:rsid w:val="00D20803"/>
    <w:rsid w:val="00D20A7B"/>
    <w:rsid w:val="00D20B0E"/>
    <w:rsid w:val="00D20E62"/>
    <w:rsid w:val="00D20EC7"/>
    <w:rsid w:val="00D20F0B"/>
    <w:rsid w:val="00D20F14"/>
    <w:rsid w:val="00D20F9D"/>
    <w:rsid w:val="00D21057"/>
    <w:rsid w:val="00D21164"/>
    <w:rsid w:val="00D212C8"/>
    <w:rsid w:val="00D214E0"/>
    <w:rsid w:val="00D215D1"/>
    <w:rsid w:val="00D2174B"/>
    <w:rsid w:val="00D217DB"/>
    <w:rsid w:val="00D21A9E"/>
    <w:rsid w:val="00D21B41"/>
    <w:rsid w:val="00D21B59"/>
    <w:rsid w:val="00D21BCD"/>
    <w:rsid w:val="00D21C76"/>
    <w:rsid w:val="00D21C92"/>
    <w:rsid w:val="00D21CF5"/>
    <w:rsid w:val="00D21DC7"/>
    <w:rsid w:val="00D21E32"/>
    <w:rsid w:val="00D21EB1"/>
    <w:rsid w:val="00D21ECF"/>
    <w:rsid w:val="00D220EE"/>
    <w:rsid w:val="00D2253B"/>
    <w:rsid w:val="00D22622"/>
    <w:rsid w:val="00D22670"/>
    <w:rsid w:val="00D2274E"/>
    <w:rsid w:val="00D2283D"/>
    <w:rsid w:val="00D22A02"/>
    <w:rsid w:val="00D22DBB"/>
    <w:rsid w:val="00D22DF7"/>
    <w:rsid w:val="00D22F0C"/>
    <w:rsid w:val="00D2321F"/>
    <w:rsid w:val="00D232FE"/>
    <w:rsid w:val="00D2350A"/>
    <w:rsid w:val="00D23597"/>
    <w:rsid w:val="00D236A4"/>
    <w:rsid w:val="00D23720"/>
    <w:rsid w:val="00D237DE"/>
    <w:rsid w:val="00D2381F"/>
    <w:rsid w:val="00D23882"/>
    <w:rsid w:val="00D23925"/>
    <w:rsid w:val="00D23A0C"/>
    <w:rsid w:val="00D23AEB"/>
    <w:rsid w:val="00D23C48"/>
    <w:rsid w:val="00D23C5B"/>
    <w:rsid w:val="00D23DED"/>
    <w:rsid w:val="00D23E18"/>
    <w:rsid w:val="00D23F66"/>
    <w:rsid w:val="00D24360"/>
    <w:rsid w:val="00D243CF"/>
    <w:rsid w:val="00D243D0"/>
    <w:rsid w:val="00D24533"/>
    <w:rsid w:val="00D246E8"/>
    <w:rsid w:val="00D24830"/>
    <w:rsid w:val="00D24842"/>
    <w:rsid w:val="00D24936"/>
    <w:rsid w:val="00D24AB4"/>
    <w:rsid w:val="00D24B61"/>
    <w:rsid w:val="00D24C55"/>
    <w:rsid w:val="00D24E43"/>
    <w:rsid w:val="00D24E60"/>
    <w:rsid w:val="00D24F5E"/>
    <w:rsid w:val="00D24F72"/>
    <w:rsid w:val="00D2516D"/>
    <w:rsid w:val="00D256A1"/>
    <w:rsid w:val="00D257BB"/>
    <w:rsid w:val="00D257ED"/>
    <w:rsid w:val="00D25884"/>
    <w:rsid w:val="00D259BB"/>
    <w:rsid w:val="00D25AAE"/>
    <w:rsid w:val="00D25CEE"/>
    <w:rsid w:val="00D25D61"/>
    <w:rsid w:val="00D25DAC"/>
    <w:rsid w:val="00D25EBB"/>
    <w:rsid w:val="00D26075"/>
    <w:rsid w:val="00D2609D"/>
    <w:rsid w:val="00D26152"/>
    <w:rsid w:val="00D26357"/>
    <w:rsid w:val="00D26496"/>
    <w:rsid w:val="00D26498"/>
    <w:rsid w:val="00D264A0"/>
    <w:rsid w:val="00D264A2"/>
    <w:rsid w:val="00D26652"/>
    <w:rsid w:val="00D267A3"/>
    <w:rsid w:val="00D2682D"/>
    <w:rsid w:val="00D2685C"/>
    <w:rsid w:val="00D26A4C"/>
    <w:rsid w:val="00D26D87"/>
    <w:rsid w:val="00D26DBB"/>
    <w:rsid w:val="00D26DFA"/>
    <w:rsid w:val="00D26ED4"/>
    <w:rsid w:val="00D26F4E"/>
    <w:rsid w:val="00D26F68"/>
    <w:rsid w:val="00D27105"/>
    <w:rsid w:val="00D271F8"/>
    <w:rsid w:val="00D27244"/>
    <w:rsid w:val="00D272EE"/>
    <w:rsid w:val="00D27348"/>
    <w:rsid w:val="00D27463"/>
    <w:rsid w:val="00D277BD"/>
    <w:rsid w:val="00D27904"/>
    <w:rsid w:val="00D27918"/>
    <w:rsid w:val="00D27A21"/>
    <w:rsid w:val="00D27BF6"/>
    <w:rsid w:val="00D27CD6"/>
    <w:rsid w:val="00D27DC9"/>
    <w:rsid w:val="00D27DCA"/>
    <w:rsid w:val="00D3001E"/>
    <w:rsid w:val="00D3015C"/>
    <w:rsid w:val="00D3033C"/>
    <w:rsid w:val="00D303FD"/>
    <w:rsid w:val="00D305CC"/>
    <w:rsid w:val="00D3072E"/>
    <w:rsid w:val="00D3079F"/>
    <w:rsid w:val="00D30AB4"/>
    <w:rsid w:val="00D30B80"/>
    <w:rsid w:val="00D30C1A"/>
    <w:rsid w:val="00D30C2C"/>
    <w:rsid w:val="00D30E66"/>
    <w:rsid w:val="00D30F70"/>
    <w:rsid w:val="00D30FBA"/>
    <w:rsid w:val="00D30FC6"/>
    <w:rsid w:val="00D311EE"/>
    <w:rsid w:val="00D31222"/>
    <w:rsid w:val="00D31301"/>
    <w:rsid w:val="00D31368"/>
    <w:rsid w:val="00D3150E"/>
    <w:rsid w:val="00D3155B"/>
    <w:rsid w:val="00D315FC"/>
    <w:rsid w:val="00D3166F"/>
    <w:rsid w:val="00D316FB"/>
    <w:rsid w:val="00D317F7"/>
    <w:rsid w:val="00D31A3F"/>
    <w:rsid w:val="00D31DFD"/>
    <w:rsid w:val="00D31E36"/>
    <w:rsid w:val="00D32177"/>
    <w:rsid w:val="00D32200"/>
    <w:rsid w:val="00D32258"/>
    <w:rsid w:val="00D322EE"/>
    <w:rsid w:val="00D324AE"/>
    <w:rsid w:val="00D32630"/>
    <w:rsid w:val="00D326A2"/>
    <w:rsid w:val="00D32878"/>
    <w:rsid w:val="00D32ED3"/>
    <w:rsid w:val="00D32F3C"/>
    <w:rsid w:val="00D33087"/>
    <w:rsid w:val="00D330D4"/>
    <w:rsid w:val="00D33184"/>
    <w:rsid w:val="00D3320E"/>
    <w:rsid w:val="00D33281"/>
    <w:rsid w:val="00D332BB"/>
    <w:rsid w:val="00D3334A"/>
    <w:rsid w:val="00D3336B"/>
    <w:rsid w:val="00D3353B"/>
    <w:rsid w:val="00D33557"/>
    <w:rsid w:val="00D3358D"/>
    <w:rsid w:val="00D335CF"/>
    <w:rsid w:val="00D33748"/>
    <w:rsid w:val="00D33B18"/>
    <w:rsid w:val="00D33C95"/>
    <w:rsid w:val="00D33CB9"/>
    <w:rsid w:val="00D33D44"/>
    <w:rsid w:val="00D33D46"/>
    <w:rsid w:val="00D33E33"/>
    <w:rsid w:val="00D33E59"/>
    <w:rsid w:val="00D33ED4"/>
    <w:rsid w:val="00D340F4"/>
    <w:rsid w:val="00D3410F"/>
    <w:rsid w:val="00D34135"/>
    <w:rsid w:val="00D34163"/>
    <w:rsid w:val="00D34499"/>
    <w:rsid w:val="00D3452B"/>
    <w:rsid w:val="00D3455B"/>
    <w:rsid w:val="00D34580"/>
    <w:rsid w:val="00D34677"/>
    <w:rsid w:val="00D34759"/>
    <w:rsid w:val="00D34833"/>
    <w:rsid w:val="00D348F5"/>
    <w:rsid w:val="00D34998"/>
    <w:rsid w:val="00D34BF5"/>
    <w:rsid w:val="00D34D60"/>
    <w:rsid w:val="00D34DC8"/>
    <w:rsid w:val="00D34EB2"/>
    <w:rsid w:val="00D3501D"/>
    <w:rsid w:val="00D35165"/>
    <w:rsid w:val="00D3518D"/>
    <w:rsid w:val="00D35212"/>
    <w:rsid w:val="00D352A0"/>
    <w:rsid w:val="00D352AC"/>
    <w:rsid w:val="00D352B4"/>
    <w:rsid w:val="00D3536E"/>
    <w:rsid w:val="00D35421"/>
    <w:rsid w:val="00D35786"/>
    <w:rsid w:val="00D357C9"/>
    <w:rsid w:val="00D357CF"/>
    <w:rsid w:val="00D357D4"/>
    <w:rsid w:val="00D357FD"/>
    <w:rsid w:val="00D35A75"/>
    <w:rsid w:val="00D35B04"/>
    <w:rsid w:val="00D35C7A"/>
    <w:rsid w:val="00D35EB1"/>
    <w:rsid w:val="00D35EE5"/>
    <w:rsid w:val="00D35F69"/>
    <w:rsid w:val="00D3612C"/>
    <w:rsid w:val="00D3640F"/>
    <w:rsid w:val="00D364BF"/>
    <w:rsid w:val="00D3668C"/>
    <w:rsid w:val="00D36819"/>
    <w:rsid w:val="00D36916"/>
    <w:rsid w:val="00D369CB"/>
    <w:rsid w:val="00D36BA9"/>
    <w:rsid w:val="00D36E83"/>
    <w:rsid w:val="00D36F1A"/>
    <w:rsid w:val="00D371BD"/>
    <w:rsid w:val="00D371FB"/>
    <w:rsid w:val="00D3755F"/>
    <w:rsid w:val="00D377B7"/>
    <w:rsid w:val="00D37803"/>
    <w:rsid w:val="00D37873"/>
    <w:rsid w:val="00D37907"/>
    <w:rsid w:val="00D37ACB"/>
    <w:rsid w:val="00D37BA0"/>
    <w:rsid w:val="00D37C72"/>
    <w:rsid w:val="00D37E27"/>
    <w:rsid w:val="00D37EE9"/>
    <w:rsid w:val="00D37EF7"/>
    <w:rsid w:val="00D37FD7"/>
    <w:rsid w:val="00D40034"/>
    <w:rsid w:val="00D40173"/>
    <w:rsid w:val="00D40285"/>
    <w:rsid w:val="00D402C0"/>
    <w:rsid w:val="00D4030D"/>
    <w:rsid w:val="00D404D9"/>
    <w:rsid w:val="00D40593"/>
    <w:rsid w:val="00D405A2"/>
    <w:rsid w:val="00D40730"/>
    <w:rsid w:val="00D40792"/>
    <w:rsid w:val="00D407D6"/>
    <w:rsid w:val="00D40827"/>
    <w:rsid w:val="00D40877"/>
    <w:rsid w:val="00D40A3F"/>
    <w:rsid w:val="00D40B46"/>
    <w:rsid w:val="00D40E6C"/>
    <w:rsid w:val="00D40E8F"/>
    <w:rsid w:val="00D40EEC"/>
    <w:rsid w:val="00D411E5"/>
    <w:rsid w:val="00D41236"/>
    <w:rsid w:val="00D41386"/>
    <w:rsid w:val="00D414DD"/>
    <w:rsid w:val="00D4157F"/>
    <w:rsid w:val="00D41764"/>
    <w:rsid w:val="00D4180E"/>
    <w:rsid w:val="00D4183A"/>
    <w:rsid w:val="00D41898"/>
    <w:rsid w:val="00D418A3"/>
    <w:rsid w:val="00D419B8"/>
    <w:rsid w:val="00D41A91"/>
    <w:rsid w:val="00D41B4C"/>
    <w:rsid w:val="00D41BCC"/>
    <w:rsid w:val="00D41CF4"/>
    <w:rsid w:val="00D41D3C"/>
    <w:rsid w:val="00D41DAC"/>
    <w:rsid w:val="00D41E59"/>
    <w:rsid w:val="00D420D6"/>
    <w:rsid w:val="00D42487"/>
    <w:rsid w:val="00D425E7"/>
    <w:rsid w:val="00D4278F"/>
    <w:rsid w:val="00D42876"/>
    <w:rsid w:val="00D42B0C"/>
    <w:rsid w:val="00D42CBE"/>
    <w:rsid w:val="00D42D35"/>
    <w:rsid w:val="00D42D9C"/>
    <w:rsid w:val="00D42DAE"/>
    <w:rsid w:val="00D43080"/>
    <w:rsid w:val="00D431C3"/>
    <w:rsid w:val="00D433BE"/>
    <w:rsid w:val="00D433EE"/>
    <w:rsid w:val="00D43624"/>
    <w:rsid w:val="00D43944"/>
    <w:rsid w:val="00D43983"/>
    <w:rsid w:val="00D43AC2"/>
    <w:rsid w:val="00D43B37"/>
    <w:rsid w:val="00D43C31"/>
    <w:rsid w:val="00D43D1E"/>
    <w:rsid w:val="00D43D6C"/>
    <w:rsid w:val="00D43DEF"/>
    <w:rsid w:val="00D43F62"/>
    <w:rsid w:val="00D43F63"/>
    <w:rsid w:val="00D43F90"/>
    <w:rsid w:val="00D4400E"/>
    <w:rsid w:val="00D4404B"/>
    <w:rsid w:val="00D442D2"/>
    <w:rsid w:val="00D44331"/>
    <w:rsid w:val="00D443AB"/>
    <w:rsid w:val="00D443AE"/>
    <w:rsid w:val="00D444F0"/>
    <w:rsid w:val="00D445AE"/>
    <w:rsid w:val="00D44844"/>
    <w:rsid w:val="00D44885"/>
    <w:rsid w:val="00D44A24"/>
    <w:rsid w:val="00D44A48"/>
    <w:rsid w:val="00D44AF8"/>
    <w:rsid w:val="00D44CE8"/>
    <w:rsid w:val="00D44DC3"/>
    <w:rsid w:val="00D44DEC"/>
    <w:rsid w:val="00D44E0F"/>
    <w:rsid w:val="00D44E9B"/>
    <w:rsid w:val="00D44FD7"/>
    <w:rsid w:val="00D4509C"/>
    <w:rsid w:val="00D45224"/>
    <w:rsid w:val="00D453DD"/>
    <w:rsid w:val="00D454CF"/>
    <w:rsid w:val="00D45648"/>
    <w:rsid w:val="00D45943"/>
    <w:rsid w:val="00D45975"/>
    <w:rsid w:val="00D45981"/>
    <w:rsid w:val="00D45A2C"/>
    <w:rsid w:val="00D45A51"/>
    <w:rsid w:val="00D45A96"/>
    <w:rsid w:val="00D45AE5"/>
    <w:rsid w:val="00D45C83"/>
    <w:rsid w:val="00D45C97"/>
    <w:rsid w:val="00D45F23"/>
    <w:rsid w:val="00D45F2B"/>
    <w:rsid w:val="00D45F7C"/>
    <w:rsid w:val="00D4620B"/>
    <w:rsid w:val="00D4627F"/>
    <w:rsid w:val="00D463C7"/>
    <w:rsid w:val="00D46576"/>
    <w:rsid w:val="00D466B5"/>
    <w:rsid w:val="00D46827"/>
    <w:rsid w:val="00D46883"/>
    <w:rsid w:val="00D46994"/>
    <w:rsid w:val="00D46A89"/>
    <w:rsid w:val="00D46ACB"/>
    <w:rsid w:val="00D46AF0"/>
    <w:rsid w:val="00D46D98"/>
    <w:rsid w:val="00D46EDF"/>
    <w:rsid w:val="00D471C5"/>
    <w:rsid w:val="00D471DD"/>
    <w:rsid w:val="00D472A9"/>
    <w:rsid w:val="00D47325"/>
    <w:rsid w:val="00D476E9"/>
    <w:rsid w:val="00D47740"/>
    <w:rsid w:val="00D47768"/>
    <w:rsid w:val="00D47A04"/>
    <w:rsid w:val="00D47B20"/>
    <w:rsid w:val="00D47B2C"/>
    <w:rsid w:val="00D47B64"/>
    <w:rsid w:val="00D47C4A"/>
    <w:rsid w:val="00D47C95"/>
    <w:rsid w:val="00D47CC3"/>
    <w:rsid w:val="00D47CCD"/>
    <w:rsid w:val="00D47D11"/>
    <w:rsid w:val="00D47D43"/>
    <w:rsid w:val="00D47D99"/>
    <w:rsid w:val="00D47EB5"/>
    <w:rsid w:val="00D50076"/>
    <w:rsid w:val="00D500E2"/>
    <w:rsid w:val="00D50298"/>
    <w:rsid w:val="00D5030E"/>
    <w:rsid w:val="00D5049F"/>
    <w:rsid w:val="00D505A4"/>
    <w:rsid w:val="00D506C3"/>
    <w:rsid w:val="00D508C8"/>
    <w:rsid w:val="00D5095C"/>
    <w:rsid w:val="00D509FC"/>
    <w:rsid w:val="00D50A17"/>
    <w:rsid w:val="00D50A3C"/>
    <w:rsid w:val="00D50B13"/>
    <w:rsid w:val="00D50CC2"/>
    <w:rsid w:val="00D50CDA"/>
    <w:rsid w:val="00D50F7C"/>
    <w:rsid w:val="00D51006"/>
    <w:rsid w:val="00D51012"/>
    <w:rsid w:val="00D51034"/>
    <w:rsid w:val="00D511B5"/>
    <w:rsid w:val="00D51225"/>
    <w:rsid w:val="00D513FE"/>
    <w:rsid w:val="00D514B0"/>
    <w:rsid w:val="00D51712"/>
    <w:rsid w:val="00D51B44"/>
    <w:rsid w:val="00D51B7A"/>
    <w:rsid w:val="00D51BCF"/>
    <w:rsid w:val="00D51CFC"/>
    <w:rsid w:val="00D52040"/>
    <w:rsid w:val="00D5207A"/>
    <w:rsid w:val="00D520A1"/>
    <w:rsid w:val="00D523E8"/>
    <w:rsid w:val="00D524A5"/>
    <w:rsid w:val="00D524BE"/>
    <w:rsid w:val="00D52753"/>
    <w:rsid w:val="00D52812"/>
    <w:rsid w:val="00D528BD"/>
    <w:rsid w:val="00D5292A"/>
    <w:rsid w:val="00D52990"/>
    <w:rsid w:val="00D529D4"/>
    <w:rsid w:val="00D529DF"/>
    <w:rsid w:val="00D529F5"/>
    <w:rsid w:val="00D52A34"/>
    <w:rsid w:val="00D52C86"/>
    <w:rsid w:val="00D52C87"/>
    <w:rsid w:val="00D52CDB"/>
    <w:rsid w:val="00D52CDF"/>
    <w:rsid w:val="00D52ED2"/>
    <w:rsid w:val="00D53022"/>
    <w:rsid w:val="00D5303E"/>
    <w:rsid w:val="00D53201"/>
    <w:rsid w:val="00D53339"/>
    <w:rsid w:val="00D534BA"/>
    <w:rsid w:val="00D536C2"/>
    <w:rsid w:val="00D536FC"/>
    <w:rsid w:val="00D537B7"/>
    <w:rsid w:val="00D53850"/>
    <w:rsid w:val="00D5386B"/>
    <w:rsid w:val="00D539A2"/>
    <w:rsid w:val="00D53B53"/>
    <w:rsid w:val="00D53F93"/>
    <w:rsid w:val="00D53FCF"/>
    <w:rsid w:val="00D541AF"/>
    <w:rsid w:val="00D543E8"/>
    <w:rsid w:val="00D54549"/>
    <w:rsid w:val="00D545BD"/>
    <w:rsid w:val="00D546E9"/>
    <w:rsid w:val="00D5475D"/>
    <w:rsid w:val="00D54797"/>
    <w:rsid w:val="00D547BE"/>
    <w:rsid w:val="00D54874"/>
    <w:rsid w:val="00D548B9"/>
    <w:rsid w:val="00D549D1"/>
    <w:rsid w:val="00D549EC"/>
    <w:rsid w:val="00D54B9D"/>
    <w:rsid w:val="00D54DAD"/>
    <w:rsid w:val="00D550E0"/>
    <w:rsid w:val="00D55175"/>
    <w:rsid w:val="00D5535C"/>
    <w:rsid w:val="00D553A6"/>
    <w:rsid w:val="00D553EC"/>
    <w:rsid w:val="00D55521"/>
    <w:rsid w:val="00D55644"/>
    <w:rsid w:val="00D55671"/>
    <w:rsid w:val="00D5580A"/>
    <w:rsid w:val="00D55863"/>
    <w:rsid w:val="00D55903"/>
    <w:rsid w:val="00D559AF"/>
    <w:rsid w:val="00D55A8B"/>
    <w:rsid w:val="00D55AF0"/>
    <w:rsid w:val="00D55BEA"/>
    <w:rsid w:val="00D55C22"/>
    <w:rsid w:val="00D55CE3"/>
    <w:rsid w:val="00D55D45"/>
    <w:rsid w:val="00D55D61"/>
    <w:rsid w:val="00D55D82"/>
    <w:rsid w:val="00D55DC3"/>
    <w:rsid w:val="00D55FFE"/>
    <w:rsid w:val="00D5614D"/>
    <w:rsid w:val="00D565C0"/>
    <w:rsid w:val="00D566EA"/>
    <w:rsid w:val="00D56889"/>
    <w:rsid w:val="00D56979"/>
    <w:rsid w:val="00D56B9A"/>
    <w:rsid w:val="00D56BBF"/>
    <w:rsid w:val="00D56CAA"/>
    <w:rsid w:val="00D56E95"/>
    <w:rsid w:val="00D56F31"/>
    <w:rsid w:val="00D57032"/>
    <w:rsid w:val="00D571E7"/>
    <w:rsid w:val="00D57217"/>
    <w:rsid w:val="00D57412"/>
    <w:rsid w:val="00D575EB"/>
    <w:rsid w:val="00D576B8"/>
    <w:rsid w:val="00D576CE"/>
    <w:rsid w:val="00D57739"/>
    <w:rsid w:val="00D57789"/>
    <w:rsid w:val="00D57804"/>
    <w:rsid w:val="00D57901"/>
    <w:rsid w:val="00D57A53"/>
    <w:rsid w:val="00D57B6A"/>
    <w:rsid w:val="00D57BE1"/>
    <w:rsid w:val="00D57C86"/>
    <w:rsid w:val="00D57D63"/>
    <w:rsid w:val="00D57E3F"/>
    <w:rsid w:val="00D60177"/>
    <w:rsid w:val="00D6023E"/>
    <w:rsid w:val="00D60279"/>
    <w:rsid w:val="00D6031B"/>
    <w:rsid w:val="00D6036A"/>
    <w:rsid w:val="00D603E4"/>
    <w:rsid w:val="00D60411"/>
    <w:rsid w:val="00D6042B"/>
    <w:rsid w:val="00D60494"/>
    <w:rsid w:val="00D604F3"/>
    <w:rsid w:val="00D605FA"/>
    <w:rsid w:val="00D6061B"/>
    <w:rsid w:val="00D6076C"/>
    <w:rsid w:val="00D609D4"/>
    <w:rsid w:val="00D60AD2"/>
    <w:rsid w:val="00D60B69"/>
    <w:rsid w:val="00D60C3B"/>
    <w:rsid w:val="00D60E9D"/>
    <w:rsid w:val="00D6104C"/>
    <w:rsid w:val="00D610F4"/>
    <w:rsid w:val="00D614E0"/>
    <w:rsid w:val="00D61520"/>
    <w:rsid w:val="00D61581"/>
    <w:rsid w:val="00D615E4"/>
    <w:rsid w:val="00D61724"/>
    <w:rsid w:val="00D6191D"/>
    <w:rsid w:val="00D619D5"/>
    <w:rsid w:val="00D61A9E"/>
    <w:rsid w:val="00D61B83"/>
    <w:rsid w:val="00D61C51"/>
    <w:rsid w:val="00D61C53"/>
    <w:rsid w:val="00D622EE"/>
    <w:rsid w:val="00D6231D"/>
    <w:rsid w:val="00D6239C"/>
    <w:rsid w:val="00D62478"/>
    <w:rsid w:val="00D62562"/>
    <w:rsid w:val="00D62645"/>
    <w:rsid w:val="00D627C9"/>
    <w:rsid w:val="00D628E3"/>
    <w:rsid w:val="00D62958"/>
    <w:rsid w:val="00D62965"/>
    <w:rsid w:val="00D62980"/>
    <w:rsid w:val="00D62BB4"/>
    <w:rsid w:val="00D62BF9"/>
    <w:rsid w:val="00D62E99"/>
    <w:rsid w:val="00D62F6F"/>
    <w:rsid w:val="00D62F79"/>
    <w:rsid w:val="00D63057"/>
    <w:rsid w:val="00D6319A"/>
    <w:rsid w:val="00D6325D"/>
    <w:rsid w:val="00D632C4"/>
    <w:rsid w:val="00D63651"/>
    <w:rsid w:val="00D637F1"/>
    <w:rsid w:val="00D6382F"/>
    <w:rsid w:val="00D63945"/>
    <w:rsid w:val="00D63A72"/>
    <w:rsid w:val="00D63C29"/>
    <w:rsid w:val="00D63C59"/>
    <w:rsid w:val="00D63FAA"/>
    <w:rsid w:val="00D640E3"/>
    <w:rsid w:val="00D64332"/>
    <w:rsid w:val="00D6439D"/>
    <w:rsid w:val="00D644EB"/>
    <w:rsid w:val="00D645B4"/>
    <w:rsid w:val="00D64615"/>
    <w:rsid w:val="00D647A3"/>
    <w:rsid w:val="00D64893"/>
    <w:rsid w:val="00D64A15"/>
    <w:rsid w:val="00D64AC6"/>
    <w:rsid w:val="00D64B1B"/>
    <w:rsid w:val="00D64E25"/>
    <w:rsid w:val="00D64E37"/>
    <w:rsid w:val="00D65087"/>
    <w:rsid w:val="00D65358"/>
    <w:rsid w:val="00D65699"/>
    <w:rsid w:val="00D65726"/>
    <w:rsid w:val="00D65773"/>
    <w:rsid w:val="00D6589F"/>
    <w:rsid w:val="00D659BA"/>
    <w:rsid w:val="00D65C17"/>
    <w:rsid w:val="00D65C3A"/>
    <w:rsid w:val="00D65C5E"/>
    <w:rsid w:val="00D65F0E"/>
    <w:rsid w:val="00D65F0F"/>
    <w:rsid w:val="00D6600F"/>
    <w:rsid w:val="00D66374"/>
    <w:rsid w:val="00D666B8"/>
    <w:rsid w:val="00D66A4C"/>
    <w:rsid w:val="00D66BC1"/>
    <w:rsid w:val="00D66C4C"/>
    <w:rsid w:val="00D66DC2"/>
    <w:rsid w:val="00D66F0C"/>
    <w:rsid w:val="00D66F91"/>
    <w:rsid w:val="00D66FB9"/>
    <w:rsid w:val="00D6708D"/>
    <w:rsid w:val="00D67090"/>
    <w:rsid w:val="00D671A2"/>
    <w:rsid w:val="00D67250"/>
    <w:rsid w:val="00D672B5"/>
    <w:rsid w:val="00D6731B"/>
    <w:rsid w:val="00D67347"/>
    <w:rsid w:val="00D6751E"/>
    <w:rsid w:val="00D676D4"/>
    <w:rsid w:val="00D6791C"/>
    <w:rsid w:val="00D6791D"/>
    <w:rsid w:val="00D67A14"/>
    <w:rsid w:val="00D67B9C"/>
    <w:rsid w:val="00D67C3D"/>
    <w:rsid w:val="00D67C72"/>
    <w:rsid w:val="00D67CB8"/>
    <w:rsid w:val="00D67DED"/>
    <w:rsid w:val="00D67EA4"/>
    <w:rsid w:val="00D70083"/>
    <w:rsid w:val="00D701AA"/>
    <w:rsid w:val="00D7028C"/>
    <w:rsid w:val="00D7029A"/>
    <w:rsid w:val="00D702B8"/>
    <w:rsid w:val="00D70347"/>
    <w:rsid w:val="00D703FB"/>
    <w:rsid w:val="00D7047F"/>
    <w:rsid w:val="00D705AF"/>
    <w:rsid w:val="00D706AA"/>
    <w:rsid w:val="00D707DD"/>
    <w:rsid w:val="00D70816"/>
    <w:rsid w:val="00D708BB"/>
    <w:rsid w:val="00D708C0"/>
    <w:rsid w:val="00D7094A"/>
    <w:rsid w:val="00D70A23"/>
    <w:rsid w:val="00D70A2C"/>
    <w:rsid w:val="00D70AFF"/>
    <w:rsid w:val="00D70CF5"/>
    <w:rsid w:val="00D70D93"/>
    <w:rsid w:val="00D70DA7"/>
    <w:rsid w:val="00D70DEE"/>
    <w:rsid w:val="00D70FEA"/>
    <w:rsid w:val="00D711CF"/>
    <w:rsid w:val="00D7123C"/>
    <w:rsid w:val="00D71250"/>
    <w:rsid w:val="00D7127F"/>
    <w:rsid w:val="00D714AD"/>
    <w:rsid w:val="00D716C6"/>
    <w:rsid w:val="00D716F0"/>
    <w:rsid w:val="00D71710"/>
    <w:rsid w:val="00D71734"/>
    <w:rsid w:val="00D717C0"/>
    <w:rsid w:val="00D71820"/>
    <w:rsid w:val="00D718C2"/>
    <w:rsid w:val="00D71A3B"/>
    <w:rsid w:val="00D71ABC"/>
    <w:rsid w:val="00D71BDC"/>
    <w:rsid w:val="00D71CA4"/>
    <w:rsid w:val="00D71D5F"/>
    <w:rsid w:val="00D71FBF"/>
    <w:rsid w:val="00D722B5"/>
    <w:rsid w:val="00D722EA"/>
    <w:rsid w:val="00D72ADA"/>
    <w:rsid w:val="00D72BBF"/>
    <w:rsid w:val="00D72EA9"/>
    <w:rsid w:val="00D731FC"/>
    <w:rsid w:val="00D73232"/>
    <w:rsid w:val="00D7323B"/>
    <w:rsid w:val="00D73386"/>
    <w:rsid w:val="00D73405"/>
    <w:rsid w:val="00D73502"/>
    <w:rsid w:val="00D735D3"/>
    <w:rsid w:val="00D73649"/>
    <w:rsid w:val="00D737CF"/>
    <w:rsid w:val="00D738D3"/>
    <w:rsid w:val="00D7394B"/>
    <w:rsid w:val="00D7399B"/>
    <w:rsid w:val="00D73A44"/>
    <w:rsid w:val="00D73BB6"/>
    <w:rsid w:val="00D73BF8"/>
    <w:rsid w:val="00D73C42"/>
    <w:rsid w:val="00D73C90"/>
    <w:rsid w:val="00D73CA8"/>
    <w:rsid w:val="00D73E6D"/>
    <w:rsid w:val="00D73EA4"/>
    <w:rsid w:val="00D73F75"/>
    <w:rsid w:val="00D73F93"/>
    <w:rsid w:val="00D73FF3"/>
    <w:rsid w:val="00D74028"/>
    <w:rsid w:val="00D740BA"/>
    <w:rsid w:val="00D745AD"/>
    <w:rsid w:val="00D7479C"/>
    <w:rsid w:val="00D7486D"/>
    <w:rsid w:val="00D748C1"/>
    <w:rsid w:val="00D749B8"/>
    <w:rsid w:val="00D74AEE"/>
    <w:rsid w:val="00D74B18"/>
    <w:rsid w:val="00D74C78"/>
    <w:rsid w:val="00D74CA8"/>
    <w:rsid w:val="00D74D07"/>
    <w:rsid w:val="00D74D1C"/>
    <w:rsid w:val="00D74FCF"/>
    <w:rsid w:val="00D7505C"/>
    <w:rsid w:val="00D7523F"/>
    <w:rsid w:val="00D75358"/>
    <w:rsid w:val="00D753EB"/>
    <w:rsid w:val="00D7542A"/>
    <w:rsid w:val="00D75451"/>
    <w:rsid w:val="00D75499"/>
    <w:rsid w:val="00D75692"/>
    <w:rsid w:val="00D75792"/>
    <w:rsid w:val="00D7584F"/>
    <w:rsid w:val="00D75853"/>
    <w:rsid w:val="00D759B7"/>
    <w:rsid w:val="00D75A3D"/>
    <w:rsid w:val="00D75A76"/>
    <w:rsid w:val="00D75B88"/>
    <w:rsid w:val="00D75C93"/>
    <w:rsid w:val="00D75D2B"/>
    <w:rsid w:val="00D75F84"/>
    <w:rsid w:val="00D76057"/>
    <w:rsid w:val="00D76250"/>
    <w:rsid w:val="00D76261"/>
    <w:rsid w:val="00D76560"/>
    <w:rsid w:val="00D76574"/>
    <w:rsid w:val="00D766E1"/>
    <w:rsid w:val="00D76708"/>
    <w:rsid w:val="00D7672E"/>
    <w:rsid w:val="00D76936"/>
    <w:rsid w:val="00D76996"/>
    <w:rsid w:val="00D7699C"/>
    <w:rsid w:val="00D76A52"/>
    <w:rsid w:val="00D76BA7"/>
    <w:rsid w:val="00D76D41"/>
    <w:rsid w:val="00D76E60"/>
    <w:rsid w:val="00D76E8F"/>
    <w:rsid w:val="00D76EC6"/>
    <w:rsid w:val="00D76EE0"/>
    <w:rsid w:val="00D770D3"/>
    <w:rsid w:val="00D771C5"/>
    <w:rsid w:val="00D773E0"/>
    <w:rsid w:val="00D77427"/>
    <w:rsid w:val="00D7745C"/>
    <w:rsid w:val="00D77536"/>
    <w:rsid w:val="00D77598"/>
    <w:rsid w:val="00D7775A"/>
    <w:rsid w:val="00D77761"/>
    <w:rsid w:val="00D77874"/>
    <w:rsid w:val="00D77911"/>
    <w:rsid w:val="00D7793B"/>
    <w:rsid w:val="00D7794B"/>
    <w:rsid w:val="00D77A2B"/>
    <w:rsid w:val="00D77A70"/>
    <w:rsid w:val="00D77ABF"/>
    <w:rsid w:val="00D77B2E"/>
    <w:rsid w:val="00D77CAA"/>
    <w:rsid w:val="00D77DFB"/>
    <w:rsid w:val="00D77E25"/>
    <w:rsid w:val="00D80004"/>
    <w:rsid w:val="00D800AD"/>
    <w:rsid w:val="00D800AF"/>
    <w:rsid w:val="00D801D8"/>
    <w:rsid w:val="00D8022D"/>
    <w:rsid w:val="00D80436"/>
    <w:rsid w:val="00D8044B"/>
    <w:rsid w:val="00D804CE"/>
    <w:rsid w:val="00D804F3"/>
    <w:rsid w:val="00D80642"/>
    <w:rsid w:val="00D806BB"/>
    <w:rsid w:val="00D8081F"/>
    <w:rsid w:val="00D808FB"/>
    <w:rsid w:val="00D8093E"/>
    <w:rsid w:val="00D809D0"/>
    <w:rsid w:val="00D809E1"/>
    <w:rsid w:val="00D80A4D"/>
    <w:rsid w:val="00D80A88"/>
    <w:rsid w:val="00D80BCE"/>
    <w:rsid w:val="00D80D1D"/>
    <w:rsid w:val="00D80DC6"/>
    <w:rsid w:val="00D80EC9"/>
    <w:rsid w:val="00D80ED3"/>
    <w:rsid w:val="00D81087"/>
    <w:rsid w:val="00D810D2"/>
    <w:rsid w:val="00D8120C"/>
    <w:rsid w:val="00D814AD"/>
    <w:rsid w:val="00D814D7"/>
    <w:rsid w:val="00D8163B"/>
    <w:rsid w:val="00D81669"/>
    <w:rsid w:val="00D8176C"/>
    <w:rsid w:val="00D81929"/>
    <w:rsid w:val="00D81AA3"/>
    <w:rsid w:val="00D81AC7"/>
    <w:rsid w:val="00D81B75"/>
    <w:rsid w:val="00D81BBB"/>
    <w:rsid w:val="00D81D3F"/>
    <w:rsid w:val="00D8201A"/>
    <w:rsid w:val="00D82079"/>
    <w:rsid w:val="00D820B3"/>
    <w:rsid w:val="00D82163"/>
    <w:rsid w:val="00D82199"/>
    <w:rsid w:val="00D8219E"/>
    <w:rsid w:val="00D82352"/>
    <w:rsid w:val="00D82384"/>
    <w:rsid w:val="00D82761"/>
    <w:rsid w:val="00D827D1"/>
    <w:rsid w:val="00D829E1"/>
    <w:rsid w:val="00D82DAA"/>
    <w:rsid w:val="00D82DD3"/>
    <w:rsid w:val="00D82EE5"/>
    <w:rsid w:val="00D83066"/>
    <w:rsid w:val="00D83237"/>
    <w:rsid w:val="00D8323A"/>
    <w:rsid w:val="00D8339F"/>
    <w:rsid w:val="00D83687"/>
    <w:rsid w:val="00D838D0"/>
    <w:rsid w:val="00D8391E"/>
    <w:rsid w:val="00D83A0D"/>
    <w:rsid w:val="00D83A2A"/>
    <w:rsid w:val="00D83A66"/>
    <w:rsid w:val="00D83B48"/>
    <w:rsid w:val="00D83C66"/>
    <w:rsid w:val="00D83F4D"/>
    <w:rsid w:val="00D83FCD"/>
    <w:rsid w:val="00D84032"/>
    <w:rsid w:val="00D845CB"/>
    <w:rsid w:val="00D845F9"/>
    <w:rsid w:val="00D84707"/>
    <w:rsid w:val="00D847DC"/>
    <w:rsid w:val="00D847F3"/>
    <w:rsid w:val="00D848DB"/>
    <w:rsid w:val="00D84A25"/>
    <w:rsid w:val="00D84AA2"/>
    <w:rsid w:val="00D84ACC"/>
    <w:rsid w:val="00D84B4A"/>
    <w:rsid w:val="00D84C52"/>
    <w:rsid w:val="00D84D03"/>
    <w:rsid w:val="00D84F09"/>
    <w:rsid w:val="00D84FEA"/>
    <w:rsid w:val="00D8506D"/>
    <w:rsid w:val="00D85172"/>
    <w:rsid w:val="00D85186"/>
    <w:rsid w:val="00D85272"/>
    <w:rsid w:val="00D852A3"/>
    <w:rsid w:val="00D85388"/>
    <w:rsid w:val="00D85791"/>
    <w:rsid w:val="00D857C2"/>
    <w:rsid w:val="00D857E6"/>
    <w:rsid w:val="00D859BD"/>
    <w:rsid w:val="00D85ACD"/>
    <w:rsid w:val="00D85AFA"/>
    <w:rsid w:val="00D85C85"/>
    <w:rsid w:val="00D85D67"/>
    <w:rsid w:val="00D85D7A"/>
    <w:rsid w:val="00D85DBE"/>
    <w:rsid w:val="00D86350"/>
    <w:rsid w:val="00D863AA"/>
    <w:rsid w:val="00D864FB"/>
    <w:rsid w:val="00D8659C"/>
    <w:rsid w:val="00D865DA"/>
    <w:rsid w:val="00D86624"/>
    <w:rsid w:val="00D8663D"/>
    <w:rsid w:val="00D86693"/>
    <w:rsid w:val="00D8685F"/>
    <w:rsid w:val="00D8699E"/>
    <w:rsid w:val="00D869DC"/>
    <w:rsid w:val="00D86AB4"/>
    <w:rsid w:val="00D86AE7"/>
    <w:rsid w:val="00D86D7A"/>
    <w:rsid w:val="00D86E10"/>
    <w:rsid w:val="00D86F4B"/>
    <w:rsid w:val="00D870E0"/>
    <w:rsid w:val="00D87145"/>
    <w:rsid w:val="00D87199"/>
    <w:rsid w:val="00D87333"/>
    <w:rsid w:val="00D87494"/>
    <w:rsid w:val="00D8774D"/>
    <w:rsid w:val="00D8778F"/>
    <w:rsid w:val="00D87BE0"/>
    <w:rsid w:val="00D87F2E"/>
    <w:rsid w:val="00D87FFC"/>
    <w:rsid w:val="00D90085"/>
    <w:rsid w:val="00D900CB"/>
    <w:rsid w:val="00D90138"/>
    <w:rsid w:val="00D901BC"/>
    <w:rsid w:val="00D903C7"/>
    <w:rsid w:val="00D904EE"/>
    <w:rsid w:val="00D90522"/>
    <w:rsid w:val="00D9058B"/>
    <w:rsid w:val="00D90640"/>
    <w:rsid w:val="00D906F3"/>
    <w:rsid w:val="00D9076E"/>
    <w:rsid w:val="00D907DF"/>
    <w:rsid w:val="00D908F3"/>
    <w:rsid w:val="00D90A66"/>
    <w:rsid w:val="00D90AAD"/>
    <w:rsid w:val="00D90AC1"/>
    <w:rsid w:val="00D90CB2"/>
    <w:rsid w:val="00D90E62"/>
    <w:rsid w:val="00D90EBD"/>
    <w:rsid w:val="00D90F62"/>
    <w:rsid w:val="00D9116B"/>
    <w:rsid w:val="00D912D5"/>
    <w:rsid w:val="00D912FA"/>
    <w:rsid w:val="00D91446"/>
    <w:rsid w:val="00D915D6"/>
    <w:rsid w:val="00D9179D"/>
    <w:rsid w:val="00D91806"/>
    <w:rsid w:val="00D91A61"/>
    <w:rsid w:val="00D91AF7"/>
    <w:rsid w:val="00D91B5A"/>
    <w:rsid w:val="00D91BC5"/>
    <w:rsid w:val="00D91C1A"/>
    <w:rsid w:val="00D91C54"/>
    <w:rsid w:val="00D91D5C"/>
    <w:rsid w:val="00D91E38"/>
    <w:rsid w:val="00D91E4A"/>
    <w:rsid w:val="00D91FDC"/>
    <w:rsid w:val="00D9218B"/>
    <w:rsid w:val="00D92350"/>
    <w:rsid w:val="00D92386"/>
    <w:rsid w:val="00D923B0"/>
    <w:rsid w:val="00D92473"/>
    <w:rsid w:val="00D924C2"/>
    <w:rsid w:val="00D92660"/>
    <w:rsid w:val="00D927A1"/>
    <w:rsid w:val="00D927CC"/>
    <w:rsid w:val="00D927D6"/>
    <w:rsid w:val="00D927DA"/>
    <w:rsid w:val="00D928B3"/>
    <w:rsid w:val="00D92901"/>
    <w:rsid w:val="00D92958"/>
    <w:rsid w:val="00D92B43"/>
    <w:rsid w:val="00D92BF8"/>
    <w:rsid w:val="00D92C74"/>
    <w:rsid w:val="00D92C93"/>
    <w:rsid w:val="00D92E4C"/>
    <w:rsid w:val="00D92F32"/>
    <w:rsid w:val="00D93040"/>
    <w:rsid w:val="00D93048"/>
    <w:rsid w:val="00D930A6"/>
    <w:rsid w:val="00D93122"/>
    <w:rsid w:val="00D93176"/>
    <w:rsid w:val="00D9317C"/>
    <w:rsid w:val="00D932D7"/>
    <w:rsid w:val="00D93306"/>
    <w:rsid w:val="00D933B1"/>
    <w:rsid w:val="00D933D8"/>
    <w:rsid w:val="00D934F4"/>
    <w:rsid w:val="00D93575"/>
    <w:rsid w:val="00D93578"/>
    <w:rsid w:val="00D9373D"/>
    <w:rsid w:val="00D937A5"/>
    <w:rsid w:val="00D939E4"/>
    <w:rsid w:val="00D93A70"/>
    <w:rsid w:val="00D93A74"/>
    <w:rsid w:val="00D93A95"/>
    <w:rsid w:val="00D93C36"/>
    <w:rsid w:val="00D93D11"/>
    <w:rsid w:val="00D9401C"/>
    <w:rsid w:val="00D94283"/>
    <w:rsid w:val="00D942B8"/>
    <w:rsid w:val="00D942FC"/>
    <w:rsid w:val="00D9448C"/>
    <w:rsid w:val="00D944AD"/>
    <w:rsid w:val="00D945D6"/>
    <w:rsid w:val="00D94614"/>
    <w:rsid w:val="00D94763"/>
    <w:rsid w:val="00D947F6"/>
    <w:rsid w:val="00D948E7"/>
    <w:rsid w:val="00D94C3C"/>
    <w:rsid w:val="00D94E0A"/>
    <w:rsid w:val="00D94ED5"/>
    <w:rsid w:val="00D94F93"/>
    <w:rsid w:val="00D94FDE"/>
    <w:rsid w:val="00D951F5"/>
    <w:rsid w:val="00D9575D"/>
    <w:rsid w:val="00D95837"/>
    <w:rsid w:val="00D9584B"/>
    <w:rsid w:val="00D95A2E"/>
    <w:rsid w:val="00D95A3E"/>
    <w:rsid w:val="00D95AC7"/>
    <w:rsid w:val="00D95CD2"/>
    <w:rsid w:val="00D95D57"/>
    <w:rsid w:val="00D95F3B"/>
    <w:rsid w:val="00D960D7"/>
    <w:rsid w:val="00D96258"/>
    <w:rsid w:val="00D964DC"/>
    <w:rsid w:val="00D96655"/>
    <w:rsid w:val="00D96896"/>
    <w:rsid w:val="00D968DA"/>
    <w:rsid w:val="00D969AB"/>
    <w:rsid w:val="00D969BD"/>
    <w:rsid w:val="00D96C78"/>
    <w:rsid w:val="00D96FD3"/>
    <w:rsid w:val="00D9717A"/>
    <w:rsid w:val="00D972AD"/>
    <w:rsid w:val="00D97932"/>
    <w:rsid w:val="00D9794E"/>
    <w:rsid w:val="00D97B98"/>
    <w:rsid w:val="00D97BE9"/>
    <w:rsid w:val="00D97C95"/>
    <w:rsid w:val="00D97E55"/>
    <w:rsid w:val="00D97EBC"/>
    <w:rsid w:val="00DA00E3"/>
    <w:rsid w:val="00DA0118"/>
    <w:rsid w:val="00DA013A"/>
    <w:rsid w:val="00DA03C2"/>
    <w:rsid w:val="00DA03F7"/>
    <w:rsid w:val="00DA0520"/>
    <w:rsid w:val="00DA08BE"/>
    <w:rsid w:val="00DA0BAB"/>
    <w:rsid w:val="00DA0C18"/>
    <w:rsid w:val="00DA0C5C"/>
    <w:rsid w:val="00DA0E7B"/>
    <w:rsid w:val="00DA15CE"/>
    <w:rsid w:val="00DA1661"/>
    <w:rsid w:val="00DA1681"/>
    <w:rsid w:val="00DA171D"/>
    <w:rsid w:val="00DA1725"/>
    <w:rsid w:val="00DA18C6"/>
    <w:rsid w:val="00DA1978"/>
    <w:rsid w:val="00DA1A24"/>
    <w:rsid w:val="00DA1B61"/>
    <w:rsid w:val="00DA1C61"/>
    <w:rsid w:val="00DA1C81"/>
    <w:rsid w:val="00DA1EDD"/>
    <w:rsid w:val="00DA212F"/>
    <w:rsid w:val="00DA21E0"/>
    <w:rsid w:val="00DA23EA"/>
    <w:rsid w:val="00DA2554"/>
    <w:rsid w:val="00DA256B"/>
    <w:rsid w:val="00DA25FB"/>
    <w:rsid w:val="00DA277E"/>
    <w:rsid w:val="00DA27B6"/>
    <w:rsid w:val="00DA27F4"/>
    <w:rsid w:val="00DA2A13"/>
    <w:rsid w:val="00DA2A55"/>
    <w:rsid w:val="00DA2C9D"/>
    <w:rsid w:val="00DA2D1A"/>
    <w:rsid w:val="00DA2E96"/>
    <w:rsid w:val="00DA2ED5"/>
    <w:rsid w:val="00DA2FC7"/>
    <w:rsid w:val="00DA31A6"/>
    <w:rsid w:val="00DA3835"/>
    <w:rsid w:val="00DA3969"/>
    <w:rsid w:val="00DA3A2A"/>
    <w:rsid w:val="00DA3C6D"/>
    <w:rsid w:val="00DA3D61"/>
    <w:rsid w:val="00DA3DD2"/>
    <w:rsid w:val="00DA3EC8"/>
    <w:rsid w:val="00DA3EDF"/>
    <w:rsid w:val="00DA4271"/>
    <w:rsid w:val="00DA439E"/>
    <w:rsid w:val="00DA43AE"/>
    <w:rsid w:val="00DA4429"/>
    <w:rsid w:val="00DA44C1"/>
    <w:rsid w:val="00DA45B0"/>
    <w:rsid w:val="00DA4663"/>
    <w:rsid w:val="00DA4814"/>
    <w:rsid w:val="00DA48CA"/>
    <w:rsid w:val="00DA4A2A"/>
    <w:rsid w:val="00DA4BD2"/>
    <w:rsid w:val="00DA4BED"/>
    <w:rsid w:val="00DA4CE9"/>
    <w:rsid w:val="00DA4F14"/>
    <w:rsid w:val="00DA5213"/>
    <w:rsid w:val="00DA52CA"/>
    <w:rsid w:val="00DA54F6"/>
    <w:rsid w:val="00DA557F"/>
    <w:rsid w:val="00DA55AB"/>
    <w:rsid w:val="00DA55DF"/>
    <w:rsid w:val="00DA5888"/>
    <w:rsid w:val="00DA595B"/>
    <w:rsid w:val="00DA59CB"/>
    <w:rsid w:val="00DA5A89"/>
    <w:rsid w:val="00DA5BA6"/>
    <w:rsid w:val="00DA5BB1"/>
    <w:rsid w:val="00DA5C0C"/>
    <w:rsid w:val="00DA5D6E"/>
    <w:rsid w:val="00DA5EB5"/>
    <w:rsid w:val="00DA5F0E"/>
    <w:rsid w:val="00DA6090"/>
    <w:rsid w:val="00DA6119"/>
    <w:rsid w:val="00DA6124"/>
    <w:rsid w:val="00DA624A"/>
    <w:rsid w:val="00DA6471"/>
    <w:rsid w:val="00DA64F5"/>
    <w:rsid w:val="00DA6662"/>
    <w:rsid w:val="00DA668A"/>
    <w:rsid w:val="00DA673E"/>
    <w:rsid w:val="00DA68AA"/>
    <w:rsid w:val="00DA69C8"/>
    <w:rsid w:val="00DA6A23"/>
    <w:rsid w:val="00DA6AE8"/>
    <w:rsid w:val="00DA6BD4"/>
    <w:rsid w:val="00DA6D38"/>
    <w:rsid w:val="00DA6D7A"/>
    <w:rsid w:val="00DA6EC5"/>
    <w:rsid w:val="00DA6EDB"/>
    <w:rsid w:val="00DA6F00"/>
    <w:rsid w:val="00DA6F61"/>
    <w:rsid w:val="00DA706E"/>
    <w:rsid w:val="00DA71C9"/>
    <w:rsid w:val="00DA72B6"/>
    <w:rsid w:val="00DA736A"/>
    <w:rsid w:val="00DA742A"/>
    <w:rsid w:val="00DA7456"/>
    <w:rsid w:val="00DA7544"/>
    <w:rsid w:val="00DA7569"/>
    <w:rsid w:val="00DA7571"/>
    <w:rsid w:val="00DA774E"/>
    <w:rsid w:val="00DA77E6"/>
    <w:rsid w:val="00DA79AD"/>
    <w:rsid w:val="00DA7A42"/>
    <w:rsid w:val="00DA7B6E"/>
    <w:rsid w:val="00DA7B7B"/>
    <w:rsid w:val="00DA7C1F"/>
    <w:rsid w:val="00DA7DD6"/>
    <w:rsid w:val="00DB041A"/>
    <w:rsid w:val="00DB0562"/>
    <w:rsid w:val="00DB05AA"/>
    <w:rsid w:val="00DB06D7"/>
    <w:rsid w:val="00DB0844"/>
    <w:rsid w:val="00DB08AD"/>
    <w:rsid w:val="00DB0920"/>
    <w:rsid w:val="00DB0993"/>
    <w:rsid w:val="00DB09E1"/>
    <w:rsid w:val="00DB0C58"/>
    <w:rsid w:val="00DB0F1E"/>
    <w:rsid w:val="00DB0F7A"/>
    <w:rsid w:val="00DB1601"/>
    <w:rsid w:val="00DB1663"/>
    <w:rsid w:val="00DB1668"/>
    <w:rsid w:val="00DB1703"/>
    <w:rsid w:val="00DB1843"/>
    <w:rsid w:val="00DB1913"/>
    <w:rsid w:val="00DB19E7"/>
    <w:rsid w:val="00DB1C3B"/>
    <w:rsid w:val="00DB1FBB"/>
    <w:rsid w:val="00DB2163"/>
    <w:rsid w:val="00DB2260"/>
    <w:rsid w:val="00DB23C3"/>
    <w:rsid w:val="00DB24EC"/>
    <w:rsid w:val="00DB251E"/>
    <w:rsid w:val="00DB26F8"/>
    <w:rsid w:val="00DB2ACA"/>
    <w:rsid w:val="00DB2C0B"/>
    <w:rsid w:val="00DB2C48"/>
    <w:rsid w:val="00DB2CFB"/>
    <w:rsid w:val="00DB2D01"/>
    <w:rsid w:val="00DB2E49"/>
    <w:rsid w:val="00DB2E50"/>
    <w:rsid w:val="00DB31C2"/>
    <w:rsid w:val="00DB32F5"/>
    <w:rsid w:val="00DB3491"/>
    <w:rsid w:val="00DB350D"/>
    <w:rsid w:val="00DB36C7"/>
    <w:rsid w:val="00DB36E5"/>
    <w:rsid w:val="00DB3728"/>
    <w:rsid w:val="00DB38D0"/>
    <w:rsid w:val="00DB39F1"/>
    <w:rsid w:val="00DB3FB6"/>
    <w:rsid w:val="00DB3FE0"/>
    <w:rsid w:val="00DB407F"/>
    <w:rsid w:val="00DB4089"/>
    <w:rsid w:val="00DB40BB"/>
    <w:rsid w:val="00DB4123"/>
    <w:rsid w:val="00DB41D1"/>
    <w:rsid w:val="00DB42E5"/>
    <w:rsid w:val="00DB4371"/>
    <w:rsid w:val="00DB45DB"/>
    <w:rsid w:val="00DB46EE"/>
    <w:rsid w:val="00DB46F5"/>
    <w:rsid w:val="00DB4720"/>
    <w:rsid w:val="00DB488A"/>
    <w:rsid w:val="00DB48A3"/>
    <w:rsid w:val="00DB4A3B"/>
    <w:rsid w:val="00DB4AFD"/>
    <w:rsid w:val="00DB4C0A"/>
    <w:rsid w:val="00DB4E37"/>
    <w:rsid w:val="00DB4E5B"/>
    <w:rsid w:val="00DB4F71"/>
    <w:rsid w:val="00DB4FC6"/>
    <w:rsid w:val="00DB5080"/>
    <w:rsid w:val="00DB510A"/>
    <w:rsid w:val="00DB5161"/>
    <w:rsid w:val="00DB521E"/>
    <w:rsid w:val="00DB5372"/>
    <w:rsid w:val="00DB5985"/>
    <w:rsid w:val="00DB5A25"/>
    <w:rsid w:val="00DB615C"/>
    <w:rsid w:val="00DB624D"/>
    <w:rsid w:val="00DB62C9"/>
    <w:rsid w:val="00DB6382"/>
    <w:rsid w:val="00DB63F5"/>
    <w:rsid w:val="00DB640A"/>
    <w:rsid w:val="00DB64E2"/>
    <w:rsid w:val="00DB66DA"/>
    <w:rsid w:val="00DB66EE"/>
    <w:rsid w:val="00DB6704"/>
    <w:rsid w:val="00DB690D"/>
    <w:rsid w:val="00DB698B"/>
    <w:rsid w:val="00DB6A87"/>
    <w:rsid w:val="00DB6AA2"/>
    <w:rsid w:val="00DB6B5B"/>
    <w:rsid w:val="00DB6B81"/>
    <w:rsid w:val="00DB6C68"/>
    <w:rsid w:val="00DB6E08"/>
    <w:rsid w:val="00DB6FB8"/>
    <w:rsid w:val="00DB7036"/>
    <w:rsid w:val="00DB71DF"/>
    <w:rsid w:val="00DB721D"/>
    <w:rsid w:val="00DB7250"/>
    <w:rsid w:val="00DB7365"/>
    <w:rsid w:val="00DB75C1"/>
    <w:rsid w:val="00DB76BF"/>
    <w:rsid w:val="00DB76C9"/>
    <w:rsid w:val="00DB770B"/>
    <w:rsid w:val="00DB777D"/>
    <w:rsid w:val="00DB7783"/>
    <w:rsid w:val="00DB7897"/>
    <w:rsid w:val="00DB7B61"/>
    <w:rsid w:val="00DB7BAB"/>
    <w:rsid w:val="00DB7E44"/>
    <w:rsid w:val="00DB7E5D"/>
    <w:rsid w:val="00DB7FB9"/>
    <w:rsid w:val="00DC00F5"/>
    <w:rsid w:val="00DC01AB"/>
    <w:rsid w:val="00DC0331"/>
    <w:rsid w:val="00DC0334"/>
    <w:rsid w:val="00DC0518"/>
    <w:rsid w:val="00DC05AF"/>
    <w:rsid w:val="00DC06D2"/>
    <w:rsid w:val="00DC089A"/>
    <w:rsid w:val="00DC0B0F"/>
    <w:rsid w:val="00DC0B1F"/>
    <w:rsid w:val="00DC0CEA"/>
    <w:rsid w:val="00DC0D25"/>
    <w:rsid w:val="00DC0EB9"/>
    <w:rsid w:val="00DC0EF5"/>
    <w:rsid w:val="00DC0F6A"/>
    <w:rsid w:val="00DC1000"/>
    <w:rsid w:val="00DC10BB"/>
    <w:rsid w:val="00DC1107"/>
    <w:rsid w:val="00DC11B7"/>
    <w:rsid w:val="00DC13A8"/>
    <w:rsid w:val="00DC15BA"/>
    <w:rsid w:val="00DC15C7"/>
    <w:rsid w:val="00DC197A"/>
    <w:rsid w:val="00DC1AB9"/>
    <w:rsid w:val="00DC1B1A"/>
    <w:rsid w:val="00DC1B9D"/>
    <w:rsid w:val="00DC1CB1"/>
    <w:rsid w:val="00DC1F50"/>
    <w:rsid w:val="00DC20A0"/>
    <w:rsid w:val="00DC20EA"/>
    <w:rsid w:val="00DC22C6"/>
    <w:rsid w:val="00DC23E7"/>
    <w:rsid w:val="00DC24B1"/>
    <w:rsid w:val="00DC24F1"/>
    <w:rsid w:val="00DC2587"/>
    <w:rsid w:val="00DC2656"/>
    <w:rsid w:val="00DC2707"/>
    <w:rsid w:val="00DC29C5"/>
    <w:rsid w:val="00DC2B4D"/>
    <w:rsid w:val="00DC2BA6"/>
    <w:rsid w:val="00DC2C22"/>
    <w:rsid w:val="00DC2C3A"/>
    <w:rsid w:val="00DC2FCB"/>
    <w:rsid w:val="00DC2FE3"/>
    <w:rsid w:val="00DC30ED"/>
    <w:rsid w:val="00DC31A4"/>
    <w:rsid w:val="00DC3223"/>
    <w:rsid w:val="00DC39D8"/>
    <w:rsid w:val="00DC3A13"/>
    <w:rsid w:val="00DC3B87"/>
    <w:rsid w:val="00DC3C32"/>
    <w:rsid w:val="00DC3D14"/>
    <w:rsid w:val="00DC3D22"/>
    <w:rsid w:val="00DC3DA6"/>
    <w:rsid w:val="00DC3DE2"/>
    <w:rsid w:val="00DC3E19"/>
    <w:rsid w:val="00DC4069"/>
    <w:rsid w:val="00DC40FE"/>
    <w:rsid w:val="00DC4184"/>
    <w:rsid w:val="00DC429E"/>
    <w:rsid w:val="00DC42AE"/>
    <w:rsid w:val="00DC432A"/>
    <w:rsid w:val="00DC4448"/>
    <w:rsid w:val="00DC4461"/>
    <w:rsid w:val="00DC44D0"/>
    <w:rsid w:val="00DC455F"/>
    <w:rsid w:val="00DC46F3"/>
    <w:rsid w:val="00DC48CA"/>
    <w:rsid w:val="00DC4971"/>
    <w:rsid w:val="00DC4B43"/>
    <w:rsid w:val="00DC4C60"/>
    <w:rsid w:val="00DC4C7F"/>
    <w:rsid w:val="00DC4D39"/>
    <w:rsid w:val="00DC4E78"/>
    <w:rsid w:val="00DC4EDE"/>
    <w:rsid w:val="00DC4EE2"/>
    <w:rsid w:val="00DC4EED"/>
    <w:rsid w:val="00DC50BA"/>
    <w:rsid w:val="00DC52B1"/>
    <w:rsid w:val="00DC530F"/>
    <w:rsid w:val="00DC5321"/>
    <w:rsid w:val="00DC536A"/>
    <w:rsid w:val="00DC53D5"/>
    <w:rsid w:val="00DC53FE"/>
    <w:rsid w:val="00DC5480"/>
    <w:rsid w:val="00DC552B"/>
    <w:rsid w:val="00DC55AE"/>
    <w:rsid w:val="00DC5930"/>
    <w:rsid w:val="00DC595C"/>
    <w:rsid w:val="00DC5A14"/>
    <w:rsid w:val="00DC5A82"/>
    <w:rsid w:val="00DC5ADE"/>
    <w:rsid w:val="00DC5BC4"/>
    <w:rsid w:val="00DC5C13"/>
    <w:rsid w:val="00DC5DDC"/>
    <w:rsid w:val="00DC5EEA"/>
    <w:rsid w:val="00DC5F90"/>
    <w:rsid w:val="00DC6008"/>
    <w:rsid w:val="00DC624C"/>
    <w:rsid w:val="00DC62C1"/>
    <w:rsid w:val="00DC63C1"/>
    <w:rsid w:val="00DC64DA"/>
    <w:rsid w:val="00DC6563"/>
    <w:rsid w:val="00DC65A0"/>
    <w:rsid w:val="00DC65F4"/>
    <w:rsid w:val="00DC68B1"/>
    <w:rsid w:val="00DC69DE"/>
    <w:rsid w:val="00DC6DD3"/>
    <w:rsid w:val="00DC6F19"/>
    <w:rsid w:val="00DC702A"/>
    <w:rsid w:val="00DC70B2"/>
    <w:rsid w:val="00DC72F7"/>
    <w:rsid w:val="00DC7321"/>
    <w:rsid w:val="00DC76BC"/>
    <w:rsid w:val="00DC77A3"/>
    <w:rsid w:val="00DC77E8"/>
    <w:rsid w:val="00DC77F9"/>
    <w:rsid w:val="00DC780C"/>
    <w:rsid w:val="00DC78C4"/>
    <w:rsid w:val="00DC7918"/>
    <w:rsid w:val="00DC7A25"/>
    <w:rsid w:val="00DC7ACB"/>
    <w:rsid w:val="00DC7B6A"/>
    <w:rsid w:val="00DC7E5E"/>
    <w:rsid w:val="00DC7E7B"/>
    <w:rsid w:val="00DC7FA8"/>
    <w:rsid w:val="00DC7FFC"/>
    <w:rsid w:val="00DD019E"/>
    <w:rsid w:val="00DD01D5"/>
    <w:rsid w:val="00DD01E1"/>
    <w:rsid w:val="00DD0617"/>
    <w:rsid w:val="00DD0709"/>
    <w:rsid w:val="00DD0886"/>
    <w:rsid w:val="00DD08E0"/>
    <w:rsid w:val="00DD08FB"/>
    <w:rsid w:val="00DD09BD"/>
    <w:rsid w:val="00DD0BA1"/>
    <w:rsid w:val="00DD0BDE"/>
    <w:rsid w:val="00DD0C7A"/>
    <w:rsid w:val="00DD0CF1"/>
    <w:rsid w:val="00DD0FE8"/>
    <w:rsid w:val="00DD1025"/>
    <w:rsid w:val="00DD111B"/>
    <w:rsid w:val="00DD1371"/>
    <w:rsid w:val="00DD1396"/>
    <w:rsid w:val="00DD14AA"/>
    <w:rsid w:val="00DD1839"/>
    <w:rsid w:val="00DD1907"/>
    <w:rsid w:val="00DD1945"/>
    <w:rsid w:val="00DD196B"/>
    <w:rsid w:val="00DD1BF6"/>
    <w:rsid w:val="00DD1C32"/>
    <w:rsid w:val="00DD1C60"/>
    <w:rsid w:val="00DD1CA8"/>
    <w:rsid w:val="00DD1CA9"/>
    <w:rsid w:val="00DD1EE1"/>
    <w:rsid w:val="00DD1F02"/>
    <w:rsid w:val="00DD1F0D"/>
    <w:rsid w:val="00DD1F50"/>
    <w:rsid w:val="00DD1FE5"/>
    <w:rsid w:val="00DD2267"/>
    <w:rsid w:val="00DD239B"/>
    <w:rsid w:val="00DD23B2"/>
    <w:rsid w:val="00DD258C"/>
    <w:rsid w:val="00DD2653"/>
    <w:rsid w:val="00DD26A1"/>
    <w:rsid w:val="00DD26A6"/>
    <w:rsid w:val="00DD2845"/>
    <w:rsid w:val="00DD284A"/>
    <w:rsid w:val="00DD2892"/>
    <w:rsid w:val="00DD28ED"/>
    <w:rsid w:val="00DD298E"/>
    <w:rsid w:val="00DD29C8"/>
    <w:rsid w:val="00DD2A32"/>
    <w:rsid w:val="00DD2B18"/>
    <w:rsid w:val="00DD2B2D"/>
    <w:rsid w:val="00DD2CEF"/>
    <w:rsid w:val="00DD2ED1"/>
    <w:rsid w:val="00DD3075"/>
    <w:rsid w:val="00DD31A0"/>
    <w:rsid w:val="00DD3260"/>
    <w:rsid w:val="00DD326E"/>
    <w:rsid w:val="00DD3327"/>
    <w:rsid w:val="00DD3367"/>
    <w:rsid w:val="00DD338E"/>
    <w:rsid w:val="00DD3419"/>
    <w:rsid w:val="00DD37E6"/>
    <w:rsid w:val="00DD39A4"/>
    <w:rsid w:val="00DD39E6"/>
    <w:rsid w:val="00DD3A4D"/>
    <w:rsid w:val="00DD3AE0"/>
    <w:rsid w:val="00DD3AFC"/>
    <w:rsid w:val="00DD3E1B"/>
    <w:rsid w:val="00DD3FC7"/>
    <w:rsid w:val="00DD407C"/>
    <w:rsid w:val="00DD41B0"/>
    <w:rsid w:val="00DD4223"/>
    <w:rsid w:val="00DD42C1"/>
    <w:rsid w:val="00DD4348"/>
    <w:rsid w:val="00DD43CC"/>
    <w:rsid w:val="00DD44FC"/>
    <w:rsid w:val="00DD4718"/>
    <w:rsid w:val="00DD4856"/>
    <w:rsid w:val="00DD4964"/>
    <w:rsid w:val="00DD4A75"/>
    <w:rsid w:val="00DD4BC9"/>
    <w:rsid w:val="00DD4D7F"/>
    <w:rsid w:val="00DD4DCA"/>
    <w:rsid w:val="00DD4DEF"/>
    <w:rsid w:val="00DD4E4F"/>
    <w:rsid w:val="00DD4EDC"/>
    <w:rsid w:val="00DD507F"/>
    <w:rsid w:val="00DD5164"/>
    <w:rsid w:val="00DD5165"/>
    <w:rsid w:val="00DD51A5"/>
    <w:rsid w:val="00DD51F8"/>
    <w:rsid w:val="00DD52DC"/>
    <w:rsid w:val="00DD5630"/>
    <w:rsid w:val="00DD56C0"/>
    <w:rsid w:val="00DD587B"/>
    <w:rsid w:val="00DD589C"/>
    <w:rsid w:val="00DD594D"/>
    <w:rsid w:val="00DD5A9A"/>
    <w:rsid w:val="00DD5AC0"/>
    <w:rsid w:val="00DD5BE0"/>
    <w:rsid w:val="00DD5BEA"/>
    <w:rsid w:val="00DD5BF0"/>
    <w:rsid w:val="00DD5CF3"/>
    <w:rsid w:val="00DD5E6E"/>
    <w:rsid w:val="00DD5E75"/>
    <w:rsid w:val="00DD611A"/>
    <w:rsid w:val="00DD624D"/>
    <w:rsid w:val="00DD62A9"/>
    <w:rsid w:val="00DD63C5"/>
    <w:rsid w:val="00DD6432"/>
    <w:rsid w:val="00DD65C4"/>
    <w:rsid w:val="00DD6701"/>
    <w:rsid w:val="00DD6909"/>
    <w:rsid w:val="00DD6A28"/>
    <w:rsid w:val="00DD6A76"/>
    <w:rsid w:val="00DD6ADB"/>
    <w:rsid w:val="00DD6BD4"/>
    <w:rsid w:val="00DD6C97"/>
    <w:rsid w:val="00DD6D14"/>
    <w:rsid w:val="00DD6E67"/>
    <w:rsid w:val="00DD6E76"/>
    <w:rsid w:val="00DD6EF7"/>
    <w:rsid w:val="00DD6F5E"/>
    <w:rsid w:val="00DD7020"/>
    <w:rsid w:val="00DD70CB"/>
    <w:rsid w:val="00DD7110"/>
    <w:rsid w:val="00DD7122"/>
    <w:rsid w:val="00DD71FD"/>
    <w:rsid w:val="00DD7460"/>
    <w:rsid w:val="00DD783F"/>
    <w:rsid w:val="00DD7840"/>
    <w:rsid w:val="00DD78A9"/>
    <w:rsid w:val="00DD7905"/>
    <w:rsid w:val="00DD7A83"/>
    <w:rsid w:val="00DD7A9C"/>
    <w:rsid w:val="00DD7BF7"/>
    <w:rsid w:val="00DD7CDA"/>
    <w:rsid w:val="00DD7D97"/>
    <w:rsid w:val="00DE0097"/>
    <w:rsid w:val="00DE0275"/>
    <w:rsid w:val="00DE0367"/>
    <w:rsid w:val="00DE0475"/>
    <w:rsid w:val="00DE0553"/>
    <w:rsid w:val="00DE05A4"/>
    <w:rsid w:val="00DE060B"/>
    <w:rsid w:val="00DE0801"/>
    <w:rsid w:val="00DE0A67"/>
    <w:rsid w:val="00DE0C7C"/>
    <w:rsid w:val="00DE0D0A"/>
    <w:rsid w:val="00DE1464"/>
    <w:rsid w:val="00DE17B1"/>
    <w:rsid w:val="00DE1801"/>
    <w:rsid w:val="00DE1841"/>
    <w:rsid w:val="00DE1A5F"/>
    <w:rsid w:val="00DE1A93"/>
    <w:rsid w:val="00DE1D03"/>
    <w:rsid w:val="00DE1D82"/>
    <w:rsid w:val="00DE23D4"/>
    <w:rsid w:val="00DE247E"/>
    <w:rsid w:val="00DE24CC"/>
    <w:rsid w:val="00DE24E0"/>
    <w:rsid w:val="00DE2650"/>
    <w:rsid w:val="00DE2896"/>
    <w:rsid w:val="00DE2A4C"/>
    <w:rsid w:val="00DE2BBA"/>
    <w:rsid w:val="00DE2BFE"/>
    <w:rsid w:val="00DE2F3F"/>
    <w:rsid w:val="00DE313E"/>
    <w:rsid w:val="00DE32D3"/>
    <w:rsid w:val="00DE34F3"/>
    <w:rsid w:val="00DE3515"/>
    <w:rsid w:val="00DE3552"/>
    <w:rsid w:val="00DE375E"/>
    <w:rsid w:val="00DE37C9"/>
    <w:rsid w:val="00DE3849"/>
    <w:rsid w:val="00DE3850"/>
    <w:rsid w:val="00DE38CB"/>
    <w:rsid w:val="00DE39CB"/>
    <w:rsid w:val="00DE39FD"/>
    <w:rsid w:val="00DE3B80"/>
    <w:rsid w:val="00DE3B8C"/>
    <w:rsid w:val="00DE3BBD"/>
    <w:rsid w:val="00DE3BCD"/>
    <w:rsid w:val="00DE3CDE"/>
    <w:rsid w:val="00DE3FA8"/>
    <w:rsid w:val="00DE3FBF"/>
    <w:rsid w:val="00DE400E"/>
    <w:rsid w:val="00DE4104"/>
    <w:rsid w:val="00DE4133"/>
    <w:rsid w:val="00DE440F"/>
    <w:rsid w:val="00DE442E"/>
    <w:rsid w:val="00DE4431"/>
    <w:rsid w:val="00DE4466"/>
    <w:rsid w:val="00DE4529"/>
    <w:rsid w:val="00DE4558"/>
    <w:rsid w:val="00DE47E3"/>
    <w:rsid w:val="00DE4934"/>
    <w:rsid w:val="00DE4B22"/>
    <w:rsid w:val="00DE4BC5"/>
    <w:rsid w:val="00DE4C4B"/>
    <w:rsid w:val="00DE4C7B"/>
    <w:rsid w:val="00DE4CB5"/>
    <w:rsid w:val="00DE4DB4"/>
    <w:rsid w:val="00DE50C1"/>
    <w:rsid w:val="00DE5303"/>
    <w:rsid w:val="00DE535A"/>
    <w:rsid w:val="00DE549E"/>
    <w:rsid w:val="00DE54A7"/>
    <w:rsid w:val="00DE54F0"/>
    <w:rsid w:val="00DE550E"/>
    <w:rsid w:val="00DE564D"/>
    <w:rsid w:val="00DE571C"/>
    <w:rsid w:val="00DE58FE"/>
    <w:rsid w:val="00DE5986"/>
    <w:rsid w:val="00DE5A9C"/>
    <w:rsid w:val="00DE5B73"/>
    <w:rsid w:val="00DE5BE1"/>
    <w:rsid w:val="00DE5CAA"/>
    <w:rsid w:val="00DE5F8B"/>
    <w:rsid w:val="00DE610E"/>
    <w:rsid w:val="00DE61AF"/>
    <w:rsid w:val="00DE6297"/>
    <w:rsid w:val="00DE639B"/>
    <w:rsid w:val="00DE63C4"/>
    <w:rsid w:val="00DE64DA"/>
    <w:rsid w:val="00DE663F"/>
    <w:rsid w:val="00DE66E8"/>
    <w:rsid w:val="00DE67B3"/>
    <w:rsid w:val="00DE68B0"/>
    <w:rsid w:val="00DE6C52"/>
    <w:rsid w:val="00DE6E1C"/>
    <w:rsid w:val="00DE6FA5"/>
    <w:rsid w:val="00DE714A"/>
    <w:rsid w:val="00DE7225"/>
    <w:rsid w:val="00DE7395"/>
    <w:rsid w:val="00DE743D"/>
    <w:rsid w:val="00DE7680"/>
    <w:rsid w:val="00DE76E6"/>
    <w:rsid w:val="00DE7720"/>
    <w:rsid w:val="00DE78E7"/>
    <w:rsid w:val="00DE7950"/>
    <w:rsid w:val="00DE7B82"/>
    <w:rsid w:val="00DE7BF6"/>
    <w:rsid w:val="00DE7C70"/>
    <w:rsid w:val="00DE7D2F"/>
    <w:rsid w:val="00DE7E13"/>
    <w:rsid w:val="00DE7F12"/>
    <w:rsid w:val="00DE7FCA"/>
    <w:rsid w:val="00DE7FCE"/>
    <w:rsid w:val="00DF0027"/>
    <w:rsid w:val="00DF0279"/>
    <w:rsid w:val="00DF029D"/>
    <w:rsid w:val="00DF02A7"/>
    <w:rsid w:val="00DF0315"/>
    <w:rsid w:val="00DF07ED"/>
    <w:rsid w:val="00DF088C"/>
    <w:rsid w:val="00DF0A3F"/>
    <w:rsid w:val="00DF0B05"/>
    <w:rsid w:val="00DF0B5C"/>
    <w:rsid w:val="00DF0C47"/>
    <w:rsid w:val="00DF0EC0"/>
    <w:rsid w:val="00DF0F7A"/>
    <w:rsid w:val="00DF11B3"/>
    <w:rsid w:val="00DF12CE"/>
    <w:rsid w:val="00DF142E"/>
    <w:rsid w:val="00DF14D4"/>
    <w:rsid w:val="00DF14E5"/>
    <w:rsid w:val="00DF168A"/>
    <w:rsid w:val="00DF18BB"/>
    <w:rsid w:val="00DF1928"/>
    <w:rsid w:val="00DF1B87"/>
    <w:rsid w:val="00DF1BB5"/>
    <w:rsid w:val="00DF1C21"/>
    <w:rsid w:val="00DF1C8C"/>
    <w:rsid w:val="00DF1F37"/>
    <w:rsid w:val="00DF1F58"/>
    <w:rsid w:val="00DF1FFD"/>
    <w:rsid w:val="00DF2000"/>
    <w:rsid w:val="00DF2008"/>
    <w:rsid w:val="00DF2272"/>
    <w:rsid w:val="00DF2273"/>
    <w:rsid w:val="00DF2334"/>
    <w:rsid w:val="00DF2341"/>
    <w:rsid w:val="00DF25BB"/>
    <w:rsid w:val="00DF2979"/>
    <w:rsid w:val="00DF2A8B"/>
    <w:rsid w:val="00DF2A97"/>
    <w:rsid w:val="00DF2B5F"/>
    <w:rsid w:val="00DF321F"/>
    <w:rsid w:val="00DF3535"/>
    <w:rsid w:val="00DF38B1"/>
    <w:rsid w:val="00DF39E2"/>
    <w:rsid w:val="00DF3A92"/>
    <w:rsid w:val="00DF3C5F"/>
    <w:rsid w:val="00DF3C7D"/>
    <w:rsid w:val="00DF3D08"/>
    <w:rsid w:val="00DF3FE2"/>
    <w:rsid w:val="00DF4384"/>
    <w:rsid w:val="00DF43CA"/>
    <w:rsid w:val="00DF4437"/>
    <w:rsid w:val="00DF4461"/>
    <w:rsid w:val="00DF4654"/>
    <w:rsid w:val="00DF4676"/>
    <w:rsid w:val="00DF48D6"/>
    <w:rsid w:val="00DF48F8"/>
    <w:rsid w:val="00DF494A"/>
    <w:rsid w:val="00DF4BD8"/>
    <w:rsid w:val="00DF4E5B"/>
    <w:rsid w:val="00DF4F00"/>
    <w:rsid w:val="00DF505E"/>
    <w:rsid w:val="00DF5068"/>
    <w:rsid w:val="00DF515C"/>
    <w:rsid w:val="00DF538F"/>
    <w:rsid w:val="00DF5415"/>
    <w:rsid w:val="00DF5533"/>
    <w:rsid w:val="00DF5590"/>
    <w:rsid w:val="00DF5623"/>
    <w:rsid w:val="00DF575E"/>
    <w:rsid w:val="00DF5803"/>
    <w:rsid w:val="00DF58C7"/>
    <w:rsid w:val="00DF5AF5"/>
    <w:rsid w:val="00DF5CD9"/>
    <w:rsid w:val="00DF5CDC"/>
    <w:rsid w:val="00DF601F"/>
    <w:rsid w:val="00DF6198"/>
    <w:rsid w:val="00DF61A2"/>
    <w:rsid w:val="00DF629E"/>
    <w:rsid w:val="00DF62C3"/>
    <w:rsid w:val="00DF6380"/>
    <w:rsid w:val="00DF6455"/>
    <w:rsid w:val="00DF6471"/>
    <w:rsid w:val="00DF66CD"/>
    <w:rsid w:val="00DF68E1"/>
    <w:rsid w:val="00DF69CA"/>
    <w:rsid w:val="00DF69D0"/>
    <w:rsid w:val="00DF6A0D"/>
    <w:rsid w:val="00DF6B60"/>
    <w:rsid w:val="00DF6BEA"/>
    <w:rsid w:val="00DF6C9E"/>
    <w:rsid w:val="00DF7103"/>
    <w:rsid w:val="00DF7190"/>
    <w:rsid w:val="00DF7331"/>
    <w:rsid w:val="00DF7441"/>
    <w:rsid w:val="00DF766C"/>
    <w:rsid w:val="00DF76DF"/>
    <w:rsid w:val="00DF77C2"/>
    <w:rsid w:val="00DF780F"/>
    <w:rsid w:val="00DF782A"/>
    <w:rsid w:val="00DF7983"/>
    <w:rsid w:val="00DF79C4"/>
    <w:rsid w:val="00DF7AA2"/>
    <w:rsid w:val="00DF7AC7"/>
    <w:rsid w:val="00DF7D26"/>
    <w:rsid w:val="00DF7E68"/>
    <w:rsid w:val="00DF7E72"/>
    <w:rsid w:val="00DF7FD2"/>
    <w:rsid w:val="00E00052"/>
    <w:rsid w:val="00E0009C"/>
    <w:rsid w:val="00E000B4"/>
    <w:rsid w:val="00E0013F"/>
    <w:rsid w:val="00E002F1"/>
    <w:rsid w:val="00E00352"/>
    <w:rsid w:val="00E00488"/>
    <w:rsid w:val="00E00710"/>
    <w:rsid w:val="00E00712"/>
    <w:rsid w:val="00E009A3"/>
    <w:rsid w:val="00E009A5"/>
    <w:rsid w:val="00E00B94"/>
    <w:rsid w:val="00E00C3C"/>
    <w:rsid w:val="00E00C6B"/>
    <w:rsid w:val="00E00D5B"/>
    <w:rsid w:val="00E00EF2"/>
    <w:rsid w:val="00E0108A"/>
    <w:rsid w:val="00E01150"/>
    <w:rsid w:val="00E01173"/>
    <w:rsid w:val="00E0138E"/>
    <w:rsid w:val="00E01538"/>
    <w:rsid w:val="00E015AC"/>
    <w:rsid w:val="00E017C1"/>
    <w:rsid w:val="00E01888"/>
    <w:rsid w:val="00E01917"/>
    <w:rsid w:val="00E01943"/>
    <w:rsid w:val="00E019A4"/>
    <w:rsid w:val="00E019B5"/>
    <w:rsid w:val="00E01B57"/>
    <w:rsid w:val="00E01D3A"/>
    <w:rsid w:val="00E01D49"/>
    <w:rsid w:val="00E01D8B"/>
    <w:rsid w:val="00E01E36"/>
    <w:rsid w:val="00E01E5A"/>
    <w:rsid w:val="00E01E76"/>
    <w:rsid w:val="00E01F64"/>
    <w:rsid w:val="00E01FA4"/>
    <w:rsid w:val="00E01FE3"/>
    <w:rsid w:val="00E022B3"/>
    <w:rsid w:val="00E025A7"/>
    <w:rsid w:val="00E0265D"/>
    <w:rsid w:val="00E0270B"/>
    <w:rsid w:val="00E0275F"/>
    <w:rsid w:val="00E02844"/>
    <w:rsid w:val="00E028B0"/>
    <w:rsid w:val="00E02916"/>
    <w:rsid w:val="00E029A3"/>
    <w:rsid w:val="00E029DD"/>
    <w:rsid w:val="00E02A8F"/>
    <w:rsid w:val="00E02B0C"/>
    <w:rsid w:val="00E02B19"/>
    <w:rsid w:val="00E02C58"/>
    <w:rsid w:val="00E02DFF"/>
    <w:rsid w:val="00E02F07"/>
    <w:rsid w:val="00E03083"/>
    <w:rsid w:val="00E03232"/>
    <w:rsid w:val="00E0342D"/>
    <w:rsid w:val="00E03541"/>
    <w:rsid w:val="00E03757"/>
    <w:rsid w:val="00E037F1"/>
    <w:rsid w:val="00E0381F"/>
    <w:rsid w:val="00E03869"/>
    <w:rsid w:val="00E039BE"/>
    <w:rsid w:val="00E03A8E"/>
    <w:rsid w:val="00E03AA3"/>
    <w:rsid w:val="00E03AF2"/>
    <w:rsid w:val="00E03C70"/>
    <w:rsid w:val="00E03D35"/>
    <w:rsid w:val="00E03D94"/>
    <w:rsid w:val="00E04035"/>
    <w:rsid w:val="00E0411C"/>
    <w:rsid w:val="00E04129"/>
    <w:rsid w:val="00E0413C"/>
    <w:rsid w:val="00E0414D"/>
    <w:rsid w:val="00E0419D"/>
    <w:rsid w:val="00E04209"/>
    <w:rsid w:val="00E04322"/>
    <w:rsid w:val="00E04347"/>
    <w:rsid w:val="00E04462"/>
    <w:rsid w:val="00E04625"/>
    <w:rsid w:val="00E04654"/>
    <w:rsid w:val="00E047ED"/>
    <w:rsid w:val="00E04804"/>
    <w:rsid w:val="00E04905"/>
    <w:rsid w:val="00E049DB"/>
    <w:rsid w:val="00E04DE6"/>
    <w:rsid w:val="00E04E22"/>
    <w:rsid w:val="00E04E3D"/>
    <w:rsid w:val="00E0504E"/>
    <w:rsid w:val="00E05098"/>
    <w:rsid w:val="00E050CE"/>
    <w:rsid w:val="00E052CC"/>
    <w:rsid w:val="00E053C1"/>
    <w:rsid w:val="00E05458"/>
    <w:rsid w:val="00E05476"/>
    <w:rsid w:val="00E05533"/>
    <w:rsid w:val="00E0579C"/>
    <w:rsid w:val="00E058B1"/>
    <w:rsid w:val="00E0598C"/>
    <w:rsid w:val="00E059C3"/>
    <w:rsid w:val="00E05A1A"/>
    <w:rsid w:val="00E05A98"/>
    <w:rsid w:val="00E05AAF"/>
    <w:rsid w:val="00E05C94"/>
    <w:rsid w:val="00E05D61"/>
    <w:rsid w:val="00E05E1A"/>
    <w:rsid w:val="00E05E1F"/>
    <w:rsid w:val="00E061F4"/>
    <w:rsid w:val="00E061F8"/>
    <w:rsid w:val="00E062B7"/>
    <w:rsid w:val="00E06792"/>
    <w:rsid w:val="00E067CC"/>
    <w:rsid w:val="00E06952"/>
    <w:rsid w:val="00E06AD0"/>
    <w:rsid w:val="00E06B62"/>
    <w:rsid w:val="00E06B68"/>
    <w:rsid w:val="00E06B6D"/>
    <w:rsid w:val="00E06BD4"/>
    <w:rsid w:val="00E06EC7"/>
    <w:rsid w:val="00E06F6A"/>
    <w:rsid w:val="00E06F7F"/>
    <w:rsid w:val="00E07084"/>
    <w:rsid w:val="00E07217"/>
    <w:rsid w:val="00E07416"/>
    <w:rsid w:val="00E079CC"/>
    <w:rsid w:val="00E07ABB"/>
    <w:rsid w:val="00E07B1F"/>
    <w:rsid w:val="00E07C3E"/>
    <w:rsid w:val="00E07DFD"/>
    <w:rsid w:val="00E07E16"/>
    <w:rsid w:val="00E07E58"/>
    <w:rsid w:val="00E07F68"/>
    <w:rsid w:val="00E07FB6"/>
    <w:rsid w:val="00E1007F"/>
    <w:rsid w:val="00E100D1"/>
    <w:rsid w:val="00E10287"/>
    <w:rsid w:val="00E1031A"/>
    <w:rsid w:val="00E104C6"/>
    <w:rsid w:val="00E106A2"/>
    <w:rsid w:val="00E109A3"/>
    <w:rsid w:val="00E109D5"/>
    <w:rsid w:val="00E10F87"/>
    <w:rsid w:val="00E1108E"/>
    <w:rsid w:val="00E115A0"/>
    <w:rsid w:val="00E115B7"/>
    <w:rsid w:val="00E115C4"/>
    <w:rsid w:val="00E115E9"/>
    <w:rsid w:val="00E117C5"/>
    <w:rsid w:val="00E11A45"/>
    <w:rsid w:val="00E11CCF"/>
    <w:rsid w:val="00E11F62"/>
    <w:rsid w:val="00E11FE1"/>
    <w:rsid w:val="00E1205E"/>
    <w:rsid w:val="00E12282"/>
    <w:rsid w:val="00E12294"/>
    <w:rsid w:val="00E122D4"/>
    <w:rsid w:val="00E12447"/>
    <w:rsid w:val="00E1251B"/>
    <w:rsid w:val="00E12683"/>
    <w:rsid w:val="00E126E7"/>
    <w:rsid w:val="00E12761"/>
    <w:rsid w:val="00E127BB"/>
    <w:rsid w:val="00E12853"/>
    <w:rsid w:val="00E12B91"/>
    <w:rsid w:val="00E12CDE"/>
    <w:rsid w:val="00E12F5F"/>
    <w:rsid w:val="00E1305B"/>
    <w:rsid w:val="00E13082"/>
    <w:rsid w:val="00E132D0"/>
    <w:rsid w:val="00E13389"/>
    <w:rsid w:val="00E1347B"/>
    <w:rsid w:val="00E134F8"/>
    <w:rsid w:val="00E134FF"/>
    <w:rsid w:val="00E136C5"/>
    <w:rsid w:val="00E13771"/>
    <w:rsid w:val="00E1381D"/>
    <w:rsid w:val="00E13853"/>
    <w:rsid w:val="00E138DB"/>
    <w:rsid w:val="00E13AA6"/>
    <w:rsid w:val="00E13AD5"/>
    <w:rsid w:val="00E13B40"/>
    <w:rsid w:val="00E13DE4"/>
    <w:rsid w:val="00E13E34"/>
    <w:rsid w:val="00E13E94"/>
    <w:rsid w:val="00E13F23"/>
    <w:rsid w:val="00E1405B"/>
    <w:rsid w:val="00E140C7"/>
    <w:rsid w:val="00E140E4"/>
    <w:rsid w:val="00E140ED"/>
    <w:rsid w:val="00E141A1"/>
    <w:rsid w:val="00E14437"/>
    <w:rsid w:val="00E1445B"/>
    <w:rsid w:val="00E14605"/>
    <w:rsid w:val="00E1465F"/>
    <w:rsid w:val="00E14671"/>
    <w:rsid w:val="00E147FD"/>
    <w:rsid w:val="00E149B5"/>
    <w:rsid w:val="00E14A45"/>
    <w:rsid w:val="00E14B33"/>
    <w:rsid w:val="00E14B4A"/>
    <w:rsid w:val="00E14D72"/>
    <w:rsid w:val="00E14D73"/>
    <w:rsid w:val="00E14E4A"/>
    <w:rsid w:val="00E14E9C"/>
    <w:rsid w:val="00E14FA5"/>
    <w:rsid w:val="00E14FC7"/>
    <w:rsid w:val="00E14FD8"/>
    <w:rsid w:val="00E1506A"/>
    <w:rsid w:val="00E151A7"/>
    <w:rsid w:val="00E151AF"/>
    <w:rsid w:val="00E1532E"/>
    <w:rsid w:val="00E154B4"/>
    <w:rsid w:val="00E15591"/>
    <w:rsid w:val="00E155C6"/>
    <w:rsid w:val="00E15654"/>
    <w:rsid w:val="00E15803"/>
    <w:rsid w:val="00E15804"/>
    <w:rsid w:val="00E1593A"/>
    <w:rsid w:val="00E159EC"/>
    <w:rsid w:val="00E15A26"/>
    <w:rsid w:val="00E15B4C"/>
    <w:rsid w:val="00E15BB3"/>
    <w:rsid w:val="00E15BBB"/>
    <w:rsid w:val="00E15BE6"/>
    <w:rsid w:val="00E15C34"/>
    <w:rsid w:val="00E15CB5"/>
    <w:rsid w:val="00E15D86"/>
    <w:rsid w:val="00E16015"/>
    <w:rsid w:val="00E16059"/>
    <w:rsid w:val="00E160BA"/>
    <w:rsid w:val="00E16208"/>
    <w:rsid w:val="00E1625C"/>
    <w:rsid w:val="00E162FC"/>
    <w:rsid w:val="00E16330"/>
    <w:rsid w:val="00E166F5"/>
    <w:rsid w:val="00E167EF"/>
    <w:rsid w:val="00E1680D"/>
    <w:rsid w:val="00E16A45"/>
    <w:rsid w:val="00E16B53"/>
    <w:rsid w:val="00E16C37"/>
    <w:rsid w:val="00E16EE5"/>
    <w:rsid w:val="00E16F13"/>
    <w:rsid w:val="00E16FD1"/>
    <w:rsid w:val="00E17122"/>
    <w:rsid w:val="00E17359"/>
    <w:rsid w:val="00E17379"/>
    <w:rsid w:val="00E174D1"/>
    <w:rsid w:val="00E17520"/>
    <w:rsid w:val="00E175C3"/>
    <w:rsid w:val="00E17653"/>
    <w:rsid w:val="00E17660"/>
    <w:rsid w:val="00E17706"/>
    <w:rsid w:val="00E1771A"/>
    <w:rsid w:val="00E17725"/>
    <w:rsid w:val="00E1777D"/>
    <w:rsid w:val="00E17836"/>
    <w:rsid w:val="00E17A5B"/>
    <w:rsid w:val="00E17ABC"/>
    <w:rsid w:val="00E17C19"/>
    <w:rsid w:val="00E17D59"/>
    <w:rsid w:val="00E17EE3"/>
    <w:rsid w:val="00E17F27"/>
    <w:rsid w:val="00E201AA"/>
    <w:rsid w:val="00E20720"/>
    <w:rsid w:val="00E207A6"/>
    <w:rsid w:val="00E207BB"/>
    <w:rsid w:val="00E207C3"/>
    <w:rsid w:val="00E207D9"/>
    <w:rsid w:val="00E2087A"/>
    <w:rsid w:val="00E20A64"/>
    <w:rsid w:val="00E20A74"/>
    <w:rsid w:val="00E20B6A"/>
    <w:rsid w:val="00E20BB7"/>
    <w:rsid w:val="00E20BE5"/>
    <w:rsid w:val="00E20CB5"/>
    <w:rsid w:val="00E20D1A"/>
    <w:rsid w:val="00E20E20"/>
    <w:rsid w:val="00E21052"/>
    <w:rsid w:val="00E21121"/>
    <w:rsid w:val="00E211A6"/>
    <w:rsid w:val="00E213FE"/>
    <w:rsid w:val="00E214E8"/>
    <w:rsid w:val="00E215F2"/>
    <w:rsid w:val="00E2164A"/>
    <w:rsid w:val="00E21710"/>
    <w:rsid w:val="00E219CE"/>
    <w:rsid w:val="00E219E4"/>
    <w:rsid w:val="00E21BB1"/>
    <w:rsid w:val="00E21C00"/>
    <w:rsid w:val="00E21C81"/>
    <w:rsid w:val="00E21CC5"/>
    <w:rsid w:val="00E21D52"/>
    <w:rsid w:val="00E220B6"/>
    <w:rsid w:val="00E220BD"/>
    <w:rsid w:val="00E22153"/>
    <w:rsid w:val="00E22226"/>
    <w:rsid w:val="00E22246"/>
    <w:rsid w:val="00E2226E"/>
    <w:rsid w:val="00E22439"/>
    <w:rsid w:val="00E226A7"/>
    <w:rsid w:val="00E22831"/>
    <w:rsid w:val="00E229CF"/>
    <w:rsid w:val="00E22A44"/>
    <w:rsid w:val="00E22ABA"/>
    <w:rsid w:val="00E22D0B"/>
    <w:rsid w:val="00E22DF7"/>
    <w:rsid w:val="00E23068"/>
    <w:rsid w:val="00E23140"/>
    <w:rsid w:val="00E23480"/>
    <w:rsid w:val="00E23534"/>
    <w:rsid w:val="00E236AD"/>
    <w:rsid w:val="00E23754"/>
    <w:rsid w:val="00E237CE"/>
    <w:rsid w:val="00E238FD"/>
    <w:rsid w:val="00E2391B"/>
    <w:rsid w:val="00E23925"/>
    <w:rsid w:val="00E2392B"/>
    <w:rsid w:val="00E239C1"/>
    <w:rsid w:val="00E23B01"/>
    <w:rsid w:val="00E23B18"/>
    <w:rsid w:val="00E23BA7"/>
    <w:rsid w:val="00E23C56"/>
    <w:rsid w:val="00E23EF9"/>
    <w:rsid w:val="00E24079"/>
    <w:rsid w:val="00E241F5"/>
    <w:rsid w:val="00E242C1"/>
    <w:rsid w:val="00E245F3"/>
    <w:rsid w:val="00E246DD"/>
    <w:rsid w:val="00E249FB"/>
    <w:rsid w:val="00E24C19"/>
    <w:rsid w:val="00E24D07"/>
    <w:rsid w:val="00E24ECC"/>
    <w:rsid w:val="00E2500F"/>
    <w:rsid w:val="00E25165"/>
    <w:rsid w:val="00E251A3"/>
    <w:rsid w:val="00E251BD"/>
    <w:rsid w:val="00E25251"/>
    <w:rsid w:val="00E25349"/>
    <w:rsid w:val="00E254B8"/>
    <w:rsid w:val="00E25510"/>
    <w:rsid w:val="00E2586D"/>
    <w:rsid w:val="00E258C6"/>
    <w:rsid w:val="00E25AE9"/>
    <w:rsid w:val="00E25BA0"/>
    <w:rsid w:val="00E25C8E"/>
    <w:rsid w:val="00E25EAA"/>
    <w:rsid w:val="00E25EB4"/>
    <w:rsid w:val="00E25EEB"/>
    <w:rsid w:val="00E25F1B"/>
    <w:rsid w:val="00E2620A"/>
    <w:rsid w:val="00E2636E"/>
    <w:rsid w:val="00E26508"/>
    <w:rsid w:val="00E2683B"/>
    <w:rsid w:val="00E26855"/>
    <w:rsid w:val="00E26A4A"/>
    <w:rsid w:val="00E26A8B"/>
    <w:rsid w:val="00E26BAF"/>
    <w:rsid w:val="00E26FB9"/>
    <w:rsid w:val="00E27037"/>
    <w:rsid w:val="00E2706C"/>
    <w:rsid w:val="00E27214"/>
    <w:rsid w:val="00E2728E"/>
    <w:rsid w:val="00E272B2"/>
    <w:rsid w:val="00E273E9"/>
    <w:rsid w:val="00E275F0"/>
    <w:rsid w:val="00E279BF"/>
    <w:rsid w:val="00E279C8"/>
    <w:rsid w:val="00E279D7"/>
    <w:rsid w:val="00E27A8B"/>
    <w:rsid w:val="00E27ADF"/>
    <w:rsid w:val="00E27C8C"/>
    <w:rsid w:val="00E27DB7"/>
    <w:rsid w:val="00E27DBC"/>
    <w:rsid w:val="00E27F2E"/>
    <w:rsid w:val="00E30057"/>
    <w:rsid w:val="00E300FD"/>
    <w:rsid w:val="00E301EC"/>
    <w:rsid w:val="00E301F1"/>
    <w:rsid w:val="00E30314"/>
    <w:rsid w:val="00E30385"/>
    <w:rsid w:val="00E3057F"/>
    <w:rsid w:val="00E3059E"/>
    <w:rsid w:val="00E309AF"/>
    <w:rsid w:val="00E30A01"/>
    <w:rsid w:val="00E30A79"/>
    <w:rsid w:val="00E30B93"/>
    <w:rsid w:val="00E30BFE"/>
    <w:rsid w:val="00E30CE4"/>
    <w:rsid w:val="00E30D54"/>
    <w:rsid w:val="00E30DDE"/>
    <w:rsid w:val="00E30DF3"/>
    <w:rsid w:val="00E30FF7"/>
    <w:rsid w:val="00E31001"/>
    <w:rsid w:val="00E31026"/>
    <w:rsid w:val="00E310C1"/>
    <w:rsid w:val="00E31167"/>
    <w:rsid w:val="00E31201"/>
    <w:rsid w:val="00E312D1"/>
    <w:rsid w:val="00E31556"/>
    <w:rsid w:val="00E31714"/>
    <w:rsid w:val="00E31752"/>
    <w:rsid w:val="00E318E0"/>
    <w:rsid w:val="00E318E8"/>
    <w:rsid w:val="00E319A5"/>
    <w:rsid w:val="00E319C9"/>
    <w:rsid w:val="00E31A13"/>
    <w:rsid w:val="00E31A4C"/>
    <w:rsid w:val="00E31A4E"/>
    <w:rsid w:val="00E31B27"/>
    <w:rsid w:val="00E31CDC"/>
    <w:rsid w:val="00E31D39"/>
    <w:rsid w:val="00E31DD4"/>
    <w:rsid w:val="00E31E2B"/>
    <w:rsid w:val="00E31ECE"/>
    <w:rsid w:val="00E31FFB"/>
    <w:rsid w:val="00E320A5"/>
    <w:rsid w:val="00E321D7"/>
    <w:rsid w:val="00E322E7"/>
    <w:rsid w:val="00E323AF"/>
    <w:rsid w:val="00E32482"/>
    <w:rsid w:val="00E324DC"/>
    <w:rsid w:val="00E32615"/>
    <w:rsid w:val="00E32637"/>
    <w:rsid w:val="00E3264A"/>
    <w:rsid w:val="00E3266E"/>
    <w:rsid w:val="00E3268E"/>
    <w:rsid w:val="00E3270B"/>
    <w:rsid w:val="00E32883"/>
    <w:rsid w:val="00E329A1"/>
    <w:rsid w:val="00E32A5E"/>
    <w:rsid w:val="00E32BE9"/>
    <w:rsid w:val="00E32C02"/>
    <w:rsid w:val="00E32E5B"/>
    <w:rsid w:val="00E32F63"/>
    <w:rsid w:val="00E32FAA"/>
    <w:rsid w:val="00E3303D"/>
    <w:rsid w:val="00E330D6"/>
    <w:rsid w:val="00E331FD"/>
    <w:rsid w:val="00E33201"/>
    <w:rsid w:val="00E33278"/>
    <w:rsid w:val="00E33526"/>
    <w:rsid w:val="00E3361F"/>
    <w:rsid w:val="00E337BF"/>
    <w:rsid w:val="00E33A32"/>
    <w:rsid w:val="00E33A5D"/>
    <w:rsid w:val="00E33C69"/>
    <w:rsid w:val="00E33C77"/>
    <w:rsid w:val="00E33CCA"/>
    <w:rsid w:val="00E33CF6"/>
    <w:rsid w:val="00E33D32"/>
    <w:rsid w:val="00E33D46"/>
    <w:rsid w:val="00E33E9D"/>
    <w:rsid w:val="00E33ECE"/>
    <w:rsid w:val="00E33F6E"/>
    <w:rsid w:val="00E33FB5"/>
    <w:rsid w:val="00E340D9"/>
    <w:rsid w:val="00E3416D"/>
    <w:rsid w:val="00E34203"/>
    <w:rsid w:val="00E34209"/>
    <w:rsid w:val="00E34264"/>
    <w:rsid w:val="00E3431F"/>
    <w:rsid w:val="00E3432A"/>
    <w:rsid w:val="00E343AF"/>
    <w:rsid w:val="00E343DC"/>
    <w:rsid w:val="00E34436"/>
    <w:rsid w:val="00E3457A"/>
    <w:rsid w:val="00E345BA"/>
    <w:rsid w:val="00E345C2"/>
    <w:rsid w:val="00E346A2"/>
    <w:rsid w:val="00E34844"/>
    <w:rsid w:val="00E34930"/>
    <w:rsid w:val="00E34B12"/>
    <w:rsid w:val="00E34B42"/>
    <w:rsid w:val="00E34B8B"/>
    <w:rsid w:val="00E34CDC"/>
    <w:rsid w:val="00E34D83"/>
    <w:rsid w:val="00E34D9D"/>
    <w:rsid w:val="00E34EB5"/>
    <w:rsid w:val="00E34EE4"/>
    <w:rsid w:val="00E34F55"/>
    <w:rsid w:val="00E3514E"/>
    <w:rsid w:val="00E35165"/>
    <w:rsid w:val="00E35273"/>
    <w:rsid w:val="00E3537C"/>
    <w:rsid w:val="00E35549"/>
    <w:rsid w:val="00E35573"/>
    <w:rsid w:val="00E3559D"/>
    <w:rsid w:val="00E356CA"/>
    <w:rsid w:val="00E357F4"/>
    <w:rsid w:val="00E358F6"/>
    <w:rsid w:val="00E35B52"/>
    <w:rsid w:val="00E35D7C"/>
    <w:rsid w:val="00E35E17"/>
    <w:rsid w:val="00E35F08"/>
    <w:rsid w:val="00E35F74"/>
    <w:rsid w:val="00E3602B"/>
    <w:rsid w:val="00E36139"/>
    <w:rsid w:val="00E36184"/>
    <w:rsid w:val="00E3619F"/>
    <w:rsid w:val="00E3622A"/>
    <w:rsid w:val="00E36298"/>
    <w:rsid w:val="00E362DC"/>
    <w:rsid w:val="00E3644A"/>
    <w:rsid w:val="00E364FB"/>
    <w:rsid w:val="00E36504"/>
    <w:rsid w:val="00E365D1"/>
    <w:rsid w:val="00E36A6A"/>
    <w:rsid w:val="00E36B16"/>
    <w:rsid w:val="00E36E05"/>
    <w:rsid w:val="00E36E39"/>
    <w:rsid w:val="00E36FBA"/>
    <w:rsid w:val="00E372FA"/>
    <w:rsid w:val="00E373B8"/>
    <w:rsid w:val="00E373E5"/>
    <w:rsid w:val="00E37513"/>
    <w:rsid w:val="00E37526"/>
    <w:rsid w:val="00E37631"/>
    <w:rsid w:val="00E376CA"/>
    <w:rsid w:val="00E376DB"/>
    <w:rsid w:val="00E3777E"/>
    <w:rsid w:val="00E37819"/>
    <w:rsid w:val="00E37822"/>
    <w:rsid w:val="00E37A9D"/>
    <w:rsid w:val="00E37BBC"/>
    <w:rsid w:val="00E37D8F"/>
    <w:rsid w:val="00E37F12"/>
    <w:rsid w:val="00E40065"/>
    <w:rsid w:val="00E40139"/>
    <w:rsid w:val="00E40153"/>
    <w:rsid w:val="00E401D7"/>
    <w:rsid w:val="00E40306"/>
    <w:rsid w:val="00E403D2"/>
    <w:rsid w:val="00E404E2"/>
    <w:rsid w:val="00E4064F"/>
    <w:rsid w:val="00E406F2"/>
    <w:rsid w:val="00E40A92"/>
    <w:rsid w:val="00E40AC8"/>
    <w:rsid w:val="00E40ACD"/>
    <w:rsid w:val="00E40B77"/>
    <w:rsid w:val="00E40BC2"/>
    <w:rsid w:val="00E40C2F"/>
    <w:rsid w:val="00E40D33"/>
    <w:rsid w:val="00E40EBB"/>
    <w:rsid w:val="00E40F32"/>
    <w:rsid w:val="00E41008"/>
    <w:rsid w:val="00E410AC"/>
    <w:rsid w:val="00E410F0"/>
    <w:rsid w:val="00E41244"/>
    <w:rsid w:val="00E412F0"/>
    <w:rsid w:val="00E41334"/>
    <w:rsid w:val="00E41389"/>
    <w:rsid w:val="00E41516"/>
    <w:rsid w:val="00E415E8"/>
    <w:rsid w:val="00E41665"/>
    <w:rsid w:val="00E416E1"/>
    <w:rsid w:val="00E417F3"/>
    <w:rsid w:val="00E41803"/>
    <w:rsid w:val="00E4186E"/>
    <w:rsid w:val="00E418DC"/>
    <w:rsid w:val="00E4193F"/>
    <w:rsid w:val="00E41962"/>
    <w:rsid w:val="00E41BA5"/>
    <w:rsid w:val="00E41E34"/>
    <w:rsid w:val="00E423C8"/>
    <w:rsid w:val="00E425AF"/>
    <w:rsid w:val="00E42715"/>
    <w:rsid w:val="00E42873"/>
    <w:rsid w:val="00E428AE"/>
    <w:rsid w:val="00E42A60"/>
    <w:rsid w:val="00E42A7A"/>
    <w:rsid w:val="00E42B4B"/>
    <w:rsid w:val="00E42BA2"/>
    <w:rsid w:val="00E42CDB"/>
    <w:rsid w:val="00E42DEF"/>
    <w:rsid w:val="00E42E0C"/>
    <w:rsid w:val="00E42F12"/>
    <w:rsid w:val="00E43295"/>
    <w:rsid w:val="00E4360C"/>
    <w:rsid w:val="00E43622"/>
    <w:rsid w:val="00E43674"/>
    <w:rsid w:val="00E4369E"/>
    <w:rsid w:val="00E436AF"/>
    <w:rsid w:val="00E4382C"/>
    <w:rsid w:val="00E43B80"/>
    <w:rsid w:val="00E43C1B"/>
    <w:rsid w:val="00E43C20"/>
    <w:rsid w:val="00E43C37"/>
    <w:rsid w:val="00E43F62"/>
    <w:rsid w:val="00E43FF8"/>
    <w:rsid w:val="00E441E8"/>
    <w:rsid w:val="00E441FA"/>
    <w:rsid w:val="00E44255"/>
    <w:rsid w:val="00E442F2"/>
    <w:rsid w:val="00E442F7"/>
    <w:rsid w:val="00E4434F"/>
    <w:rsid w:val="00E4451A"/>
    <w:rsid w:val="00E44534"/>
    <w:rsid w:val="00E4479E"/>
    <w:rsid w:val="00E44862"/>
    <w:rsid w:val="00E44B24"/>
    <w:rsid w:val="00E44B8A"/>
    <w:rsid w:val="00E44D23"/>
    <w:rsid w:val="00E4505B"/>
    <w:rsid w:val="00E45352"/>
    <w:rsid w:val="00E4543B"/>
    <w:rsid w:val="00E45617"/>
    <w:rsid w:val="00E456B0"/>
    <w:rsid w:val="00E45833"/>
    <w:rsid w:val="00E458C6"/>
    <w:rsid w:val="00E45929"/>
    <w:rsid w:val="00E45A79"/>
    <w:rsid w:val="00E45B2E"/>
    <w:rsid w:val="00E45B43"/>
    <w:rsid w:val="00E45C3C"/>
    <w:rsid w:val="00E45CAA"/>
    <w:rsid w:val="00E45D74"/>
    <w:rsid w:val="00E45E38"/>
    <w:rsid w:val="00E45EC8"/>
    <w:rsid w:val="00E45EDD"/>
    <w:rsid w:val="00E4602E"/>
    <w:rsid w:val="00E46053"/>
    <w:rsid w:val="00E460F8"/>
    <w:rsid w:val="00E4641F"/>
    <w:rsid w:val="00E464A0"/>
    <w:rsid w:val="00E466D4"/>
    <w:rsid w:val="00E46749"/>
    <w:rsid w:val="00E46905"/>
    <w:rsid w:val="00E46C84"/>
    <w:rsid w:val="00E46F3E"/>
    <w:rsid w:val="00E470C0"/>
    <w:rsid w:val="00E47209"/>
    <w:rsid w:val="00E47275"/>
    <w:rsid w:val="00E4739C"/>
    <w:rsid w:val="00E47463"/>
    <w:rsid w:val="00E47625"/>
    <w:rsid w:val="00E47875"/>
    <w:rsid w:val="00E47A05"/>
    <w:rsid w:val="00E47D4D"/>
    <w:rsid w:val="00E47E88"/>
    <w:rsid w:val="00E47EA5"/>
    <w:rsid w:val="00E47F3B"/>
    <w:rsid w:val="00E47F5A"/>
    <w:rsid w:val="00E47F9A"/>
    <w:rsid w:val="00E5003E"/>
    <w:rsid w:val="00E500A6"/>
    <w:rsid w:val="00E50469"/>
    <w:rsid w:val="00E5057F"/>
    <w:rsid w:val="00E50597"/>
    <w:rsid w:val="00E5069E"/>
    <w:rsid w:val="00E506AE"/>
    <w:rsid w:val="00E506C5"/>
    <w:rsid w:val="00E507E6"/>
    <w:rsid w:val="00E50994"/>
    <w:rsid w:val="00E50A18"/>
    <w:rsid w:val="00E50AD1"/>
    <w:rsid w:val="00E50B06"/>
    <w:rsid w:val="00E50B72"/>
    <w:rsid w:val="00E50BA3"/>
    <w:rsid w:val="00E50C5E"/>
    <w:rsid w:val="00E50E4F"/>
    <w:rsid w:val="00E50F23"/>
    <w:rsid w:val="00E511B5"/>
    <w:rsid w:val="00E512B7"/>
    <w:rsid w:val="00E5135E"/>
    <w:rsid w:val="00E51385"/>
    <w:rsid w:val="00E514AC"/>
    <w:rsid w:val="00E51807"/>
    <w:rsid w:val="00E51883"/>
    <w:rsid w:val="00E519AB"/>
    <w:rsid w:val="00E51AE1"/>
    <w:rsid w:val="00E51C05"/>
    <w:rsid w:val="00E51D31"/>
    <w:rsid w:val="00E51E34"/>
    <w:rsid w:val="00E51E8A"/>
    <w:rsid w:val="00E51FD1"/>
    <w:rsid w:val="00E520E2"/>
    <w:rsid w:val="00E52175"/>
    <w:rsid w:val="00E521A6"/>
    <w:rsid w:val="00E522D6"/>
    <w:rsid w:val="00E5234E"/>
    <w:rsid w:val="00E5236B"/>
    <w:rsid w:val="00E52459"/>
    <w:rsid w:val="00E5247A"/>
    <w:rsid w:val="00E52517"/>
    <w:rsid w:val="00E525EC"/>
    <w:rsid w:val="00E526E3"/>
    <w:rsid w:val="00E526EC"/>
    <w:rsid w:val="00E526F5"/>
    <w:rsid w:val="00E52761"/>
    <w:rsid w:val="00E5288D"/>
    <w:rsid w:val="00E528F5"/>
    <w:rsid w:val="00E52928"/>
    <w:rsid w:val="00E529F8"/>
    <w:rsid w:val="00E52A90"/>
    <w:rsid w:val="00E52ABF"/>
    <w:rsid w:val="00E52BDE"/>
    <w:rsid w:val="00E52CED"/>
    <w:rsid w:val="00E52D31"/>
    <w:rsid w:val="00E52E5C"/>
    <w:rsid w:val="00E52EB2"/>
    <w:rsid w:val="00E5308C"/>
    <w:rsid w:val="00E531D4"/>
    <w:rsid w:val="00E53242"/>
    <w:rsid w:val="00E5325E"/>
    <w:rsid w:val="00E53381"/>
    <w:rsid w:val="00E53391"/>
    <w:rsid w:val="00E533AC"/>
    <w:rsid w:val="00E534DD"/>
    <w:rsid w:val="00E5392A"/>
    <w:rsid w:val="00E53A03"/>
    <w:rsid w:val="00E53A68"/>
    <w:rsid w:val="00E53BFA"/>
    <w:rsid w:val="00E53C77"/>
    <w:rsid w:val="00E53CEA"/>
    <w:rsid w:val="00E53E15"/>
    <w:rsid w:val="00E53F1D"/>
    <w:rsid w:val="00E540A9"/>
    <w:rsid w:val="00E543D2"/>
    <w:rsid w:val="00E54537"/>
    <w:rsid w:val="00E546F2"/>
    <w:rsid w:val="00E54989"/>
    <w:rsid w:val="00E549A0"/>
    <w:rsid w:val="00E54B47"/>
    <w:rsid w:val="00E54DB0"/>
    <w:rsid w:val="00E54EEB"/>
    <w:rsid w:val="00E54F05"/>
    <w:rsid w:val="00E5505B"/>
    <w:rsid w:val="00E552EF"/>
    <w:rsid w:val="00E5530E"/>
    <w:rsid w:val="00E553F4"/>
    <w:rsid w:val="00E55479"/>
    <w:rsid w:val="00E555F8"/>
    <w:rsid w:val="00E557F9"/>
    <w:rsid w:val="00E55834"/>
    <w:rsid w:val="00E558BE"/>
    <w:rsid w:val="00E558D4"/>
    <w:rsid w:val="00E55986"/>
    <w:rsid w:val="00E559EA"/>
    <w:rsid w:val="00E55A55"/>
    <w:rsid w:val="00E55C2D"/>
    <w:rsid w:val="00E55DEF"/>
    <w:rsid w:val="00E55F25"/>
    <w:rsid w:val="00E55FBF"/>
    <w:rsid w:val="00E56169"/>
    <w:rsid w:val="00E561F3"/>
    <w:rsid w:val="00E56211"/>
    <w:rsid w:val="00E565C8"/>
    <w:rsid w:val="00E565DD"/>
    <w:rsid w:val="00E565E0"/>
    <w:rsid w:val="00E566AE"/>
    <w:rsid w:val="00E56807"/>
    <w:rsid w:val="00E569E2"/>
    <w:rsid w:val="00E569E4"/>
    <w:rsid w:val="00E56BCE"/>
    <w:rsid w:val="00E56CB2"/>
    <w:rsid w:val="00E5733D"/>
    <w:rsid w:val="00E57521"/>
    <w:rsid w:val="00E57606"/>
    <w:rsid w:val="00E57672"/>
    <w:rsid w:val="00E57925"/>
    <w:rsid w:val="00E57B1F"/>
    <w:rsid w:val="00E57B35"/>
    <w:rsid w:val="00E57C77"/>
    <w:rsid w:val="00E57C85"/>
    <w:rsid w:val="00E57CCF"/>
    <w:rsid w:val="00E57DD5"/>
    <w:rsid w:val="00E57F08"/>
    <w:rsid w:val="00E57F63"/>
    <w:rsid w:val="00E60066"/>
    <w:rsid w:val="00E600FB"/>
    <w:rsid w:val="00E604C2"/>
    <w:rsid w:val="00E604CE"/>
    <w:rsid w:val="00E60522"/>
    <w:rsid w:val="00E60591"/>
    <w:rsid w:val="00E6059C"/>
    <w:rsid w:val="00E605F1"/>
    <w:rsid w:val="00E60776"/>
    <w:rsid w:val="00E6097A"/>
    <w:rsid w:val="00E60A05"/>
    <w:rsid w:val="00E60AE6"/>
    <w:rsid w:val="00E60B25"/>
    <w:rsid w:val="00E60BC1"/>
    <w:rsid w:val="00E61081"/>
    <w:rsid w:val="00E61338"/>
    <w:rsid w:val="00E61422"/>
    <w:rsid w:val="00E61427"/>
    <w:rsid w:val="00E61486"/>
    <w:rsid w:val="00E614E3"/>
    <w:rsid w:val="00E61503"/>
    <w:rsid w:val="00E617C4"/>
    <w:rsid w:val="00E61881"/>
    <w:rsid w:val="00E618A9"/>
    <w:rsid w:val="00E61B03"/>
    <w:rsid w:val="00E61D18"/>
    <w:rsid w:val="00E61D22"/>
    <w:rsid w:val="00E61D87"/>
    <w:rsid w:val="00E61D99"/>
    <w:rsid w:val="00E61E0C"/>
    <w:rsid w:val="00E61E19"/>
    <w:rsid w:val="00E61F26"/>
    <w:rsid w:val="00E62017"/>
    <w:rsid w:val="00E6202C"/>
    <w:rsid w:val="00E620BE"/>
    <w:rsid w:val="00E62246"/>
    <w:rsid w:val="00E62324"/>
    <w:rsid w:val="00E62628"/>
    <w:rsid w:val="00E626A9"/>
    <w:rsid w:val="00E62744"/>
    <w:rsid w:val="00E6281C"/>
    <w:rsid w:val="00E62835"/>
    <w:rsid w:val="00E62856"/>
    <w:rsid w:val="00E62870"/>
    <w:rsid w:val="00E62880"/>
    <w:rsid w:val="00E62954"/>
    <w:rsid w:val="00E62961"/>
    <w:rsid w:val="00E6298A"/>
    <w:rsid w:val="00E62A2A"/>
    <w:rsid w:val="00E62E61"/>
    <w:rsid w:val="00E6319E"/>
    <w:rsid w:val="00E631C1"/>
    <w:rsid w:val="00E632A0"/>
    <w:rsid w:val="00E633F1"/>
    <w:rsid w:val="00E636F0"/>
    <w:rsid w:val="00E63A8A"/>
    <w:rsid w:val="00E63B54"/>
    <w:rsid w:val="00E63B71"/>
    <w:rsid w:val="00E63D1F"/>
    <w:rsid w:val="00E63F44"/>
    <w:rsid w:val="00E63F9C"/>
    <w:rsid w:val="00E640B9"/>
    <w:rsid w:val="00E64162"/>
    <w:rsid w:val="00E641EE"/>
    <w:rsid w:val="00E642B5"/>
    <w:rsid w:val="00E643D8"/>
    <w:rsid w:val="00E64562"/>
    <w:rsid w:val="00E64604"/>
    <w:rsid w:val="00E64629"/>
    <w:rsid w:val="00E64663"/>
    <w:rsid w:val="00E6469A"/>
    <w:rsid w:val="00E64733"/>
    <w:rsid w:val="00E6479D"/>
    <w:rsid w:val="00E647DD"/>
    <w:rsid w:val="00E6481C"/>
    <w:rsid w:val="00E64916"/>
    <w:rsid w:val="00E64919"/>
    <w:rsid w:val="00E649B4"/>
    <w:rsid w:val="00E64C7F"/>
    <w:rsid w:val="00E64E0A"/>
    <w:rsid w:val="00E64F5A"/>
    <w:rsid w:val="00E64F7E"/>
    <w:rsid w:val="00E651F8"/>
    <w:rsid w:val="00E6527E"/>
    <w:rsid w:val="00E653AD"/>
    <w:rsid w:val="00E65410"/>
    <w:rsid w:val="00E6552F"/>
    <w:rsid w:val="00E6554C"/>
    <w:rsid w:val="00E655A6"/>
    <w:rsid w:val="00E6579B"/>
    <w:rsid w:val="00E65901"/>
    <w:rsid w:val="00E65BB4"/>
    <w:rsid w:val="00E65BCC"/>
    <w:rsid w:val="00E65CBE"/>
    <w:rsid w:val="00E65D15"/>
    <w:rsid w:val="00E66156"/>
    <w:rsid w:val="00E66393"/>
    <w:rsid w:val="00E664ED"/>
    <w:rsid w:val="00E668B7"/>
    <w:rsid w:val="00E668E4"/>
    <w:rsid w:val="00E669C5"/>
    <w:rsid w:val="00E66AB3"/>
    <w:rsid w:val="00E66B11"/>
    <w:rsid w:val="00E66B41"/>
    <w:rsid w:val="00E66B71"/>
    <w:rsid w:val="00E66CB4"/>
    <w:rsid w:val="00E66D1B"/>
    <w:rsid w:val="00E66DBE"/>
    <w:rsid w:val="00E66E9F"/>
    <w:rsid w:val="00E66ED0"/>
    <w:rsid w:val="00E67125"/>
    <w:rsid w:val="00E67188"/>
    <w:rsid w:val="00E671EA"/>
    <w:rsid w:val="00E6724E"/>
    <w:rsid w:val="00E672DC"/>
    <w:rsid w:val="00E67317"/>
    <w:rsid w:val="00E6742A"/>
    <w:rsid w:val="00E67608"/>
    <w:rsid w:val="00E67618"/>
    <w:rsid w:val="00E676CE"/>
    <w:rsid w:val="00E6779F"/>
    <w:rsid w:val="00E67983"/>
    <w:rsid w:val="00E67A8C"/>
    <w:rsid w:val="00E67AE0"/>
    <w:rsid w:val="00E67BCD"/>
    <w:rsid w:val="00E67BD9"/>
    <w:rsid w:val="00E67D80"/>
    <w:rsid w:val="00E67E73"/>
    <w:rsid w:val="00E67EBA"/>
    <w:rsid w:val="00E67F08"/>
    <w:rsid w:val="00E700C1"/>
    <w:rsid w:val="00E70217"/>
    <w:rsid w:val="00E702CC"/>
    <w:rsid w:val="00E704AF"/>
    <w:rsid w:val="00E704C8"/>
    <w:rsid w:val="00E70812"/>
    <w:rsid w:val="00E7083C"/>
    <w:rsid w:val="00E708A3"/>
    <w:rsid w:val="00E70991"/>
    <w:rsid w:val="00E709BE"/>
    <w:rsid w:val="00E709D1"/>
    <w:rsid w:val="00E709FA"/>
    <w:rsid w:val="00E70B50"/>
    <w:rsid w:val="00E70CC9"/>
    <w:rsid w:val="00E70EE0"/>
    <w:rsid w:val="00E7114B"/>
    <w:rsid w:val="00E71175"/>
    <w:rsid w:val="00E711E9"/>
    <w:rsid w:val="00E71226"/>
    <w:rsid w:val="00E71235"/>
    <w:rsid w:val="00E712E9"/>
    <w:rsid w:val="00E71310"/>
    <w:rsid w:val="00E713F2"/>
    <w:rsid w:val="00E7145C"/>
    <w:rsid w:val="00E7149E"/>
    <w:rsid w:val="00E715B9"/>
    <w:rsid w:val="00E7160B"/>
    <w:rsid w:val="00E71B14"/>
    <w:rsid w:val="00E71CAD"/>
    <w:rsid w:val="00E71CAE"/>
    <w:rsid w:val="00E71DFD"/>
    <w:rsid w:val="00E71F65"/>
    <w:rsid w:val="00E720F3"/>
    <w:rsid w:val="00E72168"/>
    <w:rsid w:val="00E72405"/>
    <w:rsid w:val="00E729A8"/>
    <w:rsid w:val="00E72AAE"/>
    <w:rsid w:val="00E72AE9"/>
    <w:rsid w:val="00E72B25"/>
    <w:rsid w:val="00E72B5B"/>
    <w:rsid w:val="00E72DB6"/>
    <w:rsid w:val="00E72DF0"/>
    <w:rsid w:val="00E72FBB"/>
    <w:rsid w:val="00E73046"/>
    <w:rsid w:val="00E73145"/>
    <w:rsid w:val="00E731CC"/>
    <w:rsid w:val="00E7321B"/>
    <w:rsid w:val="00E7334E"/>
    <w:rsid w:val="00E73464"/>
    <w:rsid w:val="00E7350C"/>
    <w:rsid w:val="00E735BF"/>
    <w:rsid w:val="00E736D5"/>
    <w:rsid w:val="00E736DC"/>
    <w:rsid w:val="00E737FF"/>
    <w:rsid w:val="00E73891"/>
    <w:rsid w:val="00E73921"/>
    <w:rsid w:val="00E73980"/>
    <w:rsid w:val="00E73B84"/>
    <w:rsid w:val="00E740CA"/>
    <w:rsid w:val="00E74146"/>
    <w:rsid w:val="00E742E1"/>
    <w:rsid w:val="00E7453C"/>
    <w:rsid w:val="00E74599"/>
    <w:rsid w:val="00E74719"/>
    <w:rsid w:val="00E747B2"/>
    <w:rsid w:val="00E74966"/>
    <w:rsid w:val="00E74A3D"/>
    <w:rsid w:val="00E74B21"/>
    <w:rsid w:val="00E74CB9"/>
    <w:rsid w:val="00E74E68"/>
    <w:rsid w:val="00E74EE8"/>
    <w:rsid w:val="00E75020"/>
    <w:rsid w:val="00E75091"/>
    <w:rsid w:val="00E7536A"/>
    <w:rsid w:val="00E754A0"/>
    <w:rsid w:val="00E755EF"/>
    <w:rsid w:val="00E75615"/>
    <w:rsid w:val="00E75737"/>
    <w:rsid w:val="00E75764"/>
    <w:rsid w:val="00E75860"/>
    <w:rsid w:val="00E758BC"/>
    <w:rsid w:val="00E75958"/>
    <w:rsid w:val="00E75BF9"/>
    <w:rsid w:val="00E75E6A"/>
    <w:rsid w:val="00E76117"/>
    <w:rsid w:val="00E76138"/>
    <w:rsid w:val="00E76186"/>
    <w:rsid w:val="00E7637B"/>
    <w:rsid w:val="00E764DA"/>
    <w:rsid w:val="00E7663D"/>
    <w:rsid w:val="00E7675F"/>
    <w:rsid w:val="00E76A96"/>
    <w:rsid w:val="00E76B5F"/>
    <w:rsid w:val="00E76BCB"/>
    <w:rsid w:val="00E76C2D"/>
    <w:rsid w:val="00E76C55"/>
    <w:rsid w:val="00E76D7F"/>
    <w:rsid w:val="00E76FD3"/>
    <w:rsid w:val="00E77125"/>
    <w:rsid w:val="00E77134"/>
    <w:rsid w:val="00E771C4"/>
    <w:rsid w:val="00E771CC"/>
    <w:rsid w:val="00E77343"/>
    <w:rsid w:val="00E7740A"/>
    <w:rsid w:val="00E774BE"/>
    <w:rsid w:val="00E7766A"/>
    <w:rsid w:val="00E777C0"/>
    <w:rsid w:val="00E77827"/>
    <w:rsid w:val="00E77894"/>
    <w:rsid w:val="00E7789E"/>
    <w:rsid w:val="00E77941"/>
    <w:rsid w:val="00E77AE6"/>
    <w:rsid w:val="00E77BDB"/>
    <w:rsid w:val="00E77C3B"/>
    <w:rsid w:val="00E77DEB"/>
    <w:rsid w:val="00E77F16"/>
    <w:rsid w:val="00E77F48"/>
    <w:rsid w:val="00E77FF0"/>
    <w:rsid w:val="00E80333"/>
    <w:rsid w:val="00E80577"/>
    <w:rsid w:val="00E8068E"/>
    <w:rsid w:val="00E8069D"/>
    <w:rsid w:val="00E806E1"/>
    <w:rsid w:val="00E80706"/>
    <w:rsid w:val="00E807A4"/>
    <w:rsid w:val="00E807AB"/>
    <w:rsid w:val="00E80955"/>
    <w:rsid w:val="00E80AFB"/>
    <w:rsid w:val="00E80B04"/>
    <w:rsid w:val="00E80B10"/>
    <w:rsid w:val="00E80B1E"/>
    <w:rsid w:val="00E80C9F"/>
    <w:rsid w:val="00E80D16"/>
    <w:rsid w:val="00E811F3"/>
    <w:rsid w:val="00E81344"/>
    <w:rsid w:val="00E813CE"/>
    <w:rsid w:val="00E81456"/>
    <w:rsid w:val="00E8151B"/>
    <w:rsid w:val="00E81554"/>
    <w:rsid w:val="00E8174A"/>
    <w:rsid w:val="00E819D0"/>
    <w:rsid w:val="00E81B4B"/>
    <w:rsid w:val="00E81C08"/>
    <w:rsid w:val="00E81D84"/>
    <w:rsid w:val="00E82033"/>
    <w:rsid w:val="00E8206B"/>
    <w:rsid w:val="00E82110"/>
    <w:rsid w:val="00E82178"/>
    <w:rsid w:val="00E822DC"/>
    <w:rsid w:val="00E823CA"/>
    <w:rsid w:val="00E8285B"/>
    <w:rsid w:val="00E8289D"/>
    <w:rsid w:val="00E828EE"/>
    <w:rsid w:val="00E829B9"/>
    <w:rsid w:val="00E829DB"/>
    <w:rsid w:val="00E82B09"/>
    <w:rsid w:val="00E82B6E"/>
    <w:rsid w:val="00E82BAA"/>
    <w:rsid w:val="00E82D63"/>
    <w:rsid w:val="00E82E9A"/>
    <w:rsid w:val="00E82EE4"/>
    <w:rsid w:val="00E830C2"/>
    <w:rsid w:val="00E831E8"/>
    <w:rsid w:val="00E83218"/>
    <w:rsid w:val="00E835B4"/>
    <w:rsid w:val="00E835FD"/>
    <w:rsid w:val="00E836A2"/>
    <w:rsid w:val="00E8397D"/>
    <w:rsid w:val="00E839C5"/>
    <w:rsid w:val="00E83CF9"/>
    <w:rsid w:val="00E83D1A"/>
    <w:rsid w:val="00E83EA8"/>
    <w:rsid w:val="00E83EBB"/>
    <w:rsid w:val="00E83F3C"/>
    <w:rsid w:val="00E840BD"/>
    <w:rsid w:val="00E840C2"/>
    <w:rsid w:val="00E841AC"/>
    <w:rsid w:val="00E842FA"/>
    <w:rsid w:val="00E844AC"/>
    <w:rsid w:val="00E84500"/>
    <w:rsid w:val="00E845B0"/>
    <w:rsid w:val="00E84625"/>
    <w:rsid w:val="00E846DD"/>
    <w:rsid w:val="00E84910"/>
    <w:rsid w:val="00E84A59"/>
    <w:rsid w:val="00E84C41"/>
    <w:rsid w:val="00E84DED"/>
    <w:rsid w:val="00E85229"/>
    <w:rsid w:val="00E85275"/>
    <w:rsid w:val="00E85286"/>
    <w:rsid w:val="00E85437"/>
    <w:rsid w:val="00E856A7"/>
    <w:rsid w:val="00E8576A"/>
    <w:rsid w:val="00E858BC"/>
    <w:rsid w:val="00E859B0"/>
    <w:rsid w:val="00E85A1D"/>
    <w:rsid w:val="00E85A4A"/>
    <w:rsid w:val="00E85D57"/>
    <w:rsid w:val="00E85F99"/>
    <w:rsid w:val="00E862C3"/>
    <w:rsid w:val="00E8680B"/>
    <w:rsid w:val="00E86B6C"/>
    <w:rsid w:val="00E86C0D"/>
    <w:rsid w:val="00E86C37"/>
    <w:rsid w:val="00E86C7E"/>
    <w:rsid w:val="00E86E0D"/>
    <w:rsid w:val="00E86F77"/>
    <w:rsid w:val="00E870C7"/>
    <w:rsid w:val="00E8737A"/>
    <w:rsid w:val="00E87390"/>
    <w:rsid w:val="00E874B2"/>
    <w:rsid w:val="00E874D3"/>
    <w:rsid w:val="00E87544"/>
    <w:rsid w:val="00E875A9"/>
    <w:rsid w:val="00E87684"/>
    <w:rsid w:val="00E877A5"/>
    <w:rsid w:val="00E87836"/>
    <w:rsid w:val="00E8787A"/>
    <w:rsid w:val="00E87953"/>
    <w:rsid w:val="00E879F7"/>
    <w:rsid w:val="00E87ADD"/>
    <w:rsid w:val="00E87C3C"/>
    <w:rsid w:val="00E87C5B"/>
    <w:rsid w:val="00E87C95"/>
    <w:rsid w:val="00E87D4D"/>
    <w:rsid w:val="00E87F0D"/>
    <w:rsid w:val="00E87FEB"/>
    <w:rsid w:val="00E9009B"/>
    <w:rsid w:val="00E9040C"/>
    <w:rsid w:val="00E9045C"/>
    <w:rsid w:val="00E90649"/>
    <w:rsid w:val="00E90715"/>
    <w:rsid w:val="00E9077F"/>
    <w:rsid w:val="00E90832"/>
    <w:rsid w:val="00E9090E"/>
    <w:rsid w:val="00E90ABA"/>
    <w:rsid w:val="00E90B1C"/>
    <w:rsid w:val="00E90C10"/>
    <w:rsid w:val="00E90C2A"/>
    <w:rsid w:val="00E90C91"/>
    <w:rsid w:val="00E910DD"/>
    <w:rsid w:val="00E91132"/>
    <w:rsid w:val="00E91792"/>
    <w:rsid w:val="00E91879"/>
    <w:rsid w:val="00E9197D"/>
    <w:rsid w:val="00E91EDB"/>
    <w:rsid w:val="00E9216E"/>
    <w:rsid w:val="00E921CC"/>
    <w:rsid w:val="00E9227E"/>
    <w:rsid w:val="00E9234A"/>
    <w:rsid w:val="00E923D1"/>
    <w:rsid w:val="00E923DB"/>
    <w:rsid w:val="00E924F1"/>
    <w:rsid w:val="00E92553"/>
    <w:rsid w:val="00E925DE"/>
    <w:rsid w:val="00E9265E"/>
    <w:rsid w:val="00E926FA"/>
    <w:rsid w:val="00E9271F"/>
    <w:rsid w:val="00E927BF"/>
    <w:rsid w:val="00E927DC"/>
    <w:rsid w:val="00E92B13"/>
    <w:rsid w:val="00E92B56"/>
    <w:rsid w:val="00E92CE1"/>
    <w:rsid w:val="00E92D42"/>
    <w:rsid w:val="00E92EE5"/>
    <w:rsid w:val="00E93290"/>
    <w:rsid w:val="00E9354D"/>
    <w:rsid w:val="00E935B2"/>
    <w:rsid w:val="00E936C5"/>
    <w:rsid w:val="00E9371E"/>
    <w:rsid w:val="00E93806"/>
    <w:rsid w:val="00E939A4"/>
    <w:rsid w:val="00E939A5"/>
    <w:rsid w:val="00E939F9"/>
    <w:rsid w:val="00E93A04"/>
    <w:rsid w:val="00E93A26"/>
    <w:rsid w:val="00E93A33"/>
    <w:rsid w:val="00E93A4D"/>
    <w:rsid w:val="00E93A72"/>
    <w:rsid w:val="00E93CD6"/>
    <w:rsid w:val="00E93DAA"/>
    <w:rsid w:val="00E94163"/>
    <w:rsid w:val="00E941B0"/>
    <w:rsid w:val="00E94205"/>
    <w:rsid w:val="00E9424A"/>
    <w:rsid w:val="00E944D5"/>
    <w:rsid w:val="00E944FF"/>
    <w:rsid w:val="00E94929"/>
    <w:rsid w:val="00E94B47"/>
    <w:rsid w:val="00E94DF1"/>
    <w:rsid w:val="00E94E1E"/>
    <w:rsid w:val="00E94FEE"/>
    <w:rsid w:val="00E95249"/>
    <w:rsid w:val="00E9537F"/>
    <w:rsid w:val="00E953A9"/>
    <w:rsid w:val="00E9548C"/>
    <w:rsid w:val="00E95490"/>
    <w:rsid w:val="00E954EC"/>
    <w:rsid w:val="00E954F4"/>
    <w:rsid w:val="00E955BE"/>
    <w:rsid w:val="00E959BF"/>
    <w:rsid w:val="00E95A00"/>
    <w:rsid w:val="00E95CE1"/>
    <w:rsid w:val="00E95DCE"/>
    <w:rsid w:val="00E95E22"/>
    <w:rsid w:val="00E96039"/>
    <w:rsid w:val="00E96091"/>
    <w:rsid w:val="00E96206"/>
    <w:rsid w:val="00E9621D"/>
    <w:rsid w:val="00E9645D"/>
    <w:rsid w:val="00E96460"/>
    <w:rsid w:val="00E96502"/>
    <w:rsid w:val="00E9677B"/>
    <w:rsid w:val="00E96822"/>
    <w:rsid w:val="00E968B3"/>
    <w:rsid w:val="00E968C8"/>
    <w:rsid w:val="00E96A65"/>
    <w:rsid w:val="00E96A7F"/>
    <w:rsid w:val="00E96AD5"/>
    <w:rsid w:val="00E96BB2"/>
    <w:rsid w:val="00E96C5C"/>
    <w:rsid w:val="00E96CDF"/>
    <w:rsid w:val="00E96D98"/>
    <w:rsid w:val="00E96DE1"/>
    <w:rsid w:val="00E96FD7"/>
    <w:rsid w:val="00E9704E"/>
    <w:rsid w:val="00E9709E"/>
    <w:rsid w:val="00E970E6"/>
    <w:rsid w:val="00E972B2"/>
    <w:rsid w:val="00E972CE"/>
    <w:rsid w:val="00E97307"/>
    <w:rsid w:val="00E9734E"/>
    <w:rsid w:val="00E97638"/>
    <w:rsid w:val="00E97789"/>
    <w:rsid w:val="00E9792E"/>
    <w:rsid w:val="00E97A22"/>
    <w:rsid w:val="00E97ACD"/>
    <w:rsid w:val="00E97B94"/>
    <w:rsid w:val="00E97D3B"/>
    <w:rsid w:val="00E97E03"/>
    <w:rsid w:val="00E97E17"/>
    <w:rsid w:val="00E97E96"/>
    <w:rsid w:val="00E97F41"/>
    <w:rsid w:val="00EA0028"/>
    <w:rsid w:val="00EA0181"/>
    <w:rsid w:val="00EA038B"/>
    <w:rsid w:val="00EA04BA"/>
    <w:rsid w:val="00EA04EE"/>
    <w:rsid w:val="00EA05ED"/>
    <w:rsid w:val="00EA0637"/>
    <w:rsid w:val="00EA0815"/>
    <w:rsid w:val="00EA08BC"/>
    <w:rsid w:val="00EA09E4"/>
    <w:rsid w:val="00EA0A0C"/>
    <w:rsid w:val="00EA0BA4"/>
    <w:rsid w:val="00EA0BC7"/>
    <w:rsid w:val="00EA0C3E"/>
    <w:rsid w:val="00EA0F24"/>
    <w:rsid w:val="00EA0F78"/>
    <w:rsid w:val="00EA1006"/>
    <w:rsid w:val="00EA1018"/>
    <w:rsid w:val="00EA1020"/>
    <w:rsid w:val="00EA1243"/>
    <w:rsid w:val="00EA1364"/>
    <w:rsid w:val="00EA14ED"/>
    <w:rsid w:val="00EA1ACA"/>
    <w:rsid w:val="00EA1BA3"/>
    <w:rsid w:val="00EA1C4C"/>
    <w:rsid w:val="00EA1C96"/>
    <w:rsid w:val="00EA1D03"/>
    <w:rsid w:val="00EA1D7E"/>
    <w:rsid w:val="00EA1EAF"/>
    <w:rsid w:val="00EA205E"/>
    <w:rsid w:val="00EA2199"/>
    <w:rsid w:val="00EA228D"/>
    <w:rsid w:val="00EA2346"/>
    <w:rsid w:val="00EA237A"/>
    <w:rsid w:val="00EA23C5"/>
    <w:rsid w:val="00EA2556"/>
    <w:rsid w:val="00EA28EC"/>
    <w:rsid w:val="00EA2953"/>
    <w:rsid w:val="00EA3075"/>
    <w:rsid w:val="00EA30EA"/>
    <w:rsid w:val="00EA31B1"/>
    <w:rsid w:val="00EA329D"/>
    <w:rsid w:val="00EA33EB"/>
    <w:rsid w:val="00EA3480"/>
    <w:rsid w:val="00EA3503"/>
    <w:rsid w:val="00EA39E6"/>
    <w:rsid w:val="00EA3A33"/>
    <w:rsid w:val="00EA3AD3"/>
    <w:rsid w:val="00EA3ADA"/>
    <w:rsid w:val="00EA3BE3"/>
    <w:rsid w:val="00EA3C21"/>
    <w:rsid w:val="00EA3C6C"/>
    <w:rsid w:val="00EA3C8F"/>
    <w:rsid w:val="00EA3F06"/>
    <w:rsid w:val="00EA41DE"/>
    <w:rsid w:val="00EA4276"/>
    <w:rsid w:val="00EA4279"/>
    <w:rsid w:val="00EA433B"/>
    <w:rsid w:val="00EA43BB"/>
    <w:rsid w:val="00EA4493"/>
    <w:rsid w:val="00EA44C9"/>
    <w:rsid w:val="00EA45FF"/>
    <w:rsid w:val="00EA4768"/>
    <w:rsid w:val="00EA4900"/>
    <w:rsid w:val="00EA4CBB"/>
    <w:rsid w:val="00EA4CC9"/>
    <w:rsid w:val="00EA4D44"/>
    <w:rsid w:val="00EA4D6E"/>
    <w:rsid w:val="00EA4FBD"/>
    <w:rsid w:val="00EA5099"/>
    <w:rsid w:val="00EA51C3"/>
    <w:rsid w:val="00EA520D"/>
    <w:rsid w:val="00EA537B"/>
    <w:rsid w:val="00EA54A5"/>
    <w:rsid w:val="00EA559D"/>
    <w:rsid w:val="00EA55B8"/>
    <w:rsid w:val="00EA5607"/>
    <w:rsid w:val="00EA5A90"/>
    <w:rsid w:val="00EA5BB4"/>
    <w:rsid w:val="00EA5BF4"/>
    <w:rsid w:val="00EA5D68"/>
    <w:rsid w:val="00EA5E54"/>
    <w:rsid w:val="00EA612F"/>
    <w:rsid w:val="00EA652D"/>
    <w:rsid w:val="00EA6699"/>
    <w:rsid w:val="00EA687C"/>
    <w:rsid w:val="00EA6883"/>
    <w:rsid w:val="00EA696E"/>
    <w:rsid w:val="00EA6BA3"/>
    <w:rsid w:val="00EA6D4A"/>
    <w:rsid w:val="00EA6E70"/>
    <w:rsid w:val="00EA6EB2"/>
    <w:rsid w:val="00EA6F4E"/>
    <w:rsid w:val="00EA7080"/>
    <w:rsid w:val="00EA70C4"/>
    <w:rsid w:val="00EA70D7"/>
    <w:rsid w:val="00EA7328"/>
    <w:rsid w:val="00EA73DA"/>
    <w:rsid w:val="00EA755C"/>
    <w:rsid w:val="00EA75DB"/>
    <w:rsid w:val="00EA7642"/>
    <w:rsid w:val="00EA7659"/>
    <w:rsid w:val="00EA76BE"/>
    <w:rsid w:val="00EA7722"/>
    <w:rsid w:val="00EA7745"/>
    <w:rsid w:val="00EA77E2"/>
    <w:rsid w:val="00EA78A2"/>
    <w:rsid w:val="00EA78A5"/>
    <w:rsid w:val="00EA7AAB"/>
    <w:rsid w:val="00EA7B95"/>
    <w:rsid w:val="00EA7C37"/>
    <w:rsid w:val="00EA7C8C"/>
    <w:rsid w:val="00EA7D60"/>
    <w:rsid w:val="00EA7E1A"/>
    <w:rsid w:val="00EA7E20"/>
    <w:rsid w:val="00EA7E67"/>
    <w:rsid w:val="00EA7FE2"/>
    <w:rsid w:val="00EB00A0"/>
    <w:rsid w:val="00EB00C8"/>
    <w:rsid w:val="00EB0103"/>
    <w:rsid w:val="00EB01A0"/>
    <w:rsid w:val="00EB01A7"/>
    <w:rsid w:val="00EB01D2"/>
    <w:rsid w:val="00EB01D3"/>
    <w:rsid w:val="00EB0244"/>
    <w:rsid w:val="00EB0257"/>
    <w:rsid w:val="00EB027F"/>
    <w:rsid w:val="00EB0296"/>
    <w:rsid w:val="00EB0410"/>
    <w:rsid w:val="00EB044E"/>
    <w:rsid w:val="00EB046E"/>
    <w:rsid w:val="00EB0523"/>
    <w:rsid w:val="00EB0538"/>
    <w:rsid w:val="00EB054F"/>
    <w:rsid w:val="00EB05C2"/>
    <w:rsid w:val="00EB0986"/>
    <w:rsid w:val="00EB09E6"/>
    <w:rsid w:val="00EB0A4A"/>
    <w:rsid w:val="00EB0C35"/>
    <w:rsid w:val="00EB0D13"/>
    <w:rsid w:val="00EB0F1D"/>
    <w:rsid w:val="00EB101E"/>
    <w:rsid w:val="00EB1197"/>
    <w:rsid w:val="00EB12B1"/>
    <w:rsid w:val="00EB150D"/>
    <w:rsid w:val="00EB158F"/>
    <w:rsid w:val="00EB15C7"/>
    <w:rsid w:val="00EB165C"/>
    <w:rsid w:val="00EB1680"/>
    <w:rsid w:val="00EB1684"/>
    <w:rsid w:val="00EB18CC"/>
    <w:rsid w:val="00EB1930"/>
    <w:rsid w:val="00EB19A2"/>
    <w:rsid w:val="00EB19A5"/>
    <w:rsid w:val="00EB1B01"/>
    <w:rsid w:val="00EB1DDD"/>
    <w:rsid w:val="00EB1E27"/>
    <w:rsid w:val="00EB1E4C"/>
    <w:rsid w:val="00EB1EA4"/>
    <w:rsid w:val="00EB20CA"/>
    <w:rsid w:val="00EB21CF"/>
    <w:rsid w:val="00EB2320"/>
    <w:rsid w:val="00EB2530"/>
    <w:rsid w:val="00EB2544"/>
    <w:rsid w:val="00EB2598"/>
    <w:rsid w:val="00EB25D4"/>
    <w:rsid w:val="00EB25FC"/>
    <w:rsid w:val="00EB27D4"/>
    <w:rsid w:val="00EB29C8"/>
    <w:rsid w:val="00EB2A17"/>
    <w:rsid w:val="00EB2A41"/>
    <w:rsid w:val="00EB2AE2"/>
    <w:rsid w:val="00EB2E00"/>
    <w:rsid w:val="00EB3113"/>
    <w:rsid w:val="00EB334D"/>
    <w:rsid w:val="00EB335B"/>
    <w:rsid w:val="00EB3471"/>
    <w:rsid w:val="00EB34DE"/>
    <w:rsid w:val="00EB34DF"/>
    <w:rsid w:val="00EB35E5"/>
    <w:rsid w:val="00EB36B1"/>
    <w:rsid w:val="00EB3703"/>
    <w:rsid w:val="00EB378A"/>
    <w:rsid w:val="00EB384C"/>
    <w:rsid w:val="00EB39BD"/>
    <w:rsid w:val="00EB3B98"/>
    <w:rsid w:val="00EB3BF8"/>
    <w:rsid w:val="00EB3E5D"/>
    <w:rsid w:val="00EB3F6D"/>
    <w:rsid w:val="00EB3FD8"/>
    <w:rsid w:val="00EB40AD"/>
    <w:rsid w:val="00EB40CD"/>
    <w:rsid w:val="00EB4129"/>
    <w:rsid w:val="00EB41C6"/>
    <w:rsid w:val="00EB429D"/>
    <w:rsid w:val="00EB4345"/>
    <w:rsid w:val="00EB4346"/>
    <w:rsid w:val="00EB4455"/>
    <w:rsid w:val="00EB4538"/>
    <w:rsid w:val="00EB46F4"/>
    <w:rsid w:val="00EB4866"/>
    <w:rsid w:val="00EB4912"/>
    <w:rsid w:val="00EB4AE7"/>
    <w:rsid w:val="00EB4B1E"/>
    <w:rsid w:val="00EB4BE6"/>
    <w:rsid w:val="00EB4C7D"/>
    <w:rsid w:val="00EB4E94"/>
    <w:rsid w:val="00EB4EFB"/>
    <w:rsid w:val="00EB52F1"/>
    <w:rsid w:val="00EB52FC"/>
    <w:rsid w:val="00EB53BD"/>
    <w:rsid w:val="00EB53C4"/>
    <w:rsid w:val="00EB53D8"/>
    <w:rsid w:val="00EB556E"/>
    <w:rsid w:val="00EB5671"/>
    <w:rsid w:val="00EB56BA"/>
    <w:rsid w:val="00EB58C3"/>
    <w:rsid w:val="00EB5910"/>
    <w:rsid w:val="00EB59BB"/>
    <w:rsid w:val="00EB5C1E"/>
    <w:rsid w:val="00EB5D42"/>
    <w:rsid w:val="00EB5EFE"/>
    <w:rsid w:val="00EB5F5F"/>
    <w:rsid w:val="00EB6448"/>
    <w:rsid w:val="00EB6561"/>
    <w:rsid w:val="00EB6888"/>
    <w:rsid w:val="00EB6895"/>
    <w:rsid w:val="00EB6974"/>
    <w:rsid w:val="00EB6A1D"/>
    <w:rsid w:val="00EB6BFF"/>
    <w:rsid w:val="00EB6CFD"/>
    <w:rsid w:val="00EB6D04"/>
    <w:rsid w:val="00EB6FF2"/>
    <w:rsid w:val="00EB7077"/>
    <w:rsid w:val="00EB70AA"/>
    <w:rsid w:val="00EB71B8"/>
    <w:rsid w:val="00EB7264"/>
    <w:rsid w:val="00EB738E"/>
    <w:rsid w:val="00EB749D"/>
    <w:rsid w:val="00EB74FB"/>
    <w:rsid w:val="00EB75EF"/>
    <w:rsid w:val="00EB77FC"/>
    <w:rsid w:val="00EB7826"/>
    <w:rsid w:val="00EB78E7"/>
    <w:rsid w:val="00EB7C06"/>
    <w:rsid w:val="00EB7CB0"/>
    <w:rsid w:val="00EB7F76"/>
    <w:rsid w:val="00EC0066"/>
    <w:rsid w:val="00EC0085"/>
    <w:rsid w:val="00EC02DF"/>
    <w:rsid w:val="00EC03A2"/>
    <w:rsid w:val="00EC04AD"/>
    <w:rsid w:val="00EC060D"/>
    <w:rsid w:val="00EC067C"/>
    <w:rsid w:val="00EC06B0"/>
    <w:rsid w:val="00EC0A52"/>
    <w:rsid w:val="00EC0A59"/>
    <w:rsid w:val="00EC0B1E"/>
    <w:rsid w:val="00EC0B9C"/>
    <w:rsid w:val="00EC0C0F"/>
    <w:rsid w:val="00EC0C9F"/>
    <w:rsid w:val="00EC0CCA"/>
    <w:rsid w:val="00EC1060"/>
    <w:rsid w:val="00EC1196"/>
    <w:rsid w:val="00EC1259"/>
    <w:rsid w:val="00EC1287"/>
    <w:rsid w:val="00EC12E4"/>
    <w:rsid w:val="00EC1651"/>
    <w:rsid w:val="00EC16AE"/>
    <w:rsid w:val="00EC16B2"/>
    <w:rsid w:val="00EC1705"/>
    <w:rsid w:val="00EC17B0"/>
    <w:rsid w:val="00EC1A8B"/>
    <w:rsid w:val="00EC1BE4"/>
    <w:rsid w:val="00EC1C56"/>
    <w:rsid w:val="00EC1C80"/>
    <w:rsid w:val="00EC1CCC"/>
    <w:rsid w:val="00EC1D29"/>
    <w:rsid w:val="00EC2072"/>
    <w:rsid w:val="00EC2330"/>
    <w:rsid w:val="00EC249D"/>
    <w:rsid w:val="00EC250A"/>
    <w:rsid w:val="00EC2615"/>
    <w:rsid w:val="00EC266E"/>
    <w:rsid w:val="00EC27C3"/>
    <w:rsid w:val="00EC2B21"/>
    <w:rsid w:val="00EC2BAD"/>
    <w:rsid w:val="00EC2CC0"/>
    <w:rsid w:val="00EC2E8E"/>
    <w:rsid w:val="00EC2FD8"/>
    <w:rsid w:val="00EC324E"/>
    <w:rsid w:val="00EC36E7"/>
    <w:rsid w:val="00EC3999"/>
    <w:rsid w:val="00EC399F"/>
    <w:rsid w:val="00EC3A82"/>
    <w:rsid w:val="00EC3CDC"/>
    <w:rsid w:val="00EC3D19"/>
    <w:rsid w:val="00EC3E95"/>
    <w:rsid w:val="00EC3FC9"/>
    <w:rsid w:val="00EC404E"/>
    <w:rsid w:val="00EC4091"/>
    <w:rsid w:val="00EC40B5"/>
    <w:rsid w:val="00EC42ED"/>
    <w:rsid w:val="00EC444E"/>
    <w:rsid w:val="00EC4661"/>
    <w:rsid w:val="00EC4683"/>
    <w:rsid w:val="00EC4744"/>
    <w:rsid w:val="00EC48BC"/>
    <w:rsid w:val="00EC4A57"/>
    <w:rsid w:val="00EC4AD5"/>
    <w:rsid w:val="00EC4BAA"/>
    <w:rsid w:val="00EC4BEE"/>
    <w:rsid w:val="00EC4D9E"/>
    <w:rsid w:val="00EC4E8C"/>
    <w:rsid w:val="00EC4FE1"/>
    <w:rsid w:val="00EC5145"/>
    <w:rsid w:val="00EC5161"/>
    <w:rsid w:val="00EC5317"/>
    <w:rsid w:val="00EC5413"/>
    <w:rsid w:val="00EC545F"/>
    <w:rsid w:val="00EC5775"/>
    <w:rsid w:val="00EC5812"/>
    <w:rsid w:val="00EC5827"/>
    <w:rsid w:val="00EC5936"/>
    <w:rsid w:val="00EC59A8"/>
    <w:rsid w:val="00EC5AE5"/>
    <w:rsid w:val="00EC5B5A"/>
    <w:rsid w:val="00EC5DAC"/>
    <w:rsid w:val="00EC5E84"/>
    <w:rsid w:val="00EC5FCE"/>
    <w:rsid w:val="00EC612C"/>
    <w:rsid w:val="00EC6146"/>
    <w:rsid w:val="00EC622D"/>
    <w:rsid w:val="00EC62DB"/>
    <w:rsid w:val="00EC6463"/>
    <w:rsid w:val="00EC651B"/>
    <w:rsid w:val="00EC6650"/>
    <w:rsid w:val="00EC66C6"/>
    <w:rsid w:val="00EC6997"/>
    <w:rsid w:val="00EC6C63"/>
    <w:rsid w:val="00EC6CAA"/>
    <w:rsid w:val="00EC6D34"/>
    <w:rsid w:val="00EC6D3F"/>
    <w:rsid w:val="00EC6D46"/>
    <w:rsid w:val="00EC6E01"/>
    <w:rsid w:val="00EC6EEC"/>
    <w:rsid w:val="00EC6F9C"/>
    <w:rsid w:val="00EC72A1"/>
    <w:rsid w:val="00EC7384"/>
    <w:rsid w:val="00EC74F0"/>
    <w:rsid w:val="00EC7597"/>
    <w:rsid w:val="00EC77A3"/>
    <w:rsid w:val="00EC77AE"/>
    <w:rsid w:val="00EC78FB"/>
    <w:rsid w:val="00EC7939"/>
    <w:rsid w:val="00EC7A31"/>
    <w:rsid w:val="00EC7A92"/>
    <w:rsid w:val="00EC7B54"/>
    <w:rsid w:val="00EC7BA8"/>
    <w:rsid w:val="00EC7D18"/>
    <w:rsid w:val="00EC7E72"/>
    <w:rsid w:val="00EC7F5B"/>
    <w:rsid w:val="00EC7F9F"/>
    <w:rsid w:val="00ED000C"/>
    <w:rsid w:val="00ED00D0"/>
    <w:rsid w:val="00ED0180"/>
    <w:rsid w:val="00ED01E6"/>
    <w:rsid w:val="00ED03C8"/>
    <w:rsid w:val="00ED03EA"/>
    <w:rsid w:val="00ED07DF"/>
    <w:rsid w:val="00ED086D"/>
    <w:rsid w:val="00ED099D"/>
    <w:rsid w:val="00ED0BE3"/>
    <w:rsid w:val="00ED0EA4"/>
    <w:rsid w:val="00ED0ECD"/>
    <w:rsid w:val="00ED0F0D"/>
    <w:rsid w:val="00ED1118"/>
    <w:rsid w:val="00ED1350"/>
    <w:rsid w:val="00ED1396"/>
    <w:rsid w:val="00ED1445"/>
    <w:rsid w:val="00ED1555"/>
    <w:rsid w:val="00ED1568"/>
    <w:rsid w:val="00ED1622"/>
    <w:rsid w:val="00ED1629"/>
    <w:rsid w:val="00ED16C3"/>
    <w:rsid w:val="00ED17A1"/>
    <w:rsid w:val="00ED18B1"/>
    <w:rsid w:val="00ED19BC"/>
    <w:rsid w:val="00ED1ABE"/>
    <w:rsid w:val="00ED1B27"/>
    <w:rsid w:val="00ED1CED"/>
    <w:rsid w:val="00ED1EFF"/>
    <w:rsid w:val="00ED212C"/>
    <w:rsid w:val="00ED21D9"/>
    <w:rsid w:val="00ED220A"/>
    <w:rsid w:val="00ED2219"/>
    <w:rsid w:val="00ED2262"/>
    <w:rsid w:val="00ED240D"/>
    <w:rsid w:val="00ED245F"/>
    <w:rsid w:val="00ED2642"/>
    <w:rsid w:val="00ED272D"/>
    <w:rsid w:val="00ED275D"/>
    <w:rsid w:val="00ED27A5"/>
    <w:rsid w:val="00ED287B"/>
    <w:rsid w:val="00ED28EB"/>
    <w:rsid w:val="00ED294E"/>
    <w:rsid w:val="00ED29A5"/>
    <w:rsid w:val="00ED2A4F"/>
    <w:rsid w:val="00ED2C23"/>
    <w:rsid w:val="00ED2C77"/>
    <w:rsid w:val="00ED2D72"/>
    <w:rsid w:val="00ED30A3"/>
    <w:rsid w:val="00ED3361"/>
    <w:rsid w:val="00ED3368"/>
    <w:rsid w:val="00ED3425"/>
    <w:rsid w:val="00ED344D"/>
    <w:rsid w:val="00ED35B4"/>
    <w:rsid w:val="00ED35E6"/>
    <w:rsid w:val="00ED3643"/>
    <w:rsid w:val="00ED381C"/>
    <w:rsid w:val="00ED3C95"/>
    <w:rsid w:val="00ED3EA3"/>
    <w:rsid w:val="00ED4224"/>
    <w:rsid w:val="00ED436D"/>
    <w:rsid w:val="00ED45DB"/>
    <w:rsid w:val="00ED45EB"/>
    <w:rsid w:val="00ED4622"/>
    <w:rsid w:val="00ED4658"/>
    <w:rsid w:val="00ED4672"/>
    <w:rsid w:val="00ED478C"/>
    <w:rsid w:val="00ED490A"/>
    <w:rsid w:val="00ED494E"/>
    <w:rsid w:val="00ED497C"/>
    <w:rsid w:val="00ED4A55"/>
    <w:rsid w:val="00ED4B1C"/>
    <w:rsid w:val="00ED4B4C"/>
    <w:rsid w:val="00ED4B51"/>
    <w:rsid w:val="00ED504B"/>
    <w:rsid w:val="00ED50C3"/>
    <w:rsid w:val="00ED50F5"/>
    <w:rsid w:val="00ED524B"/>
    <w:rsid w:val="00ED5348"/>
    <w:rsid w:val="00ED53EE"/>
    <w:rsid w:val="00ED54CA"/>
    <w:rsid w:val="00ED554F"/>
    <w:rsid w:val="00ED5568"/>
    <w:rsid w:val="00ED5586"/>
    <w:rsid w:val="00ED5680"/>
    <w:rsid w:val="00ED5806"/>
    <w:rsid w:val="00ED5992"/>
    <w:rsid w:val="00ED5AFF"/>
    <w:rsid w:val="00ED5C2F"/>
    <w:rsid w:val="00ED5C76"/>
    <w:rsid w:val="00ED5CBE"/>
    <w:rsid w:val="00ED5F22"/>
    <w:rsid w:val="00ED5F64"/>
    <w:rsid w:val="00ED5F70"/>
    <w:rsid w:val="00ED601C"/>
    <w:rsid w:val="00ED6064"/>
    <w:rsid w:val="00ED6186"/>
    <w:rsid w:val="00ED61DA"/>
    <w:rsid w:val="00ED656A"/>
    <w:rsid w:val="00ED65AD"/>
    <w:rsid w:val="00ED6930"/>
    <w:rsid w:val="00ED69B3"/>
    <w:rsid w:val="00ED6A6E"/>
    <w:rsid w:val="00ED6A97"/>
    <w:rsid w:val="00ED6CAD"/>
    <w:rsid w:val="00ED6CE7"/>
    <w:rsid w:val="00ED6DFF"/>
    <w:rsid w:val="00ED6E96"/>
    <w:rsid w:val="00ED6F07"/>
    <w:rsid w:val="00ED6F38"/>
    <w:rsid w:val="00ED72F4"/>
    <w:rsid w:val="00ED73A1"/>
    <w:rsid w:val="00ED754C"/>
    <w:rsid w:val="00ED76AF"/>
    <w:rsid w:val="00ED76C0"/>
    <w:rsid w:val="00ED76C4"/>
    <w:rsid w:val="00ED7876"/>
    <w:rsid w:val="00ED7A67"/>
    <w:rsid w:val="00ED7A73"/>
    <w:rsid w:val="00ED7A96"/>
    <w:rsid w:val="00ED7E2F"/>
    <w:rsid w:val="00ED7E7A"/>
    <w:rsid w:val="00ED7F5B"/>
    <w:rsid w:val="00EE0056"/>
    <w:rsid w:val="00EE008C"/>
    <w:rsid w:val="00EE01AE"/>
    <w:rsid w:val="00EE0307"/>
    <w:rsid w:val="00EE0342"/>
    <w:rsid w:val="00EE03FD"/>
    <w:rsid w:val="00EE0426"/>
    <w:rsid w:val="00EE063A"/>
    <w:rsid w:val="00EE07E0"/>
    <w:rsid w:val="00EE0856"/>
    <w:rsid w:val="00EE088E"/>
    <w:rsid w:val="00EE09CD"/>
    <w:rsid w:val="00EE0A98"/>
    <w:rsid w:val="00EE0B5F"/>
    <w:rsid w:val="00EE0B99"/>
    <w:rsid w:val="00EE0BA2"/>
    <w:rsid w:val="00EE0C01"/>
    <w:rsid w:val="00EE0C93"/>
    <w:rsid w:val="00EE0D0F"/>
    <w:rsid w:val="00EE0D6E"/>
    <w:rsid w:val="00EE104A"/>
    <w:rsid w:val="00EE1266"/>
    <w:rsid w:val="00EE1284"/>
    <w:rsid w:val="00EE1634"/>
    <w:rsid w:val="00EE1650"/>
    <w:rsid w:val="00EE17F7"/>
    <w:rsid w:val="00EE1816"/>
    <w:rsid w:val="00EE181F"/>
    <w:rsid w:val="00EE195F"/>
    <w:rsid w:val="00EE1998"/>
    <w:rsid w:val="00EE1A5A"/>
    <w:rsid w:val="00EE1AB0"/>
    <w:rsid w:val="00EE1C1E"/>
    <w:rsid w:val="00EE1CF6"/>
    <w:rsid w:val="00EE1D07"/>
    <w:rsid w:val="00EE1D4C"/>
    <w:rsid w:val="00EE1E7A"/>
    <w:rsid w:val="00EE1E9E"/>
    <w:rsid w:val="00EE2176"/>
    <w:rsid w:val="00EE2250"/>
    <w:rsid w:val="00EE24B8"/>
    <w:rsid w:val="00EE2615"/>
    <w:rsid w:val="00EE26B9"/>
    <w:rsid w:val="00EE26DE"/>
    <w:rsid w:val="00EE27FD"/>
    <w:rsid w:val="00EE286F"/>
    <w:rsid w:val="00EE2938"/>
    <w:rsid w:val="00EE29C4"/>
    <w:rsid w:val="00EE2A5B"/>
    <w:rsid w:val="00EE2A67"/>
    <w:rsid w:val="00EE2AA5"/>
    <w:rsid w:val="00EE2ACC"/>
    <w:rsid w:val="00EE2AFA"/>
    <w:rsid w:val="00EE2B53"/>
    <w:rsid w:val="00EE2D03"/>
    <w:rsid w:val="00EE2D97"/>
    <w:rsid w:val="00EE2E8E"/>
    <w:rsid w:val="00EE2FD5"/>
    <w:rsid w:val="00EE3052"/>
    <w:rsid w:val="00EE30E2"/>
    <w:rsid w:val="00EE316B"/>
    <w:rsid w:val="00EE3280"/>
    <w:rsid w:val="00EE355E"/>
    <w:rsid w:val="00EE35F0"/>
    <w:rsid w:val="00EE3695"/>
    <w:rsid w:val="00EE373D"/>
    <w:rsid w:val="00EE3798"/>
    <w:rsid w:val="00EE395B"/>
    <w:rsid w:val="00EE3B5E"/>
    <w:rsid w:val="00EE3B6F"/>
    <w:rsid w:val="00EE3CD9"/>
    <w:rsid w:val="00EE3DF3"/>
    <w:rsid w:val="00EE3E44"/>
    <w:rsid w:val="00EE4057"/>
    <w:rsid w:val="00EE434F"/>
    <w:rsid w:val="00EE4451"/>
    <w:rsid w:val="00EE4517"/>
    <w:rsid w:val="00EE4556"/>
    <w:rsid w:val="00EE4591"/>
    <w:rsid w:val="00EE4596"/>
    <w:rsid w:val="00EE45B5"/>
    <w:rsid w:val="00EE45FA"/>
    <w:rsid w:val="00EE4625"/>
    <w:rsid w:val="00EE47C4"/>
    <w:rsid w:val="00EE47C8"/>
    <w:rsid w:val="00EE481A"/>
    <w:rsid w:val="00EE4829"/>
    <w:rsid w:val="00EE4843"/>
    <w:rsid w:val="00EE4932"/>
    <w:rsid w:val="00EE4A89"/>
    <w:rsid w:val="00EE4B42"/>
    <w:rsid w:val="00EE4C0D"/>
    <w:rsid w:val="00EE4C29"/>
    <w:rsid w:val="00EE4D44"/>
    <w:rsid w:val="00EE4FEA"/>
    <w:rsid w:val="00EE51A7"/>
    <w:rsid w:val="00EE5222"/>
    <w:rsid w:val="00EE536B"/>
    <w:rsid w:val="00EE54B0"/>
    <w:rsid w:val="00EE54D7"/>
    <w:rsid w:val="00EE559E"/>
    <w:rsid w:val="00EE56D6"/>
    <w:rsid w:val="00EE5906"/>
    <w:rsid w:val="00EE5A32"/>
    <w:rsid w:val="00EE5C89"/>
    <w:rsid w:val="00EE5CB8"/>
    <w:rsid w:val="00EE5E1E"/>
    <w:rsid w:val="00EE5E64"/>
    <w:rsid w:val="00EE5FDC"/>
    <w:rsid w:val="00EE60C7"/>
    <w:rsid w:val="00EE6159"/>
    <w:rsid w:val="00EE622F"/>
    <w:rsid w:val="00EE625A"/>
    <w:rsid w:val="00EE62C3"/>
    <w:rsid w:val="00EE6513"/>
    <w:rsid w:val="00EE657B"/>
    <w:rsid w:val="00EE6633"/>
    <w:rsid w:val="00EE67D0"/>
    <w:rsid w:val="00EE6940"/>
    <w:rsid w:val="00EE6A99"/>
    <w:rsid w:val="00EE6BEA"/>
    <w:rsid w:val="00EE6BF8"/>
    <w:rsid w:val="00EE6C65"/>
    <w:rsid w:val="00EE6D03"/>
    <w:rsid w:val="00EE6FF8"/>
    <w:rsid w:val="00EE717B"/>
    <w:rsid w:val="00EE71A5"/>
    <w:rsid w:val="00EE737C"/>
    <w:rsid w:val="00EE73D2"/>
    <w:rsid w:val="00EE7533"/>
    <w:rsid w:val="00EE7883"/>
    <w:rsid w:val="00EE79A4"/>
    <w:rsid w:val="00EE7A48"/>
    <w:rsid w:val="00EE7B52"/>
    <w:rsid w:val="00EE7BED"/>
    <w:rsid w:val="00EE7D28"/>
    <w:rsid w:val="00EE7E03"/>
    <w:rsid w:val="00EE7E48"/>
    <w:rsid w:val="00EE7EBC"/>
    <w:rsid w:val="00EF002F"/>
    <w:rsid w:val="00EF0056"/>
    <w:rsid w:val="00EF0215"/>
    <w:rsid w:val="00EF03F9"/>
    <w:rsid w:val="00EF04F8"/>
    <w:rsid w:val="00EF051E"/>
    <w:rsid w:val="00EF05F7"/>
    <w:rsid w:val="00EF062A"/>
    <w:rsid w:val="00EF076B"/>
    <w:rsid w:val="00EF085F"/>
    <w:rsid w:val="00EF0867"/>
    <w:rsid w:val="00EF088B"/>
    <w:rsid w:val="00EF0A0C"/>
    <w:rsid w:val="00EF0E03"/>
    <w:rsid w:val="00EF14E4"/>
    <w:rsid w:val="00EF152F"/>
    <w:rsid w:val="00EF1834"/>
    <w:rsid w:val="00EF18D6"/>
    <w:rsid w:val="00EF1978"/>
    <w:rsid w:val="00EF1A93"/>
    <w:rsid w:val="00EF1AA3"/>
    <w:rsid w:val="00EF1ADB"/>
    <w:rsid w:val="00EF1B41"/>
    <w:rsid w:val="00EF1BEC"/>
    <w:rsid w:val="00EF1CAC"/>
    <w:rsid w:val="00EF1CB2"/>
    <w:rsid w:val="00EF1CC9"/>
    <w:rsid w:val="00EF1CFE"/>
    <w:rsid w:val="00EF1D32"/>
    <w:rsid w:val="00EF1F6E"/>
    <w:rsid w:val="00EF202C"/>
    <w:rsid w:val="00EF20C9"/>
    <w:rsid w:val="00EF2131"/>
    <w:rsid w:val="00EF2269"/>
    <w:rsid w:val="00EF23FA"/>
    <w:rsid w:val="00EF248E"/>
    <w:rsid w:val="00EF27E5"/>
    <w:rsid w:val="00EF2939"/>
    <w:rsid w:val="00EF2956"/>
    <w:rsid w:val="00EF29F3"/>
    <w:rsid w:val="00EF2BB8"/>
    <w:rsid w:val="00EF2F67"/>
    <w:rsid w:val="00EF32AA"/>
    <w:rsid w:val="00EF3444"/>
    <w:rsid w:val="00EF3565"/>
    <w:rsid w:val="00EF36E9"/>
    <w:rsid w:val="00EF3804"/>
    <w:rsid w:val="00EF38FF"/>
    <w:rsid w:val="00EF397E"/>
    <w:rsid w:val="00EF39F7"/>
    <w:rsid w:val="00EF39FD"/>
    <w:rsid w:val="00EF3A7B"/>
    <w:rsid w:val="00EF3B6E"/>
    <w:rsid w:val="00EF3C50"/>
    <w:rsid w:val="00EF3C54"/>
    <w:rsid w:val="00EF3C79"/>
    <w:rsid w:val="00EF3CB6"/>
    <w:rsid w:val="00EF3D9D"/>
    <w:rsid w:val="00EF400A"/>
    <w:rsid w:val="00EF4057"/>
    <w:rsid w:val="00EF4122"/>
    <w:rsid w:val="00EF4137"/>
    <w:rsid w:val="00EF4232"/>
    <w:rsid w:val="00EF4350"/>
    <w:rsid w:val="00EF43D6"/>
    <w:rsid w:val="00EF44CF"/>
    <w:rsid w:val="00EF464A"/>
    <w:rsid w:val="00EF465B"/>
    <w:rsid w:val="00EF465F"/>
    <w:rsid w:val="00EF47F9"/>
    <w:rsid w:val="00EF489F"/>
    <w:rsid w:val="00EF48DD"/>
    <w:rsid w:val="00EF4984"/>
    <w:rsid w:val="00EF49FD"/>
    <w:rsid w:val="00EF4A2B"/>
    <w:rsid w:val="00EF4AF0"/>
    <w:rsid w:val="00EF4C36"/>
    <w:rsid w:val="00EF4C89"/>
    <w:rsid w:val="00EF4CDC"/>
    <w:rsid w:val="00EF4D1C"/>
    <w:rsid w:val="00EF4DCD"/>
    <w:rsid w:val="00EF4EEA"/>
    <w:rsid w:val="00EF4F88"/>
    <w:rsid w:val="00EF55DC"/>
    <w:rsid w:val="00EF56CB"/>
    <w:rsid w:val="00EF5708"/>
    <w:rsid w:val="00EF57F4"/>
    <w:rsid w:val="00EF59CE"/>
    <w:rsid w:val="00EF59F4"/>
    <w:rsid w:val="00EF5A51"/>
    <w:rsid w:val="00EF5AD0"/>
    <w:rsid w:val="00EF5AD3"/>
    <w:rsid w:val="00EF5AF0"/>
    <w:rsid w:val="00EF5AF6"/>
    <w:rsid w:val="00EF5C0A"/>
    <w:rsid w:val="00EF5C2C"/>
    <w:rsid w:val="00EF5D09"/>
    <w:rsid w:val="00EF6096"/>
    <w:rsid w:val="00EF60FA"/>
    <w:rsid w:val="00EF6141"/>
    <w:rsid w:val="00EF63B6"/>
    <w:rsid w:val="00EF652B"/>
    <w:rsid w:val="00EF6575"/>
    <w:rsid w:val="00EF6731"/>
    <w:rsid w:val="00EF69D8"/>
    <w:rsid w:val="00EF6A7D"/>
    <w:rsid w:val="00EF6A8C"/>
    <w:rsid w:val="00EF6B76"/>
    <w:rsid w:val="00EF6C46"/>
    <w:rsid w:val="00EF6E03"/>
    <w:rsid w:val="00EF7023"/>
    <w:rsid w:val="00EF7069"/>
    <w:rsid w:val="00EF7079"/>
    <w:rsid w:val="00EF7147"/>
    <w:rsid w:val="00EF734A"/>
    <w:rsid w:val="00EF7386"/>
    <w:rsid w:val="00EF751C"/>
    <w:rsid w:val="00EF761C"/>
    <w:rsid w:val="00EF7881"/>
    <w:rsid w:val="00EF79D7"/>
    <w:rsid w:val="00EF7A4B"/>
    <w:rsid w:val="00EF7C77"/>
    <w:rsid w:val="00EF7CE2"/>
    <w:rsid w:val="00EF7CED"/>
    <w:rsid w:val="00EF7D6B"/>
    <w:rsid w:val="00EF7E5D"/>
    <w:rsid w:val="00EF7E85"/>
    <w:rsid w:val="00EF7F1C"/>
    <w:rsid w:val="00EF7F97"/>
    <w:rsid w:val="00F00035"/>
    <w:rsid w:val="00F00231"/>
    <w:rsid w:val="00F00473"/>
    <w:rsid w:val="00F00642"/>
    <w:rsid w:val="00F00671"/>
    <w:rsid w:val="00F009C7"/>
    <w:rsid w:val="00F00A4C"/>
    <w:rsid w:val="00F00A72"/>
    <w:rsid w:val="00F00B39"/>
    <w:rsid w:val="00F00C35"/>
    <w:rsid w:val="00F00D0D"/>
    <w:rsid w:val="00F00E32"/>
    <w:rsid w:val="00F00EC2"/>
    <w:rsid w:val="00F00EFD"/>
    <w:rsid w:val="00F00F7E"/>
    <w:rsid w:val="00F01230"/>
    <w:rsid w:val="00F01281"/>
    <w:rsid w:val="00F0131D"/>
    <w:rsid w:val="00F013C5"/>
    <w:rsid w:val="00F01515"/>
    <w:rsid w:val="00F01527"/>
    <w:rsid w:val="00F015E4"/>
    <w:rsid w:val="00F01658"/>
    <w:rsid w:val="00F01662"/>
    <w:rsid w:val="00F016E4"/>
    <w:rsid w:val="00F01806"/>
    <w:rsid w:val="00F01B4E"/>
    <w:rsid w:val="00F01B54"/>
    <w:rsid w:val="00F01C3F"/>
    <w:rsid w:val="00F01DB1"/>
    <w:rsid w:val="00F01F7E"/>
    <w:rsid w:val="00F02165"/>
    <w:rsid w:val="00F0220D"/>
    <w:rsid w:val="00F02513"/>
    <w:rsid w:val="00F02815"/>
    <w:rsid w:val="00F029B8"/>
    <w:rsid w:val="00F02B05"/>
    <w:rsid w:val="00F02C63"/>
    <w:rsid w:val="00F02D7F"/>
    <w:rsid w:val="00F0302E"/>
    <w:rsid w:val="00F030D5"/>
    <w:rsid w:val="00F033BA"/>
    <w:rsid w:val="00F0358D"/>
    <w:rsid w:val="00F036DE"/>
    <w:rsid w:val="00F03A85"/>
    <w:rsid w:val="00F03DB7"/>
    <w:rsid w:val="00F04138"/>
    <w:rsid w:val="00F042B9"/>
    <w:rsid w:val="00F043A6"/>
    <w:rsid w:val="00F0467E"/>
    <w:rsid w:val="00F04729"/>
    <w:rsid w:val="00F0477B"/>
    <w:rsid w:val="00F048C4"/>
    <w:rsid w:val="00F04984"/>
    <w:rsid w:val="00F04ACE"/>
    <w:rsid w:val="00F04BC8"/>
    <w:rsid w:val="00F04D2D"/>
    <w:rsid w:val="00F04D44"/>
    <w:rsid w:val="00F04E92"/>
    <w:rsid w:val="00F052AB"/>
    <w:rsid w:val="00F052C0"/>
    <w:rsid w:val="00F0533F"/>
    <w:rsid w:val="00F05529"/>
    <w:rsid w:val="00F058AF"/>
    <w:rsid w:val="00F05A84"/>
    <w:rsid w:val="00F05AD8"/>
    <w:rsid w:val="00F05CFF"/>
    <w:rsid w:val="00F05D19"/>
    <w:rsid w:val="00F05D54"/>
    <w:rsid w:val="00F05D8D"/>
    <w:rsid w:val="00F05D95"/>
    <w:rsid w:val="00F05FCA"/>
    <w:rsid w:val="00F06139"/>
    <w:rsid w:val="00F062F3"/>
    <w:rsid w:val="00F0632F"/>
    <w:rsid w:val="00F06357"/>
    <w:rsid w:val="00F063F3"/>
    <w:rsid w:val="00F06467"/>
    <w:rsid w:val="00F0649C"/>
    <w:rsid w:val="00F0654B"/>
    <w:rsid w:val="00F0654E"/>
    <w:rsid w:val="00F06587"/>
    <w:rsid w:val="00F067B2"/>
    <w:rsid w:val="00F067BE"/>
    <w:rsid w:val="00F0685A"/>
    <w:rsid w:val="00F068EE"/>
    <w:rsid w:val="00F06A2E"/>
    <w:rsid w:val="00F06BAF"/>
    <w:rsid w:val="00F06D7C"/>
    <w:rsid w:val="00F06F26"/>
    <w:rsid w:val="00F0700E"/>
    <w:rsid w:val="00F070BF"/>
    <w:rsid w:val="00F07122"/>
    <w:rsid w:val="00F071BD"/>
    <w:rsid w:val="00F07239"/>
    <w:rsid w:val="00F07301"/>
    <w:rsid w:val="00F074B2"/>
    <w:rsid w:val="00F074B7"/>
    <w:rsid w:val="00F074E6"/>
    <w:rsid w:val="00F075B5"/>
    <w:rsid w:val="00F07676"/>
    <w:rsid w:val="00F07677"/>
    <w:rsid w:val="00F0770C"/>
    <w:rsid w:val="00F07717"/>
    <w:rsid w:val="00F07AAB"/>
    <w:rsid w:val="00F07BD2"/>
    <w:rsid w:val="00F07C4B"/>
    <w:rsid w:val="00F07C8C"/>
    <w:rsid w:val="00F07C9E"/>
    <w:rsid w:val="00F07D21"/>
    <w:rsid w:val="00F07D8D"/>
    <w:rsid w:val="00F07F32"/>
    <w:rsid w:val="00F07F86"/>
    <w:rsid w:val="00F1008C"/>
    <w:rsid w:val="00F100E4"/>
    <w:rsid w:val="00F10222"/>
    <w:rsid w:val="00F10392"/>
    <w:rsid w:val="00F103AB"/>
    <w:rsid w:val="00F104B1"/>
    <w:rsid w:val="00F104F2"/>
    <w:rsid w:val="00F106D2"/>
    <w:rsid w:val="00F10853"/>
    <w:rsid w:val="00F1092C"/>
    <w:rsid w:val="00F10938"/>
    <w:rsid w:val="00F109EC"/>
    <w:rsid w:val="00F10C5B"/>
    <w:rsid w:val="00F10E4F"/>
    <w:rsid w:val="00F10FFE"/>
    <w:rsid w:val="00F11183"/>
    <w:rsid w:val="00F113B4"/>
    <w:rsid w:val="00F114E6"/>
    <w:rsid w:val="00F1153A"/>
    <w:rsid w:val="00F11575"/>
    <w:rsid w:val="00F116DD"/>
    <w:rsid w:val="00F11B86"/>
    <w:rsid w:val="00F11C0D"/>
    <w:rsid w:val="00F11D20"/>
    <w:rsid w:val="00F11DED"/>
    <w:rsid w:val="00F11DEE"/>
    <w:rsid w:val="00F11E66"/>
    <w:rsid w:val="00F11ECC"/>
    <w:rsid w:val="00F12017"/>
    <w:rsid w:val="00F12108"/>
    <w:rsid w:val="00F122D4"/>
    <w:rsid w:val="00F1230B"/>
    <w:rsid w:val="00F12374"/>
    <w:rsid w:val="00F1253F"/>
    <w:rsid w:val="00F1258E"/>
    <w:rsid w:val="00F12595"/>
    <w:rsid w:val="00F126E5"/>
    <w:rsid w:val="00F12736"/>
    <w:rsid w:val="00F1284A"/>
    <w:rsid w:val="00F12975"/>
    <w:rsid w:val="00F12AB1"/>
    <w:rsid w:val="00F12C82"/>
    <w:rsid w:val="00F12E96"/>
    <w:rsid w:val="00F12F7E"/>
    <w:rsid w:val="00F12FE1"/>
    <w:rsid w:val="00F12FFA"/>
    <w:rsid w:val="00F1303D"/>
    <w:rsid w:val="00F130DD"/>
    <w:rsid w:val="00F130FC"/>
    <w:rsid w:val="00F13124"/>
    <w:rsid w:val="00F13331"/>
    <w:rsid w:val="00F133BA"/>
    <w:rsid w:val="00F133F7"/>
    <w:rsid w:val="00F13472"/>
    <w:rsid w:val="00F1359A"/>
    <w:rsid w:val="00F13755"/>
    <w:rsid w:val="00F1395A"/>
    <w:rsid w:val="00F13A4A"/>
    <w:rsid w:val="00F13A55"/>
    <w:rsid w:val="00F13A94"/>
    <w:rsid w:val="00F13C11"/>
    <w:rsid w:val="00F13C92"/>
    <w:rsid w:val="00F13CB0"/>
    <w:rsid w:val="00F13E35"/>
    <w:rsid w:val="00F13EA0"/>
    <w:rsid w:val="00F14161"/>
    <w:rsid w:val="00F1418B"/>
    <w:rsid w:val="00F141F8"/>
    <w:rsid w:val="00F1426F"/>
    <w:rsid w:val="00F142F9"/>
    <w:rsid w:val="00F14345"/>
    <w:rsid w:val="00F14351"/>
    <w:rsid w:val="00F143C7"/>
    <w:rsid w:val="00F14421"/>
    <w:rsid w:val="00F146AF"/>
    <w:rsid w:val="00F146BE"/>
    <w:rsid w:val="00F149D2"/>
    <w:rsid w:val="00F14DE3"/>
    <w:rsid w:val="00F150B2"/>
    <w:rsid w:val="00F150E8"/>
    <w:rsid w:val="00F15208"/>
    <w:rsid w:val="00F15238"/>
    <w:rsid w:val="00F15254"/>
    <w:rsid w:val="00F15318"/>
    <w:rsid w:val="00F153B1"/>
    <w:rsid w:val="00F154E4"/>
    <w:rsid w:val="00F156FA"/>
    <w:rsid w:val="00F157DA"/>
    <w:rsid w:val="00F1599A"/>
    <w:rsid w:val="00F15AC2"/>
    <w:rsid w:val="00F15C89"/>
    <w:rsid w:val="00F15C8B"/>
    <w:rsid w:val="00F15F03"/>
    <w:rsid w:val="00F16029"/>
    <w:rsid w:val="00F16093"/>
    <w:rsid w:val="00F160E2"/>
    <w:rsid w:val="00F1636A"/>
    <w:rsid w:val="00F16460"/>
    <w:rsid w:val="00F1656E"/>
    <w:rsid w:val="00F1689A"/>
    <w:rsid w:val="00F169A9"/>
    <w:rsid w:val="00F16A06"/>
    <w:rsid w:val="00F16AA6"/>
    <w:rsid w:val="00F16B4D"/>
    <w:rsid w:val="00F16CE2"/>
    <w:rsid w:val="00F16D0D"/>
    <w:rsid w:val="00F17089"/>
    <w:rsid w:val="00F170EB"/>
    <w:rsid w:val="00F17129"/>
    <w:rsid w:val="00F171C1"/>
    <w:rsid w:val="00F17314"/>
    <w:rsid w:val="00F1731E"/>
    <w:rsid w:val="00F173F4"/>
    <w:rsid w:val="00F1750B"/>
    <w:rsid w:val="00F17871"/>
    <w:rsid w:val="00F1795F"/>
    <w:rsid w:val="00F179A6"/>
    <w:rsid w:val="00F17B5A"/>
    <w:rsid w:val="00F17C84"/>
    <w:rsid w:val="00F17CBB"/>
    <w:rsid w:val="00F17EF4"/>
    <w:rsid w:val="00F17F25"/>
    <w:rsid w:val="00F20059"/>
    <w:rsid w:val="00F20299"/>
    <w:rsid w:val="00F203BC"/>
    <w:rsid w:val="00F20508"/>
    <w:rsid w:val="00F20537"/>
    <w:rsid w:val="00F206BF"/>
    <w:rsid w:val="00F207D2"/>
    <w:rsid w:val="00F208CA"/>
    <w:rsid w:val="00F208D9"/>
    <w:rsid w:val="00F20AB8"/>
    <w:rsid w:val="00F20C7E"/>
    <w:rsid w:val="00F20F92"/>
    <w:rsid w:val="00F21017"/>
    <w:rsid w:val="00F21466"/>
    <w:rsid w:val="00F21589"/>
    <w:rsid w:val="00F21596"/>
    <w:rsid w:val="00F2167F"/>
    <w:rsid w:val="00F21742"/>
    <w:rsid w:val="00F21778"/>
    <w:rsid w:val="00F21919"/>
    <w:rsid w:val="00F219B1"/>
    <w:rsid w:val="00F21A35"/>
    <w:rsid w:val="00F21A56"/>
    <w:rsid w:val="00F21BEF"/>
    <w:rsid w:val="00F21D00"/>
    <w:rsid w:val="00F21E81"/>
    <w:rsid w:val="00F21FAE"/>
    <w:rsid w:val="00F22189"/>
    <w:rsid w:val="00F223A5"/>
    <w:rsid w:val="00F2244D"/>
    <w:rsid w:val="00F224ED"/>
    <w:rsid w:val="00F225C8"/>
    <w:rsid w:val="00F2268A"/>
    <w:rsid w:val="00F227CE"/>
    <w:rsid w:val="00F227CF"/>
    <w:rsid w:val="00F22890"/>
    <w:rsid w:val="00F229FB"/>
    <w:rsid w:val="00F22A6C"/>
    <w:rsid w:val="00F22B96"/>
    <w:rsid w:val="00F22BC5"/>
    <w:rsid w:val="00F22DE8"/>
    <w:rsid w:val="00F22E87"/>
    <w:rsid w:val="00F230AC"/>
    <w:rsid w:val="00F23165"/>
    <w:rsid w:val="00F23491"/>
    <w:rsid w:val="00F23557"/>
    <w:rsid w:val="00F235D4"/>
    <w:rsid w:val="00F238CA"/>
    <w:rsid w:val="00F23955"/>
    <w:rsid w:val="00F23DF7"/>
    <w:rsid w:val="00F23ED7"/>
    <w:rsid w:val="00F23F3D"/>
    <w:rsid w:val="00F240D7"/>
    <w:rsid w:val="00F241A0"/>
    <w:rsid w:val="00F24269"/>
    <w:rsid w:val="00F2465C"/>
    <w:rsid w:val="00F24755"/>
    <w:rsid w:val="00F24812"/>
    <w:rsid w:val="00F2484B"/>
    <w:rsid w:val="00F249FE"/>
    <w:rsid w:val="00F24A42"/>
    <w:rsid w:val="00F24AD2"/>
    <w:rsid w:val="00F24B17"/>
    <w:rsid w:val="00F24B40"/>
    <w:rsid w:val="00F24BA1"/>
    <w:rsid w:val="00F24BC6"/>
    <w:rsid w:val="00F24E06"/>
    <w:rsid w:val="00F24F44"/>
    <w:rsid w:val="00F24FB1"/>
    <w:rsid w:val="00F25062"/>
    <w:rsid w:val="00F250F7"/>
    <w:rsid w:val="00F25176"/>
    <w:rsid w:val="00F2518E"/>
    <w:rsid w:val="00F2526C"/>
    <w:rsid w:val="00F252EA"/>
    <w:rsid w:val="00F25433"/>
    <w:rsid w:val="00F254EF"/>
    <w:rsid w:val="00F255A4"/>
    <w:rsid w:val="00F2561E"/>
    <w:rsid w:val="00F257E2"/>
    <w:rsid w:val="00F259E5"/>
    <w:rsid w:val="00F25E79"/>
    <w:rsid w:val="00F25EED"/>
    <w:rsid w:val="00F26241"/>
    <w:rsid w:val="00F26248"/>
    <w:rsid w:val="00F262FD"/>
    <w:rsid w:val="00F26344"/>
    <w:rsid w:val="00F263E6"/>
    <w:rsid w:val="00F26603"/>
    <w:rsid w:val="00F2661C"/>
    <w:rsid w:val="00F266EA"/>
    <w:rsid w:val="00F2676C"/>
    <w:rsid w:val="00F2685C"/>
    <w:rsid w:val="00F268A6"/>
    <w:rsid w:val="00F268F3"/>
    <w:rsid w:val="00F26917"/>
    <w:rsid w:val="00F26A4A"/>
    <w:rsid w:val="00F26AF6"/>
    <w:rsid w:val="00F26B05"/>
    <w:rsid w:val="00F26C1D"/>
    <w:rsid w:val="00F26D4F"/>
    <w:rsid w:val="00F26E68"/>
    <w:rsid w:val="00F26F02"/>
    <w:rsid w:val="00F26FA2"/>
    <w:rsid w:val="00F271AD"/>
    <w:rsid w:val="00F273FA"/>
    <w:rsid w:val="00F27461"/>
    <w:rsid w:val="00F27564"/>
    <w:rsid w:val="00F276AE"/>
    <w:rsid w:val="00F27802"/>
    <w:rsid w:val="00F27D4C"/>
    <w:rsid w:val="00F27E5B"/>
    <w:rsid w:val="00F27F27"/>
    <w:rsid w:val="00F27F70"/>
    <w:rsid w:val="00F27FA9"/>
    <w:rsid w:val="00F30036"/>
    <w:rsid w:val="00F30079"/>
    <w:rsid w:val="00F3022C"/>
    <w:rsid w:val="00F30268"/>
    <w:rsid w:val="00F305DD"/>
    <w:rsid w:val="00F305E4"/>
    <w:rsid w:val="00F30773"/>
    <w:rsid w:val="00F3079F"/>
    <w:rsid w:val="00F307DB"/>
    <w:rsid w:val="00F308CF"/>
    <w:rsid w:val="00F30A3E"/>
    <w:rsid w:val="00F30B02"/>
    <w:rsid w:val="00F30BD1"/>
    <w:rsid w:val="00F30CD4"/>
    <w:rsid w:val="00F30E6F"/>
    <w:rsid w:val="00F31302"/>
    <w:rsid w:val="00F3148C"/>
    <w:rsid w:val="00F314CE"/>
    <w:rsid w:val="00F3153F"/>
    <w:rsid w:val="00F31553"/>
    <w:rsid w:val="00F3176B"/>
    <w:rsid w:val="00F317A1"/>
    <w:rsid w:val="00F317A2"/>
    <w:rsid w:val="00F3187C"/>
    <w:rsid w:val="00F31A82"/>
    <w:rsid w:val="00F31B5F"/>
    <w:rsid w:val="00F31CA4"/>
    <w:rsid w:val="00F31FD7"/>
    <w:rsid w:val="00F32009"/>
    <w:rsid w:val="00F3200C"/>
    <w:rsid w:val="00F32030"/>
    <w:rsid w:val="00F32052"/>
    <w:rsid w:val="00F32072"/>
    <w:rsid w:val="00F3216C"/>
    <w:rsid w:val="00F321BC"/>
    <w:rsid w:val="00F321DD"/>
    <w:rsid w:val="00F322AC"/>
    <w:rsid w:val="00F323BA"/>
    <w:rsid w:val="00F323D1"/>
    <w:rsid w:val="00F3242E"/>
    <w:rsid w:val="00F32479"/>
    <w:rsid w:val="00F325E4"/>
    <w:rsid w:val="00F32605"/>
    <w:rsid w:val="00F327AA"/>
    <w:rsid w:val="00F3280C"/>
    <w:rsid w:val="00F3285D"/>
    <w:rsid w:val="00F32968"/>
    <w:rsid w:val="00F32977"/>
    <w:rsid w:val="00F32B6D"/>
    <w:rsid w:val="00F32C1D"/>
    <w:rsid w:val="00F32FF9"/>
    <w:rsid w:val="00F33324"/>
    <w:rsid w:val="00F33343"/>
    <w:rsid w:val="00F33373"/>
    <w:rsid w:val="00F335ED"/>
    <w:rsid w:val="00F336DD"/>
    <w:rsid w:val="00F33B3A"/>
    <w:rsid w:val="00F33C38"/>
    <w:rsid w:val="00F33D91"/>
    <w:rsid w:val="00F33E8F"/>
    <w:rsid w:val="00F33F09"/>
    <w:rsid w:val="00F34000"/>
    <w:rsid w:val="00F34108"/>
    <w:rsid w:val="00F341C8"/>
    <w:rsid w:val="00F342A9"/>
    <w:rsid w:val="00F342C9"/>
    <w:rsid w:val="00F3432A"/>
    <w:rsid w:val="00F34425"/>
    <w:rsid w:val="00F344A6"/>
    <w:rsid w:val="00F345BD"/>
    <w:rsid w:val="00F34602"/>
    <w:rsid w:val="00F34623"/>
    <w:rsid w:val="00F34682"/>
    <w:rsid w:val="00F34771"/>
    <w:rsid w:val="00F347C0"/>
    <w:rsid w:val="00F347FD"/>
    <w:rsid w:val="00F349E3"/>
    <w:rsid w:val="00F34A6B"/>
    <w:rsid w:val="00F34B03"/>
    <w:rsid w:val="00F34C74"/>
    <w:rsid w:val="00F34CF0"/>
    <w:rsid w:val="00F34DA1"/>
    <w:rsid w:val="00F34E0B"/>
    <w:rsid w:val="00F34E7A"/>
    <w:rsid w:val="00F34F05"/>
    <w:rsid w:val="00F34F1D"/>
    <w:rsid w:val="00F34F27"/>
    <w:rsid w:val="00F35545"/>
    <w:rsid w:val="00F35634"/>
    <w:rsid w:val="00F3566A"/>
    <w:rsid w:val="00F35A8F"/>
    <w:rsid w:val="00F35AF1"/>
    <w:rsid w:val="00F35B52"/>
    <w:rsid w:val="00F35BBD"/>
    <w:rsid w:val="00F35D66"/>
    <w:rsid w:val="00F35DAD"/>
    <w:rsid w:val="00F35ECE"/>
    <w:rsid w:val="00F35EE3"/>
    <w:rsid w:val="00F361DE"/>
    <w:rsid w:val="00F36284"/>
    <w:rsid w:val="00F362FD"/>
    <w:rsid w:val="00F36327"/>
    <w:rsid w:val="00F364D8"/>
    <w:rsid w:val="00F3669D"/>
    <w:rsid w:val="00F36715"/>
    <w:rsid w:val="00F36970"/>
    <w:rsid w:val="00F36ABE"/>
    <w:rsid w:val="00F36D7E"/>
    <w:rsid w:val="00F36EEC"/>
    <w:rsid w:val="00F36F06"/>
    <w:rsid w:val="00F36F16"/>
    <w:rsid w:val="00F370F1"/>
    <w:rsid w:val="00F371C0"/>
    <w:rsid w:val="00F37250"/>
    <w:rsid w:val="00F3727D"/>
    <w:rsid w:val="00F3733F"/>
    <w:rsid w:val="00F37353"/>
    <w:rsid w:val="00F37361"/>
    <w:rsid w:val="00F373F7"/>
    <w:rsid w:val="00F3757A"/>
    <w:rsid w:val="00F376AF"/>
    <w:rsid w:val="00F376DB"/>
    <w:rsid w:val="00F376F3"/>
    <w:rsid w:val="00F37746"/>
    <w:rsid w:val="00F37A18"/>
    <w:rsid w:val="00F37C15"/>
    <w:rsid w:val="00F37DAB"/>
    <w:rsid w:val="00F4036C"/>
    <w:rsid w:val="00F40471"/>
    <w:rsid w:val="00F4086F"/>
    <w:rsid w:val="00F40900"/>
    <w:rsid w:val="00F40942"/>
    <w:rsid w:val="00F40A74"/>
    <w:rsid w:val="00F40A7A"/>
    <w:rsid w:val="00F40AF7"/>
    <w:rsid w:val="00F40BE6"/>
    <w:rsid w:val="00F40C6F"/>
    <w:rsid w:val="00F40C87"/>
    <w:rsid w:val="00F40EB2"/>
    <w:rsid w:val="00F40F42"/>
    <w:rsid w:val="00F40FA6"/>
    <w:rsid w:val="00F4103E"/>
    <w:rsid w:val="00F41054"/>
    <w:rsid w:val="00F41356"/>
    <w:rsid w:val="00F4135F"/>
    <w:rsid w:val="00F41459"/>
    <w:rsid w:val="00F414A1"/>
    <w:rsid w:val="00F4163B"/>
    <w:rsid w:val="00F4163E"/>
    <w:rsid w:val="00F41A28"/>
    <w:rsid w:val="00F41B26"/>
    <w:rsid w:val="00F41B41"/>
    <w:rsid w:val="00F41B7E"/>
    <w:rsid w:val="00F41E16"/>
    <w:rsid w:val="00F41F93"/>
    <w:rsid w:val="00F41FE6"/>
    <w:rsid w:val="00F42035"/>
    <w:rsid w:val="00F422F4"/>
    <w:rsid w:val="00F42322"/>
    <w:rsid w:val="00F426BE"/>
    <w:rsid w:val="00F42702"/>
    <w:rsid w:val="00F4272D"/>
    <w:rsid w:val="00F42BD7"/>
    <w:rsid w:val="00F42CB2"/>
    <w:rsid w:val="00F42FBA"/>
    <w:rsid w:val="00F43187"/>
    <w:rsid w:val="00F43587"/>
    <w:rsid w:val="00F4362D"/>
    <w:rsid w:val="00F43811"/>
    <w:rsid w:val="00F43814"/>
    <w:rsid w:val="00F43832"/>
    <w:rsid w:val="00F43A30"/>
    <w:rsid w:val="00F43C16"/>
    <w:rsid w:val="00F43C8E"/>
    <w:rsid w:val="00F43CE1"/>
    <w:rsid w:val="00F43E0D"/>
    <w:rsid w:val="00F43E59"/>
    <w:rsid w:val="00F43F2E"/>
    <w:rsid w:val="00F43FA5"/>
    <w:rsid w:val="00F44049"/>
    <w:rsid w:val="00F442A1"/>
    <w:rsid w:val="00F4437D"/>
    <w:rsid w:val="00F44490"/>
    <w:rsid w:val="00F444DB"/>
    <w:rsid w:val="00F4458B"/>
    <w:rsid w:val="00F445CA"/>
    <w:rsid w:val="00F446D9"/>
    <w:rsid w:val="00F44A33"/>
    <w:rsid w:val="00F44ABB"/>
    <w:rsid w:val="00F44AF1"/>
    <w:rsid w:val="00F44B39"/>
    <w:rsid w:val="00F44C1B"/>
    <w:rsid w:val="00F44EA1"/>
    <w:rsid w:val="00F44FD2"/>
    <w:rsid w:val="00F450E6"/>
    <w:rsid w:val="00F45270"/>
    <w:rsid w:val="00F45494"/>
    <w:rsid w:val="00F455D3"/>
    <w:rsid w:val="00F4569A"/>
    <w:rsid w:val="00F4579A"/>
    <w:rsid w:val="00F45972"/>
    <w:rsid w:val="00F45D8F"/>
    <w:rsid w:val="00F45FAB"/>
    <w:rsid w:val="00F460E6"/>
    <w:rsid w:val="00F462DB"/>
    <w:rsid w:val="00F46368"/>
    <w:rsid w:val="00F463A4"/>
    <w:rsid w:val="00F463FB"/>
    <w:rsid w:val="00F465C4"/>
    <w:rsid w:val="00F465E5"/>
    <w:rsid w:val="00F46655"/>
    <w:rsid w:val="00F46922"/>
    <w:rsid w:val="00F4692A"/>
    <w:rsid w:val="00F46A07"/>
    <w:rsid w:val="00F46AC3"/>
    <w:rsid w:val="00F46AC8"/>
    <w:rsid w:val="00F46BB5"/>
    <w:rsid w:val="00F46C29"/>
    <w:rsid w:val="00F46DCD"/>
    <w:rsid w:val="00F46EE7"/>
    <w:rsid w:val="00F46F16"/>
    <w:rsid w:val="00F46F76"/>
    <w:rsid w:val="00F46FBC"/>
    <w:rsid w:val="00F470C0"/>
    <w:rsid w:val="00F471DF"/>
    <w:rsid w:val="00F4728B"/>
    <w:rsid w:val="00F475C4"/>
    <w:rsid w:val="00F4766E"/>
    <w:rsid w:val="00F477C5"/>
    <w:rsid w:val="00F479A4"/>
    <w:rsid w:val="00F479C0"/>
    <w:rsid w:val="00F47A77"/>
    <w:rsid w:val="00F47AC0"/>
    <w:rsid w:val="00F47B1A"/>
    <w:rsid w:val="00F47BFB"/>
    <w:rsid w:val="00F47C17"/>
    <w:rsid w:val="00F47C7D"/>
    <w:rsid w:val="00F47E2A"/>
    <w:rsid w:val="00F50108"/>
    <w:rsid w:val="00F5013C"/>
    <w:rsid w:val="00F501DA"/>
    <w:rsid w:val="00F50318"/>
    <w:rsid w:val="00F5038B"/>
    <w:rsid w:val="00F504AC"/>
    <w:rsid w:val="00F50529"/>
    <w:rsid w:val="00F505DD"/>
    <w:rsid w:val="00F505FD"/>
    <w:rsid w:val="00F506C4"/>
    <w:rsid w:val="00F5095E"/>
    <w:rsid w:val="00F50AB8"/>
    <w:rsid w:val="00F50BA5"/>
    <w:rsid w:val="00F50C4D"/>
    <w:rsid w:val="00F50C80"/>
    <w:rsid w:val="00F50D52"/>
    <w:rsid w:val="00F511AA"/>
    <w:rsid w:val="00F512A9"/>
    <w:rsid w:val="00F512AE"/>
    <w:rsid w:val="00F512D5"/>
    <w:rsid w:val="00F514EC"/>
    <w:rsid w:val="00F5161C"/>
    <w:rsid w:val="00F516C2"/>
    <w:rsid w:val="00F5170C"/>
    <w:rsid w:val="00F51797"/>
    <w:rsid w:val="00F51879"/>
    <w:rsid w:val="00F518BD"/>
    <w:rsid w:val="00F51A6F"/>
    <w:rsid w:val="00F51BA3"/>
    <w:rsid w:val="00F51C1C"/>
    <w:rsid w:val="00F51C93"/>
    <w:rsid w:val="00F51D5A"/>
    <w:rsid w:val="00F51D62"/>
    <w:rsid w:val="00F51F12"/>
    <w:rsid w:val="00F51F81"/>
    <w:rsid w:val="00F51FC3"/>
    <w:rsid w:val="00F52103"/>
    <w:rsid w:val="00F52587"/>
    <w:rsid w:val="00F525CE"/>
    <w:rsid w:val="00F52675"/>
    <w:rsid w:val="00F526F7"/>
    <w:rsid w:val="00F5273F"/>
    <w:rsid w:val="00F52854"/>
    <w:rsid w:val="00F528E9"/>
    <w:rsid w:val="00F52A8D"/>
    <w:rsid w:val="00F52D3B"/>
    <w:rsid w:val="00F530BC"/>
    <w:rsid w:val="00F53305"/>
    <w:rsid w:val="00F5344B"/>
    <w:rsid w:val="00F53488"/>
    <w:rsid w:val="00F53604"/>
    <w:rsid w:val="00F53744"/>
    <w:rsid w:val="00F53797"/>
    <w:rsid w:val="00F537A5"/>
    <w:rsid w:val="00F538F1"/>
    <w:rsid w:val="00F5395D"/>
    <w:rsid w:val="00F53BA0"/>
    <w:rsid w:val="00F53BA8"/>
    <w:rsid w:val="00F53C8C"/>
    <w:rsid w:val="00F53DBB"/>
    <w:rsid w:val="00F53DBD"/>
    <w:rsid w:val="00F53E9B"/>
    <w:rsid w:val="00F53F56"/>
    <w:rsid w:val="00F5413B"/>
    <w:rsid w:val="00F544A9"/>
    <w:rsid w:val="00F546AA"/>
    <w:rsid w:val="00F547A4"/>
    <w:rsid w:val="00F5496F"/>
    <w:rsid w:val="00F54983"/>
    <w:rsid w:val="00F549E4"/>
    <w:rsid w:val="00F54AC8"/>
    <w:rsid w:val="00F54BE0"/>
    <w:rsid w:val="00F54D29"/>
    <w:rsid w:val="00F54EF0"/>
    <w:rsid w:val="00F5525F"/>
    <w:rsid w:val="00F55355"/>
    <w:rsid w:val="00F5536C"/>
    <w:rsid w:val="00F55524"/>
    <w:rsid w:val="00F5574A"/>
    <w:rsid w:val="00F55932"/>
    <w:rsid w:val="00F55A7C"/>
    <w:rsid w:val="00F55BD4"/>
    <w:rsid w:val="00F55C3A"/>
    <w:rsid w:val="00F55C3F"/>
    <w:rsid w:val="00F55C51"/>
    <w:rsid w:val="00F55CE3"/>
    <w:rsid w:val="00F5600B"/>
    <w:rsid w:val="00F56114"/>
    <w:rsid w:val="00F563D3"/>
    <w:rsid w:val="00F56550"/>
    <w:rsid w:val="00F565C8"/>
    <w:rsid w:val="00F5684A"/>
    <w:rsid w:val="00F56A73"/>
    <w:rsid w:val="00F56A7F"/>
    <w:rsid w:val="00F56AF5"/>
    <w:rsid w:val="00F56E0C"/>
    <w:rsid w:val="00F56FBB"/>
    <w:rsid w:val="00F56FF9"/>
    <w:rsid w:val="00F57352"/>
    <w:rsid w:val="00F5743C"/>
    <w:rsid w:val="00F57A7E"/>
    <w:rsid w:val="00F57B38"/>
    <w:rsid w:val="00F57F5F"/>
    <w:rsid w:val="00F60396"/>
    <w:rsid w:val="00F6073F"/>
    <w:rsid w:val="00F607B3"/>
    <w:rsid w:val="00F607FF"/>
    <w:rsid w:val="00F608DC"/>
    <w:rsid w:val="00F608E9"/>
    <w:rsid w:val="00F60949"/>
    <w:rsid w:val="00F60B4A"/>
    <w:rsid w:val="00F60D88"/>
    <w:rsid w:val="00F60EA3"/>
    <w:rsid w:val="00F60F94"/>
    <w:rsid w:val="00F61007"/>
    <w:rsid w:val="00F61633"/>
    <w:rsid w:val="00F6166C"/>
    <w:rsid w:val="00F61898"/>
    <w:rsid w:val="00F61A61"/>
    <w:rsid w:val="00F61AB7"/>
    <w:rsid w:val="00F61CB0"/>
    <w:rsid w:val="00F61DF4"/>
    <w:rsid w:val="00F61EBD"/>
    <w:rsid w:val="00F61EF4"/>
    <w:rsid w:val="00F62193"/>
    <w:rsid w:val="00F623D8"/>
    <w:rsid w:val="00F62438"/>
    <w:rsid w:val="00F625C9"/>
    <w:rsid w:val="00F629B3"/>
    <w:rsid w:val="00F62A6B"/>
    <w:rsid w:val="00F62A93"/>
    <w:rsid w:val="00F62ADA"/>
    <w:rsid w:val="00F62B57"/>
    <w:rsid w:val="00F6313C"/>
    <w:rsid w:val="00F631B3"/>
    <w:rsid w:val="00F631D2"/>
    <w:rsid w:val="00F6329C"/>
    <w:rsid w:val="00F63330"/>
    <w:rsid w:val="00F63483"/>
    <w:rsid w:val="00F634B9"/>
    <w:rsid w:val="00F634E3"/>
    <w:rsid w:val="00F63577"/>
    <w:rsid w:val="00F6369E"/>
    <w:rsid w:val="00F637BC"/>
    <w:rsid w:val="00F637D0"/>
    <w:rsid w:val="00F6383D"/>
    <w:rsid w:val="00F63A30"/>
    <w:rsid w:val="00F63B65"/>
    <w:rsid w:val="00F63B9F"/>
    <w:rsid w:val="00F63CE6"/>
    <w:rsid w:val="00F63DAD"/>
    <w:rsid w:val="00F641D2"/>
    <w:rsid w:val="00F642FB"/>
    <w:rsid w:val="00F64313"/>
    <w:rsid w:val="00F645C4"/>
    <w:rsid w:val="00F647C0"/>
    <w:rsid w:val="00F648C4"/>
    <w:rsid w:val="00F649B2"/>
    <w:rsid w:val="00F64C35"/>
    <w:rsid w:val="00F64C52"/>
    <w:rsid w:val="00F64C7A"/>
    <w:rsid w:val="00F64C95"/>
    <w:rsid w:val="00F64D36"/>
    <w:rsid w:val="00F64DFB"/>
    <w:rsid w:val="00F64E0F"/>
    <w:rsid w:val="00F64F3E"/>
    <w:rsid w:val="00F65015"/>
    <w:rsid w:val="00F652A4"/>
    <w:rsid w:val="00F653D5"/>
    <w:rsid w:val="00F654CF"/>
    <w:rsid w:val="00F6552E"/>
    <w:rsid w:val="00F65716"/>
    <w:rsid w:val="00F657F1"/>
    <w:rsid w:val="00F65844"/>
    <w:rsid w:val="00F65852"/>
    <w:rsid w:val="00F65928"/>
    <w:rsid w:val="00F65BE4"/>
    <w:rsid w:val="00F65E0A"/>
    <w:rsid w:val="00F65F53"/>
    <w:rsid w:val="00F65F7B"/>
    <w:rsid w:val="00F660D2"/>
    <w:rsid w:val="00F66476"/>
    <w:rsid w:val="00F665ED"/>
    <w:rsid w:val="00F667F1"/>
    <w:rsid w:val="00F6682E"/>
    <w:rsid w:val="00F66844"/>
    <w:rsid w:val="00F668B2"/>
    <w:rsid w:val="00F66A48"/>
    <w:rsid w:val="00F66D79"/>
    <w:rsid w:val="00F66EF8"/>
    <w:rsid w:val="00F66F60"/>
    <w:rsid w:val="00F66F80"/>
    <w:rsid w:val="00F66FB6"/>
    <w:rsid w:val="00F670FD"/>
    <w:rsid w:val="00F6711C"/>
    <w:rsid w:val="00F67139"/>
    <w:rsid w:val="00F6716C"/>
    <w:rsid w:val="00F673DB"/>
    <w:rsid w:val="00F6766E"/>
    <w:rsid w:val="00F678B9"/>
    <w:rsid w:val="00F67929"/>
    <w:rsid w:val="00F67981"/>
    <w:rsid w:val="00F67C77"/>
    <w:rsid w:val="00F67C9C"/>
    <w:rsid w:val="00F67CC8"/>
    <w:rsid w:val="00F67F07"/>
    <w:rsid w:val="00F67FF8"/>
    <w:rsid w:val="00F70075"/>
    <w:rsid w:val="00F70166"/>
    <w:rsid w:val="00F701D1"/>
    <w:rsid w:val="00F703BA"/>
    <w:rsid w:val="00F704CD"/>
    <w:rsid w:val="00F70548"/>
    <w:rsid w:val="00F705DB"/>
    <w:rsid w:val="00F70748"/>
    <w:rsid w:val="00F708A3"/>
    <w:rsid w:val="00F70903"/>
    <w:rsid w:val="00F70976"/>
    <w:rsid w:val="00F709BC"/>
    <w:rsid w:val="00F70A18"/>
    <w:rsid w:val="00F70A57"/>
    <w:rsid w:val="00F70BCB"/>
    <w:rsid w:val="00F70BD8"/>
    <w:rsid w:val="00F70D52"/>
    <w:rsid w:val="00F70E1F"/>
    <w:rsid w:val="00F711D6"/>
    <w:rsid w:val="00F7151A"/>
    <w:rsid w:val="00F7152B"/>
    <w:rsid w:val="00F71563"/>
    <w:rsid w:val="00F715A6"/>
    <w:rsid w:val="00F715EF"/>
    <w:rsid w:val="00F71615"/>
    <w:rsid w:val="00F71731"/>
    <w:rsid w:val="00F71817"/>
    <w:rsid w:val="00F718A5"/>
    <w:rsid w:val="00F7198D"/>
    <w:rsid w:val="00F71B0C"/>
    <w:rsid w:val="00F71C82"/>
    <w:rsid w:val="00F71E17"/>
    <w:rsid w:val="00F71E48"/>
    <w:rsid w:val="00F71EB4"/>
    <w:rsid w:val="00F71EC5"/>
    <w:rsid w:val="00F71FD0"/>
    <w:rsid w:val="00F720E4"/>
    <w:rsid w:val="00F72110"/>
    <w:rsid w:val="00F7222A"/>
    <w:rsid w:val="00F7226C"/>
    <w:rsid w:val="00F722C4"/>
    <w:rsid w:val="00F7245E"/>
    <w:rsid w:val="00F7261A"/>
    <w:rsid w:val="00F7267E"/>
    <w:rsid w:val="00F72AAA"/>
    <w:rsid w:val="00F72B58"/>
    <w:rsid w:val="00F72C29"/>
    <w:rsid w:val="00F72DAE"/>
    <w:rsid w:val="00F731B3"/>
    <w:rsid w:val="00F73671"/>
    <w:rsid w:val="00F736FB"/>
    <w:rsid w:val="00F739B0"/>
    <w:rsid w:val="00F73AD5"/>
    <w:rsid w:val="00F73FB2"/>
    <w:rsid w:val="00F740BF"/>
    <w:rsid w:val="00F741AF"/>
    <w:rsid w:val="00F7420D"/>
    <w:rsid w:val="00F74212"/>
    <w:rsid w:val="00F742ED"/>
    <w:rsid w:val="00F743D7"/>
    <w:rsid w:val="00F743EF"/>
    <w:rsid w:val="00F743FA"/>
    <w:rsid w:val="00F745AB"/>
    <w:rsid w:val="00F74662"/>
    <w:rsid w:val="00F74719"/>
    <w:rsid w:val="00F74726"/>
    <w:rsid w:val="00F748F0"/>
    <w:rsid w:val="00F74A96"/>
    <w:rsid w:val="00F74B4C"/>
    <w:rsid w:val="00F74C88"/>
    <w:rsid w:val="00F74C90"/>
    <w:rsid w:val="00F74DC1"/>
    <w:rsid w:val="00F74E67"/>
    <w:rsid w:val="00F74FA7"/>
    <w:rsid w:val="00F75074"/>
    <w:rsid w:val="00F75101"/>
    <w:rsid w:val="00F75173"/>
    <w:rsid w:val="00F751AE"/>
    <w:rsid w:val="00F752DA"/>
    <w:rsid w:val="00F75573"/>
    <w:rsid w:val="00F75605"/>
    <w:rsid w:val="00F75865"/>
    <w:rsid w:val="00F75A18"/>
    <w:rsid w:val="00F75B8B"/>
    <w:rsid w:val="00F75BE4"/>
    <w:rsid w:val="00F75D25"/>
    <w:rsid w:val="00F75EDD"/>
    <w:rsid w:val="00F75F6E"/>
    <w:rsid w:val="00F75FFB"/>
    <w:rsid w:val="00F760BD"/>
    <w:rsid w:val="00F76343"/>
    <w:rsid w:val="00F763BE"/>
    <w:rsid w:val="00F7658B"/>
    <w:rsid w:val="00F767A0"/>
    <w:rsid w:val="00F76829"/>
    <w:rsid w:val="00F768AB"/>
    <w:rsid w:val="00F768C4"/>
    <w:rsid w:val="00F76B34"/>
    <w:rsid w:val="00F76C65"/>
    <w:rsid w:val="00F76DF9"/>
    <w:rsid w:val="00F76EDD"/>
    <w:rsid w:val="00F76F01"/>
    <w:rsid w:val="00F76FF8"/>
    <w:rsid w:val="00F77392"/>
    <w:rsid w:val="00F7740E"/>
    <w:rsid w:val="00F77473"/>
    <w:rsid w:val="00F774BC"/>
    <w:rsid w:val="00F77513"/>
    <w:rsid w:val="00F775E2"/>
    <w:rsid w:val="00F77706"/>
    <w:rsid w:val="00F77853"/>
    <w:rsid w:val="00F77945"/>
    <w:rsid w:val="00F77B3D"/>
    <w:rsid w:val="00F77B7E"/>
    <w:rsid w:val="00F77D36"/>
    <w:rsid w:val="00F77DDA"/>
    <w:rsid w:val="00F77E4E"/>
    <w:rsid w:val="00F77FF0"/>
    <w:rsid w:val="00F80042"/>
    <w:rsid w:val="00F801F6"/>
    <w:rsid w:val="00F803BF"/>
    <w:rsid w:val="00F8046E"/>
    <w:rsid w:val="00F80496"/>
    <w:rsid w:val="00F804C9"/>
    <w:rsid w:val="00F80520"/>
    <w:rsid w:val="00F8052B"/>
    <w:rsid w:val="00F805A5"/>
    <w:rsid w:val="00F806B6"/>
    <w:rsid w:val="00F806F1"/>
    <w:rsid w:val="00F807A7"/>
    <w:rsid w:val="00F809C0"/>
    <w:rsid w:val="00F80B83"/>
    <w:rsid w:val="00F80C5D"/>
    <w:rsid w:val="00F80D44"/>
    <w:rsid w:val="00F80DCD"/>
    <w:rsid w:val="00F80F7A"/>
    <w:rsid w:val="00F8119D"/>
    <w:rsid w:val="00F8133D"/>
    <w:rsid w:val="00F81350"/>
    <w:rsid w:val="00F81525"/>
    <w:rsid w:val="00F81692"/>
    <w:rsid w:val="00F816AA"/>
    <w:rsid w:val="00F816C8"/>
    <w:rsid w:val="00F8198E"/>
    <w:rsid w:val="00F81B87"/>
    <w:rsid w:val="00F81D02"/>
    <w:rsid w:val="00F81DEA"/>
    <w:rsid w:val="00F820BD"/>
    <w:rsid w:val="00F823FD"/>
    <w:rsid w:val="00F824EF"/>
    <w:rsid w:val="00F8273F"/>
    <w:rsid w:val="00F828EE"/>
    <w:rsid w:val="00F82B9D"/>
    <w:rsid w:val="00F82DCF"/>
    <w:rsid w:val="00F82EEE"/>
    <w:rsid w:val="00F82F81"/>
    <w:rsid w:val="00F83107"/>
    <w:rsid w:val="00F83109"/>
    <w:rsid w:val="00F83157"/>
    <w:rsid w:val="00F83163"/>
    <w:rsid w:val="00F831F0"/>
    <w:rsid w:val="00F83200"/>
    <w:rsid w:val="00F83225"/>
    <w:rsid w:val="00F83485"/>
    <w:rsid w:val="00F834ED"/>
    <w:rsid w:val="00F83553"/>
    <w:rsid w:val="00F8355A"/>
    <w:rsid w:val="00F836B7"/>
    <w:rsid w:val="00F836DA"/>
    <w:rsid w:val="00F8378C"/>
    <w:rsid w:val="00F8385E"/>
    <w:rsid w:val="00F839C4"/>
    <w:rsid w:val="00F83C3F"/>
    <w:rsid w:val="00F83DF0"/>
    <w:rsid w:val="00F83E03"/>
    <w:rsid w:val="00F83E2C"/>
    <w:rsid w:val="00F83EAD"/>
    <w:rsid w:val="00F8405D"/>
    <w:rsid w:val="00F84188"/>
    <w:rsid w:val="00F84225"/>
    <w:rsid w:val="00F842A1"/>
    <w:rsid w:val="00F84334"/>
    <w:rsid w:val="00F84489"/>
    <w:rsid w:val="00F84737"/>
    <w:rsid w:val="00F84964"/>
    <w:rsid w:val="00F84B2F"/>
    <w:rsid w:val="00F84E7C"/>
    <w:rsid w:val="00F84ED8"/>
    <w:rsid w:val="00F84F1A"/>
    <w:rsid w:val="00F84FDE"/>
    <w:rsid w:val="00F852C0"/>
    <w:rsid w:val="00F854BB"/>
    <w:rsid w:val="00F85500"/>
    <w:rsid w:val="00F8577E"/>
    <w:rsid w:val="00F857C3"/>
    <w:rsid w:val="00F858A8"/>
    <w:rsid w:val="00F85D55"/>
    <w:rsid w:val="00F85D79"/>
    <w:rsid w:val="00F85DE9"/>
    <w:rsid w:val="00F85E69"/>
    <w:rsid w:val="00F85F63"/>
    <w:rsid w:val="00F8613C"/>
    <w:rsid w:val="00F86144"/>
    <w:rsid w:val="00F86435"/>
    <w:rsid w:val="00F86531"/>
    <w:rsid w:val="00F86732"/>
    <w:rsid w:val="00F8688C"/>
    <w:rsid w:val="00F86912"/>
    <w:rsid w:val="00F869A0"/>
    <w:rsid w:val="00F86C5C"/>
    <w:rsid w:val="00F86E60"/>
    <w:rsid w:val="00F870EB"/>
    <w:rsid w:val="00F8715A"/>
    <w:rsid w:val="00F87175"/>
    <w:rsid w:val="00F87207"/>
    <w:rsid w:val="00F873D5"/>
    <w:rsid w:val="00F87696"/>
    <w:rsid w:val="00F87790"/>
    <w:rsid w:val="00F8786E"/>
    <w:rsid w:val="00F878A0"/>
    <w:rsid w:val="00F878AE"/>
    <w:rsid w:val="00F87946"/>
    <w:rsid w:val="00F87A79"/>
    <w:rsid w:val="00F87A8E"/>
    <w:rsid w:val="00F87B6B"/>
    <w:rsid w:val="00F87F60"/>
    <w:rsid w:val="00F90192"/>
    <w:rsid w:val="00F901C8"/>
    <w:rsid w:val="00F902B1"/>
    <w:rsid w:val="00F90336"/>
    <w:rsid w:val="00F90480"/>
    <w:rsid w:val="00F904B9"/>
    <w:rsid w:val="00F905A5"/>
    <w:rsid w:val="00F907EE"/>
    <w:rsid w:val="00F90BDD"/>
    <w:rsid w:val="00F90E0F"/>
    <w:rsid w:val="00F90E16"/>
    <w:rsid w:val="00F90EE0"/>
    <w:rsid w:val="00F90FA9"/>
    <w:rsid w:val="00F9111F"/>
    <w:rsid w:val="00F911E2"/>
    <w:rsid w:val="00F912D1"/>
    <w:rsid w:val="00F91531"/>
    <w:rsid w:val="00F919BC"/>
    <w:rsid w:val="00F91C3B"/>
    <w:rsid w:val="00F91D5B"/>
    <w:rsid w:val="00F91E9A"/>
    <w:rsid w:val="00F9220E"/>
    <w:rsid w:val="00F9248E"/>
    <w:rsid w:val="00F928DF"/>
    <w:rsid w:val="00F92981"/>
    <w:rsid w:val="00F92989"/>
    <w:rsid w:val="00F929C6"/>
    <w:rsid w:val="00F92A18"/>
    <w:rsid w:val="00F92A4B"/>
    <w:rsid w:val="00F92A87"/>
    <w:rsid w:val="00F92AAE"/>
    <w:rsid w:val="00F92B3F"/>
    <w:rsid w:val="00F92C0D"/>
    <w:rsid w:val="00F92C5C"/>
    <w:rsid w:val="00F92DA2"/>
    <w:rsid w:val="00F92DD2"/>
    <w:rsid w:val="00F92F79"/>
    <w:rsid w:val="00F92FF4"/>
    <w:rsid w:val="00F930CB"/>
    <w:rsid w:val="00F931B5"/>
    <w:rsid w:val="00F932AE"/>
    <w:rsid w:val="00F93398"/>
    <w:rsid w:val="00F9348B"/>
    <w:rsid w:val="00F9348C"/>
    <w:rsid w:val="00F9351B"/>
    <w:rsid w:val="00F93629"/>
    <w:rsid w:val="00F93695"/>
    <w:rsid w:val="00F93786"/>
    <w:rsid w:val="00F93800"/>
    <w:rsid w:val="00F93D21"/>
    <w:rsid w:val="00F93E93"/>
    <w:rsid w:val="00F93EE5"/>
    <w:rsid w:val="00F93F4C"/>
    <w:rsid w:val="00F94074"/>
    <w:rsid w:val="00F942A6"/>
    <w:rsid w:val="00F942F2"/>
    <w:rsid w:val="00F943FF"/>
    <w:rsid w:val="00F94464"/>
    <w:rsid w:val="00F9448C"/>
    <w:rsid w:val="00F944CB"/>
    <w:rsid w:val="00F9451C"/>
    <w:rsid w:val="00F945BA"/>
    <w:rsid w:val="00F945C9"/>
    <w:rsid w:val="00F945F8"/>
    <w:rsid w:val="00F949A0"/>
    <w:rsid w:val="00F94BC6"/>
    <w:rsid w:val="00F94E9E"/>
    <w:rsid w:val="00F94F54"/>
    <w:rsid w:val="00F94F66"/>
    <w:rsid w:val="00F9509A"/>
    <w:rsid w:val="00F952CB"/>
    <w:rsid w:val="00F953B6"/>
    <w:rsid w:val="00F954C5"/>
    <w:rsid w:val="00F95791"/>
    <w:rsid w:val="00F95A00"/>
    <w:rsid w:val="00F95A11"/>
    <w:rsid w:val="00F95B8D"/>
    <w:rsid w:val="00F95C9F"/>
    <w:rsid w:val="00F95CA0"/>
    <w:rsid w:val="00F95DFF"/>
    <w:rsid w:val="00F95E19"/>
    <w:rsid w:val="00F96129"/>
    <w:rsid w:val="00F961C8"/>
    <w:rsid w:val="00F96213"/>
    <w:rsid w:val="00F96218"/>
    <w:rsid w:val="00F96466"/>
    <w:rsid w:val="00F9651F"/>
    <w:rsid w:val="00F96593"/>
    <w:rsid w:val="00F966D6"/>
    <w:rsid w:val="00F96B68"/>
    <w:rsid w:val="00F96BD7"/>
    <w:rsid w:val="00F96C0C"/>
    <w:rsid w:val="00F96C23"/>
    <w:rsid w:val="00F96C98"/>
    <w:rsid w:val="00F96D8B"/>
    <w:rsid w:val="00F96DC6"/>
    <w:rsid w:val="00F96E4B"/>
    <w:rsid w:val="00F96F2A"/>
    <w:rsid w:val="00F96FAA"/>
    <w:rsid w:val="00F97092"/>
    <w:rsid w:val="00F97136"/>
    <w:rsid w:val="00F97248"/>
    <w:rsid w:val="00F974EA"/>
    <w:rsid w:val="00F9751B"/>
    <w:rsid w:val="00F9772F"/>
    <w:rsid w:val="00F979D2"/>
    <w:rsid w:val="00F97AB5"/>
    <w:rsid w:val="00F97ABD"/>
    <w:rsid w:val="00F97BA3"/>
    <w:rsid w:val="00F97C13"/>
    <w:rsid w:val="00F97C9D"/>
    <w:rsid w:val="00F97CA6"/>
    <w:rsid w:val="00F97DBC"/>
    <w:rsid w:val="00F97E17"/>
    <w:rsid w:val="00FA0021"/>
    <w:rsid w:val="00FA032D"/>
    <w:rsid w:val="00FA03EB"/>
    <w:rsid w:val="00FA0590"/>
    <w:rsid w:val="00FA06FD"/>
    <w:rsid w:val="00FA0711"/>
    <w:rsid w:val="00FA072F"/>
    <w:rsid w:val="00FA075F"/>
    <w:rsid w:val="00FA0A2D"/>
    <w:rsid w:val="00FA0AB4"/>
    <w:rsid w:val="00FA0AD8"/>
    <w:rsid w:val="00FA0B5D"/>
    <w:rsid w:val="00FA0B72"/>
    <w:rsid w:val="00FA0C05"/>
    <w:rsid w:val="00FA0C35"/>
    <w:rsid w:val="00FA0E38"/>
    <w:rsid w:val="00FA0F54"/>
    <w:rsid w:val="00FA106B"/>
    <w:rsid w:val="00FA129D"/>
    <w:rsid w:val="00FA13EB"/>
    <w:rsid w:val="00FA1520"/>
    <w:rsid w:val="00FA166A"/>
    <w:rsid w:val="00FA1673"/>
    <w:rsid w:val="00FA1707"/>
    <w:rsid w:val="00FA1832"/>
    <w:rsid w:val="00FA183A"/>
    <w:rsid w:val="00FA1A47"/>
    <w:rsid w:val="00FA1B21"/>
    <w:rsid w:val="00FA1C89"/>
    <w:rsid w:val="00FA1F23"/>
    <w:rsid w:val="00FA1FBC"/>
    <w:rsid w:val="00FA2129"/>
    <w:rsid w:val="00FA218C"/>
    <w:rsid w:val="00FA262C"/>
    <w:rsid w:val="00FA2A1A"/>
    <w:rsid w:val="00FA2B16"/>
    <w:rsid w:val="00FA2C21"/>
    <w:rsid w:val="00FA2C6C"/>
    <w:rsid w:val="00FA2E06"/>
    <w:rsid w:val="00FA2E32"/>
    <w:rsid w:val="00FA2E46"/>
    <w:rsid w:val="00FA30F3"/>
    <w:rsid w:val="00FA31AD"/>
    <w:rsid w:val="00FA3216"/>
    <w:rsid w:val="00FA33D4"/>
    <w:rsid w:val="00FA33FB"/>
    <w:rsid w:val="00FA34DD"/>
    <w:rsid w:val="00FA36F4"/>
    <w:rsid w:val="00FA3757"/>
    <w:rsid w:val="00FA3827"/>
    <w:rsid w:val="00FA39D2"/>
    <w:rsid w:val="00FA3E9A"/>
    <w:rsid w:val="00FA3EAC"/>
    <w:rsid w:val="00FA3F7E"/>
    <w:rsid w:val="00FA42F3"/>
    <w:rsid w:val="00FA4434"/>
    <w:rsid w:val="00FA44C5"/>
    <w:rsid w:val="00FA45B2"/>
    <w:rsid w:val="00FA4707"/>
    <w:rsid w:val="00FA4761"/>
    <w:rsid w:val="00FA4831"/>
    <w:rsid w:val="00FA48D7"/>
    <w:rsid w:val="00FA4A20"/>
    <w:rsid w:val="00FA4A2A"/>
    <w:rsid w:val="00FA4A3A"/>
    <w:rsid w:val="00FA4B40"/>
    <w:rsid w:val="00FA4C33"/>
    <w:rsid w:val="00FA4C4B"/>
    <w:rsid w:val="00FA4D43"/>
    <w:rsid w:val="00FA4D6C"/>
    <w:rsid w:val="00FA4D88"/>
    <w:rsid w:val="00FA4E0F"/>
    <w:rsid w:val="00FA4E90"/>
    <w:rsid w:val="00FA4EE9"/>
    <w:rsid w:val="00FA5062"/>
    <w:rsid w:val="00FA534D"/>
    <w:rsid w:val="00FA5368"/>
    <w:rsid w:val="00FA5504"/>
    <w:rsid w:val="00FA559A"/>
    <w:rsid w:val="00FA5625"/>
    <w:rsid w:val="00FA5636"/>
    <w:rsid w:val="00FA570F"/>
    <w:rsid w:val="00FA57B1"/>
    <w:rsid w:val="00FA59B9"/>
    <w:rsid w:val="00FA59E3"/>
    <w:rsid w:val="00FA5A3E"/>
    <w:rsid w:val="00FA5A50"/>
    <w:rsid w:val="00FA5AE5"/>
    <w:rsid w:val="00FA5BB0"/>
    <w:rsid w:val="00FA5C6C"/>
    <w:rsid w:val="00FA5CE4"/>
    <w:rsid w:val="00FA5F2B"/>
    <w:rsid w:val="00FA5F5B"/>
    <w:rsid w:val="00FA5FB1"/>
    <w:rsid w:val="00FA60EE"/>
    <w:rsid w:val="00FA637D"/>
    <w:rsid w:val="00FA646D"/>
    <w:rsid w:val="00FA6503"/>
    <w:rsid w:val="00FA6515"/>
    <w:rsid w:val="00FA65E4"/>
    <w:rsid w:val="00FA66CA"/>
    <w:rsid w:val="00FA670E"/>
    <w:rsid w:val="00FA67D6"/>
    <w:rsid w:val="00FA682A"/>
    <w:rsid w:val="00FA6949"/>
    <w:rsid w:val="00FA6A71"/>
    <w:rsid w:val="00FA6A7A"/>
    <w:rsid w:val="00FA6B2E"/>
    <w:rsid w:val="00FA6FBF"/>
    <w:rsid w:val="00FA70EE"/>
    <w:rsid w:val="00FA70F0"/>
    <w:rsid w:val="00FA7188"/>
    <w:rsid w:val="00FA72FF"/>
    <w:rsid w:val="00FA75AC"/>
    <w:rsid w:val="00FA79D4"/>
    <w:rsid w:val="00FA7ABD"/>
    <w:rsid w:val="00FA7B27"/>
    <w:rsid w:val="00FA7ED8"/>
    <w:rsid w:val="00FA7FA8"/>
    <w:rsid w:val="00FB015D"/>
    <w:rsid w:val="00FB0288"/>
    <w:rsid w:val="00FB0333"/>
    <w:rsid w:val="00FB0367"/>
    <w:rsid w:val="00FB03DF"/>
    <w:rsid w:val="00FB04F5"/>
    <w:rsid w:val="00FB06D9"/>
    <w:rsid w:val="00FB07C0"/>
    <w:rsid w:val="00FB07D1"/>
    <w:rsid w:val="00FB07D3"/>
    <w:rsid w:val="00FB0858"/>
    <w:rsid w:val="00FB09A6"/>
    <w:rsid w:val="00FB09D6"/>
    <w:rsid w:val="00FB09F1"/>
    <w:rsid w:val="00FB0B5E"/>
    <w:rsid w:val="00FB0BCA"/>
    <w:rsid w:val="00FB0C69"/>
    <w:rsid w:val="00FB0C9F"/>
    <w:rsid w:val="00FB0CAB"/>
    <w:rsid w:val="00FB0CD6"/>
    <w:rsid w:val="00FB0D29"/>
    <w:rsid w:val="00FB0E49"/>
    <w:rsid w:val="00FB0E97"/>
    <w:rsid w:val="00FB0EF6"/>
    <w:rsid w:val="00FB106F"/>
    <w:rsid w:val="00FB1414"/>
    <w:rsid w:val="00FB14F9"/>
    <w:rsid w:val="00FB169E"/>
    <w:rsid w:val="00FB16FB"/>
    <w:rsid w:val="00FB1794"/>
    <w:rsid w:val="00FB1A07"/>
    <w:rsid w:val="00FB1A41"/>
    <w:rsid w:val="00FB1C7E"/>
    <w:rsid w:val="00FB1D6B"/>
    <w:rsid w:val="00FB1FF5"/>
    <w:rsid w:val="00FB23E1"/>
    <w:rsid w:val="00FB25CD"/>
    <w:rsid w:val="00FB2640"/>
    <w:rsid w:val="00FB26F2"/>
    <w:rsid w:val="00FB274E"/>
    <w:rsid w:val="00FB28FD"/>
    <w:rsid w:val="00FB296A"/>
    <w:rsid w:val="00FB29C9"/>
    <w:rsid w:val="00FB2B2A"/>
    <w:rsid w:val="00FB2B5C"/>
    <w:rsid w:val="00FB2BF1"/>
    <w:rsid w:val="00FB2EDA"/>
    <w:rsid w:val="00FB319D"/>
    <w:rsid w:val="00FB3390"/>
    <w:rsid w:val="00FB3480"/>
    <w:rsid w:val="00FB348B"/>
    <w:rsid w:val="00FB377E"/>
    <w:rsid w:val="00FB3954"/>
    <w:rsid w:val="00FB3971"/>
    <w:rsid w:val="00FB3983"/>
    <w:rsid w:val="00FB3986"/>
    <w:rsid w:val="00FB3ADA"/>
    <w:rsid w:val="00FB3B9F"/>
    <w:rsid w:val="00FB3C66"/>
    <w:rsid w:val="00FB4066"/>
    <w:rsid w:val="00FB423E"/>
    <w:rsid w:val="00FB451E"/>
    <w:rsid w:val="00FB4658"/>
    <w:rsid w:val="00FB47B3"/>
    <w:rsid w:val="00FB480C"/>
    <w:rsid w:val="00FB49B4"/>
    <w:rsid w:val="00FB4A36"/>
    <w:rsid w:val="00FB4A9E"/>
    <w:rsid w:val="00FB4DF6"/>
    <w:rsid w:val="00FB4E4F"/>
    <w:rsid w:val="00FB4EE1"/>
    <w:rsid w:val="00FB50A1"/>
    <w:rsid w:val="00FB50E5"/>
    <w:rsid w:val="00FB53B6"/>
    <w:rsid w:val="00FB53FA"/>
    <w:rsid w:val="00FB5469"/>
    <w:rsid w:val="00FB55ED"/>
    <w:rsid w:val="00FB5673"/>
    <w:rsid w:val="00FB595F"/>
    <w:rsid w:val="00FB5A5F"/>
    <w:rsid w:val="00FB5B26"/>
    <w:rsid w:val="00FB5C28"/>
    <w:rsid w:val="00FB5CAB"/>
    <w:rsid w:val="00FB5D61"/>
    <w:rsid w:val="00FB5D78"/>
    <w:rsid w:val="00FB5E8C"/>
    <w:rsid w:val="00FB5F67"/>
    <w:rsid w:val="00FB5F83"/>
    <w:rsid w:val="00FB612C"/>
    <w:rsid w:val="00FB61C7"/>
    <w:rsid w:val="00FB6307"/>
    <w:rsid w:val="00FB63FA"/>
    <w:rsid w:val="00FB6467"/>
    <w:rsid w:val="00FB6556"/>
    <w:rsid w:val="00FB6893"/>
    <w:rsid w:val="00FB68EA"/>
    <w:rsid w:val="00FB68F0"/>
    <w:rsid w:val="00FB694F"/>
    <w:rsid w:val="00FB696E"/>
    <w:rsid w:val="00FB6A14"/>
    <w:rsid w:val="00FB6A62"/>
    <w:rsid w:val="00FB6AC3"/>
    <w:rsid w:val="00FB6AD8"/>
    <w:rsid w:val="00FB6B14"/>
    <w:rsid w:val="00FB6B5A"/>
    <w:rsid w:val="00FB6C01"/>
    <w:rsid w:val="00FB6ED2"/>
    <w:rsid w:val="00FB6F03"/>
    <w:rsid w:val="00FB6FD5"/>
    <w:rsid w:val="00FB6FE6"/>
    <w:rsid w:val="00FB70F0"/>
    <w:rsid w:val="00FB7479"/>
    <w:rsid w:val="00FB74E3"/>
    <w:rsid w:val="00FB77DF"/>
    <w:rsid w:val="00FB780C"/>
    <w:rsid w:val="00FB791A"/>
    <w:rsid w:val="00FB7B00"/>
    <w:rsid w:val="00FB7BC6"/>
    <w:rsid w:val="00FB7C3C"/>
    <w:rsid w:val="00FB7EBF"/>
    <w:rsid w:val="00FB7EC0"/>
    <w:rsid w:val="00FB7F2C"/>
    <w:rsid w:val="00FB7F60"/>
    <w:rsid w:val="00FB7F7E"/>
    <w:rsid w:val="00FC0031"/>
    <w:rsid w:val="00FC006E"/>
    <w:rsid w:val="00FC00EA"/>
    <w:rsid w:val="00FC0134"/>
    <w:rsid w:val="00FC01BF"/>
    <w:rsid w:val="00FC01EF"/>
    <w:rsid w:val="00FC04DD"/>
    <w:rsid w:val="00FC0677"/>
    <w:rsid w:val="00FC092B"/>
    <w:rsid w:val="00FC0A80"/>
    <w:rsid w:val="00FC0C37"/>
    <w:rsid w:val="00FC0D4F"/>
    <w:rsid w:val="00FC0E47"/>
    <w:rsid w:val="00FC0E4A"/>
    <w:rsid w:val="00FC0FE5"/>
    <w:rsid w:val="00FC1070"/>
    <w:rsid w:val="00FC1102"/>
    <w:rsid w:val="00FC12C5"/>
    <w:rsid w:val="00FC142C"/>
    <w:rsid w:val="00FC1431"/>
    <w:rsid w:val="00FC152F"/>
    <w:rsid w:val="00FC153E"/>
    <w:rsid w:val="00FC155C"/>
    <w:rsid w:val="00FC1628"/>
    <w:rsid w:val="00FC17EA"/>
    <w:rsid w:val="00FC182A"/>
    <w:rsid w:val="00FC18B6"/>
    <w:rsid w:val="00FC1A0D"/>
    <w:rsid w:val="00FC1A1A"/>
    <w:rsid w:val="00FC1A20"/>
    <w:rsid w:val="00FC1BE9"/>
    <w:rsid w:val="00FC1C06"/>
    <w:rsid w:val="00FC1EC9"/>
    <w:rsid w:val="00FC1FC3"/>
    <w:rsid w:val="00FC224A"/>
    <w:rsid w:val="00FC22AB"/>
    <w:rsid w:val="00FC22C2"/>
    <w:rsid w:val="00FC2304"/>
    <w:rsid w:val="00FC233A"/>
    <w:rsid w:val="00FC23EE"/>
    <w:rsid w:val="00FC242E"/>
    <w:rsid w:val="00FC2516"/>
    <w:rsid w:val="00FC2599"/>
    <w:rsid w:val="00FC2736"/>
    <w:rsid w:val="00FC275F"/>
    <w:rsid w:val="00FC276B"/>
    <w:rsid w:val="00FC27CF"/>
    <w:rsid w:val="00FC2896"/>
    <w:rsid w:val="00FC28E3"/>
    <w:rsid w:val="00FC2A59"/>
    <w:rsid w:val="00FC2A99"/>
    <w:rsid w:val="00FC2B0E"/>
    <w:rsid w:val="00FC2B3C"/>
    <w:rsid w:val="00FC2CF4"/>
    <w:rsid w:val="00FC2DC4"/>
    <w:rsid w:val="00FC2E74"/>
    <w:rsid w:val="00FC2F57"/>
    <w:rsid w:val="00FC2F7E"/>
    <w:rsid w:val="00FC2F8D"/>
    <w:rsid w:val="00FC3033"/>
    <w:rsid w:val="00FC306A"/>
    <w:rsid w:val="00FC3321"/>
    <w:rsid w:val="00FC33D0"/>
    <w:rsid w:val="00FC3462"/>
    <w:rsid w:val="00FC351F"/>
    <w:rsid w:val="00FC37E5"/>
    <w:rsid w:val="00FC38F8"/>
    <w:rsid w:val="00FC39B7"/>
    <w:rsid w:val="00FC3B5A"/>
    <w:rsid w:val="00FC3C4B"/>
    <w:rsid w:val="00FC3CA5"/>
    <w:rsid w:val="00FC3D07"/>
    <w:rsid w:val="00FC3DC0"/>
    <w:rsid w:val="00FC3E05"/>
    <w:rsid w:val="00FC3F2F"/>
    <w:rsid w:val="00FC3FB2"/>
    <w:rsid w:val="00FC3FBE"/>
    <w:rsid w:val="00FC3FF5"/>
    <w:rsid w:val="00FC4041"/>
    <w:rsid w:val="00FC4053"/>
    <w:rsid w:val="00FC408A"/>
    <w:rsid w:val="00FC4120"/>
    <w:rsid w:val="00FC4332"/>
    <w:rsid w:val="00FC4389"/>
    <w:rsid w:val="00FC43F6"/>
    <w:rsid w:val="00FC4461"/>
    <w:rsid w:val="00FC451D"/>
    <w:rsid w:val="00FC453B"/>
    <w:rsid w:val="00FC4838"/>
    <w:rsid w:val="00FC4893"/>
    <w:rsid w:val="00FC4996"/>
    <w:rsid w:val="00FC4BDB"/>
    <w:rsid w:val="00FC4BDF"/>
    <w:rsid w:val="00FC4C01"/>
    <w:rsid w:val="00FC4CE6"/>
    <w:rsid w:val="00FC4E4C"/>
    <w:rsid w:val="00FC4FB0"/>
    <w:rsid w:val="00FC506A"/>
    <w:rsid w:val="00FC5093"/>
    <w:rsid w:val="00FC51F4"/>
    <w:rsid w:val="00FC522B"/>
    <w:rsid w:val="00FC5378"/>
    <w:rsid w:val="00FC5389"/>
    <w:rsid w:val="00FC55C7"/>
    <w:rsid w:val="00FC5621"/>
    <w:rsid w:val="00FC568B"/>
    <w:rsid w:val="00FC58CC"/>
    <w:rsid w:val="00FC5A2A"/>
    <w:rsid w:val="00FC5ADB"/>
    <w:rsid w:val="00FC5B20"/>
    <w:rsid w:val="00FC5B2F"/>
    <w:rsid w:val="00FC5BC1"/>
    <w:rsid w:val="00FC5BCE"/>
    <w:rsid w:val="00FC5C17"/>
    <w:rsid w:val="00FC5D39"/>
    <w:rsid w:val="00FC63DD"/>
    <w:rsid w:val="00FC6419"/>
    <w:rsid w:val="00FC64A2"/>
    <w:rsid w:val="00FC650E"/>
    <w:rsid w:val="00FC66C4"/>
    <w:rsid w:val="00FC6B19"/>
    <w:rsid w:val="00FC6D99"/>
    <w:rsid w:val="00FC6E8A"/>
    <w:rsid w:val="00FC6EC8"/>
    <w:rsid w:val="00FC7058"/>
    <w:rsid w:val="00FC709D"/>
    <w:rsid w:val="00FC719D"/>
    <w:rsid w:val="00FC726C"/>
    <w:rsid w:val="00FC730E"/>
    <w:rsid w:val="00FC7317"/>
    <w:rsid w:val="00FC73F0"/>
    <w:rsid w:val="00FC740E"/>
    <w:rsid w:val="00FC76C6"/>
    <w:rsid w:val="00FC7747"/>
    <w:rsid w:val="00FC788C"/>
    <w:rsid w:val="00FC78A0"/>
    <w:rsid w:val="00FC78F9"/>
    <w:rsid w:val="00FC7932"/>
    <w:rsid w:val="00FC79A9"/>
    <w:rsid w:val="00FC7A8C"/>
    <w:rsid w:val="00FC7B8F"/>
    <w:rsid w:val="00FC7E57"/>
    <w:rsid w:val="00FC7ED5"/>
    <w:rsid w:val="00FC7EF0"/>
    <w:rsid w:val="00FD03CB"/>
    <w:rsid w:val="00FD03D4"/>
    <w:rsid w:val="00FD0405"/>
    <w:rsid w:val="00FD047A"/>
    <w:rsid w:val="00FD04C0"/>
    <w:rsid w:val="00FD04F7"/>
    <w:rsid w:val="00FD051A"/>
    <w:rsid w:val="00FD0934"/>
    <w:rsid w:val="00FD0A9F"/>
    <w:rsid w:val="00FD0B54"/>
    <w:rsid w:val="00FD0BC9"/>
    <w:rsid w:val="00FD0C5F"/>
    <w:rsid w:val="00FD0D2E"/>
    <w:rsid w:val="00FD0EB2"/>
    <w:rsid w:val="00FD0F0D"/>
    <w:rsid w:val="00FD0F6F"/>
    <w:rsid w:val="00FD1156"/>
    <w:rsid w:val="00FD11BF"/>
    <w:rsid w:val="00FD11F4"/>
    <w:rsid w:val="00FD12C0"/>
    <w:rsid w:val="00FD131D"/>
    <w:rsid w:val="00FD1379"/>
    <w:rsid w:val="00FD1391"/>
    <w:rsid w:val="00FD13A9"/>
    <w:rsid w:val="00FD1532"/>
    <w:rsid w:val="00FD1658"/>
    <w:rsid w:val="00FD1695"/>
    <w:rsid w:val="00FD16A3"/>
    <w:rsid w:val="00FD1709"/>
    <w:rsid w:val="00FD17ED"/>
    <w:rsid w:val="00FD1821"/>
    <w:rsid w:val="00FD1840"/>
    <w:rsid w:val="00FD1847"/>
    <w:rsid w:val="00FD18B8"/>
    <w:rsid w:val="00FD18D2"/>
    <w:rsid w:val="00FD19C8"/>
    <w:rsid w:val="00FD1B3B"/>
    <w:rsid w:val="00FD1B9F"/>
    <w:rsid w:val="00FD1BF2"/>
    <w:rsid w:val="00FD1C86"/>
    <w:rsid w:val="00FD1E27"/>
    <w:rsid w:val="00FD1FC2"/>
    <w:rsid w:val="00FD20B5"/>
    <w:rsid w:val="00FD20F7"/>
    <w:rsid w:val="00FD22B0"/>
    <w:rsid w:val="00FD231E"/>
    <w:rsid w:val="00FD25BA"/>
    <w:rsid w:val="00FD26C9"/>
    <w:rsid w:val="00FD2792"/>
    <w:rsid w:val="00FD28E8"/>
    <w:rsid w:val="00FD2976"/>
    <w:rsid w:val="00FD29E5"/>
    <w:rsid w:val="00FD2A10"/>
    <w:rsid w:val="00FD2ABD"/>
    <w:rsid w:val="00FD2ABF"/>
    <w:rsid w:val="00FD2C49"/>
    <w:rsid w:val="00FD2CAA"/>
    <w:rsid w:val="00FD2CAC"/>
    <w:rsid w:val="00FD2CCF"/>
    <w:rsid w:val="00FD2CE5"/>
    <w:rsid w:val="00FD2CE7"/>
    <w:rsid w:val="00FD2EAA"/>
    <w:rsid w:val="00FD2ED6"/>
    <w:rsid w:val="00FD2F8B"/>
    <w:rsid w:val="00FD2FA5"/>
    <w:rsid w:val="00FD2FD0"/>
    <w:rsid w:val="00FD2FD9"/>
    <w:rsid w:val="00FD2FE6"/>
    <w:rsid w:val="00FD30A8"/>
    <w:rsid w:val="00FD318A"/>
    <w:rsid w:val="00FD333F"/>
    <w:rsid w:val="00FD33E9"/>
    <w:rsid w:val="00FD33EE"/>
    <w:rsid w:val="00FD356C"/>
    <w:rsid w:val="00FD3597"/>
    <w:rsid w:val="00FD35AC"/>
    <w:rsid w:val="00FD36F4"/>
    <w:rsid w:val="00FD3815"/>
    <w:rsid w:val="00FD3894"/>
    <w:rsid w:val="00FD397F"/>
    <w:rsid w:val="00FD3B6F"/>
    <w:rsid w:val="00FD3E44"/>
    <w:rsid w:val="00FD3E5C"/>
    <w:rsid w:val="00FD3FAE"/>
    <w:rsid w:val="00FD4097"/>
    <w:rsid w:val="00FD4252"/>
    <w:rsid w:val="00FD43AF"/>
    <w:rsid w:val="00FD447C"/>
    <w:rsid w:val="00FD4567"/>
    <w:rsid w:val="00FD4606"/>
    <w:rsid w:val="00FD47BF"/>
    <w:rsid w:val="00FD4871"/>
    <w:rsid w:val="00FD4DB5"/>
    <w:rsid w:val="00FD501C"/>
    <w:rsid w:val="00FD5020"/>
    <w:rsid w:val="00FD519F"/>
    <w:rsid w:val="00FD51DB"/>
    <w:rsid w:val="00FD538A"/>
    <w:rsid w:val="00FD5523"/>
    <w:rsid w:val="00FD55F2"/>
    <w:rsid w:val="00FD5896"/>
    <w:rsid w:val="00FD5916"/>
    <w:rsid w:val="00FD59C4"/>
    <w:rsid w:val="00FD5AED"/>
    <w:rsid w:val="00FD5AF9"/>
    <w:rsid w:val="00FD5B96"/>
    <w:rsid w:val="00FD5BCC"/>
    <w:rsid w:val="00FD5D48"/>
    <w:rsid w:val="00FD5F80"/>
    <w:rsid w:val="00FD6079"/>
    <w:rsid w:val="00FD609D"/>
    <w:rsid w:val="00FD626A"/>
    <w:rsid w:val="00FD62DA"/>
    <w:rsid w:val="00FD639F"/>
    <w:rsid w:val="00FD63F2"/>
    <w:rsid w:val="00FD663B"/>
    <w:rsid w:val="00FD68B0"/>
    <w:rsid w:val="00FD690A"/>
    <w:rsid w:val="00FD692F"/>
    <w:rsid w:val="00FD6979"/>
    <w:rsid w:val="00FD6B8D"/>
    <w:rsid w:val="00FD6BDC"/>
    <w:rsid w:val="00FD6D70"/>
    <w:rsid w:val="00FD6F05"/>
    <w:rsid w:val="00FD6F07"/>
    <w:rsid w:val="00FD6F6E"/>
    <w:rsid w:val="00FD7056"/>
    <w:rsid w:val="00FD71BA"/>
    <w:rsid w:val="00FD75C3"/>
    <w:rsid w:val="00FD75D2"/>
    <w:rsid w:val="00FD7E86"/>
    <w:rsid w:val="00FD7E87"/>
    <w:rsid w:val="00FD7F54"/>
    <w:rsid w:val="00FD7FA4"/>
    <w:rsid w:val="00FE0091"/>
    <w:rsid w:val="00FE01E7"/>
    <w:rsid w:val="00FE0458"/>
    <w:rsid w:val="00FE070A"/>
    <w:rsid w:val="00FE079D"/>
    <w:rsid w:val="00FE0826"/>
    <w:rsid w:val="00FE0BBF"/>
    <w:rsid w:val="00FE0BCB"/>
    <w:rsid w:val="00FE0C3C"/>
    <w:rsid w:val="00FE0E21"/>
    <w:rsid w:val="00FE0E81"/>
    <w:rsid w:val="00FE0EFC"/>
    <w:rsid w:val="00FE100B"/>
    <w:rsid w:val="00FE10C7"/>
    <w:rsid w:val="00FE11CF"/>
    <w:rsid w:val="00FE1556"/>
    <w:rsid w:val="00FE164C"/>
    <w:rsid w:val="00FE16CA"/>
    <w:rsid w:val="00FE172B"/>
    <w:rsid w:val="00FE18C9"/>
    <w:rsid w:val="00FE1A00"/>
    <w:rsid w:val="00FE1A57"/>
    <w:rsid w:val="00FE1A75"/>
    <w:rsid w:val="00FE1A95"/>
    <w:rsid w:val="00FE1DAB"/>
    <w:rsid w:val="00FE1EA8"/>
    <w:rsid w:val="00FE1F14"/>
    <w:rsid w:val="00FE209D"/>
    <w:rsid w:val="00FE2146"/>
    <w:rsid w:val="00FE223F"/>
    <w:rsid w:val="00FE2242"/>
    <w:rsid w:val="00FE239C"/>
    <w:rsid w:val="00FE2577"/>
    <w:rsid w:val="00FE25D3"/>
    <w:rsid w:val="00FE2880"/>
    <w:rsid w:val="00FE2A29"/>
    <w:rsid w:val="00FE2B71"/>
    <w:rsid w:val="00FE2BD9"/>
    <w:rsid w:val="00FE2D8D"/>
    <w:rsid w:val="00FE2DF1"/>
    <w:rsid w:val="00FE2E8A"/>
    <w:rsid w:val="00FE322D"/>
    <w:rsid w:val="00FE33E1"/>
    <w:rsid w:val="00FE3682"/>
    <w:rsid w:val="00FE3831"/>
    <w:rsid w:val="00FE38F4"/>
    <w:rsid w:val="00FE3902"/>
    <w:rsid w:val="00FE3A29"/>
    <w:rsid w:val="00FE3A8D"/>
    <w:rsid w:val="00FE3B50"/>
    <w:rsid w:val="00FE3F10"/>
    <w:rsid w:val="00FE4158"/>
    <w:rsid w:val="00FE41D4"/>
    <w:rsid w:val="00FE43C4"/>
    <w:rsid w:val="00FE46EE"/>
    <w:rsid w:val="00FE471B"/>
    <w:rsid w:val="00FE47A8"/>
    <w:rsid w:val="00FE47FB"/>
    <w:rsid w:val="00FE48C9"/>
    <w:rsid w:val="00FE48EB"/>
    <w:rsid w:val="00FE492F"/>
    <w:rsid w:val="00FE4A7F"/>
    <w:rsid w:val="00FE4AF5"/>
    <w:rsid w:val="00FE4C84"/>
    <w:rsid w:val="00FE4ED4"/>
    <w:rsid w:val="00FE51EF"/>
    <w:rsid w:val="00FE5380"/>
    <w:rsid w:val="00FE54FF"/>
    <w:rsid w:val="00FE558C"/>
    <w:rsid w:val="00FE55CF"/>
    <w:rsid w:val="00FE5791"/>
    <w:rsid w:val="00FE57BA"/>
    <w:rsid w:val="00FE5B31"/>
    <w:rsid w:val="00FE5B87"/>
    <w:rsid w:val="00FE5C8C"/>
    <w:rsid w:val="00FE5D09"/>
    <w:rsid w:val="00FE5DBE"/>
    <w:rsid w:val="00FE6079"/>
    <w:rsid w:val="00FE65F6"/>
    <w:rsid w:val="00FE6612"/>
    <w:rsid w:val="00FE6661"/>
    <w:rsid w:val="00FE6816"/>
    <w:rsid w:val="00FE6B2B"/>
    <w:rsid w:val="00FE6B8E"/>
    <w:rsid w:val="00FE6BE7"/>
    <w:rsid w:val="00FE6DCC"/>
    <w:rsid w:val="00FE6EE6"/>
    <w:rsid w:val="00FE6F05"/>
    <w:rsid w:val="00FE7272"/>
    <w:rsid w:val="00FE7597"/>
    <w:rsid w:val="00FE75C4"/>
    <w:rsid w:val="00FE76A2"/>
    <w:rsid w:val="00FE7747"/>
    <w:rsid w:val="00FE774E"/>
    <w:rsid w:val="00FE7A04"/>
    <w:rsid w:val="00FE7BDA"/>
    <w:rsid w:val="00FE7C71"/>
    <w:rsid w:val="00FE7E34"/>
    <w:rsid w:val="00FE7E61"/>
    <w:rsid w:val="00FE7EC8"/>
    <w:rsid w:val="00FE7FC4"/>
    <w:rsid w:val="00FF0170"/>
    <w:rsid w:val="00FF01BB"/>
    <w:rsid w:val="00FF023A"/>
    <w:rsid w:val="00FF0259"/>
    <w:rsid w:val="00FF031A"/>
    <w:rsid w:val="00FF0355"/>
    <w:rsid w:val="00FF04C4"/>
    <w:rsid w:val="00FF0515"/>
    <w:rsid w:val="00FF0673"/>
    <w:rsid w:val="00FF06AC"/>
    <w:rsid w:val="00FF06EB"/>
    <w:rsid w:val="00FF07B8"/>
    <w:rsid w:val="00FF0862"/>
    <w:rsid w:val="00FF0A47"/>
    <w:rsid w:val="00FF0ACE"/>
    <w:rsid w:val="00FF0B89"/>
    <w:rsid w:val="00FF0BB8"/>
    <w:rsid w:val="00FF0C15"/>
    <w:rsid w:val="00FF0C47"/>
    <w:rsid w:val="00FF0E5F"/>
    <w:rsid w:val="00FF0ED9"/>
    <w:rsid w:val="00FF0EDB"/>
    <w:rsid w:val="00FF1064"/>
    <w:rsid w:val="00FF107B"/>
    <w:rsid w:val="00FF1138"/>
    <w:rsid w:val="00FF134A"/>
    <w:rsid w:val="00FF13B8"/>
    <w:rsid w:val="00FF1706"/>
    <w:rsid w:val="00FF177F"/>
    <w:rsid w:val="00FF17BD"/>
    <w:rsid w:val="00FF180B"/>
    <w:rsid w:val="00FF18AD"/>
    <w:rsid w:val="00FF1957"/>
    <w:rsid w:val="00FF1A63"/>
    <w:rsid w:val="00FF1F0C"/>
    <w:rsid w:val="00FF1F6F"/>
    <w:rsid w:val="00FF204A"/>
    <w:rsid w:val="00FF2085"/>
    <w:rsid w:val="00FF21C0"/>
    <w:rsid w:val="00FF2340"/>
    <w:rsid w:val="00FF25E2"/>
    <w:rsid w:val="00FF2664"/>
    <w:rsid w:val="00FF2964"/>
    <w:rsid w:val="00FF2A60"/>
    <w:rsid w:val="00FF2BBB"/>
    <w:rsid w:val="00FF2CA4"/>
    <w:rsid w:val="00FF2CCC"/>
    <w:rsid w:val="00FF2D25"/>
    <w:rsid w:val="00FF2D70"/>
    <w:rsid w:val="00FF2EFA"/>
    <w:rsid w:val="00FF2F1B"/>
    <w:rsid w:val="00FF2F9A"/>
    <w:rsid w:val="00FF2FA4"/>
    <w:rsid w:val="00FF3076"/>
    <w:rsid w:val="00FF31BE"/>
    <w:rsid w:val="00FF31BF"/>
    <w:rsid w:val="00FF32EF"/>
    <w:rsid w:val="00FF3311"/>
    <w:rsid w:val="00FF332C"/>
    <w:rsid w:val="00FF337D"/>
    <w:rsid w:val="00FF3416"/>
    <w:rsid w:val="00FF343F"/>
    <w:rsid w:val="00FF35C0"/>
    <w:rsid w:val="00FF370C"/>
    <w:rsid w:val="00FF3857"/>
    <w:rsid w:val="00FF38CE"/>
    <w:rsid w:val="00FF391D"/>
    <w:rsid w:val="00FF3A1D"/>
    <w:rsid w:val="00FF3A67"/>
    <w:rsid w:val="00FF3B75"/>
    <w:rsid w:val="00FF3C80"/>
    <w:rsid w:val="00FF41F5"/>
    <w:rsid w:val="00FF4579"/>
    <w:rsid w:val="00FF464C"/>
    <w:rsid w:val="00FF4895"/>
    <w:rsid w:val="00FF49C4"/>
    <w:rsid w:val="00FF49F0"/>
    <w:rsid w:val="00FF49F7"/>
    <w:rsid w:val="00FF4B75"/>
    <w:rsid w:val="00FF4CC7"/>
    <w:rsid w:val="00FF4CFE"/>
    <w:rsid w:val="00FF4D20"/>
    <w:rsid w:val="00FF4D9E"/>
    <w:rsid w:val="00FF4DDE"/>
    <w:rsid w:val="00FF4E53"/>
    <w:rsid w:val="00FF4FDB"/>
    <w:rsid w:val="00FF5009"/>
    <w:rsid w:val="00FF500D"/>
    <w:rsid w:val="00FF5101"/>
    <w:rsid w:val="00FF5133"/>
    <w:rsid w:val="00FF51BB"/>
    <w:rsid w:val="00FF51DD"/>
    <w:rsid w:val="00FF5356"/>
    <w:rsid w:val="00FF5379"/>
    <w:rsid w:val="00FF549A"/>
    <w:rsid w:val="00FF55D4"/>
    <w:rsid w:val="00FF5773"/>
    <w:rsid w:val="00FF58BE"/>
    <w:rsid w:val="00FF5BE6"/>
    <w:rsid w:val="00FF5BFE"/>
    <w:rsid w:val="00FF5CBB"/>
    <w:rsid w:val="00FF633B"/>
    <w:rsid w:val="00FF63DE"/>
    <w:rsid w:val="00FF63F7"/>
    <w:rsid w:val="00FF693B"/>
    <w:rsid w:val="00FF6AB0"/>
    <w:rsid w:val="00FF6AF8"/>
    <w:rsid w:val="00FF6B68"/>
    <w:rsid w:val="00FF6BA7"/>
    <w:rsid w:val="00FF6BAB"/>
    <w:rsid w:val="00FF6C0A"/>
    <w:rsid w:val="00FF6C3F"/>
    <w:rsid w:val="00FF6C44"/>
    <w:rsid w:val="00FF6CD7"/>
    <w:rsid w:val="00FF6CFC"/>
    <w:rsid w:val="00FF6DA6"/>
    <w:rsid w:val="00FF7011"/>
    <w:rsid w:val="00FF705E"/>
    <w:rsid w:val="00FF721C"/>
    <w:rsid w:val="00FF7339"/>
    <w:rsid w:val="00FF754E"/>
    <w:rsid w:val="00FF765F"/>
    <w:rsid w:val="00FF7690"/>
    <w:rsid w:val="00FF7839"/>
    <w:rsid w:val="00FF795D"/>
    <w:rsid w:val="00FF7BCF"/>
    <w:rsid w:val="00FF7CF0"/>
    <w:rsid w:val="027EBA71"/>
    <w:rsid w:val="02E13A53"/>
    <w:rsid w:val="030C9FBF"/>
    <w:rsid w:val="03944ED2"/>
    <w:rsid w:val="03F29C16"/>
    <w:rsid w:val="05325453"/>
    <w:rsid w:val="0702D620"/>
    <w:rsid w:val="07302E92"/>
    <w:rsid w:val="074800C8"/>
    <w:rsid w:val="081D7B6A"/>
    <w:rsid w:val="09D0026F"/>
    <w:rsid w:val="0AE68492"/>
    <w:rsid w:val="0C61AF64"/>
    <w:rsid w:val="0CADE237"/>
    <w:rsid w:val="0D49437E"/>
    <w:rsid w:val="0FAC928E"/>
    <w:rsid w:val="106B2173"/>
    <w:rsid w:val="10CABEE2"/>
    <w:rsid w:val="10EA7653"/>
    <w:rsid w:val="12E94E1E"/>
    <w:rsid w:val="14872343"/>
    <w:rsid w:val="1667F6F9"/>
    <w:rsid w:val="17D09B4D"/>
    <w:rsid w:val="1818D30A"/>
    <w:rsid w:val="19CB8BE2"/>
    <w:rsid w:val="1B872A91"/>
    <w:rsid w:val="1DA3AD4D"/>
    <w:rsid w:val="202300A4"/>
    <w:rsid w:val="20666785"/>
    <w:rsid w:val="21977FDA"/>
    <w:rsid w:val="220CDE06"/>
    <w:rsid w:val="2233CD9C"/>
    <w:rsid w:val="223CEE31"/>
    <w:rsid w:val="22E1AE1E"/>
    <w:rsid w:val="2397B8ED"/>
    <w:rsid w:val="24469436"/>
    <w:rsid w:val="24CA5C87"/>
    <w:rsid w:val="251EA7B3"/>
    <w:rsid w:val="25C4461E"/>
    <w:rsid w:val="2761137E"/>
    <w:rsid w:val="29AD40BE"/>
    <w:rsid w:val="2A1F53C2"/>
    <w:rsid w:val="2BBE31C3"/>
    <w:rsid w:val="2BD4ADBB"/>
    <w:rsid w:val="2BDA150C"/>
    <w:rsid w:val="2C707499"/>
    <w:rsid w:val="2ED731DA"/>
    <w:rsid w:val="2F9D0A70"/>
    <w:rsid w:val="324B6114"/>
    <w:rsid w:val="3275B0B1"/>
    <w:rsid w:val="3303D6E1"/>
    <w:rsid w:val="3311AAA4"/>
    <w:rsid w:val="33BB2374"/>
    <w:rsid w:val="3410C463"/>
    <w:rsid w:val="34A5AA08"/>
    <w:rsid w:val="34CA1772"/>
    <w:rsid w:val="35998957"/>
    <w:rsid w:val="36586F99"/>
    <w:rsid w:val="36BEBB46"/>
    <w:rsid w:val="36F8BDCE"/>
    <w:rsid w:val="378779F7"/>
    <w:rsid w:val="37A807C9"/>
    <w:rsid w:val="38BBE3C7"/>
    <w:rsid w:val="38DECEF4"/>
    <w:rsid w:val="393D0865"/>
    <w:rsid w:val="3AF1CA55"/>
    <w:rsid w:val="3BC81254"/>
    <w:rsid w:val="3D5B00CB"/>
    <w:rsid w:val="3DB2DFB4"/>
    <w:rsid w:val="3DE67847"/>
    <w:rsid w:val="40986A21"/>
    <w:rsid w:val="417504B6"/>
    <w:rsid w:val="42A2E349"/>
    <w:rsid w:val="42EEF951"/>
    <w:rsid w:val="4378CD31"/>
    <w:rsid w:val="437E0BFD"/>
    <w:rsid w:val="43EFF371"/>
    <w:rsid w:val="475EF9FF"/>
    <w:rsid w:val="48876AB2"/>
    <w:rsid w:val="48CB574C"/>
    <w:rsid w:val="496D0503"/>
    <w:rsid w:val="4A1CD067"/>
    <w:rsid w:val="4B688850"/>
    <w:rsid w:val="4BCBD848"/>
    <w:rsid w:val="4E39790D"/>
    <w:rsid w:val="4EF20398"/>
    <w:rsid w:val="52CB8BD6"/>
    <w:rsid w:val="54268A08"/>
    <w:rsid w:val="554A605A"/>
    <w:rsid w:val="55E87C62"/>
    <w:rsid w:val="56155A9E"/>
    <w:rsid w:val="576F754B"/>
    <w:rsid w:val="58193EE5"/>
    <w:rsid w:val="59A58B18"/>
    <w:rsid w:val="5B8223A1"/>
    <w:rsid w:val="5BD7C6E0"/>
    <w:rsid w:val="5DBB0B9C"/>
    <w:rsid w:val="6032D61F"/>
    <w:rsid w:val="60B44454"/>
    <w:rsid w:val="60BA0282"/>
    <w:rsid w:val="619EBC20"/>
    <w:rsid w:val="62390DB8"/>
    <w:rsid w:val="65C64DE5"/>
    <w:rsid w:val="68D06F8C"/>
    <w:rsid w:val="6A3AF532"/>
    <w:rsid w:val="6B6BDD76"/>
    <w:rsid w:val="6BD04CED"/>
    <w:rsid w:val="6CE4991F"/>
    <w:rsid w:val="73248D00"/>
    <w:rsid w:val="7637C12E"/>
    <w:rsid w:val="76BB7055"/>
    <w:rsid w:val="7BF9CA57"/>
    <w:rsid w:val="7C7C63A5"/>
    <w:rsid w:val="7CE15F9E"/>
    <w:rsid w:val="7DAA4B80"/>
    <w:rsid w:val="7DE18177"/>
    <w:rsid w:val="7F8D6D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C6A2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A03D5B"/>
    <w:pPr>
      <w:numPr>
        <w:numId w:val="2"/>
      </w:numPr>
      <w:tabs>
        <w:tab w:val="num" w:pos="360"/>
      </w:tabs>
      <w:ind w:left="0" w:firstLine="0"/>
    </w:pPr>
    <w:rPr>
      <w:rFonts w:eastAsia="Times New Roman"/>
      <w:lang w:eastAsia="de-DE"/>
    </w:rPr>
  </w:style>
  <w:style w:type="paragraph" w:styleId="ListNumber">
    <w:name w:val="List Number"/>
    <w:basedOn w:val="Normal"/>
    <w:rsid w:val="00A03D5B"/>
    <w:pPr>
      <w:tabs>
        <w:tab w:val="num" w:pos="709"/>
      </w:tabs>
      <w:ind w:left="709" w:hanging="709"/>
    </w:pPr>
    <w:rPr>
      <w:rFonts w:eastAsia="Times New Roman"/>
      <w:lang w:eastAsia="de-DE"/>
    </w:rPr>
  </w:style>
  <w:style w:type="paragraph" w:customStyle="1" w:styleId="ListBullet1">
    <w:name w:val="List Bullet 1"/>
    <w:basedOn w:val="Normal"/>
    <w:rsid w:val="00A03D5B"/>
    <w:pPr>
      <w:numPr>
        <w:numId w:val="1"/>
      </w:numPr>
      <w:ind w:left="0" w:firstLine="0"/>
    </w:pPr>
    <w:rPr>
      <w:rFonts w:eastAsia="Times New Roman"/>
      <w:lang w:eastAsia="de-DE"/>
    </w:rPr>
  </w:style>
  <w:style w:type="paragraph" w:customStyle="1" w:styleId="ListDash">
    <w:name w:val="List Dash"/>
    <w:basedOn w:val="Normal"/>
    <w:rsid w:val="00A03D5B"/>
    <w:pPr>
      <w:numPr>
        <w:numId w:val="3"/>
      </w:numPr>
      <w:ind w:left="0" w:firstLine="0"/>
    </w:pPr>
    <w:rPr>
      <w:rFonts w:eastAsia="Times New Roman"/>
      <w:lang w:eastAsia="de-DE"/>
    </w:rPr>
  </w:style>
  <w:style w:type="paragraph" w:customStyle="1" w:styleId="ListDash1">
    <w:name w:val="List Dash 1"/>
    <w:basedOn w:val="Normal"/>
    <w:rsid w:val="00A03D5B"/>
    <w:pPr>
      <w:numPr>
        <w:numId w:val="4"/>
      </w:numPr>
      <w:ind w:left="0" w:firstLine="0"/>
    </w:pPr>
    <w:rPr>
      <w:rFonts w:eastAsia="Times New Roman"/>
      <w:lang w:eastAsia="de-DE"/>
    </w:rPr>
  </w:style>
  <w:style w:type="paragraph" w:customStyle="1" w:styleId="ListDash2">
    <w:name w:val="List Dash 2"/>
    <w:basedOn w:val="Normal"/>
    <w:rsid w:val="00A03D5B"/>
    <w:pPr>
      <w:numPr>
        <w:numId w:val="5"/>
      </w:numPr>
      <w:ind w:left="0" w:firstLine="0"/>
    </w:pPr>
    <w:rPr>
      <w:rFonts w:eastAsia="Times New Roman"/>
      <w:lang w:eastAsia="de-DE"/>
    </w:rPr>
  </w:style>
  <w:style w:type="paragraph" w:customStyle="1" w:styleId="ListNumberLevel2">
    <w:name w:val="List Number (Level 2)"/>
    <w:basedOn w:val="Normal"/>
    <w:rsid w:val="00A03D5B"/>
    <w:pPr>
      <w:numPr>
        <w:ilvl w:val="1"/>
        <w:numId w:val="6"/>
      </w:numPr>
    </w:pPr>
    <w:rPr>
      <w:rFonts w:eastAsia="Times New Roman"/>
      <w:lang w:eastAsia="de-DE"/>
    </w:rPr>
  </w:style>
  <w:style w:type="paragraph" w:customStyle="1" w:styleId="ListNumberLevel3">
    <w:name w:val="List Number (Level 3)"/>
    <w:basedOn w:val="Normal"/>
    <w:rsid w:val="00A03D5B"/>
    <w:pPr>
      <w:numPr>
        <w:ilvl w:val="2"/>
        <w:numId w:val="6"/>
      </w:numPr>
      <w:tabs>
        <w:tab w:val="clear" w:pos="2126"/>
      </w:tabs>
    </w:pPr>
    <w:rPr>
      <w:rFonts w:eastAsia="Times New Roman"/>
      <w:lang w:eastAsia="de-DE"/>
    </w:rPr>
  </w:style>
  <w:style w:type="paragraph" w:customStyle="1" w:styleId="ListNumberLevel4">
    <w:name w:val="List Number (Level 4)"/>
    <w:basedOn w:val="Normal"/>
    <w:rsid w:val="00A03D5B"/>
    <w:pPr>
      <w:numPr>
        <w:ilvl w:val="3"/>
        <w:numId w:val="6"/>
      </w:numPr>
    </w:pPr>
    <w:rPr>
      <w:rFonts w:eastAsia="Times New Roman"/>
      <w:lang w:eastAsia="de-DE"/>
    </w:rPr>
  </w:style>
  <w:style w:type="table" w:styleId="TableGrid">
    <w:name w:val="Table Grid"/>
    <w:basedOn w:val="TableNormal"/>
    <w:rsid w:val="00A03D5B"/>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A03D5B"/>
    <w:rPr>
      <w:color w:val="0000FF"/>
      <w:u w:val="single"/>
    </w:rPr>
  </w:style>
  <w:style w:type="paragraph" w:styleId="ListBullet">
    <w:name w:val="List Bullet"/>
    <w:basedOn w:val="Normal"/>
    <w:rsid w:val="00A03D5B"/>
    <w:pPr>
      <w:numPr>
        <w:numId w:val="7"/>
      </w:numPr>
      <w:ind w:left="0" w:firstLine="0"/>
    </w:pPr>
    <w:rPr>
      <w:rFonts w:eastAsia="Times New Roman"/>
      <w:lang w:eastAsia="en-GB"/>
    </w:rPr>
  </w:style>
  <w:style w:type="paragraph" w:styleId="ListBullet2">
    <w:name w:val="List Bullet 2"/>
    <w:basedOn w:val="Normal"/>
    <w:rsid w:val="00A03D5B"/>
    <w:pPr>
      <w:numPr>
        <w:numId w:val="8"/>
      </w:numPr>
      <w:ind w:left="0" w:firstLine="0"/>
    </w:pPr>
    <w:rPr>
      <w:rFonts w:eastAsia="Times New Roman"/>
      <w:lang w:eastAsia="en-GB"/>
    </w:rPr>
  </w:style>
  <w:style w:type="paragraph" w:styleId="ListBullet3">
    <w:name w:val="List Bullet 3"/>
    <w:basedOn w:val="Normal"/>
    <w:rsid w:val="00A03D5B"/>
    <w:pPr>
      <w:numPr>
        <w:numId w:val="9"/>
      </w:numPr>
      <w:ind w:left="0" w:firstLine="0"/>
    </w:pPr>
    <w:rPr>
      <w:rFonts w:eastAsia="Times New Roman"/>
      <w:lang w:eastAsia="en-GB"/>
    </w:rPr>
  </w:style>
  <w:style w:type="paragraph" w:styleId="ListNumber2">
    <w:name w:val="List Number 2"/>
    <w:basedOn w:val="Normal"/>
    <w:rsid w:val="00A03D5B"/>
    <w:pPr>
      <w:numPr>
        <w:numId w:val="13"/>
      </w:numPr>
      <w:ind w:left="0" w:firstLine="0"/>
    </w:pPr>
    <w:rPr>
      <w:rFonts w:eastAsia="Times New Roman"/>
      <w:lang w:eastAsia="en-GB"/>
    </w:rPr>
  </w:style>
  <w:style w:type="paragraph" w:styleId="ListNumber3">
    <w:name w:val="List Number 3"/>
    <w:basedOn w:val="Normal"/>
    <w:rsid w:val="00A03D5B"/>
    <w:pPr>
      <w:numPr>
        <w:numId w:val="14"/>
      </w:numPr>
      <w:tabs>
        <w:tab w:val="clear" w:pos="1560"/>
      </w:tabs>
      <w:ind w:left="0" w:firstLine="0"/>
    </w:pPr>
    <w:rPr>
      <w:rFonts w:eastAsia="Times New Roman"/>
      <w:lang w:eastAsia="en-GB"/>
    </w:rPr>
  </w:style>
  <w:style w:type="paragraph" w:styleId="ListNumber4">
    <w:name w:val="List Number 4"/>
    <w:basedOn w:val="Normal"/>
    <w:rsid w:val="00A03D5B"/>
    <w:pPr>
      <w:numPr>
        <w:numId w:val="15"/>
      </w:numPr>
      <w:ind w:left="0" w:firstLine="0"/>
    </w:pPr>
    <w:rPr>
      <w:rFonts w:eastAsia="Times New Roman"/>
      <w:lang w:eastAsia="en-GB"/>
    </w:rPr>
  </w:style>
  <w:style w:type="paragraph" w:customStyle="1" w:styleId="ListDash3">
    <w:name w:val="List Dash 3"/>
    <w:basedOn w:val="Normal"/>
    <w:rsid w:val="00A03D5B"/>
    <w:pPr>
      <w:numPr>
        <w:numId w:val="10"/>
      </w:numPr>
      <w:tabs>
        <w:tab w:val="clear" w:pos="1134"/>
      </w:tabs>
      <w:ind w:left="0" w:firstLine="0"/>
    </w:pPr>
    <w:rPr>
      <w:rFonts w:eastAsia="Times New Roman"/>
      <w:lang w:eastAsia="en-GB"/>
    </w:rPr>
  </w:style>
  <w:style w:type="paragraph" w:customStyle="1" w:styleId="ListDash4">
    <w:name w:val="List Dash 4"/>
    <w:basedOn w:val="Normal"/>
    <w:rsid w:val="00A03D5B"/>
    <w:pPr>
      <w:numPr>
        <w:numId w:val="11"/>
      </w:numPr>
      <w:ind w:left="0" w:firstLine="0"/>
    </w:pPr>
    <w:rPr>
      <w:rFonts w:eastAsia="Times New Roman"/>
      <w:lang w:eastAsia="en-GB"/>
    </w:rPr>
  </w:style>
  <w:style w:type="paragraph" w:customStyle="1" w:styleId="ListNumber1">
    <w:name w:val="List Number 1"/>
    <w:basedOn w:val="Text1"/>
    <w:rsid w:val="00A03D5B"/>
    <w:pPr>
      <w:numPr>
        <w:numId w:val="12"/>
      </w:numPr>
      <w:ind w:left="0" w:firstLine="0"/>
    </w:pPr>
    <w:rPr>
      <w:rFonts w:eastAsia="Times New Roman"/>
      <w:lang w:eastAsia="en-GB"/>
    </w:rPr>
  </w:style>
  <w:style w:type="paragraph" w:customStyle="1" w:styleId="ListNumber1Level2">
    <w:name w:val="List Number 1 (Level 2)"/>
    <w:basedOn w:val="Text1"/>
    <w:rsid w:val="00A03D5B"/>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rsid w:val="00A03D5B"/>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rsid w:val="00A03D5B"/>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rsid w:val="00A03D5B"/>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rsid w:val="00A03D5B"/>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rsid w:val="00A03D5B"/>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rsid w:val="00A03D5B"/>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rsid w:val="00A03D5B"/>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rsid w:val="00A03D5B"/>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rsid w:val="00A03D5B"/>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rsid w:val="00A03D5B"/>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rsid w:val="00A03D5B"/>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rsid w:val="00A03D5B"/>
    <w:pPr>
      <w:jc w:val="center"/>
    </w:pPr>
    <w:rPr>
      <w:rFonts w:eastAsia="Times New Roman"/>
      <w:b/>
      <w:u w:val="single"/>
      <w:lang w:eastAsia="en-GB"/>
    </w:rPr>
  </w:style>
  <w:style w:type="paragraph" w:customStyle="1" w:styleId="Annexetitreexposglobal">
    <w:name w:val="Annexe titre (exposé global)"/>
    <w:basedOn w:val="Normal"/>
    <w:next w:val="Normal"/>
    <w:rsid w:val="00A03D5B"/>
    <w:pPr>
      <w:jc w:val="center"/>
    </w:pPr>
    <w:rPr>
      <w:rFonts w:eastAsia="Times New Roman"/>
      <w:b/>
      <w:u w:val="single"/>
      <w:lang w:eastAsia="en-GB"/>
    </w:rPr>
  </w:style>
  <w:style w:type="paragraph" w:customStyle="1" w:styleId="Annexetitrefichefinacte">
    <w:name w:val="Annexe titre (fiche fin. acte)"/>
    <w:basedOn w:val="Normal"/>
    <w:next w:val="Normal"/>
    <w:rsid w:val="00A03D5B"/>
    <w:pPr>
      <w:jc w:val="center"/>
    </w:pPr>
    <w:rPr>
      <w:rFonts w:eastAsia="Times New Roman"/>
      <w:b/>
      <w:u w:val="single"/>
      <w:lang w:eastAsia="en-GB"/>
    </w:rPr>
  </w:style>
  <w:style w:type="paragraph" w:customStyle="1" w:styleId="Annexetitrefichefinglobale">
    <w:name w:val="Annexe titre (fiche fin. globale)"/>
    <w:basedOn w:val="Normal"/>
    <w:next w:val="Normal"/>
    <w:rsid w:val="00A03D5B"/>
    <w:pPr>
      <w:jc w:val="center"/>
    </w:pPr>
    <w:rPr>
      <w:rFonts w:eastAsia="Times New Roman"/>
      <w:b/>
      <w:u w:val="single"/>
      <w:lang w:eastAsia="en-GB"/>
    </w:rPr>
  </w:style>
  <w:style w:type="paragraph" w:customStyle="1" w:styleId="Annexetitreglobale">
    <w:name w:val="Annexe titre (globale)"/>
    <w:basedOn w:val="Normal"/>
    <w:next w:val="Normal"/>
    <w:rsid w:val="00A03D5B"/>
    <w:pPr>
      <w:jc w:val="center"/>
    </w:pPr>
    <w:rPr>
      <w:rFonts w:eastAsia="Times New Roman"/>
      <w:b/>
      <w:u w:val="single"/>
      <w:lang w:eastAsia="en-GB"/>
    </w:rPr>
  </w:style>
  <w:style w:type="paragraph" w:customStyle="1" w:styleId="Exposdesmotifstitreglobal">
    <w:name w:val="Exposé des motifs titre (global)"/>
    <w:basedOn w:val="Normal"/>
    <w:next w:val="Normal"/>
    <w:rsid w:val="00A03D5B"/>
    <w:pPr>
      <w:jc w:val="center"/>
    </w:pPr>
    <w:rPr>
      <w:rFonts w:eastAsia="Times New Roman"/>
      <w:b/>
      <w:u w:val="single"/>
      <w:lang w:eastAsia="en-GB"/>
    </w:rPr>
  </w:style>
  <w:style w:type="paragraph" w:customStyle="1" w:styleId="Langueoriginale">
    <w:name w:val="Langue originale"/>
    <w:basedOn w:val="Normal"/>
    <w:rsid w:val="00A03D5B"/>
    <w:pPr>
      <w:spacing w:before="360"/>
      <w:jc w:val="center"/>
    </w:pPr>
    <w:rPr>
      <w:rFonts w:eastAsia="Times New Roman"/>
      <w:caps/>
      <w:lang w:eastAsia="en-GB"/>
    </w:rPr>
  </w:style>
  <w:style w:type="paragraph" w:customStyle="1" w:styleId="Phrasefinale">
    <w:name w:val="Phrase finale"/>
    <w:basedOn w:val="Normal"/>
    <w:next w:val="Normal"/>
    <w:rsid w:val="00A03D5B"/>
    <w:pPr>
      <w:spacing w:before="360" w:after="0"/>
      <w:jc w:val="center"/>
    </w:pPr>
    <w:rPr>
      <w:rFonts w:eastAsia="Times New Roman"/>
      <w:lang w:eastAsia="en-GB"/>
    </w:rPr>
  </w:style>
  <w:style w:type="paragraph" w:customStyle="1" w:styleId="Prliminairetitre">
    <w:name w:val="Préliminaire titre"/>
    <w:basedOn w:val="Normal"/>
    <w:next w:val="Normal"/>
    <w:rsid w:val="00A03D5B"/>
    <w:pPr>
      <w:spacing w:before="360" w:after="360"/>
      <w:jc w:val="center"/>
    </w:pPr>
    <w:rPr>
      <w:rFonts w:eastAsia="Times New Roman"/>
      <w:b/>
      <w:lang w:eastAsia="en-GB"/>
    </w:rPr>
  </w:style>
  <w:style w:type="paragraph" w:customStyle="1" w:styleId="Prliminairetype">
    <w:name w:val="Préliminaire type"/>
    <w:basedOn w:val="Normal"/>
    <w:next w:val="Normal"/>
    <w:rsid w:val="00A03D5B"/>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A03D5B"/>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A03D5B"/>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A03D5B"/>
    <w:pPr>
      <w:spacing w:before="0" w:after="0"/>
      <w:ind w:left="5103"/>
      <w:jc w:val="left"/>
    </w:pPr>
    <w:rPr>
      <w:rFonts w:eastAsia="Times New Roman"/>
      <w:lang w:eastAsia="en-GB"/>
    </w:rPr>
  </w:style>
  <w:style w:type="paragraph" w:customStyle="1" w:styleId="Sous-titreobjetprliminaire">
    <w:name w:val="Sous-titre objet (préliminaire)"/>
    <w:basedOn w:val="Normal"/>
    <w:rsid w:val="00A03D5B"/>
    <w:pPr>
      <w:spacing w:before="0" w:after="0"/>
      <w:jc w:val="center"/>
    </w:pPr>
    <w:rPr>
      <w:rFonts w:eastAsia="Times New Roman"/>
      <w:b/>
      <w:lang w:eastAsia="en-GB"/>
    </w:rPr>
  </w:style>
  <w:style w:type="paragraph" w:customStyle="1" w:styleId="Statutprliminaire">
    <w:name w:val="Statut (préliminaire)"/>
    <w:basedOn w:val="Normal"/>
    <w:next w:val="Normal"/>
    <w:rsid w:val="00A03D5B"/>
    <w:pPr>
      <w:spacing w:before="360" w:after="0"/>
      <w:jc w:val="center"/>
    </w:pPr>
    <w:rPr>
      <w:rFonts w:eastAsia="Times New Roman"/>
      <w:lang w:eastAsia="en-GB"/>
    </w:rPr>
  </w:style>
  <w:style w:type="paragraph" w:customStyle="1" w:styleId="Titreobjetprliminaire">
    <w:name w:val="Titre objet (préliminaire)"/>
    <w:basedOn w:val="Normal"/>
    <w:next w:val="Normal"/>
    <w:rsid w:val="00A03D5B"/>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A03D5B"/>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A03D5B"/>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A03D5B"/>
    <w:pPr>
      <w:jc w:val="center"/>
    </w:pPr>
    <w:rPr>
      <w:rFonts w:eastAsia="Times New Roman"/>
      <w:b/>
      <w:u w:val="single"/>
      <w:lang w:eastAsia="en-GB"/>
    </w:rPr>
  </w:style>
  <w:style w:type="paragraph" w:customStyle="1" w:styleId="Fichefinanciretravailtitre">
    <w:name w:val="Fiche financière (travail) titre"/>
    <w:basedOn w:val="Normal"/>
    <w:next w:val="Normal"/>
    <w:rsid w:val="00A03D5B"/>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A03D5B"/>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A03D5B"/>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A03D5B"/>
    <w:pPr>
      <w:jc w:val="center"/>
    </w:pPr>
    <w:rPr>
      <w:rFonts w:eastAsia="Times New Roman"/>
      <w:b/>
      <w:u w:val="single"/>
      <w:lang w:eastAsia="en-GB"/>
    </w:rPr>
  </w:style>
  <w:style w:type="character" w:styleId="CommentReference">
    <w:name w:val="annotation reference"/>
    <w:rsid w:val="00A03D5B"/>
    <w:rPr>
      <w:rFonts w:cs="Times New Roman"/>
      <w:sz w:val="16"/>
      <w:szCs w:val="16"/>
    </w:rPr>
  </w:style>
  <w:style w:type="paragraph" w:styleId="CommentText">
    <w:name w:val="annotation text"/>
    <w:basedOn w:val="Normal"/>
    <w:link w:val="CommentTextChar"/>
    <w:rsid w:val="00A03D5B"/>
    <w:rPr>
      <w:rFonts w:eastAsia="Times New Roman"/>
      <w:sz w:val="20"/>
      <w:szCs w:val="20"/>
      <w:lang w:eastAsia="en-GB"/>
    </w:rPr>
  </w:style>
  <w:style w:type="character" w:customStyle="1" w:styleId="CommentTextChar">
    <w:name w:val="Comment Text Char"/>
    <w:basedOn w:val="DefaultParagraphFont"/>
    <w:link w:val="CommentText"/>
    <w:rsid w:val="00A03D5B"/>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sid w:val="00A03D5B"/>
    <w:rPr>
      <w:b/>
      <w:bCs/>
    </w:rPr>
  </w:style>
  <w:style w:type="character" w:customStyle="1" w:styleId="CommentSubjectChar">
    <w:name w:val="Comment Subject Char"/>
    <w:basedOn w:val="CommentTextChar"/>
    <w:link w:val="CommentSubject"/>
    <w:rsid w:val="00A03D5B"/>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sid w:val="00A03D5B"/>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A03D5B"/>
    <w:rPr>
      <w:rFonts w:ascii="Tahoma" w:eastAsia="Times New Roman" w:hAnsi="Tahoma" w:cs="Tahoma"/>
      <w:sz w:val="16"/>
      <w:szCs w:val="16"/>
      <w:lang w:val="ro-RO" w:eastAsia="en-GB"/>
    </w:rPr>
  </w:style>
  <w:style w:type="paragraph" w:styleId="Caption">
    <w:name w:val="caption"/>
    <w:basedOn w:val="Normal"/>
    <w:next w:val="Normal"/>
    <w:qFormat/>
    <w:rsid w:val="00A03D5B"/>
    <w:rPr>
      <w:rFonts w:eastAsia="Times New Roman"/>
      <w:b/>
      <w:bCs/>
      <w:sz w:val="20"/>
      <w:szCs w:val="20"/>
      <w:lang w:eastAsia="en-GB"/>
    </w:rPr>
  </w:style>
  <w:style w:type="paragraph" w:styleId="TableofFigures">
    <w:name w:val="table of figures"/>
    <w:basedOn w:val="Normal"/>
    <w:next w:val="Normal"/>
    <w:rsid w:val="00A03D5B"/>
    <w:rPr>
      <w:rFonts w:eastAsia="Times New Roman"/>
      <w:lang w:eastAsia="en-GB"/>
    </w:rPr>
  </w:style>
  <w:style w:type="character" w:styleId="PageNumber">
    <w:name w:val="page number"/>
    <w:rsid w:val="00A03D5B"/>
  </w:style>
  <w:style w:type="character" w:customStyle="1" w:styleId="tw4winMark">
    <w:name w:val="tw4winMark"/>
    <w:rsid w:val="00A03D5B"/>
    <w:rPr>
      <w:vanish/>
      <w:color w:val="800080"/>
      <w:vertAlign w:val="subscript"/>
    </w:rPr>
  </w:style>
  <w:style w:type="character" w:styleId="FollowedHyperlink">
    <w:name w:val="FollowedHyperlink"/>
    <w:rsid w:val="00A03D5B"/>
    <w:rPr>
      <w:color w:val="800080"/>
      <w:u w:val="single"/>
    </w:rPr>
  </w:style>
  <w:style w:type="paragraph" w:customStyle="1" w:styleId="Sous-titreobjet">
    <w:name w:val="Sous-titre objet"/>
    <w:basedOn w:val="Normal"/>
    <w:rsid w:val="00A03D5B"/>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A03D5B"/>
  </w:style>
  <w:style w:type="paragraph" w:styleId="Revision">
    <w:name w:val="Revision"/>
    <w:hidden/>
    <w:uiPriority w:val="99"/>
    <w:semiHidden/>
    <w:rsid w:val="00A03D5B"/>
    <w:rPr>
      <w:rFonts w:ascii="Calibri" w:eastAsia="Calibri" w:hAnsi="Calibri" w:cs="Times New Roman"/>
      <w:sz w:val="24"/>
      <w:lang w:eastAsia="en-GB"/>
    </w:rPr>
  </w:style>
  <w:style w:type="paragraph" w:customStyle="1" w:styleId="FooterCoverPage">
    <w:name w:val="Footer Cover Page"/>
    <w:basedOn w:val="Normal"/>
    <w:link w:val="FooterCoverPageChar"/>
    <w:rsid w:val="00A03D5B"/>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A03D5B"/>
    <w:rPr>
      <w:rFonts w:ascii="Times New Roman" w:hAnsi="Times New Roman" w:cs="Times New Roman"/>
      <w:b/>
      <w:sz w:val="28"/>
      <w:lang w:val="ro-RO"/>
    </w:rPr>
  </w:style>
  <w:style w:type="character" w:customStyle="1" w:styleId="FooterCoverPageChar">
    <w:name w:val="Footer Cover Page Char"/>
    <w:link w:val="FooterCoverPage"/>
    <w:rsid w:val="00A03D5B"/>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A03D5B"/>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A03D5B"/>
    <w:rPr>
      <w:rFonts w:ascii="Times New Roman" w:eastAsia="Calibri" w:hAnsi="Times New Roman" w:cs="Times New Roman"/>
      <w:sz w:val="24"/>
      <w:lang w:val="ro-RO" w:eastAsia="en-GB"/>
    </w:rPr>
  </w:style>
  <w:style w:type="character" w:customStyle="1" w:styleId="FooterSensitivityChar">
    <w:name w:val="Footer Sensitivity Char"/>
    <w:rsid w:val="00A03D5B"/>
    <w:rPr>
      <w:rFonts w:ascii="Times New Roman" w:hAnsi="Times New Roman" w:cs="Times New Roman"/>
      <w:b/>
      <w:sz w:val="32"/>
      <w:lang w:val="ro-RO"/>
    </w:rPr>
  </w:style>
  <w:style w:type="character" w:customStyle="1" w:styleId="HeaderSensitivityChar">
    <w:name w:val="Header Sensitivity Char"/>
    <w:rsid w:val="00A03D5B"/>
    <w:rPr>
      <w:rFonts w:ascii="Times New Roman" w:hAnsi="Times New Roman" w:cs="Times New Roman"/>
      <w:b/>
      <w:sz w:val="32"/>
      <w:lang w:val="ro-RO"/>
    </w:rPr>
  </w:style>
  <w:style w:type="character" w:customStyle="1" w:styleId="HeaderSensitivityRightChar">
    <w:name w:val="Header Sensitivity Right Char"/>
    <w:rsid w:val="00A03D5B"/>
    <w:rPr>
      <w:rFonts w:ascii="Times New Roman" w:hAnsi="Times New Roman" w:cs="Times New Roman"/>
      <w:sz w:val="28"/>
      <w:lang w:val="ro-RO"/>
    </w:rPr>
  </w:style>
  <w:style w:type="paragraph" w:customStyle="1" w:styleId="LegalNumPar">
    <w:name w:val="LegalNumPar"/>
    <w:basedOn w:val="Normal"/>
    <w:rsid w:val="00A03D5B"/>
    <w:pPr>
      <w:numPr>
        <w:numId w:val="16"/>
      </w:numPr>
      <w:spacing w:line="360" w:lineRule="auto"/>
      <w:ind w:left="0" w:firstLine="0"/>
    </w:pPr>
    <w:rPr>
      <w:rFonts w:eastAsia="Times New Roman"/>
      <w:lang w:eastAsia="en-GB"/>
    </w:rPr>
  </w:style>
  <w:style w:type="paragraph" w:customStyle="1" w:styleId="LegalNumPar2">
    <w:name w:val="LegalNumPar2"/>
    <w:basedOn w:val="Normal"/>
    <w:rsid w:val="00A03D5B"/>
    <w:pPr>
      <w:numPr>
        <w:ilvl w:val="1"/>
        <w:numId w:val="16"/>
      </w:numPr>
      <w:spacing w:line="360" w:lineRule="auto"/>
      <w:ind w:left="0" w:firstLine="0"/>
    </w:pPr>
    <w:rPr>
      <w:rFonts w:eastAsia="Times New Roman"/>
      <w:lang w:eastAsia="en-GB"/>
    </w:rPr>
  </w:style>
  <w:style w:type="paragraph" w:customStyle="1" w:styleId="LegalNumPar3">
    <w:name w:val="LegalNumPar3"/>
    <w:basedOn w:val="Normal"/>
    <w:rsid w:val="00A03D5B"/>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rsid w:val="00A03D5B"/>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A03D5B"/>
    <w:rPr>
      <w:color w:val="605E5C"/>
      <w:shd w:val="clear" w:color="auto" w:fill="E1DFDD"/>
    </w:rPr>
  </w:style>
  <w:style w:type="character" w:styleId="Strong">
    <w:name w:val="Strong"/>
    <w:basedOn w:val="DefaultParagraphFont"/>
    <w:uiPriority w:val="22"/>
    <w:qFormat/>
    <w:rsid w:val="00A03D5B"/>
    <w:rPr>
      <w:b/>
      <w:bCs/>
    </w:rPr>
  </w:style>
  <w:style w:type="character" w:styleId="Emphasis">
    <w:name w:val="Emphasis"/>
    <w:basedOn w:val="DefaultParagraphFont"/>
    <w:qFormat/>
    <w:rsid w:val="00A03D5B"/>
    <w:rPr>
      <w:i/>
      <w:iCs/>
    </w:rPr>
  </w:style>
  <w:style w:type="character" w:customStyle="1" w:styleId="Mention1">
    <w:name w:val="Mention1"/>
    <w:basedOn w:val="DefaultParagraphFont"/>
    <w:uiPriority w:val="99"/>
    <w:unhideWhenUsed/>
    <w:rsid w:val="00A03D5B"/>
    <w:rPr>
      <w:color w:val="2B579A"/>
      <w:shd w:val="clear" w:color="auto" w:fill="E1DFDD"/>
    </w:rPr>
  </w:style>
  <w:style w:type="character" w:customStyle="1" w:styleId="normaltextrun">
    <w:name w:val="normaltextrun"/>
    <w:basedOn w:val="DefaultParagraphFont"/>
    <w:rsid w:val="00A03D5B"/>
  </w:style>
  <w:style w:type="character" w:customStyle="1" w:styleId="eop">
    <w:name w:val="eop"/>
    <w:basedOn w:val="DefaultParagraphFont"/>
    <w:rsid w:val="00A03D5B"/>
  </w:style>
  <w:style w:type="character" w:customStyle="1" w:styleId="bzpyqfadein">
    <w:name w:val="bz_pyq_fadein"/>
    <w:basedOn w:val="DefaultParagraphFont"/>
    <w:rsid w:val="002B39F7"/>
    <w:rPr>
      <w:rFonts w:asciiTheme="minorHAnsi" w:eastAsiaTheme="minorEastAsia" w:hAnsiTheme="minorHAnsi" w:cstheme="minorBidi"/>
      <w:sz w:val="22"/>
      <w:szCs w:val="22"/>
    </w:rPr>
  </w:style>
  <w:style w:type="paragraph" w:customStyle="1" w:styleId="CharCharChar1">
    <w:name w:val="Char Char Char1"/>
    <w:basedOn w:val="Normal"/>
    <w:link w:val="FootnoteReference"/>
    <w:rsid w:val="00BE2E88"/>
    <w:pPr>
      <w:spacing w:before="0" w:after="160" w:line="240" w:lineRule="exact"/>
    </w:pPr>
    <w:rPr>
      <w:rFonts w:asciiTheme="minorHAnsi" w:hAnsiTheme="minorHAnsi" w:cstheme="minorBidi"/>
      <w:sz w:val="22"/>
      <w:vertAlign w:val="superscript"/>
    </w:rPr>
  </w:style>
  <w:style w:type="paragraph" w:styleId="NormalWeb">
    <w:name w:val="Normal (Web)"/>
    <w:basedOn w:val="Normal"/>
    <w:uiPriority w:val="99"/>
    <w:semiHidden/>
    <w:unhideWhenUsed/>
    <w:rsid w:val="00D708BB"/>
    <w:pPr>
      <w:spacing w:before="100" w:beforeAutospacing="1" w:after="100" w:afterAutospacing="1"/>
      <w:jc w:val="left"/>
    </w:pPr>
    <w:rPr>
      <w:rFonts w:eastAsia="Times New Roman"/>
      <w:szCs w:val="24"/>
      <w:lang w:eastAsia="en-IE"/>
    </w:rPr>
  </w:style>
  <w:style w:type="paragraph" w:customStyle="1" w:styleId="oj-normal">
    <w:name w:val="oj-normal"/>
    <w:basedOn w:val="Normal"/>
    <w:rsid w:val="00893BA8"/>
    <w:pPr>
      <w:spacing w:before="100" w:beforeAutospacing="1" w:after="100" w:afterAutospacing="1"/>
      <w:jc w:val="left"/>
    </w:pPr>
    <w:rPr>
      <w:rFonts w:eastAsia="Times New Roman"/>
      <w:szCs w:val="24"/>
      <w:lang w:eastAsia="en-IE"/>
    </w:rPr>
  </w:style>
  <w:style w:type="paragraph" w:customStyle="1" w:styleId="Annex">
    <w:name w:val="Annex"/>
    <w:basedOn w:val="Titrearticle"/>
    <w:rsid w:val="00893BA8"/>
    <w:pPr>
      <w:jc w:val="both"/>
    </w:pPr>
    <w:rPr>
      <w:i w:val="0"/>
      <w:iCs/>
    </w:rPr>
  </w:style>
  <w:style w:type="numbering" w:customStyle="1" w:styleId="CurrentList1">
    <w:name w:val="Current List1"/>
    <w:uiPriority w:val="99"/>
    <w:rsid w:val="00893BA8"/>
  </w:style>
  <w:style w:type="paragraph" w:customStyle="1" w:styleId="AppelnotedebasdepageCharCharCharCharCharCharChar">
    <w:name w:val="Appel note de bas de page Char Char Char Char Char Char Char"/>
    <w:basedOn w:val="Normal"/>
    <w:uiPriority w:val="99"/>
    <w:rsid w:val="00893BA8"/>
    <w:pPr>
      <w:spacing w:after="0"/>
      <w:jc w:val="left"/>
    </w:pPr>
    <w:rPr>
      <w:rFonts w:asciiTheme="minorHAnsi" w:hAnsiTheme="minorHAnsi" w:cstheme="minorBidi"/>
      <w:sz w:val="22"/>
      <w:vertAlign w:val="superscript"/>
    </w:rPr>
  </w:style>
  <w:style w:type="paragraph" w:styleId="EndnoteText">
    <w:name w:val="endnote text"/>
    <w:basedOn w:val="Normal"/>
    <w:link w:val="EndnoteTextChar"/>
    <w:uiPriority w:val="99"/>
    <w:semiHidden/>
    <w:unhideWhenUsed/>
    <w:rsid w:val="00893BA8"/>
    <w:pPr>
      <w:spacing w:before="0" w:after="0"/>
    </w:pPr>
    <w:rPr>
      <w:sz w:val="20"/>
      <w:szCs w:val="20"/>
    </w:rPr>
  </w:style>
  <w:style w:type="character" w:customStyle="1" w:styleId="EndnoteTextChar">
    <w:name w:val="Endnote Text Char"/>
    <w:basedOn w:val="DefaultParagraphFont"/>
    <w:link w:val="EndnoteText"/>
    <w:uiPriority w:val="99"/>
    <w:semiHidden/>
    <w:rsid w:val="00893BA8"/>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sid w:val="00893BA8"/>
    <w:rPr>
      <w:vertAlign w:val="superscript"/>
    </w:rPr>
  </w:style>
  <w:style w:type="paragraph" w:customStyle="1" w:styleId="Numer">
    <w:name w:val="Numer"/>
    <w:basedOn w:val="Text1"/>
    <w:rsid w:val="004C48CE"/>
  </w:style>
  <w:style w:type="character" w:customStyle="1" w:styleId="Mention2">
    <w:name w:val="Mention2"/>
    <w:basedOn w:val="DefaultParagraphFont"/>
    <w:uiPriority w:val="99"/>
    <w:unhideWhenUsed/>
    <w:rsid w:val="00DA5EB5"/>
    <w:rPr>
      <w:color w:val="2B579A"/>
      <w:shd w:val="clear" w:color="auto" w:fill="E1DFDD"/>
    </w:rPr>
  </w:style>
  <w:style w:type="character" w:customStyle="1" w:styleId="UnresolvedMention2">
    <w:name w:val="Unresolved Mention2"/>
    <w:basedOn w:val="DefaultParagraphFont"/>
    <w:uiPriority w:val="99"/>
    <w:semiHidden/>
    <w:unhideWhenUsed/>
    <w:rsid w:val="00512C64"/>
    <w:rPr>
      <w:color w:val="605E5C"/>
      <w:shd w:val="clear" w:color="auto" w:fill="E1DFDD"/>
    </w:rPr>
  </w:style>
  <w:style w:type="character" w:customStyle="1" w:styleId="UnresolvedMention">
    <w:name w:val="Unresolved Mention"/>
    <w:basedOn w:val="DefaultParagraphFont"/>
    <w:uiPriority w:val="99"/>
    <w:semiHidden/>
    <w:unhideWhenUsed/>
    <w:rsid w:val="00974943"/>
    <w:rPr>
      <w:color w:val="605E5C"/>
      <w:shd w:val="clear" w:color="auto" w:fill="E1DFDD"/>
    </w:rPr>
  </w:style>
  <w:style w:type="character" w:customStyle="1" w:styleId="HeaderChar">
    <w:name w:val="Header Char"/>
    <w:basedOn w:val="DefaultParagraphFont"/>
    <w:link w:val="Header"/>
    <w:uiPriority w:val="99"/>
    <w:rsid w:val="0001503D"/>
    <w:rPr>
      <w:rFonts w:ascii="Times New Roman" w:hAnsi="Times New Roman" w:cs="Times New Roman"/>
      <w:sz w:val="24"/>
      <w:lang w:val="ro-RO"/>
    </w:rPr>
  </w:style>
  <w:style w:type="character" w:customStyle="1" w:styleId="FooterChar">
    <w:name w:val="Footer Char"/>
    <w:basedOn w:val="DefaultParagraphFont"/>
    <w:link w:val="Footer"/>
    <w:uiPriority w:val="99"/>
    <w:rsid w:val="0001503D"/>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rsid w:val="0001503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1503D"/>
    <w:pPr>
      <w:spacing w:before="0"/>
      <w:jc w:val="right"/>
    </w:pPr>
    <w:rPr>
      <w:sz w:val="28"/>
    </w:rPr>
  </w:style>
  <w:style w:type="paragraph" w:customStyle="1" w:styleId="FooterSensitivity">
    <w:name w:val="Footer Sensitivity"/>
    <w:basedOn w:val="Normal"/>
    <w:rsid w:val="0001503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1503D"/>
    <w:pPr>
      <w:tabs>
        <w:tab w:val="center" w:pos="4535"/>
        <w:tab w:val="right" w:pos="9071"/>
      </w:tabs>
      <w:spacing w:before="0"/>
    </w:pPr>
  </w:style>
  <w:style w:type="paragraph" w:customStyle="1" w:styleId="HeaderLandscape">
    <w:name w:val="HeaderLandscape"/>
    <w:basedOn w:val="Normal"/>
    <w:rsid w:val="0001503D"/>
    <w:pPr>
      <w:tabs>
        <w:tab w:val="center" w:pos="7285"/>
        <w:tab w:val="right" w:pos="14003"/>
      </w:tabs>
      <w:spacing w:before="0"/>
    </w:pPr>
  </w:style>
  <w:style w:type="paragraph" w:styleId="Footer">
    <w:name w:val="footer"/>
    <w:basedOn w:val="Normal"/>
    <w:link w:val="FooterChar"/>
    <w:uiPriority w:val="99"/>
    <w:unhideWhenUsed/>
    <w:rsid w:val="0001503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1503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185150">
      <w:bodyDiv w:val="1"/>
      <w:marLeft w:val="0"/>
      <w:marRight w:val="0"/>
      <w:marTop w:val="0"/>
      <w:marBottom w:val="0"/>
      <w:divBdr>
        <w:top w:val="none" w:sz="0" w:space="0" w:color="auto"/>
        <w:left w:val="none" w:sz="0" w:space="0" w:color="auto"/>
        <w:bottom w:val="none" w:sz="0" w:space="0" w:color="auto"/>
        <w:right w:val="none" w:sz="0" w:space="0" w:color="auto"/>
      </w:divBdr>
      <w:divsChild>
        <w:div w:id="277031115">
          <w:marLeft w:val="0"/>
          <w:marRight w:val="0"/>
          <w:marTop w:val="0"/>
          <w:marBottom w:val="0"/>
          <w:divBdr>
            <w:top w:val="none" w:sz="0" w:space="0" w:color="auto"/>
            <w:left w:val="none" w:sz="0" w:space="0" w:color="auto"/>
            <w:bottom w:val="none" w:sz="0" w:space="0" w:color="auto"/>
            <w:right w:val="none" w:sz="0" w:space="0" w:color="auto"/>
          </w:divBdr>
        </w:div>
        <w:div w:id="568345830">
          <w:marLeft w:val="0"/>
          <w:marRight w:val="0"/>
          <w:marTop w:val="0"/>
          <w:marBottom w:val="0"/>
          <w:divBdr>
            <w:top w:val="none" w:sz="0" w:space="0" w:color="auto"/>
            <w:left w:val="none" w:sz="0" w:space="0" w:color="auto"/>
            <w:bottom w:val="none" w:sz="0" w:space="0" w:color="auto"/>
            <w:right w:val="none" w:sz="0" w:space="0" w:color="auto"/>
          </w:divBdr>
        </w:div>
        <w:div w:id="1061363506">
          <w:marLeft w:val="0"/>
          <w:marRight w:val="0"/>
          <w:marTop w:val="0"/>
          <w:marBottom w:val="0"/>
          <w:divBdr>
            <w:top w:val="none" w:sz="0" w:space="0" w:color="auto"/>
            <w:left w:val="none" w:sz="0" w:space="0" w:color="auto"/>
            <w:bottom w:val="none" w:sz="0" w:space="0" w:color="auto"/>
            <w:right w:val="none" w:sz="0" w:space="0" w:color="auto"/>
          </w:divBdr>
        </w:div>
        <w:div w:id="1104419553">
          <w:marLeft w:val="0"/>
          <w:marRight w:val="0"/>
          <w:marTop w:val="0"/>
          <w:marBottom w:val="0"/>
          <w:divBdr>
            <w:top w:val="none" w:sz="0" w:space="0" w:color="auto"/>
            <w:left w:val="none" w:sz="0" w:space="0" w:color="auto"/>
            <w:bottom w:val="none" w:sz="0" w:space="0" w:color="auto"/>
            <w:right w:val="none" w:sz="0" w:space="0" w:color="auto"/>
          </w:divBdr>
        </w:div>
        <w:div w:id="1150948013">
          <w:marLeft w:val="0"/>
          <w:marRight w:val="0"/>
          <w:marTop w:val="0"/>
          <w:marBottom w:val="0"/>
          <w:divBdr>
            <w:top w:val="none" w:sz="0" w:space="0" w:color="auto"/>
            <w:left w:val="none" w:sz="0" w:space="0" w:color="auto"/>
            <w:bottom w:val="none" w:sz="0" w:space="0" w:color="auto"/>
            <w:right w:val="none" w:sz="0" w:space="0" w:color="auto"/>
          </w:divBdr>
        </w:div>
        <w:div w:id="1653027019">
          <w:marLeft w:val="0"/>
          <w:marRight w:val="0"/>
          <w:marTop w:val="0"/>
          <w:marBottom w:val="0"/>
          <w:divBdr>
            <w:top w:val="none" w:sz="0" w:space="0" w:color="auto"/>
            <w:left w:val="none" w:sz="0" w:space="0" w:color="auto"/>
            <w:bottom w:val="none" w:sz="0" w:space="0" w:color="auto"/>
            <w:right w:val="none" w:sz="0" w:space="0" w:color="auto"/>
          </w:divBdr>
        </w:div>
        <w:div w:id="1656102364">
          <w:marLeft w:val="0"/>
          <w:marRight w:val="0"/>
          <w:marTop w:val="0"/>
          <w:marBottom w:val="0"/>
          <w:divBdr>
            <w:top w:val="none" w:sz="0" w:space="0" w:color="auto"/>
            <w:left w:val="none" w:sz="0" w:space="0" w:color="auto"/>
            <w:bottom w:val="none" w:sz="0" w:space="0" w:color="auto"/>
            <w:right w:val="none" w:sz="0" w:space="0" w:color="auto"/>
          </w:divBdr>
        </w:div>
        <w:div w:id="1687705921">
          <w:marLeft w:val="0"/>
          <w:marRight w:val="0"/>
          <w:marTop w:val="0"/>
          <w:marBottom w:val="0"/>
          <w:divBdr>
            <w:top w:val="none" w:sz="0" w:space="0" w:color="auto"/>
            <w:left w:val="none" w:sz="0" w:space="0" w:color="auto"/>
            <w:bottom w:val="none" w:sz="0" w:space="0" w:color="auto"/>
            <w:right w:val="none" w:sz="0" w:space="0" w:color="auto"/>
          </w:divBdr>
        </w:div>
        <w:div w:id="1947077011">
          <w:marLeft w:val="0"/>
          <w:marRight w:val="0"/>
          <w:marTop w:val="0"/>
          <w:marBottom w:val="0"/>
          <w:divBdr>
            <w:top w:val="none" w:sz="0" w:space="0" w:color="auto"/>
            <w:left w:val="none" w:sz="0" w:space="0" w:color="auto"/>
            <w:bottom w:val="none" w:sz="0" w:space="0" w:color="auto"/>
            <w:right w:val="none" w:sz="0" w:space="0" w:color="auto"/>
          </w:divBdr>
        </w:div>
        <w:div w:id="2039774320">
          <w:marLeft w:val="0"/>
          <w:marRight w:val="0"/>
          <w:marTop w:val="0"/>
          <w:marBottom w:val="0"/>
          <w:divBdr>
            <w:top w:val="none" w:sz="0" w:space="0" w:color="auto"/>
            <w:left w:val="none" w:sz="0" w:space="0" w:color="auto"/>
            <w:bottom w:val="none" w:sz="0" w:space="0" w:color="auto"/>
            <w:right w:val="none" w:sz="0" w:space="0" w:color="auto"/>
          </w:divBdr>
        </w:div>
      </w:divsChild>
    </w:div>
    <w:div w:id="86318129">
      <w:bodyDiv w:val="1"/>
      <w:marLeft w:val="0"/>
      <w:marRight w:val="0"/>
      <w:marTop w:val="0"/>
      <w:marBottom w:val="0"/>
      <w:divBdr>
        <w:top w:val="none" w:sz="0" w:space="0" w:color="auto"/>
        <w:left w:val="none" w:sz="0" w:space="0" w:color="auto"/>
        <w:bottom w:val="none" w:sz="0" w:space="0" w:color="auto"/>
        <w:right w:val="none" w:sz="0" w:space="0" w:color="auto"/>
      </w:divBdr>
    </w:div>
    <w:div w:id="102044758">
      <w:bodyDiv w:val="1"/>
      <w:marLeft w:val="0"/>
      <w:marRight w:val="0"/>
      <w:marTop w:val="0"/>
      <w:marBottom w:val="0"/>
      <w:divBdr>
        <w:top w:val="none" w:sz="0" w:space="0" w:color="auto"/>
        <w:left w:val="none" w:sz="0" w:space="0" w:color="auto"/>
        <w:bottom w:val="none" w:sz="0" w:space="0" w:color="auto"/>
        <w:right w:val="none" w:sz="0" w:space="0" w:color="auto"/>
      </w:divBdr>
      <w:divsChild>
        <w:div w:id="85420984">
          <w:marLeft w:val="0"/>
          <w:marRight w:val="0"/>
          <w:marTop w:val="0"/>
          <w:marBottom w:val="0"/>
          <w:divBdr>
            <w:top w:val="none" w:sz="0" w:space="0" w:color="auto"/>
            <w:left w:val="none" w:sz="0" w:space="0" w:color="auto"/>
            <w:bottom w:val="none" w:sz="0" w:space="0" w:color="auto"/>
            <w:right w:val="none" w:sz="0" w:space="0" w:color="auto"/>
          </w:divBdr>
          <w:divsChild>
            <w:div w:id="39746963">
              <w:marLeft w:val="0"/>
              <w:marRight w:val="0"/>
              <w:marTop w:val="0"/>
              <w:marBottom w:val="0"/>
              <w:divBdr>
                <w:top w:val="none" w:sz="0" w:space="0" w:color="auto"/>
                <w:left w:val="none" w:sz="0" w:space="0" w:color="auto"/>
                <w:bottom w:val="none" w:sz="0" w:space="0" w:color="auto"/>
                <w:right w:val="none" w:sz="0" w:space="0" w:color="auto"/>
              </w:divBdr>
            </w:div>
            <w:div w:id="56361989">
              <w:marLeft w:val="0"/>
              <w:marRight w:val="0"/>
              <w:marTop w:val="0"/>
              <w:marBottom w:val="0"/>
              <w:divBdr>
                <w:top w:val="none" w:sz="0" w:space="0" w:color="auto"/>
                <w:left w:val="none" w:sz="0" w:space="0" w:color="auto"/>
                <w:bottom w:val="none" w:sz="0" w:space="0" w:color="auto"/>
                <w:right w:val="none" w:sz="0" w:space="0" w:color="auto"/>
              </w:divBdr>
            </w:div>
            <w:div w:id="329990808">
              <w:marLeft w:val="0"/>
              <w:marRight w:val="0"/>
              <w:marTop w:val="0"/>
              <w:marBottom w:val="0"/>
              <w:divBdr>
                <w:top w:val="none" w:sz="0" w:space="0" w:color="auto"/>
                <w:left w:val="none" w:sz="0" w:space="0" w:color="auto"/>
                <w:bottom w:val="none" w:sz="0" w:space="0" w:color="auto"/>
                <w:right w:val="none" w:sz="0" w:space="0" w:color="auto"/>
              </w:divBdr>
            </w:div>
            <w:div w:id="453015149">
              <w:marLeft w:val="0"/>
              <w:marRight w:val="0"/>
              <w:marTop w:val="0"/>
              <w:marBottom w:val="0"/>
              <w:divBdr>
                <w:top w:val="none" w:sz="0" w:space="0" w:color="auto"/>
                <w:left w:val="none" w:sz="0" w:space="0" w:color="auto"/>
                <w:bottom w:val="none" w:sz="0" w:space="0" w:color="auto"/>
                <w:right w:val="none" w:sz="0" w:space="0" w:color="auto"/>
              </w:divBdr>
            </w:div>
            <w:div w:id="526797055">
              <w:marLeft w:val="0"/>
              <w:marRight w:val="0"/>
              <w:marTop w:val="0"/>
              <w:marBottom w:val="0"/>
              <w:divBdr>
                <w:top w:val="none" w:sz="0" w:space="0" w:color="auto"/>
                <w:left w:val="none" w:sz="0" w:space="0" w:color="auto"/>
                <w:bottom w:val="none" w:sz="0" w:space="0" w:color="auto"/>
                <w:right w:val="none" w:sz="0" w:space="0" w:color="auto"/>
              </w:divBdr>
            </w:div>
            <w:div w:id="732195951">
              <w:marLeft w:val="0"/>
              <w:marRight w:val="0"/>
              <w:marTop w:val="0"/>
              <w:marBottom w:val="0"/>
              <w:divBdr>
                <w:top w:val="none" w:sz="0" w:space="0" w:color="auto"/>
                <w:left w:val="none" w:sz="0" w:space="0" w:color="auto"/>
                <w:bottom w:val="none" w:sz="0" w:space="0" w:color="auto"/>
                <w:right w:val="none" w:sz="0" w:space="0" w:color="auto"/>
              </w:divBdr>
            </w:div>
            <w:div w:id="826554262">
              <w:marLeft w:val="0"/>
              <w:marRight w:val="0"/>
              <w:marTop w:val="0"/>
              <w:marBottom w:val="0"/>
              <w:divBdr>
                <w:top w:val="none" w:sz="0" w:space="0" w:color="auto"/>
                <w:left w:val="none" w:sz="0" w:space="0" w:color="auto"/>
                <w:bottom w:val="none" w:sz="0" w:space="0" w:color="auto"/>
                <w:right w:val="none" w:sz="0" w:space="0" w:color="auto"/>
              </w:divBdr>
            </w:div>
            <w:div w:id="888034403">
              <w:marLeft w:val="0"/>
              <w:marRight w:val="0"/>
              <w:marTop w:val="0"/>
              <w:marBottom w:val="0"/>
              <w:divBdr>
                <w:top w:val="none" w:sz="0" w:space="0" w:color="auto"/>
                <w:left w:val="none" w:sz="0" w:space="0" w:color="auto"/>
                <w:bottom w:val="none" w:sz="0" w:space="0" w:color="auto"/>
                <w:right w:val="none" w:sz="0" w:space="0" w:color="auto"/>
              </w:divBdr>
            </w:div>
            <w:div w:id="1316911754">
              <w:marLeft w:val="0"/>
              <w:marRight w:val="0"/>
              <w:marTop w:val="0"/>
              <w:marBottom w:val="0"/>
              <w:divBdr>
                <w:top w:val="none" w:sz="0" w:space="0" w:color="auto"/>
                <w:left w:val="none" w:sz="0" w:space="0" w:color="auto"/>
                <w:bottom w:val="none" w:sz="0" w:space="0" w:color="auto"/>
                <w:right w:val="none" w:sz="0" w:space="0" w:color="auto"/>
              </w:divBdr>
            </w:div>
            <w:div w:id="1543782274">
              <w:marLeft w:val="0"/>
              <w:marRight w:val="0"/>
              <w:marTop w:val="0"/>
              <w:marBottom w:val="0"/>
              <w:divBdr>
                <w:top w:val="none" w:sz="0" w:space="0" w:color="auto"/>
                <w:left w:val="none" w:sz="0" w:space="0" w:color="auto"/>
                <w:bottom w:val="none" w:sz="0" w:space="0" w:color="auto"/>
                <w:right w:val="none" w:sz="0" w:space="0" w:color="auto"/>
              </w:divBdr>
            </w:div>
            <w:div w:id="1697851233">
              <w:marLeft w:val="0"/>
              <w:marRight w:val="0"/>
              <w:marTop w:val="0"/>
              <w:marBottom w:val="0"/>
              <w:divBdr>
                <w:top w:val="none" w:sz="0" w:space="0" w:color="auto"/>
                <w:left w:val="none" w:sz="0" w:space="0" w:color="auto"/>
                <w:bottom w:val="none" w:sz="0" w:space="0" w:color="auto"/>
                <w:right w:val="none" w:sz="0" w:space="0" w:color="auto"/>
              </w:divBdr>
            </w:div>
            <w:div w:id="1945531750">
              <w:marLeft w:val="0"/>
              <w:marRight w:val="0"/>
              <w:marTop w:val="0"/>
              <w:marBottom w:val="0"/>
              <w:divBdr>
                <w:top w:val="none" w:sz="0" w:space="0" w:color="auto"/>
                <w:left w:val="none" w:sz="0" w:space="0" w:color="auto"/>
                <w:bottom w:val="none" w:sz="0" w:space="0" w:color="auto"/>
                <w:right w:val="none" w:sz="0" w:space="0" w:color="auto"/>
              </w:divBdr>
            </w:div>
          </w:divsChild>
        </w:div>
        <w:div w:id="1569458460">
          <w:marLeft w:val="0"/>
          <w:marRight w:val="0"/>
          <w:marTop w:val="0"/>
          <w:marBottom w:val="0"/>
          <w:divBdr>
            <w:top w:val="none" w:sz="0" w:space="0" w:color="auto"/>
            <w:left w:val="none" w:sz="0" w:space="0" w:color="auto"/>
            <w:bottom w:val="none" w:sz="0" w:space="0" w:color="auto"/>
            <w:right w:val="none" w:sz="0" w:space="0" w:color="auto"/>
          </w:divBdr>
          <w:divsChild>
            <w:div w:id="124661929">
              <w:marLeft w:val="0"/>
              <w:marRight w:val="0"/>
              <w:marTop w:val="0"/>
              <w:marBottom w:val="0"/>
              <w:divBdr>
                <w:top w:val="none" w:sz="0" w:space="0" w:color="auto"/>
                <w:left w:val="none" w:sz="0" w:space="0" w:color="auto"/>
                <w:bottom w:val="none" w:sz="0" w:space="0" w:color="auto"/>
                <w:right w:val="none" w:sz="0" w:space="0" w:color="auto"/>
              </w:divBdr>
            </w:div>
            <w:div w:id="258149436">
              <w:marLeft w:val="0"/>
              <w:marRight w:val="0"/>
              <w:marTop w:val="0"/>
              <w:marBottom w:val="0"/>
              <w:divBdr>
                <w:top w:val="none" w:sz="0" w:space="0" w:color="auto"/>
                <w:left w:val="none" w:sz="0" w:space="0" w:color="auto"/>
                <w:bottom w:val="none" w:sz="0" w:space="0" w:color="auto"/>
                <w:right w:val="none" w:sz="0" w:space="0" w:color="auto"/>
              </w:divBdr>
            </w:div>
            <w:div w:id="482427314">
              <w:marLeft w:val="0"/>
              <w:marRight w:val="0"/>
              <w:marTop w:val="0"/>
              <w:marBottom w:val="0"/>
              <w:divBdr>
                <w:top w:val="none" w:sz="0" w:space="0" w:color="auto"/>
                <w:left w:val="none" w:sz="0" w:space="0" w:color="auto"/>
                <w:bottom w:val="none" w:sz="0" w:space="0" w:color="auto"/>
                <w:right w:val="none" w:sz="0" w:space="0" w:color="auto"/>
              </w:divBdr>
            </w:div>
            <w:div w:id="948853671">
              <w:marLeft w:val="0"/>
              <w:marRight w:val="0"/>
              <w:marTop w:val="0"/>
              <w:marBottom w:val="0"/>
              <w:divBdr>
                <w:top w:val="none" w:sz="0" w:space="0" w:color="auto"/>
                <w:left w:val="none" w:sz="0" w:space="0" w:color="auto"/>
                <w:bottom w:val="none" w:sz="0" w:space="0" w:color="auto"/>
                <w:right w:val="none" w:sz="0" w:space="0" w:color="auto"/>
              </w:divBdr>
            </w:div>
            <w:div w:id="1046299349">
              <w:marLeft w:val="0"/>
              <w:marRight w:val="0"/>
              <w:marTop w:val="0"/>
              <w:marBottom w:val="0"/>
              <w:divBdr>
                <w:top w:val="none" w:sz="0" w:space="0" w:color="auto"/>
                <w:left w:val="none" w:sz="0" w:space="0" w:color="auto"/>
                <w:bottom w:val="none" w:sz="0" w:space="0" w:color="auto"/>
                <w:right w:val="none" w:sz="0" w:space="0" w:color="auto"/>
              </w:divBdr>
            </w:div>
            <w:div w:id="1203595086">
              <w:marLeft w:val="0"/>
              <w:marRight w:val="0"/>
              <w:marTop w:val="0"/>
              <w:marBottom w:val="0"/>
              <w:divBdr>
                <w:top w:val="none" w:sz="0" w:space="0" w:color="auto"/>
                <w:left w:val="none" w:sz="0" w:space="0" w:color="auto"/>
                <w:bottom w:val="none" w:sz="0" w:space="0" w:color="auto"/>
                <w:right w:val="none" w:sz="0" w:space="0" w:color="auto"/>
              </w:divBdr>
            </w:div>
            <w:div w:id="1299265776">
              <w:marLeft w:val="0"/>
              <w:marRight w:val="0"/>
              <w:marTop w:val="0"/>
              <w:marBottom w:val="0"/>
              <w:divBdr>
                <w:top w:val="none" w:sz="0" w:space="0" w:color="auto"/>
                <w:left w:val="none" w:sz="0" w:space="0" w:color="auto"/>
                <w:bottom w:val="none" w:sz="0" w:space="0" w:color="auto"/>
                <w:right w:val="none" w:sz="0" w:space="0" w:color="auto"/>
              </w:divBdr>
            </w:div>
            <w:div w:id="1455055306">
              <w:marLeft w:val="0"/>
              <w:marRight w:val="0"/>
              <w:marTop w:val="0"/>
              <w:marBottom w:val="0"/>
              <w:divBdr>
                <w:top w:val="none" w:sz="0" w:space="0" w:color="auto"/>
                <w:left w:val="none" w:sz="0" w:space="0" w:color="auto"/>
                <w:bottom w:val="none" w:sz="0" w:space="0" w:color="auto"/>
                <w:right w:val="none" w:sz="0" w:space="0" w:color="auto"/>
              </w:divBdr>
            </w:div>
            <w:div w:id="1534461263">
              <w:marLeft w:val="0"/>
              <w:marRight w:val="0"/>
              <w:marTop w:val="0"/>
              <w:marBottom w:val="0"/>
              <w:divBdr>
                <w:top w:val="none" w:sz="0" w:space="0" w:color="auto"/>
                <w:left w:val="none" w:sz="0" w:space="0" w:color="auto"/>
                <w:bottom w:val="none" w:sz="0" w:space="0" w:color="auto"/>
                <w:right w:val="none" w:sz="0" w:space="0" w:color="auto"/>
              </w:divBdr>
            </w:div>
            <w:div w:id="1770199202">
              <w:marLeft w:val="0"/>
              <w:marRight w:val="0"/>
              <w:marTop w:val="0"/>
              <w:marBottom w:val="0"/>
              <w:divBdr>
                <w:top w:val="none" w:sz="0" w:space="0" w:color="auto"/>
                <w:left w:val="none" w:sz="0" w:space="0" w:color="auto"/>
                <w:bottom w:val="none" w:sz="0" w:space="0" w:color="auto"/>
                <w:right w:val="none" w:sz="0" w:space="0" w:color="auto"/>
              </w:divBdr>
            </w:div>
            <w:div w:id="1784415965">
              <w:marLeft w:val="0"/>
              <w:marRight w:val="0"/>
              <w:marTop w:val="0"/>
              <w:marBottom w:val="0"/>
              <w:divBdr>
                <w:top w:val="none" w:sz="0" w:space="0" w:color="auto"/>
                <w:left w:val="none" w:sz="0" w:space="0" w:color="auto"/>
                <w:bottom w:val="none" w:sz="0" w:space="0" w:color="auto"/>
                <w:right w:val="none" w:sz="0" w:space="0" w:color="auto"/>
              </w:divBdr>
            </w:div>
            <w:div w:id="209770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08584">
      <w:bodyDiv w:val="1"/>
      <w:marLeft w:val="0"/>
      <w:marRight w:val="0"/>
      <w:marTop w:val="0"/>
      <w:marBottom w:val="0"/>
      <w:divBdr>
        <w:top w:val="none" w:sz="0" w:space="0" w:color="auto"/>
        <w:left w:val="none" w:sz="0" w:space="0" w:color="auto"/>
        <w:bottom w:val="none" w:sz="0" w:space="0" w:color="auto"/>
        <w:right w:val="none" w:sz="0" w:space="0" w:color="auto"/>
      </w:divBdr>
    </w:div>
    <w:div w:id="206840027">
      <w:bodyDiv w:val="1"/>
      <w:marLeft w:val="0"/>
      <w:marRight w:val="0"/>
      <w:marTop w:val="0"/>
      <w:marBottom w:val="0"/>
      <w:divBdr>
        <w:top w:val="none" w:sz="0" w:space="0" w:color="auto"/>
        <w:left w:val="none" w:sz="0" w:space="0" w:color="auto"/>
        <w:bottom w:val="none" w:sz="0" w:space="0" w:color="auto"/>
        <w:right w:val="none" w:sz="0" w:space="0" w:color="auto"/>
      </w:divBdr>
    </w:div>
    <w:div w:id="220945165">
      <w:bodyDiv w:val="1"/>
      <w:marLeft w:val="0"/>
      <w:marRight w:val="0"/>
      <w:marTop w:val="0"/>
      <w:marBottom w:val="0"/>
      <w:divBdr>
        <w:top w:val="none" w:sz="0" w:space="0" w:color="auto"/>
        <w:left w:val="none" w:sz="0" w:space="0" w:color="auto"/>
        <w:bottom w:val="none" w:sz="0" w:space="0" w:color="auto"/>
        <w:right w:val="none" w:sz="0" w:space="0" w:color="auto"/>
      </w:divBdr>
    </w:div>
    <w:div w:id="222914404">
      <w:bodyDiv w:val="1"/>
      <w:marLeft w:val="0"/>
      <w:marRight w:val="0"/>
      <w:marTop w:val="0"/>
      <w:marBottom w:val="0"/>
      <w:divBdr>
        <w:top w:val="none" w:sz="0" w:space="0" w:color="auto"/>
        <w:left w:val="none" w:sz="0" w:space="0" w:color="auto"/>
        <w:bottom w:val="none" w:sz="0" w:space="0" w:color="auto"/>
        <w:right w:val="none" w:sz="0" w:space="0" w:color="auto"/>
      </w:divBdr>
      <w:divsChild>
        <w:div w:id="604925310">
          <w:marLeft w:val="0"/>
          <w:marRight w:val="0"/>
          <w:marTop w:val="0"/>
          <w:marBottom w:val="0"/>
          <w:divBdr>
            <w:top w:val="none" w:sz="0" w:space="0" w:color="auto"/>
            <w:left w:val="none" w:sz="0" w:space="0" w:color="auto"/>
            <w:bottom w:val="none" w:sz="0" w:space="0" w:color="auto"/>
            <w:right w:val="none" w:sz="0" w:space="0" w:color="auto"/>
          </w:divBdr>
        </w:div>
        <w:div w:id="1081952038">
          <w:marLeft w:val="0"/>
          <w:marRight w:val="0"/>
          <w:marTop w:val="0"/>
          <w:marBottom w:val="0"/>
          <w:divBdr>
            <w:top w:val="none" w:sz="0" w:space="0" w:color="auto"/>
            <w:left w:val="none" w:sz="0" w:space="0" w:color="auto"/>
            <w:bottom w:val="none" w:sz="0" w:space="0" w:color="auto"/>
            <w:right w:val="none" w:sz="0" w:space="0" w:color="auto"/>
          </w:divBdr>
        </w:div>
        <w:div w:id="1833137885">
          <w:marLeft w:val="0"/>
          <w:marRight w:val="0"/>
          <w:marTop w:val="0"/>
          <w:marBottom w:val="0"/>
          <w:divBdr>
            <w:top w:val="none" w:sz="0" w:space="0" w:color="auto"/>
            <w:left w:val="none" w:sz="0" w:space="0" w:color="auto"/>
            <w:bottom w:val="none" w:sz="0" w:space="0" w:color="auto"/>
            <w:right w:val="none" w:sz="0" w:space="0" w:color="auto"/>
          </w:divBdr>
        </w:div>
      </w:divsChild>
    </w:div>
    <w:div w:id="224067885">
      <w:bodyDiv w:val="1"/>
      <w:marLeft w:val="0"/>
      <w:marRight w:val="0"/>
      <w:marTop w:val="0"/>
      <w:marBottom w:val="0"/>
      <w:divBdr>
        <w:top w:val="none" w:sz="0" w:space="0" w:color="auto"/>
        <w:left w:val="none" w:sz="0" w:space="0" w:color="auto"/>
        <w:bottom w:val="none" w:sz="0" w:space="0" w:color="auto"/>
        <w:right w:val="none" w:sz="0" w:space="0" w:color="auto"/>
      </w:divBdr>
    </w:div>
    <w:div w:id="318114373">
      <w:bodyDiv w:val="1"/>
      <w:marLeft w:val="0"/>
      <w:marRight w:val="0"/>
      <w:marTop w:val="0"/>
      <w:marBottom w:val="0"/>
      <w:divBdr>
        <w:top w:val="none" w:sz="0" w:space="0" w:color="auto"/>
        <w:left w:val="none" w:sz="0" w:space="0" w:color="auto"/>
        <w:bottom w:val="none" w:sz="0" w:space="0" w:color="auto"/>
        <w:right w:val="none" w:sz="0" w:space="0" w:color="auto"/>
      </w:divBdr>
    </w:div>
    <w:div w:id="326905079">
      <w:bodyDiv w:val="1"/>
      <w:marLeft w:val="0"/>
      <w:marRight w:val="0"/>
      <w:marTop w:val="0"/>
      <w:marBottom w:val="0"/>
      <w:divBdr>
        <w:top w:val="none" w:sz="0" w:space="0" w:color="auto"/>
        <w:left w:val="none" w:sz="0" w:space="0" w:color="auto"/>
        <w:bottom w:val="none" w:sz="0" w:space="0" w:color="auto"/>
        <w:right w:val="none" w:sz="0" w:space="0" w:color="auto"/>
      </w:divBdr>
      <w:divsChild>
        <w:div w:id="157120080">
          <w:marLeft w:val="0"/>
          <w:marRight w:val="0"/>
          <w:marTop w:val="0"/>
          <w:marBottom w:val="0"/>
          <w:divBdr>
            <w:top w:val="none" w:sz="0" w:space="0" w:color="auto"/>
            <w:left w:val="none" w:sz="0" w:space="0" w:color="auto"/>
            <w:bottom w:val="none" w:sz="0" w:space="0" w:color="auto"/>
            <w:right w:val="none" w:sz="0" w:space="0" w:color="auto"/>
          </w:divBdr>
        </w:div>
        <w:div w:id="383529448">
          <w:marLeft w:val="0"/>
          <w:marRight w:val="0"/>
          <w:marTop w:val="0"/>
          <w:marBottom w:val="0"/>
          <w:divBdr>
            <w:top w:val="none" w:sz="0" w:space="0" w:color="auto"/>
            <w:left w:val="none" w:sz="0" w:space="0" w:color="auto"/>
            <w:bottom w:val="none" w:sz="0" w:space="0" w:color="auto"/>
            <w:right w:val="none" w:sz="0" w:space="0" w:color="auto"/>
          </w:divBdr>
        </w:div>
        <w:div w:id="648706661">
          <w:marLeft w:val="0"/>
          <w:marRight w:val="0"/>
          <w:marTop w:val="0"/>
          <w:marBottom w:val="0"/>
          <w:divBdr>
            <w:top w:val="none" w:sz="0" w:space="0" w:color="auto"/>
            <w:left w:val="none" w:sz="0" w:space="0" w:color="auto"/>
            <w:bottom w:val="none" w:sz="0" w:space="0" w:color="auto"/>
            <w:right w:val="none" w:sz="0" w:space="0" w:color="auto"/>
          </w:divBdr>
        </w:div>
        <w:div w:id="966621584">
          <w:marLeft w:val="0"/>
          <w:marRight w:val="0"/>
          <w:marTop w:val="0"/>
          <w:marBottom w:val="0"/>
          <w:divBdr>
            <w:top w:val="none" w:sz="0" w:space="0" w:color="auto"/>
            <w:left w:val="none" w:sz="0" w:space="0" w:color="auto"/>
            <w:bottom w:val="none" w:sz="0" w:space="0" w:color="auto"/>
            <w:right w:val="none" w:sz="0" w:space="0" w:color="auto"/>
          </w:divBdr>
        </w:div>
        <w:div w:id="1478453363">
          <w:marLeft w:val="0"/>
          <w:marRight w:val="0"/>
          <w:marTop w:val="0"/>
          <w:marBottom w:val="0"/>
          <w:divBdr>
            <w:top w:val="none" w:sz="0" w:space="0" w:color="auto"/>
            <w:left w:val="none" w:sz="0" w:space="0" w:color="auto"/>
            <w:bottom w:val="none" w:sz="0" w:space="0" w:color="auto"/>
            <w:right w:val="none" w:sz="0" w:space="0" w:color="auto"/>
          </w:divBdr>
        </w:div>
        <w:div w:id="1501389019">
          <w:marLeft w:val="0"/>
          <w:marRight w:val="0"/>
          <w:marTop w:val="0"/>
          <w:marBottom w:val="0"/>
          <w:divBdr>
            <w:top w:val="none" w:sz="0" w:space="0" w:color="auto"/>
            <w:left w:val="none" w:sz="0" w:space="0" w:color="auto"/>
            <w:bottom w:val="none" w:sz="0" w:space="0" w:color="auto"/>
            <w:right w:val="none" w:sz="0" w:space="0" w:color="auto"/>
          </w:divBdr>
        </w:div>
        <w:div w:id="1768304944">
          <w:marLeft w:val="0"/>
          <w:marRight w:val="0"/>
          <w:marTop w:val="0"/>
          <w:marBottom w:val="0"/>
          <w:divBdr>
            <w:top w:val="none" w:sz="0" w:space="0" w:color="auto"/>
            <w:left w:val="none" w:sz="0" w:space="0" w:color="auto"/>
            <w:bottom w:val="none" w:sz="0" w:space="0" w:color="auto"/>
            <w:right w:val="none" w:sz="0" w:space="0" w:color="auto"/>
          </w:divBdr>
        </w:div>
      </w:divsChild>
    </w:div>
    <w:div w:id="351994724">
      <w:bodyDiv w:val="1"/>
      <w:marLeft w:val="0"/>
      <w:marRight w:val="0"/>
      <w:marTop w:val="0"/>
      <w:marBottom w:val="0"/>
      <w:divBdr>
        <w:top w:val="none" w:sz="0" w:space="0" w:color="auto"/>
        <w:left w:val="none" w:sz="0" w:space="0" w:color="auto"/>
        <w:bottom w:val="none" w:sz="0" w:space="0" w:color="auto"/>
        <w:right w:val="none" w:sz="0" w:space="0" w:color="auto"/>
      </w:divBdr>
    </w:div>
    <w:div w:id="362829212">
      <w:bodyDiv w:val="1"/>
      <w:marLeft w:val="0"/>
      <w:marRight w:val="0"/>
      <w:marTop w:val="0"/>
      <w:marBottom w:val="0"/>
      <w:divBdr>
        <w:top w:val="none" w:sz="0" w:space="0" w:color="auto"/>
        <w:left w:val="none" w:sz="0" w:space="0" w:color="auto"/>
        <w:bottom w:val="none" w:sz="0" w:space="0" w:color="auto"/>
        <w:right w:val="none" w:sz="0" w:space="0" w:color="auto"/>
      </w:divBdr>
    </w:div>
    <w:div w:id="371536616">
      <w:bodyDiv w:val="1"/>
      <w:marLeft w:val="0"/>
      <w:marRight w:val="0"/>
      <w:marTop w:val="0"/>
      <w:marBottom w:val="0"/>
      <w:divBdr>
        <w:top w:val="none" w:sz="0" w:space="0" w:color="auto"/>
        <w:left w:val="none" w:sz="0" w:space="0" w:color="auto"/>
        <w:bottom w:val="none" w:sz="0" w:space="0" w:color="auto"/>
        <w:right w:val="none" w:sz="0" w:space="0" w:color="auto"/>
      </w:divBdr>
    </w:div>
    <w:div w:id="386301380">
      <w:bodyDiv w:val="1"/>
      <w:marLeft w:val="0"/>
      <w:marRight w:val="0"/>
      <w:marTop w:val="0"/>
      <w:marBottom w:val="0"/>
      <w:divBdr>
        <w:top w:val="none" w:sz="0" w:space="0" w:color="auto"/>
        <w:left w:val="none" w:sz="0" w:space="0" w:color="auto"/>
        <w:bottom w:val="none" w:sz="0" w:space="0" w:color="auto"/>
        <w:right w:val="none" w:sz="0" w:space="0" w:color="auto"/>
      </w:divBdr>
      <w:divsChild>
        <w:div w:id="5986010">
          <w:marLeft w:val="0"/>
          <w:marRight w:val="0"/>
          <w:marTop w:val="0"/>
          <w:marBottom w:val="0"/>
          <w:divBdr>
            <w:top w:val="none" w:sz="0" w:space="0" w:color="auto"/>
            <w:left w:val="none" w:sz="0" w:space="0" w:color="auto"/>
            <w:bottom w:val="none" w:sz="0" w:space="0" w:color="auto"/>
            <w:right w:val="none" w:sz="0" w:space="0" w:color="auto"/>
          </w:divBdr>
        </w:div>
        <w:div w:id="78138697">
          <w:marLeft w:val="0"/>
          <w:marRight w:val="0"/>
          <w:marTop w:val="0"/>
          <w:marBottom w:val="0"/>
          <w:divBdr>
            <w:top w:val="none" w:sz="0" w:space="0" w:color="auto"/>
            <w:left w:val="none" w:sz="0" w:space="0" w:color="auto"/>
            <w:bottom w:val="none" w:sz="0" w:space="0" w:color="auto"/>
            <w:right w:val="none" w:sz="0" w:space="0" w:color="auto"/>
          </w:divBdr>
        </w:div>
        <w:div w:id="384064334">
          <w:marLeft w:val="0"/>
          <w:marRight w:val="0"/>
          <w:marTop w:val="0"/>
          <w:marBottom w:val="0"/>
          <w:divBdr>
            <w:top w:val="none" w:sz="0" w:space="0" w:color="auto"/>
            <w:left w:val="none" w:sz="0" w:space="0" w:color="auto"/>
            <w:bottom w:val="none" w:sz="0" w:space="0" w:color="auto"/>
            <w:right w:val="none" w:sz="0" w:space="0" w:color="auto"/>
          </w:divBdr>
        </w:div>
        <w:div w:id="564417863">
          <w:marLeft w:val="0"/>
          <w:marRight w:val="0"/>
          <w:marTop w:val="0"/>
          <w:marBottom w:val="0"/>
          <w:divBdr>
            <w:top w:val="none" w:sz="0" w:space="0" w:color="auto"/>
            <w:left w:val="none" w:sz="0" w:space="0" w:color="auto"/>
            <w:bottom w:val="none" w:sz="0" w:space="0" w:color="auto"/>
            <w:right w:val="none" w:sz="0" w:space="0" w:color="auto"/>
          </w:divBdr>
        </w:div>
        <w:div w:id="604001937">
          <w:marLeft w:val="0"/>
          <w:marRight w:val="0"/>
          <w:marTop w:val="0"/>
          <w:marBottom w:val="0"/>
          <w:divBdr>
            <w:top w:val="none" w:sz="0" w:space="0" w:color="auto"/>
            <w:left w:val="none" w:sz="0" w:space="0" w:color="auto"/>
            <w:bottom w:val="none" w:sz="0" w:space="0" w:color="auto"/>
            <w:right w:val="none" w:sz="0" w:space="0" w:color="auto"/>
          </w:divBdr>
        </w:div>
        <w:div w:id="1339623278">
          <w:marLeft w:val="0"/>
          <w:marRight w:val="0"/>
          <w:marTop w:val="0"/>
          <w:marBottom w:val="0"/>
          <w:divBdr>
            <w:top w:val="none" w:sz="0" w:space="0" w:color="auto"/>
            <w:left w:val="none" w:sz="0" w:space="0" w:color="auto"/>
            <w:bottom w:val="none" w:sz="0" w:space="0" w:color="auto"/>
            <w:right w:val="none" w:sz="0" w:space="0" w:color="auto"/>
          </w:divBdr>
        </w:div>
        <w:div w:id="1631133515">
          <w:marLeft w:val="0"/>
          <w:marRight w:val="0"/>
          <w:marTop w:val="0"/>
          <w:marBottom w:val="0"/>
          <w:divBdr>
            <w:top w:val="none" w:sz="0" w:space="0" w:color="auto"/>
            <w:left w:val="none" w:sz="0" w:space="0" w:color="auto"/>
            <w:bottom w:val="none" w:sz="0" w:space="0" w:color="auto"/>
            <w:right w:val="none" w:sz="0" w:space="0" w:color="auto"/>
          </w:divBdr>
        </w:div>
        <w:div w:id="1940411044">
          <w:marLeft w:val="0"/>
          <w:marRight w:val="0"/>
          <w:marTop w:val="0"/>
          <w:marBottom w:val="0"/>
          <w:divBdr>
            <w:top w:val="none" w:sz="0" w:space="0" w:color="auto"/>
            <w:left w:val="none" w:sz="0" w:space="0" w:color="auto"/>
            <w:bottom w:val="none" w:sz="0" w:space="0" w:color="auto"/>
            <w:right w:val="none" w:sz="0" w:space="0" w:color="auto"/>
          </w:divBdr>
        </w:div>
      </w:divsChild>
    </w:div>
    <w:div w:id="412750128">
      <w:bodyDiv w:val="1"/>
      <w:marLeft w:val="0"/>
      <w:marRight w:val="0"/>
      <w:marTop w:val="0"/>
      <w:marBottom w:val="0"/>
      <w:divBdr>
        <w:top w:val="none" w:sz="0" w:space="0" w:color="auto"/>
        <w:left w:val="none" w:sz="0" w:space="0" w:color="auto"/>
        <w:bottom w:val="none" w:sz="0" w:space="0" w:color="auto"/>
        <w:right w:val="none" w:sz="0" w:space="0" w:color="auto"/>
      </w:divBdr>
      <w:divsChild>
        <w:div w:id="292489750">
          <w:marLeft w:val="0"/>
          <w:marRight w:val="0"/>
          <w:marTop w:val="0"/>
          <w:marBottom w:val="0"/>
          <w:divBdr>
            <w:top w:val="none" w:sz="0" w:space="0" w:color="auto"/>
            <w:left w:val="none" w:sz="0" w:space="0" w:color="auto"/>
            <w:bottom w:val="none" w:sz="0" w:space="0" w:color="auto"/>
            <w:right w:val="none" w:sz="0" w:space="0" w:color="auto"/>
          </w:divBdr>
        </w:div>
        <w:div w:id="1343119421">
          <w:marLeft w:val="0"/>
          <w:marRight w:val="0"/>
          <w:marTop w:val="0"/>
          <w:marBottom w:val="0"/>
          <w:divBdr>
            <w:top w:val="none" w:sz="0" w:space="0" w:color="auto"/>
            <w:left w:val="none" w:sz="0" w:space="0" w:color="auto"/>
            <w:bottom w:val="none" w:sz="0" w:space="0" w:color="auto"/>
            <w:right w:val="none" w:sz="0" w:space="0" w:color="auto"/>
          </w:divBdr>
        </w:div>
        <w:div w:id="1509296039">
          <w:marLeft w:val="0"/>
          <w:marRight w:val="0"/>
          <w:marTop w:val="0"/>
          <w:marBottom w:val="0"/>
          <w:divBdr>
            <w:top w:val="none" w:sz="0" w:space="0" w:color="auto"/>
            <w:left w:val="none" w:sz="0" w:space="0" w:color="auto"/>
            <w:bottom w:val="none" w:sz="0" w:space="0" w:color="auto"/>
            <w:right w:val="none" w:sz="0" w:space="0" w:color="auto"/>
          </w:divBdr>
        </w:div>
        <w:div w:id="2001612612">
          <w:marLeft w:val="0"/>
          <w:marRight w:val="0"/>
          <w:marTop w:val="0"/>
          <w:marBottom w:val="0"/>
          <w:divBdr>
            <w:top w:val="none" w:sz="0" w:space="0" w:color="auto"/>
            <w:left w:val="none" w:sz="0" w:space="0" w:color="auto"/>
            <w:bottom w:val="none" w:sz="0" w:space="0" w:color="auto"/>
            <w:right w:val="none" w:sz="0" w:space="0" w:color="auto"/>
          </w:divBdr>
        </w:div>
        <w:div w:id="2049212271">
          <w:marLeft w:val="0"/>
          <w:marRight w:val="0"/>
          <w:marTop w:val="0"/>
          <w:marBottom w:val="0"/>
          <w:divBdr>
            <w:top w:val="none" w:sz="0" w:space="0" w:color="auto"/>
            <w:left w:val="none" w:sz="0" w:space="0" w:color="auto"/>
            <w:bottom w:val="none" w:sz="0" w:space="0" w:color="auto"/>
            <w:right w:val="none" w:sz="0" w:space="0" w:color="auto"/>
          </w:divBdr>
        </w:div>
      </w:divsChild>
    </w:div>
    <w:div w:id="435053332">
      <w:bodyDiv w:val="1"/>
      <w:marLeft w:val="0"/>
      <w:marRight w:val="0"/>
      <w:marTop w:val="0"/>
      <w:marBottom w:val="0"/>
      <w:divBdr>
        <w:top w:val="none" w:sz="0" w:space="0" w:color="auto"/>
        <w:left w:val="none" w:sz="0" w:space="0" w:color="auto"/>
        <w:bottom w:val="none" w:sz="0" w:space="0" w:color="auto"/>
        <w:right w:val="none" w:sz="0" w:space="0" w:color="auto"/>
      </w:divBdr>
      <w:divsChild>
        <w:div w:id="296952694">
          <w:marLeft w:val="0"/>
          <w:marRight w:val="0"/>
          <w:marTop w:val="0"/>
          <w:marBottom w:val="0"/>
          <w:divBdr>
            <w:top w:val="none" w:sz="0" w:space="0" w:color="auto"/>
            <w:left w:val="none" w:sz="0" w:space="0" w:color="auto"/>
            <w:bottom w:val="none" w:sz="0" w:space="0" w:color="auto"/>
            <w:right w:val="none" w:sz="0" w:space="0" w:color="auto"/>
          </w:divBdr>
        </w:div>
        <w:div w:id="1035082799">
          <w:marLeft w:val="0"/>
          <w:marRight w:val="0"/>
          <w:marTop w:val="0"/>
          <w:marBottom w:val="0"/>
          <w:divBdr>
            <w:top w:val="none" w:sz="0" w:space="0" w:color="auto"/>
            <w:left w:val="none" w:sz="0" w:space="0" w:color="auto"/>
            <w:bottom w:val="none" w:sz="0" w:space="0" w:color="auto"/>
            <w:right w:val="none" w:sz="0" w:space="0" w:color="auto"/>
          </w:divBdr>
        </w:div>
        <w:div w:id="1303073949">
          <w:marLeft w:val="0"/>
          <w:marRight w:val="0"/>
          <w:marTop w:val="0"/>
          <w:marBottom w:val="0"/>
          <w:divBdr>
            <w:top w:val="none" w:sz="0" w:space="0" w:color="auto"/>
            <w:left w:val="none" w:sz="0" w:space="0" w:color="auto"/>
            <w:bottom w:val="none" w:sz="0" w:space="0" w:color="auto"/>
            <w:right w:val="none" w:sz="0" w:space="0" w:color="auto"/>
          </w:divBdr>
        </w:div>
        <w:div w:id="1733843659">
          <w:marLeft w:val="0"/>
          <w:marRight w:val="0"/>
          <w:marTop w:val="0"/>
          <w:marBottom w:val="0"/>
          <w:divBdr>
            <w:top w:val="none" w:sz="0" w:space="0" w:color="auto"/>
            <w:left w:val="none" w:sz="0" w:space="0" w:color="auto"/>
            <w:bottom w:val="none" w:sz="0" w:space="0" w:color="auto"/>
            <w:right w:val="none" w:sz="0" w:space="0" w:color="auto"/>
          </w:divBdr>
        </w:div>
        <w:div w:id="2007172647">
          <w:marLeft w:val="0"/>
          <w:marRight w:val="0"/>
          <w:marTop w:val="0"/>
          <w:marBottom w:val="0"/>
          <w:divBdr>
            <w:top w:val="none" w:sz="0" w:space="0" w:color="auto"/>
            <w:left w:val="none" w:sz="0" w:space="0" w:color="auto"/>
            <w:bottom w:val="none" w:sz="0" w:space="0" w:color="auto"/>
            <w:right w:val="none" w:sz="0" w:space="0" w:color="auto"/>
          </w:divBdr>
        </w:div>
      </w:divsChild>
    </w:div>
    <w:div w:id="448429210">
      <w:bodyDiv w:val="1"/>
      <w:marLeft w:val="0"/>
      <w:marRight w:val="0"/>
      <w:marTop w:val="0"/>
      <w:marBottom w:val="0"/>
      <w:divBdr>
        <w:top w:val="none" w:sz="0" w:space="0" w:color="auto"/>
        <w:left w:val="none" w:sz="0" w:space="0" w:color="auto"/>
        <w:bottom w:val="none" w:sz="0" w:space="0" w:color="auto"/>
        <w:right w:val="none" w:sz="0" w:space="0" w:color="auto"/>
      </w:divBdr>
    </w:div>
    <w:div w:id="503667775">
      <w:bodyDiv w:val="1"/>
      <w:marLeft w:val="0"/>
      <w:marRight w:val="0"/>
      <w:marTop w:val="0"/>
      <w:marBottom w:val="0"/>
      <w:divBdr>
        <w:top w:val="none" w:sz="0" w:space="0" w:color="auto"/>
        <w:left w:val="none" w:sz="0" w:space="0" w:color="auto"/>
        <w:bottom w:val="none" w:sz="0" w:space="0" w:color="auto"/>
        <w:right w:val="none" w:sz="0" w:space="0" w:color="auto"/>
      </w:divBdr>
      <w:divsChild>
        <w:div w:id="65929935">
          <w:marLeft w:val="0"/>
          <w:marRight w:val="0"/>
          <w:marTop w:val="0"/>
          <w:marBottom w:val="0"/>
          <w:divBdr>
            <w:top w:val="none" w:sz="0" w:space="0" w:color="auto"/>
            <w:left w:val="none" w:sz="0" w:space="0" w:color="auto"/>
            <w:bottom w:val="none" w:sz="0" w:space="0" w:color="auto"/>
            <w:right w:val="none" w:sz="0" w:space="0" w:color="auto"/>
          </w:divBdr>
        </w:div>
        <w:div w:id="723649670">
          <w:marLeft w:val="0"/>
          <w:marRight w:val="0"/>
          <w:marTop w:val="0"/>
          <w:marBottom w:val="0"/>
          <w:divBdr>
            <w:top w:val="none" w:sz="0" w:space="0" w:color="auto"/>
            <w:left w:val="none" w:sz="0" w:space="0" w:color="auto"/>
            <w:bottom w:val="none" w:sz="0" w:space="0" w:color="auto"/>
            <w:right w:val="none" w:sz="0" w:space="0" w:color="auto"/>
          </w:divBdr>
        </w:div>
        <w:div w:id="928580297">
          <w:marLeft w:val="0"/>
          <w:marRight w:val="0"/>
          <w:marTop w:val="0"/>
          <w:marBottom w:val="0"/>
          <w:divBdr>
            <w:top w:val="none" w:sz="0" w:space="0" w:color="auto"/>
            <w:left w:val="none" w:sz="0" w:space="0" w:color="auto"/>
            <w:bottom w:val="none" w:sz="0" w:space="0" w:color="auto"/>
            <w:right w:val="none" w:sz="0" w:space="0" w:color="auto"/>
          </w:divBdr>
        </w:div>
        <w:div w:id="1145318747">
          <w:marLeft w:val="0"/>
          <w:marRight w:val="0"/>
          <w:marTop w:val="0"/>
          <w:marBottom w:val="0"/>
          <w:divBdr>
            <w:top w:val="none" w:sz="0" w:space="0" w:color="auto"/>
            <w:left w:val="none" w:sz="0" w:space="0" w:color="auto"/>
            <w:bottom w:val="none" w:sz="0" w:space="0" w:color="auto"/>
            <w:right w:val="none" w:sz="0" w:space="0" w:color="auto"/>
          </w:divBdr>
        </w:div>
        <w:div w:id="1378043489">
          <w:marLeft w:val="0"/>
          <w:marRight w:val="0"/>
          <w:marTop w:val="0"/>
          <w:marBottom w:val="0"/>
          <w:divBdr>
            <w:top w:val="none" w:sz="0" w:space="0" w:color="auto"/>
            <w:left w:val="none" w:sz="0" w:space="0" w:color="auto"/>
            <w:bottom w:val="none" w:sz="0" w:space="0" w:color="auto"/>
            <w:right w:val="none" w:sz="0" w:space="0" w:color="auto"/>
          </w:divBdr>
        </w:div>
      </w:divsChild>
    </w:div>
    <w:div w:id="528181639">
      <w:bodyDiv w:val="1"/>
      <w:marLeft w:val="0"/>
      <w:marRight w:val="0"/>
      <w:marTop w:val="0"/>
      <w:marBottom w:val="0"/>
      <w:divBdr>
        <w:top w:val="none" w:sz="0" w:space="0" w:color="auto"/>
        <w:left w:val="none" w:sz="0" w:space="0" w:color="auto"/>
        <w:bottom w:val="none" w:sz="0" w:space="0" w:color="auto"/>
        <w:right w:val="none" w:sz="0" w:space="0" w:color="auto"/>
      </w:divBdr>
    </w:div>
    <w:div w:id="530649514">
      <w:bodyDiv w:val="1"/>
      <w:marLeft w:val="0"/>
      <w:marRight w:val="0"/>
      <w:marTop w:val="0"/>
      <w:marBottom w:val="0"/>
      <w:divBdr>
        <w:top w:val="none" w:sz="0" w:space="0" w:color="auto"/>
        <w:left w:val="none" w:sz="0" w:space="0" w:color="auto"/>
        <w:bottom w:val="none" w:sz="0" w:space="0" w:color="auto"/>
        <w:right w:val="none" w:sz="0" w:space="0" w:color="auto"/>
      </w:divBdr>
    </w:div>
    <w:div w:id="560871596">
      <w:bodyDiv w:val="1"/>
      <w:marLeft w:val="0"/>
      <w:marRight w:val="0"/>
      <w:marTop w:val="0"/>
      <w:marBottom w:val="0"/>
      <w:divBdr>
        <w:top w:val="none" w:sz="0" w:space="0" w:color="auto"/>
        <w:left w:val="none" w:sz="0" w:space="0" w:color="auto"/>
        <w:bottom w:val="none" w:sz="0" w:space="0" w:color="auto"/>
        <w:right w:val="none" w:sz="0" w:space="0" w:color="auto"/>
      </w:divBdr>
      <w:divsChild>
        <w:div w:id="111830953">
          <w:marLeft w:val="0"/>
          <w:marRight w:val="0"/>
          <w:marTop w:val="0"/>
          <w:marBottom w:val="0"/>
          <w:divBdr>
            <w:top w:val="none" w:sz="0" w:space="0" w:color="auto"/>
            <w:left w:val="none" w:sz="0" w:space="0" w:color="auto"/>
            <w:bottom w:val="none" w:sz="0" w:space="0" w:color="auto"/>
            <w:right w:val="none" w:sz="0" w:space="0" w:color="auto"/>
          </w:divBdr>
        </w:div>
        <w:div w:id="141164855">
          <w:marLeft w:val="0"/>
          <w:marRight w:val="0"/>
          <w:marTop w:val="0"/>
          <w:marBottom w:val="0"/>
          <w:divBdr>
            <w:top w:val="none" w:sz="0" w:space="0" w:color="auto"/>
            <w:left w:val="none" w:sz="0" w:space="0" w:color="auto"/>
            <w:bottom w:val="none" w:sz="0" w:space="0" w:color="auto"/>
            <w:right w:val="none" w:sz="0" w:space="0" w:color="auto"/>
          </w:divBdr>
        </w:div>
        <w:div w:id="1150056467">
          <w:marLeft w:val="0"/>
          <w:marRight w:val="0"/>
          <w:marTop w:val="0"/>
          <w:marBottom w:val="0"/>
          <w:divBdr>
            <w:top w:val="none" w:sz="0" w:space="0" w:color="auto"/>
            <w:left w:val="none" w:sz="0" w:space="0" w:color="auto"/>
            <w:bottom w:val="none" w:sz="0" w:space="0" w:color="auto"/>
            <w:right w:val="none" w:sz="0" w:space="0" w:color="auto"/>
          </w:divBdr>
        </w:div>
        <w:div w:id="1408923180">
          <w:marLeft w:val="0"/>
          <w:marRight w:val="0"/>
          <w:marTop w:val="0"/>
          <w:marBottom w:val="0"/>
          <w:divBdr>
            <w:top w:val="none" w:sz="0" w:space="0" w:color="auto"/>
            <w:left w:val="none" w:sz="0" w:space="0" w:color="auto"/>
            <w:bottom w:val="none" w:sz="0" w:space="0" w:color="auto"/>
            <w:right w:val="none" w:sz="0" w:space="0" w:color="auto"/>
          </w:divBdr>
        </w:div>
        <w:div w:id="1415589595">
          <w:marLeft w:val="0"/>
          <w:marRight w:val="0"/>
          <w:marTop w:val="0"/>
          <w:marBottom w:val="0"/>
          <w:divBdr>
            <w:top w:val="none" w:sz="0" w:space="0" w:color="auto"/>
            <w:left w:val="none" w:sz="0" w:space="0" w:color="auto"/>
            <w:bottom w:val="none" w:sz="0" w:space="0" w:color="auto"/>
            <w:right w:val="none" w:sz="0" w:space="0" w:color="auto"/>
          </w:divBdr>
        </w:div>
        <w:div w:id="1473211063">
          <w:marLeft w:val="0"/>
          <w:marRight w:val="0"/>
          <w:marTop w:val="0"/>
          <w:marBottom w:val="0"/>
          <w:divBdr>
            <w:top w:val="none" w:sz="0" w:space="0" w:color="auto"/>
            <w:left w:val="none" w:sz="0" w:space="0" w:color="auto"/>
            <w:bottom w:val="none" w:sz="0" w:space="0" w:color="auto"/>
            <w:right w:val="none" w:sz="0" w:space="0" w:color="auto"/>
          </w:divBdr>
        </w:div>
        <w:div w:id="1488204738">
          <w:marLeft w:val="0"/>
          <w:marRight w:val="0"/>
          <w:marTop w:val="0"/>
          <w:marBottom w:val="0"/>
          <w:divBdr>
            <w:top w:val="none" w:sz="0" w:space="0" w:color="auto"/>
            <w:left w:val="none" w:sz="0" w:space="0" w:color="auto"/>
            <w:bottom w:val="none" w:sz="0" w:space="0" w:color="auto"/>
            <w:right w:val="none" w:sz="0" w:space="0" w:color="auto"/>
          </w:divBdr>
        </w:div>
        <w:div w:id="1530295724">
          <w:marLeft w:val="0"/>
          <w:marRight w:val="0"/>
          <w:marTop w:val="0"/>
          <w:marBottom w:val="0"/>
          <w:divBdr>
            <w:top w:val="none" w:sz="0" w:space="0" w:color="auto"/>
            <w:left w:val="none" w:sz="0" w:space="0" w:color="auto"/>
            <w:bottom w:val="none" w:sz="0" w:space="0" w:color="auto"/>
            <w:right w:val="none" w:sz="0" w:space="0" w:color="auto"/>
          </w:divBdr>
        </w:div>
        <w:div w:id="1727876462">
          <w:marLeft w:val="0"/>
          <w:marRight w:val="0"/>
          <w:marTop w:val="0"/>
          <w:marBottom w:val="0"/>
          <w:divBdr>
            <w:top w:val="none" w:sz="0" w:space="0" w:color="auto"/>
            <w:left w:val="none" w:sz="0" w:space="0" w:color="auto"/>
            <w:bottom w:val="none" w:sz="0" w:space="0" w:color="auto"/>
            <w:right w:val="none" w:sz="0" w:space="0" w:color="auto"/>
          </w:divBdr>
        </w:div>
        <w:div w:id="1866484868">
          <w:marLeft w:val="0"/>
          <w:marRight w:val="0"/>
          <w:marTop w:val="0"/>
          <w:marBottom w:val="0"/>
          <w:divBdr>
            <w:top w:val="none" w:sz="0" w:space="0" w:color="auto"/>
            <w:left w:val="none" w:sz="0" w:space="0" w:color="auto"/>
            <w:bottom w:val="none" w:sz="0" w:space="0" w:color="auto"/>
            <w:right w:val="none" w:sz="0" w:space="0" w:color="auto"/>
          </w:divBdr>
        </w:div>
      </w:divsChild>
    </w:div>
    <w:div w:id="619730258">
      <w:bodyDiv w:val="1"/>
      <w:marLeft w:val="0"/>
      <w:marRight w:val="0"/>
      <w:marTop w:val="0"/>
      <w:marBottom w:val="0"/>
      <w:divBdr>
        <w:top w:val="none" w:sz="0" w:space="0" w:color="auto"/>
        <w:left w:val="none" w:sz="0" w:space="0" w:color="auto"/>
        <w:bottom w:val="none" w:sz="0" w:space="0" w:color="auto"/>
        <w:right w:val="none" w:sz="0" w:space="0" w:color="auto"/>
      </w:divBdr>
      <w:divsChild>
        <w:div w:id="269363843">
          <w:marLeft w:val="0"/>
          <w:marRight w:val="0"/>
          <w:marTop w:val="0"/>
          <w:marBottom w:val="0"/>
          <w:divBdr>
            <w:top w:val="none" w:sz="0" w:space="0" w:color="auto"/>
            <w:left w:val="none" w:sz="0" w:space="0" w:color="auto"/>
            <w:bottom w:val="none" w:sz="0" w:space="0" w:color="auto"/>
            <w:right w:val="none" w:sz="0" w:space="0" w:color="auto"/>
          </w:divBdr>
        </w:div>
        <w:div w:id="1364403240">
          <w:marLeft w:val="0"/>
          <w:marRight w:val="0"/>
          <w:marTop w:val="0"/>
          <w:marBottom w:val="0"/>
          <w:divBdr>
            <w:top w:val="none" w:sz="0" w:space="0" w:color="auto"/>
            <w:left w:val="none" w:sz="0" w:space="0" w:color="auto"/>
            <w:bottom w:val="none" w:sz="0" w:space="0" w:color="auto"/>
            <w:right w:val="none" w:sz="0" w:space="0" w:color="auto"/>
          </w:divBdr>
        </w:div>
        <w:div w:id="2022462865">
          <w:marLeft w:val="0"/>
          <w:marRight w:val="0"/>
          <w:marTop w:val="0"/>
          <w:marBottom w:val="0"/>
          <w:divBdr>
            <w:top w:val="none" w:sz="0" w:space="0" w:color="auto"/>
            <w:left w:val="none" w:sz="0" w:space="0" w:color="auto"/>
            <w:bottom w:val="none" w:sz="0" w:space="0" w:color="auto"/>
            <w:right w:val="none" w:sz="0" w:space="0" w:color="auto"/>
          </w:divBdr>
        </w:div>
      </w:divsChild>
    </w:div>
    <w:div w:id="627585055">
      <w:bodyDiv w:val="1"/>
      <w:marLeft w:val="0"/>
      <w:marRight w:val="0"/>
      <w:marTop w:val="0"/>
      <w:marBottom w:val="0"/>
      <w:divBdr>
        <w:top w:val="none" w:sz="0" w:space="0" w:color="auto"/>
        <w:left w:val="none" w:sz="0" w:space="0" w:color="auto"/>
        <w:bottom w:val="none" w:sz="0" w:space="0" w:color="auto"/>
        <w:right w:val="none" w:sz="0" w:space="0" w:color="auto"/>
      </w:divBdr>
      <w:divsChild>
        <w:div w:id="1762870468">
          <w:marLeft w:val="0"/>
          <w:marRight w:val="0"/>
          <w:marTop w:val="0"/>
          <w:marBottom w:val="0"/>
          <w:divBdr>
            <w:top w:val="none" w:sz="0" w:space="0" w:color="auto"/>
            <w:left w:val="none" w:sz="0" w:space="0" w:color="auto"/>
            <w:bottom w:val="none" w:sz="0" w:space="0" w:color="auto"/>
            <w:right w:val="none" w:sz="0" w:space="0" w:color="auto"/>
          </w:divBdr>
        </w:div>
        <w:div w:id="1818767883">
          <w:marLeft w:val="0"/>
          <w:marRight w:val="0"/>
          <w:marTop w:val="0"/>
          <w:marBottom w:val="0"/>
          <w:divBdr>
            <w:top w:val="none" w:sz="0" w:space="0" w:color="auto"/>
            <w:left w:val="none" w:sz="0" w:space="0" w:color="auto"/>
            <w:bottom w:val="none" w:sz="0" w:space="0" w:color="auto"/>
            <w:right w:val="none" w:sz="0" w:space="0" w:color="auto"/>
          </w:divBdr>
        </w:div>
      </w:divsChild>
    </w:div>
    <w:div w:id="635723250">
      <w:bodyDiv w:val="1"/>
      <w:marLeft w:val="0"/>
      <w:marRight w:val="0"/>
      <w:marTop w:val="0"/>
      <w:marBottom w:val="0"/>
      <w:divBdr>
        <w:top w:val="none" w:sz="0" w:space="0" w:color="auto"/>
        <w:left w:val="none" w:sz="0" w:space="0" w:color="auto"/>
        <w:bottom w:val="none" w:sz="0" w:space="0" w:color="auto"/>
        <w:right w:val="none" w:sz="0" w:space="0" w:color="auto"/>
      </w:divBdr>
    </w:div>
    <w:div w:id="637494451">
      <w:bodyDiv w:val="1"/>
      <w:marLeft w:val="0"/>
      <w:marRight w:val="0"/>
      <w:marTop w:val="0"/>
      <w:marBottom w:val="0"/>
      <w:divBdr>
        <w:top w:val="none" w:sz="0" w:space="0" w:color="auto"/>
        <w:left w:val="none" w:sz="0" w:space="0" w:color="auto"/>
        <w:bottom w:val="none" w:sz="0" w:space="0" w:color="auto"/>
        <w:right w:val="none" w:sz="0" w:space="0" w:color="auto"/>
      </w:divBdr>
      <w:divsChild>
        <w:div w:id="1095831210">
          <w:marLeft w:val="0"/>
          <w:marRight w:val="0"/>
          <w:marTop w:val="0"/>
          <w:marBottom w:val="0"/>
          <w:divBdr>
            <w:top w:val="none" w:sz="0" w:space="0" w:color="auto"/>
            <w:left w:val="none" w:sz="0" w:space="0" w:color="auto"/>
            <w:bottom w:val="none" w:sz="0" w:space="0" w:color="auto"/>
            <w:right w:val="none" w:sz="0" w:space="0" w:color="auto"/>
          </w:divBdr>
          <w:divsChild>
            <w:div w:id="38747157">
              <w:marLeft w:val="0"/>
              <w:marRight w:val="0"/>
              <w:marTop w:val="0"/>
              <w:marBottom w:val="0"/>
              <w:divBdr>
                <w:top w:val="none" w:sz="0" w:space="0" w:color="auto"/>
                <w:left w:val="none" w:sz="0" w:space="0" w:color="auto"/>
                <w:bottom w:val="none" w:sz="0" w:space="0" w:color="auto"/>
                <w:right w:val="none" w:sz="0" w:space="0" w:color="auto"/>
              </w:divBdr>
            </w:div>
            <w:div w:id="244608800">
              <w:marLeft w:val="0"/>
              <w:marRight w:val="0"/>
              <w:marTop w:val="0"/>
              <w:marBottom w:val="0"/>
              <w:divBdr>
                <w:top w:val="none" w:sz="0" w:space="0" w:color="auto"/>
                <w:left w:val="none" w:sz="0" w:space="0" w:color="auto"/>
                <w:bottom w:val="none" w:sz="0" w:space="0" w:color="auto"/>
                <w:right w:val="none" w:sz="0" w:space="0" w:color="auto"/>
              </w:divBdr>
            </w:div>
            <w:div w:id="857278825">
              <w:marLeft w:val="0"/>
              <w:marRight w:val="0"/>
              <w:marTop w:val="0"/>
              <w:marBottom w:val="0"/>
              <w:divBdr>
                <w:top w:val="none" w:sz="0" w:space="0" w:color="auto"/>
                <w:left w:val="none" w:sz="0" w:space="0" w:color="auto"/>
                <w:bottom w:val="none" w:sz="0" w:space="0" w:color="auto"/>
                <w:right w:val="none" w:sz="0" w:space="0" w:color="auto"/>
              </w:divBdr>
            </w:div>
            <w:div w:id="919873071">
              <w:marLeft w:val="0"/>
              <w:marRight w:val="0"/>
              <w:marTop w:val="0"/>
              <w:marBottom w:val="0"/>
              <w:divBdr>
                <w:top w:val="none" w:sz="0" w:space="0" w:color="auto"/>
                <w:left w:val="none" w:sz="0" w:space="0" w:color="auto"/>
                <w:bottom w:val="none" w:sz="0" w:space="0" w:color="auto"/>
                <w:right w:val="none" w:sz="0" w:space="0" w:color="auto"/>
              </w:divBdr>
            </w:div>
            <w:div w:id="1223372361">
              <w:marLeft w:val="0"/>
              <w:marRight w:val="0"/>
              <w:marTop w:val="0"/>
              <w:marBottom w:val="0"/>
              <w:divBdr>
                <w:top w:val="none" w:sz="0" w:space="0" w:color="auto"/>
                <w:left w:val="none" w:sz="0" w:space="0" w:color="auto"/>
                <w:bottom w:val="none" w:sz="0" w:space="0" w:color="auto"/>
                <w:right w:val="none" w:sz="0" w:space="0" w:color="auto"/>
              </w:divBdr>
            </w:div>
            <w:div w:id="1243757624">
              <w:marLeft w:val="0"/>
              <w:marRight w:val="0"/>
              <w:marTop w:val="0"/>
              <w:marBottom w:val="0"/>
              <w:divBdr>
                <w:top w:val="none" w:sz="0" w:space="0" w:color="auto"/>
                <w:left w:val="none" w:sz="0" w:space="0" w:color="auto"/>
                <w:bottom w:val="none" w:sz="0" w:space="0" w:color="auto"/>
                <w:right w:val="none" w:sz="0" w:space="0" w:color="auto"/>
              </w:divBdr>
            </w:div>
            <w:div w:id="1429153314">
              <w:marLeft w:val="0"/>
              <w:marRight w:val="0"/>
              <w:marTop w:val="0"/>
              <w:marBottom w:val="0"/>
              <w:divBdr>
                <w:top w:val="none" w:sz="0" w:space="0" w:color="auto"/>
                <w:left w:val="none" w:sz="0" w:space="0" w:color="auto"/>
                <w:bottom w:val="none" w:sz="0" w:space="0" w:color="auto"/>
                <w:right w:val="none" w:sz="0" w:space="0" w:color="auto"/>
              </w:divBdr>
            </w:div>
          </w:divsChild>
        </w:div>
        <w:div w:id="1818109124">
          <w:marLeft w:val="0"/>
          <w:marRight w:val="0"/>
          <w:marTop w:val="0"/>
          <w:marBottom w:val="0"/>
          <w:divBdr>
            <w:top w:val="none" w:sz="0" w:space="0" w:color="auto"/>
            <w:left w:val="none" w:sz="0" w:space="0" w:color="auto"/>
            <w:bottom w:val="none" w:sz="0" w:space="0" w:color="auto"/>
            <w:right w:val="none" w:sz="0" w:space="0" w:color="auto"/>
          </w:divBdr>
          <w:divsChild>
            <w:div w:id="64030842">
              <w:marLeft w:val="0"/>
              <w:marRight w:val="0"/>
              <w:marTop w:val="0"/>
              <w:marBottom w:val="0"/>
              <w:divBdr>
                <w:top w:val="none" w:sz="0" w:space="0" w:color="auto"/>
                <w:left w:val="none" w:sz="0" w:space="0" w:color="auto"/>
                <w:bottom w:val="none" w:sz="0" w:space="0" w:color="auto"/>
                <w:right w:val="none" w:sz="0" w:space="0" w:color="auto"/>
              </w:divBdr>
            </w:div>
            <w:div w:id="134572042">
              <w:marLeft w:val="0"/>
              <w:marRight w:val="0"/>
              <w:marTop w:val="0"/>
              <w:marBottom w:val="0"/>
              <w:divBdr>
                <w:top w:val="none" w:sz="0" w:space="0" w:color="auto"/>
                <w:left w:val="none" w:sz="0" w:space="0" w:color="auto"/>
                <w:bottom w:val="none" w:sz="0" w:space="0" w:color="auto"/>
                <w:right w:val="none" w:sz="0" w:space="0" w:color="auto"/>
              </w:divBdr>
            </w:div>
            <w:div w:id="251669587">
              <w:marLeft w:val="0"/>
              <w:marRight w:val="0"/>
              <w:marTop w:val="0"/>
              <w:marBottom w:val="0"/>
              <w:divBdr>
                <w:top w:val="none" w:sz="0" w:space="0" w:color="auto"/>
                <w:left w:val="none" w:sz="0" w:space="0" w:color="auto"/>
                <w:bottom w:val="none" w:sz="0" w:space="0" w:color="auto"/>
                <w:right w:val="none" w:sz="0" w:space="0" w:color="auto"/>
              </w:divBdr>
            </w:div>
            <w:div w:id="285232738">
              <w:marLeft w:val="0"/>
              <w:marRight w:val="0"/>
              <w:marTop w:val="0"/>
              <w:marBottom w:val="0"/>
              <w:divBdr>
                <w:top w:val="none" w:sz="0" w:space="0" w:color="auto"/>
                <w:left w:val="none" w:sz="0" w:space="0" w:color="auto"/>
                <w:bottom w:val="none" w:sz="0" w:space="0" w:color="auto"/>
                <w:right w:val="none" w:sz="0" w:space="0" w:color="auto"/>
              </w:divBdr>
            </w:div>
            <w:div w:id="519973441">
              <w:marLeft w:val="0"/>
              <w:marRight w:val="0"/>
              <w:marTop w:val="0"/>
              <w:marBottom w:val="0"/>
              <w:divBdr>
                <w:top w:val="none" w:sz="0" w:space="0" w:color="auto"/>
                <w:left w:val="none" w:sz="0" w:space="0" w:color="auto"/>
                <w:bottom w:val="none" w:sz="0" w:space="0" w:color="auto"/>
                <w:right w:val="none" w:sz="0" w:space="0" w:color="auto"/>
              </w:divBdr>
            </w:div>
            <w:div w:id="592009912">
              <w:marLeft w:val="0"/>
              <w:marRight w:val="0"/>
              <w:marTop w:val="0"/>
              <w:marBottom w:val="0"/>
              <w:divBdr>
                <w:top w:val="none" w:sz="0" w:space="0" w:color="auto"/>
                <w:left w:val="none" w:sz="0" w:space="0" w:color="auto"/>
                <w:bottom w:val="none" w:sz="0" w:space="0" w:color="auto"/>
                <w:right w:val="none" w:sz="0" w:space="0" w:color="auto"/>
              </w:divBdr>
            </w:div>
            <w:div w:id="596596380">
              <w:marLeft w:val="0"/>
              <w:marRight w:val="0"/>
              <w:marTop w:val="0"/>
              <w:marBottom w:val="0"/>
              <w:divBdr>
                <w:top w:val="none" w:sz="0" w:space="0" w:color="auto"/>
                <w:left w:val="none" w:sz="0" w:space="0" w:color="auto"/>
                <w:bottom w:val="none" w:sz="0" w:space="0" w:color="auto"/>
                <w:right w:val="none" w:sz="0" w:space="0" w:color="auto"/>
              </w:divBdr>
            </w:div>
            <w:div w:id="948851324">
              <w:marLeft w:val="0"/>
              <w:marRight w:val="0"/>
              <w:marTop w:val="0"/>
              <w:marBottom w:val="0"/>
              <w:divBdr>
                <w:top w:val="none" w:sz="0" w:space="0" w:color="auto"/>
                <w:left w:val="none" w:sz="0" w:space="0" w:color="auto"/>
                <w:bottom w:val="none" w:sz="0" w:space="0" w:color="auto"/>
                <w:right w:val="none" w:sz="0" w:space="0" w:color="auto"/>
              </w:divBdr>
            </w:div>
            <w:div w:id="1352564465">
              <w:marLeft w:val="0"/>
              <w:marRight w:val="0"/>
              <w:marTop w:val="0"/>
              <w:marBottom w:val="0"/>
              <w:divBdr>
                <w:top w:val="none" w:sz="0" w:space="0" w:color="auto"/>
                <w:left w:val="none" w:sz="0" w:space="0" w:color="auto"/>
                <w:bottom w:val="none" w:sz="0" w:space="0" w:color="auto"/>
                <w:right w:val="none" w:sz="0" w:space="0" w:color="auto"/>
              </w:divBdr>
            </w:div>
            <w:div w:id="1580095914">
              <w:marLeft w:val="0"/>
              <w:marRight w:val="0"/>
              <w:marTop w:val="0"/>
              <w:marBottom w:val="0"/>
              <w:divBdr>
                <w:top w:val="none" w:sz="0" w:space="0" w:color="auto"/>
                <w:left w:val="none" w:sz="0" w:space="0" w:color="auto"/>
                <w:bottom w:val="none" w:sz="0" w:space="0" w:color="auto"/>
                <w:right w:val="none" w:sz="0" w:space="0" w:color="auto"/>
              </w:divBdr>
            </w:div>
            <w:div w:id="1614484512">
              <w:marLeft w:val="0"/>
              <w:marRight w:val="0"/>
              <w:marTop w:val="0"/>
              <w:marBottom w:val="0"/>
              <w:divBdr>
                <w:top w:val="none" w:sz="0" w:space="0" w:color="auto"/>
                <w:left w:val="none" w:sz="0" w:space="0" w:color="auto"/>
                <w:bottom w:val="none" w:sz="0" w:space="0" w:color="auto"/>
                <w:right w:val="none" w:sz="0" w:space="0" w:color="auto"/>
              </w:divBdr>
            </w:div>
            <w:div w:id="1715231809">
              <w:marLeft w:val="0"/>
              <w:marRight w:val="0"/>
              <w:marTop w:val="0"/>
              <w:marBottom w:val="0"/>
              <w:divBdr>
                <w:top w:val="none" w:sz="0" w:space="0" w:color="auto"/>
                <w:left w:val="none" w:sz="0" w:space="0" w:color="auto"/>
                <w:bottom w:val="none" w:sz="0" w:space="0" w:color="auto"/>
                <w:right w:val="none" w:sz="0" w:space="0" w:color="auto"/>
              </w:divBdr>
            </w:div>
            <w:div w:id="1783113357">
              <w:marLeft w:val="0"/>
              <w:marRight w:val="0"/>
              <w:marTop w:val="0"/>
              <w:marBottom w:val="0"/>
              <w:divBdr>
                <w:top w:val="none" w:sz="0" w:space="0" w:color="auto"/>
                <w:left w:val="none" w:sz="0" w:space="0" w:color="auto"/>
                <w:bottom w:val="none" w:sz="0" w:space="0" w:color="auto"/>
                <w:right w:val="none" w:sz="0" w:space="0" w:color="auto"/>
              </w:divBdr>
            </w:div>
            <w:div w:id="1855606353">
              <w:marLeft w:val="0"/>
              <w:marRight w:val="0"/>
              <w:marTop w:val="0"/>
              <w:marBottom w:val="0"/>
              <w:divBdr>
                <w:top w:val="none" w:sz="0" w:space="0" w:color="auto"/>
                <w:left w:val="none" w:sz="0" w:space="0" w:color="auto"/>
                <w:bottom w:val="none" w:sz="0" w:space="0" w:color="auto"/>
                <w:right w:val="none" w:sz="0" w:space="0" w:color="auto"/>
              </w:divBdr>
            </w:div>
            <w:div w:id="1920022127">
              <w:marLeft w:val="0"/>
              <w:marRight w:val="0"/>
              <w:marTop w:val="0"/>
              <w:marBottom w:val="0"/>
              <w:divBdr>
                <w:top w:val="none" w:sz="0" w:space="0" w:color="auto"/>
                <w:left w:val="none" w:sz="0" w:space="0" w:color="auto"/>
                <w:bottom w:val="none" w:sz="0" w:space="0" w:color="auto"/>
                <w:right w:val="none" w:sz="0" w:space="0" w:color="auto"/>
              </w:divBdr>
            </w:div>
            <w:div w:id="213636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063685">
      <w:bodyDiv w:val="1"/>
      <w:marLeft w:val="0"/>
      <w:marRight w:val="0"/>
      <w:marTop w:val="0"/>
      <w:marBottom w:val="0"/>
      <w:divBdr>
        <w:top w:val="none" w:sz="0" w:space="0" w:color="auto"/>
        <w:left w:val="none" w:sz="0" w:space="0" w:color="auto"/>
        <w:bottom w:val="none" w:sz="0" w:space="0" w:color="auto"/>
        <w:right w:val="none" w:sz="0" w:space="0" w:color="auto"/>
      </w:divBdr>
    </w:div>
    <w:div w:id="673730192">
      <w:bodyDiv w:val="1"/>
      <w:marLeft w:val="0"/>
      <w:marRight w:val="0"/>
      <w:marTop w:val="0"/>
      <w:marBottom w:val="0"/>
      <w:divBdr>
        <w:top w:val="none" w:sz="0" w:space="0" w:color="auto"/>
        <w:left w:val="none" w:sz="0" w:space="0" w:color="auto"/>
        <w:bottom w:val="none" w:sz="0" w:space="0" w:color="auto"/>
        <w:right w:val="none" w:sz="0" w:space="0" w:color="auto"/>
      </w:divBdr>
    </w:div>
    <w:div w:id="723598263">
      <w:bodyDiv w:val="1"/>
      <w:marLeft w:val="0"/>
      <w:marRight w:val="0"/>
      <w:marTop w:val="0"/>
      <w:marBottom w:val="0"/>
      <w:divBdr>
        <w:top w:val="none" w:sz="0" w:space="0" w:color="auto"/>
        <w:left w:val="none" w:sz="0" w:space="0" w:color="auto"/>
        <w:bottom w:val="none" w:sz="0" w:space="0" w:color="auto"/>
        <w:right w:val="none" w:sz="0" w:space="0" w:color="auto"/>
      </w:divBdr>
    </w:div>
    <w:div w:id="740444431">
      <w:bodyDiv w:val="1"/>
      <w:marLeft w:val="0"/>
      <w:marRight w:val="0"/>
      <w:marTop w:val="0"/>
      <w:marBottom w:val="0"/>
      <w:divBdr>
        <w:top w:val="none" w:sz="0" w:space="0" w:color="auto"/>
        <w:left w:val="none" w:sz="0" w:space="0" w:color="auto"/>
        <w:bottom w:val="none" w:sz="0" w:space="0" w:color="auto"/>
        <w:right w:val="none" w:sz="0" w:space="0" w:color="auto"/>
      </w:divBdr>
    </w:div>
    <w:div w:id="752046572">
      <w:bodyDiv w:val="1"/>
      <w:marLeft w:val="0"/>
      <w:marRight w:val="0"/>
      <w:marTop w:val="0"/>
      <w:marBottom w:val="0"/>
      <w:divBdr>
        <w:top w:val="none" w:sz="0" w:space="0" w:color="auto"/>
        <w:left w:val="none" w:sz="0" w:space="0" w:color="auto"/>
        <w:bottom w:val="none" w:sz="0" w:space="0" w:color="auto"/>
        <w:right w:val="none" w:sz="0" w:space="0" w:color="auto"/>
      </w:divBdr>
    </w:div>
    <w:div w:id="759984126">
      <w:bodyDiv w:val="1"/>
      <w:marLeft w:val="0"/>
      <w:marRight w:val="0"/>
      <w:marTop w:val="0"/>
      <w:marBottom w:val="0"/>
      <w:divBdr>
        <w:top w:val="none" w:sz="0" w:space="0" w:color="auto"/>
        <w:left w:val="none" w:sz="0" w:space="0" w:color="auto"/>
        <w:bottom w:val="none" w:sz="0" w:space="0" w:color="auto"/>
        <w:right w:val="none" w:sz="0" w:space="0" w:color="auto"/>
      </w:divBdr>
    </w:div>
    <w:div w:id="769008330">
      <w:bodyDiv w:val="1"/>
      <w:marLeft w:val="0"/>
      <w:marRight w:val="0"/>
      <w:marTop w:val="0"/>
      <w:marBottom w:val="0"/>
      <w:divBdr>
        <w:top w:val="none" w:sz="0" w:space="0" w:color="auto"/>
        <w:left w:val="none" w:sz="0" w:space="0" w:color="auto"/>
        <w:bottom w:val="none" w:sz="0" w:space="0" w:color="auto"/>
        <w:right w:val="none" w:sz="0" w:space="0" w:color="auto"/>
      </w:divBdr>
    </w:div>
    <w:div w:id="790054660">
      <w:bodyDiv w:val="1"/>
      <w:marLeft w:val="0"/>
      <w:marRight w:val="0"/>
      <w:marTop w:val="0"/>
      <w:marBottom w:val="0"/>
      <w:divBdr>
        <w:top w:val="none" w:sz="0" w:space="0" w:color="auto"/>
        <w:left w:val="none" w:sz="0" w:space="0" w:color="auto"/>
        <w:bottom w:val="none" w:sz="0" w:space="0" w:color="auto"/>
        <w:right w:val="none" w:sz="0" w:space="0" w:color="auto"/>
      </w:divBdr>
    </w:div>
    <w:div w:id="801314799">
      <w:bodyDiv w:val="1"/>
      <w:marLeft w:val="0"/>
      <w:marRight w:val="0"/>
      <w:marTop w:val="0"/>
      <w:marBottom w:val="0"/>
      <w:divBdr>
        <w:top w:val="none" w:sz="0" w:space="0" w:color="auto"/>
        <w:left w:val="none" w:sz="0" w:space="0" w:color="auto"/>
        <w:bottom w:val="none" w:sz="0" w:space="0" w:color="auto"/>
        <w:right w:val="none" w:sz="0" w:space="0" w:color="auto"/>
      </w:divBdr>
    </w:div>
    <w:div w:id="816611174">
      <w:bodyDiv w:val="1"/>
      <w:marLeft w:val="0"/>
      <w:marRight w:val="0"/>
      <w:marTop w:val="0"/>
      <w:marBottom w:val="0"/>
      <w:divBdr>
        <w:top w:val="none" w:sz="0" w:space="0" w:color="auto"/>
        <w:left w:val="none" w:sz="0" w:space="0" w:color="auto"/>
        <w:bottom w:val="none" w:sz="0" w:space="0" w:color="auto"/>
        <w:right w:val="none" w:sz="0" w:space="0" w:color="auto"/>
      </w:divBdr>
      <w:divsChild>
        <w:div w:id="432166387">
          <w:marLeft w:val="0"/>
          <w:marRight w:val="0"/>
          <w:marTop w:val="0"/>
          <w:marBottom w:val="0"/>
          <w:divBdr>
            <w:top w:val="none" w:sz="0" w:space="0" w:color="auto"/>
            <w:left w:val="none" w:sz="0" w:space="0" w:color="auto"/>
            <w:bottom w:val="none" w:sz="0" w:space="0" w:color="auto"/>
            <w:right w:val="none" w:sz="0" w:space="0" w:color="auto"/>
          </w:divBdr>
          <w:divsChild>
            <w:div w:id="33118300">
              <w:marLeft w:val="0"/>
              <w:marRight w:val="0"/>
              <w:marTop w:val="0"/>
              <w:marBottom w:val="0"/>
              <w:divBdr>
                <w:top w:val="none" w:sz="0" w:space="0" w:color="auto"/>
                <w:left w:val="none" w:sz="0" w:space="0" w:color="auto"/>
                <w:bottom w:val="none" w:sz="0" w:space="0" w:color="auto"/>
                <w:right w:val="none" w:sz="0" w:space="0" w:color="auto"/>
              </w:divBdr>
            </w:div>
            <w:div w:id="655376335">
              <w:marLeft w:val="0"/>
              <w:marRight w:val="0"/>
              <w:marTop w:val="0"/>
              <w:marBottom w:val="0"/>
              <w:divBdr>
                <w:top w:val="none" w:sz="0" w:space="0" w:color="auto"/>
                <w:left w:val="none" w:sz="0" w:space="0" w:color="auto"/>
                <w:bottom w:val="none" w:sz="0" w:space="0" w:color="auto"/>
                <w:right w:val="none" w:sz="0" w:space="0" w:color="auto"/>
              </w:divBdr>
            </w:div>
            <w:div w:id="824317048">
              <w:marLeft w:val="0"/>
              <w:marRight w:val="0"/>
              <w:marTop w:val="0"/>
              <w:marBottom w:val="0"/>
              <w:divBdr>
                <w:top w:val="none" w:sz="0" w:space="0" w:color="auto"/>
                <w:left w:val="none" w:sz="0" w:space="0" w:color="auto"/>
                <w:bottom w:val="none" w:sz="0" w:space="0" w:color="auto"/>
                <w:right w:val="none" w:sz="0" w:space="0" w:color="auto"/>
              </w:divBdr>
            </w:div>
            <w:div w:id="854616351">
              <w:marLeft w:val="0"/>
              <w:marRight w:val="0"/>
              <w:marTop w:val="0"/>
              <w:marBottom w:val="0"/>
              <w:divBdr>
                <w:top w:val="none" w:sz="0" w:space="0" w:color="auto"/>
                <w:left w:val="none" w:sz="0" w:space="0" w:color="auto"/>
                <w:bottom w:val="none" w:sz="0" w:space="0" w:color="auto"/>
                <w:right w:val="none" w:sz="0" w:space="0" w:color="auto"/>
              </w:divBdr>
            </w:div>
            <w:div w:id="1027292625">
              <w:marLeft w:val="0"/>
              <w:marRight w:val="0"/>
              <w:marTop w:val="0"/>
              <w:marBottom w:val="0"/>
              <w:divBdr>
                <w:top w:val="none" w:sz="0" w:space="0" w:color="auto"/>
                <w:left w:val="none" w:sz="0" w:space="0" w:color="auto"/>
                <w:bottom w:val="none" w:sz="0" w:space="0" w:color="auto"/>
                <w:right w:val="none" w:sz="0" w:space="0" w:color="auto"/>
              </w:divBdr>
            </w:div>
            <w:div w:id="1037320092">
              <w:marLeft w:val="0"/>
              <w:marRight w:val="0"/>
              <w:marTop w:val="0"/>
              <w:marBottom w:val="0"/>
              <w:divBdr>
                <w:top w:val="none" w:sz="0" w:space="0" w:color="auto"/>
                <w:left w:val="none" w:sz="0" w:space="0" w:color="auto"/>
                <w:bottom w:val="none" w:sz="0" w:space="0" w:color="auto"/>
                <w:right w:val="none" w:sz="0" w:space="0" w:color="auto"/>
              </w:divBdr>
            </w:div>
            <w:div w:id="1219127758">
              <w:marLeft w:val="0"/>
              <w:marRight w:val="0"/>
              <w:marTop w:val="0"/>
              <w:marBottom w:val="0"/>
              <w:divBdr>
                <w:top w:val="none" w:sz="0" w:space="0" w:color="auto"/>
                <w:left w:val="none" w:sz="0" w:space="0" w:color="auto"/>
                <w:bottom w:val="none" w:sz="0" w:space="0" w:color="auto"/>
                <w:right w:val="none" w:sz="0" w:space="0" w:color="auto"/>
              </w:divBdr>
            </w:div>
            <w:div w:id="1257711079">
              <w:marLeft w:val="0"/>
              <w:marRight w:val="0"/>
              <w:marTop w:val="0"/>
              <w:marBottom w:val="0"/>
              <w:divBdr>
                <w:top w:val="none" w:sz="0" w:space="0" w:color="auto"/>
                <w:left w:val="none" w:sz="0" w:space="0" w:color="auto"/>
                <w:bottom w:val="none" w:sz="0" w:space="0" w:color="auto"/>
                <w:right w:val="none" w:sz="0" w:space="0" w:color="auto"/>
              </w:divBdr>
            </w:div>
            <w:div w:id="1378551705">
              <w:marLeft w:val="0"/>
              <w:marRight w:val="0"/>
              <w:marTop w:val="0"/>
              <w:marBottom w:val="0"/>
              <w:divBdr>
                <w:top w:val="none" w:sz="0" w:space="0" w:color="auto"/>
                <w:left w:val="none" w:sz="0" w:space="0" w:color="auto"/>
                <w:bottom w:val="none" w:sz="0" w:space="0" w:color="auto"/>
                <w:right w:val="none" w:sz="0" w:space="0" w:color="auto"/>
              </w:divBdr>
            </w:div>
            <w:div w:id="1385372418">
              <w:marLeft w:val="0"/>
              <w:marRight w:val="0"/>
              <w:marTop w:val="0"/>
              <w:marBottom w:val="0"/>
              <w:divBdr>
                <w:top w:val="none" w:sz="0" w:space="0" w:color="auto"/>
                <w:left w:val="none" w:sz="0" w:space="0" w:color="auto"/>
                <w:bottom w:val="none" w:sz="0" w:space="0" w:color="auto"/>
                <w:right w:val="none" w:sz="0" w:space="0" w:color="auto"/>
              </w:divBdr>
            </w:div>
            <w:div w:id="1624728348">
              <w:marLeft w:val="0"/>
              <w:marRight w:val="0"/>
              <w:marTop w:val="0"/>
              <w:marBottom w:val="0"/>
              <w:divBdr>
                <w:top w:val="none" w:sz="0" w:space="0" w:color="auto"/>
                <w:left w:val="none" w:sz="0" w:space="0" w:color="auto"/>
                <w:bottom w:val="none" w:sz="0" w:space="0" w:color="auto"/>
                <w:right w:val="none" w:sz="0" w:space="0" w:color="auto"/>
              </w:divBdr>
            </w:div>
            <w:div w:id="1652902551">
              <w:marLeft w:val="0"/>
              <w:marRight w:val="0"/>
              <w:marTop w:val="0"/>
              <w:marBottom w:val="0"/>
              <w:divBdr>
                <w:top w:val="none" w:sz="0" w:space="0" w:color="auto"/>
                <w:left w:val="none" w:sz="0" w:space="0" w:color="auto"/>
                <w:bottom w:val="none" w:sz="0" w:space="0" w:color="auto"/>
                <w:right w:val="none" w:sz="0" w:space="0" w:color="auto"/>
              </w:divBdr>
            </w:div>
            <w:div w:id="1689209869">
              <w:marLeft w:val="0"/>
              <w:marRight w:val="0"/>
              <w:marTop w:val="0"/>
              <w:marBottom w:val="0"/>
              <w:divBdr>
                <w:top w:val="none" w:sz="0" w:space="0" w:color="auto"/>
                <w:left w:val="none" w:sz="0" w:space="0" w:color="auto"/>
                <w:bottom w:val="none" w:sz="0" w:space="0" w:color="auto"/>
                <w:right w:val="none" w:sz="0" w:space="0" w:color="auto"/>
              </w:divBdr>
            </w:div>
            <w:div w:id="1856112440">
              <w:marLeft w:val="0"/>
              <w:marRight w:val="0"/>
              <w:marTop w:val="0"/>
              <w:marBottom w:val="0"/>
              <w:divBdr>
                <w:top w:val="none" w:sz="0" w:space="0" w:color="auto"/>
                <w:left w:val="none" w:sz="0" w:space="0" w:color="auto"/>
                <w:bottom w:val="none" w:sz="0" w:space="0" w:color="auto"/>
                <w:right w:val="none" w:sz="0" w:space="0" w:color="auto"/>
              </w:divBdr>
            </w:div>
            <w:div w:id="2055502816">
              <w:marLeft w:val="0"/>
              <w:marRight w:val="0"/>
              <w:marTop w:val="0"/>
              <w:marBottom w:val="0"/>
              <w:divBdr>
                <w:top w:val="none" w:sz="0" w:space="0" w:color="auto"/>
                <w:left w:val="none" w:sz="0" w:space="0" w:color="auto"/>
                <w:bottom w:val="none" w:sz="0" w:space="0" w:color="auto"/>
                <w:right w:val="none" w:sz="0" w:space="0" w:color="auto"/>
              </w:divBdr>
            </w:div>
            <w:div w:id="2081976211">
              <w:marLeft w:val="0"/>
              <w:marRight w:val="0"/>
              <w:marTop w:val="0"/>
              <w:marBottom w:val="0"/>
              <w:divBdr>
                <w:top w:val="none" w:sz="0" w:space="0" w:color="auto"/>
                <w:left w:val="none" w:sz="0" w:space="0" w:color="auto"/>
                <w:bottom w:val="none" w:sz="0" w:space="0" w:color="auto"/>
                <w:right w:val="none" w:sz="0" w:space="0" w:color="auto"/>
              </w:divBdr>
            </w:div>
          </w:divsChild>
        </w:div>
        <w:div w:id="1115901008">
          <w:marLeft w:val="0"/>
          <w:marRight w:val="0"/>
          <w:marTop w:val="0"/>
          <w:marBottom w:val="0"/>
          <w:divBdr>
            <w:top w:val="none" w:sz="0" w:space="0" w:color="auto"/>
            <w:left w:val="none" w:sz="0" w:space="0" w:color="auto"/>
            <w:bottom w:val="none" w:sz="0" w:space="0" w:color="auto"/>
            <w:right w:val="none" w:sz="0" w:space="0" w:color="auto"/>
          </w:divBdr>
          <w:divsChild>
            <w:div w:id="83889330">
              <w:marLeft w:val="0"/>
              <w:marRight w:val="0"/>
              <w:marTop w:val="0"/>
              <w:marBottom w:val="0"/>
              <w:divBdr>
                <w:top w:val="none" w:sz="0" w:space="0" w:color="auto"/>
                <w:left w:val="none" w:sz="0" w:space="0" w:color="auto"/>
                <w:bottom w:val="none" w:sz="0" w:space="0" w:color="auto"/>
                <w:right w:val="none" w:sz="0" w:space="0" w:color="auto"/>
              </w:divBdr>
            </w:div>
            <w:div w:id="488133332">
              <w:marLeft w:val="0"/>
              <w:marRight w:val="0"/>
              <w:marTop w:val="0"/>
              <w:marBottom w:val="0"/>
              <w:divBdr>
                <w:top w:val="none" w:sz="0" w:space="0" w:color="auto"/>
                <w:left w:val="none" w:sz="0" w:space="0" w:color="auto"/>
                <w:bottom w:val="none" w:sz="0" w:space="0" w:color="auto"/>
                <w:right w:val="none" w:sz="0" w:space="0" w:color="auto"/>
              </w:divBdr>
            </w:div>
            <w:div w:id="1247615140">
              <w:marLeft w:val="0"/>
              <w:marRight w:val="0"/>
              <w:marTop w:val="0"/>
              <w:marBottom w:val="0"/>
              <w:divBdr>
                <w:top w:val="none" w:sz="0" w:space="0" w:color="auto"/>
                <w:left w:val="none" w:sz="0" w:space="0" w:color="auto"/>
                <w:bottom w:val="none" w:sz="0" w:space="0" w:color="auto"/>
                <w:right w:val="none" w:sz="0" w:space="0" w:color="auto"/>
              </w:divBdr>
            </w:div>
            <w:div w:id="1349715158">
              <w:marLeft w:val="0"/>
              <w:marRight w:val="0"/>
              <w:marTop w:val="0"/>
              <w:marBottom w:val="0"/>
              <w:divBdr>
                <w:top w:val="none" w:sz="0" w:space="0" w:color="auto"/>
                <w:left w:val="none" w:sz="0" w:space="0" w:color="auto"/>
                <w:bottom w:val="none" w:sz="0" w:space="0" w:color="auto"/>
                <w:right w:val="none" w:sz="0" w:space="0" w:color="auto"/>
              </w:divBdr>
            </w:div>
            <w:div w:id="1725130611">
              <w:marLeft w:val="0"/>
              <w:marRight w:val="0"/>
              <w:marTop w:val="0"/>
              <w:marBottom w:val="0"/>
              <w:divBdr>
                <w:top w:val="none" w:sz="0" w:space="0" w:color="auto"/>
                <w:left w:val="none" w:sz="0" w:space="0" w:color="auto"/>
                <w:bottom w:val="none" w:sz="0" w:space="0" w:color="auto"/>
                <w:right w:val="none" w:sz="0" w:space="0" w:color="auto"/>
              </w:divBdr>
            </w:div>
            <w:div w:id="1962958839">
              <w:marLeft w:val="0"/>
              <w:marRight w:val="0"/>
              <w:marTop w:val="0"/>
              <w:marBottom w:val="0"/>
              <w:divBdr>
                <w:top w:val="none" w:sz="0" w:space="0" w:color="auto"/>
                <w:left w:val="none" w:sz="0" w:space="0" w:color="auto"/>
                <w:bottom w:val="none" w:sz="0" w:space="0" w:color="auto"/>
                <w:right w:val="none" w:sz="0" w:space="0" w:color="auto"/>
              </w:divBdr>
            </w:div>
            <w:div w:id="212634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850924">
      <w:bodyDiv w:val="1"/>
      <w:marLeft w:val="0"/>
      <w:marRight w:val="0"/>
      <w:marTop w:val="0"/>
      <w:marBottom w:val="0"/>
      <w:divBdr>
        <w:top w:val="none" w:sz="0" w:space="0" w:color="auto"/>
        <w:left w:val="none" w:sz="0" w:space="0" w:color="auto"/>
        <w:bottom w:val="none" w:sz="0" w:space="0" w:color="auto"/>
        <w:right w:val="none" w:sz="0" w:space="0" w:color="auto"/>
      </w:divBdr>
    </w:div>
    <w:div w:id="939336519">
      <w:bodyDiv w:val="1"/>
      <w:marLeft w:val="0"/>
      <w:marRight w:val="0"/>
      <w:marTop w:val="0"/>
      <w:marBottom w:val="0"/>
      <w:divBdr>
        <w:top w:val="none" w:sz="0" w:space="0" w:color="auto"/>
        <w:left w:val="none" w:sz="0" w:space="0" w:color="auto"/>
        <w:bottom w:val="none" w:sz="0" w:space="0" w:color="auto"/>
        <w:right w:val="none" w:sz="0" w:space="0" w:color="auto"/>
      </w:divBdr>
    </w:div>
    <w:div w:id="939724694">
      <w:bodyDiv w:val="1"/>
      <w:marLeft w:val="0"/>
      <w:marRight w:val="0"/>
      <w:marTop w:val="0"/>
      <w:marBottom w:val="0"/>
      <w:divBdr>
        <w:top w:val="none" w:sz="0" w:space="0" w:color="auto"/>
        <w:left w:val="none" w:sz="0" w:space="0" w:color="auto"/>
        <w:bottom w:val="none" w:sz="0" w:space="0" w:color="auto"/>
        <w:right w:val="none" w:sz="0" w:space="0" w:color="auto"/>
      </w:divBdr>
    </w:div>
    <w:div w:id="961497553">
      <w:bodyDiv w:val="1"/>
      <w:marLeft w:val="0"/>
      <w:marRight w:val="0"/>
      <w:marTop w:val="0"/>
      <w:marBottom w:val="0"/>
      <w:divBdr>
        <w:top w:val="none" w:sz="0" w:space="0" w:color="auto"/>
        <w:left w:val="none" w:sz="0" w:space="0" w:color="auto"/>
        <w:bottom w:val="none" w:sz="0" w:space="0" w:color="auto"/>
        <w:right w:val="none" w:sz="0" w:space="0" w:color="auto"/>
      </w:divBdr>
      <w:divsChild>
        <w:div w:id="53546207">
          <w:marLeft w:val="0"/>
          <w:marRight w:val="0"/>
          <w:marTop w:val="0"/>
          <w:marBottom w:val="0"/>
          <w:divBdr>
            <w:top w:val="none" w:sz="0" w:space="0" w:color="auto"/>
            <w:left w:val="none" w:sz="0" w:space="0" w:color="auto"/>
            <w:bottom w:val="none" w:sz="0" w:space="0" w:color="auto"/>
            <w:right w:val="none" w:sz="0" w:space="0" w:color="auto"/>
          </w:divBdr>
        </w:div>
        <w:div w:id="210577740">
          <w:marLeft w:val="0"/>
          <w:marRight w:val="0"/>
          <w:marTop w:val="0"/>
          <w:marBottom w:val="0"/>
          <w:divBdr>
            <w:top w:val="none" w:sz="0" w:space="0" w:color="auto"/>
            <w:left w:val="none" w:sz="0" w:space="0" w:color="auto"/>
            <w:bottom w:val="none" w:sz="0" w:space="0" w:color="auto"/>
            <w:right w:val="none" w:sz="0" w:space="0" w:color="auto"/>
          </w:divBdr>
        </w:div>
        <w:div w:id="327177451">
          <w:marLeft w:val="0"/>
          <w:marRight w:val="0"/>
          <w:marTop w:val="0"/>
          <w:marBottom w:val="0"/>
          <w:divBdr>
            <w:top w:val="none" w:sz="0" w:space="0" w:color="auto"/>
            <w:left w:val="none" w:sz="0" w:space="0" w:color="auto"/>
            <w:bottom w:val="none" w:sz="0" w:space="0" w:color="auto"/>
            <w:right w:val="none" w:sz="0" w:space="0" w:color="auto"/>
          </w:divBdr>
        </w:div>
        <w:div w:id="1080953798">
          <w:marLeft w:val="0"/>
          <w:marRight w:val="0"/>
          <w:marTop w:val="0"/>
          <w:marBottom w:val="0"/>
          <w:divBdr>
            <w:top w:val="none" w:sz="0" w:space="0" w:color="auto"/>
            <w:left w:val="none" w:sz="0" w:space="0" w:color="auto"/>
            <w:bottom w:val="none" w:sz="0" w:space="0" w:color="auto"/>
            <w:right w:val="none" w:sz="0" w:space="0" w:color="auto"/>
          </w:divBdr>
        </w:div>
        <w:div w:id="1528564151">
          <w:marLeft w:val="0"/>
          <w:marRight w:val="0"/>
          <w:marTop w:val="0"/>
          <w:marBottom w:val="0"/>
          <w:divBdr>
            <w:top w:val="none" w:sz="0" w:space="0" w:color="auto"/>
            <w:left w:val="none" w:sz="0" w:space="0" w:color="auto"/>
            <w:bottom w:val="none" w:sz="0" w:space="0" w:color="auto"/>
            <w:right w:val="none" w:sz="0" w:space="0" w:color="auto"/>
          </w:divBdr>
        </w:div>
      </w:divsChild>
    </w:div>
    <w:div w:id="986668580">
      <w:bodyDiv w:val="1"/>
      <w:marLeft w:val="0"/>
      <w:marRight w:val="0"/>
      <w:marTop w:val="0"/>
      <w:marBottom w:val="0"/>
      <w:divBdr>
        <w:top w:val="none" w:sz="0" w:space="0" w:color="auto"/>
        <w:left w:val="none" w:sz="0" w:space="0" w:color="auto"/>
        <w:bottom w:val="none" w:sz="0" w:space="0" w:color="auto"/>
        <w:right w:val="none" w:sz="0" w:space="0" w:color="auto"/>
      </w:divBdr>
    </w:div>
    <w:div w:id="991101454">
      <w:bodyDiv w:val="1"/>
      <w:marLeft w:val="0"/>
      <w:marRight w:val="0"/>
      <w:marTop w:val="0"/>
      <w:marBottom w:val="0"/>
      <w:divBdr>
        <w:top w:val="none" w:sz="0" w:space="0" w:color="auto"/>
        <w:left w:val="none" w:sz="0" w:space="0" w:color="auto"/>
        <w:bottom w:val="none" w:sz="0" w:space="0" w:color="auto"/>
        <w:right w:val="none" w:sz="0" w:space="0" w:color="auto"/>
      </w:divBdr>
    </w:div>
    <w:div w:id="1003971699">
      <w:bodyDiv w:val="1"/>
      <w:marLeft w:val="0"/>
      <w:marRight w:val="0"/>
      <w:marTop w:val="0"/>
      <w:marBottom w:val="0"/>
      <w:divBdr>
        <w:top w:val="none" w:sz="0" w:space="0" w:color="auto"/>
        <w:left w:val="none" w:sz="0" w:space="0" w:color="auto"/>
        <w:bottom w:val="none" w:sz="0" w:space="0" w:color="auto"/>
        <w:right w:val="none" w:sz="0" w:space="0" w:color="auto"/>
      </w:divBdr>
    </w:div>
    <w:div w:id="1064185645">
      <w:bodyDiv w:val="1"/>
      <w:marLeft w:val="0"/>
      <w:marRight w:val="0"/>
      <w:marTop w:val="0"/>
      <w:marBottom w:val="0"/>
      <w:divBdr>
        <w:top w:val="none" w:sz="0" w:space="0" w:color="auto"/>
        <w:left w:val="none" w:sz="0" w:space="0" w:color="auto"/>
        <w:bottom w:val="none" w:sz="0" w:space="0" w:color="auto"/>
        <w:right w:val="none" w:sz="0" w:space="0" w:color="auto"/>
      </w:divBdr>
    </w:div>
    <w:div w:id="1113326527">
      <w:bodyDiv w:val="1"/>
      <w:marLeft w:val="0"/>
      <w:marRight w:val="0"/>
      <w:marTop w:val="0"/>
      <w:marBottom w:val="0"/>
      <w:divBdr>
        <w:top w:val="none" w:sz="0" w:space="0" w:color="auto"/>
        <w:left w:val="none" w:sz="0" w:space="0" w:color="auto"/>
        <w:bottom w:val="none" w:sz="0" w:space="0" w:color="auto"/>
        <w:right w:val="none" w:sz="0" w:space="0" w:color="auto"/>
      </w:divBdr>
      <w:divsChild>
        <w:div w:id="1463110706">
          <w:marLeft w:val="0"/>
          <w:marRight w:val="0"/>
          <w:marTop w:val="0"/>
          <w:marBottom w:val="0"/>
          <w:divBdr>
            <w:top w:val="none" w:sz="0" w:space="0" w:color="auto"/>
            <w:left w:val="none" w:sz="0" w:space="0" w:color="auto"/>
            <w:bottom w:val="none" w:sz="0" w:space="0" w:color="auto"/>
            <w:right w:val="none" w:sz="0" w:space="0" w:color="auto"/>
          </w:divBdr>
          <w:divsChild>
            <w:div w:id="1334258319">
              <w:marLeft w:val="0"/>
              <w:marRight w:val="0"/>
              <w:marTop w:val="0"/>
              <w:marBottom w:val="0"/>
              <w:divBdr>
                <w:top w:val="none" w:sz="0" w:space="0" w:color="auto"/>
                <w:left w:val="none" w:sz="0" w:space="0" w:color="auto"/>
                <w:bottom w:val="none" w:sz="0" w:space="0" w:color="auto"/>
                <w:right w:val="none" w:sz="0" w:space="0" w:color="auto"/>
              </w:divBdr>
            </w:div>
          </w:divsChild>
        </w:div>
        <w:div w:id="2042513286">
          <w:marLeft w:val="0"/>
          <w:marRight w:val="0"/>
          <w:marTop w:val="0"/>
          <w:marBottom w:val="0"/>
          <w:divBdr>
            <w:top w:val="none" w:sz="0" w:space="0" w:color="auto"/>
            <w:left w:val="none" w:sz="0" w:space="0" w:color="auto"/>
            <w:bottom w:val="none" w:sz="0" w:space="0" w:color="auto"/>
            <w:right w:val="none" w:sz="0" w:space="0" w:color="auto"/>
          </w:divBdr>
          <w:divsChild>
            <w:div w:id="1654944781">
              <w:marLeft w:val="0"/>
              <w:marRight w:val="0"/>
              <w:marTop w:val="0"/>
              <w:marBottom w:val="0"/>
              <w:divBdr>
                <w:top w:val="none" w:sz="0" w:space="0" w:color="auto"/>
                <w:left w:val="none" w:sz="0" w:space="0" w:color="auto"/>
                <w:bottom w:val="none" w:sz="0" w:space="0" w:color="auto"/>
                <w:right w:val="none" w:sz="0" w:space="0" w:color="auto"/>
              </w:divBdr>
            </w:div>
            <w:div w:id="191693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517335">
      <w:bodyDiv w:val="1"/>
      <w:marLeft w:val="0"/>
      <w:marRight w:val="0"/>
      <w:marTop w:val="0"/>
      <w:marBottom w:val="0"/>
      <w:divBdr>
        <w:top w:val="none" w:sz="0" w:space="0" w:color="auto"/>
        <w:left w:val="none" w:sz="0" w:space="0" w:color="auto"/>
        <w:bottom w:val="none" w:sz="0" w:space="0" w:color="auto"/>
        <w:right w:val="none" w:sz="0" w:space="0" w:color="auto"/>
      </w:divBdr>
      <w:divsChild>
        <w:div w:id="257832132">
          <w:marLeft w:val="0"/>
          <w:marRight w:val="0"/>
          <w:marTop w:val="0"/>
          <w:marBottom w:val="0"/>
          <w:divBdr>
            <w:top w:val="none" w:sz="0" w:space="0" w:color="auto"/>
            <w:left w:val="none" w:sz="0" w:space="0" w:color="auto"/>
            <w:bottom w:val="none" w:sz="0" w:space="0" w:color="auto"/>
            <w:right w:val="none" w:sz="0" w:space="0" w:color="auto"/>
          </w:divBdr>
        </w:div>
        <w:div w:id="544030876">
          <w:marLeft w:val="0"/>
          <w:marRight w:val="0"/>
          <w:marTop w:val="0"/>
          <w:marBottom w:val="0"/>
          <w:divBdr>
            <w:top w:val="none" w:sz="0" w:space="0" w:color="auto"/>
            <w:left w:val="none" w:sz="0" w:space="0" w:color="auto"/>
            <w:bottom w:val="none" w:sz="0" w:space="0" w:color="auto"/>
            <w:right w:val="none" w:sz="0" w:space="0" w:color="auto"/>
          </w:divBdr>
        </w:div>
        <w:div w:id="1131485691">
          <w:marLeft w:val="0"/>
          <w:marRight w:val="0"/>
          <w:marTop w:val="0"/>
          <w:marBottom w:val="0"/>
          <w:divBdr>
            <w:top w:val="none" w:sz="0" w:space="0" w:color="auto"/>
            <w:left w:val="none" w:sz="0" w:space="0" w:color="auto"/>
            <w:bottom w:val="none" w:sz="0" w:space="0" w:color="auto"/>
            <w:right w:val="none" w:sz="0" w:space="0" w:color="auto"/>
          </w:divBdr>
        </w:div>
        <w:div w:id="1556968806">
          <w:marLeft w:val="0"/>
          <w:marRight w:val="0"/>
          <w:marTop w:val="0"/>
          <w:marBottom w:val="0"/>
          <w:divBdr>
            <w:top w:val="none" w:sz="0" w:space="0" w:color="auto"/>
            <w:left w:val="none" w:sz="0" w:space="0" w:color="auto"/>
            <w:bottom w:val="none" w:sz="0" w:space="0" w:color="auto"/>
            <w:right w:val="none" w:sz="0" w:space="0" w:color="auto"/>
          </w:divBdr>
        </w:div>
        <w:div w:id="1568875760">
          <w:marLeft w:val="0"/>
          <w:marRight w:val="0"/>
          <w:marTop w:val="0"/>
          <w:marBottom w:val="0"/>
          <w:divBdr>
            <w:top w:val="none" w:sz="0" w:space="0" w:color="auto"/>
            <w:left w:val="none" w:sz="0" w:space="0" w:color="auto"/>
            <w:bottom w:val="none" w:sz="0" w:space="0" w:color="auto"/>
            <w:right w:val="none" w:sz="0" w:space="0" w:color="auto"/>
          </w:divBdr>
        </w:div>
        <w:div w:id="1774745314">
          <w:marLeft w:val="0"/>
          <w:marRight w:val="0"/>
          <w:marTop w:val="0"/>
          <w:marBottom w:val="0"/>
          <w:divBdr>
            <w:top w:val="none" w:sz="0" w:space="0" w:color="auto"/>
            <w:left w:val="none" w:sz="0" w:space="0" w:color="auto"/>
            <w:bottom w:val="none" w:sz="0" w:space="0" w:color="auto"/>
            <w:right w:val="none" w:sz="0" w:space="0" w:color="auto"/>
          </w:divBdr>
        </w:div>
        <w:div w:id="1893689210">
          <w:marLeft w:val="0"/>
          <w:marRight w:val="0"/>
          <w:marTop w:val="0"/>
          <w:marBottom w:val="0"/>
          <w:divBdr>
            <w:top w:val="none" w:sz="0" w:space="0" w:color="auto"/>
            <w:left w:val="none" w:sz="0" w:space="0" w:color="auto"/>
            <w:bottom w:val="none" w:sz="0" w:space="0" w:color="auto"/>
            <w:right w:val="none" w:sz="0" w:space="0" w:color="auto"/>
          </w:divBdr>
        </w:div>
      </w:divsChild>
    </w:div>
    <w:div w:id="1165709878">
      <w:bodyDiv w:val="1"/>
      <w:marLeft w:val="0"/>
      <w:marRight w:val="0"/>
      <w:marTop w:val="0"/>
      <w:marBottom w:val="0"/>
      <w:divBdr>
        <w:top w:val="none" w:sz="0" w:space="0" w:color="auto"/>
        <w:left w:val="none" w:sz="0" w:space="0" w:color="auto"/>
        <w:bottom w:val="none" w:sz="0" w:space="0" w:color="auto"/>
        <w:right w:val="none" w:sz="0" w:space="0" w:color="auto"/>
      </w:divBdr>
    </w:div>
    <w:div w:id="1179153748">
      <w:bodyDiv w:val="1"/>
      <w:marLeft w:val="0"/>
      <w:marRight w:val="0"/>
      <w:marTop w:val="0"/>
      <w:marBottom w:val="0"/>
      <w:divBdr>
        <w:top w:val="none" w:sz="0" w:space="0" w:color="auto"/>
        <w:left w:val="none" w:sz="0" w:space="0" w:color="auto"/>
        <w:bottom w:val="none" w:sz="0" w:space="0" w:color="auto"/>
        <w:right w:val="none" w:sz="0" w:space="0" w:color="auto"/>
      </w:divBdr>
      <w:divsChild>
        <w:div w:id="961885843">
          <w:marLeft w:val="0"/>
          <w:marRight w:val="0"/>
          <w:marTop w:val="0"/>
          <w:marBottom w:val="0"/>
          <w:divBdr>
            <w:top w:val="none" w:sz="0" w:space="0" w:color="auto"/>
            <w:left w:val="none" w:sz="0" w:space="0" w:color="auto"/>
            <w:bottom w:val="none" w:sz="0" w:space="0" w:color="auto"/>
            <w:right w:val="none" w:sz="0" w:space="0" w:color="auto"/>
          </w:divBdr>
          <w:divsChild>
            <w:div w:id="1893539283">
              <w:marLeft w:val="0"/>
              <w:marRight w:val="0"/>
              <w:marTop w:val="0"/>
              <w:marBottom w:val="0"/>
              <w:divBdr>
                <w:top w:val="none" w:sz="0" w:space="0" w:color="auto"/>
                <w:left w:val="none" w:sz="0" w:space="0" w:color="auto"/>
                <w:bottom w:val="none" w:sz="0" w:space="0" w:color="auto"/>
                <w:right w:val="none" w:sz="0" w:space="0" w:color="auto"/>
              </w:divBdr>
            </w:div>
          </w:divsChild>
        </w:div>
        <w:div w:id="1497111243">
          <w:marLeft w:val="0"/>
          <w:marRight w:val="0"/>
          <w:marTop w:val="0"/>
          <w:marBottom w:val="0"/>
          <w:divBdr>
            <w:top w:val="none" w:sz="0" w:space="0" w:color="auto"/>
            <w:left w:val="none" w:sz="0" w:space="0" w:color="auto"/>
            <w:bottom w:val="none" w:sz="0" w:space="0" w:color="auto"/>
            <w:right w:val="none" w:sz="0" w:space="0" w:color="auto"/>
          </w:divBdr>
          <w:divsChild>
            <w:div w:id="1239249226">
              <w:marLeft w:val="0"/>
              <w:marRight w:val="0"/>
              <w:marTop w:val="0"/>
              <w:marBottom w:val="0"/>
              <w:divBdr>
                <w:top w:val="none" w:sz="0" w:space="0" w:color="auto"/>
                <w:left w:val="none" w:sz="0" w:space="0" w:color="auto"/>
                <w:bottom w:val="none" w:sz="0" w:space="0" w:color="auto"/>
                <w:right w:val="none" w:sz="0" w:space="0" w:color="auto"/>
              </w:divBdr>
            </w:div>
            <w:div w:id="208020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971432">
      <w:bodyDiv w:val="1"/>
      <w:marLeft w:val="0"/>
      <w:marRight w:val="0"/>
      <w:marTop w:val="0"/>
      <w:marBottom w:val="0"/>
      <w:divBdr>
        <w:top w:val="none" w:sz="0" w:space="0" w:color="auto"/>
        <w:left w:val="none" w:sz="0" w:space="0" w:color="auto"/>
        <w:bottom w:val="none" w:sz="0" w:space="0" w:color="auto"/>
        <w:right w:val="none" w:sz="0" w:space="0" w:color="auto"/>
      </w:divBdr>
    </w:div>
    <w:div w:id="1358851918">
      <w:bodyDiv w:val="1"/>
      <w:marLeft w:val="0"/>
      <w:marRight w:val="0"/>
      <w:marTop w:val="0"/>
      <w:marBottom w:val="0"/>
      <w:divBdr>
        <w:top w:val="none" w:sz="0" w:space="0" w:color="auto"/>
        <w:left w:val="none" w:sz="0" w:space="0" w:color="auto"/>
        <w:bottom w:val="none" w:sz="0" w:space="0" w:color="auto"/>
        <w:right w:val="none" w:sz="0" w:space="0" w:color="auto"/>
      </w:divBdr>
      <w:divsChild>
        <w:div w:id="1312637602">
          <w:marLeft w:val="0"/>
          <w:marRight w:val="0"/>
          <w:marTop w:val="0"/>
          <w:marBottom w:val="0"/>
          <w:divBdr>
            <w:top w:val="none" w:sz="0" w:space="0" w:color="auto"/>
            <w:left w:val="none" w:sz="0" w:space="0" w:color="auto"/>
            <w:bottom w:val="none" w:sz="0" w:space="0" w:color="auto"/>
            <w:right w:val="none" w:sz="0" w:space="0" w:color="auto"/>
          </w:divBdr>
        </w:div>
        <w:div w:id="1961762924">
          <w:marLeft w:val="0"/>
          <w:marRight w:val="0"/>
          <w:marTop w:val="0"/>
          <w:marBottom w:val="0"/>
          <w:divBdr>
            <w:top w:val="none" w:sz="0" w:space="0" w:color="auto"/>
            <w:left w:val="none" w:sz="0" w:space="0" w:color="auto"/>
            <w:bottom w:val="none" w:sz="0" w:space="0" w:color="auto"/>
            <w:right w:val="none" w:sz="0" w:space="0" w:color="auto"/>
          </w:divBdr>
        </w:div>
      </w:divsChild>
    </w:div>
    <w:div w:id="1463615566">
      <w:bodyDiv w:val="1"/>
      <w:marLeft w:val="0"/>
      <w:marRight w:val="0"/>
      <w:marTop w:val="0"/>
      <w:marBottom w:val="0"/>
      <w:divBdr>
        <w:top w:val="none" w:sz="0" w:space="0" w:color="auto"/>
        <w:left w:val="none" w:sz="0" w:space="0" w:color="auto"/>
        <w:bottom w:val="none" w:sz="0" w:space="0" w:color="auto"/>
        <w:right w:val="none" w:sz="0" w:space="0" w:color="auto"/>
      </w:divBdr>
    </w:div>
    <w:div w:id="1561986371">
      <w:bodyDiv w:val="1"/>
      <w:marLeft w:val="0"/>
      <w:marRight w:val="0"/>
      <w:marTop w:val="0"/>
      <w:marBottom w:val="0"/>
      <w:divBdr>
        <w:top w:val="none" w:sz="0" w:space="0" w:color="auto"/>
        <w:left w:val="none" w:sz="0" w:space="0" w:color="auto"/>
        <w:bottom w:val="none" w:sz="0" w:space="0" w:color="auto"/>
        <w:right w:val="none" w:sz="0" w:space="0" w:color="auto"/>
      </w:divBdr>
      <w:divsChild>
        <w:div w:id="246962889">
          <w:marLeft w:val="0"/>
          <w:marRight w:val="0"/>
          <w:marTop w:val="0"/>
          <w:marBottom w:val="0"/>
          <w:divBdr>
            <w:top w:val="none" w:sz="0" w:space="0" w:color="auto"/>
            <w:left w:val="none" w:sz="0" w:space="0" w:color="auto"/>
            <w:bottom w:val="none" w:sz="0" w:space="0" w:color="auto"/>
            <w:right w:val="none" w:sz="0" w:space="0" w:color="auto"/>
          </w:divBdr>
          <w:divsChild>
            <w:div w:id="65416930">
              <w:marLeft w:val="0"/>
              <w:marRight w:val="0"/>
              <w:marTop w:val="0"/>
              <w:marBottom w:val="0"/>
              <w:divBdr>
                <w:top w:val="none" w:sz="0" w:space="0" w:color="auto"/>
                <w:left w:val="none" w:sz="0" w:space="0" w:color="auto"/>
                <w:bottom w:val="none" w:sz="0" w:space="0" w:color="auto"/>
                <w:right w:val="none" w:sz="0" w:space="0" w:color="auto"/>
              </w:divBdr>
            </w:div>
            <w:div w:id="159542386">
              <w:marLeft w:val="0"/>
              <w:marRight w:val="0"/>
              <w:marTop w:val="0"/>
              <w:marBottom w:val="0"/>
              <w:divBdr>
                <w:top w:val="none" w:sz="0" w:space="0" w:color="auto"/>
                <w:left w:val="none" w:sz="0" w:space="0" w:color="auto"/>
                <w:bottom w:val="none" w:sz="0" w:space="0" w:color="auto"/>
                <w:right w:val="none" w:sz="0" w:space="0" w:color="auto"/>
              </w:divBdr>
            </w:div>
            <w:div w:id="461458968">
              <w:marLeft w:val="0"/>
              <w:marRight w:val="0"/>
              <w:marTop w:val="0"/>
              <w:marBottom w:val="0"/>
              <w:divBdr>
                <w:top w:val="none" w:sz="0" w:space="0" w:color="auto"/>
                <w:left w:val="none" w:sz="0" w:space="0" w:color="auto"/>
                <w:bottom w:val="none" w:sz="0" w:space="0" w:color="auto"/>
                <w:right w:val="none" w:sz="0" w:space="0" w:color="auto"/>
              </w:divBdr>
            </w:div>
            <w:div w:id="491875998">
              <w:marLeft w:val="0"/>
              <w:marRight w:val="0"/>
              <w:marTop w:val="0"/>
              <w:marBottom w:val="0"/>
              <w:divBdr>
                <w:top w:val="none" w:sz="0" w:space="0" w:color="auto"/>
                <w:left w:val="none" w:sz="0" w:space="0" w:color="auto"/>
                <w:bottom w:val="none" w:sz="0" w:space="0" w:color="auto"/>
                <w:right w:val="none" w:sz="0" w:space="0" w:color="auto"/>
              </w:divBdr>
            </w:div>
            <w:div w:id="718287133">
              <w:marLeft w:val="0"/>
              <w:marRight w:val="0"/>
              <w:marTop w:val="0"/>
              <w:marBottom w:val="0"/>
              <w:divBdr>
                <w:top w:val="none" w:sz="0" w:space="0" w:color="auto"/>
                <w:left w:val="none" w:sz="0" w:space="0" w:color="auto"/>
                <w:bottom w:val="none" w:sz="0" w:space="0" w:color="auto"/>
                <w:right w:val="none" w:sz="0" w:space="0" w:color="auto"/>
              </w:divBdr>
            </w:div>
            <w:div w:id="719594167">
              <w:marLeft w:val="0"/>
              <w:marRight w:val="0"/>
              <w:marTop w:val="0"/>
              <w:marBottom w:val="0"/>
              <w:divBdr>
                <w:top w:val="none" w:sz="0" w:space="0" w:color="auto"/>
                <w:left w:val="none" w:sz="0" w:space="0" w:color="auto"/>
                <w:bottom w:val="none" w:sz="0" w:space="0" w:color="auto"/>
                <w:right w:val="none" w:sz="0" w:space="0" w:color="auto"/>
              </w:divBdr>
            </w:div>
            <w:div w:id="1078942363">
              <w:marLeft w:val="0"/>
              <w:marRight w:val="0"/>
              <w:marTop w:val="0"/>
              <w:marBottom w:val="0"/>
              <w:divBdr>
                <w:top w:val="none" w:sz="0" w:space="0" w:color="auto"/>
                <w:left w:val="none" w:sz="0" w:space="0" w:color="auto"/>
                <w:bottom w:val="none" w:sz="0" w:space="0" w:color="auto"/>
                <w:right w:val="none" w:sz="0" w:space="0" w:color="auto"/>
              </w:divBdr>
            </w:div>
            <w:div w:id="1369836750">
              <w:marLeft w:val="0"/>
              <w:marRight w:val="0"/>
              <w:marTop w:val="0"/>
              <w:marBottom w:val="0"/>
              <w:divBdr>
                <w:top w:val="none" w:sz="0" w:space="0" w:color="auto"/>
                <w:left w:val="none" w:sz="0" w:space="0" w:color="auto"/>
                <w:bottom w:val="none" w:sz="0" w:space="0" w:color="auto"/>
                <w:right w:val="none" w:sz="0" w:space="0" w:color="auto"/>
              </w:divBdr>
            </w:div>
            <w:div w:id="1437290595">
              <w:marLeft w:val="0"/>
              <w:marRight w:val="0"/>
              <w:marTop w:val="0"/>
              <w:marBottom w:val="0"/>
              <w:divBdr>
                <w:top w:val="none" w:sz="0" w:space="0" w:color="auto"/>
                <w:left w:val="none" w:sz="0" w:space="0" w:color="auto"/>
                <w:bottom w:val="none" w:sz="0" w:space="0" w:color="auto"/>
                <w:right w:val="none" w:sz="0" w:space="0" w:color="auto"/>
              </w:divBdr>
            </w:div>
            <w:div w:id="1775327078">
              <w:marLeft w:val="0"/>
              <w:marRight w:val="0"/>
              <w:marTop w:val="0"/>
              <w:marBottom w:val="0"/>
              <w:divBdr>
                <w:top w:val="none" w:sz="0" w:space="0" w:color="auto"/>
                <w:left w:val="none" w:sz="0" w:space="0" w:color="auto"/>
                <w:bottom w:val="none" w:sz="0" w:space="0" w:color="auto"/>
                <w:right w:val="none" w:sz="0" w:space="0" w:color="auto"/>
              </w:divBdr>
            </w:div>
          </w:divsChild>
        </w:div>
        <w:div w:id="895549883">
          <w:marLeft w:val="0"/>
          <w:marRight w:val="0"/>
          <w:marTop w:val="0"/>
          <w:marBottom w:val="0"/>
          <w:divBdr>
            <w:top w:val="none" w:sz="0" w:space="0" w:color="auto"/>
            <w:left w:val="none" w:sz="0" w:space="0" w:color="auto"/>
            <w:bottom w:val="none" w:sz="0" w:space="0" w:color="auto"/>
            <w:right w:val="none" w:sz="0" w:space="0" w:color="auto"/>
          </w:divBdr>
          <w:divsChild>
            <w:div w:id="437987899">
              <w:marLeft w:val="0"/>
              <w:marRight w:val="0"/>
              <w:marTop w:val="0"/>
              <w:marBottom w:val="0"/>
              <w:divBdr>
                <w:top w:val="none" w:sz="0" w:space="0" w:color="auto"/>
                <w:left w:val="none" w:sz="0" w:space="0" w:color="auto"/>
                <w:bottom w:val="none" w:sz="0" w:space="0" w:color="auto"/>
                <w:right w:val="none" w:sz="0" w:space="0" w:color="auto"/>
              </w:divBdr>
            </w:div>
            <w:div w:id="644626754">
              <w:marLeft w:val="0"/>
              <w:marRight w:val="0"/>
              <w:marTop w:val="0"/>
              <w:marBottom w:val="0"/>
              <w:divBdr>
                <w:top w:val="none" w:sz="0" w:space="0" w:color="auto"/>
                <w:left w:val="none" w:sz="0" w:space="0" w:color="auto"/>
                <w:bottom w:val="none" w:sz="0" w:space="0" w:color="auto"/>
                <w:right w:val="none" w:sz="0" w:space="0" w:color="auto"/>
              </w:divBdr>
            </w:div>
            <w:div w:id="966159030">
              <w:marLeft w:val="0"/>
              <w:marRight w:val="0"/>
              <w:marTop w:val="0"/>
              <w:marBottom w:val="0"/>
              <w:divBdr>
                <w:top w:val="none" w:sz="0" w:space="0" w:color="auto"/>
                <w:left w:val="none" w:sz="0" w:space="0" w:color="auto"/>
                <w:bottom w:val="none" w:sz="0" w:space="0" w:color="auto"/>
                <w:right w:val="none" w:sz="0" w:space="0" w:color="auto"/>
              </w:divBdr>
            </w:div>
            <w:div w:id="1180046419">
              <w:marLeft w:val="0"/>
              <w:marRight w:val="0"/>
              <w:marTop w:val="0"/>
              <w:marBottom w:val="0"/>
              <w:divBdr>
                <w:top w:val="none" w:sz="0" w:space="0" w:color="auto"/>
                <w:left w:val="none" w:sz="0" w:space="0" w:color="auto"/>
                <w:bottom w:val="none" w:sz="0" w:space="0" w:color="auto"/>
                <w:right w:val="none" w:sz="0" w:space="0" w:color="auto"/>
              </w:divBdr>
            </w:div>
            <w:div w:id="1495487266">
              <w:marLeft w:val="0"/>
              <w:marRight w:val="0"/>
              <w:marTop w:val="0"/>
              <w:marBottom w:val="0"/>
              <w:divBdr>
                <w:top w:val="none" w:sz="0" w:space="0" w:color="auto"/>
                <w:left w:val="none" w:sz="0" w:space="0" w:color="auto"/>
                <w:bottom w:val="none" w:sz="0" w:space="0" w:color="auto"/>
                <w:right w:val="none" w:sz="0" w:space="0" w:color="auto"/>
              </w:divBdr>
            </w:div>
            <w:div w:id="162977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794796">
      <w:bodyDiv w:val="1"/>
      <w:marLeft w:val="0"/>
      <w:marRight w:val="0"/>
      <w:marTop w:val="0"/>
      <w:marBottom w:val="0"/>
      <w:divBdr>
        <w:top w:val="none" w:sz="0" w:space="0" w:color="auto"/>
        <w:left w:val="none" w:sz="0" w:space="0" w:color="auto"/>
        <w:bottom w:val="none" w:sz="0" w:space="0" w:color="auto"/>
        <w:right w:val="none" w:sz="0" w:space="0" w:color="auto"/>
      </w:divBdr>
      <w:divsChild>
        <w:div w:id="707335372">
          <w:marLeft w:val="0"/>
          <w:marRight w:val="0"/>
          <w:marTop w:val="0"/>
          <w:marBottom w:val="0"/>
          <w:divBdr>
            <w:top w:val="none" w:sz="0" w:space="0" w:color="auto"/>
            <w:left w:val="none" w:sz="0" w:space="0" w:color="auto"/>
            <w:bottom w:val="none" w:sz="0" w:space="0" w:color="auto"/>
            <w:right w:val="none" w:sz="0" w:space="0" w:color="auto"/>
          </w:divBdr>
          <w:divsChild>
            <w:div w:id="13270954">
              <w:marLeft w:val="0"/>
              <w:marRight w:val="0"/>
              <w:marTop w:val="0"/>
              <w:marBottom w:val="0"/>
              <w:divBdr>
                <w:top w:val="none" w:sz="0" w:space="0" w:color="auto"/>
                <w:left w:val="none" w:sz="0" w:space="0" w:color="auto"/>
                <w:bottom w:val="none" w:sz="0" w:space="0" w:color="auto"/>
                <w:right w:val="none" w:sz="0" w:space="0" w:color="auto"/>
              </w:divBdr>
            </w:div>
            <w:div w:id="146634169">
              <w:marLeft w:val="0"/>
              <w:marRight w:val="0"/>
              <w:marTop w:val="0"/>
              <w:marBottom w:val="0"/>
              <w:divBdr>
                <w:top w:val="none" w:sz="0" w:space="0" w:color="auto"/>
                <w:left w:val="none" w:sz="0" w:space="0" w:color="auto"/>
                <w:bottom w:val="none" w:sz="0" w:space="0" w:color="auto"/>
                <w:right w:val="none" w:sz="0" w:space="0" w:color="auto"/>
              </w:divBdr>
            </w:div>
            <w:div w:id="312370036">
              <w:marLeft w:val="0"/>
              <w:marRight w:val="0"/>
              <w:marTop w:val="0"/>
              <w:marBottom w:val="0"/>
              <w:divBdr>
                <w:top w:val="none" w:sz="0" w:space="0" w:color="auto"/>
                <w:left w:val="none" w:sz="0" w:space="0" w:color="auto"/>
                <w:bottom w:val="none" w:sz="0" w:space="0" w:color="auto"/>
                <w:right w:val="none" w:sz="0" w:space="0" w:color="auto"/>
              </w:divBdr>
            </w:div>
            <w:div w:id="365524019">
              <w:marLeft w:val="0"/>
              <w:marRight w:val="0"/>
              <w:marTop w:val="0"/>
              <w:marBottom w:val="0"/>
              <w:divBdr>
                <w:top w:val="none" w:sz="0" w:space="0" w:color="auto"/>
                <w:left w:val="none" w:sz="0" w:space="0" w:color="auto"/>
                <w:bottom w:val="none" w:sz="0" w:space="0" w:color="auto"/>
                <w:right w:val="none" w:sz="0" w:space="0" w:color="auto"/>
              </w:divBdr>
            </w:div>
            <w:div w:id="589965632">
              <w:marLeft w:val="0"/>
              <w:marRight w:val="0"/>
              <w:marTop w:val="0"/>
              <w:marBottom w:val="0"/>
              <w:divBdr>
                <w:top w:val="none" w:sz="0" w:space="0" w:color="auto"/>
                <w:left w:val="none" w:sz="0" w:space="0" w:color="auto"/>
                <w:bottom w:val="none" w:sz="0" w:space="0" w:color="auto"/>
                <w:right w:val="none" w:sz="0" w:space="0" w:color="auto"/>
              </w:divBdr>
            </w:div>
            <w:div w:id="913860512">
              <w:marLeft w:val="0"/>
              <w:marRight w:val="0"/>
              <w:marTop w:val="0"/>
              <w:marBottom w:val="0"/>
              <w:divBdr>
                <w:top w:val="none" w:sz="0" w:space="0" w:color="auto"/>
                <w:left w:val="none" w:sz="0" w:space="0" w:color="auto"/>
                <w:bottom w:val="none" w:sz="0" w:space="0" w:color="auto"/>
                <w:right w:val="none" w:sz="0" w:space="0" w:color="auto"/>
              </w:divBdr>
            </w:div>
            <w:div w:id="1093165350">
              <w:marLeft w:val="0"/>
              <w:marRight w:val="0"/>
              <w:marTop w:val="0"/>
              <w:marBottom w:val="0"/>
              <w:divBdr>
                <w:top w:val="none" w:sz="0" w:space="0" w:color="auto"/>
                <w:left w:val="none" w:sz="0" w:space="0" w:color="auto"/>
                <w:bottom w:val="none" w:sz="0" w:space="0" w:color="auto"/>
                <w:right w:val="none" w:sz="0" w:space="0" w:color="auto"/>
              </w:divBdr>
            </w:div>
            <w:div w:id="1245072530">
              <w:marLeft w:val="0"/>
              <w:marRight w:val="0"/>
              <w:marTop w:val="0"/>
              <w:marBottom w:val="0"/>
              <w:divBdr>
                <w:top w:val="none" w:sz="0" w:space="0" w:color="auto"/>
                <w:left w:val="none" w:sz="0" w:space="0" w:color="auto"/>
                <w:bottom w:val="none" w:sz="0" w:space="0" w:color="auto"/>
                <w:right w:val="none" w:sz="0" w:space="0" w:color="auto"/>
              </w:divBdr>
            </w:div>
            <w:div w:id="1285884040">
              <w:marLeft w:val="0"/>
              <w:marRight w:val="0"/>
              <w:marTop w:val="0"/>
              <w:marBottom w:val="0"/>
              <w:divBdr>
                <w:top w:val="none" w:sz="0" w:space="0" w:color="auto"/>
                <w:left w:val="none" w:sz="0" w:space="0" w:color="auto"/>
                <w:bottom w:val="none" w:sz="0" w:space="0" w:color="auto"/>
                <w:right w:val="none" w:sz="0" w:space="0" w:color="auto"/>
              </w:divBdr>
            </w:div>
            <w:div w:id="1388576802">
              <w:marLeft w:val="0"/>
              <w:marRight w:val="0"/>
              <w:marTop w:val="0"/>
              <w:marBottom w:val="0"/>
              <w:divBdr>
                <w:top w:val="none" w:sz="0" w:space="0" w:color="auto"/>
                <w:left w:val="none" w:sz="0" w:space="0" w:color="auto"/>
                <w:bottom w:val="none" w:sz="0" w:space="0" w:color="auto"/>
                <w:right w:val="none" w:sz="0" w:space="0" w:color="auto"/>
              </w:divBdr>
            </w:div>
            <w:div w:id="1564953046">
              <w:marLeft w:val="0"/>
              <w:marRight w:val="0"/>
              <w:marTop w:val="0"/>
              <w:marBottom w:val="0"/>
              <w:divBdr>
                <w:top w:val="none" w:sz="0" w:space="0" w:color="auto"/>
                <w:left w:val="none" w:sz="0" w:space="0" w:color="auto"/>
                <w:bottom w:val="none" w:sz="0" w:space="0" w:color="auto"/>
                <w:right w:val="none" w:sz="0" w:space="0" w:color="auto"/>
              </w:divBdr>
            </w:div>
            <w:div w:id="2100176744">
              <w:marLeft w:val="0"/>
              <w:marRight w:val="0"/>
              <w:marTop w:val="0"/>
              <w:marBottom w:val="0"/>
              <w:divBdr>
                <w:top w:val="none" w:sz="0" w:space="0" w:color="auto"/>
                <w:left w:val="none" w:sz="0" w:space="0" w:color="auto"/>
                <w:bottom w:val="none" w:sz="0" w:space="0" w:color="auto"/>
                <w:right w:val="none" w:sz="0" w:space="0" w:color="auto"/>
              </w:divBdr>
            </w:div>
          </w:divsChild>
        </w:div>
        <w:div w:id="1407535317">
          <w:marLeft w:val="0"/>
          <w:marRight w:val="0"/>
          <w:marTop w:val="0"/>
          <w:marBottom w:val="0"/>
          <w:divBdr>
            <w:top w:val="none" w:sz="0" w:space="0" w:color="auto"/>
            <w:left w:val="none" w:sz="0" w:space="0" w:color="auto"/>
            <w:bottom w:val="none" w:sz="0" w:space="0" w:color="auto"/>
            <w:right w:val="none" w:sz="0" w:space="0" w:color="auto"/>
          </w:divBdr>
          <w:divsChild>
            <w:div w:id="69892117">
              <w:marLeft w:val="0"/>
              <w:marRight w:val="0"/>
              <w:marTop w:val="0"/>
              <w:marBottom w:val="0"/>
              <w:divBdr>
                <w:top w:val="none" w:sz="0" w:space="0" w:color="auto"/>
                <w:left w:val="none" w:sz="0" w:space="0" w:color="auto"/>
                <w:bottom w:val="none" w:sz="0" w:space="0" w:color="auto"/>
                <w:right w:val="none" w:sz="0" w:space="0" w:color="auto"/>
              </w:divBdr>
            </w:div>
            <w:div w:id="331642732">
              <w:marLeft w:val="0"/>
              <w:marRight w:val="0"/>
              <w:marTop w:val="0"/>
              <w:marBottom w:val="0"/>
              <w:divBdr>
                <w:top w:val="none" w:sz="0" w:space="0" w:color="auto"/>
                <w:left w:val="none" w:sz="0" w:space="0" w:color="auto"/>
                <w:bottom w:val="none" w:sz="0" w:space="0" w:color="auto"/>
                <w:right w:val="none" w:sz="0" w:space="0" w:color="auto"/>
              </w:divBdr>
            </w:div>
            <w:div w:id="333142698">
              <w:marLeft w:val="0"/>
              <w:marRight w:val="0"/>
              <w:marTop w:val="0"/>
              <w:marBottom w:val="0"/>
              <w:divBdr>
                <w:top w:val="none" w:sz="0" w:space="0" w:color="auto"/>
                <w:left w:val="none" w:sz="0" w:space="0" w:color="auto"/>
                <w:bottom w:val="none" w:sz="0" w:space="0" w:color="auto"/>
                <w:right w:val="none" w:sz="0" w:space="0" w:color="auto"/>
              </w:divBdr>
            </w:div>
            <w:div w:id="397241594">
              <w:marLeft w:val="0"/>
              <w:marRight w:val="0"/>
              <w:marTop w:val="0"/>
              <w:marBottom w:val="0"/>
              <w:divBdr>
                <w:top w:val="none" w:sz="0" w:space="0" w:color="auto"/>
                <w:left w:val="none" w:sz="0" w:space="0" w:color="auto"/>
                <w:bottom w:val="none" w:sz="0" w:space="0" w:color="auto"/>
                <w:right w:val="none" w:sz="0" w:space="0" w:color="auto"/>
              </w:divBdr>
            </w:div>
            <w:div w:id="862089909">
              <w:marLeft w:val="0"/>
              <w:marRight w:val="0"/>
              <w:marTop w:val="0"/>
              <w:marBottom w:val="0"/>
              <w:divBdr>
                <w:top w:val="none" w:sz="0" w:space="0" w:color="auto"/>
                <w:left w:val="none" w:sz="0" w:space="0" w:color="auto"/>
                <w:bottom w:val="none" w:sz="0" w:space="0" w:color="auto"/>
                <w:right w:val="none" w:sz="0" w:space="0" w:color="auto"/>
              </w:divBdr>
            </w:div>
            <w:div w:id="890532764">
              <w:marLeft w:val="0"/>
              <w:marRight w:val="0"/>
              <w:marTop w:val="0"/>
              <w:marBottom w:val="0"/>
              <w:divBdr>
                <w:top w:val="none" w:sz="0" w:space="0" w:color="auto"/>
                <w:left w:val="none" w:sz="0" w:space="0" w:color="auto"/>
                <w:bottom w:val="none" w:sz="0" w:space="0" w:color="auto"/>
                <w:right w:val="none" w:sz="0" w:space="0" w:color="auto"/>
              </w:divBdr>
            </w:div>
            <w:div w:id="938560394">
              <w:marLeft w:val="0"/>
              <w:marRight w:val="0"/>
              <w:marTop w:val="0"/>
              <w:marBottom w:val="0"/>
              <w:divBdr>
                <w:top w:val="none" w:sz="0" w:space="0" w:color="auto"/>
                <w:left w:val="none" w:sz="0" w:space="0" w:color="auto"/>
                <w:bottom w:val="none" w:sz="0" w:space="0" w:color="auto"/>
                <w:right w:val="none" w:sz="0" w:space="0" w:color="auto"/>
              </w:divBdr>
            </w:div>
            <w:div w:id="1032457227">
              <w:marLeft w:val="0"/>
              <w:marRight w:val="0"/>
              <w:marTop w:val="0"/>
              <w:marBottom w:val="0"/>
              <w:divBdr>
                <w:top w:val="none" w:sz="0" w:space="0" w:color="auto"/>
                <w:left w:val="none" w:sz="0" w:space="0" w:color="auto"/>
                <w:bottom w:val="none" w:sz="0" w:space="0" w:color="auto"/>
                <w:right w:val="none" w:sz="0" w:space="0" w:color="auto"/>
              </w:divBdr>
            </w:div>
            <w:div w:id="1321735208">
              <w:marLeft w:val="0"/>
              <w:marRight w:val="0"/>
              <w:marTop w:val="0"/>
              <w:marBottom w:val="0"/>
              <w:divBdr>
                <w:top w:val="none" w:sz="0" w:space="0" w:color="auto"/>
                <w:left w:val="none" w:sz="0" w:space="0" w:color="auto"/>
                <w:bottom w:val="none" w:sz="0" w:space="0" w:color="auto"/>
                <w:right w:val="none" w:sz="0" w:space="0" w:color="auto"/>
              </w:divBdr>
            </w:div>
            <w:div w:id="1387528811">
              <w:marLeft w:val="0"/>
              <w:marRight w:val="0"/>
              <w:marTop w:val="0"/>
              <w:marBottom w:val="0"/>
              <w:divBdr>
                <w:top w:val="none" w:sz="0" w:space="0" w:color="auto"/>
                <w:left w:val="none" w:sz="0" w:space="0" w:color="auto"/>
                <w:bottom w:val="none" w:sz="0" w:space="0" w:color="auto"/>
                <w:right w:val="none" w:sz="0" w:space="0" w:color="auto"/>
              </w:divBdr>
            </w:div>
            <w:div w:id="1589465965">
              <w:marLeft w:val="0"/>
              <w:marRight w:val="0"/>
              <w:marTop w:val="0"/>
              <w:marBottom w:val="0"/>
              <w:divBdr>
                <w:top w:val="none" w:sz="0" w:space="0" w:color="auto"/>
                <w:left w:val="none" w:sz="0" w:space="0" w:color="auto"/>
                <w:bottom w:val="none" w:sz="0" w:space="0" w:color="auto"/>
                <w:right w:val="none" w:sz="0" w:space="0" w:color="auto"/>
              </w:divBdr>
            </w:div>
            <w:div w:id="179791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492006">
      <w:bodyDiv w:val="1"/>
      <w:marLeft w:val="0"/>
      <w:marRight w:val="0"/>
      <w:marTop w:val="0"/>
      <w:marBottom w:val="0"/>
      <w:divBdr>
        <w:top w:val="none" w:sz="0" w:space="0" w:color="auto"/>
        <w:left w:val="none" w:sz="0" w:space="0" w:color="auto"/>
        <w:bottom w:val="none" w:sz="0" w:space="0" w:color="auto"/>
        <w:right w:val="none" w:sz="0" w:space="0" w:color="auto"/>
      </w:divBdr>
    </w:div>
    <w:div w:id="1611202751">
      <w:bodyDiv w:val="1"/>
      <w:marLeft w:val="0"/>
      <w:marRight w:val="0"/>
      <w:marTop w:val="0"/>
      <w:marBottom w:val="0"/>
      <w:divBdr>
        <w:top w:val="none" w:sz="0" w:space="0" w:color="auto"/>
        <w:left w:val="none" w:sz="0" w:space="0" w:color="auto"/>
        <w:bottom w:val="none" w:sz="0" w:space="0" w:color="auto"/>
        <w:right w:val="none" w:sz="0" w:space="0" w:color="auto"/>
      </w:divBdr>
    </w:div>
    <w:div w:id="1644626723">
      <w:bodyDiv w:val="1"/>
      <w:marLeft w:val="0"/>
      <w:marRight w:val="0"/>
      <w:marTop w:val="0"/>
      <w:marBottom w:val="0"/>
      <w:divBdr>
        <w:top w:val="none" w:sz="0" w:space="0" w:color="auto"/>
        <w:left w:val="none" w:sz="0" w:space="0" w:color="auto"/>
        <w:bottom w:val="none" w:sz="0" w:space="0" w:color="auto"/>
        <w:right w:val="none" w:sz="0" w:space="0" w:color="auto"/>
      </w:divBdr>
    </w:div>
    <w:div w:id="1700356692">
      <w:bodyDiv w:val="1"/>
      <w:marLeft w:val="0"/>
      <w:marRight w:val="0"/>
      <w:marTop w:val="0"/>
      <w:marBottom w:val="0"/>
      <w:divBdr>
        <w:top w:val="none" w:sz="0" w:space="0" w:color="auto"/>
        <w:left w:val="none" w:sz="0" w:space="0" w:color="auto"/>
        <w:bottom w:val="none" w:sz="0" w:space="0" w:color="auto"/>
        <w:right w:val="none" w:sz="0" w:space="0" w:color="auto"/>
      </w:divBdr>
      <w:divsChild>
        <w:div w:id="292559509">
          <w:marLeft w:val="0"/>
          <w:marRight w:val="0"/>
          <w:marTop w:val="0"/>
          <w:marBottom w:val="0"/>
          <w:divBdr>
            <w:top w:val="none" w:sz="0" w:space="0" w:color="auto"/>
            <w:left w:val="none" w:sz="0" w:space="0" w:color="auto"/>
            <w:bottom w:val="none" w:sz="0" w:space="0" w:color="auto"/>
            <w:right w:val="none" w:sz="0" w:space="0" w:color="auto"/>
          </w:divBdr>
          <w:divsChild>
            <w:div w:id="81033628">
              <w:marLeft w:val="0"/>
              <w:marRight w:val="0"/>
              <w:marTop w:val="0"/>
              <w:marBottom w:val="0"/>
              <w:divBdr>
                <w:top w:val="none" w:sz="0" w:space="0" w:color="auto"/>
                <w:left w:val="none" w:sz="0" w:space="0" w:color="auto"/>
                <w:bottom w:val="none" w:sz="0" w:space="0" w:color="auto"/>
                <w:right w:val="none" w:sz="0" w:space="0" w:color="auto"/>
              </w:divBdr>
            </w:div>
            <w:div w:id="224070378">
              <w:marLeft w:val="0"/>
              <w:marRight w:val="0"/>
              <w:marTop w:val="0"/>
              <w:marBottom w:val="0"/>
              <w:divBdr>
                <w:top w:val="none" w:sz="0" w:space="0" w:color="auto"/>
                <w:left w:val="none" w:sz="0" w:space="0" w:color="auto"/>
                <w:bottom w:val="none" w:sz="0" w:space="0" w:color="auto"/>
                <w:right w:val="none" w:sz="0" w:space="0" w:color="auto"/>
              </w:divBdr>
            </w:div>
            <w:div w:id="582185117">
              <w:marLeft w:val="0"/>
              <w:marRight w:val="0"/>
              <w:marTop w:val="0"/>
              <w:marBottom w:val="0"/>
              <w:divBdr>
                <w:top w:val="none" w:sz="0" w:space="0" w:color="auto"/>
                <w:left w:val="none" w:sz="0" w:space="0" w:color="auto"/>
                <w:bottom w:val="none" w:sz="0" w:space="0" w:color="auto"/>
                <w:right w:val="none" w:sz="0" w:space="0" w:color="auto"/>
              </w:divBdr>
            </w:div>
            <w:div w:id="851451330">
              <w:marLeft w:val="0"/>
              <w:marRight w:val="0"/>
              <w:marTop w:val="0"/>
              <w:marBottom w:val="0"/>
              <w:divBdr>
                <w:top w:val="none" w:sz="0" w:space="0" w:color="auto"/>
                <w:left w:val="none" w:sz="0" w:space="0" w:color="auto"/>
                <w:bottom w:val="none" w:sz="0" w:space="0" w:color="auto"/>
                <w:right w:val="none" w:sz="0" w:space="0" w:color="auto"/>
              </w:divBdr>
            </w:div>
            <w:div w:id="1100376053">
              <w:marLeft w:val="0"/>
              <w:marRight w:val="0"/>
              <w:marTop w:val="0"/>
              <w:marBottom w:val="0"/>
              <w:divBdr>
                <w:top w:val="none" w:sz="0" w:space="0" w:color="auto"/>
                <w:left w:val="none" w:sz="0" w:space="0" w:color="auto"/>
                <w:bottom w:val="none" w:sz="0" w:space="0" w:color="auto"/>
                <w:right w:val="none" w:sz="0" w:space="0" w:color="auto"/>
              </w:divBdr>
            </w:div>
            <w:div w:id="1597594731">
              <w:marLeft w:val="0"/>
              <w:marRight w:val="0"/>
              <w:marTop w:val="0"/>
              <w:marBottom w:val="0"/>
              <w:divBdr>
                <w:top w:val="none" w:sz="0" w:space="0" w:color="auto"/>
                <w:left w:val="none" w:sz="0" w:space="0" w:color="auto"/>
                <w:bottom w:val="none" w:sz="0" w:space="0" w:color="auto"/>
                <w:right w:val="none" w:sz="0" w:space="0" w:color="auto"/>
              </w:divBdr>
            </w:div>
          </w:divsChild>
        </w:div>
        <w:div w:id="1731612016">
          <w:marLeft w:val="0"/>
          <w:marRight w:val="0"/>
          <w:marTop w:val="0"/>
          <w:marBottom w:val="0"/>
          <w:divBdr>
            <w:top w:val="none" w:sz="0" w:space="0" w:color="auto"/>
            <w:left w:val="none" w:sz="0" w:space="0" w:color="auto"/>
            <w:bottom w:val="none" w:sz="0" w:space="0" w:color="auto"/>
            <w:right w:val="none" w:sz="0" w:space="0" w:color="auto"/>
          </w:divBdr>
          <w:divsChild>
            <w:div w:id="531765122">
              <w:marLeft w:val="0"/>
              <w:marRight w:val="0"/>
              <w:marTop w:val="0"/>
              <w:marBottom w:val="0"/>
              <w:divBdr>
                <w:top w:val="none" w:sz="0" w:space="0" w:color="auto"/>
                <w:left w:val="none" w:sz="0" w:space="0" w:color="auto"/>
                <w:bottom w:val="none" w:sz="0" w:space="0" w:color="auto"/>
                <w:right w:val="none" w:sz="0" w:space="0" w:color="auto"/>
              </w:divBdr>
            </w:div>
            <w:div w:id="624889690">
              <w:marLeft w:val="0"/>
              <w:marRight w:val="0"/>
              <w:marTop w:val="0"/>
              <w:marBottom w:val="0"/>
              <w:divBdr>
                <w:top w:val="none" w:sz="0" w:space="0" w:color="auto"/>
                <w:left w:val="none" w:sz="0" w:space="0" w:color="auto"/>
                <w:bottom w:val="none" w:sz="0" w:space="0" w:color="auto"/>
                <w:right w:val="none" w:sz="0" w:space="0" w:color="auto"/>
              </w:divBdr>
            </w:div>
            <w:div w:id="701512179">
              <w:marLeft w:val="0"/>
              <w:marRight w:val="0"/>
              <w:marTop w:val="0"/>
              <w:marBottom w:val="0"/>
              <w:divBdr>
                <w:top w:val="none" w:sz="0" w:space="0" w:color="auto"/>
                <w:left w:val="none" w:sz="0" w:space="0" w:color="auto"/>
                <w:bottom w:val="none" w:sz="0" w:space="0" w:color="auto"/>
                <w:right w:val="none" w:sz="0" w:space="0" w:color="auto"/>
              </w:divBdr>
            </w:div>
            <w:div w:id="834494523">
              <w:marLeft w:val="0"/>
              <w:marRight w:val="0"/>
              <w:marTop w:val="0"/>
              <w:marBottom w:val="0"/>
              <w:divBdr>
                <w:top w:val="none" w:sz="0" w:space="0" w:color="auto"/>
                <w:left w:val="none" w:sz="0" w:space="0" w:color="auto"/>
                <w:bottom w:val="none" w:sz="0" w:space="0" w:color="auto"/>
                <w:right w:val="none" w:sz="0" w:space="0" w:color="auto"/>
              </w:divBdr>
            </w:div>
            <w:div w:id="1003968076">
              <w:marLeft w:val="0"/>
              <w:marRight w:val="0"/>
              <w:marTop w:val="0"/>
              <w:marBottom w:val="0"/>
              <w:divBdr>
                <w:top w:val="none" w:sz="0" w:space="0" w:color="auto"/>
                <w:left w:val="none" w:sz="0" w:space="0" w:color="auto"/>
                <w:bottom w:val="none" w:sz="0" w:space="0" w:color="auto"/>
                <w:right w:val="none" w:sz="0" w:space="0" w:color="auto"/>
              </w:divBdr>
            </w:div>
            <w:div w:id="1077434788">
              <w:marLeft w:val="0"/>
              <w:marRight w:val="0"/>
              <w:marTop w:val="0"/>
              <w:marBottom w:val="0"/>
              <w:divBdr>
                <w:top w:val="none" w:sz="0" w:space="0" w:color="auto"/>
                <w:left w:val="none" w:sz="0" w:space="0" w:color="auto"/>
                <w:bottom w:val="none" w:sz="0" w:space="0" w:color="auto"/>
                <w:right w:val="none" w:sz="0" w:space="0" w:color="auto"/>
              </w:divBdr>
            </w:div>
            <w:div w:id="1104108042">
              <w:marLeft w:val="0"/>
              <w:marRight w:val="0"/>
              <w:marTop w:val="0"/>
              <w:marBottom w:val="0"/>
              <w:divBdr>
                <w:top w:val="none" w:sz="0" w:space="0" w:color="auto"/>
                <w:left w:val="none" w:sz="0" w:space="0" w:color="auto"/>
                <w:bottom w:val="none" w:sz="0" w:space="0" w:color="auto"/>
                <w:right w:val="none" w:sz="0" w:space="0" w:color="auto"/>
              </w:divBdr>
            </w:div>
            <w:div w:id="1371958781">
              <w:marLeft w:val="0"/>
              <w:marRight w:val="0"/>
              <w:marTop w:val="0"/>
              <w:marBottom w:val="0"/>
              <w:divBdr>
                <w:top w:val="none" w:sz="0" w:space="0" w:color="auto"/>
                <w:left w:val="none" w:sz="0" w:space="0" w:color="auto"/>
                <w:bottom w:val="none" w:sz="0" w:space="0" w:color="auto"/>
                <w:right w:val="none" w:sz="0" w:space="0" w:color="auto"/>
              </w:divBdr>
            </w:div>
            <w:div w:id="1912495518">
              <w:marLeft w:val="0"/>
              <w:marRight w:val="0"/>
              <w:marTop w:val="0"/>
              <w:marBottom w:val="0"/>
              <w:divBdr>
                <w:top w:val="none" w:sz="0" w:space="0" w:color="auto"/>
                <w:left w:val="none" w:sz="0" w:space="0" w:color="auto"/>
                <w:bottom w:val="none" w:sz="0" w:space="0" w:color="auto"/>
                <w:right w:val="none" w:sz="0" w:space="0" w:color="auto"/>
              </w:divBdr>
            </w:div>
            <w:div w:id="197086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058148">
      <w:bodyDiv w:val="1"/>
      <w:marLeft w:val="0"/>
      <w:marRight w:val="0"/>
      <w:marTop w:val="0"/>
      <w:marBottom w:val="0"/>
      <w:divBdr>
        <w:top w:val="none" w:sz="0" w:space="0" w:color="auto"/>
        <w:left w:val="none" w:sz="0" w:space="0" w:color="auto"/>
        <w:bottom w:val="none" w:sz="0" w:space="0" w:color="auto"/>
        <w:right w:val="none" w:sz="0" w:space="0" w:color="auto"/>
      </w:divBdr>
    </w:div>
    <w:div w:id="1871911896">
      <w:bodyDiv w:val="1"/>
      <w:marLeft w:val="0"/>
      <w:marRight w:val="0"/>
      <w:marTop w:val="0"/>
      <w:marBottom w:val="0"/>
      <w:divBdr>
        <w:top w:val="none" w:sz="0" w:space="0" w:color="auto"/>
        <w:left w:val="none" w:sz="0" w:space="0" w:color="auto"/>
        <w:bottom w:val="none" w:sz="0" w:space="0" w:color="auto"/>
        <w:right w:val="none" w:sz="0" w:space="0" w:color="auto"/>
      </w:divBdr>
      <w:divsChild>
        <w:div w:id="12151999">
          <w:marLeft w:val="0"/>
          <w:marRight w:val="0"/>
          <w:marTop w:val="0"/>
          <w:marBottom w:val="0"/>
          <w:divBdr>
            <w:top w:val="none" w:sz="0" w:space="0" w:color="auto"/>
            <w:left w:val="none" w:sz="0" w:space="0" w:color="auto"/>
            <w:bottom w:val="none" w:sz="0" w:space="0" w:color="auto"/>
            <w:right w:val="none" w:sz="0" w:space="0" w:color="auto"/>
          </w:divBdr>
        </w:div>
        <w:div w:id="98573391">
          <w:marLeft w:val="0"/>
          <w:marRight w:val="0"/>
          <w:marTop w:val="0"/>
          <w:marBottom w:val="0"/>
          <w:divBdr>
            <w:top w:val="none" w:sz="0" w:space="0" w:color="auto"/>
            <w:left w:val="none" w:sz="0" w:space="0" w:color="auto"/>
            <w:bottom w:val="none" w:sz="0" w:space="0" w:color="auto"/>
            <w:right w:val="none" w:sz="0" w:space="0" w:color="auto"/>
          </w:divBdr>
        </w:div>
        <w:div w:id="216012054">
          <w:marLeft w:val="0"/>
          <w:marRight w:val="0"/>
          <w:marTop w:val="0"/>
          <w:marBottom w:val="0"/>
          <w:divBdr>
            <w:top w:val="none" w:sz="0" w:space="0" w:color="auto"/>
            <w:left w:val="none" w:sz="0" w:space="0" w:color="auto"/>
            <w:bottom w:val="none" w:sz="0" w:space="0" w:color="auto"/>
            <w:right w:val="none" w:sz="0" w:space="0" w:color="auto"/>
          </w:divBdr>
        </w:div>
        <w:div w:id="425273296">
          <w:marLeft w:val="0"/>
          <w:marRight w:val="0"/>
          <w:marTop w:val="0"/>
          <w:marBottom w:val="0"/>
          <w:divBdr>
            <w:top w:val="none" w:sz="0" w:space="0" w:color="auto"/>
            <w:left w:val="none" w:sz="0" w:space="0" w:color="auto"/>
            <w:bottom w:val="none" w:sz="0" w:space="0" w:color="auto"/>
            <w:right w:val="none" w:sz="0" w:space="0" w:color="auto"/>
          </w:divBdr>
        </w:div>
        <w:div w:id="924532797">
          <w:marLeft w:val="0"/>
          <w:marRight w:val="0"/>
          <w:marTop w:val="0"/>
          <w:marBottom w:val="0"/>
          <w:divBdr>
            <w:top w:val="none" w:sz="0" w:space="0" w:color="auto"/>
            <w:left w:val="none" w:sz="0" w:space="0" w:color="auto"/>
            <w:bottom w:val="none" w:sz="0" w:space="0" w:color="auto"/>
            <w:right w:val="none" w:sz="0" w:space="0" w:color="auto"/>
          </w:divBdr>
        </w:div>
        <w:div w:id="1141120893">
          <w:marLeft w:val="0"/>
          <w:marRight w:val="0"/>
          <w:marTop w:val="0"/>
          <w:marBottom w:val="0"/>
          <w:divBdr>
            <w:top w:val="none" w:sz="0" w:space="0" w:color="auto"/>
            <w:left w:val="none" w:sz="0" w:space="0" w:color="auto"/>
            <w:bottom w:val="none" w:sz="0" w:space="0" w:color="auto"/>
            <w:right w:val="none" w:sz="0" w:space="0" w:color="auto"/>
          </w:divBdr>
        </w:div>
        <w:div w:id="1180237913">
          <w:marLeft w:val="0"/>
          <w:marRight w:val="0"/>
          <w:marTop w:val="0"/>
          <w:marBottom w:val="0"/>
          <w:divBdr>
            <w:top w:val="none" w:sz="0" w:space="0" w:color="auto"/>
            <w:left w:val="none" w:sz="0" w:space="0" w:color="auto"/>
            <w:bottom w:val="none" w:sz="0" w:space="0" w:color="auto"/>
            <w:right w:val="none" w:sz="0" w:space="0" w:color="auto"/>
          </w:divBdr>
        </w:div>
        <w:div w:id="2135898994">
          <w:marLeft w:val="0"/>
          <w:marRight w:val="0"/>
          <w:marTop w:val="0"/>
          <w:marBottom w:val="0"/>
          <w:divBdr>
            <w:top w:val="none" w:sz="0" w:space="0" w:color="auto"/>
            <w:left w:val="none" w:sz="0" w:space="0" w:color="auto"/>
            <w:bottom w:val="none" w:sz="0" w:space="0" w:color="auto"/>
            <w:right w:val="none" w:sz="0" w:space="0" w:color="auto"/>
          </w:divBdr>
        </w:div>
      </w:divsChild>
    </w:div>
    <w:div w:id="1872036064">
      <w:bodyDiv w:val="1"/>
      <w:marLeft w:val="0"/>
      <w:marRight w:val="0"/>
      <w:marTop w:val="0"/>
      <w:marBottom w:val="0"/>
      <w:divBdr>
        <w:top w:val="none" w:sz="0" w:space="0" w:color="auto"/>
        <w:left w:val="none" w:sz="0" w:space="0" w:color="auto"/>
        <w:bottom w:val="none" w:sz="0" w:space="0" w:color="auto"/>
        <w:right w:val="none" w:sz="0" w:space="0" w:color="auto"/>
      </w:divBdr>
      <w:divsChild>
        <w:div w:id="189685936">
          <w:marLeft w:val="0"/>
          <w:marRight w:val="0"/>
          <w:marTop w:val="0"/>
          <w:marBottom w:val="0"/>
          <w:divBdr>
            <w:top w:val="none" w:sz="0" w:space="0" w:color="auto"/>
            <w:left w:val="none" w:sz="0" w:space="0" w:color="auto"/>
            <w:bottom w:val="none" w:sz="0" w:space="0" w:color="auto"/>
            <w:right w:val="none" w:sz="0" w:space="0" w:color="auto"/>
          </w:divBdr>
        </w:div>
        <w:div w:id="273247833">
          <w:marLeft w:val="0"/>
          <w:marRight w:val="0"/>
          <w:marTop w:val="0"/>
          <w:marBottom w:val="0"/>
          <w:divBdr>
            <w:top w:val="none" w:sz="0" w:space="0" w:color="auto"/>
            <w:left w:val="none" w:sz="0" w:space="0" w:color="auto"/>
            <w:bottom w:val="none" w:sz="0" w:space="0" w:color="auto"/>
            <w:right w:val="none" w:sz="0" w:space="0" w:color="auto"/>
          </w:divBdr>
        </w:div>
        <w:div w:id="421923235">
          <w:marLeft w:val="0"/>
          <w:marRight w:val="0"/>
          <w:marTop w:val="0"/>
          <w:marBottom w:val="0"/>
          <w:divBdr>
            <w:top w:val="none" w:sz="0" w:space="0" w:color="auto"/>
            <w:left w:val="none" w:sz="0" w:space="0" w:color="auto"/>
            <w:bottom w:val="none" w:sz="0" w:space="0" w:color="auto"/>
            <w:right w:val="none" w:sz="0" w:space="0" w:color="auto"/>
          </w:divBdr>
        </w:div>
        <w:div w:id="916742159">
          <w:marLeft w:val="0"/>
          <w:marRight w:val="0"/>
          <w:marTop w:val="0"/>
          <w:marBottom w:val="0"/>
          <w:divBdr>
            <w:top w:val="none" w:sz="0" w:space="0" w:color="auto"/>
            <w:left w:val="none" w:sz="0" w:space="0" w:color="auto"/>
            <w:bottom w:val="none" w:sz="0" w:space="0" w:color="auto"/>
            <w:right w:val="none" w:sz="0" w:space="0" w:color="auto"/>
          </w:divBdr>
        </w:div>
        <w:div w:id="1078211255">
          <w:marLeft w:val="0"/>
          <w:marRight w:val="0"/>
          <w:marTop w:val="0"/>
          <w:marBottom w:val="0"/>
          <w:divBdr>
            <w:top w:val="none" w:sz="0" w:space="0" w:color="auto"/>
            <w:left w:val="none" w:sz="0" w:space="0" w:color="auto"/>
            <w:bottom w:val="none" w:sz="0" w:space="0" w:color="auto"/>
            <w:right w:val="none" w:sz="0" w:space="0" w:color="auto"/>
          </w:divBdr>
        </w:div>
        <w:div w:id="1478061851">
          <w:marLeft w:val="0"/>
          <w:marRight w:val="0"/>
          <w:marTop w:val="0"/>
          <w:marBottom w:val="0"/>
          <w:divBdr>
            <w:top w:val="none" w:sz="0" w:space="0" w:color="auto"/>
            <w:left w:val="none" w:sz="0" w:space="0" w:color="auto"/>
            <w:bottom w:val="none" w:sz="0" w:space="0" w:color="auto"/>
            <w:right w:val="none" w:sz="0" w:space="0" w:color="auto"/>
          </w:divBdr>
        </w:div>
        <w:div w:id="2142845005">
          <w:marLeft w:val="0"/>
          <w:marRight w:val="0"/>
          <w:marTop w:val="0"/>
          <w:marBottom w:val="0"/>
          <w:divBdr>
            <w:top w:val="none" w:sz="0" w:space="0" w:color="auto"/>
            <w:left w:val="none" w:sz="0" w:space="0" w:color="auto"/>
            <w:bottom w:val="none" w:sz="0" w:space="0" w:color="auto"/>
            <w:right w:val="none" w:sz="0" w:space="0" w:color="auto"/>
          </w:divBdr>
        </w:div>
      </w:divsChild>
    </w:div>
    <w:div w:id="1924146572">
      <w:bodyDiv w:val="1"/>
      <w:marLeft w:val="0"/>
      <w:marRight w:val="0"/>
      <w:marTop w:val="0"/>
      <w:marBottom w:val="0"/>
      <w:divBdr>
        <w:top w:val="none" w:sz="0" w:space="0" w:color="auto"/>
        <w:left w:val="none" w:sz="0" w:space="0" w:color="auto"/>
        <w:bottom w:val="none" w:sz="0" w:space="0" w:color="auto"/>
        <w:right w:val="none" w:sz="0" w:space="0" w:color="auto"/>
      </w:divBdr>
    </w:div>
    <w:div w:id="1972705142">
      <w:bodyDiv w:val="1"/>
      <w:marLeft w:val="0"/>
      <w:marRight w:val="0"/>
      <w:marTop w:val="0"/>
      <w:marBottom w:val="0"/>
      <w:divBdr>
        <w:top w:val="none" w:sz="0" w:space="0" w:color="auto"/>
        <w:left w:val="none" w:sz="0" w:space="0" w:color="auto"/>
        <w:bottom w:val="none" w:sz="0" w:space="0" w:color="auto"/>
        <w:right w:val="none" w:sz="0" w:space="0" w:color="auto"/>
      </w:divBdr>
      <w:divsChild>
        <w:div w:id="213469551">
          <w:marLeft w:val="0"/>
          <w:marRight w:val="0"/>
          <w:marTop w:val="0"/>
          <w:marBottom w:val="0"/>
          <w:divBdr>
            <w:top w:val="none" w:sz="0" w:space="0" w:color="auto"/>
            <w:left w:val="none" w:sz="0" w:space="0" w:color="auto"/>
            <w:bottom w:val="none" w:sz="0" w:space="0" w:color="auto"/>
            <w:right w:val="none" w:sz="0" w:space="0" w:color="auto"/>
          </w:divBdr>
        </w:div>
        <w:div w:id="290594764">
          <w:marLeft w:val="0"/>
          <w:marRight w:val="0"/>
          <w:marTop w:val="0"/>
          <w:marBottom w:val="0"/>
          <w:divBdr>
            <w:top w:val="none" w:sz="0" w:space="0" w:color="auto"/>
            <w:left w:val="none" w:sz="0" w:space="0" w:color="auto"/>
            <w:bottom w:val="none" w:sz="0" w:space="0" w:color="auto"/>
            <w:right w:val="none" w:sz="0" w:space="0" w:color="auto"/>
          </w:divBdr>
        </w:div>
        <w:div w:id="708578663">
          <w:marLeft w:val="0"/>
          <w:marRight w:val="0"/>
          <w:marTop w:val="0"/>
          <w:marBottom w:val="0"/>
          <w:divBdr>
            <w:top w:val="none" w:sz="0" w:space="0" w:color="auto"/>
            <w:left w:val="none" w:sz="0" w:space="0" w:color="auto"/>
            <w:bottom w:val="none" w:sz="0" w:space="0" w:color="auto"/>
            <w:right w:val="none" w:sz="0" w:space="0" w:color="auto"/>
          </w:divBdr>
        </w:div>
        <w:div w:id="786704218">
          <w:marLeft w:val="0"/>
          <w:marRight w:val="0"/>
          <w:marTop w:val="0"/>
          <w:marBottom w:val="0"/>
          <w:divBdr>
            <w:top w:val="none" w:sz="0" w:space="0" w:color="auto"/>
            <w:left w:val="none" w:sz="0" w:space="0" w:color="auto"/>
            <w:bottom w:val="none" w:sz="0" w:space="0" w:color="auto"/>
            <w:right w:val="none" w:sz="0" w:space="0" w:color="auto"/>
          </w:divBdr>
        </w:div>
        <w:div w:id="1169369258">
          <w:marLeft w:val="0"/>
          <w:marRight w:val="0"/>
          <w:marTop w:val="0"/>
          <w:marBottom w:val="0"/>
          <w:divBdr>
            <w:top w:val="none" w:sz="0" w:space="0" w:color="auto"/>
            <w:left w:val="none" w:sz="0" w:space="0" w:color="auto"/>
            <w:bottom w:val="none" w:sz="0" w:space="0" w:color="auto"/>
            <w:right w:val="none" w:sz="0" w:space="0" w:color="auto"/>
          </w:divBdr>
        </w:div>
        <w:div w:id="1921867332">
          <w:marLeft w:val="0"/>
          <w:marRight w:val="0"/>
          <w:marTop w:val="0"/>
          <w:marBottom w:val="0"/>
          <w:divBdr>
            <w:top w:val="none" w:sz="0" w:space="0" w:color="auto"/>
            <w:left w:val="none" w:sz="0" w:space="0" w:color="auto"/>
            <w:bottom w:val="none" w:sz="0" w:space="0" w:color="auto"/>
            <w:right w:val="none" w:sz="0" w:space="0" w:color="auto"/>
          </w:divBdr>
        </w:div>
        <w:div w:id="2085642069">
          <w:marLeft w:val="0"/>
          <w:marRight w:val="0"/>
          <w:marTop w:val="0"/>
          <w:marBottom w:val="0"/>
          <w:divBdr>
            <w:top w:val="none" w:sz="0" w:space="0" w:color="auto"/>
            <w:left w:val="none" w:sz="0" w:space="0" w:color="auto"/>
            <w:bottom w:val="none" w:sz="0" w:space="0" w:color="auto"/>
            <w:right w:val="none" w:sz="0" w:space="0" w:color="auto"/>
          </w:divBdr>
        </w:div>
      </w:divsChild>
    </w:div>
    <w:div w:id="2092266184">
      <w:bodyDiv w:val="1"/>
      <w:marLeft w:val="0"/>
      <w:marRight w:val="0"/>
      <w:marTop w:val="0"/>
      <w:marBottom w:val="0"/>
      <w:divBdr>
        <w:top w:val="none" w:sz="0" w:space="0" w:color="auto"/>
        <w:left w:val="none" w:sz="0" w:space="0" w:color="auto"/>
        <w:bottom w:val="none" w:sz="0" w:space="0" w:color="auto"/>
        <w:right w:val="none" w:sz="0" w:space="0" w:color="auto"/>
      </w:divBdr>
    </w:div>
    <w:div w:id="2133282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7.xml"/></Relationships>
</file>

<file path=word/_rels/footnotes.xml.rels><?xml version="1.0" encoding="UTF-8" standalone="yes"?>
<Relationships xmlns="http://schemas.openxmlformats.org/package/2006/relationships"><Relationship Id="rId8" Type="http://schemas.openxmlformats.org/officeDocument/2006/relationships/hyperlink" Target="https://policy.trade.ec.europa.eu/help-exporters-and-importers/exporting-dual-use-items_en" TargetMode="External"/><Relationship Id="rId13" Type="http://schemas.openxmlformats.org/officeDocument/2006/relationships/hyperlink" Target="https://digital-strategy.ec.europa.eu/en/news/new-digital-skills-academies-support-eus-technological-sovereignty-competitiveness-and-preparedness" TargetMode="External"/><Relationship Id="rId18" Type="http://schemas.openxmlformats.org/officeDocument/2006/relationships/hyperlink" Target="https://data.europa.eu/doi/10.2759/4019528" TargetMode="External"/><Relationship Id="rId3" Type="http://schemas.openxmlformats.org/officeDocument/2006/relationships/hyperlink" Target="https://www.mckinsey.com/industries/semiconductors/our-insights/the-next-era-of-semiconductor-value-creation" TargetMode="External"/><Relationship Id="rId7" Type="http://schemas.openxmlformats.org/officeDocument/2006/relationships/hyperlink" Target="https://digital-strategy.ec.europa.eu/en/news/semicon-coalition-calls-reinforced-chips-act" TargetMode="External"/><Relationship Id="rId12" Type="http://schemas.openxmlformats.org/officeDocument/2006/relationships/hyperlink" Target="https://pact-for-skills.ec.europa.eu/index_en" TargetMode="External"/><Relationship Id="rId17" Type="http://schemas.openxmlformats.org/officeDocument/2006/relationships/hyperlink" Target="http://data.europa.eu/eli/reg/2014/654/oj" TargetMode="External"/><Relationship Id="rId2" Type="http://schemas.openxmlformats.org/officeDocument/2006/relationships/hyperlink" Target="https://www.semiconductors.org/global-semiconductor-sales-increase-substantially-in-february/" TargetMode="External"/><Relationship Id="rId16" Type="http://schemas.openxmlformats.org/officeDocument/2006/relationships/hyperlink" Target="http://data.europa.eu/eli/prot/2014/115/oj" TargetMode="External"/><Relationship Id="rId1" Type="http://schemas.openxmlformats.org/officeDocument/2006/relationships/hyperlink" Target="https://www.wsts.org/76/103/WSTS-Semiconductor-Market-Forecast-Spring-2025" TargetMode="External"/><Relationship Id="rId6" Type="http://schemas.openxmlformats.org/officeDocument/2006/relationships/hyperlink" Target="https://digital-strategy.ec.europa.eu/en/consultations/survey-opens-future-digital-decade-policy-programme" TargetMode="External"/><Relationship Id="rId11" Type="http://schemas.openxmlformats.org/officeDocument/2006/relationships/hyperlink" Target="https://ec.europa.eu/newsroom/dae/redirection/document/78326" TargetMode="External"/><Relationship Id="rId5" Type="http://schemas.openxmlformats.org/officeDocument/2006/relationships/hyperlink" Target="https://commission.europa.eu/priorities-2024-2029_ro" TargetMode="External"/><Relationship Id="rId15" Type="http://schemas.openxmlformats.org/officeDocument/2006/relationships/hyperlink" Target="https://education.ec.europa.eu/education-levels/higher-education/european-universities-initiative/map" TargetMode="External"/><Relationship Id="rId10" Type="http://schemas.openxmlformats.org/officeDocument/2006/relationships/hyperlink" Target="https://digital-strategy.ec.europa.eu/en/news/commission-invites-contributions-shape-future-eu-quantum-act" TargetMode="External"/><Relationship Id="rId4" Type="http://schemas.openxmlformats.org/officeDocument/2006/relationships/hyperlink" Target="https://commission.europa.eu/topics/competitiveness/draghi-report_en" TargetMode="External"/><Relationship Id="rId9" Type="http://schemas.openxmlformats.org/officeDocument/2006/relationships/hyperlink" Target="https://strategic-technologies.europa.eu/index_en" TargetMode="External"/><Relationship Id="rId14" Type="http://schemas.openxmlformats.org/officeDocument/2006/relationships/hyperlink" Target="https://ec.europa.eu/info/law/better-regulation/have-your-say/initiatives/15892-Fair-labour-mobility-package-Skills-portability-1-digitalised-cross-border-portability-of-qualifications-and-skills_r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A51534F60A5B448B6E4B19C6951FA3E" ma:contentTypeVersion="4" ma:contentTypeDescription="Create a new document." ma:contentTypeScope="" ma:versionID="f43f232a58218a375219e47803cac635">
  <xsd:schema xmlns:xsd="http://www.w3.org/2001/XMLSchema" xmlns:xs="http://www.w3.org/2001/XMLSchema" xmlns:p="http://schemas.microsoft.com/office/2006/metadata/properties" xmlns:ns2="9150c696-8d86-4c7a-9a74-12a0a9ada379" targetNamespace="http://schemas.microsoft.com/office/2006/metadata/properties" ma:root="true" ma:fieldsID="345a1cc19c1188813b19f3194b7a826f" ns2:_="">
    <xsd:import namespace="9150c696-8d86-4c7a-9a74-12a0a9ada3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50c696-8d86-4c7a-9a74-12a0a9ada3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9D561D-71AE-418A-BD09-E1135C58277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173BB57-9802-4C32-BD31-9388A648C0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50c696-8d86-4c7a-9a74-12a0a9ada3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996747-2627-4338-9A6A-502A369DC882}">
  <ds:schemaRefs>
    <ds:schemaRef ds:uri="http://schemas.microsoft.com/sharepoint/v3/contenttype/forms"/>
  </ds:schemaRefs>
</ds:datastoreItem>
</file>

<file path=customXml/itemProps4.xml><?xml version="1.0" encoding="utf-8"?>
<ds:datastoreItem xmlns:ds="http://schemas.openxmlformats.org/officeDocument/2006/customXml" ds:itemID="{E5D26952-AE78-402E-9496-E0BA60372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31</Pages>
  <Words>63203</Words>
  <Characters>360263</Characters>
  <Application>Microsoft Office Word</Application>
  <DocSecurity>0</DocSecurity>
  <Lines>3002</Lines>
  <Paragraphs>845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422621</CharactersWithSpaces>
  <SharedDoc>false</SharedDoc>
  <HLinks>
    <vt:vector size="108" baseType="variant">
      <vt:variant>
        <vt:i4>3735596</vt:i4>
      </vt:variant>
      <vt:variant>
        <vt:i4>51</vt:i4>
      </vt:variant>
      <vt:variant>
        <vt:i4>0</vt:i4>
      </vt:variant>
      <vt:variant>
        <vt:i4>5</vt:i4>
      </vt:variant>
      <vt:variant>
        <vt:lpwstr>https://data.europa.eu/doi/10.2759/4019528</vt:lpwstr>
      </vt:variant>
      <vt:variant>
        <vt:lpwstr/>
      </vt:variant>
      <vt:variant>
        <vt:i4>4456474</vt:i4>
      </vt:variant>
      <vt:variant>
        <vt:i4>48</vt:i4>
      </vt:variant>
      <vt:variant>
        <vt:i4>0</vt:i4>
      </vt:variant>
      <vt:variant>
        <vt:i4>5</vt:i4>
      </vt:variant>
      <vt:variant>
        <vt:lpwstr>http://data.europa.eu/eli/reg/2014/654/oj</vt:lpwstr>
      </vt:variant>
      <vt:variant>
        <vt:lpwstr/>
      </vt:variant>
      <vt:variant>
        <vt:i4>3735654</vt:i4>
      </vt:variant>
      <vt:variant>
        <vt:i4>45</vt:i4>
      </vt:variant>
      <vt:variant>
        <vt:i4>0</vt:i4>
      </vt:variant>
      <vt:variant>
        <vt:i4>5</vt:i4>
      </vt:variant>
      <vt:variant>
        <vt:lpwstr>http://data.europa.eu/eli/prot/2014/115/oj</vt:lpwstr>
      </vt:variant>
      <vt:variant>
        <vt:lpwstr/>
      </vt:variant>
      <vt:variant>
        <vt:i4>4259911</vt:i4>
      </vt:variant>
      <vt:variant>
        <vt:i4>42</vt:i4>
      </vt:variant>
      <vt:variant>
        <vt:i4>0</vt:i4>
      </vt:variant>
      <vt:variant>
        <vt:i4>5</vt:i4>
      </vt:variant>
      <vt:variant>
        <vt:lpwstr>https://education.ec.europa.eu/education-levels/higher-education/european-universities-initiative/map</vt:lpwstr>
      </vt:variant>
      <vt:variant>
        <vt:lpwstr/>
      </vt:variant>
      <vt:variant>
        <vt:i4>1638524</vt:i4>
      </vt:variant>
      <vt:variant>
        <vt:i4>39</vt:i4>
      </vt:variant>
      <vt:variant>
        <vt:i4>0</vt:i4>
      </vt:variant>
      <vt:variant>
        <vt:i4>5</vt:i4>
      </vt:variant>
      <vt:variant>
        <vt:lpwstr>https://ec.europa.eu/info/law/better-regulation/have-your-say/initiatives/15892-Fair-labour-mobility-package-Skills-portability-1-digitalised-cross-border-portability-of-qualifications-and-skills_en</vt:lpwstr>
      </vt:variant>
      <vt:variant>
        <vt:lpwstr/>
      </vt:variant>
      <vt:variant>
        <vt:i4>1179663</vt:i4>
      </vt:variant>
      <vt:variant>
        <vt:i4>36</vt:i4>
      </vt:variant>
      <vt:variant>
        <vt:i4>0</vt:i4>
      </vt:variant>
      <vt:variant>
        <vt:i4>5</vt:i4>
      </vt:variant>
      <vt:variant>
        <vt:lpwstr>https://digital-strategy.ec.europa.eu/en/news/new-digital-skills-academies-support-eus-technological-sovereignty-competitiveness-and-preparedness</vt:lpwstr>
      </vt:variant>
      <vt:variant>
        <vt:lpwstr/>
      </vt:variant>
      <vt:variant>
        <vt:i4>458854</vt:i4>
      </vt:variant>
      <vt:variant>
        <vt:i4>33</vt:i4>
      </vt:variant>
      <vt:variant>
        <vt:i4>0</vt:i4>
      </vt:variant>
      <vt:variant>
        <vt:i4>5</vt:i4>
      </vt:variant>
      <vt:variant>
        <vt:lpwstr>https://pact-for-skills.ec.europa.eu/index_en</vt:lpwstr>
      </vt:variant>
      <vt:variant>
        <vt:lpwstr/>
      </vt:variant>
      <vt:variant>
        <vt:i4>5177358</vt:i4>
      </vt:variant>
      <vt:variant>
        <vt:i4>30</vt:i4>
      </vt:variant>
      <vt:variant>
        <vt:i4>0</vt:i4>
      </vt:variant>
      <vt:variant>
        <vt:i4>5</vt:i4>
      </vt:variant>
      <vt:variant>
        <vt:lpwstr>https://ec.europa.eu/newsroom/dae/redirection/document/78326</vt:lpwstr>
      </vt:variant>
      <vt:variant>
        <vt:lpwstr/>
      </vt:variant>
      <vt:variant>
        <vt:i4>4063336</vt:i4>
      </vt:variant>
      <vt:variant>
        <vt:i4>27</vt:i4>
      </vt:variant>
      <vt:variant>
        <vt:i4>0</vt:i4>
      </vt:variant>
      <vt:variant>
        <vt:i4>5</vt:i4>
      </vt:variant>
      <vt:variant>
        <vt:lpwstr>https://digital-strategy.ec.europa.eu/en/news/commission-invites-contributions-shape-future-eu-quantum-act</vt:lpwstr>
      </vt:variant>
      <vt:variant>
        <vt:lpwstr/>
      </vt:variant>
      <vt:variant>
        <vt:i4>1966189</vt:i4>
      </vt:variant>
      <vt:variant>
        <vt:i4>24</vt:i4>
      </vt:variant>
      <vt:variant>
        <vt:i4>0</vt:i4>
      </vt:variant>
      <vt:variant>
        <vt:i4>5</vt:i4>
      </vt:variant>
      <vt:variant>
        <vt:lpwstr>https://strategic-technologies.europa.eu/index_en</vt:lpwstr>
      </vt:variant>
      <vt:variant>
        <vt:lpwstr/>
      </vt:variant>
      <vt:variant>
        <vt:i4>5177400</vt:i4>
      </vt:variant>
      <vt:variant>
        <vt:i4>21</vt:i4>
      </vt:variant>
      <vt:variant>
        <vt:i4>0</vt:i4>
      </vt:variant>
      <vt:variant>
        <vt:i4>5</vt:i4>
      </vt:variant>
      <vt:variant>
        <vt:lpwstr>https://policy.trade.ec.europa.eu/help-exporters-and-importers/exporting-dual-use-items_en</vt:lpwstr>
      </vt:variant>
      <vt:variant>
        <vt:lpwstr/>
      </vt:variant>
      <vt:variant>
        <vt:i4>2228342</vt:i4>
      </vt:variant>
      <vt:variant>
        <vt:i4>18</vt:i4>
      </vt:variant>
      <vt:variant>
        <vt:i4>0</vt:i4>
      </vt:variant>
      <vt:variant>
        <vt:i4>5</vt:i4>
      </vt:variant>
      <vt:variant>
        <vt:lpwstr>https://digital-strategy.ec.europa.eu/en/news/semicon-coalition-calls-reinforced-chips-act</vt:lpwstr>
      </vt:variant>
      <vt:variant>
        <vt:lpwstr/>
      </vt:variant>
      <vt:variant>
        <vt:i4>7602275</vt:i4>
      </vt:variant>
      <vt:variant>
        <vt:i4>15</vt:i4>
      </vt:variant>
      <vt:variant>
        <vt:i4>0</vt:i4>
      </vt:variant>
      <vt:variant>
        <vt:i4>5</vt:i4>
      </vt:variant>
      <vt:variant>
        <vt:lpwstr>https://digital-strategy.ec.europa.eu/en/consultations/survey-opens-future-digital-decade-policy-programme</vt:lpwstr>
      </vt:variant>
      <vt:variant>
        <vt:lpwstr/>
      </vt:variant>
      <vt:variant>
        <vt:i4>3735563</vt:i4>
      </vt:variant>
      <vt:variant>
        <vt:i4>12</vt:i4>
      </vt:variant>
      <vt:variant>
        <vt:i4>0</vt:i4>
      </vt:variant>
      <vt:variant>
        <vt:i4>5</vt:i4>
      </vt:variant>
      <vt:variant>
        <vt:lpwstr>https://commission.europa.eu/priorities-2024-2029_en</vt:lpwstr>
      </vt:variant>
      <vt:variant>
        <vt:lpwstr/>
      </vt:variant>
      <vt:variant>
        <vt:i4>7667730</vt:i4>
      </vt:variant>
      <vt:variant>
        <vt:i4>9</vt:i4>
      </vt:variant>
      <vt:variant>
        <vt:i4>0</vt:i4>
      </vt:variant>
      <vt:variant>
        <vt:i4>5</vt:i4>
      </vt:variant>
      <vt:variant>
        <vt:lpwstr>https://commission.europa.eu/topics/competitiveness/draghi-report_en</vt:lpwstr>
      </vt:variant>
      <vt:variant>
        <vt:lpwstr/>
      </vt:variant>
      <vt:variant>
        <vt:i4>5898316</vt:i4>
      </vt:variant>
      <vt:variant>
        <vt:i4>6</vt:i4>
      </vt:variant>
      <vt:variant>
        <vt:i4>0</vt:i4>
      </vt:variant>
      <vt:variant>
        <vt:i4>5</vt:i4>
      </vt:variant>
      <vt:variant>
        <vt:lpwstr>https://www.mckinsey.com/industries/semiconductors/our-insights/the-next-era-of-semiconductor-value-creation</vt:lpwstr>
      </vt:variant>
      <vt:variant>
        <vt:lpwstr/>
      </vt:variant>
      <vt:variant>
        <vt:i4>5701714</vt:i4>
      </vt:variant>
      <vt:variant>
        <vt:i4>3</vt:i4>
      </vt:variant>
      <vt:variant>
        <vt:i4>0</vt:i4>
      </vt:variant>
      <vt:variant>
        <vt:i4>5</vt:i4>
      </vt:variant>
      <vt:variant>
        <vt:lpwstr>https://www.semiconductors.org/global-semiconductor-sales-increase-substantially-in-february/</vt:lpwstr>
      </vt:variant>
      <vt:variant>
        <vt:lpwstr/>
      </vt:variant>
      <vt:variant>
        <vt:i4>2621477</vt:i4>
      </vt:variant>
      <vt:variant>
        <vt:i4>0</vt:i4>
      </vt:variant>
      <vt:variant>
        <vt:i4>0</vt:i4>
      </vt:variant>
      <vt:variant>
        <vt:i4>5</vt:i4>
      </vt:variant>
      <vt:variant>
        <vt:lpwstr>https://www.wsts.org/76/103/WSTS-Semiconductor-Market-Forecast-Spring-2025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2026-06-03T09:06:00Z</dcterms:created>
  <dcterms:modified xsi:type="dcterms:W3CDTF">2026-07-16T08:42:00Z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2026-05-30T20:39:06Z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5aee8f0a-bb13-46bb-9f44-a0360f4c0371</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ContentTypeId">
    <vt:lpwstr>0x0101009A51534F60A5B448B6E4B19C6951FA3E</vt:lpwstr>
  </property>
  <property fmtid="{D5CDD505-2E9C-101B-9397-08002B2CF9AE}" pid="17" name="DQCStatus">
    <vt:lpwstr>Green (DQC version 03)</vt:lpwstr>
  </property>
</Properties>
</file>