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Default="0091115A" w:rsidP="0091115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0030744-11EE-4F6E-806E-7695D46330F6" style="width:455.25pt;height:342.75pt">
            <v:imagedata r:id="rId8" o:title=""/>
          </v:shape>
        </w:pict>
      </w:r>
    </w:p>
    <w:p w:rsidR="001A62D7" w:rsidRDefault="001A62D7" w:rsidP="001A62D7">
      <w:pPr>
        <w:rPr>
          <w:noProof/>
        </w:rPr>
        <w:sectPr w:rsidR="001A62D7" w:rsidSect="0091115A">
          <w:footerReference w:type="even" r:id="rId9"/>
          <w:footerReference w:type="default" r:id="rId10"/>
          <w:pgSz w:w="11907" w:h="16839"/>
          <w:pgMar w:top="1134" w:right="1417" w:bottom="1134" w:left="1417" w:header="709" w:footer="709" w:gutter="0"/>
          <w:pgNumType w:start="0"/>
          <w:cols w:space="720"/>
          <w:docGrid w:linePitch="360"/>
        </w:sectPr>
      </w:pPr>
    </w:p>
    <w:p w:rsidR="001A62D7" w:rsidRDefault="001A62D7" w:rsidP="001A62D7">
      <w:pPr>
        <w:pStyle w:val="Exposdesmotifstitre"/>
        <w:rPr>
          <w:noProof/>
        </w:rPr>
      </w:pPr>
      <w:bookmarkStart w:id="0" w:name="_GoBack"/>
      <w:bookmarkEnd w:id="0"/>
      <w:r w:rsidRPr="006F770D">
        <w:rPr>
          <w:noProof/>
        </w:rPr>
        <w:lastRenderedPageBreak/>
        <w:t>EXPLANATORY MEMORANDUM</w:t>
      </w:r>
    </w:p>
    <w:p w:rsidR="001A62D7" w:rsidRPr="006F770D" w:rsidRDefault="001A62D7" w:rsidP="001A62D7">
      <w:pPr>
        <w:pStyle w:val="ManualHeading1"/>
        <w:rPr>
          <w:noProof/>
        </w:rPr>
      </w:pPr>
      <w:r w:rsidRPr="006F770D">
        <w:rPr>
          <w:noProof/>
        </w:rPr>
        <w:t>CONTEXT OF THE PROPOSAL</w:t>
      </w:r>
    </w:p>
    <w:p w:rsidR="001A62D7" w:rsidRDefault="001A62D7" w:rsidP="00AE7D04">
      <w:pPr>
        <w:pStyle w:val="ManualNumPar1"/>
        <w:rPr>
          <w:noProof/>
        </w:rPr>
      </w:pPr>
      <w:r>
        <w:rPr>
          <w:noProof/>
        </w:rPr>
        <w:t>1.</w:t>
      </w:r>
      <w:r>
        <w:rPr>
          <w:noProof/>
        </w:rPr>
        <w:tab/>
      </w:r>
      <w:r w:rsidRPr="008D462D">
        <w:rPr>
          <w:noProof/>
        </w:rPr>
        <w:t xml:space="preserve">The rules applicable to financial contributions from the European Globalisation Adjustment Fund </w:t>
      </w:r>
      <w:r>
        <w:rPr>
          <w:noProof/>
        </w:rPr>
        <w:t xml:space="preserve">for Displaced Workers </w:t>
      </w:r>
      <w:r w:rsidRPr="008D462D">
        <w:rPr>
          <w:noProof/>
        </w:rPr>
        <w:t xml:space="preserve">(EGF) are laid down in </w:t>
      </w:r>
      <w:r w:rsidRPr="00B6657B">
        <w:rPr>
          <w:noProof/>
        </w:rPr>
        <w:t>Regulation (EU) 2021/691</w:t>
      </w:r>
      <w:r>
        <w:rPr>
          <w:noProof/>
        </w:rPr>
        <w:t xml:space="preserve"> </w:t>
      </w:r>
      <w:r w:rsidRPr="00B6657B">
        <w:rPr>
          <w:noProof/>
        </w:rPr>
        <w:t>of the European Parliament and of the Council of 28 April 2021 on the European Globalisation Adjustment Fund for Displaced Workers (EGF) and repealing Regulation (EU) No 1309/2013</w:t>
      </w:r>
      <w:r w:rsidRPr="00B6657B">
        <w:rPr>
          <w:rStyle w:val="FootnoteReference"/>
          <w:noProof/>
        </w:rPr>
        <w:footnoteReference w:id="1"/>
      </w:r>
      <w:r w:rsidRPr="008D462D">
        <w:rPr>
          <w:noProof/>
        </w:rPr>
        <w:t>.</w:t>
      </w:r>
    </w:p>
    <w:p w:rsidR="001A62D7" w:rsidRDefault="001A62D7" w:rsidP="00AE7D04">
      <w:pPr>
        <w:pStyle w:val="ManualNumPar1"/>
        <w:rPr>
          <w:noProof/>
        </w:rPr>
      </w:pPr>
      <w:r>
        <w:rPr>
          <w:noProof/>
        </w:rPr>
        <w:t>2.</w:t>
      </w:r>
      <w:r>
        <w:rPr>
          <w:noProof/>
        </w:rPr>
        <w:tab/>
        <w:t>On</w:t>
      </w:r>
      <w:r w:rsidR="000D02FF">
        <w:rPr>
          <w:noProof/>
        </w:rPr>
        <w:t xml:space="preserve"> 22 December 2025</w:t>
      </w:r>
      <w:r>
        <w:rPr>
          <w:noProof/>
        </w:rPr>
        <w:t xml:space="preserve">, </w:t>
      </w:r>
      <w:r w:rsidR="005B68D8">
        <w:rPr>
          <w:noProof/>
        </w:rPr>
        <w:t>Belgium</w:t>
      </w:r>
      <w:r>
        <w:rPr>
          <w:noProof/>
        </w:rPr>
        <w:t xml:space="preserve"> </w:t>
      </w:r>
      <w:r w:rsidRPr="008D462D">
        <w:rPr>
          <w:noProof/>
        </w:rPr>
        <w:t xml:space="preserve">submitted </w:t>
      </w:r>
      <w:r>
        <w:rPr>
          <w:noProof/>
        </w:rPr>
        <w:t xml:space="preserve">an </w:t>
      </w:r>
      <w:r w:rsidRPr="008D462D">
        <w:rPr>
          <w:noProof/>
        </w:rPr>
        <w:t>application EGF/</w:t>
      </w:r>
      <w:bookmarkStart w:id="1" w:name="EGF_Ref_Year"/>
      <w:r w:rsidR="005B68D8">
        <w:rPr>
          <w:noProof/>
        </w:rPr>
        <w:t>2025</w:t>
      </w:r>
      <w:bookmarkEnd w:id="1"/>
      <w:r w:rsidRPr="008D462D">
        <w:rPr>
          <w:noProof/>
        </w:rPr>
        <w:t>/</w:t>
      </w:r>
      <w:bookmarkStart w:id="2" w:name="EGF_Ref_CaseNumber"/>
      <w:r w:rsidR="005B68D8">
        <w:rPr>
          <w:noProof/>
        </w:rPr>
        <w:t>009</w:t>
      </w:r>
      <w:bookmarkEnd w:id="2"/>
      <w:r>
        <w:rPr>
          <w:noProof/>
        </w:rPr>
        <w:t> </w:t>
      </w:r>
      <w:bookmarkStart w:id="3" w:name="MS_Code"/>
      <w:r w:rsidR="00FF1A01">
        <w:rPr>
          <w:noProof/>
        </w:rPr>
        <w:t>BE</w:t>
      </w:r>
      <w:bookmarkEnd w:id="3"/>
      <w:r w:rsidRPr="008D462D">
        <w:rPr>
          <w:noProof/>
        </w:rPr>
        <w:t>/</w:t>
      </w:r>
      <w:bookmarkStart w:id="4" w:name="EGF_Ref_CaseName"/>
      <w:r w:rsidR="005B68D8">
        <w:rPr>
          <w:noProof/>
        </w:rPr>
        <w:t>Soliver</w:t>
      </w:r>
      <w:bookmarkEnd w:id="4"/>
      <w:r w:rsidRPr="008D462D">
        <w:rPr>
          <w:noProof/>
        </w:rPr>
        <w:t xml:space="preserve"> for a financial contribution from the EGF, following</w:t>
      </w:r>
      <w:r>
        <w:rPr>
          <w:noProof/>
        </w:rPr>
        <w:t xml:space="preserve"> displacements </w:t>
      </w:r>
      <w:r w:rsidRPr="009429ED">
        <w:rPr>
          <w:noProof/>
        </w:rPr>
        <w:t>in</w:t>
      </w:r>
      <w:r>
        <w:rPr>
          <w:noProof/>
        </w:rPr>
        <w:t xml:space="preserve"> </w:t>
      </w:r>
      <w:bookmarkStart w:id="5" w:name="PrimEnterprise_Name"/>
      <w:r w:rsidR="005B68D8">
        <w:rPr>
          <w:noProof/>
        </w:rPr>
        <w:t>Soliver</w:t>
      </w:r>
      <w:r w:rsidR="00EA5C15">
        <w:rPr>
          <w:noProof/>
        </w:rPr>
        <w:t xml:space="preserve"> NV </w:t>
      </w:r>
      <w:r w:rsidR="005B68D8">
        <w:rPr>
          <w:noProof/>
        </w:rPr>
        <w:t>(Soliver)</w:t>
      </w:r>
      <w:bookmarkEnd w:id="5"/>
      <w:r>
        <w:rPr>
          <w:noProof/>
        </w:rPr>
        <w:t xml:space="preserve"> in </w:t>
      </w:r>
      <w:bookmarkStart w:id="6" w:name="MS_Name"/>
      <w:r w:rsidR="005B68D8">
        <w:rPr>
          <w:noProof/>
        </w:rPr>
        <w:t>Belgium</w:t>
      </w:r>
      <w:bookmarkEnd w:id="6"/>
      <w:r>
        <w:rPr>
          <w:noProof/>
        </w:rPr>
        <w:t>.</w:t>
      </w:r>
    </w:p>
    <w:p w:rsidR="001A62D7" w:rsidRPr="00B1325C" w:rsidRDefault="001A62D7" w:rsidP="00AE7D04">
      <w:pPr>
        <w:pStyle w:val="ManualNumPar1"/>
        <w:rPr>
          <w:noProof/>
        </w:rPr>
      </w:pPr>
      <w:r>
        <w:rPr>
          <w:noProof/>
        </w:rPr>
        <w:t>3.</w:t>
      </w:r>
      <w:r>
        <w:rPr>
          <w:noProof/>
        </w:rPr>
        <w:tab/>
      </w:r>
      <w:r w:rsidRPr="00B1325C">
        <w:rPr>
          <w:noProof/>
        </w:rPr>
        <w:t xml:space="preserve">Following its assessment of this application, the Commission has concluded, in accordance with all applicable provisions of </w:t>
      </w:r>
      <w:r>
        <w:rPr>
          <w:noProof/>
        </w:rPr>
        <w:t>Regulation (EU) 2021/691</w:t>
      </w:r>
      <w:r w:rsidRPr="00B1325C">
        <w:rPr>
          <w:noProof/>
        </w:rPr>
        <w:t>, that the conditions for awarding a financial contribution from the EGF</w:t>
      </w:r>
      <w:r>
        <w:rPr>
          <w:noProof/>
        </w:rPr>
        <w:t xml:space="preserve"> are met. </w:t>
      </w:r>
    </w:p>
    <w:p w:rsidR="001A62D7" w:rsidRPr="006F770D" w:rsidRDefault="001A62D7" w:rsidP="001A62D7">
      <w:pPr>
        <w:pStyle w:val="ManualHeading1"/>
        <w:rPr>
          <w:noProof/>
        </w:rPr>
      </w:pPr>
      <w:r>
        <w:rPr>
          <w:noProof/>
        </w:rPr>
        <w:t>SUMMARY OF THE APPLICATION</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8D462D" w:rsidTr="001D5990">
        <w:tc>
          <w:tcPr>
            <w:tcW w:w="4908" w:type="dxa"/>
            <w:shd w:val="clear" w:color="auto" w:fill="auto"/>
          </w:tcPr>
          <w:p w:rsidR="001A62D7" w:rsidRPr="008D462D" w:rsidRDefault="001A62D7" w:rsidP="001D5990">
            <w:pPr>
              <w:spacing w:before="60" w:after="60"/>
              <w:jc w:val="left"/>
              <w:rPr>
                <w:rFonts w:eastAsia="Calibri"/>
                <w:noProof/>
              </w:rPr>
            </w:pPr>
            <w:r w:rsidRPr="008D462D">
              <w:rPr>
                <w:noProof/>
              </w:rPr>
              <w:t>EGF application</w:t>
            </w:r>
          </w:p>
        </w:tc>
        <w:tc>
          <w:tcPr>
            <w:tcW w:w="4379" w:type="dxa"/>
            <w:shd w:val="clear" w:color="auto" w:fill="auto"/>
          </w:tcPr>
          <w:p w:rsidR="001A62D7" w:rsidRPr="008D462D" w:rsidRDefault="001A62D7" w:rsidP="001D5990">
            <w:pPr>
              <w:spacing w:before="60" w:after="60"/>
              <w:ind w:rightChars="192" w:right="461"/>
              <w:jc w:val="left"/>
              <w:rPr>
                <w:rFonts w:eastAsia="Calibri"/>
                <w:noProof/>
              </w:rPr>
            </w:pPr>
            <w:r w:rsidRPr="008D462D">
              <w:rPr>
                <w:noProof/>
              </w:rPr>
              <w:t>EGF/</w:t>
            </w:r>
            <w:r w:rsidR="005B68D8">
              <w:rPr>
                <w:noProof/>
              </w:rPr>
              <w:t>2025</w:t>
            </w:r>
            <w:r w:rsidRPr="008D462D">
              <w:rPr>
                <w:noProof/>
              </w:rPr>
              <w:t>/</w:t>
            </w:r>
            <w:r w:rsidR="005B68D8">
              <w:rPr>
                <w:noProof/>
              </w:rPr>
              <w:t>009</w:t>
            </w:r>
            <w:r w:rsidRPr="008D462D">
              <w:rPr>
                <w:noProof/>
              </w:rPr>
              <w:t xml:space="preserve"> </w:t>
            </w:r>
            <w:r w:rsidR="00FF1A01">
              <w:rPr>
                <w:noProof/>
              </w:rPr>
              <w:t>BE</w:t>
            </w:r>
            <w:r w:rsidRPr="008D462D">
              <w:rPr>
                <w:noProof/>
              </w:rPr>
              <w:t>/</w:t>
            </w:r>
            <w:r w:rsidR="005B68D8">
              <w:rPr>
                <w:noProof/>
              </w:rPr>
              <w:t>Soliver</w:t>
            </w:r>
          </w:p>
        </w:tc>
      </w:tr>
      <w:tr w:rsidR="001A62D7" w:rsidRPr="008D462D" w:rsidTr="001D5990">
        <w:tc>
          <w:tcPr>
            <w:tcW w:w="4908" w:type="dxa"/>
            <w:shd w:val="clear" w:color="auto" w:fill="auto"/>
          </w:tcPr>
          <w:p w:rsidR="001A62D7" w:rsidRPr="008D462D" w:rsidRDefault="001A62D7" w:rsidP="001D5990">
            <w:pPr>
              <w:spacing w:before="60" w:after="60"/>
              <w:jc w:val="left"/>
              <w:rPr>
                <w:rFonts w:eastAsia="Calibri"/>
                <w:noProof/>
              </w:rPr>
            </w:pPr>
            <w:r>
              <w:rPr>
                <w:rFonts w:eastAsia="Calibri"/>
                <w:noProof/>
              </w:rPr>
              <w:t>Member State</w:t>
            </w:r>
          </w:p>
        </w:tc>
        <w:tc>
          <w:tcPr>
            <w:tcW w:w="4379" w:type="dxa"/>
            <w:shd w:val="clear" w:color="auto" w:fill="auto"/>
          </w:tcPr>
          <w:p w:rsidR="001A62D7" w:rsidRPr="008D462D" w:rsidRDefault="005B68D8" w:rsidP="001D5990">
            <w:pPr>
              <w:spacing w:before="60" w:after="60"/>
              <w:ind w:rightChars="192" w:right="461"/>
              <w:jc w:val="left"/>
              <w:rPr>
                <w:rFonts w:eastAsia="Calibri"/>
                <w:noProof/>
              </w:rPr>
            </w:pPr>
            <w:r>
              <w:rPr>
                <w:noProof/>
              </w:rPr>
              <w:t>Belgium</w:t>
            </w:r>
          </w:p>
        </w:tc>
      </w:tr>
      <w:tr w:rsidR="001A62D7" w:rsidRPr="009429ED" w:rsidTr="001D5990">
        <w:tc>
          <w:tcPr>
            <w:tcW w:w="4908" w:type="dxa"/>
            <w:tcBorders>
              <w:bottom w:val="single"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Reg</w:t>
            </w:r>
            <w:r>
              <w:rPr>
                <w:rFonts w:eastAsia="Calibri"/>
                <w:noProof/>
              </w:rPr>
              <w:t>ion(s) concerned (NUTS</w:t>
            </w:r>
            <w:r w:rsidRPr="006927AB">
              <w:rPr>
                <w:rStyle w:val="FootnoteReference"/>
                <w:noProof/>
              </w:rPr>
              <w:footnoteReference w:id="2"/>
            </w:r>
            <w:r>
              <w:rPr>
                <w:rFonts w:eastAsia="Calibri"/>
                <w:noProof/>
              </w:rPr>
              <w:t xml:space="preserve"> level 2)</w:t>
            </w:r>
          </w:p>
        </w:tc>
        <w:tc>
          <w:tcPr>
            <w:tcW w:w="4379" w:type="dxa"/>
            <w:tcBorders>
              <w:bottom w:val="single" w:sz="4" w:space="0" w:color="auto"/>
            </w:tcBorders>
            <w:shd w:val="clear" w:color="auto" w:fill="auto"/>
          </w:tcPr>
          <w:p w:rsidR="001A62D7" w:rsidRPr="009429ED" w:rsidRDefault="00F9787A" w:rsidP="001D5990">
            <w:pPr>
              <w:spacing w:before="0" w:after="0"/>
              <w:ind w:rightChars="192" w:right="461"/>
              <w:jc w:val="left"/>
              <w:rPr>
                <w:noProof/>
                <w:szCs w:val="24"/>
              </w:rPr>
            </w:pPr>
            <w:r>
              <w:rPr>
                <w:noProof/>
                <w:szCs w:val="24"/>
              </w:rPr>
              <w:t xml:space="preserve">Provincie </w:t>
            </w:r>
            <w:r w:rsidRPr="00F9787A">
              <w:rPr>
                <w:noProof/>
                <w:szCs w:val="24"/>
              </w:rPr>
              <w:t>Oost-Vlaanderen</w:t>
            </w:r>
            <w:r w:rsidRPr="002E20C9">
              <w:rPr>
                <w:noProof/>
                <w:szCs w:val="24"/>
              </w:rPr>
              <w:t xml:space="preserve"> (</w:t>
            </w:r>
            <w:r>
              <w:rPr>
                <w:noProof/>
                <w:szCs w:val="24"/>
              </w:rPr>
              <w:t>BE23</w:t>
            </w:r>
            <w:r w:rsidRPr="002E20C9">
              <w:rPr>
                <w:noProof/>
                <w:szCs w:val="24"/>
              </w:rPr>
              <w:t>)</w:t>
            </w:r>
            <w:r>
              <w:rPr>
                <w:noProof/>
                <w:szCs w:val="24"/>
              </w:rPr>
              <w:t xml:space="preserve"> and </w:t>
            </w:r>
            <w:bookmarkStart w:id="7" w:name="Region_1_Name"/>
            <w:r w:rsidR="00645F04">
              <w:rPr>
                <w:noProof/>
                <w:szCs w:val="24"/>
              </w:rPr>
              <w:t xml:space="preserve">Provincie </w:t>
            </w:r>
            <w:r w:rsidR="00645F04" w:rsidRPr="00645F04">
              <w:rPr>
                <w:noProof/>
                <w:szCs w:val="24"/>
              </w:rPr>
              <w:t>West-Vlaanderen</w:t>
            </w:r>
            <w:bookmarkEnd w:id="7"/>
            <w:r w:rsidR="001A62D7" w:rsidRPr="002E20C9">
              <w:rPr>
                <w:noProof/>
                <w:szCs w:val="24"/>
              </w:rPr>
              <w:t xml:space="preserve"> (</w:t>
            </w:r>
            <w:r w:rsidR="00645F04">
              <w:rPr>
                <w:noProof/>
                <w:szCs w:val="24"/>
              </w:rPr>
              <w:t>BE25</w:t>
            </w:r>
            <w:r w:rsidR="001A62D7" w:rsidRPr="002E20C9">
              <w:rPr>
                <w:noProof/>
                <w:szCs w:val="24"/>
              </w:rPr>
              <w:t>)</w:t>
            </w:r>
            <w:r w:rsidR="000D02FF">
              <w:rPr>
                <w:noProof/>
                <w:szCs w:val="24"/>
              </w:rPr>
              <w:t xml:space="preserve"> </w:t>
            </w:r>
          </w:p>
        </w:tc>
      </w:tr>
      <w:tr w:rsidR="001A62D7" w:rsidRPr="008D462D" w:rsidTr="001D5990">
        <w:tc>
          <w:tcPr>
            <w:tcW w:w="4908" w:type="dxa"/>
            <w:tcBorders>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Date o</w:t>
            </w:r>
            <w:r>
              <w:rPr>
                <w:rFonts w:eastAsia="Calibri"/>
                <w:noProof/>
              </w:rPr>
              <w:t>f submission of the application</w:t>
            </w:r>
          </w:p>
        </w:tc>
        <w:tc>
          <w:tcPr>
            <w:tcW w:w="4379" w:type="dxa"/>
            <w:tcBorders>
              <w:bottom w:val="dotted" w:sz="4" w:space="0" w:color="auto"/>
            </w:tcBorders>
            <w:shd w:val="clear" w:color="auto" w:fill="auto"/>
          </w:tcPr>
          <w:p w:rsidR="001A62D7" w:rsidRPr="008D462D" w:rsidRDefault="000D02FF" w:rsidP="001D5990">
            <w:pPr>
              <w:spacing w:before="60" w:after="60"/>
              <w:ind w:rightChars="192" w:right="461"/>
              <w:jc w:val="left"/>
              <w:rPr>
                <w:rFonts w:eastAsia="Calibri"/>
                <w:noProof/>
              </w:rPr>
            </w:pPr>
            <w:r>
              <w:rPr>
                <w:noProof/>
              </w:rPr>
              <w:t>22 December 2025</w:t>
            </w:r>
          </w:p>
        </w:tc>
      </w:tr>
      <w:tr w:rsidR="001A62D7" w:rsidRPr="008D462D" w:rsidTr="001D5990">
        <w:tc>
          <w:tcPr>
            <w:tcW w:w="4908" w:type="dxa"/>
            <w:tcBorders>
              <w:top w:val="dotted" w:sz="4" w:space="0" w:color="auto"/>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Date of acknowledgemen</w:t>
            </w:r>
            <w:r>
              <w:rPr>
                <w:rFonts w:eastAsia="Calibri"/>
                <w:noProof/>
              </w:rPr>
              <w:t>t of receipt of the application</w:t>
            </w:r>
          </w:p>
        </w:tc>
        <w:tc>
          <w:tcPr>
            <w:tcW w:w="4379" w:type="dxa"/>
            <w:tcBorders>
              <w:top w:val="dotted" w:sz="4" w:space="0" w:color="auto"/>
              <w:bottom w:val="dotted" w:sz="4" w:space="0" w:color="auto"/>
            </w:tcBorders>
            <w:shd w:val="clear" w:color="auto" w:fill="auto"/>
          </w:tcPr>
          <w:p w:rsidR="001A62D7" w:rsidRPr="008D462D" w:rsidRDefault="000D02FF" w:rsidP="001D5990">
            <w:pPr>
              <w:spacing w:before="60" w:after="60"/>
              <w:ind w:rightChars="192" w:right="461"/>
              <w:jc w:val="left"/>
              <w:rPr>
                <w:rFonts w:eastAsia="Calibri"/>
                <w:noProof/>
              </w:rPr>
            </w:pPr>
            <w:r>
              <w:rPr>
                <w:noProof/>
              </w:rPr>
              <w:t>17 February 2026</w:t>
            </w:r>
          </w:p>
        </w:tc>
      </w:tr>
      <w:tr w:rsidR="001A62D7" w:rsidRPr="008D462D" w:rsidTr="001D5990">
        <w:tc>
          <w:tcPr>
            <w:tcW w:w="4908" w:type="dxa"/>
            <w:tcBorders>
              <w:top w:val="dotted" w:sz="4" w:space="0" w:color="auto"/>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Date of req</w:t>
            </w:r>
            <w:r>
              <w:rPr>
                <w:rFonts w:eastAsia="Calibri"/>
                <w:noProof/>
              </w:rPr>
              <w:t>uest for additional information</w:t>
            </w:r>
          </w:p>
        </w:tc>
        <w:tc>
          <w:tcPr>
            <w:tcW w:w="4379" w:type="dxa"/>
            <w:tcBorders>
              <w:top w:val="dotted" w:sz="4" w:space="0" w:color="auto"/>
              <w:bottom w:val="dotted" w:sz="4" w:space="0" w:color="auto"/>
            </w:tcBorders>
            <w:shd w:val="clear" w:color="auto" w:fill="auto"/>
          </w:tcPr>
          <w:p w:rsidR="001A62D7" w:rsidRPr="008D462D" w:rsidRDefault="000D02FF" w:rsidP="001D5990">
            <w:pPr>
              <w:spacing w:before="60" w:after="60"/>
              <w:ind w:rightChars="192" w:right="461"/>
              <w:jc w:val="left"/>
              <w:rPr>
                <w:rFonts w:eastAsia="Calibri"/>
                <w:noProof/>
              </w:rPr>
            </w:pPr>
            <w:r>
              <w:rPr>
                <w:noProof/>
              </w:rPr>
              <w:t>17 February 2026</w:t>
            </w:r>
          </w:p>
        </w:tc>
      </w:tr>
      <w:tr w:rsidR="001A62D7" w:rsidRPr="008D462D" w:rsidTr="001D5990">
        <w:tc>
          <w:tcPr>
            <w:tcW w:w="4908" w:type="dxa"/>
            <w:tcBorders>
              <w:top w:val="dotted" w:sz="4" w:space="0" w:color="auto"/>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Deadline</w:t>
            </w:r>
            <w:r>
              <w:rPr>
                <w:rFonts w:eastAsia="Calibri"/>
                <w:noProof/>
              </w:rPr>
              <w:t xml:space="preserve"> for</w:t>
            </w:r>
            <w:r w:rsidRPr="008D462D">
              <w:rPr>
                <w:rFonts w:eastAsia="Calibri"/>
                <w:noProof/>
              </w:rPr>
              <w:t xml:space="preserve"> provisio</w:t>
            </w:r>
            <w:r>
              <w:rPr>
                <w:rFonts w:eastAsia="Calibri"/>
                <w:noProof/>
              </w:rPr>
              <w:t>n of the additional information</w:t>
            </w:r>
          </w:p>
        </w:tc>
        <w:tc>
          <w:tcPr>
            <w:tcW w:w="4379" w:type="dxa"/>
            <w:tcBorders>
              <w:top w:val="dotted" w:sz="4" w:space="0" w:color="auto"/>
              <w:bottom w:val="dotted" w:sz="4" w:space="0" w:color="auto"/>
            </w:tcBorders>
            <w:shd w:val="clear" w:color="auto" w:fill="auto"/>
          </w:tcPr>
          <w:p w:rsidR="001A62D7" w:rsidRPr="008D462D" w:rsidRDefault="000D02FF" w:rsidP="001D5990">
            <w:pPr>
              <w:spacing w:before="60" w:after="60"/>
              <w:ind w:rightChars="192" w:right="461"/>
              <w:jc w:val="left"/>
              <w:rPr>
                <w:rFonts w:eastAsia="Calibri"/>
                <w:noProof/>
              </w:rPr>
            </w:pPr>
            <w:r>
              <w:rPr>
                <w:noProof/>
              </w:rPr>
              <w:t>10 March 2026</w:t>
            </w:r>
          </w:p>
        </w:tc>
      </w:tr>
      <w:tr w:rsidR="001A62D7" w:rsidRPr="008D462D" w:rsidTr="001D5990">
        <w:tc>
          <w:tcPr>
            <w:tcW w:w="4908" w:type="dxa"/>
            <w:tcBorders>
              <w:top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Deadline for the completion of the a</w:t>
            </w:r>
            <w:r>
              <w:rPr>
                <w:rFonts w:eastAsia="Calibri"/>
                <w:noProof/>
              </w:rPr>
              <w:t>ssessment</w:t>
            </w:r>
          </w:p>
        </w:tc>
        <w:tc>
          <w:tcPr>
            <w:tcW w:w="4379" w:type="dxa"/>
            <w:tcBorders>
              <w:top w:val="dotted" w:sz="4" w:space="0" w:color="auto"/>
            </w:tcBorders>
            <w:shd w:val="clear" w:color="auto" w:fill="auto"/>
          </w:tcPr>
          <w:p w:rsidR="001A62D7" w:rsidRPr="008D462D" w:rsidRDefault="000D02FF" w:rsidP="001D5990">
            <w:pPr>
              <w:spacing w:before="60" w:after="60"/>
              <w:ind w:rightChars="192" w:right="461"/>
              <w:jc w:val="left"/>
              <w:rPr>
                <w:rFonts w:eastAsia="Calibri"/>
                <w:noProof/>
              </w:rPr>
            </w:pPr>
            <w:r>
              <w:rPr>
                <w:noProof/>
              </w:rPr>
              <w:t>28 May 2026</w:t>
            </w:r>
          </w:p>
        </w:tc>
      </w:tr>
      <w:tr w:rsidR="001A62D7" w:rsidRPr="008D462D" w:rsidTr="001D5990">
        <w:tc>
          <w:tcPr>
            <w:tcW w:w="4908" w:type="dxa"/>
            <w:shd w:val="clear" w:color="auto" w:fill="auto"/>
          </w:tcPr>
          <w:p w:rsidR="001A62D7" w:rsidRPr="008D462D" w:rsidRDefault="001A62D7" w:rsidP="001D5990">
            <w:pPr>
              <w:spacing w:before="60" w:after="60"/>
              <w:jc w:val="left"/>
              <w:rPr>
                <w:rFonts w:eastAsia="Calibri"/>
                <w:noProof/>
              </w:rPr>
            </w:pPr>
            <w:r>
              <w:rPr>
                <w:rFonts w:eastAsia="Calibri"/>
                <w:noProof/>
              </w:rPr>
              <w:t>Intervention criterion</w:t>
            </w:r>
          </w:p>
        </w:tc>
        <w:tc>
          <w:tcPr>
            <w:tcW w:w="4379" w:type="dxa"/>
            <w:shd w:val="clear" w:color="auto" w:fill="auto"/>
          </w:tcPr>
          <w:p w:rsidR="001A62D7" w:rsidRPr="008D462D" w:rsidRDefault="001A62D7" w:rsidP="001D5990">
            <w:pPr>
              <w:spacing w:before="60" w:after="60"/>
              <w:ind w:rightChars="192" w:right="461"/>
              <w:jc w:val="left"/>
              <w:rPr>
                <w:rFonts w:eastAsia="Calibri"/>
                <w:noProof/>
              </w:rPr>
            </w:pPr>
            <w:r w:rsidRPr="008D462D">
              <w:rPr>
                <w:rFonts w:eastAsia="Calibri"/>
                <w:noProof/>
              </w:rPr>
              <w:t>Article </w:t>
            </w:r>
            <w:r>
              <w:rPr>
                <w:rFonts w:eastAsia="Calibri"/>
                <w:noProof/>
              </w:rPr>
              <w:t>4</w:t>
            </w:r>
            <w:r w:rsidRPr="008D462D">
              <w:rPr>
                <w:rFonts w:eastAsia="Calibri"/>
                <w:noProof/>
              </w:rPr>
              <w:t>(</w:t>
            </w:r>
            <w:r w:rsidR="00F7776C">
              <w:rPr>
                <w:rFonts w:eastAsia="Calibri"/>
                <w:noProof/>
              </w:rPr>
              <w:t>2</w:t>
            </w:r>
            <w:r w:rsidRPr="008D462D">
              <w:rPr>
                <w:rFonts w:eastAsia="Calibri"/>
                <w:noProof/>
              </w:rPr>
              <w:t>)</w:t>
            </w:r>
            <w:r>
              <w:rPr>
                <w:rFonts w:eastAsia="Calibri"/>
                <w:noProof/>
              </w:rPr>
              <w:t>, point (</w:t>
            </w:r>
            <w:r w:rsidR="00F7776C">
              <w:rPr>
                <w:rFonts w:eastAsia="Calibri"/>
                <w:noProof/>
              </w:rPr>
              <w:t>a</w:t>
            </w:r>
            <w:r w:rsidRPr="008D462D">
              <w:rPr>
                <w:rFonts w:eastAsia="Calibri"/>
                <w:noProof/>
              </w:rPr>
              <w:t>)</w:t>
            </w:r>
            <w:r>
              <w:rPr>
                <w:rFonts w:eastAsia="Calibri"/>
                <w:noProof/>
              </w:rPr>
              <w:t>,</w:t>
            </w:r>
            <w:r w:rsidRPr="008D462D">
              <w:rPr>
                <w:rFonts w:eastAsia="Calibri"/>
                <w:noProof/>
              </w:rPr>
              <w:t xml:space="preserve"> of </w:t>
            </w:r>
            <w:r>
              <w:rPr>
                <w:rFonts w:eastAsia="Calibri"/>
                <w:noProof/>
              </w:rPr>
              <w:t>Regulation (EU) 2021/691</w:t>
            </w:r>
          </w:p>
        </w:tc>
      </w:tr>
      <w:tr w:rsidR="001A62D7" w:rsidRPr="008D462D" w:rsidTr="001D5990">
        <w:tc>
          <w:tcPr>
            <w:tcW w:w="4908" w:type="dxa"/>
            <w:tcBorders>
              <w:top w:val="single" w:sz="4" w:space="0" w:color="auto"/>
              <w:bottom w:val="single" w:sz="4" w:space="0" w:color="auto"/>
              <w:right w:val="single" w:sz="4" w:space="0" w:color="auto"/>
            </w:tcBorders>
            <w:shd w:val="clear" w:color="auto" w:fill="auto"/>
          </w:tcPr>
          <w:p w:rsidR="001A62D7" w:rsidRPr="006927AB" w:rsidRDefault="001A62D7" w:rsidP="001D5990">
            <w:pPr>
              <w:spacing w:before="60" w:after="60"/>
              <w:jc w:val="left"/>
              <w:rPr>
                <w:rFonts w:eastAsia="Calibri"/>
                <w:noProof/>
              </w:rPr>
            </w:pPr>
            <w:r w:rsidRPr="006927AB">
              <w:rPr>
                <w:noProof/>
              </w:rPr>
              <w:br w:type="page"/>
            </w:r>
            <w:r w:rsidRPr="006927AB">
              <w:rPr>
                <w:rFonts w:eastAsia="Calibri"/>
                <w:noProof/>
              </w:rPr>
              <w:t>Primary enterprise</w:t>
            </w:r>
          </w:p>
        </w:tc>
        <w:tc>
          <w:tcPr>
            <w:tcW w:w="4379" w:type="dxa"/>
            <w:tcBorders>
              <w:top w:val="single" w:sz="4" w:space="0" w:color="auto"/>
              <w:left w:val="single" w:sz="4" w:space="0" w:color="auto"/>
              <w:bottom w:val="single" w:sz="4" w:space="0" w:color="auto"/>
            </w:tcBorders>
            <w:shd w:val="clear" w:color="auto" w:fill="auto"/>
          </w:tcPr>
          <w:p w:rsidR="001A62D7" w:rsidRPr="006927AB" w:rsidRDefault="006B2E5B" w:rsidP="001D5990">
            <w:pPr>
              <w:spacing w:before="60" w:after="60"/>
              <w:ind w:rightChars="192" w:right="461"/>
              <w:jc w:val="left"/>
              <w:rPr>
                <w:noProof/>
                <w:szCs w:val="24"/>
              </w:rPr>
            </w:pPr>
            <w:r>
              <w:rPr>
                <w:noProof/>
              </w:rPr>
              <w:t>Soliver</w:t>
            </w:r>
            <w:r w:rsidR="00EA5C15">
              <w:rPr>
                <w:noProof/>
              </w:rPr>
              <w:t xml:space="preserve"> NV </w:t>
            </w:r>
          </w:p>
        </w:tc>
      </w:tr>
      <w:tr w:rsidR="001A62D7" w:rsidRPr="000D02FF" w:rsidTr="001D5990">
        <w:tc>
          <w:tcPr>
            <w:tcW w:w="4908" w:type="dxa"/>
            <w:shd w:val="clear" w:color="auto" w:fill="auto"/>
          </w:tcPr>
          <w:p w:rsidR="001A62D7" w:rsidRDefault="001A62D7" w:rsidP="001D5990">
            <w:pPr>
              <w:spacing w:before="60" w:after="60"/>
              <w:jc w:val="left"/>
              <w:rPr>
                <w:rFonts w:eastAsia="Calibri"/>
                <w:noProof/>
              </w:rPr>
            </w:pPr>
            <w:r>
              <w:rPr>
                <w:rFonts w:eastAsia="Calibri"/>
                <w:noProof/>
              </w:rPr>
              <w:t>Sector(s) of economic activity</w:t>
            </w:r>
          </w:p>
          <w:p w:rsidR="001A62D7" w:rsidRPr="008D462D" w:rsidRDefault="001A62D7" w:rsidP="001D5990">
            <w:pPr>
              <w:spacing w:before="60" w:after="60"/>
              <w:jc w:val="left"/>
              <w:rPr>
                <w:rFonts w:eastAsia="Calibri"/>
                <w:noProof/>
              </w:rPr>
            </w:pPr>
            <w:r w:rsidRPr="008D462D">
              <w:rPr>
                <w:rFonts w:eastAsia="Calibri"/>
                <w:noProof/>
              </w:rPr>
              <w:t>(NACE Rev</w:t>
            </w:r>
            <w:r>
              <w:rPr>
                <w:rFonts w:eastAsia="Calibri"/>
                <w:noProof/>
              </w:rPr>
              <w:t>ision</w:t>
            </w:r>
            <w:r w:rsidRPr="008D462D">
              <w:rPr>
                <w:rFonts w:eastAsia="Calibri"/>
                <w:noProof/>
              </w:rPr>
              <w:t xml:space="preserve"> 2 </w:t>
            </w:r>
            <w:r>
              <w:rPr>
                <w:rFonts w:eastAsia="Calibri"/>
                <w:noProof/>
              </w:rPr>
              <w:t>d</w:t>
            </w:r>
            <w:r w:rsidRPr="008D462D">
              <w:rPr>
                <w:rFonts w:eastAsia="Calibri"/>
                <w:noProof/>
              </w:rPr>
              <w:t>ivision)</w:t>
            </w:r>
            <w:r>
              <w:rPr>
                <w:rStyle w:val="FootnoteReference"/>
                <w:noProof/>
                <w:szCs w:val="24"/>
              </w:rPr>
              <w:footnoteReference w:id="3"/>
            </w:r>
          </w:p>
        </w:tc>
        <w:tc>
          <w:tcPr>
            <w:tcW w:w="4379" w:type="dxa"/>
            <w:shd w:val="clear" w:color="auto" w:fill="auto"/>
          </w:tcPr>
          <w:p w:rsidR="001A62D7" w:rsidRPr="000D02FF" w:rsidRDefault="001A62D7" w:rsidP="001D5990">
            <w:pPr>
              <w:spacing w:before="60" w:after="60"/>
              <w:ind w:rightChars="192" w:right="461"/>
              <w:jc w:val="left"/>
              <w:rPr>
                <w:noProof/>
                <w:szCs w:val="24"/>
                <w:lang w:val="en-IE"/>
              </w:rPr>
            </w:pPr>
            <w:r w:rsidRPr="000D02FF">
              <w:rPr>
                <w:noProof/>
                <w:szCs w:val="24"/>
                <w:lang w:val="en-IE"/>
              </w:rPr>
              <w:t xml:space="preserve">Division </w:t>
            </w:r>
            <w:r w:rsidR="000D02FF" w:rsidRPr="000D02FF">
              <w:rPr>
                <w:noProof/>
                <w:szCs w:val="24"/>
                <w:lang w:val="en-IE"/>
              </w:rPr>
              <w:t>46</w:t>
            </w:r>
            <w:r w:rsidRPr="000D02FF">
              <w:rPr>
                <w:noProof/>
                <w:szCs w:val="24"/>
                <w:lang w:val="en-IE"/>
              </w:rPr>
              <w:t xml:space="preserve"> (</w:t>
            </w:r>
            <w:bookmarkStart w:id="8" w:name="_Hlk224138901"/>
            <w:r w:rsidR="000D02FF" w:rsidRPr="000D02FF">
              <w:rPr>
                <w:noProof/>
                <w:szCs w:val="24"/>
                <w:lang w:val="en-IE"/>
              </w:rPr>
              <w:t>Wholesale trade</w:t>
            </w:r>
            <w:bookmarkEnd w:id="8"/>
            <w:r w:rsidRPr="000D02FF">
              <w:rPr>
                <w:noProof/>
                <w:szCs w:val="24"/>
                <w:lang w:val="en-IE"/>
              </w:rPr>
              <w:t>)</w:t>
            </w:r>
          </w:p>
        </w:tc>
      </w:tr>
      <w:tr w:rsidR="001A62D7" w:rsidRPr="008D462D" w:rsidTr="001D5990">
        <w:tc>
          <w:tcPr>
            <w:tcW w:w="4908" w:type="dxa"/>
            <w:tcBorders>
              <w:bottom w:val="single" w:sz="4" w:space="0" w:color="auto"/>
            </w:tcBorders>
            <w:shd w:val="clear" w:color="auto" w:fill="auto"/>
          </w:tcPr>
          <w:p w:rsidR="001A62D7" w:rsidRPr="008D462D" w:rsidRDefault="001A62D7" w:rsidP="001D5990">
            <w:pPr>
              <w:spacing w:before="60" w:after="60"/>
              <w:jc w:val="left"/>
              <w:rPr>
                <w:rFonts w:eastAsia="Calibri"/>
                <w:noProof/>
              </w:rPr>
            </w:pPr>
            <w:r>
              <w:rPr>
                <w:rFonts w:eastAsia="Calibri"/>
                <w:noProof/>
              </w:rPr>
              <w:t>Reference period (</w:t>
            </w:r>
            <w:r w:rsidR="00F7776C">
              <w:rPr>
                <w:rFonts w:eastAsia="Calibri"/>
                <w:noProof/>
              </w:rPr>
              <w:t>four</w:t>
            </w:r>
            <w:r>
              <w:rPr>
                <w:rFonts w:eastAsia="Calibri"/>
                <w:noProof/>
              </w:rPr>
              <w:t xml:space="preserve"> months):</w:t>
            </w:r>
          </w:p>
        </w:tc>
        <w:tc>
          <w:tcPr>
            <w:tcW w:w="4379" w:type="dxa"/>
            <w:tcBorders>
              <w:bottom w:val="single" w:sz="4" w:space="0" w:color="auto"/>
            </w:tcBorders>
            <w:shd w:val="clear" w:color="auto" w:fill="auto"/>
          </w:tcPr>
          <w:p w:rsidR="001A62D7" w:rsidRPr="008D462D" w:rsidRDefault="000D02FF" w:rsidP="001D5990">
            <w:pPr>
              <w:spacing w:before="60" w:after="60"/>
              <w:ind w:rightChars="192" w:right="461"/>
              <w:jc w:val="left"/>
              <w:rPr>
                <w:rFonts w:eastAsia="Calibri"/>
                <w:noProof/>
              </w:rPr>
            </w:pPr>
            <w:r>
              <w:rPr>
                <w:noProof/>
              </w:rPr>
              <w:t>1 July 2025</w:t>
            </w:r>
            <w:r w:rsidR="001A62D7" w:rsidRPr="008D462D">
              <w:rPr>
                <w:rFonts w:eastAsia="Calibri"/>
                <w:noProof/>
              </w:rPr>
              <w:t xml:space="preserve"> </w:t>
            </w:r>
            <w:r>
              <w:rPr>
                <w:rFonts w:eastAsia="Calibri"/>
                <w:noProof/>
              </w:rPr>
              <w:t>–</w:t>
            </w:r>
            <w:r w:rsidR="001A62D7" w:rsidRPr="008D462D">
              <w:rPr>
                <w:rFonts w:eastAsia="Calibri"/>
                <w:noProof/>
              </w:rPr>
              <w:t xml:space="preserve"> </w:t>
            </w:r>
            <w:r>
              <w:rPr>
                <w:noProof/>
              </w:rPr>
              <w:t>1 November 2025</w:t>
            </w:r>
          </w:p>
        </w:tc>
      </w:tr>
      <w:tr w:rsidR="001A62D7" w:rsidRPr="00DF2488" w:rsidTr="001D5990">
        <w:tc>
          <w:tcPr>
            <w:tcW w:w="4908" w:type="dxa"/>
            <w:tcBorders>
              <w:bottom w:val="dotted" w:sz="4" w:space="0" w:color="auto"/>
            </w:tcBorders>
            <w:shd w:val="clear" w:color="auto" w:fill="auto"/>
          </w:tcPr>
          <w:p w:rsidR="001A62D7" w:rsidRPr="00DF2488" w:rsidRDefault="001A62D7" w:rsidP="001D5990">
            <w:pPr>
              <w:spacing w:before="60" w:after="60"/>
              <w:jc w:val="left"/>
              <w:rPr>
                <w:rFonts w:eastAsia="Calibri"/>
                <w:noProof/>
                <w:highlight w:val="magenta"/>
              </w:rPr>
            </w:pPr>
            <w:r w:rsidRPr="00E438FE">
              <w:rPr>
                <w:rFonts w:eastAsia="Calibri"/>
                <w:noProof/>
              </w:rPr>
              <w:t xml:space="preserve">Number of </w:t>
            </w:r>
            <w:r>
              <w:rPr>
                <w:rFonts w:eastAsia="Calibri"/>
                <w:noProof/>
              </w:rPr>
              <w:t>displacements</w:t>
            </w:r>
            <w:r w:rsidRPr="00E438FE">
              <w:rPr>
                <w:rFonts w:eastAsia="Calibri"/>
                <w:noProof/>
              </w:rPr>
              <w:t xml:space="preserve"> during the reference period </w:t>
            </w:r>
          </w:p>
        </w:tc>
        <w:tc>
          <w:tcPr>
            <w:tcW w:w="4379" w:type="dxa"/>
            <w:tcBorders>
              <w:bottom w:val="dotted" w:sz="4" w:space="0" w:color="auto"/>
            </w:tcBorders>
            <w:shd w:val="clear" w:color="auto" w:fill="auto"/>
          </w:tcPr>
          <w:p w:rsidR="001A62D7" w:rsidRPr="00DF2488" w:rsidRDefault="005B68D8" w:rsidP="001D5990">
            <w:pPr>
              <w:spacing w:before="60" w:after="60"/>
              <w:ind w:rightChars="192" w:right="461"/>
              <w:jc w:val="left"/>
              <w:rPr>
                <w:rFonts w:eastAsia="Calibri"/>
                <w:noProof/>
                <w:highlight w:val="magenta"/>
              </w:rPr>
            </w:pPr>
            <w:r>
              <w:rPr>
                <w:noProof/>
              </w:rPr>
              <w:t>803</w:t>
            </w:r>
          </w:p>
        </w:tc>
      </w:tr>
      <w:tr w:rsidR="001A62D7" w:rsidRPr="008D462D" w:rsidTr="001D5990">
        <w:tc>
          <w:tcPr>
            <w:tcW w:w="4908" w:type="dxa"/>
            <w:tcBorders>
              <w:bottom w:val="dotted" w:sz="4" w:space="0" w:color="auto"/>
            </w:tcBorders>
            <w:shd w:val="clear" w:color="auto" w:fill="auto"/>
          </w:tcPr>
          <w:p w:rsidR="001A62D7" w:rsidRPr="008D462D" w:rsidRDefault="001A62D7" w:rsidP="001D5990">
            <w:pPr>
              <w:spacing w:before="60" w:after="60"/>
              <w:jc w:val="left"/>
              <w:rPr>
                <w:rFonts w:eastAsia="Calibri"/>
                <w:noProof/>
              </w:rPr>
            </w:pPr>
            <w:r>
              <w:rPr>
                <w:rFonts w:eastAsia="Calibri"/>
                <w:noProof/>
              </w:rPr>
              <w:t>Total number of eligible beneficiaries</w:t>
            </w:r>
          </w:p>
        </w:tc>
        <w:tc>
          <w:tcPr>
            <w:tcW w:w="4379" w:type="dxa"/>
            <w:tcBorders>
              <w:bottom w:val="dotted" w:sz="4" w:space="0" w:color="auto"/>
            </w:tcBorders>
            <w:shd w:val="clear" w:color="auto" w:fill="auto"/>
          </w:tcPr>
          <w:p w:rsidR="001A62D7" w:rsidRPr="008D462D" w:rsidRDefault="005B68D8" w:rsidP="001D5990">
            <w:pPr>
              <w:spacing w:before="60" w:after="60"/>
              <w:ind w:rightChars="192" w:right="461"/>
              <w:jc w:val="left"/>
              <w:rPr>
                <w:rFonts w:eastAsia="Calibri"/>
                <w:noProof/>
              </w:rPr>
            </w:pPr>
            <w:r>
              <w:rPr>
                <w:noProof/>
              </w:rPr>
              <w:t>803</w:t>
            </w:r>
          </w:p>
        </w:tc>
      </w:tr>
      <w:tr w:rsidR="001A62D7" w:rsidRPr="008D462D" w:rsidTr="001D5990">
        <w:tc>
          <w:tcPr>
            <w:tcW w:w="4908" w:type="dxa"/>
            <w:tcBorders>
              <w:top w:val="dotted" w:sz="4" w:space="0" w:color="auto"/>
              <w:bottom w:val="dotted" w:sz="4" w:space="0" w:color="auto"/>
            </w:tcBorders>
            <w:shd w:val="clear" w:color="auto" w:fill="auto"/>
          </w:tcPr>
          <w:p w:rsidR="001A62D7" w:rsidRPr="008D462D" w:rsidRDefault="001A62D7" w:rsidP="001D5990">
            <w:pPr>
              <w:spacing w:before="60" w:after="60"/>
              <w:jc w:val="left"/>
              <w:rPr>
                <w:rFonts w:eastAsia="Calibri"/>
                <w:noProof/>
              </w:rPr>
            </w:pPr>
            <w:r>
              <w:rPr>
                <w:rFonts w:eastAsia="Calibri"/>
                <w:noProof/>
              </w:rPr>
              <w:lastRenderedPageBreak/>
              <w:t>Total number of targeted beneficiaries</w:t>
            </w:r>
          </w:p>
        </w:tc>
        <w:tc>
          <w:tcPr>
            <w:tcW w:w="4379" w:type="dxa"/>
            <w:tcBorders>
              <w:top w:val="dotted" w:sz="4" w:space="0" w:color="auto"/>
              <w:bottom w:val="dotted" w:sz="4" w:space="0" w:color="auto"/>
            </w:tcBorders>
            <w:shd w:val="clear" w:color="auto" w:fill="auto"/>
          </w:tcPr>
          <w:p w:rsidR="001A62D7" w:rsidRPr="008D462D" w:rsidRDefault="005B68D8" w:rsidP="001D5990">
            <w:pPr>
              <w:spacing w:before="60" w:after="60"/>
              <w:ind w:rightChars="192" w:right="461"/>
              <w:jc w:val="left"/>
              <w:rPr>
                <w:rFonts w:eastAsia="Calibri"/>
                <w:noProof/>
              </w:rPr>
            </w:pPr>
            <w:r>
              <w:rPr>
                <w:noProof/>
              </w:rPr>
              <w:t>803</w:t>
            </w:r>
          </w:p>
        </w:tc>
      </w:tr>
      <w:tr w:rsidR="001A62D7" w:rsidRPr="008D462D" w:rsidTr="001D5990">
        <w:tc>
          <w:tcPr>
            <w:tcW w:w="4908" w:type="dxa"/>
            <w:tcBorders>
              <w:bottom w:val="dotted" w:sz="4" w:space="0" w:color="auto"/>
            </w:tcBorders>
            <w:shd w:val="clear" w:color="auto" w:fill="auto"/>
            <w:vAlign w:val="center"/>
          </w:tcPr>
          <w:p w:rsidR="001A62D7" w:rsidRPr="008D462D" w:rsidRDefault="001A62D7" w:rsidP="001D5990">
            <w:pPr>
              <w:spacing w:before="0" w:after="0"/>
              <w:jc w:val="left"/>
              <w:rPr>
                <w:noProof/>
              </w:rPr>
            </w:pPr>
            <w:r>
              <w:rPr>
                <w:noProof/>
              </w:rPr>
              <w:t xml:space="preserve">Budget </w:t>
            </w:r>
            <w:r w:rsidRPr="008D462D">
              <w:rPr>
                <w:noProof/>
              </w:rPr>
              <w:t>for personalised services (EUR)</w:t>
            </w:r>
          </w:p>
        </w:tc>
        <w:tc>
          <w:tcPr>
            <w:tcW w:w="4379" w:type="dxa"/>
            <w:tcBorders>
              <w:bottom w:val="dotted" w:sz="4" w:space="0" w:color="auto"/>
            </w:tcBorders>
            <w:shd w:val="clear" w:color="auto" w:fill="auto"/>
            <w:vAlign w:val="center"/>
          </w:tcPr>
          <w:p w:rsidR="001A62D7" w:rsidRPr="008D462D" w:rsidRDefault="006B2E5B" w:rsidP="001D5990">
            <w:pPr>
              <w:spacing w:before="0" w:after="0"/>
              <w:ind w:rightChars="192" w:right="461"/>
              <w:jc w:val="left"/>
              <w:rPr>
                <w:noProof/>
              </w:rPr>
            </w:pPr>
            <w:r>
              <w:rPr>
                <w:noProof/>
              </w:rPr>
              <w:t>2 412 46</w:t>
            </w:r>
            <w:r w:rsidR="00BC7A56">
              <w:rPr>
                <w:noProof/>
              </w:rPr>
              <w:t>5</w:t>
            </w:r>
          </w:p>
        </w:tc>
      </w:tr>
      <w:tr w:rsidR="001A62D7" w:rsidRPr="008D462D" w:rsidTr="001D5990">
        <w:tc>
          <w:tcPr>
            <w:tcW w:w="4908" w:type="dxa"/>
            <w:tcBorders>
              <w:top w:val="dotted" w:sz="4" w:space="0" w:color="auto"/>
              <w:bottom w:val="dotted" w:sz="4" w:space="0" w:color="auto"/>
            </w:tcBorders>
            <w:shd w:val="clear" w:color="auto" w:fill="auto"/>
            <w:vAlign w:val="center"/>
          </w:tcPr>
          <w:p w:rsidR="001A62D7" w:rsidRPr="008D462D" w:rsidRDefault="001A62D7" w:rsidP="001D5990">
            <w:pPr>
              <w:spacing w:before="0" w:after="0"/>
              <w:jc w:val="left"/>
              <w:rPr>
                <w:noProof/>
              </w:rPr>
            </w:pPr>
            <w:r>
              <w:rPr>
                <w:noProof/>
              </w:rPr>
              <w:t>Budget</w:t>
            </w:r>
            <w:r w:rsidRPr="008D462D">
              <w:rPr>
                <w:noProof/>
              </w:rPr>
              <w:t xml:space="preserve"> for implementing EGF</w:t>
            </w:r>
            <w:r>
              <w:rPr>
                <w:rStyle w:val="FootnoteReference"/>
                <w:noProof/>
              </w:rPr>
              <w:footnoteReference w:id="4"/>
            </w:r>
            <w:r w:rsidRPr="008D462D">
              <w:rPr>
                <w:noProof/>
              </w:rPr>
              <w:t xml:space="preserve"> (EUR)</w:t>
            </w:r>
          </w:p>
        </w:tc>
        <w:tc>
          <w:tcPr>
            <w:tcW w:w="4379" w:type="dxa"/>
            <w:tcBorders>
              <w:top w:val="dotted" w:sz="4" w:space="0" w:color="auto"/>
              <w:bottom w:val="dotted" w:sz="4" w:space="0" w:color="auto"/>
            </w:tcBorders>
            <w:shd w:val="clear" w:color="auto" w:fill="auto"/>
            <w:vAlign w:val="center"/>
          </w:tcPr>
          <w:p w:rsidR="001A62D7" w:rsidRPr="008D462D" w:rsidRDefault="003827EA" w:rsidP="001D5990">
            <w:pPr>
              <w:spacing w:before="0" w:after="0"/>
              <w:ind w:rightChars="192" w:right="461"/>
              <w:jc w:val="left"/>
              <w:rPr>
                <w:noProof/>
              </w:rPr>
            </w:pPr>
            <w:r>
              <w:rPr>
                <w:noProof/>
              </w:rPr>
              <w:t>96 400</w:t>
            </w:r>
          </w:p>
        </w:tc>
      </w:tr>
      <w:tr w:rsidR="001A62D7" w:rsidRPr="008D462D" w:rsidTr="001D5990">
        <w:tc>
          <w:tcPr>
            <w:tcW w:w="4908" w:type="dxa"/>
            <w:tcBorders>
              <w:top w:val="dotted" w:sz="4" w:space="0" w:color="auto"/>
              <w:bottom w:val="dotted" w:sz="4" w:space="0" w:color="auto"/>
            </w:tcBorders>
            <w:shd w:val="clear" w:color="auto" w:fill="auto"/>
            <w:vAlign w:val="center"/>
          </w:tcPr>
          <w:p w:rsidR="001A62D7" w:rsidRPr="008D462D" w:rsidRDefault="001A62D7" w:rsidP="001D5990">
            <w:pPr>
              <w:spacing w:before="0" w:after="0"/>
              <w:jc w:val="left"/>
              <w:rPr>
                <w:noProof/>
              </w:rPr>
            </w:pPr>
            <w:r w:rsidRPr="008D462D">
              <w:rPr>
                <w:noProof/>
              </w:rPr>
              <w:t>Total budget (EUR)</w:t>
            </w:r>
          </w:p>
        </w:tc>
        <w:tc>
          <w:tcPr>
            <w:tcW w:w="4379" w:type="dxa"/>
            <w:tcBorders>
              <w:top w:val="dotted" w:sz="4" w:space="0" w:color="auto"/>
              <w:bottom w:val="dotted" w:sz="4" w:space="0" w:color="auto"/>
            </w:tcBorders>
            <w:shd w:val="clear" w:color="auto" w:fill="auto"/>
            <w:vAlign w:val="center"/>
          </w:tcPr>
          <w:p w:rsidR="001A62D7" w:rsidRPr="008D462D" w:rsidRDefault="006B2E5B" w:rsidP="001D5990">
            <w:pPr>
              <w:spacing w:before="0" w:after="0"/>
              <w:ind w:rightChars="192" w:right="461"/>
              <w:jc w:val="left"/>
              <w:rPr>
                <w:noProof/>
              </w:rPr>
            </w:pPr>
            <w:r>
              <w:rPr>
                <w:noProof/>
              </w:rPr>
              <w:t>2 508 86</w:t>
            </w:r>
            <w:r w:rsidR="00BC7A56">
              <w:rPr>
                <w:noProof/>
              </w:rPr>
              <w:t>5</w:t>
            </w:r>
          </w:p>
        </w:tc>
      </w:tr>
      <w:tr w:rsidR="001A62D7" w:rsidRPr="008D462D" w:rsidTr="001D5990">
        <w:tc>
          <w:tcPr>
            <w:tcW w:w="4908" w:type="dxa"/>
            <w:tcBorders>
              <w:top w:val="dotted" w:sz="4" w:space="0" w:color="auto"/>
            </w:tcBorders>
            <w:shd w:val="clear" w:color="auto" w:fill="auto"/>
            <w:vAlign w:val="center"/>
          </w:tcPr>
          <w:p w:rsidR="001A62D7" w:rsidRPr="008D462D" w:rsidRDefault="001A62D7" w:rsidP="001D5990">
            <w:pPr>
              <w:spacing w:before="0" w:after="0"/>
              <w:jc w:val="left"/>
              <w:rPr>
                <w:noProof/>
              </w:rPr>
            </w:pPr>
            <w:r>
              <w:rPr>
                <w:noProof/>
              </w:rPr>
              <w:t>EGF contribution (</w:t>
            </w:r>
            <w:r w:rsidR="005B68D8">
              <w:rPr>
                <w:noProof/>
              </w:rPr>
              <w:t>85</w:t>
            </w:r>
            <w:r>
              <w:rPr>
                <w:noProof/>
              </w:rPr>
              <w:t> %)</w:t>
            </w:r>
            <w:r w:rsidRPr="008D462D">
              <w:rPr>
                <w:noProof/>
              </w:rPr>
              <w:t xml:space="preserve"> (EUR)</w:t>
            </w:r>
          </w:p>
        </w:tc>
        <w:tc>
          <w:tcPr>
            <w:tcW w:w="4379" w:type="dxa"/>
            <w:tcBorders>
              <w:top w:val="dotted" w:sz="4" w:space="0" w:color="auto"/>
            </w:tcBorders>
            <w:shd w:val="clear" w:color="auto" w:fill="auto"/>
            <w:vAlign w:val="center"/>
          </w:tcPr>
          <w:p w:rsidR="001A62D7" w:rsidRPr="008D462D" w:rsidRDefault="005B68D8" w:rsidP="001D5990">
            <w:pPr>
              <w:spacing w:before="0" w:after="0"/>
              <w:ind w:rightChars="192" w:right="461"/>
              <w:jc w:val="left"/>
              <w:rPr>
                <w:noProof/>
              </w:rPr>
            </w:pPr>
            <w:bookmarkStart w:id="9" w:name="_Hlk224139662"/>
            <w:r>
              <w:rPr>
                <w:noProof/>
              </w:rPr>
              <w:t>2 132 53</w:t>
            </w:r>
            <w:r w:rsidR="00BC7A56">
              <w:rPr>
                <w:noProof/>
              </w:rPr>
              <w:t>5</w:t>
            </w:r>
            <w:bookmarkEnd w:id="9"/>
          </w:p>
        </w:tc>
      </w:tr>
    </w:tbl>
    <w:p w:rsidR="001A62D7" w:rsidRDefault="001A62D7" w:rsidP="001A62D7">
      <w:pPr>
        <w:pStyle w:val="ManualHeading1"/>
        <w:rPr>
          <w:noProof/>
        </w:rPr>
      </w:pPr>
      <w:r>
        <w:rPr>
          <w:noProof/>
        </w:rPr>
        <w:t>ASSESSMENT OF THE APPLICATION</w:t>
      </w:r>
    </w:p>
    <w:p w:rsidR="001A62D7" w:rsidRPr="00A824FA" w:rsidRDefault="001A62D7" w:rsidP="001A62D7">
      <w:pPr>
        <w:pStyle w:val="ManualHeading2"/>
        <w:rPr>
          <w:noProof/>
        </w:rPr>
      </w:pPr>
      <w:r>
        <w:rPr>
          <w:noProof/>
        </w:rPr>
        <w:t>Procedure</w:t>
      </w:r>
    </w:p>
    <w:p w:rsidR="001A62D7" w:rsidRPr="006F770D" w:rsidRDefault="005B68D8" w:rsidP="00AE7D04">
      <w:pPr>
        <w:pStyle w:val="ManualNumPar1"/>
        <w:rPr>
          <w:noProof/>
        </w:rPr>
      </w:pPr>
      <w:r>
        <w:rPr>
          <w:noProof/>
        </w:rPr>
        <w:t>4.</w:t>
      </w:r>
      <w:r>
        <w:rPr>
          <w:noProof/>
        </w:rPr>
        <w:tab/>
        <w:t>Belgium</w:t>
      </w:r>
      <w:r w:rsidR="001A62D7">
        <w:rPr>
          <w:noProof/>
        </w:rPr>
        <w:t xml:space="preserve"> </w:t>
      </w:r>
      <w:r w:rsidR="001A62D7" w:rsidRPr="008D462D">
        <w:rPr>
          <w:noProof/>
        </w:rPr>
        <w:t>submitted application EGF/</w:t>
      </w:r>
      <w:r>
        <w:rPr>
          <w:noProof/>
        </w:rPr>
        <w:t>2025</w:t>
      </w:r>
      <w:r w:rsidR="001A62D7" w:rsidRPr="008D462D">
        <w:rPr>
          <w:noProof/>
        </w:rPr>
        <w:t>/</w:t>
      </w:r>
      <w:r>
        <w:rPr>
          <w:noProof/>
        </w:rPr>
        <w:t>009</w:t>
      </w:r>
      <w:r w:rsidR="001A62D7">
        <w:rPr>
          <w:noProof/>
        </w:rPr>
        <w:t> </w:t>
      </w:r>
      <w:r w:rsidR="00FF1A01">
        <w:rPr>
          <w:noProof/>
        </w:rPr>
        <w:t>BE</w:t>
      </w:r>
      <w:r w:rsidR="001A62D7" w:rsidRPr="008D462D">
        <w:rPr>
          <w:noProof/>
        </w:rPr>
        <w:t>/</w:t>
      </w:r>
      <w:r>
        <w:rPr>
          <w:noProof/>
        </w:rPr>
        <w:t>Soliver</w:t>
      </w:r>
      <w:r w:rsidR="001A62D7" w:rsidRPr="008D462D">
        <w:rPr>
          <w:noProof/>
        </w:rPr>
        <w:t xml:space="preserve"> within 12 weeks of the date on which the intervention criteria set out in </w:t>
      </w:r>
      <w:r w:rsidR="001A62D7">
        <w:rPr>
          <w:noProof/>
        </w:rPr>
        <w:t xml:space="preserve">Article 4 </w:t>
      </w:r>
      <w:r w:rsidR="001A62D7" w:rsidRPr="008D462D">
        <w:rPr>
          <w:rFonts w:eastAsia="Calibri"/>
          <w:noProof/>
        </w:rPr>
        <w:t>(</w:t>
      </w:r>
      <w:r w:rsidR="00F7776C">
        <w:rPr>
          <w:rFonts w:eastAsia="Calibri"/>
          <w:noProof/>
        </w:rPr>
        <w:t>2</w:t>
      </w:r>
      <w:r w:rsidR="001A62D7" w:rsidRPr="008D462D">
        <w:rPr>
          <w:rFonts w:eastAsia="Calibri"/>
          <w:noProof/>
        </w:rPr>
        <w:t>)</w:t>
      </w:r>
      <w:r w:rsidR="001A62D7">
        <w:rPr>
          <w:rFonts w:eastAsia="Calibri"/>
          <w:noProof/>
        </w:rPr>
        <w:t>, point (</w:t>
      </w:r>
      <w:r w:rsidR="00F7776C">
        <w:rPr>
          <w:rFonts w:eastAsia="Calibri"/>
          <w:noProof/>
        </w:rPr>
        <w:t>a</w:t>
      </w:r>
      <w:r w:rsidR="001A62D7" w:rsidRPr="008D462D">
        <w:rPr>
          <w:rFonts w:eastAsia="Calibri"/>
          <w:noProof/>
        </w:rPr>
        <w:t>)</w:t>
      </w:r>
      <w:r w:rsidR="001A62D7">
        <w:rPr>
          <w:rFonts w:eastAsia="Calibri"/>
          <w:noProof/>
        </w:rPr>
        <w:t>,</w:t>
      </w:r>
      <w:r w:rsidR="001A62D7" w:rsidRPr="008D462D">
        <w:rPr>
          <w:noProof/>
        </w:rPr>
        <w:t xml:space="preserve"> </w:t>
      </w:r>
      <w:r w:rsidR="001A62D7">
        <w:rPr>
          <w:noProof/>
        </w:rPr>
        <w:t>of Regulation (EU) 2021/691</w:t>
      </w:r>
      <w:r w:rsidR="001A62D7" w:rsidRPr="008D462D">
        <w:rPr>
          <w:noProof/>
        </w:rPr>
        <w:t xml:space="preserve"> were met, </w:t>
      </w:r>
      <w:r w:rsidR="001A62D7" w:rsidRPr="00F7776C">
        <w:rPr>
          <w:noProof/>
        </w:rPr>
        <w:t xml:space="preserve">on </w:t>
      </w:r>
      <w:r w:rsidR="00C22000">
        <w:rPr>
          <w:noProof/>
        </w:rPr>
        <w:t>22 December 2025</w:t>
      </w:r>
      <w:r w:rsidR="001A62D7" w:rsidRPr="00F7776C">
        <w:rPr>
          <w:noProof/>
        </w:rPr>
        <w:t xml:space="preserve">. </w:t>
      </w:r>
      <w:r w:rsidR="00F7776C" w:rsidRPr="00F7776C">
        <w:rPr>
          <w:noProof/>
        </w:rPr>
        <w:t xml:space="preserve">The Commission was in possession of the translation of the application on </w:t>
      </w:r>
      <w:r w:rsidR="00D723C4">
        <w:rPr>
          <w:noProof/>
        </w:rPr>
        <w:t>3</w:t>
      </w:r>
      <w:r w:rsidR="003075BA">
        <w:rPr>
          <w:noProof/>
        </w:rPr>
        <w:t xml:space="preserve"> February 2026</w:t>
      </w:r>
      <w:r w:rsidR="00F7776C" w:rsidRPr="00F7776C">
        <w:rPr>
          <w:noProof/>
        </w:rPr>
        <w:t xml:space="preserve">. </w:t>
      </w:r>
      <w:r w:rsidR="001A62D7" w:rsidRPr="00F7776C">
        <w:rPr>
          <w:noProof/>
        </w:rPr>
        <w:t xml:space="preserve">The Commission acknowledged receipt of the application and requested additional information from </w:t>
      </w:r>
      <w:r w:rsidR="00C22000">
        <w:rPr>
          <w:noProof/>
        </w:rPr>
        <w:t>Belgium</w:t>
      </w:r>
      <w:r w:rsidR="001A62D7" w:rsidRPr="00F7776C">
        <w:rPr>
          <w:noProof/>
        </w:rPr>
        <w:t xml:space="preserve"> on </w:t>
      </w:r>
      <w:r w:rsidR="00D723C4">
        <w:rPr>
          <w:noProof/>
        </w:rPr>
        <w:t>17 February 2026</w:t>
      </w:r>
      <w:r w:rsidR="001A62D7" w:rsidRPr="00F7776C">
        <w:rPr>
          <w:noProof/>
        </w:rPr>
        <w:t>. Such additional information was provided within 15 working days</w:t>
      </w:r>
      <w:r w:rsidR="00F7776C" w:rsidRPr="00F7776C">
        <w:rPr>
          <w:noProof/>
        </w:rPr>
        <w:t xml:space="preserve"> </w:t>
      </w:r>
      <w:r w:rsidR="001A62D7" w:rsidRPr="00F7776C">
        <w:rPr>
          <w:noProof/>
        </w:rPr>
        <w:t>of the request</w:t>
      </w:r>
      <w:r w:rsidR="00F7776C" w:rsidRPr="00F7776C">
        <w:rPr>
          <w:noProof/>
        </w:rPr>
        <w:t>.</w:t>
      </w:r>
      <w:r w:rsidR="001A62D7" w:rsidRPr="00F7776C">
        <w:rPr>
          <w:noProof/>
        </w:rPr>
        <w:t xml:space="preserve"> The deadline of 50 working days </w:t>
      </w:r>
      <w:r w:rsidR="00BB34D8">
        <w:rPr>
          <w:noProof/>
        </w:rPr>
        <w:t>from</w:t>
      </w:r>
      <w:r w:rsidR="001A62D7" w:rsidRPr="00F7776C">
        <w:rPr>
          <w:noProof/>
        </w:rPr>
        <w:t xml:space="preserve"> the receipt of the complete application within which</w:t>
      </w:r>
      <w:r w:rsidR="001A62D7" w:rsidRPr="008D462D">
        <w:rPr>
          <w:noProof/>
        </w:rPr>
        <w:t xml:space="preserve"> the Commission should finalise its assessment of the application's compliance with the conditions for providing a financial contribution expires on </w:t>
      </w:r>
      <w:r w:rsidR="003075BA">
        <w:rPr>
          <w:noProof/>
        </w:rPr>
        <w:t>2</w:t>
      </w:r>
      <w:r w:rsidR="000D02FF">
        <w:rPr>
          <w:noProof/>
        </w:rPr>
        <w:t>8</w:t>
      </w:r>
      <w:r w:rsidR="003075BA">
        <w:rPr>
          <w:noProof/>
        </w:rPr>
        <w:t xml:space="preserve"> May 2026</w:t>
      </w:r>
      <w:r w:rsidR="001A62D7">
        <w:rPr>
          <w:noProof/>
        </w:rPr>
        <w:t xml:space="preserve">. </w:t>
      </w:r>
    </w:p>
    <w:p w:rsidR="001A62D7" w:rsidRDefault="001A62D7" w:rsidP="001A62D7">
      <w:pPr>
        <w:pStyle w:val="ManualHeading2"/>
        <w:rPr>
          <w:noProof/>
        </w:rPr>
      </w:pPr>
      <w:r w:rsidRPr="00A50D50">
        <w:rPr>
          <w:noProof/>
        </w:rPr>
        <w:t>Eligibility of the application</w:t>
      </w:r>
    </w:p>
    <w:p w:rsidR="001A62D7" w:rsidRDefault="001A62D7" w:rsidP="001A62D7">
      <w:pPr>
        <w:pStyle w:val="ManualHeading3"/>
        <w:rPr>
          <w:noProof/>
        </w:rPr>
      </w:pPr>
      <w:r w:rsidRPr="00A50D50">
        <w:rPr>
          <w:noProof/>
        </w:rPr>
        <w:t>Enterprises and beneficiaries concerned</w:t>
      </w:r>
    </w:p>
    <w:p w:rsidR="001A62D7" w:rsidRPr="00B2710F" w:rsidRDefault="001A62D7" w:rsidP="00AE7D04">
      <w:pPr>
        <w:pStyle w:val="ManualNumPar1"/>
        <w:rPr>
          <w:noProof/>
          <w:szCs w:val="24"/>
        </w:rPr>
      </w:pPr>
      <w:r>
        <w:rPr>
          <w:noProof/>
        </w:rPr>
        <w:t>5.</w:t>
      </w:r>
      <w:r>
        <w:rPr>
          <w:noProof/>
        </w:rPr>
        <w:tab/>
      </w:r>
      <w:r w:rsidRPr="000E61DB">
        <w:rPr>
          <w:noProof/>
        </w:rPr>
        <w:t>The application relates to</w:t>
      </w:r>
      <w:r>
        <w:rPr>
          <w:noProof/>
        </w:rPr>
        <w:t xml:space="preserve"> </w:t>
      </w:r>
      <w:r w:rsidR="005B68D8">
        <w:rPr>
          <w:noProof/>
        </w:rPr>
        <w:t>803</w:t>
      </w:r>
      <w:r w:rsidRPr="000E61DB">
        <w:rPr>
          <w:noProof/>
        </w:rPr>
        <w:t xml:space="preserve"> workers </w:t>
      </w:r>
      <w:r>
        <w:rPr>
          <w:noProof/>
        </w:rPr>
        <w:t>whose activity has ceased</w:t>
      </w:r>
      <w:r w:rsidRPr="000E61DB">
        <w:rPr>
          <w:noProof/>
        </w:rPr>
        <w:t xml:space="preserve"> </w:t>
      </w:r>
      <w:r w:rsidRPr="00081DBB">
        <w:rPr>
          <w:noProof/>
        </w:rPr>
        <w:t>in</w:t>
      </w:r>
      <w:r>
        <w:rPr>
          <w:noProof/>
        </w:rPr>
        <w:t xml:space="preserve"> </w:t>
      </w:r>
      <w:r w:rsidR="006B2E5B">
        <w:rPr>
          <w:noProof/>
        </w:rPr>
        <w:t>Soliver</w:t>
      </w:r>
      <w:r w:rsidRPr="00691539">
        <w:rPr>
          <w:noProof/>
        </w:rPr>
        <w:t xml:space="preserve">. </w:t>
      </w:r>
      <w:r w:rsidRPr="000F421F">
        <w:rPr>
          <w:noProof/>
        </w:rPr>
        <w:t>The enterprise operated</w:t>
      </w:r>
      <w:r w:rsidR="000F421F" w:rsidRPr="000F421F">
        <w:rPr>
          <w:noProof/>
        </w:rPr>
        <w:t xml:space="preserve"> </w:t>
      </w:r>
      <w:r w:rsidRPr="000F421F">
        <w:rPr>
          <w:noProof/>
        </w:rPr>
        <w:t>in the economic sector classified under the NACE Revision</w:t>
      </w:r>
      <w:r>
        <w:rPr>
          <w:noProof/>
        </w:rPr>
        <w:t xml:space="preserve"> </w:t>
      </w:r>
      <w:r w:rsidRPr="000E61DB">
        <w:rPr>
          <w:noProof/>
        </w:rPr>
        <w:t xml:space="preserve">2 </w:t>
      </w:r>
      <w:r>
        <w:rPr>
          <w:noProof/>
        </w:rPr>
        <w:t>d</w:t>
      </w:r>
      <w:r w:rsidRPr="000E61DB">
        <w:rPr>
          <w:noProof/>
        </w:rPr>
        <w:t>ivision</w:t>
      </w:r>
      <w:r>
        <w:rPr>
          <w:noProof/>
        </w:rPr>
        <w:t xml:space="preserve"> </w:t>
      </w:r>
      <w:r w:rsidR="00C73D01">
        <w:rPr>
          <w:noProof/>
          <w:szCs w:val="24"/>
        </w:rPr>
        <w:t>46</w:t>
      </w:r>
      <w:r w:rsidRPr="00B2710F">
        <w:rPr>
          <w:noProof/>
          <w:szCs w:val="24"/>
        </w:rPr>
        <w:t xml:space="preserve"> (</w:t>
      </w:r>
      <w:r w:rsidR="00F62893" w:rsidRPr="00F62893">
        <w:rPr>
          <w:noProof/>
          <w:szCs w:val="24"/>
        </w:rPr>
        <w:t>Wholesale</w:t>
      </w:r>
      <w:r w:rsidR="00C73D01">
        <w:rPr>
          <w:noProof/>
          <w:szCs w:val="24"/>
        </w:rPr>
        <w:t xml:space="preserve"> trade</w:t>
      </w:r>
      <w:r w:rsidR="000F421F">
        <w:rPr>
          <w:noProof/>
          <w:szCs w:val="24"/>
        </w:rPr>
        <w:t>).</w:t>
      </w:r>
      <w:r>
        <w:rPr>
          <w:noProof/>
        </w:rPr>
        <w:t xml:space="preserve"> </w:t>
      </w:r>
      <w:r w:rsidRPr="000E61DB">
        <w:rPr>
          <w:noProof/>
        </w:rPr>
        <w:t xml:space="preserve">The </w:t>
      </w:r>
      <w:r w:rsidR="00D6399D" w:rsidRPr="00D6399D">
        <w:rPr>
          <w:noProof/>
        </w:rPr>
        <w:t>jobs displaced by Soliver</w:t>
      </w:r>
      <w:r>
        <w:rPr>
          <w:noProof/>
        </w:rPr>
        <w:t xml:space="preserve"> are </w:t>
      </w:r>
      <w:r w:rsidRPr="000E61DB">
        <w:rPr>
          <w:noProof/>
        </w:rPr>
        <w:t xml:space="preserve">located in the </w:t>
      </w:r>
      <w:r>
        <w:rPr>
          <w:noProof/>
        </w:rPr>
        <w:t>NUTS</w:t>
      </w:r>
      <w:r w:rsidRPr="000E61DB">
        <w:rPr>
          <w:noProof/>
        </w:rPr>
        <w:t xml:space="preserve"> 2 </w:t>
      </w:r>
      <w:r w:rsidRPr="000F421F">
        <w:rPr>
          <w:noProof/>
        </w:rPr>
        <w:t>region</w:t>
      </w:r>
      <w:r w:rsidR="00F9787A">
        <w:rPr>
          <w:noProof/>
        </w:rPr>
        <w:t>s</w:t>
      </w:r>
      <w:r>
        <w:rPr>
          <w:noProof/>
        </w:rPr>
        <w:t xml:space="preserve"> </w:t>
      </w:r>
      <w:r w:rsidRPr="000E61DB">
        <w:rPr>
          <w:noProof/>
        </w:rPr>
        <w:t xml:space="preserve">of </w:t>
      </w:r>
      <w:r w:rsidR="00F9787A">
        <w:rPr>
          <w:noProof/>
          <w:szCs w:val="24"/>
        </w:rPr>
        <w:t xml:space="preserve">Provincie </w:t>
      </w:r>
      <w:r w:rsidR="00F9787A" w:rsidRPr="00F9787A">
        <w:rPr>
          <w:noProof/>
          <w:szCs w:val="24"/>
        </w:rPr>
        <w:t>Oost-Vlaanderen</w:t>
      </w:r>
      <w:r w:rsidR="00F9787A" w:rsidRPr="002E20C9">
        <w:rPr>
          <w:noProof/>
          <w:szCs w:val="24"/>
        </w:rPr>
        <w:t xml:space="preserve"> (</w:t>
      </w:r>
      <w:r w:rsidR="00F9787A">
        <w:rPr>
          <w:noProof/>
          <w:szCs w:val="24"/>
        </w:rPr>
        <w:t xml:space="preserve">BE23) and </w:t>
      </w:r>
      <w:r w:rsidR="00645F04" w:rsidRPr="00645F04">
        <w:rPr>
          <w:noProof/>
          <w:szCs w:val="24"/>
        </w:rPr>
        <w:t>Provincie West-Vlaanderen</w:t>
      </w:r>
      <w:r w:rsidRPr="00B2710F">
        <w:rPr>
          <w:noProof/>
          <w:szCs w:val="24"/>
        </w:rPr>
        <w:t xml:space="preserve"> (</w:t>
      </w:r>
      <w:r w:rsidR="00645F04">
        <w:rPr>
          <w:noProof/>
          <w:szCs w:val="24"/>
        </w:rPr>
        <w:t>BE25</w:t>
      </w:r>
      <w:r w:rsidRPr="00B2710F">
        <w:rPr>
          <w:noProof/>
          <w:szCs w:val="24"/>
        </w:rPr>
        <w:t>).</w:t>
      </w:r>
    </w:p>
    <w:p w:rsidR="001A62D7" w:rsidRDefault="001A62D7" w:rsidP="001A62D7">
      <w:pPr>
        <w:pStyle w:val="ManualHeading3"/>
        <w:rPr>
          <w:noProof/>
        </w:rPr>
      </w:pPr>
      <w:r w:rsidRPr="000625B3">
        <w:rPr>
          <w:noProof/>
        </w:rPr>
        <w:t>Intervention criteria</w:t>
      </w:r>
    </w:p>
    <w:p w:rsidR="001A62D7" w:rsidRDefault="005B68D8" w:rsidP="001A62D7">
      <w:pPr>
        <w:pStyle w:val="ManualNumPar1"/>
        <w:rPr>
          <w:noProof/>
        </w:rPr>
      </w:pPr>
      <w:r>
        <w:rPr>
          <w:noProof/>
        </w:rPr>
        <w:t>6.</w:t>
      </w:r>
      <w:r>
        <w:rPr>
          <w:noProof/>
        </w:rPr>
        <w:tab/>
        <w:t>Belgium</w:t>
      </w:r>
      <w:r w:rsidR="001A62D7">
        <w:rPr>
          <w:noProof/>
        </w:rPr>
        <w:t xml:space="preserve"> </w:t>
      </w:r>
      <w:r w:rsidR="001A62D7" w:rsidRPr="008D462D">
        <w:rPr>
          <w:noProof/>
        </w:rPr>
        <w:t>submitted the application under the interven</w:t>
      </w:r>
      <w:r w:rsidR="001A62D7">
        <w:rPr>
          <w:noProof/>
        </w:rPr>
        <w:t>tion criteria</w:t>
      </w:r>
      <w:r w:rsidR="001A62D7" w:rsidRPr="008D462D">
        <w:rPr>
          <w:noProof/>
        </w:rPr>
        <w:t xml:space="preserve"> of </w:t>
      </w:r>
      <w:r w:rsidR="001A62D7" w:rsidRPr="008D462D">
        <w:rPr>
          <w:rFonts w:eastAsia="Calibri"/>
          <w:noProof/>
        </w:rPr>
        <w:t>Article </w:t>
      </w:r>
      <w:r w:rsidR="001A62D7">
        <w:rPr>
          <w:rFonts w:eastAsia="Calibri"/>
          <w:noProof/>
        </w:rPr>
        <w:t>4</w:t>
      </w:r>
      <w:r w:rsidR="001A62D7" w:rsidRPr="008D462D">
        <w:rPr>
          <w:rFonts w:eastAsia="Calibri"/>
          <w:noProof/>
        </w:rPr>
        <w:t>(</w:t>
      </w:r>
      <w:r w:rsidR="000F421F">
        <w:rPr>
          <w:rFonts w:eastAsia="Calibri"/>
          <w:noProof/>
        </w:rPr>
        <w:t>2</w:t>
      </w:r>
      <w:r w:rsidR="001A62D7" w:rsidRPr="008D462D">
        <w:rPr>
          <w:rFonts w:eastAsia="Calibri"/>
          <w:noProof/>
        </w:rPr>
        <w:t>)</w:t>
      </w:r>
      <w:r w:rsidR="001A62D7">
        <w:rPr>
          <w:rFonts w:eastAsia="Calibri"/>
          <w:noProof/>
        </w:rPr>
        <w:t>, point (</w:t>
      </w:r>
      <w:r w:rsidR="000F421F">
        <w:rPr>
          <w:rFonts w:eastAsia="Calibri"/>
          <w:noProof/>
        </w:rPr>
        <w:t>a</w:t>
      </w:r>
      <w:r w:rsidR="001A62D7" w:rsidRPr="008D462D">
        <w:rPr>
          <w:rFonts w:eastAsia="Calibri"/>
          <w:noProof/>
        </w:rPr>
        <w:t>)</w:t>
      </w:r>
      <w:r w:rsidR="001A62D7">
        <w:rPr>
          <w:rFonts w:eastAsia="Calibri"/>
          <w:noProof/>
        </w:rPr>
        <w:t>,</w:t>
      </w:r>
      <w:r w:rsidR="001A62D7" w:rsidRPr="008D462D">
        <w:rPr>
          <w:noProof/>
        </w:rPr>
        <w:t xml:space="preserve"> of </w:t>
      </w:r>
      <w:r w:rsidR="001A62D7">
        <w:rPr>
          <w:noProof/>
        </w:rPr>
        <w:t>Regulation (EU) 2021/691, which</w:t>
      </w:r>
      <w:r w:rsidR="001A62D7" w:rsidRPr="008D462D">
        <w:rPr>
          <w:noProof/>
        </w:rPr>
        <w:t xml:space="preserve"> requires </w:t>
      </w:r>
      <w:r w:rsidR="001A62D7">
        <w:rPr>
          <w:noProof/>
        </w:rPr>
        <w:t xml:space="preserve">the cessation of activity of </w:t>
      </w:r>
      <w:r w:rsidR="001A62D7" w:rsidRPr="008D462D">
        <w:rPr>
          <w:noProof/>
        </w:rPr>
        <w:t xml:space="preserve">at least </w:t>
      </w:r>
      <w:r w:rsidR="001A62D7">
        <w:rPr>
          <w:noProof/>
        </w:rPr>
        <w:t>2</w:t>
      </w:r>
      <w:r w:rsidR="001A62D7" w:rsidRPr="008D462D">
        <w:rPr>
          <w:noProof/>
        </w:rPr>
        <w:t xml:space="preserve">00 </w:t>
      </w:r>
      <w:r w:rsidR="001A62D7">
        <w:rPr>
          <w:noProof/>
        </w:rPr>
        <w:t xml:space="preserve">displaced </w:t>
      </w:r>
      <w:r w:rsidR="001A62D7" w:rsidRPr="000E61DB">
        <w:rPr>
          <w:noProof/>
        </w:rPr>
        <w:t xml:space="preserve">workers </w:t>
      </w:r>
      <w:r w:rsidR="001A62D7" w:rsidRPr="008D462D">
        <w:rPr>
          <w:noProof/>
        </w:rPr>
        <w:t xml:space="preserve">over a reference period of </w:t>
      </w:r>
      <w:r w:rsidR="001A62D7" w:rsidRPr="000374D7">
        <w:rPr>
          <w:noProof/>
        </w:rPr>
        <w:t>four months</w:t>
      </w:r>
      <w:r w:rsidR="001A62D7" w:rsidRPr="000374D7">
        <w:rPr>
          <w:noProof/>
          <w:lang w:val="en-IE"/>
        </w:rPr>
        <w:t xml:space="preserve"> in an enterprise in a Member State, including workers</w:t>
      </w:r>
      <w:r w:rsidR="001A62D7">
        <w:rPr>
          <w:noProof/>
          <w:lang w:val="en-IE"/>
        </w:rPr>
        <w:t xml:space="preserve"> displaced</w:t>
      </w:r>
      <w:r w:rsidR="001A62D7" w:rsidRPr="000374D7">
        <w:rPr>
          <w:noProof/>
          <w:lang w:val="en-IE"/>
        </w:rPr>
        <w:t xml:space="preserve"> </w:t>
      </w:r>
      <w:r w:rsidR="001A62D7">
        <w:rPr>
          <w:noProof/>
          <w:lang w:val="en-IE"/>
        </w:rPr>
        <w:t xml:space="preserve">in </w:t>
      </w:r>
      <w:r w:rsidR="001A62D7" w:rsidRPr="000374D7">
        <w:rPr>
          <w:noProof/>
          <w:lang w:val="en-IE"/>
        </w:rPr>
        <w:t>suppliers and downstream producers and / or self-employed persons whose activity has ceased</w:t>
      </w:r>
      <w:r w:rsidR="000F421F">
        <w:rPr>
          <w:noProof/>
          <w:lang w:val="en-IE"/>
        </w:rPr>
        <w:t xml:space="preserve">. </w:t>
      </w:r>
    </w:p>
    <w:p w:rsidR="001A62D7" w:rsidRPr="0086094C" w:rsidRDefault="001A62D7" w:rsidP="001A62D7">
      <w:pPr>
        <w:pStyle w:val="ManualNumPar1"/>
        <w:rPr>
          <w:noProof/>
        </w:rPr>
      </w:pPr>
      <w:r>
        <w:rPr>
          <w:noProof/>
        </w:rPr>
        <w:t>7.</w:t>
      </w:r>
      <w:r>
        <w:rPr>
          <w:noProof/>
        </w:rPr>
        <w:tab/>
      </w:r>
      <w:bookmarkStart w:id="10" w:name="_Ref372189348"/>
      <w:r w:rsidRPr="000E61DB">
        <w:rPr>
          <w:noProof/>
        </w:rPr>
        <w:t>The r</w:t>
      </w:r>
      <w:r>
        <w:rPr>
          <w:noProof/>
        </w:rPr>
        <w:t xml:space="preserve">eference period of </w:t>
      </w:r>
      <w:r w:rsidRPr="00F07146">
        <w:rPr>
          <w:rFonts w:eastAsia="Calibri"/>
          <w:noProof/>
        </w:rPr>
        <w:t>four</w:t>
      </w:r>
      <w:r>
        <w:rPr>
          <w:noProof/>
        </w:rPr>
        <w:t xml:space="preserve"> months for the application run</w:t>
      </w:r>
      <w:r w:rsidRPr="000E61DB">
        <w:rPr>
          <w:noProof/>
        </w:rPr>
        <w:t xml:space="preserve">s from </w:t>
      </w:r>
      <w:r w:rsidR="00C22000">
        <w:rPr>
          <w:noProof/>
        </w:rPr>
        <w:t>1 July 2025</w:t>
      </w:r>
      <w:r w:rsidRPr="000E61DB">
        <w:rPr>
          <w:noProof/>
        </w:rPr>
        <w:t xml:space="preserve"> to </w:t>
      </w:r>
      <w:bookmarkEnd w:id="10"/>
      <w:r w:rsidR="00A90EB2">
        <w:rPr>
          <w:noProof/>
        </w:rPr>
        <w:t>1 November 2025</w:t>
      </w:r>
      <w:r>
        <w:rPr>
          <w:noProof/>
        </w:rPr>
        <w:t>.</w:t>
      </w:r>
    </w:p>
    <w:p w:rsidR="001A62D7" w:rsidRPr="000625B3" w:rsidRDefault="00F07146" w:rsidP="00F07146">
      <w:pPr>
        <w:pStyle w:val="ManualNumPar1"/>
        <w:rPr>
          <w:noProof/>
        </w:rPr>
      </w:pPr>
      <w:r>
        <w:rPr>
          <w:noProof/>
        </w:rPr>
        <w:t>8.</w:t>
      </w:r>
      <w:r>
        <w:rPr>
          <w:noProof/>
        </w:rPr>
        <w:tab/>
        <w:t>T</w:t>
      </w:r>
      <w:r w:rsidR="001A62D7" w:rsidRPr="00890E02">
        <w:rPr>
          <w:noProof/>
        </w:rPr>
        <w:t>he</w:t>
      </w:r>
      <w:r w:rsidR="001A62D7">
        <w:rPr>
          <w:noProof/>
        </w:rPr>
        <w:t xml:space="preserve">re were </w:t>
      </w:r>
      <w:r w:rsidR="005B68D8">
        <w:rPr>
          <w:noProof/>
        </w:rPr>
        <w:t>803</w:t>
      </w:r>
      <w:r w:rsidR="001A62D7" w:rsidRPr="008D462D">
        <w:rPr>
          <w:noProof/>
        </w:rPr>
        <w:t xml:space="preserve"> </w:t>
      </w:r>
      <w:r w:rsidR="00D574B1" w:rsidRPr="000C0C57">
        <w:rPr>
          <w:noProof/>
        </w:rPr>
        <w:t xml:space="preserve">job displacements </w:t>
      </w:r>
      <w:r w:rsidR="001A62D7" w:rsidRPr="008D462D">
        <w:rPr>
          <w:noProof/>
        </w:rPr>
        <w:t xml:space="preserve">in </w:t>
      </w:r>
      <w:r w:rsidR="005B68D8">
        <w:rPr>
          <w:noProof/>
        </w:rPr>
        <w:t>Soliver</w:t>
      </w:r>
      <w:r w:rsidR="001A62D7">
        <w:rPr>
          <w:noProof/>
        </w:rPr>
        <w:t xml:space="preserve"> </w:t>
      </w:r>
      <w:r w:rsidR="001A62D7" w:rsidRPr="00890E02">
        <w:rPr>
          <w:noProof/>
        </w:rPr>
        <w:t>during the reference period</w:t>
      </w:r>
      <w:r w:rsidR="001A62D7">
        <w:rPr>
          <w:noProof/>
        </w:rPr>
        <w:t>.</w:t>
      </w:r>
      <w:r w:rsidR="001A62D7" w:rsidRPr="00F07146">
        <w:rPr>
          <w:noProof/>
          <w:color w:val="FFFFFF" w:themeColor="background1"/>
        </w:rPr>
        <w:t xml:space="preserve"> </w:t>
      </w:r>
      <w:r w:rsidR="001A62D7">
        <w:rPr>
          <w:noProof/>
        </w:rPr>
        <w:t xml:space="preserve"> </w:t>
      </w:r>
    </w:p>
    <w:p w:rsidR="001A62D7" w:rsidRPr="00BD440D" w:rsidRDefault="001A62D7" w:rsidP="001A62D7">
      <w:pPr>
        <w:pStyle w:val="ManualHeading3"/>
        <w:rPr>
          <w:noProof/>
        </w:rPr>
      </w:pPr>
      <w:r w:rsidRPr="00BD440D">
        <w:rPr>
          <w:noProof/>
        </w:rPr>
        <w:t xml:space="preserve">Calculation of </w:t>
      </w:r>
      <w:r>
        <w:rPr>
          <w:noProof/>
        </w:rPr>
        <w:t>displacements</w:t>
      </w:r>
      <w:r w:rsidRPr="00BD440D">
        <w:rPr>
          <w:noProof/>
        </w:rPr>
        <w:t xml:space="preserve"> and of cessation of activity</w:t>
      </w:r>
    </w:p>
    <w:p w:rsidR="001A62D7" w:rsidRPr="008D462D" w:rsidRDefault="001A62D7" w:rsidP="001A62D7">
      <w:pPr>
        <w:pStyle w:val="ManualNumPar1"/>
        <w:rPr>
          <w:noProof/>
        </w:rPr>
      </w:pPr>
      <w:r>
        <w:rPr>
          <w:noProof/>
        </w:rPr>
        <w:t>9.</w:t>
      </w:r>
      <w:r>
        <w:rPr>
          <w:noProof/>
        </w:rPr>
        <w:tab/>
        <w:t>Pursuant to Article 6, first paragraph, point (a), in conjunction with Article 5, first paragraph of Regulation (EU) 2021/691,</w:t>
      </w:r>
      <w:r w:rsidRPr="00D53BB8" w:rsidDel="00991BDD">
        <w:rPr>
          <w:noProof/>
        </w:rPr>
        <w:t xml:space="preserve"> </w:t>
      </w:r>
      <w:r w:rsidR="00F07146">
        <w:rPr>
          <w:noProof/>
        </w:rPr>
        <w:t xml:space="preserve">all </w:t>
      </w:r>
      <w:r w:rsidR="005B68D8">
        <w:rPr>
          <w:noProof/>
        </w:rPr>
        <w:t>803</w:t>
      </w:r>
      <w:r w:rsidR="009C2E1D" w:rsidRPr="009C2E1D">
        <w:rPr>
          <w:noProof/>
        </w:rPr>
        <w:t xml:space="preserve"> job</w:t>
      </w:r>
      <w:r w:rsidR="007F7AEF">
        <w:rPr>
          <w:noProof/>
        </w:rPr>
        <w:t xml:space="preserve"> </w:t>
      </w:r>
      <w:r w:rsidR="009C2E1D" w:rsidRPr="009C2E1D">
        <w:rPr>
          <w:noProof/>
        </w:rPr>
        <w:t>displacement</w:t>
      </w:r>
      <w:r w:rsidR="007F7AEF">
        <w:rPr>
          <w:noProof/>
        </w:rPr>
        <w:t>s</w:t>
      </w:r>
      <w:r w:rsidR="009C2E1D" w:rsidRPr="009C2E1D">
        <w:rPr>
          <w:noProof/>
        </w:rPr>
        <w:t xml:space="preserve"> </w:t>
      </w:r>
      <w:r>
        <w:rPr>
          <w:noProof/>
        </w:rPr>
        <w:t xml:space="preserve">during the reference period </w:t>
      </w:r>
      <w:r w:rsidR="007E5241" w:rsidRPr="008D462D">
        <w:rPr>
          <w:noProof/>
        </w:rPr>
        <w:t>ha</w:t>
      </w:r>
      <w:r w:rsidR="007E5241">
        <w:rPr>
          <w:noProof/>
        </w:rPr>
        <w:t>ve</w:t>
      </w:r>
      <w:r w:rsidRPr="008D462D">
        <w:rPr>
          <w:noProof/>
        </w:rPr>
        <w:t xml:space="preserve"> been calculated from the date of the de facto termination of the contr</w:t>
      </w:r>
      <w:r>
        <w:rPr>
          <w:noProof/>
        </w:rPr>
        <w:t>act of employment or its expiry</w:t>
      </w:r>
      <w:r w:rsidR="00F07146">
        <w:rPr>
          <w:noProof/>
        </w:rPr>
        <w:t>.</w:t>
      </w:r>
    </w:p>
    <w:p w:rsidR="001A62D7" w:rsidRPr="00BD440D" w:rsidRDefault="001A62D7" w:rsidP="001A62D7">
      <w:pPr>
        <w:pStyle w:val="ManualHeading3"/>
        <w:rPr>
          <w:noProof/>
        </w:rPr>
      </w:pPr>
      <w:r>
        <w:rPr>
          <w:noProof/>
        </w:rPr>
        <w:t>Eligible beneficiaries</w:t>
      </w:r>
    </w:p>
    <w:p w:rsidR="001A62D7" w:rsidRPr="007D613D" w:rsidRDefault="001A62D7" w:rsidP="00AE7D04">
      <w:pPr>
        <w:pStyle w:val="ManualNumPar1"/>
        <w:rPr>
          <w:noProof/>
        </w:rPr>
      </w:pPr>
      <w:r>
        <w:rPr>
          <w:noProof/>
        </w:rPr>
        <w:t>10.</w:t>
      </w:r>
      <w:r>
        <w:rPr>
          <w:noProof/>
        </w:rPr>
        <w:tab/>
        <w:t xml:space="preserve">The total number of eligible beneficiaries is </w:t>
      </w:r>
      <w:r w:rsidR="005B68D8">
        <w:rPr>
          <w:noProof/>
        </w:rPr>
        <w:t>803</w:t>
      </w:r>
      <w:r>
        <w:rPr>
          <w:noProof/>
        </w:rPr>
        <w:t>.</w:t>
      </w:r>
    </w:p>
    <w:p w:rsidR="001A62D7" w:rsidRPr="009843DD" w:rsidRDefault="001A62D7" w:rsidP="001A62D7">
      <w:pPr>
        <w:pStyle w:val="ManualHeading3"/>
        <w:rPr>
          <w:noProof/>
        </w:rPr>
      </w:pPr>
      <w:r>
        <w:rPr>
          <w:noProof/>
        </w:rPr>
        <w:lastRenderedPageBreak/>
        <w:t>Description of the e</w:t>
      </w:r>
      <w:r w:rsidRPr="009843DD">
        <w:rPr>
          <w:noProof/>
        </w:rPr>
        <w:t xml:space="preserve">vents </w:t>
      </w:r>
      <w:r>
        <w:rPr>
          <w:noProof/>
        </w:rPr>
        <w:t>that led to the displacements</w:t>
      </w:r>
      <w:r w:rsidRPr="009843DD">
        <w:rPr>
          <w:noProof/>
        </w:rPr>
        <w:t xml:space="preserve"> and cessation of activity</w:t>
      </w:r>
    </w:p>
    <w:p w:rsidR="008C3FE7" w:rsidRDefault="001A62D7" w:rsidP="001E1BFF">
      <w:pPr>
        <w:pStyle w:val="ManualNumPar1"/>
        <w:rPr>
          <w:noProof/>
        </w:rPr>
      </w:pPr>
      <w:r>
        <w:rPr>
          <w:noProof/>
        </w:rPr>
        <w:t>11.</w:t>
      </w:r>
      <w:r>
        <w:rPr>
          <w:noProof/>
        </w:rPr>
        <w:tab/>
        <w:t xml:space="preserve">The event giving rise to these displacements </w:t>
      </w:r>
      <w:r w:rsidR="007266B5">
        <w:rPr>
          <w:noProof/>
        </w:rPr>
        <w:t>was</w:t>
      </w:r>
      <w:r>
        <w:rPr>
          <w:noProof/>
        </w:rPr>
        <w:t xml:space="preserve"> </w:t>
      </w:r>
      <w:r w:rsidR="008C3FE7">
        <w:rPr>
          <w:noProof/>
        </w:rPr>
        <w:t xml:space="preserve">the </w:t>
      </w:r>
      <w:r w:rsidR="00250DD0">
        <w:rPr>
          <w:noProof/>
        </w:rPr>
        <w:t>declaration of Soli</w:t>
      </w:r>
      <w:r w:rsidR="007266B5">
        <w:rPr>
          <w:noProof/>
        </w:rPr>
        <w:t>v</w:t>
      </w:r>
      <w:r w:rsidR="00250DD0">
        <w:rPr>
          <w:noProof/>
        </w:rPr>
        <w:t>er's</w:t>
      </w:r>
      <w:r w:rsidR="008C3FE7">
        <w:rPr>
          <w:noProof/>
        </w:rPr>
        <w:t xml:space="preserve"> bankruptcy</w:t>
      </w:r>
      <w:r w:rsidR="00A85F2E">
        <w:rPr>
          <w:noProof/>
        </w:rPr>
        <w:t xml:space="preserve"> by </w:t>
      </w:r>
      <w:r w:rsidR="007266B5">
        <w:rPr>
          <w:noProof/>
        </w:rPr>
        <w:t xml:space="preserve">the </w:t>
      </w:r>
      <w:r w:rsidR="00A85F2E">
        <w:rPr>
          <w:noProof/>
        </w:rPr>
        <w:t>Ghent Commercial Court</w:t>
      </w:r>
      <w:r w:rsidR="00250DD0">
        <w:rPr>
          <w:noProof/>
        </w:rPr>
        <w:t xml:space="preserve"> on 1 July 2025</w:t>
      </w:r>
      <w:r w:rsidR="00A85F2E">
        <w:rPr>
          <w:noProof/>
        </w:rPr>
        <w:t>.</w:t>
      </w:r>
    </w:p>
    <w:p w:rsidR="00FF1A01" w:rsidRDefault="00FF1A01" w:rsidP="001E1BFF">
      <w:pPr>
        <w:pStyle w:val="ManualNumPar1"/>
        <w:rPr>
          <w:noProof/>
        </w:rPr>
      </w:pPr>
      <w:r>
        <w:rPr>
          <w:noProof/>
        </w:rPr>
        <w:t>12.</w:t>
      </w:r>
      <w:r>
        <w:rPr>
          <w:noProof/>
        </w:rPr>
        <w:tab/>
      </w:r>
      <w:r w:rsidRPr="00FF1A01">
        <w:rPr>
          <w:noProof/>
        </w:rPr>
        <w:t>Originally a Belgian family business producing glass products (e.g. construction and automotive glass), Soliver was acquired in 2018 by American Glass Products Holding (AGP), shifting its focus exclusively to high-tech automotive glass.</w:t>
      </w:r>
    </w:p>
    <w:p w:rsidR="001A62D7" w:rsidRDefault="00986DA0" w:rsidP="001E1BFF">
      <w:pPr>
        <w:pStyle w:val="ManualNumPar1"/>
        <w:rPr>
          <w:noProof/>
        </w:rPr>
      </w:pPr>
      <w:r>
        <w:rPr>
          <w:noProof/>
        </w:rPr>
        <w:t>13.</w:t>
      </w:r>
      <w:r>
        <w:rPr>
          <w:noProof/>
        </w:rPr>
        <w:tab/>
        <w:t xml:space="preserve">After the </w:t>
      </w:r>
      <w:r w:rsidRPr="00986DA0">
        <w:rPr>
          <w:noProof/>
        </w:rPr>
        <w:t>acquisition, Soliver expanded with two new sites in East Flanders (</w:t>
      </w:r>
      <w:bookmarkStart w:id="11" w:name="_Hlk224207785"/>
      <w:r w:rsidRPr="00986DA0">
        <w:rPr>
          <w:noProof/>
        </w:rPr>
        <w:t>Zwijnaarde and Evergem</w:t>
      </w:r>
      <w:bookmarkEnd w:id="11"/>
      <w:r w:rsidRPr="00986DA0">
        <w:rPr>
          <w:noProof/>
        </w:rPr>
        <w:t xml:space="preserve">), alongside its original Rumbeke (West Flanders) plant. Zwijnaarde specialised in sunroofs for electric cars and panoramic roofs for Ferrari, while Evergem aimed to boost production capacity. However, Zwijnaarde struggled due to delayed car model production, forcing the closure of two lines and </w:t>
      </w:r>
      <w:r w:rsidR="007F7C31">
        <w:rPr>
          <w:noProof/>
        </w:rPr>
        <w:t xml:space="preserve">reducing </w:t>
      </w:r>
      <w:r w:rsidRPr="00986DA0">
        <w:rPr>
          <w:noProof/>
        </w:rPr>
        <w:t xml:space="preserve">profitability. </w:t>
      </w:r>
      <w:r w:rsidR="007F7C31" w:rsidRPr="007F7C31">
        <w:rPr>
          <w:noProof/>
        </w:rPr>
        <w:t xml:space="preserve">Evergem proved unprofitable because of overcapacity and a </w:t>
      </w:r>
      <w:r w:rsidR="00733DEF">
        <w:rPr>
          <w:noProof/>
        </w:rPr>
        <w:t>downturn</w:t>
      </w:r>
      <w:r w:rsidR="007F7C31" w:rsidRPr="007F7C31">
        <w:rPr>
          <w:noProof/>
        </w:rPr>
        <w:t xml:space="preserve"> in the automotive sector. Unable to resolve its financial troubles, Soliver filed for bankruptcy in December 2024.</w:t>
      </w:r>
    </w:p>
    <w:p w:rsidR="001A62D7" w:rsidRPr="00EF5C5A" w:rsidRDefault="001A62D7" w:rsidP="001A62D7">
      <w:pPr>
        <w:pStyle w:val="ManualHeading3"/>
        <w:tabs>
          <w:tab w:val="clear" w:pos="850"/>
          <w:tab w:val="left" w:pos="0"/>
        </w:tabs>
        <w:ind w:left="0" w:firstLine="0"/>
        <w:rPr>
          <w:noProof/>
        </w:rPr>
      </w:pPr>
      <w:r w:rsidRPr="00EF5C5A">
        <w:rPr>
          <w:noProof/>
        </w:rPr>
        <w:t xml:space="preserve">Expected impact of the </w:t>
      </w:r>
      <w:r>
        <w:rPr>
          <w:noProof/>
        </w:rPr>
        <w:t xml:space="preserve">displacements </w:t>
      </w:r>
      <w:r w:rsidRPr="00EF5C5A">
        <w:rPr>
          <w:noProof/>
        </w:rPr>
        <w:t>as regards the local, regional or national economy and employment</w:t>
      </w:r>
    </w:p>
    <w:p w:rsidR="00F0286E" w:rsidRDefault="00327B30" w:rsidP="00E306C4">
      <w:pPr>
        <w:pStyle w:val="ManualNumPar1"/>
        <w:rPr>
          <w:noProof/>
        </w:rPr>
      </w:pPr>
      <w:r>
        <w:rPr>
          <w:noProof/>
        </w:rPr>
        <w:t>14.</w:t>
      </w:r>
      <w:r>
        <w:rPr>
          <w:noProof/>
        </w:rPr>
        <w:tab/>
      </w:r>
      <w:bookmarkStart w:id="12" w:name="_Hlk224135724"/>
      <w:r w:rsidRPr="00327B30">
        <w:rPr>
          <w:noProof/>
        </w:rPr>
        <w:t>In 2025, 11</w:t>
      </w:r>
      <w:r w:rsidR="00566198">
        <w:rPr>
          <w:noProof/>
        </w:rPr>
        <w:t> </w:t>
      </w:r>
      <w:r w:rsidRPr="00327B30">
        <w:rPr>
          <w:noProof/>
        </w:rPr>
        <w:t>665 enterprises were declared bankrupt in Belgium</w:t>
      </w:r>
      <w:r w:rsidR="00566198">
        <w:rPr>
          <w:rStyle w:val="FootnoteReference"/>
          <w:noProof/>
        </w:rPr>
        <w:footnoteReference w:id="5"/>
      </w:r>
      <w:r w:rsidRPr="00327B30">
        <w:rPr>
          <w:noProof/>
        </w:rPr>
        <w:t>, an increase of 5,0% compared to 2024 and of 13,6% compared to 2023</w:t>
      </w:r>
      <w:r w:rsidR="0029417E">
        <w:rPr>
          <w:rStyle w:val="FootnoteReference"/>
          <w:noProof/>
        </w:rPr>
        <w:footnoteReference w:id="6"/>
      </w:r>
      <w:r w:rsidRPr="00327B30">
        <w:rPr>
          <w:noProof/>
        </w:rPr>
        <w:t xml:space="preserve">. </w:t>
      </w:r>
      <w:r w:rsidR="00A36992" w:rsidRPr="00A36992">
        <w:rPr>
          <w:noProof/>
        </w:rPr>
        <w:t>Most of them (57,8%) concerned enterprises located in Flanders.</w:t>
      </w:r>
      <w:r w:rsidRPr="00327B30">
        <w:rPr>
          <w:noProof/>
        </w:rPr>
        <w:t xml:space="preserve"> As a result of these bankruptcies, 28</w:t>
      </w:r>
      <w:r w:rsidR="00566198">
        <w:rPr>
          <w:noProof/>
        </w:rPr>
        <w:t> </w:t>
      </w:r>
      <w:r w:rsidRPr="00327B30">
        <w:rPr>
          <w:noProof/>
        </w:rPr>
        <w:t>945 jobs were lost, 52</w:t>
      </w:r>
      <w:r w:rsidR="007F7AEF">
        <w:rPr>
          <w:noProof/>
        </w:rPr>
        <w:t>,</w:t>
      </w:r>
      <w:r w:rsidRPr="00327B30">
        <w:rPr>
          <w:noProof/>
        </w:rPr>
        <w:t>8% of which were in Flanders</w:t>
      </w:r>
      <w:r w:rsidR="004E0712">
        <w:rPr>
          <w:rStyle w:val="FootnoteReference"/>
          <w:noProof/>
        </w:rPr>
        <w:footnoteReference w:id="7"/>
      </w:r>
      <w:r w:rsidR="00F0286E">
        <w:rPr>
          <w:noProof/>
        </w:rPr>
        <w:t>.</w:t>
      </w:r>
    </w:p>
    <w:bookmarkEnd w:id="12"/>
    <w:p w:rsidR="00733DEF" w:rsidRDefault="00F0286E" w:rsidP="00E306C4">
      <w:pPr>
        <w:pStyle w:val="ManualNumPar1"/>
        <w:rPr>
          <w:noProof/>
        </w:rPr>
      </w:pPr>
      <w:r>
        <w:rPr>
          <w:noProof/>
        </w:rPr>
        <w:t>15.</w:t>
      </w:r>
      <w:r>
        <w:rPr>
          <w:noProof/>
        </w:rPr>
        <w:tab/>
        <w:t>The territories most affected by Soliver's bankrup</w:t>
      </w:r>
      <w:r w:rsidR="00E306C4">
        <w:rPr>
          <w:noProof/>
        </w:rPr>
        <w:t>t</w:t>
      </w:r>
      <w:r>
        <w:rPr>
          <w:noProof/>
        </w:rPr>
        <w:t xml:space="preserve">cy are the municipalities of Roeselare (West Flanders) and Ghent (East Flanders). In January 2026, </w:t>
      </w:r>
      <w:r w:rsidR="00733DEF" w:rsidRPr="00733DEF">
        <w:rPr>
          <w:noProof/>
        </w:rPr>
        <w:t>unemployment in West Flanders rose by 7</w:t>
      </w:r>
      <w:r w:rsidR="006806E3">
        <w:rPr>
          <w:noProof/>
        </w:rPr>
        <w:t>,</w:t>
      </w:r>
      <w:r w:rsidR="00733DEF" w:rsidRPr="00733DEF">
        <w:rPr>
          <w:noProof/>
        </w:rPr>
        <w:t>6% year-on-year (36</w:t>
      </w:r>
      <w:r w:rsidR="006806E3">
        <w:rPr>
          <w:noProof/>
        </w:rPr>
        <w:t> </w:t>
      </w:r>
      <w:r w:rsidR="00733DEF" w:rsidRPr="00733DEF">
        <w:rPr>
          <w:noProof/>
        </w:rPr>
        <w:t xml:space="preserve">916 </w:t>
      </w:r>
      <w:r w:rsidR="006806E3">
        <w:rPr>
          <w:noProof/>
        </w:rPr>
        <w:t xml:space="preserve">registered </w:t>
      </w:r>
      <w:r w:rsidR="00733DEF" w:rsidRPr="00733DEF">
        <w:rPr>
          <w:noProof/>
        </w:rPr>
        <w:t>jobseekers, 16% of Flanders’ total), while East Flanders saw a 6</w:t>
      </w:r>
      <w:r w:rsidR="006806E3">
        <w:rPr>
          <w:noProof/>
        </w:rPr>
        <w:t>,</w:t>
      </w:r>
      <w:r w:rsidR="00733DEF" w:rsidRPr="00733DEF">
        <w:rPr>
          <w:noProof/>
        </w:rPr>
        <w:t>6% increase (54</w:t>
      </w:r>
      <w:r w:rsidR="006806E3">
        <w:rPr>
          <w:noProof/>
        </w:rPr>
        <w:t> </w:t>
      </w:r>
      <w:r w:rsidR="00733DEF" w:rsidRPr="00733DEF">
        <w:rPr>
          <w:noProof/>
        </w:rPr>
        <w:t xml:space="preserve">154 jobseekers, 24% of </w:t>
      </w:r>
      <w:r w:rsidR="006806E3" w:rsidRPr="006806E3">
        <w:rPr>
          <w:noProof/>
        </w:rPr>
        <w:t xml:space="preserve">Flanders’ </w:t>
      </w:r>
      <w:r w:rsidR="00733DEF" w:rsidRPr="00733DEF">
        <w:rPr>
          <w:noProof/>
        </w:rPr>
        <w:t xml:space="preserve">total). Roeselare’s unemployment </w:t>
      </w:r>
      <w:r w:rsidR="00377FD4">
        <w:rPr>
          <w:noProof/>
        </w:rPr>
        <w:t>rise</w:t>
      </w:r>
      <w:r w:rsidR="00733DEF" w:rsidRPr="00733DEF">
        <w:rPr>
          <w:noProof/>
        </w:rPr>
        <w:t xml:space="preserve"> (+9</w:t>
      </w:r>
      <w:r w:rsidR="007F7AEF">
        <w:rPr>
          <w:noProof/>
        </w:rPr>
        <w:t>,</w:t>
      </w:r>
      <w:r w:rsidR="00733DEF" w:rsidRPr="00733DEF">
        <w:rPr>
          <w:noProof/>
        </w:rPr>
        <w:t>6%) exceeded the provincial average by 2 percentage points</w:t>
      </w:r>
      <w:r w:rsidR="006806E3">
        <w:rPr>
          <w:noProof/>
        </w:rPr>
        <w:t xml:space="preserve"> (pp)</w:t>
      </w:r>
      <w:r w:rsidR="00733DEF" w:rsidRPr="00733DEF">
        <w:rPr>
          <w:noProof/>
        </w:rPr>
        <w:t xml:space="preserve">, whereas Ghent’s </w:t>
      </w:r>
      <w:r w:rsidR="00377FD4">
        <w:rPr>
          <w:noProof/>
        </w:rPr>
        <w:t>increase</w:t>
      </w:r>
      <w:r w:rsidR="00733DEF" w:rsidRPr="00733DEF">
        <w:rPr>
          <w:noProof/>
        </w:rPr>
        <w:t xml:space="preserve"> (+5</w:t>
      </w:r>
      <w:r w:rsidR="007F7AEF">
        <w:rPr>
          <w:noProof/>
        </w:rPr>
        <w:t>,</w:t>
      </w:r>
      <w:r w:rsidR="00733DEF" w:rsidRPr="00733DEF">
        <w:rPr>
          <w:noProof/>
        </w:rPr>
        <w:t>0%, 1.</w:t>
      </w:r>
      <w:r w:rsidR="006806E3">
        <w:rPr>
          <w:noProof/>
        </w:rPr>
        <w:t>6</w:t>
      </w:r>
      <w:r w:rsidR="00733DEF" w:rsidRPr="00733DEF">
        <w:rPr>
          <w:noProof/>
        </w:rPr>
        <w:t>pp below the provincial level) was less severe.</w:t>
      </w:r>
    </w:p>
    <w:p w:rsidR="001A62D7" w:rsidRDefault="008855AA" w:rsidP="00E306C4">
      <w:pPr>
        <w:pStyle w:val="ManualNumPar1"/>
        <w:rPr>
          <w:noProof/>
        </w:rPr>
      </w:pPr>
      <w:r>
        <w:rPr>
          <w:noProof/>
        </w:rPr>
        <w:t>16.</w:t>
      </w:r>
      <w:r>
        <w:rPr>
          <w:noProof/>
        </w:rPr>
        <w:tab/>
        <w:t xml:space="preserve">In 2025, the number of vacancies </w:t>
      </w:r>
      <w:r w:rsidR="008F049C">
        <w:rPr>
          <w:noProof/>
        </w:rPr>
        <w:t>fell</w:t>
      </w:r>
      <w:r>
        <w:rPr>
          <w:noProof/>
        </w:rPr>
        <w:t xml:space="preserve"> </w:t>
      </w:r>
      <w:r w:rsidR="006806E3">
        <w:rPr>
          <w:noProof/>
        </w:rPr>
        <w:t xml:space="preserve">by 14% </w:t>
      </w:r>
      <w:r>
        <w:rPr>
          <w:noProof/>
        </w:rPr>
        <w:t xml:space="preserve">in Roeselare and </w:t>
      </w:r>
      <w:r w:rsidR="006806E3">
        <w:rPr>
          <w:noProof/>
        </w:rPr>
        <w:t xml:space="preserve">7% </w:t>
      </w:r>
      <w:r>
        <w:rPr>
          <w:noProof/>
        </w:rPr>
        <w:t>in Ghent</w:t>
      </w:r>
      <w:r w:rsidR="00CE4172">
        <w:rPr>
          <w:rStyle w:val="FootnoteReference"/>
          <w:noProof/>
        </w:rPr>
        <w:footnoteReference w:id="8"/>
      </w:r>
      <w:r>
        <w:rPr>
          <w:noProof/>
        </w:rPr>
        <w:t xml:space="preserve"> </w:t>
      </w:r>
      <w:r w:rsidR="008F049C">
        <w:rPr>
          <w:noProof/>
        </w:rPr>
        <w:t>co</w:t>
      </w:r>
      <w:r w:rsidR="004F0C60">
        <w:rPr>
          <w:noProof/>
        </w:rPr>
        <w:t>m</w:t>
      </w:r>
      <w:r w:rsidR="008F049C">
        <w:rPr>
          <w:noProof/>
        </w:rPr>
        <w:t xml:space="preserve">pounding the </w:t>
      </w:r>
      <w:r w:rsidR="008F049C" w:rsidRPr="008F049C">
        <w:rPr>
          <w:noProof/>
        </w:rPr>
        <w:t>cooling</w:t>
      </w:r>
      <w:r w:rsidR="008F049C">
        <w:rPr>
          <w:noProof/>
        </w:rPr>
        <w:t xml:space="preserve"> labour market</w:t>
      </w:r>
      <w:r w:rsidR="006D74FC">
        <w:rPr>
          <w:noProof/>
        </w:rPr>
        <w:t xml:space="preserve">. </w:t>
      </w:r>
      <w:r w:rsidR="008F049C" w:rsidRPr="008F049C">
        <w:rPr>
          <w:noProof/>
        </w:rPr>
        <w:t>Soliver’s redundancies will worsen local employment</w:t>
      </w:r>
      <w:r w:rsidR="008F049C">
        <w:rPr>
          <w:noProof/>
        </w:rPr>
        <w:t>. However</w:t>
      </w:r>
      <w:r w:rsidR="008F049C" w:rsidRPr="008F049C">
        <w:rPr>
          <w:noProof/>
        </w:rPr>
        <w:t xml:space="preserve">, technically skilled workers—or those willing to reskill—are </w:t>
      </w:r>
      <w:r w:rsidR="00247653">
        <w:rPr>
          <w:noProof/>
        </w:rPr>
        <w:t xml:space="preserve">likely </w:t>
      </w:r>
      <w:r w:rsidR="008F049C" w:rsidRPr="008F049C">
        <w:rPr>
          <w:noProof/>
        </w:rPr>
        <w:t xml:space="preserve">to find opportunities due to shortage of technical professionals, </w:t>
      </w:r>
      <w:r w:rsidR="00247653">
        <w:rPr>
          <w:noProof/>
        </w:rPr>
        <w:t>stem</w:t>
      </w:r>
      <w:r w:rsidR="00C76357">
        <w:rPr>
          <w:noProof/>
        </w:rPr>
        <w:t>m</w:t>
      </w:r>
      <w:r w:rsidR="00247653">
        <w:rPr>
          <w:noProof/>
        </w:rPr>
        <w:t>ed</w:t>
      </w:r>
      <w:r w:rsidR="008F049C" w:rsidRPr="008F049C">
        <w:rPr>
          <w:noProof/>
        </w:rPr>
        <w:t xml:space="preserve"> by low youth </w:t>
      </w:r>
      <w:r w:rsidR="00247653">
        <w:rPr>
          <w:noProof/>
        </w:rPr>
        <w:t>engagement</w:t>
      </w:r>
      <w:r w:rsidR="008F049C" w:rsidRPr="008F049C">
        <w:rPr>
          <w:noProof/>
        </w:rPr>
        <w:t xml:space="preserve"> in vocational training and an ageing workforce</w:t>
      </w:r>
      <w:r w:rsidR="008F049C">
        <w:rPr>
          <w:noProof/>
        </w:rPr>
        <w:t>.</w:t>
      </w:r>
    </w:p>
    <w:p w:rsidR="001A62D7" w:rsidRDefault="001A62D7" w:rsidP="007E5241">
      <w:pPr>
        <w:pStyle w:val="ManualHeading2"/>
        <w:tabs>
          <w:tab w:val="clear" w:pos="850"/>
          <w:tab w:val="left" w:pos="993"/>
        </w:tabs>
        <w:ind w:left="0" w:firstLine="0"/>
        <w:rPr>
          <w:noProof/>
        </w:rPr>
      </w:pPr>
      <w:r w:rsidRPr="001B069C">
        <w:rPr>
          <w:noProof/>
        </w:rPr>
        <w:t>Application of the EU Quality Framework for anticipation of change and restructuring</w:t>
      </w:r>
      <w:r w:rsidR="007E5241">
        <w:rPr>
          <w:noProof/>
        </w:rPr>
        <w:t xml:space="preserve"> </w:t>
      </w:r>
      <w:r w:rsidRPr="001B069C">
        <w:rPr>
          <w:noProof/>
        </w:rPr>
        <w:t>(QFR)</w:t>
      </w:r>
    </w:p>
    <w:p w:rsidR="001A62D7" w:rsidRDefault="005B68D8" w:rsidP="00AE7D04">
      <w:pPr>
        <w:pStyle w:val="ManualNumPar1"/>
        <w:rPr>
          <w:noProof/>
        </w:rPr>
      </w:pPr>
      <w:r>
        <w:rPr>
          <w:noProof/>
        </w:rPr>
        <w:t>17.</w:t>
      </w:r>
      <w:r>
        <w:rPr>
          <w:noProof/>
        </w:rPr>
        <w:tab/>
        <w:t>Belgium</w:t>
      </w:r>
      <w:r w:rsidR="001A62D7">
        <w:rPr>
          <w:noProof/>
        </w:rPr>
        <w:t xml:space="preserve"> </w:t>
      </w:r>
      <w:r w:rsidR="001A62D7" w:rsidRPr="001B069C">
        <w:rPr>
          <w:noProof/>
        </w:rPr>
        <w:t xml:space="preserve">has described how the recommendations set out in the EU Quality Framework for anticipation of change and restructuring have been </w:t>
      </w:r>
      <w:r w:rsidR="00C36A72" w:rsidRPr="001B069C">
        <w:rPr>
          <w:noProof/>
        </w:rPr>
        <w:t>considered</w:t>
      </w:r>
      <w:r w:rsidR="0055521B">
        <w:rPr>
          <w:noProof/>
        </w:rPr>
        <w:t>.</w:t>
      </w:r>
    </w:p>
    <w:p w:rsidR="0055521B" w:rsidRPr="0055521B" w:rsidRDefault="0055521B" w:rsidP="0055521B">
      <w:pPr>
        <w:pStyle w:val="ManualNumPar1"/>
        <w:rPr>
          <w:noProof/>
        </w:rPr>
      </w:pPr>
      <w:r>
        <w:rPr>
          <w:noProof/>
        </w:rPr>
        <w:t>18.</w:t>
      </w:r>
      <w:r>
        <w:rPr>
          <w:noProof/>
        </w:rPr>
        <w:tab/>
      </w:r>
      <w:r w:rsidRPr="00BE41FC">
        <w:rPr>
          <w:noProof/>
        </w:rPr>
        <w:t>Belgium has reported that national labour law</w:t>
      </w:r>
      <w:r>
        <w:rPr>
          <w:rStyle w:val="FootnoteReference"/>
          <w:noProof/>
        </w:rPr>
        <w:footnoteReference w:id="9"/>
      </w:r>
      <w:r w:rsidRPr="00BE41FC">
        <w:rPr>
          <w:noProof/>
        </w:rPr>
        <w:t xml:space="preserve"> on the active management of restructuring requires enterprises undergoing restructuring to set up an employment unit, whose purpose is to provide workers laid off in the context of collective redundancies with 30 hours of outplacement services in a period of three months (60 hours in six months for workers aged 45+). However, this legal obligat</w:t>
      </w:r>
      <w:r>
        <w:rPr>
          <w:noProof/>
        </w:rPr>
        <w:t>i</w:t>
      </w:r>
      <w:r w:rsidRPr="00BE41FC">
        <w:rPr>
          <w:noProof/>
        </w:rPr>
        <w:t xml:space="preserve">on does not </w:t>
      </w:r>
      <w:r w:rsidRPr="00BE41FC">
        <w:rPr>
          <w:noProof/>
        </w:rPr>
        <w:lastRenderedPageBreak/>
        <w:t xml:space="preserve">apply in the event of bankruptcy. Therefore, the outplacement measure described below in </w:t>
      </w:r>
      <w:r w:rsidRPr="00AC4216">
        <w:rPr>
          <w:noProof/>
        </w:rPr>
        <w:t>paragraph 2</w:t>
      </w:r>
      <w:r w:rsidR="000A3457" w:rsidRPr="00AC4216">
        <w:rPr>
          <w:noProof/>
        </w:rPr>
        <w:t>4</w:t>
      </w:r>
      <w:r w:rsidRPr="00AC4216">
        <w:rPr>
          <w:noProof/>
        </w:rPr>
        <w:t xml:space="preserve"> replaces</w:t>
      </w:r>
      <w:r>
        <w:rPr>
          <w:noProof/>
        </w:rPr>
        <w:t xml:space="preserve"> </w:t>
      </w:r>
      <w:r w:rsidRPr="00BE41FC">
        <w:rPr>
          <w:noProof/>
        </w:rPr>
        <w:t>the counse</w:t>
      </w:r>
      <w:r w:rsidR="00BD6159">
        <w:rPr>
          <w:noProof/>
        </w:rPr>
        <w:t>l</w:t>
      </w:r>
      <w:r w:rsidRPr="00BE41FC">
        <w:rPr>
          <w:noProof/>
        </w:rPr>
        <w:t xml:space="preserve">ling and outplacement services that </w:t>
      </w:r>
      <w:r>
        <w:rPr>
          <w:noProof/>
        </w:rPr>
        <w:t>these</w:t>
      </w:r>
      <w:r w:rsidRPr="00BE41FC">
        <w:rPr>
          <w:noProof/>
        </w:rPr>
        <w:t xml:space="preserve"> displaced workers</w:t>
      </w:r>
      <w:r>
        <w:rPr>
          <w:noProof/>
        </w:rPr>
        <w:t xml:space="preserve"> </w:t>
      </w:r>
      <w:r w:rsidRPr="00BE41FC">
        <w:rPr>
          <w:noProof/>
        </w:rPr>
        <w:t xml:space="preserve">do not receive. </w:t>
      </w:r>
    </w:p>
    <w:p w:rsidR="001A62D7" w:rsidRPr="00AE1620" w:rsidRDefault="001A62D7" w:rsidP="00AE7D04">
      <w:pPr>
        <w:pStyle w:val="ManualNumPar1"/>
        <w:rPr>
          <w:noProof/>
        </w:rPr>
      </w:pPr>
      <w:r>
        <w:rPr>
          <w:noProof/>
        </w:rPr>
        <w:t>19.</w:t>
      </w:r>
      <w:r>
        <w:rPr>
          <w:noProof/>
        </w:rPr>
        <w:tab/>
      </w:r>
      <w:r w:rsidRPr="006C785D">
        <w:rPr>
          <w:noProof/>
        </w:rPr>
        <w:t>Regarding the activities undertaken to assist the displaced workers</w:t>
      </w:r>
      <w:r>
        <w:rPr>
          <w:noProof/>
        </w:rPr>
        <w:t>,</w:t>
      </w:r>
      <w:r w:rsidRPr="009610D2">
        <w:rPr>
          <w:noProof/>
        </w:rPr>
        <w:t xml:space="preserve"> </w:t>
      </w:r>
      <w:r w:rsidR="005B68D8">
        <w:rPr>
          <w:noProof/>
        </w:rPr>
        <w:t>Belgium</w:t>
      </w:r>
      <w:r w:rsidRPr="00C96520">
        <w:rPr>
          <w:noProof/>
        </w:rPr>
        <w:t xml:space="preserve"> has </w:t>
      </w:r>
      <w:r>
        <w:rPr>
          <w:noProof/>
        </w:rPr>
        <w:t>reported</w:t>
      </w:r>
      <w:r w:rsidRPr="00C96520">
        <w:rPr>
          <w:noProof/>
        </w:rPr>
        <w:t xml:space="preserve"> that </w:t>
      </w:r>
      <w:r w:rsidR="00CA1197">
        <w:rPr>
          <w:noProof/>
        </w:rPr>
        <w:t>t</w:t>
      </w:r>
      <w:r w:rsidR="00CA1197" w:rsidRPr="00CA1197">
        <w:rPr>
          <w:noProof/>
        </w:rPr>
        <w:t xml:space="preserve">he first job-search event (‘job fair’) described below took place </w:t>
      </w:r>
      <w:r w:rsidR="006D78FF">
        <w:rPr>
          <w:noProof/>
        </w:rPr>
        <w:t>in</w:t>
      </w:r>
      <w:r w:rsidR="003F4B17">
        <w:rPr>
          <w:noProof/>
        </w:rPr>
        <w:t xml:space="preserve"> </w:t>
      </w:r>
      <w:r w:rsidR="006D78FF">
        <w:rPr>
          <w:noProof/>
        </w:rPr>
        <w:t xml:space="preserve">Roeselare, </w:t>
      </w:r>
      <w:r w:rsidR="00CA1197">
        <w:rPr>
          <w:noProof/>
        </w:rPr>
        <w:t xml:space="preserve">still during the bankruptcy proceedings, </w:t>
      </w:r>
      <w:r w:rsidR="005C34B2" w:rsidRPr="005C34B2">
        <w:rPr>
          <w:noProof/>
        </w:rPr>
        <w:t xml:space="preserve">on </w:t>
      </w:r>
      <w:r w:rsidR="002D162C">
        <w:rPr>
          <w:noProof/>
        </w:rPr>
        <w:t>11 June 2025</w:t>
      </w:r>
      <w:r w:rsidR="005C34B2" w:rsidRPr="005C34B2">
        <w:rPr>
          <w:noProof/>
        </w:rPr>
        <w:t>.</w:t>
      </w:r>
      <w:r w:rsidR="003F4B17">
        <w:rPr>
          <w:noProof/>
        </w:rPr>
        <w:t xml:space="preserve"> A second job-fair was held in Ghent on 25 September 2025.</w:t>
      </w:r>
      <w:r w:rsidR="005C34B2" w:rsidRPr="005C34B2">
        <w:rPr>
          <w:noProof/>
        </w:rPr>
        <w:t xml:space="preserve"> </w:t>
      </w:r>
      <w:r w:rsidR="00CA1197">
        <w:rPr>
          <w:noProof/>
        </w:rPr>
        <w:t>I</w:t>
      </w:r>
      <w:r w:rsidR="00CA1197" w:rsidRPr="00CA1197">
        <w:rPr>
          <w:noProof/>
        </w:rPr>
        <w:t>nformation and registration sessions, and outplacement services to support former Soliver workers were launched</w:t>
      </w:r>
      <w:r w:rsidR="00C67372">
        <w:rPr>
          <w:noProof/>
        </w:rPr>
        <w:t xml:space="preserve"> </w:t>
      </w:r>
      <w:r w:rsidR="00C67372" w:rsidRPr="00C67372">
        <w:rPr>
          <w:noProof/>
        </w:rPr>
        <w:t>on 11 July 2025</w:t>
      </w:r>
      <w:r w:rsidR="00C67372">
        <w:rPr>
          <w:noProof/>
        </w:rPr>
        <w:t>,</w:t>
      </w:r>
      <w:r w:rsidR="005C34B2" w:rsidRPr="005C34B2">
        <w:rPr>
          <w:noProof/>
        </w:rPr>
        <w:t xml:space="preserve"> </w:t>
      </w:r>
      <w:r w:rsidR="00CA1197">
        <w:rPr>
          <w:noProof/>
        </w:rPr>
        <w:t>short after the bankrup</w:t>
      </w:r>
      <w:r w:rsidR="00242082">
        <w:rPr>
          <w:noProof/>
        </w:rPr>
        <w:t>t</w:t>
      </w:r>
      <w:r w:rsidR="00CA1197">
        <w:rPr>
          <w:noProof/>
        </w:rPr>
        <w:t>cy declaration</w:t>
      </w:r>
      <w:r w:rsidRPr="00C96520">
        <w:rPr>
          <w:noProof/>
        </w:rPr>
        <w:t xml:space="preserve">. </w:t>
      </w:r>
    </w:p>
    <w:p w:rsidR="001A62D7" w:rsidRDefault="001A62D7" w:rsidP="001A62D7">
      <w:pPr>
        <w:pStyle w:val="ManualHeading3"/>
        <w:rPr>
          <w:noProof/>
        </w:rPr>
      </w:pPr>
      <w:r w:rsidRPr="00EC1BA4">
        <w:rPr>
          <w:noProof/>
        </w:rPr>
        <w:t>Complementarity with actions funded by national or Union funds</w:t>
      </w:r>
    </w:p>
    <w:p w:rsidR="001A62D7" w:rsidRDefault="005B68D8" w:rsidP="00AE7D04">
      <w:pPr>
        <w:pStyle w:val="ManualNumPar1"/>
        <w:rPr>
          <w:noProof/>
        </w:rPr>
      </w:pPr>
      <w:r>
        <w:rPr>
          <w:noProof/>
        </w:rPr>
        <w:t>20.</w:t>
      </w:r>
      <w:r>
        <w:rPr>
          <w:noProof/>
        </w:rPr>
        <w:tab/>
        <w:t>Belgium</w:t>
      </w:r>
      <w:r w:rsidR="001A62D7">
        <w:rPr>
          <w:noProof/>
        </w:rPr>
        <w:t xml:space="preserve"> has confirmed that the measures described </w:t>
      </w:r>
      <w:r w:rsidR="001A62D7" w:rsidRPr="003D0D69">
        <w:rPr>
          <w:noProof/>
        </w:rPr>
        <w:t>below</w:t>
      </w:r>
      <w:r w:rsidR="00242082">
        <w:rPr>
          <w:noProof/>
        </w:rPr>
        <w:t>,</w:t>
      </w:r>
      <w:r w:rsidR="001A62D7">
        <w:rPr>
          <w:noProof/>
        </w:rPr>
        <w:t xml:space="preserve"> receiving a financial contribution from the EGF</w:t>
      </w:r>
      <w:r w:rsidR="00242082">
        <w:rPr>
          <w:noProof/>
        </w:rPr>
        <w:t>,</w:t>
      </w:r>
      <w:r w:rsidR="001A62D7">
        <w:rPr>
          <w:noProof/>
        </w:rPr>
        <w:t xml:space="preserve"> will not also receive financial contributions from other Union financial instruments.</w:t>
      </w:r>
    </w:p>
    <w:p w:rsidR="001A62D7" w:rsidRPr="001535C9" w:rsidRDefault="001A62D7" w:rsidP="00AE7D04">
      <w:pPr>
        <w:pStyle w:val="ManualNumPar1"/>
        <w:rPr>
          <w:noProof/>
        </w:rPr>
      </w:pPr>
      <w:r>
        <w:rPr>
          <w:noProof/>
        </w:rPr>
        <w:t>21.</w:t>
      </w:r>
      <w:r>
        <w:rPr>
          <w:noProof/>
        </w:rPr>
        <w:tab/>
        <w:t>T</w:t>
      </w:r>
      <w:r w:rsidRPr="001535C9">
        <w:rPr>
          <w:noProof/>
        </w:rPr>
        <w:t xml:space="preserve">he </w:t>
      </w:r>
      <w:r>
        <w:rPr>
          <w:noProof/>
        </w:rPr>
        <w:t>coordinated package of personalised services complements actions funded by other national or EU funds</w:t>
      </w:r>
      <w:r w:rsidR="00CA1197">
        <w:rPr>
          <w:noProof/>
        </w:rPr>
        <w:t>.</w:t>
      </w:r>
    </w:p>
    <w:p w:rsidR="001A62D7" w:rsidRDefault="001A62D7" w:rsidP="001A62D7">
      <w:pPr>
        <w:pStyle w:val="ManualHeading3"/>
        <w:tabs>
          <w:tab w:val="clear" w:pos="850"/>
          <w:tab w:val="left" w:pos="0"/>
        </w:tabs>
        <w:ind w:left="0" w:firstLine="0"/>
        <w:rPr>
          <w:noProof/>
          <w:u w:val="single"/>
        </w:rPr>
      </w:pPr>
      <w:r w:rsidRPr="00A144B7">
        <w:rPr>
          <w:noProof/>
        </w:rPr>
        <w:t>Procedures for consulting the targeted beneficiaries or their representatives or the social partners as well as local and regional authorities</w:t>
      </w:r>
    </w:p>
    <w:p w:rsidR="001A62D7" w:rsidRDefault="005B68D8" w:rsidP="00AE7D04">
      <w:pPr>
        <w:pStyle w:val="ManualNumPar1"/>
        <w:rPr>
          <w:noProof/>
        </w:rPr>
      </w:pPr>
      <w:r>
        <w:rPr>
          <w:noProof/>
        </w:rPr>
        <w:t>22.</w:t>
      </w:r>
      <w:r>
        <w:rPr>
          <w:noProof/>
        </w:rPr>
        <w:tab/>
        <w:t>Belgium</w:t>
      </w:r>
      <w:r w:rsidR="001A62D7">
        <w:rPr>
          <w:noProof/>
        </w:rPr>
        <w:t xml:space="preserve"> has indicated that the co-ordinated package of personalised services has been drawn up in consultation with </w:t>
      </w:r>
      <w:r w:rsidR="00986BCD" w:rsidRPr="00986BCD">
        <w:rPr>
          <w:noProof/>
        </w:rPr>
        <w:t>experts, including some members of the taskforce, and the social partners</w:t>
      </w:r>
      <w:r w:rsidR="001A62D7">
        <w:rPr>
          <w:noProof/>
        </w:rPr>
        <w:t xml:space="preserve">, in compliance with Article 7(4) of Regulation (EU) 2021/691. </w:t>
      </w:r>
      <w:r w:rsidR="00986BCD" w:rsidRPr="004B1583">
        <w:rPr>
          <w:noProof/>
        </w:rPr>
        <w:t>The final package of measures was agreed with</w:t>
      </w:r>
      <w:r w:rsidR="000155C2" w:rsidRPr="004B1583">
        <w:rPr>
          <w:noProof/>
        </w:rPr>
        <w:t xml:space="preserve"> </w:t>
      </w:r>
      <w:r w:rsidR="00634AC7" w:rsidRPr="004B1583">
        <w:rPr>
          <w:noProof/>
        </w:rPr>
        <w:t xml:space="preserve">the </w:t>
      </w:r>
      <w:r w:rsidR="000155C2" w:rsidRPr="004B1583">
        <w:rPr>
          <w:noProof/>
        </w:rPr>
        <w:t>General Confederation of Liberal Trade Unions of Belgium (ACLVB)</w:t>
      </w:r>
      <w:r w:rsidR="00F33F5A" w:rsidRPr="004B1583">
        <w:rPr>
          <w:rStyle w:val="FootnoteReference"/>
          <w:noProof/>
        </w:rPr>
        <w:footnoteReference w:id="10"/>
      </w:r>
      <w:r w:rsidR="00634AC7" w:rsidRPr="004B1583">
        <w:rPr>
          <w:noProof/>
        </w:rPr>
        <w:t>, the General Labour Federation of Belgium (ABVV)</w:t>
      </w:r>
      <w:r w:rsidR="00A81EF9" w:rsidRPr="004B1583">
        <w:rPr>
          <w:rStyle w:val="FootnoteReference"/>
          <w:noProof/>
        </w:rPr>
        <w:footnoteReference w:id="11"/>
      </w:r>
      <w:r w:rsidR="00634AC7" w:rsidRPr="004B1583">
        <w:rPr>
          <w:noProof/>
        </w:rPr>
        <w:t xml:space="preserve">, </w:t>
      </w:r>
      <w:r w:rsidR="00887599" w:rsidRPr="004B1583">
        <w:rPr>
          <w:noProof/>
        </w:rPr>
        <w:t xml:space="preserve">and </w:t>
      </w:r>
      <w:r w:rsidR="00634AC7" w:rsidRPr="004B1583">
        <w:rPr>
          <w:noProof/>
        </w:rPr>
        <w:t xml:space="preserve">the </w:t>
      </w:r>
      <w:r w:rsidR="00887599" w:rsidRPr="004B1583">
        <w:rPr>
          <w:noProof/>
        </w:rPr>
        <w:t xml:space="preserve">Confederation of Christian Trade Unions </w:t>
      </w:r>
      <w:r w:rsidR="00634AC7" w:rsidRPr="004B1583">
        <w:rPr>
          <w:noProof/>
        </w:rPr>
        <w:t>(</w:t>
      </w:r>
      <w:r w:rsidR="00887599" w:rsidRPr="004B1583">
        <w:rPr>
          <w:noProof/>
        </w:rPr>
        <w:t>ACV</w:t>
      </w:r>
      <w:r w:rsidR="00634AC7" w:rsidRPr="004B1583">
        <w:rPr>
          <w:noProof/>
        </w:rPr>
        <w:t>)</w:t>
      </w:r>
      <w:r w:rsidR="00034F32" w:rsidRPr="004B1583">
        <w:rPr>
          <w:rStyle w:val="FootnoteReference"/>
          <w:noProof/>
        </w:rPr>
        <w:footnoteReference w:id="12"/>
      </w:r>
      <w:r w:rsidR="00986BCD" w:rsidRPr="004B1583">
        <w:rPr>
          <w:noProof/>
        </w:rPr>
        <w:t xml:space="preserve"> in the first steering committee</w:t>
      </w:r>
      <w:r w:rsidR="004F0C60">
        <w:rPr>
          <w:noProof/>
        </w:rPr>
        <w:t xml:space="preserve"> meeting</w:t>
      </w:r>
      <w:r w:rsidR="00986BCD" w:rsidRPr="004B1583">
        <w:rPr>
          <w:noProof/>
        </w:rPr>
        <w:t xml:space="preserve"> held on 21 October 2025</w:t>
      </w:r>
      <w:r w:rsidR="001A62D7">
        <w:rPr>
          <w:noProof/>
        </w:rPr>
        <w:t>.</w:t>
      </w:r>
    </w:p>
    <w:p w:rsidR="001A62D7" w:rsidRDefault="001A62D7" w:rsidP="001A62D7">
      <w:pPr>
        <w:pStyle w:val="ManualHeading2"/>
        <w:rPr>
          <w:noProof/>
        </w:rPr>
      </w:pPr>
      <w:r w:rsidRPr="00EF5C5A">
        <w:rPr>
          <w:noProof/>
        </w:rPr>
        <w:t xml:space="preserve">Targeted beneficiaries and proposed </w:t>
      </w:r>
      <w:r>
        <w:rPr>
          <w:noProof/>
        </w:rPr>
        <w:t>measures</w:t>
      </w:r>
    </w:p>
    <w:p w:rsidR="001A62D7" w:rsidRPr="00EF5C5A" w:rsidRDefault="001A62D7" w:rsidP="001A62D7">
      <w:pPr>
        <w:pStyle w:val="ManualHeading3"/>
        <w:rPr>
          <w:noProof/>
        </w:rPr>
      </w:pPr>
      <w:r w:rsidRPr="00EF5C5A">
        <w:rPr>
          <w:noProof/>
        </w:rPr>
        <w:t>Targeted beneficiaries</w:t>
      </w:r>
    </w:p>
    <w:p w:rsidR="001A62D7" w:rsidRDefault="00F07146" w:rsidP="00AE7D04">
      <w:pPr>
        <w:pStyle w:val="ManualNumPar1"/>
        <w:rPr>
          <w:noProof/>
        </w:rPr>
      </w:pPr>
      <w:r>
        <w:rPr>
          <w:noProof/>
        </w:rPr>
        <w:t>23.</w:t>
      </w:r>
      <w:r>
        <w:rPr>
          <w:noProof/>
        </w:rPr>
        <w:tab/>
        <w:t xml:space="preserve">All </w:t>
      </w:r>
      <w:r w:rsidR="00DC0B2E">
        <w:rPr>
          <w:noProof/>
        </w:rPr>
        <w:t>803</w:t>
      </w:r>
      <w:r>
        <w:rPr>
          <w:noProof/>
        </w:rPr>
        <w:t xml:space="preserve"> </w:t>
      </w:r>
      <w:r w:rsidR="001A62D7" w:rsidRPr="003E3994">
        <w:rPr>
          <w:noProof/>
        </w:rPr>
        <w:t>displaced workers</w:t>
      </w:r>
      <w:r w:rsidR="001A62D7">
        <w:rPr>
          <w:noProof/>
        </w:rPr>
        <w:t xml:space="preserve"> </w:t>
      </w:r>
      <w:r w:rsidR="004F0C60">
        <w:rPr>
          <w:noProof/>
        </w:rPr>
        <w:t xml:space="preserve">are </w:t>
      </w:r>
      <w:r w:rsidR="001A62D7">
        <w:rPr>
          <w:noProof/>
        </w:rPr>
        <w:t>expected to participate in the measures</w:t>
      </w:r>
      <w:r>
        <w:rPr>
          <w:noProof/>
        </w:rPr>
        <w:t>.</w:t>
      </w:r>
      <w:r w:rsidR="001A62D7">
        <w:rPr>
          <w:noProof/>
        </w:rPr>
        <w:t xml:space="preserve"> Pursuant to Article 8(7), point (f), of Regulation (EU) 2021/691, the provided breakdown of these </w:t>
      </w:r>
      <w:r w:rsidR="001A62D7" w:rsidRPr="003E3994">
        <w:rPr>
          <w:noProof/>
        </w:rPr>
        <w:t>workers</w:t>
      </w:r>
      <w:r w:rsidR="001A62D7">
        <w:rPr>
          <w:noProof/>
        </w:rPr>
        <w:t xml:space="preserve"> by gender, age group</w:t>
      </w:r>
      <w:r w:rsidR="00242082">
        <w:rPr>
          <w:noProof/>
        </w:rPr>
        <w:t>,</w:t>
      </w:r>
      <w:r w:rsidR="001A62D7">
        <w:rPr>
          <w:noProof/>
        </w:rPr>
        <w:t xml:space="preserve"> and educational level is as follows:</w:t>
      </w:r>
    </w:p>
    <w:tbl>
      <w:tblPr>
        <w:tblW w:w="0" w:type="auto"/>
        <w:jc w:val="center"/>
        <w:tblLook w:val="04A0" w:firstRow="1" w:lastRow="0" w:firstColumn="1" w:lastColumn="0" w:noHBand="0" w:noVBand="1"/>
      </w:tblPr>
      <w:tblGrid>
        <w:gridCol w:w="1496"/>
        <w:gridCol w:w="2063"/>
        <w:gridCol w:w="1176"/>
        <w:gridCol w:w="1176"/>
      </w:tblGrid>
      <w:tr w:rsidR="001A62D7" w:rsidTr="001D5990">
        <w:trPr>
          <w:jc w:val="center"/>
        </w:trPr>
        <w:tc>
          <w:tcPr>
            <w:tcW w:w="3559" w:type="dxa"/>
            <w:gridSpan w:val="2"/>
            <w:tcBorders>
              <w:top w:val="single" w:sz="4" w:space="0" w:color="auto"/>
              <w:left w:val="nil"/>
              <w:bottom w:val="single" w:sz="4" w:space="0" w:color="auto"/>
              <w:right w:val="nil"/>
            </w:tcBorders>
            <w:hideMark/>
          </w:tcPr>
          <w:p w:rsidR="001A62D7" w:rsidRDefault="001A62D7" w:rsidP="001D5990">
            <w:pPr>
              <w:spacing w:before="60" w:after="60"/>
              <w:jc w:val="center"/>
              <w:rPr>
                <w:noProof/>
              </w:rPr>
            </w:pPr>
            <w:r>
              <w:rPr>
                <w:noProof/>
              </w:rPr>
              <w:t>Category</w:t>
            </w:r>
          </w:p>
        </w:tc>
        <w:tc>
          <w:tcPr>
            <w:tcW w:w="2352" w:type="dxa"/>
            <w:gridSpan w:val="2"/>
            <w:tcBorders>
              <w:top w:val="single" w:sz="4" w:space="0" w:color="auto"/>
              <w:left w:val="nil"/>
              <w:bottom w:val="single" w:sz="4" w:space="0" w:color="auto"/>
              <w:right w:val="nil"/>
            </w:tcBorders>
            <w:hideMark/>
          </w:tcPr>
          <w:p w:rsidR="001A62D7" w:rsidRDefault="001A62D7" w:rsidP="001D5990">
            <w:pPr>
              <w:spacing w:before="60" w:after="60"/>
              <w:jc w:val="center"/>
              <w:rPr>
                <w:noProof/>
              </w:rPr>
            </w:pPr>
            <w:r>
              <w:rPr>
                <w:noProof/>
              </w:rPr>
              <w:t xml:space="preserve">Number of </w:t>
            </w:r>
            <w:r>
              <w:rPr>
                <w:noProof/>
              </w:rPr>
              <w:br/>
              <w:t>expected beneficiaries</w:t>
            </w:r>
          </w:p>
        </w:tc>
      </w:tr>
      <w:tr w:rsidR="001A62D7" w:rsidTr="001D5990">
        <w:trPr>
          <w:jc w:val="center"/>
        </w:trPr>
        <w:tc>
          <w:tcPr>
            <w:tcW w:w="1496" w:type="dxa"/>
            <w:tcBorders>
              <w:top w:val="single" w:sz="4" w:space="0" w:color="auto"/>
              <w:left w:val="nil"/>
              <w:right w:val="nil"/>
            </w:tcBorders>
            <w:hideMark/>
          </w:tcPr>
          <w:p w:rsidR="001A62D7" w:rsidRDefault="001A62D7" w:rsidP="001D5990">
            <w:pPr>
              <w:spacing w:before="60" w:after="60"/>
              <w:rPr>
                <w:noProof/>
              </w:rPr>
            </w:pPr>
            <w:r>
              <w:rPr>
                <w:noProof/>
              </w:rPr>
              <w:t>Gender:</w:t>
            </w:r>
          </w:p>
        </w:tc>
        <w:tc>
          <w:tcPr>
            <w:tcW w:w="2063" w:type="dxa"/>
            <w:tcBorders>
              <w:top w:val="single" w:sz="4" w:space="0" w:color="auto"/>
              <w:left w:val="nil"/>
              <w:right w:val="nil"/>
            </w:tcBorders>
            <w:hideMark/>
          </w:tcPr>
          <w:p w:rsidR="001A62D7" w:rsidRDefault="001A62D7" w:rsidP="001D5990">
            <w:pPr>
              <w:spacing w:before="60" w:after="60"/>
              <w:rPr>
                <w:noProof/>
              </w:rPr>
            </w:pPr>
            <w:r>
              <w:rPr>
                <w:noProof/>
              </w:rPr>
              <w:t>Men:</w:t>
            </w:r>
          </w:p>
        </w:tc>
        <w:tc>
          <w:tcPr>
            <w:tcW w:w="1176" w:type="dxa"/>
            <w:tcBorders>
              <w:top w:val="single" w:sz="4" w:space="0" w:color="auto"/>
              <w:left w:val="nil"/>
              <w:right w:val="nil"/>
            </w:tcBorders>
            <w:hideMark/>
          </w:tcPr>
          <w:p w:rsidR="001A62D7" w:rsidRDefault="00DC0B2E" w:rsidP="001D5990">
            <w:pPr>
              <w:spacing w:before="60" w:after="60"/>
              <w:jc w:val="right"/>
              <w:rPr>
                <w:noProof/>
              </w:rPr>
            </w:pPr>
            <w:r>
              <w:rPr>
                <w:noProof/>
              </w:rPr>
              <w:t>616</w:t>
            </w:r>
          </w:p>
        </w:tc>
        <w:tc>
          <w:tcPr>
            <w:tcW w:w="1176" w:type="dxa"/>
            <w:tcBorders>
              <w:top w:val="single" w:sz="4" w:space="0" w:color="auto"/>
              <w:left w:val="nil"/>
              <w:right w:val="nil"/>
            </w:tcBorders>
            <w:hideMark/>
          </w:tcPr>
          <w:p w:rsidR="001A62D7" w:rsidRDefault="001A62D7" w:rsidP="001D5990">
            <w:pPr>
              <w:spacing w:before="60" w:after="60"/>
              <w:jc w:val="right"/>
              <w:rPr>
                <w:noProof/>
              </w:rPr>
            </w:pPr>
            <w:r>
              <w:rPr>
                <w:rFonts w:eastAsia="Calibri"/>
                <w:noProof/>
              </w:rPr>
              <w:t>(</w:t>
            </w:r>
            <w:r w:rsidR="00DC0B2E">
              <w:rPr>
                <w:noProof/>
              </w:rPr>
              <w:t>76,7</w:t>
            </w:r>
            <w:r>
              <w:rPr>
                <w:rFonts w:eastAsia="Calibri"/>
                <w:noProof/>
              </w:rPr>
              <w:t> %)</w:t>
            </w:r>
          </w:p>
        </w:tc>
      </w:tr>
      <w:tr w:rsidR="001A62D7" w:rsidTr="001D5990">
        <w:trPr>
          <w:jc w:val="center"/>
        </w:trPr>
        <w:tc>
          <w:tcPr>
            <w:tcW w:w="1496" w:type="dxa"/>
            <w:tcBorders>
              <w:top w:val="nil"/>
              <w:left w:val="nil"/>
              <w:right w:val="nil"/>
            </w:tcBorders>
          </w:tcPr>
          <w:p w:rsidR="001A62D7" w:rsidRDefault="001A62D7" w:rsidP="001D5990">
            <w:pPr>
              <w:spacing w:before="60" w:after="60"/>
              <w:rPr>
                <w:noProof/>
              </w:rPr>
            </w:pPr>
          </w:p>
        </w:tc>
        <w:tc>
          <w:tcPr>
            <w:tcW w:w="2063" w:type="dxa"/>
            <w:tcBorders>
              <w:top w:val="nil"/>
              <w:left w:val="nil"/>
              <w:right w:val="nil"/>
            </w:tcBorders>
          </w:tcPr>
          <w:p w:rsidR="001A62D7" w:rsidRDefault="001A62D7" w:rsidP="001D5990">
            <w:pPr>
              <w:spacing w:before="60" w:after="60"/>
              <w:rPr>
                <w:rFonts w:eastAsia="Calibri"/>
                <w:noProof/>
              </w:rPr>
            </w:pPr>
            <w:r>
              <w:rPr>
                <w:rFonts w:eastAsia="Calibri"/>
                <w:noProof/>
              </w:rPr>
              <w:t>W</w:t>
            </w:r>
            <w:r>
              <w:rPr>
                <w:noProof/>
              </w:rPr>
              <w:t>omen:</w:t>
            </w:r>
          </w:p>
        </w:tc>
        <w:tc>
          <w:tcPr>
            <w:tcW w:w="1176" w:type="dxa"/>
          </w:tcPr>
          <w:p w:rsidR="001A62D7" w:rsidRDefault="00DC0B2E" w:rsidP="001D5990">
            <w:pPr>
              <w:spacing w:before="60" w:after="60"/>
              <w:jc w:val="right"/>
              <w:rPr>
                <w:noProof/>
              </w:rPr>
            </w:pPr>
            <w:r>
              <w:rPr>
                <w:noProof/>
              </w:rPr>
              <w:t>187</w:t>
            </w:r>
          </w:p>
        </w:tc>
        <w:tc>
          <w:tcPr>
            <w:tcW w:w="1176" w:type="dxa"/>
          </w:tcPr>
          <w:p w:rsidR="001A62D7" w:rsidRDefault="001A62D7" w:rsidP="001D5990">
            <w:pPr>
              <w:spacing w:before="60" w:after="60"/>
              <w:jc w:val="right"/>
              <w:rPr>
                <w:rFonts w:eastAsia="Calibri"/>
                <w:noProof/>
              </w:rPr>
            </w:pPr>
            <w:r>
              <w:rPr>
                <w:rFonts w:eastAsia="Calibri"/>
                <w:noProof/>
              </w:rPr>
              <w:t>(</w:t>
            </w:r>
            <w:r w:rsidR="00DC0B2E">
              <w:rPr>
                <w:noProof/>
              </w:rPr>
              <w:t>23,3</w:t>
            </w:r>
            <w:r>
              <w:rPr>
                <w:rFonts w:eastAsia="Calibri"/>
                <w:noProof/>
              </w:rPr>
              <w:t> %)</w:t>
            </w:r>
          </w:p>
        </w:tc>
      </w:tr>
      <w:tr w:rsidR="001A62D7" w:rsidTr="001D5990">
        <w:trPr>
          <w:jc w:val="center"/>
        </w:trPr>
        <w:tc>
          <w:tcPr>
            <w:tcW w:w="1496" w:type="dxa"/>
            <w:tcBorders>
              <w:left w:val="nil"/>
              <w:bottom w:val="single" w:sz="4" w:space="0" w:color="auto"/>
              <w:right w:val="nil"/>
            </w:tcBorders>
          </w:tcPr>
          <w:p w:rsidR="001A62D7" w:rsidRDefault="001A62D7" w:rsidP="001D5990">
            <w:pPr>
              <w:spacing w:before="60" w:after="60"/>
              <w:rPr>
                <w:noProof/>
              </w:rPr>
            </w:pPr>
          </w:p>
        </w:tc>
        <w:tc>
          <w:tcPr>
            <w:tcW w:w="2063" w:type="dxa"/>
            <w:tcBorders>
              <w:left w:val="nil"/>
              <w:bottom w:val="single" w:sz="4" w:space="0" w:color="auto"/>
              <w:right w:val="nil"/>
            </w:tcBorders>
          </w:tcPr>
          <w:p w:rsidR="001A62D7" w:rsidRDefault="001A62D7" w:rsidP="001D5990">
            <w:pPr>
              <w:spacing w:before="60" w:after="60"/>
              <w:rPr>
                <w:noProof/>
              </w:rPr>
            </w:pPr>
            <w:r>
              <w:rPr>
                <w:rFonts w:eastAsia="Calibri"/>
                <w:noProof/>
              </w:rPr>
              <w:t>Non-binary</w:t>
            </w:r>
          </w:p>
        </w:tc>
        <w:tc>
          <w:tcPr>
            <w:tcW w:w="1176" w:type="dxa"/>
            <w:tcBorders>
              <w:bottom w:val="single" w:sz="4" w:space="0" w:color="auto"/>
            </w:tcBorders>
            <w:hideMark/>
          </w:tcPr>
          <w:p w:rsidR="001A62D7" w:rsidRDefault="00DC0B2E" w:rsidP="001D5990">
            <w:pPr>
              <w:spacing w:before="60" w:after="60"/>
              <w:jc w:val="right"/>
              <w:rPr>
                <w:noProof/>
              </w:rPr>
            </w:pPr>
            <w:r>
              <w:rPr>
                <w:noProof/>
              </w:rPr>
              <w:t>0</w:t>
            </w:r>
          </w:p>
        </w:tc>
        <w:tc>
          <w:tcPr>
            <w:tcW w:w="1176" w:type="dxa"/>
            <w:tcBorders>
              <w:bottom w:val="single" w:sz="4" w:space="0" w:color="auto"/>
            </w:tcBorders>
            <w:hideMark/>
          </w:tcPr>
          <w:p w:rsidR="001A62D7" w:rsidRDefault="001A62D7" w:rsidP="001D5990">
            <w:pPr>
              <w:spacing w:before="60" w:after="60"/>
              <w:jc w:val="right"/>
              <w:rPr>
                <w:noProof/>
              </w:rPr>
            </w:pPr>
            <w:r>
              <w:rPr>
                <w:rFonts w:eastAsia="Calibri"/>
                <w:noProof/>
              </w:rPr>
              <w:t>(</w:t>
            </w:r>
            <w:r w:rsidR="00DC0B2E">
              <w:rPr>
                <w:noProof/>
              </w:rPr>
              <w:t>0,0</w:t>
            </w:r>
            <w:r>
              <w:rPr>
                <w:rFonts w:eastAsia="Calibri"/>
                <w:noProof/>
              </w:rPr>
              <w:t> %)</w:t>
            </w:r>
          </w:p>
        </w:tc>
      </w:tr>
      <w:tr w:rsidR="001A62D7" w:rsidTr="001D5990">
        <w:trPr>
          <w:jc w:val="center"/>
        </w:trPr>
        <w:tc>
          <w:tcPr>
            <w:tcW w:w="1496" w:type="dxa"/>
            <w:tcBorders>
              <w:top w:val="single" w:sz="4" w:space="0" w:color="auto"/>
              <w:left w:val="nil"/>
              <w:bottom w:val="nil"/>
              <w:right w:val="nil"/>
            </w:tcBorders>
            <w:hideMark/>
          </w:tcPr>
          <w:p w:rsidR="001A62D7" w:rsidRDefault="001A62D7" w:rsidP="001D5990">
            <w:pPr>
              <w:spacing w:before="60" w:after="60"/>
              <w:rPr>
                <w:noProof/>
              </w:rPr>
            </w:pPr>
            <w:r>
              <w:rPr>
                <w:noProof/>
              </w:rPr>
              <w:t>Age group:</w:t>
            </w:r>
          </w:p>
        </w:tc>
        <w:tc>
          <w:tcPr>
            <w:tcW w:w="2063" w:type="dxa"/>
            <w:tcBorders>
              <w:top w:val="single" w:sz="4" w:space="0" w:color="auto"/>
              <w:left w:val="nil"/>
              <w:bottom w:val="nil"/>
              <w:right w:val="nil"/>
            </w:tcBorders>
            <w:hideMark/>
          </w:tcPr>
          <w:p w:rsidR="001A62D7" w:rsidRDefault="001A62D7" w:rsidP="001D5990">
            <w:pPr>
              <w:spacing w:before="60" w:after="60"/>
              <w:rPr>
                <w:noProof/>
              </w:rPr>
            </w:pPr>
            <w:r>
              <w:rPr>
                <w:noProof/>
              </w:rPr>
              <w:t>Below 30 years:</w:t>
            </w:r>
          </w:p>
        </w:tc>
        <w:tc>
          <w:tcPr>
            <w:tcW w:w="1176" w:type="dxa"/>
            <w:tcBorders>
              <w:top w:val="single" w:sz="4" w:space="0" w:color="auto"/>
            </w:tcBorders>
            <w:hideMark/>
          </w:tcPr>
          <w:p w:rsidR="001A62D7" w:rsidRDefault="00DC0B2E" w:rsidP="001D5990">
            <w:pPr>
              <w:spacing w:before="60" w:after="60"/>
              <w:jc w:val="right"/>
              <w:rPr>
                <w:noProof/>
              </w:rPr>
            </w:pPr>
            <w:r>
              <w:rPr>
                <w:noProof/>
              </w:rPr>
              <w:t>145</w:t>
            </w:r>
          </w:p>
        </w:tc>
        <w:tc>
          <w:tcPr>
            <w:tcW w:w="1176" w:type="dxa"/>
            <w:tcBorders>
              <w:top w:val="single" w:sz="4" w:space="0" w:color="auto"/>
            </w:tcBorders>
            <w:hideMark/>
          </w:tcPr>
          <w:p w:rsidR="001A62D7" w:rsidRDefault="001A62D7" w:rsidP="001D5990">
            <w:pPr>
              <w:spacing w:before="60" w:after="60"/>
              <w:jc w:val="right"/>
              <w:rPr>
                <w:noProof/>
              </w:rPr>
            </w:pPr>
            <w:r>
              <w:rPr>
                <w:rFonts w:eastAsia="Calibri"/>
                <w:noProof/>
              </w:rPr>
              <w:t>(</w:t>
            </w:r>
            <w:r w:rsidR="00DC0B2E">
              <w:rPr>
                <w:noProof/>
              </w:rPr>
              <w:t>18,1</w:t>
            </w:r>
            <w:r>
              <w:rPr>
                <w:rFonts w:eastAsia="Calibri"/>
                <w:noProof/>
              </w:rPr>
              <w:t> %)</w:t>
            </w:r>
          </w:p>
        </w:tc>
      </w:tr>
      <w:tr w:rsidR="001A62D7" w:rsidTr="001D5990">
        <w:trPr>
          <w:jc w:val="center"/>
        </w:trPr>
        <w:tc>
          <w:tcPr>
            <w:tcW w:w="1496" w:type="dxa"/>
          </w:tcPr>
          <w:p w:rsidR="001A62D7" w:rsidRDefault="001A62D7" w:rsidP="001D5990">
            <w:pPr>
              <w:spacing w:before="60" w:after="60"/>
              <w:rPr>
                <w:noProof/>
              </w:rPr>
            </w:pPr>
          </w:p>
        </w:tc>
        <w:tc>
          <w:tcPr>
            <w:tcW w:w="2063" w:type="dxa"/>
            <w:hideMark/>
          </w:tcPr>
          <w:p w:rsidR="001A62D7" w:rsidRDefault="001A62D7" w:rsidP="001D5990">
            <w:pPr>
              <w:spacing w:before="60" w:after="60"/>
              <w:rPr>
                <w:noProof/>
              </w:rPr>
            </w:pPr>
            <w:r>
              <w:rPr>
                <w:rFonts w:eastAsia="Calibri"/>
                <w:noProof/>
              </w:rPr>
              <w:t>30-54 years:</w:t>
            </w:r>
          </w:p>
        </w:tc>
        <w:tc>
          <w:tcPr>
            <w:tcW w:w="1176" w:type="dxa"/>
            <w:hideMark/>
          </w:tcPr>
          <w:p w:rsidR="001A62D7" w:rsidRDefault="00DC0B2E" w:rsidP="001D5990">
            <w:pPr>
              <w:spacing w:before="60" w:after="60"/>
              <w:jc w:val="right"/>
              <w:rPr>
                <w:noProof/>
              </w:rPr>
            </w:pPr>
            <w:r>
              <w:rPr>
                <w:noProof/>
              </w:rPr>
              <w:t>585</w:t>
            </w:r>
          </w:p>
        </w:tc>
        <w:tc>
          <w:tcPr>
            <w:tcW w:w="1176" w:type="dxa"/>
            <w:hideMark/>
          </w:tcPr>
          <w:p w:rsidR="001A62D7" w:rsidRDefault="001A62D7" w:rsidP="001D5990">
            <w:pPr>
              <w:spacing w:before="60" w:after="60"/>
              <w:jc w:val="right"/>
              <w:rPr>
                <w:noProof/>
              </w:rPr>
            </w:pPr>
            <w:r>
              <w:rPr>
                <w:rFonts w:eastAsia="Calibri"/>
                <w:noProof/>
              </w:rPr>
              <w:t>(</w:t>
            </w:r>
            <w:r w:rsidR="00DC0B2E">
              <w:rPr>
                <w:noProof/>
              </w:rPr>
              <w:t>72,9</w:t>
            </w:r>
            <w:r>
              <w:rPr>
                <w:rFonts w:eastAsia="Calibri"/>
                <w:noProof/>
              </w:rPr>
              <w:t> %)</w:t>
            </w:r>
          </w:p>
        </w:tc>
      </w:tr>
      <w:tr w:rsidR="001A62D7" w:rsidTr="001D5990">
        <w:trPr>
          <w:jc w:val="center"/>
        </w:trPr>
        <w:tc>
          <w:tcPr>
            <w:tcW w:w="1496" w:type="dxa"/>
          </w:tcPr>
          <w:p w:rsidR="001A62D7" w:rsidRDefault="001A62D7" w:rsidP="001D5990">
            <w:pPr>
              <w:spacing w:before="60" w:after="60"/>
              <w:rPr>
                <w:noProof/>
              </w:rPr>
            </w:pPr>
          </w:p>
        </w:tc>
        <w:tc>
          <w:tcPr>
            <w:tcW w:w="2063" w:type="dxa"/>
            <w:hideMark/>
          </w:tcPr>
          <w:p w:rsidR="001A62D7" w:rsidRDefault="001A62D7" w:rsidP="001D5990">
            <w:pPr>
              <w:spacing w:before="60" w:after="60"/>
              <w:jc w:val="left"/>
              <w:rPr>
                <w:noProof/>
              </w:rPr>
            </w:pPr>
            <w:r>
              <w:rPr>
                <w:noProof/>
              </w:rPr>
              <w:t>Over 54 years:</w:t>
            </w:r>
          </w:p>
        </w:tc>
        <w:tc>
          <w:tcPr>
            <w:tcW w:w="1176" w:type="dxa"/>
            <w:hideMark/>
          </w:tcPr>
          <w:p w:rsidR="001A62D7" w:rsidRDefault="00DC0B2E" w:rsidP="001D5990">
            <w:pPr>
              <w:spacing w:before="60" w:after="60"/>
              <w:jc w:val="right"/>
              <w:rPr>
                <w:noProof/>
              </w:rPr>
            </w:pPr>
            <w:r>
              <w:rPr>
                <w:noProof/>
              </w:rPr>
              <w:t>73</w:t>
            </w:r>
          </w:p>
        </w:tc>
        <w:tc>
          <w:tcPr>
            <w:tcW w:w="1176" w:type="dxa"/>
            <w:hideMark/>
          </w:tcPr>
          <w:p w:rsidR="001A62D7" w:rsidRDefault="001A62D7" w:rsidP="001D5990">
            <w:pPr>
              <w:spacing w:before="60" w:after="60"/>
              <w:jc w:val="right"/>
              <w:rPr>
                <w:noProof/>
              </w:rPr>
            </w:pPr>
            <w:r>
              <w:rPr>
                <w:rFonts w:eastAsia="Calibri"/>
                <w:noProof/>
              </w:rPr>
              <w:t>(</w:t>
            </w:r>
            <w:r w:rsidR="00DC0B2E">
              <w:rPr>
                <w:noProof/>
              </w:rPr>
              <w:t>9,1</w:t>
            </w:r>
            <w:r>
              <w:rPr>
                <w:rFonts w:eastAsia="Calibri"/>
                <w:noProof/>
              </w:rPr>
              <w:t> %)</w:t>
            </w:r>
          </w:p>
        </w:tc>
      </w:tr>
      <w:tr w:rsidR="001A62D7" w:rsidTr="001D5990">
        <w:trPr>
          <w:jc w:val="center"/>
        </w:trPr>
        <w:tc>
          <w:tcPr>
            <w:tcW w:w="1496" w:type="dxa"/>
            <w:tcBorders>
              <w:top w:val="single" w:sz="4" w:space="0" w:color="auto"/>
              <w:left w:val="nil"/>
              <w:bottom w:val="nil"/>
              <w:right w:val="nil"/>
            </w:tcBorders>
          </w:tcPr>
          <w:p w:rsidR="001A62D7" w:rsidRDefault="001A62D7" w:rsidP="001D5990">
            <w:pPr>
              <w:spacing w:before="60" w:after="60"/>
              <w:rPr>
                <w:noProof/>
              </w:rPr>
            </w:pPr>
            <w:r>
              <w:rPr>
                <w:noProof/>
              </w:rPr>
              <w:lastRenderedPageBreak/>
              <w:t>Educational level</w:t>
            </w:r>
          </w:p>
        </w:tc>
        <w:tc>
          <w:tcPr>
            <w:tcW w:w="2063" w:type="dxa"/>
            <w:tcBorders>
              <w:top w:val="single" w:sz="4" w:space="0" w:color="auto"/>
              <w:left w:val="nil"/>
              <w:bottom w:val="nil"/>
              <w:right w:val="nil"/>
            </w:tcBorders>
          </w:tcPr>
          <w:p w:rsidR="001A62D7" w:rsidRDefault="001A62D7" w:rsidP="001D5990">
            <w:pPr>
              <w:spacing w:before="60" w:after="60"/>
              <w:rPr>
                <w:noProof/>
              </w:rPr>
            </w:pPr>
            <w:r>
              <w:rPr>
                <w:noProof/>
              </w:rPr>
              <w:t>Lower secondary education or less</w:t>
            </w:r>
            <w:r>
              <w:rPr>
                <w:rStyle w:val="FootnoteReference"/>
                <w:noProof/>
              </w:rPr>
              <w:footnoteReference w:id="13"/>
            </w:r>
            <w:r>
              <w:rPr>
                <w:noProof/>
              </w:rPr>
              <w:t xml:space="preserve"> </w:t>
            </w:r>
          </w:p>
        </w:tc>
        <w:tc>
          <w:tcPr>
            <w:tcW w:w="1176" w:type="dxa"/>
            <w:tcBorders>
              <w:top w:val="single" w:sz="4" w:space="0" w:color="auto"/>
              <w:left w:val="nil"/>
              <w:bottom w:val="nil"/>
              <w:right w:val="nil"/>
            </w:tcBorders>
          </w:tcPr>
          <w:p w:rsidR="001A62D7" w:rsidRDefault="00DC0B2E" w:rsidP="001D5990">
            <w:pPr>
              <w:spacing w:before="60" w:after="60"/>
              <w:jc w:val="right"/>
              <w:rPr>
                <w:noProof/>
              </w:rPr>
            </w:pPr>
            <w:r>
              <w:rPr>
                <w:noProof/>
              </w:rPr>
              <w:t>298</w:t>
            </w:r>
          </w:p>
        </w:tc>
        <w:tc>
          <w:tcPr>
            <w:tcW w:w="1176" w:type="dxa"/>
            <w:tcBorders>
              <w:top w:val="single" w:sz="4" w:space="0" w:color="auto"/>
              <w:left w:val="nil"/>
              <w:bottom w:val="nil"/>
              <w:right w:val="nil"/>
            </w:tcBorders>
          </w:tcPr>
          <w:p w:rsidR="001A62D7" w:rsidRDefault="001A62D7" w:rsidP="001D5990">
            <w:pPr>
              <w:spacing w:before="60" w:after="60"/>
              <w:jc w:val="right"/>
              <w:rPr>
                <w:rFonts w:eastAsia="Calibri"/>
                <w:noProof/>
              </w:rPr>
            </w:pPr>
            <w:r>
              <w:rPr>
                <w:rFonts w:eastAsia="Calibri"/>
                <w:noProof/>
              </w:rPr>
              <w:t>(</w:t>
            </w:r>
            <w:r w:rsidR="00DC0B2E">
              <w:rPr>
                <w:noProof/>
              </w:rPr>
              <w:t>37,1</w:t>
            </w:r>
            <w:r>
              <w:rPr>
                <w:rFonts w:eastAsia="Calibri"/>
                <w:noProof/>
              </w:rPr>
              <w:t> %)</w:t>
            </w:r>
          </w:p>
        </w:tc>
      </w:tr>
      <w:tr w:rsidR="001A62D7" w:rsidTr="001D5990">
        <w:trPr>
          <w:jc w:val="center"/>
        </w:trPr>
        <w:tc>
          <w:tcPr>
            <w:tcW w:w="1496" w:type="dxa"/>
            <w:tcBorders>
              <w:top w:val="nil"/>
              <w:left w:val="nil"/>
              <w:right w:val="nil"/>
            </w:tcBorders>
          </w:tcPr>
          <w:p w:rsidR="001A62D7" w:rsidRDefault="001A62D7" w:rsidP="001D5990">
            <w:pPr>
              <w:spacing w:before="60" w:after="60"/>
              <w:rPr>
                <w:noProof/>
              </w:rPr>
            </w:pPr>
          </w:p>
        </w:tc>
        <w:tc>
          <w:tcPr>
            <w:tcW w:w="2063" w:type="dxa"/>
            <w:tcBorders>
              <w:top w:val="nil"/>
              <w:left w:val="nil"/>
              <w:right w:val="nil"/>
            </w:tcBorders>
          </w:tcPr>
          <w:p w:rsidR="001A62D7" w:rsidRDefault="001A62D7" w:rsidP="001D5990">
            <w:pPr>
              <w:spacing w:before="60" w:after="60"/>
              <w:rPr>
                <w:noProof/>
              </w:rPr>
            </w:pPr>
            <w:r>
              <w:rPr>
                <w:noProof/>
              </w:rPr>
              <w:t>Upper secondary</w:t>
            </w:r>
            <w:r>
              <w:rPr>
                <w:rStyle w:val="FootnoteReference"/>
                <w:noProof/>
              </w:rPr>
              <w:footnoteReference w:id="14"/>
            </w:r>
            <w:r>
              <w:rPr>
                <w:noProof/>
              </w:rPr>
              <w:t xml:space="preserve"> or post-secondary education</w:t>
            </w:r>
            <w:r>
              <w:rPr>
                <w:rStyle w:val="FootnoteReference"/>
                <w:noProof/>
              </w:rPr>
              <w:footnoteReference w:id="15"/>
            </w:r>
          </w:p>
        </w:tc>
        <w:tc>
          <w:tcPr>
            <w:tcW w:w="1176" w:type="dxa"/>
            <w:tcBorders>
              <w:top w:val="nil"/>
              <w:left w:val="nil"/>
              <w:right w:val="nil"/>
            </w:tcBorders>
          </w:tcPr>
          <w:p w:rsidR="001A62D7" w:rsidRDefault="00DC0B2E" w:rsidP="001D5990">
            <w:pPr>
              <w:spacing w:before="60" w:after="60"/>
              <w:jc w:val="right"/>
              <w:rPr>
                <w:noProof/>
              </w:rPr>
            </w:pPr>
            <w:r>
              <w:rPr>
                <w:noProof/>
              </w:rPr>
              <w:t>191</w:t>
            </w:r>
          </w:p>
        </w:tc>
        <w:tc>
          <w:tcPr>
            <w:tcW w:w="1176" w:type="dxa"/>
            <w:tcBorders>
              <w:top w:val="nil"/>
              <w:left w:val="nil"/>
              <w:right w:val="nil"/>
            </w:tcBorders>
          </w:tcPr>
          <w:p w:rsidR="001A62D7" w:rsidRDefault="001A62D7" w:rsidP="001D5990">
            <w:pPr>
              <w:spacing w:before="60" w:after="60"/>
              <w:jc w:val="right"/>
              <w:rPr>
                <w:rFonts w:eastAsia="Calibri"/>
                <w:noProof/>
              </w:rPr>
            </w:pPr>
            <w:r>
              <w:rPr>
                <w:rFonts w:eastAsia="Calibri"/>
                <w:noProof/>
              </w:rPr>
              <w:t>(</w:t>
            </w:r>
            <w:r w:rsidR="00DC0B2E">
              <w:rPr>
                <w:noProof/>
              </w:rPr>
              <w:t>23,8</w:t>
            </w:r>
            <w:r>
              <w:rPr>
                <w:rFonts w:eastAsia="Calibri"/>
                <w:noProof/>
              </w:rPr>
              <w:t> %)</w:t>
            </w:r>
          </w:p>
        </w:tc>
      </w:tr>
      <w:tr w:rsidR="001A62D7" w:rsidTr="001D5990">
        <w:trPr>
          <w:jc w:val="center"/>
        </w:trPr>
        <w:tc>
          <w:tcPr>
            <w:tcW w:w="1496" w:type="dxa"/>
            <w:tcBorders>
              <w:top w:val="nil"/>
              <w:left w:val="nil"/>
              <w:bottom w:val="single" w:sz="4" w:space="0" w:color="auto"/>
              <w:right w:val="nil"/>
            </w:tcBorders>
          </w:tcPr>
          <w:p w:rsidR="001A62D7" w:rsidRDefault="001A62D7" w:rsidP="001D5990">
            <w:pPr>
              <w:spacing w:before="60" w:after="60"/>
              <w:rPr>
                <w:noProof/>
              </w:rPr>
            </w:pPr>
          </w:p>
        </w:tc>
        <w:tc>
          <w:tcPr>
            <w:tcW w:w="2063" w:type="dxa"/>
            <w:tcBorders>
              <w:top w:val="nil"/>
              <w:left w:val="nil"/>
              <w:bottom w:val="single" w:sz="4" w:space="0" w:color="auto"/>
              <w:right w:val="nil"/>
            </w:tcBorders>
          </w:tcPr>
          <w:p w:rsidR="001A62D7" w:rsidRDefault="001A62D7" w:rsidP="001D5990">
            <w:pPr>
              <w:spacing w:before="60" w:after="60"/>
              <w:rPr>
                <w:noProof/>
              </w:rPr>
            </w:pPr>
            <w:r>
              <w:rPr>
                <w:noProof/>
              </w:rPr>
              <w:t>Tertiary education</w:t>
            </w:r>
            <w:r>
              <w:rPr>
                <w:rStyle w:val="FootnoteReference"/>
                <w:noProof/>
              </w:rPr>
              <w:footnoteReference w:id="16"/>
            </w:r>
          </w:p>
        </w:tc>
        <w:tc>
          <w:tcPr>
            <w:tcW w:w="1176" w:type="dxa"/>
            <w:tcBorders>
              <w:top w:val="nil"/>
              <w:left w:val="nil"/>
              <w:bottom w:val="single" w:sz="4" w:space="0" w:color="auto"/>
              <w:right w:val="nil"/>
            </w:tcBorders>
          </w:tcPr>
          <w:p w:rsidR="001A62D7" w:rsidRDefault="00DC0B2E" w:rsidP="001D5990">
            <w:pPr>
              <w:spacing w:before="60" w:after="60"/>
              <w:jc w:val="right"/>
              <w:rPr>
                <w:noProof/>
              </w:rPr>
            </w:pPr>
            <w:r>
              <w:rPr>
                <w:noProof/>
              </w:rPr>
              <w:t>314</w:t>
            </w:r>
          </w:p>
        </w:tc>
        <w:tc>
          <w:tcPr>
            <w:tcW w:w="1176" w:type="dxa"/>
            <w:tcBorders>
              <w:top w:val="nil"/>
              <w:left w:val="nil"/>
              <w:bottom w:val="single" w:sz="4" w:space="0" w:color="auto"/>
              <w:right w:val="nil"/>
            </w:tcBorders>
          </w:tcPr>
          <w:p w:rsidR="001A62D7" w:rsidRDefault="001A62D7" w:rsidP="001D5990">
            <w:pPr>
              <w:spacing w:before="60" w:after="60"/>
              <w:jc w:val="right"/>
              <w:rPr>
                <w:rFonts w:eastAsia="Calibri"/>
                <w:noProof/>
              </w:rPr>
            </w:pPr>
            <w:r>
              <w:rPr>
                <w:rFonts w:eastAsia="Calibri"/>
                <w:noProof/>
              </w:rPr>
              <w:t>(</w:t>
            </w:r>
            <w:r w:rsidR="00DC0B2E">
              <w:rPr>
                <w:noProof/>
              </w:rPr>
              <w:t>39,1</w:t>
            </w:r>
            <w:r>
              <w:rPr>
                <w:rFonts w:eastAsia="Calibri"/>
                <w:noProof/>
              </w:rPr>
              <w:t> %)</w:t>
            </w:r>
          </w:p>
        </w:tc>
      </w:tr>
    </w:tbl>
    <w:p w:rsidR="001A62D7" w:rsidRDefault="001A62D7" w:rsidP="001A62D7">
      <w:pPr>
        <w:pStyle w:val="ManualHeading3"/>
        <w:rPr>
          <w:noProof/>
          <w:u w:val="single"/>
        </w:rPr>
      </w:pPr>
      <w:r>
        <w:rPr>
          <w:noProof/>
        </w:rPr>
        <w:t>P</w:t>
      </w:r>
      <w:r w:rsidRPr="007F7A40">
        <w:rPr>
          <w:noProof/>
        </w:rPr>
        <w:t xml:space="preserve">roposed </w:t>
      </w:r>
      <w:r>
        <w:rPr>
          <w:noProof/>
        </w:rPr>
        <w:t>measures</w:t>
      </w:r>
    </w:p>
    <w:p w:rsidR="001A62D7" w:rsidRDefault="001A62D7" w:rsidP="00AE7D04">
      <w:pPr>
        <w:pStyle w:val="ManualNumPar1"/>
        <w:rPr>
          <w:noProof/>
        </w:rPr>
      </w:pPr>
      <w:r>
        <w:rPr>
          <w:noProof/>
        </w:rPr>
        <w:t>24.</w:t>
      </w:r>
      <w:r>
        <w:rPr>
          <w:noProof/>
        </w:rPr>
        <w:tab/>
      </w:r>
      <w:bookmarkStart w:id="13" w:name="_Ref372214239"/>
      <w:r>
        <w:rPr>
          <w:noProof/>
        </w:rPr>
        <w:t>Pursuant to Article 8(7), point (h) of Regulation (EU) 2021/691, t</w:t>
      </w:r>
      <w:r w:rsidRPr="00D53BB8">
        <w:rPr>
          <w:noProof/>
        </w:rPr>
        <w:t xml:space="preserve">he </w:t>
      </w:r>
      <w:r>
        <w:rPr>
          <w:noProof/>
        </w:rPr>
        <w:t xml:space="preserve">personalised coordinated package to be provided to </w:t>
      </w:r>
      <w:r w:rsidRPr="003E3994">
        <w:rPr>
          <w:noProof/>
        </w:rPr>
        <w:t>displaced workers</w:t>
      </w:r>
      <w:r>
        <w:rPr>
          <w:noProof/>
        </w:rPr>
        <w:t xml:space="preserve"> consists of the following measures: </w:t>
      </w:r>
      <w:bookmarkEnd w:id="13"/>
    </w:p>
    <w:p w:rsidR="001A62D7" w:rsidRDefault="002B529C" w:rsidP="00B316D7">
      <w:pPr>
        <w:pStyle w:val="Tiret1"/>
        <w:numPr>
          <w:ilvl w:val="0"/>
          <w:numId w:val="19"/>
        </w:numPr>
        <w:rPr>
          <w:noProof/>
        </w:rPr>
      </w:pPr>
      <w:r w:rsidRPr="002B529C">
        <w:rPr>
          <w:noProof/>
          <w:u w:val="single"/>
        </w:rPr>
        <w:t>Task</w:t>
      </w:r>
      <w:r w:rsidR="00822F61">
        <w:rPr>
          <w:noProof/>
          <w:u w:val="single"/>
        </w:rPr>
        <w:t xml:space="preserve"> </w:t>
      </w:r>
      <w:r w:rsidRPr="002B529C">
        <w:rPr>
          <w:noProof/>
          <w:u w:val="single"/>
        </w:rPr>
        <w:t>force</w:t>
      </w:r>
      <w:r w:rsidR="001A62D7">
        <w:rPr>
          <w:noProof/>
        </w:rPr>
        <w:t xml:space="preserve">: </w:t>
      </w:r>
      <w:r w:rsidRPr="002B529C">
        <w:rPr>
          <w:noProof/>
        </w:rPr>
        <w:t xml:space="preserve">Account managers with in-depth knowledge of the local labour market, </w:t>
      </w:r>
      <w:r w:rsidR="00822F61">
        <w:rPr>
          <w:noProof/>
        </w:rPr>
        <w:t xml:space="preserve">along with </w:t>
      </w:r>
      <w:r w:rsidRPr="002B529C">
        <w:rPr>
          <w:noProof/>
        </w:rPr>
        <w:t xml:space="preserve">consultants experienced in providing guidance </w:t>
      </w:r>
      <w:r w:rsidR="00822F61">
        <w:rPr>
          <w:noProof/>
        </w:rPr>
        <w:t xml:space="preserve">during </w:t>
      </w:r>
      <w:r w:rsidRPr="002B529C">
        <w:rPr>
          <w:noProof/>
        </w:rPr>
        <w:t>collective redundanc</w:t>
      </w:r>
      <w:r w:rsidR="006713C7">
        <w:rPr>
          <w:noProof/>
        </w:rPr>
        <w:t>y</w:t>
      </w:r>
      <w:r w:rsidRPr="002B529C">
        <w:rPr>
          <w:noProof/>
        </w:rPr>
        <w:t xml:space="preserve"> processes, organise and run the information sessions</w:t>
      </w:r>
      <w:r w:rsidR="00822F61">
        <w:rPr>
          <w:noProof/>
        </w:rPr>
        <w:t xml:space="preserve">. Working closely with </w:t>
      </w:r>
      <w:r w:rsidR="00822F61" w:rsidRPr="00822F61">
        <w:rPr>
          <w:noProof/>
        </w:rPr>
        <w:t>the workers</w:t>
      </w:r>
      <w:r w:rsidRPr="002B529C">
        <w:rPr>
          <w:noProof/>
        </w:rPr>
        <w:t xml:space="preserve">, </w:t>
      </w:r>
      <w:r w:rsidR="00822F61">
        <w:rPr>
          <w:noProof/>
        </w:rPr>
        <w:t xml:space="preserve">they </w:t>
      </w:r>
      <w:r w:rsidRPr="002B529C">
        <w:rPr>
          <w:noProof/>
        </w:rPr>
        <w:t xml:space="preserve">define personalised paths for reintegration into employment and readjust them </w:t>
      </w:r>
      <w:r w:rsidR="00822F61">
        <w:rPr>
          <w:noProof/>
        </w:rPr>
        <w:t>where</w:t>
      </w:r>
      <w:r w:rsidRPr="002B529C">
        <w:rPr>
          <w:noProof/>
        </w:rPr>
        <w:t xml:space="preserve"> ne</w:t>
      </w:r>
      <w:r w:rsidR="006713C7">
        <w:rPr>
          <w:noProof/>
        </w:rPr>
        <w:t>cessary</w:t>
      </w:r>
      <w:r w:rsidRPr="002B529C">
        <w:rPr>
          <w:noProof/>
        </w:rPr>
        <w:t>. The task</w:t>
      </w:r>
      <w:r w:rsidR="00822F61">
        <w:rPr>
          <w:noProof/>
        </w:rPr>
        <w:t xml:space="preserve"> </w:t>
      </w:r>
      <w:r w:rsidRPr="002B529C">
        <w:rPr>
          <w:noProof/>
        </w:rPr>
        <w:t xml:space="preserve">force </w:t>
      </w:r>
      <w:r w:rsidR="00822F61">
        <w:rPr>
          <w:noProof/>
        </w:rPr>
        <w:t xml:space="preserve">is supported by </w:t>
      </w:r>
      <w:r w:rsidRPr="002B529C">
        <w:rPr>
          <w:noProof/>
        </w:rPr>
        <w:t>a team of experts in European projects</w:t>
      </w:r>
      <w:r w:rsidR="001A62D7">
        <w:rPr>
          <w:noProof/>
        </w:rPr>
        <w:t>.</w:t>
      </w:r>
    </w:p>
    <w:p w:rsidR="002B529C" w:rsidRDefault="006E5D60" w:rsidP="002B529C">
      <w:pPr>
        <w:pStyle w:val="Tiret1"/>
        <w:rPr>
          <w:noProof/>
        </w:rPr>
      </w:pPr>
      <w:r w:rsidRPr="006E5D60">
        <w:rPr>
          <w:noProof/>
          <w:u w:val="single"/>
        </w:rPr>
        <w:t>Outplacement</w:t>
      </w:r>
      <w:r w:rsidR="002B529C">
        <w:rPr>
          <w:noProof/>
        </w:rPr>
        <w:t xml:space="preserve">: </w:t>
      </w:r>
      <w:r w:rsidRPr="006E5D60">
        <w:rPr>
          <w:noProof/>
        </w:rPr>
        <w:t xml:space="preserve">Outplacement services provided in group or individual sessions include, among other things, an initial interview and individual guidance, certification of acquired skills, guidance on using </w:t>
      </w:r>
      <w:r w:rsidR="00F10FB1" w:rsidRPr="00F10FB1">
        <w:rPr>
          <w:noProof/>
        </w:rPr>
        <w:t>"My Career" (</w:t>
      </w:r>
      <w:r w:rsidR="00F10FB1" w:rsidRPr="0001783E">
        <w:rPr>
          <w:i/>
          <w:iCs/>
          <w:noProof/>
        </w:rPr>
        <w:t>Mijn Loopbaan)</w:t>
      </w:r>
      <w:r w:rsidR="00F10FB1" w:rsidRPr="00F10FB1">
        <w:rPr>
          <w:noProof/>
        </w:rPr>
        <w:t xml:space="preserve"> a digital platform for job searching provided by the Flemish public employment services (VDAB</w:t>
      </w:r>
      <w:r w:rsidR="00F33B64">
        <w:rPr>
          <w:rStyle w:val="FootnoteReference"/>
          <w:noProof/>
        </w:rPr>
        <w:footnoteReference w:id="17"/>
      </w:r>
      <w:r w:rsidR="00F10FB1" w:rsidRPr="00F10FB1">
        <w:rPr>
          <w:noProof/>
        </w:rPr>
        <w:t>)</w:t>
      </w:r>
      <w:r w:rsidRPr="006E5D60">
        <w:rPr>
          <w:noProof/>
        </w:rPr>
        <w:t>, as well as guidance before, during, and after the job fair described below</w:t>
      </w:r>
      <w:r w:rsidR="00EE5AD2">
        <w:rPr>
          <w:noProof/>
        </w:rPr>
        <w:t>. Within this measure a 'job vacancy action' was organised on 3 December 2025. During a job vacancy action job offers are presented/made available to small groups of workers to apply for. Workers are helped by experts during the appl</w:t>
      </w:r>
      <w:r w:rsidR="0095318D">
        <w:rPr>
          <w:noProof/>
        </w:rPr>
        <w:t>ication</w:t>
      </w:r>
      <w:r w:rsidR="00EE5AD2">
        <w:rPr>
          <w:noProof/>
        </w:rPr>
        <w:t xml:space="preserve"> process and VDAB monitors the </w:t>
      </w:r>
      <w:r w:rsidR="00A27BD7">
        <w:rPr>
          <w:noProof/>
        </w:rPr>
        <w:t>progress of such applications and their outcome.</w:t>
      </w:r>
    </w:p>
    <w:p w:rsidR="002B529C" w:rsidRDefault="00492EF2" w:rsidP="002B529C">
      <w:pPr>
        <w:pStyle w:val="Tiret1"/>
        <w:rPr>
          <w:noProof/>
        </w:rPr>
      </w:pPr>
      <w:r w:rsidRPr="004874E6">
        <w:rPr>
          <w:noProof/>
          <w:u w:val="single"/>
        </w:rPr>
        <w:t>Assistance in finding a job</w:t>
      </w:r>
      <w:r w:rsidR="002B529C">
        <w:rPr>
          <w:noProof/>
        </w:rPr>
        <w:t xml:space="preserve">: </w:t>
      </w:r>
      <w:r w:rsidRPr="00492EF2">
        <w:rPr>
          <w:noProof/>
        </w:rPr>
        <w:t xml:space="preserve">The assistance begins </w:t>
      </w:r>
      <w:r w:rsidR="004F0C60">
        <w:rPr>
          <w:noProof/>
        </w:rPr>
        <w:t xml:space="preserve">by </w:t>
      </w:r>
      <w:r w:rsidR="004874E6">
        <w:rPr>
          <w:noProof/>
        </w:rPr>
        <w:t xml:space="preserve">evaluating jobseekers’ suitability for current labour market demands and the realism of their job search. It then provides tailored assistance, including CV and cover letter refinement, confidence-building, and interview preparation. Digital skills are evaluated, with basic ICT training offered to digitally illiterate workers who also gain access to </w:t>
      </w:r>
      <w:r w:rsidR="0001783E">
        <w:rPr>
          <w:noProof/>
        </w:rPr>
        <w:t>‘</w:t>
      </w:r>
      <w:r w:rsidR="004874E6">
        <w:rPr>
          <w:noProof/>
        </w:rPr>
        <w:t>digibanks</w:t>
      </w:r>
      <w:r w:rsidR="0001783E">
        <w:rPr>
          <w:noProof/>
        </w:rPr>
        <w:t>’</w:t>
      </w:r>
      <w:r w:rsidR="004874E6">
        <w:rPr>
          <w:noProof/>
        </w:rPr>
        <w:t>, where they can borrow laptops, receive training, and get digital support. Meanwhile, webinars and online tools such as 123digit.be help those with existing skills to further develop their digital competencies.</w:t>
      </w:r>
    </w:p>
    <w:p w:rsidR="007C7D48" w:rsidRDefault="00984FE9" w:rsidP="007C7D48">
      <w:pPr>
        <w:pStyle w:val="Tiret1"/>
        <w:rPr>
          <w:noProof/>
        </w:rPr>
      </w:pPr>
      <w:r w:rsidRPr="007C7D48">
        <w:rPr>
          <w:noProof/>
          <w:u w:val="single"/>
        </w:rPr>
        <w:t>Reinforced job-search assistance</w:t>
      </w:r>
      <w:r>
        <w:rPr>
          <w:noProof/>
        </w:rPr>
        <w:t xml:space="preserve">: </w:t>
      </w:r>
      <w:r w:rsidR="007C7D48">
        <w:rPr>
          <w:noProof/>
        </w:rPr>
        <w:t>The support includes individual coaching and job-sco</w:t>
      </w:r>
      <w:r w:rsidR="00EA5C15">
        <w:rPr>
          <w:noProof/>
        </w:rPr>
        <w:t>u</w:t>
      </w:r>
      <w:r w:rsidR="007C7D48">
        <w:rPr>
          <w:noProof/>
        </w:rPr>
        <w:t xml:space="preserve">ting, group coaching with a vocational mediator, assistance with job applications and interview preparation, and visits to hiring companies and to training centres, to encourage upskilling. </w:t>
      </w:r>
    </w:p>
    <w:p w:rsidR="00984FE9" w:rsidRDefault="007C7D48" w:rsidP="00E42F7B">
      <w:pPr>
        <w:pStyle w:val="Text2"/>
        <w:rPr>
          <w:noProof/>
        </w:rPr>
      </w:pPr>
      <w:r>
        <w:rPr>
          <w:noProof/>
        </w:rPr>
        <w:lastRenderedPageBreak/>
        <w:t>Additionally, information sessions on cross-border work opportunities in the Netherlands will be organised with EURES experts from the Dutch employment services.</w:t>
      </w:r>
      <w:r w:rsidR="00E42F7B">
        <w:rPr>
          <w:noProof/>
        </w:rPr>
        <w:t xml:space="preserve"> </w:t>
      </w:r>
    </w:p>
    <w:p w:rsidR="006D166F" w:rsidRDefault="006D166F" w:rsidP="006D166F">
      <w:pPr>
        <w:pStyle w:val="Tiret1"/>
        <w:rPr>
          <w:noProof/>
        </w:rPr>
      </w:pPr>
      <w:r w:rsidRPr="00141A92">
        <w:rPr>
          <w:noProof/>
          <w:u w:val="single"/>
        </w:rPr>
        <w:t>Guidance</w:t>
      </w:r>
      <w:r>
        <w:rPr>
          <w:noProof/>
        </w:rPr>
        <w:t xml:space="preserve">: </w:t>
      </w:r>
      <w:r w:rsidRPr="006D166F">
        <w:rPr>
          <w:noProof/>
        </w:rPr>
        <w:t xml:space="preserve">The </w:t>
      </w:r>
      <w:r w:rsidR="0001783E">
        <w:rPr>
          <w:noProof/>
        </w:rPr>
        <w:t>guidance</w:t>
      </w:r>
      <w:r w:rsidRPr="006D166F">
        <w:rPr>
          <w:noProof/>
        </w:rPr>
        <w:t xml:space="preserve"> services </w:t>
      </w:r>
      <w:r w:rsidR="00E42F7B">
        <w:rPr>
          <w:noProof/>
        </w:rPr>
        <w:t xml:space="preserve">offer </w:t>
      </w:r>
      <w:r w:rsidR="0001783E">
        <w:rPr>
          <w:noProof/>
        </w:rPr>
        <w:t>career</w:t>
      </w:r>
      <w:r w:rsidR="00E42F7B">
        <w:rPr>
          <w:noProof/>
        </w:rPr>
        <w:t xml:space="preserve"> </w:t>
      </w:r>
      <w:r w:rsidR="00242082">
        <w:rPr>
          <w:noProof/>
        </w:rPr>
        <w:t>advice</w:t>
      </w:r>
      <w:r w:rsidRPr="006D166F">
        <w:rPr>
          <w:noProof/>
        </w:rPr>
        <w:t>, job</w:t>
      </w:r>
      <w:r w:rsidR="00E42F7B">
        <w:rPr>
          <w:noProof/>
        </w:rPr>
        <w:t>-</w:t>
      </w:r>
      <w:r w:rsidRPr="006D166F">
        <w:rPr>
          <w:noProof/>
        </w:rPr>
        <w:t>openings</w:t>
      </w:r>
      <w:r w:rsidR="00E42F7B">
        <w:rPr>
          <w:noProof/>
        </w:rPr>
        <w:t xml:space="preserve"> search</w:t>
      </w:r>
      <w:r w:rsidR="00242082">
        <w:rPr>
          <w:noProof/>
        </w:rPr>
        <w:t>,</w:t>
      </w:r>
      <w:r w:rsidRPr="006D166F">
        <w:rPr>
          <w:noProof/>
        </w:rPr>
        <w:t xml:space="preserve"> and </w:t>
      </w:r>
      <w:r w:rsidR="004F0C60">
        <w:rPr>
          <w:noProof/>
        </w:rPr>
        <w:t xml:space="preserve">job </w:t>
      </w:r>
      <w:r w:rsidRPr="006D166F">
        <w:rPr>
          <w:noProof/>
        </w:rPr>
        <w:t xml:space="preserve">placement (matching candidates' skills and goals with employers' needs), </w:t>
      </w:r>
      <w:r w:rsidR="00E42F7B">
        <w:rPr>
          <w:noProof/>
        </w:rPr>
        <w:t>i</w:t>
      </w:r>
      <w:r w:rsidRPr="006D166F">
        <w:rPr>
          <w:noProof/>
        </w:rPr>
        <w:t>ndividual job search</w:t>
      </w:r>
      <w:r w:rsidR="00E42F7B">
        <w:rPr>
          <w:noProof/>
        </w:rPr>
        <w:t xml:space="preserve"> assistance</w:t>
      </w:r>
      <w:r w:rsidRPr="006D166F">
        <w:rPr>
          <w:noProof/>
        </w:rPr>
        <w:t xml:space="preserve">, and mental support. </w:t>
      </w:r>
      <w:r w:rsidR="00E42F7B">
        <w:rPr>
          <w:noProof/>
        </w:rPr>
        <w:t>T</w:t>
      </w:r>
      <w:r w:rsidRPr="006D166F">
        <w:rPr>
          <w:noProof/>
        </w:rPr>
        <w:t xml:space="preserve">opics covered during the outplacement sessions </w:t>
      </w:r>
      <w:r w:rsidR="00E42F7B">
        <w:rPr>
          <w:noProof/>
        </w:rPr>
        <w:t>are</w:t>
      </w:r>
      <w:r w:rsidRPr="006D166F">
        <w:rPr>
          <w:noProof/>
        </w:rPr>
        <w:t xml:space="preserve"> reviewed</w:t>
      </w:r>
      <w:r w:rsidR="00E42F7B">
        <w:rPr>
          <w:noProof/>
        </w:rPr>
        <w:t>, as needed</w:t>
      </w:r>
      <w:r w:rsidRPr="006D166F">
        <w:rPr>
          <w:noProof/>
        </w:rPr>
        <w:t xml:space="preserve">. </w:t>
      </w:r>
      <w:r w:rsidR="00E42F7B" w:rsidRPr="00E42F7B">
        <w:rPr>
          <w:noProof/>
        </w:rPr>
        <w:t>Delivered via a voucher system to give workers flexibility, VDAB counsellors tailor support intensity</w:t>
      </w:r>
      <w:r w:rsidR="00141A92">
        <w:rPr>
          <w:noProof/>
        </w:rPr>
        <w:t xml:space="preserve"> (</w:t>
      </w:r>
      <w:r w:rsidR="00E42F7B" w:rsidRPr="00E42F7B">
        <w:rPr>
          <w:noProof/>
        </w:rPr>
        <w:t>ranging from standard to highly intensive</w:t>
      </w:r>
      <w:r w:rsidR="00141A92">
        <w:rPr>
          <w:noProof/>
        </w:rPr>
        <w:t xml:space="preserve">) </w:t>
      </w:r>
      <w:r w:rsidR="00E42F7B" w:rsidRPr="00E42F7B">
        <w:rPr>
          <w:noProof/>
        </w:rPr>
        <w:t>based on individual assessments.</w:t>
      </w:r>
    </w:p>
    <w:p w:rsidR="00347B23" w:rsidRDefault="00862F27" w:rsidP="00347B23">
      <w:pPr>
        <w:pStyle w:val="Tiret1"/>
        <w:rPr>
          <w:noProof/>
        </w:rPr>
      </w:pPr>
      <w:r w:rsidRPr="00347B23">
        <w:rPr>
          <w:noProof/>
          <w:u w:val="single"/>
        </w:rPr>
        <w:t>Training and retraining</w:t>
      </w:r>
      <w:r w:rsidR="002B529C">
        <w:rPr>
          <w:noProof/>
        </w:rPr>
        <w:t xml:space="preserve">: </w:t>
      </w:r>
      <w:r w:rsidR="00347B23">
        <w:rPr>
          <w:noProof/>
        </w:rPr>
        <w:t xml:space="preserve">Workers receive tailored coaching through specialised learning paths to enhance technical, digital, and in-demand skills (including those linked to labour shortages and the green transition). After agreeing on individual plans with a vocational counsellor, they access targeted training—either through VDAB or external providers—to address identified needs. </w:t>
      </w:r>
    </w:p>
    <w:p w:rsidR="002B529C" w:rsidRDefault="00347B23" w:rsidP="00F80243">
      <w:pPr>
        <w:pStyle w:val="Text2"/>
        <w:rPr>
          <w:noProof/>
        </w:rPr>
      </w:pPr>
      <w:r>
        <w:rPr>
          <w:noProof/>
        </w:rPr>
        <w:t>Dutch language courses are also available, as many former Soliver employees have limited proficiency in Dutch, potentially limiting their employment options.</w:t>
      </w:r>
    </w:p>
    <w:p w:rsidR="002B529C" w:rsidRDefault="00862F27" w:rsidP="002B529C">
      <w:pPr>
        <w:pStyle w:val="Tiret1"/>
        <w:rPr>
          <w:noProof/>
        </w:rPr>
      </w:pPr>
      <w:r w:rsidRPr="00961654">
        <w:rPr>
          <w:noProof/>
          <w:u w:val="single"/>
        </w:rPr>
        <w:t>Training at the workplace</w:t>
      </w:r>
      <w:r w:rsidR="002B529C">
        <w:rPr>
          <w:noProof/>
        </w:rPr>
        <w:t xml:space="preserve">: </w:t>
      </w:r>
      <w:r w:rsidR="00961654">
        <w:rPr>
          <w:noProof/>
        </w:rPr>
        <w:t>W</w:t>
      </w:r>
      <w:r w:rsidRPr="00862F27">
        <w:rPr>
          <w:noProof/>
        </w:rPr>
        <w:t xml:space="preserve">orkers receive on-the-job training </w:t>
      </w:r>
      <w:r w:rsidR="00961654" w:rsidRPr="00961654">
        <w:rPr>
          <w:noProof/>
        </w:rPr>
        <w:t>with their future employer, securing a permanent or fixed-term contract lasting at least as long as the training</w:t>
      </w:r>
      <w:r w:rsidR="00961654">
        <w:rPr>
          <w:noProof/>
        </w:rPr>
        <w:t>.</w:t>
      </w:r>
      <w:r>
        <w:rPr>
          <w:noProof/>
        </w:rPr>
        <w:t xml:space="preserve"> </w:t>
      </w:r>
    </w:p>
    <w:p w:rsidR="002B529C" w:rsidRDefault="003F4B17" w:rsidP="002B529C">
      <w:pPr>
        <w:pStyle w:val="Tiret1"/>
        <w:rPr>
          <w:noProof/>
        </w:rPr>
      </w:pPr>
      <w:r w:rsidRPr="00984FE9">
        <w:rPr>
          <w:noProof/>
          <w:u w:val="single"/>
        </w:rPr>
        <w:t>Job fair</w:t>
      </w:r>
      <w:r w:rsidR="002B529C">
        <w:rPr>
          <w:noProof/>
        </w:rPr>
        <w:t xml:space="preserve">: </w:t>
      </w:r>
      <w:r w:rsidRPr="003F4B17">
        <w:rPr>
          <w:noProof/>
        </w:rPr>
        <w:t xml:space="preserve">This recruitment event helps put together jobseekers and </w:t>
      </w:r>
      <w:r w:rsidR="00961654">
        <w:rPr>
          <w:noProof/>
        </w:rPr>
        <w:t xml:space="preserve">hiring </w:t>
      </w:r>
      <w:r w:rsidRPr="003F4B17">
        <w:rPr>
          <w:noProof/>
        </w:rPr>
        <w:t>employers. Before attending the event, counselling sessions help to prepare the meeting with potential employers</w:t>
      </w:r>
      <w:r w:rsidR="00BE4826">
        <w:rPr>
          <w:noProof/>
        </w:rPr>
        <w:t xml:space="preserve">. </w:t>
      </w:r>
    </w:p>
    <w:p w:rsidR="001A62D7" w:rsidRPr="00C96520" w:rsidRDefault="00C67372" w:rsidP="001A62D7">
      <w:pPr>
        <w:pStyle w:val="ManualNumPar1"/>
        <w:rPr>
          <w:noProof/>
        </w:rPr>
      </w:pPr>
      <w:r>
        <w:rPr>
          <w:noProof/>
        </w:rPr>
        <w:t>25.</w:t>
      </w:r>
      <w:r>
        <w:rPr>
          <w:noProof/>
        </w:rPr>
        <w:tab/>
      </w:r>
      <w:r w:rsidRPr="00C67372">
        <w:rPr>
          <w:noProof/>
        </w:rPr>
        <w:t>The workers</w:t>
      </w:r>
      <w:r w:rsidR="0095318D">
        <w:rPr>
          <w:noProof/>
        </w:rPr>
        <w:t>’</w:t>
      </w:r>
      <w:r w:rsidRPr="00C67372">
        <w:rPr>
          <w:noProof/>
        </w:rPr>
        <w:t xml:space="preserve"> digital skills asses</w:t>
      </w:r>
      <w:r w:rsidR="00824751">
        <w:rPr>
          <w:noProof/>
        </w:rPr>
        <w:t>s</w:t>
      </w:r>
      <w:r w:rsidRPr="00C67372">
        <w:rPr>
          <w:noProof/>
        </w:rPr>
        <w:t>ment, the ICT training and additional support foreseen within the</w:t>
      </w:r>
      <w:r w:rsidR="00824751">
        <w:rPr>
          <w:noProof/>
        </w:rPr>
        <w:t xml:space="preserve"> job finding </w:t>
      </w:r>
      <w:r w:rsidRPr="00C67372">
        <w:rPr>
          <w:noProof/>
        </w:rPr>
        <w:t xml:space="preserve">assistance </w:t>
      </w:r>
      <w:r w:rsidR="001A62D7" w:rsidRPr="00C946EF">
        <w:rPr>
          <w:noProof/>
        </w:rPr>
        <w:t xml:space="preserve">cater for </w:t>
      </w:r>
      <w:r w:rsidR="001A62D7">
        <w:rPr>
          <w:noProof/>
        </w:rPr>
        <w:t>the dissemination of the skills required in the digital industrial age and in a resource-efficient economy, as required by Article 7(2)</w:t>
      </w:r>
      <w:r w:rsidR="001A62D7" w:rsidRPr="00C946EF">
        <w:rPr>
          <w:noProof/>
        </w:rPr>
        <w:t xml:space="preserve"> of </w:t>
      </w:r>
      <w:r w:rsidR="001A62D7">
        <w:rPr>
          <w:noProof/>
        </w:rPr>
        <w:t>Regulation (EU) 2021/691.</w:t>
      </w:r>
    </w:p>
    <w:p w:rsidR="001A62D7" w:rsidRPr="000F30C9" w:rsidRDefault="001A62D7" w:rsidP="00C67372">
      <w:pPr>
        <w:pStyle w:val="ManualNumPar1"/>
        <w:rPr>
          <w:noProof/>
        </w:rPr>
      </w:pPr>
      <w:r>
        <w:rPr>
          <w:noProof/>
        </w:rPr>
        <w:t>26.</w:t>
      </w:r>
      <w:r>
        <w:rPr>
          <w:noProof/>
        </w:rPr>
        <w:tab/>
      </w:r>
      <w:bookmarkStart w:id="14" w:name="_Ref372214242"/>
      <w:r w:rsidRPr="00C96520">
        <w:rPr>
          <w:noProof/>
        </w:rPr>
        <w:t>The proposed</w:t>
      </w:r>
      <w:r>
        <w:rPr>
          <w:noProof/>
        </w:rPr>
        <w:t xml:space="preserve"> actions</w:t>
      </w:r>
      <w:r w:rsidRPr="00C96520">
        <w:rPr>
          <w:noProof/>
        </w:rPr>
        <w:t xml:space="preserve">, here described, </w:t>
      </w:r>
      <w:r>
        <w:rPr>
          <w:noProof/>
        </w:rPr>
        <w:t>constitute</w:t>
      </w:r>
      <w:r w:rsidRPr="00C96520">
        <w:rPr>
          <w:noProof/>
        </w:rPr>
        <w:t xml:space="preserve"> active labour market </w:t>
      </w:r>
      <w:r>
        <w:rPr>
          <w:noProof/>
        </w:rPr>
        <w:t xml:space="preserve">policy </w:t>
      </w:r>
      <w:r w:rsidRPr="00C96520">
        <w:rPr>
          <w:noProof/>
        </w:rPr>
        <w:t xml:space="preserve">measures within the eligible </w:t>
      </w:r>
      <w:r>
        <w:rPr>
          <w:noProof/>
        </w:rPr>
        <w:t>actions</w:t>
      </w:r>
      <w:r w:rsidRPr="00C96520">
        <w:rPr>
          <w:noProof/>
        </w:rPr>
        <w:t xml:space="preserve"> set out in Article 7 of </w:t>
      </w:r>
      <w:r>
        <w:rPr>
          <w:noProof/>
        </w:rPr>
        <w:t>Regulation (EU) 2021/691</w:t>
      </w:r>
      <w:r w:rsidRPr="00C96520">
        <w:rPr>
          <w:noProof/>
        </w:rPr>
        <w:t xml:space="preserve">. </w:t>
      </w:r>
      <w:r>
        <w:rPr>
          <w:noProof/>
        </w:rPr>
        <w:t>These actions</w:t>
      </w:r>
      <w:r w:rsidRPr="00C96520">
        <w:rPr>
          <w:noProof/>
        </w:rPr>
        <w:t xml:space="preserve"> do not substitute passive social protection measures. </w:t>
      </w:r>
    </w:p>
    <w:p w:rsidR="001A62D7" w:rsidRDefault="00E31259" w:rsidP="00AE7D04">
      <w:pPr>
        <w:pStyle w:val="ManualNumPar1"/>
        <w:rPr>
          <w:noProof/>
        </w:rPr>
      </w:pPr>
      <w:r>
        <w:rPr>
          <w:noProof/>
        </w:rPr>
        <w:t>27.</w:t>
      </w:r>
      <w:r>
        <w:rPr>
          <w:noProof/>
        </w:rPr>
        <w:tab/>
        <w:t>Belgium</w:t>
      </w:r>
      <w:r w:rsidR="001A62D7">
        <w:rPr>
          <w:noProof/>
        </w:rPr>
        <w:t xml:space="preserve"> has provided the required information on measures that are mandatory for the enterprise concerned by virtue of national law or pursuant to collective agreements. In accordance with Article 9(1) of Regulation (EU) 2021/691, </w:t>
      </w:r>
      <w:r>
        <w:rPr>
          <w:noProof/>
        </w:rPr>
        <w:t>Belgium</w:t>
      </w:r>
      <w:r w:rsidR="001A62D7">
        <w:rPr>
          <w:noProof/>
        </w:rPr>
        <w:t xml:space="preserve"> has confirmed that a financial contribution from the EGF will not replace such measures.</w:t>
      </w:r>
      <w:bookmarkEnd w:id="14"/>
    </w:p>
    <w:p w:rsidR="001A62D7" w:rsidRPr="002730E5" w:rsidRDefault="001A62D7" w:rsidP="001A62D7">
      <w:pPr>
        <w:pStyle w:val="ManualHeading3"/>
        <w:rPr>
          <w:noProof/>
        </w:rPr>
      </w:pPr>
      <w:r w:rsidRPr="002730E5">
        <w:rPr>
          <w:noProof/>
        </w:rPr>
        <w:t>Estimated budget</w:t>
      </w:r>
    </w:p>
    <w:p w:rsidR="001A62D7" w:rsidRDefault="001A62D7" w:rsidP="00AE7D04">
      <w:pPr>
        <w:pStyle w:val="ManualNumPar1"/>
        <w:rPr>
          <w:noProof/>
        </w:rPr>
      </w:pPr>
      <w:r>
        <w:rPr>
          <w:noProof/>
        </w:rPr>
        <w:t>28.</w:t>
      </w:r>
      <w:r>
        <w:rPr>
          <w:noProof/>
        </w:rPr>
        <w:tab/>
        <w:t>The estimated total costs are EUR </w:t>
      </w:r>
      <w:r w:rsidR="006B2E5B">
        <w:rPr>
          <w:noProof/>
        </w:rPr>
        <w:t>2 508 86</w:t>
      </w:r>
      <w:r w:rsidR="0054282B">
        <w:rPr>
          <w:noProof/>
        </w:rPr>
        <w:t>5</w:t>
      </w:r>
      <w:r>
        <w:rPr>
          <w:noProof/>
        </w:rPr>
        <w:t>, comprising expenditure for personalised services of EUR </w:t>
      </w:r>
      <w:r w:rsidR="006B2E5B">
        <w:rPr>
          <w:noProof/>
        </w:rPr>
        <w:t>2 412 46</w:t>
      </w:r>
      <w:r w:rsidR="0054282B">
        <w:rPr>
          <w:noProof/>
        </w:rPr>
        <w:t>5</w:t>
      </w:r>
      <w:r>
        <w:rPr>
          <w:rFonts w:eastAsia="Calibri"/>
          <w:noProof/>
        </w:rPr>
        <w:t xml:space="preserve"> </w:t>
      </w:r>
      <w:r>
        <w:rPr>
          <w:noProof/>
        </w:rPr>
        <w:t>and expenditure for preparatory, management, information and publicity, control and reporting activities of EUR </w:t>
      </w:r>
      <w:r w:rsidR="006B2E5B">
        <w:rPr>
          <w:noProof/>
        </w:rPr>
        <w:t>96 400</w:t>
      </w:r>
      <w:r>
        <w:rPr>
          <w:noProof/>
        </w:rPr>
        <w:t>.</w:t>
      </w:r>
    </w:p>
    <w:p w:rsidR="001A62D7" w:rsidRDefault="001A62D7" w:rsidP="00AE7D04">
      <w:pPr>
        <w:pStyle w:val="ManualNumPar1"/>
        <w:rPr>
          <w:noProof/>
        </w:rPr>
      </w:pPr>
      <w:r>
        <w:rPr>
          <w:noProof/>
        </w:rPr>
        <w:t>29.</w:t>
      </w:r>
      <w:r>
        <w:rPr>
          <w:noProof/>
        </w:rPr>
        <w:tab/>
      </w:r>
      <w:bookmarkStart w:id="15" w:name="_Ref372550770"/>
      <w:r>
        <w:rPr>
          <w:noProof/>
        </w:rPr>
        <w:t>The total financial contribution requested from the EGF is EUR </w:t>
      </w:r>
      <w:r w:rsidR="005B68D8">
        <w:rPr>
          <w:noProof/>
        </w:rPr>
        <w:t>2 132 53</w:t>
      </w:r>
      <w:r w:rsidR="00BC7A56">
        <w:rPr>
          <w:noProof/>
        </w:rPr>
        <w:t>5</w:t>
      </w:r>
      <w:r>
        <w:rPr>
          <w:noProof/>
        </w:rPr>
        <w:t xml:space="preserve"> (</w:t>
      </w:r>
      <w:r w:rsidR="005B68D8">
        <w:rPr>
          <w:noProof/>
        </w:rPr>
        <w:t>85</w:t>
      </w:r>
      <w:r>
        <w:rPr>
          <w:noProof/>
        </w:rPr>
        <w:t> % of total costs).</w:t>
      </w:r>
      <w:bookmarkEnd w:id="15"/>
    </w:p>
    <w:p w:rsidR="001A62D7" w:rsidRPr="007F59AB" w:rsidRDefault="001A62D7" w:rsidP="00AE7D04">
      <w:pPr>
        <w:pStyle w:val="ManualNumPar1"/>
        <w:rPr>
          <w:noProof/>
        </w:rPr>
      </w:pPr>
      <w:r>
        <w:rPr>
          <w:noProof/>
        </w:rPr>
        <w:t>30.</w:t>
      </w:r>
      <w:r>
        <w:rPr>
          <w:noProof/>
        </w:rPr>
        <w:tab/>
      </w:r>
      <w:r w:rsidRPr="00281459">
        <w:rPr>
          <w:noProof/>
        </w:rPr>
        <w:t>Pursuant to Article 8(7), point (m),</w:t>
      </w:r>
      <w:r>
        <w:rPr>
          <w:noProof/>
        </w:rPr>
        <w:t xml:space="preserve"> of Regulation (EU) 2021/691,</w:t>
      </w:r>
      <w:r w:rsidRPr="00281459">
        <w:rPr>
          <w:noProof/>
        </w:rPr>
        <w:t xml:space="preserve"> </w:t>
      </w:r>
      <w:r w:rsidR="005B68D8">
        <w:rPr>
          <w:noProof/>
        </w:rPr>
        <w:t>Belgium</w:t>
      </w:r>
      <w:r w:rsidRPr="00281459">
        <w:rPr>
          <w:noProof/>
        </w:rPr>
        <w:t xml:space="preserve"> has specified that the </w:t>
      </w:r>
      <w:r w:rsidRPr="00C20132">
        <w:rPr>
          <w:noProof/>
        </w:rPr>
        <w:t xml:space="preserve">national pre-financing </w:t>
      </w:r>
      <w:r>
        <w:rPr>
          <w:noProof/>
        </w:rPr>
        <w:t>and</w:t>
      </w:r>
      <w:r w:rsidRPr="00C20132">
        <w:rPr>
          <w:noProof/>
        </w:rPr>
        <w:t xml:space="preserve"> co-funding </w:t>
      </w:r>
      <w:r>
        <w:rPr>
          <w:noProof/>
        </w:rPr>
        <w:t xml:space="preserve">is provided by </w:t>
      </w:r>
      <w:r w:rsidR="00E31259">
        <w:rPr>
          <w:noProof/>
        </w:rPr>
        <w:t>VDAB</w:t>
      </w:r>
      <w:r>
        <w:rPr>
          <w:noProof/>
        </w:rPr>
        <w:t>.</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6E2470" w:rsidTr="001D5990">
        <w:tc>
          <w:tcPr>
            <w:tcW w:w="4644" w:type="dxa"/>
            <w:shd w:val="clear" w:color="auto" w:fill="auto"/>
            <w:vAlign w:val="center"/>
          </w:tcPr>
          <w:p w:rsidR="001A62D7" w:rsidRPr="006E2470" w:rsidRDefault="001A62D7" w:rsidP="001D5990">
            <w:pPr>
              <w:spacing w:before="60" w:after="60"/>
              <w:jc w:val="center"/>
              <w:rPr>
                <w:rFonts w:eastAsia="Times New Roman"/>
                <w:noProof/>
                <w:sz w:val="22"/>
              </w:rPr>
            </w:pPr>
            <w:r>
              <w:rPr>
                <w:rFonts w:eastAsia="Times New Roman"/>
                <w:noProof/>
                <w:sz w:val="22"/>
              </w:rPr>
              <w:lastRenderedPageBreak/>
              <w:t>Measures</w:t>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number of participants</w:t>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cost per participant</w:t>
            </w:r>
            <w:r w:rsidRPr="006E2470">
              <w:rPr>
                <w:rFonts w:eastAsia="Times New Roman"/>
                <w:noProof/>
                <w:sz w:val="22"/>
              </w:rPr>
              <w:br/>
            </w:r>
            <w:r w:rsidRPr="006E2470">
              <w:rPr>
                <w:rFonts w:eastAsia="Times New Roman"/>
                <w:i/>
                <w:noProof/>
                <w:sz w:val="22"/>
              </w:rPr>
              <w:t>(EUR)</w:t>
            </w:r>
            <w:r>
              <w:rPr>
                <w:rStyle w:val="FootnoteReference"/>
                <w:rFonts w:eastAsia="Times New Roman"/>
                <w:i/>
                <w:noProof/>
                <w:sz w:val="22"/>
              </w:rPr>
              <w:footnoteReference w:id="18"/>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total costs</w:t>
            </w:r>
          </w:p>
          <w:p w:rsidR="001A62D7" w:rsidRPr="006E2470" w:rsidRDefault="001A62D7" w:rsidP="001D5990">
            <w:pPr>
              <w:spacing w:before="60" w:after="60"/>
              <w:jc w:val="center"/>
              <w:rPr>
                <w:rFonts w:eastAsia="Times New Roman"/>
                <w:noProof/>
                <w:sz w:val="22"/>
              </w:rPr>
            </w:pPr>
            <w:r w:rsidRPr="006E2470">
              <w:rPr>
                <w:rFonts w:eastAsia="Times New Roman"/>
                <w:i/>
                <w:noProof/>
                <w:sz w:val="22"/>
              </w:rPr>
              <w:t>(EUR)</w:t>
            </w:r>
            <w:r>
              <w:rPr>
                <w:rStyle w:val="FootnoteReference"/>
                <w:rFonts w:eastAsia="Times New Roman"/>
                <w:i/>
                <w:noProof/>
                <w:sz w:val="22"/>
              </w:rPr>
              <w:footnoteReference w:id="19"/>
            </w:r>
            <w:r w:rsidRPr="006E2470">
              <w:rPr>
                <w:rFonts w:eastAsia="Times New Roman"/>
                <w:i/>
                <w:noProof/>
                <w:sz w:val="22"/>
              </w:rPr>
              <w:t xml:space="preserve"> </w:t>
            </w:r>
          </w:p>
        </w:tc>
      </w:tr>
      <w:tr w:rsidR="001A62D7" w:rsidRPr="006E2470" w:rsidTr="001D5990">
        <w:tc>
          <w:tcPr>
            <w:tcW w:w="9288" w:type="dxa"/>
            <w:gridSpan w:val="4"/>
            <w:shd w:val="clear" w:color="auto" w:fill="auto"/>
          </w:tcPr>
          <w:p w:rsidR="001A62D7" w:rsidRPr="006E2470" w:rsidRDefault="001A62D7" w:rsidP="001D5990">
            <w:pPr>
              <w:spacing w:before="60" w:after="60"/>
              <w:jc w:val="left"/>
              <w:rPr>
                <w:rFonts w:eastAsia="Times New Roman"/>
                <w:noProof/>
                <w:sz w:val="22"/>
              </w:rPr>
            </w:pPr>
            <w:r w:rsidRPr="006E2470">
              <w:rPr>
                <w:rFonts w:eastAsia="Times New Roman"/>
                <w:noProof/>
                <w:sz w:val="22"/>
              </w:rPr>
              <w:t>Personalised services (</w:t>
            </w:r>
            <w:r>
              <w:rPr>
                <w:rFonts w:eastAsia="Times New Roman"/>
                <w:noProof/>
                <w:sz w:val="22"/>
              </w:rPr>
              <w:t>measures</w:t>
            </w:r>
            <w:r w:rsidRPr="006E2470">
              <w:rPr>
                <w:rFonts w:eastAsia="Times New Roman"/>
                <w:noProof/>
                <w:sz w:val="22"/>
              </w:rPr>
              <w:t xml:space="preserve"> under Article</w:t>
            </w:r>
            <w:r>
              <w:rPr>
                <w:rFonts w:eastAsia="Times New Roman"/>
                <w:noProof/>
                <w:sz w:val="22"/>
              </w:rPr>
              <w:t> 7(2</w:t>
            </w:r>
            <w:r w:rsidRPr="006E2470">
              <w:rPr>
                <w:rFonts w:eastAsia="Times New Roman"/>
                <w:noProof/>
                <w:sz w:val="22"/>
              </w:rPr>
              <w:t>)</w:t>
            </w:r>
            <w:r>
              <w:rPr>
                <w:rFonts w:eastAsia="Times New Roman"/>
                <w:noProof/>
                <w:sz w:val="22"/>
              </w:rPr>
              <w:t xml:space="preserve">, </w:t>
            </w:r>
            <w:r>
              <w:rPr>
                <w:noProof/>
              </w:rPr>
              <w:t>second subparagraph</w:t>
            </w:r>
            <w:r>
              <w:rPr>
                <w:rFonts w:eastAsia="Times New Roman"/>
                <w:noProof/>
                <w:sz w:val="22"/>
              </w:rPr>
              <w:t xml:space="preserve">, point </w:t>
            </w:r>
            <w:r w:rsidRPr="006E2470">
              <w:rPr>
                <w:rFonts w:eastAsia="Times New Roman"/>
                <w:noProof/>
                <w:sz w:val="22"/>
              </w:rPr>
              <w:t>(a)</w:t>
            </w:r>
            <w:r>
              <w:rPr>
                <w:rFonts w:eastAsia="Times New Roman"/>
                <w:noProof/>
                <w:sz w:val="22"/>
              </w:rPr>
              <w:t>,</w:t>
            </w:r>
            <w:r w:rsidRPr="006E2470">
              <w:rPr>
                <w:rFonts w:eastAsia="Times New Roman"/>
                <w:noProof/>
                <w:sz w:val="22"/>
              </w:rPr>
              <w:t xml:space="preserve"> of </w:t>
            </w:r>
            <w:r>
              <w:rPr>
                <w:rFonts w:eastAsia="Times New Roman"/>
                <w:noProof/>
                <w:sz w:val="22"/>
              </w:rPr>
              <w:t>Regulation (EU) 2021/691</w:t>
            </w:r>
            <w:r w:rsidRPr="006E2470">
              <w:rPr>
                <w:rFonts w:eastAsia="Times New Roman"/>
                <w:noProof/>
                <w:sz w:val="22"/>
              </w:rPr>
              <w:t>)</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B95039" w:rsidP="001D5990">
            <w:pPr>
              <w:spacing w:before="60" w:after="60"/>
              <w:jc w:val="left"/>
              <w:rPr>
                <w:noProof/>
              </w:rPr>
            </w:pPr>
            <w:r>
              <w:rPr>
                <w:noProof/>
              </w:rPr>
              <w:t>Task force</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AA485E" w:rsidP="001D5990">
            <w:pPr>
              <w:spacing w:before="60" w:after="60"/>
              <w:jc w:val="center"/>
              <w:rPr>
                <w:noProof/>
              </w:rPr>
            </w:pPr>
            <w:r>
              <w:rPr>
                <w:noProof/>
              </w:rPr>
              <w:t>803</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AA485E" w:rsidP="001D5990">
            <w:pPr>
              <w:spacing w:before="60" w:after="60"/>
              <w:jc w:val="center"/>
              <w:rPr>
                <w:noProof/>
              </w:rPr>
            </w:pPr>
            <w:r>
              <w:rPr>
                <w:noProof/>
              </w:rPr>
              <w:t>148</w:t>
            </w:r>
          </w:p>
        </w:tc>
        <w:tc>
          <w:tcPr>
            <w:tcW w:w="1548" w:type="dxa"/>
            <w:tcBorders>
              <w:top w:val="single" w:sz="4" w:space="0" w:color="auto"/>
              <w:left w:val="single" w:sz="4" w:space="0" w:color="auto"/>
              <w:bottom w:val="single" w:sz="4" w:space="0" w:color="auto"/>
              <w:right w:val="nil"/>
            </w:tcBorders>
            <w:vAlign w:val="center"/>
            <w:hideMark/>
          </w:tcPr>
          <w:p w:rsidR="001A62D7" w:rsidRDefault="00AA485E" w:rsidP="001D5990">
            <w:pPr>
              <w:spacing w:before="60" w:after="60"/>
              <w:jc w:val="center"/>
              <w:rPr>
                <w:noProof/>
              </w:rPr>
            </w:pPr>
            <w:r>
              <w:rPr>
                <w:noProof/>
              </w:rPr>
              <w:t>118 642</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B95039" w:rsidP="001D5990">
            <w:pPr>
              <w:spacing w:before="60" w:after="60"/>
              <w:jc w:val="left"/>
              <w:rPr>
                <w:noProof/>
              </w:rPr>
            </w:pPr>
            <w:r>
              <w:rPr>
                <w:noProof/>
              </w:rPr>
              <w:t>Outplacement</w:t>
            </w:r>
            <w:r w:rsidR="0042368B">
              <w:rPr>
                <w:noProof/>
              </w:rPr>
              <w:br/>
              <w:t>(</w:t>
            </w:r>
            <w:r w:rsidR="0042368B" w:rsidRPr="0042368B">
              <w:rPr>
                <w:i/>
                <w:iCs/>
                <w:noProof/>
              </w:rPr>
              <w:t>Outplacementbegeleiding)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AA485E" w:rsidP="001D5990">
            <w:pPr>
              <w:spacing w:before="60" w:after="60"/>
              <w:jc w:val="center"/>
              <w:rPr>
                <w:noProof/>
              </w:rPr>
            </w:pPr>
            <w:r>
              <w:rPr>
                <w:noProof/>
              </w:rPr>
              <w:t>473</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AA485E" w:rsidP="001D5990">
            <w:pPr>
              <w:spacing w:before="60" w:after="60"/>
              <w:jc w:val="center"/>
              <w:rPr>
                <w:noProof/>
              </w:rPr>
            </w:pPr>
            <w:r>
              <w:rPr>
                <w:noProof/>
              </w:rPr>
              <w:t>1 986</w:t>
            </w:r>
          </w:p>
        </w:tc>
        <w:tc>
          <w:tcPr>
            <w:tcW w:w="1548" w:type="dxa"/>
            <w:tcBorders>
              <w:top w:val="single" w:sz="4" w:space="0" w:color="auto"/>
              <w:left w:val="single" w:sz="4" w:space="0" w:color="auto"/>
              <w:bottom w:val="single" w:sz="4" w:space="0" w:color="auto"/>
              <w:right w:val="nil"/>
            </w:tcBorders>
            <w:vAlign w:val="center"/>
            <w:hideMark/>
          </w:tcPr>
          <w:p w:rsidR="001A62D7" w:rsidRDefault="00AA485E" w:rsidP="001D5990">
            <w:pPr>
              <w:spacing w:before="60" w:after="60"/>
              <w:jc w:val="center"/>
              <w:rPr>
                <w:noProof/>
              </w:rPr>
            </w:pPr>
            <w:r>
              <w:rPr>
                <w:noProof/>
              </w:rPr>
              <w:t>939 273</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B95039" w:rsidP="001D5990">
            <w:pPr>
              <w:spacing w:before="60" w:after="60"/>
              <w:jc w:val="left"/>
              <w:rPr>
                <w:noProof/>
              </w:rPr>
            </w:pPr>
            <w:r w:rsidRPr="00B95039">
              <w:rPr>
                <w:noProof/>
              </w:rPr>
              <w:t>Assistance in finding a job</w:t>
            </w:r>
            <w:r>
              <w:rPr>
                <w:noProof/>
              </w:rPr>
              <w:t xml:space="preserve"> </w:t>
            </w:r>
            <w:r>
              <w:rPr>
                <w:noProof/>
              </w:rPr>
              <w:br/>
            </w:r>
            <w:r w:rsidR="00EF3F91" w:rsidRPr="00EF3F91">
              <w:rPr>
                <w:i/>
                <w:iCs/>
                <w:noProof/>
              </w:rPr>
              <w:t>(actieve bemiddeling)</w:t>
            </w:r>
            <w:r w:rsidR="001A62D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AA485E" w:rsidP="001D5990">
            <w:pPr>
              <w:spacing w:before="60" w:after="60"/>
              <w:jc w:val="center"/>
              <w:rPr>
                <w:noProof/>
              </w:rPr>
            </w:pPr>
            <w:r>
              <w:rPr>
                <w:noProof/>
              </w:rPr>
              <w:t>275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AA485E" w:rsidP="001D5990">
            <w:pPr>
              <w:spacing w:before="60" w:after="60"/>
              <w:jc w:val="center"/>
              <w:rPr>
                <w:noProof/>
              </w:rPr>
            </w:pPr>
            <w:r>
              <w:rPr>
                <w:noProof/>
              </w:rPr>
              <w:t>1 660</w:t>
            </w:r>
          </w:p>
        </w:tc>
        <w:tc>
          <w:tcPr>
            <w:tcW w:w="1548" w:type="dxa"/>
            <w:tcBorders>
              <w:top w:val="single" w:sz="4" w:space="0" w:color="auto"/>
              <w:left w:val="single" w:sz="4" w:space="0" w:color="auto"/>
              <w:bottom w:val="single" w:sz="4" w:space="0" w:color="auto"/>
              <w:right w:val="nil"/>
            </w:tcBorders>
            <w:vAlign w:val="center"/>
            <w:hideMark/>
          </w:tcPr>
          <w:p w:rsidR="001A62D7" w:rsidRDefault="00AA485E" w:rsidP="001D5990">
            <w:pPr>
              <w:spacing w:before="60" w:after="60"/>
              <w:jc w:val="center"/>
              <w:rPr>
                <w:noProof/>
              </w:rPr>
            </w:pPr>
            <w:r>
              <w:rPr>
                <w:noProof/>
              </w:rPr>
              <w:t>456 529</w:t>
            </w:r>
          </w:p>
        </w:tc>
      </w:tr>
      <w:tr w:rsidR="00BC2C58" w:rsidTr="00BC2C58">
        <w:trPr>
          <w:trHeight w:val="802"/>
        </w:trPr>
        <w:tc>
          <w:tcPr>
            <w:tcW w:w="4644" w:type="dxa"/>
            <w:tcBorders>
              <w:top w:val="single" w:sz="4" w:space="0" w:color="auto"/>
              <w:left w:val="nil"/>
              <w:bottom w:val="single" w:sz="4" w:space="0" w:color="auto"/>
              <w:right w:val="single" w:sz="4" w:space="0" w:color="auto"/>
            </w:tcBorders>
            <w:vAlign w:val="center"/>
            <w:hideMark/>
          </w:tcPr>
          <w:p w:rsidR="00BC2C58" w:rsidRDefault="00BC2C58" w:rsidP="00D9431C">
            <w:pPr>
              <w:spacing w:before="60" w:after="60"/>
              <w:jc w:val="left"/>
              <w:rPr>
                <w:noProof/>
              </w:rPr>
            </w:pPr>
            <w:r w:rsidRPr="00BC2C58">
              <w:rPr>
                <w:noProof/>
              </w:rPr>
              <w:t>Reinforced job-search assistance</w:t>
            </w:r>
            <w:r>
              <w:rPr>
                <w:noProof/>
              </w:rPr>
              <w:br/>
              <w:t>(</w:t>
            </w:r>
            <w:r w:rsidRPr="00BC2C58">
              <w:rPr>
                <w:i/>
                <w:iCs/>
                <w:noProof/>
              </w:rPr>
              <w:t>Jobhunting)</w:t>
            </w:r>
            <w:r>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Default="00AA485E" w:rsidP="00D9431C">
            <w:pPr>
              <w:spacing w:before="60" w:after="60"/>
              <w:jc w:val="center"/>
              <w:rPr>
                <w:noProof/>
              </w:rPr>
            </w:pPr>
            <w:r>
              <w:rPr>
                <w:noProof/>
              </w:rPr>
              <w:t>250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Default="00AA485E" w:rsidP="00D9431C">
            <w:pPr>
              <w:spacing w:before="60" w:after="60"/>
              <w:jc w:val="center"/>
              <w:rPr>
                <w:noProof/>
              </w:rPr>
            </w:pPr>
            <w:r>
              <w:rPr>
                <w:noProof/>
              </w:rPr>
              <w:t>1 217</w:t>
            </w:r>
          </w:p>
        </w:tc>
        <w:tc>
          <w:tcPr>
            <w:tcW w:w="1548" w:type="dxa"/>
            <w:tcBorders>
              <w:top w:val="single" w:sz="4" w:space="0" w:color="auto"/>
              <w:left w:val="single" w:sz="4" w:space="0" w:color="auto"/>
              <w:bottom w:val="single" w:sz="4" w:space="0" w:color="auto"/>
              <w:right w:val="nil"/>
            </w:tcBorders>
            <w:vAlign w:val="center"/>
            <w:hideMark/>
          </w:tcPr>
          <w:p w:rsidR="00BC2C58" w:rsidRDefault="00AA485E" w:rsidP="00D9431C">
            <w:pPr>
              <w:spacing w:before="60" w:after="60"/>
              <w:jc w:val="center"/>
              <w:rPr>
                <w:noProof/>
              </w:rPr>
            </w:pPr>
            <w:r>
              <w:rPr>
                <w:noProof/>
              </w:rPr>
              <w:t>304 352</w:t>
            </w:r>
          </w:p>
        </w:tc>
      </w:tr>
      <w:tr w:rsidR="00BC2C58" w:rsidTr="00BC2C58">
        <w:trPr>
          <w:trHeight w:val="802"/>
        </w:trPr>
        <w:tc>
          <w:tcPr>
            <w:tcW w:w="4644" w:type="dxa"/>
            <w:tcBorders>
              <w:top w:val="single" w:sz="4" w:space="0" w:color="auto"/>
              <w:left w:val="nil"/>
              <w:bottom w:val="single" w:sz="4" w:space="0" w:color="auto"/>
              <w:right w:val="single" w:sz="4" w:space="0" w:color="auto"/>
            </w:tcBorders>
            <w:vAlign w:val="center"/>
            <w:hideMark/>
          </w:tcPr>
          <w:p w:rsidR="00BC2C58" w:rsidRDefault="0042368B" w:rsidP="00D9431C">
            <w:pPr>
              <w:spacing w:before="60" w:after="60"/>
              <w:jc w:val="left"/>
              <w:rPr>
                <w:noProof/>
              </w:rPr>
            </w:pPr>
            <w:r>
              <w:rPr>
                <w:noProof/>
              </w:rPr>
              <w:t>Guidance</w:t>
            </w:r>
            <w:r>
              <w:rPr>
                <w:noProof/>
              </w:rPr>
              <w:br/>
              <w:t>(</w:t>
            </w:r>
            <w:r w:rsidRPr="0042368B">
              <w:rPr>
                <w:i/>
                <w:iCs/>
                <w:noProof/>
              </w:rPr>
              <w:t>Begeleiding bij partners)</w:t>
            </w:r>
            <w:r w:rsidR="00BC2C58">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Default="00AA485E" w:rsidP="00D9431C">
            <w:pPr>
              <w:spacing w:before="60" w:after="60"/>
              <w:jc w:val="center"/>
              <w:rPr>
                <w:noProof/>
              </w:rPr>
            </w:pPr>
            <w:r>
              <w:rPr>
                <w:noProof/>
              </w:rPr>
              <w:t>25</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Default="00AA485E" w:rsidP="00D9431C">
            <w:pPr>
              <w:spacing w:before="60" w:after="60"/>
              <w:jc w:val="center"/>
              <w:rPr>
                <w:noProof/>
              </w:rPr>
            </w:pPr>
            <w:r>
              <w:rPr>
                <w:noProof/>
              </w:rPr>
              <w:t>2 860</w:t>
            </w:r>
          </w:p>
        </w:tc>
        <w:tc>
          <w:tcPr>
            <w:tcW w:w="1548" w:type="dxa"/>
            <w:tcBorders>
              <w:top w:val="single" w:sz="4" w:space="0" w:color="auto"/>
              <w:left w:val="single" w:sz="4" w:space="0" w:color="auto"/>
              <w:bottom w:val="single" w:sz="4" w:space="0" w:color="auto"/>
              <w:right w:val="nil"/>
            </w:tcBorders>
            <w:vAlign w:val="center"/>
            <w:hideMark/>
          </w:tcPr>
          <w:p w:rsidR="00BC2C58" w:rsidRDefault="00AA485E" w:rsidP="00D9431C">
            <w:pPr>
              <w:spacing w:before="60" w:after="60"/>
              <w:jc w:val="center"/>
              <w:rPr>
                <w:noProof/>
              </w:rPr>
            </w:pPr>
            <w:r>
              <w:rPr>
                <w:noProof/>
              </w:rPr>
              <w:t>71 511</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86C70" w:rsidRDefault="005051E1" w:rsidP="001D5990">
            <w:pPr>
              <w:spacing w:before="60" w:after="60"/>
              <w:jc w:val="left"/>
              <w:rPr>
                <w:noProof/>
                <w:lang w:val="nl-BE"/>
              </w:rPr>
            </w:pPr>
            <w:r w:rsidRPr="00286C70">
              <w:rPr>
                <w:noProof/>
                <w:lang w:val="nl-BE"/>
              </w:rPr>
              <w:t>Training and retraining</w:t>
            </w:r>
            <w:r w:rsidRPr="00286C70">
              <w:rPr>
                <w:noProof/>
                <w:lang w:val="nl-BE"/>
              </w:rPr>
              <w:br/>
              <w:t>(</w:t>
            </w:r>
            <w:r w:rsidRPr="00286C70">
              <w:rPr>
                <w:i/>
                <w:iCs/>
                <w:noProof/>
                <w:lang w:val="nl-BE"/>
              </w:rPr>
              <w:t>Opleiding eigen beheer, opleiding SIF, and opleiding bij partners)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AA485E" w:rsidP="001D5990">
            <w:pPr>
              <w:spacing w:before="60" w:after="60"/>
              <w:jc w:val="center"/>
              <w:rPr>
                <w:noProof/>
              </w:rPr>
            </w:pPr>
            <w:r>
              <w:rPr>
                <w:noProof/>
              </w:rPr>
              <w:t>105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7717BD" w:rsidP="001D5990">
            <w:pPr>
              <w:spacing w:before="60" w:after="60"/>
              <w:jc w:val="center"/>
              <w:rPr>
                <w:noProof/>
              </w:rPr>
            </w:pPr>
            <w:r>
              <w:rPr>
                <w:noProof/>
              </w:rPr>
              <w:t>4 827</w:t>
            </w:r>
          </w:p>
        </w:tc>
        <w:tc>
          <w:tcPr>
            <w:tcW w:w="1548" w:type="dxa"/>
            <w:tcBorders>
              <w:top w:val="single" w:sz="4" w:space="0" w:color="auto"/>
              <w:left w:val="single" w:sz="4" w:space="0" w:color="auto"/>
              <w:bottom w:val="single" w:sz="4" w:space="0" w:color="auto"/>
              <w:right w:val="nil"/>
            </w:tcBorders>
            <w:vAlign w:val="center"/>
            <w:hideMark/>
          </w:tcPr>
          <w:p w:rsidR="001A62D7" w:rsidRDefault="007717BD" w:rsidP="001D5990">
            <w:pPr>
              <w:spacing w:before="60" w:after="60"/>
              <w:jc w:val="center"/>
              <w:rPr>
                <w:noProof/>
              </w:rPr>
            </w:pPr>
            <w:r>
              <w:rPr>
                <w:noProof/>
              </w:rPr>
              <w:t>506 808</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A40F1B" w:rsidP="001D5990">
            <w:pPr>
              <w:spacing w:before="60" w:after="60"/>
              <w:jc w:val="left"/>
              <w:rPr>
                <w:noProof/>
              </w:rPr>
            </w:pPr>
            <w:r w:rsidRPr="00A40F1B">
              <w:rPr>
                <w:noProof/>
              </w:rPr>
              <w:t>Training at the workplace</w:t>
            </w:r>
            <w:r>
              <w:rPr>
                <w:noProof/>
              </w:rPr>
              <w:br/>
            </w:r>
            <w:r w:rsidRPr="00A40F1B">
              <w:rPr>
                <w:i/>
                <w:iCs/>
                <w:noProof/>
              </w:rPr>
              <w:t>(Opleiding in onderneming - IBO)</w:t>
            </w:r>
            <w:r w:rsidR="001A62D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AA485E" w:rsidP="001D5990">
            <w:pPr>
              <w:spacing w:before="60" w:after="60"/>
              <w:jc w:val="center"/>
              <w:rPr>
                <w:noProof/>
              </w:rPr>
            </w:pPr>
            <w:r>
              <w:rPr>
                <w:noProof/>
              </w:rPr>
              <w:t>10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AA485E" w:rsidP="001D5990">
            <w:pPr>
              <w:spacing w:before="60" w:after="60"/>
              <w:jc w:val="center"/>
              <w:rPr>
                <w:noProof/>
              </w:rPr>
            </w:pPr>
            <w:r>
              <w:rPr>
                <w:noProof/>
              </w:rPr>
              <w:t>960</w:t>
            </w:r>
          </w:p>
        </w:tc>
        <w:tc>
          <w:tcPr>
            <w:tcW w:w="1548" w:type="dxa"/>
            <w:tcBorders>
              <w:top w:val="single" w:sz="4" w:space="0" w:color="auto"/>
              <w:left w:val="single" w:sz="4" w:space="0" w:color="auto"/>
              <w:bottom w:val="single" w:sz="4" w:space="0" w:color="auto"/>
              <w:right w:val="nil"/>
            </w:tcBorders>
            <w:vAlign w:val="center"/>
            <w:hideMark/>
          </w:tcPr>
          <w:p w:rsidR="001A62D7" w:rsidRDefault="00AA485E" w:rsidP="001D5990">
            <w:pPr>
              <w:spacing w:before="60" w:after="60"/>
              <w:jc w:val="center"/>
              <w:rPr>
                <w:noProof/>
              </w:rPr>
            </w:pPr>
            <w:r>
              <w:rPr>
                <w:noProof/>
              </w:rPr>
              <w:t>9 600</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42368B" w:rsidP="001D5990">
            <w:pPr>
              <w:spacing w:before="60" w:after="60"/>
              <w:jc w:val="left"/>
              <w:rPr>
                <w:noProof/>
              </w:rPr>
            </w:pPr>
            <w:r>
              <w:rPr>
                <w:noProof/>
              </w:rPr>
              <w:t>Job fair</w:t>
            </w:r>
            <w:r w:rsidR="00961654">
              <w:rPr>
                <w:noProof/>
              </w:rPr>
              <w:br/>
              <w:t>(</w:t>
            </w:r>
            <w:r w:rsidR="00961654" w:rsidRPr="00961654">
              <w:rPr>
                <w:i/>
                <w:iCs/>
                <w:noProof/>
              </w:rPr>
              <w:t>Jobbeurs)</w:t>
            </w:r>
            <w:r w:rsidR="001A62D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7717BD" w:rsidP="001D5990">
            <w:pPr>
              <w:spacing w:before="60" w:after="60"/>
              <w:jc w:val="center"/>
              <w:rPr>
                <w:noProof/>
              </w:rPr>
            </w:pPr>
            <w:r>
              <w:rPr>
                <w:noProof/>
              </w:rPr>
              <w:t>288</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7717BD" w:rsidP="001D5990">
            <w:pPr>
              <w:spacing w:before="60" w:after="60"/>
              <w:jc w:val="center"/>
              <w:rPr>
                <w:noProof/>
              </w:rPr>
            </w:pPr>
            <w:r>
              <w:rPr>
                <w:noProof/>
              </w:rPr>
              <w:t>20</w:t>
            </w:r>
          </w:p>
        </w:tc>
        <w:tc>
          <w:tcPr>
            <w:tcW w:w="1548" w:type="dxa"/>
            <w:tcBorders>
              <w:top w:val="single" w:sz="4" w:space="0" w:color="auto"/>
              <w:left w:val="single" w:sz="4" w:space="0" w:color="auto"/>
              <w:bottom w:val="single" w:sz="4" w:space="0" w:color="auto"/>
              <w:right w:val="nil"/>
            </w:tcBorders>
            <w:vAlign w:val="center"/>
            <w:hideMark/>
          </w:tcPr>
          <w:p w:rsidR="001A62D7" w:rsidRDefault="007717BD" w:rsidP="001D5990">
            <w:pPr>
              <w:spacing w:before="60" w:after="60"/>
              <w:jc w:val="center"/>
              <w:rPr>
                <w:noProof/>
              </w:rPr>
            </w:pPr>
            <w:r>
              <w:rPr>
                <w:noProof/>
              </w:rPr>
              <w:t>5 750</w:t>
            </w:r>
          </w:p>
        </w:tc>
      </w:tr>
      <w:tr w:rsidR="001A62D7" w:rsidRPr="006E2470" w:rsidTr="001D5990">
        <w:trPr>
          <w:trHeight w:val="398"/>
        </w:trPr>
        <w:tc>
          <w:tcPr>
            <w:tcW w:w="4644" w:type="dxa"/>
            <w:vMerge w:val="restart"/>
            <w:shd w:val="clear" w:color="auto" w:fill="auto"/>
            <w:vAlign w:val="center"/>
          </w:tcPr>
          <w:p w:rsidR="001A62D7" w:rsidRPr="006E2470" w:rsidRDefault="001A62D7" w:rsidP="001D5990">
            <w:pPr>
              <w:spacing w:before="60" w:after="60"/>
              <w:jc w:val="right"/>
              <w:rPr>
                <w:rFonts w:eastAsia="Times New Roman"/>
                <w:noProof/>
                <w:sz w:val="22"/>
              </w:rPr>
            </w:pPr>
            <w:r w:rsidRPr="006E2470">
              <w:rPr>
                <w:rFonts w:eastAsia="Times New Roman"/>
                <w:noProof/>
                <w:sz w:val="22"/>
              </w:rPr>
              <w:t>Sub-total (a):</w:t>
            </w:r>
          </w:p>
          <w:p w:rsidR="001A62D7" w:rsidRPr="006E2470" w:rsidRDefault="001A62D7" w:rsidP="001D5990">
            <w:pPr>
              <w:spacing w:before="60" w:after="60"/>
              <w:jc w:val="right"/>
              <w:rPr>
                <w:rFonts w:eastAsia="Times New Roman"/>
                <w:noProof/>
                <w:sz w:val="22"/>
              </w:rPr>
            </w:pPr>
            <w:r w:rsidRPr="006E2470">
              <w:rPr>
                <w:rFonts w:eastAsia="Times New Roman"/>
                <w:noProof/>
                <w:sz w:val="22"/>
              </w:rPr>
              <w:t xml:space="preserve">Percentage of the package of personalised services </w:t>
            </w:r>
          </w:p>
        </w:tc>
        <w:tc>
          <w:tcPr>
            <w:tcW w:w="3096" w:type="dxa"/>
            <w:gridSpan w:val="2"/>
            <w:vMerge w:val="restart"/>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tcBorders>
              <w:bottom w:val="nil"/>
            </w:tcBorders>
            <w:shd w:val="clear" w:color="auto" w:fill="auto"/>
            <w:vAlign w:val="center"/>
          </w:tcPr>
          <w:p w:rsidR="001A62D7" w:rsidRPr="006E2470" w:rsidRDefault="006B2E5B" w:rsidP="001D5990">
            <w:pPr>
              <w:spacing w:before="60" w:after="60"/>
              <w:jc w:val="center"/>
              <w:rPr>
                <w:rFonts w:eastAsia="Times New Roman"/>
                <w:noProof/>
                <w:sz w:val="22"/>
              </w:rPr>
            </w:pPr>
            <w:r>
              <w:rPr>
                <w:noProof/>
              </w:rPr>
              <w:t>2 412 46</w:t>
            </w:r>
            <w:r w:rsidR="008B5E24">
              <w:rPr>
                <w:noProof/>
              </w:rPr>
              <w:t>5</w:t>
            </w:r>
          </w:p>
        </w:tc>
      </w:tr>
      <w:tr w:rsidR="001A62D7" w:rsidRPr="006E2470" w:rsidTr="001D5990">
        <w:trPr>
          <w:trHeight w:val="397"/>
        </w:trPr>
        <w:tc>
          <w:tcPr>
            <w:tcW w:w="4644" w:type="dxa"/>
            <w:vMerge/>
            <w:shd w:val="clear" w:color="auto" w:fill="auto"/>
            <w:vAlign w:val="center"/>
          </w:tcPr>
          <w:p w:rsidR="001A62D7" w:rsidRPr="006E2470"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6E2470"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r w:rsidR="004619C8">
              <w:rPr>
                <w:noProof/>
              </w:rPr>
              <w:t>96,16</w:t>
            </w:r>
            <w:r>
              <w:rPr>
                <w:noProof/>
              </w:rPr>
              <w:t> </w:t>
            </w:r>
            <w:r w:rsidRPr="006E2470">
              <w:rPr>
                <w:rFonts w:eastAsia="Times New Roman"/>
                <w:noProof/>
                <w:sz w:val="22"/>
              </w:rPr>
              <w:t>%)</w:t>
            </w:r>
          </w:p>
        </w:tc>
      </w:tr>
      <w:tr w:rsidR="001A62D7" w:rsidRPr="006E2470" w:rsidTr="001D5990">
        <w:tc>
          <w:tcPr>
            <w:tcW w:w="9288" w:type="dxa"/>
            <w:gridSpan w:val="4"/>
            <w:shd w:val="clear" w:color="auto" w:fill="auto"/>
            <w:vAlign w:val="center"/>
          </w:tcPr>
          <w:p w:rsidR="001A62D7" w:rsidRPr="006E2470" w:rsidRDefault="001A62D7" w:rsidP="001D5990">
            <w:pPr>
              <w:spacing w:before="60" w:after="60"/>
              <w:jc w:val="left"/>
              <w:rPr>
                <w:rFonts w:eastAsia="Times New Roman"/>
                <w:noProof/>
                <w:sz w:val="22"/>
              </w:rPr>
            </w:pPr>
            <w:r>
              <w:rPr>
                <w:rFonts w:eastAsia="Times New Roman"/>
                <w:noProof/>
                <w:sz w:val="22"/>
              </w:rPr>
              <w:t xml:space="preserve">Activities </w:t>
            </w:r>
            <w:r w:rsidRPr="006E2470">
              <w:rPr>
                <w:rFonts w:eastAsia="Times New Roman"/>
                <w:noProof/>
                <w:sz w:val="22"/>
              </w:rPr>
              <w:t>under Article</w:t>
            </w:r>
            <w:r>
              <w:rPr>
                <w:rFonts w:eastAsia="Times New Roman"/>
                <w:noProof/>
                <w:sz w:val="22"/>
              </w:rPr>
              <w:t> 7(5</w:t>
            </w:r>
            <w:r w:rsidRPr="006E2470">
              <w:rPr>
                <w:rFonts w:eastAsia="Times New Roman"/>
                <w:noProof/>
                <w:sz w:val="22"/>
              </w:rPr>
              <w:t xml:space="preserve">) of </w:t>
            </w:r>
            <w:r>
              <w:rPr>
                <w:rFonts w:eastAsia="Times New Roman"/>
                <w:noProof/>
                <w:sz w:val="22"/>
              </w:rPr>
              <w:t>Regulation (EU) 2021/691</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1. Preparatory activities</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6B2E5B" w:rsidP="001D5990">
            <w:pPr>
              <w:spacing w:before="60" w:after="60"/>
              <w:jc w:val="center"/>
              <w:rPr>
                <w:rFonts w:eastAsia="Times New Roman"/>
                <w:noProof/>
                <w:sz w:val="22"/>
              </w:rPr>
            </w:pPr>
            <w:r>
              <w:rPr>
                <w:noProof/>
              </w:rPr>
              <w:t>2 500</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2. Management</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6B2E5B" w:rsidP="001D5990">
            <w:pPr>
              <w:spacing w:before="60" w:after="60"/>
              <w:jc w:val="center"/>
              <w:rPr>
                <w:rFonts w:eastAsia="Times New Roman"/>
                <w:noProof/>
                <w:sz w:val="22"/>
              </w:rPr>
            </w:pPr>
            <w:r>
              <w:rPr>
                <w:noProof/>
              </w:rPr>
              <w:t>40 000</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3. Information and publicity</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6B2E5B" w:rsidP="001D5990">
            <w:pPr>
              <w:spacing w:before="60" w:after="60"/>
              <w:jc w:val="center"/>
              <w:rPr>
                <w:rFonts w:eastAsia="Times New Roman"/>
                <w:noProof/>
                <w:sz w:val="22"/>
              </w:rPr>
            </w:pPr>
            <w:r>
              <w:rPr>
                <w:noProof/>
              </w:rPr>
              <w:t>3 900</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4. Control and reporting</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tcBorders>
              <w:bottom w:val="single" w:sz="4" w:space="0" w:color="auto"/>
            </w:tcBorders>
            <w:shd w:val="clear" w:color="auto" w:fill="auto"/>
          </w:tcPr>
          <w:p w:rsidR="001A62D7" w:rsidRPr="006E2470" w:rsidRDefault="006B2E5B" w:rsidP="001D5990">
            <w:pPr>
              <w:spacing w:before="60" w:after="60"/>
              <w:jc w:val="center"/>
              <w:rPr>
                <w:rFonts w:eastAsia="Times New Roman"/>
                <w:noProof/>
                <w:sz w:val="22"/>
              </w:rPr>
            </w:pPr>
            <w:r>
              <w:rPr>
                <w:noProof/>
              </w:rPr>
              <w:t>50 000</w:t>
            </w:r>
          </w:p>
        </w:tc>
      </w:tr>
      <w:tr w:rsidR="001A62D7" w:rsidRPr="006E2470" w:rsidTr="001D5990">
        <w:trPr>
          <w:trHeight w:val="203"/>
        </w:trPr>
        <w:tc>
          <w:tcPr>
            <w:tcW w:w="4644" w:type="dxa"/>
            <w:vMerge w:val="restart"/>
            <w:shd w:val="clear" w:color="auto" w:fill="auto"/>
            <w:vAlign w:val="center"/>
          </w:tcPr>
          <w:p w:rsidR="001A62D7" w:rsidRPr="006E2470" w:rsidRDefault="001A62D7" w:rsidP="001D5990">
            <w:pPr>
              <w:spacing w:before="60" w:after="60"/>
              <w:jc w:val="right"/>
              <w:rPr>
                <w:rFonts w:eastAsia="Times New Roman"/>
                <w:noProof/>
                <w:sz w:val="22"/>
              </w:rPr>
            </w:pPr>
            <w:r w:rsidRPr="006E2470">
              <w:rPr>
                <w:rFonts w:eastAsia="Times New Roman"/>
                <w:noProof/>
                <w:sz w:val="22"/>
              </w:rPr>
              <w:t>Sub-total (</w:t>
            </w:r>
            <w:r w:rsidR="005B68D8">
              <w:rPr>
                <w:rFonts w:eastAsia="Times New Roman"/>
                <w:noProof/>
                <w:sz w:val="22"/>
              </w:rPr>
              <w:t>b</w:t>
            </w:r>
            <w:r w:rsidRPr="006E2470">
              <w:rPr>
                <w:rFonts w:eastAsia="Times New Roman"/>
                <w:noProof/>
                <w:sz w:val="22"/>
              </w:rPr>
              <w:t>):</w:t>
            </w:r>
          </w:p>
          <w:p w:rsidR="001A62D7" w:rsidRPr="006E2470" w:rsidRDefault="001A62D7" w:rsidP="001D5990">
            <w:pPr>
              <w:spacing w:before="60" w:after="60"/>
              <w:jc w:val="right"/>
              <w:rPr>
                <w:rFonts w:eastAsia="Times New Roman"/>
                <w:noProof/>
                <w:sz w:val="22"/>
              </w:rPr>
            </w:pPr>
            <w:r w:rsidRPr="006E2470">
              <w:rPr>
                <w:rFonts w:eastAsia="Times New Roman"/>
                <w:noProof/>
                <w:sz w:val="22"/>
              </w:rPr>
              <w:t>Percentage of the total costs :</w:t>
            </w:r>
          </w:p>
        </w:tc>
        <w:tc>
          <w:tcPr>
            <w:tcW w:w="3096" w:type="dxa"/>
            <w:gridSpan w:val="2"/>
            <w:vMerge w:val="restart"/>
            <w:shd w:val="clear" w:color="auto" w:fill="D9D9D9"/>
            <w:vAlign w:val="center"/>
          </w:tcPr>
          <w:p w:rsidR="001A62D7" w:rsidRPr="006E2470" w:rsidRDefault="001A62D7" w:rsidP="001D5990">
            <w:pPr>
              <w:spacing w:before="0" w:after="0"/>
              <w:jc w:val="center"/>
              <w:rPr>
                <w:rFonts w:eastAsia="Times New Roman"/>
                <w:noProof/>
                <w:sz w:val="22"/>
              </w:rPr>
            </w:pPr>
            <w:r w:rsidRPr="006E2470">
              <w:rPr>
                <w:rFonts w:eastAsia="Times New Roman"/>
                <w:noProof/>
                <w:sz w:val="22"/>
              </w:rPr>
              <w:t>–</w:t>
            </w:r>
          </w:p>
        </w:tc>
        <w:tc>
          <w:tcPr>
            <w:tcW w:w="1548" w:type="dxa"/>
            <w:tcBorders>
              <w:bottom w:val="nil"/>
            </w:tcBorders>
            <w:shd w:val="clear" w:color="auto" w:fill="auto"/>
            <w:vAlign w:val="center"/>
          </w:tcPr>
          <w:p w:rsidR="001A62D7" w:rsidRPr="006E2470" w:rsidRDefault="006B2E5B" w:rsidP="001D5990">
            <w:pPr>
              <w:spacing w:before="60" w:after="60"/>
              <w:jc w:val="center"/>
              <w:rPr>
                <w:rFonts w:eastAsia="Times New Roman"/>
                <w:noProof/>
                <w:sz w:val="22"/>
              </w:rPr>
            </w:pPr>
            <w:r>
              <w:rPr>
                <w:noProof/>
              </w:rPr>
              <w:t>96 400</w:t>
            </w:r>
          </w:p>
        </w:tc>
      </w:tr>
      <w:tr w:rsidR="001A62D7" w:rsidRPr="006E2470" w:rsidTr="001D5990">
        <w:trPr>
          <w:trHeight w:val="202"/>
        </w:trPr>
        <w:tc>
          <w:tcPr>
            <w:tcW w:w="4644" w:type="dxa"/>
            <w:vMerge/>
            <w:shd w:val="clear" w:color="auto" w:fill="auto"/>
          </w:tcPr>
          <w:p w:rsidR="001A62D7" w:rsidRPr="006E2470"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6E2470"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r w:rsidR="006B2E5B">
              <w:rPr>
                <w:noProof/>
              </w:rPr>
              <w:t>3,84</w:t>
            </w:r>
            <w:r>
              <w:rPr>
                <w:noProof/>
              </w:rPr>
              <w:t> </w:t>
            </w:r>
            <w:r w:rsidRPr="006E2470">
              <w:rPr>
                <w:rFonts w:eastAsia="Times New Roman"/>
                <w:noProof/>
                <w:sz w:val="22"/>
              </w:rPr>
              <w:t>%)</w:t>
            </w:r>
          </w:p>
        </w:tc>
      </w:tr>
      <w:tr w:rsidR="001A62D7" w:rsidRPr="006E2470" w:rsidTr="001D5990">
        <w:tc>
          <w:tcPr>
            <w:tcW w:w="4644" w:type="dxa"/>
            <w:shd w:val="clear" w:color="auto" w:fill="auto"/>
          </w:tcPr>
          <w:p w:rsidR="001A62D7" w:rsidRPr="006E2470" w:rsidRDefault="001A62D7" w:rsidP="001D5990">
            <w:pPr>
              <w:spacing w:before="60" w:after="60"/>
              <w:jc w:val="left"/>
              <w:rPr>
                <w:rFonts w:eastAsia="Times New Roman"/>
                <w:noProof/>
                <w:sz w:val="22"/>
              </w:rPr>
            </w:pPr>
            <w:r w:rsidRPr="006E2470">
              <w:rPr>
                <w:rFonts w:eastAsia="Times New Roman"/>
                <w:noProof/>
                <w:sz w:val="22"/>
              </w:rPr>
              <w:t>Total costs (a + b):</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6B2E5B" w:rsidP="001D5990">
            <w:pPr>
              <w:spacing w:before="60" w:after="60"/>
              <w:jc w:val="center"/>
              <w:rPr>
                <w:noProof/>
                <w:sz w:val="22"/>
              </w:rPr>
            </w:pPr>
            <w:r>
              <w:rPr>
                <w:noProof/>
              </w:rPr>
              <w:t>2 508 86</w:t>
            </w:r>
            <w:r w:rsidR="008B5E24">
              <w:rPr>
                <w:noProof/>
              </w:rPr>
              <w:t>5</w:t>
            </w:r>
          </w:p>
        </w:tc>
      </w:tr>
      <w:tr w:rsidR="001A62D7" w:rsidRPr="006E2470" w:rsidTr="001D5990">
        <w:tc>
          <w:tcPr>
            <w:tcW w:w="4644" w:type="dxa"/>
            <w:shd w:val="clear" w:color="auto" w:fill="auto"/>
          </w:tcPr>
          <w:p w:rsidR="001A62D7" w:rsidRPr="006E2470" w:rsidRDefault="001A62D7" w:rsidP="001D5990">
            <w:pPr>
              <w:spacing w:before="60" w:after="60"/>
              <w:jc w:val="left"/>
              <w:rPr>
                <w:rFonts w:eastAsia="Times New Roman"/>
                <w:noProof/>
                <w:sz w:val="22"/>
              </w:rPr>
            </w:pPr>
            <w:r w:rsidRPr="006E2470">
              <w:rPr>
                <w:rFonts w:eastAsia="Times New Roman"/>
                <w:noProof/>
                <w:sz w:val="22"/>
              </w:rPr>
              <w:t>EGF contribution (</w:t>
            </w:r>
            <w:r w:rsidR="005B68D8">
              <w:rPr>
                <w:noProof/>
              </w:rPr>
              <w:t>85</w:t>
            </w:r>
            <w:r>
              <w:rPr>
                <w:rFonts w:eastAsia="Times New Roman"/>
                <w:noProof/>
                <w:sz w:val="22"/>
              </w:rPr>
              <w:t> </w:t>
            </w:r>
            <w:r w:rsidRPr="006E2470">
              <w:rPr>
                <w:rFonts w:eastAsia="Times New Roman"/>
                <w:noProof/>
                <w:sz w:val="22"/>
              </w:rPr>
              <w:t>% of total costs)</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5B68D8" w:rsidP="001D5990">
            <w:pPr>
              <w:spacing w:before="60" w:after="60"/>
              <w:jc w:val="center"/>
              <w:rPr>
                <w:rFonts w:eastAsia="Times New Roman"/>
                <w:noProof/>
                <w:sz w:val="22"/>
              </w:rPr>
            </w:pPr>
            <w:r>
              <w:rPr>
                <w:noProof/>
              </w:rPr>
              <w:t>2 132 53</w:t>
            </w:r>
            <w:r w:rsidR="008B5E24">
              <w:rPr>
                <w:noProof/>
              </w:rPr>
              <w:t>5</w:t>
            </w:r>
          </w:p>
        </w:tc>
      </w:tr>
    </w:tbl>
    <w:p w:rsidR="001A62D7" w:rsidRPr="002730E5" w:rsidRDefault="001A62D7" w:rsidP="001A62D7">
      <w:pPr>
        <w:pStyle w:val="ManualHeading3"/>
        <w:rPr>
          <w:noProof/>
        </w:rPr>
      </w:pPr>
      <w:r w:rsidRPr="002730E5">
        <w:rPr>
          <w:noProof/>
        </w:rPr>
        <w:lastRenderedPageBreak/>
        <w:t>Period of eligibility of expenditure</w:t>
      </w:r>
    </w:p>
    <w:p w:rsidR="001A62D7" w:rsidRPr="0094043E" w:rsidRDefault="00E31259" w:rsidP="00AE7D04">
      <w:pPr>
        <w:pStyle w:val="ManualNumPar1"/>
        <w:rPr>
          <w:noProof/>
        </w:rPr>
      </w:pPr>
      <w:r>
        <w:rPr>
          <w:noProof/>
        </w:rPr>
        <w:t>31.</w:t>
      </w:r>
      <w:r>
        <w:rPr>
          <w:noProof/>
        </w:rPr>
        <w:tab/>
        <w:t>Belgium</w:t>
      </w:r>
      <w:r w:rsidR="001A62D7">
        <w:rPr>
          <w:noProof/>
        </w:rPr>
        <w:t xml:space="preserve"> </w:t>
      </w:r>
      <w:r w:rsidR="001A62D7" w:rsidRPr="0094043E">
        <w:rPr>
          <w:noProof/>
        </w:rPr>
        <w:t xml:space="preserve">started providing the personalised services to the targeted beneficiaries on </w:t>
      </w:r>
      <w:r w:rsidR="00783B1B">
        <w:rPr>
          <w:noProof/>
        </w:rPr>
        <w:t>11 June 2025</w:t>
      </w:r>
      <w:r w:rsidR="00F07146" w:rsidRPr="0094043E">
        <w:rPr>
          <w:noProof/>
        </w:rPr>
        <w:t xml:space="preserve">. </w:t>
      </w:r>
      <w:r w:rsidR="001A62D7" w:rsidRPr="0094043E">
        <w:rPr>
          <w:noProof/>
        </w:rPr>
        <w:t xml:space="preserve">The expenditure on the measures will therefore be eligible for a financial contribution from the EGF from </w:t>
      </w:r>
      <w:r w:rsidR="00783B1B">
        <w:rPr>
          <w:noProof/>
        </w:rPr>
        <w:t>11 June 2025</w:t>
      </w:r>
      <w:r w:rsidR="001A62D7" w:rsidRPr="0094043E">
        <w:rPr>
          <w:noProof/>
        </w:rPr>
        <w:t xml:space="preserve"> until 24 months after the date of the entry into force of the Financing Decision. </w:t>
      </w:r>
    </w:p>
    <w:p w:rsidR="001A62D7" w:rsidRPr="0094043E" w:rsidRDefault="00E31259" w:rsidP="00AE7D04">
      <w:pPr>
        <w:pStyle w:val="ManualNumPar1"/>
        <w:rPr>
          <w:noProof/>
        </w:rPr>
      </w:pPr>
      <w:r>
        <w:rPr>
          <w:noProof/>
        </w:rPr>
        <w:t>32.</w:t>
      </w:r>
      <w:r>
        <w:rPr>
          <w:noProof/>
        </w:rPr>
        <w:tab/>
        <w:t>Belgium</w:t>
      </w:r>
      <w:r w:rsidR="001A62D7" w:rsidRPr="0094043E">
        <w:rPr>
          <w:noProof/>
        </w:rPr>
        <w:t xml:space="preserve"> started incurring the administrative expenditure to implement the EGF on </w:t>
      </w:r>
      <w:r w:rsidR="00783B1B">
        <w:rPr>
          <w:noProof/>
        </w:rPr>
        <w:t>11 June 2025</w:t>
      </w:r>
      <w:r w:rsidR="0094043E" w:rsidRPr="0094043E">
        <w:rPr>
          <w:noProof/>
        </w:rPr>
        <w:t xml:space="preserve">. </w:t>
      </w:r>
      <w:r w:rsidR="001A62D7" w:rsidRPr="0094043E">
        <w:rPr>
          <w:noProof/>
        </w:rPr>
        <w:t xml:space="preserve">The expenditure for preparatory, management, information and publicity, control and reporting activities shall therefore be eligible for a financial contribution from the EGF from </w:t>
      </w:r>
      <w:r w:rsidR="00783B1B">
        <w:rPr>
          <w:noProof/>
        </w:rPr>
        <w:t>11 June 2025</w:t>
      </w:r>
      <w:r w:rsidR="001A62D7" w:rsidRPr="0094043E">
        <w:rPr>
          <w:noProof/>
        </w:rPr>
        <w:t xml:space="preserve"> until 31 months after the date of the entry into force of the Financing Decision. </w:t>
      </w:r>
    </w:p>
    <w:p w:rsidR="001A62D7" w:rsidRPr="00441C9E" w:rsidRDefault="001A62D7" w:rsidP="001A62D7">
      <w:pPr>
        <w:pStyle w:val="ManualHeading2"/>
        <w:rPr>
          <w:noProof/>
        </w:rPr>
      </w:pPr>
      <w:r w:rsidRPr="00441C9E">
        <w:rPr>
          <w:noProof/>
        </w:rPr>
        <w:t>Management and control systems</w:t>
      </w:r>
    </w:p>
    <w:p w:rsidR="001A62D7" w:rsidRDefault="001A62D7" w:rsidP="00AE7D04">
      <w:pPr>
        <w:pStyle w:val="ManualNumPar1"/>
        <w:rPr>
          <w:noProof/>
        </w:rPr>
      </w:pPr>
      <w:r>
        <w:rPr>
          <w:noProof/>
        </w:rPr>
        <w:t>33.</w:t>
      </w:r>
      <w:r>
        <w:rPr>
          <w:noProof/>
        </w:rPr>
        <w:tab/>
        <w:t xml:space="preserve">The application contains a description of the management and control system required under Article 23 of Regulation (EU) 2021/691, which specifies the responsibilities of the bodies involved. </w:t>
      </w:r>
      <w:r w:rsidR="00783B1B">
        <w:rPr>
          <w:noProof/>
        </w:rPr>
        <w:t>Belgium</w:t>
      </w:r>
      <w:r>
        <w:rPr>
          <w:noProof/>
        </w:rPr>
        <w:t xml:space="preserve"> has notified the Commission that the financial contribution will be </w:t>
      </w:r>
      <w:r w:rsidR="00B95039" w:rsidRPr="00B95039">
        <w:rPr>
          <w:noProof/>
        </w:rPr>
        <w:t xml:space="preserve">managed by VDAB. The payments will be made by VDAB’s financial service. The Department of Finance and Budget - Audit Unit of the Flemish Audit Authority for the European Structural Funds </w:t>
      </w:r>
      <w:r w:rsidR="005D4FF1" w:rsidRPr="005D4FF1">
        <w:rPr>
          <w:noProof/>
        </w:rPr>
        <w:t xml:space="preserve">will act as </w:t>
      </w:r>
      <w:r w:rsidR="00B95039" w:rsidRPr="00B95039">
        <w:rPr>
          <w:noProof/>
        </w:rPr>
        <w:t>audit authority</w:t>
      </w:r>
      <w:r w:rsidR="005D4FF1">
        <w:rPr>
          <w:noProof/>
        </w:rPr>
        <w:t>.</w:t>
      </w:r>
    </w:p>
    <w:p w:rsidR="001A62D7" w:rsidRDefault="001A62D7" w:rsidP="001A62D7">
      <w:pPr>
        <w:pStyle w:val="ManualHeading2"/>
        <w:rPr>
          <w:noProof/>
        </w:rPr>
      </w:pPr>
      <w:r w:rsidRPr="00A144B7">
        <w:rPr>
          <w:noProof/>
        </w:rPr>
        <w:t>Commitments provided by the Member State concerned</w:t>
      </w:r>
    </w:p>
    <w:p w:rsidR="001A62D7" w:rsidRDefault="005B68D8" w:rsidP="00AE7D04">
      <w:pPr>
        <w:pStyle w:val="ManualNumPar1"/>
        <w:rPr>
          <w:noProof/>
        </w:rPr>
      </w:pPr>
      <w:r>
        <w:rPr>
          <w:noProof/>
        </w:rPr>
        <w:t>34.</w:t>
      </w:r>
      <w:r>
        <w:rPr>
          <w:noProof/>
        </w:rPr>
        <w:tab/>
        <w:t>Belgium</w:t>
      </w:r>
      <w:r w:rsidR="001A62D7">
        <w:rPr>
          <w:noProof/>
        </w:rPr>
        <w:t xml:space="preserve"> has provided all necessary assurances regarding the following: </w:t>
      </w:r>
    </w:p>
    <w:p w:rsidR="001A62D7" w:rsidRDefault="001A62D7" w:rsidP="001A62D7">
      <w:pPr>
        <w:pStyle w:val="Tiret1"/>
        <w:rPr>
          <w:noProof/>
        </w:rPr>
      </w:pPr>
      <w:r>
        <w:rPr>
          <w:noProof/>
        </w:rPr>
        <w:t>the principles of equality of treatment and non-discrimination will be respected in access to the proposed measures and their implementation,</w:t>
      </w:r>
    </w:p>
    <w:p w:rsidR="001A62D7" w:rsidRDefault="001A62D7" w:rsidP="001A62D7">
      <w:pPr>
        <w:pStyle w:val="Tiret1"/>
        <w:rPr>
          <w:noProof/>
        </w:rPr>
      </w:pPr>
      <w:r>
        <w:rPr>
          <w:noProof/>
        </w:rPr>
        <w:t>the requirements laid down in national and EU legislation concerning collective redundancies have been complied with,</w:t>
      </w:r>
    </w:p>
    <w:p w:rsidR="001A62D7" w:rsidRDefault="001A62D7" w:rsidP="001A62D7">
      <w:pPr>
        <w:pStyle w:val="Tiret1"/>
        <w:rPr>
          <w:noProof/>
        </w:rPr>
      </w:pPr>
      <w:r>
        <w:rPr>
          <w:noProof/>
        </w:rPr>
        <w:t>any double financing will be prevented,</w:t>
      </w:r>
    </w:p>
    <w:p w:rsidR="001A62D7" w:rsidRDefault="001A62D7" w:rsidP="001A62D7">
      <w:pPr>
        <w:pStyle w:val="Tiret1"/>
        <w:rPr>
          <w:noProof/>
        </w:rPr>
      </w:pPr>
      <w:r>
        <w:rPr>
          <w:noProof/>
        </w:rPr>
        <w:t>the financial contribution from the EGF will comply with the procedural and material Union rules on State aid.</w:t>
      </w:r>
    </w:p>
    <w:p w:rsidR="001A62D7" w:rsidRPr="006F770D" w:rsidRDefault="001A62D7" w:rsidP="001A62D7">
      <w:pPr>
        <w:pStyle w:val="ManualHeading1"/>
        <w:rPr>
          <w:noProof/>
        </w:rPr>
      </w:pPr>
      <w:r>
        <w:rPr>
          <w:noProof/>
        </w:rPr>
        <w:t>BUDGETARY IMPLICATION</w:t>
      </w:r>
    </w:p>
    <w:p w:rsidR="001A62D7" w:rsidRDefault="001A62D7" w:rsidP="001A62D7">
      <w:pPr>
        <w:pStyle w:val="ManualHeading2"/>
        <w:rPr>
          <w:noProof/>
        </w:rPr>
      </w:pPr>
      <w:r w:rsidRPr="00FD7C2F">
        <w:rPr>
          <w:noProof/>
        </w:rPr>
        <w:t>Budgetary proposal</w:t>
      </w:r>
    </w:p>
    <w:p w:rsidR="001A62D7" w:rsidRPr="0096300F" w:rsidRDefault="001A62D7" w:rsidP="00AE7D04">
      <w:pPr>
        <w:pStyle w:val="ManualNumPar1"/>
        <w:rPr>
          <w:noProof/>
        </w:rPr>
      </w:pPr>
      <w:r>
        <w:rPr>
          <w:noProof/>
        </w:rPr>
        <w:t>35.</w:t>
      </w:r>
      <w:r>
        <w:rPr>
          <w:noProof/>
        </w:rPr>
        <w:tab/>
        <w:t xml:space="preserve">The EGF shall not exceed a maximum annual amount of </w:t>
      </w:r>
      <w:r w:rsidRPr="00B43DF2">
        <w:rPr>
          <w:noProof/>
        </w:rPr>
        <w:t>EUR </w:t>
      </w:r>
      <w:r>
        <w:rPr>
          <w:noProof/>
        </w:rPr>
        <w:t>30</w:t>
      </w:r>
      <w:r w:rsidRPr="00B43DF2">
        <w:rPr>
          <w:noProof/>
        </w:rPr>
        <w:t xml:space="preserve"> million </w:t>
      </w:r>
      <w:r w:rsidRPr="0089670E">
        <w:rPr>
          <w:noProof/>
        </w:rPr>
        <w:t>(in 2018 prices)</w:t>
      </w:r>
      <w:r>
        <w:rPr>
          <w:noProof/>
        </w:rPr>
        <w:t xml:space="preserve">, as laid down in Article 8 of </w:t>
      </w:r>
      <w:r w:rsidRPr="0089670E">
        <w:rPr>
          <w:noProof/>
        </w:rPr>
        <w:t>Council Regulation (EU, Euratom) 2020/2093 of 17 December 2020 laying down the multiannual financial framework for the years 2021 to 2027</w:t>
      </w:r>
      <w:r>
        <w:rPr>
          <w:rStyle w:val="FootnoteReference"/>
          <w:noProof/>
        </w:rPr>
        <w:footnoteReference w:id="20"/>
      </w:r>
      <w:r>
        <w:rPr>
          <w:noProof/>
        </w:rPr>
        <w:t xml:space="preserve"> amended by Council Regulation (EU, Euratom) 2024/765 of 29 February 2024</w:t>
      </w:r>
      <w:r>
        <w:rPr>
          <w:rStyle w:val="FootnoteReference"/>
          <w:noProof/>
        </w:rPr>
        <w:footnoteReference w:id="21"/>
      </w:r>
      <w:r w:rsidRPr="00B43DF2">
        <w:rPr>
          <w:noProof/>
        </w:rPr>
        <w:t>.</w:t>
      </w:r>
    </w:p>
    <w:p w:rsidR="001A62D7" w:rsidRDefault="001A62D7" w:rsidP="00AE7D04">
      <w:pPr>
        <w:pStyle w:val="ManualNumPar1"/>
        <w:rPr>
          <w:rFonts w:eastAsia="Calibri"/>
          <w:noProof/>
        </w:rPr>
      </w:pPr>
      <w:r>
        <w:rPr>
          <w:noProof/>
        </w:rPr>
        <w:t>36.</w:t>
      </w:r>
      <w:r>
        <w:rPr>
          <w:noProof/>
        </w:rPr>
        <w:tab/>
        <w:t>Having examined the application in respect of the conditions set out in Article 13(1) and (2) of Regulation (EU) 2021/691, and having taken into account the number of targeted beneficiaries, the proposed measures and the estimated costs, the Commission proposes to mobilise the EGF for the amount of EUR </w:t>
      </w:r>
      <w:r w:rsidR="005B68D8">
        <w:rPr>
          <w:noProof/>
        </w:rPr>
        <w:t>2 132 53</w:t>
      </w:r>
      <w:r w:rsidR="00BC7A56">
        <w:rPr>
          <w:noProof/>
        </w:rPr>
        <w:t>5</w:t>
      </w:r>
      <w:r>
        <w:rPr>
          <w:rFonts w:eastAsia="Calibri"/>
          <w:noProof/>
        </w:rPr>
        <w:t xml:space="preserve">, representing </w:t>
      </w:r>
      <w:r w:rsidR="005B68D8">
        <w:rPr>
          <w:noProof/>
        </w:rPr>
        <w:t>85</w:t>
      </w:r>
      <w:r>
        <w:rPr>
          <w:rFonts w:eastAsia="Calibri"/>
          <w:noProof/>
        </w:rPr>
        <w:t> % of the total costs of the proposed measures,</w:t>
      </w:r>
      <w:r>
        <w:rPr>
          <w:noProof/>
        </w:rPr>
        <w:t xml:space="preserve"> </w:t>
      </w:r>
      <w:r>
        <w:rPr>
          <w:rFonts w:eastAsia="Calibri"/>
          <w:noProof/>
        </w:rPr>
        <w:t>in order to provide a financial contribution for the application.</w:t>
      </w:r>
    </w:p>
    <w:p w:rsidR="001A62D7" w:rsidRPr="00C370E1" w:rsidRDefault="001A62D7" w:rsidP="00AE7D04">
      <w:pPr>
        <w:pStyle w:val="ManualNumPar1"/>
        <w:rPr>
          <w:rFonts w:eastAsia="Times New Roman"/>
          <w:noProof/>
        </w:rPr>
      </w:pPr>
      <w:r>
        <w:rPr>
          <w:noProof/>
        </w:rPr>
        <w:lastRenderedPageBreak/>
        <w:t>37.</w:t>
      </w:r>
      <w:r>
        <w:rPr>
          <w:noProof/>
        </w:rPr>
        <w:tab/>
        <w:t xml:space="preserve">The proposed decision to mobilise the EGF will be taken jointly by the European Parliament and the Council pursuant to Article 15(1), first subparagraph, second sentence, of Regulation (EU) 2021/691 and, as laid down in point 9 of the </w:t>
      </w:r>
      <w:r w:rsidRPr="00E544E0">
        <w:rPr>
          <w:noProof/>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22"/>
      </w:r>
      <w:r>
        <w:rPr>
          <w:noProof/>
        </w:rPr>
        <w:t>.</w:t>
      </w:r>
    </w:p>
    <w:p w:rsidR="001A62D7" w:rsidRDefault="001A62D7" w:rsidP="001A62D7">
      <w:pPr>
        <w:pStyle w:val="ManualHeading2"/>
        <w:rPr>
          <w:noProof/>
        </w:rPr>
      </w:pPr>
      <w:r w:rsidRPr="00C850D7">
        <w:rPr>
          <w:noProof/>
        </w:rPr>
        <w:t>Related acts</w:t>
      </w:r>
    </w:p>
    <w:p w:rsidR="001A62D7" w:rsidRPr="00E544E0" w:rsidRDefault="001A62D7" w:rsidP="00AE7D04">
      <w:pPr>
        <w:pStyle w:val="ManualNumPar1"/>
        <w:rPr>
          <w:noProof/>
        </w:rPr>
      </w:pPr>
      <w:r>
        <w:rPr>
          <w:noProof/>
        </w:rPr>
        <w:t>38.</w:t>
      </w:r>
      <w:r>
        <w:rPr>
          <w:noProof/>
        </w:rPr>
        <w:tab/>
        <w:t>At the same time as it presents this proposal for a decision to mobilise the EGF, the Commission will present to the European Parliament and to the Council a proposal to transfer to the relevant budgetary line the amount of EUR </w:t>
      </w:r>
      <w:r w:rsidR="005B68D8">
        <w:rPr>
          <w:noProof/>
        </w:rPr>
        <w:t>2 132 53</w:t>
      </w:r>
      <w:r w:rsidR="00BC7A56">
        <w:rPr>
          <w:noProof/>
        </w:rPr>
        <w:t>5</w:t>
      </w:r>
      <w:r>
        <w:rPr>
          <w:noProof/>
        </w:rPr>
        <w:t>.</w:t>
      </w:r>
    </w:p>
    <w:p w:rsidR="001A62D7" w:rsidRPr="00BB42D9" w:rsidRDefault="001A62D7" w:rsidP="00AE7D04">
      <w:pPr>
        <w:pStyle w:val="ManualNumPar1"/>
        <w:rPr>
          <w:noProof/>
        </w:rPr>
      </w:pPr>
      <w:r>
        <w:rPr>
          <w:noProof/>
        </w:rPr>
        <w:t>39.</w:t>
      </w:r>
      <w:r>
        <w:rPr>
          <w:noProof/>
        </w:rPr>
        <w:tab/>
        <w:t xml:space="preserve">At the same time as it adopted this proposal for a decision to mobilise the EGF, the Commission adopted a decision on a financial contribution </w:t>
      </w:r>
      <w:r w:rsidRPr="00E90B72">
        <w:rPr>
          <w:noProof/>
        </w:rPr>
        <w:t>that constitutes a financing decision within the mea</w:t>
      </w:r>
      <w:r>
        <w:rPr>
          <w:noProof/>
        </w:rPr>
        <w:t>ning</w:t>
      </w:r>
      <w:r w:rsidRPr="00E90B72">
        <w:rPr>
          <w:noProof/>
        </w:rPr>
        <w:t xml:space="preserve"> of Article 110 of </w:t>
      </w:r>
      <w:r w:rsidRPr="00B54269">
        <w:rPr>
          <w:noProof/>
        </w:rPr>
        <w:t>Regulation (EU, Euratom) 2024/2509</w:t>
      </w:r>
      <w:r>
        <w:rPr>
          <w:rStyle w:val="FootnoteReference"/>
          <w:noProof/>
        </w:rPr>
        <w:footnoteReference w:id="23"/>
      </w:r>
      <w:r>
        <w:rPr>
          <w:noProof/>
        </w:rPr>
        <w:t>. T</w:t>
      </w:r>
      <w:r w:rsidRPr="00853BB7">
        <w:rPr>
          <w:noProof/>
        </w:rPr>
        <w:t xml:space="preserve">hat </w:t>
      </w:r>
      <w:r>
        <w:rPr>
          <w:noProof/>
        </w:rPr>
        <w:t xml:space="preserve">financing </w:t>
      </w:r>
      <w:r w:rsidRPr="00853BB7">
        <w:rPr>
          <w:noProof/>
        </w:rPr>
        <w:t xml:space="preserve">decision </w:t>
      </w:r>
      <w:r>
        <w:rPr>
          <w:noProof/>
        </w:rPr>
        <w:t>will enter into force on the date on which the Commission is notified of the approval of the budgetary transfer by the European Parliament and the Council pursuant to Article 15(2), first subparagraph, of Regulation (EU) 2021/691.</w:t>
      </w:r>
    </w:p>
    <w:p w:rsidR="001A62D7" w:rsidRPr="00A9097A" w:rsidRDefault="001A62D7" w:rsidP="001A62D7">
      <w:pPr>
        <w:rPr>
          <w:noProof/>
        </w:rPr>
        <w:sectPr w:rsidR="001A62D7" w:rsidRPr="00A9097A" w:rsidSect="0091115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847A75" w:rsidRDefault="000613D0">
      <w:pPr>
        <w:pStyle w:val="Rfrenceinterinstitutionnelle"/>
        <w:rPr>
          <w:noProof/>
        </w:rPr>
      </w:pPr>
      <w:r>
        <w:rPr>
          <w:noProof/>
        </w:rPr>
        <w:lastRenderedPageBreak/>
        <w:t>2026/0097 (BUD)</w:t>
      </w:r>
    </w:p>
    <w:p w:rsidR="001A62D7" w:rsidRPr="00A9097A" w:rsidRDefault="00FB61E6" w:rsidP="00FB61E6">
      <w:pPr>
        <w:pStyle w:val="Statut"/>
        <w:rPr>
          <w:noProof/>
        </w:rPr>
      </w:pPr>
      <w:r w:rsidRPr="00FB61E6">
        <w:rPr>
          <w:noProof/>
        </w:rPr>
        <w:t>Proposal for a</w:t>
      </w:r>
    </w:p>
    <w:p w:rsidR="001A62D7" w:rsidRPr="00A9097A" w:rsidRDefault="00FB61E6" w:rsidP="00FB61E6">
      <w:pPr>
        <w:pStyle w:val="Typedudocument"/>
        <w:rPr>
          <w:noProof/>
        </w:rPr>
      </w:pPr>
      <w:r w:rsidRPr="00FB61E6">
        <w:rPr>
          <w:noProof/>
        </w:rPr>
        <w:t>DECISION OF THE EUROPEAN PARLIAMENT AND OF THE COUNCIL</w:t>
      </w:r>
    </w:p>
    <w:p w:rsidR="001A62D7" w:rsidRPr="00A9097A" w:rsidRDefault="00FB61E6" w:rsidP="00FB61E6">
      <w:pPr>
        <w:pStyle w:val="Titreobjet"/>
        <w:rPr>
          <w:noProof/>
        </w:rPr>
      </w:pPr>
      <w:r w:rsidRPr="00FB61E6">
        <w:rPr>
          <w:noProof/>
        </w:rPr>
        <w:t>on the mobilisation of the European Globalisation Adjustment Fund for Displaced Workers following an application from Belgium – EGF/2025/009 BE/Soliver</w:t>
      </w:r>
    </w:p>
    <w:p w:rsidR="001A62D7" w:rsidRDefault="001A62D7" w:rsidP="001A62D7">
      <w:pPr>
        <w:pStyle w:val="Institutionquiagit"/>
        <w:rPr>
          <w:noProof/>
        </w:rPr>
      </w:pPr>
      <w:r>
        <w:rPr>
          <w:noProof/>
        </w:rPr>
        <w:t>THE EUROPEAN PARLIAMENT AND THE COUNCIL OF THE EUROPEAN UNION,</w:t>
      </w:r>
    </w:p>
    <w:p w:rsidR="001A62D7" w:rsidRDefault="001A62D7" w:rsidP="001A62D7">
      <w:pPr>
        <w:rPr>
          <w:noProof/>
        </w:rPr>
      </w:pPr>
      <w:r>
        <w:rPr>
          <w:noProof/>
        </w:rPr>
        <w:t>Having regard to the Treaty on the Functioning of the European Union,</w:t>
      </w:r>
    </w:p>
    <w:p w:rsidR="001A62D7" w:rsidRDefault="001A62D7" w:rsidP="001A62D7">
      <w:pPr>
        <w:rPr>
          <w:noProof/>
        </w:rPr>
      </w:pPr>
      <w:r w:rsidRPr="00973296">
        <w:rPr>
          <w:noProof/>
        </w:rPr>
        <w:t>Having regard to Regulation (EU) 2021/691 of the European Parliament and of the Council of 28 April 2021 on the European Globalisation Adjustment Fund for Displaced Workers (EGF) and repealing Regulation (EU) No 1309/2013</w:t>
      </w:r>
      <w:r w:rsidRPr="00973296">
        <w:rPr>
          <w:rStyle w:val="FootnoteReference"/>
          <w:noProof/>
        </w:rPr>
        <w:footnoteReference w:id="24"/>
      </w:r>
      <w:r w:rsidRPr="00973296">
        <w:rPr>
          <w:noProof/>
        </w:rPr>
        <w:t>, and in particular Article 15(1)</w:t>
      </w:r>
      <w:r>
        <w:rPr>
          <w:noProof/>
        </w:rPr>
        <w:t>, first subparagraph,</w:t>
      </w:r>
      <w:r w:rsidRPr="00973296">
        <w:rPr>
          <w:noProof/>
        </w:rPr>
        <w:t xml:space="preserve"> thereof,</w:t>
      </w:r>
    </w:p>
    <w:p w:rsidR="001A62D7" w:rsidRDefault="001A62D7" w:rsidP="001A62D7">
      <w:pPr>
        <w:rPr>
          <w:noProof/>
        </w:rPr>
      </w:pPr>
      <w:r w:rsidRPr="006C1641">
        <w:rPr>
          <w:noProof/>
        </w:rPr>
        <w:t xml:space="preserve">Having regard to the </w:t>
      </w:r>
      <w:r w:rsidRPr="008238DD">
        <w:rPr>
          <w:noProof/>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25"/>
      </w:r>
      <w:r>
        <w:rPr>
          <w:noProof/>
        </w:rPr>
        <w:t xml:space="preserve">, </w:t>
      </w:r>
      <w:r w:rsidRPr="006C1641">
        <w:rPr>
          <w:noProof/>
        </w:rPr>
        <w:t xml:space="preserve">and in particular point </w:t>
      </w:r>
      <w:r>
        <w:rPr>
          <w:noProof/>
        </w:rPr>
        <w:t>9</w:t>
      </w:r>
      <w:r w:rsidRPr="006C1641">
        <w:rPr>
          <w:noProof/>
        </w:rPr>
        <w:t xml:space="preserve"> thereof,</w:t>
      </w:r>
    </w:p>
    <w:p w:rsidR="001A62D7" w:rsidRDefault="001A62D7" w:rsidP="001A62D7">
      <w:pPr>
        <w:rPr>
          <w:noProof/>
        </w:rPr>
      </w:pPr>
      <w:r>
        <w:rPr>
          <w:noProof/>
        </w:rPr>
        <w:t>Having regard to the proposal from the European Commission,</w:t>
      </w:r>
    </w:p>
    <w:p w:rsidR="001A62D7" w:rsidRDefault="001A62D7" w:rsidP="001A62D7">
      <w:pPr>
        <w:rPr>
          <w:noProof/>
        </w:rPr>
      </w:pPr>
      <w:r>
        <w:rPr>
          <w:noProof/>
        </w:rPr>
        <w:t>Whereas:</w:t>
      </w:r>
    </w:p>
    <w:p w:rsidR="001A62D7" w:rsidRDefault="001A62D7" w:rsidP="00AE7D04">
      <w:pPr>
        <w:pStyle w:val="ManualConsidrant"/>
        <w:rPr>
          <w:noProof/>
        </w:rPr>
      </w:pPr>
      <w:r>
        <w:rPr>
          <w:noProof/>
        </w:rPr>
        <w:t>(1)</w:t>
      </w:r>
      <w:r>
        <w:rPr>
          <w:noProof/>
        </w:rPr>
        <w:tab/>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1A62D7" w:rsidRDefault="001A62D7" w:rsidP="00AE7D04">
      <w:pPr>
        <w:pStyle w:val="ManualConsidrant"/>
        <w:rPr>
          <w:noProof/>
        </w:rPr>
      </w:pPr>
      <w:r>
        <w:rPr>
          <w:noProof/>
        </w:rPr>
        <w:t>(2)</w:t>
      </w:r>
      <w:r>
        <w:rPr>
          <w:noProof/>
        </w:rPr>
        <w:tab/>
      </w:r>
      <w:r w:rsidRPr="008D462D">
        <w:rPr>
          <w:noProof/>
        </w:rPr>
        <w:t xml:space="preserve">The EGF </w:t>
      </w:r>
      <w:r>
        <w:rPr>
          <w:noProof/>
        </w:rPr>
        <w:t>is</w:t>
      </w:r>
      <w:r w:rsidRPr="008D462D">
        <w:rPr>
          <w:noProof/>
        </w:rPr>
        <w:t xml:space="preserve"> not </w:t>
      </w:r>
      <w:r>
        <w:rPr>
          <w:noProof/>
        </w:rPr>
        <w:t xml:space="preserve">to </w:t>
      </w:r>
      <w:r w:rsidRPr="008D462D">
        <w:rPr>
          <w:noProof/>
        </w:rPr>
        <w:t xml:space="preserve">exceed a maximum annual amount of </w:t>
      </w:r>
      <w:r w:rsidRPr="00B43DF2">
        <w:rPr>
          <w:noProof/>
        </w:rPr>
        <w:t>EUR </w:t>
      </w:r>
      <w:r>
        <w:rPr>
          <w:noProof/>
        </w:rPr>
        <w:t>30</w:t>
      </w:r>
      <w:r w:rsidRPr="00B43DF2">
        <w:rPr>
          <w:noProof/>
        </w:rPr>
        <w:t xml:space="preserve"> million </w:t>
      </w:r>
      <w:r w:rsidRPr="00270F9D">
        <w:rPr>
          <w:noProof/>
        </w:rPr>
        <w:t>(in 2018 prices), as laid down in Article 8 of Council Reg</w:t>
      </w:r>
      <w:r>
        <w:rPr>
          <w:noProof/>
        </w:rPr>
        <w:t>ulation (EU, Euratom) 2020/2093</w:t>
      </w:r>
      <w:r w:rsidRPr="008D462D">
        <w:rPr>
          <w:rStyle w:val="FootnoteReference"/>
          <w:noProof/>
        </w:rPr>
        <w:footnoteReference w:id="26"/>
      </w:r>
      <w:r>
        <w:rPr>
          <w:noProof/>
        </w:rPr>
        <w:t xml:space="preserve"> amended by Council Regulation (EU, Euratom) 2024/765</w:t>
      </w:r>
      <w:r>
        <w:rPr>
          <w:rStyle w:val="FootnoteReference"/>
          <w:noProof/>
        </w:rPr>
        <w:footnoteReference w:id="27"/>
      </w:r>
      <w:r>
        <w:rPr>
          <w:noProof/>
        </w:rPr>
        <w:t>, and Article 16 of Regulation (EU) 2021/691</w:t>
      </w:r>
      <w:r w:rsidRPr="00D53BB8">
        <w:rPr>
          <w:noProof/>
        </w:rPr>
        <w:t>.</w:t>
      </w:r>
    </w:p>
    <w:p w:rsidR="001A62D7" w:rsidRPr="001D4700" w:rsidRDefault="001A62D7" w:rsidP="00AE7D04">
      <w:pPr>
        <w:pStyle w:val="ManualConsidrant"/>
        <w:rPr>
          <w:noProof/>
        </w:rPr>
      </w:pPr>
      <w:r>
        <w:rPr>
          <w:noProof/>
        </w:rPr>
        <w:t>(3)</w:t>
      </w:r>
      <w:r>
        <w:rPr>
          <w:noProof/>
        </w:rPr>
        <w:tab/>
        <w:t xml:space="preserve">On </w:t>
      </w:r>
      <w:r w:rsidR="00783B1B">
        <w:rPr>
          <w:noProof/>
        </w:rPr>
        <w:t>22 December 2025</w:t>
      </w:r>
      <w:r>
        <w:rPr>
          <w:noProof/>
        </w:rPr>
        <w:t xml:space="preserve">, </w:t>
      </w:r>
      <w:r w:rsidR="005B68D8">
        <w:rPr>
          <w:noProof/>
        </w:rPr>
        <w:t>Belgium</w:t>
      </w:r>
      <w:r>
        <w:rPr>
          <w:noProof/>
        </w:rPr>
        <w:t xml:space="preserve"> </w:t>
      </w:r>
      <w:r w:rsidRPr="008D462D">
        <w:rPr>
          <w:noProof/>
        </w:rPr>
        <w:t xml:space="preserve">submitted </w:t>
      </w:r>
      <w:r>
        <w:rPr>
          <w:noProof/>
        </w:rPr>
        <w:t xml:space="preserve">an </w:t>
      </w:r>
      <w:r w:rsidRPr="008D462D">
        <w:rPr>
          <w:noProof/>
        </w:rPr>
        <w:t xml:space="preserve">application </w:t>
      </w:r>
      <w:r>
        <w:rPr>
          <w:noProof/>
        </w:rPr>
        <w:t xml:space="preserve">to mobilise </w:t>
      </w:r>
      <w:r w:rsidRPr="008D462D">
        <w:rPr>
          <w:noProof/>
        </w:rPr>
        <w:t>the EGF</w:t>
      </w:r>
      <w:r>
        <w:rPr>
          <w:noProof/>
        </w:rPr>
        <w:t xml:space="preserve"> in accordance with Article 8(1) of Regulation (EU) 2021/691</w:t>
      </w:r>
      <w:r w:rsidRPr="008D462D">
        <w:rPr>
          <w:noProof/>
        </w:rPr>
        <w:t xml:space="preserve">, </w:t>
      </w:r>
      <w:r>
        <w:rPr>
          <w:noProof/>
        </w:rPr>
        <w:t>in respect of</w:t>
      </w:r>
      <w:r w:rsidRPr="008D462D">
        <w:rPr>
          <w:noProof/>
        </w:rPr>
        <w:t xml:space="preserve"> </w:t>
      </w:r>
      <w:r>
        <w:rPr>
          <w:noProof/>
        </w:rPr>
        <w:t>worker</w:t>
      </w:r>
      <w:r w:rsidR="00265183">
        <w:rPr>
          <w:noProof/>
        </w:rPr>
        <w:t>s</w:t>
      </w:r>
      <w:r>
        <w:rPr>
          <w:noProof/>
        </w:rPr>
        <w:t xml:space="preserve">’ displacements </w:t>
      </w:r>
      <w:r w:rsidRPr="009429ED">
        <w:rPr>
          <w:noProof/>
        </w:rPr>
        <w:t>in</w:t>
      </w:r>
      <w:r>
        <w:rPr>
          <w:noProof/>
        </w:rPr>
        <w:t xml:space="preserve"> </w:t>
      </w:r>
      <w:r w:rsidR="005B68D8">
        <w:rPr>
          <w:noProof/>
        </w:rPr>
        <w:t>Soliver</w:t>
      </w:r>
      <w:r w:rsidR="00EA5C15">
        <w:rPr>
          <w:noProof/>
        </w:rPr>
        <w:t xml:space="preserve"> NV</w:t>
      </w:r>
      <w:r>
        <w:rPr>
          <w:noProof/>
        </w:rPr>
        <w:t xml:space="preserve"> in </w:t>
      </w:r>
      <w:r w:rsidR="005B68D8">
        <w:rPr>
          <w:noProof/>
        </w:rPr>
        <w:t>Belgium</w:t>
      </w:r>
      <w:r>
        <w:rPr>
          <w:noProof/>
        </w:rPr>
        <w:t xml:space="preserve">. </w:t>
      </w:r>
      <w:r w:rsidRPr="00786A7E">
        <w:rPr>
          <w:noProof/>
        </w:rPr>
        <w:t>It was supplemented by additional information provided in accordance with Article 8(5) of Regulation (EU) 2021/691.</w:t>
      </w:r>
      <w:r>
        <w:rPr>
          <w:noProof/>
        </w:rPr>
        <w:t xml:space="preserve"> That application </w:t>
      </w:r>
      <w:r w:rsidRPr="001D4700">
        <w:rPr>
          <w:iCs/>
          <w:noProof/>
        </w:rPr>
        <w:t xml:space="preserve">is considered to comply </w:t>
      </w:r>
      <w:r w:rsidRPr="001D4700">
        <w:rPr>
          <w:noProof/>
        </w:rPr>
        <w:t xml:space="preserve">with the conditions for </w:t>
      </w:r>
      <w:r w:rsidRPr="001D4700">
        <w:rPr>
          <w:iCs/>
          <w:noProof/>
        </w:rPr>
        <w:t xml:space="preserve">providing </w:t>
      </w:r>
      <w:r w:rsidRPr="001D4700">
        <w:rPr>
          <w:noProof/>
        </w:rPr>
        <w:t xml:space="preserve">a financial contribution from the EGF as laid down in Article 13 of Regulation (EU) 2021/691, </w:t>
      </w:r>
      <w:r w:rsidRPr="001D4700">
        <w:rPr>
          <w:iCs/>
          <w:noProof/>
        </w:rPr>
        <w:t>on the basis of the assessment made by the Commission in the Proposal for a mobilisation decision of the European Parliament and of the Council</w:t>
      </w:r>
      <w:r>
        <w:rPr>
          <w:rStyle w:val="FootnoteReference"/>
          <w:iCs/>
          <w:noProof/>
        </w:rPr>
        <w:footnoteReference w:id="28"/>
      </w:r>
      <w:r w:rsidRPr="001D4700">
        <w:rPr>
          <w:iCs/>
          <w:noProof/>
        </w:rPr>
        <w:t>.</w:t>
      </w:r>
    </w:p>
    <w:p w:rsidR="001A62D7" w:rsidRDefault="001A62D7" w:rsidP="00AE7D04">
      <w:pPr>
        <w:pStyle w:val="ManualConsidrant"/>
        <w:rPr>
          <w:noProof/>
        </w:rPr>
      </w:pPr>
      <w:r>
        <w:rPr>
          <w:noProof/>
        </w:rPr>
        <w:lastRenderedPageBreak/>
        <w:t>(4)</w:t>
      </w:r>
      <w:r>
        <w:rPr>
          <w:noProof/>
        </w:rPr>
        <w:tab/>
        <w:t>The EGF should, therefore, be mobilised in order to provide a financial contribution of EUR </w:t>
      </w:r>
      <w:r w:rsidR="005B68D8">
        <w:rPr>
          <w:noProof/>
        </w:rPr>
        <w:t>2 132 53</w:t>
      </w:r>
      <w:r w:rsidR="00BC7A56">
        <w:rPr>
          <w:noProof/>
        </w:rPr>
        <w:t>5</w:t>
      </w:r>
      <w:r>
        <w:rPr>
          <w:noProof/>
        </w:rPr>
        <w:t xml:space="preserve"> in respect of the application submitted by </w:t>
      </w:r>
      <w:r w:rsidR="005B68D8">
        <w:rPr>
          <w:noProof/>
        </w:rPr>
        <w:t>Belgium</w:t>
      </w:r>
      <w:r>
        <w:rPr>
          <w:noProof/>
        </w:rPr>
        <w:t>.</w:t>
      </w:r>
    </w:p>
    <w:p w:rsidR="001A62D7" w:rsidRDefault="001A62D7" w:rsidP="00AE7D04">
      <w:pPr>
        <w:pStyle w:val="ManualConsidrant"/>
        <w:rPr>
          <w:noProof/>
        </w:rPr>
      </w:pPr>
      <w:r>
        <w:rPr>
          <w:noProof/>
        </w:rPr>
        <w:t>(5)</w:t>
      </w:r>
      <w:r>
        <w:rPr>
          <w:noProof/>
        </w:rPr>
        <w:tab/>
      </w:r>
      <w:r w:rsidRPr="00370985">
        <w:rPr>
          <w:noProof/>
        </w:rPr>
        <w:t xml:space="preserve">In order to minimise the time taken to mobilise the EGF, this </w:t>
      </w:r>
      <w:r w:rsidR="00265183">
        <w:rPr>
          <w:noProof/>
        </w:rPr>
        <w:t>D</w:t>
      </w:r>
      <w:r w:rsidRPr="00370985">
        <w:rPr>
          <w:noProof/>
        </w:rPr>
        <w:t>ecision should apply from the date of its adoption</w:t>
      </w:r>
      <w:r>
        <w:rPr>
          <w:noProof/>
        </w:rPr>
        <w:t>,</w:t>
      </w:r>
    </w:p>
    <w:p w:rsidR="001A62D7" w:rsidRDefault="001A62D7" w:rsidP="001A62D7">
      <w:pPr>
        <w:pStyle w:val="Formuledadoption"/>
        <w:rPr>
          <w:noProof/>
        </w:rPr>
      </w:pPr>
      <w:r>
        <w:rPr>
          <w:noProof/>
        </w:rPr>
        <w:t xml:space="preserve">HAVE ADOPTED THIS DECISION: </w:t>
      </w:r>
    </w:p>
    <w:p w:rsidR="001A62D7" w:rsidRDefault="001A62D7" w:rsidP="001A62D7">
      <w:pPr>
        <w:pStyle w:val="Titrearticle"/>
        <w:rPr>
          <w:noProof/>
        </w:rPr>
      </w:pPr>
      <w:r>
        <w:rPr>
          <w:noProof/>
        </w:rPr>
        <w:t>Article 1</w:t>
      </w:r>
    </w:p>
    <w:p w:rsidR="001A62D7" w:rsidRDefault="001A62D7" w:rsidP="001A62D7">
      <w:pPr>
        <w:rPr>
          <w:noProof/>
        </w:rPr>
      </w:pPr>
      <w:r>
        <w:rPr>
          <w:noProof/>
        </w:rPr>
        <w:t xml:space="preserve">For the general budget of the Union for the financial year </w:t>
      </w:r>
      <w:r w:rsidR="005B68D8">
        <w:rPr>
          <w:noProof/>
        </w:rPr>
        <w:t>2026</w:t>
      </w:r>
      <w:r>
        <w:rPr>
          <w:noProof/>
        </w:rPr>
        <w:t>, the European Globalisation Adjustment Fund for Displaced Workers shall be mobilised to provide the amount of EUR </w:t>
      </w:r>
      <w:r w:rsidR="005B68D8">
        <w:rPr>
          <w:noProof/>
        </w:rPr>
        <w:t>2 132 53</w:t>
      </w:r>
      <w:r w:rsidR="00BC7A56">
        <w:rPr>
          <w:noProof/>
        </w:rPr>
        <w:t>5</w:t>
      </w:r>
      <w:r>
        <w:rPr>
          <w:noProof/>
        </w:rPr>
        <w:t xml:space="preserve"> in commitment and payment appropriations.</w:t>
      </w:r>
    </w:p>
    <w:p w:rsidR="001A62D7" w:rsidRDefault="001A62D7" w:rsidP="00F7510A">
      <w:pPr>
        <w:pStyle w:val="Titrearticle"/>
        <w:rPr>
          <w:noProof/>
        </w:rPr>
      </w:pPr>
      <w:r>
        <w:rPr>
          <w:noProof/>
        </w:rPr>
        <w:t>Article 2</w:t>
      </w:r>
    </w:p>
    <w:p w:rsidR="001A62D7" w:rsidRDefault="001A62D7" w:rsidP="001A62D7">
      <w:pPr>
        <w:keepNext/>
        <w:keepLines/>
        <w:rPr>
          <w:noProof/>
        </w:rPr>
      </w:pPr>
      <w:r w:rsidRPr="001B05DF">
        <w:rPr>
          <w:noProof/>
        </w:rPr>
        <w:t xml:space="preserve">This Decision shall enter into force on </w:t>
      </w:r>
      <w:r>
        <w:rPr>
          <w:noProof/>
        </w:rPr>
        <w:t xml:space="preserve">the day of its </w:t>
      </w:r>
      <w:r w:rsidRPr="00370985">
        <w:rPr>
          <w:noProof/>
        </w:rPr>
        <w:t>publication in the Officia</w:t>
      </w:r>
      <w:r>
        <w:rPr>
          <w:noProof/>
        </w:rPr>
        <w:t xml:space="preserve">l Journal of the European Union. </w:t>
      </w:r>
      <w:r w:rsidRPr="00FE2101">
        <w:rPr>
          <w:noProof/>
        </w:rPr>
        <w:t xml:space="preserve">It shall apply from </w:t>
      </w:r>
      <w:r w:rsidRPr="00855ED0">
        <w:rPr>
          <w:noProof/>
          <w:color w:val="FF0000"/>
        </w:rPr>
        <w:t>[</w:t>
      </w:r>
      <w:r w:rsidRPr="00855ED0">
        <w:rPr>
          <w:i/>
          <w:noProof/>
          <w:color w:val="FF0000"/>
        </w:rPr>
        <w:t>the date of its adoption</w:t>
      </w:r>
      <w:r w:rsidRPr="00855ED0">
        <w:rPr>
          <w:noProof/>
          <w:color w:val="FF0000"/>
        </w:rPr>
        <w:t>]</w:t>
      </w:r>
      <w:r w:rsidR="00281AE4">
        <w:rPr>
          <w:rStyle w:val="FootnoteReference"/>
          <w:noProof/>
          <w:color w:val="FF0000"/>
        </w:rPr>
        <w:footnoteReference w:customMarkFollows="1" w:id="29"/>
        <w:t>*</w:t>
      </w:r>
      <w:r w:rsidR="00281AE4" w:rsidRPr="00B10303">
        <w:rPr>
          <w:rStyle w:val="CommentReference"/>
          <w:rFonts w:eastAsia="Times New Roman"/>
          <w:noProof/>
          <w:lang w:val="en-IE" w:eastAsia="en-GB"/>
        </w:rPr>
        <w:t xml:space="preserve"> </w:t>
      </w:r>
      <w:r w:rsidRPr="00FE2101">
        <w:rPr>
          <w:noProof/>
        </w:rPr>
        <w:t>.</w:t>
      </w:r>
    </w:p>
    <w:p w:rsidR="001A62D7" w:rsidRDefault="00FB61E6" w:rsidP="00F7510A">
      <w:pPr>
        <w:pStyle w:val="Fait"/>
        <w:rPr>
          <w:noProof/>
        </w:rPr>
      </w:pPr>
      <w:r>
        <w:rPr>
          <w:noProof/>
        </w:rPr>
        <w:t>Done at Brussels,</w:t>
      </w:r>
    </w:p>
    <w:p w:rsidR="001A62D7" w:rsidRDefault="001A62D7" w:rsidP="00F7510A">
      <w:pPr>
        <w:pStyle w:val="Institutionquisigne"/>
        <w:rPr>
          <w:noProof/>
        </w:rPr>
      </w:pPr>
      <w:r>
        <w:rPr>
          <w:noProof/>
        </w:rPr>
        <w:t>For the European Parliament</w:t>
      </w:r>
      <w:r>
        <w:rPr>
          <w:noProof/>
        </w:rPr>
        <w:tab/>
        <w:t>For the Council</w:t>
      </w:r>
    </w:p>
    <w:p w:rsidR="001A62D7" w:rsidRPr="00D12B65" w:rsidRDefault="001A62D7" w:rsidP="001A62D7">
      <w:pPr>
        <w:pStyle w:val="Personnequisigne"/>
        <w:rPr>
          <w:noProof/>
        </w:rPr>
      </w:pPr>
      <w:r>
        <w:rPr>
          <w:noProof/>
        </w:rPr>
        <w:t>The President</w:t>
      </w:r>
      <w:r>
        <w:rPr>
          <w:noProof/>
        </w:rPr>
        <w:tab/>
        <w:t>The President</w:t>
      </w:r>
      <w:r>
        <w:rPr>
          <w:noProof/>
        </w:rPr>
        <w:br/>
      </w:r>
    </w:p>
    <w:sectPr w:rsidR="001A62D7" w:rsidRPr="00D12B65" w:rsidSect="0091115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D7" w:rsidRDefault="001A62D7" w:rsidP="001A62D7">
      <w:pPr>
        <w:spacing w:before="0" w:after="0"/>
      </w:pPr>
      <w:r>
        <w:separator/>
      </w:r>
    </w:p>
  </w:endnote>
  <w:endnote w:type="continuationSeparator" w:id="0">
    <w:p w:rsidR="001A62D7" w:rsidRDefault="001A62D7"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15A" w:rsidRPr="0091115A" w:rsidRDefault="0091115A" w:rsidP="0091115A">
    <w:pPr>
      <w:pStyle w:val="Footer"/>
      <w:rPr>
        <w:rFonts w:ascii="Arial" w:hAnsi="Arial" w:cs="Arial"/>
        <w:b/>
        <w:sz w:val="48"/>
      </w:rPr>
    </w:pPr>
    <w:r w:rsidRPr="0091115A">
      <w:rPr>
        <w:rFonts w:ascii="Arial" w:hAnsi="Arial" w:cs="Arial"/>
        <w:b/>
        <w:sz w:val="48"/>
      </w:rPr>
      <w:t>EN</w:t>
    </w:r>
    <w:r w:rsidRPr="0091115A">
      <w:rPr>
        <w:rFonts w:ascii="Arial" w:hAnsi="Arial" w:cs="Arial"/>
        <w:b/>
        <w:sz w:val="48"/>
      </w:rPr>
      <w:tab/>
    </w:r>
    <w:r w:rsidRPr="0091115A">
      <w:rPr>
        <w:rFonts w:ascii="Arial" w:hAnsi="Arial" w:cs="Arial"/>
        <w:b/>
        <w:sz w:val="48"/>
      </w:rPr>
      <w:tab/>
    </w:r>
    <w:r w:rsidRPr="0091115A">
      <w:tab/>
    </w:r>
    <w:r w:rsidRPr="0091115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15A" w:rsidRPr="0091115A" w:rsidRDefault="0091115A" w:rsidP="0091115A">
    <w:pPr>
      <w:pStyle w:val="Footer"/>
      <w:rPr>
        <w:rFonts w:ascii="Arial" w:hAnsi="Arial" w:cs="Arial"/>
        <w:b/>
        <w:sz w:val="48"/>
      </w:rPr>
    </w:pPr>
    <w:r w:rsidRPr="0091115A">
      <w:rPr>
        <w:rFonts w:ascii="Arial" w:hAnsi="Arial" w:cs="Arial"/>
        <w:b/>
        <w:sz w:val="48"/>
      </w:rPr>
      <w:t>EN</w:t>
    </w:r>
    <w:r w:rsidRPr="0091115A">
      <w:rPr>
        <w:rFonts w:ascii="Arial" w:hAnsi="Arial" w:cs="Arial"/>
        <w:b/>
        <w:sz w:val="48"/>
      </w:rPr>
      <w:tab/>
    </w:r>
    <w:r w:rsidRPr="0091115A">
      <w:rPr>
        <w:rFonts w:ascii="Arial" w:hAnsi="Arial" w:cs="Arial"/>
        <w:b/>
        <w:sz w:val="48"/>
      </w:rPr>
      <w:tab/>
    </w:r>
    <w:r w:rsidRPr="0091115A">
      <w:tab/>
    </w:r>
    <w:r w:rsidRPr="0091115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15A" w:rsidRDefault="009111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15A" w:rsidRPr="0091115A" w:rsidRDefault="0091115A" w:rsidP="0091115A">
    <w:pPr>
      <w:pStyle w:val="Footer"/>
      <w:rPr>
        <w:rFonts w:ascii="Arial" w:hAnsi="Arial" w:cs="Arial"/>
        <w:b/>
        <w:sz w:val="48"/>
      </w:rPr>
    </w:pPr>
    <w:r w:rsidRPr="0091115A">
      <w:rPr>
        <w:rFonts w:ascii="Arial" w:hAnsi="Arial" w:cs="Arial"/>
        <w:b/>
        <w:sz w:val="48"/>
      </w:rPr>
      <w:t>EN</w:t>
    </w:r>
    <w:r w:rsidRPr="0091115A">
      <w:rPr>
        <w:rFonts w:ascii="Arial" w:hAnsi="Arial" w:cs="Arial"/>
        <w:b/>
        <w:sz w:val="48"/>
      </w:rPr>
      <w:tab/>
    </w:r>
    <w:r>
      <w:fldChar w:fldCharType="begin"/>
    </w:r>
    <w:r>
      <w:instrText xml:space="preserve"> PAGE  \* MERGEFORMAT </w:instrText>
    </w:r>
    <w:r>
      <w:fldChar w:fldCharType="separate"/>
    </w:r>
    <w:r w:rsidR="00F7510A">
      <w:rPr>
        <w:noProof/>
      </w:rPr>
      <w:t>11</w:t>
    </w:r>
    <w:r>
      <w:fldChar w:fldCharType="end"/>
    </w:r>
    <w:r>
      <w:tab/>
    </w:r>
    <w:r w:rsidRPr="0091115A">
      <w:tab/>
    </w:r>
    <w:r w:rsidRPr="0091115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15A" w:rsidRDefault="0091115A" w:rsidP="00911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D7" w:rsidRDefault="001A62D7" w:rsidP="001A62D7">
      <w:pPr>
        <w:spacing w:before="0" w:after="0"/>
      </w:pPr>
      <w:r>
        <w:separator/>
      </w:r>
    </w:p>
  </w:footnote>
  <w:footnote w:type="continuationSeparator" w:id="0">
    <w:p w:rsidR="001A62D7" w:rsidRDefault="001A62D7" w:rsidP="001A62D7">
      <w:pPr>
        <w:spacing w:before="0" w:after="0"/>
      </w:pPr>
      <w:r>
        <w:continuationSeparator/>
      </w:r>
    </w:p>
  </w:footnote>
  <w:footnote w:id="1">
    <w:p w:rsidR="001A62D7" w:rsidRPr="00BE109D" w:rsidRDefault="001A62D7" w:rsidP="001A62D7">
      <w:pPr>
        <w:pStyle w:val="FootnoteText"/>
      </w:pPr>
      <w:r w:rsidRPr="00872F86">
        <w:rPr>
          <w:rStyle w:val="FootnoteReference"/>
        </w:rPr>
        <w:footnoteRef/>
      </w:r>
      <w:r w:rsidRPr="00BE109D">
        <w:tab/>
      </w:r>
      <w:r w:rsidRPr="00295349">
        <w:t>OJ L 153, 3.5.2021, p. 48</w:t>
      </w:r>
      <w:r w:rsidRPr="00BE109D">
        <w:t>.</w:t>
      </w:r>
    </w:p>
  </w:footnote>
  <w:footnote w:id="2">
    <w:p w:rsidR="001A62D7" w:rsidRPr="002308DE" w:rsidRDefault="001A62D7" w:rsidP="001A62D7">
      <w:pPr>
        <w:pStyle w:val="FootnoteText"/>
      </w:pPr>
      <w:r>
        <w:rPr>
          <w:rStyle w:val="FootnoteReference"/>
        </w:rPr>
        <w:footnoteRef/>
      </w:r>
      <w:r w:rsidRPr="002308DE">
        <w:tab/>
      </w:r>
      <w:r w:rsidRPr="003D4C12">
        <w:t>Commission Delegated Regulation 2019/1755 of 8 August 2019 amending the Annexes to Regulation (EC) No 1059/2003 of the European Parliament and of the Council on the establishment of a common classification of territorial units for statistics (NUTS). OJ L 270, 24.10.2019, p. 1–56</w:t>
      </w:r>
      <w:r>
        <w:t>.</w:t>
      </w:r>
    </w:p>
  </w:footnote>
  <w:footnote w:id="3">
    <w:p w:rsidR="001A62D7" w:rsidRPr="00A50D50" w:rsidRDefault="001A62D7" w:rsidP="001A62D7">
      <w:pPr>
        <w:pStyle w:val="FootnoteText"/>
      </w:pPr>
      <w:r w:rsidRPr="009B1FDB">
        <w:rPr>
          <w:rStyle w:val="FootnoteReference"/>
        </w:rPr>
        <w:footnoteRef/>
      </w:r>
      <w:r>
        <w:tab/>
      </w:r>
      <w:r w:rsidRPr="00A50D50">
        <w:t>OJ L 393, 30.12.2006, p. 1.</w:t>
      </w:r>
    </w:p>
  </w:footnote>
  <w:footnote w:id="4">
    <w:p w:rsidR="001A62D7" w:rsidRPr="00A50D50" w:rsidRDefault="001A62D7" w:rsidP="001A62D7">
      <w:pPr>
        <w:pStyle w:val="FootnoteText"/>
        <w:rPr>
          <w:lang w:val="en-US"/>
        </w:rPr>
      </w:pPr>
      <w:r w:rsidRPr="009B1FDB">
        <w:rPr>
          <w:rStyle w:val="FootnoteReference"/>
        </w:rPr>
        <w:footnoteRef/>
      </w:r>
      <w:r>
        <w:tab/>
      </w:r>
      <w:r w:rsidRPr="00A50D50">
        <w:t>In accordance with Article</w:t>
      </w:r>
      <w:r>
        <w:t> 7(5)</w:t>
      </w:r>
      <w:r w:rsidRPr="00A50D50">
        <w:t xml:space="preserve"> of Regulation </w:t>
      </w:r>
      <w:r w:rsidRPr="0063277E">
        <w:t>(EU) 2021/691.</w:t>
      </w:r>
    </w:p>
  </w:footnote>
  <w:footnote w:id="5">
    <w:p w:rsidR="00566198" w:rsidRPr="00566198" w:rsidRDefault="00566198">
      <w:pPr>
        <w:pStyle w:val="FootnoteText"/>
        <w:rPr>
          <w:lang w:val="en-IE"/>
        </w:rPr>
      </w:pPr>
      <w:r>
        <w:rPr>
          <w:rStyle w:val="FootnoteReference"/>
        </w:rPr>
        <w:footnoteRef/>
      </w:r>
      <w:r w:rsidRPr="00566198">
        <w:rPr>
          <w:lang w:val="en-IE"/>
        </w:rPr>
        <w:tab/>
      </w:r>
      <w:hyperlink r:id="rId1" w:history="1">
        <w:r w:rsidRPr="00566198">
          <w:rPr>
            <w:rStyle w:val="Hyperlink"/>
            <w:lang w:val="en-IE"/>
          </w:rPr>
          <w:t xml:space="preserve">Statbel. Number of </w:t>
        </w:r>
        <w:r w:rsidR="00EA5C15">
          <w:rPr>
            <w:rStyle w:val="Hyperlink"/>
            <w:lang w:val="en-IE"/>
          </w:rPr>
          <w:t>b</w:t>
        </w:r>
        <w:r w:rsidRPr="00566198">
          <w:rPr>
            <w:rStyle w:val="Hyperlink"/>
            <w:lang w:val="en-IE"/>
          </w:rPr>
          <w:t>ankruptcies and job losses in Belgium</w:t>
        </w:r>
      </w:hyperlink>
      <w:r>
        <w:rPr>
          <w:lang w:val="en-IE"/>
        </w:rPr>
        <w:t>.</w:t>
      </w:r>
    </w:p>
  </w:footnote>
  <w:footnote w:id="6">
    <w:p w:rsidR="0029417E" w:rsidRPr="0029417E" w:rsidRDefault="0029417E">
      <w:pPr>
        <w:pStyle w:val="FootnoteText"/>
        <w:rPr>
          <w:lang w:val="en-IE"/>
        </w:rPr>
      </w:pPr>
      <w:r>
        <w:rPr>
          <w:rStyle w:val="FootnoteReference"/>
        </w:rPr>
        <w:footnoteRef/>
      </w:r>
      <w:r w:rsidRPr="0029417E">
        <w:rPr>
          <w:lang w:val="en-IE"/>
        </w:rPr>
        <w:tab/>
      </w:r>
      <w:hyperlink r:id="rId2" w:history="1">
        <w:r w:rsidRPr="0029417E">
          <w:rPr>
            <w:rStyle w:val="Hyperlink"/>
            <w:lang w:val="en-IE"/>
          </w:rPr>
          <w:t xml:space="preserve">Statbel. Evolution of the number of bankruptcies and job losses per year. </w:t>
        </w:r>
      </w:hyperlink>
    </w:p>
  </w:footnote>
  <w:footnote w:id="7">
    <w:p w:rsidR="004E0712" w:rsidRPr="004E0712" w:rsidRDefault="004E0712">
      <w:pPr>
        <w:pStyle w:val="FootnoteText"/>
        <w:rPr>
          <w:lang w:val="en-IE"/>
        </w:rPr>
      </w:pPr>
      <w:r>
        <w:rPr>
          <w:rStyle w:val="FootnoteReference"/>
        </w:rPr>
        <w:footnoteRef/>
      </w:r>
      <w:r w:rsidRPr="004E0712">
        <w:rPr>
          <w:lang w:val="en-IE"/>
        </w:rPr>
        <w:tab/>
      </w:r>
      <w:hyperlink r:id="rId3" w:history="1">
        <w:r w:rsidRPr="00566198">
          <w:rPr>
            <w:rStyle w:val="Hyperlink"/>
            <w:lang w:val="en-IE"/>
          </w:rPr>
          <w:t xml:space="preserve">Statbel. Number of </w:t>
        </w:r>
        <w:r w:rsidR="00EA5C15">
          <w:rPr>
            <w:rStyle w:val="Hyperlink"/>
            <w:lang w:val="en-IE"/>
          </w:rPr>
          <w:t>b</w:t>
        </w:r>
        <w:r w:rsidRPr="00566198">
          <w:rPr>
            <w:rStyle w:val="Hyperlink"/>
            <w:lang w:val="en-IE"/>
          </w:rPr>
          <w:t>ankruptcies and job losses in Belgium</w:t>
        </w:r>
      </w:hyperlink>
      <w:r>
        <w:rPr>
          <w:lang w:val="en-IE"/>
        </w:rPr>
        <w:t>.</w:t>
      </w:r>
    </w:p>
  </w:footnote>
  <w:footnote w:id="8">
    <w:p w:rsidR="00CE4172" w:rsidRPr="00F425B1" w:rsidRDefault="00CE4172">
      <w:pPr>
        <w:pStyle w:val="FootnoteText"/>
        <w:rPr>
          <w:lang w:val="en-IE"/>
        </w:rPr>
      </w:pPr>
      <w:r>
        <w:rPr>
          <w:rStyle w:val="FootnoteReference"/>
        </w:rPr>
        <w:footnoteRef/>
      </w:r>
      <w:r w:rsidRPr="00F425B1">
        <w:rPr>
          <w:lang w:val="en-IE"/>
        </w:rPr>
        <w:tab/>
      </w:r>
      <w:hyperlink r:id="rId4" w:history="1">
        <w:r w:rsidRPr="00F425B1">
          <w:rPr>
            <w:rStyle w:val="Hyperlink"/>
            <w:lang w:val="en-IE"/>
          </w:rPr>
          <w:t>Arvastat.</w:t>
        </w:r>
      </w:hyperlink>
    </w:p>
  </w:footnote>
  <w:footnote w:id="9">
    <w:p w:rsidR="0055521B" w:rsidRPr="00260B9D" w:rsidRDefault="0055521B" w:rsidP="0055521B">
      <w:pPr>
        <w:pStyle w:val="FootnoteText"/>
        <w:rPr>
          <w:lang w:val="en-IE"/>
        </w:rPr>
      </w:pPr>
      <w:r>
        <w:rPr>
          <w:rStyle w:val="FootnoteReference"/>
        </w:rPr>
        <w:footnoteRef/>
      </w:r>
      <w:r w:rsidRPr="00260B9D">
        <w:rPr>
          <w:lang w:val="en-IE"/>
        </w:rPr>
        <w:tab/>
        <w:t>The Royal Decree of 10 November 2006 amending the Royal Decree of 9 March 2006.</w:t>
      </w:r>
    </w:p>
  </w:footnote>
  <w:footnote w:id="10">
    <w:p w:rsidR="00F33F5A" w:rsidRPr="00286C70" w:rsidRDefault="00F33F5A">
      <w:pPr>
        <w:pStyle w:val="FootnoteText"/>
        <w:rPr>
          <w:lang w:val="nl-BE"/>
        </w:rPr>
      </w:pPr>
      <w:r>
        <w:rPr>
          <w:rStyle w:val="FootnoteReference"/>
        </w:rPr>
        <w:footnoteRef/>
      </w:r>
      <w:r w:rsidRPr="00286C70">
        <w:rPr>
          <w:lang w:val="nl-BE"/>
        </w:rPr>
        <w:tab/>
        <w:t xml:space="preserve">Algemene Centrale der Liberale Vakbonden van België. </w:t>
      </w:r>
    </w:p>
  </w:footnote>
  <w:footnote w:id="11">
    <w:p w:rsidR="00A81EF9" w:rsidRPr="00286C70" w:rsidRDefault="00A81EF9">
      <w:pPr>
        <w:pStyle w:val="FootnoteText"/>
        <w:rPr>
          <w:lang w:val="nl-BE"/>
        </w:rPr>
      </w:pPr>
      <w:r>
        <w:rPr>
          <w:rStyle w:val="FootnoteReference"/>
        </w:rPr>
        <w:footnoteRef/>
      </w:r>
      <w:r w:rsidRPr="00286C70">
        <w:rPr>
          <w:lang w:val="nl-BE"/>
        </w:rPr>
        <w:tab/>
        <w:t>Algemeen Belgisch Vakverbond</w:t>
      </w:r>
    </w:p>
  </w:footnote>
  <w:footnote w:id="12">
    <w:p w:rsidR="00034F32" w:rsidRPr="00286C70" w:rsidRDefault="00034F32">
      <w:pPr>
        <w:pStyle w:val="FootnoteText"/>
        <w:rPr>
          <w:lang w:val="nl-BE"/>
        </w:rPr>
      </w:pPr>
      <w:r>
        <w:rPr>
          <w:rStyle w:val="FootnoteReference"/>
        </w:rPr>
        <w:footnoteRef/>
      </w:r>
      <w:r w:rsidRPr="00286C70">
        <w:rPr>
          <w:lang w:val="nl-BE"/>
        </w:rPr>
        <w:tab/>
        <w:t>Algemeen Christelijk Vakverbond.</w:t>
      </w:r>
    </w:p>
  </w:footnote>
  <w:footnote w:id="13">
    <w:p w:rsidR="001A62D7" w:rsidRPr="00286C70" w:rsidRDefault="001A62D7" w:rsidP="001A62D7">
      <w:pPr>
        <w:pStyle w:val="FootnoteText"/>
        <w:rPr>
          <w:lang w:val="nl-BE"/>
        </w:rPr>
      </w:pPr>
      <w:r>
        <w:rPr>
          <w:rStyle w:val="FootnoteReference"/>
        </w:rPr>
        <w:footnoteRef/>
      </w:r>
      <w:r w:rsidRPr="00286C70">
        <w:rPr>
          <w:lang w:val="nl-BE"/>
        </w:rPr>
        <w:tab/>
        <w:t>ISCED 0-2</w:t>
      </w:r>
    </w:p>
  </w:footnote>
  <w:footnote w:id="14">
    <w:p w:rsidR="001A62D7" w:rsidRPr="00286C70" w:rsidRDefault="001A62D7" w:rsidP="001A62D7">
      <w:pPr>
        <w:pStyle w:val="FootnoteText"/>
        <w:rPr>
          <w:lang w:val="nl-BE"/>
        </w:rPr>
      </w:pPr>
      <w:r>
        <w:rPr>
          <w:rStyle w:val="FootnoteReference"/>
        </w:rPr>
        <w:footnoteRef/>
      </w:r>
      <w:r w:rsidRPr="00286C70">
        <w:rPr>
          <w:lang w:val="nl-BE"/>
        </w:rPr>
        <w:tab/>
        <w:t>ISCED 3</w:t>
      </w:r>
    </w:p>
  </w:footnote>
  <w:footnote w:id="15">
    <w:p w:rsidR="001A62D7" w:rsidRPr="00286C70" w:rsidRDefault="001A62D7" w:rsidP="001A62D7">
      <w:pPr>
        <w:pStyle w:val="FootnoteText"/>
        <w:rPr>
          <w:lang w:val="nl-BE"/>
        </w:rPr>
      </w:pPr>
      <w:r>
        <w:rPr>
          <w:rStyle w:val="FootnoteReference"/>
        </w:rPr>
        <w:footnoteRef/>
      </w:r>
      <w:r w:rsidRPr="00286C70">
        <w:rPr>
          <w:lang w:val="nl-BE"/>
        </w:rPr>
        <w:tab/>
        <w:t>ISCED 4</w:t>
      </w:r>
    </w:p>
  </w:footnote>
  <w:footnote w:id="16">
    <w:p w:rsidR="001A62D7" w:rsidRPr="00286C70" w:rsidRDefault="001A62D7" w:rsidP="001A62D7">
      <w:pPr>
        <w:pStyle w:val="FootnoteText"/>
        <w:rPr>
          <w:lang w:val="nl-BE"/>
        </w:rPr>
      </w:pPr>
      <w:r>
        <w:rPr>
          <w:rStyle w:val="FootnoteReference"/>
        </w:rPr>
        <w:footnoteRef/>
      </w:r>
      <w:r w:rsidRPr="00286C70">
        <w:rPr>
          <w:lang w:val="nl-BE"/>
        </w:rPr>
        <w:tab/>
        <w:t>ISCED 5-8</w:t>
      </w:r>
    </w:p>
  </w:footnote>
  <w:footnote w:id="17">
    <w:p w:rsidR="00F33B64" w:rsidRPr="00286C70" w:rsidRDefault="00F33B64">
      <w:pPr>
        <w:pStyle w:val="FootnoteText"/>
        <w:rPr>
          <w:lang w:val="nl-BE"/>
        </w:rPr>
      </w:pPr>
      <w:r>
        <w:rPr>
          <w:rStyle w:val="FootnoteReference"/>
        </w:rPr>
        <w:footnoteRef/>
      </w:r>
      <w:r w:rsidRPr="00286C70">
        <w:rPr>
          <w:lang w:val="nl-BE"/>
        </w:rPr>
        <w:tab/>
        <w:t>Vlaamse Dienst voor Arbeidsbemiddeling en Beroepsopleiding (VDAB)</w:t>
      </w:r>
    </w:p>
  </w:footnote>
  <w:footnote w:id="18">
    <w:p w:rsidR="001A62D7" w:rsidRPr="00A31F0E" w:rsidRDefault="001A62D7" w:rsidP="001A62D7">
      <w:pPr>
        <w:pStyle w:val="FootnoteText"/>
      </w:pPr>
      <w:r>
        <w:rPr>
          <w:rStyle w:val="FootnoteReference"/>
        </w:rPr>
        <w:footnoteRef/>
      </w:r>
      <w:r w:rsidRPr="007244BC">
        <w:tab/>
        <w:t>To avoid decimals, the estimated costs per worker have been rounded. However, the rounding has no impact on the total cost of each measure, which remains as in the application submitted by</w:t>
      </w:r>
      <w:r>
        <w:t xml:space="preserve"> </w:t>
      </w:r>
      <w:r w:rsidR="00E31259">
        <w:t>Belgium.</w:t>
      </w:r>
    </w:p>
  </w:footnote>
  <w:footnote w:id="19">
    <w:p w:rsidR="001A62D7" w:rsidRPr="002060F6" w:rsidRDefault="001A62D7" w:rsidP="001A62D7">
      <w:pPr>
        <w:pStyle w:val="FootnoteText"/>
      </w:pPr>
      <w:r>
        <w:rPr>
          <w:rStyle w:val="FootnoteReference"/>
        </w:rPr>
        <w:footnoteRef/>
      </w:r>
      <w:r w:rsidRPr="007244BC">
        <w:tab/>
        <w:t>Totals do not tally due to rounding.</w:t>
      </w:r>
    </w:p>
  </w:footnote>
  <w:footnote w:id="20">
    <w:p w:rsidR="001A62D7" w:rsidRDefault="001A62D7" w:rsidP="001A62D7">
      <w:pPr>
        <w:pStyle w:val="FootnoteText"/>
        <w:rPr>
          <w:lang w:val="pl-PL"/>
        </w:rPr>
      </w:pPr>
      <w:r>
        <w:rPr>
          <w:rStyle w:val="FootnoteReference"/>
        </w:rPr>
        <w:footnoteRef/>
      </w:r>
      <w:r>
        <w:rPr>
          <w:lang w:val="pl-PL"/>
        </w:rPr>
        <w:tab/>
        <w:t>OJ L </w:t>
      </w:r>
      <w:r w:rsidRPr="0089670E">
        <w:rPr>
          <w:lang w:val="pl-PL"/>
        </w:rPr>
        <w:t>433</w:t>
      </w:r>
      <w:r>
        <w:rPr>
          <w:lang w:val="pl-PL"/>
        </w:rPr>
        <w:t xml:space="preserve"> I, 22.12.2020, p. 11.</w:t>
      </w:r>
    </w:p>
  </w:footnote>
  <w:footnote w:id="21">
    <w:p w:rsidR="001A62D7" w:rsidRPr="00265183" w:rsidRDefault="001A62D7" w:rsidP="001A62D7">
      <w:pPr>
        <w:pStyle w:val="FootnoteText"/>
        <w:rPr>
          <w:lang w:val="it-IT"/>
        </w:rPr>
      </w:pPr>
      <w:r>
        <w:rPr>
          <w:rStyle w:val="FootnoteReference"/>
        </w:rPr>
        <w:footnoteRef/>
      </w:r>
      <w:r w:rsidRPr="00265183">
        <w:rPr>
          <w:lang w:val="it-IT"/>
        </w:rPr>
        <w:tab/>
        <w:t>OJ L</w:t>
      </w:r>
      <w:r w:rsidR="00842DE2" w:rsidRPr="00265183">
        <w:rPr>
          <w:lang w:val="it-IT"/>
        </w:rPr>
        <w:t>,</w:t>
      </w:r>
      <w:r w:rsidRPr="00265183">
        <w:rPr>
          <w:lang w:val="it-IT"/>
        </w:rPr>
        <w:t> 2024/765, 29.2.2024,</w:t>
      </w:r>
      <w:r w:rsidR="00C054F9" w:rsidRPr="00265183">
        <w:rPr>
          <w:lang w:val="it-IT"/>
        </w:rPr>
        <w:t xml:space="preserve"> ELI: http://data.europa.eu/eli/reg/2024/765/oj</w:t>
      </w:r>
      <w:r w:rsidRPr="00265183">
        <w:rPr>
          <w:lang w:val="it-IT"/>
        </w:rPr>
        <w:t xml:space="preserve">. </w:t>
      </w:r>
    </w:p>
  </w:footnote>
  <w:footnote w:id="22">
    <w:p w:rsidR="001A62D7" w:rsidRDefault="001A62D7" w:rsidP="001A62D7">
      <w:pPr>
        <w:pStyle w:val="FootnoteText"/>
        <w:rPr>
          <w:lang w:val="pl-PL"/>
        </w:rPr>
      </w:pPr>
      <w:r>
        <w:rPr>
          <w:rStyle w:val="FootnoteReference"/>
        </w:rPr>
        <w:footnoteRef/>
      </w:r>
      <w:r>
        <w:rPr>
          <w:lang w:val="pl-PL"/>
        </w:rPr>
        <w:tab/>
        <w:t>OJ L 433 I, 22.12.2020, p. 28.</w:t>
      </w:r>
    </w:p>
  </w:footnote>
  <w:footnote w:id="23">
    <w:p w:rsidR="001A62D7" w:rsidRPr="00E76684" w:rsidRDefault="001A62D7" w:rsidP="001A62D7">
      <w:pPr>
        <w:pStyle w:val="FootnoteText"/>
      </w:pPr>
      <w:r>
        <w:rPr>
          <w:rStyle w:val="FootnoteReference"/>
        </w:rPr>
        <w:footnoteRef/>
      </w:r>
      <w:r w:rsidRPr="00E76684">
        <w:tab/>
      </w:r>
      <w:r w:rsidRPr="00B54269">
        <w:t>Regulation (EU, Euratom) 2024/2509 of the European Parliament and of the Council of 23 September 2024 on the financial rules applicable to the general budget of the Union (recast), OJ L, 2024/2509, 26.9.2024</w:t>
      </w:r>
      <w:r w:rsidR="00C054F9">
        <w:t xml:space="preserve">, </w:t>
      </w:r>
      <w:r w:rsidR="00C054F9" w:rsidRPr="00C054F9">
        <w:t>ELI: http://data.europa.eu/eli/reg/2024/2509/oj</w:t>
      </w:r>
      <w:r w:rsidRPr="00B54269">
        <w:t>.</w:t>
      </w:r>
    </w:p>
  </w:footnote>
  <w:footnote w:id="24">
    <w:p w:rsidR="001A62D7" w:rsidRDefault="001A62D7" w:rsidP="001A62D7">
      <w:pPr>
        <w:pStyle w:val="FootnoteText"/>
        <w:rPr>
          <w:lang w:val="pl-PL"/>
        </w:rPr>
      </w:pPr>
      <w:r>
        <w:rPr>
          <w:rStyle w:val="FootnoteReference"/>
        </w:rPr>
        <w:footnoteRef/>
      </w:r>
      <w:r>
        <w:rPr>
          <w:lang w:val="pl-PL"/>
        </w:rPr>
        <w:tab/>
      </w:r>
      <w:r w:rsidRPr="00640DB0">
        <w:rPr>
          <w:lang w:val="pl-PL"/>
        </w:rPr>
        <w:t>OJ L 153, 3.5.2021, p. 48.</w:t>
      </w:r>
    </w:p>
  </w:footnote>
  <w:footnote w:id="25">
    <w:p w:rsidR="001A62D7" w:rsidRPr="00973296" w:rsidRDefault="001A62D7" w:rsidP="001A62D7">
      <w:pPr>
        <w:pStyle w:val="FootnoteText"/>
      </w:pPr>
      <w:r>
        <w:rPr>
          <w:rStyle w:val="FootnoteReference"/>
        </w:rPr>
        <w:footnoteRef/>
      </w:r>
      <w:r w:rsidRPr="00973296">
        <w:tab/>
        <w:t>OJ L 433</w:t>
      </w:r>
      <w:r>
        <w:t xml:space="preserve"> I</w:t>
      </w:r>
      <w:r w:rsidRPr="00973296">
        <w:t xml:space="preserve">, 22.12.2020, p. </w:t>
      </w:r>
      <w:r>
        <w:t>28</w:t>
      </w:r>
    </w:p>
  </w:footnote>
  <w:footnote w:id="26">
    <w:p w:rsidR="001A62D7" w:rsidRPr="009F7C73" w:rsidRDefault="001A62D7" w:rsidP="001A62D7">
      <w:pPr>
        <w:pStyle w:val="FootnoteText"/>
      </w:pPr>
      <w:r w:rsidRPr="00872F86">
        <w:rPr>
          <w:rStyle w:val="FootnoteReference"/>
        </w:rPr>
        <w:footnoteRef/>
      </w:r>
      <w:r w:rsidRPr="009F7C73">
        <w:tab/>
      </w:r>
      <w:r w:rsidRPr="00270F9D">
        <w:t>Council Regulation (EU, Euratom) 2020/2093 of 17 December 2020 laying down the multiannual financial framework for the years 2021 to 2027</w:t>
      </w:r>
      <w:r>
        <w:t xml:space="preserve"> (</w:t>
      </w:r>
      <w:r>
        <w:rPr>
          <w:lang w:val="pl-PL"/>
        </w:rPr>
        <w:t>OJ L </w:t>
      </w:r>
      <w:r w:rsidRPr="0089670E">
        <w:rPr>
          <w:lang w:val="pl-PL"/>
        </w:rPr>
        <w:t>433</w:t>
      </w:r>
      <w:r>
        <w:rPr>
          <w:lang w:val="pl-PL"/>
        </w:rPr>
        <w:t xml:space="preserve"> I, 22.12.2020, p. 11).</w:t>
      </w:r>
    </w:p>
  </w:footnote>
  <w:footnote w:id="27">
    <w:p w:rsidR="001A62D7" w:rsidRPr="000A3457" w:rsidRDefault="001A62D7" w:rsidP="001A62D7">
      <w:pPr>
        <w:pStyle w:val="FootnoteText"/>
        <w:rPr>
          <w:lang w:val="fi-FI"/>
        </w:rPr>
      </w:pPr>
      <w:r>
        <w:rPr>
          <w:rStyle w:val="FootnoteReference"/>
        </w:rPr>
        <w:footnoteRef/>
      </w:r>
      <w:r w:rsidRPr="000A3457">
        <w:rPr>
          <w:lang w:val="fi-FI"/>
        </w:rPr>
        <w:tab/>
        <w:t>OJ L</w:t>
      </w:r>
      <w:r w:rsidR="00842DE2" w:rsidRPr="000A3457">
        <w:rPr>
          <w:lang w:val="fi-FI"/>
        </w:rPr>
        <w:t>,</w:t>
      </w:r>
      <w:r w:rsidRPr="000A3457">
        <w:rPr>
          <w:lang w:val="fi-FI"/>
        </w:rPr>
        <w:t> 2024/765, 29.2.2024</w:t>
      </w:r>
      <w:r w:rsidR="00EF01DB" w:rsidRPr="000A3457">
        <w:rPr>
          <w:lang w:val="fi-FI"/>
        </w:rPr>
        <w:t>, ELI: http://data.europa.eu/eli/reg/2024/765/oj</w:t>
      </w:r>
      <w:r w:rsidRPr="000A3457">
        <w:rPr>
          <w:lang w:val="fi-FI"/>
        </w:rPr>
        <w:t>.</w:t>
      </w:r>
    </w:p>
  </w:footnote>
  <w:footnote w:id="28">
    <w:p w:rsidR="001A62D7" w:rsidRPr="0097092E" w:rsidRDefault="001A62D7" w:rsidP="001A62D7">
      <w:pPr>
        <w:pStyle w:val="FootnoteText"/>
      </w:pPr>
      <w:r>
        <w:rPr>
          <w:rStyle w:val="FootnoteReference"/>
        </w:rPr>
        <w:footnoteRef/>
      </w:r>
      <w:r w:rsidRPr="0097092E">
        <w:rPr>
          <w:lang w:val="en-IE"/>
        </w:rPr>
        <w:tab/>
      </w:r>
      <w:r w:rsidR="00645F04">
        <w:rPr>
          <w:lang w:val="en-IE"/>
        </w:rPr>
        <w:t>COM(2026) 50.</w:t>
      </w:r>
    </w:p>
  </w:footnote>
  <w:footnote w:id="29">
    <w:p w:rsidR="00281AE4" w:rsidRPr="00281AE4" w:rsidRDefault="00281AE4">
      <w:pPr>
        <w:pStyle w:val="FootnoteText"/>
        <w:rPr>
          <w:lang w:val="en-IE"/>
        </w:rPr>
      </w:pPr>
      <w:r>
        <w:rPr>
          <w:rStyle w:val="FootnoteReference"/>
        </w:rPr>
        <w:t>*</w:t>
      </w:r>
      <w:r>
        <w:tab/>
      </w:r>
      <w:r w:rsidRPr="00855ED0">
        <w:rPr>
          <w:color w:val="FF0000"/>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15A" w:rsidRDefault="009111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15A" w:rsidRDefault="00911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9 11:46: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0030744-11EE-4F6E-806E-7695D46330F6"/>
    <w:docVar w:name="LW_COVERPAGE_TYPE" w:val="1"/>
    <w:docVar w:name="LW_CreatedUtc" w:val="2025-02-03T12:09:04.7855178Z"/>
    <w:docVar w:name="LW_CROSSREFERENCE" w:val="&lt;UNUSED&gt;"/>
    <w:docVar w:name="LW_DocType" w:val="COM"/>
    <w:docVar w:name="LW_EMISSION" w:val="30.4.2026"/>
    <w:docVar w:name="LW_EMISSION_ISODATE" w:val="2026-04-30"/>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097"/>
    <w:docVar w:name="LW_REF.II.NEW.CP_YEAR" w:val="2026"/>
    <w:docVar w:name="LW_REF.INST.NEW" w:val="COM"/>
    <w:docVar w:name="LW_REF.INST.NEW_ADOPTED" w:val="final"/>
    <w:docVar w:name="LW_REF.INST.NEW_TEXT" w:val="(2026) 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Globalisation Adjustment Fund for Displaced Workers following an application from Belgium \u8211? EGF/2025/009 BE/Soliver"/>
    <w:docVar w:name="LW_TYPE.DOC.CP" w:val="DECISION OF THE EUROPEAN PARLIAMENT AND OF THE COUNCIL"/>
    <w:docVar w:name="LwApiVersions" w:val="LW4CoDe 1.24.5.0; LW 9.2, Build 20251112"/>
  </w:docVars>
  <w:rsids>
    <w:rsidRoot w:val="001A62D7"/>
    <w:rsid w:val="0000083F"/>
    <w:rsid w:val="000021EA"/>
    <w:rsid w:val="000052CE"/>
    <w:rsid w:val="000155C2"/>
    <w:rsid w:val="000171AE"/>
    <w:rsid w:val="0001783E"/>
    <w:rsid w:val="00034F32"/>
    <w:rsid w:val="0005763D"/>
    <w:rsid w:val="000A1446"/>
    <w:rsid w:val="000A3457"/>
    <w:rsid w:val="000D02FF"/>
    <w:rsid w:val="000E1551"/>
    <w:rsid w:val="000E54A7"/>
    <w:rsid w:val="000F421F"/>
    <w:rsid w:val="001065F5"/>
    <w:rsid w:val="00107DA6"/>
    <w:rsid w:val="001238EF"/>
    <w:rsid w:val="0013042E"/>
    <w:rsid w:val="00133AB1"/>
    <w:rsid w:val="00135B76"/>
    <w:rsid w:val="00141A92"/>
    <w:rsid w:val="00197613"/>
    <w:rsid w:val="001A62D7"/>
    <w:rsid w:val="001C2EBA"/>
    <w:rsid w:val="001C70A2"/>
    <w:rsid w:val="001D3672"/>
    <w:rsid w:val="001D5602"/>
    <w:rsid w:val="001E1BFF"/>
    <w:rsid w:val="001F1BF2"/>
    <w:rsid w:val="00207E64"/>
    <w:rsid w:val="0022114D"/>
    <w:rsid w:val="00232A52"/>
    <w:rsid w:val="00233DC7"/>
    <w:rsid w:val="00241826"/>
    <w:rsid w:val="00242082"/>
    <w:rsid w:val="00247653"/>
    <w:rsid w:val="00247779"/>
    <w:rsid w:val="00250DD0"/>
    <w:rsid w:val="00260CD5"/>
    <w:rsid w:val="00265183"/>
    <w:rsid w:val="00281568"/>
    <w:rsid w:val="00281AE4"/>
    <w:rsid w:val="00283BE2"/>
    <w:rsid w:val="00285BEE"/>
    <w:rsid w:val="00286C70"/>
    <w:rsid w:val="0029417E"/>
    <w:rsid w:val="0029533F"/>
    <w:rsid w:val="00296ADB"/>
    <w:rsid w:val="002B30AF"/>
    <w:rsid w:val="002B529C"/>
    <w:rsid w:val="002C667E"/>
    <w:rsid w:val="002D162C"/>
    <w:rsid w:val="002F5D8B"/>
    <w:rsid w:val="003075BA"/>
    <w:rsid w:val="00327B30"/>
    <w:rsid w:val="0033344A"/>
    <w:rsid w:val="0033742C"/>
    <w:rsid w:val="00347B23"/>
    <w:rsid w:val="00377FD4"/>
    <w:rsid w:val="003827EA"/>
    <w:rsid w:val="00385ADE"/>
    <w:rsid w:val="003A5970"/>
    <w:rsid w:val="003B5B93"/>
    <w:rsid w:val="003D3D6D"/>
    <w:rsid w:val="003F4B17"/>
    <w:rsid w:val="003F4EF7"/>
    <w:rsid w:val="004079A2"/>
    <w:rsid w:val="0042300E"/>
    <w:rsid w:val="0042368B"/>
    <w:rsid w:val="0042648E"/>
    <w:rsid w:val="004619C8"/>
    <w:rsid w:val="00463A4D"/>
    <w:rsid w:val="00472E9F"/>
    <w:rsid w:val="004874E6"/>
    <w:rsid w:val="00492EF2"/>
    <w:rsid w:val="004936D2"/>
    <w:rsid w:val="004A0B30"/>
    <w:rsid w:val="004A53A7"/>
    <w:rsid w:val="004A5846"/>
    <w:rsid w:val="004B1583"/>
    <w:rsid w:val="004C0C1C"/>
    <w:rsid w:val="004D3EAA"/>
    <w:rsid w:val="004E0712"/>
    <w:rsid w:val="004E1AD7"/>
    <w:rsid w:val="004E5110"/>
    <w:rsid w:val="004E5B86"/>
    <w:rsid w:val="004F0C60"/>
    <w:rsid w:val="004F4579"/>
    <w:rsid w:val="004F5528"/>
    <w:rsid w:val="005051E1"/>
    <w:rsid w:val="005206E6"/>
    <w:rsid w:val="00532962"/>
    <w:rsid w:val="0054282B"/>
    <w:rsid w:val="0055521B"/>
    <w:rsid w:val="00566198"/>
    <w:rsid w:val="005B1EB6"/>
    <w:rsid w:val="005B5E5A"/>
    <w:rsid w:val="005B68D8"/>
    <w:rsid w:val="005C34B2"/>
    <w:rsid w:val="005D4FF1"/>
    <w:rsid w:val="005E047F"/>
    <w:rsid w:val="005E26D5"/>
    <w:rsid w:val="005F57AA"/>
    <w:rsid w:val="005F5B7C"/>
    <w:rsid w:val="00605200"/>
    <w:rsid w:val="00630A91"/>
    <w:rsid w:val="00634AC7"/>
    <w:rsid w:val="00645F04"/>
    <w:rsid w:val="006610FB"/>
    <w:rsid w:val="006713C7"/>
    <w:rsid w:val="006806E3"/>
    <w:rsid w:val="00687ABA"/>
    <w:rsid w:val="006B2E5B"/>
    <w:rsid w:val="006D166F"/>
    <w:rsid w:val="006D74FC"/>
    <w:rsid w:val="006D78FF"/>
    <w:rsid w:val="006E5D60"/>
    <w:rsid w:val="006F0E26"/>
    <w:rsid w:val="00707075"/>
    <w:rsid w:val="007266B5"/>
    <w:rsid w:val="00731699"/>
    <w:rsid w:val="0073171B"/>
    <w:rsid w:val="00733DEF"/>
    <w:rsid w:val="0075716A"/>
    <w:rsid w:val="00764BAD"/>
    <w:rsid w:val="007717BD"/>
    <w:rsid w:val="00773331"/>
    <w:rsid w:val="00783B1B"/>
    <w:rsid w:val="00786A7E"/>
    <w:rsid w:val="007932EF"/>
    <w:rsid w:val="00797CE1"/>
    <w:rsid w:val="007A0C2F"/>
    <w:rsid w:val="007B3690"/>
    <w:rsid w:val="007B73B4"/>
    <w:rsid w:val="007C116C"/>
    <w:rsid w:val="007C7D48"/>
    <w:rsid w:val="007E05B0"/>
    <w:rsid w:val="007E5241"/>
    <w:rsid w:val="007F016A"/>
    <w:rsid w:val="007F7AEF"/>
    <w:rsid w:val="007F7C31"/>
    <w:rsid w:val="00815D63"/>
    <w:rsid w:val="00822237"/>
    <w:rsid w:val="00822F61"/>
    <w:rsid w:val="00824751"/>
    <w:rsid w:val="00832804"/>
    <w:rsid w:val="00842DE2"/>
    <w:rsid w:val="0084757F"/>
    <w:rsid w:val="00847A75"/>
    <w:rsid w:val="00862F27"/>
    <w:rsid w:val="00874D22"/>
    <w:rsid w:val="008855AA"/>
    <w:rsid w:val="00887599"/>
    <w:rsid w:val="008925A4"/>
    <w:rsid w:val="00893F0A"/>
    <w:rsid w:val="008A2914"/>
    <w:rsid w:val="008B5E24"/>
    <w:rsid w:val="008C3FE7"/>
    <w:rsid w:val="008D2433"/>
    <w:rsid w:val="008E4D8E"/>
    <w:rsid w:val="008F049C"/>
    <w:rsid w:val="008F5442"/>
    <w:rsid w:val="0091115A"/>
    <w:rsid w:val="0094043E"/>
    <w:rsid w:val="00944322"/>
    <w:rsid w:val="0094444C"/>
    <w:rsid w:val="00944517"/>
    <w:rsid w:val="0095318D"/>
    <w:rsid w:val="00961654"/>
    <w:rsid w:val="00984FE9"/>
    <w:rsid w:val="00985D0A"/>
    <w:rsid w:val="00986BCD"/>
    <w:rsid w:val="00986DA0"/>
    <w:rsid w:val="009A476A"/>
    <w:rsid w:val="009A7C8E"/>
    <w:rsid w:val="009C2E1D"/>
    <w:rsid w:val="009D238C"/>
    <w:rsid w:val="009D3AF4"/>
    <w:rsid w:val="009F3301"/>
    <w:rsid w:val="00A27BD7"/>
    <w:rsid w:val="00A27D7C"/>
    <w:rsid w:val="00A36992"/>
    <w:rsid w:val="00A40F1B"/>
    <w:rsid w:val="00A748C9"/>
    <w:rsid w:val="00A81EF9"/>
    <w:rsid w:val="00A85F2E"/>
    <w:rsid w:val="00A90EB2"/>
    <w:rsid w:val="00A92EDE"/>
    <w:rsid w:val="00A93E41"/>
    <w:rsid w:val="00AA016E"/>
    <w:rsid w:val="00AA485E"/>
    <w:rsid w:val="00AC4216"/>
    <w:rsid w:val="00AE7D04"/>
    <w:rsid w:val="00AF0B1D"/>
    <w:rsid w:val="00B10303"/>
    <w:rsid w:val="00B10D37"/>
    <w:rsid w:val="00B17A01"/>
    <w:rsid w:val="00B17E47"/>
    <w:rsid w:val="00B316D7"/>
    <w:rsid w:val="00B33FA0"/>
    <w:rsid w:val="00B84B9C"/>
    <w:rsid w:val="00B95039"/>
    <w:rsid w:val="00BB0AE6"/>
    <w:rsid w:val="00BB34D8"/>
    <w:rsid w:val="00BB5342"/>
    <w:rsid w:val="00BC1E27"/>
    <w:rsid w:val="00BC2C58"/>
    <w:rsid w:val="00BC2E5E"/>
    <w:rsid w:val="00BC4D63"/>
    <w:rsid w:val="00BC7A56"/>
    <w:rsid w:val="00BD6159"/>
    <w:rsid w:val="00BD6920"/>
    <w:rsid w:val="00BE4826"/>
    <w:rsid w:val="00BF27AE"/>
    <w:rsid w:val="00C054F9"/>
    <w:rsid w:val="00C12301"/>
    <w:rsid w:val="00C16CCE"/>
    <w:rsid w:val="00C2027B"/>
    <w:rsid w:val="00C22000"/>
    <w:rsid w:val="00C22CCB"/>
    <w:rsid w:val="00C3171C"/>
    <w:rsid w:val="00C368C3"/>
    <w:rsid w:val="00C36A72"/>
    <w:rsid w:val="00C67372"/>
    <w:rsid w:val="00C73D01"/>
    <w:rsid w:val="00C75D00"/>
    <w:rsid w:val="00C76357"/>
    <w:rsid w:val="00C91721"/>
    <w:rsid w:val="00C966AD"/>
    <w:rsid w:val="00CA1197"/>
    <w:rsid w:val="00CA235E"/>
    <w:rsid w:val="00CA7EE1"/>
    <w:rsid w:val="00CC078D"/>
    <w:rsid w:val="00CC1BB7"/>
    <w:rsid w:val="00CD2326"/>
    <w:rsid w:val="00CD24F6"/>
    <w:rsid w:val="00CE0120"/>
    <w:rsid w:val="00CE4172"/>
    <w:rsid w:val="00D0426B"/>
    <w:rsid w:val="00D04C4F"/>
    <w:rsid w:val="00D135B4"/>
    <w:rsid w:val="00D13762"/>
    <w:rsid w:val="00D15047"/>
    <w:rsid w:val="00D20381"/>
    <w:rsid w:val="00D300AA"/>
    <w:rsid w:val="00D3296E"/>
    <w:rsid w:val="00D51A37"/>
    <w:rsid w:val="00D54F1D"/>
    <w:rsid w:val="00D574B1"/>
    <w:rsid w:val="00D6399D"/>
    <w:rsid w:val="00D64B73"/>
    <w:rsid w:val="00D723C4"/>
    <w:rsid w:val="00D7429C"/>
    <w:rsid w:val="00D746FE"/>
    <w:rsid w:val="00DA06D8"/>
    <w:rsid w:val="00DB5C1E"/>
    <w:rsid w:val="00DC0B2E"/>
    <w:rsid w:val="00DF7F81"/>
    <w:rsid w:val="00E1163B"/>
    <w:rsid w:val="00E30269"/>
    <w:rsid w:val="00E306C4"/>
    <w:rsid w:val="00E31259"/>
    <w:rsid w:val="00E346FB"/>
    <w:rsid w:val="00E42F7B"/>
    <w:rsid w:val="00E44FF0"/>
    <w:rsid w:val="00E53511"/>
    <w:rsid w:val="00E63255"/>
    <w:rsid w:val="00E65594"/>
    <w:rsid w:val="00E6650F"/>
    <w:rsid w:val="00E851BF"/>
    <w:rsid w:val="00EA5C15"/>
    <w:rsid w:val="00EB33C4"/>
    <w:rsid w:val="00EE4EA9"/>
    <w:rsid w:val="00EE5AD2"/>
    <w:rsid w:val="00EF01DB"/>
    <w:rsid w:val="00EF3F91"/>
    <w:rsid w:val="00F0286E"/>
    <w:rsid w:val="00F04468"/>
    <w:rsid w:val="00F07146"/>
    <w:rsid w:val="00F10FB1"/>
    <w:rsid w:val="00F33B64"/>
    <w:rsid w:val="00F33F5A"/>
    <w:rsid w:val="00F425B1"/>
    <w:rsid w:val="00F438C3"/>
    <w:rsid w:val="00F6052A"/>
    <w:rsid w:val="00F62339"/>
    <w:rsid w:val="00F62893"/>
    <w:rsid w:val="00F64D77"/>
    <w:rsid w:val="00F7510A"/>
    <w:rsid w:val="00F7776C"/>
    <w:rsid w:val="00F80243"/>
    <w:rsid w:val="00F87FDE"/>
    <w:rsid w:val="00F9787A"/>
    <w:rsid w:val="00FA5322"/>
    <w:rsid w:val="00FB61E6"/>
    <w:rsid w:val="00FC0259"/>
    <w:rsid w:val="00FC1DBA"/>
    <w:rsid w:val="00FC38F8"/>
    <w:rsid w:val="00FE3C57"/>
    <w:rsid w:val="00FF1A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val="fr-FR" w:eastAsia="en-GB"/>
    </w:rPr>
  </w:style>
  <w:style w:type="paragraph" w:styleId="ListBullet2">
    <w:name w:val="List Bullet 2"/>
    <w:basedOn w:val="Normal"/>
    <w:uiPriority w:val="99"/>
    <w:rsid w:val="001A62D7"/>
    <w:pPr>
      <w:numPr>
        <w:numId w:val="8"/>
      </w:numPr>
    </w:pPr>
    <w:rPr>
      <w:rFonts w:eastAsia="Times New Roman"/>
      <w:lang w:val="fr-FR" w:eastAsia="en-GB"/>
    </w:rPr>
  </w:style>
  <w:style w:type="paragraph" w:styleId="ListBullet3">
    <w:name w:val="List Bullet 3"/>
    <w:basedOn w:val="Normal"/>
    <w:uiPriority w:val="99"/>
    <w:rsid w:val="001A62D7"/>
    <w:pPr>
      <w:numPr>
        <w:numId w:val="9"/>
      </w:numPr>
    </w:pPr>
    <w:rPr>
      <w:rFonts w:eastAsia="Times New Roman"/>
      <w:lang w:val="fr-FR" w:eastAsia="en-GB"/>
    </w:rPr>
  </w:style>
  <w:style w:type="paragraph" w:styleId="ListNumber2">
    <w:name w:val="List Number 2"/>
    <w:basedOn w:val="Normal"/>
    <w:uiPriority w:val="99"/>
    <w:rsid w:val="001A62D7"/>
    <w:pPr>
      <w:numPr>
        <w:numId w:val="13"/>
      </w:numPr>
    </w:pPr>
    <w:rPr>
      <w:rFonts w:eastAsia="Times New Roman"/>
      <w:lang w:val="fr-FR" w:eastAsia="en-GB"/>
    </w:rPr>
  </w:style>
  <w:style w:type="paragraph" w:styleId="ListNumber3">
    <w:name w:val="List Number 3"/>
    <w:basedOn w:val="Normal"/>
    <w:uiPriority w:val="99"/>
    <w:rsid w:val="001A62D7"/>
    <w:pPr>
      <w:numPr>
        <w:numId w:val="14"/>
      </w:numPr>
    </w:pPr>
    <w:rPr>
      <w:rFonts w:eastAsia="Times New Roman"/>
      <w:lang w:val="fr-FR" w:eastAsia="en-GB"/>
    </w:rPr>
  </w:style>
  <w:style w:type="paragraph" w:styleId="ListNumber4">
    <w:name w:val="List Number 4"/>
    <w:basedOn w:val="Normal"/>
    <w:uiPriority w:val="99"/>
    <w:rsid w:val="001A62D7"/>
    <w:pPr>
      <w:numPr>
        <w:numId w:val="15"/>
      </w:numPr>
    </w:pPr>
    <w:rPr>
      <w:rFonts w:eastAsia="Times New Roman"/>
      <w:lang w:val="fr-FR" w:eastAsia="en-GB"/>
    </w:rPr>
  </w:style>
  <w:style w:type="paragraph" w:customStyle="1" w:styleId="ListDash3">
    <w:name w:val="List Dash 3"/>
    <w:basedOn w:val="Normal"/>
    <w:rsid w:val="001A62D7"/>
    <w:pPr>
      <w:numPr>
        <w:numId w:val="10"/>
      </w:numPr>
    </w:pPr>
    <w:rPr>
      <w:rFonts w:eastAsia="Times New Roman"/>
      <w:lang w:val="fr-FR" w:eastAsia="en-GB"/>
    </w:rPr>
  </w:style>
  <w:style w:type="paragraph" w:customStyle="1" w:styleId="ListDash4">
    <w:name w:val="List Dash 4"/>
    <w:basedOn w:val="Normal"/>
    <w:rsid w:val="001A62D7"/>
    <w:pPr>
      <w:numPr>
        <w:numId w:val="11"/>
      </w:numPr>
    </w:pPr>
    <w:rPr>
      <w:rFonts w:eastAsia="Times New Roman"/>
      <w:lang w:val="fr-FR" w:eastAsia="en-GB"/>
    </w:rPr>
  </w:style>
  <w:style w:type="paragraph" w:customStyle="1" w:styleId="ListNumber1">
    <w:name w:val="List Number 1"/>
    <w:basedOn w:val="Text1"/>
    <w:rsid w:val="001A62D7"/>
    <w:pPr>
      <w:numPr>
        <w:numId w:val="12"/>
      </w:numPr>
    </w:pPr>
    <w:rPr>
      <w:rFonts w:eastAsia="Times New Roman"/>
      <w:lang w:val="fr-FR" w:eastAsia="en-GB"/>
    </w:rPr>
  </w:style>
  <w:style w:type="paragraph" w:customStyle="1" w:styleId="ListNumber1Level2">
    <w:name w:val="List Number 1 (Level 2)"/>
    <w:basedOn w:val="Text1"/>
    <w:rsid w:val="001A62D7"/>
    <w:pPr>
      <w:numPr>
        <w:ilvl w:val="1"/>
        <w:numId w:val="12"/>
      </w:numPr>
    </w:pPr>
    <w:rPr>
      <w:rFonts w:eastAsia="Times New Roman"/>
      <w:lang w:val="fr-FR" w:eastAsia="en-GB"/>
    </w:rPr>
  </w:style>
  <w:style w:type="paragraph" w:customStyle="1" w:styleId="ListNumber2Level2">
    <w:name w:val="List Number 2 (Level 2)"/>
    <w:basedOn w:val="Text2"/>
    <w:rsid w:val="001A62D7"/>
    <w:pPr>
      <w:numPr>
        <w:ilvl w:val="1"/>
        <w:numId w:val="13"/>
      </w:numPr>
    </w:pPr>
    <w:rPr>
      <w:rFonts w:eastAsia="Times New Roman"/>
      <w:lang w:val="fr-FR" w:eastAsia="en-GB"/>
    </w:rPr>
  </w:style>
  <w:style w:type="paragraph" w:customStyle="1" w:styleId="ListNumber3Level2">
    <w:name w:val="List Number 3 (Level 2)"/>
    <w:basedOn w:val="Text3"/>
    <w:rsid w:val="001A62D7"/>
    <w:pPr>
      <w:numPr>
        <w:ilvl w:val="1"/>
        <w:numId w:val="14"/>
      </w:numPr>
    </w:pPr>
    <w:rPr>
      <w:rFonts w:eastAsia="Times New Roman"/>
      <w:lang w:val="fr-FR" w:eastAsia="en-GB"/>
    </w:rPr>
  </w:style>
  <w:style w:type="paragraph" w:customStyle="1" w:styleId="ListNumber4Level2">
    <w:name w:val="List Number 4 (Level 2)"/>
    <w:basedOn w:val="Text4"/>
    <w:rsid w:val="001A62D7"/>
    <w:pPr>
      <w:numPr>
        <w:ilvl w:val="1"/>
        <w:numId w:val="15"/>
      </w:numPr>
    </w:pPr>
    <w:rPr>
      <w:rFonts w:eastAsia="Times New Roman"/>
      <w:lang w:val="fr-FR" w:eastAsia="en-GB"/>
    </w:rPr>
  </w:style>
  <w:style w:type="paragraph" w:customStyle="1" w:styleId="ListNumber1Level3">
    <w:name w:val="List Number 1 (Level 3)"/>
    <w:basedOn w:val="Text1"/>
    <w:rsid w:val="001A62D7"/>
    <w:pPr>
      <w:numPr>
        <w:ilvl w:val="2"/>
        <w:numId w:val="12"/>
      </w:numPr>
    </w:pPr>
    <w:rPr>
      <w:rFonts w:eastAsia="Times New Roman"/>
      <w:lang w:val="fr-FR" w:eastAsia="en-GB"/>
    </w:rPr>
  </w:style>
  <w:style w:type="paragraph" w:customStyle="1" w:styleId="ListNumber2Level3">
    <w:name w:val="List Number 2 (Level 3)"/>
    <w:basedOn w:val="Text2"/>
    <w:rsid w:val="001A62D7"/>
    <w:pPr>
      <w:numPr>
        <w:ilvl w:val="2"/>
        <w:numId w:val="13"/>
      </w:numPr>
    </w:pPr>
    <w:rPr>
      <w:rFonts w:eastAsia="Times New Roman"/>
      <w:lang w:val="fr-FR" w:eastAsia="en-GB"/>
    </w:rPr>
  </w:style>
  <w:style w:type="paragraph" w:customStyle="1" w:styleId="ListNumber3Level3">
    <w:name w:val="List Number 3 (Level 3)"/>
    <w:basedOn w:val="Text3"/>
    <w:rsid w:val="001A62D7"/>
    <w:pPr>
      <w:numPr>
        <w:ilvl w:val="2"/>
        <w:numId w:val="14"/>
      </w:numPr>
    </w:pPr>
    <w:rPr>
      <w:rFonts w:eastAsia="Times New Roman"/>
      <w:lang w:val="fr-FR" w:eastAsia="en-GB"/>
    </w:rPr>
  </w:style>
  <w:style w:type="paragraph" w:customStyle="1" w:styleId="ListNumber4Level3">
    <w:name w:val="List Number 4 (Level 3)"/>
    <w:basedOn w:val="Text4"/>
    <w:rsid w:val="001A62D7"/>
    <w:pPr>
      <w:numPr>
        <w:ilvl w:val="2"/>
        <w:numId w:val="15"/>
      </w:numPr>
    </w:pPr>
    <w:rPr>
      <w:rFonts w:eastAsia="Times New Roman"/>
      <w:lang w:val="fr-FR" w:eastAsia="en-GB"/>
    </w:rPr>
  </w:style>
  <w:style w:type="paragraph" w:customStyle="1" w:styleId="ListNumber1Level4">
    <w:name w:val="List Number 1 (Level 4)"/>
    <w:basedOn w:val="Text1"/>
    <w:rsid w:val="001A62D7"/>
    <w:pPr>
      <w:numPr>
        <w:ilvl w:val="3"/>
        <w:numId w:val="12"/>
      </w:numPr>
    </w:pPr>
    <w:rPr>
      <w:rFonts w:eastAsia="Times New Roman"/>
      <w:lang w:val="fr-FR" w:eastAsia="en-GB"/>
    </w:rPr>
  </w:style>
  <w:style w:type="paragraph" w:customStyle="1" w:styleId="ListNumber2Level4">
    <w:name w:val="List Number 2 (Level 4)"/>
    <w:basedOn w:val="Text2"/>
    <w:rsid w:val="001A62D7"/>
    <w:pPr>
      <w:numPr>
        <w:ilvl w:val="3"/>
        <w:numId w:val="13"/>
      </w:numPr>
    </w:pPr>
    <w:rPr>
      <w:rFonts w:eastAsia="Times New Roman"/>
      <w:lang w:val="fr-FR" w:eastAsia="en-GB"/>
    </w:rPr>
  </w:style>
  <w:style w:type="paragraph" w:customStyle="1" w:styleId="ListNumber3Level4">
    <w:name w:val="List Number 3 (Level 4)"/>
    <w:basedOn w:val="Text3"/>
    <w:rsid w:val="001A62D7"/>
    <w:pPr>
      <w:numPr>
        <w:ilvl w:val="3"/>
        <w:numId w:val="14"/>
      </w:numPr>
    </w:pPr>
    <w:rPr>
      <w:rFonts w:eastAsia="Times New Roman"/>
      <w:lang w:val="fr-FR" w:eastAsia="en-GB"/>
    </w:rPr>
  </w:style>
  <w:style w:type="paragraph" w:customStyle="1" w:styleId="ListNumber4Level4">
    <w:name w:val="List Number 4 (Level 4)"/>
    <w:basedOn w:val="Text4"/>
    <w:rsid w:val="001A62D7"/>
    <w:pPr>
      <w:numPr>
        <w:ilvl w:val="3"/>
        <w:numId w:val="15"/>
      </w:numPr>
    </w:pPr>
    <w:rPr>
      <w:rFonts w:eastAsia="Times New Roman"/>
      <w:lang w:val="fr-FR" w:eastAsia="en-GB"/>
    </w:rPr>
  </w:style>
  <w:style w:type="paragraph" w:customStyle="1" w:styleId="Annexetitreacte">
    <w:name w:val="Annexe titre (acte)"/>
    <w:basedOn w:val="Normal"/>
    <w:next w:val="Normal"/>
    <w:rsid w:val="001A62D7"/>
    <w:pPr>
      <w:jc w:val="center"/>
    </w:pPr>
    <w:rPr>
      <w:rFonts w:eastAsia="Times New Roman"/>
      <w:b/>
      <w:u w:val="single"/>
      <w:lang w:val="fr-FR" w:eastAsia="en-GB"/>
    </w:rPr>
  </w:style>
  <w:style w:type="paragraph" w:customStyle="1" w:styleId="Annexetitreexposglobal">
    <w:name w:val="Annexe titre (exposé global)"/>
    <w:basedOn w:val="Normal"/>
    <w:next w:val="Normal"/>
    <w:rsid w:val="001A62D7"/>
    <w:pPr>
      <w:jc w:val="center"/>
    </w:pPr>
    <w:rPr>
      <w:rFonts w:eastAsia="Times New Roman"/>
      <w:b/>
      <w:u w:val="single"/>
      <w:lang w:val="fr-FR" w:eastAsia="en-GB"/>
    </w:rPr>
  </w:style>
  <w:style w:type="paragraph" w:customStyle="1" w:styleId="Annexetitrefichefinacte">
    <w:name w:val="Annexe titre (fiche fin. acte)"/>
    <w:basedOn w:val="Normal"/>
    <w:next w:val="Normal"/>
    <w:rsid w:val="001A62D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val="fr-FR" w:eastAsia="en-GB"/>
    </w:rPr>
  </w:style>
  <w:style w:type="paragraph" w:customStyle="1" w:styleId="Annexetitreglobale">
    <w:name w:val="Annexe titre (globale)"/>
    <w:basedOn w:val="Normal"/>
    <w:next w:val="Normal"/>
    <w:rsid w:val="001A62D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val="fr-FR" w:eastAsia="en-GB"/>
    </w:rPr>
  </w:style>
  <w:style w:type="paragraph" w:customStyle="1" w:styleId="Langueoriginale">
    <w:name w:val="Langue originale"/>
    <w:basedOn w:val="Normal"/>
    <w:rsid w:val="001A62D7"/>
    <w:pPr>
      <w:spacing w:before="360"/>
      <w:jc w:val="center"/>
    </w:pPr>
    <w:rPr>
      <w:rFonts w:eastAsia="Times New Roman"/>
      <w:caps/>
      <w:lang w:val="fr-FR" w:eastAsia="en-GB"/>
    </w:rPr>
  </w:style>
  <w:style w:type="paragraph" w:customStyle="1" w:styleId="Phrasefinale">
    <w:name w:val="Phrase finale"/>
    <w:basedOn w:val="Normal"/>
    <w:next w:val="Normal"/>
    <w:rsid w:val="001A62D7"/>
    <w:pPr>
      <w:spacing w:before="360" w:after="0"/>
      <w:jc w:val="center"/>
    </w:pPr>
    <w:rPr>
      <w:rFonts w:eastAsia="Times New Roman"/>
      <w:lang w:val="fr-FR" w:eastAsia="en-GB"/>
    </w:rPr>
  </w:style>
  <w:style w:type="paragraph" w:customStyle="1" w:styleId="Prliminairetitre">
    <w:name w:val="Préliminaire titre"/>
    <w:basedOn w:val="Normal"/>
    <w:next w:val="Normal"/>
    <w:rsid w:val="001A62D7"/>
    <w:pPr>
      <w:spacing w:before="360" w:after="360"/>
      <w:jc w:val="center"/>
    </w:pPr>
    <w:rPr>
      <w:rFonts w:eastAsia="Times New Roman"/>
      <w:b/>
      <w:lang w:val="fr-FR" w:eastAsia="en-GB"/>
    </w:rPr>
  </w:style>
  <w:style w:type="paragraph" w:customStyle="1" w:styleId="Prliminairetype">
    <w:name w:val="Préliminaire type"/>
    <w:basedOn w:val="Normal"/>
    <w:next w:val="Normal"/>
    <w:rsid w:val="001A62D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A62D7"/>
    <w:pPr>
      <w:spacing w:before="0" w:after="0"/>
      <w:jc w:val="center"/>
    </w:pPr>
    <w:rPr>
      <w:rFonts w:eastAsia="Times New Roman"/>
      <w:b/>
      <w:lang w:val="fr-FR" w:eastAsia="en-GB"/>
    </w:rPr>
  </w:style>
  <w:style w:type="paragraph" w:customStyle="1" w:styleId="Statutprliminaire">
    <w:name w:val="Statut (préliminaire)"/>
    <w:basedOn w:val="Normal"/>
    <w:next w:val="Normal"/>
    <w:rsid w:val="001A62D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val="fr-FR"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val="fr-FR"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val="fr-FR" w:eastAsia="en-GB"/>
    </w:rPr>
  </w:style>
  <w:style w:type="paragraph" w:styleId="TableofFigures">
    <w:name w:val="table of figures"/>
    <w:basedOn w:val="Normal"/>
    <w:next w:val="Normal"/>
    <w:uiPriority w:val="99"/>
    <w:rsid w:val="001A62D7"/>
    <w:rPr>
      <w:rFonts w:eastAsia="Times New Roman"/>
      <w:lang w:val="fr-FR"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en-GB"/>
    </w:rPr>
  </w:style>
  <w:style w:type="character" w:customStyle="1" w:styleId="FooterCoverPageChar">
    <w:name w:val="Footer Cover Page Char"/>
    <w:link w:val="FooterCoverPage"/>
    <w:rsid w:val="001A62D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en-GB" w:eastAsia="en-GB"/>
    </w:rPr>
  </w:style>
  <w:style w:type="character" w:customStyle="1" w:styleId="FooterSensitivityChar">
    <w:name w:val="Footer Sensitivity Char"/>
    <w:rsid w:val="001A62D7"/>
    <w:rPr>
      <w:rFonts w:ascii="Times New Roman" w:hAnsi="Times New Roman" w:cs="Times New Roman"/>
      <w:b/>
      <w:sz w:val="32"/>
      <w:lang w:val="en-GB"/>
    </w:rPr>
  </w:style>
  <w:style w:type="character" w:customStyle="1" w:styleId="HeaderSensitivityChar">
    <w:name w:val="Header Sensitivity Char"/>
    <w:rsid w:val="001A62D7"/>
    <w:rPr>
      <w:rFonts w:ascii="Times New Roman" w:hAnsi="Times New Roman" w:cs="Times New Roman"/>
      <w:b/>
      <w:sz w:val="32"/>
      <w:lang w:val="en-GB"/>
    </w:rPr>
  </w:style>
  <w:style w:type="character" w:customStyle="1" w:styleId="HeaderSensitivityRightChar">
    <w:name w:val="Header Sensitivity Right Char"/>
    <w:rsid w:val="001A62D7"/>
    <w:rPr>
      <w:rFonts w:ascii="Times New Roman" w:hAnsi="Times New Roman" w:cs="Times New Roman"/>
      <w:sz w:val="28"/>
      <w:lang w:val="en-GB"/>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91115A"/>
    <w:rPr>
      <w:rFonts w:ascii="Times New Roman" w:hAnsi="Times New Roman" w:cs="Times New Roman"/>
      <w:sz w:val="24"/>
      <w:lang w:val="en-GB"/>
    </w:rPr>
  </w:style>
  <w:style w:type="character" w:customStyle="1" w:styleId="FooterChar">
    <w:name w:val="Footer Char"/>
    <w:basedOn w:val="DefaultParagraphFont"/>
    <w:link w:val="Footer"/>
    <w:uiPriority w:val="99"/>
    <w:rsid w:val="0091115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1115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1115A"/>
    <w:pPr>
      <w:spacing w:before="0"/>
      <w:jc w:val="right"/>
    </w:pPr>
    <w:rPr>
      <w:sz w:val="28"/>
    </w:rPr>
  </w:style>
  <w:style w:type="paragraph" w:customStyle="1" w:styleId="FooterSensitivity">
    <w:name w:val="Footer Sensitivity"/>
    <w:basedOn w:val="Normal"/>
    <w:rsid w:val="0091115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1115A"/>
    <w:pPr>
      <w:tabs>
        <w:tab w:val="center" w:pos="4535"/>
        <w:tab w:val="right" w:pos="9071"/>
      </w:tabs>
      <w:spacing w:before="0"/>
    </w:pPr>
  </w:style>
  <w:style w:type="paragraph" w:customStyle="1" w:styleId="HeaderLandscape">
    <w:name w:val="HeaderLandscape"/>
    <w:basedOn w:val="Normal"/>
    <w:rsid w:val="0091115A"/>
    <w:pPr>
      <w:tabs>
        <w:tab w:val="center" w:pos="7285"/>
        <w:tab w:val="right" w:pos="14003"/>
      </w:tabs>
      <w:spacing w:before="0"/>
    </w:pPr>
  </w:style>
  <w:style w:type="paragraph" w:styleId="Footer">
    <w:name w:val="footer"/>
    <w:basedOn w:val="Normal"/>
    <w:link w:val="FooterChar"/>
    <w:uiPriority w:val="99"/>
    <w:unhideWhenUsed/>
    <w:rsid w:val="0091115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1115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bestat.statbel.fgov.be/bestat/crosstable.xhtml?view=6f20761b-a0f9-44d6-835a-168417863f4e" TargetMode="External"/><Relationship Id="rId2" Type="http://schemas.openxmlformats.org/officeDocument/2006/relationships/hyperlink" Target="https://statbel.fgov.be/en/news/272-bankruptcies-week-49" TargetMode="External"/><Relationship Id="rId1" Type="http://schemas.openxmlformats.org/officeDocument/2006/relationships/hyperlink" Target="https://bestat.statbel.fgov.be/bestat/crosstable.xhtml?view=6f20761b-a0f9-44d6-835a-168417863f4e" TargetMode="External"/><Relationship Id="rId4" Type="http://schemas.openxmlformats.org/officeDocument/2006/relationships/hyperlink" Target="https://arvastat.vdab.be/wz/basisstatistieken/kengetall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02BA2-A5D0-4CD5-BA89-53A1348D1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12</Pages>
  <Words>3447</Words>
  <Characters>19652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2026-03-24T10:08:00Z</cp:lastPrinted>
  <dcterms:created xsi:type="dcterms:W3CDTF">2026-03-25T11:54:00Z</dcterms:created>
  <dcterms:modified xsi:type="dcterms:W3CDTF">2026-04-29T09:46:00Z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