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257913" w:rsidRDefault="00254281" w:rsidP="0025428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84E0F9C-EA63-4D05-BBCF-DC637B967E77" style="width:455.25pt;height:357.75pt">
            <v:imagedata r:id="rId8" o:title=""/>
          </v:shape>
        </w:pict>
      </w:r>
    </w:p>
    <w:p w:rsidR="001A62D7" w:rsidRPr="00257913" w:rsidRDefault="001A62D7" w:rsidP="001A62D7">
      <w:pPr>
        <w:rPr>
          <w:noProof/>
        </w:rPr>
        <w:sectPr w:rsidR="001A62D7" w:rsidRPr="00257913" w:rsidSect="00254281">
          <w:footerReference w:type="even" r:id="rId9"/>
          <w:footerReference w:type="default" r:id="rId10"/>
          <w:pgSz w:w="11907" w:h="16839"/>
          <w:pgMar w:top="1134" w:right="1417" w:bottom="1134" w:left="1417" w:header="709" w:footer="709" w:gutter="0"/>
          <w:pgNumType w:start="0"/>
          <w:cols w:space="720"/>
          <w:docGrid w:linePitch="360"/>
        </w:sectPr>
      </w:pPr>
    </w:p>
    <w:p w:rsidR="001A62D7" w:rsidRPr="00257913" w:rsidRDefault="001A62D7" w:rsidP="001A62D7">
      <w:pPr>
        <w:pStyle w:val="Exposdesmotifstitre"/>
        <w:rPr>
          <w:noProof/>
        </w:rPr>
      </w:pPr>
      <w:bookmarkStart w:id="0" w:name="_GoBack"/>
      <w:bookmarkEnd w:id="0"/>
      <w:r w:rsidRPr="00257913">
        <w:rPr>
          <w:noProof/>
        </w:rPr>
        <w:lastRenderedPageBreak/>
        <w:t>EXPOSÉ DES MOTIFS</w:t>
      </w:r>
    </w:p>
    <w:p w:rsidR="001A62D7" w:rsidRPr="00257913" w:rsidRDefault="001A62D7" w:rsidP="001A62D7">
      <w:pPr>
        <w:pStyle w:val="ManualHeading1"/>
        <w:rPr>
          <w:noProof/>
        </w:rPr>
      </w:pPr>
      <w:r w:rsidRPr="00257913">
        <w:rPr>
          <w:noProof/>
        </w:rPr>
        <w:t>CONTEXTE DE LA PROPOSITION</w:t>
      </w:r>
    </w:p>
    <w:p w:rsidR="001A62D7" w:rsidRPr="00257913" w:rsidRDefault="001A62D7" w:rsidP="00AE7D04">
      <w:pPr>
        <w:pStyle w:val="ManualNumPar1"/>
        <w:rPr>
          <w:noProof/>
        </w:rPr>
      </w:pPr>
      <w:r>
        <w:rPr>
          <w:noProof/>
        </w:rPr>
        <w:t>1.</w:t>
      </w:r>
      <w:r>
        <w:rPr>
          <w:noProof/>
        </w:rPr>
        <w:tab/>
      </w:r>
      <w:r w:rsidRPr="00257913">
        <w:rPr>
          <w:noProof/>
        </w:rPr>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sidRPr="00257913">
        <w:rPr>
          <w:rStyle w:val="FootnoteReference"/>
          <w:noProof/>
        </w:rPr>
        <w:footnoteReference w:id="1"/>
      </w:r>
      <w:r w:rsidRPr="00257913">
        <w:rPr>
          <w:noProof/>
        </w:rPr>
        <w:t>.</w:t>
      </w:r>
    </w:p>
    <w:p w:rsidR="001A62D7" w:rsidRPr="00257913" w:rsidRDefault="001A62D7" w:rsidP="00AE7D04">
      <w:pPr>
        <w:pStyle w:val="ManualNumPar1"/>
        <w:rPr>
          <w:noProof/>
        </w:rPr>
      </w:pPr>
      <w:r>
        <w:rPr>
          <w:noProof/>
        </w:rPr>
        <w:t>2.</w:t>
      </w:r>
      <w:r>
        <w:rPr>
          <w:noProof/>
        </w:rPr>
        <w:tab/>
      </w:r>
      <w:r w:rsidRPr="00257913">
        <w:rPr>
          <w:noProof/>
        </w:rPr>
        <w:t>Le 22</w:t>
      </w:r>
      <w:r w:rsidR="0051785A" w:rsidRPr="00257913">
        <w:rPr>
          <w:noProof/>
        </w:rPr>
        <w:t> </w:t>
      </w:r>
      <w:r w:rsidRPr="00257913">
        <w:rPr>
          <w:noProof/>
        </w:rPr>
        <w:t>décembre 2025, les autorités belges ont introduit la demande EGF/</w:t>
      </w:r>
      <w:bookmarkStart w:id="1" w:name="EGF_Ref_Year"/>
      <w:r w:rsidRPr="00257913">
        <w:rPr>
          <w:noProof/>
        </w:rPr>
        <w:t>2025</w:t>
      </w:r>
      <w:bookmarkEnd w:id="1"/>
      <w:r w:rsidRPr="00257913">
        <w:rPr>
          <w:noProof/>
        </w:rPr>
        <w:t>/</w:t>
      </w:r>
      <w:bookmarkStart w:id="2" w:name="EGF_Ref_CaseNumber"/>
      <w:r w:rsidRPr="00257913">
        <w:rPr>
          <w:noProof/>
        </w:rPr>
        <w:t>009</w:t>
      </w:r>
      <w:bookmarkEnd w:id="2"/>
      <w:r w:rsidRPr="00257913">
        <w:rPr>
          <w:noProof/>
        </w:rPr>
        <w:t> </w:t>
      </w:r>
      <w:bookmarkStart w:id="3" w:name="MS_Code"/>
      <w:r w:rsidRPr="00257913">
        <w:rPr>
          <w:noProof/>
        </w:rPr>
        <w:t>BE</w:t>
      </w:r>
      <w:bookmarkEnd w:id="3"/>
      <w:r w:rsidRPr="00257913">
        <w:rPr>
          <w:noProof/>
        </w:rPr>
        <w:t>/</w:t>
      </w:r>
      <w:bookmarkStart w:id="4" w:name="EGF_Ref_CaseName"/>
      <w:r w:rsidRPr="00257913">
        <w:rPr>
          <w:noProof/>
        </w:rPr>
        <w:t>Soliver</w:t>
      </w:r>
      <w:bookmarkEnd w:id="4"/>
      <w:r w:rsidRPr="00257913">
        <w:rPr>
          <w:noProof/>
        </w:rPr>
        <w:t xml:space="preserve"> en vue d’obtenir une contribution financière du FEM, à la suite de licenciements au sein de </w:t>
      </w:r>
      <w:bookmarkStart w:id="5" w:name="PrimEnterprise_Name"/>
      <w:r w:rsidRPr="00257913">
        <w:rPr>
          <w:noProof/>
        </w:rPr>
        <w:t>Soliver NV (Soliver)</w:t>
      </w:r>
      <w:bookmarkEnd w:id="5"/>
      <w:r w:rsidRPr="00257913">
        <w:rPr>
          <w:noProof/>
        </w:rPr>
        <w:t xml:space="preserve"> en Belgique</w:t>
      </w:r>
      <w:bookmarkStart w:id="6" w:name="MS_Name"/>
      <w:bookmarkEnd w:id="6"/>
      <w:r w:rsidRPr="00257913">
        <w:rPr>
          <w:noProof/>
        </w:rPr>
        <w:t>.</w:t>
      </w:r>
    </w:p>
    <w:p w:rsidR="001A62D7" w:rsidRPr="00257913" w:rsidRDefault="001A62D7" w:rsidP="00AE7D04">
      <w:pPr>
        <w:pStyle w:val="ManualNumPar1"/>
        <w:rPr>
          <w:noProof/>
        </w:rPr>
      </w:pPr>
      <w:r>
        <w:rPr>
          <w:noProof/>
        </w:rPr>
        <w:t>3.</w:t>
      </w:r>
      <w:r>
        <w:rPr>
          <w:noProof/>
        </w:rPr>
        <w:tab/>
      </w:r>
      <w:r w:rsidRPr="00257913">
        <w:rPr>
          <w:noProof/>
        </w:rPr>
        <w:t xml:space="preserve">Au terme de l’évaluation de cette demande, la Commission a conclu, conformément à l’ensemble des dispositions applicables du règlement (UE) 2021/691, que les conditions d’octroi d’une contribution financière au titre du FEM sont remplies. </w:t>
      </w:r>
    </w:p>
    <w:p w:rsidR="001A62D7" w:rsidRPr="00257913" w:rsidRDefault="001A62D7" w:rsidP="001A62D7">
      <w:pPr>
        <w:pStyle w:val="ManualHeading1"/>
        <w:rPr>
          <w:noProof/>
        </w:rPr>
      </w:pPr>
      <w:r w:rsidRPr="00257913">
        <w:rPr>
          <w:noProof/>
        </w:rPr>
        <w:t>SYNTHÈSE DE LA DEMANDE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257913" w:rsidTr="001D5990">
        <w:tc>
          <w:tcPr>
            <w:tcW w:w="4908" w:type="dxa"/>
            <w:shd w:val="clear" w:color="auto" w:fill="auto"/>
          </w:tcPr>
          <w:p w:rsidR="001A62D7" w:rsidRPr="00257913" w:rsidRDefault="001A62D7" w:rsidP="001D5990">
            <w:pPr>
              <w:spacing w:before="60" w:after="60"/>
              <w:jc w:val="left"/>
              <w:rPr>
                <w:rFonts w:eastAsia="Calibri"/>
                <w:noProof/>
              </w:rPr>
            </w:pPr>
            <w:r w:rsidRPr="00257913">
              <w:rPr>
                <w:noProof/>
              </w:rPr>
              <w:t>Numéro de la demande FEM</w:t>
            </w:r>
          </w:p>
        </w:tc>
        <w:tc>
          <w:tcPr>
            <w:tcW w:w="4379" w:type="dxa"/>
            <w:shd w:val="clear" w:color="auto" w:fill="auto"/>
          </w:tcPr>
          <w:p w:rsidR="001A62D7" w:rsidRPr="00257913" w:rsidRDefault="001A62D7" w:rsidP="001D5990">
            <w:pPr>
              <w:spacing w:before="60" w:after="60"/>
              <w:ind w:rightChars="192" w:right="461"/>
              <w:jc w:val="left"/>
              <w:rPr>
                <w:rFonts w:eastAsia="Calibri"/>
                <w:noProof/>
              </w:rPr>
            </w:pPr>
            <w:r w:rsidRPr="00257913">
              <w:rPr>
                <w:noProof/>
              </w:rPr>
              <w:t>EGF/2025/009 BE/Soliver</w:t>
            </w:r>
          </w:p>
        </w:tc>
      </w:tr>
      <w:tr w:rsidR="001A62D7" w:rsidRPr="00257913" w:rsidTr="001D5990">
        <w:tc>
          <w:tcPr>
            <w:tcW w:w="4908" w:type="dxa"/>
            <w:shd w:val="clear" w:color="auto" w:fill="auto"/>
          </w:tcPr>
          <w:p w:rsidR="001A62D7" w:rsidRPr="00257913" w:rsidRDefault="001A62D7" w:rsidP="001D5990">
            <w:pPr>
              <w:spacing w:before="60" w:after="60"/>
              <w:jc w:val="left"/>
              <w:rPr>
                <w:rFonts w:eastAsia="Calibri"/>
                <w:noProof/>
              </w:rPr>
            </w:pPr>
            <w:r w:rsidRPr="00257913">
              <w:rPr>
                <w:noProof/>
              </w:rPr>
              <w:t>État membre</w:t>
            </w:r>
          </w:p>
        </w:tc>
        <w:tc>
          <w:tcPr>
            <w:tcW w:w="4379" w:type="dxa"/>
            <w:shd w:val="clear" w:color="auto" w:fill="auto"/>
          </w:tcPr>
          <w:p w:rsidR="001A62D7" w:rsidRPr="00257913" w:rsidRDefault="005B68D8" w:rsidP="001D5990">
            <w:pPr>
              <w:spacing w:before="60" w:after="60"/>
              <w:ind w:rightChars="192" w:right="461"/>
              <w:jc w:val="left"/>
              <w:rPr>
                <w:rFonts w:eastAsia="Calibri"/>
                <w:noProof/>
              </w:rPr>
            </w:pPr>
            <w:r w:rsidRPr="00257913">
              <w:rPr>
                <w:noProof/>
              </w:rPr>
              <w:t>Belgique</w:t>
            </w:r>
          </w:p>
        </w:tc>
      </w:tr>
      <w:tr w:rsidR="001A62D7" w:rsidRPr="00F53D6B" w:rsidTr="001D5990">
        <w:tc>
          <w:tcPr>
            <w:tcW w:w="4908" w:type="dxa"/>
            <w:tcBorders>
              <w:bottom w:val="single" w:sz="4" w:space="0" w:color="auto"/>
            </w:tcBorders>
            <w:shd w:val="clear" w:color="auto" w:fill="auto"/>
          </w:tcPr>
          <w:p w:rsidR="001A62D7" w:rsidRPr="00257913" w:rsidRDefault="001A62D7" w:rsidP="001D5990">
            <w:pPr>
              <w:spacing w:before="60" w:after="60"/>
              <w:jc w:val="left"/>
              <w:rPr>
                <w:rFonts w:eastAsia="Calibri"/>
                <w:noProof/>
              </w:rPr>
            </w:pPr>
            <w:r w:rsidRPr="00257913">
              <w:rPr>
                <w:noProof/>
              </w:rPr>
              <w:t>Région(s) concernée(s) (niveau NUTS 2</w:t>
            </w:r>
            <w:r w:rsidRPr="00257913">
              <w:rPr>
                <w:rStyle w:val="FootnoteReference"/>
                <w:noProof/>
              </w:rPr>
              <w:footnoteReference w:id="2"/>
            </w:r>
            <w:r w:rsidRPr="00257913">
              <w:rPr>
                <w:noProof/>
              </w:rPr>
              <w:t>).</w:t>
            </w:r>
          </w:p>
        </w:tc>
        <w:tc>
          <w:tcPr>
            <w:tcW w:w="4379" w:type="dxa"/>
            <w:tcBorders>
              <w:bottom w:val="single" w:sz="4" w:space="0" w:color="auto"/>
            </w:tcBorders>
            <w:shd w:val="clear" w:color="auto" w:fill="auto"/>
          </w:tcPr>
          <w:p w:rsidR="001A62D7" w:rsidRPr="00F53D6B" w:rsidRDefault="00F9787A" w:rsidP="001D5990">
            <w:pPr>
              <w:spacing w:before="0" w:after="0"/>
              <w:ind w:rightChars="192" w:right="461"/>
              <w:jc w:val="left"/>
              <w:rPr>
                <w:noProof/>
                <w:szCs w:val="24"/>
                <w:lang w:val="en-IE"/>
              </w:rPr>
            </w:pPr>
            <w:r w:rsidRPr="00F53D6B">
              <w:rPr>
                <w:noProof/>
                <w:lang w:val="en-IE"/>
              </w:rPr>
              <w:t xml:space="preserve">Provincie Oost-Vlaanderen (BE23) et </w:t>
            </w:r>
            <w:bookmarkStart w:id="7" w:name="Region_1_Name"/>
            <w:r w:rsidRPr="00F53D6B">
              <w:rPr>
                <w:noProof/>
                <w:lang w:val="en-IE"/>
              </w:rPr>
              <w:t>Provincie West-Vlaanderen</w:t>
            </w:r>
            <w:bookmarkEnd w:id="7"/>
            <w:r w:rsidRPr="00F53D6B">
              <w:rPr>
                <w:noProof/>
                <w:lang w:val="en-IE"/>
              </w:rPr>
              <w:t xml:space="preserve"> (BE25) </w:t>
            </w:r>
          </w:p>
        </w:tc>
      </w:tr>
      <w:tr w:rsidR="001A62D7" w:rsidRPr="00257913" w:rsidTr="001D5990">
        <w:tc>
          <w:tcPr>
            <w:tcW w:w="4908" w:type="dxa"/>
            <w:tcBorders>
              <w:bottom w:val="dotted" w:sz="4" w:space="0" w:color="auto"/>
            </w:tcBorders>
            <w:shd w:val="clear" w:color="auto" w:fill="auto"/>
          </w:tcPr>
          <w:p w:rsidR="001A62D7" w:rsidRPr="00257913" w:rsidRDefault="001A62D7" w:rsidP="001D5990">
            <w:pPr>
              <w:spacing w:before="60" w:after="60"/>
              <w:jc w:val="left"/>
              <w:rPr>
                <w:rFonts w:eastAsia="Calibri"/>
                <w:noProof/>
              </w:rPr>
            </w:pPr>
            <w:r w:rsidRPr="00257913">
              <w:rPr>
                <w:noProof/>
              </w:rPr>
              <w:t>Date de dépôt de la demande</w:t>
            </w:r>
          </w:p>
        </w:tc>
        <w:tc>
          <w:tcPr>
            <w:tcW w:w="4379" w:type="dxa"/>
            <w:tcBorders>
              <w:bottom w:val="dotted" w:sz="4" w:space="0" w:color="auto"/>
            </w:tcBorders>
            <w:shd w:val="clear" w:color="auto" w:fill="auto"/>
          </w:tcPr>
          <w:p w:rsidR="001A62D7" w:rsidRPr="00257913" w:rsidRDefault="000D02FF" w:rsidP="001D5990">
            <w:pPr>
              <w:spacing w:before="60" w:after="60"/>
              <w:ind w:rightChars="192" w:right="461"/>
              <w:jc w:val="left"/>
              <w:rPr>
                <w:rFonts w:eastAsia="Calibri"/>
                <w:noProof/>
              </w:rPr>
            </w:pPr>
            <w:r w:rsidRPr="00257913">
              <w:rPr>
                <w:noProof/>
              </w:rPr>
              <w:t>22</w:t>
            </w:r>
            <w:r w:rsidR="0051785A" w:rsidRPr="00257913">
              <w:rPr>
                <w:noProof/>
              </w:rPr>
              <w:t> </w:t>
            </w:r>
            <w:r w:rsidRPr="00257913">
              <w:rPr>
                <w:noProof/>
              </w:rPr>
              <w:t>décembre 2025</w:t>
            </w:r>
          </w:p>
        </w:tc>
      </w:tr>
      <w:tr w:rsidR="001A62D7" w:rsidRPr="00257913" w:rsidTr="001D5990">
        <w:tc>
          <w:tcPr>
            <w:tcW w:w="4908" w:type="dxa"/>
            <w:tcBorders>
              <w:top w:val="dotted" w:sz="4" w:space="0" w:color="auto"/>
              <w:bottom w:val="dotted" w:sz="4" w:space="0" w:color="auto"/>
            </w:tcBorders>
            <w:shd w:val="clear" w:color="auto" w:fill="auto"/>
          </w:tcPr>
          <w:p w:rsidR="001A62D7" w:rsidRPr="00257913" w:rsidRDefault="001A62D7" w:rsidP="001D5990">
            <w:pPr>
              <w:spacing w:before="60" w:after="60"/>
              <w:jc w:val="left"/>
              <w:rPr>
                <w:rFonts w:eastAsia="Calibri"/>
                <w:noProof/>
              </w:rPr>
            </w:pPr>
            <w:r w:rsidRPr="00257913">
              <w:rPr>
                <w:noProof/>
              </w:rPr>
              <w:t>Date d’accusé de réception de la demande</w:t>
            </w:r>
          </w:p>
        </w:tc>
        <w:tc>
          <w:tcPr>
            <w:tcW w:w="4379" w:type="dxa"/>
            <w:tcBorders>
              <w:top w:val="dotted" w:sz="4" w:space="0" w:color="auto"/>
              <w:bottom w:val="dotted" w:sz="4" w:space="0" w:color="auto"/>
            </w:tcBorders>
            <w:shd w:val="clear" w:color="auto" w:fill="auto"/>
          </w:tcPr>
          <w:p w:rsidR="001A62D7" w:rsidRPr="00257913" w:rsidRDefault="000D02FF" w:rsidP="001D5990">
            <w:pPr>
              <w:spacing w:before="60" w:after="60"/>
              <w:ind w:rightChars="192" w:right="461"/>
              <w:jc w:val="left"/>
              <w:rPr>
                <w:rFonts w:eastAsia="Calibri"/>
                <w:noProof/>
              </w:rPr>
            </w:pPr>
            <w:r w:rsidRPr="00257913">
              <w:rPr>
                <w:noProof/>
              </w:rPr>
              <w:t>17</w:t>
            </w:r>
            <w:r w:rsidR="0051785A" w:rsidRPr="00257913">
              <w:rPr>
                <w:noProof/>
              </w:rPr>
              <w:t> </w:t>
            </w:r>
            <w:r w:rsidRPr="00257913">
              <w:rPr>
                <w:noProof/>
              </w:rPr>
              <w:t>février 2026</w:t>
            </w:r>
          </w:p>
        </w:tc>
      </w:tr>
      <w:tr w:rsidR="001A62D7" w:rsidRPr="00257913" w:rsidTr="001D5990">
        <w:tc>
          <w:tcPr>
            <w:tcW w:w="4908" w:type="dxa"/>
            <w:tcBorders>
              <w:top w:val="dotted" w:sz="4" w:space="0" w:color="auto"/>
              <w:bottom w:val="dotted" w:sz="4" w:space="0" w:color="auto"/>
            </w:tcBorders>
            <w:shd w:val="clear" w:color="auto" w:fill="auto"/>
          </w:tcPr>
          <w:p w:rsidR="001A62D7" w:rsidRPr="00257913" w:rsidRDefault="001A62D7" w:rsidP="001D5990">
            <w:pPr>
              <w:spacing w:before="60" w:after="60"/>
              <w:jc w:val="left"/>
              <w:rPr>
                <w:rFonts w:eastAsia="Calibri"/>
                <w:noProof/>
              </w:rPr>
            </w:pPr>
            <w:r w:rsidRPr="00257913">
              <w:rPr>
                <w:noProof/>
              </w:rPr>
              <w:t>Date de demande d’informations complémentaires</w:t>
            </w:r>
          </w:p>
        </w:tc>
        <w:tc>
          <w:tcPr>
            <w:tcW w:w="4379" w:type="dxa"/>
            <w:tcBorders>
              <w:top w:val="dotted" w:sz="4" w:space="0" w:color="auto"/>
              <w:bottom w:val="dotted" w:sz="4" w:space="0" w:color="auto"/>
            </w:tcBorders>
            <w:shd w:val="clear" w:color="auto" w:fill="auto"/>
          </w:tcPr>
          <w:p w:rsidR="001A62D7" w:rsidRPr="00257913" w:rsidRDefault="000D02FF" w:rsidP="001D5990">
            <w:pPr>
              <w:spacing w:before="60" w:after="60"/>
              <w:ind w:rightChars="192" w:right="461"/>
              <w:jc w:val="left"/>
              <w:rPr>
                <w:rFonts w:eastAsia="Calibri"/>
                <w:noProof/>
              </w:rPr>
            </w:pPr>
            <w:r w:rsidRPr="00257913">
              <w:rPr>
                <w:noProof/>
              </w:rPr>
              <w:t>17</w:t>
            </w:r>
            <w:r w:rsidR="0051785A" w:rsidRPr="00257913">
              <w:rPr>
                <w:noProof/>
              </w:rPr>
              <w:t> </w:t>
            </w:r>
            <w:r w:rsidRPr="00257913">
              <w:rPr>
                <w:noProof/>
              </w:rPr>
              <w:t>février 2026</w:t>
            </w:r>
          </w:p>
        </w:tc>
      </w:tr>
      <w:tr w:rsidR="001A62D7" w:rsidRPr="00257913" w:rsidTr="001D5990">
        <w:tc>
          <w:tcPr>
            <w:tcW w:w="4908" w:type="dxa"/>
            <w:tcBorders>
              <w:top w:val="dotted" w:sz="4" w:space="0" w:color="auto"/>
              <w:bottom w:val="dotted" w:sz="4" w:space="0" w:color="auto"/>
            </w:tcBorders>
            <w:shd w:val="clear" w:color="auto" w:fill="auto"/>
          </w:tcPr>
          <w:p w:rsidR="001A62D7" w:rsidRPr="00257913" w:rsidRDefault="001A62D7" w:rsidP="001D5990">
            <w:pPr>
              <w:spacing w:before="60" w:after="60"/>
              <w:jc w:val="left"/>
              <w:rPr>
                <w:rFonts w:eastAsia="Calibri"/>
                <w:noProof/>
              </w:rPr>
            </w:pPr>
            <w:r w:rsidRPr="00257913">
              <w:rPr>
                <w:noProof/>
              </w:rPr>
              <w:t>Date limite pour la communication des informations complémentaires</w:t>
            </w:r>
          </w:p>
        </w:tc>
        <w:tc>
          <w:tcPr>
            <w:tcW w:w="4379" w:type="dxa"/>
            <w:tcBorders>
              <w:top w:val="dotted" w:sz="4" w:space="0" w:color="auto"/>
              <w:bottom w:val="dotted" w:sz="4" w:space="0" w:color="auto"/>
            </w:tcBorders>
            <w:shd w:val="clear" w:color="auto" w:fill="auto"/>
          </w:tcPr>
          <w:p w:rsidR="001A62D7" w:rsidRPr="00257913" w:rsidRDefault="000D02FF" w:rsidP="001D5990">
            <w:pPr>
              <w:spacing w:before="60" w:after="60"/>
              <w:ind w:rightChars="192" w:right="461"/>
              <w:jc w:val="left"/>
              <w:rPr>
                <w:rFonts w:eastAsia="Calibri"/>
                <w:noProof/>
              </w:rPr>
            </w:pPr>
            <w:r w:rsidRPr="00257913">
              <w:rPr>
                <w:noProof/>
              </w:rPr>
              <w:t>10</w:t>
            </w:r>
            <w:r w:rsidR="0051785A" w:rsidRPr="00257913">
              <w:rPr>
                <w:noProof/>
              </w:rPr>
              <w:t> </w:t>
            </w:r>
            <w:r w:rsidRPr="00257913">
              <w:rPr>
                <w:noProof/>
              </w:rPr>
              <w:t>mars 2026</w:t>
            </w:r>
          </w:p>
        </w:tc>
      </w:tr>
      <w:tr w:rsidR="001A62D7" w:rsidRPr="00257913" w:rsidTr="001D5990">
        <w:tc>
          <w:tcPr>
            <w:tcW w:w="4908" w:type="dxa"/>
            <w:tcBorders>
              <w:top w:val="dotted" w:sz="4" w:space="0" w:color="auto"/>
            </w:tcBorders>
            <w:shd w:val="clear" w:color="auto" w:fill="auto"/>
          </w:tcPr>
          <w:p w:rsidR="001A62D7" w:rsidRPr="00257913" w:rsidRDefault="001A62D7" w:rsidP="001D5990">
            <w:pPr>
              <w:spacing w:before="60" w:after="60"/>
              <w:jc w:val="left"/>
              <w:rPr>
                <w:rFonts w:eastAsia="Calibri"/>
                <w:noProof/>
              </w:rPr>
            </w:pPr>
            <w:r w:rsidRPr="00257913">
              <w:rPr>
                <w:noProof/>
              </w:rPr>
              <w:t>Date limite pour la réalisation de l’évaluation</w:t>
            </w:r>
          </w:p>
        </w:tc>
        <w:tc>
          <w:tcPr>
            <w:tcW w:w="4379" w:type="dxa"/>
            <w:tcBorders>
              <w:top w:val="dotted" w:sz="4" w:space="0" w:color="auto"/>
            </w:tcBorders>
            <w:shd w:val="clear" w:color="auto" w:fill="auto"/>
          </w:tcPr>
          <w:p w:rsidR="001A62D7" w:rsidRPr="00257913" w:rsidRDefault="000D02FF" w:rsidP="001D5990">
            <w:pPr>
              <w:spacing w:before="60" w:after="60"/>
              <w:ind w:rightChars="192" w:right="461"/>
              <w:jc w:val="left"/>
              <w:rPr>
                <w:rFonts w:eastAsia="Calibri"/>
                <w:noProof/>
              </w:rPr>
            </w:pPr>
            <w:r w:rsidRPr="00257913">
              <w:rPr>
                <w:noProof/>
              </w:rPr>
              <w:t>28</w:t>
            </w:r>
            <w:r w:rsidR="0051785A" w:rsidRPr="00257913">
              <w:rPr>
                <w:noProof/>
              </w:rPr>
              <w:t> </w:t>
            </w:r>
            <w:r w:rsidRPr="00257913">
              <w:rPr>
                <w:noProof/>
              </w:rPr>
              <w:t>mai 2026</w:t>
            </w:r>
          </w:p>
        </w:tc>
      </w:tr>
      <w:tr w:rsidR="001A62D7" w:rsidRPr="00257913" w:rsidTr="001D5990">
        <w:tc>
          <w:tcPr>
            <w:tcW w:w="4908" w:type="dxa"/>
            <w:shd w:val="clear" w:color="auto" w:fill="auto"/>
          </w:tcPr>
          <w:p w:rsidR="001A62D7" w:rsidRPr="00257913" w:rsidRDefault="001A62D7" w:rsidP="001D5990">
            <w:pPr>
              <w:spacing w:before="60" w:after="60"/>
              <w:jc w:val="left"/>
              <w:rPr>
                <w:rFonts w:eastAsia="Calibri"/>
                <w:noProof/>
              </w:rPr>
            </w:pPr>
            <w:r w:rsidRPr="00257913">
              <w:rPr>
                <w:noProof/>
              </w:rPr>
              <w:t>Critère d’intervention</w:t>
            </w:r>
          </w:p>
        </w:tc>
        <w:tc>
          <w:tcPr>
            <w:tcW w:w="4379" w:type="dxa"/>
            <w:shd w:val="clear" w:color="auto" w:fill="auto"/>
          </w:tcPr>
          <w:p w:rsidR="001A62D7" w:rsidRPr="00257913" w:rsidRDefault="001A62D7" w:rsidP="001D5990">
            <w:pPr>
              <w:spacing w:before="60" w:after="60"/>
              <w:ind w:rightChars="192" w:right="461"/>
              <w:jc w:val="left"/>
              <w:rPr>
                <w:rFonts w:eastAsia="Calibri"/>
                <w:noProof/>
              </w:rPr>
            </w:pPr>
            <w:r w:rsidRPr="00257913">
              <w:rPr>
                <w:noProof/>
              </w:rPr>
              <w:t>Article 4, paragraphe 2, point a), du règlement (UE) 2021/691</w:t>
            </w:r>
          </w:p>
        </w:tc>
      </w:tr>
      <w:tr w:rsidR="001A62D7" w:rsidRPr="00257913" w:rsidTr="001D5990">
        <w:tc>
          <w:tcPr>
            <w:tcW w:w="4908" w:type="dxa"/>
            <w:tcBorders>
              <w:top w:val="single" w:sz="4" w:space="0" w:color="auto"/>
              <w:bottom w:val="single" w:sz="4" w:space="0" w:color="auto"/>
              <w:right w:val="single" w:sz="4" w:space="0" w:color="auto"/>
            </w:tcBorders>
            <w:shd w:val="clear" w:color="auto" w:fill="auto"/>
          </w:tcPr>
          <w:p w:rsidR="001A62D7" w:rsidRPr="00257913" w:rsidRDefault="001A62D7" w:rsidP="001D5990">
            <w:pPr>
              <w:spacing w:before="60" w:after="60"/>
              <w:jc w:val="left"/>
              <w:rPr>
                <w:rFonts w:eastAsia="Calibri"/>
                <w:noProof/>
              </w:rPr>
            </w:pPr>
            <w:r w:rsidRPr="00257913">
              <w:rPr>
                <w:noProof/>
              </w:rPr>
              <w:br w:type="page"/>
              <w:t>Entreprise principale concernée</w:t>
            </w:r>
          </w:p>
        </w:tc>
        <w:tc>
          <w:tcPr>
            <w:tcW w:w="4379" w:type="dxa"/>
            <w:tcBorders>
              <w:top w:val="single" w:sz="4" w:space="0" w:color="auto"/>
              <w:left w:val="single" w:sz="4" w:space="0" w:color="auto"/>
              <w:bottom w:val="single" w:sz="4" w:space="0" w:color="auto"/>
            </w:tcBorders>
            <w:shd w:val="clear" w:color="auto" w:fill="auto"/>
          </w:tcPr>
          <w:p w:rsidR="001A62D7" w:rsidRPr="00257913" w:rsidRDefault="006B2E5B" w:rsidP="001D5990">
            <w:pPr>
              <w:spacing w:before="60" w:after="60"/>
              <w:ind w:rightChars="192" w:right="461"/>
              <w:jc w:val="left"/>
              <w:rPr>
                <w:noProof/>
                <w:szCs w:val="24"/>
              </w:rPr>
            </w:pPr>
            <w:r w:rsidRPr="00257913">
              <w:rPr>
                <w:noProof/>
              </w:rPr>
              <w:t xml:space="preserve">Soliver NV </w:t>
            </w:r>
          </w:p>
        </w:tc>
      </w:tr>
      <w:tr w:rsidR="001A62D7" w:rsidRPr="00257913" w:rsidTr="001D5990">
        <w:tc>
          <w:tcPr>
            <w:tcW w:w="4908" w:type="dxa"/>
            <w:shd w:val="clear" w:color="auto" w:fill="auto"/>
          </w:tcPr>
          <w:p w:rsidR="001A62D7" w:rsidRPr="00257913" w:rsidRDefault="001A62D7" w:rsidP="001D5990">
            <w:pPr>
              <w:spacing w:before="60" w:after="60"/>
              <w:jc w:val="left"/>
              <w:rPr>
                <w:rFonts w:eastAsia="Calibri"/>
                <w:noProof/>
              </w:rPr>
            </w:pPr>
            <w:r w:rsidRPr="00257913">
              <w:rPr>
                <w:noProof/>
              </w:rPr>
              <w:t>Secteur(s) d’activité économique</w:t>
            </w:r>
          </w:p>
          <w:p w:rsidR="001A62D7" w:rsidRPr="00257913" w:rsidRDefault="001A62D7" w:rsidP="001D5990">
            <w:pPr>
              <w:spacing w:before="60" w:after="60"/>
              <w:jc w:val="left"/>
              <w:rPr>
                <w:rFonts w:eastAsia="Calibri"/>
                <w:noProof/>
              </w:rPr>
            </w:pPr>
            <w:r w:rsidRPr="00257913">
              <w:rPr>
                <w:noProof/>
              </w:rPr>
              <w:t>(division de la NACE Rév. 2)</w:t>
            </w:r>
            <w:r w:rsidRPr="00257913">
              <w:rPr>
                <w:rStyle w:val="FootnoteReference"/>
                <w:noProof/>
                <w:szCs w:val="24"/>
              </w:rPr>
              <w:footnoteReference w:id="3"/>
            </w:r>
          </w:p>
        </w:tc>
        <w:tc>
          <w:tcPr>
            <w:tcW w:w="4379" w:type="dxa"/>
            <w:shd w:val="clear" w:color="auto" w:fill="auto"/>
          </w:tcPr>
          <w:p w:rsidR="001A62D7" w:rsidRPr="00257913" w:rsidRDefault="001A62D7" w:rsidP="001D5990">
            <w:pPr>
              <w:spacing w:before="60" w:after="60"/>
              <w:ind w:rightChars="192" w:right="461"/>
              <w:jc w:val="left"/>
              <w:rPr>
                <w:noProof/>
                <w:szCs w:val="24"/>
              </w:rPr>
            </w:pPr>
            <w:r w:rsidRPr="00257913">
              <w:rPr>
                <w:noProof/>
              </w:rPr>
              <w:t>Division 46 (</w:t>
            </w:r>
            <w:bookmarkStart w:id="8" w:name="_Hlk224138901"/>
            <w:r w:rsidRPr="00257913">
              <w:rPr>
                <w:noProof/>
              </w:rPr>
              <w:t>Commerce de gros</w:t>
            </w:r>
            <w:bookmarkEnd w:id="8"/>
            <w:r w:rsidRPr="00257913">
              <w:rPr>
                <w:noProof/>
              </w:rPr>
              <w:t>)</w:t>
            </w:r>
          </w:p>
        </w:tc>
      </w:tr>
      <w:tr w:rsidR="001A62D7" w:rsidRPr="00257913" w:rsidTr="001D5990">
        <w:tc>
          <w:tcPr>
            <w:tcW w:w="4908" w:type="dxa"/>
            <w:tcBorders>
              <w:bottom w:val="single" w:sz="4" w:space="0" w:color="auto"/>
            </w:tcBorders>
            <w:shd w:val="clear" w:color="auto" w:fill="auto"/>
          </w:tcPr>
          <w:p w:rsidR="001A62D7" w:rsidRPr="00257913" w:rsidRDefault="001A62D7" w:rsidP="001D5990">
            <w:pPr>
              <w:spacing w:before="60" w:after="60"/>
              <w:jc w:val="left"/>
              <w:rPr>
                <w:rFonts w:eastAsia="Calibri"/>
                <w:noProof/>
              </w:rPr>
            </w:pPr>
            <w:r w:rsidRPr="00257913">
              <w:rPr>
                <w:noProof/>
              </w:rPr>
              <w:t>Période de référence (quatre mois):</w:t>
            </w:r>
          </w:p>
        </w:tc>
        <w:tc>
          <w:tcPr>
            <w:tcW w:w="4379" w:type="dxa"/>
            <w:tcBorders>
              <w:bottom w:val="single" w:sz="4" w:space="0" w:color="auto"/>
            </w:tcBorders>
            <w:shd w:val="clear" w:color="auto" w:fill="auto"/>
          </w:tcPr>
          <w:p w:rsidR="001A62D7" w:rsidRPr="00257913" w:rsidRDefault="000D02FF" w:rsidP="001D5990">
            <w:pPr>
              <w:spacing w:before="60" w:after="60"/>
              <w:ind w:rightChars="192" w:right="461"/>
              <w:jc w:val="left"/>
              <w:rPr>
                <w:rFonts w:eastAsia="Calibri"/>
                <w:noProof/>
              </w:rPr>
            </w:pPr>
            <w:r w:rsidRPr="00257913">
              <w:rPr>
                <w:noProof/>
              </w:rPr>
              <w:t>1</w:t>
            </w:r>
            <w:r w:rsidRPr="00257913">
              <w:rPr>
                <w:noProof/>
                <w:vertAlign w:val="superscript"/>
              </w:rPr>
              <w:t>er</w:t>
            </w:r>
            <w:r w:rsidR="0051785A" w:rsidRPr="00257913">
              <w:rPr>
                <w:noProof/>
                <w:vertAlign w:val="superscript"/>
              </w:rPr>
              <w:t> </w:t>
            </w:r>
            <w:r w:rsidRPr="00257913">
              <w:rPr>
                <w:noProof/>
              </w:rPr>
              <w:t>juillet 2025 — 1</w:t>
            </w:r>
            <w:r w:rsidRPr="00257913">
              <w:rPr>
                <w:noProof/>
                <w:vertAlign w:val="superscript"/>
              </w:rPr>
              <w:t>er</w:t>
            </w:r>
            <w:r w:rsidR="0051785A" w:rsidRPr="00257913">
              <w:rPr>
                <w:noProof/>
                <w:vertAlign w:val="superscript"/>
              </w:rPr>
              <w:t> </w:t>
            </w:r>
            <w:r w:rsidRPr="00257913">
              <w:rPr>
                <w:noProof/>
              </w:rPr>
              <w:t>novembre 2025</w:t>
            </w:r>
          </w:p>
        </w:tc>
      </w:tr>
      <w:tr w:rsidR="001A62D7" w:rsidRPr="00257913" w:rsidTr="001D5990">
        <w:tc>
          <w:tcPr>
            <w:tcW w:w="4908" w:type="dxa"/>
            <w:tcBorders>
              <w:bottom w:val="dotted" w:sz="4" w:space="0" w:color="auto"/>
            </w:tcBorders>
            <w:shd w:val="clear" w:color="auto" w:fill="auto"/>
          </w:tcPr>
          <w:p w:rsidR="001A62D7" w:rsidRPr="00257913" w:rsidRDefault="001A62D7" w:rsidP="001D5990">
            <w:pPr>
              <w:spacing w:before="60" w:after="60"/>
              <w:jc w:val="left"/>
              <w:rPr>
                <w:rFonts w:eastAsia="Calibri"/>
                <w:noProof/>
                <w:highlight w:val="magenta"/>
              </w:rPr>
            </w:pPr>
            <w:r w:rsidRPr="00257913">
              <w:rPr>
                <w:noProof/>
              </w:rPr>
              <w:t xml:space="preserve">Nombre de licenciements intervenus durant la période de référence </w:t>
            </w:r>
          </w:p>
        </w:tc>
        <w:tc>
          <w:tcPr>
            <w:tcW w:w="4379" w:type="dxa"/>
            <w:tcBorders>
              <w:bottom w:val="dotted" w:sz="4" w:space="0" w:color="auto"/>
            </w:tcBorders>
            <w:shd w:val="clear" w:color="auto" w:fill="auto"/>
          </w:tcPr>
          <w:p w:rsidR="001A62D7" w:rsidRPr="00257913" w:rsidRDefault="005B68D8" w:rsidP="001D5990">
            <w:pPr>
              <w:spacing w:before="60" w:after="60"/>
              <w:ind w:rightChars="192" w:right="461"/>
              <w:jc w:val="left"/>
              <w:rPr>
                <w:rFonts w:eastAsia="Calibri"/>
                <w:noProof/>
                <w:highlight w:val="magenta"/>
              </w:rPr>
            </w:pPr>
            <w:r w:rsidRPr="00257913">
              <w:rPr>
                <w:noProof/>
              </w:rPr>
              <w:t>803</w:t>
            </w:r>
          </w:p>
        </w:tc>
      </w:tr>
      <w:tr w:rsidR="001A62D7" w:rsidRPr="00257913" w:rsidTr="001D5990">
        <w:tc>
          <w:tcPr>
            <w:tcW w:w="4908" w:type="dxa"/>
            <w:tcBorders>
              <w:bottom w:val="dotted" w:sz="4" w:space="0" w:color="auto"/>
            </w:tcBorders>
            <w:shd w:val="clear" w:color="auto" w:fill="auto"/>
          </w:tcPr>
          <w:p w:rsidR="001A62D7" w:rsidRPr="00257913" w:rsidRDefault="001A62D7" w:rsidP="001D5990">
            <w:pPr>
              <w:spacing w:before="60" w:after="60"/>
              <w:jc w:val="left"/>
              <w:rPr>
                <w:rFonts w:eastAsia="Calibri"/>
                <w:noProof/>
              </w:rPr>
            </w:pPr>
            <w:r w:rsidRPr="00257913">
              <w:rPr>
                <w:noProof/>
              </w:rPr>
              <w:t>Nombre total de bénéficiaires éligibles</w:t>
            </w:r>
          </w:p>
        </w:tc>
        <w:tc>
          <w:tcPr>
            <w:tcW w:w="4379" w:type="dxa"/>
            <w:tcBorders>
              <w:bottom w:val="dotted" w:sz="4" w:space="0" w:color="auto"/>
            </w:tcBorders>
            <w:shd w:val="clear" w:color="auto" w:fill="auto"/>
          </w:tcPr>
          <w:p w:rsidR="001A62D7" w:rsidRPr="00257913" w:rsidRDefault="005B68D8" w:rsidP="001D5990">
            <w:pPr>
              <w:spacing w:before="60" w:after="60"/>
              <w:ind w:rightChars="192" w:right="461"/>
              <w:jc w:val="left"/>
              <w:rPr>
                <w:rFonts w:eastAsia="Calibri"/>
                <w:noProof/>
              </w:rPr>
            </w:pPr>
            <w:r w:rsidRPr="00257913">
              <w:rPr>
                <w:noProof/>
              </w:rPr>
              <w:t>803</w:t>
            </w:r>
          </w:p>
        </w:tc>
      </w:tr>
      <w:tr w:rsidR="001A62D7" w:rsidRPr="00257913" w:rsidTr="001D5990">
        <w:tc>
          <w:tcPr>
            <w:tcW w:w="4908" w:type="dxa"/>
            <w:tcBorders>
              <w:top w:val="dotted" w:sz="4" w:space="0" w:color="auto"/>
              <w:bottom w:val="dotted" w:sz="4" w:space="0" w:color="auto"/>
            </w:tcBorders>
            <w:shd w:val="clear" w:color="auto" w:fill="auto"/>
          </w:tcPr>
          <w:p w:rsidR="001A62D7" w:rsidRPr="00257913" w:rsidRDefault="001A62D7" w:rsidP="001D5990">
            <w:pPr>
              <w:spacing w:before="60" w:after="60"/>
              <w:jc w:val="left"/>
              <w:rPr>
                <w:rFonts w:eastAsia="Calibri"/>
                <w:noProof/>
              </w:rPr>
            </w:pPr>
            <w:r w:rsidRPr="00257913">
              <w:rPr>
                <w:noProof/>
              </w:rPr>
              <w:lastRenderedPageBreak/>
              <w:t>Nombre total de bénéficiaires visés</w:t>
            </w:r>
          </w:p>
        </w:tc>
        <w:tc>
          <w:tcPr>
            <w:tcW w:w="4379" w:type="dxa"/>
            <w:tcBorders>
              <w:top w:val="dotted" w:sz="4" w:space="0" w:color="auto"/>
              <w:bottom w:val="dotted" w:sz="4" w:space="0" w:color="auto"/>
            </w:tcBorders>
            <w:shd w:val="clear" w:color="auto" w:fill="auto"/>
          </w:tcPr>
          <w:p w:rsidR="001A62D7" w:rsidRPr="00257913" w:rsidRDefault="005B68D8" w:rsidP="001D5990">
            <w:pPr>
              <w:spacing w:before="60" w:after="60"/>
              <w:ind w:rightChars="192" w:right="461"/>
              <w:jc w:val="left"/>
              <w:rPr>
                <w:rFonts w:eastAsia="Calibri"/>
                <w:noProof/>
              </w:rPr>
            </w:pPr>
            <w:r w:rsidRPr="00257913">
              <w:rPr>
                <w:noProof/>
              </w:rPr>
              <w:t>803</w:t>
            </w:r>
          </w:p>
        </w:tc>
      </w:tr>
      <w:tr w:rsidR="001A62D7" w:rsidRPr="00257913" w:rsidTr="001D5990">
        <w:tc>
          <w:tcPr>
            <w:tcW w:w="4908" w:type="dxa"/>
            <w:tcBorders>
              <w:bottom w:val="dotted" w:sz="4" w:space="0" w:color="auto"/>
            </w:tcBorders>
            <w:shd w:val="clear" w:color="auto" w:fill="auto"/>
            <w:vAlign w:val="center"/>
          </w:tcPr>
          <w:p w:rsidR="001A62D7" w:rsidRPr="00257913" w:rsidRDefault="001A62D7" w:rsidP="001D5990">
            <w:pPr>
              <w:spacing w:before="0" w:after="0"/>
              <w:jc w:val="left"/>
              <w:rPr>
                <w:noProof/>
              </w:rPr>
            </w:pPr>
            <w:r w:rsidRPr="00257913">
              <w:rPr>
                <w:noProof/>
              </w:rPr>
              <w:t>Budget pour les services personnalisés (en EUR)</w:t>
            </w:r>
          </w:p>
        </w:tc>
        <w:tc>
          <w:tcPr>
            <w:tcW w:w="4379" w:type="dxa"/>
            <w:tcBorders>
              <w:bottom w:val="dotted" w:sz="4" w:space="0" w:color="auto"/>
            </w:tcBorders>
            <w:shd w:val="clear" w:color="auto" w:fill="auto"/>
            <w:vAlign w:val="center"/>
          </w:tcPr>
          <w:p w:rsidR="001A62D7" w:rsidRPr="00257913" w:rsidRDefault="006B2E5B" w:rsidP="001D5990">
            <w:pPr>
              <w:spacing w:before="0" w:after="0"/>
              <w:ind w:rightChars="192" w:right="461"/>
              <w:jc w:val="left"/>
              <w:rPr>
                <w:noProof/>
              </w:rPr>
            </w:pPr>
            <w:r w:rsidRPr="00257913">
              <w:rPr>
                <w:noProof/>
              </w:rPr>
              <w:t>2 412 465</w:t>
            </w:r>
          </w:p>
        </w:tc>
      </w:tr>
      <w:tr w:rsidR="001A62D7" w:rsidRPr="00257913" w:rsidTr="001D5990">
        <w:tc>
          <w:tcPr>
            <w:tcW w:w="4908" w:type="dxa"/>
            <w:tcBorders>
              <w:top w:val="dotted" w:sz="4" w:space="0" w:color="auto"/>
              <w:bottom w:val="dotted" w:sz="4" w:space="0" w:color="auto"/>
            </w:tcBorders>
            <w:shd w:val="clear" w:color="auto" w:fill="auto"/>
            <w:vAlign w:val="center"/>
          </w:tcPr>
          <w:p w:rsidR="001A62D7" w:rsidRPr="00257913" w:rsidRDefault="001A62D7" w:rsidP="001D5990">
            <w:pPr>
              <w:spacing w:before="0" w:after="0"/>
              <w:jc w:val="left"/>
              <w:rPr>
                <w:noProof/>
              </w:rPr>
            </w:pPr>
            <w:r w:rsidRPr="00257913">
              <w:rPr>
                <w:noProof/>
              </w:rPr>
              <w:t>Budget pour la mise en œuvre du FEM</w:t>
            </w:r>
            <w:r w:rsidRPr="00257913">
              <w:rPr>
                <w:rStyle w:val="FootnoteReference"/>
                <w:noProof/>
              </w:rPr>
              <w:footnoteReference w:id="4"/>
            </w:r>
            <w:r w:rsidRPr="00257913">
              <w:rPr>
                <w:noProof/>
              </w:rPr>
              <w:t xml:space="preserve"> (en EUR)</w:t>
            </w:r>
          </w:p>
        </w:tc>
        <w:tc>
          <w:tcPr>
            <w:tcW w:w="4379" w:type="dxa"/>
            <w:tcBorders>
              <w:top w:val="dotted" w:sz="4" w:space="0" w:color="auto"/>
              <w:bottom w:val="dotted" w:sz="4" w:space="0" w:color="auto"/>
            </w:tcBorders>
            <w:shd w:val="clear" w:color="auto" w:fill="auto"/>
            <w:vAlign w:val="center"/>
          </w:tcPr>
          <w:p w:rsidR="001A62D7" w:rsidRPr="00257913" w:rsidRDefault="003827EA" w:rsidP="001D5990">
            <w:pPr>
              <w:spacing w:before="0" w:after="0"/>
              <w:ind w:rightChars="192" w:right="461"/>
              <w:jc w:val="left"/>
              <w:rPr>
                <w:noProof/>
              </w:rPr>
            </w:pPr>
            <w:r w:rsidRPr="00257913">
              <w:rPr>
                <w:noProof/>
              </w:rPr>
              <w:t>96 400</w:t>
            </w:r>
          </w:p>
        </w:tc>
      </w:tr>
      <w:tr w:rsidR="001A62D7" w:rsidRPr="00257913" w:rsidTr="001D5990">
        <w:tc>
          <w:tcPr>
            <w:tcW w:w="4908" w:type="dxa"/>
            <w:tcBorders>
              <w:top w:val="dotted" w:sz="4" w:space="0" w:color="auto"/>
              <w:bottom w:val="dotted" w:sz="4" w:space="0" w:color="auto"/>
            </w:tcBorders>
            <w:shd w:val="clear" w:color="auto" w:fill="auto"/>
            <w:vAlign w:val="center"/>
          </w:tcPr>
          <w:p w:rsidR="001A62D7" w:rsidRPr="00257913" w:rsidRDefault="001A62D7" w:rsidP="001D5990">
            <w:pPr>
              <w:spacing w:before="0" w:after="0"/>
              <w:jc w:val="left"/>
              <w:rPr>
                <w:noProof/>
              </w:rPr>
            </w:pPr>
            <w:r w:rsidRPr="00257913">
              <w:rPr>
                <w:noProof/>
              </w:rPr>
              <w:t>Budget total (en EUR)</w:t>
            </w:r>
          </w:p>
        </w:tc>
        <w:tc>
          <w:tcPr>
            <w:tcW w:w="4379" w:type="dxa"/>
            <w:tcBorders>
              <w:top w:val="dotted" w:sz="4" w:space="0" w:color="auto"/>
              <w:bottom w:val="dotted" w:sz="4" w:space="0" w:color="auto"/>
            </w:tcBorders>
            <w:shd w:val="clear" w:color="auto" w:fill="auto"/>
            <w:vAlign w:val="center"/>
          </w:tcPr>
          <w:p w:rsidR="001A62D7" w:rsidRPr="00257913" w:rsidRDefault="006B2E5B" w:rsidP="001D5990">
            <w:pPr>
              <w:spacing w:before="0" w:after="0"/>
              <w:ind w:rightChars="192" w:right="461"/>
              <w:jc w:val="left"/>
              <w:rPr>
                <w:noProof/>
              </w:rPr>
            </w:pPr>
            <w:r w:rsidRPr="00257913">
              <w:rPr>
                <w:noProof/>
              </w:rPr>
              <w:t>2 508 865</w:t>
            </w:r>
          </w:p>
        </w:tc>
      </w:tr>
      <w:tr w:rsidR="001A62D7" w:rsidRPr="00257913" w:rsidTr="001D5990">
        <w:tc>
          <w:tcPr>
            <w:tcW w:w="4908" w:type="dxa"/>
            <w:tcBorders>
              <w:top w:val="dotted" w:sz="4" w:space="0" w:color="auto"/>
            </w:tcBorders>
            <w:shd w:val="clear" w:color="auto" w:fill="auto"/>
            <w:vAlign w:val="center"/>
          </w:tcPr>
          <w:p w:rsidR="001A62D7" w:rsidRPr="00257913" w:rsidRDefault="001A62D7" w:rsidP="001D5990">
            <w:pPr>
              <w:spacing w:before="0" w:after="0"/>
              <w:jc w:val="left"/>
              <w:rPr>
                <w:noProof/>
              </w:rPr>
            </w:pPr>
            <w:r w:rsidRPr="00257913">
              <w:rPr>
                <w:noProof/>
              </w:rPr>
              <w:t>Contribution du FEM (85 %) (en EUR)</w:t>
            </w:r>
          </w:p>
        </w:tc>
        <w:tc>
          <w:tcPr>
            <w:tcW w:w="4379" w:type="dxa"/>
            <w:tcBorders>
              <w:top w:val="dotted" w:sz="4" w:space="0" w:color="auto"/>
            </w:tcBorders>
            <w:shd w:val="clear" w:color="auto" w:fill="auto"/>
            <w:vAlign w:val="center"/>
          </w:tcPr>
          <w:p w:rsidR="001A62D7" w:rsidRPr="00257913" w:rsidRDefault="005B68D8" w:rsidP="001D5990">
            <w:pPr>
              <w:spacing w:before="0" w:after="0"/>
              <w:ind w:rightChars="192" w:right="461"/>
              <w:jc w:val="left"/>
              <w:rPr>
                <w:noProof/>
              </w:rPr>
            </w:pPr>
            <w:bookmarkStart w:id="9" w:name="_Hlk224139662"/>
            <w:r w:rsidRPr="00257913">
              <w:rPr>
                <w:noProof/>
              </w:rPr>
              <w:t>2 132 535</w:t>
            </w:r>
            <w:bookmarkEnd w:id="9"/>
          </w:p>
        </w:tc>
      </w:tr>
    </w:tbl>
    <w:p w:rsidR="001A62D7" w:rsidRPr="00257913" w:rsidRDefault="001A62D7" w:rsidP="001A62D7">
      <w:pPr>
        <w:pStyle w:val="ManualHeading1"/>
        <w:rPr>
          <w:noProof/>
        </w:rPr>
      </w:pPr>
      <w:r w:rsidRPr="00257913">
        <w:rPr>
          <w:noProof/>
        </w:rPr>
        <w:t>ÉVALUATION DE LA DEMANDE</w:t>
      </w:r>
    </w:p>
    <w:p w:rsidR="001A62D7" w:rsidRPr="00257913" w:rsidRDefault="001A62D7" w:rsidP="001A62D7">
      <w:pPr>
        <w:pStyle w:val="ManualHeading2"/>
        <w:rPr>
          <w:noProof/>
        </w:rPr>
      </w:pPr>
      <w:r w:rsidRPr="00257913">
        <w:rPr>
          <w:noProof/>
        </w:rPr>
        <w:t>Procédure</w:t>
      </w:r>
    </w:p>
    <w:p w:rsidR="001A62D7" w:rsidRPr="00257913" w:rsidRDefault="005B68D8" w:rsidP="00AE7D04">
      <w:pPr>
        <w:pStyle w:val="ManualNumPar1"/>
        <w:rPr>
          <w:noProof/>
        </w:rPr>
      </w:pPr>
      <w:r>
        <w:rPr>
          <w:noProof/>
        </w:rPr>
        <w:t>4.</w:t>
      </w:r>
      <w:r>
        <w:rPr>
          <w:noProof/>
        </w:rPr>
        <w:tab/>
      </w:r>
      <w:r w:rsidRPr="00257913">
        <w:rPr>
          <w:noProof/>
        </w:rPr>
        <w:t>La Belgique a présenté la demande EGF/2025/009 BE/Soliver le 22</w:t>
      </w:r>
      <w:r w:rsidR="0051785A" w:rsidRPr="00257913">
        <w:rPr>
          <w:noProof/>
        </w:rPr>
        <w:t> </w:t>
      </w:r>
      <w:r w:rsidRPr="00257913">
        <w:rPr>
          <w:noProof/>
        </w:rPr>
        <w:t>décembre 2025, dans le délai de 12 semaines à compter de la date à laquelle les critères d’intervention précisés à l’article 4, paragraphe 2, point a), du règlement (UE) 2021/691 ont été remplis. La Commission a disposé de la traduction de la demande le 3</w:t>
      </w:r>
      <w:r w:rsidR="0051785A" w:rsidRPr="00257913">
        <w:rPr>
          <w:noProof/>
        </w:rPr>
        <w:t> </w:t>
      </w:r>
      <w:r w:rsidRPr="00257913">
        <w:rPr>
          <w:noProof/>
        </w:rPr>
        <w:t>février 2026. La Commission a accusé réception de la demande et demandé des informations complémentaires à la Belgique le 17</w:t>
      </w:r>
      <w:r w:rsidR="0051785A" w:rsidRPr="00257913">
        <w:rPr>
          <w:noProof/>
        </w:rPr>
        <w:t> </w:t>
      </w:r>
      <w:r w:rsidRPr="00257913">
        <w:rPr>
          <w:noProof/>
        </w:rPr>
        <w:t>février 2026. Ces informations complémentaires ont été fournies dans les 15 jours ouvrables qui ont suivi la demande. Le délai de 50 jours ouvrables à compter de la réception de la demande complète dont dispose la Commission pour achever son évaluation de la conformité de la demande avec les conditions d’octroi d’une contribution financière expire le 28</w:t>
      </w:r>
      <w:r w:rsidR="0051785A" w:rsidRPr="00257913">
        <w:rPr>
          <w:noProof/>
        </w:rPr>
        <w:t> </w:t>
      </w:r>
      <w:r w:rsidRPr="00257913">
        <w:rPr>
          <w:noProof/>
        </w:rPr>
        <w:t xml:space="preserve">mai 2026. </w:t>
      </w:r>
    </w:p>
    <w:p w:rsidR="001A62D7" w:rsidRPr="00257913" w:rsidRDefault="001A62D7" w:rsidP="001A62D7">
      <w:pPr>
        <w:pStyle w:val="ManualHeading2"/>
        <w:rPr>
          <w:noProof/>
        </w:rPr>
      </w:pPr>
      <w:r w:rsidRPr="00257913">
        <w:rPr>
          <w:noProof/>
        </w:rPr>
        <w:t>Recevabilité de la demande</w:t>
      </w:r>
    </w:p>
    <w:p w:rsidR="001A62D7" w:rsidRPr="00257913" w:rsidRDefault="001A62D7" w:rsidP="001A62D7">
      <w:pPr>
        <w:pStyle w:val="ManualHeading3"/>
        <w:rPr>
          <w:noProof/>
        </w:rPr>
      </w:pPr>
      <w:r w:rsidRPr="00257913">
        <w:rPr>
          <w:noProof/>
        </w:rPr>
        <w:t>Entreprises et bénéficiaires concernés</w:t>
      </w:r>
    </w:p>
    <w:p w:rsidR="001A62D7" w:rsidRPr="00257913" w:rsidRDefault="001A62D7" w:rsidP="00AE7D04">
      <w:pPr>
        <w:pStyle w:val="ManualNumPar1"/>
        <w:rPr>
          <w:noProof/>
          <w:szCs w:val="24"/>
        </w:rPr>
      </w:pPr>
      <w:r>
        <w:rPr>
          <w:noProof/>
        </w:rPr>
        <w:t>5.</w:t>
      </w:r>
      <w:r>
        <w:rPr>
          <w:noProof/>
        </w:rPr>
        <w:tab/>
      </w:r>
      <w:r w:rsidRPr="00257913">
        <w:rPr>
          <w:noProof/>
        </w:rPr>
        <w:t>La demande concerne 803 travailleurs dont l’activité au sein de Soliver a cessé. Cette entreprise exerce ses activités dans le secteur économique relevant de la division 46 (Commerce de gros) de la NACE Rév. 2. Les emplois supprimés par Soliver sont situés dans les régions NUTS 2 de Provincie Oost-Vlaanderen (BE23) et Provincie West-Vlaanderen (BE25).</w:t>
      </w:r>
    </w:p>
    <w:p w:rsidR="001A62D7" w:rsidRPr="00257913" w:rsidRDefault="001A62D7" w:rsidP="001A62D7">
      <w:pPr>
        <w:pStyle w:val="ManualHeading3"/>
        <w:rPr>
          <w:noProof/>
        </w:rPr>
      </w:pPr>
      <w:r w:rsidRPr="00257913">
        <w:rPr>
          <w:noProof/>
        </w:rPr>
        <w:t>Critères d’intervention</w:t>
      </w:r>
    </w:p>
    <w:p w:rsidR="001A62D7" w:rsidRPr="00257913" w:rsidRDefault="005B68D8" w:rsidP="001A62D7">
      <w:pPr>
        <w:pStyle w:val="ManualNumPar1"/>
        <w:rPr>
          <w:noProof/>
        </w:rPr>
      </w:pPr>
      <w:r>
        <w:rPr>
          <w:noProof/>
        </w:rPr>
        <w:t>6.</w:t>
      </w:r>
      <w:r>
        <w:rPr>
          <w:noProof/>
        </w:rPr>
        <w:tab/>
      </w:r>
      <w:r w:rsidRPr="00257913">
        <w:rPr>
          <w:noProof/>
        </w:rPr>
        <w:t xml:space="preserve">La Belgique a présenté la demande au titre du critère d’intervention énoncé à l’article 4, paragraphe 2, point a), du règlement (UE) 2021/691, qui exige la cessation d’activité d’au moins 200 travailleurs licenciés, sur une période de référence de quatre mois, dans une entreprise d’un État membre, y compris lorsque cette cessation d’activité concerne des travailleurs licenciés chez des fournisseurs ou producteurs en aval et/ou des travailleurs indépendants. </w:t>
      </w:r>
    </w:p>
    <w:p w:rsidR="001A62D7" w:rsidRPr="00257913" w:rsidRDefault="001A62D7" w:rsidP="001A62D7">
      <w:pPr>
        <w:pStyle w:val="ManualNumPar1"/>
        <w:rPr>
          <w:noProof/>
        </w:rPr>
      </w:pPr>
      <w:r>
        <w:rPr>
          <w:noProof/>
        </w:rPr>
        <w:t>7.</w:t>
      </w:r>
      <w:r>
        <w:rPr>
          <w:noProof/>
        </w:rPr>
        <w:tab/>
      </w:r>
      <w:bookmarkStart w:id="10" w:name="_Ref372189348"/>
      <w:r w:rsidRPr="00257913">
        <w:rPr>
          <w:noProof/>
        </w:rPr>
        <w:t>La période de référence de quatre mois pour la demande s’étend du 1</w:t>
      </w:r>
      <w:r w:rsidRPr="00257913">
        <w:rPr>
          <w:noProof/>
          <w:vertAlign w:val="superscript"/>
        </w:rPr>
        <w:t>er</w:t>
      </w:r>
      <w:r w:rsidR="0051785A" w:rsidRPr="00257913">
        <w:rPr>
          <w:noProof/>
        </w:rPr>
        <w:t> </w:t>
      </w:r>
      <w:r w:rsidRPr="00257913">
        <w:rPr>
          <w:noProof/>
        </w:rPr>
        <w:t xml:space="preserve">juillet 2025 au </w:t>
      </w:r>
      <w:bookmarkEnd w:id="10"/>
      <w:r w:rsidRPr="00257913">
        <w:rPr>
          <w:noProof/>
        </w:rPr>
        <w:t>1</w:t>
      </w:r>
      <w:r w:rsidRPr="00257913">
        <w:rPr>
          <w:noProof/>
          <w:vertAlign w:val="superscript"/>
        </w:rPr>
        <w:t>er</w:t>
      </w:r>
      <w:r w:rsidR="0051785A" w:rsidRPr="00257913">
        <w:rPr>
          <w:noProof/>
          <w:vertAlign w:val="superscript"/>
        </w:rPr>
        <w:t> </w:t>
      </w:r>
      <w:r w:rsidRPr="00257913">
        <w:rPr>
          <w:noProof/>
        </w:rPr>
        <w:t>novembre 2025.</w:t>
      </w:r>
    </w:p>
    <w:p w:rsidR="001A62D7" w:rsidRPr="00257913" w:rsidRDefault="00F07146" w:rsidP="00F07146">
      <w:pPr>
        <w:pStyle w:val="ManualNumPar1"/>
        <w:rPr>
          <w:noProof/>
        </w:rPr>
      </w:pPr>
      <w:r>
        <w:rPr>
          <w:noProof/>
        </w:rPr>
        <w:t>8.</w:t>
      </w:r>
      <w:r>
        <w:rPr>
          <w:noProof/>
        </w:rPr>
        <w:tab/>
      </w:r>
      <w:r w:rsidRPr="00257913">
        <w:rPr>
          <w:noProof/>
        </w:rPr>
        <w:t>Au cours de la période de référence, 803 licenciements ont eu lieu au sein de Soliver.</w:t>
      </w:r>
      <w:r w:rsidRPr="00257913">
        <w:rPr>
          <w:noProof/>
          <w:color w:val="FFFFFF" w:themeColor="background1"/>
        </w:rPr>
        <w:t xml:space="preserve"> </w:t>
      </w:r>
      <w:r w:rsidRPr="00257913">
        <w:rPr>
          <w:noProof/>
        </w:rPr>
        <w:t xml:space="preserve"> </w:t>
      </w:r>
    </w:p>
    <w:p w:rsidR="001A62D7" w:rsidRPr="00257913" w:rsidRDefault="001A62D7" w:rsidP="001A62D7">
      <w:pPr>
        <w:pStyle w:val="ManualHeading3"/>
        <w:rPr>
          <w:noProof/>
        </w:rPr>
      </w:pPr>
      <w:r w:rsidRPr="00257913">
        <w:rPr>
          <w:noProof/>
        </w:rPr>
        <w:t>Calcul des licenciements et de la cessation d’activité</w:t>
      </w:r>
    </w:p>
    <w:p w:rsidR="001A62D7" w:rsidRPr="00257913" w:rsidRDefault="001A62D7" w:rsidP="001A62D7">
      <w:pPr>
        <w:pStyle w:val="ManualNumPar1"/>
        <w:rPr>
          <w:noProof/>
        </w:rPr>
      </w:pPr>
      <w:r>
        <w:rPr>
          <w:noProof/>
        </w:rPr>
        <w:t>9.</w:t>
      </w:r>
      <w:r>
        <w:rPr>
          <w:noProof/>
        </w:rPr>
        <w:tab/>
      </w:r>
      <w:r w:rsidRPr="00257913">
        <w:rPr>
          <w:noProof/>
        </w:rPr>
        <w:t>Conformément à l’article 6, premier alinéa, point a), en liaison avec l’article 5, premier alinéa, du règlement (UE) 2021/691, l’ensemble des 803 emplois supprimés au cours de la période de référence a été calculé à partir de la date de la résiliation de fait du contrat de travail ou de son expiration.</w:t>
      </w:r>
    </w:p>
    <w:p w:rsidR="001A62D7" w:rsidRPr="00257913" w:rsidRDefault="001A62D7" w:rsidP="001A62D7">
      <w:pPr>
        <w:pStyle w:val="ManualHeading3"/>
        <w:rPr>
          <w:noProof/>
        </w:rPr>
      </w:pPr>
      <w:r w:rsidRPr="00257913">
        <w:rPr>
          <w:noProof/>
        </w:rPr>
        <w:lastRenderedPageBreak/>
        <w:t>Bénéficiaires éligibles</w:t>
      </w:r>
    </w:p>
    <w:p w:rsidR="001A62D7" w:rsidRPr="00257913" w:rsidRDefault="001A62D7" w:rsidP="00AE7D04">
      <w:pPr>
        <w:pStyle w:val="ManualNumPar1"/>
        <w:rPr>
          <w:noProof/>
        </w:rPr>
      </w:pPr>
      <w:r>
        <w:rPr>
          <w:noProof/>
        </w:rPr>
        <w:t>10.</w:t>
      </w:r>
      <w:r>
        <w:rPr>
          <w:noProof/>
        </w:rPr>
        <w:tab/>
      </w:r>
      <w:r w:rsidRPr="00257913">
        <w:rPr>
          <w:noProof/>
        </w:rPr>
        <w:t>Le nombre total de bénéficiaires éligibles s’élève à 803.</w:t>
      </w:r>
    </w:p>
    <w:p w:rsidR="001A62D7" w:rsidRPr="00257913" w:rsidRDefault="001A62D7" w:rsidP="001A62D7">
      <w:pPr>
        <w:pStyle w:val="ManualHeading3"/>
        <w:rPr>
          <w:noProof/>
        </w:rPr>
      </w:pPr>
      <w:r w:rsidRPr="00257913">
        <w:rPr>
          <w:noProof/>
        </w:rPr>
        <w:t>Description des événements ayant conduit aux licenciements et à la cessation d’activité</w:t>
      </w:r>
    </w:p>
    <w:p w:rsidR="008C3FE7" w:rsidRPr="00257913" w:rsidRDefault="001A62D7" w:rsidP="001E1BFF">
      <w:pPr>
        <w:pStyle w:val="ManualNumPar1"/>
        <w:rPr>
          <w:noProof/>
        </w:rPr>
      </w:pPr>
      <w:r>
        <w:rPr>
          <w:noProof/>
        </w:rPr>
        <w:t>11.</w:t>
      </w:r>
      <w:r>
        <w:rPr>
          <w:noProof/>
        </w:rPr>
        <w:tab/>
      </w:r>
      <w:r w:rsidRPr="00257913">
        <w:rPr>
          <w:noProof/>
        </w:rPr>
        <w:t>Le fait générateur de ces licenciements a été la déclaration de faillite de Soliver par le tribunal de commerce de Gand le 1</w:t>
      </w:r>
      <w:r w:rsidRPr="00257913">
        <w:rPr>
          <w:noProof/>
          <w:vertAlign w:val="superscript"/>
        </w:rPr>
        <w:t>er</w:t>
      </w:r>
      <w:r w:rsidR="0051785A" w:rsidRPr="00257913">
        <w:rPr>
          <w:noProof/>
          <w:vertAlign w:val="superscript"/>
        </w:rPr>
        <w:t> </w:t>
      </w:r>
      <w:r w:rsidRPr="00257913">
        <w:rPr>
          <w:noProof/>
        </w:rPr>
        <w:t>juillet 2025.</w:t>
      </w:r>
    </w:p>
    <w:p w:rsidR="00FF1A01" w:rsidRPr="00257913" w:rsidRDefault="00FF1A01" w:rsidP="001E1BFF">
      <w:pPr>
        <w:pStyle w:val="ManualNumPar1"/>
        <w:rPr>
          <w:noProof/>
        </w:rPr>
      </w:pPr>
      <w:r>
        <w:rPr>
          <w:noProof/>
        </w:rPr>
        <w:t>12.</w:t>
      </w:r>
      <w:r>
        <w:rPr>
          <w:noProof/>
        </w:rPr>
        <w:tab/>
      </w:r>
      <w:r w:rsidRPr="00257913">
        <w:rPr>
          <w:noProof/>
        </w:rPr>
        <w:t>À l’origine une entreprise familiale belge produisant des produits verriers (par exemple, du verre de construction et du verre automobile), Soliver a été acquise en 2018 par American Glass Products Holding (AGP), qui s’est concentrée exclusivement sur le verre automobile de haute technologie.</w:t>
      </w:r>
    </w:p>
    <w:p w:rsidR="001A62D7" w:rsidRPr="00257913" w:rsidRDefault="00986DA0" w:rsidP="001E1BFF">
      <w:pPr>
        <w:pStyle w:val="ManualNumPar1"/>
        <w:rPr>
          <w:noProof/>
        </w:rPr>
      </w:pPr>
      <w:r>
        <w:rPr>
          <w:noProof/>
        </w:rPr>
        <w:t>13.</w:t>
      </w:r>
      <w:r>
        <w:rPr>
          <w:noProof/>
        </w:rPr>
        <w:tab/>
      </w:r>
      <w:r w:rsidRPr="00257913">
        <w:rPr>
          <w:noProof/>
        </w:rPr>
        <w:t>Après l’acquisition, Soliver a ouvert deux nouveaux sites en Flandre orientale (</w:t>
      </w:r>
      <w:bookmarkStart w:id="11" w:name="_Hlk224207785"/>
      <w:r w:rsidRPr="00257913">
        <w:rPr>
          <w:noProof/>
        </w:rPr>
        <w:t>Zwijnaarde et Evergem</w:t>
      </w:r>
      <w:bookmarkEnd w:id="11"/>
      <w:r w:rsidRPr="00257913">
        <w:rPr>
          <w:noProof/>
        </w:rPr>
        <w:t>), parallèlement à son usine initiale de Rumbeke (Flandre occidentale). Zwijnaarde était spécialisée dans les toits ouvrants pour voitures électriques et les toits panoramiques pour Ferrari, tandis que l’objectif d’Evergem était de renforcer la capacité de production. Toutefois, Zwijnaarde a connu des difficultés en raison de retards dans la production de modèles de voitures, ce qui l’a contrainte à fermer deux lignes de production et a diminué sa rentabilité. Evergem s’est révélée non rentable en raison d’une surcapacité ainsi que d’un ralentissement du secteur automobile. Incapable de résoudre ses problèmes financiers, Soliver a déposé son bilan en décembre</w:t>
      </w:r>
      <w:r w:rsidR="0051785A" w:rsidRPr="00257913">
        <w:rPr>
          <w:noProof/>
        </w:rPr>
        <w:t> </w:t>
      </w:r>
      <w:r w:rsidRPr="00257913">
        <w:rPr>
          <w:noProof/>
        </w:rPr>
        <w:t>2024.</w:t>
      </w:r>
    </w:p>
    <w:p w:rsidR="001A62D7" w:rsidRPr="00257913" w:rsidRDefault="001A62D7" w:rsidP="001A62D7">
      <w:pPr>
        <w:pStyle w:val="ManualHeading3"/>
        <w:tabs>
          <w:tab w:val="clear" w:pos="850"/>
          <w:tab w:val="left" w:pos="0"/>
        </w:tabs>
        <w:ind w:left="0" w:firstLine="0"/>
        <w:rPr>
          <w:noProof/>
        </w:rPr>
      </w:pPr>
      <w:r w:rsidRPr="00257913">
        <w:rPr>
          <w:noProof/>
        </w:rPr>
        <w:t>Effets attendus des licenciements sur l’économie et l’emploi à l’échelle locale, régionale ou nationale</w:t>
      </w:r>
    </w:p>
    <w:p w:rsidR="00F0286E" w:rsidRPr="00257913" w:rsidRDefault="00327B30" w:rsidP="00E306C4">
      <w:pPr>
        <w:pStyle w:val="ManualNumPar1"/>
        <w:rPr>
          <w:noProof/>
        </w:rPr>
      </w:pPr>
      <w:r>
        <w:rPr>
          <w:noProof/>
        </w:rPr>
        <w:t>14.</w:t>
      </w:r>
      <w:r>
        <w:rPr>
          <w:noProof/>
        </w:rPr>
        <w:tab/>
      </w:r>
      <w:bookmarkStart w:id="12" w:name="_Hlk224135724"/>
      <w:r w:rsidRPr="00257913">
        <w:rPr>
          <w:noProof/>
        </w:rPr>
        <w:t>En 2025, 11 665 entreprises ont été déclarées en faillite en Belgique</w:t>
      </w:r>
      <w:r w:rsidR="00566198" w:rsidRPr="00257913">
        <w:rPr>
          <w:rStyle w:val="FootnoteReference"/>
          <w:noProof/>
        </w:rPr>
        <w:footnoteReference w:id="5"/>
      </w:r>
      <w:r w:rsidRPr="00257913">
        <w:rPr>
          <w:noProof/>
        </w:rPr>
        <w:t>, soit une augmentation de 5,0 % par rapport à 2024 et de 13,6 % par rapport à 2023</w:t>
      </w:r>
      <w:r w:rsidR="0029417E" w:rsidRPr="00257913">
        <w:rPr>
          <w:rStyle w:val="FootnoteReference"/>
          <w:noProof/>
        </w:rPr>
        <w:footnoteReference w:id="6"/>
      </w:r>
      <w:r w:rsidRPr="00257913">
        <w:rPr>
          <w:noProof/>
        </w:rPr>
        <w:t>. La plupart (57,8 %) concernaient des entreprises situées en Flandre. Ces faillites ont entraîné la suppression de 28 945 emplois, dont 52,8 % en Flandre</w:t>
      </w:r>
      <w:r w:rsidR="004E0712" w:rsidRPr="00257913">
        <w:rPr>
          <w:rStyle w:val="FootnoteReference"/>
          <w:noProof/>
        </w:rPr>
        <w:footnoteReference w:id="7"/>
      </w:r>
      <w:r w:rsidRPr="00257913">
        <w:rPr>
          <w:noProof/>
        </w:rPr>
        <w:t>.</w:t>
      </w:r>
    </w:p>
    <w:bookmarkEnd w:id="12"/>
    <w:p w:rsidR="00733DEF" w:rsidRPr="00257913" w:rsidRDefault="00F0286E" w:rsidP="00E306C4">
      <w:pPr>
        <w:pStyle w:val="ManualNumPar1"/>
        <w:rPr>
          <w:noProof/>
        </w:rPr>
      </w:pPr>
      <w:r>
        <w:rPr>
          <w:noProof/>
        </w:rPr>
        <w:t>15.</w:t>
      </w:r>
      <w:r>
        <w:rPr>
          <w:noProof/>
        </w:rPr>
        <w:tab/>
      </w:r>
      <w:r w:rsidRPr="00257913">
        <w:rPr>
          <w:noProof/>
        </w:rPr>
        <w:t>Les territoires les plus touchés par la faillite de Soliver sont les municipalités de Roeselare (Flandre occidentale) et de Gand (Flandre orientale). En janvier</w:t>
      </w:r>
      <w:r w:rsidR="0051785A" w:rsidRPr="00257913">
        <w:rPr>
          <w:noProof/>
        </w:rPr>
        <w:t> </w:t>
      </w:r>
      <w:r w:rsidRPr="00257913">
        <w:rPr>
          <w:noProof/>
        </w:rPr>
        <w:t>2026, le chômage en Flandre occidentale a augmenté de 7,6 % en glissement annuel (36 916 demandeurs d’emploi inscrits, soit 16 % du total de la Flandre), tandis qu’en Flandre orientale, il a augmenté de 6,6 % (54 154 demandeurs d’emploi, soit 24 % du total pour la Flandre). La hausse du chômage à Roeselare (+ 9,6 %) a dépassé la moyenne provinciale de 2 points de pourcentage (pp), tandis que celle de Gand (+ 5,0 %, soit 1,6 pp de moins que le niveau provincial) a été moins marquée.</w:t>
      </w:r>
    </w:p>
    <w:p w:rsidR="001A62D7" w:rsidRPr="00257913" w:rsidRDefault="008855AA" w:rsidP="00E306C4">
      <w:pPr>
        <w:pStyle w:val="ManualNumPar1"/>
        <w:rPr>
          <w:noProof/>
        </w:rPr>
      </w:pPr>
      <w:r>
        <w:rPr>
          <w:noProof/>
        </w:rPr>
        <w:t>16.</w:t>
      </w:r>
      <w:r>
        <w:rPr>
          <w:noProof/>
        </w:rPr>
        <w:tab/>
      </w:r>
      <w:r w:rsidRPr="00257913">
        <w:rPr>
          <w:noProof/>
        </w:rPr>
        <w:t>En 2025, le nombre de postes vacants a diminué de 14 % à Roeselare et de 7 % à Gand</w:t>
      </w:r>
      <w:r w:rsidR="00CE4172" w:rsidRPr="00257913">
        <w:rPr>
          <w:rStyle w:val="FootnoteReference"/>
          <w:noProof/>
        </w:rPr>
        <w:footnoteReference w:id="8"/>
      </w:r>
      <w:r w:rsidRPr="00257913">
        <w:rPr>
          <w:noProof/>
        </w:rPr>
        <w:t>, ce qui a aggravé le ralentissement du marché du travail. Les licenciements de Soliver détérioreront la situation de l’emploi local. Toutefois, les travailleurs ayant des compétences techniques – ou ceux qui souhaitent se reconvertir – sont susceptibles de trouver des possibilités compte tenu de la pénurie de professionnels techniques, qui s’explique par le faible niveau d’engagement des jeunes dans la formation professionnelle et par le vieillissement de la main-d’œuvre.</w:t>
      </w:r>
    </w:p>
    <w:p w:rsidR="001A62D7" w:rsidRPr="00257913" w:rsidRDefault="001A62D7" w:rsidP="007E5241">
      <w:pPr>
        <w:pStyle w:val="ManualHeading2"/>
        <w:tabs>
          <w:tab w:val="clear" w:pos="850"/>
          <w:tab w:val="left" w:pos="993"/>
        </w:tabs>
        <w:ind w:left="0" w:firstLine="0"/>
        <w:rPr>
          <w:noProof/>
        </w:rPr>
      </w:pPr>
      <w:r w:rsidRPr="00257913">
        <w:rPr>
          <w:noProof/>
        </w:rPr>
        <w:lastRenderedPageBreak/>
        <w:t>Mise en œuvre du cadre de qualité de l’UE pour l’anticipation des changements et des restructurations</w:t>
      </w:r>
    </w:p>
    <w:p w:rsidR="001A62D7" w:rsidRPr="00257913" w:rsidRDefault="005B68D8" w:rsidP="00AE7D04">
      <w:pPr>
        <w:pStyle w:val="ManualNumPar1"/>
        <w:rPr>
          <w:noProof/>
        </w:rPr>
      </w:pPr>
      <w:r>
        <w:rPr>
          <w:noProof/>
        </w:rPr>
        <w:t>17.</w:t>
      </w:r>
      <w:r>
        <w:rPr>
          <w:noProof/>
        </w:rPr>
        <w:tab/>
      </w:r>
      <w:r w:rsidRPr="00257913">
        <w:rPr>
          <w:noProof/>
        </w:rPr>
        <w:t>La Belgique a décrit la manière dont les recommandations formulées dans le cadre de qualité de l’UE pour l’anticipation des changements et des restructurations ont été prises en compte.</w:t>
      </w:r>
    </w:p>
    <w:p w:rsidR="0055521B" w:rsidRPr="00257913" w:rsidRDefault="0055521B" w:rsidP="0055521B">
      <w:pPr>
        <w:pStyle w:val="ManualNumPar1"/>
        <w:rPr>
          <w:noProof/>
        </w:rPr>
      </w:pPr>
      <w:r>
        <w:rPr>
          <w:noProof/>
        </w:rPr>
        <w:t>18.</w:t>
      </w:r>
      <w:r>
        <w:rPr>
          <w:noProof/>
        </w:rPr>
        <w:tab/>
      </w:r>
      <w:r w:rsidRPr="00257913">
        <w:rPr>
          <w:noProof/>
        </w:rPr>
        <w:t>La Belgique a indiqué que le droit national du travail</w:t>
      </w:r>
      <w:r w:rsidRPr="00257913">
        <w:rPr>
          <w:rStyle w:val="FootnoteReference"/>
          <w:noProof/>
        </w:rPr>
        <w:footnoteReference w:id="9"/>
      </w:r>
      <w:r w:rsidRPr="00257913">
        <w:rPr>
          <w:noProof/>
        </w:rPr>
        <w:t xml:space="preserve"> relatif à la gestion active des restructurations exige des entreprises en cours de restructuration qu’elles créent une cellule pour l’emploi, dont l’objectif est de fournir aux travailleurs licenciés dans le cadre de licenciements collectifs 30 heures de services de reclassement externe (outplacement) sur une période de trois mois (60 heures sur six mois pour les travailleurs âgés de 45 ans et plus). Toutefois, cette exigence ne s’applique pas en cas de faillite. Par conséquent, la mesure de reclassement externe décrite ci-dessous au point 24 remplace les services de conseil et de reclassement externe que ces travailleurs licenciés ne reçoivent pas. </w:t>
      </w:r>
    </w:p>
    <w:p w:rsidR="001A62D7" w:rsidRPr="00257913" w:rsidRDefault="001A62D7" w:rsidP="00AE7D04">
      <w:pPr>
        <w:pStyle w:val="ManualNumPar1"/>
        <w:rPr>
          <w:noProof/>
        </w:rPr>
      </w:pPr>
      <w:r>
        <w:rPr>
          <w:noProof/>
        </w:rPr>
        <w:t>19.</w:t>
      </w:r>
      <w:r>
        <w:rPr>
          <w:noProof/>
        </w:rPr>
        <w:tab/>
      </w:r>
      <w:r w:rsidRPr="00257913">
        <w:rPr>
          <w:noProof/>
        </w:rPr>
        <w:t>En ce qui concerne les activités entreprises pour aider les travailleurs licenciés, la Belgique a indiqué que le premier événement de recherche d’emploi («bourse à l’emploi») décrit ci-dessous a été organisé le 11</w:t>
      </w:r>
      <w:r w:rsidR="0051785A" w:rsidRPr="00257913">
        <w:rPr>
          <w:noProof/>
        </w:rPr>
        <w:t> </w:t>
      </w:r>
      <w:r w:rsidRPr="00257913">
        <w:rPr>
          <w:noProof/>
        </w:rPr>
        <w:t>juin 2025 à Roeselare, alors que la procédure de faillite était en cours. Une deuxième bourse à l’emploi s’est tenue à Gand le 25</w:t>
      </w:r>
      <w:r w:rsidR="0051785A" w:rsidRPr="00257913">
        <w:rPr>
          <w:noProof/>
        </w:rPr>
        <w:t> </w:t>
      </w:r>
      <w:r w:rsidRPr="00257913">
        <w:rPr>
          <w:noProof/>
        </w:rPr>
        <w:t xml:space="preserve">septembre 2025. Des séances d’information et d’enregistrement ainsi que des services de reclassement externe pour soutenir les anciens travailleurs de Soliver ont </w:t>
      </w:r>
      <w:r w:rsidR="0051785A" w:rsidRPr="00257913">
        <w:rPr>
          <w:noProof/>
        </w:rPr>
        <w:t>démarré</w:t>
      </w:r>
      <w:r w:rsidRPr="00257913">
        <w:rPr>
          <w:noProof/>
        </w:rPr>
        <w:t xml:space="preserve"> le 11</w:t>
      </w:r>
      <w:r w:rsidR="0051785A" w:rsidRPr="00257913">
        <w:rPr>
          <w:noProof/>
        </w:rPr>
        <w:t> </w:t>
      </w:r>
      <w:r w:rsidRPr="00257913">
        <w:rPr>
          <w:noProof/>
        </w:rPr>
        <w:t xml:space="preserve">juillet 2025, peu après la déclaration de faillite. </w:t>
      </w:r>
    </w:p>
    <w:p w:rsidR="001A62D7" w:rsidRPr="00257913" w:rsidRDefault="001A62D7" w:rsidP="001A62D7">
      <w:pPr>
        <w:pStyle w:val="ManualHeading3"/>
        <w:rPr>
          <w:noProof/>
        </w:rPr>
      </w:pPr>
      <w:r w:rsidRPr="00257913">
        <w:rPr>
          <w:noProof/>
        </w:rPr>
        <w:t>Complémentarité avec les actions financées par des fonds nationaux ou de l’UE</w:t>
      </w:r>
    </w:p>
    <w:p w:rsidR="001A62D7" w:rsidRPr="00257913" w:rsidRDefault="005B68D8" w:rsidP="00AE7D04">
      <w:pPr>
        <w:pStyle w:val="ManualNumPar1"/>
        <w:rPr>
          <w:noProof/>
        </w:rPr>
      </w:pPr>
      <w:r>
        <w:rPr>
          <w:noProof/>
        </w:rPr>
        <w:t>20.</w:t>
      </w:r>
      <w:r>
        <w:rPr>
          <w:noProof/>
        </w:rPr>
        <w:tab/>
      </w:r>
      <w:r w:rsidRPr="00257913">
        <w:rPr>
          <w:noProof/>
        </w:rPr>
        <w:t>La Belgique a confirmé que les mesures décrites ci-dessous bénéficiant d’une contribution financière du FEM ne recevront pas d’aide au titre d’autres instruments financiers de l’UE.</w:t>
      </w:r>
    </w:p>
    <w:p w:rsidR="001A62D7" w:rsidRPr="00257913" w:rsidRDefault="001A62D7" w:rsidP="00AE7D04">
      <w:pPr>
        <w:pStyle w:val="ManualNumPar1"/>
        <w:rPr>
          <w:noProof/>
        </w:rPr>
      </w:pPr>
      <w:r>
        <w:rPr>
          <w:noProof/>
        </w:rPr>
        <w:t>21.</w:t>
      </w:r>
      <w:r>
        <w:rPr>
          <w:noProof/>
        </w:rPr>
        <w:tab/>
      </w:r>
      <w:r w:rsidRPr="00257913">
        <w:rPr>
          <w:noProof/>
        </w:rPr>
        <w:t>L’ensemble coordonné de services personnalisés complète les actions financées par d’autres fonds nationaux ou de l’UE.</w:t>
      </w:r>
    </w:p>
    <w:p w:rsidR="001A62D7" w:rsidRPr="00257913" w:rsidRDefault="001A62D7" w:rsidP="001A62D7">
      <w:pPr>
        <w:pStyle w:val="ManualHeading3"/>
        <w:tabs>
          <w:tab w:val="clear" w:pos="850"/>
          <w:tab w:val="left" w:pos="0"/>
        </w:tabs>
        <w:ind w:left="0" w:firstLine="0"/>
        <w:rPr>
          <w:noProof/>
          <w:u w:val="single"/>
        </w:rPr>
      </w:pPr>
      <w:r w:rsidRPr="00257913">
        <w:rPr>
          <w:noProof/>
        </w:rPr>
        <w:t>Procédures suivies pour la consultation des bénéficiaires visés ou de leurs représentants, des partenaires sociaux et des collectivités locales et régionales</w:t>
      </w:r>
    </w:p>
    <w:p w:rsidR="001A62D7" w:rsidRPr="00257913" w:rsidRDefault="005B68D8" w:rsidP="00AE7D04">
      <w:pPr>
        <w:pStyle w:val="ManualNumPar1"/>
        <w:rPr>
          <w:noProof/>
        </w:rPr>
      </w:pPr>
      <w:r>
        <w:rPr>
          <w:noProof/>
        </w:rPr>
        <w:t>22.</w:t>
      </w:r>
      <w:r>
        <w:rPr>
          <w:noProof/>
        </w:rPr>
        <w:tab/>
      </w:r>
      <w:r w:rsidRPr="00257913">
        <w:rPr>
          <w:noProof/>
        </w:rPr>
        <w:t>La Belgique a indiqué que l’ensemble coordonné de services personnalisés a été établi en consultation avec des experts, y compris des membres de la task force et les partenaires sociaux, conformément à l’article 7, paragraphe 4, du règlement (UE) 2021/691. Le paquet final de mesures a été convenu avec les syndicats CGSLB</w:t>
      </w:r>
      <w:r w:rsidR="00F33F5A" w:rsidRPr="00257913">
        <w:rPr>
          <w:rStyle w:val="FootnoteReference"/>
          <w:noProof/>
        </w:rPr>
        <w:footnoteReference w:id="10"/>
      </w:r>
      <w:r w:rsidRPr="00257913">
        <w:rPr>
          <w:noProof/>
        </w:rPr>
        <w:t>, FGTB</w:t>
      </w:r>
      <w:r w:rsidR="00A81EF9" w:rsidRPr="00257913">
        <w:rPr>
          <w:rStyle w:val="FootnoteReference"/>
          <w:noProof/>
        </w:rPr>
        <w:footnoteReference w:id="11"/>
      </w:r>
      <w:r w:rsidRPr="00257913">
        <w:rPr>
          <w:noProof/>
        </w:rPr>
        <w:t xml:space="preserve"> et CSC</w:t>
      </w:r>
      <w:r w:rsidR="00034F32" w:rsidRPr="00257913">
        <w:rPr>
          <w:rStyle w:val="FootnoteReference"/>
          <w:noProof/>
        </w:rPr>
        <w:footnoteReference w:id="12"/>
      </w:r>
      <w:r w:rsidRPr="00257913">
        <w:rPr>
          <w:noProof/>
        </w:rPr>
        <w:t xml:space="preserve"> à la première réunion du comité directeur le 21</w:t>
      </w:r>
      <w:r w:rsidR="0051785A" w:rsidRPr="00257913">
        <w:rPr>
          <w:noProof/>
        </w:rPr>
        <w:t> </w:t>
      </w:r>
      <w:r w:rsidRPr="00257913">
        <w:rPr>
          <w:noProof/>
        </w:rPr>
        <w:t>octobre 2025.</w:t>
      </w:r>
    </w:p>
    <w:p w:rsidR="001A62D7" w:rsidRPr="00257913" w:rsidRDefault="001A62D7" w:rsidP="001A62D7">
      <w:pPr>
        <w:pStyle w:val="ManualHeading2"/>
        <w:rPr>
          <w:noProof/>
        </w:rPr>
      </w:pPr>
      <w:r w:rsidRPr="00257913">
        <w:rPr>
          <w:noProof/>
        </w:rPr>
        <w:t>Bénéficiaires visés et mesures proposées</w:t>
      </w:r>
    </w:p>
    <w:p w:rsidR="001A62D7" w:rsidRPr="00257913" w:rsidRDefault="001A62D7" w:rsidP="001A62D7">
      <w:pPr>
        <w:pStyle w:val="ManualHeading3"/>
        <w:rPr>
          <w:noProof/>
        </w:rPr>
      </w:pPr>
      <w:r w:rsidRPr="00257913">
        <w:rPr>
          <w:noProof/>
        </w:rPr>
        <w:t>Bénéficiaires visés</w:t>
      </w:r>
    </w:p>
    <w:p w:rsidR="001A62D7" w:rsidRPr="00257913" w:rsidRDefault="00F07146" w:rsidP="00AE7D04">
      <w:pPr>
        <w:pStyle w:val="ManualNumPar1"/>
        <w:rPr>
          <w:noProof/>
        </w:rPr>
      </w:pPr>
      <w:r>
        <w:rPr>
          <w:noProof/>
        </w:rPr>
        <w:t>23.</w:t>
      </w:r>
      <w:r>
        <w:rPr>
          <w:noProof/>
        </w:rPr>
        <w:tab/>
      </w:r>
      <w:r w:rsidRPr="00257913">
        <w:rPr>
          <w:noProof/>
        </w:rPr>
        <w:t>Les 803 travailleurs licenciés devraient tous participer aux mesures. Conformément à l’article 8, paragraphe 7, point f), du règlement (UE) 2021/691, la ventilation fournie de ces travailleurs par genre, groupe d’âge et niveau d’éducation est la suivante:</w:t>
      </w:r>
    </w:p>
    <w:tbl>
      <w:tblPr>
        <w:tblW w:w="0" w:type="auto"/>
        <w:jc w:val="center"/>
        <w:tblLook w:val="04A0" w:firstRow="1" w:lastRow="0" w:firstColumn="1" w:lastColumn="0" w:noHBand="0" w:noVBand="1"/>
      </w:tblPr>
      <w:tblGrid>
        <w:gridCol w:w="1496"/>
        <w:gridCol w:w="2063"/>
        <w:gridCol w:w="1176"/>
        <w:gridCol w:w="1176"/>
      </w:tblGrid>
      <w:tr w:rsidR="001A62D7" w:rsidRPr="00257913" w:rsidTr="001D5990">
        <w:trPr>
          <w:jc w:val="center"/>
        </w:trPr>
        <w:tc>
          <w:tcPr>
            <w:tcW w:w="3559" w:type="dxa"/>
            <w:gridSpan w:val="2"/>
            <w:tcBorders>
              <w:top w:val="single" w:sz="4" w:space="0" w:color="auto"/>
              <w:left w:val="nil"/>
              <w:bottom w:val="single" w:sz="4" w:space="0" w:color="auto"/>
              <w:right w:val="nil"/>
            </w:tcBorders>
            <w:hideMark/>
          </w:tcPr>
          <w:p w:rsidR="001A62D7" w:rsidRPr="00257913" w:rsidRDefault="001A62D7" w:rsidP="001D5990">
            <w:pPr>
              <w:spacing w:before="60" w:after="60"/>
              <w:jc w:val="center"/>
              <w:rPr>
                <w:noProof/>
              </w:rPr>
            </w:pPr>
            <w:r w:rsidRPr="00257913">
              <w:rPr>
                <w:noProof/>
              </w:rPr>
              <w:t>Catégorie</w:t>
            </w:r>
          </w:p>
        </w:tc>
        <w:tc>
          <w:tcPr>
            <w:tcW w:w="2352" w:type="dxa"/>
            <w:gridSpan w:val="2"/>
            <w:tcBorders>
              <w:top w:val="single" w:sz="4" w:space="0" w:color="auto"/>
              <w:left w:val="nil"/>
              <w:bottom w:val="single" w:sz="4" w:space="0" w:color="auto"/>
              <w:right w:val="nil"/>
            </w:tcBorders>
            <w:hideMark/>
          </w:tcPr>
          <w:p w:rsidR="001A62D7" w:rsidRPr="00257913" w:rsidRDefault="001A62D7" w:rsidP="001D5990">
            <w:pPr>
              <w:spacing w:before="60" w:after="60"/>
              <w:jc w:val="center"/>
              <w:rPr>
                <w:noProof/>
              </w:rPr>
            </w:pPr>
            <w:r w:rsidRPr="00257913">
              <w:rPr>
                <w:noProof/>
              </w:rPr>
              <w:t xml:space="preserve">Nombre de </w:t>
            </w:r>
            <w:r w:rsidRPr="00257913">
              <w:rPr>
                <w:noProof/>
              </w:rPr>
              <w:br/>
            </w:r>
            <w:r w:rsidRPr="00257913">
              <w:rPr>
                <w:noProof/>
              </w:rPr>
              <w:lastRenderedPageBreak/>
              <w:t>bénéficiaires attendus</w:t>
            </w:r>
          </w:p>
        </w:tc>
      </w:tr>
      <w:tr w:rsidR="001A62D7" w:rsidRPr="00257913" w:rsidTr="001D5990">
        <w:trPr>
          <w:jc w:val="center"/>
        </w:trPr>
        <w:tc>
          <w:tcPr>
            <w:tcW w:w="1496" w:type="dxa"/>
            <w:tcBorders>
              <w:top w:val="single" w:sz="4" w:space="0" w:color="auto"/>
              <w:left w:val="nil"/>
              <w:right w:val="nil"/>
            </w:tcBorders>
            <w:hideMark/>
          </w:tcPr>
          <w:p w:rsidR="001A62D7" w:rsidRPr="00257913" w:rsidRDefault="001A62D7" w:rsidP="001D5990">
            <w:pPr>
              <w:spacing w:before="60" w:after="60"/>
              <w:rPr>
                <w:noProof/>
              </w:rPr>
            </w:pPr>
            <w:r w:rsidRPr="00257913">
              <w:rPr>
                <w:noProof/>
              </w:rPr>
              <w:lastRenderedPageBreak/>
              <w:t>Genre:</w:t>
            </w:r>
          </w:p>
        </w:tc>
        <w:tc>
          <w:tcPr>
            <w:tcW w:w="2063" w:type="dxa"/>
            <w:tcBorders>
              <w:top w:val="single" w:sz="4" w:space="0" w:color="auto"/>
              <w:left w:val="nil"/>
              <w:right w:val="nil"/>
            </w:tcBorders>
            <w:hideMark/>
          </w:tcPr>
          <w:p w:rsidR="001A62D7" w:rsidRPr="00257913" w:rsidRDefault="001A62D7" w:rsidP="001D5990">
            <w:pPr>
              <w:spacing w:before="60" w:after="60"/>
              <w:rPr>
                <w:noProof/>
              </w:rPr>
            </w:pPr>
            <w:r w:rsidRPr="00257913">
              <w:rPr>
                <w:noProof/>
              </w:rPr>
              <w:t>Hommes:</w:t>
            </w:r>
          </w:p>
        </w:tc>
        <w:tc>
          <w:tcPr>
            <w:tcW w:w="1176" w:type="dxa"/>
            <w:tcBorders>
              <w:top w:val="single" w:sz="4" w:space="0" w:color="auto"/>
              <w:left w:val="nil"/>
              <w:right w:val="nil"/>
            </w:tcBorders>
            <w:hideMark/>
          </w:tcPr>
          <w:p w:rsidR="001A62D7" w:rsidRPr="00257913" w:rsidRDefault="00DC0B2E" w:rsidP="001D5990">
            <w:pPr>
              <w:spacing w:before="60" w:after="60"/>
              <w:jc w:val="right"/>
              <w:rPr>
                <w:noProof/>
              </w:rPr>
            </w:pPr>
            <w:r w:rsidRPr="00257913">
              <w:rPr>
                <w:noProof/>
              </w:rPr>
              <w:t>616</w:t>
            </w:r>
          </w:p>
        </w:tc>
        <w:tc>
          <w:tcPr>
            <w:tcW w:w="1176" w:type="dxa"/>
            <w:tcBorders>
              <w:top w:val="single" w:sz="4" w:space="0" w:color="auto"/>
              <w:left w:val="nil"/>
              <w:right w:val="nil"/>
            </w:tcBorders>
            <w:hideMark/>
          </w:tcPr>
          <w:p w:rsidR="001A62D7" w:rsidRPr="00257913" w:rsidRDefault="001A62D7" w:rsidP="001D5990">
            <w:pPr>
              <w:spacing w:before="60" w:after="60"/>
              <w:jc w:val="right"/>
              <w:rPr>
                <w:noProof/>
              </w:rPr>
            </w:pPr>
            <w:r w:rsidRPr="00257913">
              <w:rPr>
                <w:noProof/>
              </w:rPr>
              <w:t>(76,7 %)</w:t>
            </w:r>
          </w:p>
        </w:tc>
      </w:tr>
      <w:tr w:rsidR="001A62D7" w:rsidRPr="00257913" w:rsidTr="001D5990">
        <w:trPr>
          <w:jc w:val="center"/>
        </w:trPr>
        <w:tc>
          <w:tcPr>
            <w:tcW w:w="1496" w:type="dxa"/>
            <w:tcBorders>
              <w:top w:val="nil"/>
              <w:left w:val="nil"/>
              <w:right w:val="nil"/>
            </w:tcBorders>
          </w:tcPr>
          <w:p w:rsidR="001A62D7" w:rsidRPr="00257913" w:rsidRDefault="001A62D7" w:rsidP="001D5990">
            <w:pPr>
              <w:spacing w:before="60" w:after="60"/>
              <w:rPr>
                <w:noProof/>
              </w:rPr>
            </w:pPr>
          </w:p>
        </w:tc>
        <w:tc>
          <w:tcPr>
            <w:tcW w:w="2063" w:type="dxa"/>
            <w:tcBorders>
              <w:top w:val="nil"/>
              <w:left w:val="nil"/>
              <w:right w:val="nil"/>
            </w:tcBorders>
          </w:tcPr>
          <w:p w:rsidR="001A62D7" w:rsidRPr="00257913" w:rsidRDefault="001A62D7" w:rsidP="001D5990">
            <w:pPr>
              <w:spacing w:before="60" w:after="60"/>
              <w:rPr>
                <w:rFonts w:eastAsia="Calibri"/>
                <w:noProof/>
              </w:rPr>
            </w:pPr>
            <w:r w:rsidRPr="00257913">
              <w:rPr>
                <w:noProof/>
              </w:rPr>
              <w:t>Femmes:</w:t>
            </w:r>
          </w:p>
        </w:tc>
        <w:tc>
          <w:tcPr>
            <w:tcW w:w="1176" w:type="dxa"/>
          </w:tcPr>
          <w:p w:rsidR="001A62D7" w:rsidRPr="00257913" w:rsidRDefault="00DC0B2E" w:rsidP="001D5990">
            <w:pPr>
              <w:spacing w:before="60" w:after="60"/>
              <w:jc w:val="right"/>
              <w:rPr>
                <w:noProof/>
              </w:rPr>
            </w:pPr>
            <w:r w:rsidRPr="00257913">
              <w:rPr>
                <w:noProof/>
              </w:rPr>
              <w:t>187</w:t>
            </w:r>
          </w:p>
        </w:tc>
        <w:tc>
          <w:tcPr>
            <w:tcW w:w="1176" w:type="dxa"/>
          </w:tcPr>
          <w:p w:rsidR="001A62D7" w:rsidRPr="00257913" w:rsidRDefault="001A62D7" w:rsidP="001D5990">
            <w:pPr>
              <w:spacing w:before="60" w:after="60"/>
              <w:jc w:val="right"/>
              <w:rPr>
                <w:rFonts w:eastAsia="Calibri"/>
                <w:noProof/>
              </w:rPr>
            </w:pPr>
            <w:r w:rsidRPr="00257913">
              <w:rPr>
                <w:noProof/>
              </w:rPr>
              <w:t>(23,3 %)</w:t>
            </w:r>
          </w:p>
        </w:tc>
      </w:tr>
      <w:tr w:rsidR="001A62D7" w:rsidRPr="00257913" w:rsidTr="001D5990">
        <w:trPr>
          <w:jc w:val="center"/>
        </w:trPr>
        <w:tc>
          <w:tcPr>
            <w:tcW w:w="1496" w:type="dxa"/>
            <w:tcBorders>
              <w:left w:val="nil"/>
              <w:bottom w:val="single" w:sz="4" w:space="0" w:color="auto"/>
              <w:right w:val="nil"/>
            </w:tcBorders>
          </w:tcPr>
          <w:p w:rsidR="001A62D7" w:rsidRPr="00257913" w:rsidRDefault="001A62D7" w:rsidP="001D5990">
            <w:pPr>
              <w:spacing w:before="60" w:after="60"/>
              <w:rPr>
                <w:noProof/>
              </w:rPr>
            </w:pPr>
          </w:p>
        </w:tc>
        <w:tc>
          <w:tcPr>
            <w:tcW w:w="2063" w:type="dxa"/>
            <w:tcBorders>
              <w:left w:val="nil"/>
              <w:bottom w:val="single" w:sz="4" w:space="0" w:color="auto"/>
              <w:right w:val="nil"/>
            </w:tcBorders>
          </w:tcPr>
          <w:p w:rsidR="001A62D7" w:rsidRPr="00257913" w:rsidRDefault="001A62D7" w:rsidP="001D5990">
            <w:pPr>
              <w:spacing w:before="60" w:after="60"/>
              <w:rPr>
                <w:noProof/>
              </w:rPr>
            </w:pPr>
            <w:r w:rsidRPr="00257913">
              <w:rPr>
                <w:noProof/>
              </w:rPr>
              <w:t>Non binaire</w:t>
            </w:r>
          </w:p>
        </w:tc>
        <w:tc>
          <w:tcPr>
            <w:tcW w:w="1176" w:type="dxa"/>
            <w:tcBorders>
              <w:bottom w:val="single" w:sz="4" w:space="0" w:color="auto"/>
            </w:tcBorders>
            <w:hideMark/>
          </w:tcPr>
          <w:p w:rsidR="001A62D7" w:rsidRPr="00257913" w:rsidRDefault="00DC0B2E" w:rsidP="001D5990">
            <w:pPr>
              <w:spacing w:before="60" w:after="60"/>
              <w:jc w:val="right"/>
              <w:rPr>
                <w:noProof/>
              </w:rPr>
            </w:pPr>
            <w:r w:rsidRPr="00257913">
              <w:rPr>
                <w:noProof/>
              </w:rPr>
              <w:t>0</w:t>
            </w:r>
          </w:p>
        </w:tc>
        <w:tc>
          <w:tcPr>
            <w:tcW w:w="1176" w:type="dxa"/>
            <w:tcBorders>
              <w:bottom w:val="single" w:sz="4" w:space="0" w:color="auto"/>
            </w:tcBorders>
            <w:hideMark/>
          </w:tcPr>
          <w:p w:rsidR="001A62D7" w:rsidRPr="00257913" w:rsidRDefault="001A62D7" w:rsidP="001D5990">
            <w:pPr>
              <w:spacing w:before="60" w:after="60"/>
              <w:jc w:val="right"/>
              <w:rPr>
                <w:noProof/>
              </w:rPr>
            </w:pPr>
            <w:r w:rsidRPr="00257913">
              <w:rPr>
                <w:noProof/>
              </w:rPr>
              <w:t>(0,0 %)</w:t>
            </w:r>
          </w:p>
        </w:tc>
      </w:tr>
      <w:tr w:rsidR="001A62D7" w:rsidRPr="00257913" w:rsidTr="001D5990">
        <w:trPr>
          <w:jc w:val="center"/>
        </w:trPr>
        <w:tc>
          <w:tcPr>
            <w:tcW w:w="1496" w:type="dxa"/>
            <w:tcBorders>
              <w:top w:val="single" w:sz="4" w:space="0" w:color="auto"/>
              <w:left w:val="nil"/>
              <w:bottom w:val="nil"/>
              <w:right w:val="nil"/>
            </w:tcBorders>
            <w:hideMark/>
          </w:tcPr>
          <w:p w:rsidR="001A62D7" w:rsidRPr="00257913" w:rsidRDefault="001A62D7" w:rsidP="001D5990">
            <w:pPr>
              <w:spacing w:before="60" w:after="60"/>
              <w:rPr>
                <w:noProof/>
              </w:rPr>
            </w:pPr>
            <w:r w:rsidRPr="00257913">
              <w:rPr>
                <w:noProof/>
              </w:rPr>
              <w:t>Groupe d’âge:</w:t>
            </w:r>
          </w:p>
        </w:tc>
        <w:tc>
          <w:tcPr>
            <w:tcW w:w="2063" w:type="dxa"/>
            <w:tcBorders>
              <w:top w:val="single" w:sz="4" w:space="0" w:color="auto"/>
              <w:left w:val="nil"/>
              <w:bottom w:val="nil"/>
              <w:right w:val="nil"/>
            </w:tcBorders>
            <w:hideMark/>
          </w:tcPr>
          <w:p w:rsidR="001A62D7" w:rsidRPr="00257913" w:rsidRDefault="001A62D7" w:rsidP="001D5990">
            <w:pPr>
              <w:spacing w:before="60" w:after="60"/>
              <w:rPr>
                <w:noProof/>
              </w:rPr>
            </w:pPr>
            <w:r w:rsidRPr="00257913">
              <w:rPr>
                <w:noProof/>
              </w:rPr>
              <w:t>Moins de 30 ans:</w:t>
            </w:r>
          </w:p>
        </w:tc>
        <w:tc>
          <w:tcPr>
            <w:tcW w:w="1176" w:type="dxa"/>
            <w:tcBorders>
              <w:top w:val="single" w:sz="4" w:space="0" w:color="auto"/>
            </w:tcBorders>
            <w:hideMark/>
          </w:tcPr>
          <w:p w:rsidR="001A62D7" w:rsidRPr="00257913" w:rsidRDefault="00DC0B2E" w:rsidP="001D5990">
            <w:pPr>
              <w:spacing w:before="60" w:after="60"/>
              <w:jc w:val="right"/>
              <w:rPr>
                <w:noProof/>
              </w:rPr>
            </w:pPr>
            <w:r w:rsidRPr="00257913">
              <w:rPr>
                <w:noProof/>
              </w:rPr>
              <w:t>145</w:t>
            </w:r>
          </w:p>
        </w:tc>
        <w:tc>
          <w:tcPr>
            <w:tcW w:w="1176" w:type="dxa"/>
            <w:tcBorders>
              <w:top w:val="single" w:sz="4" w:space="0" w:color="auto"/>
            </w:tcBorders>
            <w:hideMark/>
          </w:tcPr>
          <w:p w:rsidR="001A62D7" w:rsidRPr="00257913" w:rsidRDefault="001A62D7" w:rsidP="001D5990">
            <w:pPr>
              <w:spacing w:before="60" w:after="60"/>
              <w:jc w:val="right"/>
              <w:rPr>
                <w:noProof/>
              </w:rPr>
            </w:pPr>
            <w:r w:rsidRPr="00257913">
              <w:rPr>
                <w:noProof/>
              </w:rPr>
              <w:t>(18,1 %)</w:t>
            </w:r>
          </w:p>
        </w:tc>
      </w:tr>
      <w:tr w:rsidR="001A62D7" w:rsidRPr="00257913" w:rsidTr="001D5990">
        <w:trPr>
          <w:jc w:val="center"/>
        </w:trPr>
        <w:tc>
          <w:tcPr>
            <w:tcW w:w="1496" w:type="dxa"/>
          </w:tcPr>
          <w:p w:rsidR="001A62D7" w:rsidRPr="00257913" w:rsidRDefault="001A62D7" w:rsidP="001D5990">
            <w:pPr>
              <w:spacing w:before="60" w:after="60"/>
              <w:rPr>
                <w:noProof/>
              </w:rPr>
            </w:pPr>
          </w:p>
        </w:tc>
        <w:tc>
          <w:tcPr>
            <w:tcW w:w="2063" w:type="dxa"/>
            <w:hideMark/>
          </w:tcPr>
          <w:p w:rsidR="001A62D7" w:rsidRPr="00257913" w:rsidRDefault="001A62D7" w:rsidP="001D5990">
            <w:pPr>
              <w:spacing w:before="60" w:after="60"/>
              <w:rPr>
                <w:noProof/>
              </w:rPr>
            </w:pPr>
            <w:r w:rsidRPr="00257913">
              <w:rPr>
                <w:noProof/>
              </w:rPr>
              <w:t>30-54 ans:</w:t>
            </w:r>
          </w:p>
        </w:tc>
        <w:tc>
          <w:tcPr>
            <w:tcW w:w="1176" w:type="dxa"/>
            <w:hideMark/>
          </w:tcPr>
          <w:p w:rsidR="001A62D7" w:rsidRPr="00257913" w:rsidRDefault="00DC0B2E" w:rsidP="001D5990">
            <w:pPr>
              <w:spacing w:before="60" w:after="60"/>
              <w:jc w:val="right"/>
              <w:rPr>
                <w:noProof/>
              </w:rPr>
            </w:pPr>
            <w:r w:rsidRPr="00257913">
              <w:rPr>
                <w:noProof/>
              </w:rPr>
              <w:t>585</w:t>
            </w:r>
          </w:p>
        </w:tc>
        <w:tc>
          <w:tcPr>
            <w:tcW w:w="1176" w:type="dxa"/>
            <w:hideMark/>
          </w:tcPr>
          <w:p w:rsidR="001A62D7" w:rsidRPr="00257913" w:rsidRDefault="001A62D7" w:rsidP="001D5990">
            <w:pPr>
              <w:spacing w:before="60" w:after="60"/>
              <w:jc w:val="right"/>
              <w:rPr>
                <w:noProof/>
              </w:rPr>
            </w:pPr>
            <w:r w:rsidRPr="00257913">
              <w:rPr>
                <w:noProof/>
              </w:rPr>
              <w:t>(72,9 %)</w:t>
            </w:r>
          </w:p>
        </w:tc>
      </w:tr>
      <w:tr w:rsidR="001A62D7" w:rsidRPr="00257913" w:rsidTr="001D5990">
        <w:trPr>
          <w:jc w:val="center"/>
        </w:trPr>
        <w:tc>
          <w:tcPr>
            <w:tcW w:w="1496" w:type="dxa"/>
          </w:tcPr>
          <w:p w:rsidR="001A62D7" w:rsidRPr="00257913" w:rsidRDefault="001A62D7" w:rsidP="001D5990">
            <w:pPr>
              <w:spacing w:before="60" w:after="60"/>
              <w:rPr>
                <w:noProof/>
              </w:rPr>
            </w:pPr>
          </w:p>
        </w:tc>
        <w:tc>
          <w:tcPr>
            <w:tcW w:w="2063" w:type="dxa"/>
            <w:hideMark/>
          </w:tcPr>
          <w:p w:rsidR="001A62D7" w:rsidRPr="00257913" w:rsidRDefault="001A62D7" w:rsidP="001D5990">
            <w:pPr>
              <w:spacing w:before="60" w:after="60"/>
              <w:jc w:val="left"/>
              <w:rPr>
                <w:noProof/>
              </w:rPr>
            </w:pPr>
            <w:r w:rsidRPr="00257913">
              <w:rPr>
                <w:noProof/>
              </w:rPr>
              <w:t>Plus de 54 ans:</w:t>
            </w:r>
          </w:p>
        </w:tc>
        <w:tc>
          <w:tcPr>
            <w:tcW w:w="1176" w:type="dxa"/>
            <w:hideMark/>
          </w:tcPr>
          <w:p w:rsidR="001A62D7" w:rsidRPr="00257913" w:rsidRDefault="00DC0B2E" w:rsidP="001D5990">
            <w:pPr>
              <w:spacing w:before="60" w:after="60"/>
              <w:jc w:val="right"/>
              <w:rPr>
                <w:noProof/>
              </w:rPr>
            </w:pPr>
            <w:r w:rsidRPr="00257913">
              <w:rPr>
                <w:noProof/>
              </w:rPr>
              <w:t>73</w:t>
            </w:r>
          </w:p>
        </w:tc>
        <w:tc>
          <w:tcPr>
            <w:tcW w:w="1176" w:type="dxa"/>
            <w:hideMark/>
          </w:tcPr>
          <w:p w:rsidR="001A62D7" w:rsidRPr="00257913" w:rsidRDefault="001A62D7" w:rsidP="001D5990">
            <w:pPr>
              <w:spacing w:before="60" w:after="60"/>
              <w:jc w:val="right"/>
              <w:rPr>
                <w:noProof/>
              </w:rPr>
            </w:pPr>
            <w:r w:rsidRPr="00257913">
              <w:rPr>
                <w:noProof/>
              </w:rPr>
              <w:t>(9,1 %)</w:t>
            </w:r>
          </w:p>
        </w:tc>
      </w:tr>
      <w:tr w:rsidR="001A62D7" w:rsidRPr="00257913" w:rsidTr="001D5990">
        <w:trPr>
          <w:jc w:val="center"/>
        </w:trPr>
        <w:tc>
          <w:tcPr>
            <w:tcW w:w="1496" w:type="dxa"/>
            <w:tcBorders>
              <w:top w:val="single" w:sz="4" w:space="0" w:color="auto"/>
              <w:left w:val="nil"/>
              <w:bottom w:val="nil"/>
              <w:right w:val="nil"/>
            </w:tcBorders>
          </w:tcPr>
          <w:p w:rsidR="001A62D7" w:rsidRPr="00257913" w:rsidRDefault="001A62D7" w:rsidP="001D5990">
            <w:pPr>
              <w:spacing w:before="60" w:after="60"/>
              <w:rPr>
                <w:noProof/>
              </w:rPr>
            </w:pPr>
            <w:r w:rsidRPr="00257913">
              <w:rPr>
                <w:noProof/>
              </w:rPr>
              <w:t>Niveau d’éducation</w:t>
            </w:r>
          </w:p>
        </w:tc>
        <w:tc>
          <w:tcPr>
            <w:tcW w:w="2063" w:type="dxa"/>
            <w:tcBorders>
              <w:top w:val="single" w:sz="4" w:space="0" w:color="auto"/>
              <w:left w:val="nil"/>
              <w:bottom w:val="nil"/>
              <w:right w:val="nil"/>
            </w:tcBorders>
          </w:tcPr>
          <w:p w:rsidR="001A62D7" w:rsidRPr="00257913" w:rsidRDefault="001A62D7" w:rsidP="001D5990">
            <w:pPr>
              <w:spacing w:before="60" w:after="60"/>
              <w:rPr>
                <w:noProof/>
              </w:rPr>
            </w:pPr>
            <w:r w:rsidRPr="00257913">
              <w:rPr>
                <w:noProof/>
              </w:rPr>
              <w:t>Premier cycle du secondaire ou inférieur</w:t>
            </w:r>
            <w:r w:rsidRPr="00257913">
              <w:rPr>
                <w:rStyle w:val="FootnoteReference"/>
                <w:noProof/>
              </w:rPr>
              <w:footnoteReference w:id="13"/>
            </w:r>
            <w:r w:rsidRPr="00257913">
              <w:rPr>
                <w:noProof/>
              </w:rPr>
              <w:t xml:space="preserve"> </w:t>
            </w:r>
          </w:p>
        </w:tc>
        <w:tc>
          <w:tcPr>
            <w:tcW w:w="1176" w:type="dxa"/>
            <w:tcBorders>
              <w:top w:val="single" w:sz="4" w:space="0" w:color="auto"/>
              <w:left w:val="nil"/>
              <w:bottom w:val="nil"/>
              <w:right w:val="nil"/>
            </w:tcBorders>
          </w:tcPr>
          <w:p w:rsidR="001A62D7" w:rsidRPr="00257913" w:rsidRDefault="00DC0B2E" w:rsidP="001D5990">
            <w:pPr>
              <w:spacing w:before="60" w:after="60"/>
              <w:jc w:val="right"/>
              <w:rPr>
                <w:noProof/>
              </w:rPr>
            </w:pPr>
            <w:r w:rsidRPr="00257913">
              <w:rPr>
                <w:noProof/>
              </w:rPr>
              <w:t>298</w:t>
            </w:r>
          </w:p>
        </w:tc>
        <w:tc>
          <w:tcPr>
            <w:tcW w:w="1176" w:type="dxa"/>
            <w:tcBorders>
              <w:top w:val="single" w:sz="4" w:space="0" w:color="auto"/>
              <w:left w:val="nil"/>
              <w:bottom w:val="nil"/>
              <w:right w:val="nil"/>
            </w:tcBorders>
          </w:tcPr>
          <w:p w:rsidR="001A62D7" w:rsidRPr="00257913" w:rsidRDefault="001A62D7" w:rsidP="001D5990">
            <w:pPr>
              <w:spacing w:before="60" w:after="60"/>
              <w:jc w:val="right"/>
              <w:rPr>
                <w:rFonts w:eastAsia="Calibri"/>
                <w:noProof/>
              </w:rPr>
            </w:pPr>
            <w:r w:rsidRPr="00257913">
              <w:rPr>
                <w:noProof/>
              </w:rPr>
              <w:t>(37,1 %)</w:t>
            </w:r>
          </w:p>
        </w:tc>
      </w:tr>
      <w:tr w:rsidR="001A62D7" w:rsidRPr="00257913" w:rsidTr="001D5990">
        <w:trPr>
          <w:jc w:val="center"/>
        </w:trPr>
        <w:tc>
          <w:tcPr>
            <w:tcW w:w="1496" w:type="dxa"/>
            <w:tcBorders>
              <w:top w:val="nil"/>
              <w:left w:val="nil"/>
              <w:right w:val="nil"/>
            </w:tcBorders>
          </w:tcPr>
          <w:p w:rsidR="001A62D7" w:rsidRPr="00257913" w:rsidRDefault="001A62D7" w:rsidP="001D5990">
            <w:pPr>
              <w:spacing w:before="60" w:after="60"/>
              <w:rPr>
                <w:noProof/>
              </w:rPr>
            </w:pPr>
          </w:p>
        </w:tc>
        <w:tc>
          <w:tcPr>
            <w:tcW w:w="2063" w:type="dxa"/>
            <w:tcBorders>
              <w:top w:val="nil"/>
              <w:left w:val="nil"/>
              <w:right w:val="nil"/>
            </w:tcBorders>
          </w:tcPr>
          <w:p w:rsidR="001A62D7" w:rsidRPr="00257913" w:rsidRDefault="001A62D7" w:rsidP="001D5990">
            <w:pPr>
              <w:spacing w:before="60" w:after="60"/>
              <w:rPr>
                <w:noProof/>
              </w:rPr>
            </w:pPr>
            <w:r w:rsidRPr="00257913">
              <w:rPr>
                <w:noProof/>
              </w:rPr>
              <w:t>Deuxième cycle du secondaire</w:t>
            </w:r>
            <w:r w:rsidRPr="00257913">
              <w:rPr>
                <w:rStyle w:val="FootnoteReference"/>
                <w:noProof/>
              </w:rPr>
              <w:footnoteReference w:id="14"/>
            </w:r>
            <w:r w:rsidRPr="00257913">
              <w:rPr>
                <w:noProof/>
              </w:rPr>
              <w:t xml:space="preserve"> ou post-secondaire non supérieur</w:t>
            </w:r>
            <w:r w:rsidRPr="00257913">
              <w:rPr>
                <w:rStyle w:val="FootnoteReference"/>
                <w:noProof/>
              </w:rPr>
              <w:footnoteReference w:id="15"/>
            </w:r>
          </w:p>
        </w:tc>
        <w:tc>
          <w:tcPr>
            <w:tcW w:w="1176" w:type="dxa"/>
            <w:tcBorders>
              <w:top w:val="nil"/>
              <w:left w:val="nil"/>
              <w:right w:val="nil"/>
            </w:tcBorders>
          </w:tcPr>
          <w:p w:rsidR="001A62D7" w:rsidRPr="00257913" w:rsidRDefault="00DC0B2E" w:rsidP="001D5990">
            <w:pPr>
              <w:spacing w:before="60" w:after="60"/>
              <w:jc w:val="right"/>
              <w:rPr>
                <w:noProof/>
              </w:rPr>
            </w:pPr>
            <w:r w:rsidRPr="00257913">
              <w:rPr>
                <w:noProof/>
              </w:rPr>
              <w:t>191</w:t>
            </w:r>
          </w:p>
        </w:tc>
        <w:tc>
          <w:tcPr>
            <w:tcW w:w="1176" w:type="dxa"/>
            <w:tcBorders>
              <w:top w:val="nil"/>
              <w:left w:val="nil"/>
              <w:right w:val="nil"/>
            </w:tcBorders>
          </w:tcPr>
          <w:p w:rsidR="001A62D7" w:rsidRPr="00257913" w:rsidRDefault="001A62D7" w:rsidP="001D5990">
            <w:pPr>
              <w:spacing w:before="60" w:after="60"/>
              <w:jc w:val="right"/>
              <w:rPr>
                <w:rFonts w:eastAsia="Calibri"/>
                <w:noProof/>
              </w:rPr>
            </w:pPr>
            <w:r w:rsidRPr="00257913">
              <w:rPr>
                <w:noProof/>
              </w:rPr>
              <w:t>(23,8 %)</w:t>
            </w:r>
          </w:p>
        </w:tc>
      </w:tr>
      <w:tr w:rsidR="001A62D7" w:rsidRPr="00257913" w:rsidTr="001D5990">
        <w:trPr>
          <w:jc w:val="center"/>
        </w:trPr>
        <w:tc>
          <w:tcPr>
            <w:tcW w:w="1496" w:type="dxa"/>
            <w:tcBorders>
              <w:top w:val="nil"/>
              <w:left w:val="nil"/>
              <w:bottom w:val="single" w:sz="4" w:space="0" w:color="auto"/>
              <w:right w:val="nil"/>
            </w:tcBorders>
          </w:tcPr>
          <w:p w:rsidR="001A62D7" w:rsidRPr="00257913" w:rsidRDefault="001A62D7" w:rsidP="001D5990">
            <w:pPr>
              <w:spacing w:before="60" w:after="60"/>
              <w:rPr>
                <w:noProof/>
              </w:rPr>
            </w:pPr>
          </w:p>
        </w:tc>
        <w:tc>
          <w:tcPr>
            <w:tcW w:w="2063" w:type="dxa"/>
            <w:tcBorders>
              <w:top w:val="nil"/>
              <w:left w:val="nil"/>
              <w:bottom w:val="single" w:sz="4" w:space="0" w:color="auto"/>
              <w:right w:val="nil"/>
            </w:tcBorders>
          </w:tcPr>
          <w:p w:rsidR="001A62D7" w:rsidRPr="00257913" w:rsidRDefault="001A62D7" w:rsidP="001D5990">
            <w:pPr>
              <w:spacing w:before="60" w:after="60"/>
              <w:rPr>
                <w:noProof/>
              </w:rPr>
            </w:pPr>
            <w:r w:rsidRPr="00257913">
              <w:rPr>
                <w:noProof/>
              </w:rPr>
              <w:t>Enseignement tertiaire</w:t>
            </w:r>
            <w:r w:rsidRPr="00257913">
              <w:rPr>
                <w:rStyle w:val="FootnoteReference"/>
                <w:noProof/>
              </w:rPr>
              <w:footnoteReference w:id="16"/>
            </w:r>
          </w:p>
        </w:tc>
        <w:tc>
          <w:tcPr>
            <w:tcW w:w="1176" w:type="dxa"/>
            <w:tcBorders>
              <w:top w:val="nil"/>
              <w:left w:val="nil"/>
              <w:bottom w:val="single" w:sz="4" w:space="0" w:color="auto"/>
              <w:right w:val="nil"/>
            </w:tcBorders>
          </w:tcPr>
          <w:p w:rsidR="001A62D7" w:rsidRPr="00257913" w:rsidRDefault="00DC0B2E" w:rsidP="001D5990">
            <w:pPr>
              <w:spacing w:before="60" w:after="60"/>
              <w:jc w:val="right"/>
              <w:rPr>
                <w:noProof/>
              </w:rPr>
            </w:pPr>
            <w:r w:rsidRPr="00257913">
              <w:rPr>
                <w:noProof/>
              </w:rPr>
              <w:t>314</w:t>
            </w:r>
          </w:p>
        </w:tc>
        <w:tc>
          <w:tcPr>
            <w:tcW w:w="1176" w:type="dxa"/>
            <w:tcBorders>
              <w:top w:val="nil"/>
              <w:left w:val="nil"/>
              <w:bottom w:val="single" w:sz="4" w:space="0" w:color="auto"/>
              <w:right w:val="nil"/>
            </w:tcBorders>
          </w:tcPr>
          <w:p w:rsidR="001A62D7" w:rsidRPr="00257913" w:rsidRDefault="001A62D7" w:rsidP="001D5990">
            <w:pPr>
              <w:spacing w:before="60" w:after="60"/>
              <w:jc w:val="right"/>
              <w:rPr>
                <w:rFonts w:eastAsia="Calibri"/>
                <w:noProof/>
              </w:rPr>
            </w:pPr>
            <w:r w:rsidRPr="00257913">
              <w:rPr>
                <w:noProof/>
              </w:rPr>
              <w:t>(39,1 %)</w:t>
            </w:r>
          </w:p>
        </w:tc>
      </w:tr>
    </w:tbl>
    <w:p w:rsidR="001A62D7" w:rsidRPr="00257913" w:rsidRDefault="001A62D7" w:rsidP="001A62D7">
      <w:pPr>
        <w:pStyle w:val="ManualHeading3"/>
        <w:rPr>
          <w:noProof/>
          <w:u w:val="single"/>
        </w:rPr>
      </w:pPr>
      <w:r w:rsidRPr="00257913">
        <w:rPr>
          <w:noProof/>
        </w:rPr>
        <w:t>Mesures proposées</w:t>
      </w:r>
    </w:p>
    <w:p w:rsidR="001A62D7" w:rsidRPr="00257913" w:rsidRDefault="001A62D7" w:rsidP="00AE7D04">
      <w:pPr>
        <w:pStyle w:val="ManualNumPar1"/>
        <w:rPr>
          <w:noProof/>
        </w:rPr>
      </w:pPr>
      <w:r>
        <w:rPr>
          <w:noProof/>
        </w:rPr>
        <w:t>24.</w:t>
      </w:r>
      <w:r>
        <w:rPr>
          <w:noProof/>
        </w:rPr>
        <w:tab/>
      </w:r>
      <w:bookmarkStart w:id="13" w:name="_Ref372214239"/>
      <w:r w:rsidRPr="00257913">
        <w:rPr>
          <w:noProof/>
        </w:rPr>
        <w:t xml:space="preserve">Conformément à l’article 8, paragraphe 7, point h), du règlement (UE) 2021/691, l’ensemble coordonné personnalisé à fournir aux travailleurs licenciés comprend les mesures suivantes: </w:t>
      </w:r>
      <w:bookmarkEnd w:id="13"/>
    </w:p>
    <w:p w:rsidR="001A62D7" w:rsidRPr="00257913" w:rsidRDefault="002B529C" w:rsidP="00B316D7">
      <w:pPr>
        <w:pStyle w:val="Tiret1"/>
        <w:numPr>
          <w:ilvl w:val="0"/>
          <w:numId w:val="19"/>
        </w:numPr>
        <w:rPr>
          <w:noProof/>
        </w:rPr>
      </w:pPr>
      <w:r w:rsidRPr="00257913">
        <w:rPr>
          <w:noProof/>
          <w:u w:val="single"/>
        </w:rPr>
        <w:t>Task force</w:t>
      </w:r>
      <w:r w:rsidRPr="00257913">
        <w:rPr>
          <w:noProof/>
        </w:rPr>
        <w:t>: des gestionnaires de comptes ayant une connaissance approfondie du marché du travail local, ainsi que des consultants expérimentés dans la fourniture d’orientations au cours des procédures de licenciement collectif, organisent et gèrent les séances d’information. En étroite collaboration avec les travailleurs, ils définissent des parcours personnalisés de réinsertion professionnelle et les réajustent si nécessaire. La task force est soutenue par une équipe d’experts en ce qui concerne les projets européens.</w:t>
      </w:r>
    </w:p>
    <w:p w:rsidR="002B529C" w:rsidRPr="00257913" w:rsidRDefault="006E5D60" w:rsidP="002B529C">
      <w:pPr>
        <w:pStyle w:val="Tiret1"/>
        <w:rPr>
          <w:noProof/>
        </w:rPr>
      </w:pPr>
      <w:r w:rsidRPr="00257913">
        <w:rPr>
          <w:noProof/>
          <w:u w:val="single"/>
        </w:rPr>
        <w:t>Reclassement externe</w:t>
      </w:r>
      <w:r w:rsidRPr="00257913">
        <w:rPr>
          <w:noProof/>
        </w:rPr>
        <w:t>: les services de reclassement externe fournis lors de sessions de groupe ou individuelles comprennent, entre autres, un entretien initial et des conseils individuels, la certification des compétences acquises, des conseils sur l’utilisation de la plateforme numérique «Mijn Loopbaan» («Ma carrière») du VDAB</w:t>
      </w:r>
      <w:r w:rsidR="00F33B64" w:rsidRPr="00257913">
        <w:rPr>
          <w:rStyle w:val="FootnoteReference"/>
          <w:noProof/>
        </w:rPr>
        <w:footnoteReference w:id="17"/>
      </w:r>
      <w:r w:rsidRPr="00257913">
        <w:rPr>
          <w:noProof/>
        </w:rPr>
        <w:t xml:space="preserve"> pour la recherche d’un emploi, ainsi que des conseils avant, pendant et après la bourse à l’emploi décrite ci-dessous. Dans le cadre de cette mesure, une action «emplois vacants» a été organisée le 3</w:t>
      </w:r>
      <w:r w:rsidR="0051785A" w:rsidRPr="00257913">
        <w:rPr>
          <w:noProof/>
        </w:rPr>
        <w:t> </w:t>
      </w:r>
      <w:r w:rsidRPr="00257913">
        <w:rPr>
          <w:noProof/>
        </w:rPr>
        <w:t xml:space="preserve">décembre 2025. Au cours de ce type d’action, des offres d’emploi sont présentées/proposées à de petits groupes de travailleurs afin qu’ils posent leur candidature. Les travailleurs sont épaulés par des experts durant la procédure </w:t>
      </w:r>
      <w:r w:rsidRPr="00257913">
        <w:rPr>
          <w:noProof/>
        </w:rPr>
        <w:lastRenderedPageBreak/>
        <w:t>de candidature et le VDAB suit l’état d’avancement des candidatures et de leurs résultats.</w:t>
      </w:r>
    </w:p>
    <w:p w:rsidR="002B529C" w:rsidRPr="00257913" w:rsidRDefault="00492EF2" w:rsidP="002B529C">
      <w:pPr>
        <w:pStyle w:val="Tiret1"/>
        <w:rPr>
          <w:noProof/>
        </w:rPr>
      </w:pPr>
      <w:r w:rsidRPr="00257913">
        <w:rPr>
          <w:noProof/>
          <w:u w:val="single"/>
        </w:rPr>
        <w:t>Aide à la recherche d’un emploi</w:t>
      </w:r>
      <w:r w:rsidRPr="00257913">
        <w:rPr>
          <w:noProof/>
        </w:rPr>
        <w:t>: dans le cadre de cette aide, il est d’abord évalué si le profil du demandeur d’emploi correspond aux demandes actuelles sur le marché du travail et si sa recherche d’emploi est réaliste. Une assistance sur mesure est ensuite apportée, y compris le peaufin</w:t>
      </w:r>
      <w:r w:rsidR="0051785A" w:rsidRPr="00257913">
        <w:rPr>
          <w:noProof/>
        </w:rPr>
        <w:t>age</w:t>
      </w:r>
      <w:r w:rsidRPr="00257913">
        <w:rPr>
          <w:noProof/>
        </w:rPr>
        <w:t xml:space="preserve"> du CV et de la lettre de motivation, la consolidation de la confiance et la préparation des entretiens. Les compétences numériques sont évaluées et une formation de base aux TIC est proposée aux travailleurs qui ne connaissent pas les outils numériques. Un accès à des «digibanks» leur est offert, où ils peuvent emprunter des ordinateurs portables, recevoir une formation et obtenir un soutien numérique. Dans le même temps, des webinaires et des outils en ligne tels que 123digit.be aident les personnes qui possèdent déjà des compétences numériques à les développer davantage.</w:t>
      </w:r>
    </w:p>
    <w:p w:rsidR="007C7D48" w:rsidRPr="00257913" w:rsidRDefault="00984FE9" w:rsidP="007C7D48">
      <w:pPr>
        <w:pStyle w:val="Tiret1"/>
        <w:rPr>
          <w:noProof/>
        </w:rPr>
      </w:pPr>
      <w:r w:rsidRPr="00257913">
        <w:rPr>
          <w:noProof/>
          <w:u w:val="single"/>
        </w:rPr>
        <w:t>Aide renforcée à la recherche d’emploi</w:t>
      </w:r>
      <w:r w:rsidRPr="00257913">
        <w:rPr>
          <w:noProof/>
        </w:rPr>
        <w:t xml:space="preserve">: ce soutien comprend des séances de coaching et de scouting individuel, de coaching collectif avec un médiateur professionnel, un soutien pour postuler et préparer des entretiens d’embauche et des visites dans des entreprises ayant des besoins de recrutement ainsi que dans des centres de formation, afin d’encourager le perfectionnement des compétences.  </w:t>
      </w:r>
    </w:p>
    <w:p w:rsidR="00984FE9" w:rsidRPr="00257913" w:rsidRDefault="007C7D48" w:rsidP="00E42F7B">
      <w:pPr>
        <w:pStyle w:val="Text2"/>
        <w:rPr>
          <w:noProof/>
        </w:rPr>
      </w:pPr>
      <w:r w:rsidRPr="00257913">
        <w:rPr>
          <w:noProof/>
        </w:rPr>
        <w:t xml:space="preserve">En outre, des séances d’information sur les possibilités d’emploi transfrontalier aux Pays-Bas seront organisées avec des experts EURES des services néerlandais de l’emploi. </w:t>
      </w:r>
    </w:p>
    <w:p w:rsidR="006D166F" w:rsidRPr="00257913" w:rsidRDefault="006D166F" w:rsidP="006D166F">
      <w:pPr>
        <w:pStyle w:val="Tiret1"/>
        <w:rPr>
          <w:noProof/>
        </w:rPr>
      </w:pPr>
      <w:r w:rsidRPr="00257913">
        <w:rPr>
          <w:noProof/>
          <w:u w:val="single"/>
        </w:rPr>
        <w:t>Orientation</w:t>
      </w:r>
      <w:r w:rsidRPr="00257913">
        <w:rPr>
          <w:noProof/>
        </w:rPr>
        <w:t>: les services d’orientation proposent des conseils en matière de carrière, de recherche d’emploi et de placement professionnel (en mettant en adéquation les compétences et objectifs des candidats avec les besoins des employeurs), une aide individuelle à la recherche d’emploi et un soutien mental. Les sujets abordés lors des sessions de reclassement externe sont réexaminés si besoin est. Au moyen d’un système de chèques donnant de la flexibilité aux travailleurs, les conseillers du VDAB adaptent l’intensité du soutien (de standard à très intensif) sur la base des évaluations individuelles.</w:t>
      </w:r>
    </w:p>
    <w:p w:rsidR="00347B23" w:rsidRPr="00257913" w:rsidRDefault="00862F27" w:rsidP="00347B23">
      <w:pPr>
        <w:pStyle w:val="Tiret1"/>
        <w:rPr>
          <w:noProof/>
        </w:rPr>
      </w:pPr>
      <w:r w:rsidRPr="00257913">
        <w:rPr>
          <w:noProof/>
          <w:u w:val="single"/>
        </w:rPr>
        <w:t>Formation et reconversion</w:t>
      </w:r>
      <w:r w:rsidRPr="00257913">
        <w:rPr>
          <w:noProof/>
        </w:rPr>
        <w:t xml:space="preserve">: les travailleurs bénéficient d'un accompagnement personnalisé dans le cadre de parcours d’apprentissage spécialisé visant à renforcer leurs compétences techniques, numériques et les compétences les plus recherchées (notamment celles liées aux pénuries de main-d'œuvre et à la transition écologique). Après avoir convenu de plans individuels avec un conseiller professionnel, ils ont accès à une formation ciblée, soit par l’intermédiaire du VDAB, soit via des prestataires externes, afin de répondre aux besoins recensés. </w:t>
      </w:r>
    </w:p>
    <w:p w:rsidR="002B529C" w:rsidRPr="00257913" w:rsidRDefault="00347B23" w:rsidP="00F80243">
      <w:pPr>
        <w:pStyle w:val="Text2"/>
        <w:rPr>
          <w:noProof/>
        </w:rPr>
      </w:pPr>
      <w:r w:rsidRPr="00257913">
        <w:rPr>
          <w:noProof/>
        </w:rPr>
        <w:t>Des cours de néerlandais sont également proposés, étant donné que de nombreux anciens employés de Soliver ont une maîtrise limitée de cette langue, ce qui pourrait limiter leurs perspectives d’emploi.</w:t>
      </w:r>
    </w:p>
    <w:p w:rsidR="002B529C" w:rsidRPr="00257913" w:rsidRDefault="00862F27" w:rsidP="002B529C">
      <w:pPr>
        <w:pStyle w:val="Tiret1"/>
        <w:rPr>
          <w:noProof/>
        </w:rPr>
      </w:pPr>
      <w:r w:rsidRPr="00257913">
        <w:rPr>
          <w:noProof/>
          <w:u w:val="single"/>
        </w:rPr>
        <w:t>Formation sur le lieu de travail</w:t>
      </w:r>
      <w:r w:rsidRPr="00257913">
        <w:rPr>
          <w:noProof/>
        </w:rPr>
        <w:t xml:space="preserve">: les travailleurs suivent une formation en milieu professionnel auprès de leur futur employeur et se voient proposer un contrat à durée indéterminée ou à durée déterminée d'une durée au moins égale à celle de la formation. </w:t>
      </w:r>
    </w:p>
    <w:p w:rsidR="002B529C" w:rsidRPr="00257913" w:rsidRDefault="003F4B17" w:rsidP="002B529C">
      <w:pPr>
        <w:pStyle w:val="Tiret1"/>
        <w:rPr>
          <w:noProof/>
        </w:rPr>
      </w:pPr>
      <w:r w:rsidRPr="00257913">
        <w:rPr>
          <w:noProof/>
          <w:u w:val="single"/>
        </w:rPr>
        <w:lastRenderedPageBreak/>
        <w:t>Bourse de l’emploi</w:t>
      </w:r>
      <w:r w:rsidRPr="00257913">
        <w:rPr>
          <w:noProof/>
        </w:rPr>
        <w:t xml:space="preserve">: cet événement de recrutement réunit des demandeurs d’emploi et des employeurs. Avant de participer à l’événement, des séances de conseil contribuent à préparer la réunion avec les employeurs potentiels. </w:t>
      </w:r>
    </w:p>
    <w:p w:rsidR="001A62D7" w:rsidRPr="00257913" w:rsidRDefault="00C67372" w:rsidP="001A62D7">
      <w:pPr>
        <w:pStyle w:val="ManualNumPar1"/>
        <w:rPr>
          <w:noProof/>
        </w:rPr>
      </w:pPr>
      <w:r>
        <w:rPr>
          <w:noProof/>
        </w:rPr>
        <w:t>25.</w:t>
      </w:r>
      <w:r>
        <w:rPr>
          <w:noProof/>
        </w:rPr>
        <w:tab/>
      </w:r>
      <w:r w:rsidRPr="00257913">
        <w:rPr>
          <w:noProof/>
        </w:rPr>
        <w:t>L’évaluation des compétences numériques des travailleurs, la formation en TIC et le soutien additionnel prévus dans le cadre de l’aide à la recherche d’un emploi permettront de diffuser les compétences requises à l’ère numérique et dans une économie efficace dans l’utilisation des ressources, conformément à l’article 7, paragraphe 2, du règlement (UE) 2021/691.</w:t>
      </w:r>
    </w:p>
    <w:p w:rsidR="001A62D7" w:rsidRPr="00257913" w:rsidRDefault="001A62D7" w:rsidP="00C67372">
      <w:pPr>
        <w:pStyle w:val="ManualNumPar1"/>
        <w:rPr>
          <w:noProof/>
        </w:rPr>
      </w:pPr>
      <w:r>
        <w:rPr>
          <w:noProof/>
        </w:rPr>
        <w:t>26.</w:t>
      </w:r>
      <w:r>
        <w:rPr>
          <w:noProof/>
        </w:rPr>
        <w:tab/>
      </w:r>
      <w:bookmarkStart w:id="14" w:name="_Ref372214242"/>
      <w:r w:rsidRPr="00257913">
        <w:rPr>
          <w:noProof/>
        </w:rPr>
        <w:t xml:space="preserve">Les actions proposées, décrites ici, constituent des mesures actives du marché du travail entrant dans le cadre des mesures éligibles prévues à l’article 7 du règlement (UE) 2021/691. Elles ne se substituent pas à des mesures passives de protection sociale. </w:t>
      </w:r>
    </w:p>
    <w:p w:rsidR="001A62D7" w:rsidRPr="00257913" w:rsidRDefault="00E31259" w:rsidP="00AE7D04">
      <w:pPr>
        <w:pStyle w:val="ManualNumPar1"/>
        <w:rPr>
          <w:noProof/>
        </w:rPr>
      </w:pPr>
      <w:r>
        <w:rPr>
          <w:noProof/>
        </w:rPr>
        <w:t>27.</w:t>
      </w:r>
      <w:r>
        <w:rPr>
          <w:noProof/>
        </w:rPr>
        <w:tab/>
      </w:r>
      <w:r w:rsidRPr="00257913">
        <w:rPr>
          <w:noProof/>
        </w:rPr>
        <w:t>La Belgique a fourni les informations requises sur les mesures revêtant un caractère obligatoire pour l’entreprise concernée en vertu du droit national ou de conventions collectives. Conformément à l’article 9, paragraphe 1, du règlement (UE) 2021/691, la Belgique a confirmé que la contribution financière du FEM ne se substituerait pas à ces mesures.</w:t>
      </w:r>
      <w:bookmarkEnd w:id="14"/>
    </w:p>
    <w:p w:rsidR="001A62D7" w:rsidRPr="00257913" w:rsidRDefault="001A62D7" w:rsidP="001A62D7">
      <w:pPr>
        <w:pStyle w:val="ManualHeading3"/>
        <w:rPr>
          <w:noProof/>
        </w:rPr>
      </w:pPr>
      <w:r w:rsidRPr="00257913">
        <w:rPr>
          <w:noProof/>
        </w:rPr>
        <w:t>Budget prévisionnel</w:t>
      </w:r>
    </w:p>
    <w:p w:rsidR="001A62D7" w:rsidRPr="00257913" w:rsidRDefault="001A62D7" w:rsidP="00AE7D04">
      <w:pPr>
        <w:pStyle w:val="ManualNumPar1"/>
        <w:rPr>
          <w:noProof/>
        </w:rPr>
      </w:pPr>
      <w:r>
        <w:rPr>
          <w:noProof/>
        </w:rPr>
        <w:t>28.</w:t>
      </w:r>
      <w:r>
        <w:rPr>
          <w:noProof/>
        </w:rPr>
        <w:tab/>
      </w:r>
      <w:r w:rsidRPr="00257913">
        <w:rPr>
          <w:noProof/>
        </w:rPr>
        <w:t>Le coût total estimé s’élève à 2 508 865 EUR; il correspond aux dépenses afférentes aux services personnalisés à hauteur de 2 412 465 EUR et aux dépenses afférentes aux activités de préparation, de gestion, d’information et de publicité, ainsi qu’aux activités de contrôle et d’établissement de rapports, à hauteur de 96 400 EUR.</w:t>
      </w:r>
    </w:p>
    <w:p w:rsidR="001A62D7" w:rsidRPr="00257913" w:rsidRDefault="001A62D7" w:rsidP="00AE7D04">
      <w:pPr>
        <w:pStyle w:val="ManualNumPar1"/>
        <w:rPr>
          <w:noProof/>
        </w:rPr>
      </w:pPr>
      <w:r>
        <w:rPr>
          <w:noProof/>
        </w:rPr>
        <w:t>29.</w:t>
      </w:r>
      <w:r>
        <w:rPr>
          <w:noProof/>
        </w:rPr>
        <w:tab/>
      </w:r>
      <w:bookmarkStart w:id="15" w:name="_Ref372550770"/>
      <w:r w:rsidRPr="00257913">
        <w:rPr>
          <w:noProof/>
        </w:rPr>
        <w:t>La contribution financière totale demandée au FEM s’élève à 2 132 535 EUR (85 % du coût total).</w:t>
      </w:r>
      <w:bookmarkEnd w:id="15"/>
    </w:p>
    <w:p w:rsidR="001A62D7" w:rsidRPr="00257913" w:rsidRDefault="001A62D7" w:rsidP="00AE7D04">
      <w:pPr>
        <w:pStyle w:val="ManualNumPar1"/>
        <w:rPr>
          <w:noProof/>
        </w:rPr>
      </w:pPr>
      <w:r>
        <w:rPr>
          <w:noProof/>
        </w:rPr>
        <w:t>30.</w:t>
      </w:r>
      <w:r>
        <w:rPr>
          <w:noProof/>
        </w:rPr>
        <w:tab/>
      </w:r>
      <w:r w:rsidRPr="00257913">
        <w:rPr>
          <w:noProof/>
        </w:rPr>
        <w:t>Conformément à l’article 8, paragraphe 7, point m), du règlement (UE) 2021/691, la Belgique a précisé que le préfinancement et le cofinancement nationaux seraient assurés par le VDAB.</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257913" w:rsidTr="001D5990">
        <w:tc>
          <w:tcPr>
            <w:tcW w:w="4644" w:type="dxa"/>
            <w:shd w:val="clear" w:color="auto" w:fill="auto"/>
            <w:vAlign w:val="center"/>
          </w:tcPr>
          <w:p w:rsidR="001A62D7" w:rsidRPr="00257913" w:rsidRDefault="001A62D7" w:rsidP="001D5990">
            <w:pPr>
              <w:spacing w:before="60" w:after="60"/>
              <w:jc w:val="center"/>
              <w:rPr>
                <w:rFonts w:eastAsia="Times New Roman"/>
                <w:noProof/>
                <w:sz w:val="22"/>
              </w:rPr>
            </w:pPr>
            <w:r w:rsidRPr="00257913">
              <w:rPr>
                <w:noProof/>
                <w:sz w:val="22"/>
              </w:rPr>
              <w:t>Mesures</w:t>
            </w:r>
          </w:p>
        </w:tc>
        <w:tc>
          <w:tcPr>
            <w:tcW w:w="1548" w:type="dxa"/>
            <w:shd w:val="clear" w:color="auto" w:fill="auto"/>
            <w:vAlign w:val="center"/>
          </w:tcPr>
          <w:p w:rsidR="001A62D7" w:rsidRPr="00257913" w:rsidRDefault="001A62D7" w:rsidP="001D5990">
            <w:pPr>
              <w:spacing w:before="60" w:after="60"/>
              <w:jc w:val="center"/>
              <w:rPr>
                <w:rFonts w:eastAsia="Times New Roman"/>
                <w:noProof/>
                <w:sz w:val="22"/>
              </w:rPr>
            </w:pPr>
            <w:r w:rsidRPr="00257913">
              <w:rPr>
                <w:noProof/>
                <w:sz w:val="22"/>
              </w:rPr>
              <w:t>Nombre estimé de participants</w:t>
            </w:r>
          </w:p>
        </w:tc>
        <w:tc>
          <w:tcPr>
            <w:tcW w:w="1548" w:type="dxa"/>
            <w:shd w:val="clear" w:color="auto" w:fill="auto"/>
            <w:vAlign w:val="center"/>
          </w:tcPr>
          <w:p w:rsidR="001A62D7" w:rsidRPr="00257913" w:rsidRDefault="001A62D7" w:rsidP="001D5990">
            <w:pPr>
              <w:spacing w:before="60" w:after="60"/>
              <w:jc w:val="center"/>
              <w:rPr>
                <w:rFonts w:eastAsia="Times New Roman"/>
                <w:noProof/>
                <w:sz w:val="22"/>
              </w:rPr>
            </w:pPr>
            <w:r w:rsidRPr="00257913">
              <w:rPr>
                <w:noProof/>
                <w:sz w:val="22"/>
              </w:rPr>
              <w:t>Coût estimé par participant</w:t>
            </w:r>
            <w:r w:rsidRPr="00257913">
              <w:rPr>
                <w:noProof/>
                <w:sz w:val="22"/>
              </w:rPr>
              <w:br/>
            </w:r>
            <w:r w:rsidRPr="00257913">
              <w:rPr>
                <w:i/>
                <w:noProof/>
                <w:sz w:val="22"/>
              </w:rPr>
              <w:t>(en euros)</w:t>
            </w:r>
            <w:r w:rsidRPr="00257913">
              <w:rPr>
                <w:rStyle w:val="FootnoteReference"/>
                <w:rFonts w:eastAsia="Times New Roman"/>
                <w:i/>
                <w:noProof/>
                <w:sz w:val="22"/>
              </w:rPr>
              <w:footnoteReference w:id="18"/>
            </w:r>
          </w:p>
        </w:tc>
        <w:tc>
          <w:tcPr>
            <w:tcW w:w="1548" w:type="dxa"/>
            <w:shd w:val="clear" w:color="auto" w:fill="auto"/>
            <w:vAlign w:val="center"/>
          </w:tcPr>
          <w:p w:rsidR="001A62D7" w:rsidRPr="00257913" w:rsidRDefault="001A62D7" w:rsidP="001D5990">
            <w:pPr>
              <w:spacing w:before="60" w:after="60"/>
              <w:jc w:val="center"/>
              <w:rPr>
                <w:rFonts w:eastAsia="Times New Roman"/>
                <w:noProof/>
                <w:sz w:val="22"/>
              </w:rPr>
            </w:pPr>
            <w:r w:rsidRPr="00257913">
              <w:rPr>
                <w:noProof/>
                <w:sz w:val="22"/>
              </w:rPr>
              <w:t>Coût total estimé</w:t>
            </w:r>
          </w:p>
          <w:p w:rsidR="001A62D7" w:rsidRPr="00257913" w:rsidRDefault="001A62D7" w:rsidP="001D5990">
            <w:pPr>
              <w:spacing w:before="60" w:after="60"/>
              <w:jc w:val="center"/>
              <w:rPr>
                <w:rFonts w:eastAsia="Times New Roman"/>
                <w:noProof/>
                <w:sz w:val="22"/>
              </w:rPr>
            </w:pPr>
            <w:r w:rsidRPr="00257913">
              <w:rPr>
                <w:i/>
                <w:noProof/>
                <w:sz w:val="22"/>
              </w:rPr>
              <w:t>(en euros)</w:t>
            </w:r>
            <w:r w:rsidRPr="00257913">
              <w:rPr>
                <w:rStyle w:val="FootnoteReference"/>
                <w:rFonts w:eastAsia="Times New Roman"/>
                <w:i/>
                <w:noProof/>
                <w:sz w:val="22"/>
              </w:rPr>
              <w:footnoteReference w:id="19"/>
            </w:r>
            <w:r w:rsidRPr="00257913">
              <w:rPr>
                <w:i/>
                <w:noProof/>
                <w:sz w:val="22"/>
              </w:rPr>
              <w:t xml:space="preserve"> </w:t>
            </w:r>
          </w:p>
        </w:tc>
      </w:tr>
      <w:tr w:rsidR="001A62D7" w:rsidRPr="00257913" w:rsidTr="001D5990">
        <w:tc>
          <w:tcPr>
            <w:tcW w:w="9288" w:type="dxa"/>
            <w:gridSpan w:val="4"/>
            <w:shd w:val="clear" w:color="auto" w:fill="auto"/>
          </w:tcPr>
          <w:p w:rsidR="001A62D7" w:rsidRPr="00257913" w:rsidRDefault="001A62D7" w:rsidP="001D5990">
            <w:pPr>
              <w:spacing w:before="60" w:after="60"/>
              <w:jc w:val="left"/>
              <w:rPr>
                <w:rFonts w:eastAsia="Times New Roman"/>
                <w:noProof/>
                <w:sz w:val="22"/>
              </w:rPr>
            </w:pPr>
            <w:r w:rsidRPr="00257913">
              <w:rPr>
                <w:noProof/>
              </w:rPr>
              <w:t>Services personnalisés [mesures au titre de l’article 7, paragraphe 2, deuxième alinéa, point a), du règlement (UE) 2021/691]</w:t>
            </w:r>
          </w:p>
        </w:tc>
      </w:tr>
      <w:tr w:rsidR="001A62D7" w:rsidRPr="00257913"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57913" w:rsidRDefault="00B95039" w:rsidP="001D5990">
            <w:pPr>
              <w:spacing w:before="60" w:after="60"/>
              <w:jc w:val="left"/>
              <w:rPr>
                <w:noProof/>
              </w:rPr>
            </w:pPr>
            <w:r w:rsidRPr="00257913">
              <w:rPr>
                <w:noProof/>
              </w:rPr>
              <w:t>Task force</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AA485E" w:rsidP="001D5990">
            <w:pPr>
              <w:spacing w:before="60" w:after="60"/>
              <w:jc w:val="center"/>
              <w:rPr>
                <w:noProof/>
              </w:rPr>
            </w:pPr>
            <w:r w:rsidRPr="00257913">
              <w:rPr>
                <w:noProof/>
              </w:rPr>
              <w:t>803</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AA485E" w:rsidP="001D5990">
            <w:pPr>
              <w:spacing w:before="60" w:after="60"/>
              <w:jc w:val="center"/>
              <w:rPr>
                <w:noProof/>
              </w:rPr>
            </w:pPr>
            <w:r w:rsidRPr="00257913">
              <w:rPr>
                <w:noProof/>
              </w:rPr>
              <w:t>148</w:t>
            </w:r>
          </w:p>
        </w:tc>
        <w:tc>
          <w:tcPr>
            <w:tcW w:w="1548" w:type="dxa"/>
            <w:tcBorders>
              <w:top w:val="single" w:sz="4" w:space="0" w:color="auto"/>
              <w:left w:val="single" w:sz="4" w:space="0" w:color="auto"/>
              <w:bottom w:val="single" w:sz="4" w:space="0" w:color="auto"/>
              <w:right w:val="nil"/>
            </w:tcBorders>
            <w:vAlign w:val="center"/>
            <w:hideMark/>
          </w:tcPr>
          <w:p w:rsidR="001A62D7" w:rsidRPr="00257913" w:rsidRDefault="00AA485E" w:rsidP="001D5990">
            <w:pPr>
              <w:spacing w:before="60" w:after="60"/>
              <w:jc w:val="center"/>
              <w:rPr>
                <w:noProof/>
              </w:rPr>
            </w:pPr>
            <w:r w:rsidRPr="00257913">
              <w:rPr>
                <w:noProof/>
              </w:rPr>
              <w:t>118 642</w:t>
            </w:r>
          </w:p>
        </w:tc>
      </w:tr>
      <w:tr w:rsidR="001A62D7" w:rsidRPr="00257913"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57913" w:rsidRDefault="00B95039" w:rsidP="001D5990">
            <w:pPr>
              <w:spacing w:before="60" w:after="60"/>
              <w:jc w:val="left"/>
              <w:rPr>
                <w:noProof/>
              </w:rPr>
            </w:pPr>
            <w:r w:rsidRPr="00257913">
              <w:rPr>
                <w:noProof/>
              </w:rPr>
              <w:t>Reclassement externe</w:t>
            </w:r>
            <w:r w:rsidRPr="00257913">
              <w:rPr>
                <w:noProof/>
              </w:rPr>
              <w:br/>
              <w:t>(</w:t>
            </w:r>
            <w:r w:rsidRPr="00257913">
              <w:rPr>
                <w:i/>
                <w:noProof/>
              </w:rPr>
              <w:t>Outplacementbegeleiding)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AA485E" w:rsidP="001D5990">
            <w:pPr>
              <w:spacing w:before="60" w:after="60"/>
              <w:jc w:val="center"/>
              <w:rPr>
                <w:noProof/>
              </w:rPr>
            </w:pPr>
            <w:r w:rsidRPr="00257913">
              <w:rPr>
                <w:noProof/>
              </w:rPr>
              <w:t>473</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AA485E" w:rsidP="001D5990">
            <w:pPr>
              <w:spacing w:before="60" w:after="60"/>
              <w:jc w:val="center"/>
              <w:rPr>
                <w:noProof/>
              </w:rPr>
            </w:pPr>
            <w:r w:rsidRPr="00257913">
              <w:rPr>
                <w:noProof/>
              </w:rPr>
              <w:t>1 986</w:t>
            </w:r>
          </w:p>
        </w:tc>
        <w:tc>
          <w:tcPr>
            <w:tcW w:w="1548" w:type="dxa"/>
            <w:tcBorders>
              <w:top w:val="single" w:sz="4" w:space="0" w:color="auto"/>
              <w:left w:val="single" w:sz="4" w:space="0" w:color="auto"/>
              <w:bottom w:val="single" w:sz="4" w:space="0" w:color="auto"/>
              <w:right w:val="nil"/>
            </w:tcBorders>
            <w:vAlign w:val="center"/>
            <w:hideMark/>
          </w:tcPr>
          <w:p w:rsidR="001A62D7" w:rsidRPr="00257913" w:rsidRDefault="00AA485E" w:rsidP="001D5990">
            <w:pPr>
              <w:spacing w:before="60" w:after="60"/>
              <w:jc w:val="center"/>
              <w:rPr>
                <w:noProof/>
              </w:rPr>
            </w:pPr>
            <w:r w:rsidRPr="00257913">
              <w:rPr>
                <w:noProof/>
              </w:rPr>
              <w:t>939 273</w:t>
            </w:r>
          </w:p>
        </w:tc>
      </w:tr>
      <w:tr w:rsidR="001A62D7" w:rsidRPr="00257913"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57913" w:rsidRDefault="00B95039" w:rsidP="001D5990">
            <w:pPr>
              <w:spacing w:before="60" w:after="60"/>
              <w:jc w:val="left"/>
              <w:rPr>
                <w:noProof/>
              </w:rPr>
            </w:pPr>
            <w:r w:rsidRPr="00257913">
              <w:rPr>
                <w:noProof/>
              </w:rPr>
              <w:t xml:space="preserve">Aide à la recherche d’un emploi </w:t>
            </w:r>
            <w:r w:rsidRPr="00257913">
              <w:rPr>
                <w:noProof/>
              </w:rPr>
              <w:br/>
            </w:r>
            <w:r w:rsidRPr="00257913">
              <w:rPr>
                <w:i/>
                <w:noProof/>
              </w:rPr>
              <w:t>(actieve bemiddeling)</w:t>
            </w:r>
            <w:r w:rsidRPr="00257913">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AA485E" w:rsidP="001D5990">
            <w:pPr>
              <w:spacing w:before="60" w:after="60"/>
              <w:jc w:val="center"/>
              <w:rPr>
                <w:noProof/>
              </w:rPr>
            </w:pPr>
            <w:r w:rsidRPr="00257913">
              <w:rPr>
                <w:noProof/>
              </w:rPr>
              <w:t>275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AA485E" w:rsidP="001D5990">
            <w:pPr>
              <w:spacing w:before="60" w:after="60"/>
              <w:jc w:val="center"/>
              <w:rPr>
                <w:noProof/>
              </w:rPr>
            </w:pPr>
            <w:r w:rsidRPr="00257913">
              <w:rPr>
                <w:noProof/>
              </w:rPr>
              <w:t>1 660</w:t>
            </w:r>
          </w:p>
        </w:tc>
        <w:tc>
          <w:tcPr>
            <w:tcW w:w="1548" w:type="dxa"/>
            <w:tcBorders>
              <w:top w:val="single" w:sz="4" w:space="0" w:color="auto"/>
              <w:left w:val="single" w:sz="4" w:space="0" w:color="auto"/>
              <w:bottom w:val="single" w:sz="4" w:space="0" w:color="auto"/>
              <w:right w:val="nil"/>
            </w:tcBorders>
            <w:vAlign w:val="center"/>
            <w:hideMark/>
          </w:tcPr>
          <w:p w:rsidR="001A62D7" w:rsidRPr="00257913" w:rsidRDefault="00AA485E" w:rsidP="001D5990">
            <w:pPr>
              <w:spacing w:before="60" w:after="60"/>
              <w:jc w:val="center"/>
              <w:rPr>
                <w:noProof/>
              </w:rPr>
            </w:pPr>
            <w:r w:rsidRPr="00257913">
              <w:rPr>
                <w:noProof/>
              </w:rPr>
              <w:t>456 529</w:t>
            </w:r>
          </w:p>
        </w:tc>
      </w:tr>
      <w:tr w:rsidR="00BC2C58" w:rsidRPr="00257913" w:rsidTr="00BC2C58">
        <w:trPr>
          <w:trHeight w:val="802"/>
        </w:trPr>
        <w:tc>
          <w:tcPr>
            <w:tcW w:w="4644" w:type="dxa"/>
            <w:tcBorders>
              <w:top w:val="single" w:sz="4" w:space="0" w:color="auto"/>
              <w:left w:val="nil"/>
              <w:bottom w:val="single" w:sz="4" w:space="0" w:color="auto"/>
              <w:right w:val="single" w:sz="4" w:space="0" w:color="auto"/>
            </w:tcBorders>
            <w:vAlign w:val="center"/>
            <w:hideMark/>
          </w:tcPr>
          <w:p w:rsidR="00BC2C58" w:rsidRPr="00257913" w:rsidRDefault="00BC2C58" w:rsidP="00D9431C">
            <w:pPr>
              <w:spacing w:before="60" w:after="60"/>
              <w:jc w:val="left"/>
              <w:rPr>
                <w:noProof/>
              </w:rPr>
            </w:pPr>
            <w:r w:rsidRPr="00257913">
              <w:rPr>
                <w:noProof/>
              </w:rPr>
              <w:lastRenderedPageBreak/>
              <w:t>Aide renforcée à la recherche d’emploi:</w:t>
            </w:r>
            <w:r w:rsidRPr="00257913">
              <w:rPr>
                <w:noProof/>
              </w:rPr>
              <w:br/>
              <w:t>(</w:t>
            </w:r>
            <w:r w:rsidRPr="00257913">
              <w:rPr>
                <w:i/>
                <w:noProof/>
              </w:rPr>
              <w:t>Jobhunting</w:t>
            </w:r>
            <w:r w:rsidRPr="00257913">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Pr="00257913" w:rsidRDefault="00AA485E" w:rsidP="00D9431C">
            <w:pPr>
              <w:spacing w:before="60" w:after="60"/>
              <w:jc w:val="center"/>
              <w:rPr>
                <w:noProof/>
              </w:rPr>
            </w:pPr>
            <w:r w:rsidRPr="00257913">
              <w:rPr>
                <w:noProof/>
              </w:rPr>
              <w:t>250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Pr="00257913" w:rsidRDefault="00AA485E" w:rsidP="00D9431C">
            <w:pPr>
              <w:spacing w:before="60" w:after="60"/>
              <w:jc w:val="center"/>
              <w:rPr>
                <w:noProof/>
              </w:rPr>
            </w:pPr>
            <w:r w:rsidRPr="00257913">
              <w:rPr>
                <w:noProof/>
              </w:rPr>
              <w:t>1 217</w:t>
            </w:r>
          </w:p>
        </w:tc>
        <w:tc>
          <w:tcPr>
            <w:tcW w:w="1548" w:type="dxa"/>
            <w:tcBorders>
              <w:top w:val="single" w:sz="4" w:space="0" w:color="auto"/>
              <w:left w:val="single" w:sz="4" w:space="0" w:color="auto"/>
              <w:bottom w:val="single" w:sz="4" w:space="0" w:color="auto"/>
              <w:right w:val="nil"/>
            </w:tcBorders>
            <w:vAlign w:val="center"/>
            <w:hideMark/>
          </w:tcPr>
          <w:p w:rsidR="00BC2C58" w:rsidRPr="00257913" w:rsidRDefault="00AA485E" w:rsidP="00D9431C">
            <w:pPr>
              <w:spacing w:before="60" w:after="60"/>
              <w:jc w:val="center"/>
              <w:rPr>
                <w:noProof/>
              </w:rPr>
            </w:pPr>
            <w:r w:rsidRPr="00257913">
              <w:rPr>
                <w:noProof/>
              </w:rPr>
              <w:t>304 352</w:t>
            </w:r>
          </w:p>
        </w:tc>
      </w:tr>
      <w:tr w:rsidR="00BC2C58" w:rsidRPr="00257913" w:rsidTr="00BC2C58">
        <w:trPr>
          <w:trHeight w:val="802"/>
        </w:trPr>
        <w:tc>
          <w:tcPr>
            <w:tcW w:w="4644" w:type="dxa"/>
            <w:tcBorders>
              <w:top w:val="single" w:sz="4" w:space="0" w:color="auto"/>
              <w:left w:val="nil"/>
              <w:bottom w:val="single" w:sz="4" w:space="0" w:color="auto"/>
              <w:right w:val="single" w:sz="4" w:space="0" w:color="auto"/>
            </w:tcBorders>
            <w:vAlign w:val="center"/>
            <w:hideMark/>
          </w:tcPr>
          <w:p w:rsidR="00BC2C58" w:rsidRPr="00F53D6B" w:rsidRDefault="0042368B" w:rsidP="00D9431C">
            <w:pPr>
              <w:spacing w:before="60" w:after="60"/>
              <w:jc w:val="left"/>
              <w:rPr>
                <w:noProof/>
                <w:lang w:val="en-IE"/>
              </w:rPr>
            </w:pPr>
            <w:r w:rsidRPr="00F53D6B">
              <w:rPr>
                <w:noProof/>
                <w:lang w:val="en-IE"/>
              </w:rPr>
              <w:t>Conseil/orientation</w:t>
            </w:r>
            <w:r w:rsidRPr="00F53D6B">
              <w:rPr>
                <w:noProof/>
                <w:lang w:val="en-IE"/>
              </w:rPr>
              <w:br/>
              <w:t>(</w:t>
            </w:r>
            <w:r w:rsidRPr="00F53D6B">
              <w:rPr>
                <w:i/>
                <w:noProof/>
                <w:lang w:val="en-IE"/>
              </w:rPr>
              <w:t>Begeleiding bij partners)</w:t>
            </w:r>
            <w:r w:rsidRPr="00F53D6B">
              <w:rPr>
                <w:noProof/>
                <w:lang w:val="en-IE"/>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Pr="00257913" w:rsidRDefault="00AA485E" w:rsidP="00D9431C">
            <w:pPr>
              <w:spacing w:before="60" w:after="60"/>
              <w:jc w:val="center"/>
              <w:rPr>
                <w:noProof/>
              </w:rPr>
            </w:pPr>
            <w:r w:rsidRPr="00257913">
              <w:rPr>
                <w:noProof/>
              </w:rPr>
              <w:t>25</w:t>
            </w:r>
          </w:p>
        </w:tc>
        <w:tc>
          <w:tcPr>
            <w:tcW w:w="1548" w:type="dxa"/>
            <w:tcBorders>
              <w:top w:val="single" w:sz="4" w:space="0" w:color="auto"/>
              <w:left w:val="single" w:sz="4" w:space="0" w:color="auto"/>
              <w:bottom w:val="single" w:sz="4" w:space="0" w:color="auto"/>
              <w:right w:val="single" w:sz="4" w:space="0" w:color="auto"/>
            </w:tcBorders>
            <w:vAlign w:val="center"/>
            <w:hideMark/>
          </w:tcPr>
          <w:p w:rsidR="00BC2C58" w:rsidRPr="00257913" w:rsidRDefault="00AA485E" w:rsidP="00D9431C">
            <w:pPr>
              <w:spacing w:before="60" w:after="60"/>
              <w:jc w:val="center"/>
              <w:rPr>
                <w:noProof/>
              </w:rPr>
            </w:pPr>
            <w:r w:rsidRPr="00257913">
              <w:rPr>
                <w:noProof/>
              </w:rPr>
              <w:t>2 860</w:t>
            </w:r>
          </w:p>
        </w:tc>
        <w:tc>
          <w:tcPr>
            <w:tcW w:w="1548" w:type="dxa"/>
            <w:tcBorders>
              <w:top w:val="single" w:sz="4" w:space="0" w:color="auto"/>
              <w:left w:val="single" w:sz="4" w:space="0" w:color="auto"/>
              <w:bottom w:val="single" w:sz="4" w:space="0" w:color="auto"/>
              <w:right w:val="nil"/>
            </w:tcBorders>
            <w:vAlign w:val="center"/>
            <w:hideMark/>
          </w:tcPr>
          <w:p w:rsidR="00BC2C58" w:rsidRPr="00257913" w:rsidRDefault="00AA485E" w:rsidP="00D9431C">
            <w:pPr>
              <w:spacing w:before="60" w:after="60"/>
              <w:jc w:val="center"/>
              <w:rPr>
                <w:noProof/>
              </w:rPr>
            </w:pPr>
            <w:r w:rsidRPr="00257913">
              <w:rPr>
                <w:noProof/>
              </w:rPr>
              <w:t>71 511</w:t>
            </w:r>
          </w:p>
        </w:tc>
      </w:tr>
      <w:tr w:rsidR="001A62D7" w:rsidRPr="00257913"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F53D6B" w:rsidRDefault="005051E1" w:rsidP="001D5990">
            <w:pPr>
              <w:spacing w:before="60" w:after="60"/>
              <w:jc w:val="left"/>
              <w:rPr>
                <w:noProof/>
                <w:lang w:val="en-IE"/>
              </w:rPr>
            </w:pPr>
            <w:r w:rsidRPr="00F53D6B">
              <w:rPr>
                <w:noProof/>
                <w:lang w:val="en-IE"/>
              </w:rPr>
              <w:t>Formation et reconversion</w:t>
            </w:r>
            <w:r w:rsidRPr="00F53D6B">
              <w:rPr>
                <w:noProof/>
                <w:lang w:val="en-IE"/>
              </w:rPr>
              <w:br/>
              <w:t>(</w:t>
            </w:r>
            <w:r w:rsidRPr="00F53D6B">
              <w:rPr>
                <w:i/>
                <w:noProof/>
                <w:lang w:val="en-IE"/>
              </w:rPr>
              <w:t>Opleiding eigen beheer, opleiding SIF, and opleiding bij partners)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AA485E" w:rsidP="001D5990">
            <w:pPr>
              <w:spacing w:before="60" w:after="60"/>
              <w:jc w:val="center"/>
              <w:rPr>
                <w:noProof/>
              </w:rPr>
            </w:pPr>
            <w:r w:rsidRPr="00257913">
              <w:rPr>
                <w:noProof/>
              </w:rPr>
              <w:t>105</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7717BD" w:rsidP="001D5990">
            <w:pPr>
              <w:spacing w:before="60" w:after="60"/>
              <w:jc w:val="center"/>
              <w:rPr>
                <w:noProof/>
              </w:rPr>
            </w:pPr>
            <w:r w:rsidRPr="00257913">
              <w:rPr>
                <w:noProof/>
              </w:rPr>
              <w:t>4 827</w:t>
            </w:r>
          </w:p>
        </w:tc>
        <w:tc>
          <w:tcPr>
            <w:tcW w:w="1548" w:type="dxa"/>
            <w:tcBorders>
              <w:top w:val="single" w:sz="4" w:space="0" w:color="auto"/>
              <w:left w:val="single" w:sz="4" w:space="0" w:color="auto"/>
              <w:bottom w:val="single" w:sz="4" w:space="0" w:color="auto"/>
              <w:right w:val="nil"/>
            </w:tcBorders>
            <w:vAlign w:val="center"/>
            <w:hideMark/>
          </w:tcPr>
          <w:p w:rsidR="001A62D7" w:rsidRPr="00257913" w:rsidRDefault="007717BD" w:rsidP="001D5990">
            <w:pPr>
              <w:spacing w:before="60" w:after="60"/>
              <w:jc w:val="center"/>
              <w:rPr>
                <w:noProof/>
              </w:rPr>
            </w:pPr>
            <w:r w:rsidRPr="00257913">
              <w:rPr>
                <w:noProof/>
              </w:rPr>
              <w:t>506 808</w:t>
            </w:r>
          </w:p>
        </w:tc>
      </w:tr>
      <w:tr w:rsidR="001A62D7" w:rsidRPr="00257913"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57913" w:rsidRDefault="00A40F1B" w:rsidP="001D5990">
            <w:pPr>
              <w:spacing w:before="60" w:after="60"/>
              <w:jc w:val="left"/>
              <w:rPr>
                <w:noProof/>
              </w:rPr>
            </w:pPr>
            <w:r w:rsidRPr="00257913">
              <w:rPr>
                <w:noProof/>
              </w:rPr>
              <w:t>Formation sur le lieu de travail</w:t>
            </w:r>
            <w:r w:rsidRPr="00257913">
              <w:rPr>
                <w:noProof/>
              </w:rPr>
              <w:br/>
            </w:r>
            <w:r w:rsidRPr="00257913">
              <w:rPr>
                <w:i/>
                <w:noProof/>
              </w:rPr>
              <w:t>(Opleiding in onderneming - IBO)</w:t>
            </w:r>
            <w:r w:rsidRPr="00257913">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AA485E" w:rsidP="001D5990">
            <w:pPr>
              <w:spacing w:before="60" w:after="60"/>
              <w:jc w:val="center"/>
              <w:rPr>
                <w:noProof/>
              </w:rPr>
            </w:pPr>
            <w:r w:rsidRPr="00257913">
              <w:rPr>
                <w:noProof/>
              </w:rPr>
              <w:t>10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AA485E" w:rsidP="001D5990">
            <w:pPr>
              <w:spacing w:before="60" w:after="60"/>
              <w:jc w:val="center"/>
              <w:rPr>
                <w:noProof/>
              </w:rPr>
            </w:pPr>
            <w:r w:rsidRPr="00257913">
              <w:rPr>
                <w:noProof/>
              </w:rPr>
              <w:t>960</w:t>
            </w:r>
          </w:p>
        </w:tc>
        <w:tc>
          <w:tcPr>
            <w:tcW w:w="1548" w:type="dxa"/>
            <w:tcBorders>
              <w:top w:val="single" w:sz="4" w:space="0" w:color="auto"/>
              <w:left w:val="single" w:sz="4" w:space="0" w:color="auto"/>
              <w:bottom w:val="single" w:sz="4" w:space="0" w:color="auto"/>
              <w:right w:val="nil"/>
            </w:tcBorders>
            <w:vAlign w:val="center"/>
            <w:hideMark/>
          </w:tcPr>
          <w:p w:rsidR="001A62D7" w:rsidRPr="00257913" w:rsidRDefault="00AA485E" w:rsidP="001D5990">
            <w:pPr>
              <w:spacing w:before="60" w:after="60"/>
              <w:jc w:val="center"/>
              <w:rPr>
                <w:noProof/>
              </w:rPr>
            </w:pPr>
            <w:r w:rsidRPr="00257913">
              <w:rPr>
                <w:noProof/>
              </w:rPr>
              <w:t>9 600</w:t>
            </w:r>
          </w:p>
        </w:tc>
      </w:tr>
      <w:tr w:rsidR="001A62D7" w:rsidRPr="00257913"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57913" w:rsidRDefault="0042368B" w:rsidP="001D5990">
            <w:pPr>
              <w:spacing w:before="60" w:after="60"/>
              <w:jc w:val="left"/>
              <w:rPr>
                <w:noProof/>
              </w:rPr>
            </w:pPr>
            <w:r w:rsidRPr="00257913">
              <w:rPr>
                <w:noProof/>
              </w:rPr>
              <w:t>Bourse de l’emploi:</w:t>
            </w:r>
            <w:r w:rsidRPr="00257913">
              <w:rPr>
                <w:noProof/>
              </w:rPr>
              <w:br/>
              <w:t>(</w:t>
            </w:r>
            <w:r w:rsidRPr="00257913">
              <w:rPr>
                <w:i/>
                <w:noProof/>
              </w:rPr>
              <w:t>Jobbeurs)</w:t>
            </w:r>
            <w:r w:rsidRPr="00257913">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7717BD" w:rsidP="001D5990">
            <w:pPr>
              <w:spacing w:before="60" w:after="60"/>
              <w:jc w:val="center"/>
              <w:rPr>
                <w:noProof/>
              </w:rPr>
            </w:pPr>
            <w:r w:rsidRPr="00257913">
              <w:rPr>
                <w:noProof/>
              </w:rPr>
              <w:t>288</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57913" w:rsidRDefault="007717BD" w:rsidP="001D5990">
            <w:pPr>
              <w:spacing w:before="60" w:after="60"/>
              <w:jc w:val="center"/>
              <w:rPr>
                <w:noProof/>
              </w:rPr>
            </w:pPr>
            <w:r w:rsidRPr="00257913">
              <w:rPr>
                <w:noProof/>
              </w:rPr>
              <w:t>20</w:t>
            </w:r>
          </w:p>
        </w:tc>
        <w:tc>
          <w:tcPr>
            <w:tcW w:w="1548" w:type="dxa"/>
            <w:tcBorders>
              <w:top w:val="single" w:sz="4" w:space="0" w:color="auto"/>
              <w:left w:val="single" w:sz="4" w:space="0" w:color="auto"/>
              <w:bottom w:val="single" w:sz="4" w:space="0" w:color="auto"/>
              <w:right w:val="nil"/>
            </w:tcBorders>
            <w:vAlign w:val="center"/>
            <w:hideMark/>
          </w:tcPr>
          <w:p w:rsidR="001A62D7" w:rsidRPr="00257913" w:rsidRDefault="007717BD" w:rsidP="001D5990">
            <w:pPr>
              <w:spacing w:before="60" w:after="60"/>
              <w:jc w:val="center"/>
              <w:rPr>
                <w:noProof/>
              </w:rPr>
            </w:pPr>
            <w:r w:rsidRPr="00257913">
              <w:rPr>
                <w:noProof/>
              </w:rPr>
              <w:t>5 750</w:t>
            </w:r>
          </w:p>
        </w:tc>
      </w:tr>
      <w:tr w:rsidR="001A62D7" w:rsidRPr="00257913" w:rsidTr="001D5990">
        <w:trPr>
          <w:trHeight w:val="398"/>
        </w:trPr>
        <w:tc>
          <w:tcPr>
            <w:tcW w:w="4644" w:type="dxa"/>
            <w:vMerge w:val="restart"/>
            <w:shd w:val="clear" w:color="auto" w:fill="auto"/>
            <w:vAlign w:val="center"/>
          </w:tcPr>
          <w:p w:rsidR="001A62D7" w:rsidRPr="00257913" w:rsidRDefault="001A62D7" w:rsidP="001D5990">
            <w:pPr>
              <w:spacing w:before="60" w:after="60"/>
              <w:jc w:val="right"/>
              <w:rPr>
                <w:rFonts w:eastAsia="Times New Roman"/>
                <w:noProof/>
                <w:sz w:val="22"/>
              </w:rPr>
            </w:pPr>
            <w:r w:rsidRPr="00257913">
              <w:rPr>
                <w:noProof/>
                <w:sz w:val="22"/>
              </w:rPr>
              <w:t>Sous-total a):</w:t>
            </w:r>
          </w:p>
          <w:p w:rsidR="001A62D7" w:rsidRPr="00257913" w:rsidRDefault="001A62D7" w:rsidP="001D5990">
            <w:pPr>
              <w:spacing w:before="60" w:after="60"/>
              <w:jc w:val="right"/>
              <w:rPr>
                <w:rFonts w:eastAsia="Times New Roman"/>
                <w:noProof/>
                <w:sz w:val="22"/>
              </w:rPr>
            </w:pPr>
            <w:r w:rsidRPr="00257913">
              <w:rPr>
                <w:noProof/>
                <w:sz w:val="22"/>
              </w:rPr>
              <w:t xml:space="preserve">Pourcentage de l’ensemble coordonné de services personnalisés </w:t>
            </w:r>
          </w:p>
        </w:tc>
        <w:tc>
          <w:tcPr>
            <w:tcW w:w="3096" w:type="dxa"/>
            <w:gridSpan w:val="2"/>
            <w:vMerge w:val="restart"/>
            <w:shd w:val="clear" w:color="auto" w:fill="D9D9D9"/>
            <w:vAlign w:val="center"/>
          </w:tcPr>
          <w:p w:rsidR="001A62D7" w:rsidRPr="00257913" w:rsidRDefault="001A62D7" w:rsidP="001D5990">
            <w:pPr>
              <w:spacing w:before="60" w:after="60"/>
              <w:jc w:val="center"/>
              <w:rPr>
                <w:rFonts w:eastAsia="Times New Roman"/>
                <w:noProof/>
                <w:sz w:val="22"/>
              </w:rPr>
            </w:pPr>
            <w:r w:rsidRPr="00257913">
              <w:rPr>
                <w:noProof/>
                <w:sz w:val="22"/>
              </w:rPr>
              <w:t>–</w:t>
            </w:r>
          </w:p>
        </w:tc>
        <w:tc>
          <w:tcPr>
            <w:tcW w:w="1548" w:type="dxa"/>
            <w:tcBorders>
              <w:bottom w:val="nil"/>
            </w:tcBorders>
            <w:shd w:val="clear" w:color="auto" w:fill="auto"/>
            <w:vAlign w:val="center"/>
          </w:tcPr>
          <w:p w:rsidR="001A62D7" w:rsidRPr="00257913" w:rsidRDefault="006B2E5B" w:rsidP="001D5990">
            <w:pPr>
              <w:spacing w:before="60" w:after="60"/>
              <w:jc w:val="center"/>
              <w:rPr>
                <w:rFonts w:eastAsia="Times New Roman"/>
                <w:noProof/>
                <w:sz w:val="22"/>
              </w:rPr>
            </w:pPr>
            <w:r w:rsidRPr="00257913">
              <w:rPr>
                <w:noProof/>
              </w:rPr>
              <w:t>2 412 465</w:t>
            </w:r>
          </w:p>
        </w:tc>
      </w:tr>
      <w:tr w:rsidR="001A62D7" w:rsidRPr="00257913" w:rsidTr="001D5990">
        <w:trPr>
          <w:trHeight w:val="397"/>
        </w:trPr>
        <w:tc>
          <w:tcPr>
            <w:tcW w:w="4644" w:type="dxa"/>
            <w:vMerge/>
            <w:shd w:val="clear" w:color="auto" w:fill="auto"/>
            <w:vAlign w:val="center"/>
          </w:tcPr>
          <w:p w:rsidR="001A62D7" w:rsidRPr="00257913"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257913"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257913" w:rsidRDefault="001A62D7" w:rsidP="001D5990">
            <w:pPr>
              <w:spacing w:before="60" w:after="60"/>
              <w:jc w:val="center"/>
              <w:rPr>
                <w:rFonts w:eastAsia="Times New Roman"/>
                <w:noProof/>
                <w:sz w:val="22"/>
              </w:rPr>
            </w:pPr>
            <w:r w:rsidRPr="00257913">
              <w:rPr>
                <w:noProof/>
              </w:rPr>
              <w:t>(96,16 %)</w:t>
            </w:r>
          </w:p>
        </w:tc>
      </w:tr>
      <w:tr w:rsidR="001A62D7" w:rsidRPr="00257913" w:rsidTr="001D5990">
        <w:tc>
          <w:tcPr>
            <w:tcW w:w="9288" w:type="dxa"/>
            <w:gridSpan w:val="4"/>
            <w:shd w:val="clear" w:color="auto" w:fill="auto"/>
            <w:vAlign w:val="center"/>
          </w:tcPr>
          <w:p w:rsidR="001A62D7" w:rsidRPr="00257913" w:rsidRDefault="001A62D7" w:rsidP="001D5990">
            <w:pPr>
              <w:spacing w:before="60" w:after="60"/>
              <w:jc w:val="left"/>
              <w:rPr>
                <w:rFonts w:eastAsia="Times New Roman"/>
                <w:noProof/>
                <w:sz w:val="22"/>
              </w:rPr>
            </w:pPr>
            <w:r w:rsidRPr="00257913">
              <w:rPr>
                <w:noProof/>
                <w:sz w:val="22"/>
              </w:rPr>
              <w:t>Activités relevant de l’article 7, paragraphe 5, du règlement (UE) 2021/691</w:t>
            </w:r>
          </w:p>
        </w:tc>
      </w:tr>
      <w:tr w:rsidR="001A62D7" w:rsidRPr="00257913" w:rsidTr="001D5990">
        <w:tc>
          <w:tcPr>
            <w:tcW w:w="4644" w:type="dxa"/>
            <w:shd w:val="clear" w:color="auto" w:fill="auto"/>
          </w:tcPr>
          <w:p w:rsidR="001A62D7" w:rsidRPr="00257913" w:rsidRDefault="001A62D7" w:rsidP="001D5990">
            <w:pPr>
              <w:spacing w:before="60" w:after="60"/>
              <w:ind w:left="284"/>
              <w:jc w:val="left"/>
              <w:rPr>
                <w:rFonts w:eastAsia="Times New Roman"/>
                <w:noProof/>
                <w:sz w:val="22"/>
              </w:rPr>
            </w:pPr>
            <w:r w:rsidRPr="00257913">
              <w:rPr>
                <w:noProof/>
                <w:sz w:val="22"/>
              </w:rPr>
              <w:t>1. Activités préparatoires</w:t>
            </w:r>
          </w:p>
        </w:tc>
        <w:tc>
          <w:tcPr>
            <w:tcW w:w="3096" w:type="dxa"/>
            <w:gridSpan w:val="2"/>
            <w:shd w:val="clear" w:color="auto" w:fill="D9D9D9"/>
            <w:vAlign w:val="center"/>
          </w:tcPr>
          <w:p w:rsidR="001A62D7" w:rsidRPr="00257913" w:rsidRDefault="001A62D7" w:rsidP="001D5990">
            <w:pPr>
              <w:spacing w:before="60" w:after="60"/>
              <w:jc w:val="center"/>
              <w:rPr>
                <w:rFonts w:eastAsia="Times New Roman"/>
                <w:noProof/>
                <w:sz w:val="22"/>
              </w:rPr>
            </w:pPr>
            <w:r w:rsidRPr="00257913">
              <w:rPr>
                <w:noProof/>
                <w:sz w:val="22"/>
              </w:rPr>
              <w:t>–</w:t>
            </w:r>
          </w:p>
        </w:tc>
        <w:tc>
          <w:tcPr>
            <w:tcW w:w="1548" w:type="dxa"/>
            <w:shd w:val="clear" w:color="auto" w:fill="auto"/>
          </w:tcPr>
          <w:p w:rsidR="001A62D7" w:rsidRPr="00257913" w:rsidRDefault="006B2E5B" w:rsidP="001D5990">
            <w:pPr>
              <w:spacing w:before="60" w:after="60"/>
              <w:jc w:val="center"/>
              <w:rPr>
                <w:rFonts w:eastAsia="Times New Roman"/>
                <w:noProof/>
                <w:sz w:val="22"/>
              </w:rPr>
            </w:pPr>
            <w:r w:rsidRPr="00257913">
              <w:rPr>
                <w:noProof/>
              </w:rPr>
              <w:t>2 500</w:t>
            </w:r>
          </w:p>
        </w:tc>
      </w:tr>
      <w:tr w:rsidR="001A62D7" w:rsidRPr="00257913" w:rsidTr="001D5990">
        <w:tc>
          <w:tcPr>
            <w:tcW w:w="4644" w:type="dxa"/>
            <w:shd w:val="clear" w:color="auto" w:fill="auto"/>
          </w:tcPr>
          <w:p w:rsidR="001A62D7" w:rsidRPr="00257913" w:rsidRDefault="001A62D7" w:rsidP="001D5990">
            <w:pPr>
              <w:spacing w:before="60" w:after="60"/>
              <w:ind w:left="284"/>
              <w:jc w:val="left"/>
              <w:rPr>
                <w:rFonts w:eastAsia="Times New Roman"/>
                <w:noProof/>
                <w:sz w:val="22"/>
              </w:rPr>
            </w:pPr>
            <w:r w:rsidRPr="00257913">
              <w:rPr>
                <w:noProof/>
                <w:sz w:val="22"/>
              </w:rPr>
              <w:t>2. Activités de gestion</w:t>
            </w:r>
          </w:p>
        </w:tc>
        <w:tc>
          <w:tcPr>
            <w:tcW w:w="3096" w:type="dxa"/>
            <w:gridSpan w:val="2"/>
            <w:shd w:val="clear" w:color="auto" w:fill="D9D9D9"/>
            <w:vAlign w:val="center"/>
          </w:tcPr>
          <w:p w:rsidR="001A62D7" w:rsidRPr="00257913" w:rsidRDefault="001A62D7" w:rsidP="001D5990">
            <w:pPr>
              <w:spacing w:before="60" w:after="60"/>
              <w:jc w:val="center"/>
              <w:rPr>
                <w:rFonts w:eastAsia="Times New Roman"/>
                <w:noProof/>
                <w:sz w:val="22"/>
              </w:rPr>
            </w:pPr>
            <w:r w:rsidRPr="00257913">
              <w:rPr>
                <w:noProof/>
                <w:sz w:val="22"/>
              </w:rPr>
              <w:t>–</w:t>
            </w:r>
          </w:p>
        </w:tc>
        <w:tc>
          <w:tcPr>
            <w:tcW w:w="1548" w:type="dxa"/>
            <w:shd w:val="clear" w:color="auto" w:fill="auto"/>
          </w:tcPr>
          <w:p w:rsidR="001A62D7" w:rsidRPr="00257913" w:rsidRDefault="006B2E5B" w:rsidP="001D5990">
            <w:pPr>
              <w:spacing w:before="60" w:after="60"/>
              <w:jc w:val="center"/>
              <w:rPr>
                <w:rFonts w:eastAsia="Times New Roman"/>
                <w:noProof/>
                <w:sz w:val="22"/>
              </w:rPr>
            </w:pPr>
            <w:r w:rsidRPr="00257913">
              <w:rPr>
                <w:noProof/>
              </w:rPr>
              <w:t>40 000</w:t>
            </w:r>
          </w:p>
        </w:tc>
      </w:tr>
      <w:tr w:rsidR="001A62D7" w:rsidRPr="00257913" w:rsidTr="001D5990">
        <w:tc>
          <w:tcPr>
            <w:tcW w:w="4644" w:type="dxa"/>
            <w:shd w:val="clear" w:color="auto" w:fill="auto"/>
          </w:tcPr>
          <w:p w:rsidR="001A62D7" w:rsidRPr="00257913" w:rsidRDefault="001A62D7" w:rsidP="001D5990">
            <w:pPr>
              <w:spacing w:before="60" w:after="60"/>
              <w:ind w:left="284"/>
              <w:jc w:val="left"/>
              <w:rPr>
                <w:rFonts w:eastAsia="Times New Roman"/>
                <w:noProof/>
                <w:sz w:val="22"/>
              </w:rPr>
            </w:pPr>
            <w:r w:rsidRPr="00257913">
              <w:rPr>
                <w:noProof/>
                <w:sz w:val="22"/>
              </w:rPr>
              <w:t>3. Activités d’information et de publicité</w:t>
            </w:r>
          </w:p>
        </w:tc>
        <w:tc>
          <w:tcPr>
            <w:tcW w:w="3096" w:type="dxa"/>
            <w:gridSpan w:val="2"/>
            <w:shd w:val="clear" w:color="auto" w:fill="D9D9D9"/>
            <w:vAlign w:val="center"/>
          </w:tcPr>
          <w:p w:rsidR="001A62D7" w:rsidRPr="00257913" w:rsidRDefault="001A62D7" w:rsidP="001D5990">
            <w:pPr>
              <w:spacing w:before="60" w:after="60"/>
              <w:jc w:val="center"/>
              <w:rPr>
                <w:rFonts w:eastAsia="Times New Roman"/>
                <w:noProof/>
                <w:sz w:val="22"/>
              </w:rPr>
            </w:pPr>
            <w:r w:rsidRPr="00257913">
              <w:rPr>
                <w:noProof/>
                <w:sz w:val="22"/>
              </w:rPr>
              <w:t>–</w:t>
            </w:r>
          </w:p>
        </w:tc>
        <w:tc>
          <w:tcPr>
            <w:tcW w:w="1548" w:type="dxa"/>
            <w:shd w:val="clear" w:color="auto" w:fill="auto"/>
          </w:tcPr>
          <w:p w:rsidR="001A62D7" w:rsidRPr="00257913" w:rsidRDefault="006B2E5B" w:rsidP="001D5990">
            <w:pPr>
              <w:spacing w:before="60" w:after="60"/>
              <w:jc w:val="center"/>
              <w:rPr>
                <w:rFonts w:eastAsia="Times New Roman"/>
                <w:noProof/>
                <w:sz w:val="22"/>
              </w:rPr>
            </w:pPr>
            <w:r w:rsidRPr="00257913">
              <w:rPr>
                <w:noProof/>
              </w:rPr>
              <w:t>3 900</w:t>
            </w:r>
          </w:p>
        </w:tc>
      </w:tr>
      <w:tr w:rsidR="001A62D7" w:rsidRPr="00257913" w:rsidTr="001D5990">
        <w:tc>
          <w:tcPr>
            <w:tcW w:w="4644" w:type="dxa"/>
            <w:shd w:val="clear" w:color="auto" w:fill="auto"/>
          </w:tcPr>
          <w:p w:rsidR="001A62D7" w:rsidRPr="00257913" w:rsidRDefault="001A62D7" w:rsidP="001D5990">
            <w:pPr>
              <w:spacing w:before="60" w:after="60"/>
              <w:ind w:left="284"/>
              <w:jc w:val="left"/>
              <w:rPr>
                <w:rFonts w:eastAsia="Times New Roman"/>
                <w:noProof/>
                <w:sz w:val="22"/>
              </w:rPr>
            </w:pPr>
            <w:r w:rsidRPr="00257913">
              <w:rPr>
                <w:noProof/>
                <w:sz w:val="22"/>
              </w:rPr>
              <w:t>4. Activités de contrôle et de rapport</w:t>
            </w:r>
          </w:p>
        </w:tc>
        <w:tc>
          <w:tcPr>
            <w:tcW w:w="3096" w:type="dxa"/>
            <w:gridSpan w:val="2"/>
            <w:shd w:val="clear" w:color="auto" w:fill="D9D9D9"/>
            <w:vAlign w:val="center"/>
          </w:tcPr>
          <w:p w:rsidR="001A62D7" w:rsidRPr="00257913" w:rsidRDefault="001A62D7" w:rsidP="001D5990">
            <w:pPr>
              <w:spacing w:before="60" w:after="60"/>
              <w:jc w:val="center"/>
              <w:rPr>
                <w:rFonts w:eastAsia="Times New Roman"/>
                <w:noProof/>
                <w:sz w:val="22"/>
              </w:rPr>
            </w:pPr>
            <w:r w:rsidRPr="00257913">
              <w:rPr>
                <w:noProof/>
                <w:sz w:val="22"/>
              </w:rPr>
              <w:t>–</w:t>
            </w:r>
          </w:p>
        </w:tc>
        <w:tc>
          <w:tcPr>
            <w:tcW w:w="1548" w:type="dxa"/>
            <w:tcBorders>
              <w:bottom w:val="single" w:sz="4" w:space="0" w:color="auto"/>
            </w:tcBorders>
            <w:shd w:val="clear" w:color="auto" w:fill="auto"/>
          </w:tcPr>
          <w:p w:rsidR="001A62D7" w:rsidRPr="00257913" w:rsidRDefault="006B2E5B" w:rsidP="001D5990">
            <w:pPr>
              <w:spacing w:before="60" w:after="60"/>
              <w:jc w:val="center"/>
              <w:rPr>
                <w:rFonts w:eastAsia="Times New Roman"/>
                <w:noProof/>
                <w:sz w:val="22"/>
              </w:rPr>
            </w:pPr>
            <w:r w:rsidRPr="00257913">
              <w:rPr>
                <w:noProof/>
              </w:rPr>
              <w:t>50 000</w:t>
            </w:r>
          </w:p>
        </w:tc>
      </w:tr>
      <w:tr w:rsidR="001A62D7" w:rsidRPr="00257913" w:rsidTr="001D5990">
        <w:trPr>
          <w:trHeight w:val="203"/>
        </w:trPr>
        <w:tc>
          <w:tcPr>
            <w:tcW w:w="4644" w:type="dxa"/>
            <w:vMerge w:val="restart"/>
            <w:shd w:val="clear" w:color="auto" w:fill="auto"/>
            <w:vAlign w:val="center"/>
          </w:tcPr>
          <w:p w:rsidR="001A62D7" w:rsidRPr="00257913" w:rsidRDefault="001A62D7" w:rsidP="001D5990">
            <w:pPr>
              <w:spacing w:before="60" w:after="60"/>
              <w:jc w:val="right"/>
              <w:rPr>
                <w:rFonts w:eastAsia="Times New Roman"/>
                <w:noProof/>
                <w:sz w:val="22"/>
              </w:rPr>
            </w:pPr>
            <w:r w:rsidRPr="00257913">
              <w:rPr>
                <w:noProof/>
                <w:sz w:val="22"/>
              </w:rPr>
              <w:t>Sous-total b):</w:t>
            </w:r>
          </w:p>
          <w:p w:rsidR="001A62D7" w:rsidRPr="00257913" w:rsidRDefault="001A62D7" w:rsidP="001D5990">
            <w:pPr>
              <w:spacing w:before="60" w:after="60"/>
              <w:jc w:val="right"/>
              <w:rPr>
                <w:rFonts w:eastAsia="Times New Roman"/>
                <w:noProof/>
                <w:sz w:val="22"/>
              </w:rPr>
            </w:pPr>
            <w:r w:rsidRPr="00257913">
              <w:rPr>
                <w:noProof/>
                <w:sz w:val="22"/>
              </w:rPr>
              <w:t>Pourcentage du coût total:</w:t>
            </w:r>
          </w:p>
        </w:tc>
        <w:tc>
          <w:tcPr>
            <w:tcW w:w="3096" w:type="dxa"/>
            <w:gridSpan w:val="2"/>
            <w:vMerge w:val="restart"/>
            <w:shd w:val="clear" w:color="auto" w:fill="D9D9D9"/>
            <w:vAlign w:val="center"/>
          </w:tcPr>
          <w:p w:rsidR="001A62D7" w:rsidRPr="00257913" w:rsidRDefault="001A62D7" w:rsidP="001D5990">
            <w:pPr>
              <w:spacing w:before="0" w:after="0"/>
              <w:jc w:val="center"/>
              <w:rPr>
                <w:rFonts w:eastAsia="Times New Roman"/>
                <w:noProof/>
                <w:sz w:val="22"/>
              </w:rPr>
            </w:pPr>
            <w:r w:rsidRPr="00257913">
              <w:rPr>
                <w:noProof/>
                <w:sz w:val="22"/>
              </w:rPr>
              <w:t>–</w:t>
            </w:r>
          </w:p>
        </w:tc>
        <w:tc>
          <w:tcPr>
            <w:tcW w:w="1548" w:type="dxa"/>
            <w:tcBorders>
              <w:bottom w:val="nil"/>
            </w:tcBorders>
            <w:shd w:val="clear" w:color="auto" w:fill="auto"/>
            <w:vAlign w:val="center"/>
          </w:tcPr>
          <w:p w:rsidR="001A62D7" w:rsidRPr="00257913" w:rsidRDefault="006B2E5B" w:rsidP="001D5990">
            <w:pPr>
              <w:spacing w:before="60" w:after="60"/>
              <w:jc w:val="center"/>
              <w:rPr>
                <w:rFonts w:eastAsia="Times New Roman"/>
                <w:noProof/>
                <w:sz w:val="22"/>
              </w:rPr>
            </w:pPr>
            <w:r w:rsidRPr="00257913">
              <w:rPr>
                <w:noProof/>
              </w:rPr>
              <w:t>96 400</w:t>
            </w:r>
          </w:p>
        </w:tc>
      </w:tr>
      <w:tr w:rsidR="001A62D7" w:rsidRPr="00257913" w:rsidTr="001D5990">
        <w:trPr>
          <w:trHeight w:val="202"/>
        </w:trPr>
        <w:tc>
          <w:tcPr>
            <w:tcW w:w="4644" w:type="dxa"/>
            <w:vMerge/>
            <w:shd w:val="clear" w:color="auto" w:fill="auto"/>
          </w:tcPr>
          <w:p w:rsidR="001A62D7" w:rsidRPr="00257913"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257913"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257913" w:rsidRDefault="001A62D7" w:rsidP="001D5990">
            <w:pPr>
              <w:spacing w:before="60" w:after="60"/>
              <w:jc w:val="center"/>
              <w:rPr>
                <w:rFonts w:eastAsia="Times New Roman"/>
                <w:noProof/>
                <w:sz w:val="22"/>
              </w:rPr>
            </w:pPr>
            <w:r w:rsidRPr="00257913">
              <w:rPr>
                <w:noProof/>
              </w:rPr>
              <w:t>(3,84 %)</w:t>
            </w:r>
          </w:p>
        </w:tc>
      </w:tr>
      <w:tr w:rsidR="001A62D7" w:rsidRPr="00257913" w:rsidTr="001D5990">
        <w:tc>
          <w:tcPr>
            <w:tcW w:w="4644" w:type="dxa"/>
            <w:shd w:val="clear" w:color="auto" w:fill="auto"/>
          </w:tcPr>
          <w:p w:rsidR="001A62D7" w:rsidRPr="00257913" w:rsidRDefault="001A62D7" w:rsidP="001D5990">
            <w:pPr>
              <w:spacing w:before="60" w:after="60"/>
              <w:jc w:val="left"/>
              <w:rPr>
                <w:rFonts w:eastAsia="Times New Roman"/>
                <w:noProof/>
                <w:sz w:val="22"/>
              </w:rPr>
            </w:pPr>
            <w:r w:rsidRPr="00257913">
              <w:rPr>
                <w:noProof/>
                <w:sz w:val="22"/>
              </w:rPr>
              <w:t>Coût total (a + b):</w:t>
            </w:r>
          </w:p>
        </w:tc>
        <w:tc>
          <w:tcPr>
            <w:tcW w:w="3096" w:type="dxa"/>
            <w:gridSpan w:val="2"/>
            <w:shd w:val="clear" w:color="auto" w:fill="D9D9D9"/>
            <w:vAlign w:val="center"/>
          </w:tcPr>
          <w:p w:rsidR="001A62D7" w:rsidRPr="00257913" w:rsidRDefault="001A62D7" w:rsidP="001D5990">
            <w:pPr>
              <w:spacing w:before="60" w:after="60"/>
              <w:jc w:val="center"/>
              <w:rPr>
                <w:rFonts w:eastAsia="Times New Roman"/>
                <w:noProof/>
                <w:sz w:val="22"/>
              </w:rPr>
            </w:pPr>
            <w:r w:rsidRPr="00257913">
              <w:rPr>
                <w:noProof/>
                <w:sz w:val="22"/>
              </w:rPr>
              <w:t>–</w:t>
            </w:r>
          </w:p>
        </w:tc>
        <w:tc>
          <w:tcPr>
            <w:tcW w:w="1548" w:type="dxa"/>
            <w:shd w:val="clear" w:color="auto" w:fill="auto"/>
          </w:tcPr>
          <w:p w:rsidR="001A62D7" w:rsidRPr="00257913" w:rsidRDefault="006B2E5B" w:rsidP="001D5990">
            <w:pPr>
              <w:spacing w:before="60" w:after="60"/>
              <w:jc w:val="center"/>
              <w:rPr>
                <w:noProof/>
                <w:sz w:val="22"/>
              </w:rPr>
            </w:pPr>
            <w:r w:rsidRPr="00257913">
              <w:rPr>
                <w:noProof/>
              </w:rPr>
              <w:t>2 508 865</w:t>
            </w:r>
          </w:p>
        </w:tc>
      </w:tr>
      <w:tr w:rsidR="001A62D7" w:rsidRPr="00257913" w:rsidTr="001D5990">
        <w:tc>
          <w:tcPr>
            <w:tcW w:w="4644" w:type="dxa"/>
            <w:shd w:val="clear" w:color="auto" w:fill="auto"/>
          </w:tcPr>
          <w:p w:rsidR="001A62D7" w:rsidRPr="00257913" w:rsidRDefault="001A62D7" w:rsidP="001D5990">
            <w:pPr>
              <w:spacing w:before="60" w:after="60"/>
              <w:jc w:val="left"/>
              <w:rPr>
                <w:rFonts w:eastAsia="Times New Roman"/>
                <w:noProof/>
                <w:sz w:val="22"/>
              </w:rPr>
            </w:pPr>
            <w:r w:rsidRPr="00257913">
              <w:rPr>
                <w:noProof/>
                <w:sz w:val="22"/>
              </w:rPr>
              <w:t>Contribution du FEM (</w:t>
            </w:r>
            <w:r w:rsidRPr="00257913">
              <w:rPr>
                <w:noProof/>
              </w:rPr>
              <w:t>85</w:t>
            </w:r>
            <w:r w:rsidRPr="00257913">
              <w:rPr>
                <w:noProof/>
                <w:sz w:val="22"/>
              </w:rPr>
              <w:t> % du coût total</w:t>
            </w:r>
            <w:r w:rsidRPr="00257913">
              <w:rPr>
                <w:noProof/>
              </w:rPr>
              <w:t>)</w:t>
            </w:r>
          </w:p>
        </w:tc>
        <w:tc>
          <w:tcPr>
            <w:tcW w:w="3096" w:type="dxa"/>
            <w:gridSpan w:val="2"/>
            <w:shd w:val="clear" w:color="auto" w:fill="D9D9D9"/>
            <w:vAlign w:val="center"/>
          </w:tcPr>
          <w:p w:rsidR="001A62D7" w:rsidRPr="00257913" w:rsidRDefault="001A62D7" w:rsidP="001D5990">
            <w:pPr>
              <w:spacing w:before="60" w:after="60"/>
              <w:jc w:val="center"/>
              <w:rPr>
                <w:rFonts w:eastAsia="Times New Roman"/>
                <w:noProof/>
                <w:sz w:val="22"/>
              </w:rPr>
            </w:pPr>
            <w:r w:rsidRPr="00257913">
              <w:rPr>
                <w:noProof/>
                <w:sz w:val="22"/>
              </w:rPr>
              <w:t>–</w:t>
            </w:r>
          </w:p>
        </w:tc>
        <w:tc>
          <w:tcPr>
            <w:tcW w:w="1548" w:type="dxa"/>
            <w:shd w:val="clear" w:color="auto" w:fill="auto"/>
          </w:tcPr>
          <w:p w:rsidR="001A62D7" w:rsidRPr="00257913" w:rsidRDefault="005B68D8" w:rsidP="001D5990">
            <w:pPr>
              <w:spacing w:before="60" w:after="60"/>
              <w:jc w:val="center"/>
              <w:rPr>
                <w:rFonts w:eastAsia="Times New Roman"/>
                <w:noProof/>
                <w:sz w:val="22"/>
              </w:rPr>
            </w:pPr>
            <w:r w:rsidRPr="00257913">
              <w:rPr>
                <w:noProof/>
              </w:rPr>
              <w:t>2 132 535</w:t>
            </w:r>
          </w:p>
        </w:tc>
      </w:tr>
    </w:tbl>
    <w:p w:rsidR="001A62D7" w:rsidRPr="00257913" w:rsidRDefault="001A62D7" w:rsidP="001A62D7">
      <w:pPr>
        <w:pStyle w:val="ManualHeading3"/>
        <w:rPr>
          <w:noProof/>
        </w:rPr>
      </w:pPr>
      <w:r w:rsidRPr="00257913">
        <w:rPr>
          <w:noProof/>
        </w:rPr>
        <w:t>Période d’éligibilité des dépenses</w:t>
      </w:r>
    </w:p>
    <w:p w:rsidR="001A62D7" w:rsidRPr="00257913" w:rsidRDefault="00E31259" w:rsidP="00AE7D04">
      <w:pPr>
        <w:pStyle w:val="ManualNumPar1"/>
        <w:rPr>
          <w:noProof/>
        </w:rPr>
      </w:pPr>
      <w:r>
        <w:rPr>
          <w:noProof/>
        </w:rPr>
        <w:t>31.</w:t>
      </w:r>
      <w:r>
        <w:rPr>
          <w:noProof/>
        </w:rPr>
        <w:tab/>
      </w:r>
      <w:r w:rsidRPr="00257913">
        <w:rPr>
          <w:noProof/>
        </w:rPr>
        <w:t>La Belgique a commencé à fournir les services personnalisés aux bénéficiaires visés le 11</w:t>
      </w:r>
      <w:r w:rsidR="0051785A" w:rsidRPr="00257913">
        <w:rPr>
          <w:noProof/>
        </w:rPr>
        <w:t> </w:t>
      </w:r>
      <w:r w:rsidRPr="00257913">
        <w:rPr>
          <w:noProof/>
        </w:rPr>
        <w:t>juin 2025. Les dépenses relatives aux mesures seront donc éligibles à une contribution financière du FEM à partir du 11</w:t>
      </w:r>
      <w:r w:rsidR="0051785A" w:rsidRPr="00257913">
        <w:rPr>
          <w:noProof/>
        </w:rPr>
        <w:t> </w:t>
      </w:r>
      <w:r w:rsidRPr="00257913">
        <w:rPr>
          <w:noProof/>
        </w:rPr>
        <w:t xml:space="preserve">juin 2025 et pendant 24 mois après la date d’entrée en vigueur de la décision de financement. </w:t>
      </w:r>
    </w:p>
    <w:p w:rsidR="001A62D7" w:rsidRPr="00257913" w:rsidRDefault="00E31259" w:rsidP="00AE7D04">
      <w:pPr>
        <w:pStyle w:val="ManualNumPar1"/>
        <w:rPr>
          <w:noProof/>
        </w:rPr>
      </w:pPr>
      <w:r>
        <w:rPr>
          <w:noProof/>
        </w:rPr>
        <w:t>32.</w:t>
      </w:r>
      <w:r>
        <w:rPr>
          <w:noProof/>
        </w:rPr>
        <w:tab/>
      </w:r>
      <w:r w:rsidRPr="00257913">
        <w:rPr>
          <w:noProof/>
        </w:rPr>
        <w:t>La Belgique a commencé à engager les dépenses administratives pour la mise en œuvre du FEM le 11</w:t>
      </w:r>
      <w:r w:rsidR="0051785A" w:rsidRPr="00257913">
        <w:rPr>
          <w:noProof/>
        </w:rPr>
        <w:t> </w:t>
      </w:r>
      <w:r w:rsidRPr="00257913">
        <w:rPr>
          <w:noProof/>
        </w:rPr>
        <w:t>juin 2025. Les dépenses relatives aux activités de préparation, de gestion, d’information et de publicité, ainsi que de contrôle et de rapport, peuvent donc faire l’objet d’une contribution financière du FEM à partir du 11</w:t>
      </w:r>
      <w:r w:rsidR="0051785A" w:rsidRPr="00257913">
        <w:rPr>
          <w:noProof/>
        </w:rPr>
        <w:t> </w:t>
      </w:r>
      <w:r w:rsidRPr="00257913">
        <w:rPr>
          <w:noProof/>
        </w:rPr>
        <w:t xml:space="preserve">juin 2025 et pendant 31 mois après la date d’entrée en vigueur de la décision de financement. </w:t>
      </w:r>
    </w:p>
    <w:p w:rsidR="001A62D7" w:rsidRPr="00257913" w:rsidRDefault="001A62D7" w:rsidP="001A62D7">
      <w:pPr>
        <w:pStyle w:val="ManualHeading2"/>
        <w:rPr>
          <w:noProof/>
        </w:rPr>
      </w:pPr>
      <w:r w:rsidRPr="00257913">
        <w:rPr>
          <w:noProof/>
        </w:rPr>
        <w:t>Systèmes de gestion et de contrôle</w:t>
      </w:r>
    </w:p>
    <w:p w:rsidR="001A62D7" w:rsidRPr="00257913" w:rsidRDefault="001A62D7" w:rsidP="00AE7D04">
      <w:pPr>
        <w:pStyle w:val="ManualNumPar1"/>
        <w:rPr>
          <w:noProof/>
        </w:rPr>
      </w:pPr>
      <w:r>
        <w:rPr>
          <w:noProof/>
        </w:rPr>
        <w:t>33.</w:t>
      </w:r>
      <w:r>
        <w:rPr>
          <w:noProof/>
        </w:rPr>
        <w:tab/>
      </w:r>
      <w:r w:rsidRPr="00257913">
        <w:rPr>
          <w:noProof/>
        </w:rPr>
        <w:t xml:space="preserve">La demande contient une description du système de gestion et de contrôle requis en vertu de l’article 23 du règlement (UE) 2021/691, qui précise les responsabilités des organismes concernés. La Belgique a indiqué à la Commission que la contribution financière serait gérée par le VDAB. Les paiements seront effectués par le service </w:t>
      </w:r>
      <w:r w:rsidRPr="00257913">
        <w:rPr>
          <w:noProof/>
        </w:rPr>
        <w:lastRenderedPageBreak/>
        <w:t>financier du VDAB. L’autorité d’audit est le département des finances et du budget — unité d’audit de l’autorité d’audit flamande pour les Fonds structurels européens.</w:t>
      </w:r>
    </w:p>
    <w:p w:rsidR="001A62D7" w:rsidRPr="00257913" w:rsidRDefault="001A62D7" w:rsidP="001A62D7">
      <w:pPr>
        <w:pStyle w:val="ManualHeading2"/>
        <w:rPr>
          <w:noProof/>
        </w:rPr>
      </w:pPr>
      <w:r w:rsidRPr="00257913">
        <w:rPr>
          <w:noProof/>
        </w:rPr>
        <w:t>Engagements de l’État membre concerné</w:t>
      </w:r>
    </w:p>
    <w:p w:rsidR="001A62D7" w:rsidRPr="00257913" w:rsidRDefault="005B68D8" w:rsidP="00AE7D04">
      <w:pPr>
        <w:pStyle w:val="ManualNumPar1"/>
        <w:rPr>
          <w:noProof/>
        </w:rPr>
      </w:pPr>
      <w:r>
        <w:rPr>
          <w:noProof/>
        </w:rPr>
        <w:t>34.</w:t>
      </w:r>
      <w:r>
        <w:rPr>
          <w:noProof/>
        </w:rPr>
        <w:tab/>
      </w:r>
      <w:r w:rsidRPr="00257913">
        <w:rPr>
          <w:noProof/>
        </w:rPr>
        <w:t xml:space="preserve">La Belgique a apporté toutes les assurances nécessaires concernant les aspects suivants: </w:t>
      </w:r>
    </w:p>
    <w:p w:rsidR="001A62D7" w:rsidRPr="00257913" w:rsidRDefault="001A62D7" w:rsidP="001A62D7">
      <w:pPr>
        <w:pStyle w:val="Tiret1"/>
        <w:rPr>
          <w:noProof/>
        </w:rPr>
      </w:pPr>
      <w:r w:rsidRPr="00257913">
        <w:rPr>
          <w:noProof/>
        </w:rPr>
        <w:t>les principes d’égalité de traitement et de non-discrimination seront respectés pour l’accès aux mesures proposées et leur réalisation;</w:t>
      </w:r>
    </w:p>
    <w:p w:rsidR="001A62D7" w:rsidRPr="00257913" w:rsidRDefault="001A62D7" w:rsidP="001A62D7">
      <w:pPr>
        <w:pStyle w:val="Tiret1"/>
        <w:rPr>
          <w:noProof/>
        </w:rPr>
      </w:pPr>
      <w:r w:rsidRPr="00257913">
        <w:rPr>
          <w:noProof/>
        </w:rPr>
        <w:t>les exigences fixées dans la législation nationale et dans celle de l’UE concernant les licenciements collectifs ont été respectées;</w:t>
      </w:r>
    </w:p>
    <w:p w:rsidR="001A62D7" w:rsidRPr="00257913" w:rsidRDefault="001A62D7" w:rsidP="001A62D7">
      <w:pPr>
        <w:pStyle w:val="Tiret1"/>
        <w:rPr>
          <w:noProof/>
        </w:rPr>
      </w:pPr>
      <w:r w:rsidRPr="00257913">
        <w:rPr>
          <w:noProof/>
        </w:rPr>
        <w:t>tout double financement sera évité;</w:t>
      </w:r>
    </w:p>
    <w:p w:rsidR="001A62D7" w:rsidRPr="00257913" w:rsidRDefault="001A62D7" w:rsidP="001A62D7">
      <w:pPr>
        <w:pStyle w:val="Tiret1"/>
        <w:rPr>
          <w:noProof/>
        </w:rPr>
      </w:pPr>
      <w:r w:rsidRPr="00257913">
        <w:rPr>
          <w:noProof/>
        </w:rPr>
        <w:t>la contribution financière du FEM sera conforme aux règles procédurales et aux règles de fond de l’UE en matière d’aides d’État.</w:t>
      </w:r>
    </w:p>
    <w:p w:rsidR="001A62D7" w:rsidRPr="00257913" w:rsidRDefault="001A62D7" w:rsidP="001A62D7">
      <w:pPr>
        <w:pStyle w:val="ManualHeading1"/>
        <w:rPr>
          <w:noProof/>
        </w:rPr>
      </w:pPr>
      <w:r w:rsidRPr="00257913">
        <w:rPr>
          <w:noProof/>
        </w:rPr>
        <w:t>INCIDENCE BUDGÉTAIRE</w:t>
      </w:r>
    </w:p>
    <w:p w:rsidR="001A62D7" w:rsidRPr="00257913" w:rsidRDefault="001A62D7" w:rsidP="001A62D7">
      <w:pPr>
        <w:pStyle w:val="ManualHeading2"/>
        <w:rPr>
          <w:noProof/>
        </w:rPr>
      </w:pPr>
      <w:r w:rsidRPr="00257913">
        <w:rPr>
          <w:noProof/>
        </w:rPr>
        <w:t>Proposition budgétaire</w:t>
      </w:r>
    </w:p>
    <w:p w:rsidR="001A62D7" w:rsidRPr="00257913" w:rsidRDefault="001A62D7" w:rsidP="00AE7D04">
      <w:pPr>
        <w:pStyle w:val="ManualNumPar1"/>
        <w:rPr>
          <w:noProof/>
        </w:rPr>
      </w:pPr>
      <w:r>
        <w:rPr>
          <w:noProof/>
        </w:rPr>
        <w:t>35.</w:t>
      </w:r>
      <w:r>
        <w:rPr>
          <w:noProof/>
        </w:rPr>
        <w:tab/>
      </w:r>
      <w:r w:rsidRPr="00257913">
        <w:rPr>
          <w:noProof/>
        </w:rPr>
        <w:t>La dotation annuelle du FEM n’excède pas un montant maximal de 30 000 000 EUR (aux prix de 2018), comme le prévoit l’article 8 du règlement (UE, Euratom) 2020/2093 du Conseil du 17 décembre 2020 fixant le cadre financier pluriannuel pour les années 2021 à 2027</w:t>
      </w:r>
      <w:r w:rsidRPr="00257913">
        <w:rPr>
          <w:rStyle w:val="FootnoteReference"/>
          <w:noProof/>
        </w:rPr>
        <w:footnoteReference w:id="20"/>
      </w:r>
      <w:r w:rsidRPr="00257913">
        <w:rPr>
          <w:noProof/>
        </w:rPr>
        <w:t>, modifié par le règlement (UE, Euratom) 2024/765 du Conseil du 29 février 2024</w:t>
      </w:r>
      <w:r w:rsidRPr="00257913">
        <w:rPr>
          <w:rStyle w:val="FootnoteReference"/>
          <w:noProof/>
        </w:rPr>
        <w:footnoteReference w:id="21"/>
      </w:r>
      <w:r w:rsidRPr="00257913">
        <w:rPr>
          <w:noProof/>
        </w:rPr>
        <w:t>.</w:t>
      </w:r>
    </w:p>
    <w:p w:rsidR="001A62D7" w:rsidRPr="00257913" w:rsidRDefault="001A62D7" w:rsidP="00AE7D04">
      <w:pPr>
        <w:pStyle w:val="ManualNumPar1"/>
        <w:rPr>
          <w:rFonts w:eastAsia="Calibri"/>
          <w:noProof/>
        </w:rPr>
      </w:pPr>
      <w:r>
        <w:rPr>
          <w:noProof/>
        </w:rPr>
        <w:t>36.</w:t>
      </w:r>
      <w:r>
        <w:rPr>
          <w:noProof/>
        </w:rPr>
        <w:tab/>
      </w:r>
      <w:r w:rsidRPr="00257913">
        <w:rPr>
          <w:noProof/>
        </w:rPr>
        <w:t>Au terme de l’examen de la demande eu égard aux conditions fixées à l’article 13, paragraphes 1 et 2, du règlement (UE) 2021/691, et compte tenu du nombre de bénéficiaires visés, des mesures proposées et des coûts estimés, la Commission propose de mobiliser le FEM pour un montant de 2 132 535 EUR, ce qui correspond à 85 % du coût total des mesures proposées, afin d’apporter une contribution financière en réponse à la demande.</w:t>
      </w:r>
    </w:p>
    <w:p w:rsidR="001A62D7" w:rsidRPr="00257913" w:rsidRDefault="001A62D7" w:rsidP="00AE7D04">
      <w:pPr>
        <w:pStyle w:val="ManualNumPar1"/>
        <w:rPr>
          <w:rFonts w:eastAsia="Times New Roman"/>
          <w:noProof/>
        </w:rPr>
      </w:pPr>
      <w:r>
        <w:rPr>
          <w:noProof/>
        </w:rPr>
        <w:t>37.</w:t>
      </w:r>
      <w:r>
        <w:rPr>
          <w:noProof/>
        </w:rPr>
        <w:tab/>
      </w:r>
      <w:r w:rsidRPr="00257913">
        <w:rPr>
          <w:noProof/>
        </w:rPr>
        <w:t>La décision proposée de mobiliser le FEM sera prise conjointement par le Parlement européen et le Conseil, en application de l’article 15, paragraphe 1, premier alinéa, deuxième phrase, du règlement (UE) 2021/691 et comme indiqué au point 9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257913">
        <w:rPr>
          <w:rStyle w:val="FootnoteReference"/>
          <w:noProof/>
        </w:rPr>
        <w:footnoteReference w:id="22"/>
      </w:r>
      <w:r w:rsidRPr="00257913">
        <w:rPr>
          <w:noProof/>
        </w:rPr>
        <w:t>.</w:t>
      </w:r>
    </w:p>
    <w:p w:rsidR="001A62D7" w:rsidRPr="00257913" w:rsidRDefault="001A62D7" w:rsidP="001A62D7">
      <w:pPr>
        <w:pStyle w:val="ManualHeading2"/>
        <w:rPr>
          <w:noProof/>
        </w:rPr>
      </w:pPr>
      <w:r w:rsidRPr="00257913">
        <w:rPr>
          <w:noProof/>
        </w:rPr>
        <w:t>Actes liés</w:t>
      </w:r>
    </w:p>
    <w:p w:rsidR="001A62D7" w:rsidRPr="00257913" w:rsidRDefault="001A62D7" w:rsidP="00AE7D04">
      <w:pPr>
        <w:pStyle w:val="ManualNumPar1"/>
        <w:rPr>
          <w:noProof/>
        </w:rPr>
      </w:pPr>
      <w:r>
        <w:rPr>
          <w:noProof/>
        </w:rPr>
        <w:t>38.</w:t>
      </w:r>
      <w:r>
        <w:rPr>
          <w:noProof/>
        </w:rPr>
        <w:tab/>
      </w:r>
      <w:r w:rsidRPr="00257913">
        <w:rPr>
          <w:noProof/>
        </w:rPr>
        <w:t>En même temps que la présente proposition de décision de mobilisation du FEM, la Commission présentera au Parlement européen et au Conseil une proposition de virement à la ligne budgétaire pertinente d’un montant de 2 132 535 EUR.</w:t>
      </w:r>
    </w:p>
    <w:p w:rsidR="001A62D7" w:rsidRPr="00257913" w:rsidRDefault="001A62D7" w:rsidP="00AE7D04">
      <w:pPr>
        <w:pStyle w:val="ManualNumPar1"/>
        <w:rPr>
          <w:noProof/>
        </w:rPr>
      </w:pPr>
      <w:r>
        <w:rPr>
          <w:noProof/>
        </w:rPr>
        <w:t>39.</w:t>
      </w:r>
      <w:r>
        <w:rPr>
          <w:noProof/>
        </w:rPr>
        <w:tab/>
      </w:r>
      <w:r w:rsidRPr="00257913">
        <w:rPr>
          <w:noProof/>
        </w:rPr>
        <w:t xml:space="preserve">En même temps que la présente proposition de décision de mobilisation du FEM, la Commission a adopté une décision relative à une contribution financière qui constitue une décision de financement au sens de l’article 110 du règlement (UE, </w:t>
      </w:r>
      <w:r w:rsidRPr="00257913">
        <w:rPr>
          <w:noProof/>
        </w:rPr>
        <w:lastRenderedPageBreak/>
        <w:t>Euratom) 2024/2509</w:t>
      </w:r>
      <w:r w:rsidRPr="00257913">
        <w:rPr>
          <w:rStyle w:val="FootnoteReference"/>
          <w:noProof/>
        </w:rPr>
        <w:footnoteReference w:id="23"/>
      </w:r>
      <w:r w:rsidRPr="00257913">
        <w:rPr>
          <w:noProof/>
        </w:rPr>
        <w:t>. Cette décision de financement entre en vigueur à la date à laquelle la Commission est informée de l’approbation du virement budgétaire par le Parlement européen et le Conseil, en application de l’article 15, paragraphe 2, premier alinéa, du règlement (UE) 2021/691.</w:t>
      </w:r>
    </w:p>
    <w:p w:rsidR="001A62D7" w:rsidRPr="00257913" w:rsidRDefault="001A62D7" w:rsidP="001A62D7">
      <w:pPr>
        <w:rPr>
          <w:noProof/>
        </w:rPr>
        <w:sectPr w:rsidR="001A62D7" w:rsidRPr="00257913" w:rsidSect="0025428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E52F6D" w:rsidRDefault="008217DD">
      <w:pPr>
        <w:pStyle w:val="Rfrenceinterinstitutionnelle"/>
        <w:rPr>
          <w:noProof/>
        </w:rPr>
      </w:pPr>
      <w:r>
        <w:rPr>
          <w:noProof/>
        </w:rPr>
        <w:lastRenderedPageBreak/>
        <w:t>2026/0097 (BUD)</w:t>
      </w:r>
    </w:p>
    <w:p w:rsidR="001A62D7" w:rsidRPr="00257913" w:rsidRDefault="00245639" w:rsidP="00245639">
      <w:pPr>
        <w:pStyle w:val="Statut"/>
        <w:rPr>
          <w:noProof/>
        </w:rPr>
      </w:pPr>
      <w:r w:rsidRPr="00245639">
        <w:rPr>
          <w:noProof/>
        </w:rPr>
        <w:t>Proposition de</w:t>
      </w:r>
    </w:p>
    <w:p w:rsidR="001A62D7" w:rsidRPr="00257913" w:rsidRDefault="00245639" w:rsidP="00245639">
      <w:pPr>
        <w:pStyle w:val="Typedudocument"/>
        <w:rPr>
          <w:noProof/>
        </w:rPr>
      </w:pPr>
      <w:r w:rsidRPr="00245639">
        <w:rPr>
          <w:noProof/>
        </w:rPr>
        <w:t>DÉCISION DU PARLEMENT EUROPÉEN ET DU CONSEIL</w:t>
      </w:r>
    </w:p>
    <w:p w:rsidR="001A62D7" w:rsidRPr="00257913" w:rsidRDefault="00245639" w:rsidP="00245639">
      <w:pPr>
        <w:pStyle w:val="Titreobjet"/>
        <w:rPr>
          <w:noProof/>
        </w:rPr>
      </w:pPr>
      <w:r w:rsidRPr="00245639">
        <w:rPr>
          <w:noProof/>
        </w:rPr>
        <w:t>relative à la mobilisation du Fonds européen d’ajustement à la mondialisation en faveur des travailleurs licenciés à la suite d’une demande de la Belgique — EGF/2025/009 BE/Soliver</w:t>
      </w:r>
    </w:p>
    <w:p w:rsidR="001A62D7" w:rsidRPr="00257913" w:rsidRDefault="001A62D7" w:rsidP="001A62D7">
      <w:pPr>
        <w:pStyle w:val="Institutionquiagit"/>
        <w:rPr>
          <w:noProof/>
        </w:rPr>
      </w:pPr>
      <w:r w:rsidRPr="00257913">
        <w:rPr>
          <w:noProof/>
        </w:rPr>
        <w:t>LE PARLEMENT EUROPÉEN ET LE CONSEIL DE L’UNION EUROPÉENNE,</w:t>
      </w:r>
    </w:p>
    <w:p w:rsidR="001A62D7" w:rsidRPr="00257913" w:rsidRDefault="001A62D7" w:rsidP="001A62D7">
      <w:pPr>
        <w:rPr>
          <w:noProof/>
        </w:rPr>
      </w:pPr>
      <w:r w:rsidRPr="00257913">
        <w:rPr>
          <w:noProof/>
        </w:rPr>
        <w:t>vu le traité sur le fonctionnement de l’Union européenne,</w:t>
      </w:r>
    </w:p>
    <w:p w:rsidR="001A62D7" w:rsidRPr="00257913" w:rsidRDefault="001A62D7" w:rsidP="001A62D7">
      <w:pPr>
        <w:rPr>
          <w:noProof/>
        </w:rPr>
      </w:pPr>
      <w:r w:rsidRPr="00257913">
        <w:rPr>
          <w:noProof/>
        </w:rPr>
        <w:t>vu le règlement (UE) 2021/691 du Parlement européen et du Conseil du 28 avril 2021 relatif au Fonds européen d’ajustement à la mondialisation en faveur des travailleurs licenciés (FEM) et abrogeant le règlement (UE) nº 1309/2013</w:t>
      </w:r>
      <w:r w:rsidRPr="00257913">
        <w:rPr>
          <w:rStyle w:val="FootnoteReference"/>
          <w:noProof/>
        </w:rPr>
        <w:footnoteReference w:id="24"/>
      </w:r>
      <w:r w:rsidRPr="00257913">
        <w:rPr>
          <w:noProof/>
        </w:rPr>
        <w:t>, et notamment son article 15, paragraphe 1, premier alinéa,</w:t>
      </w:r>
    </w:p>
    <w:p w:rsidR="001A62D7" w:rsidRPr="00257913" w:rsidRDefault="001A62D7" w:rsidP="001A62D7">
      <w:pPr>
        <w:rPr>
          <w:noProof/>
        </w:rPr>
      </w:pPr>
      <w:r w:rsidRPr="00257913">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257913">
        <w:rPr>
          <w:rStyle w:val="FootnoteReference"/>
          <w:noProof/>
        </w:rPr>
        <w:footnoteReference w:id="25"/>
      </w:r>
      <w:r w:rsidRPr="00257913">
        <w:rPr>
          <w:noProof/>
        </w:rPr>
        <w:t>, et notamment son point 9,</w:t>
      </w:r>
    </w:p>
    <w:p w:rsidR="001A62D7" w:rsidRPr="00257913" w:rsidRDefault="001A62D7" w:rsidP="001A62D7">
      <w:pPr>
        <w:rPr>
          <w:noProof/>
        </w:rPr>
      </w:pPr>
      <w:r w:rsidRPr="00257913">
        <w:rPr>
          <w:noProof/>
        </w:rPr>
        <w:t>vu la proposition de la Commission européenne,</w:t>
      </w:r>
    </w:p>
    <w:p w:rsidR="001A62D7" w:rsidRPr="00257913" w:rsidRDefault="001A62D7" w:rsidP="001A62D7">
      <w:pPr>
        <w:rPr>
          <w:noProof/>
        </w:rPr>
      </w:pPr>
      <w:r w:rsidRPr="00257913">
        <w:rPr>
          <w:noProof/>
        </w:rPr>
        <w:t>considérant ce qui suit:</w:t>
      </w:r>
    </w:p>
    <w:p w:rsidR="001A62D7" w:rsidRPr="00257913" w:rsidRDefault="001A62D7" w:rsidP="00AE7D04">
      <w:pPr>
        <w:pStyle w:val="ManualConsidrant"/>
        <w:rPr>
          <w:noProof/>
        </w:rPr>
      </w:pPr>
      <w:r>
        <w:rPr>
          <w:noProof/>
        </w:rPr>
        <w:t>(1)</w:t>
      </w:r>
      <w:r>
        <w:rPr>
          <w:noProof/>
        </w:rPr>
        <w:tab/>
      </w:r>
      <w:r w:rsidRPr="00257913">
        <w:rPr>
          <w:noProof/>
        </w:rPr>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 </w:t>
      </w:r>
    </w:p>
    <w:p w:rsidR="001A62D7" w:rsidRPr="00257913" w:rsidRDefault="001A62D7" w:rsidP="00AE7D04">
      <w:pPr>
        <w:pStyle w:val="ManualConsidrant"/>
        <w:rPr>
          <w:noProof/>
        </w:rPr>
      </w:pPr>
      <w:r>
        <w:rPr>
          <w:noProof/>
        </w:rPr>
        <w:t>(2)</w:t>
      </w:r>
      <w:r>
        <w:rPr>
          <w:noProof/>
        </w:rPr>
        <w:tab/>
      </w:r>
      <w:r w:rsidRPr="00257913">
        <w:rPr>
          <w:noProof/>
        </w:rPr>
        <w:t>La dotation annuelle du FEM n’excède pas un montant maximal de 30 000 000 EUR (aux prix de 2018), comme le prévoient l’article 8 du règlement (UE, Euratom) 2020/2093 du Conseil</w:t>
      </w:r>
      <w:r w:rsidRPr="00257913">
        <w:rPr>
          <w:rStyle w:val="FootnoteReference"/>
          <w:noProof/>
        </w:rPr>
        <w:footnoteReference w:id="26"/>
      </w:r>
      <w:r w:rsidRPr="00257913">
        <w:rPr>
          <w:noProof/>
        </w:rPr>
        <w:t>, modifié par le règlement (UE, Euratom) 2024/765 du Conseil</w:t>
      </w:r>
      <w:r w:rsidRPr="00257913">
        <w:rPr>
          <w:rStyle w:val="FootnoteReference"/>
          <w:noProof/>
        </w:rPr>
        <w:footnoteReference w:id="27"/>
      </w:r>
      <w:r w:rsidRPr="00257913">
        <w:rPr>
          <w:noProof/>
        </w:rPr>
        <w:t>, et l’article 16 du règlement (UE) 2021/691.</w:t>
      </w:r>
    </w:p>
    <w:p w:rsidR="001A62D7" w:rsidRPr="00257913" w:rsidRDefault="001A62D7" w:rsidP="00AE7D04">
      <w:pPr>
        <w:pStyle w:val="ManualConsidrant"/>
        <w:rPr>
          <w:noProof/>
        </w:rPr>
      </w:pPr>
      <w:r>
        <w:rPr>
          <w:noProof/>
        </w:rPr>
        <w:t>(3)</w:t>
      </w:r>
      <w:r>
        <w:rPr>
          <w:noProof/>
        </w:rPr>
        <w:tab/>
      </w:r>
      <w:r w:rsidRPr="00257913">
        <w:rPr>
          <w:noProof/>
        </w:rPr>
        <w:t>Le 22</w:t>
      </w:r>
      <w:r w:rsidR="0051785A" w:rsidRPr="00257913">
        <w:rPr>
          <w:noProof/>
        </w:rPr>
        <w:t> </w:t>
      </w:r>
      <w:r w:rsidRPr="00257913">
        <w:rPr>
          <w:noProof/>
        </w:rPr>
        <w:t xml:space="preserve">décembre 2025, la Belgique a présenté, conformément à l’article 8, paragraphe 1, du règlement (UE) 2021/691, une demande d’intervention du FEM en ce qui concerne les licenciements survenus chez Soliver NV en Belgique. Des informations complémentaires ont été fournies conformément à l’article 8, paragraphe 5, du règlement (UE) 2021/691. Cette demande est considérée comme remplissant les conditions d’octroi d’une contribution financière du FEM conformément à l’article 13 du règlement (UE) 2021/691, sur la base de l’évaluation </w:t>
      </w:r>
      <w:r w:rsidRPr="00257913">
        <w:rPr>
          <w:noProof/>
        </w:rPr>
        <w:lastRenderedPageBreak/>
        <w:t>effectuée par la Commission dans la proposition de décision du Parlement européen et du Conseil relative à la mobilisation du FEM</w:t>
      </w:r>
      <w:r w:rsidRPr="00257913">
        <w:rPr>
          <w:rStyle w:val="FootnoteReference"/>
          <w:iCs/>
          <w:noProof/>
        </w:rPr>
        <w:footnoteReference w:id="28"/>
      </w:r>
      <w:r w:rsidRPr="00257913">
        <w:rPr>
          <w:noProof/>
        </w:rPr>
        <w:t>.</w:t>
      </w:r>
    </w:p>
    <w:p w:rsidR="001A62D7" w:rsidRPr="00257913" w:rsidRDefault="001A62D7" w:rsidP="00AE7D04">
      <w:pPr>
        <w:pStyle w:val="ManualConsidrant"/>
        <w:rPr>
          <w:noProof/>
        </w:rPr>
      </w:pPr>
      <w:r>
        <w:rPr>
          <w:noProof/>
        </w:rPr>
        <w:t>(4)</w:t>
      </w:r>
      <w:r>
        <w:rPr>
          <w:noProof/>
        </w:rPr>
        <w:tab/>
      </w:r>
      <w:r w:rsidRPr="00257913">
        <w:rPr>
          <w:noProof/>
        </w:rPr>
        <w:t>Il y a lieu, par conséquent, de mobiliser le FEM en vue d’octroyer une contribution financière d’un montant de 2 132 535 EUR en réponse à la demande présentée par la Belgique.</w:t>
      </w:r>
    </w:p>
    <w:p w:rsidR="001A62D7" w:rsidRPr="00257913" w:rsidRDefault="001A62D7" w:rsidP="00AE7D04">
      <w:pPr>
        <w:pStyle w:val="ManualConsidrant"/>
        <w:rPr>
          <w:noProof/>
        </w:rPr>
      </w:pPr>
      <w:r>
        <w:rPr>
          <w:noProof/>
        </w:rPr>
        <w:t>(5)</w:t>
      </w:r>
      <w:r>
        <w:rPr>
          <w:noProof/>
        </w:rPr>
        <w:tab/>
      </w:r>
      <w:r w:rsidRPr="00257913">
        <w:rPr>
          <w:noProof/>
        </w:rPr>
        <w:t>Afin de limiter au maximum le délai de mobilisation du FEM, la présente décision devrait être applicable à partir de la date de son adoption,</w:t>
      </w:r>
    </w:p>
    <w:p w:rsidR="001A62D7" w:rsidRPr="00257913" w:rsidRDefault="001A62D7" w:rsidP="001A62D7">
      <w:pPr>
        <w:pStyle w:val="Formuledadoption"/>
        <w:rPr>
          <w:noProof/>
        </w:rPr>
      </w:pPr>
      <w:r w:rsidRPr="00257913">
        <w:rPr>
          <w:noProof/>
        </w:rPr>
        <w:t xml:space="preserve">ONT ADOPTÉ LA PRÉSENTE DÉCISION: </w:t>
      </w:r>
    </w:p>
    <w:p w:rsidR="001A62D7" w:rsidRPr="00257913" w:rsidRDefault="001A62D7" w:rsidP="001A62D7">
      <w:pPr>
        <w:pStyle w:val="Titrearticle"/>
        <w:rPr>
          <w:noProof/>
        </w:rPr>
      </w:pPr>
      <w:r w:rsidRPr="00257913">
        <w:rPr>
          <w:noProof/>
        </w:rPr>
        <w:t>Article premier</w:t>
      </w:r>
    </w:p>
    <w:p w:rsidR="001A62D7" w:rsidRPr="00257913" w:rsidRDefault="001A62D7" w:rsidP="001A62D7">
      <w:pPr>
        <w:rPr>
          <w:noProof/>
        </w:rPr>
      </w:pPr>
      <w:r w:rsidRPr="00257913">
        <w:rPr>
          <w:noProof/>
        </w:rPr>
        <w:t>Dans le cadre du budget général de l’Union établi pour l’exercice 2026, un montant de 2 132 535 EUR en crédits d’engagement et de paiement est mobilisé au titre du Fonds européen d’ajustement à la mondialisation en faveur des travailleurs licenciés.</w:t>
      </w:r>
    </w:p>
    <w:p w:rsidR="001A62D7" w:rsidRPr="00257913" w:rsidRDefault="001A62D7" w:rsidP="007C55AC">
      <w:pPr>
        <w:pStyle w:val="Titrearticle"/>
        <w:rPr>
          <w:noProof/>
        </w:rPr>
      </w:pPr>
      <w:r w:rsidRPr="00257913">
        <w:rPr>
          <w:noProof/>
        </w:rPr>
        <w:t>Article 2</w:t>
      </w:r>
    </w:p>
    <w:p w:rsidR="001A62D7" w:rsidRPr="00257913" w:rsidRDefault="001A62D7" w:rsidP="001A62D7">
      <w:pPr>
        <w:keepNext/>
        <w:keepLines/>
        <w:rPr>
          <w:noProof/>
        </w:rPr>
      </w:pPr>
      <w:r w:rsidRPr="00257913">
        <w:rPr>
          <w:noProof/>
        </w:rPr>
        <w:t xml:space="preserve">La présente décision entre en vigueur le jour de sa publication au </w:t>
      </w:r>
      <w:r w:rsidRPr="00257913">
        <w:rPr>
          <w:i/>
          <w:iCs/>
          <w:noProof/>
        </w:rPr>
        <w:t>Journal officiel de l’Union européenne</w:t>
      </w:r>
      <w:r w:rsidRPr="00257913">
        <w:rPr>
          <w:noProof/>
        </w:rPr>
        <w:t xml:space="preserve">. Elle est applicable à partir du </w:t>
      </w:r>
      <w:r w:rsidRPr="00257913">
        <w:rPr>
          <w:noProof/>
          <w:color w:val="FF0000"/>
        </w:rPr>
        <w:t>[</w:t>
      </w:r>
      <w:r w:rsidRPr="00257913">
        <w:rPr>
          <w:i/>
          <w:noProof/>
          <w:color w:val="FF0000"/>
        </w:rPr>
        <w:t>date de son adoption</w:t>
      </w:r>
      <w:r w:rsidRPr="00257913">
        <w:rPr>
          <w:noProof/>
          <w:color w:val="FF0000"/>
        </w:rPr>
        <w:t>]</w:t>
      </w:r>
      <w:r w:rsidRPr="00257913">
        <w:rPr>
          <w:rStyle w:val="FootnoteReference"/>
          <w:noProof/>
          <w:color w:val="FF0000"/>
        </w:rPr>
        <w:footnoteReference w:customMarkFollows="1" w:id="29"/>
        <w:t>*</w:t>
      </w:r>
      <w:r w:rsidRPr="00257913">
        <w:rPr>
          <w:rStyle w:val="CommentReference"/>
          <w:noProof/>
        </w:rPr>
        <w:t xml:space="preserve"> </w:t>
      </w:r>
      <w:r w:rsidRPr="00257913">
        <w:rPr>
          <w:noProof/>
        </w:rPr>
        <w:t>.</w:t>
      </w:r>
    </w:p>
    <w:p w:rsidR="001A62D7" w:rsidRPr="00257913" w:rsidRDefault="00245639" w:rsidP="007C55AC">
      <w:pPr>
        <w:pStyle w:val="Fait"/>
        <w:rPr>
          <w:noProof/>
        </w:rPr>
      </w:pPr>
      <w:r>
        <w:rPr>
          <w:noProof/>
        </w:rPr>
        <w:t>Fait à Bruxelles, le</w:t>
      </w:r>
    </w:p>
    <w:p w:rsidR="001A62D7" w:rsidRPr="00257913" w:rsidRDefault="001A62D7" w:rsidP="007C55AC">
      <w:pPr>
        <w:pStyle w:val="Institutionquisigne"/>
        <w:rPr>
          <w:noProof/>
        </w:rPr>
      </w:pPr>
      <w:r w:rsidRPr="00257913">
        <w:rPr>
          <w:noProof/>
        </w:rPr>
        <w:t>Par le Parlement européen</w:t>
      </w:r>
      <w:r w:rsidRPr="00257913">
        <w:rPr>
          <w:noProof/>
        </w:rPr>
        <w:tab/>
        <w:t>Par le Conseil</w:t>
      </w:r>
    </w:p>
    <w:p w:rsidR="001A62D7" w:rsidRPr="00257913" w:rsidRDefault="001A62D7" w:rsidP="001A62D7">
      <w:pPr>
        <w:pStyle w:val="Personnequisigne"/>
        <w:rPr>
          <w:noProof/>
        </w:rPr>
      </w:pPr>
      <w:r w:rsidRPr="00257913">
        <w:rPr>
          <w:noProof/>
        </w:rPr>
        <w:t>La présidente</w:t>
      </w:r>
      <w:r w:rsidRPr="00257913">
        <w:rPr>
          <w:noProof/>
        </w:rPr>
        <w:tab/>
        <w:t>Le président</w:t>
      </w:r>
      <w:r w:rsidRPr="00257913">
        <w:rPr>
          <w:noProof/>
        </w:rPr>
        <w:br/>
      </w:r>
    </w:p>
    <w:sectPr w:rsidR="001A62D7" w:rsidRPr="00257913" w:rsidSect="00254281">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Default="001A62D7" w:rsidP="001A62D7">
      <w:pPr>
        <w:spacing w:before="0" w:after="0"/>
      </w:pPr>
      <w:r>
        <w:separator/>
      </w:r>
    </w:p>
  </w:endnote>
  <w:endnote w:type="continuationSeparator" w:id="0">
    <w:p w:rsidR="001A62D7" w:rsidRDefault="001A62D7"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281" w:rsidRPr="00254281" w:rsidRDefault="00254281" w:rsidP="00254281">
    <w:pPr>
      <w:pStyle w:val="Footer"/>
      <w:rPr>
        <w:rFonts w:ascii="Arial" w:hAnsi="Arial" w:cs="Arial"/>
        <w:b/>
        <w:sz w:val="48"/>
      </w:rPr>
    </w:pPr>
    <w:r w:rsidRPr="00254281">
      <w:rPr>
        <w:rFonts w:ascii="Arial" w:hAnsi="Arial" w:cs="Arial"/>
        <w:b/>
        <w:sz w:val="48"/>
      </w:rPr>
      <w:t>FR</w:t>
    </w:r>
    <w:r w:rsidRPr="00254281">
      <w:rPr>
        <w:rFonts w:ascii="Arial" w:hAnsi="Arial" w:cs="Arial"/>
        <w:b/>
        <w:sz w:val="48"/>
      </w:rPr>
      <w:tab/>
    </w:r>
    <w:r w:rsidRPr="00254281">
      <w:rPr>
        <w:rFonts w:ascii="Arial" w:hAnsi="Arial" w:cs="Arial"/>
        <w:b/>
        <w:sz w:val="48"/>
      </w:rPr>
      <w:tab/>
    </w:r>
    <w:r w:rsidRPr="00254281">
      <w:tab/>
    </w:r>
    <w:r w:rsidRPr="0025428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281" w:rsidRPr="00254281" w:rsidRDefault="00254281" w:rsidP="00254281">
    <w:pPr>
      <w:pStyle w:val="Footer"/>
      <w:rPr>
        <w:rFonts w:ascii="Arial" w:hAnsi="Arial" w:cs="Arial"/>
        <w:b/>
        <w:sz w:val="48"/>
      </w:rPr>
    </w:pPr>
    <w:r w:rsidRPr="00254281">
      <w:rPr>
        <w:rFonts w:ascii="Arial" w:hAnsi="Arial" w:cs="Arial"/>
        <w:b/>
        <w:sz w:val="48"/>
      </w:rPr>
      <w:t>FR</w:t>
    </w:r>
    <w:r w:rsidRPr="00254281">
      <w:rPr>
        <w:rFonts w:ascii="Arial" w:hAnsi="Arial" w:cs="Arial"/>
        <w:b/>
        <w:sz w:val="48"/>
      </w:rPr>
      <w:tab/>
    </w:r>
    <w:r w:rsidRPr="00254281">
      <w:rPr>
        <w:rFonts w:ascii="Arial" w:hAnsi="Arial" w:cs="Arial"/>
        <w:b/>
        <w:sz w:val="48"/>
      </w:rPr>
      <w:tab/>
    </w:r>
    <w:r w:rsidRPr="00254281">
      <w:tab/>
    </w:r>
    <w:r w:rsidRPr="0025428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281" w:rsidRDefault="002542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281" w:rsidRPr="00254281" w:rsidRDefault="00254281" w:rsidP="00254281">
    <w:pPr>
      <w:pStyle w:val="Footer"/>
      <w:rPr>
        <w:rFonts w:ascii="Arial" w:hAnsi="Arial" w:cs="Arial"/>
        <w:b/>
        <w:sz w:val="48"/>
      </w:rPr>
    </w:pPr>
    <w:r w:rsidRPr="00254281">
      <w:rPr>
        <w:rFonts w:ascii="Arial" w:hAnsi="Arial" w:cs="Arial"/>
        <w:b/>
        <w:sz w:val="48"/>
      </w:rPr>
      <w:t>FR</w:t>
    </w:r>
    <w:r w:rsidRPr="00254281">
      <w:rPr>
        <w:rFonts w:ascii="Arial" w:hAnsi="Arial" w:cs="Arial"/>
        <w:b/>
        <w:sz w:val="48"/>
      </w:rPr>
      <w:tab/>
    </w:r>
    <w:r>
      <w:fldChar w:fldCharType="begin"/>
    </w:r>
    <w:r>
      <w:instrText xml:space="preserve"> PAGE  \* MERGEFORMAT </w:instrText>
    </w:r>
    <w:r>
      <w:fldChar w:fldCharType="separate"/>
    </w:r>
    <w:r w:rsidR="007C55AC">
      <w:rPr>
        <w:noProof/>
      </w:rPr>
      <w:t>12</w:t>
    </w:r>
    <w:r>
      <w:fldChar w:fldCharType="end"/>
    </w:r>
    <w:r>
      <w:tab/>
    </w:r>
    <w:r w:rsidRPr="00254281">
      <w:tab/>
    </w:r>
    <w:r w:rsidRPr="0025428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281" w:rsidRDefault="00254281" w:rsidP="00254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Default="001A62D7" w:rsidP="001A62D7">
      <w:pPr>
        <w:spacing w:before="0" w:after="0"/>
      </w:pPr>
      <w:r>
        <w:separator/>
      </w:r>
    </w:p>
  </w:footnote>
  <w:footnote w:type="continuationSeparator" w:id="0">
    <w:p w:rsidR="001A62D7" w:rsidRDefault="001A62D7" w:rsidP="001A62D7">
      <w:pPr>
        <w:spacing w:before="0" w:after="0"/>
      </w:pPr>
      <w:r>
        <w:continuationSeparator/>
      </w:r>
    </w:p>
  </w:footnote>
  <w:footnote w:id="1">
    <w:p w:rsidR="001A62D7" w:rsidRPr="0051785A" w:rsidRDefault="001A62D7" w:rsidP="001A62D7">
      <w:pPr>
        <w:pStyle w:val="FootnoteText"/>
        <w:rPr>
          <w:lang w:val="fr-BE"/>
        </w:rPr>
      </w:pPr>
      <w:r>
        <w:rPr>
          <w:rStyle w:val="FootnoteReference"/>
        </w:rPr>
        <w:footnoteRef/>
      </w:r>
      <w:r w:rsidRPr="0051785A">
        <w:rPr>
          <w:lang w:val="fr-BE"/>
        </w:rPr>
        <w:tab/>
        <w:t>JO L 153 du 3.5.2021, p. 48.</w:t>
      </w:r>
    </w:p>
  </w:footnote>
  <w:footnote w:id="2">
    <w:p w:rsidR="001A62D7" w:rsidRPr="0051785A" w:rsidRDefault="001A62D7" w:rsidP="001A62D7">
      <w:pPr>
        <w:pStyle w:val="FootnoteText"/>
        <w:rPr>
          <w:lang w:val="fr-BE"/>
        </w:rPr>
      </w:pPr>
      <w:r>
        <w:rPr>
          <w:rStyle w:val="FootnoteReference"/>
        </w:rPr>
        <w:footnoteRef/>
      </w:r>
      <w:r w:rsidRPr="0051785A">
        <w:rPr>
          <w:lang w:val="fr-BE"/>
        </w:rP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3">
    <w:p w:rsidR="001A62D7" w:rsidRPr="0051785A" w:rsidRDefault="001A62D7" w:rsidP="001A62D7">
      <w:pPr>
        <w:pStyle w:val="FootnoteText"/>
        <w:rPr>
          <w:lang w:val="fr-BE"/>
        </w:rPr>
      </w:pPr>
      <w:r>
        <w:rPr>
          <w:rStyle w:val="FootnoteReference"/>
        </w:rPr>
        <w:footnoteRef/>
      </w:r>
      <w:r w:rsidRPr="0051785A">
        <w:rPr>
          <w:lang w:val="fr-BE"/>
        </w:rPr>
        <w:tab/>
        <w:t>JO L 393 du 30.12.2006, p. 1.</w:t>
      </w:r>
    </w:p>
  </w:footnote>
  <w:footnote w:id="4">
    <w:p w:rsidR="001A62D7" w:rsidRPr="0051785A" w:rsidRDefault="001A62D7" w:rsidP="001A62D7">
      <w:pPr>
        <w:pStyle w:val="FootnoteText"/>
        <w:rPr>
          <w:lang w:val="fr-BE"/>
        </w:rPr>
      </w:pPr>
      <w:r>
        <w:rPr>
          <w:rStyle w:val="FootnoteReference"/>
        </w:rPr>
        <w:footnoteRef/>
      </w:r>
      <w:r w:rsidRPr="0051785A">
        <w:rPr>
          <w:lang w:val="fr-BE"/>
        </w:rPr>
        <w:tab/>
        <w:t>Conformément à l’article 7, paragraphe 5, du règlement (UE) 2021/691.</w:t>
      </w:r>
    </w:p>
  </w:footnote>
  <w:footnote w:id="5">
    <w:p w:rsidR="00566198" w:rsidRPr="0051785A" w:rsidRDefault="00566198">
      <w:pPr>
        <w:pStyle w:val="FootnoteText"/>
        <w:rPr>
          <w:lang w:val="fr-BE"/>
        </w:rPr>
      </w:pPr>
      <w:r>
        <w:rPr>
          <w:rStyle w:val="FootnoteReference"/>
        </w:rPr>
        <w:footnoteRef/>
      </w:r>
      <w:r w:rsidRPr="0051785A">
        <w:rPr>
          <w:lang w:val="fr-BE"/>
        </w:rPr>
        <w:tab/>
      </w:r>
      <w:hyperlink r:id="rId1" w:history="1">
        <w:r w:rsidRPr="0051785A">
          <w:rPr>
            <w:rStyle w:val="Hyperlink"/>
            <w:lang w:val="fr-BE"/>
          </w:rPr>
          <w:t>Statbel</w:t>
        </w:r>
      </w:hyperlink>
      <w:r w:rsidRPr="0051785A">
        <w:rPr>
          <w:lang w:val="fr-BE"/>
        </w:rPr>
        <w:t>.</w:t>
      </w:r>
      <w:hyperlink r:id="rId2" w:history="1">
        <w:r w:rsidRPr="0051785A">
          <w:rPr>
            <w:rStyle w:val="Hyperlink"/>
            <w:lang w:val="fr-BE"/>
          </w:rPr>
          <w:t>Faillites et pertes d’emplois en Belgique</w:t>
        </w:r>
      </w:hyperlink>
    </w:p>
  </w:footnote>
  <w:footnote w:id="6">
    <w:p w:rsidR="0029417E" w:rsidRPr="0051785A" w:rsidRDefault="0029417E">
      <w:pPr>
        <w:pStyle w:val="FootnoteText"/>
        <w:rPr>
          <w:lang w:val="fr-BE"/>
        </w:rPr>
      </w:pPr>
      <w:r>
        <w:rPr>
          <w:rStyle w:val="FootnoteReference"/>
        </w:rPr>
        <w:footnoteRef/>
      </w:r>
      <w:r w:rsidRPr="0051785A">
        <w:rPr>
          <w:lang w:val="fr-BE"/>
        </w:rPr>
        <w:tab/>
      </w:r>
      <w:hyperlink r:id="rId3" w:history="1">
        <w:r w:rsidRPr="0051785A">
          <w:rPr>
            <w:rStyle w:val="Hyperlink"/>
            <w:lang w:val="fr-BE"/>
          </w:rPr>
          <w:t>Statbel</w:t>
        </w:r>
      </w:hyperlink>
      <w:r w:rsidRPr="0051785A">
        <w:rPr>
          <w:lang w:val="fr-BE"/>
        </w:rPr>
        <w:t>.</w:t>
      </w:r>
      <w:hyperlink r:id="rId4" w:history="1">
        <w:r w:rsidRPr="0051785A">
          <w:rPr>
            <w:rStyle w:val="Hyperlink"/>
            <w:lang w:val="fr-BE"/>
          </w:rPr>
          <w:t>Évolution du nombre de faillites et de pertes d’emplois par an.</w:t>
        </w:r>
      </w:hyperlink>
    </w:p>
  </w:footnote>
  <w:footnote w:id="7">
    <w:p w:rsidR="004E0712" w:rsidRPr="0051785A" w:rsidRDefault="004E0712">
      <w:pPr>
        <w:pStyle w:val="FootnoteText"/>
        <w:rPr>
          <w:lang w:val="fr-BE"/>
        </w:rPr>
      </w:pPr>
      <w:r>
        <w:rPr>
          <w:rStyle w:val="FootnoteReference"/>
        </w:rPr>
        <w:footnoteRef/>
      </w:r>
      <w:r w:rsidRPr="0051785A">
        <w:rPr>
          <w:lang w:val="fr-BE"/>
        </w:rPr>
        <w:tab/>
      </w:r>
      <w:hyperlink r:id="rId5" w:history="1">
        <w:r w:rsidRPr="0051785A">
          <w:rPr>
            <w:rStyle w:val="Hyperlink"/>
            <w:lang w:val="fr-BE"/>
          </w:rPr>
          <w:t>Statbel</w:t>
        </w:r>
      </w:hyperlink>
      <w:r w:rsidRPr="0051785A">
        <w:rPr>
          <w:lang w:val="fr-BE"/>
        </w:rPr>
        <w:t>.</w:t>
      </w:r>
      <w:hyperlink r:id="rId6" w:history="1">
        <w:r w:rsidRPr="0051785A">
          <w:rPr>
            <w:rStyle w:val="Hyperlink"/>
            <w:lang w:val="fr-BE"/>
          </w:rPr>
          <w:t>Faillites et pertes d’emplois en Belgique</w:t>
        </w:r>
      </w:hyperlink>
    </w:p>
  </w:footnote>
  <w:footnote w:id="8">
    <w:p w:rsidR="00CE4172" w:rsidRPr="0051785A" w:rsidRDefault="00CE4172">
      <w:pPr>
        <w:pStyle w:val="FootnoteText"/>
        <w:rPr>
          <w:lang w:val="fr-BE"/>
        </w:rPr>
      </w:pPr>
      <w:r>
        <w:rPr>
          <w:rStyle w:val="FootnoteReference"/>
        </w:rPr>
        <w:footnoteRef/>
      </w:r>
      <w:r w:rsidRPr="0051785A">
        <w:rPr>
          <w:lang w:val="fr-BE"/>
        </w:rPr>
        <w:tab/>
      </w:r>
      <w:hyperlink r:id="rId7" w:history="1">
        <w:r w:rsidRPr="0051785A">
          <w:rPr>
            <w:rStyle w:val="Hyperlink"/>
            <w:lang w:val="fr-BE"/>
          </w:rPr>
          <w:t>Arvastat</w:t>
        </w:r>
      </w:hyperlink>
      <w:r w:rsidRPr="0051785A">
        <w:rPr>
          <w:lang w:val="fr-BE"/>
        </w:rPr>
        <w:t>.</w:t>
      </w:r>
    </w:p>
  </w:footnote>
  <w:footnote w:id="9">
    <w:p w:rsidR="0055521B" w:rsidRPr="0051785A" w:rsidRDefault="0055521B" w:rsidP="0055521B">
      <w:pPr>
        <w:pStyle w:val="FootnoteText"/>
        <w:rPr>
          <w:lang w:val="fr-BE"/>
        </w:rPr>
      </w:pPr>
      <w:r>
        <w:rPr>
          <w:rStyle w:val="FootnoteReference"/>
        </w:rPr>
        <w:footnoteRef/>
      </w:r>
      <w:r w:rsidRPr="0051785A">
        <w:rPr>
          <w:lang w:val="fr-BE"/>
        </w:rPr>
        <w:tab/>
        <w:t>Arrêté royal du 10 novembre 2006 modifiant l’arrêté royal du 9 mars 2006.</w:t>
      </w:r>
    </w:p>
  </w:footnote>
  <w:footnote w:id="10">
    <w:p w:rsidR="00F33F5A" w:rsidRPr="0051785A" w:rsidRDefault="00F33F5A">
      <w:pPr>
        <w:pStyle w:val="FootnoteText"/>
        <w:rPr>
          <w:lang w:val="fr-BE"/>
        </w:rPr>
      </w:pPr>
      <w:r>
        <w:rPr>
          <w:rStyle w:val="FootnoteReference"/>
        </w:rPr>
        <w:footnoteRef/>
      </w:r>
      <w:r w:rsidRPr="0051785A">
        <w:rPr>
          <w:lang w:val="fr-BE"/>
        </w:rPr>
        <w:tab/>
        <w:t xml:space="preserve">Centrale générale des syndicats libéraux de Belgique. </w:t>
      </w:r>
    </w:p>
  </w:footnote>
  <w:footnote w:id="11">
    <w:p w:rsidR="00A81EF9" w:rsidRPr="0051785A" w:rsidRDefault="00A81EF9">
      <w:pPr>
        <w:pStyle w:val="FootnoteText"/>
        <w:rPr>
          <w:lang w:val="fr-BE"/>
        </w:rPr>
      </w:pPr>
      <w:r>
        <w:rPr>
          <w:rStyle w:val="FootnoteReference"/>
        </w:rPr>
        <w:footnoteRef/>
      </w:r>
      <w:r w:rsidRPr="0051785A">
        <w:rPr>
          <w:lang w:val="fr-BE"/>
        </w:rPr>
        <w:tab/>
        <w:t>Fédération Générale du Travail de Belgique.</w:t>
      </w:r>
    </w:p>
  </w:footnote>
  <w:footnote w:id="12">
    <w:p w:rsidR="00034F32" w:rsidRPr="0051785A" w:rsidRDefault="00034F32">
      <w:pPr>
        <w:pStyle w:val="FootnoteText"/>
        <w:rPr>
          <w:lang w:val="fr-BE"/>
        </w:rPr>
      </w:pPr>
      <w:r>
        <w:rPr>
          <w:rStyle w:val="FootnoteReference"/>
        </w:rPr>
        <w:footnoteRef/>
      </w:r>
      <w:r w:rsidRPr="0051785A">
        <w:rPr>
          <w:lang w:val="fr-BE"/>
        </w:rPr>
        <w:tab/>
        <w:t>Confédération des syndicats chrétiens.</w:t>
      </w:r>
    </w:p>
  </w:footnote>
  <w:footnote w:id="13">
    <w:p w:rsidR="001A62D7" w:rsidRPr="0051785A" w:rsidRDefault="001A62D7" w:rsidP="001A62D7">
      <w:pPr>
        <w:pStyle w:val="FootnoteText"/>
        <w:rPr>
          <w:lang w:val="fr-BE"/>
        </w:rPr>
      </w:pPr>
      <w:r>
        <w:rPr>
          <w:rStyle w:val="FootnoteReference"/>
        </w:rPr>
        <w:footnoteRef/>
      </w:r>
      <w:r w:rsidRPr="0051785A">
        <w:rPr>
          <w:lang w:val="fr-BE"/>
        </w:rPr>
        <w:tab/>
        <w:t>CITE 0-2</w:t>
      </w:r>
    </w:p>
  </w:footnote>
  <w:footnote w:id="14">
    <w:p w:rsidR="001A62D7" w:rsidRPr="00F53D6B" w:rsidRDefault="001A62D7" w:rsidP="001A62D7">
      <w:pPr>
        <w:pStyle w:val="FootnoteText"/>
        <w:rPr>
          <w:lang w:val="en-IE"/>
        </w:rPr>
      </w:pPr>
      <w:r>
        <w:rPr>
          <w:rStyle w:val="FootnoteReference"/>
        </w:rPr>
        <w:footnoteRef/>
      </w:r>
      <w:r w:rsidRPr="00F53D6B">
        <w:rPr>
          <w:lang w:val="en-IE"/>
        </w:rPr>
        <w:tab/>
        <w:t>CITE 3</w:t>
      </w:r>
    </w:p>
  </w:footnote>
  <w:footnote w:id="15">
    <w:p w:rsidR="001A62D7" w:rsidRPr="00F53D6B" w:rsidRDefault="001A62D7" w:rsidP="001A62D7">
      <w:pPr>
        <w:pStyle w:val="FootnoteText"/>
        <w:rPr>
          <w:lang w:val="en-IE"/>
        </w:rPr>
      </w:pPr>
      <w:r>
        <w:rPr>
          <w:rStyle w:val="FootnoteReference"/>
        </w:rPr>
        <w:footnoteRef/>
      </w:r>
      <w:r w:rsidRPr="00F53D6B">
        <w:rPr>
          <w:lang w:val="en-IE"/>
        </w:rPr>
        <w:tab/>
        <w:t>CITE 4</w:t>
      </w:r>
    </w:p>
  </w:footnote>
  <w:footnote w:id="16">
    <w:p w:rsidR="001A62D7" w:rsidRPr="00F53D6B" w:rsidRDefault="001A62D7" w:rsidP="001A62D7">
      <w:pPr>
        <w:pStyle w:val="FootnoteText"/>
        <w:rPr>
          <w:lang w:val="en-IE"/>
        </w:rPr>
      </w:pPr>
      <w:r>
        <w:rPr>
          <w:rStyle w:val="FootnoteReference"/>
        </w:rPr>
        <w:footnoteRef/>
      </w:r>
      <w:r w:rsidRPr="00F53D6B">
        <w:rPr>
          <w:lang w:val="en-IE"/>
        </w:rPr>
        <w:tab/>
        <w:t>CITE 5-8</w:t>
      </w:r>
    </w:p>
  </w:footnote>
  <w:footnote w:id="17">
    <w:p w:rsidR="00F33B64" w:rsidRPr="00F53D6B" w:rsidRDefault="00F33B64">
      <w:pPr>
        <w:pStyle w:val="FootnoteText"/>
        <w:rPr>
          <w:lang w:val="en-IE"/>
        </w:rPr>
      </w:pPr>
      <w:r>
        <w:rPr>
          <w:rStyle w:val="FootnoteReference"/>
        </w:rPr>
        <w:footnoteRef/>
      </w:r>
      <w:r w:rsidRPr="00F53D6B">
        <w:rPr>
          <w:lang w:val="en-IE"/>
        </w:rPr>
        <w:tab/>
        <w:t>Vlaamse Dienst voor Arbeidsbemiddeling en Beroepsopleiding (VDAB).</w:t>
      </w:r>
    </w:p>
  </w:footnote>
  <w:footnote w:id="18">
    <w:p w:rsidR="001A62D7" w:rsidRPr="0051785A" w:rsidRDefault="001A62D7" w:rsidP="001A62D7">
      <w:pPr>
        <w:pStyle w:val="FootnoteText"/>
        <w:rPr>
          <w:lang w:val="fr-BE"/>
        </w:rPr>
      </w:pPr>
      <w:r>
        <w:rPr>
          <w:rStyle w:val="FootnoteReference"/>
        </w:rPr>
        <w:footnoteRef/>
      </w:r>
      <w:r w:rsidRPr="0051785A">
        <w:rPr>
          <w:lang w:val="fr-BE"/>
        </w:rPr>
        <w:tab/>
        <w:t>Afin d’éviter les décimales, les coûts estimés par travailleur ont été arrondis. Cela n’a néanmoins aucune incidence sur le coût total de chaque mesure, qui reste identique à celui indiqué dans la demande présentée par la Belgique.</w:t>
      </w:r>
    </w:p>
  </w:footnote>
  <w:footnote w:id="19">
    <w:p w:rsidR="001A62D7" w:rsidRPr="0051785A" w:rsidRDefault="001A62D7" w:rsidP="001A62D7">
      <w:pPr>
        <w:pStyle w:val="FootnoteText"/>
        <w:rPr>
          <w:lang w:val="fr-BE"/>
        </w:rPr>
      </w:pPr>
      <w:r>
        <w:rPr>
          <w:rStyle w:val="FootnoteReference"/>
        </w:rPr>
        <w:footnoteRef/>
      </w:r>
      <w:r w:rsidRPr="0051785A">
        <w:rPr>
          <w:lang w:val="fr-BE"/>
        </w:rPr>
        <w:tab/>
        <w:t>Le total diffère de la somme des rubriques en raison de l’arrondi.</w:t>
      </w:r>
    </w:p>
  </w:footnote>
  <w:footnote w:id="20">
    <w:p w:rsidR="001A62D7" w:rsidRPr="0051785A" w:rsidRDefault="001A62D7" w:rsidP="001A62D7">
      <w:pPr>
        <w:pStyle w:val="FootnoteText"/>
        <w:rPr>
          <w:lang w:val="fi-FI"/>
        </w:rPr>
      </w:pPr>
      <w:r>
        <w:rPr>
          <w:rStyle w:val="FootnoteReference"/>
        </w:rPr>
        <w:footnoteRef/>
      </w:r>
      <w:r w:rsidRPr="0051785A">
        <w:rPr>
          <w:lang w:val="fi-FI"/>
        </w:rPr>
        <w:tab/>
        <w:t>JO L 433 I du 22.12.2020, p. 11.</w:t>
      </w:r>
    </w:p>
  </w:footnote>
  <w:footnote w:id="21">
    <w:p w:rsidR="001A62D7" w:rsidRPr="0051785A" w:rsidRDefault="001A62D7" w:rsidP="001A62D7">
      <w:pPr>
        <w:pStyle w:val="FootnoteText"/>
        <w:rPr>
          <w:lang w:val="fi-FI"/>
        </w:rPr>
      </w:pPr>
      <w:r>
        <w:rPr>
          <w:rStyle w:val="FootnoteReference"/>
        </w:rPr>
        <w:footnoteRef/>
      </w:r>
      <w:r w:rsidRPr="0051785A">
        <w:rPr>
          <w:lang w:val="fi-FI"/>
        </w:rPr>
        <w:tab/>
        <w:t xml:space="preserve">JO L, 2024/765, 29.2.2024, ELI: http://data.europa.eu/eli/reg/2024/2509/oj. </w:t>
      </w:r>
    </w:p>
  </w:footnote>
  <w:footnote w:id="22">
    <w:p w:rsidR="001A62D7" w:rsidRPr="0051785A" w:rsidRDefault="001A62D7" w:rsidP="001A62D7">
      <w:pPr>
        <w:pStyle w:val="FootnoteText"/>
        <w:rPr>
          <w:lang w:val="fr-BE"/>
        </w:rPr>
      </w:pPr>
      <w:r>
        <w:rPr>
          <w:rStyle w:val="FootnoteReference"/>
        </w:rPr>
        <w:footnoteRef/>
      </w:r>
      <w:r w:rsidRPr="0051785A">
        <w:rPr>
          <w:lang w:val="fr-BE"/>
        </w:rPr>
        <w:tab/>
        <w:t>JO L 433 I du 22.12.2020, p. 28.</w:t>
      </w:r>
    </w:p>
  </w:footnote>
  <w:footnote w:id="23">
    <w:p w:rsidR="001A62D7" w:rsidRPr="0051785A" w:rsidRDefault="001A62D7" w:rsidP="001A62D7">
      <w:pPr>
        <w:pStyle w:val="FootnoteText"/>
        <w:rPr>
          <w:lang w:val="fr-BE"/>
        </w:rPr>
      </w:pPr>
      <w:r>
        <w:rPr>
          <w:rStyle w:val="FootnoteReference"/>
        </w:rPr>
        <w:footnoteRef/>
      </w:r>
      <w:r w:rsidRPr="0051785A">
        <w:rPr>
          <w:lang w:val="fr-BE"/>
        </w:rPr>
        <w:tab/>
        <w:t>Règlement (UE, Euratom) 2024/2509 du Parlement européen et du Conseil du 23 septembre 2024 relatif aux règles financières applicables au budget général de l’Union (refonte) (JO L, 2024/2509, 26.9.2024, ELI: http://data.europa.eu/eli/reg/2024/2509/oj).</w:t>
      </w:r>
    </w:p>
  </w:footnote>
  <w:footnote w:id="24">
    <w:p w:rsidR="001A62D7" w:rsidRPr="0051785A" w:rsidRDefault="001A62D7" w:rsidP="001A62D7">
      <w:pPr>
        <w:pStyle w:val="FootnoteText"/>
        <w:rPr>
          <w:lang w:val="fr-BE"/>
        </w:rPr>
      </w:pPr>
      <w:r>
        <w:rPr>
          <w:rStyle w:val="FootnoteReference"/>
        </w:rPr>
        <w:footnoteRef/>
      </w:r>
      <w:r w:rsidRPr="0051785A">
        <w:rPr>
          <w:lang w:val="fr-BE"/>
        </w:rPr>
        <w:tab/>
        <w:t>JO L 153 du 3.5.2021, p. 48.</w:t>
      </w:r>
    </w:p>
  </w:footnote>
  <w:footnote w:id="25">
    <w:p w:rsidR="001A62D7" w:rsidRPr="0051785A" w:rsidRDefault="001A62D7" w:rsidP="001A62D7">
      <w:pPr>
        <w:pStyle w:val="FootnoteText"/>
        <w:rPr>
          <w:lang w:val="fr-BE"/>
        </w:rPr>
      </w:pPr>
      <w:r>
        <w:rPr>
          <w:rStyle w:val="FootnoteReference"/>
        </w:rPr>
        <w:footnoteRef/>
      </w:r>
      <w:r w:rsidRPr="0051785A">
        <w:rPr>
          <w:lang w:val="fr-BE"/>
        </w:rPr>
        <w:tab/>
        <w:t>JO L 433 I du 22.12.2020, p. 28.</w:t>
      </w:r>
    </w:p>
  </w:footnote>
  <w:footnote w:id="26">
    <w:p w:rsidR="001A62D7" w:rsidRPr="0051785A" w:rsidRDefault="001A62D7" w:rsidP="001A62D7">
      <w:pPr>
        <w:pStyle w:val="FootnoteText"/>
        <w:rPr>
          <w:lang w:val="fr-BE"/>
        </w:rPr>
      </w:pPr>
      <w:r>
        <w:rPr>
          <w:rStyle w:val="FootnoteReference"/>
        </w:rPr>
        <w:footnoteRef/>
      </w:r>
      <w:r w:rsidRPr="0051785A">
        <w:rPr>
          <w:lang w:val="fr-BE"/>
        </w:rPr>
        <w:tab/>
        <w:t>Règlement (UE, Euratom) 2020/2093 du Conseil du 17 décembre 2020 fixant le cadre financier pluriannuel pour les années 2021 à 2027 (JO L 433 I du 22.12.2020, p. 11).</w:t>
      </w:r>
    </w:p>
  </w:footnote>
  <w:footnote w:id="27">
    <w:p w:rsidR="001A62D7" w:rsidRPr="0051785A" w:rsidRDefault="001A62D7" w:rsidP="001A62D7">
      <w:pPr>
        <w:pStyle w:val="FootnoteText"/>
        <w:rPr>
          <w:lang w:val="fi-FI"/>
        </w:rPr>
      </w:pPr>
      <w:r>
        <w:rPr>
          <w:rStyle w:val="FootnoteReference"/>
        </w:rPr>
        <w:footnoteRef/>
      </w:r>
      <w:r w:rsidRPr="0051785A">
        <w:rPr>
          <w:lang w:val="fi-FI"/>
        </w:rPr>
        <w:tab/>
        <w:t>JO L, 2024/765, 29.2.2024, ELI: http://data.europa.eu/eli/reg/2024/2509/oj.</w:t>
      </w:r>
    </w:p>
  </w:footnote>
  <w:footnote w:id="28">
    <w:p w:rsidR="001A62D7" w:rsidRPr="0051785A" w:rsidRDefault="001A62D7" w:rsidP="001A62D7">
      <w:pPr>
        <w:pStyle w:val="FootnoteText"/>
        <w:rPr>
          <w:lang w:val="fr-BE"/>
        </w:rPr>
      </w:pPr>
      <w:r>
        <w:rPr>
          <w:rStyle w:val="FootnoteReference"/>
        </w:rPr>
        <w:footnoteRef/>
      </w:r>
      <w:r w:rsidRPr="0051785A">
        <w:rPr>
          <w:lang w:val="fr-BE"/>
        </w:rPr>
        <w:tab/>
        <w:t>COM(2026) 50.</w:t>
      </w:r>
    </w:p>
  </w:footnote>
  <w:footnote w:id="29">
    <w:p w:rsidR="00281AE4" w:rsidRPr="0051785A" w:rsidRDefault="00281AE4">
      <w:pPr>
        <w:pStyle w:val="FootnoteText"/>
        <w:rPr>
          <w:lang w:val="fr-BE"/>
        </w:rPr>
      </w:pPr>
      <w:r w:rsidRPr="0051785A">
        <w:rPr>
          <w:rStyle w:val="FootnoteReference"/>
          <w:lang w:val="fr-BE"/>
        </w:rPr>
        <w:t>*</w:t>
      </w:r>
      <w:r w:rsidRPr="0051785A">
        <w:rPr>
          <w:lang w:val="fr-BE"/>
        </w:rPr>
        <w:tab/>
      </w:r>
      <w:r w:rsidRPr="0051785A">
        <w:rPr>
          <w:color w:val="FF0000"/>
          <w:lang w:val="fr-BE"/>
        </w:rPr>
        <w:t>Date à insérer par le Parlement européen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281" w:rsidRDefault="00254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281" w:rsidRDefault="00254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9 11:46: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84E0F9C-EA63-4D05-BBCF-DC637B967E77"/>
    <w:docVar w:name="LW_COVERPAGE_TYPE" w:val="1"/>
    <w:docVar w:name="LW_CreatedUtc" w:val="2025-02-03T12:09:04.7855178Z"/>
    <w:docVar w:name="LW_CROSSREFERENCE" w:val="&lt;UNUSED&gt;"/>
    <w:docVar w:name="LW_DocType" w:val="COM"/>
    <w:docVar w:name="LW_EMISSION" w:val="30.4.2026"/>
    <w:docVar w:name="LW_EMISSION_ISODATE" w:val="2026-04-30"/>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097"/>
    <w:docVar w:name="LW_REF.II.NEW.CP_YEAR" w:val="2026"/>
    <w:docVar w:name="LW_REF.INST.NEW" w:val="COM"/>
    <w:docVar w:name="LW_REF.INST.NEW_ADOPTED" w:val="final"/>
    <w:docVar w:name="LW_REF.INST.NEW_TEXT" w:val="(2026) 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européen d\u8217?ajustement à la mondialisation en faveur des travailleurs licenciés à la suite d\u8217?une demande de la Belgique \u8212? EGF/2025/009 BE/Soliver"/>
    <w:docVar w:name="LW_TYPE.DOC.CP" w:val="DÉCISION DU PARLEMENT EUROPÉEN ET DU CONSEIL"/>
    <w:docVar w:name="LwApiVersions" w:val="LW4CoDe 1.24.5.0; LW 9.2, Build 20251112"/>
  </w:docVars>
  <w:rsids>
    <w:rsidRoot w:val="001A62D7"/>
    <w:rsid w:val="0000083F"/>
    <w:rsid w:val="000021EA"/>
    <w:rsid w:val="000052CE"/>
    <w:rsid w:val="000155C2"/>
    <w:rsid w:val="000171AE"/>
    <w:rsid w:val="0001783E"/>
    <w:rsid w:val="00034F32"/>
    <w:rsid w:val="0005763D"/>
    <w:rsid w:val="000A1446"/>
    <w:rsid w:val="000A3457"/>
    <w:rsid w:val="000D02FF"/>
    <w:rsid w:val="000E1551"/>
    <w:rsid w:val="000E54A7"/>
    <w:rsid w:val="000F421F"/>
    <w:rsid w:val="001065F5"/>
    <w:rsid w:val="00107DA6"/>
    <w:rsid w:val="001238EF"/>
    <w:rsid w:val="0013042E"/>
    <w:rsid w:val="00133AB1"/>
    <w:rsid w:val="00135B76"/>
    <w:rsid w:val="00141A92"/>
    <w:rsid w:val="00197613"/>
    <w:rsid w:val="001A62D7"/>
    <w:rsid w:val="001C2EBA"/>
    <w:rsid w:val="001C70A2"/>
    <w:rsid w:val="001D3672"/>
    <w:rsid w:val="001D5602"/>
    <w:rsid w:val="001E1BFF"/>
    <w:rsid w:val="001F1BF2"/>
    <w:rsid w:val="00207E64"/>
    <w:rsid w:val="0022114D"/>
    <w:rsid w:val="00232A52"/>
    <w:rsid w:val="00233DC7"/>
    <w:rsid w:val="00233EC3"/>
    <w:rsid w:val="00241826"/>
    <w:rsid w:val="00242082"/>
    <w:rsid w:val="00245639"/>
    <w:rsid w:val="00247653"/>
    <w:rsid w:val="00247779"/>
    <w:rsid w:val="00250DD0"/>
    <w:rsid w:val="00254281"/>
    <w:rsid w:val="00257913"/>
    <w:rsid w:val="00260CD5"/>
    <w:rsid w:val="00265183"/>
    <w:rsid w:val="00281568"/>
    <w:rsid w:val="00281AE4"/>
    <w:rsid w:val="00283BE2"/>
    <w:rsid w:val="00285BEE"/>
    <w:rsid w:val="00286C70"/>
    <w:rsid w:val="0029417E"/>
    <w:rsid w:val="0029533F"/>
    <w:rsid w:val="00296ADB"/>
    <w:rsid w:val="002A41A6"/>
    <w:rsid w:val="002B30AF"/>
    <w:rsid w:val="002B529C"/>
    <w:rsid w:val="002C667E"/>
    <w:rsid w:val="002D162C"/>
    <w:rsid w:val="002F5D8B"/>
    <w:rsid w:val="003075BA"/>
    <w:rsid w:val="00327B30"/>
    <w:rsid w:val="0033133A"/>
    <w:rsid w:val="0033344A"/>
    <w:rsid w:val="0033742C"/>
    <w:rsid w:val="00347B23"/>
    <w:rsid w:val="00377FD4"/>
    <w:rsid w:val="003827EA"/>
    <w:rsid w:val="00385ADE"/>
    <w:rsid w:val="003A5970"/>
    <w:rsid w:val="003B5B93"/>
    <w:rsid w:val="003D3D6D"/>
    <w:rsid w:val="003F4B17"/>
    <w:rsid w:val="003F4EF7"/>
    <w:rsid w:val="004079A2"/>
    <w:rsid w:val="0042300E"/>
    <w:rsid w:val="0042368B"/>
    <w:rsid w:val="0042648E"/>
    <w:rsid w:val="004619C8"/>
    <w:rsid w:val="00463A4D"/>
    <w:rsid w:val="00472E9F"/>
    <w:rsid w:val="004874E6"/>
    <w:rsid w:val="00492EF2"/>
    <w:rsid w:val="004936D2"/>
    <w:rsid w:val="004A0B30"/>
    <w:rsid w:val="004A53A7"/>
    <w:rsid w:val="004A5846"/>
    <w:rsid w:val="004B1583"/>
    <w:rsid w:val="004C0C1C"/>
    <w:rsid w:val="004D3EAA"/>
    <w:rsid w:val="004E0712"/>
    <w:rsid w:val="004E1AD7"/>
    <w:rsid w:val="004E5110"/>
    <w:rsid w:val="004E5B86"/>
    <w:rsid w:val="004F0C60"/>
    <w:rsid w:val="004F4579"/>
    <w:rsid w:val="004F5528"/>
    <w:rsid w:val="005051E1"/>
    <w:rsid w:val="0051785A"/>
    <w:rsid w:val="005206E6"/>
    <w:rsid w:val="00532962"/>
    <w:rsid w:val="0054282B"/>
    <w:rsid w:val="0055521B"/>
    <w:rsid w:val="00566198"/>
    <w:rsid w:val="005A2982"/>
    <w:rsid w:val="005B1EB6"/>
    <w:rsid w:val="005B5E5A"/>
    <w:rsid w:val="005B68D8"/>
    <w:rsid w:val="005C34B2"/>
    <w:rsid w:val="005D4FF1"/>
    <w:rsid w:val="005E047F"/>
    <w:rsid w:val="005E26D5"/>
    <w:rsid w:val="005F57AA"/>
    <w:rsid w:val="005F5B7C"/>
    <w:rsid w:val="00605200"/>
    <w:rsid w:val="00630A91"/>
    <w:rsid w:val="00634AC7"/>
    <w:rsid w:val="00645F04"/>
    <w:rsid w:val="006610FB"/>
    <w:rsid w:val="006713C7"/>
    <w:rsid w:val="006806E3"/>
    <w:rsid w:val="00687ABA"/>
    <w:rsid w:val="006B2E5B"/>
    <w:rsid w:val="006D166F"/>
    <w:rsid w:val="006D74FC"/>
    <w:rsid w:val="006D78FF"/>
    <w:rsid w:val="006E5D60"/>
    <w:rsid w:val="006F0E26"/>
    <w:rsid w:val="00707075"/>
    <w:rsid w:val="007266B5"/>
    <w:rsid w:val="00731699"/>
    <w:rsid w:val="0073171B"/>
    <w:rsid w:val="00733DEF"/>
    <w:rsid w:val="0075716A"/>
    <w:rsid w:val="00764BAD"/>
    <w:rsid w:val="007717BD"/>
    <w:rsid w:val="00773331"/>
    <w:rsid w:val="00783B1B"/>
    <w:rsid w:val="00786A7E"/>
    <w:rsid w:val="007932EF"/>
    <w:rsid w:val="00797CE1"/>
    <w:rsid w:val="007A0C2F"/>
    <w:rsid w:val="007B3690"/>
    <w:rsid w:val="007B73B4"/>
    <w:rsid w:val="007C116C"/>
    <w:rsid w:val="007C55AC"/>
    <w:rsid w:val="007C7D48"/>
    <w:rsid w:val="007E05B0"/>
    <w:rsid w:val="007E5241"/>
    <w:rsid w:val="007F016A"/>
    <w:rsid w:val="007F7AEF"/>
    <w:rsid w:val="007F7C31"/>
    <w:rsid w:val="00810917"/>
    <w:rsid w:val="00814B71"/>
    <w:rsid w:val="00815D63"/>
    <w:rsid w:val="008217DD"/>
    <w:rsid w:val="00822237"/>
    <w:rsid w:val="00822F61"/>
    <w:rsid w:val="00824751"/>
    <w:rsid w:val="00832804"/>
    <w:rsid w:val="00842DE2"/>
    <w:rsid w:val="0084757F"/>
    <w:rsid w:val="00862F27"/>
    <w:rsid w:val="00863834"/>
    <w:rsid w:val="00874D22"/>
    <w:rsid w:val="008855AA"/>
    <w:rsid w:val="00887599"/>
    <w:rsid w:val="008925A4"/>
    <w:rsid w:val="00893F0A"/>
    <w:rsid w:val="008A2914"/>
    <w:rsid w:val="008B4AB3"/>
    <w:rsid w:val="008B5E24"/>
    <w:rsid w:val="008C3FE7"/>
    <w:rsid w:val="008C6FCB"/>
    <w:rsid w:val="008D2433"/>
    <w:rsid w:val="008E4D8E"/>
    <w:rsid w:val="008F049C"/>
    <w:rsid w:val="008F5442"/>
    <w:rsid w:val="0094043E"/>
    <w:rsid w:val="00944322"/>
    <w:rsid w:val="0094444C"/>
    <w:rsid w:val="00944517"/>
    <w:rsid w:val="0095318D"/>
    <w:rsid w:val="00961654"/>
    <w:rsid w:val="00967BE0"/>
    <w:rsid w:val="00984FE9"/>
    <w:rsid w:val="00985D0A"/>
    <w:rsid w:val="00986BCD"/>
    <w:rsid w:val="00986DA0"/>
    <w:rsid w:val="009A476A"/>
    <w:rsid w:val="009A7C8E"/>
    <w:rsid w:val="009C2E1D"/>
    <w:rsid w:val="009D238C"/>
    <w:rsid w:val="009D3AF4"/>
    <w:rsid w:val="009F3301"/>
    <w:rsid w:val="00A27BD7"/>
    <w:rsid w:val="00A27D7C"/>
    <w:rsid w:val="00A36992"/>
    <w:rsid w:val="00A40F1B"/>
    <w:rsid w:val="00A748C9"/>
    <w:rsid w:val="00A81EF9"/>
    <w:rsid w:val="00A85F2E"/>
    <w:rsid w:val="00A90EB2"/>
    <w:rsid w:val="00A92EDE"/>
    <w:rsid w:val="00A93E41"/>
    <w:rsid w:val="00AA016E"/>
    <w:rsid w:val="00AA485E"/>
    <w:rsid w:val="00AC4216"/>
    <w:rsid w:val="00AE7D04"/>
    <w:rsid w:val="00AF0B1D"/>
    <w:rsid w:val="00B10303"/>
    <w:rsid w:val="00B10D37"/>
    <w:rsid w:val="00B17A01"/>
    <w:rsid w:val="00B17E47"/>
    <w:rsid w:val="00B316D7"/>
    <w:rsid w:val="00B66974"/>
    <w:rsid w:val="00B84B9C"/>
    <w:rsid w:val="00B95039"/>
    <w:rsid w:val="00BB0AE6"/>
    <w:rsid w:val="00BB34D8"/>
    <w:rsid w:val="00BB5342"/>
    <w:rsid w:val="00BC1E27"/>
    <w:rsid w:val="00BC2C58"/>
    <w:rsid w:val="00BC4D63"/>
    <w:rsid w:val="00BC7A56"/>
    <w:rsid w:val="00BD6159"/>
    <w:rsid w:val="00BE4826"/>
    <w:rsid w:val="00BF0EAF"/>
    <w:rsid w:val="00BF27AE"/>
    <w:rsid w:val="00C054F9"/>
    <w:rsid w:val="00C12301"/>
    <w:rsid w:val="00C16CCE"/>
    <w:rsid w:val="00C2027B"/>
    <w:rsid w:val="00C22000"/>
    <w:rsid w:val="00C22CCB"/>
    <w:rsid w:val="00C3171C"/>
    <w:rsid w:val="00C368C3"/>
    <w:rsid w:val="00C36A72"/>
    <w:rsid w:val="00C67372"/>
    <w:rsid w:val="00C73D01"/>
    <w:rsid w:val="00C75D00"/>
    <w:rsid w:val="00C76357"/>
    <w:rsid w:val="00C91721"/>
    <w:rsid w:val="00C966AD"/>
    <w:rsid w:val="00CA1197"/>
    <w:rsid w:val="00CA235E"/>
    <w:rsid w:val="00CA7EE1"/>
    <w:rsid w:val="00CC078D"/>
    <w:rsid w:val="00CC1BB7"/>
    <w:rsid w:val="00CD2326"/>
    <w:rsid w:val="00CD24F6"/>
    <w:rsid w:val="00CE0120"/>
    <w:rsid w:val="00CE4172"/>
    <w:rsid w:val="00D0426B"/>
    <w:rsid w:val="00D04C4F"/>
    <w:rsid w:val="00D135B4"/>
    <w:rsid w:val="00D13762"/>
    <w:rsid w:val="00D15047"/>
    <w:rsid w:val="00D20381"/>
    <w:rsid w:val="00D300AA"/>
    <w:rsid w:val="00D3296E"/>
    <w:rsid w:val="00D51A37"/>
    <w:rsid w:val="00D54F1D"/>
    <w:rsid w:val="00D574B1"/>
    <w:rsid w:val="00D6399D"/>
    <w:rsid w:val="00D64B73"/>
    <w:rsid w:val="00D723C4"/>
    <w:rsid w:val="00D7429C"/>
    <w:rsid w:val="00D746FE"/>
    <w:rsid w:val="00DA06D8"/>
    <w:rsid w:val="00DB5C1E"/>
    <w:rsid w:val="00DC0B2E"/>
    <w:rsid w:val="00DF7F81"/>
    <w:rsid w:val="00E007FF"/>
    <w:rsid w:val="00E1163B"/>
    <w:rsid w:val="00E30269"/>
    <w:rsid w:val="00E306C4"/>
    <w:rsid w:val="00E31259"/>
    <w:rsid w:val="00E346FB"/>
    <w:rsid w:val="00E42F7B"/>
    <w:rsid w:val="00E44FF0"/>
    <w:rsid w:val="00E52F6D"/>
    <w:rsid w:val="00E53511"/>
    <w:rsid w:val="00E63255"/>
    <w:rsid w:val="00E65594"/>
    <w:rsid w:val="00E6650F"/>
    <w:rsid w:val="00E851BF"/>
    <w:rsid w:val="00EA5C15"/>
    <w:rsid w:val="00EB33C4"/>
    <w:rsid w:val="00EE4EA9"/>
    <w:rsid w:val="00EE5AD2"/>
    <w:rsid w:val="00EF01DB"/>
    <w:rsid w:val="00EF3F91"/>
    <w:rsid w:val="00F0286E"/>
    <w:rsid w:val="00F04468"/>
    <w:rsid w:val="00F07146"/>
    <w:rsid w:val="00F10FB1"/>
    <w:rsid w:val="00F33B64"/>
    <w:rsid w:val="00F33F5A"/>
    <w:rsid w:val="00F425B1"/>
    <w:rsid w:val="00F438C3"/>
    <w:rsid w:val="00F53D6B"/>
    <w:rsid w:val="00F6052A"/>
    <w:rsid w:val="00F62339"/>
    <w:rsid w:val="00F62893"/>
    <w:rsid w:val="00F64D77"/>
    <w:rsid w:val="00F7776C"/>
    <w:rsid w:val="00F80243"/>
    <w:rsid w:val="00F87FDE"/>
    <w:rsid w:val="00F9787A"/>
    <w:rsid w:val="00FA5322"/>
    <w:rsid w:val="00FB61E6"/>
    <w:rsid w:val="00FC0259"/>
    <w:rsid w:val="00FC1DBA"/>
    <w:rsid w:val="00FC38F8"/>
    <w:rsid w:val="00FE3C57"/>
    <w:rsid w:val="00FF1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fr-FR"/>
    </w:rPr>
  </w:style>
  <w:style w:type="character" w:customStyle="1" w:styleId="FooterCoverPageChar">
    <w:name w:val="Footer Cover Page Char"/>
    <w:link w:val="FooterCoverPage"/>
    <w:rsid w:val="001A62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fr-FR" w:eastAsia="en-GB"/>
    </w:rPr>
  </w:style>
  <w:style w:type="character" w:customStyle="1" w:styleId="FooterSensitivityChar">
    <w:name w:val="Footer Sensitivity Char"/>
    <w:rsid w:val="001A62D7"/>
    <w:rPr>
      <w:rFonts w:ascii="Times New Roman" w:hAnsi="Times New Roman" w:cs="Times New Roman"/>
      <w:b/>
      <w:sz w:val="32"/>
      <w:lang w:val="fr-FR"/>
    </w:rPr>
  </w:style>
  <w:style w:type="character" w:customStyle="1" w:styleId="HeaderSensitivityChar">
    <w:name w:val="Header Sensitivity Char"/>
    <w:rsid w:val="001A62D7"/>
    <w:rPr>
      <w:rFonts w:ascii="Times New Roman" w:hAnsi="Times New Roman" w:cs="Times New Roman"/>
      <w:b/>
      <w:sz w:val="32"/>
      <w:lang w:val="fr-FR"/>
    </w:rPr>
  </w:style>
  <w:style w:type="character" w:customStyle="1" w:styleId="HeaderSensitivityRightChar">
    <w:name w:val="Header Sensitivity Right Char"/>
    <w:rsid w:val="001A62D7"/>
    <w:rPr>
      <w:rFonts w:ascii="Times New Roman" w:hAnsi="Times New Roman" w:cs="Times New Roman"/>
      <w:sz w:val="28"/>
      <w:lang w:val="fr-FR"/>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254281"/>
    <w:rPr>
      <w:rFonts w:ascii="Times New Roman" w:hAnsi="Times New Roman" w:cs="Times New Roman"/>
      <w:sz w:val="24"/>
      <w:lang w:val="fr-FR"/>
    </w:rPr>
  </w:style>
  <w:style w:type="character" w:customStyle="1" w:styleId="FooterChar">
    <w:name w:val="Footer Char"/>
    <w:basedOn w:val="DefaultParagraphFont"/>
    <w:link w:val="Footer"/>
    <w:uiPriority w:val="99"/>
    <w:rsid w:val="0025428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5428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54281"/>
    <w:pPr>
      <w:spacing w:before="0"/>
      <w:jc w:val="right"/>
    </w:pPr>
    <w:rPr>
      <w:sz w:val="28"/>
    </w:rPr>
  </w:style>
  <w:style w:type="paragraph" w:customStyle="1" w:styleId="FooterSensitivity">
    <w:name w:val="Footer Sensitivity"/>
    <w:basedOn w:val="Normal"/>
    <w:rsid w:val="0025428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54281"/>
    <w:pPr>
      <w:tabs>
        <w:tab w:val="center" w:pos="4535"/>
        <w:tab w:val="right" w:pos="9071"/>
      </w:tabs>
      <w:spacing w:before="0"/>
    </w:pPr>
  </w:style>
  <w:style w:type="paragraph" w:customStyle="1" w:styleId="HeaderLandscape">
    <w:name w:val="HeaderLandscape"/>
    <w:basedOn w:val="Normal"/>
    <w:rsid w:val="00254281"/>
    <w:pPr>
      <w:tabs>
        <w:tab w:val="center" w:pos="7285"/>
        <w:tab w:val="right" w:pos="14003"/>
      </w:tabs>
      <w:spacing w:before="0"/>
    </w:pPr>
  </w:style>
  <w:style w:type="paragraph" w:styleId="Footer">
    <w:name w:val="footer"/>
    <w:basedOn w:val="Normal"/>
    <w:link w:val="FooterChar"/>
    <w:uiPriority w:val="99"/>
    <w:unhideWhenUsed/>
    <w:rsid w:val="0025428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5428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statbel.fgov.be/fr/nouvelles/272-faillites-durant-la-semaine-49" TargetMode="External"/><Relationship Id="rId7" Type="http://schemas.openxmlformats.org/officeDocument/2006/relationships/hyperlink" Target="https://arvastat.vdab.be/wz/basisstatistieken/kengetallen.html" TargetMode="External"/><Relationship Id="rId2" Type="http://schemas.openxmlformats.org/officeDocument/2006/relationships/hyperlink" Target="https://bestat.statbel.fgov.be/bestat/crosstable.xhtml?datasource=afdecf03-f4dd-4e0f-9a8d-faa55be83259" TargetMode="External"/><Relationship Id="rId1" Type="http://schemas.openxmlformats.org/officeDocument/2006/relationships/hyperlink" Target="https://bestat.statbel.fgov.be/bestat/crosstable.xhtml?datasource=afdecf03-f4dd-4e0f-9a8d-faa55be83259" TargetMode="External"/><Relationship Id="rId6" Type="http://schemas.openxmlformats.org/officeDocument/2006/relationships/hyperlink" Target="https://bestat.statbel.fgov.be/bestat/crosstable.xhtml?datasource=afdecf03-f4dd-4e0f-9a8d-faa55be83259" TargetMode="External"/><Relationship Id="rId5" Type="http://schemas.openxmlformats.org/officeDocument/2006/relationships/hyperlink" Target="https://bestat.statbel.fgov.be/bestat/crosstable.xhtml?datasource=afdecf03-f4dd-4e0f-9a8d-faa55be83259" TargetMode="External"/><Relationship Id="rId4" Type="http://schemas.openxmlformats.org/officeDocument/2006/relationships/hyperlink" Target="https://statbel.fgov.be/fr/nouvelles/272-faillites-durant-la-semaine-4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63D8D-268F-4F15-9F92-8035C407F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11</Pages>
  <Words>3881</Words>
  <Characters>22125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2026-03-24T10:08:00Z</cp:lastPrinted>
  <dcterms:created xsi:type="dcterms:W3CDTF">2026-03-25T11:54:00Z</dcterms:created>
  <dcterms:modified xsi:type="dcterms:W3CDTF">2026-04-29T09:46:00Z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