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2D7" w:rsidRPr="00E07C68" w:rsidRDefault="006D5106" w:rsidP="006D5106">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34AC3E4-A6E8-49EB-B4F5-D8D4823F68C7" style="width:455.25pt;height:342.75pt">
            <v:imagedata r:id="rId8" o:title=""/>
          </v:shape>
        </w:pict>
      </w:r>
    </w:p>
    <w:p w:rsidR="001A62D7" w:rsidRPr="00E07C68" w:rsidRDefault="001A62D7" w:rsidP="001A62D7">
      <w:pPr>
        <w:rPr>
          <w:noProof/>
        </w:rPr>
        <w:sectPr w:rsidR="001A62D7" w:rsidRPr="00E07C68" w:rsidSect="006D5106">
          <w:footerReference w:type="even" r:id="rId9"/>
          <w:footerReference w:type="default" r:id="rId10"/>
          <w:pgSz w:w="11907" w:h="16839"/>
          <w:pgMar w:top="1134" w:right="1417" w:bottom="1134" w:left="1417" w:header="709" w:footer="709" w:gutter="0"/>
          <w:pgNumType w:start="0"/>
          <w:cols w:space="720"/>
          <w:docGrid w:linePitch="360"/>
        </w:sectPr>
      </w:pPr>
    </w:p>
    <w:p w:rsidR="001A62D7" w:rsidRPr="00E07C68" w:rsidRDefault="001A62D7" w:rsidP="001A62D7">
      <w:pPr>
        <w:pStyle w:val="Exposdesmotifstitre"/>
        <w:rPr>
          <w:noProof/>
        </w:rPr>
      </w:pPr>
      <w:bookmarkStart w:id="0" w:name="_GoBack"/>
      <w:bookmarkEnd w:id="0"/>
      <w:r w:rsidRPr="00E07C68">
        <w:rPr>
          <w:noProof/>
        </w:rPr>
        <w:lastRenderedPageBreak/>
        <w:t>EXPUNERE DE MOTIVE</w:t>
      </w:r>
    </w:p>
    <w:p w:rsidR="001A62D7" w:rsidRPr="00E07C68" w:rsidRDefault="001A62D7" w:rsidP="001A62D7">
      <w:pPr>
        <w:pStyle w:val="ManualHeading1"/>
        <w:rPr>
          <w:noProof/>
        </w:rPr>
      </w:pPr>
      <w:r w:rsidRPr="00E07C68">
        <w:rPr>
          <w:noProof/>
        </w:rPr>
        <w:t>CONTEXTUL PROPUNERII</w:t>
      </w:r>
    </w:p>
    <w:p w:rsidR="001A62D7" w:rsidRPr="00E07C68" w:rsidRDefault="001A62D7" w:rsidP="00AE7D04">
      <w:pPr>
        <w:pStyle w:val="ManualNumPar1"/>
        <w:rPr>
          <w:noProof/>
        </w:rPr>
      </w:pPr>
      <w:r>
        <w:rPr>
          <w:noProof/>
        </w:rPr>
        <w:t>1.</w:t>
      </w:r>
      <w:r>
        <w:rPr>
          <w:noProof/>
        </w:rPr>
        <w:tab/>
      </w:r>
      <w:r w:rsidRPr="00E07C68">
        <w:rPr>
          <w:noProof/>
        </w:rPr>
        <w:t>Normele aplicabile contribuțiilor financiare din partea Fondului european de ajustare la globalizare pentru lucrătorii disponibilizați (FEG) sunt prevăzute în Regulamentul (UE) 2021/691 al Parlamentului European și al Consiliului din 28 aprilie 2021 privind Fondul european de ajustare la globalizare pentru lucrătorii disponibilizați (FEG) și de abrogare a Regulamentului (UE) nr. 1309/2013</w:t>
      </w:r>
      <w:r w:rsidRPr="00E07C68">
        <w:rPr>
          <w:rStyle w:val="FootnoteReference"/>
          <w:noProof/>
        </w:rPr>
        <w:footnoteReference w:id="1"/>
      </w:r>
      <w:r w:rsidRPr="00E07C68">
        <w:rPr>
          <w:noProof/>
        </w:rPr>
        <w:t>.</w:t>
      </w:r>
    </w:p>
    <w:p w:rsidR="001A62D7" w:rsidRPr="00E07C68" w:rsidRDefault="001A62D7" w:rsidP="00AE7D04">
      <w:pPr>
        <w:pStyle w:val="ManualNumPar1"/>
        <w:rPr>
          <w:noProof/>
        </w:rPr>
      </w:pPr>
      <w:r>
        <w:rPr>
          <w:noProof/>
        </w:rPr>
        <w:t>2.</w:t>
      </w:r>
      <w:r>
        <w:rPr>
          <w:noProof/>
        </w:rPr>
        <w:tab/>
      </w:r>
      <w:r w:rsidRPr="00E07C68">
        <w:rPr>
          <w:noProof/>
        </w:rPr>
        <w:t>La 22 decembrie 2025, Belgia a depus cererea EGF/</w:t>
      </w:r>
      <w:bookmarkStart w:id="1" w:name="EGF_Ref_Year"/>
      <w:r w:rsidRPr="00E07C68">
        <w:rPr>
          <w:noProof/>
        </w:rPr>
        <w:t>2025</w:t>
      </w:r>
      <w:bookmarkEnd w:id="1"/>
      <w:r w:rsidRPr="00E07C68">
        <w:rPr>
          <w:noProof/>
        </w:rPr>
        <w:t>/</w:t>
      </w:r>
      <w:bookmarkStart w:id="2" w:name="EGF_Ref_CaseNumber"/>
      <w:r w:rsidRPr="00E07C68">
        <w:rPr>
          <w:noProof/>
        </w:rPr>
        <w:t>009</w:t>
      </w:r>
      <w:bookmarkEnd w:id="2"/>
      <w:r w:rsidRPr="00E07C68">
        <w:rPr>
          <w:noProof/>
        </w:rPr>
        <w:t xml:space="preserve"> </w:t>
      </w:r>
      <w:bookmarkStart w:id="3" w:name="MS_Code"/>
      <w:r w:rsidRPr="00E07C68">
        <w:rPr>
          <w:noProof/>
        </w:rPr>
        <w:t>BE</w:t>
      </w:r>
      <w:bookmarkEnd w:id="3"/>
      <w:r w:rsidRPr="00E07C68">
        <w:rPr>
          <w:noProof/>
        </w:rPr>
        <w:t>/</w:t>
      </w:r>
      <w:bookmarkStart w:id="4" w:name="EGF_Ref_CaseName"/>
      <w:r w:rsidRPr="00E07C68">
        <w:rPr>
          <w:noProof/>
        </w:rPr>
        <w:t>Soliver</w:t>
      </w:r>
      <w:bookmarkEnd w:id="4"/>
      <w:r w:rsidRPr="00E07C68">
        <w:rPr>
          <w:noProof/>
        </w:rPr>
        <w:t xml:space="preserve"> pentru a obține o contribuție financiară din partea FEG, ca urmare a disponibilizărilor de la </w:t>
      </w:r>
      <w:bookmarkStart w:id="5" w:name="PrimEnterprise_Name"/>
      <w:r w:rsidRPr="00E07C68">
        <w:rPr>
          <w:noProof/>
        </w:rPr>
        <w:t>Soliver NV (Soliver)</w:t>
      </w:r>
      <w:bookmarkEnd w:id="5"/>
      <w:r w:rsidRPr="00E07C68">
        <w:rPr>
          <w:noProof/>
        </w:rPr>
        <w:t xml:space="preserve"> din </w:t>
      </w:r>
      <w:bookmarkStart w:id="6" w:name="MS_Name"/>
      <w:r w:rsidRPr="00E07C68">
        <w:rPr>
          <w:noProof/>
        </w:rPr>
        <w:t>Belgia</w:t>
      </w:r>
      <w:bookmarkEnd w:id="6"/>
      <w:r w:rsidRPr="00E07C68">
        <w:rPr>
          <w:noProof/>
        </w:rPr>
        <w:t>.</w:t>
      </w:r>
    </w:p>
    <w:p w:rsidR="001A62D7" w:rsidRPr="00E07C68" w:rsidRDefault="001A62D7" w:rsidP="00AE7D04">
      <w:pPr>
        <w:pStyle w:val="ManualNumPar1"/>
        <w:rPr>
          <w:noProof/>
        </w:rPr>
      </w:pPr>
      <w:r>
        <w:rPr>
          <w:noProof/>
        </w:rPr>
        <w:t>3.</w:t>
      </w:r>
      <w:r>
        <w:rPr>
          <w:noProof/>
        </w:rPr>
        <w:tab/>
      </w:r>
      <w:r w:rsidRPr="00E07C68">
        <w:rPr>
          <w:noProof/>
        </w:rPr>
        <w:t xml:space="preserve">După evaluarea acestei cereri, Comisia a concluzionat, în conformitate cu toate dispozițiile aplicabile ale Regulamentului (UE) 2021/691, că sunt îndeplinite condițiile pentru acordarea unei contribuții financiare din partea FEG. </w:t>
      </w:r>
    </w:p>
    <w:p w:rsidR="001A62D7" w:rsidRPr="00E07C68" w:rsidRDefault="001A62D7" w:rsidP="001A62D7">
      <w:pPr>
        <w:pStyle w:val="ManualHeading1"/>
        <w:rPr>
          <w:noProof/>
        </w:rPr>
      </w:pPr>
      <w:r w:rsidRPr="00E07C68">
        <w:rPr>
          <w:noProof/>
        </w:rPr>
        <w:t>REZUMATUL CERERII</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908"/>
        <w:gridCol w:w="4379"/>
      </w:tblGrid>
      <w:tr w:rsidR="001A62D7" w:rsidRPr="00E07C68" w:rsidTr="001D5990">
        <w:tc>
          <w:tcPr>
            <w:tcW w:w="4908" w:type="dxa"/>
            <w:shd w:val="clear" w:color="auto" w:fill="auto"/>
          </w:tcPr>
          <w:p w:rsidR="001A62D7" w:rsidRPr="00E07C68" w:rsidRDefault="001A62D7" w:rsidP="001D5990">
            <w:pPr>
              <w:spacing w:before="60" w:after="60"/>
              <w:jc w:val="left"/>
              <w:rPr>
                <w:rFonts w:eastAsia="Calibri"/>
                <w:noProof/>
              </w:rPr>
            </w:pPr>
            <w:r w:rsidRPr="00E07C68">
              <w:rPr>
                <w:noProof/>
              </w:rPr>
              <w:t>Cererea FEG</w:t>
            </w:r>
          </w:p>
        </w:tc>
        <w:tc>
          <w:tcPr>
            <w:tcW w:w="4379" w:type="dxa"/>
            <w:shd w:val="clear" w:color="auto" w:fill="auto"/>
          </w:tcPr>
          <w:p w:rsidR="001A62D7" w:rsidRPr="00E07C68" w:rsidRDefault="001A62D7" w:rsidP="001D5990">
            <w:pPr>
              <w:spacing w:before="60" w:after="60"/>
              <w:ind w:rightChars="192" w:right="461"/>
              <w:jc w:val="left"/>
              <w:rPr>
                <w:rFonts w:eastAsia="Calibri"/>
                <w:noProof/>
              </w:rPr>
            </w:pPr>
            <w:r w:rsidRPr="00E07C68">
              <w:rPr>
                <w:noProof/>
              </w:rPr>
              <w:t>EGF/2025/009 BE/Soliver</w:t>
            </w:r>
          </w:p>
        </w:tc>
      </w:tr>
      <w:tr w:rsidR="001A62D7" w:rsidRPr="00E07C68" w:rsidTr="001D5990">
        <w:tc>
          <w:tcPr>
            <w:tcW w:w="4908" w:type="dxa"/>
            <w:shd w:val="clear" w:color="auto" w:fill="auto"/>
          </w:tcPr>
          <w:p w:rsidR="001A62D7" w:rsidRPr="00E07C68" w:rsidRDefault="001A62D7" w:rsidP="001D5990">
            <w:pPr>
              <w:spacing w:before="60" w:after="60"/>
              <w:jc w:val="left"/>
              <w:rPr>
                <w:rFonts w:eastAsia="Calibri"/>
                <w:noProof/>
              </w:rPr>
            </w:pPr>
            <w:r w:rsidRPr="00E07C68">
              <w:rPr>
                <w:noProof/>
              </w:rPr>
              <w:t>Stat membru</w:t>
            </w:r>
          </w:p>
        </w:tc>
        <w:tc>
          <w:tcPr>
            <w:tcW w:w="4379" w:type="dxa"/>
            <w:shd w:val="clear" w:color="auto" w:fill="auto"/>
          </w:tcPr>
          <w:p w:rsidR="001A62D7" w:rsidRPr="00E07C68" w:rsidRDefault="005B68D8" w:rsidP="001D5990">
            <w:pPr>
              <w:spacing w:before="60" w:after="60"/>
              <w:ind w:rightChars="192" w:right="461"/>
              <w:jc w:val="left"/>
              <w:rPr>
                <w:rFonts w:eastAsia="Calibri"/>
                <w:noProof/>
              </w:rPr>
            </w:pPr>
            <w:r w:rsidRPr="00E07C68">
              <w:rPr>
                <w:noProof/>
              </w:rPr>
              <w:t>Belgia</w:t>
            </w:r>
          </w:p>
        </w:tc>
      </w:tr>
      <w:tr w:rsidR="001A62D7" w:rsidRPr="00E07C68" w:rsidTr="001D5990">
        <w:tc>
          <w:tcPr>
            <w:tcW w:w="4908" w:type="dxa"/>
            <w:tcBorders>
              <w:bottom w:val="single" w:sz="4" w:space="0" w:color="auto"/>
            </w:tcBorders>
            <w:shd w:val="clear" w:color="auto" w:fill="auto"/>
          </w:tcPr>
          <w:p w:rsidR="001A62D7" w:rsidRPr="00E07C68" w:rsidRDefault="001A62D7" w:rsidP="001D5990">
            <w:pPr>
              <w:spacing w:before="60" w:after="60"/>
              <w:jc w:val="left"/>
              <w:rPr>
                <w:rFonts w:eastAsia="Calibri"/>
                <w:noProof/>
              </w:rPr>
            </w:pPr>
            <w:r w:rsidRPr="00E07C68">
              <w:rPr>
                <w:noProof/>
              </w:rPr>
              <w:t>Regiunea sau regiunile vizate (nivel NUTS</w:t>
            </w:r>
            <w:r w:rsidRPr="00E07C68">
              <w:rPr>
                <w:rStyle w:val="FootnoteReference"/>
                <w:noProof/>
              </w:rPr>
              <w:footnoteReference w:id="2"/>
            </w:r>
            <w:r w:rsidRPr="00E07C68">
              <w:rPr>
                <w:noProof/>
              </w:rPr>
              <w:t xml:space="preserve"> 2)</w:t>
            </w:r>
          </w:p>
        </w:tc>
        <w:tc>
          <w:tcPr>
            <w:tcW w:w="4379" w:type="dxa"/>
            <w:tcBorders>
              <w:bottom w:val="single" w:sz="4" w:space="0" w:color="auto"/>
            </w:tcBorders>
            <w:shd w:val="clear" w:color="auto" w:fill="auto"/>
          </w:tcPr>
          <w:p w:rsidR="001A62D7" w:rsidRPr="00E07C68" w:rsidRDefault="00F9787A" w:rsidP="001D5990">
            <w:pPr>
              <w:spacing w:before="0" w:after="0"/>
              <w:ind w:rightChars="192" w:right="461"/>
              <w:jc w:val="left"/>
              <w:rPr>
                <w:noProof/>
                <w:szCs w:val="24"/>
              </w:rPr>
            </w:pPr>
            <w:r w:rsidRPr="00E07C68">
              <w:rPr>
                <w:noProof/>
              </w:rPr>
              <w:t xml:space="preserve">Provincie Oost-Vlaanderen (BE23) și </w:t>
            </w:r>
            <w:bookmarkStart w:id="7" w:name="Region_1_Name"/>
            <w:r w:rsidRPr="00E07C68">
              <w:rPr>
                <w:noProof/>
              </w:rPr>
              <w:t>Provincie West-Vlaanderen</w:t>
            </w:r>
            <w:bookmarkEnd w:id="7"/>
            <w:r w:rsidRPr="00E07C68">
              <w:rPr>
                <w:noProof/>
              </w:rPr>
              <w:t xml:space="preserve"> (BE25) </w:t>
            </w:r>
          </w:p>
        </w:tc>
      </w:tr>
      <w:tr w:rsidR="001A62D7" w:rsidRPr="00E07C68" w:rsidTr="001D5990">
        <w:tc>
          <w:tcPr>
            <w:tcW w:w="4908" w:type="dxa"/>
            <w:tcBorders>
              <w:bottom w:val="dotted" w:sz="4" w:space="0" w:color="auto"/>
            </w:tcBorders>
            <w:shd w:val="clear" w:color="auto" w:fill="auto"/>
          </w:tcPr>
          <w:p w:rsidR="001A62D7" w:rsidRPr="00E07C68" w:rsidRDefault="001A62D7" w:rsidP="001D5990">
            <w:pPr>
              <w:spacing w:before="60" w:after="60"/>
              <w:jc w:val="left"/>
              <w:rPr>
                <w:rFonts w:eastAsia="Calibri"/>
                <w:noProof/>
              </w:rPr>
            </w:pPr>
            <w:r w:rsidRPr="00E07C68">
              <w:rPr>
                <w:noProof/>
              </w:rPr>
              <w:t>Data depunerii cererii</w:t>
            </w:r>
          </w:p>
        </w:tc>
        <w:tc>
          <w:tcPr>
            <w:tcW w:w="4379" w:type="dxa"/>
            <w:tcBorders>
              <w:bottom w:val="dotted" w:sz="4" w:space="0" w:color="auto"/>
            </w:tcBorders>
            <w:shd w:val="clear" w:color="auto" w:fill="auto"/>
          </w:tcPr>
          <w:p w:rsidR="001A62D7" w:rsidRPr="00E07C68" w:rsidRDefault="000D02FF" w:rsidP="001D5990">
            <w:pPr>
              <w:spacing w:before="60" w:after="60"/>
              <w:ind w:rightChars="192" w:right="461"/>
              <w:jc w:val="left"/>
              <w:rPr>
                <w:rFonts w:eastAsia="Calibri"/>
                <w:noProof/>
              </w:rPr>
            </w:pPr>
            <w:r w:rsidRPr="00E07C68">
              <w:rPr>
                <w:noProof/>
              </w:rPr>
              <w:t>22 decembrie 2025</w:t>
            </w:r>
          </w:p>
        </w:tc>
      </w:tr>
      <w:tr w:rsidR="001A62D7" w:rsidRPr="00E07C68" w:rsidTr="001D5990">
        <w:tc>
          <w:tcPr>
            <w:tcW w:w="4908" w:type="dxa"/>
            <w:tcBorders>
              <w:top w:val="dotted" w:sz="4" w:space="0" w:color="auto"/>
              <w:bottom w:val="dotted" w:sz="4" w:space="0" w:color="auto"/>
            </w:tcBorders>
            <w:shd w:val="clear" w:color="auto" w:fill="auto"/>
          </w:tcPr>
          <w:p w:rsidR="001A62D7" w:rsidRPr="00E07C68" w:rsidRDefault="001A62D7" w:rsidP="001D5990">
            <w:pPr>
              <w:spacing w:before="60" w:after="60"/>
              <w:jc w:val="left"/>
              <w:rPr>
                <w:rFonts w:eastAsia="Calibri"/>
                <w:noProof/>
              </w:rPr>
            </w:pPr>
            <w:r w:rsidRPr="00E07C68">
              <w:rPr>
                <w:noProof/>
              </w:rPr>
              <w:t>Data confirmării primirii cererii</w:t>
            </w:r>
          </w:p>
        </w:tc>
        <w:tc>
          <w:tcPr>
            <w:tcW w:w="4379" w:type="dxa"/>
            <w:tcBorders>
              <w:top w:val="dotted" w:sz="4" w:space="0" w:color="auto"/>
              <w:bottom w:val="dotted" w:sz="4" w:space="0" w:color="auto"/>
            </w:tcBorders>
            <w:shd w:val="clear" w:color="auto" w:fill="auto"/>
          </w:tcPr>
          <w:p w:rsidR="001A62D7" w:rsidRPr="00E07C68" w:rsidRDefault="000D02FF" w:rsidP="001D5990">
            <w:pPr>
              <w:spacing w:before="60" w:after="60"/>
              <w:ind w:rightChars="192" w:right="461"/>
              <w:jc w:val="left"/>
              <w:rPr>
                <w:rFonts w:eastAsia="Calibri"/>
                <w:noProof/>
              </w:rPr>
            </w:pPr>
            <w:r w:rsidRPr="00E07C68">
              <w:rPr>
                <w:noProof/>
              </w:rPr>
              <w:t>17 februarie 2026</w:t>
            </w:r>
          </w:p>
        </w:tc>
      </w:tr>
      <w:tr w:rsidR="001A62D7" w:rsidRPr="00E07C68" w:rsidTr="001D5990">
        <w:tc>
          <w:tcPr>
            <w:tcW w:w="4908" w:type="dxa"/>
            <w:tcBorders>
              <w:top w:val="dotted" w:sz="4" w:space="0" w:color="auto"/>
              <w:bottom w:val="dotted" w:sz="4" w:space="0" w:color="auto"/>
            </w:tcBorders>
            <w:shd w:val="clear" w:color="auto" w:fill="auto"/>
          </w:tcPr>
          <w:p w:rsidR="001A62D7" w:rsidRPr="00E07C68" w:rsidRDefault="001A62D7" w:rsidP="001D5990">
            <w:pPr>
              <w:spacing w:before="60" w:after="60"/>
              <w:jc w:val="left"/>
              <w:rPr>
                <w:rFonts w:eastAsia="Calibri"/>
                <w:noProof/>
              </w:rPr>
            </w:pPr>
            <w:r w:rsidRPr="00E07C68">
              <w:rPr>
                <w:noProof/>
              </w:rPr>
              <w:t>Data cererii de informații suplimentare</w:t>
            </w:r>
          </w:p>
        </w:tc>
        <w:tc>
          <w:tcPr>
            <w:tcW w:w="4379" w:type="dxa"/>
            <w:tcBorders>
              <w:top w:val="dotted" w:sz="4" w:space="0" w:color="auto"/>
              <w:bottom w:val="dotted" w:sz="4" w:space="0" w:color="auto"/>
            </w:tcBorders>
            <w:shd w:val="clear" w:color="auto" w:fill="auto"/>
          </w:tcPr>
          <w:p w:rsidR="001A62D7" w:rsidRPr="00E07C68" w:rsidRDefault="000D02FF" w:rsidP="001D5990">
            <w:pPr>
              <w:spacing w:before="60" w:after="60"/>
              <w:ind w:rightChars="192" w:right="461"/>
              <w:jc w:val="left"/>
              <w:rPr>
                <w:rFonts w:eastAsia="Calibri"/>
                <w:noProof/>
              </w:rPr>
            </w:pPr>
            <w:r w:rsidRPr="00E07C68">
              <w:rPr>
                <w:noProof/>
              </w:rPr>
              <w:t>17 februarie 2026</w:t>
            </w:r>
          </w:p>
        </w:tc>
      </w:tr>
      <w:tr w:rsidR="001A62D7" w:rsidRPr="00E07C68" w:rsidTr="001D5990">
        <w:tc>
          <w:tcPr>
            <w:tcW w:w="4908" w:type="dxa"/>
            <w:tcBorders>
              <w:top w:val="dotted" w:sz="4" w:space="0" w:color="auto"/>
              <w:bottom w:val="dotted" w:sz="4" w:space="0" w:color="auto"/>
            </w:tcBorders>
            <w:shd w:val="clear" w:color="auto" w:fill="auto"/>
          </w:tcPr>
          <w:p w:rsidR="001A62D7" w:rsidRPr="00E07C68" w:rsidRDefault="001A62D7" w:rsidP="001D5990">
            <w:pPr>
              <w:spacing w:before="60" w:after="60"/>
              <w:jc w:val="left"/>
              <w:rPr>
                <w:rFonts w:eastAsia="Calibri"/>
                <w:noProof/>
              </w:rPr>
            </w:pPr>
            <w:r w:rsidRPr="00E07C68">
              <w:rPr>
                <w:noProof/>
              </w:rPr>
              <w:t>Termenul pentru furnizarea informațiilor suplimentare</w:t>
            </w:r>
          </w:p>
        </w:tc>
        <w:tc>
          <w:tcPr>
            <w:tcW w:w="4379" w:type="dxa"/>
            <w:tcBorders>
              <w:top w:val="dotted" w:sz="4" w:space="0" w:color="auto"/>
              <w:bottom w:val="dotted" w:sz="4" w:space="0" w:color="auto"/>
            </w:tcBorders>
            <w:shd w:val="clear" w:color="auto" w:fill="auto"/>
          </w:tcPr>
          <w:p w:rsidR="001A62D7" w:rsidRPr="00E07C68" w:rsidRDefault="000D02FF" w:rsidP="001D5990">
            <w:pPr>
              <w:spacing w:before="60" w:after="60"/>
              <w:ind w:rightChars="192" w:right="461"/>
              <w:jc w:val="left"/>
              <w:rPr>
                <w:rFonts w:eastAsia="Calibri"/>
                <w:noProof/>
              </w:rPr>
            </w:pPr>
            <w:r w:rsidRPr="00E07C68">
              <w:rPr>
                <w:noProof/>
              </w:rPr>
              <w:t>10 martie 2026</w:t>
            </w:r>
          </w:p>
        </w:tc>
      </w:tr>
      <w:tr w:rsidR="001A62D7" w:rsidRPr="00E07C68" w:rsidTr="001D5990">
        <w:tc>
          <w:tcPr>
            <w:tcW w:w="4908" w:type="dxa"/>
            <w:tcBorders>
              <w:top w:val="dotted" w:sz="4" w:space="0" w:color="auto"/>
            </w:tcBorders>
            <w:shd w:val="clear" w:color="auto" w:fill="auto"/>
          </w:tcPr>
          <w:p w:rsidR="001A62D7" w:rsidRPr="00E07C68" w:rsidRDefault="001A62D7" w:rsidP="001D5990">
            <w:pPr>
              <w:spacing w:before="60" w:after="60"/>
              <w:jc w:val="left"/>
              <w:rPr>
                <w:rFonts w:eastAsia="Calibri"/>
                <w:noProof/>
              </w:rPr>
            </w:pPr>
            <w:r w:rsidRPr="00E07C68">
              <w:rPr>
                <w:noProof/>
              </w:rPr>
              <w:t>Termenul pentru finalizarea evaluării</w:t>
            </w:r>
          </w:p>
        </w:tc>
        <w:tc>
          <w:tcPr>
            <w:tcW w:w="4379" w:type="dxa"/>
            <w:tcBorders>
              <w:top w:val="dotted" w:sz="4" w:space="0" w:color="auto"/>
            </w:tcBorders>
            <w:shd w:val="clear" w:color="auto" w:fill="auto"/>
          </w:tcPr>
          <w:p w:rsidR="001A62D7" w:rsidRPr="00E07C68" w:rsidRDefault="000D02FF" w:rsidP="001D5990">
            <w:pPr>
              <w:spacing w:before="60" w:after="60"/>
              <w:ind w:rightChars="192" w:right="461"/>
              <w:jc w:val="left"/>
              <w:rPr>
                <w:rFonts w:eastAsia="Calibri"/>
                <w:noProof/>
              </w:rPr>
            </w:pPr>
            <w:r w:rsidRPr="00E07C68">
              <w:rPr>
                <w:noProof/>
              </w:rPr>
              <w:t>28 mai 2026</w:t>
            </w:r>
          </w:p>
        </w:tc>
      </w:tr>
      <w:tr w:rsidR="001A62D7" w:rsidRPr="00E07C68" w:rsidTr="001D5990">
        <w:tc>
          <w:tcPr>
            <w:tcW w:w="4908" w:type="dxa"/>
            <w:shd w:val="clear" w:color="auto" w:fill="auto"/>
          </w:tcPr>
          <w:p w:rsidR="001A62D7" w:rsidRPr="00E07C68" w:rsidRDefault="001A62D7" w:rsidP="001D5990">
            <w:pPr>
              <w:spacing w:before="60" w:after="60"/>
              <w:jc w:val="left"/>
              <w:rPr>
                <w:rFonts w:eastAsia="Calibri"/>
                <w:noProof/>
              </w:rPr>
            </w:pPr>
            <w:r w:rsidRPr="00E07C68">
              <w:rPr>
                <w:noProof/>
              </w:rPr>
              <w:t>Criteriul de intervenție</w:t>
            </w:r>
          </w:p>
        </w:tc>
        <w:tc>
          <w:tcPr>
            <w:tcW w:w="4379" w:type="dxa"/>
            <w:shd w:val="clear" w:color="auto" w:fill="auto"/>
          </w:tcPr>
          <w:p w:rsidR="001A62D7" w:rsidRPr="00E07C68" w:rsidRDefault="001A62D7" w:rsidP="001D5990">
            <w:pPr>
              <w:spacing w:before="60" w:after="60"/>
              <w:ind w:rightChars="192" w:right="461"/>
              <w:jc w:val="left"/>
              <w:rPr>
                <w:rFonts w:eastAsia="Calibri"/>
                <w:noProof/>
              </w:rPr>
            </w:pPr>
            <w:r w:rsidRPr="00E07C68">
              <w:rPr>
                <w:noProof/>
              </w:rPr>
              <w:t>Articolul 4 alineatul (2) litera (a) din Regulamentul (UE) 2021/691</w:t>
            </w:r>
          </w:p>
        </w:tc>
      </w:tr>
      <w:tr w:rsidR="001A62D7" w:rsidRPr="00E07C68" w:rsidTr="001D5990">
        <w:tc>
          <w:tcPr>
            <w:tcW w:w="4908" w:type="dxa"/>
            <w:tcBorders>
              <w:top w:val="single" w:sz="4" w:space="0" w:color="auto"/>
              <w:bottom w:val="single" w:sz="4" w:space="0" w:color="auto"/>
              <w:right w:val="single" w:sz="4" w:space="0" w:color="auto"/>
            </w:tcBorders>
            <w:shd w:val="clear" w:color="auto" w:fill="auto"/>
          </w:tcPr>
          <w:p w:rsidR="001A62D7" w:rsidRPr="00E07C68" w:rsidRDefault="001A62D7" w:rsidP="001D5990">
            <w:pPr>
              <w:spacing w:before="60" w:after="60"/>
              <w:jc w:val="left"/>
              <w:rPr>
                <w:rFonts w:eastAsia="Calibri"/>
                <w:noProof/>
              </w:rPr>
            </w:pPr>
            <w:r w:rsidRPr="00E07C68">
              <w:rPr>
                <w:noProof/>
              </w:rPr>
              <w:br w:type="page"/>
              <w:t>Întreprinderea principală</w:t>
            </w:r>
          </w:p>
        </w:tc>
        <w:tc>
          <w:tcPr>
            <w:tcW w:w="4379" w:type="dxa"/>
            <w:tcBorders>
              <w:top w:val="single" w:sz="4" w:space="0" w:color="auto"/>
              <w:left w:val="single" w:sz="4" w:space="0" w:color="auto"/>
              <w:bottom w:val="single" w:sz="4" w:space="0" w:color="auto"/>
            </w:tcBorders>
            <w:shd w:val="clear" w:color="auto" w:fill="auto"/>
          </w:tcPr>
          <w:p w:rsidR="001A62D7" w:rsidRPr="00E07C68" w:rsidRDefault="006B2E5B" w:rsidP="001D5990">
            <w:pPr>
              <w:spacing w:before="60" w:after="60"/>
              <w:ind w:rightChars="192" w:right="461"/>
              <w:jc w:val="left"/>
              <w:rPr>
                <w:noProof/>
                <w:szCs w:val="24"/>
              </w:rPr>
            </w:pPr>
            <w:r w:rsidRPr="00E07C68">
              <w:rPr>
                <w:noProof/>
              </w:rPr>
              <w:t xml:space="preserve">Soliver NV </w:t>
            </w:r>
          </w:p>
        </w:tc>
      </w:tr>
      <w:tr w:rsidR="001A62D7" w:rsidRPr="00E07C68" w:rsidTr="001D5990">
        <w:tc>
          <w:tcPr>
            <w:tcW w:w="4908" w:type="dxa"/>
            <w:shd w:val="clear" w:color="auto" w:fill="auto"/>
          </w:tcPr>
          <w:p w:rsidR="001A62D7" w:rsidRPr="00E07C68" w:rsidRDefault="001A62D7" w:rsidP="001D5990">
            <w:pPr>
              <w:spacing w:before="60" w:after="60"/>
              <w:jc w:val="left"/>
              <w:rPr>
                <w:rFonts w:eastAsia="Calibri"/>
                <w:noProof/>
              </w:rPr>
            </w:pPr>
            <w:r w:rsidRPr="00E07C68">
              <w:rPr>
                <w:noProof/>
              </w:rPr>
              <w:t>Sectorul (sectoarele) de activitate economică</w:t>
            </w:r>
          </w:p>
          <w:p w:rsidR="001A62D7" w:rsidRPr="00E07C68" w:rsidRDefault="001A62D7" w:rsidP="001D5990">
            <w:pPr>
              <w:spacing w:before="60" w:after="60"/>
              <w:jc w:val="left"/>
              <w:rPr>
                <w:rFonts w:eastAsia="Calibri"/>
                <w:noProof/>
              </w:rPr>
            </w:pPr>
            <w:r w:rsidRPr="00E07C68">
              <w:rPr>
                <w:noProof/>
              </w:rPr>
              <w:t>(Diviziunea NACE Rev. 2)</w:t>
            </w:r>
            <w:r w:rsidRPr="00E07C68">
              <w:rPr>
                <w:rStyle w:val="FootnoteReference"/>
                <w:noProof/>
                <w:szCs w:val="24"/>
              </w:rPr>
              <w:footnoteReference w:id="3"/>
            </w:r>
          </w:p>
        </w:tc>
        <w:tc>
          <w:tcPr>
            <w:tcW w:w="4379" w:type="dxa"/>
            <w:shd w:val="clear" w:color="auto" w:fill="auto"/>
          </w:tcPr>
          <w:p w:rsidR="001A62D7" w:rsidRPr="00E07C68" w:rsidRDefault="001A62D7" w:rsidP="001D5990">
            <w:pPr>
              <w:spacing w:before="60" w:after="60"/>
              <w:ind w:rightChars="192" w:right="461"/>
              <w:jc w:val="left"/>
              <w:rPr>
                <w:noProof/>
                <w:szCs w:val="24"/>
              </w:rPr>
            </w:pPr>
            <w:r w:rsidRPr="00E07C68">
              <w:rPr>
                <w:noProof/>
              </w:rPr>
              <w:t xml:space="preserve">Diviziunea 46 </w:t>
            </w:r>
            <w:bookmarkStart w:id="8" w:name="_Hlk224138901"/>
            <w:r w:rsidRPr="00E07C68">
              <w:rPr>
                <w:noProof/>
              </w:rPr>
              <w:t>(Comerț cu ridicata)</w:t>
            </w:r>
            <w:bookmarkEnd w:id="8"/>
          </w:p>
        </w:tc>
      </w:tr>
      <w:tr w:rsidR="001A62D7" w:rsidRPr="00E07C68" w:rsidTr="001D5990">
        <w:tc>
          <w:tcPr>
            <w:tcW w:w="4908" w:type="dxa"/>
            <w:tcBorders>
              <w:bottom w:val="single" w:sz="4" w:space="0" w:color="auto"/>
            </w:tcBorders>
            <w:shd w:val="clear" w:color="auto" w:fill="auto"/>
          </w:tcPr>
          <w:p w:rsidR="001A62D7" w:rsidRPr="00E07C68" w:rsidRDefault="001A62D7" w:rsidP="001D5990">
            <w:pPr>
              <w:spacing w:before="60" w:after="60"/>
              <w:jc w:val="left"/>
              <w:rPr>
                <w:rFonts w:eastAsia="Calibri"/>
                <w:noProof/>
              </w:rPr>
            </w:pPr>
            <w:r w:rsidRPr="00E07C68">
              <w:rPr>
                <w:noProof/>
              </w:rPr>
              <w:t>Perioada de referință (patru luni):</w:t>
            </w:r>
          </w:p>
        </w:tc>
        <w:tc>
          <w:tcPr>
            <w:tcW w:w="4379" w:type="dxa"/>
            <w:tcBorders>
              <w:bottom w:val="single" w:sz="4" w:space="0" w:color="auto"/>
            </w:tcBorders>
            <w:shd w:val="clear" w:color="auto" w:fill="auto"/>
          </w:tcPr>
          <w:p w:rsidR="001A62D7" w:rsidRPr="00E07C68" w:rsidRDefault="000D02FF" w:rsidP="001D5990">
            <w:pPr>
              <w:spacing w:before="60" w:after="60"/>
              <w:ind w:rightChars="192" w:right="461"/>
              <w:jc w:val="left"/>
              <w:rPr>
                <w:rFonts w:eastAsia="Calibri"/>
                <w:noProof/>
              </w:rPr>
            </w:pPr>
            <w:r w:rsidRPr="00E07C68">
              <w:rPr>
                <w:noProof/>
              </w:rPr>
              <w:t>1 iulie 2025 – 1 noiembrie 2025</w:t>
            </w:r>
          </w:p>
        </w:tc>
      </w:tr>
      <w:tr w:rsidR="001A62D7" w:rsidRPr="00E07C68" w:rsidTr="001D5990">
        <w:tc>
          <w:tcPr>
            <w:tcW w:w="4908" w:type="dxa"/>
            <w:tcBorders>
              <w:bottom w:val="dotted" w:sz="4" w:space="0" w:color="auto"/>
            </w:tcBorders>
            <w:shd w:val="clear" w:color="auto" w:fill="auto"/>
          </w:tcPr>
          <w:p w:rsidR="001A62D7" w:rsidRPr="00E07C68" w:rsidRDefault="001A62D7" w:rsidP="001D5990">
            <w:pPr>
              <w:spacing w:before="60" w:after="60"/>
              <w:jc w:val="left"/>
              <w:rPr>
                <w:rFonts w:eastAsia="Calibri"/>
                <w:noProof/>
                <w:highlight w:val="magenta"/>
              </w:rPr>
            </w:pPr>
            <w:r w:rsidRPr="00E07C68">
              <w:rPr>
                <w:noProof/>
              </w:rPr>
              <w:t xml:space="preserve">Numărul de disponibilizări în perioada de referință </w:t>
            </w:r>
          </w:p>
        </w:tc>
        <w:tc>
          <w:tcPr>
            <w:tcW w:w="4379" w:type="dxa"/>
            <w:tcBorders>
              <w:bottom w:val="dotted" w:sz="4" w:space="0" w:color="auto"/>
            </w:tcBorders>
            <w:shd w:val="clear" w:color="auto" w:fill="auto"/>
          </w:tcPr>
          <w:p w:rsidR="001A62D7" w:rsidRPr="00E07C68" w:rsidRDefault="005B68D8" w:rsidP="001D5990">
            <w:pPr>
              <w:spacing w:before="60" w:after="60"/>
              <w:ind w:rightChars="192" w:right="461"/>
              <w:jc w:val="left"/>
              <w:rPr>
                <w:rFonts w:eastAsia="Calibri"/>
                <w:noProof/>
                <w:highlight w:val="magenta"/>
              </w:rPr>
            </w:pPr>
            <w:r w:rsidRPr="00E07C68">
              <w:rPr>
                <w:noProof/>
              </w:rPr>
              <w:t>803</w:t>
            </w:r>
          </w:p>
        </w:tc>
      </w:tr>
      <w:tr w:rsidR="001A62D7" w:rsidRPr="00E07C68" w:rsidTr="001D5990">
        <w:tc>
          <w:tcPr>
            <w:tcW w:w="4908" w:type="dxa"/>
            <w:tcBorders>
              <w:bottom w:val="dotted" w:sz="4" w:space="0" w:color="auto"/>
            </w:tcBorders>
            <w:shd w:val="clear" w:color="auto" w:fill="auto"/>
          </w:tcPr>
          <w:p w:rsidR="001A62D7" w:rsidRPr="00E07C68" w:rsidRDefault="001A62D7" w:rsidP="001D5990">
            <w:pPr>
              <w:spacing w:before="60" w:after="60"/>
              <w:jc w:val="left"/>
              <w:rPr>
                <w:rFonts w:eastAsia="Calibri"/>
                <w:noProof/>
              </w:rPr>
            </w:pPr>
            <w:r w:rsidRPr="00E07C68">
              <w:rPr>
                <w:noProof/>
              </w:rPr>
              <w:t>Numărul total de beneficiari eligibili</w:t>
            </w:r>
          </w:p>
        </w:tc>
        <w:tc>
          <w:tcPr>
            <w:tcW w:w="4379" w:type="dxa"/>
            <w:tcBorders>
              <w:bottom w:val="dotted" w:sz="4" w:space="0" w:color="auto"/>
            </w:tcBorders>
            <w:shd w:val="clear" w:color="auto" w:fill="auto"/>
          </w:tcPr>
          <w:p w:rsidR="001A62D7" w:rsidRPr="00E07C68" w:rsidRDefault="005B68D8" w:rsidP="001D5990">
            <w:pPr>
              <w:spacing w:before="60" w:after="60"/>
              <w:ind w:rightChars="192" w:right="461"/>
              <w:jc w:val="left"/>
              <w:rPr>
                <w:rFonts w:eastAsia="Calibri"/>
                <w:noProof/>
              </w:rPr>
            </w:pPr>
            <w:r w:rsidRPr="00E07C68">
              <w:rPr>
                <w:noProof/>
              </w:rPr>
              <w:t>803</w:t>
            </w:r>
          </w:p>
        </w:tc>
      </w:tr>
      <w:tr w:rsidR="001A62D7" w:rsidRPr="00E07C68" w:rsidTr="001D5990">
        <w:tc>
          <w:tcPr>
            <w:tcW w:w="4908" w:type="dxa"/>
            <w:tcBorders>
              <w:top w:val="dotted" w:sz="4" w:space="0" w:color="auto"/>
              <w:bottom w:val="dotted" w:sz="4" w:space="0" w:color="auto"/>
            </w:tcBorders>
            <w:shd w:val="clear" w:color="auto" w:fill="auto"/>
          </w:tcPr>
          <w:p w:rsidR="001A62D7" w:rsidRPr="00E07C68" w:rsidRDefault="001A62D7" w:rsidP="001D5990">
            <w:pPr>
              <w:spacing w:before="60" w:after="60"/>
              <w:jc w:val="left"/>
              <w:rPr>
                <w:rFonts w:eastAsia="Calibri"/>
                <w:noProof/>
              </w:rPr>
            </w:pPr>
            <w:r w:rsidRPr="00E07C68">
              <w:rPr>
                <w:noProof/>
              </w:rPr>
              <w:t>Numărul total de beneficiari vizați</w:t>
            </w:r>
          </w:p>
        </w:tc>
        <w:tc>
          <w:tcPr>
            <w:tcW w:w="4379" w:type="dxa"/>
            <w:tcBorders>
              <w:top w:val="dotted" w:sz="4" w:space="0" w:color="auto"/>
              <w:bottom w:val="dotted" w:sz="4" w:space="0" w:color="auto"/>
            </w:tcBorders>
            <w:shd w:val="clear" w:color="auto" w:fill="auto"/>
          </w:tcPr>
          <w:p w:rsidR="001A62D7" w:rsidRPr="00E07C68" w:rsidRDefault="005B68D8" w:rsidP="001D5990">
            <w:pPr>
              <w:spacing w:before="60" w:after="60"/>
              <w:ind w:rightChars="192" w:right="461"/>
              <w:jc w:val="left"/>
              <w:rPr>
                <w:rFonts w:eastAsia="Calibri"/>
                <w:noProof/>
              </w:rPr>
            </w:pPr>
            <w:r w:rsidRPr="00E07C68">
              <w:rPr>
                <w:noProof/>
              </w:rPr>
              <w:t>803</w:t>
            </w:r>
          </w:p>
        </w:tc>
      </w:tr>
      <w:tr w:rsidR="001A62D7" w:rsidRPr="00E07C68" w:rsidTr="001D5990">
        <w:tc>
          <w:tcPr>
            <w:tcW w:w="4908" w:type="dxa"/>
            <w:tcBorders>
              <w:bottom w:val="dotted" w:sz="4" w:space="0" w:color="auto"/>
            </w:tcBorders>
            <w:shd w:val="clear" w:color="auto" w:fill="auto"/>
            <w:vAlign w:val="center"/>
          </w:tcPr>
          <w:p w:rsidR="001A62D7" w:rsidRPr="00E07C68" w:rsidRDefault="001A62D7" w:rsidP="001D5990">
            <w:pPr>
              <w:spacing w:before="0" w:after="0"/>
              <w:jc w:val="left"/>
              <w:rPr>
                <w:noProof/>
              </w:rPr>
            </w:pPr>
            <w:r w:rsidRPr="00E07C68">
              <w:rPr>
                <w:noProof/>
              </w:rPr>
              <w:lastRenderedPageBreak/>
              <w:t>Bugetul pentru servicii personalizate (EUR)</w:t>
            </w:r>
          </w:p>
        </w:tc>
        <w:tc>
          <w:tcPr>
            <w:tcW w:w="4379" w:type="dxa"/>
            <w:tcBorders>
              <w:bottom w:val="dotted" w:sz="4" w:space="0" w:color="auto"/>
            </w:tcBorders>
            <w:shd w:val="clear" w:color="auto" w:fill="auto"/>
            <w:vAlign w:val="center"/>
          </w:tcPr>
          <w:p w:rsidR="001A62D7" w:rsidRPr="00E07C68" w:rsidRDefault="006B2E5B" w:rsidP="001D5990">
            <w:pPr>
              <w:spacing w:before="0" w:after="0"/>
              <w:ind w:rightChars="192" w:right="461"/>
              <w:jc w:val="left"/>
              <w:rPr>
                <w:noProof/>
              </w:rPr>
            </w:pPr>
            <w:r w:rsidRPr="00E07C68">
              <w:rPr>
                <w:noProof/>
              </w:rPr>
              <w:t>2 412 465</w:t>
            </w:r>
          </w:p>
        </w:tc>
      </w:tr>
      <w:tr w:rsidR="001A62D7" w:rsidRPr="00E07C68" w:rsidTr="001D5990">
        <w:tc>
          <w:tcPr>
            <w:tcW w:w="4908" w:type="dxa"/>
            <w:tcBorders>
              <w:top w:val="dotted" w:sz="4" w:space="0" w:color="auto"/>
              <w:bottom w:val="dotted" w:sz="4" w:space="0" w:color="auto"/>
            </w:tcBorders>
            <w:shd w:val="clear" w:color="auto" w:fill="auto"/>
            <w:vAlign w:val="center"/>
          </w:tcPr>
          <w:p w:rsidR="001A62D7" w:rsidRPr="00E07C68" w:rsidRDefault="001A62D7" w:rsidP="001D5990">
            <w:pPr>
              <w:spacing w:before="0" w:after="0"/>
              <w:jc w:val="left"/>
              <w:rPr>
                <w:noProof/>
              </w:rPr>
            </w:pPr>
            <w:r w:rsidRPr="00E07C68">
              <w:rPr>
                <w:noProof/>
              </w:rPr>
              <w:t>Bugetul pentru implementarea FEG</w:t>
            </w:r>
            <w:r w:rsidRPr="00E07C68">
              <w:rPr>
                <w:rStyle w:val="FootnoteReference"/>
                <w:noProof/>
              </w:rPr>
              <w:footnoteReference w:id="4"/>
            </w:r>
            <w:r w:rsidRPr="00E07C68">
              <w:rPr>
                <w:noProof/>
              </w:rPr>
              <w:t xml:space="preserve"> (EUR)</w:t>
            </w:r>
          </w:p>
        </w:tc>
        <w:tc>
          <w:tcPr>
            <w:tcW w:w="4379" w:type="dxa"/>
            <w:tcBorders>
              <w:top w:val="dotted" w:sz="4" w:space="0" w:color="auto"/>
              <w:bottom w:val="dotted" w:sz="4" w:space="0" w:color="auto"/>
            </w:tcBorders>
            <w:shd w:val="clear" w:color="auto" w:fill="auto"/>
            <w:vAlign w:val="center"/>
          </w:tcPr>
          <w:p w:rsidR="001A62D7" w:rsidRPr="00E07C68" w:rsidRDefault="003827EA" w:rsidP="001D5990">
            <w:pPr>
              <w:spacing w:before="0" w:after="0"/>
              <w:ind w:rightChars="192" w:right="461"/>
              <w:jc w:val="left"/>
              <w:rPr>
                <w:noProof/>
              </w:rPr>
            </w:pPr>
            <w:r w:rsidRPr="00E07C68">
              <w:rPr>
                <w:noProof/>
              </w:rPr>
              <w:t>96 400</w:t>
            </w:r>
          </w:p>
        </w:tc>
      </w:tr>
      <w:tr w:rsidR="001A62D7" w:rsidRPr="00E07C68" w:rsidTr="001D5990">
        <w:tc>
          <w:tcPr>
            <w:tcW w:w="4908" w:type="dxa"/>
            <w:tcBorders>
              <w:top w:val="dotted" w:sz="4" w:space="0" w:color="auto"/>
              <w:bottom w:val="dotted" w:sz="4" w:space="0" w:color="auto"/>
            </w:tcBorders>
            <w:shd w:val="clear" w:color="auto" w:fill="auto"/>
            <w:vAlign w:val="center"/>
          </w:tcPr>
          <w:p w:rsidR="001A62D7" w:rsidRPr="00E07C68" w:rsidRDefault="001A62D7" w:rsidP="001D5990">
            <w:pPr>
              <w:spacing w:before="0" w:after="0"/>
              <w:jc w:val="left"/>
              <w:rPr>
                <w:noProof/>
              </w:rPr>
            </w:pPr>
            <w:r w:rsidRPr="00E07C68">
              <w:rPr>
                <w:noProof/>
              </w:rPr>
              <w:t>Bugetul total (EUR)</w:t>
            </w:r>
          </w:p>
        </w:tc>
        <w:tc>
          <w:tcPr>
            <w:tcW w:w="4379" w:type="dxa"/>
            <w:tcBorders>
              <w:top w:val="dotted" w:sz="4" w:space="0" w:color="auto"/>
              <w:bottom w:val="dotted" w:sz="4" w:space="0" w:color="auto"/>
            </w:tcBorders>
            <w:shd w:val="clear" w:color="auto" w:fill="auto"/>
            <w:vAlign w:val="center"/>
          </w:tcPr>
          <w:p w:rsidR="001A62D7" w:rsidRPr="00E07C68" w:rsidRDefault="006B2E5B" w:rsidP="001D5990">
            <w:pPr>
              <w:spacing w:before="0" w:after="0"/>
              <w:ind w:rightChars="192" w:right="461"/>
              <w:jc w:val="left"/>
              <w:rPr>
                <w:noProof/>
              </w:rPr>
            </w:pPr>
            <w:r w:rsidRPr="00E07C68">
              <w:rPr>
                <w:noProof/>
              </w:rPr>
              <w:t>2 508 865</w:t>
            </w:r>
          </w:p>
        </w:tc>
      </w:tr>
      <w:tr w:rsidR="001A62D7" w:rsidRPr="00E07C68" w:rsidTr="001D5990">
        <w:tc>
          <w:tcPr>
            <w:tcW w:w="4908" w:type="dxa"/>
            <w:tcBorders>
              <w:top w:val="dotted" w:sz="4" w:space="0" w:color="auto"/>
            </w:tcBorders>
            <w:shd w:val="clear" w:color="auto" w:fill="auto"/>
            <w:vAlign w:val="center"/>
          </w:tcPr>
          <w:p w:rsidR="001A62D7" w:rsidRPr="00E07C68" w:rsidRDefault="001A62D7" w:rsidP="001D5990">
            <w:pPr>
              <w:spacing w:before="0" w:after="0"/>
              <w:jc w:val="left"/>
              <w:rPr>
                <w:noProof/>
              </w:rPr>
            </w:pPr>
            <w:r w:rsidRPr="00E07C68">
              <w:rPr>
                <w:noProof/>
              </w:rPr>
              <w:t>Contribuția FEG (85 %) (EUR)</w:t>
            </w:r>
          </w:p>
        </w:tc>
        <w:tc>
          <w:tcPr>
            <w:tcW w:w="4379" w:type="dxa"/>
            <w:tcBorders>
              <w:top w:val="dotted" w:sz="4" w:space="0" w:color="auto"/>
            </w:tcBorders>
            <w:shd w:val="clear" w:color="auto" w:fill="auto"/>
            <w:vAlign w:val="center"/>
          </w:tcPr>
          <w:p w:rsidR="001A62D7" w:rsidRPr="00E07C68" w:rsidRDefault="005B68D8" w:rsidP="001D5990">
            <w:pPr>
              <w:spacing w:before="0" w:after="0"/>
              <w:ind w:rightChars="192" w:right="461"/>
              <w:jc w:val="left"/>
              <w:rPr>
                <w:noProof/>
              </w:rPr>
            </w:pPr>
            <w:bookmarkStart w:id="9" w:name="_Hlk224139662"/>
            <w:r w:rsidRPr="00E07C68">
              <w:rPr>
                <w:noProof/>
              </w:rPr>
              <w:t>2 132 535</w:t>
            </w:r>
            <w:bookmarkEnd w:id="9"/>
          </w:p>
        </w:tc>
      </w:tr>
    </w:tbl>
    <w:p w:rsidR="001A62D7" w:rsidRPr="00E07C68" w:rsidRDefault="001A62D7" w:rsidP="001A62D7">
      <w:pPr>
        <w:pStyle w:val="ManualHeading1"/>
        <w:rPr>
          <w:noProof/>
        </w:rPr>
      </w:pPr>
      <w:r w:rsidRPr="00E07C68">
        <w:rPr>
          <w:noProof/>
        </w:rPr>
        <w:t>EVALUAREA CERERII</w:t>
      </w:r>
    </w:p>
    <w:p w:rsidR="001A62D7" w:rsidRPr="00E07C68" w:rsidRDefault="001A62D7" w:rsidP="001A62D7">
      <w:pPr>
        <w:pStyle w:val="ManualHeading2"/>
        <w:rPr>
          <w:noProof/>
        </w:rPr>
      </w:pPr>
      <w:r w:rsidRPr="00E07C68">
        <w:rPr>
          <w:noProof/>
        </w:rPr>
        <w:t>Procedura</w:t>
      </w:r>
    </w:p>
    <w:p w:rsidR="001A62D7" w:rsidRPr="00E07C68" w:rsidRDefault="005B68D8" w:rsidP="00AE7D04">
      <w:pPr>
        <w:pStyle w:val="ManualNumPar1"/>
        <w:rPr>
          <w:noProof/>
        </w:rPr>
      </w:pPr>
      <w:r>
        <w:rPr>
          <w:noProof/>
        </w:rPr>
        <w:t>4.</w:t>
      </w:r>
      <w:r>
        <w:rPr>
          <w:noProof/>
        </w:rPr>
        <w:tab/>
      </w:r>
      <w:r w:rsidRPr="00E07C68">
        <w:rPr>
          <w:noProof/>
        </w:rPr>
        <w:t xml:space="preserve">La 22 decembrie 2025, Belgia a depus cererea EGF/2025/009 BE/Soliver în termen de 12 săptămâni de la data la care au fost îndeplinite criteriile de intervenție prevăzute la articolul 4 alineatul (2) litera (a) din Regulamentul (UE) 2021/691. Comisia se afla în posesia traducerii cererii la 3 februarie 2026. Comisia a confirmat primirea cererii și a solicitat Belgiei informații suplimentare la 17 februarie 2026. Aceste informații suplimentare au fost furnizate în termen de 15 zile lucrătoare de la data cererii. Perioada de 50 de zile lucrătoare de la data primirii cererii complete, în cursul căreia Comisia trebuie să finalizeze evaluarea măsurii în care cererea îndeplinește condițiile de acordare a unei contribuții financiare, expiră la 28 mai 2026. </w:t>
      </w:r>
    </w:p>
    <w:p w:rsidR="001A62D7" w:rsidRPr="00E07C68" w:rsidRDefault="001A62D7" w:rsidP="001A62D7">
      <w:pPr>
        <w:pStyle w:val="ManualHeading2"/>
        <w:rPr>
          <w:noProof/>
        </w:rPr>
      </w:pPr>
      <w:r w:rsidRPr="00E07C68">
        <w:rPr>
          <w:noProof/>
        </w:rPr>
        <w:t>Eligibilitatea cererii</w:t>
      </w:r>
    </w:p>
    <w:p w:rsidR="001A62D7" w:rsidRPr="00E07C68" w:rsidRDefault="001A62D7" w:rsidP="001A62D7">
      <w:pPr>
        <w:pStyle w:val="ManualHeading3"/>
        <w:rPr>
          <w:noProof/>
        </w:rPr>
      </w:pPr>
      <w:r w:rsidRPr="00E07C68">
        <w:rPr>
          <w:noProof/>
        </w:rPr>
        <w:t>Întreprinderile și beneficiarii în cauză</w:t>
      </w:r>
    </w:p>
    <w:p w:rsidR="001A62D7" w:rsidRPr="00E07C68" w:rsidRDefault="001A62D7" w:rsidP="00AE7D04">
      <w:pPr>
        <w:pStyle w:val="ManualNumPar1"/>
        <w:rPr>
          <w:noProof/>
          <w:szCs w:val="24"/>
        </w:rPr>
      </w:pPr>
      <w:r>
        <w:rPr>
          <w:noProof/>
        </w:rPr>
        <w:t>5.</w:t>
      </w:r>
      <w:r>
        <w:rPr>
          <w:noProof/>
        </w:rPr>
        <w:tab/>
      </w:r>
      <w:r w:rsidRPr="00E07C68">
        <w:rPr>
          <w:noProof/>
        </w:rPr>
        <w:t>Cererea se referă la 803 lucrători, a căror activitate în cadrul Soliver a încetat. Această întreprindere și-a desfășurat activitatea în sectorul economic clasificat în cadrul diviziunii 46 din NACE Rev. 2 (Comerț cu ridicata). Locurile de muncă desființate de Soliver sunt situate în regiunile NUTS 2 Provincie Oost-Vlaanderen (BE23) și Provincie West-Vlaanderen (BE25).</w:t>
      </w:r>
    </w:p>
    <w:p w:rsidR="001A62D7" w:rsidRPr="00E07C68" w:rsidRDefault="001A62D7" w:rsidP="001A62D7">
      <w:pPr>
        <w:pStyle w:val="ManualHeading3"/>
        <w:rPr>
          <w:noProof/>
        </w:rPr>
      </w:pPr>
      <w:r w:rsidRPr="00E07C68">
        <w:rPr>
          <w:noProof/>
        </w:rPr>
        <w:t>Criteriile de intervenție</w:t>
      </w:r>
    </w:p>
    <w:p w:rsidR="001A62D7" w:rsidRPr="00E07C68" w:rsidRDefault="005B68D8" w:rsidP="001A62D7">
      <w:pPr>
        <w:pStyle w:val="ManualNumPar1"/>
        <w:rPr>
          <w:noProof/>
        </w:rPr>
      </w:pPr>
      <w:r>
        <w:rPr>
          <w:noProof/>
        </w:rPr>
        <w:t>6.</w:t>
      </w:r>
      <w:r>
        <w:rPr>
          <w:noProof/>
        </w:rPr>
        <w:tab/>
      </w:r>
      <w:r w:rsidRPr="00E07C68">
        <w:rPr>
          <w:noProof/>
        </w:rPr>
        <w:t xml:space="preserve">Belgia a depus cererea în temeiul criteriilor de intervenție prevăzute la articolul 4 alineatul (2) litera (a) din Regulamentul (UE) 2021/691, care prevede drept condiție încetarea activității a cel puțin 200 de lucrători disponibilizați, într-o perioadă de referință de patru luni, într-o întreprindere dintr-un stat membru, inclusiv lucrători disponibilizați de furnizorii și producătorii din aval și/sau lucrători independenți a căror activitate a încetat. </w:t>
      </w:r>
    </w:p>
    <w:p w:rsidR="001A62D7" w:rsidRPr="00E07C68" w:rsidRDefault="001A62D7" w:rsidP="001A62D7">
      <w:pPr>
        <w:pStyle w:val="ManualNumPar1"/>
        <w:rPr>
          <w:noProof/>
        </w:rPr>
      </w:pPr>
      <w:r>
        <w:rPr>
          <w:noProof/>
        </w:rPr>
        <w:t>7.</w:t>
      </w:r>
      <w:r>
        <w:rPr>
          <w:noProof/>
        </w:rPr>
        <w:tab/>
      </w:r>
      <w:bookmarkStart w:id="10" w:name="_Ref372189348"/>
      <w:r w:rsidRPr="00E07C68">
        <w:rPr>
          <w:noProof/>
        </w:rPr>
        <w:t>Perioada de referință de patru luni pentru cerere este cuprinsă între 1 iulie 2025 și</w:t>
      </w:r>
      <w:bookmarkEnd w:id="10"/>
      <w:r w:rsidRPr="00E07C68">
        <w:rPr>
          <w:noProof/>
        </w:rPr>
        <w:t xml:space="preserve"> 1 noiembrie 2025.</w:t>
      </w:r>
    </w:p>
    <w:p w:rsidR="001A62D7" w:rsidRPr="00E07C68" w:rsidRDefault="00F07146" w:rsidP="00F07146">
      <w:pPr>
        <w:pStyle w:val="ManualNumPar1"/>
        <w:rPr>
          <w:noProof/>
        </w:rPr>
      </w:pPr>
      <w:r>
        <w:rPr>
          <w:noProof/>
        </w:rPr>
        <w:t>8.</w:t>
      </w:r>
      <w:r>
        <w:rPr>
          <w:noProof/>
        </w:rPr>
        <w:tab/>
      </w:r>
      <w:r w:rsidRPr="00E07C68">
        <w:rPr>
          <w:noProof/>
        </w:rPr>
        <w:t>În perioada de referință, Soliver a disponibilizat 803 lucrători.</w:t>
      </w:r>
      <w:r w:rsidR="00E07C68">
        <w:rPr>
          <w:noProof/>
          <w:color w:val="FFFFFF" w:themeColor="background1"/>
        </w:rPr>
        <w:t xml:space="preserve"> </w:t>
      </w:r>
    </w:p>
    <w:p w:rsidR="001A62D7" w:rsidRPr="00E07C68" w:rsidRDefault="001A62D7" w:rsidP="001A62D7">
      <w:pPr>
        <w:pStyle w:val="ManualHeading3"/>
        <w:rPr>
          <w:noProof/>
        </w:rPr>
      </w:pPr>
      <w:r w:rsidRPr="00E07C68">
        <w:rPr>
          <w:noProof/>
        </w:rPr>
        <w:t>Calcularea disponibilizărilor și a cazurilor de încetare a activității</w:t>
      </w:r>
    </w:p>
    <w:p w:rsidR="001A62D7" w:rsidRPr="00E07C68" w:rsidRDefault="001A62D7" w:rsidP="001A62D7">
      <w:pPr>
        <w:pStyle w:val="ManualNumPar1"/>
        <w:rPr>
          <w:noProof/>
        </w:rPr>
      </w:pPr>
      <w:r>
        <w:rPr>
          <w:noProof/>
        </w:rPr>
        <w:t>9.</w:t>
      </w:r>
      <w:r>
        <w:rPr>
          <w:noProof/>
        </w:rPr>
        <w:tab/>
      </w:r>
      <w:r w:rsidRPr="00E07C68">
        <w:rPr>
          <w:noProof/>
        </w:rPr>
        <w:t xml:space="preserve">În temeiul articolului 6 primul paragraf litera (a) coroborat cu articolul 5 primul paragraf din Regulamentul (UE) 2021/691, toate cele 803 de disponibilizări din cursul perioadei de referință au fost calculate de la data încetării </w:t>
      </w:r>
      <w:r w:rsidRPr="00E07C68">
        <w:rPr>
          <w:i/>
          <w:iCs/>
          <w:noProof/>
        </w:rPr>
        <w:t>de facto</w:t>
      </w:r>
      <w:r w:rsidRPr="00E07C68">
        <w:rPr>
          <w:noProof/>
        </w:rPr>
        <w:t xml:space="preserve"> a contractului de muncă sau de la data expirării acestuia.</w:t>
      </w:r>
    </w:p>
    <w:p w:rsidR="001A62D7" w:rsidRPr="00E07C68" w:rsidRDefault="001A62D7" w:rsidP="001A62D7">
      <w:pPr>
        <w:pStyle w:val="ManualHeading3"/>
        <w:rPr>
          <w:noProof/>
        </w:rPr>
      </w:pPr>
      <w:r w:rsidRPr="00E07C68">
        <w:rPr>
          <w:noProof/>
        </w:rPr>
        <w:t>Beneficiarii eligibili</w:t>
      </w:r>
    </w:p>
    <w:p w:rsidR="001A62D7" w:rsidRPr="00E07C68" w:rsidRDefault="001A62D7" w:rsidP="00AE7D04">
      <w:pPr>
        <w:pStyle w:val="ManualNumPar1"/>
        <w:rPr>
          <w:noProof/>
        </w:rPr>
      </w:pPr>
      <w:r>
        <w:rPr>
          <w:noProof/>
        </w:rPr>
        <w:t>10.</w:t>
      </w:r>
      <w:r>
        <w:rPr>
          <w:noProof/>
        </w:rPr>
        <w:tab/>
      </w:r>
      <w:r w:rsidRPr="00E07C68">
        <w:rPr>
          <w:noProof/>
        </w:rPr>
        <w:t>Numărul total de beneficiari eligibili este de 803.</w:t>
      </w:r>
    </w:p>
    <w:p w:rsidR="001A62D7" w:rsidRPr="00E07C68" w:rsidRDefault="001A62D7" w:rsidP="001A62D7">
      <w:pPr>
        <w:pStyle w:val="ManualHeading3"/>
        <w:rPr>
          <w:noProof/>
        </w:rPr>
      </w:pPr>
      <w:r w:rsidRPr="00E07C68">
        <w:rPr>
          <w:noProof/>
        </w:rPr>
        <w:lastRenderedPageBreak/>
        <w:t>Descrierea evenimentelor care au determinat disponibilizările și încetarea activității</w:t>
      </w:r>
    </w:p>
    <w:p w:rsidR="008C3FE7" w:rsidRPr="00E07C68" w:rsidRDefault="001A62D7" w:rsidP="001E1BFF">
      <w:pPr>
        <w:pStyle w:val="ManualNumPar1"/>
        <w:rPr>
          <w:noProof/>
        </w:rPr>
      </w:pPr>
      <w:r>
        <w:rPr>
          <w:noProof/>
        </w:rPr>
        <w:t>11.</w:t>
      </w:r>
      <w:r>
        <w:rPr>
          <w:noProof/>
        </w:rPr>
        <w:tab/>
      </w:r>
      <w:r w:rsidRPr="00E07C68">
        <w:rPr>
          <w:noProof/>
        </w:rPr>
        <w:t>Evenimentul care a dus la aceste disponibilizări a fost declararea falimentului Soliver de către Tribunalul Comercial din Gent la 1 iulie 2025.</w:t>
      </w:r>
    </w:p>
    <w:p w:rsidR="00FF1A01" w:rsidRPr="00E07C68" w:rsidRDefault="00FF1A01" w:rsidP="001E1BFF">
      <w:pPr>
        <w:pStyle w:val="ManualNumPar1"/>
        <w:rPr>
          <w:noProof/>
        </w:rPr>
      </w:pPr>
      <w:r>
        <w:rPr>
          <w:noProof/>
        </w:rPr>
        <w:t>12.</w:t>
      </w:r>
      <w:r>
        <w:rPr>
          <w:noProof/>
        </w:rPr>
        <w:tab/>
      </w:r>
      <w:r w:rsidRPr="00E07C68">
        <w:rPr>
          <w:noProof/>
        </w:rPr>
        <w:t>Inițial o întreprindere familială belgiană producătoare de produse din sticlă (de exemplu, sticlă pentru construcții și pentru autovehicule), Soliver a fost achiziționată în 2018 de American Glass Products Holding (AGP), concentrându-se exclusiv pe sticla pentru autovehicule de înaltă tehnologie.</w:t>
      </w:r>
    </w:p>
    <w:p w:rsidR="001A62D7" w:rsidRPr="00E07C68" w:rsidRDefault="00986DA0" w:rsidP="001E1BFF">
      <w:pPr>
        <w:pStyle w:val="ManualNumPar1"/>
        <w:rPr>
          <w:noProof/>
        </w:rPr>
      </w:pPr>
      <w:r>
        <w:rPr>
          <w:noProof/>
        </w:rPr>
        <w:t>13.</w:t>
      </w:r>
      <w:r>
        <w:rPr>
          <w:noProof/>
        </w:rPr>
        <w:tab/>
      </w:r>
      <w:r w:rsidRPr="00E07C68">
        <w:rPr>
          <w:noProof/>
        </w:rPr>
        <w:t>După achiziție, Soliver s-a extins cu două noi situri în Flandra de Est (</w:t>
      </w:r>
      <w:bookmarkStart w:id="11" w:name="_Hlk224207785"/>
      <w:r w:rsidRPr="00E07C68">
        <w:rPr>
          <w:noProof/>
        </w:rPr>
        <w:t>Zwijnaarde și Evergem</w:t>
      </w:r>
      <w:bookmarkEnd w:id="11"/>
      <w:r w:rsidRPr="00E07C68">
        <w:rPr>
          <w:noProof/>
        </w:rPr>
        <w:t>), alături de fabrica sa inițială Rumbeke (Flandra de Vest). Zwijnaarde s-a specializat în ferestre de plafon pentru automobile electrice și acoperișuri panoramice pentru Ferrari, în timp ce Evergem a urmărit să stimuleze capacitatea de producție. Cu toate acestea, Zwijnaarde a întâmpinat dificultăți din cauza producției întârziate de modele de autoturisme, ceea ce a dus la închiderea a două linii și reducerea profitabilității. Evergem s-a dovedit neprofitabilă din cauza supracapacității și a unui declin în sectorul autovehiculelor. Întrucât nu a reușit să își rezolve problemele financiare, Soliver a declarat falimentul în decembrie 2024.</w:t>
      </w:r>
    </w:p>
    <w:p w:rsidR="001A62D7" w:rsidRPr="00E07C68" w:rsidRDefault="001A62D7" w:rsidP="001A62D7">
      <w:pPr>
        <w:pStyle w:val="ManualHeading3"/>
        <w:tabs>
          <w:tab w:val="clear" w:pos="850"/>
          <w:tab w:val="left" w:pos="0"/>
        </w:tabs>
        <w:ind w:left="0" w:firstLine="0"/>
        <w:rPr>
          <w:noProof/>
        </w:rPr>
      </w:pPr>
      <w:r w:rsidRPr="00E07C68">
        <w:rPr>
          <w:noProof/>
        </w:rPr>
        <w:t>Impactul preconizat al disponibilizărilor asupra economiei și a ocupării forței de muncă la nivel local, regional sau național</w:t>
      </w:r>
    </w:p>
    <w:p w:rsidR="00F0286E" w:rsidRPr="00E07C68" w:rsidRDefault="00327B30" w:rsidP="00E306C4">
      <w:pPr>
        <w:pStyle w:val="ManualNumPar1"/>
        <w:rPr>
          <w:noProof/>
        </w:rPr>
      </w:pPr>
      <w:r>
        <w:rPr>
          <w:noProof/>
        </w:rPr>
        <w:t>14.</w:t>
      </w:r>
      <w:r>
        <w:rPr>
          <w:noProof/>
        </w:rPr>
        <w:tab/>
      </w:r>
      <w:bookmarkStart w:id="12" w:name="_Hlk224135724"/>
      <w:r w:rsidRPr="00E07C68">
        <w:rPr>
          <w:noProof/>
        </w:rPr>
        <w:t>În 2025, 11 665 de întreprinderi au fost declarate falimentare în Belgia</w:t>
      </w:r>
      <w:r w:rsidRPr="00E07C68">
        <w:rPr>
          <w:rStyle w:val="FootnoteReference"/>
          <w:noProof/>
        </w:rPr>
        <w:footnoteReference w:id="5"/>
      </w:r>
      <w:r w:rsidRPr="00E07C68">
        <w:rPr>
          <w:noProof/>
        </w:rPr>
        <w:t>, ceea ce reprezintă o creștere de 5,0 % față de 2024 și de 13,6 % față de 2023</w:t>
      </w:r>
      <w:r w:rsidRPr="00E07C68">
        <w:rPr>
          <w:rStyle w:val="FootnoteReference"/>
          <w:noProof/>
        </w:rPr>
        <w:footnoteReference w:id="6"/>
      </w:r>
      <w:r w:rsidRPr="00E07C68">
        <w:rPr>
          <w:noProof/>
        </w:rPr>
        <w:t>. Majoritatea (57,8 %) priveau întreprinderi situate în Flandra. Ca urmare a acestor falimente, au fost pierdute 28 945 de locuri de muncă, dintre care 52,8 % în Flandra</w:t>
      </w:r>
      <w:r w:rsidRPr="00E07C68">
        <w:rPr>
          <w:rStyle w:val="FootnoteReference"/>
          <w:noProof/>
        </w:rPr>
        <w:footnoteReference w:id="7"/>
      </w:r>
      <w:r w:rsidRPr="00E07C68">
        <w:rPr>
          <w:noProof/>
        </w:rPr>
        <w:t>.</w:t>
      </w:r>
    </w:p>
    <w:bookmarkEnd w:id="12"/>
    <w:p w:rsidR="00733DEF" w:rsidRPr="00E07C68" w:rsidRDefault="00F0286E" w:rsidP="00E306C4">
      <w:pPr>
        <w:pStyle w:val="ManualNumPar1"/>
        <w:rPr>
          <w:noProof/>
        </w:rPr>
      </w:pPr>
      <w:r>
        <w:rPr>
          <w:noProof/>
        </w:rPr>
        <w:t>15.</w:t>
      </w:r>
      <w:r>
        <w:rPr>
          <w:noProof/>
        </w:rPr>
        <w:tab/>
      </w:r>
      <w:r w:rsidRPr="00E07C68">
        <w:rPr>
          <w:noProof/>
        </w:rPr>
        <w:t>Teritoriile cele mai afectate de falimentul Soliver sunt localitățile Roeselare (Flandra de Vest) și Gent (Flandra de Est). În ianuarie 2026, șomajul în Flandra de Vest a crescut cu 7,6 % de la an la an (36 916 de persoane aflate în căutarea unui loc de muncă înregistrate, 16 % din totalul Flandrei), în timp ce Flandra de Est a înregistrat o creștere de 6,6 % (54 154 de persoane aflate în căutarea unui loc de muncă, 24 % din totalul Flandrei). Creșterea șomajului în Roeselare (+ 9,6 %) a depășit media provincială cu 2 puncte procentuale (pp), în timp ce creșterea înregistrată de Gent (+ 5,0 %, cu 1,6 pp sub nivelul provincial) a fost mai puțin gravă.</w:t>
      </w:r>
    </w:p>
    <w:p w:rsidR="001A62D7" w:rsidRPr="00E07C68" w:rsidRDefault="008855AA" w:rsidP="00E306C4">
      <w:pPr>
        <w:pStyle w:val="ManualNumPar1"/>
        <w:rPr>
          <w:noProof/>
        </w:rPr>
      </w:pPr>
      <w:r>
        <w:rPr>
          <w:noProof/>
        </w:rPr>
        <w:t>16.</w:t>
      </w:r>
      <w:r>
        <w:rPr>
          <w:noProof/>
        </w:rPr>
        <w:tab/>
      </w:r>
      <w:r w:rsidRPr="00E07C68">
        <w:rPr>
          <w:noProof/>
        </w:rPr>
        <w:t>În 2025, numărul de locuri de muncă vacante a scăzut cu 14 % în Roeselare și cu 7 % în Gent</w:t>
      </w:r>
      <w:r w:rsidRPr="00E07C68">
        <w:rPr>
          <w:rStyle w:val="FootnoteReference"/>
          <w:noProof/>
        </w:rPr>
        <w:footnoteReference w:id="8"/>
      </w:r>
      <w:r w:rsidRPr="00E07C68">
        <w:rPr>
          <w:noProof/>
        </w:rPr>
        <w:t>, ceea ce a contribuit la răcirea pieței forței de muncă. Disponibilizările efectuate de Soliver vor înrăutăți ocuparea forței de muncă la nivel local. Cu toate acestea, este probabil ca lucrătorii calificați din punct de vedere tehnic sau cei care doresc să se recalifice să găsească oportunități din cauza deficitului de profesioniști în domeniul tehnic, cauzat de implicarea scăzută a tinerilor în formarea profesională și de îmbătrânirea forței de muncă.</w:t>
      </w:r>
    </w:p>
    <w:p w:rsidR="001A62D7" w:rsidRPr="00E07C68" w:rsidRDefault="001A62D7" w:rsidP="007E5241">
      <w:pPr>
        <w:pStyle w:val="ManualHeading2"/>
        <w:tabs>
          <w:tab w:val="clear" w:pos="850"/>
          <w:tab w:val="left" w:pos="993"/>
        </w:tabs>
        <w:ind w:left="0" w:firstLine="0"/>
        <w:rPr>
          <w:noProof/>
        </w:rPr>
      </w:pPr>
      <w:r w:rsidRPr="00E07C68">
        <w:rPr>
          <w:noProof/>
        </w:rPr>
        <w:t>Aplicarea Cadrului de calitate al UE pentru anticiparea schimbărilor și a restructurării (QFR)</w:t>
      </w:r>
    </w:p>
    <w:p w:rsidR="001A62D7" w:rsidRPr="00E07C68" w:rsidRDefault="005B68D8" w:rsidP="00AE7D04">
      <w:pPr>
        <w:pStyle w:val="ManualNumPar1"/>
        <w:rPr>
          <w:noProof/>
        </w:rPr>
      </w:pPr>
      <w:r>
        <w:rPr>
          <w:noProof/>
        </w:rPr>
        <w:t>17.</w:t>
      </w:r>
      <w:r>
        <w:rPr>
          <w:noProof/>
        </w:rPr>
        <w:tab/>
      </w:r>
      <w:r w:rsidRPr="00E07C68">
        <w:rPr>
          <w:noProof/>
        </w:rPr>
        <w:t>Belgia a descris modul în care au fost luate în considerare recomandările prevăzute în Cadrul de calitate al UE pentru anticiparea schimbărilor și restructurare.</w:t>
      </w:r>
    </w:p>
    <w:p w:rsidR="0055521B" w:rsidRPr="00E07C68" w:rsidRDefault="0055521B" w:rsidP="0055521B">
      <w:pPr>
        <w:pStyle w:val="ManualNumPar1"/>
        <w:rPr>
          <w:noProof/>
        </w:rPr>
      </w:pPr>
      <w:r>
        <w:rPr>
          <w:noProof/>
        </w:rPr>
        <w:lastRenderedPageBreak/>
        <w:t>18.</w:t>
      </w:r>
      <w:r>
        <w:rPr>
          <w:noProof/>
        </w:rPr>
        <w:tab/>
      </w:r>
      <w:r w:rsidRPr="00E07C68">
        <w:rPr>
          <w:noProof/>
        </w:rPr>
        <w:t>Belgia a raportat că legislația națională a muncii</w:t>
      </w:r>
      <w:r w:rsidRPr="00E07C68">
        <w:rPr>
          <w:rStyle w:val="FootnoteReference"/>
          <w:noProof/>
        </w:rPr>
        <w:footnoteReference w:id="9"/>
      </w:r>
      <w:r w:rsidRPr="00E07C68">
        <w:rPr>
          <w:noProof/>
        </w:rPr>
        <w:t xml:space="preserve"> privind gestionarea activă a restructurării impune întreprinderilor care realizează restructurări să înființeze o unitate de ocupare a forței de muncă, al cărei scop este acela de a oferi lucrătorilor disponibilizați în contextul concedierilor colective 30 de ore de servicii de plasare pe piața muncii într-o perioadă de trei luni (60 de ore într-o perioadă de șase luni în cazul lucrătorilor cu vârsta mai mare de 45 de ani). Totuși, această obligație juridică nu se aplică în caz de faliment. Prin urmare, măsura de plasare pe piața muncii a personalului disponibilizat descrisă mai jos la punctul 24 înlocuiește serviciile de consiliere și de plasare pe piața muncii a personalului disponibilizat de care acești lucrători disponibilizați nu beneficiază. </w:t>
      </w:r>
    </w:p>
    <w:p w:rsidR="001A62D7" w:rsidRPr="00E07C68" w:rsidRDefault="001A62D7" w:rsidP="00AE7D04">
      <w:pPr>
        <w:pStyle w:val="ManualNumPar1"/>
        <w:rPr>
          <w:noProof/>
        </w:rPr>
      </w:pPr>
      <w:r>
        <w:rPr>
          <w:noProof/>
        </w:rPr>
        <w:t>19.</w:t>
      </w:r>
      <w:r>
        <w:rPr>
          <w:noProof/>
        </w:rPr>
        <w:tab/>
      </w:r>
      <w:r w:rsidRPr="00E07C68">
        <w:rPr>
          <w:noProof/>
        </w:rPr>
        <w:t xml:space="preserve">În ceea ce privește activitățile întreprinse pentru a sprijini lucrătorii disponibilizați, Belgia a raportat că primul eveniment de căutare a unui loc de muncă („târgul locurilor de muncă”) descris mai jos a avut loc la Roeselare, tot în cursul procedurii de faliment, la 11 iunie 2025. Un al doilea târg al locurilor de muncă a avut loc la Gent la 25 septembrie 2025. Sesiunile de informare și înregistrare, precum și serviciile de plasare a personalului disponibilizat pentru a sprijini foștii lucrători ai Soliver au fost lansate la 11 iulie 2025, la scurt timp după declararea falimentului. </w:t>
      </w:r>
    </w:p>
    <w:p w:rsidR="001A62D7" w:rsidRPr="00E07C68" w:rsidRDefault="001A62D7" w:rsidP="001A62D7">
      <w:pPr>
        <w:pStyle w:val="ManualHeading3"/>
        <w:rPr>
          <w:noProof/>
        </w:rPr>
      </w:pPr>
      <w:r w:rsidRPr="00E07C68">
        <w:rPr>
          <w:noProof/>
        </w:rPr>
        <w:t>Complementaritatea cu acțiunile finanțate din fonduri naționale sau fonduri ale Uniunii</w:t>
      </w:r>
    </w:p>
    <w:p w:rsidR="001A62D7" w:rsidRPr="00E07C68" w:rsidRDefault="005B68D8" w:rsidP="00AE7D04">
      <w:pPr>
        <w:pStyle w:val="ManualNumPar1"/>
        <w:rPr>
          <w:noProof/>
        </w:rPr>
      </w:pPr>
      <w:r>
        <w:rPr>
          <w:noProof/>
        </w:rPr>
        <w:t>20.</w:t>
      </w:r>
      <w:r>
        <w:rPr>
          <w:noProof/>
        </w:rPr>
        <w:tab/>
      </w:r>
      <w:r w:rsidRPr="00E07C68">
        <w:rPr>
          <w:noProof/>
        </w:rPr>
        <w:t>Belgia a confirmat faptul că măsurile descrise mai jos care primesc o contribuție financiară din partea FEG nu vor beneficia și de contribuții financiare din partea altor instrumente financiare ale Uniunii.</w:t>
      </w:r>
    </w:p>
    <w:p w:rsidR="001A62D7" w:rsidRPr="00E07C68" w:rsidRDefault="001A62D7" w:rsidP="00AE7D04">
      <w:pPr>
        <w:pStyle w:val="ManualNumPar1"/>
        <w:rPr>
          <w:noProof/>
        </w:rPr>
      </w:pPr>
      <w:r>
        <w:rPr>
          <w:noProof/>
        </w:rPr>
        <w:t>21.</w:t>
      </w:r>
      <w:r>
        <w:rPr>
          <w:noProof/>
        </w:rPr>
        <w:tab/>
      </w:r>
      <w:r w:rsidRPr="00E07C68">
        <w:rPr>
          <w:noProof/>
        </w:rPr>
        <w:t>Pachetul coordonat de servicii personalizate completează acțiunile finanțate prin alte fonduri naționale sau ale UE.</w:t>
      </w:r>
    </w:p>
    <w:p w:rsidR="001A62D7" w:rsidRPr="00E07C68" w:rsidRDefault="001A62D7" w:rsidP="001A62D7">
      <w:pPr>
        <w:pStyle w:val="ManualHeading3"/>
        <w:tabs>
          <w:tab w:val="clear" w:pos="850"/>
          <w:tab w:val="left" w:pos="0"/>
        </w:tabs>
        <w:ind w:left="0" w:firstLine="0"/>
        <w:rPr>
          <w:noProof/>
          <w:u w:val="single"/>
        </w:rPr>
      </w:pPr>
      <w:r w:rsidRPr="00E07C68">
        <w:rPr>
          <w:noProof/>
        </w:rPr>
        <w:t>Proceduri de consultare a beneficiarilor vizați sau a reprezentanților acestora ori a partenerilor sociali, precum și a autorităților locale și regionale</w:t>
      </w:r>
    </w:p>
    <w:p w:rsidR="001A62D7" w:rsidRPr="00E07C68" w:rsidRDefault="005B68D8" w:rsidP="00AE7D04">
      <w:pPr>
        <w:pStyle w:val="ManualNumPar1"/>
        <w:rPr>
          <w:noProof/>
        </w:rPr>
      </w:pPr>
      <w:r>
        <w:rPr>
          <w:noProof/>
        </w:rPr>
        <w:t>22.</w:t>
      </w:r>
      <w:r>
        <w:rPr>
          <w:noProof/>
        </w:rPr>
        <w:tab/>
      </w:r>
      <w:r w:rsidRPr="00E07C68">
        <w:rPr>
          <w:noProof/>
        </w:rPr>
        <w:t>Belgia a indicat că pachetul coordonat de servicii personalizate a fost elaborat în consultare cu experți, inclusiv unii membri ai grupului operativ, și cu partenerii sociali, în conformitate cu articolul 7 alineatul (4) din Regulamentul (UE) 2021/691. Pachetul final de măsuri a fost convenit cu Centrala generală a sindicatelor liberale din Belgia (ACLVB)</w:t>
      </w:r>
      <w:r w:rsidRPr="00E07C68">
        <w:rPr>
          <w:rStyle w:val="FootnoteReference"/>
          <w:noProof/>
        </w:rPr>
        <w:footnoteReference w:id="10"/>
      </w:r>
      <w:r w:rsidRPr="00E07C68">
        <w:rPr>
          <w:noProof/>
        </w:rPr>
        <w:t>, Federația generală a muncii din Belgia (ABVV)</w:t>
      </w:r>
      <w:r w:rsidRPr="00E07C68">
        <w:rPr>
          <w:rStyle w:val="FootnoteReference"/>
          <w:noProof/>
        </w:rPr>
        <w:footnoteReference w:id="11"/>
      </w:r>
      <w:r w:rsidRPr="00E07C68">
        <w:rPr>
          <w:noProof/>
        </w:rPr>
        <w:t xml:space="preserve"> și Confederația sindicatelor creștine (ACV)</w:t>
      </w:r>
      <w:r w:rsidRPr="00E07C68">
        <w:rPr>
          <w:rStyle w:val="FootnoteReference"/>
          <w:noProof/>
        </w:rPr>
        <w:footnoteReference w:id="12"/>
      </w:r>
      <w:r w:rsidRPr="00E07C68">
        <w:rPr>
          <w:noProof/>
        </w:rPr>
        <w:t xml:space="preserve"> în cadrul primei reuniuni a comitetului director, la 21 octombrie 2025.</w:t>
      </w:r>
    </w:p>
    <w:p w:rsidR="001A62D7" w:rsidRPr="00E07C68" w:rsidRDefault="001A62D7" w:rsidP="001A62D7">
      <w:pPr>
        <w:pStyle w:val="ManualHeading2"/>
        <w:rPr>
          <w:noProof/>
        </w:rPr>
      </w:pPr>
      <w:r w:rsidRPr="00E07C68">
        <w:rPr>
          <w:noProof/>
        </w:rPr>
        <w:t>Beneficiarii vizați și măsurile propuse</w:t>
      </w:r>
    </w:p>
    <w:p w:rsidR="001A62D7" w:rsidRPr="00E07C68" w:rsidRDefault="001A62D7" w:rsidP="001A62D7">
      <w:pPr>
        <w:pStyle w:val="ManualHeading3"/>
        <w:rPr>
          <w:noProof/>
        </w:rPr>
      </w:pPr>
      <w:r w:rsidRPr="00E07C68">
        <w:rPr>
          <w:noProof/>
        </w:rPr>
        <w:t>Beneficiarii vizați</w:t>
      </w:r>
    </w:p>
    <w:p w:rsidR="001A62D7" w:rsidRPr="00E07C68" w:rsidRDefault="00F07146" w:rsidP="00AE7D04">
      <w:pPr>
        <w:pStyle w:val="ManualNumPar1"/>
        <w:rPr>
          <w:noProof/>
        </w:rPr>
      </w:pPr>
      <w:r>
        <w:rPr>
          <w:noProof/>
        </w:rPr>
        <w:t>23.</w:t>
      </w:r>
      <w:r>
        <w:rPr>
          <w:noProof/>
        </w:rPr>
        <w:tab/>
      </w:r>
      <w:r w:rsidRPr="00E07C68">
        <w:rPr>
          <w:noProof/>
        </w:rPr>
        <w:t>Se preconizează că vor participa la măsuri toți cei 803 de lucrători disponibilizați. În conformitate cu articolul 8 alineatul (7) litera (f) din Regulamentul (UE) 2021/691, defalcarea acestor lucrători în funcție de gen, grupă de vârstă și nivel de studii este următoarea:</w:t>
      </w:r>
    </w:p>
    <w:tbl>
      <w:tblPr>
        <w:tblW w:w="0" w:type="auto"/>
        <w:jc w:val="center"/>
        <w:tblLook w:val="04A0" w:firstRow="1" w:lastRow="0" w:firstColumn="1" w:lastColumn="0" w:noHBand="0" w:noVBand="1"/>
      </w:tblPr>
      <w:tblGrid>
        <w:gridCol w:w="1496"/>
        <w:gridCol w:w="2063"/>
        <w:gridCol w:w="1176"/>
        <w:gridCol w:w="1176"/>
      </w:tblGrid>
      <w:tr w:rsidR="001A62D7" w:rsidRPr="00E07C68" w:rsidTr="001D5990">
        <w:trPr>
          <w:jc w:val="center"/>
        </w:trPr>
        <w:tc>
          <w:tcPr>
            <w:tcW w:w="3559" w:type="dxa"/>
            <w:gridSpan w:val="2"/>
            <w:tcBorders>
              <w:top w:val="single" w:sz="4" w:space="0" w:color="auto"/>
              <w:left w:val="nil"/>
              <w:bottom w:val="single" w:sz="4" w:space="0" w:color="auto"/>
              <w:right w:val="nil"/>
            </w:tcBorders>
            <w:hideMark/>
          </w:tcPr>
          <w:p w:rsidR="001A62D7" w:rsidRPr="00E07C68" w:rsidRDefault="001A62D7" w:rsidP="00155747">
            <w:pPr>
              <w:keepNext/>
              <w:keepLines/>
              <w:spacing w:before="60" w:after="60"/>
              <w:jc w:val="center"/>
              <w:rPr>
                <w:noProof/>
              </w:rPr>
            </w:pPr>
            <w:r w:rsidRPr="00E07C68">
              <w:rPr>
                <w:noProof/>
              </w:rPr>
              <w:lastRenderedPageBreak/>
              <w:t>Categorie</w:t>
            </w:r>
          </w:p>
        </w:tc>
        <w:tc>
          <w:tcPr>
            <w:tcW w:w="2352" w:type="dxa"/>
            <w:gridSpan w:val="2"/>
            <w:tcBorders>
              <w:top w:val="single" w:sz="4" w:space="0" w:color="auto"/>
              <w:left w:val="nil"/>
              <w:bottom w:val="single" w:sz="4" w:space="0" w:color="auto"/>
              <w:right w:val="nil"/>
            </w:tcBorders>
            <w:hideMark/>
          </w:tcPr>
          <w:p w:rsidR="001A62D7" w:rsidRPr="00E07C68" w:rsidRDefault="001A62D7" w:rsidP="00155747">
            <w:pPr>
              <w:keepNext/>
              <w:keepLines/>
              <w:spacing w:before="60" w:after="60"/>
              <w:jc w:val="center"/>
              <w:rPr>
                <w:noProof/>
              </w:rPr>
            </w:pPr>
            <w:r w:rsidRPr="00E07C68">
              <w:rPr>
                <w:noProof/>
              </w:rPr>
              <w:t>Numărul de</w:t>
            </w:r>
            <w:r w:rsidR="00E07C68">
              <w:rPr>
                <w:noProof/>
              </w:rPr>
              <w:t xml:space="preserve"> </w:t>
            </w:r>
            <w:r w:rsidRPr="00E07C68">
              <w:rPr>
                <w:noProof/>
              </w:rPr>
              <w:br/>
              <w:t>beneficiari preconizați</w:t>
            </w:r>
          </w:p>
        </w:tc>
      </w:tr>
      <w:tr w:rsidR="001A62D7" w:rsidRPr="00E07C68" w:rsidTr="001D5990">
        <w:trPr>
          <w:jc w:val="center"/>
        </w:trPr>
        <w:tc>
          <w:tcPr>
            <w:tcW w:w="1496" w:type="dxa"/>
            <w:tcBorders>
              <w:top w:val="single" w:sz="4" w:space="0" w:color="auto"/>
              <w:left w:val="nil"/>
              <w:right w:val="nil"/>
            </w:tcBorders>
            <w:hideMark/>
          </w:tcPr>
          <w:p w:rsidR="001A62D7" w:rsidRPr="00E07C68" w:rsidRDefault="001A62D7" w:rsidP="00155747">
            <w:pPr>
              <w:keepNext/>
              <w:keepLines/>
              <w:spacing w:before="60" w:after="60"/>
              <w:rPr>
                <w:noProof/>
              </w:rPr>
            </w:pPr>
            <w:r w:rsidRPr="00E07C68">
              <w:rPr>
                <w:noProof/>
              </w:rPr>
              <w:t>Sex:</w:t>
            </w:r>
          </w:p>
        </w:tc>
        <w:tc>
          <w:tcPr>
            <w:tcW w:w="2063" w:type="dxa"/>
            <w:tcBorders>
              <w:top w:val="single" w:sz="4" w:space="0" w:color="auto"/>
              <w:left w:val="nil"/>
              <w:right w:val="nil"/>
            </w:tcBorders>
            <w:hideMark/>
          </w:tcPr>
          <w:p w:rsidR="001A62D7" w:rsidRPr="00E07C68" w:rsidRDefault="001A62D7" w:rsidP="00155747">
            <w:pPr>
              <w:keepNext/>
              <w:keepLines/>
              <w:spacing w:before="60" w:after="60"/>
              <w:rPr>
                <w:noProof/>
              </w:rPr>
            </w:pPr>
            <w:r w:rsidRPr="00E07C68">
              <w:rPr>
                <w:noProof/>
              </w:rPr>
              <w:t>Bărbați:</w:t>
            </w:r>
          </w:p>
        </w:tc>
        <w:tc>
          <w:tcPr>
            <w:tcW w:w="1176" w:type="dxa"/>
            <w:tcBorders>
              <w:top w:val="single" w:sz="4" w:space="0" w:color="auto"/>
              <w:left w:val="nil"/>
              <w:right w:val="nil"/>
            </w:tcBorders>
            <w:hideMark/>
          </w:tcPr>
          <w:p w:rsidR="001A62D7" w:rsidRPr="00E07C68" w:rsidRDefault="00DC0B2E" w:rsidP="00155747">
            <w:pPr>
              <w:keepNext/>
              <w:keepLines/>
              <w:spacing w:before="60" w:after="60"/>
              <w:jc w:val="right"/>
              <w:rPr>
                <w:noProof/>
              </w:rPr>
            </w:pPr>
            <w:r w:rsidRPr="00E07C68">
              <w:rPr>
                <w:noProof/>
              </w:rPr>
              <w:t>616</w:t>
            </w:r>
          </w:p>
        </w:tc>
        <w:tc>
          <w:tcPr>
            <w:tcW w:w="1176" w:type="dxa"/>
            <w:tcBorders>
              <w:top w:val="single" w:sz="4" w:space="0" w:color="auto"/>
              <w:left w:val="nil"/>
              <w:right w:val="nil"/>
            </w:tcBorders>
            <w:hideMark/>
          </w:tcPr>
          <w:p w:rsidR="001A62D7" w:rsidRPr="00E07C68" w:rsidRDefault="001A62D7" w:rsidP="00155747">
            <w:pPr>
              <w:keepNext/>
              <w:keepLines/>
              <w:spacing w:before="60" w:after="60"/>
              <w:jc w:val="right"/>
              <w:rPr>
                <w:noProof/>
              </w:rPr>
            </w:pPr>
            <w:r w:rsidRPr="00E07C68">
              <w:rPr>
                <w:noProof/>
              </w:rPr>
              <w:t>(76,7 %)</w:t>
            </w:r>
          </w:p>
        </w:tc>
      </w:tr>
      <w:tr w:rsidR="001A62D7" w:rsidRPr="00E07C68" w:rsidTr="001D5990">
        <w:trPr>
          <w:jc w:val="center"/>
        </w:trPr>
        <w:tc>
          <w:tcPr>
            <w:tcW w:w="1496" w:type="dxa"/>
            <w:tcBorders>
              <w:top w:val="nil"/>
              <w:left w:val="nil"/>
              <w:right w:val="nil"/>
            </w:tcBorders>
          </w:tcPr>
          <w:p w:rsidR="001A62D7" w:rsidRPr="00E07C68" w:rsidRDefault="001A62D7" w:rsidP="001D5990">
            <w:pPr>
              <w:spacing w:before="60" w:after="60"/>
              <w:rPr>
                <w:noProof/>
              </w:rPr>
            </w:pPr>
          </w:p>
        </w:tc>
        <w:tc>
          <w:tcPr>
            <w:tcW w:w="2063" w:type="dxa"/>
            <w:tcBorders>
              <w:top w:val="nil"/>
              <w:left w:val="nil"/>
              <w:right w:val="nil"/>
            </w:tcBorders>
          </w:tcPr>
          <w:p w:rsidR="001A62D7" w:rsidRPr="00E07C68" w:rsidRDefault="001A62D7" w:rsidP="001D5990">
            <w:pPr>
              <w:spacing w:before="60" w:after="60"/>
              <w:rPr>
                <w:rFonts w:eastAsia="Calibri"/>
                <w:noProof/>
              </w:rPr>
            </w:pPr>
            <w:r w:rsidRPr="00E07C68">
              <w:rPr>
                <w:noProof/>
              </w:rPr>
              <w:t>Femei:</w:t>
            </w:r>
          </w:p>
        </w:tc>
        <w:tc>
          <w:tcPr>
            <w:tcW w:w="1176" w:type="dxa"/>
          </w:tcPr>
          <w:p w:rsidR="001A62D7" w:rsidRPr="00E07C68" w:rsidRDefault="00DC0B2E" w:rsidP="001D5990">
            <w:pPr>
              <w:spacing w:before="60" w:after="60"/>
              <w:jc w:val="right"/>
              <w:rPr>
                <w:noProof/>
              </w:rPr>
            </w:pPr>
            <w:r w:rsidRPr="00E07C68">
              <w:rPr>
                <w:noProof/>
              </w:rPr>
              <w:t>187</w:t>
            </w:r>
          </w:p>
        </w:tc>
        <w:tc>
          <w:tcPr>
            <w:tcW w:w="1176" w:type="dxa"/>
          </w:tcPr>
          <w:p w:rsidR="001A62D7" w:rsidRPr="00E07C68" w:rsidRDefault="001A62D7" w:rsidP="001D5990">
            <w:pPr>
              <w:spacing w:before="60" w:after="60"/>
              <w:jc w:val="right"/>
              <w:rPr>
                <w:rFonts w:eastAsia="Calibri"/>
                <w:noProof/>
              </w:rPr>
            </w:pPr>
            <w:r w:rsidRPr="00E07C68">
              <w:rPr>
                <w:noProof/>
              </w:rPr>
              <w:t>(23,3 %)</w:t>
            </w:r>
          </w:p>
        </w:tc>
      </w:tr>
      <w:tr w:rsidR="001A62D7" w:rsidRPr="00E07C68" w:rsidTr="001D5990">
        <w:trPr>
          <w:jc w:val="center"/>
        </w:trPr>
        <w:tc>
          <w:tcPr>
            <w:tcW w:w="1496" w:type="dxa"/>
            <w:tcBorders>
              <w:left w:val="nil"/>
              <w:bottom w:val="single" w:sz="4" w:space="0" w:color="auto"/>
              <w:right w:val="nil"/>
            </w:tcBorders>
          </w:tcPr>
          <w:p w:rsidR="001A62D7" w:rsidRPr="00E07C68" w:rsidRDefault="001A62D7" w:rsidP="001D5990">
            <w:pPr>
              <w:spacing w:before="60" w:after="60"/>
              <w:rPr>
                <w:noProof/>
              </w:rPr>
            </w:pPr>
          </w:p>
        </w:tc>
        <w:tc>
          <w:tcPr>
            <w:tcW w:w="2063" w:type="dxa"/>
            <w:tcBorders>
              <w:left w:val="nil"/>
              <w:bottom w:val="single" w:sz="4" w:space="0" w:color="auto"/>
              <w:right w:val="nil"/>
            </w:tcBorders>
          </w:tcPr>
          <w:p w:rsidR="001A62D7" w:rsidRPr="00E07C68" w:rsidRDefault="001A62D7" w:rsidP="001D5990">
            <w:pPr>
              <w:spacing w:before="60" w:after="60"/>
              <w:rPr>
                <w:noProof/>
              </w:rPr>
            </w:pPr>
            <w:r w:rsidRPr="00E07C68">
              <w:rPr>
                <w:noProof/>
              </w:rPr>
              <w:t>Persoane non-binare</w:t>
            </w:r>
          </w:p>
        </w:tc>
        <w:tc>
          <w:tcPr>
            <w:tcW w:w="1176" w:type="dxa"/>
            <w:tcBorders>
              <w:bottom w:val="single" w:sz="4" w:space="0" w:color="auto"/>
            </w:tcBorders>
            <w:hideMark/>
          </w:tcPr>
          <w:p w:rsidR="001A62D7" w:rsidRPr="00E07C68" w:rsidRDefault="00DC0B2E" w:rsidP="001D5990">
            <w:pPr>
              <w:spacing w:before="60" w:after="60"/>
              <w:jc w:val="right"/>
              <w:rPr>
                <w:noProof/>
              </w:rPr>
            </w:pPr>
            <w:r w:rsidRPr="00E07C68">
              <w:rPr>
                <w:noProof/>
              </w:rPr>
              <w:t>0</w:t>
            </w:r>
          </w:p>
        </w:tc>
        <w:tc>
          <w:tcPr>
            <w:tcW w:w="1176" w:type="dxa"/>
            <w:tcBorders>
              <w:bottom w:val="single" w:sz="4" w:space="0" w:color="auto"/>
            </w:tcBorders>
            <w:hideMark/>
          </w:tcPr>
          <w:p w:rsidR="001A62D7" w:rsidRPr="00E07C68" w:rsidRDefault="001A62D7" w:rsidP="001D5990">
            <w:pPr>
              <w:spacing w:before="60" w:after="60"/>
              <w:jc w:val="right"/>
              <w:rPr>
                <w:noProof/>
              </w:rPr>
            </w:pPr>
            <w:r w:rsidRPr="00E07C68">
              <w:rPr>
                <w:noProof/>
              </w:rPr>
              <w:t>(0,0 %)</w:t>
            </w:r>
          </w:p>
        </w:tc>
      </w:tr>
      <w:tr w:rsidR="001A62D7" w:rsidRPr="00E07C68" w:rsidTr="001D5990">
        <w:trPr>
          <w:jc w:val="center"/>
        </w:trPr>
        <w:tc>
          <w:tcPr>
            <w:tcW w:w="1496" w:type="dxa"/>
            <w:tcBorders>
              <w:top w:val="single" w:sz="4" w:space="0" w:color="auto"/>
              <w:left w:val="nil"/>
              <w:bottom w:val="nil"/>
              <w:right w:val="nil"/>
            </w:tcBorders>
            <w:hideMark/>
          </w:tcPr>
          <w:p w:rsidR="001A62D7" w:rsidRPr="00E07C68" w:rsidRDefault="001A62D7" w:rsidP="001D5990">
            <w:pPr>
              <w:spacing w:before="60" w:after="60"/>
              <w:rPr>
                <w:noProof/>
              </w:rPr>
            </w:pPr>
            <w:r w:rsidRPr="00E07C68">
              <w:rPr>
                <w:noProof/>
              </w:rPr>
              <w:t>Grupa de vârstă:</w:t>
            </w:r>
          </w:p>
        </w:tc>
        <w:tc>
          <w:tcPr>
            <w:tcW w:w="2063" w:type="dxa"/>
            <w:tcBorders>
              <w:top w:val="single" w:sz="4" w:space="0" w:color="auto"/>
              <w:left w:val="nil"/>
              <w:bottom w:val="nil"/>
              <w:right w:val="nil"/>
            </w:tcBorders>
            <w:hideMark/>
          </w:tcPr>
          <w:p w:rsidR="001A62D7" w:rsidRPr="00E07C68" w:rsidRDefault="001A62D7" w:rsidP="001D5990">
            <w:pPr>
              <w:spacing w:before="60" w:after="60"/>
              <w:rPr>
                <w:noProof/>
              </w:rPr>
            </w:pPr>
            <w:r w:rsidRPr="00E07C68">
              <w:rPr>
                <w:noProof/>
              </w:rPr>
              <w:t>Sub 30 de ani:</w:t>
            </w:r>
          </w:p>
        </w:tc>
        <w:tc>
          <w:tcPr>
            <w:tcW w:w="1176" w:type="dxa"/>
            <w:tcBorders>
              <w:top w:val="single" w:sz="4" w:space="0" w:color="auto"/>
            </w:tcBorders>
            <w:hideMark/>
          </w:tcPr>
          <w:p w:rsidR="001A62D7" w:rsidRPr="00E07C68" w:rsidRDefault="00DC0B2E" w:rsidP="001D5990">
            <w:pPr>
              <w:spacing w:before="60" w:after="60"/>
              <w:jc w:val="right"/>
              <w:rPr>
                <w:noProof/>
              </w:rPr>
            </w:pPr>
            <w:r w:rsidRPr="00E07C68">
              <w:rPr>
                <w:noProof/>
              </w:rPr>
              <w:t>145</w:t>
            </w:r>
          </w:p>
        </w:tc>
        <w:tc>
          <w:tcPr>
            <w:tcW w:w="1176" w:type="dxa"/>
            <w:tcBorders>
              <w:top w:val="single" w:sz="4" w:space="0" w:color="auto"/>
            </w:tcBorders>
            <w:hideMark/>
          </w:tcPr>
          <w:p w:rsidR="001A62D7" w:rsidRPr="00E07C68" w:rsidRDefault="001A62D7" w:rsidP="001D5990">
            <w:pPr>
              <w:spacing w:before="60" w:after="60"/>
              <w:jc w:val="right"/>
              <w:rPr>
                <w:noProof/>
              </w:rPr>
            </w:pPr>
            <w:r w:rsidRPr="00E07C68">
              <w:rPr>
                <w:noProof/>
              </w:rPr>
              <w:t>(18,1 %)</w:t>
            </w:r>
          </w:p>
        </w:tc>
      </w:tr>
      <w:tr w:rsidR="001A62D7" w:rsidRPr="00E07C68" w:rsidTr="001D5990">
        <w:trPr>
          <w:jc w:val="center"/>
        </w:trPr>
        <w:tc>
          <w:tcPr>
            <w:tcW w:w="1496" w:type="dxa"/>
          </w:tcPr>
          <w:p w:rsidR="001A62D7" w:rsidRPr="00E07C68" w:rsidRDefault="001A62D7" w:rsidP="001D5990">
            <w:pPr>
              <w:spacing w:before="60" w:after="60"/>
              <w:rPr>
                <w:noProof/>
              </w:rPr>
            </w:pPr>
          </w:p>
        </w:tc>
        <w:tc>
          <w:tcPr>
            <w:tcW w:w="2063" w:type="dxa"/>
            <w:hideMark/>
          </w:tcPr>
          <w:p w:rsidR="001A62D7" w:rsidRPr="00E07C68" w:rsidRDefault="001A62D7" w:rsidP="001D5990">
            <w:pPr>
              <w:spacing w:before="60" w:after="60"/>
              <w:rPr>
                <w:noProof/>
              </w:rPr>
            </w:pPr>
            <w:r w:rsidRPr="00E07C68">
              <w:rPr>
                <w:noProof/>
              </w:rPr>
              <w:t>30-54 de ani:</w:t>
            </w:r>
          </w:p>
        </w:tc>
        <w:tc>
          <w:tcPr>
            <w:tcW w:w="1176" w:type="dxa"/>
            <w:hideMark/>
          </w:tcPr>
          <w:p w:rsidR="001A62D7" w:rsidRPr="00E07C68" w:rsidRDefault="00DC0B2E" w:rsidP="001D5990">
            <w:pPr>
              <w:spacing w:before="60" w:after="60"/>
              <w:jc w:val="right"/>
              <w:rPr>
                <w:noProof/>
              </w:rPr>
            </w:pPr>
            <w:r w:rsidRPr="00E07C68">
              <w:rPr>
                <w:noProof/>
              </w:rPr>
              <w:t>585</w:t>
            </w:r>
          </w:p>
        </w:tc>
        <w:tc>
          <w:tcPr>
            <w:tcW w:w="1176" w:type="dxa"/>
            <w:hideMark/>
          </w:tcPr>
          <w:p w:rsidR="001A62D7" w:rsidRPr="00E07C68" w:rsidRDefault="001A62D7" w:rsidP="001D5990">
            <w:pPr>
              <w:spacing w:before="60" w:after="60"/>
              <w:jc w:val="right"/>
              <w:rPr>
                <w:noProof/>
              </w:rPr>
            </w:pPr>
            <w:r w:rsidRPr="00E07C68">
              <w:rPr>
                <w:noProof/>
              </w:rPr>
              <w:t>(72,9 %)</w:t>
            </w:r>
          </w:p>
        </w:tc>
      </w:tr>
      <w:tr w:rsidR="001A62D7" w:rsidRPr="00E07C68" w:rsidTr="001D5990">
        <w:trPr>
          <w:jc w:val="center"/>
        </w:trPr>
        <w:tc>
          <w:tcPr>
            <w:tcW w:w="1496" w:type="dxa"/>
          </w:tcPr>
          <w:p w:rsidR="001A62D7" w:rsidRPr="00E07C68" w:rsidRDefault="001A62D7" w:rsidP="001D5990">
            <w:pPr>
              <w:spacing w:before="60" w:after="60"/>
              <w:rPr>
                <w:noProof/>
              </w:rPr>
            </w:pPr>
          </w:p>
        </w:tc>
        <w:tc>
          <w:tcPr>
            <w:tcW w:w="2063" w:type="dxa"/>
            <w:hideMark/>
          </w:tcPr>
          <w:p w:rsidR="001A62D7" w:rsidRPr="00E07C68" w:rsidRDefault="001A62D7" w:rsidP="001D5990">
            <w:pPr>
              <w:spacing w:before="60" w:after="60"/>
              <w:jc w:val="left"/>
              <w:rPr>
                <w:noProof/>
              </w:rPr>
            </w:pPr>
            <w:r w:rsidRPr="00E07C68">
              <w:rPr>
                <w:noProof/>
              </w:rPr>
              <w:t>Peste 54 de ani:</w:t>
            </w:r>
          </w:p>
        </w:tc>
        <w:tc>
          <w:tcPr>
            <w:tcW w:w="1176" w:type="dxa"/>
            <w:hideMark/>
          </w:tcPr>
          <w:p w:rsidR="001A62D7" w:rsidRPr="00E07C68" w:rsidRDefault="00DC0B2E" w:rsidP="001D5990">
            <w:pPr>
              <w:spacing w:before="60" w:after="60"/>
              <w:jc w:val="right"/>
              <w:rPr>
                <w:noProof/>
              </w:rPr>
            </w:pPr>
            <w:r w:rsidRPr="00E07C68">
              <w:rPr>
                <w:noProof/>
              </w:rPr>
              <w:t>73</w:t>
            </w:r>
          </w:p>
        </w:tc>
        <w:tc>
          <w:tcPr>
            <w:tcW w:w="1176" w:type="dxa"/>
            <w:hideMark/>
          </w:tcPr>
          <w:p w:rsidR="001A62D7" w:rsidRPr="00E07C68" w:rsidRDefault="001A62D7" w:rsidP="001D5990">
            <w:pPr>
              <w:spacing w:before="60" w:after="60"/>
              <w:jc w:val="right"/>
              <w:rPr>
                <w:noProof/>
              </w:rPr>
            </w:pPr>
            <w:r w:rsidRPr="00E07C68">
              <w:rPr>
                <w:noProof/>
              </w:rPr>
              <w:t>(9,1 %)</w:t>
            </w:r>
          </w:p>
        </w:tc>
      </w:tr>
      <w:tr w:rsidR="001A62D7" w:rsidRPr="00E07C68" w:rsidTr="001D5990">
        <w:trPr>
          <w:jc w:val="center"/>
        </w:trPr>
        <w:tc>
          <w:tcPr>
            <w:tcW w:w="1496" w:type="dxa"/>
            <w:tcBorders>
              <w:top w:val="single" w:sz="4" w:space="0" w:color="auto"/>
              <w:left w:val="nil"/>
              <w:bottom w:val="nil"/>
              <w:right w:val="nil"/>
            </w:tcBorders>
          </w:tcPr>
          <w:p w:rsidR="001A62D7" w:rsidRPr="00E07C68" w:rsidRDefault="001A62D7" w:rsidP="001D5990">
            <w:pPr>
              <w:spacing w:before="60" w:after="60"/>
              <w:rPr>
                <w:noProof/>
              </w:rPr>
            </w:pPr>
            <w:r w:rsidRPr="00E07C68">
              <w:rPr>
                <w:noProof/>
              </w:rPr>
              <w:t>Nivel de instruire</w:t>
            </w:r>
          </w:p>
        </w:tc>
        <w:tc>
          <w:tcPr>
            <w:tcW w:w="2063" w:type="dxa"/>
            <w:tcBorders>
              <w:top w:val="single" w:sz="4" w:space="0" w:color="auto"/>
              <w:left w:val="nil"/>
              <w:bottom w:val="nil"/>
              <w:right w:val="nil"/>
            </w:tcBorders>
          </w:tcPr>
          <w:p w:rsidR="001A62D7" w:rsidRPr="00E07C68" w:rsidRDefault="001A62D7" w:rsidP="001D5990">
            <w:pPr>
              <w:spacing w:before="60" w:after="60"/>
              <w:rPr>
                <w:noProof/>
              </w:rPr>
            </w:pPr>
            <w:r w:rsidRPr="00E07C68">
              <w:rPr>
                <w:noProof/>
              </w:rPr>
              <w:t>Învățământ secundar inferior sau sub acest nivel</w:t>
            </w:r>
            <w:r w:rsidRPr="00E07C68">
              <w:rPr>
                <w:rStyle w:val="FootnoteReference"/>
                <w:noProof/>
              </w:rPr>
              <w:footnoteReference w:id="13"/>
            </w:r>
            <w:r w:rsidRPr="00E07C68">
              <w:rPr>
                <w:noProof/>
              </w:rPr>
              <w:t xml:space="preserve"> </w:t>
            </w:r>
          </w:p>
        </w:tc>
        <w:tc>
          <w:tcPr>
            <w:tcW w:w="1176" w:type="dxa"/>
            <w:tcBorders>
              <w:top w:val="single" w:sz="4" w:space="0" w:color="auto"/>
              <w:left w:val="nil"/>
              <w:bottom w:val="nil"/>
              <w:right w:val="nil"/>
            </w:tcBorders>
          </w:tcPr>
          <w:p w:rsidR="001A62D7" w:rsidRPr="00E07C68" w:rsidRDefault="00DC0B2E" w:rsidP="001D5990">
            <w:pPr>
              <w:spacing w:before="60" w:after="60"/>
              <w:jc w:val="right"/>
              <w:rPr>
                <w:noProof/>
              </w:rPr>
            </w:pPr>
            <w:r w:rsidRPr="00E07C68">
              <w:rPr>
                <w:noProof/>
              </w:rPr>
              <w:t>298</w:t>
            </w:r>
          </w:p>
        </w:tc>
        <w:tc>
          <w:tcPr>
            <w:tcW w:w="1176" w:type="dxa"/>
            <w:tcBorders>
              <w:top w:val="single" w:sz="4" w:space="0" w:color="auto"/>
              <w:left w:val="nil"/>
              <w:bottom w:val="nil"/>
              <w:right w:val="nil"/>
            </w:tcBorders>
          </w:tcPr>
          <w:p w:rsidR="001A62D7" w:rsidRPr="00E07C68" w:rsidRDefault="001A62D7" w:rsidP="001D5990">
            <w:pPr>
              <w:spacing w:before="60" w:after="60"/>
              <w:jc w:val="right"/>
              <w:rPr>
                <w:rFonts w:eastAsia="Calibri"/>
                <w:noProof/>
              </w:rPr>
            </w:pPr>
            <w:r w:rsidRPr="00E07C68">
              <w:rPr>
                <w:noProof/>
              </w:rPr>
              <w:t>(37,1 %)</w:t>
            </w:r>
          </w:p>
        </w:tc>
      </w:tr>
      <w:tr w:rsidR="001A62D7" w:rsidRPr="00E07C68" w:rsidTr="001D5990">
        <w:trPr>
          <w:jc w:val="center"/>
        </w:trPr>
        <w:tc>
          <w:tcPr>
            <w:tcW w:w="1496" w:type="dxa"/>
            <w:tcBorders>
              <w:top w:val="nil"/>
              <w:left w:val="nil"/>
              <w:right w:val="nil"/>
            </w:tcBorders>
          </w:tcPr>
          <w:p w:rsidR="001A62D7" w:rsidRPr="00E07C68" w:rsidRDefault="001A62D7" w:rsidP="001D5990">
            <w:pPr>
              <w:spacing w:before="60" w:after="60"/>
              <w:rPr>
                <w:noProof/>
              </w:rPr>
            </w:pPr>
          </w:p>
        </w:tc>
        <w:tc>
          <w:tcPr>
            <w:tcW w:w="2063" w:type="dxa"/>
            <w:tcBorders>
              <w:top w:val="nil"/>
              <w:left w:val="nil"/>
              <w:right w:val="nil"/>
            </w:tcBorders>
          </w:tcPr>
          <w:p w:rsidR="001A62D7" w:rsidRPr="00E07C68" w:rsidRDefault="001A62D7" w:rsidP="001D5990">
            <w:pPr>
              <w:spacing w:before="60" w:after="60"/>
              <w:rPr>
                <w:noProof/>
              </w:rPr>
            </w:pPr>
            <w:r w:rsidRPr="00E07C68">
              <w:rPr>
                <w:noProof/>
              </w:rPr>
              <w:t>Învățământ liceal</w:t>
            </w:r>
            <w:r w:rsidRPr="00E07C68">
              <w:rPr>
                <w:rStyle w:val="FootnoteReference"/>
                <w:noProof/>
              </w:rPr>
              <w:footnoteReference w:id="14"/>
            </w:r>
            <w:r w:rsidRPr="00E07C68">
              <w:rPr>
                <w:noProof/>
              </w:rPr>
              <w:t xml:space="preserve"> sau postliceal</w:t>
            </w:r>
            <w:r w:rsidRPr="00E07C68">
              <w:rPr>
                <w:rStyle w:val="FootnoteReference"/>
                <w:noProof/>
              </w:rPr>
              <w:footnoteReference w:id="15"/>
            </w:r>
          </w:p>
        </w:tc>
        <w:tc>
          <w:tcPr>
            <w:tcW w:w="1176" w:type="dxa"/>
            <w:tcBorders>
              <w:top w:val="nil"/>
              <w:left w:val="nil"/>
              <w:right w:val="nil"/>
            </w:tcBorders>
          </w:tcPr>
          <w:p w:rsidR="001A62D7" w:rsidRPr="00E07C68" w:rsidRDefault="00DC0B2E" w:rsidP="001D5990">
            <w:pPr>
              <w:spacing w:before="60" w:after="60"/>
              <w:jc w:val="right"/>
              <w:rPr>
                <w:noProof/>
              </w:rPr>
            </w:pPr>
            <w:r w:rsidRPr="00E07C68">
              <w:rPr>
                <w:noProof/>
              </w:rPr>
              <w:t>191</w:t>
            </w:r>
          </w:p>
        </w:tc>
        <w:tc>
          <w:tcPr>
            <w:tcW w:w="1176" w:type="dxa"/>
            <w:tcBorders>
              <w:top w:val="nil"/>
              <w:left w:val="nil"/>
              <w:right w:val="nil"/>
            </w:tcBorders>
          </w:tcPr>
          <w:p w:rsidR="001A62D7" w:rsidRPr="00E07C68" w:rsidRDefault="001A62D7" w:rsidP="001D5990">
            <w:pPr>
              <w:spacing w:before="60" w:after="60"/>
              <w:jc w:val="right"/>
              <w:rPr>
                <w:rFonts w:eastAsia="Calibri"/>
                <w:noProof/>
              </w:rPr>
            </w:pPr>
            <w:r w:rsidRPr="00E07C68">
              <w:rPr>
                <w:noProof/>
              </w:rPr>
              <w:t>(23,8 %)</w:t>
            </w:r>
          </w:p>
        </w:tc>
      </w:tr>
      <w:tr w:rsidR="001A62D7" w:rsidRPr="00E07C68" w:rsidTr="001D5990">
        <w:trPr>
          <w:jc w:val="center"/>
        </w:trPr>
        <w:tc>
          <w:tcPr>
            <w:tcW w:w="1496" w:type="dxa"/>
            <w:tcBorders>
              <w:top w:val="nil"/>
              <w:left w:val="nil"/>
              <w:bottom w:val="single" w:sz="4" w:space="0" w:color="auto"/>
              <w:right w:val="nil"/>
            </w:tcBorders>
          </w:tcPr>
          <w:p w:rsidR="001A62D7" w:rsidRPr="00E07C68" w:rsidRDefault="001A62D7" w:rsidP="001D5990">
            <w:pPr>
              <w:spacing w:before="60" w:after="60"/>
              <w:rPr>
                <w:noProof/>
              </w:rPr>
            </w:pPr>
          </w:p>
        </w:tc>
        <w:tc>
          <w:tcPr>
            <w:tcW w:w="2063" w:type="dxa"/>
            <w:tcBorders>
              <w:top w:val="nil"/>
              <w:left w:val="nil"/>
              <w:bottom w:val="single" w:sz="4" w:space="0" w:color="auto"/>
              <w:right w:val="nil"/>
            </w:tcBorders>
          </w:tcPr>
          <w:p w:rsidR="001A62D7" w:rsidRPr="00E07C68" w:rsidRDefault="001A62D7" w:rsidP="001D5990">
            <w:pPr>
              <w:spacing w:before="60" w:after="60"/>
              <w:rPr>
                <w:noProof/>
              </w:rPr>
            </w:pPr>
            <w:r w:rsidRPr="00E07C68">
              <w:rPr>
                <w:noProof/>
              </w:rPr>
              <w:t>Învățământ terțiar</w:t>
            </w:r>
            <w:r w:rsidRPr="00E07C68">
              <w:rPr>
                <w:rStyle w:val="FootnoteReference"/>
                <w:noProof/>
              </w:rPr>
              <w:footnoteReference w:id="16"/>
            </w:r>
          </w:p>
        </w:tc>
        <w:tc>
          <w:tcPr>
            <w:tcW w:w="1176" w:type="dxa"/>
            <w:tcBorders>
              <w:top w:val="nil"/>
              <w:left w:val="nil"/>
              <w:bottom w:val="single" w:sz="4" w:space="0" w:color="auto"/>
              <w:right w:val="nil"/>
            </w:tcBorders>
          </w:tcPr>
          <w:p w:rsidR="001A62D7" w:rsidRPr="00E07C68" w:rsidRDefault="00DC0B2E" w:rsidP="001D5990">
            <w:pPr>
              <w:spacing w:before="60" w:after="60"/>
              <w:jc w:val="right"/>
              <w:rPr>
                <w:noProof/>
              </w:rPr>
            </w:pPr>
            <w:r w:rsidRPr="00E07C68">
              <w:rPr>
                <w:noProof/>
              </w:rPr>
              <w:t>314</w:t>
            </w:r>
          </w:p>
        </w:tc>
        <w:tc>
          <w:tcPr>
            <w:tcW w:w="1176" w:type="dxa"/>
            <w:tcBorders>
              <w:top w:val="nil"/>
              <w:left w:val="nil"/>
              <w:bottom w:val="single" w:sz="4" w:space="0" w:color="auto"/>
              <w:right w:val="nil"/>
            </w:tcBorders>
          </w:tcPr>
          <w:p w:rsidR="001A62D7" w:rsidRPr="00E07C68" w:rsidRDefault="001A62D7" w:rsidP="001D5990">
            <w:pPr>
              <w:spacing w:before="60" w:after="60"/>
              <w:jc w:val="right"/>
              <w:rPr>
                <w:rFonts w:eastAsia="Calibri"/>
                <w:noProof/>
              </w:rPr>
            </w:pPr>
            <w:r w:rsidRPr="00E07C68">
              <w:rPr>
                <w:noProof/>
              </w:rPr>
              <w:t>(39,1 %)</w:t>
            </w:r>
          </w:p>
        </w:tc>
      </w:tr>
    </w:tbl>
    <w:p w:rsidR="001A62D7" w:rsidRPr="00E07C68" w:rsidRDefault="001A62D7" w:rsidP="001A62D7">
      <w:pPr>
        <w:pStyle w:val="ManualHeading3"/>
        <w:rPr>
          <w:noProof/>
          <w:u w:val="single"/>
        </w:rPr>
      </w:pPr>
      <w:r w:rsidRPr="00E07C68">
        <w:rPr>
          <w:noProof/>
        </w:rPr>
        <w:t>Măsuri propuse</w:t>
      </w:r>
    </w:p>
    <w:p w:rsidR="001A62D7" w:rsidRPr="00E07C68" w:rsidRDefault="001A62D7" w:rsidP="00AE7D04">
      <w:pPr>
        <w:pStyle w:val="ManualNumPar1"/>
        <w:rPr>
          <w:noProof/>
        </w:rPr>
      </w:pPr>
      <w:r>
        <w:rPr>
          <w:noProof/>
        </w:rPr>
        <w:t>24.</w:t>
      </w:r>
      <w:r>
        <w:rPr>
          <w:noProof/>
        </w:rPr>
        <w:tab/>
      </w:r>
      <w:bookmarkStart w:id="13" w:name="_Ref372214239"/>
      <w:r w:rsidRPr="00E07C68">
        <w:rPr>
          <w:noProof/>
        </w:rPr>
        <w:t xml:space="preserve">În conformitate cu articolul 8 alineatul (7) litera (h) din Regulamentul (UE) 2021/691, pachetul coordonat personalizat care urmează să fie pus la dispoziția lucrătorilor disponibilizați constă în următoarele măsuri: </w:t>
      </w:r>
      <w:bookmarkEnd w:id="13"/>
    </w:p>
    <w:p w:rsidR="001A62D7" w:rsidRPr="00E07C68" w:rsidRDefault="002B529C" w:rsidP="00B316D7">
      <w:pPr>
        <w:pStyle w:val="Tiret1"/>
        <w:numPr>
          <w:ilvl w:val="0"/>
          <w:numId w:val="19"/>
        </w:numPr>
        <w:rPr>
          <w:noProof/>
        </w:rPr>
      </w:pPr>
      <w:r w:rsidRPr="00E07C68">
        <w:rPr>
          <w:noProof/>
          <w:u w:val="single"/>
        </w:rPr>
        <w:t>Grup operativ</w:t>
      </w:r>
      <w:r w:rsidRPr="00E07C68">
        <w:rPr>
          <w:noProof/>
        </w:rPr>
        <w:t>: Administratorii de conturi cu cunoștințe aprofundate privind piața locală a forței de muncă, împreună cu consultanții cu experiență în furnizarea de orientări în timpul proceselor de concediere colectivă, organizează și conduc sesiunile de informare. Colaborând îndeaproape cu lucrătorii, aceștia definesc parcursuri personalizate pentru reintegrarea pe piața muncii și le reajustează acolo unde este necesar. Grupul operativ beneficiază de sprijinul unei echipe de experți în proiecte europene.</w:t>
      </w:r>
    </w:p>
    <w:p w:rsidR="002B529C" w:rsidRPr="00E07C68" w:rsidRDefault="006E5D60" w:rsidP="002B529C">
      <w:pPr>
        <w:pStyle w:val="Tiret1"/>
        <w:rPr>
          <w:noProof/>
        </w:rPr>
      </w:pPr>
      <w:r w:rsidRPr="00E07C68">
        <w:rPr>
          <w:noProof/>
          <w:u w:val="single"/>
        </w:rPr>
        <w:t>Plasarea pe piața muncii a personalului disponibilizat</w:t>
      </w:r>
      <w:r w:rsidRPr="00E07C68">
        <w:rPr>
          <w:noProof/>
        </w:rPr>
        <w:t>: Serviciile de plasare pe piața muncii a personalului disponibilizat furnizate în cadrul sesiunilor de grup sau individuale includ, printre altele, un interviu inițial și orientări individuale, certificarea competențelor dobândite, orientări privind utilizarea „My Career” (</w:t>
      </w:r>
      <w:r w:rsidRPr="00E07C68">
        <w:rPr>
          <w:i/>
          <w:noProof/>
        </w:rPr>
        <w:t>Mijn Loopbaan)</w:t>
      </w:r>
      <w:r w:rsidRPr="00E07C68">
        <w:rPr>
          <w:noProof/>
        </w:rPr>
        <w:t>, o platformă digitală pentru căutarea unui loc de muncă furnizată de serviciile publice flamande de ocupare a forței de muncă (VDAB</w:t>
      </w:r>
      <w:r w:rsidRPr="00E07C68">
        <w:rPr>
          <w:rStyle w:val="FootnoteReference"/>
          <w:noProof/>
        </w:rPr>
        <w:footnoteReference w:id="17"/>
      </w:r>
      <w:r w:rsidRPr="00E07C68">
        <w:rPr>
          <w:noProof/>
        </w:rPr>
        <w:t xml:space="preserve">), precum și orientări înainte, în timpul și după târgul de locuri de muncă descris mai jos. În cadrul acestei măsuri, la 3 decembrie 2025 a fost organizată o „acțiune privind locurile de muncă vacante”. În timpul unei </w:t>
      </w:r>
      <w:r w:rsidRPr="00E07C68">
        <w:rPr>
          <w:noProof/>
        </w:rPr>
        <w:lastRenderedPageBreak/>
        <w:t>acțiuni privind locurile de muncă vacante, ofertele de locuri de muncă sunt prezentate/puse la dispoziția unor grupuri mici de lucrători pentru a candida. Lucrătorii sunt ajutați de experți pe parcursul procesului de depunere a cererilor, iar VDAB monitorizează evoluția acestor cereri și rezultatul lor.</w:t>
      </w:r>
    </w:p>
    <w:p w:rsidR="002B529C" w:rsidRPr="00E07C68" w:rsidRDefault="00492EF2" w:rsidP="002B529C">
      <w:pPr>
        <w:pStyle w:val="Tiret1"/>
        <w:rPr>
          <w:noProof/>
        </w:rPr>
      </w:pPr>
      <w:r w:rsidRPr="00E07C68">
        <w:rPr>
          <w:noProof/>
          <w:u w:val="single"/>
        </w:rPr>
        <w:t>Asistență pentru găsirea unui loc de muncă</w:t>
      </w:r>
      <w:r w:rsidRPr="00E07C68">
        <w:rPr>
          <w:noProof/>
        </w:rPr>
        <w:t>: În primul rând se evaluează adecvarea persoanelor aflate în căutarea unui loc de muncă la cerințele actuale ale pieței forței de muncă și dacă căutarea unui loc de muncă este realistă. Apoi se oferă asistență personalizată, inclusiv îmbunătățirea CV-ului și a scrisorii de intenție, consolidarea încrederii și pregătirea interviurilor. Se evaluează competențele digitale, oferindu-se formare de bază în domeniul TIC lucrătorilor analfabeți din punct de vedere digital care obțin, de asemenea, acces la „digibanks”, unde pot împrumuta laptopuri, pot beneficia de formare și pot obține sprijin digital. Între timp, webinarele și instrumentele online, cum ar fi 123digit.be, îi ajută pe cei cu competențe existente să își dezvolte în continuare competențele digitale.</w:t>
      </w:r>
    </w:p>
    <w:p w:rsidR="007C7D48" w:rsidRPr="00E07C68" w:rsidRDefault="00984FE9" w:rsidP="007C7D48">
      <w:pPr>
        <w:pStyle w:val="Tiret1"/>
        <w:rPr>
          <w:noProof/>
        </w:rPr>
      </w:pPr>
      <w:r w:rsidRPr="00E07C68">
        <w:rPr>
          <w:noProof/>
          <w:u w:val="single"/>
        </w:rPr>
        <w:t>Asistență consolidată pentru căutarea unui loc de muncă</w:t>
      </w:r>
      <w:r w:rsidRPr="00E07C68">
        <w:rPr>
          <w:noProof/>
        </w:rPr>
        <w:t xml:space="preserve">: Sprijinul include îndrumare individuală și căutarea unui loc de muncă, îndrumare de grup cu un mediator profesional, asistență în ceea ce privește candidaturile pentru un loc de muncă și pregătirea interviurilor, precum și vizite la societățile angajatoare și la centrele de formare, pentru a încuraja perfecționarea competențelor. </w:t>
      </w:r>
    </w:p>
    <w:p w:rsidR="00984FE9" w:rsidRPr="00E07C68" w:rsidRDefault="007C7D48" w:rsidP="00E42F7B">
      <w:pPr>
        <w:pStyle w:val="Text2"/>
        <w:rPr>
          <w:noProof/>
        </w:rPr>
      </w:pPr>
      <w:r w:rsidRPr="00E07C68">
        <w:rPr>
          <w:noProof/>
        </w:rPr>
        <w:t xml:space="preserve">În plus, vor fi organizate sesiuni de informare privind oportunitățile de muncă transfrontalieră în Țările de Jos cu experți EURES din cadrul serviciilor neerlandeze de ocupare a forței de muncă. </w:t>
      </w:r>
    </w:p>
    <w:p w:rsidR="006D166F" w:rsidRPr="00E07C68" w:rsidRDefault="006D166F" w:rsidP="006D166F">
      <w:pPr>
        <w:pStyle w:val="Tiret1"/>
        <w:rPr>
          <w:noProof/>
        </w:rPr>
      </w:pPr>
      <w:r w:rsidRPr="00E07C68">
        <w:rPr>
          <w:noProof/>
          <w:u w:val="single"/>
        </w:rPr>
        <w:t>Orientări</w:t>
      </w:r>
      <w:r w:rsidRPr="00E07C68">
        <w:rPr>
          <w:noProof/>
        </w:rPr>
        <w:t>: Serviciile de orientare oferă consiliere profesională, căutarea unui loc de muncă și plasarea forței de muncă (corelarea competențelor și a obiectivelor candidaților cu nevoile angajatorilor), asistență individuală pentru căutarea unui loc de muncă și sprijin psihologic. Subiectele abordate în timpul sesiunilor de plasare pe piața muncii a personalului disponibilizat sunt revizuite, după caz. Consilierii VDAB adaptează intensitatea sprijinului (de la standard la foarte intensiv), care este furnizat prin intermediul unui sistem de bonuri valorice pentru a oferi flexibilitate lucrătorilor, pe baza evaluărilor individuale.</w:t>
      </w:r>
    </w:p>
    <w:p w:rsidR="00347B23" w:rsidRPr="00E07C68" w:rsidRDefault="00862F27" w:rsidP="00347B23">
      <w:pPr>
        <w:pStyle w:val="Tiret1"/>
        <w:rPr>
          <w:noProof/>
        </w:rPr>
      </w:pPr>
      <w:r w:rsidRPr="00E07C68">
        <w:rPr>
          <w:noProof/>
          <w:u w:val="single"/>
        </w:rPr>
        <w:t>Formare și recalificare</w:t>
      </w:r>
      <w:r w:rsidRPr="00E07C68">
        <w:rPr>
          <w:noProof/>
        </w:rPr>
        <w:t xml:space="preserve">: Lucrătorii beneficiază de îndrumare personalizată prin parcursuri de învățare specializate pentru a îmbunătăți competențele tehnice, digitale și la cerere (inclusiv cele legate de deficitul de forță de muncă și de tranziția verde). După ce au convenit asupra unor planuri individuale cu un consilier profesional, aceștia au acces la formare specifică – fie prin intermediul VDAB, fie prin intermediul unor furnizori externi – pentru a răspunde nevoilor identificate. </w:t>
      </w:r>
    </w:p>
    <w:p w:rsidR="002B529C" w:rsidRPr="00E07C68" w:rsidRDefault="00347B23" w:rsidP="00F80243">
      <w:pPr>
        <w:pStyle w:val="Text2"/>
        <w:rPr>
          <w:noProof/>
        </w:rPr>
      </w:pPr>
      <w:r w:rsidRPr="00E07C68">
        <w:rPr>
          <w:noProof/>
        </w:rPr>
        <w:t>Sunt disponibile, de asemenea, cursuri de limbă neerlandeză, deoarece mulți foști angajați ai Soliver au competențe limitate în limba neerlandeză, ceea ce le-ar putea limita opțiunile de angajare.</w:t>
      </w:r>
    </w:p>
    <w:p w:rsidR="002B529C" w:rsidRPr="00E07C68" w:rsidRDefault="00862F27" w:rsidP="002B529C">
      <w:pPr>
        <w:pStyle w:val="Tiret1"/>
        <w:rPr>
          <w:noProof/>
        </w:rPr>
      </w:pPr>
      <w:r w:rsidRPr="00E07C68">
        <w:rPr>
          <w:noProof/>
          <w:u w:val="single"/>
        </w:rPr>
        <w:t>Formare la locul de muncă</w:t>
      </w:r>
      <w:r w:rsidRPr="00E07C68">
        <w:rPr>
          <w:noProof/>
        </w:rPr>
        <w:t xml:space="preserve">: Lucrătorii beneficiază de formare la locul de muncă cu viitorul lor angajator, asigurând un contract permanent sau pe durată determinată care durează cel puțin atât timp cât se desfășoară formarea. </w:t>
      </w:r>
    </w:p>
    <w:p w:rsidR="002B529C" w:rsidRPr="00E07C68" w:rsidRDefault="003F4B17" w:rsidP="002B529C">
      <w:pPr>
        <w:pStyle w:val="Tiret1"/>
        <w:rPr>
          <w:noProof/>
        </w:rPr>
      </w:pPr>
      <w:r w:rsidRPr="00E07C68">
        <w:rPr>
          <w:noProof/>
          <w:u w:val="single"/>
        </w:rPr>
        <w:t>Târgul de locuri de muncă</w:t>
      </w:r>
      <w:r w:rsidRPr="00E07C68">
        <w:rPr>
          <w:noProof/>
        </w:rPr>
        <w:t xml:space="preserve">: Acest eveniment de recrutare reunește persoane aflate în căutarea unui loc de muncă și angajatori. Înainte de a participa la </w:t>
      </w:r>
      <w:r w:rsidRPr="00E07C68">
        <w:rPr>
          <w:noProof/>
        </w:rPr>
        <w:lastRenderedPageBreak/>
        <w:t xml:space="preserve">eveniment, sesiunile de consiliere contribuie la pregătirea întâlnirii cu potențialii angajatori. </w:t>
      </w:r>
    </w:p>
    <w:p w:rsidR="001A62D7" w:rsidRPr="00E07C68" w:rsidRDefault="00C67372" w:rsidP="001A62D7">
      <w:pPr>
        <w:pStyle w:val="ManualNumPar1"/>
        <w:rPr>
          <w:noProof/>
        </w:rPr>
      </w:pPr>
      <w:r>
        <w:rPr>
          <w:noProof/>
        </w:rPr>
        <w:t>25.</w:t>
      </w:r>
      <w:r>
        <w:rPr>
          <w:noProof/>
        </w:rPr>
        <w:tab/>
      </w:r>
      <w:r w:rsidRPr="00E07C68">
        <w:rPr>
          <w:noProof/>
        </w:rPr>
        <w:t>Evaluarea competențelor digitale ale lucrătorilor, formarea TIC și sprijinul suplimentar prevăzut în cadrul asistenței pentru găsirea unui loc de muncă permit diseminarea competențelor necesare în era industrială digitală și într-o economie eficientă din punctul de vedere al utilizării resurselor, astfel cum se prevede la articolul 7 alineatul (2) din Regulamentul (UE) 2021/691.</w:t>
      </w:r>
    </w:p>
    <w:p w:rsidR="001A62D7" w:rsidRPr="00E07C68" w:rsidRDefault="001A62D7" w:rsidP="00C67372">
      <w:pPr>
        <w:pStyle w:val="ManualNumPar1"/>
        <w:rPr>
          <w:noProof/>
        </w:rPr>
      </w:pPr>
      <w:r>
        <w:rPr>
          <w:noProof/>
        </w:rPr>
        <w:t>26.</w:t>
      </w:r>
      <w:r>
        <w:rPr>
          <w:noProof/>
        </w:rPr>
        <w:tab/>
      </w:r>
      <w:bookmarkStart w:id="14" w:name="_Ref372214242"/>
      <w:r w:rsidRPr="00E07C68">
        <w:rPr>
          <w:noProof/>
        </w:rPr>
        <w:t xml:space="preserve">Acțiunile propuse, descrise în prezentul document, constituie măsuri active de ocupare a forței de muncă ce se încadrează la acțiunile eligibile prevăzute la articolul 7 din Regulamentul (UE) 2021/691. Aceste acțiuni nu înlocuiesc măsurile pasive de protecție socială. </w:t>
      </w:r>
    </w:p>
    <w:p w:rsidR="001A62D7" w:rsidRPr="00E07C68" w:rsidRDefault="00E31259" w:rsidP="00AE7D04">
      <w:pPr>
        <w:pStyle w:val="ManualNumPar1"/>
        <w:rPr>
          <w:noProof/>
        </w:rPr>
      </w:pPr>
      <w:r>
        <w:rPr>
          <w:noProof/>
        </w:rPr>
        <w:t>27.</w:t>
      </w:r>
      <w:r>
        <w:rPr>
          <w:noProof/>
        </w:rPr>
        <w:tab/>
      </w:r>
      <w:r w:rsidRPr="00E07C68">
        <w:rPr>
          <w:noProof/>
        </w:rPr>
        <w:t>Belgia a furnizat informațiile necesare privind măsurile de care este responsabilă întreprinderea vizată în temeiul legislației naționale sau al contractelor colective de muncă. În conformitate cu articolul 9 alineatul (1) din Regulamentul (UE) 2021/691, Belgia a confirmat că măsurile respective nu vor fi înlocuite cu o contribuție financiară din partea FEG.</w:t>
      </w:r>
      <w:bookmarkEnd w:id="14"/>
    </w:p>
    <w:p w:rsidR="001A62D7" w:rsidRPr="00E07C68" w:rsidRDefault="001A62D7" w:rsidP="001A62D7">
      <w:pPr>
        <w:pStyle w:val="ManualHeading3"/>
        <w:rPr>
          <w:noProof/>
        </w:rPr>
      </w:pPr>
      <w:r w:rsidRPr="00E07C68">
        <w:rPr>
          <w:noProof/>
        </w:rPr>
        <w:t>Bugetul estimat</w:t>
      </w:r>
    </w:p>
    <w:p w:rsidR="001A62D7" w:rsidRPr="00E07C68" w:rsidRDefault="001A62D7" w:rsidP="00AE7D04">
      <w:pPr>
        <w:pStyle w:val="ManualNumPar1"/>
        <w:rPr>
          <w:noProof/>
        </w:rPr>
      </w:pPr>
      <w:r>
        <w:rPr>
          <w:noProof/>
        </w:rPr>
        <w:t>28.</w:t>
      </w:r>
      <w:r>
        <w:rPr>
          <w:noProof/>
        </w:rPr>
        <w:tab/>
      </w:r>
      <w:r w:rsidRPr="00E07C68">
        <w:rPr>
          <w:noProof/>
        </w:rPr>
        <w:t>Costurile totale estimate sunt de 2 508 865 EUR, incluzând cheltuieli pentru servicii personalizate de 2 412 465 EUR și cheltuieli pentru activitățile de pregătire, gestionare, informare și publicitate, control și raportare de 96 400 EUR.</w:t>
      </w:r>
    </w:p>
    <w:p w:rsidR="001A62D7" w:rsidRPr="00E07C68" w:rsidRDefault="001A62D7" w:rsidP="00AE7D04">
      <w:pPr>
        <w:pStyle w:val="ManualNumPar1"/>
        <w:rPr>
          <w:noProof/>
        </w:rPr>
      </w:pPr>
      <w:r>
        <w:rPr>
          <w:noProof/>
        </w:rPr>
        <w:t>29.</w:t>
      </w:r>
      <w:r>
        <w:rPr>
          <w:noProof/>
        </w:rPr>
        <w:tab/>
      </w:r>
      <w:bookmarkStart w:id="15" w:name="_Ref372550770"/>
      <w:r w:rsidRPr="00E07C68">
        <w:rPr>
          <w:noProof/>
        </w:rPr>
        <w:t>Contribuția financiară totală solicitată din partea FEG este de 2 132 535 EUR (85 % din costurile totale).</w:t>
      </w:r>
      <w:bookmarkEnd w:id="15"/>
    </w:p>
    <w:p w:rsidR="001A62D7" w:rsidRPr="00E07C68" w:rsidRDefault="001A62D7" w:rsidP="00AE7D04">
      <w:pPr>
        <w:pStyle w:val="ManualNumPar1"/>
        <w:rPr>
          <w:noProof/>
        </w:rPr>
      </w:pPr>
      <w:r>
        <w:rPr>
          <w:noProof/>
        </w:rPr>
        <w:t>30.</w:t>
      </w:r>
      <w:r>
        <w:rPr>
          <w:noProof/>
        </w:rPr>
        <w:tab/>
      </w:r>
      <w:r w:rsidRPr="00E07C68">
        <w:rPr>
          <w:noProof/>
        </w:rPr>
        <w:t>În conformitate cu articolul 8 alineatul (7) litera (m) din Regulamentul (UE) 2021/691, Belgia a precizat că prefinanțarea și cofinanțarea națională sunt asigurate de VDAB.</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44"/>
        <w:gridCol w:w="1548"/>
        <w:gridCol w:w="1548"/>
        <w:gridCol w:w="1548"/>
      </w:tblGrid>
      <w:tr w:rsidR="001A62D7" w:rsidRPr="00E07C68" w:rsidTr="001D5990">
        <w:tc>
          <w:tcPr>
            <w:tcW w:w="4644" w:type="dxa"/>
            <w:shd w:val="clear" w:color="auto" w:fill="auto"/>
            <w:vAlign w:val="center"/>
          </w:tcPr>
          <w:p w:rsidR="001A62D7" w:rsidRPr="00E07C68" w:rsidRDefault="001A62D7" w:rsidP="001D5990">
            <w:pPr>
              <w:spacing w:before="60" w:after="60"/>
              <w:jc w:val="center"/>
              <w:rPr>
                <w:rFonts w:eastAsia="Times New Roman"/>
                <w:noProof/>
                <w:sz w:val="22"/>
              </w:rPr>
            </w:pPr>
            <w:r w:rsidRPr="00E07C68">
              <w:rPr>
                <w:noProof/>
                <w:sz w:val="22"/>
              </w:rPr>
              <w:t>Măsuri</w:t>
            </w:r>
          </w:p>
        </w:tc>
        <w:tc>
          <w:tcPr>
            <w:tcW w:w="1548" w:type="dxa"/>
            <w:shd w:val="clear" w:color="auto" w:fill="auto"/>
            <w:vAlign w:val="center"/>
          </w:tcPr>
          <w:p w:rsidR="001A62D7" w:rsidRPr="00E07C68" w:rsidRDefault="001A62D7" w:rsidP="001D5990">
            <w:pPr>
              <w:spacing w:before="60" w:after="60"/>
              <w:jc w:val="center"/>
              <w:rPr>
                <w:rFonts w:eastAsia="Times New Roman"/>
                <w:noProof/>
                <w:sz w:val="22"/>
              </w:rPr>
            </w:pPr>
            <w:r w:rsidRPr="00E07C68">
              <w:rPr>
                <w:noProof/>
                <w:sz w:val="22"/>
              </w:rPr>
              <w:t>Numărul de participanți estimat</w:t>
            </w:r>
          </w:p>
        </w:tc>
        <w:tc>
          <w:tcPr>
            <w:tcW w:w="1548" w:type="dxa"/>
            <w:shd w:val="clear" w:color="auto" w:fill="auto"/>
            <w:vAlign w:val="center"/>
          </w:tcPr>
          <w:p w:rsidR="001A62D7" w:rsidRPr="00E07C68" w:rsidRDefault="001A62D7" w:rsidP="001D5990">
            <w:pPr>
              <w:spacing w:before="60" w:after="60"/>
              <w:jc w:val="center"/>
              <w:rPr>
                <w:rFonts w:eastAsia="Times New Roman"/>
                <w:noProof/>
                <w:sz w:val="22"/>
              </w:rPr>
            </w:pPr>
            <w:r w:rsidRPr="00E07C68">
              <w:rPr>
                <w:noProof/>
                <w:sz w:val="22"/>
              </w:rPr>
              <w:t>Costul estimat per participant</w:t>
            </w:r>
            <w:r w:rsidRPr="00E07C68">
              <w:rPr>
                <w:noProof/>
              </w:rPr>
              <w:t xml:space="preserve"> </w:t>
            </w:r>
            <w:r w:rsidRPr="00E07C68">
              <w:rPr>
                <w:noProof/>
              </w:rPr>
              <w:br/>
            </w:r>
            <w:r w:rsidRPr="00E07C68">
              <w:rPr>
                <w:i/>
                <w:noProof/>
                <w:sz w:val="22"/>
              </w:rPr>
              <w:t>(EUR)</w:t>
            </w:r>
            <w:r w:rsidRPr="00E07C68">
              <w:rPr>
                <w:rStyle w:val="FootnoteReference"/>
                <w:rFonts w:eastAsia="Times New Roman"/>
                <w:i/>
                <w:noProof/>
                <w:sz w:val="22"/>
              </w:rPr>
              <w:footnoteReference w:id="18"/>
            </w:r>
          </w:p>
        </w:tc>
        <w:tc>
          <w:tcPr>
            <w:tcW w:w="1548" w:type="dxa"/>
            <w:shd w:val="clear" w:color="auto" w:fill="auto"/>
            <w:vAlign w:val="center"/>
          </w:tcPr>
          <w:p w:rsidR="001A62D7" w:rsidRPr="00E07C68" w:rsidRDefault="001A62D7" w:rsidP="001D5990">
            <w:pPr>
              <w:spacing w:before="60" w:after="60"/>
              <w:jc w:val="center"/>
              <w:rPr>
                <w:rFonts w:eastAsia="Times New Roman"/>
                <w:noProof/>
                <w:sz w:val="22"/>
              </w:rPr>
            </w:pPr>
            <w:r w:rsidRPr="00E07C68">
              <w:rPr>
                <w:noProof/>
                <w:sz w:val="22"/>
              </w:rPr>
              <w:t>Costuri totale estimate</w:t>
            </w:r>
          </w:p>
          <w:p w:rsidR="001A62D7" w:rsidRPr="00E07C68" w:rsidRDefault="001A62D7" w:rsidP="001D5990">
            <w:pPr>
              <w:spacing w:before="60" w:after="60"/>
              <w:jc w:val="center"/>
              <w:rPr>
                <w:rFonts w:eastAsia="Times New Roman"/>
                <w:noProof/>
                <w:sz w:val="22"/>
              </w:rPr>
            </w:pPr>
            <w:r w:rsidRPr="00E07C68">
              <w:rPr>
                <w:i/>
                <w:noProof/>
                <w:sz w:val="22"/>
              </w:rPr>
              <w:t>(EUR)</w:t>
            </w:r>
            <w:r w:rsidRPr="00E07C68">
              <w:rPr>
                <w:rStyle w:val="FootnoteReference"/>
                <w:rFonts w:eastAsia="Times New Roman"/>
                <w:i/>
                <w:noProof/>
                <w:sz w:val="22"/>
              </w:rPr>
              <w:footnoteReference w:id="19"/>
            </w:r>
            <w:r w:rsidRPr="00E07C68">
              <w:rPr>
                <w:i/>
                <w:noProof/>
                <w:sz w:val="22"/>
              </w:rPr>
              <w:t xml:space="preserve"> </w:t>
            </w:r>
          </w:p>
        </w:tc>
      </w:tr>
      <w:tr w:rsidR="001A62D7" w:rsidRPr="00E07C68" w:rsidTr="001D5990">
        <w:tc>
          <w:tcPr>
            <w:tcW w:w="9288" w:type="dxa"/>
            <w:gridSpan w:val="4"/>
            <w:shd w:val="clear" w:color="auto" w:fill="auto"/>
          </w:tcPr>
          <w:p w:rsidR="001A62D7" w:rsidRPr="00E07C68" w:rsidRDefault="001A62D7" w:rsidP="001D5990">
            <w:pPr>
              <w:spacing w:before="60" w:after="60"/>
              <w:jc w:val="left"/>
              <w:rPr>
                <w:rFonts w:eastAsia="Times New Roman"/>
                <w:noProof/>
                <w:sz w:val="22"/>
              </w:rPr>
            </w:pPr>
            <w:r w:rsidRPr="00E07C68">
              <w:rPr>
                <w:noProof/>
                <w:sz w:val="22"/>
              </w:rPr>
              <w:t>Servicii personalizate [măsuri în temeiul articolului 7 alineatul (2)</w:t>
            </w:r>
            <w:r w:rsidRPr="00E07C68">
              <w:rPr>
                <w:noProof/>
              </w:rPr>
              <w:t xml:space="preserve"> al doilea paragraf</w:t>
            </w:r>
            <w:r w:rsidRPr="00E07C68">
              <w:rPr>
                <w:noProof/>
                <w:sz w:val="22"/>
              </w:rPr>
              <w:t xml:space="preserve"> litera (a) din Regulamentul (UE) 2021/691]</w:t>
            </w:r>
          </w:p>
        </w:tc>
      </w:tr>
      <w:tr w:rsidR="001A62D7" w:rsidRPr="00E07C68"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E07C68" w:rsidRDefault="00B95039" w:rsidP="001D5990">
            <w:pPr>
              <w:spacing w:before="60" w:after="60"/>
              <w:jc w:val="left"/>
              <w:rPr>
                <w:noProof/>
              </w:rPr>
            </w:pPr>
            <w:r w:rsidRPr="00E07C68">
              <w:rPr>
                <w:noProof/>
              </w:rPr>
              <w:t>Grup operativ:</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E07C68" w:rsidRDefault="00AA485E" w:rsidP="001D5990">
            <w:pPr>
              <w:spacing w:before="60" w:after="60"/>
              <w:jc w:val="center"/>
              <w:rPr>
                <w:noProof/>
              </w:rPr>
            </w:pPr>
            <w:r w:rsidRPr="00E07C68">
              <w:rPr>
                <w:noProof/>
              </w:rPr>
              <w:t>803</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E07C68" w:rsidRDefault="00AA485E" w:rsidP="001D5990">
            <w:pPr>
              <w:spacing w:before="60" w:after="60"/>
              <w:jc w:val="center"/>
              <w:rPr>
                <w:noProof/>
              </w:rPr>
            </w:pPr>
            <w:r w:rsidRPr="00E07C68">
              <w:rPr>
                <w:noProof/>
              </w:rPr>
              <w:t>148</w:t>
            </w:r>
          </w:p>
        </w:tc>
        <w:tc>
          <w:tcPr>
            <w:tcW w:w="1548" w:type="dxa"/>
            <w:tcBorders>
              <w:top w:val="single" w:sz="4" w:space="0" w:color="auto"/>
              <w:left w:val="single" w:sz="4" w:space="0" w:color="auto"/>
              <w:bottom w:val="single" w:sz="4" w:space="0" w:color="auto"/>
              <w:right w:val="nil"/>
            </w:tcBorders>
            <w:vAlign w:val="center"/>
            <w:hideMark/>
          </w:tcPr>
          <w:p w:rsidR="001A62D7" w:rsidRPr="00E07C68" w:rsidRDefault="00AA485E" w:rsidP="001D5990">
            <w:pPr>
              <w:spacing w:before="60" w:after="60"/>
              <w:jc w:val="center"/>
              <w:rPr>
                <w:noProof/>
              </w:rPr>
            </w:pPr>
            <w:r w:rsidRPr="00E07C68">
              <w:rPr>
                <w:noProof/>
              </w:rPr>
              <w:t>118 642</w:t>
            </w:r>
          </w:p>
        </w:tc>
      </w:tr>
      <w:tr w:rsidR="001A62D7" w:rsidRPr="00E07C68"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E07C68" w:rsidRDefault="00B95039" w:rsidP="001D5990">
            <w:pPr>
              <w:spacing w:before="60" w:after="60"/>
              <w:jc w:val="left"/>
              <w:rPr>
                <w:noProof/>
              </w:rPr>
            </w:pPr>
            <w:r w:rsidRPr="00E07C68">
              <w:rPr>
                <w:noProof/>
              </w:rPr>
              <w:t xml:space="preserve">Plasarea pe piața muncii a personalului disponibilizat </w:t>
            </w:r>
            <w:r w:rsidRPr="00E07C68">
              <w:rPr>
                <w:noProof/>
              </w:rPr>
              <w:br/>
              <w:t>(</w:t>
            </w:r>
            <w:r w:rsidRPr="00E07C68">
              <w:rPr>
                <w:i/>
                <w:noProof/>
              </w:rPr>
              <w:t>Outplacementbegeleiding)</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E07C68" w:rsidRDefault="00AA485E" w:rsidP="001D5990">
            <w:pPr>
              <w:spacing w:before="60" w:after="60"/>
              <w:jc w:val="center"/>
              <w:rPr>
                <w:noProof/>
              </w:rPr>
            </w:pPr>
            <w:r w:rsidRPr="00E07C68">
              <w:rPr>
                <w:noProof/>
              </w:rPr>
              <w:t>473</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E07C68" w:rsidRDefault="00AA485E" w:rsidP="001D5990">
            <w:pPr>
              <w:spacing w:before="60" w:after="60"/>
              <w:jc w:val="center"/>
              <w:rPr>
                <w:noProof/>
              </w:rPr>
            </w:pPr>
            <w:r w:rsidRPr="00E07C68">
              <w:rPr>
                <w:noProof/>
              </w:rPr>
              <w:t>1 986</w:t>
            </w:r>
          </w:p>
        </w:tc>
        <w:tc>
          <w:tcPr>
            <w:tcW w:w="1548" w:type="dxa"/>
            <w:tcBorders>
              <w:top w:val="single" w:sz="4" w:space="0" w:color="auto"/>
              <w:left w:val="single" w:sz="4" w:space="0" w:color="auto"/>
              <w:bottom w:val="single" w:sz="4" w:space="0" w:color="auto"/>
              <w:right w:val="nil"/>
            </w:tcBorders>
            <w:vAlign w:val="center"/>
            <w:hideMark/>
          </w:tcPr>
          <w:p w:rsidR="001A62D7" w:rsidRPr="00E07C68" w:rsidRDefault="00AA485E" w:rsidP="001D5990">
            <w:pPr>
              <w:spacing w:before="60" w:after="60"/>
              <w:jc w:val="center"/>
              <w:rPr>
                <w:noProof/>
              </w:rPr>
            </w:pPr>
            <w:r w:rsidRPr="00E07C68">
              <w:rPr>
                <w:noProof/>
              </w:rPr>
              <w:t>939 273</w:t>
            </w:r>
          </w:p>
        </w:tc>
      </w:tr>
      <w:tr w:rsidR="001A62D7" w:rsidRPr="00E07C68"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E07C68" w:rsidRDefault="00B95039" w:rsidP="001D5990">
            <w:pPr>
              <w:spacing w:before="60" w:after="60"/>
              <w:jc w:val="left"/>
              <w:rPr>
                <w:noProof/>
              </w:rPr>
            </w:pPr>
            <w:r w:rsidRPr="00E07C68">
              <w:rPr>
                <w:noProof/>
              </w:rPr>
              <w:t>Asistență pentru găsirea unui loc de muncă</w:t>
            </w:r>
            <w:r w:rsidR="00E07C68">
              <w:rPr>
                <w:noProof/>
              </w:rPr>
              <w:t xml:space="preserve"> </w:t>
            </w:r>
            <w:r w:rsidRPr="00E07C68">
              <w:rPr>
                <w:noProof/>
              </w:rPr>
              <w:br/>
            </w:r>
            <w:r w:rsidRPr="00E07C68">
              <w:rPr>
                <w:i/>
                <w:noProof/>
              </w:rPr>
              <w:t>(actieve bemiddeling)</w:t>
            </w:r>
            <w:r w:rsidRPr="00E07C68">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E07C68" w:rsidRDefault="00AA485E" w:rsidP="001D5990">
            <w:pPr>
              <w:spacing w:before="60" w:after="60"/>
              <w:jc w:val="center"/>
              <w:rPr>
                <w:noProof/>
              </w:rPr>
            </w:pPr>
            <w:r w:rsidRPr="00E07C68">
              <w:rPr>
                <w:noProof/>
              </w:rPr>
              <w:t>275</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E07C68" w:rsidRDefault="00AA485E" w:rsidP="001D5990">
            <w:pPr>
              <w:spacing w:before="60" w:after="60"/>
              <w:jc w:val="center"/>
              <w:rPr>
                <w:noProof/>
              </w:rPr>
            </w:pPr>
            <w:r w:rsidRPr="00E07C68">
              <w:rPr>
                <w:noProof/>
              </w:rPr>
              <w:t>1 660</w:t>
            </w:r>
          </w:p>
        </w:tc>
        <w:tc>
          <w:tcPr>
            <w:tcW w:w="1548" w:type="dxa"/>
            <w:tcBorders>
              <w:top w:val="single" w:sz="4" w:space="0" w:color="auto"/>
              <w:left w:val="single" w:sz="4" w:space="0" w:color="auto"/>
              <w:bottom w:val="single" w:sz="4" w:space="0" w:color="auto"/>
              <w:right w:val="nil"/>
            </w:tcBorders>
            <w:vAlign w:val="center"/>
            <w:hideMark/>
          </w:tcPr>
          <w:p w:rsidR="001A62D7" w:rsidRPr="00E07C68" w:rsidRDefault="00AA485E" w:rsidP="001D5990">
            <w:pPr>
              <w:spacing w:before="60" w:after="60"/>
              <w:jc w:val="center"/>
              <w:rPr>
                <w:noProof/>
              </w:rPr>
            </w:pPr>
            <w:r w:rsidRPr="00E07C68">
              <w:rPr>
                <w:noProof/>
              </w:rPr>
              <w:t>456 529</w:t>
            </w:r>
          </w:p>
        </w:tc>
      </w:tr>
      <w:tr w:rsidR="00BC2C58" w:rsidRPr="00E07C68" w:rsidTr="00BC2C58">
        <w:trPr>
          <w:trHeight w:val="802"/>
        </w:trPr>
        <w:tc>
          <w:tcPr>
            <w:tcW w:w="4644" w:type="dxa"/>
            <w:tcBorders>
              <w:top w:val="single" w:sz="4" w:space="0" w:color="auto"/>
              <w:left w:val="nil"/>
              <w:bottom w:val="single" w:sz="4" w:space="0" w:color="auto"/>
              <w:right w:val="single" w:sz="4" w:space="0" w:color="auto"/>
            </w:tcBorders>
            <w:vAlign w:val="center"/>
            <w:hideMark/>
          </w:tcPr>
          <w:p w:rsidR="00BC2C58" w:rsidRPr="00E07C68" w:rsidRDefault="00BC2C58" w:rsidP="00D9431C">
            <w:pPr>
              <w:spacing w:before="60" w:after="60"/>
              <w:jc w:val="left"/>
              <w:rPr>
                <w:noProof/>
              </w:rPr>
            </w:pPr>
            <w:r w:rsidRPr="00E07C68">
              <w:rPr>
                <w:noProof/>
              </w:rPr>
              <w:t xml:space="preserve">Asistență consolidată pentru căutarea unui loc de muncă </w:t>
            </w:r>
            <w:r w:rsidRPr="00E07C68">
              <w:rPr>
                <w:noProof/>
              </w:rPr>
              <w:br/>
            </w:r>
            <w:r w:rsidRPr="00E07C68">
              <w:rPr>
                <w:noProof/>
              </w:rPr>
              <w:lastRenderedPageBreak/>
              <w:t>(</w:t>
            </w:r>
            <w:r w:rsidRPr="00E07C68">
              <w:rPr>
                <w:i/>
                <w:noProof/>
              </w:rPr>
              <w:t>Jobhunting)</w:t>
            </w:r>
            <w:r w:rsidRPr="00E07C68">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BC2C58" w:rsidRPr="00E07C68" w:rsidRDefault="00AA485E" w:rsidP="00D9431C">
            <w:pPr>
              <w:spacing w:before="60" w:after="60"/>
              <w:jc w:val="center"/>
              <w:rPr>
                <w:noProof/>
              </w:rPr>
            </w:pPr>
            <w:r w:rsidRPr="00E07C68">
              <w:rPr>
                <w:noProof/>
              </w:rPr>
              <w:lastRenderedPageBreak/>
              <w:t>250</w:t>
            </w:r>
          </w:p>
        </w:tc>
        <w:tc>
          <w:tcPr>
            <w:tcW w:w="1548" w:type="dxa"/>
            <w:tcBorders>
              <w:top w:val="single" w:sz="4" w:space="0" w:color="auto"/>
              <w:left w:val="single" w:sz="4" w:space="0" w:color="auto"/>
              <w:bottom w:val="single" w:sz="4" w:space="0" w:color="auto"/>
              <w:right w:val="single" w:sz="4" w:space="0" w:color="auto"/>
            </w:tcBorders>
            <w:vAlign w:val="center"/>
            <w:hideMark/>
          </w:tcPr>
          <w:p w:rsidR="00BC2C58" w:rsidRPr="00E07C68" w:rsidRDefault="00AA485E" w:rsidP="00D9431C">
            <w:pPr>
              <w:spacing w:before="60" w:after="60"/>
              <w:jc w:val="center"/>
              <w:rPr>
                <w:noProof/>
              </w:rPr>
            </w:pPr>
            <w:r w:rsidRPr="00E07C68">
              <w:rPr>
                <w:noProof/>
              </w:rPr>
              <w:t>1 217</w:t>
            </w:r>
          </w:p>
        </w:tc>
        <w:tc>
          <w:tcPr>
            <w:tcW w:w="1548" w:type="dxa"/>
            <w:tcBorders>
              <w:top w:val="single" w:sz="4" w:space="0" w:color="auto"/>
              <w:left w:val="single" w:sz="4" w:space="0" w:color="auto"/>
              <w:bottom w:val="single" w:sz="4" w:space="0" w:color="auto"/>
              <w:right w:val="nil"/>
            </w:tcBorders>
            <w:vAlign w:val="center"/>
            <w:hideMark/>
          </w:tcPr>
          <w:p w:rsidR="00BC2C58" w:rsidRPr="00E07C68" w:rsidRDefault="00AA485E" w:rsidP="00D9431C">
            <w:pPr>
              <w:spacing w:before="60" w:after="60"/>
              <w:jc w:val="center"/>
              <w:rPr>
                <w:noProof/>
              </w:rPr>
            </w:pPr>
            <w:r w:rsidRPr="00E07C68">
              <w:rPr>
                <w:noProof/>
              </w:rPr>
              <w:t>304 352</w:t>
            </w:r>
          </w:p>
        </w:tc>
      </w:tr>
      <w:tr w:rsidR="00BC2C58" w:rsidRPr="00E07C68" w:rsidTr="00BC2C58">
        <w:trPr>
          <w:trHeight w:val="802"/>
        </w:trPr>
        <w:tc>
          <w:tcPr>
            <w:tcW w:w="4644" w:type="dxa"/>
            <w:tcBorders>
              <w:top w:val="single" w:sz="4" w:space="0" w:color="auto"/>
              <w:left w:val="nil"/>
              <w:bottom w:val="single" w:sz="4" w:space="0" w:color="auto"/>
              <w:right w:val="single" w:sz="4" w:space="0" w:color="auto"/>
            </w:tcBorders>
            <w:vAlign w:val="center"/>
            <w:hideMark/>
          </w:tcPr>
          <w:p w:rsidR="00BC2C58" w:rsidRPr="00E07C68" w:rsidRDefault="0042368B" w:rsidP="00D9431C">
            <w:pPr>
              <w:spacing w:before="60" w:after="60"/>
              <w:jc w:val="left"/>
              <w:rPr>
                <w:noProof/>
              </w:rPr>
            </w:pPr>
            <w:r w:rsidRPr="00E07C68">
              <w:rPr>
                <w:noProof/>
              </w:rPr>
              <w:t xml:space="preserve">Orientare </w:t>
            </w:r>
            <w:r w:rsidRPr="00E07C68">
              <w:rPr>
                <w:noProof/>
              </w:rPr>
              <w:br/>
              <w:t>(</w:t>
            </w:r>
            <w:r w:rsidRPr="00E07C68">
              <w:rPr>
                <w:i/>
                <w:noProof/>
              </w:rPr>
              <w:t>Begeleiding bij partners)</w:t>
            </w:r>
            <w:r w:rsidRPr="00E07C68">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BC2C58" w:rsidRPr="00E07C68" w:rsidRDefault="00AA485E" w:rsidP="00D9431C">
            <w:pPr>
              <w:spacing w:before="60" w:after="60"/>
              <w:jc w:val="center"/>
              <w:rPr>
                <w:noProof/>
              </w:rPr>
            </w:pPr>
            <w:r w:rsidRPr="00E07C68">
              <w:rPr>
                <w:noProof/>
              </w:rPr>
              <w:t>25</w:t>
            </w:r>
          </w:p>
        </w:tc>
        <w:tc>
          <w:tcPr>
            <w:tcW w:w="1548" w:type="dxa"/>
            <w:tcBorders>
              <w:top w:val="single" w:sz="4" w:space="0" w:color="auto"/>
              <w:left w:val="single" w:sz="4" w:space="0" w:color="auto"/>
              <w:bottom w:val="single" w:sz="4" w:space="0" w:color="auto"/>
              <w:right w:val="single" w:sz="4" w:space="0" w:color="auto"/>
            </w:tcBorders>
            <w:vAlign w:val="center"/>
            <w:hideMark/>
          </w:tcPr>
          <w:p w:rsidR="00BC2C58" w:rsidRPr="00E07C68" w:rsidRDefault="00AA485E" w:rsidP="00D9431C">
            <w:pPr>
              <w:spacing w:before="60" w:after="60"/>
              <w:jc w:val="center"/>
              <w:rPr>
                <w:noProof/>
              </w:rPr>
            </w:pPr>
            <w:r w:rsidRPr="00E07C68">
              <w:rPr>
                <w:noProof/>
              </w:rPr>
              <w:t>2 860</w:t>
            </w:r>
          </w:p>
        </w:tc>
        <w:tc>
          <w:tcPr>
            <w:tcW w:w="1548" w:type="dxa"/>
            <w:tcBorders>
              <w:top w:val="single" w:sz="4" w:space="0" w:color="auto"/>
              <w:left w:val="single" w:sz="4" w:space="0" w:color="auto"/>
              <w:bottom w:val="single" w:sz="4" w:space="0" w:color="auto"/>
              <w:right w:val="nil"/>
            </w:tcBorders>
            <w:vAlign w:val="center"/>
            <w:hideMark/>
          </w:tcPr>
          <w:p w:rsidR="00BC2C58" w:rsidRPr="00E07C68" w:rsidRDefault="00AA485E" w:rsidP="00D9431C">
            <w:pPr>
              <w:spacing w:before="60" w:after="60"/>
              <w:jc w:val="center"/>
              <w:rPr>
                <w:noProof/>
              </w:rPr>
            </w:pPr>
            <w:r w:rsidRPr="00E07C68">
              <w:rPr>
                <w:noProof/>
              </w:rPr>
              <w:t>71 511</w:t>
            </w:r>
          </w:p>
        </w:tc>
      </w:tr>
      <w:tr w:rsidR="001A62D7" w:rsidRPr="00E07C68"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E07C68" w:rsidRDefault="005051E1" w:rsidP="001D5990">
            <w:pPr>
              <w:spacing w:before="60" w:after="60"/>
              <w:jc w:val="left"/>
              <w:rPr>
                <w:noProof/>
              </w:rPr>
            </w:pPr>
            <w:r w:rsidRPr="00E07C68">
              <w:rPr>
                <w:noProof/>
              </w:rPr>
              <w:t xml:space="preserve">Formare și reconversie profesională </w:t>
            </w:r>
            <w:r w:rsidRPr="00E07C68">
              <w:rPr>
                <w:noProof/>
              </w:rPr>
              <w:br/>
              <w:t>(</w:t>
            </w:r>
            <w:r w:rsidRPr="00E07C68">
              <w:rPr>
                <w:i/>
                <w:noProof/>
              </w:rPr>
              <w:t>Opleiding eigen beheer, opleiding SIF, and opleiding bij partners)</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E07C68" w:rsidRDefault="00AA485E" w:rsidP="001D5990">
            <w:pPr>
              <w:spacing w:before="60" w:after="60"/>
              <w:jc w:val="center"/>
              <w:rPr>
                <w:noProof/>
              </w:rPr>
            </w:pPr>
            <w:r w:rsidRPr="00E07C68">
              <w:rPr>
                <w:noProof/>
              </w:rPr>
              <w:t>105</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E07C68" w:rsidRDefault="007717BD" w:rsidP="001D5990">
            <w:pPr>
              <w:spacing w:before="60" w:after="60"/>
              <w:jc w:val="center"/>
              <w:rPr>
                <w:noProof/>
              </w:rPr>
            </w:pPr>
            <w:r w:rsidRPr="00E07C68">
              <w:rPr>
                <w:noProof/>
              </w:rPr>
              <w:t>4 827</w:t>
            </w:r>
          </w:p>
        </w:tc>
        <w:tc>
          <w:tcPr>
            <w:tcW w:w="1548" w:type="dxa"/>
            <w:tcBorders>
              <w:top w:val="single" w:sz="4" w:space="0" w:color="auto"/>
              <w:left w:val="single" w:sz="4" w:space="0" w:color="auto"/>
              <w:bottom w:val="single" w:sz="4" w:space="0" w:color="auto"/>
              <w:right w:val="nil"/>
            </w:tcBorders>
            <w:vAlign w:val="center"/>
            <w:hideMark/>
          </w:tcPr>
          <w:p w:rsidR="001A62D7" w:rsidRPr="00E07C68" w:rsidRDefault="007717BD" w:rsidP="001D5990">
            <w:pPr>
              <w:spacing w:before="60" w:after="60"/>
              <w:jc w:val="center"/>
              <w:rPr>
                <w:noProof/>
              </w:rPr>
            </w:pPr>
            <w:r w:rsidRPr="00E07C68">
              <w:rPr>
                <w:noProof/>
              </w:rPr>
              <w:t>506 808</w:t>
            </w:r>
          </w:p>
        </w:tc>
      </w:tr>
      <w:tr w:rsidR="001A62D7" w:rsidRPr="00E07C68"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E07C68" w:rsidRDefault="00A40F1B" w:rsidP="001D5990">
            <w:pPr>
              <w:spacing w:before="60" w:after="60"/>
              <w:jc w:val="left"/>
              <w:rPr>
                <w:noProof/>
              </w:rPr>
            </w:pPr>
            <w:r w:rsidRPr="00E07C68">
              <w:rPr>
                <w:noProof/>
              </w:rPr>
              <w:t xml:space="preserve">Formare la locul de muncă </w:t>
            </w:r>
            <w:r w:rsidRPr="00E07C68">
              <w:rPr>
                <w:noProof/>
              </w:rPr>
              <w:br/>
            </w:r>
            <w:r w:rsidRPr="00E07C68">
              <w:rPr>
                <w:i/>
                <w:noProof/>
              </w:rPr>
              <w:t>(Opleiding in onderneming - IBO)</w:t>
            </w:r>
            <w:r w:rsidRPr="00E07C68">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E07C68" w:rsidRDefault="00AA485E" w:rsidP="001D5990">
            <w:pPr>
              <w:spacing w:before="60" w:after="60"/>
              <w:jc w:val="center"/>
              <w:rPr>
                <w:noProof/>
              </w:rPr>
            </w:pPr>
            <w:r w:rsidRPr="00E07C68">
              <w:rPr>
                <w:noProof/>
              </w:rPr>
              <w:t>10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E07C68" w:rsidRDefault="00AA485E" w:rsidP="001D5990">
            <w:pPr>
              <w:spacing w:before="60" w:after="60"/>
              <w:jc w:val="center"/>
              <w:rPr>
                <w:noProof/>
              </w:rPr>
            </w:pPr>
            <w:r w:rsidRPr="00E07C68">
              <w:rPr>
                <w:noProof/>
              </w:rPr>
              <w:t>960</w:t>
            </w:r>
          </w:p>
        </w:tc>
        <w:tc>
          <w:tcPr>
            <w:tcW w:w="1548" w:type="dxa"/>
            <w:tcBorders>
              <w:top w:val="single" w:sz="4" w:space="0" w:color="auto"/>
              <w:left w:val="single" w:sz="4" w:space="0" w:color="auto"/>
              <w:bottom w:val="single" w:sz="4" w:space="0" w:color="auto"/>
              <w:right w:val="nil"/>
            </w:tcBorders>
            <w:vAlign w:val="center"/>
            <w:hideMark/>
          </w:tcPr>
          <w:p w:rsidR="001A62D7" w:rsidRPr="00E07C68" w:rsidRDefault="00AA485E" w:rsidP="001D5990">
            <w:pPr>
              <w:spacing w:before="60" w:after="60"/>
              <w:jc w:val="center"/>
              <w:rPr>
                <w:noProof/>
              </w:rPr>
            </w:pPr>
            <w:r w:rsidRPr="00E07C68">
              <w:rPr>
                <w:noProof/>
              </w:rPr>
              <w:t>9 600</w:t>
            </w:r>
          </w:p>
        </w:tc>
      </w:tr>
      <w:tr w:rsidR="001A62D7" w:rsidRPr="00E07C68"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E07C68" w:rsidRDefault="0042368B" w:rsidP="001D5990">
            <w:pPr>
              <w:spacing w:before="60" w:after="60"/>
              <w:jc w:val="left"/>
              <w:rPr>
                <w:noProof/>
              </w:rPr>
            </w:pPr>
            <w:r w:rsidRPr="00E07C68">
              <w:rPr>
                <w:noProof/>
              </w:rPr>
              <w:t xml:space="preserve">Târgul de locuri de muncă </w:t>
            </w:r>
            <w:r w:rsidRPr="00E07C68">
              <w:rPr>
                <w:noProof/>
              </w:rPr>
              <w:br/>
              <w:t>(</w:t>
            </w:r>
            <w:r w:rsidRPr="00E07C68">
              <w:rPr>
                <w:i/>
                <w:noProof/>
              </w:rPr>
              <w:t>Jobbeurs)</w:t>
            </w:r>
            <w:r w:rsidRPr="00E07C68">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E07C68" w:rsidRDefault="007717BD" w:rsidP="001D5990">
            <w:pPr>
              <w:spacing w:before="60" w:after="60"/>
              <w:jc w:val="center"/>
              <w:rPr>
                <w:noProof/>
              </w:rPr>
            </w:pPr>
            <w:r w:rsidRPr="00E07C68">
              <w:rPr>
                <w:noProof/>
              </w:rPr>
              <w:t>288</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E07C68" w:rsidRDefault="007717BD" w:rsidP="001D5990">
            <w:pPr>
              <w:spacing w:before="60" w:after="60"/>
              <w:jc w:val="center"/>
              <w:rPr>
                <w:noProof/>
              </w:rPr>
            </w:pPr>
            <w:r w:rsidRPr="00E07C68">
              <w:rPr>
                <w:noProof/>
              </w:rPr>
              <w:t>20</w:t>
            </w:r>
          </w:p>
        </w:tc>
        <w:tc>
          <w:tcPr>
            <w:tcW w:w="1548" w:type="dxa"/>
            <w:tcBorders>
              <w:top w:val="single" w:sz="4" w:space="0" w:color="auto"/>
              <w:left w:val="single" w:sz="4" w:space="0" w:color="auto"/>
              <w:bottom w:val="single" w:sz="4" w:space="0" w:color="auto"/>
              <w:right w:val="nil"/>
            </w:tcBorders>
            <w:vAlign w:val="center"/>
            <w:hideMark/>
          </w:tcPr>
          <w:p w:rsidR="001A62D7" w:rsidRPr="00E07C68" w:rsidRDefault="007717BD" w:rsidP="001D5990">
            <w:pPr>
              <w:spacing w:before="60" w:after="60"/>
              <w:jc w:val="center"/>
              <w:rPr>
                <w:noProof/>
              </w:rPr>
            </w:pPr>
            <w:r w:rsidRPr="00E07C68">
              <w:rPr>
                <w:noProof/>
              </w:rPr>
              <w:t>5 750</w:t>
            </w:r>
          </w:p>
        </w:tc>
      </w:tr>
      <w:tr w:rsidR="001A62D7" w:rsidRPr="00E07C68" w:rsidTr="001D5990">
        <w:trPr>
          <w:trHeight w:val="398"/>
        </w:trPr>
        <w:tc>
          <w:tcPr>
            <w:tcW w:w="4644" w:type="dxa"/>
            <w:vMerge w:val="restart"/>
            <w:shd w:val="clear" w:color="auto" w:fill="auto"/>
            <w:vAlign w:val="center"/>
          </w:tcPr>
          <w:p w:rsidR="001A62D7" w:rsidRPr="00E07C68" w:rsidRDefault="001A62D7" w:rsidP="001D5990">
            <w:pPr>
              <w:spacing w:before="60" w:after="60"/>
              <w:jc w:val="right"/>
              <w:rPr>
                <w:rFonts w:eastAsia="Times New Roman"/>
                <w:noProof/>
                <w:sz w:val="22"/>
              </w:rPr>
            </w:pPr>
            <w:r w:rsidRPr="00E07C68">
              <w:rPr>
                <w:noProof/>
                <w:sz w:val="22"/>
              </w:rPr>
              <w:t>Subtotal (a):</w:t>
            </w:r>
          </w:p>
          <w:p w:rsidR="001A62D7" w:rsidRPr="00E07C68" w:rsidRDefault="001A62D7" w:rsidP="001D5990">
            <w:pPr>
              <w:spacing w:before="60" w:after="60"/>
              <w:jc w:val="right"/>
              <w:rPr>
                <w:rFonts w:eastAsia="Times New Roman"/>
                <w:noProof/>
                <w:sz w:val="22"/>
              </w:rPr>
            </w:pPr>
            <w:r w:rsidRPr="00E07C68">
              <w:rPr>
                <w:noProof/>
                <w:sz w:val="22"/>
              </w:rPr>
              <w:t xml:space="preserve">Procent din pachetul de servicii personalizate </w:t>
            </w:r>
          </w:p>
        </w:tc>
        <w:tc>
          <w:tcPr>
            <w:tcW w:w="3096" w:type="dxa"/>
            <w:gridSpan w:val="2"/>
            <w:vMerge w:val="restart"/>
            <w:shd w:val="clear" w:color="auto" w:fill="D9D9D9"/>
            <w:vAlign w:val="center"/>
          </w:tcPr>
          <w:p w:rsidR="001A62D7" w:rsidRPr="00E07C68" w:rsidRDefault="001A62D7" w:rsidP="001D5990">
            <w:pPr>
              <w:spacing w:before="60" w:after="60"/>
              <w:jc w:val="center"/>
              <w:rPr>
                <w:rFonts w:eastAsia="Times New Roman"/>
                <w:noProof/>
                <w:sz w:val="22"/>
              </w:rPr>
            </w:pPr>
            <w:r w:rsidRPr="00E07C68">
              <w:rPr>
                <w:noProof/>
                <w:sz w:val="22"/>
              </w:rPr>
              <w:t>–</w:t>
            </w:r>
          </w:p>
        </w:tc>
        <w:tc>
          <w:tcPr>
            <w:tcW w:w="1548" w:type="dxa"/>
            <w:tcBorders>
              <w:bottom w:val="nil"/>
            </w:tcBorders>
            <w:shd w:val="clear" w:color="auto" w:fill="auto"/>
            <w:vAlign w:val="center"/>
          </w:tcPr>
          <w:p w:rsidR="001A62D7" w:rsidRPr="00E07C68" w:rsidRDefault="006B2E5B" w:rsidP="001D5990">
            <w:pPr>
              <w:spacing w:before="60" w:after="60"/>
              <w:jc w:val="center"/>
              <w:rPr>
                <w:rFonts w:eastAsia="Times New Roman"/>
                <w:noProof/>
                <w:sz w:val="22"/>
              </w:rPr>
            </w:pPr>
            <w:r w:rsidRPr="00E07C68">
              <w:rPr>
                <w:noProof/>
              </w:rPr>
              <w:t>2 412 465</w:t>
            </w:r>
          </w:p>
        </w:tc>
      </w:tr>
      <w:tr w:rsidR="001A62D7" w:rsidRPr="00E07C68" w:rsidTr="001D5990">
        <w:trPr>
          <w:trHeight w:val="397"/>
        </w:trPr>
        <w:tc>
          <w:tcPr>
            <w:tcW w:w="4644" w:type="dxa"/>
            <w:vMerge/>
            <w:shd w:val="clear" w:color="auto" w:fill="auto"/>
            <w:vAlign w:val="center"/>
          </w:tcPr>
          <w:p w:rsidR="001A62D7" w:rsidRPr="00E07C68" w:rsidRDefault="001A62D7" w:rsidP="001D5990">
            <w:pPr>
              <w:spacing w:before="60" w:after="60"/>
              <w:jc w:val="right"/>
              <w:rPr>
                <w:rFonts w:eastAsia="Times New Roman"/>
                <w:noProof/>
                <w:sz w:val="22"/>
              </w:rPr>
            </w:pPr>
          </w:p>
        </w:tc>
        <w:tc>
          <w:tcPr>
            <w:tcW w:w="3096" w:type="dxa"/>
            <w:gridSpan w:val="2"/>
            <w:vMerge/>
            <w:shd w:val="clear" w:color="auto" w:fill="D9D9D9"/>
            <w:vAlign w:val="center"/>
          </w:tcPr>
          <w:p w:rsidR="001A62D7" w:rsidRPr="00E07C68" w:rsidRDefault="001A62D7" w:rsidP="001D5990">
            <w:pPr>
              <w:spacing w:before="60" w:after="60"/>
              <w:jc w:val="center"/>
              <w:rPr>
                <w:rFonts w:eastAsia="Times New Roman"/>
                <w:noProof/>
                <w:sz w:val="22"/>
              </w:rPr>
            </w:pPr>
          </w:p>
        </w:tc>
        <w:tc>
          <w:tcPr>
            <w:tcW w:w="1548" w:type="dxa"/>
            <w:tcBorders>
              <w:top w:val="nil"/>
            </w:tcBorders>
            <w:shd w:val="clear" w:color="auto" w:fill="auto"/>
            <w:vAlign w:val="center"/>
          </w:tcPr>
          <w:p w:rsidR="001A62D7" w:rsidRPr="00E07C68" w:rsidRDefault="001A62D7" w:rsidP="001D5990">
            <w:pPr>
              <w:spacing w:before="60" w:after="60"/>
              <w:jc w:val="center"/>
              <w:rPr>
                <w:rFonts w:eastAsia="Times New Roman"/>
                <w:noProof/>
                <w:sz w:val="22"/>
              </w:rPr>
            </w:pPr>
            <w:r w:rsidRPr="00E07C68">
              <w:rPr>
                <w:noProof/>
                <w:sz w:val="22"/>
              </w:rPr>
              <w:t>(</w:t>
            </w:r>
            <w:r w:rsidRPr="00E07C68">
              <w:rPr>
                <w:noProof/>
              </w:rPr>
              <w:t xml:space="preserve">96,16 </w:t>
            </w:r>
            <w:r w:rsidRPr="00E07C68">
              <w:rPr>
                <w:noProof/>
                <w:sz w:val="22"/>
              </w:rPr>
              <w:t>%)</w:t>
            </w:r>
          </w:p>
        </w:tc>
      </w:tr>
      <w:tr w:rsidR="001A62D7" w:rsidRPr="00E07C68" w:rsidTr="001D5990">
        <w:tc>
          <w:tcPr>
            <w:tcW w:w="9288" w:type="dxa"/>
            <w:gridSpan w:val="4"/>
            <w:shd w:val="clear" w:color="auto" w:fill="auto"/>
            <w:vAlign w:val="center"/>
          </w:tcPr>
          <w:p w:rsidR="001A62D7" w:rsidRPr="00E07C68" w:rsidRDefault="001A62D7" w:rsidP="001D5990">
            <w:pPr>
              <w:spacing w:before="60" w:after="60"/>
              <w:jc w:val="left"/>
              <w:rPr>
                <w:rFonts w:eastAsia="Times New Roman"/>
                <w:noProof/>
                <w:sz w:val="22"/>
              </w:rPr>
            </w:pPr>
            <w:r w:rsidRPr="00E07C68">
              <w:rPr>
                <w:noProof/>
                <w:sz w:val="22"/>
              </w:rPr>
              <w:t>Activități în temeiul articolului 7 alineatul (5) din Regulamentul (UE) 2021/691</w:t>
            </w:r>
          </w:p>
        </w:tc>
      </w:tr>
      <w:tr w:rsidR="001A62D7" w:rsidRPr="00E07C68" w:rsidTr="001D5990">
        <w:tc>
          <w:tcPr>
            <w:tcW w:w="4644" w:type="dxa"/>
            <w:shd w:val="clear" w:color="auto" w:fill="auto"/>
          </w:tcPr>
          <w:p w:rsidR="001A62D7" w:rsidRPr="00E07C68" w:rsidRDefault="001A62D7" w:rsidP="001D5990">
            <w:pPr>
              <w:spacing w:before="60" w:after="60"/>
              <w:ind w:left="284"/>
              <w:jc w:val="left"/>
              <w:rPr>
                <w:rFonts w:eastAsia="Times New Roman"/>
                <w:noProof/>
                <w:sz w:val="22"/>
              </w:rPr>
            </w:pPr>
            <w:r w:rsidRPr="00E07C68">
              <w:rPr>
                <w:noProof/>
                <w:sz w:val="22"/>
              </w:rPr>
              <w:t>1. Activități de pregătire</w:t>
            </w:r>
          </w:p>
        </w:tc>
        <w:tc>
          <w:tcPr>
            <w:tcW w:w="3096" w:type="dxa"/>
            <w:gridSpan w:val="2"/>
            <w:shd w:val="clear" w:color="auto" w:fill="D9D9D9"/>
            <w:vAlign w:val="center"/>
          </w:tcPr>
          <w:p w:rsidR="001A62D7" w:rsidRPr="00E07C68" w:rsidRDefault="001A62D7" w:rsidP="001D5990">
            <w:pPr>
              <w:spacing w:before="60" w:after="60"/>
              <w:jc w:val="center"/>
              <w:rPr>
                <w:rFonts w:eastAsia="Times New Roman"/>
                <w:noProof/>
                <w:sz w:val="22"/>
              </w:rPr>
            </w:pPr>
            <w:r w:rsidRPr="00E07C68">
              <w:rPr>
                <w:noProof/>
                <w:sz w:val="22"/>
              </w:rPr>
              <w:t>–</w:t>
            </w:r>
          </w:p>
        </w:tc>
        <w:tc>
          <w:tcPr>
            <w:tcW w:w="1548" w:type="dxa"/>
            <w:shd w:val="clear" w:color="auto" w:fill="auto"/>
          </w:tcPr>
          <w:p w:rsidR="001A62D7" w:rsidRPr="00E07C68" w:rsidRDefault="006B2E5B" w:rsidP="001D5990">
            <w:pPr>
              <w:spacing w:before="60" w:after="60"/>
              <w:jc w:val="center"/>
              <w:rPr>
                <w:rFonts w:eastAsia="Times New Roman"/>
                <w:noProof/>
                <w:sz w:val="22"/>
              </w:rPr>
            </w:pPr>
            <w:r w:rsidRPr="00E07C68">
              <w:rPr>
                <w:noProof/>
              </w:rPr>
              <w:t>2 500</w:t>
            </w:r>
          </w:p>
        </w:tc>
      </w:tr>
      <w:tr w:rsidR="001A62D7" w:rsidRPr="00E07C68" w:rsidTr="001D5990">
        <w:tc>
          <w:tcPr>
            <w:tcW w:w="4644" w:type="dxa"/>
            <w:shd w:val="clear" w:color="auto" w:fill="auto"/>
          </w:tcPr>
          <w:p w:rsidR="001A62D7" w:rsidRPr="00E07C68" w:rsidRDefault="001A62D7" w:rsidP="001D5990">
            <w:pPr>
              <w:spacing w:before="60" w:after="60"/>
              <w:ind w:left="284"/>
              <w:jc w:val="left"/>
              <w:rPr>
                <w:rFonts w:eastAsia="Times New Roman"/>
                <w:noProof/>
                <w:sz w:val="22"/>
              </w:rPr>
            </w:pPr>
            <w:r w:rsidRPr="00E07C68">
              <w:rPr>
                <w:noProof/>
                <w:sz w:val="22"/>
              </w:rPr>
              <w:t>2. Gestionare</w:t>
            </w:r>
          </w:p>
        </w:tc>
        <w:tc>
          <w:tcPr>
            <w:tcW w:w="3096" w:type="dxa"/>
            <w:gridSpan w:val="2"/>
            <w:shd w:val="clear" w:color="auto" w:fill="D9D9D9"/>
            <w:vAlign w:val="center"/>
          </w:tcPr>
          <w:p w:rsidR="001A62D7" w:rsidRPr="00E07C68" w:rsidRDefault="001A62D7" w:rsidP="001D5990">
            <w:pPr>
              <w:spacing w:before="60" w:after="60"/>
              <w:jc w:val="center"/>
              <w:rPr>
                <w:rFonts w:eastAsia="Times New Roman"/>
                <w:noProof/>
                <w:sz w:val="22"/>
              </w:rPr>
            </w:pPr>
            <w:r w:rsidRPr="00E07C68">
              <w:rPr>
                <w:noProof/>
                <w:sz w:val="22"/>
              </w:rPr>
              <w:t>–</w:t>
            </w:r>
          </w:p>
        </w:tc>
        <w:tc>
          <w:tcPr>
            <w:tcW w:w="1548" w:type="dxa"/>
            <w:shd w:val="clear" w:color="auto" w:fill="auto"/>
          </w:tcPr>
          <w:p w:rsidR="001A62D7" w:rsidRPr="00E07C68" w:rsidRDefault="006B2E5B" w:rsidP="001D5990">
            <w:pPr>
              <w:spacing w:before="60" w:after="60"/>
              <w:jc w:val="center"/>
              <w:rPr>
                <w:rFonts w:eastAsia="Times New Roman"/>
                <w:noProof/>
                <w:sz w:val="22"/>
              </w:rPr>
            </w:pPr>
            <w:r w:rsidRPr="00E07C68">
              <w:rPr>
                <w:noProof/>
              </w:rPr>
              <w:t>40 000</w:t>
            </w:r>
          </w:p>
        </w:tc>
      </w:tr>
      <w:tr w:rsidR="001A62D7" w:rsidRPr="00E07C68" w:rsidTr="001D5990">
        <w:tc>
          <w:tcPr>
            <w:tcW w:w="4644" w:type="dxa"/>
            <w:shd w:val="clear" w:color="auto" w:fill="auto"/>
          </w:tcPr>
          <w:p w:rsidR="001A62D7" w:rsidRPr="00E07C68" w:rsidRDefault="001A62D7" w:rsidP="001D5990">
            <w:pPr>
              <w:spacing w:before="60" w:after="60"/>
              <w:ind w:left="284"/>
              <w:jc w:val="left"/>
              <w:rPr>
                <w:rFonts w:eastAsia="Times New Roman"/>
                <w:noProof/>
                <w:sz w:val="22"/>
              </w:rPr>
            </w:pPr>
            <w:r w:rsidRPr="00E07C68">
              <w:rPr>
                <w:noProof/>
                <w:sz w:val="22"/>
              </w:rPr>
              <w:t>3. Informare și publicitate</w:t>
            </w:r>
          </w:p>
        </w:tc>
        <w:tc>
          <w:tcPr>
            <w:tcW w:w="3096" w:type="dxa"/>
            <w:gridSpan w:val="2"/>
            <w:shd w:val="clear" w:color="auto" w:fill="D9D9D9"/>
            <w:vAlign w:val="center"/>
          </w:tcPr>
          <w:p w:rsidR="001A62D7" w:rsidRPr="00E07C68" w:rsidRDefault="001A62D7" w:rsidP="001D5990">
            <w:pPr>
              <w:spacing w:before="60" w:after="60"/>
              <w:jc w:val="center"/>
              <w:rPr>
                <w:rFonts w:eastAsia="Times New Roman"/>
                <w:noProof/>
                <w:sz w:val="22"/>
              </w:rPr>
            </w:pPr>
            <w:r w:rsidRPr="00E07C68">
              <w:rPr>
                <w:noProof/>
                <w:sz w:val="22"/>
              </w:rPr>
              <w:t>–</w:t>
            </w:r>
          </w:p>
        </w:tc>
        <w:tc>
          <w:tcPr>
            <w:tcW w:w="1548" w:type="dxa"/>
            <w:shd w:val="clear" w:color="auto" w:fill="auto"/>
          </w:tcPr>
          <w:p w:rsidR="001A62D7" w:rsidRPr="00E07C68" w:rsidRDefault="006B2E5B" w:rsidP="001D5990">
            <w:pPr>
              <w:spacing w:before="60" w:after="60"/>
              <w:jc w:val="center"/>
              <w:rPr>
                <w:rFonts w:eastAsia="Times New Roman"/>
                <w:noProof/>
                <w:sz w:val="22"/>
              </w:rPr>
            </w:pPr>
            <w:r w:rsidRPr="00E07C68">
              <w:rPr>
                <w:noProof/>
              </w:rPr>
              <w:t>3 900</w:t>
            </w:r>
          </w:p>
        </w:tc>
      </w:tr>
      <w:tr w:rsidR="001A62D7" w:rsidRPr="00E07C68" w:rsidTr="001D5990">
        <w:tc>
          <w:tcPr>
            <w:tcW w:w="4644" w:type="dxa"/>
            <w:shd w:val="clear" w:color="auto" w:fill="auto"/>
          </w:tcPr>
          <w:p w:rsidR="001A62D7" w:rsidRPr="00E07C68" w:rsidRDefault="001A62D7" w:rsidP="001D5990">
            <w:pPr>
              <w:spacing w:before="60" w:after="60"/>
              <w:ind w:left="284"/>
              <w:jc w:val="left"/>
              <w:rPr>
                <w:rFonts w:eastAsia="Times New Roman"/>
                <w:noProof/>
                <w:sz w:val="22"/>
              </w:rPr>
            </w:pPr>
            <w:r w:rsidRPr="00E07C68">
              <w:rPr>
                <w:noProof/>
                <w:sz w:val="22"/>
              </w:rPr>
              <w:t>4. Control și raportare</w:t>
            </w:r>
          </w:p>
        </w:tc>
        <w:tc>
          <w:tcPr>
            <w:tcW w:w="3096" w:type="dxa"/>
            <w:gridSpan w:val="2"/>
            <w:shd w:val="clear" w:color="auto" w:fill="D9D9D9"/>
            <w:vAlign w:val="center"/>
          </w:tcPr>
          <w:p w:rsidR="001A62D7" w:rsidRPr="00E07C68" w:rsidRDefault="001A62D7" w:rsidP="001D5990">
            <w:pPr>
              <w:spacing w:before="60" w:after="60"/>
              <w:jc w:val="center"/>
              <w:rPr>
                <w:rFonts w:eastAsia="Times New Roman"/>
                <w:noProof/>
                <w:sz w:val="22"/>
              </w:rPr>
            </w:pPr>
            <w:r w:rsidRPr="00E07C68">
              <w:rPr>
                <w:noProof/>
                <w:sz w:val="22"/>
              </w:rPr>
              <w:t>–</w:t>
            </w:r>
          </w:p>
        </w:tc>
        <w:tc>
          <w:tcPr>
            <w:tcW w:w="1548" w:type="dxa"/>
            <w:tcBorders>
              <w:bottom w:val="single" w:sz="4" w:space="0" w:color="auto"/>
            </w:tcBorders>
            <w:shd w:val="clear" w:color="auto" w:fill="auto"/>
          </w:tcPr>
          <w:p w:rsidR="001A62D7" w:rsidRPr="00E07C68" w:rsidRDefault="006B2E5B" w:rsidP="001D5990">
            <w:pPr>
              <w:spacing w:before="60" w:after="60"/>
              <w:jc w:val="center"/>
              <w:rPr>
                <w:rFonts w:eastAsia="Times New Roman"/>
                <w:noProof/>
                <w:sz w:val="22"/>
              </w:rPr>
            </w:pPr>
            <w:r w:rsidRPr="00E07C68">
              <w:rPr>
                <w:noProof/>
              </w:rPr>
              <w:t>50 000</w:t>
            </w:r>
          </w:p>
        </w:tc>
      </w:tr>
      <w:tr w:rsidR="001A62D7" w:rsidRPr="00E07C68" w:rsidTr="001D5990">
        <w:trPr>
          <w:trHeight w:val="203"/>
        </w:trPr>
        <w:tc>
          <w:tcPr>
            <w:tcW w:w="4644" w:type="dxa"/>
            <w:vMerge w:val="restart"/>
            <w:shd w:val="clear" w:color="auto" w:fill="auto"/>
            <w:vAlign w:val="center"/>
          </w:tcPr>
          <w:p w:rsidR="001A62D7" w:rsidRPr="00E07C68" w:rsidRDefault="001A62D7" w:rsidP="001D5990">
            <w:pPr>
              <w:spacing w:before="60" w:after="60"/>
              <w:jc w:val="right"/>
              <w:rPr>
                <w:rFonts w:eastAsia="Times New Roman"/>
                <w:noProof/>
                <w:sz w:val="22"/>
              </w:rPr>
            </w:pPr>
            <w:r w:rsidRPr="00E07C68">
              <w:rPr>
                <w:noProof/>
                <w:sz w:val="22"/>
              </w:rPr>
              <w:t>Subtotal (b):</w:t>
            </w:r>
          </w:p>
          <w:p w:rsidR="001A62D7" w:rsidRPr="00E07C68" w:rsidRDefault="001A62D7" w:rsidP="001D5990">
            <w:pPr>
              <w:spacing w:before="60" w:after="60"/>
              <w:jc w:val="right"/>
              <w:rPr>
                <w:rFonts w:eastAsia="Times New Roman"/>
                <w:noProof/>
                <w:sz w:val="22"/>
              </w:rPr>
            </w:pPr>
            <w:r w:rsidRPr="00E07C68">
              <w:rPr>
                <w:noProof/>
                <w:sz w:val="22"/>
              </w:rPr>
              <w:t>Procent din costurile totale:</w:t>
            </w:r>
          </w:p>
        </w:tc>
        <w:tc>
          <w:tcPr>
            <w:tcW w:w="3096" w:type="dxa"/>
            <w:gridSpan w:val="2"/>
            <w:vMerge w:val="restart"/>
            <w:shd w:val="clear" w:color="auto" w:fill="D9D9D9"/>
            <w:vAlign w:val="center"/>
          </w:tcPr>
          <w:p w:rsidR="001A62D7" w:rsidRPr="00E07C68" w:rsidRDefault="001A62D7" w:rsidP="001D5990">
            <w:pPr>
              <w:spacing w:before="0" w:after="0"/>
              <w:jc w:val="center"/>
              <w:rPr>
                <w:rFonts w:eastAsia="Times New Roman"/>
                <w:noProof/>
                <w:sz w:val="22"/>
              </w:rPr>
            </w:pPr>
            <w:r w:rsidRPr="00E07C68">
              <w:rPr>
                <w:noProof/>
                <w:sz w:val="22"/>
              </w:rPr>
              <w:t>–</w:t>
            </w:r>
          </w:p>
        </w:tc>
        <w:tc>
          <w:tcPr>
            <w:tcW w:w="1548" w:type="dxa"/>
            <w:tcBorders>
              <w:bottom w:val="nil"/>
            </w:tcBorders>
            <w:shd w:val="clear" w:color="auto" w:fill="auto"/>
            <w:vAlign w:val="center"/>
          </w:tcPr>
          <w:p w:rsidR="001A62D7" w:rsidRPr="00E07C68" w:rsidRDefault="006B2E5B" w:rsidP="001D5990">
            <w:pPr>
              <w:spacing w:before="60" w:after="60"/>
              <w:jc w:val="center"/>
              <w:rPr>
                <w:rFonts w:eastAsia="Times New Roman"/>
                <w:noProof/>
                <w:sz w:val="22"/>
              </w:rPr>
            </w:pPr>
            <w:r w:rsidRPr="00E07C68">
              <w:rPr>
                <w:noProof/>
              </w:rPr>
              <w:t>96 400</w:t>
            </w:r>
          </w:p>
        </w:tc>
      </w:tr>
      <w:tr w:rsidR="001A62D7" w:rsidRPr="00E07C68" w:rsidTr="001D5990">
        <w:trPr>
          <w:trHeight w:val="202"/>
        </w:trPr>
        <w:tc>
          <w:tcPr>
            <w:tcW w:w="4644" w:type="dxa"/>
            <w:vMerge/>
            <w:shd w:val="clear" w:color="auto" w:fill="auto"/>
          </w:tcPr>
          <w:p w:rsidR="001A62D7" w:rsidRPr="00E07C68" w:rsidRDefault="001A62D7" w:rsidP="001D5990">
            <w:pPr>
              <w:spacing w:before="0" w:after="0"/>
              <w:jc w:val="right"/>
              <w:rPr>
                <w:rFonts w:eastAsia="Times New Roman"/>
                <w:noProof/>
                <w:sz w:val="22"/>
              </w:rPr>
            </w:pPr>
          </w:p>
        </w:tc>
        <w:tc>
          <w:tcPr>
            <w:tcW w:w="3096" w:type="dxa"/>
            <w:gridSpan w:val="2"/>
            <w:vMerge/>
            <w:shd w:val="clear" w:color="auto" w:fill="D9D9D9"/>
            <w:vAlign w:val="center"/>
          </w:tcPr>
          <w:p w:rsidR="001A62D7" w:rsidRPr="00E07C68" w:rsidRDefault="001A62D7" w:rsidP="001D5990">
            <w:pPr>
              <w:spacing w:before="0" w:after="0"/>
              <w:jc w:val="center"/>
              <w:rPr>
                <w:rFonts w:eastAsia="Times New Roman"/>
                <w:noProof/>
                <w:sz w:val="22"/>
              </w:rPr>
            </w:pPr>
          </w:p>
        </w:tc>
        <w:tc>
          <w:tcPr>
            <w:tcW w:w="1548" w:type="dxa"/>
            <w:tcBorders>
              <w:top w:val="nil"/>
            </w:tcBorders>
            <w:shd w:val="clear" w:color="auto" w:fill="auto"/>
            <w:vAlign w:val="center"/>
          </w:tcPr>
          <w:p w:rsidR="001A62D7" w:rsidRPr="00E07C68" w:rsidRDefault="001A62D7" w:rsidP="001D5990">
            <w:pPr>
              <w:spacing w:before="60" w:after="60"/>
              <w:jc w:val="center"/>
              <w:rPr>
                <w:rFonts w:eastAsia="Times New Roman"/>
                <w:noProof/>
                <w:sz w:val="22"/>
              </w:rPr>
            </w:pPr>
            <w:r w:rsidRPr="00E07C68">
              <w:rPr>
                <w:noProof/>
                <w:sz w:val="22"/>
              </w:rPr>
              <w:t>(</w:t>
            </w:r>
            <w:r w:rsidRPr="00E07C68">
              <w:rPr>
                <w:noProof/>
              </w:rPr>
              <w:t xml:space="preserve">3,84 </w:t>
            </w:r>
            <w:r w:rsidRPr="00E07C68">
              <w:rPr>
                <w:noProof/>
                <w:sz w:val="22"/>
              </w:rPr>
              <w:t>%)</w:t>
            </w:r>
          </w:p>
        </w:tc>
      </w:tr>
      <w:tr w:rsidR="001A62D7" w:rsidRPr="00E07C68" w:rsidTr="001D5990">
        <w:tc>
          <w:tcPr>
            <w:tcW w:w="4644" w:type="dxa"/>
            <w:shd w:val="clear" w:color="auto" w:fill="auto"/>
          </w:tcPr>
          <w:p w:rsidR="001A62D7" w:rsidRPr="00E07C68" w:rsidRDefault="001A62D7" w:rsidP="001D5990">
            <w:pPr>
              <w:spacing w:before="60" w:after="60"/>
              <w:jc w:val="left"/>
              <w:rPr>
                <w:rFonts w:eastAsia="Times New Roman"/>
                <w:noProof/>
                <w:sz w:val="22"/>
              </w:rPr>
            </w:pPr>
            <w:r w:rsidRPr="00E07C68">
              <w:rPr>
                <w:noProof/>
                <w:sz w:val="22"/>
              </w:rPr>
              <w:t>Costuri totale (a + b):</w:t>
            </w:r>
          </w:p>
        </w:tc>
        <w:tc>
          <w:tcPr>
            <w:tcW w:w="3096" w:type="dxa"/>
            <w:gridSpan w:val="2"/>
            <w:shd w:val="clear" w:color="auto" w:fill="D9D9D9"/>
            <w:vAlign w:val="center"/>
          </w:tcPr>
          <w:p w:rsidR="001A62D7" w:rsidRPr="00E07C68" w:rsidRDefault="001A62D7" w:rsidP="001D5990">
            <w:pPr>
              <w:spacing w:before="60" w:after="60"/>
              <w:jc w:val="center"/>
              <w:rPr>
                <w:rFonts w:eastAsia="Times New Roman"/>
                <w:noProof/>
                <w:sz w:val="22"/>
              </w:rPr>
            </w:pPr>
            <w:r w:rsidRPr="00E07C68">
              <w:rPr>
                <w:noProof/>
                <w:sz w:val="22"/>
              </w:rPr>
              <w:t>–</w:t>
            </w:r>
          </w:p>
        </w:tc>
        <w:tc>
          <w:tcPr>
            <w:tcW w:w="1548" w:type="dxa"/>
            <w:shd w:val="clear" w:color="auto" w:fill="auto"/>
          </w:tcPr>
          <w:p w:rsidR="001A62D7" w:rsidRPr="00E07C68" w:rsidRDefault="006B2E5B" w:rsidP="001D5990">
            <w:pPr>
              <w:spacing w:before="60" w:after="60"/>
              <w:jc w:val="center"/>
              <w:rPr>
                <w:noProof/>
                <w:sz w:val="22"/>
              </w:rPr>
            </w:pPr>
            <w:r w:rsidRPr="00E07C68">
              <w:rPr>
                <w:noProof/>
              </w:rPr>
              <w:t>2 508 865</w:t>
            </w:r>
          </w:p>
        </w:tc>
      </w:tr>
      <w:tr w:rsidR="001A62D7" w:rsidRPr="00E07C68" w:rsidTr="001D5990">
        <w:tc>
          <w:tcPr>
            <w:tcW w:w="4644" w:type="dxa"/>
            <w:shd w:val="clear" w:color="auto" w:fill="auto"/>
          </w:tcPr>
          <w:p w:rsidR="001A62D7" w:rsidRPr="00E07C68" w:rsidRDefault="001A62D7" w:rsidP="001D5990">
            <w:pPr>
              <w:spacing w:before="60" w:after="60"/>
              <w:jc w:val="left"/>
              <w:rPr>
                <w:rFonts w:eastAsia="Times New Roman"/>
                <w:noProof/>
                <w:sz w:val="22"/>
              </w:rPr>
            </w:pPr>
            <w:r w:rsidRPr="00E07C68">
              <w:rPr>
                <w:noProof/>
                <w:sz w:val="22"/>
              </w:rPr>
              <w:t>Contribuția din partea FEG (</w:t>
            </w:r>
            <w:r w:rsidRPr="00E07C68">
              <w:rPr>
                <w:noProof/>
              </w:rPr>
              <w:t>85</w:t>
            </w:r>
            <w:r w:rsidRPr="00E07C68">
              <w:rPr>
                <w:noProof/>
                <w:sz w:val="22"/>
              </w:rPr>
              <w:t> % din costurile totale)</w:t>
            </w:r>
          </w:p>
        </w:tc>
        <w:tc>
          <w:tcPr>
            <w:tcW w:w="3096" w:type="dxa"/>
            <w:gridSpan w:val="2"/>
            <w:shd w:val="clear" w:color="auto" w:fill="D9D9D9"/>
            <w:vAlign w:val="center"/>
          </w:tcPr>
          <w:p w:rsidR="001A62D7" w:rsidRPr="00E07C68" w:rsidRDefault="001A62D7" w:rsidP="001D5990">
            <w:pPr>
              <w:spacing w:before="60" w:after="60"/>
              <w:jc w:val="center"/>
              <w:rPr>
                <w:rFonts w:eastAsia="Times New Roman"/>
                <w:noProof/>
                <w:sz w:val="22"/>
              </w:rPr>
            </w:pPr>
            <w:r w:rsidRPr="00E07C68">
              <w:rPr>
                <w:noProof/>
                <w:sz w:val="22"/>
              </w:rPr>
              <w:t>–</w:t>
            </w:r>
          </w:p>
        </w:tc>
        <w:tc>
          <w:tcPr>
            <w:tcW w:w="1548" w:type="dxa"/>
            <w:shd w:val="clear" w:color="auto" w:fill="auto"/>
          </w:tcPr>
          <w:p w:rsidR="001A62D7" w:rsidRPr="00E07C68" w:rsidRDefault="005B68D8" w:rsidP="001D5990">
            <w:pPr>
              <w:spacing w:before="60" w:after="60"/>
              <w:jc w:val="center"/>
              <w:rPr>
                <w:rFonts w:eastAsia="Times New Roman"/>
                <w:noProof/>
                <w:sz w:val="22"/>
              </w:rPr>
            </w:pPr>
            <w:r w:rsidRPr="00E07C68">
              <w:rPr>
                <w:noProof/>
              </w:rPr>
              <w:t>2 132 535</w:t>
            </w:r>
          </w:p>
        </w:tc>
      </w:tr>
    </w:tbl>
    <w:p w:rsidR="001A62D7" w:rsidRPr="00E07C68" w:rsidRDefault="001A62D7" w:rsidP="001A62D7">
      <w:pPr>
        <w:pStyle w:val="ManualHeading3"/>
        <w:rPr>
          <w:noProof/>
        </w:rPr>
      </w:pPr>
      <w:r w:rsidRPr="00E07C68">
        <w:rPr>
          <w:noProof/>
        </w:rPr>
        <w:t>Perioada de eligibilitate a cheltuielilor</w:t>
      </w:r>
    </w:p>
    <w:p w:rsidR="001A62D7" w:rsidRPr="00E07C68" w:rsidRDefault="00E31259" w:rsidP="00AE7D04">
      <w:pPr>
        <w:pStyle w:val="ManualNumPar1"/>
        <w:rPr>
          <w:noProof/>
        </w:rPr>
      </w:pPr>
      <w:r>
        <w:rPr>
          <w:noProof/>
        </w:rPr>
        <w:t>31.</w:t>
      </w:r>
      <w:r>
        <w:rPr>
          <w:noProof/>
        </w:rPr>
        <w:tab/>
      </w:r>
      <w:r w:rsidRPr="00E07C68">
        <w:rPr>
          <w:noProof/>
        </w:rPr>
        <w:t xml:space="preserve">Belgia a început prestarea serviciilor personalizate către beneficiarii vizați la 11 iunie 2025. Prin urmare, cheltuielile aferente măsurilor vor fi eligibile pentru o contribuție financiară din FEG începând cu 11 iunie 2025, pentru o perioadă de 24 de luni de la data intrării în vigoare a deciziei de finanțare. </w:t>
      </w:r>
    </w:p>
    <w:p w:rsidR="001A62D7" w:rsidRPr="00E07C68" w:rsidRDefault="00E31259" w:rsidP="00AE7D04">
      <w:pPr>
        <w:pStyle w:val="ManualNumPar1"/>
        <w:rPr>
          <w:noProof/>
        </w:rPr>
      </w:pPr>
      <w:r>
        <w:rPr>
          <w:noProof/>
        </w:rPr>
        <w:t>32.</w:t>
      </w:r>
      <w:r>
        <w:rPr>
          <w:noProof/>
        </w:rPr>
        <w:tab/>
      </w:r>
      <w:r w:rsidRPr="00E07C68">
        <w:rPr>
          <w:noProof/>
        </w:rPr>
        <w:t xml:space="preserve">Belgia a început plata cheltuielilor administrative pentru punerea în aplicare a FEG la 11 iunie 2025. Prin urmare, cheltuielile pentru activitățile de pregătire, gestionare, informare și publicitate, control și raportare sunt eligibile pentru o contribuție financiară din FEG de la 11 iunie 2025, pentru o perioadă de 31 de luni de la data intrării în vigoare a deciziei de finanțare. </w:t>
      </w:r>
    </w:p>
    <w:p w:rsidR="001A62D7" w:rsidRPr="00E07C68" w:rsidRDefault="001A62D7" w:rsidP="001A62D7">
      <w:pPr>
        <w:pStyle w:val="ManualHeading2"/>
        <w:rPr>
          <w:noProof/>
        </w:rPr>
      </w:pPr>
      <w:r w:rsidRPr="00E07C68">
        <w:rPr>
          <w:noProof/>
        </w:rPr>
        <w:t>Sistemele de gestionare și control</w:t>
      </w:r>
    </w:p>
    <w:p w:rsidR="001A62D7" w:rsidRPr="00E07C68" w:rsidRDefault="001A62D7" w:rsidP="00AE7D04">
      <w:pPr>
        <w:pStyle w:val="ManualNumPar1"/>
        <w:rPr>
          <w:noProof/>
        </w:rPr>
      </w:pPr>
      <w:r>
        <w:rPr>
          <w:noProof/>
        </w:rPr>
        <w:t>33.</w:t>
      </w:r>
      <w:r>
        <w:rPr>
          <w:noProof/>
        </w:rPr>
        <w:tab/>
      </w:r>
      <w:r w:rsidRPr="00E07C68">
        <w:rPr>
          <w:noProof/>
        </w:rPr>
        <w:t xml:space="preserve">Cererea conține o descriere a sistemului de gestionare și control prevăzut la articolul 23 din Regulamentul (UE) 2021/691, care precizează responsabilitățile organismelor implicate. Belgia a informat Comisia că de gestionarea contribuției financiare se va ocupa VDAB. Plățile vor fi efectuate de serviciul financiar al VDAB. Departamentul </w:t>
      </w:r>
      <w:r w:rsidRPr="00E07C68">
        <w:rPr>
          <w:noProof/>
        </w:rPr>
        <w:lastRenderedPageBreak/>
        <w:t>Finanțe și Buget – Unitatea de audit a Autorității flamande de audit pentru fondurile structurale europene va acționa în calitate de autoritate de audit.</w:t>
      </w:r>
    </w:p>
    <w:p w:rsidR="001A62D7" w:rsidRPr="00E07C68" w:rsidRDefault="001A62D7" w:rsidP="001A62D7">
      <w:pPr>
        <w:pStyle w:val="ManualHeading2"/>
        <w:rPr>
          <w:noProof/>
        </w:rPr>
      </w:pPr>
      <w:r w:rsidRPr="00E07C68">
        <w:rPr>
          <w:noProof/>
        </w:rPr>
        <w:t>Angajamentele asumate de statul membru în cauză</w:t>
      </w:r>
    </w:p>
    <w:p w:rsidR="001A62D7" w:rsidRPr="00E07C68" w:rsidRDefault="005B68D8" w:rsidP="00AE7D04">
      <w:pPr>
        <w:pStyle w:val="ManualNumPar1"/>
        <w:rPr>
          <w:noProof/>
        </w:rPr>
      </w:pPr>
      <w:r>
        <w:rPr>
          <w:noProof/>
        </w:rPr>
        <w:t>34.</w:t>
      </w:r>
      <w:r>
        <w:rPr>
          <w:noProof/>
        </w:rPr>
        <w:tab/>
      </w:r>
      <w:r w:rsidRPr="00E07C68">
        <w:rPr>
          <w:noProof/>
        </w:rPr>
        <w:t xml:space="preserve">Belgia a oferit toate garanțiile necesare cu privire la următoarele: </w:t>
      </w:r>
    </w:p>
    <w:p w:rsidR="001A62D7" w:rsidRPr="00E07C68" w:rsidRDefault="001A62D7" w:rsidP="001A62D7">
      <w:pPr>
        <w:pStyle w:val="Tiret1"/>
        <w:rPr>
          <w:noProof/>
        </w:rPr>
      </w:pPr>
      <w:r w:rsidRPr="00E07C68">
        <w:rPr>
          <w:noProof/>
        </w:rPr>
        <w:t>în contextul accesului la măsurile propuse și al punerii în aplicare a acestora, vor fi respectate principiul egalității de tratament și principiul nediscriminării,</w:t>
      </w:r>
    </w:p>
    <w:p w:rsidR="001A62D7" w:rsidRPr="00E07C68" w:rsidRDefault="001A62D7" w:rsidP="001A62D7">
      <w:pPr>
        <w:pStyle w:val="Tiret1"/>
        <w:rPr>
          <w:noProof/>
        </w:rPr>
      </w:pPr>
      <w:r w:rsidRPr="00E07C68">
        <w:rPr>
          <w:noProof/>
        </w:rPr>
        <w:t>au fost îndeplinite cerințele prevăzute de legislația națională și de legislația UE în ceea ce privește concedierile colective,</w:t>
      </w:r>
    </w:p>
    <w:p w:rsidR="001A62D7" w:rsidRPr="00E07C68" w:rsidRDefault="001A62D7" w:rsidP="001A62D7">
      <w:pPr>
        <w:pStyle w:val="Tiret1"/>
        <w:rPr>
          <w:noProof/>
        </w:rPr>
      </w:pPr>
      <w:r w:rsidRPr="00E07C68">
        <w:rPr>
          <w:noProof/>
        </w:rPr>
        <w:t>se va evita orice fel de dublă finanțare,</w:t>
      </w:r>
    </w:p>
    <w:p w:rsidR="001A62D7" w:rsidRPr="00E07C68" w:rsidRDefault="001A62D7" w:rsidP="001A62D7">
      <w:pPr>
        <w:pStyle w:val="Tiret1"/>
        <w:rPr>
          <w:noProof/>
        </w:rPr>
      </w:pPr>
      <w:r w:rsidRPr="00E07C68">
        <w:rPr>
          <w:noProof/>
        </w:rPr>
        <w:t>contribuția financiară din partea FEG va respecta normele procedurale și de fond ale Uniunii privind ajutoarele de stat.</w:t>
      </w:r>
    </w:p>
    <w:p w:rsidR="001A62D7" w:rsidRPr="00E07C68" w:rsidRDefault="001A62D7" w:rsidP="001A62D7">
      <w:pPr>
        <w:pStyle w:val="ManualHeading1"/>
        <w:rPr>
          <w:noProof/>
        </w:rPr>
      </w:pPr>
      <w:r w:rsidRPr="00E07C68">
        <w:rPr>
          <w:noProof/>
        </w:rPr>
        <w:t>IMPLICAȚII BUGETARE</w:t>
      </w:r>
    </w:p>
    <w:p w:rsidR="001A62D7" w:rsidRPr="00E07C68" w:rsidRDefault="001A62D7" w:rsidP="001A62D7">
      <w:pPr>
        <w:pStyle w:val="ManualHeading2"/>
        <w:rPr>
          <w:noProof/>
        </w:rPr>
      </w:pPr>
      <w:r w:rsidRPr="00E07C68">
        <w:rPr>
          <w:noProof/>
        </w:rPr>
        <w:t>Propunerea bugetară</w:t>
      </w:r>
    </w:p>
    <w:p w:rsidR="001A62D7" w:rsidRPr="00E07C68" w:rsidRDefault="001A62D7" w:rsidP="00AE7D04">
      <w:pPr>
        <w:pStyle w:val="ManualNumPar1"/>
        <w:rPr>
          <w:noProof/>
        </w:rPr>
      </w:pPr>
      <w:r>
        <w:rPr>
          <w:noProof/>
        </w:rPr>
        <w:t>35.</w:t>
      </w:r>
      <w:r>
        <w:rPr>
          <w:noProof/>
        </w:rPr>
        <w:tab/>
      </w:r>
      <w:r w:rsidRPr="00E07C68">
        <w:rPr>
          <w:noProof/>
        </w:rPr>
        <w:t>FEG nu trebuie să depășească un cuantum anual de maximum 30 de milioane EUR (la prețurile din 2018), astfel cum se prevede la articolul 8 din Regulamentul (UE, Euratom) 2020/2093 al Consiliului din 17 decembrie 2020 de stabilire a cadrului financiar multianual pentru perioada 2021-2027</w:t>
      </w:r>
      <w:r w:rsidRPr="00E07C68">
        <w:rPr>
          <w:rStyle w:val="FootnoteReference"/>
          <w:noProof/>
        </w:rPr>
        <w:footnoteReference w:id="20"/>
      </w:r>
      <w:r w:rsidRPr="00E07C68">
        <w:rPr>
          <w:noProof/>
        </w:rPr>
        <w:t xml:space="preserve"> modificat prin Regulamentul (UE, Euratom) 2024/765 al Consiliului din 29 februarie 2024</w:t>
      </w:r>
      <w:r w:rsidRPr="00E07C68">
        <w:rPr>
          <w:rStyle w:val="FootnoteReference"/>
          <w:noProof/>
        </w:rPr>
        <w:footnoteReference w:id="21"/>
      </w:r>
      <w:r w:rsidRPr="00E07C68">
        <w:rPr>
          <w:noProof/>
        </w:rPr>
        <w:t>.</w:t>
      </w:r>
    </w:p>
    <w:p w:rsidR="001A62D7" w:rsidRPr="00E07C68" w:rsidRDefault="001A62D7" w:rsidP="00AE7D04">
      <w:pPr>
        <w:pStyle w:val="ManualNumPar1"/>
        <w:rPr>
          <w:rFonts w:eastAsia="Calibri"/>
          <w:noProof/>
        </w:rPr>
      </w:pPr>
      <w:r>
        <w:rPr>
          <w:noProof/>
        </w:rPr>
        <w:t>36.</w:t>
      </w:r>
      <w:r>
        <w:rPr>
          <w:noProof/>
        </w:rPr>
        <w:tab/>
      </w:r>
      <w:r w:rsidRPr="00E07C68">
        <w:rPr>
          <w:noProof/>
        </w:rPr>
        <w:t>După examinarea cererii în conformitate cu condițiile stabilite la articolul 13 alineatele (1) și (2) din Regulamentul (UE) 2021/691 și luând în considerare numărul de beneficiari vizați, măsurile propuse și costurile estimate, Comisia propune mobilizarea FEG pentru suma de 2 132 535 EUR, reprezentând 85 % din costurile totale ale măsurilor propuse, cu scopul de a furniza o contribuție financiară ca răspuns la cererea menționată.</w:t>
      </w:r>
    </w:p>
    <w:p w:rsidR="001A62D7" w:rsidRPr="00E07C68" w:rsidRDefault="001A62D7" w:rsidP="00AE7D04">
      <w:pPr>
        <w:pStyle w:val="ManualNumPar1"/>
        <w:rPr>
          <w:rFonts w:eastAsia="Times New Roman"/>
          <w:noProof/>
        </w:rPr>
      </w:pPr>
      <w:r>
        <w:rPr>
          <w:noProof/>
        </w:rPr>
        <w:t>37.</w:t>
      </w:r>
      <w:r>
        <w:rPr>
          <w:noProof/>
        </w:rPr>
        <w:tab/>
      </w:r>
      <w:r w:rsidRPr="00E07C68">
        <w:rPr>
          <w:noProof/>
        </w:rPr>
        <w:t>Decizia propusă privind mobilizarea FEG va fi adoptată în comun de Parlamentul European și de Consiliu, în conformitate cu articolul 15 alineatul (1) primul paragraf a doua teză din Regulamentul (UE) 2021/691 și astfel cum se prevede la punctul 9 din Acordul interinstituțional din 16 decembrie 2020 între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sidRPr="00E07C68">
        <w:rPr>
          <w:rStyle w:val="FootnoteReference"/>
          <w:noProof/>
        </w:rPr>
        <w:footnoteReference w:id="22"/>
      </w:r>
      <w:r w:rsidRPr="00E07C68">
        <w:rPr>
          <w:noProof/>
        </w:rPr>
        <w:t>.</w:t>
      </w:r>
    </w:p>
    <w:p w:rsidR="001A62D7" w:rsidRPr="00E07C68" w:rsidRDefault="001A62D7" w:rsidP="001A62D7">
      <w:pPr>
        <w:pStyle w:val="ManualHeading2"/>
        <w:rPr>
          <w:noProof/>
        </w:rPr>
      </w:pPr>
      <w:r w:rsidRPr="00E07C68">
        <w:rPr>
          <w:noProof/>
        </w:rPr>
        <w:t>Acte conexe</w:t>
      </w:r>
    </w:p>
    <w:p w:rsidR="001A62D7" w:rsidRPr="00E07C68" w:rsidRDefault="001A62D7" w:rsidP="00AE7D04">
      <w:pPr>
        <w:pStyle w:val="ManualNumPar1"/>
        <w:rPr>
          <w:noProof/>
        </w:rPr>
      </w:pPr>
      <w:r>
        <w:rPr>
          <w:noProof/>
        </w:rPr>
        <w:t>38.</w:t>
      </w:r>
      <w:r>
        <w:rPr>
          <w:noProof/>
        </w:rPr>
        <w:tab/>
      </w:r>
      <w:r w:rsidRPr="00E07C68">
        <w:rPr>
          <w:noProof/>
        </w:rPr>
        <w:t>În același timp cu prezentarea acestei propuneri de decizie privind mobilizarea FEG, Comisia va prezenta Parlamentului European și Consiliului o propunere de transfer al sumei de 2 132 535 EUR către linia bugetară relevantă.</w:t>
      </w:r>
    </w:p>
    <w:p w:rsidR="001A62D7" w:rsidRPr="00E07C68" w:rsidRDefault="001A62D7" w:rsidP="00AE7D04">
      <w:pPr>
        <w:pStyle w:val="ManualNumPar1"/>
        <w:rPr>
          <w:noProof/>
        </w:rPr>
      </w:pPr>
      <w:r>
        <w:rPr>
          <w:noProof/>
        </w:rPr>
        <w:t>39.</w:t>
      </w:r>
      <w:r>
        <w:rPr>
          <w:noProof/>
        </w:rPr>
        <w:tab/>
      </w:r>
      <w:r w:rsidRPr="00E07C68">
        <w:rPr>
          <w:noProof/>
        </w:rPr>
        <w:t xml:space="preserve">Concomitent cu adoptarea prezentei propuneri de decizie privind mobilizarea FEG, Comisia a adoptat o decizie privind o contribuție financiară, care constituie o decizie </w:t>
      </w:r>
      <w:r w:rsidRPr="00E07C68">
        <w:rPr>
          <w:noProof/>
        </w:rPr>
        <w:lastRenderedPageBreak/>
        <w:t>de finanțare în sensul articolului 110 din Regulamentul (UE, Euratom) 2024/2509</w:t>
      </w:r>
      <w:r w:rsidRPr="00E07C68">
        <w:rPr>
          <w:rStyle w:val="FootnoteReference"/>
          <w:noProof/>
        </w:rPr>
        <w:footnoteReference w:id="23"/>
      </w:r>
      <w:r w:rsidRPr="00E07C68">
        <w:rPr>
          <w:noProof/>
        </w:rPr>
        <w:t>. Respectiva decizie de finanțare va intra în vigoare la data la care Comisiei i se notifică aprobarea transferului bugetar de către Parlamentul European și Consiliu în conformitate cu articolul 15 alineatul (2) primul paragraf din Regulamentul (UE) 2021/691.</w:t>
      </w:r>
    </w:p>
    <w:p w:rsidR="001A62D7" w:rsidRPr="00E07C68" w:rsidRDefault="001A62D7" w:rsidP="001A62D7">
      <w:pPr>
        <w:rPr>
          <w:noProof/>
        </w:rPr>
        <w:sectPr w:rsidR="001A62D7" w:rsidRPr="00E07C68" w:rsidSect="006D5106">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08"/>
          <w:docGrid w:linePitch="360"/>
        </w:sectPr>
      </w:pPr>
    </w:p>
    <w:p w:rsidR="00192556" w:rsidRDefault="008330FE">
      <w:pPr>
        <w:pStyle w:val="Rfrenceinterinstitutionnelle"/>
        <w:rPr>
          <w:noProof/>
        </w:rPr>
      </w:pPr>
      <w:r>
        <w:rPr>
          <w:noProof/>
        </w:rPr>
        <w:lastRenderedPageBreak/>
        <w:t>2026/0097 (BUD)</w:t>
      </w:r>
    </w:p>
    <w:p w:rsidR="001A62D7" w:rsidRPr="00E07C68" w:rsidRDefault="00AA344A" w:rsidP="00AA344A">
      <w:pPr>
        <w:pStyle w:val="Statut"/>
        <w:rPr>
          <w:noProof/>
        </w:rPr>
      </w:pPr>
      <w:r w:rsidRPr="00E07C68">
        <w:rPr>
          <w:noProof/>
        </w:rPr>
        <w:t>Propunere de</w:t>
      </w:r>
    </w:p>
    <w:p w:rsidR="001A62D7" w:rsidRPr="00E07C68" w:rsidRDefault="00AA344A" w:rsidP="00AA344A">
      <w:pPr>
        <w:pStyle w:val="Typedudocument"/>
        <w:rPr>
          <w:noProof/>
        </w:rPr>
      </w:pPr>
      <w:r w:rsidRPr="00E07C68">
        <w:rPr>
          <w:noProof/>
        </w:rPr>
        <w:t>DECIZIE A PARLAMENTULUI EUROPEAN ȘI A CONSILIULUI</w:t>
      </w:r>
    </w:p>
    <w:p w:rsidR="001A62D7" w:rsidRPr="00E07C68" w:rsidRDefault="00AA344A" w:rsidP="00AA344A">
      <w:pPr>
        <w:pStyle w:val="Titreobjet"/>
        <w:rPr>
          <w:noProof/>
        </w:rPr>
      </w:pPr>
      <w:r w:rsidRPr="00E07C68">
        <w:rPr>
          <w:noProof/>
        </w:rPr>
        <w:t>privind mobilizarea Fondului european de ajustare la globalizare pentru lucrătorii disponibilizați în urma unei cereri din partea Belgiei – EGF/2025/009 BE/Soliver</w:t>
      </w:r>
    </w:p>
    <w:p w:rsidR="001A62D7" w:rsidRPr="00E07C68" w:rsidRDefault="001A62D7" w:rsidP="001A62D7">
      <w:pPr>
        <w:pStyle w:val="Institutionquiagit"/>
        <w:rPr>
          <w:noProof/>
        </w:rPr>
      </w:pPr>
      <w:r w:rsidRPr="00E07C68">
        <w:rPr>
          <w:noProof/>
        </w:rPr>
        <w:t>PARLAMENTUL EUROPEAN ȘI CONSILIUL UNIUNII EUROPENE,</w:t>
      </w:r>
    </w:p>
    <w:p w:rsidR="001A62D7" w:rsidRPr="00E07C68" w:rsidRDefault="001A62D7" w:rsidP="001A62D7">
      <w:pPr>
        <w:rPr>
          <w:noProof/>
        </w:rPr>
      </w:pPr>
      <w:r w:rsidRPr="00E07C68">
        <w:rPr>
          <w:noProof/>
        </w:rPr>
        <w:t>având în vedere Tratatul privind funcționarea Uniunii Europene,</w:t>
      </w:r>
    </w:p>
    <w:p w:rsidR="001A62D7" w:rsidRPr="00E07C68" w:rsidRDefault="001A62D7" w:rsidP="001A62D7">
      <w:pPr>
        <w:rPr>
          <w:noProof/>
        </w:rPr>
      </w:pPr>
      <w:r w:rsidRPr="00E07C68">
        <w:rPr>
          <w:noProof/>
        </w:rPr>
        <w:t>având în vedere Regulamentul (UE) 2021/691 al Parlamentului European și al Consiliului din 28 aprilie 2021 privind Fondul european de ajustare la globalizare pentru lucrătorii disponibilizați (FEG) și de abrogare a Regulamentului (UE) nr. 1309/2013</w:t>
      </w:r>
      <w:r w:rsidRPr="00E07C68">
        <w:rPr>
          <w:rStyle w:val="FootnoteReference"/>
          <w:noProof/>
        </w:rPr>
        <w:footnoteReference w:id="24"/>
      </w:r>
      <w:r w:rsidRPr="00E07C68">
        <w:rPr>
          <w:noProof/>
        </w:rPr>
        <w:t>, în special articolul 15 alineatul (1) primul paragraf,</w:t>
      </w:r>
    </w:p>
    <w:p w:rsidR="001A62D7" w:rsidRPr="00E07C68" w:rsidRDefault="001A62D7" w:rsidP="001A62D7">
      <w:pPr>
        <w:rPr>
          <w:noProof/>
        </w:rPr>
      </w:pPr>
      <w:r w:rsidRPr="00E07C68">
        <w:rPr>
          <w:noProof/>
        </w:rPr>
        <w:t>având în vedere Acordul interinstituțional din 16 decembrie 2020 între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sidRPr="00E07C68">
        <w:rPr>
          <w:rStyle w:val="FootnoteReference"/>
          <w:noProof/>
        </w:rPr>
        <w:footnoteReference w:id="25"/>
      </w:r>
      <w:r w:rsidRPr="00E07C68">
        <w:rPr>
          <w:noProof/>
        </w:rPr>
        <w:t>, în special punctul 9,</w:t>
      </w:r>
    </w:p>
    <w:p w:rsidR="001A62D7" w:rsidRPr="00E07C68" w:rsidRDefault="001A62D7" w:rsidP="001A62D7">
      <w:pPr>
        <w:rPr>
          <w:noProof/>
        </w:rPr>
      </w:pPr>
      <w:r w:rsidRPr="00E07C68">
        <w:rPr>
          <w:noProof/>
        </w:rPr>
        <w:t>având în vedere propunerea Comisiei Europene,</w:t>
      </w:r>
    </w:p>
    <w:p w:rsidR="001A62D7" w:rsidRPr="00E07C68" w:rsidRDefault="001A62D7" w:rsidP="001A62D7">
      <w:pPr>
        <w:rPr>
          <w:noProof/>
        </w:rPr>
      </w:pPr>
      <w:r w:rsidRPr="00E07C68">
        <w:rPr>
          <w:noProof/>
        </w:rPr>
        <w:t>întrucât:</w:t>
      </w:r>
    </w:p>
    <w:p w:rsidR="001A62D7" w:rsidRPr="00E07C68" w:rsidRDefault="001A62D7" w:rsidP="00AE7D04">
      <w:pPr>
        <w:pStyle w:val="ManualConsidrant"/>
        <w:rPr>
          <w:noProof/>
        </w:rPr>
      </w:pPr>
      <w:r>
        <w:rPr>
          <w:noProof/>
        </w:rPr>
        <w:t>(1)</w:t>
      </w:r>
      <w:r>
        <w:rPr>
          <w:noProof/>
        </w:rPr>
        <w:tab/>
      </w:r>
      <w:r w:rsidRPr="00E07C68">
        <w:rPr>
          <w:noProof/>
        </w:rPr>
        <w:t xml:space="preserve">Fondul european de ajustare la globalizare pentru lucrătorii disponibilizați (FEG) urmărește să demonstreze solidaritatea și să promoveze locuri de muncă decente și sustenabile în Uniune, oferind sprijin lucrătorilor concediați și lucrătorilor independenți a căror activitate a încetat în cazul unor evenimente majore de restructurare și ajutându-i să revină cât mai curând posibil la locuri de muncă decente și sustenabile. </w:t>
      </w:r>
    </w:p>
    <w:p w:rsidR="001A62D7" w:rsidRPr="00E07C68" w:rsidRDefault="001A62D7" w:rsidP="00AE7D04">
      <w:pPr>
        <w:pStyle w:val="ManualConsidrant"/>
        <w:rPr>
          <w:noProof/>
        </w:rPr>
      </w:pPr>
      <w:r>
        <w:rPr>
          <w:noProof/>
        </w:rPr>
        <w:t>(2)</w:t>
      </w:r>
      <w:r>
        <w:rPr>
          <w:noProof/>
        </w:rPr>
        <w:tab/>
      </w:r>
      <w:r w:rsidRPr="00E07C68">
        <w:rPr>
          <w:noProof/>
        </w:rPr>
        <w:t>FEG nu trebuie să depășească un cuantum anual de maximum 30 de milioane EUR (la prețurile din 2018), astfel cum se prevede la articolul 8 din Regulamentul (UE, Euratom) 2020/2093 al Consiliului</w:t>
      </w:r>
      <w:r w:rsidRPr="00E07C68">
        <w:rPr>
          <w:rStyle w:val="FootnoteReference"/>
          <w:noProof/>
        </w:rPr>
        <w:footnoteReference w:id="26"/>
      </w:r>
      <w:r w:rsidRPr="00E07C68">
        <w:rPr>
          <w:noProof/>
        </w:rPr>
        <w:t>, modificat prin Regulamentul (UE, Euratom) 2024/765 al Consiliului</w:t>
      </w:r>
      <w:r w:rsidRPr="00E07C68">
        <w:rPr>
          <w:rStyle w:val="FootnoteReference"/>
          <w:noProof/>
        </w:rPr>
        <w:footnoteReference w:id="27"/>
      </w:r>
      <w:r w:rsidRPr="00E07C68">
        <w:rPr>
          <w:noProof/>
        </w:rPr>
        <w:t>, și la articolul 16 din Regulamentul (UE) 2021/691.</w:t>
      </w:r>
    </w:p>
    <w:p w:rsidR="001A62D7" w:rsidRPr="00E07C68" w:rsidRDefault="001A62D7" w:rsidP="00AE7D04">
      <w:pPr>
        <w:pStyle w:val="ManualConsidrant"/>
        <w:rPr>
          <w:noProof/>
        </w:rPr>
      </w:pPr>
      <w:r>
        <w:rPr>
          <w:noProof/>
        </w:rPr>
        <w:t>(3)</w:t>
      </w:r>
      <w:r>
        <w:rPr>
          <w:noProof/>
        </w:rPr>
        <w:tab/>
      </w:r>
      <w:r w:rsidRPr="00E07C68">
        <w:rPr>
          <w:noProof/>
        </w:rPr>
        <w:t xml:space="preserve">La 22 decembrie 2025, Belgia a depus o cerere de mobilizare a FEG în conformitate cu articolul 8 alineatul (1) din Regulamentul (UE) 2021/691, referitoare la disponibilizările unor lucrători de la Soliver din Belgia. Cererea a fost completată cu informații suplimentare furnizate în conformitate cu articolul 8 alineatul (5) din Regulamentul (UE) 2021/691. Se consideră că cererea respectivă îndeplinește condițiile de acordare a unei contribuții financiare din FEG, astfel cum sunt prevăzute la articolul 13 din Regulamentul (UE) 2021/691, pe baza evaluării efectuate de </w:t>
      </w:r>
      <w:r w:rsidRPr="00E07C68">
        <w:rPr>
          <w:noProof/>
        </w:rPr>
        <w:lastRenderedPageBreak/>
        <w:t>Comisie în propunerea de decizie de mobilizare a Parlamentului European și a Consiliului</w:t>
      </w:r>
      <w:r w:rsidRPr="00E07C68">
        <w:rPr>
          <w:rStyle w:val="FootnoteReference"/>
          <w:iCs/>
          <w:noProof/>
        </w:rPr>
        <w:footnoteReference w:id="28"/>
      </w:r>
      <w:r w:rsidRPr="00E07C68">
        <w:rPr>
          <w:noProof/>
        </w:rPr>
        <w:t>.</w:t>
      </w:r>
    </w:p>
    <w:p w:rsidR="001A62D7" w:rsidRPr="00E07C68" w:rsidRDefault="001A62D7" w:rsidP="00AE7D04">
      <w:pPr>
        <w:pStyle w:val="ManualConsidrant"/>
        <w:rPr>
          <w:noProof/>
        </w:rPr>
      </w:pPr>
      <w:r>
        <w:rPr>
          <w:noProof/>
        </w:rPr>
        <w:t>(4)</w:t>
      </w:r>
      <w:r>
        <w:rPr>
          <w:noProof/>
        </w:rPr>
        <w:tab/>
      </w:r>
      <w:r w:rsidRPr="00E07C68">
        <w:rPr>
          <w:noProof/>
        </w:rPr>
        <w:t>Prin urmare, este necesară mobilizarea FEG pentru a se furniza o contribuție financiară în valoare de 2 132 535 EUR ca urmare a cererii depuse de Belgia.</w:t>
      </w:r>
    </w:p>
    <w:p w:rsidR="001A62D7" w:rsidRPr="00E07C68" w:rsidRDefault="001A62D7" w:rsidP="00AE7D04">
      <w:pPr>
        <w:pStyle w:val="ManualConsidrant"/>
        <w:rPr>
          <w:noProof/>
        </w:rPr>
      </w:pPr>
      <w:r>
        <w:rPr>
          <w:noProof/>
        </w:rPr>
        <w:t>(5)</w:t>
      </w:r>
      <w:r>
        <w:rPr>
          <w:noProof/>
        </w:rPr>
        <w:tab/>
      </w:r>
      <w:r w:rsidRPr="00E07C68">
        <w:rPr>
          <w:noProof/>
        </w:rPr>
        <w:t>Pentru a se reduce la minimum timpul necesar pentru mobilizarea FEG, prezenta decizie trebuie să se aplice de la data adoptării,</w:t>
      </w:r>
    </w:p>
    <w:p w:rsidR="001A62D7" w:rsidRPr="00E07C68" w:rsidRDefault="001A62D7" w:rsidP="001A62D7">
      <w:pPr>
        <w:pStyle w:val="Formuledadoption"/>
        <w:rPr>
          <w:noProof/>
        </w:rPr>
      </w:pPr>
      <w:r w:rsidRPr="00E07C68">
        <w:rPr>
          <w:noProof/>
        </w:rPr>
        <w:t xml:space="preserve">ADOPTĂ PREZENTA DECIZIE: </w:t>
      </w:r>
    </w:p>
    <w:p w:rsidR="001A62D7" w:rsidRPr="00E07C68" w:rsidRDefault="001A62D7" w:rsidP="001A62D7">
      <w:pPr>
        <w:pStyle w:val="Titrearticle"/>
        <w:rPr>
          <w:noProof/>
        </w:rPr>
      </w:pPr>
      <w:r w:rsidRPr="00E07C68">
        <w:rPr>
          <w:noProof/>
        </w:rPr>
        <w:t>Articolul 1</w:t>
      </w:r>
    </w:p>
    <w:p w:rsidR="001A62D7" w:rsidRPr="00E07C68" w:rsidRDefault="001A62D7" w:rsidP="001A62D7">
      <w:pPr>
        <w:rPr>
          <w:noProof/>
        </w:rPr>
      </w:pPr>
      <w:r w:rsidRPr="00E07C68">
        <w:rPr>
          <w:noProof/>
        </w:rPr>
        <w:t>În cadrul bugetului general al Uniunii aferent exercițiului financiar 2026, Fondul european de ajustare la globalizare pentru lucrătorii disponibilizați se mobilizează pentru a se furniza cuantumul de 2 132 535 EUR, sub formă de credite de angajament și de credite de plată.</w:t>
      </w:r>
    </w:p>
    <w:p w:rsidR="001A62D7" w:rsidRPr="00E07C68" w:rsidRDefault="001A62D7" w:rsidP="002E0C20">
      <w:pPr>
        <w:pStyle w:val="Titrearticle"/>
        <w:rPr>
          <w:noProof/>
        </w:rPr>
      </w:pPr>
      <w:r w:rsidRPr="00E07C68">
        <w:rPr>
          <w:noProof/>
        </w:rPr>
        <w:t>Articolul 2</w:t>
      </w:r>
    </w:p>
    <w:p w:rsidR="001A62D7" w:rsidRPr="00E07C68" w:rsidRDefault="001A62D7" w:rsidP="001A62D7">
      <w:pPr>
        <w:keepNext/>
        <w:keepLines/>
        <w:rPr>
          <w:noProof/>
        </w:rPr>
      </w:pPr>
      <w:r w:rsidRPr="00E07C68">
        <w:rPr>
          <w:noProof/>
        </w:rPr>
        <w:t xml:space="preserve">Prezenta decizie intră în vigoare la data publicării în Jurnalul Oficial al Uniunii Europene. Prezenta decizie se aplică de la </w:t>
      </w:r>
      <w:r w:rsidRPr="00E07C68">
        <w:rPr>
          <w:noProof/>
          <w:color w:val="FF0000"/>
        </w:rPr>
        <w:t>[</w:t>
      </w:r>
      <w:r w:rsidRPr="00E07C68">
        <w:rPr>
          <w:i/>
          <w:noProof/>
          <w:color w:val="FF0000"/>
        </w:rPr>
        <w:t>data adoptării</w:t>
      </w:r>
      <w:r w:rsidRPr="00E07C68">
        <w:rPr>
          <w:noProof/>
          <w:color w:val="FF0000"/>
        </w:rPr>
        <w:t>]</w:t>
      </w:r>
      <w:r w:rsidRPr="00E07C68">
        <w:rPr>
          <w:rStyle w:val="FootnoteReference"/>
          <w:noProof/>
          <w:color w:val="FF0000"/>
        </w:rPr>
        <w:footnoteReference w:customMarkFollows="1" w:id="29"/>
        <w:t>*</w:t>
      </w:r>
      <w:r w:rsidRPr="00E07C68">
        <w:rPr>
          <w:noProof/>
        </w:rPr>
        <w:t>.</w:t>
      </w:r>
    </w:p>
    <w:p w:rsidR="001A62D7" w:rsidRPr="00E07C68" w:rsidRDefault="00AA344A" w:rsidP="002E0C20">
      <w:pPr>
        <w:pStyle w:val="Fait"/>
        <w:rPr>
          <w:noProof/>
        </w:rPr>
      </w:pPr>
      <w:r>
        <w:rPr>
          <w:noProof/>
        </w:rPr>
        <w:t>Adoptată la Bruxelles,</w:t>
      </w:r>
    </w:p>
    <w:p w:rsidR="001A62D7" w:rsidRPr="00E07C68" w:rsidRDefault="001A62D7" w:rsidP="002E0C20">
      <w:pPr>
        <w:pStyle w:val="Institutionquisigne"/>
        <w:rPr>
          <w:noProof/>
        </w:rPr>
      </w:pPr>
      <w:r w:rsidRPr="00E07C68">
        <w:rPr>
          <w:noProof/>
        </w:rPr>
        <w:t>Pentru Parlamentul European</w:t>
      </w:r>
      <w:r w:rsidRPr="00E07C68">
        <w:rPr>
          <w:noProof/>
        </w:rPr>
        <w:tab/>
        <w:t>Pentru Consiliu</w:t>
      </w:r>
    </w:p>
    <w:p w:rsidR="001A62D7" w:rsidRPr="00E07C68" w:rsidRDefault="001A62D7" w:rsidP="001A62D7">
      <w:pPr>
        <w:pStyle w:val="Personnequisigne"/>
        <w:rPr>
          <w:noProof/>
        </w:rPr>
      </w:pPr>
      <w:r w:rsidRPr="00E07C68">
        <w:rPr>
          <w:noProof/>
        </w:rPr>
        <w:t>Președint</w:t>
      </w:r>
      <w:r w:rsidR="00AA344A" w:rsidRPr="00E07C68">
        <w:rPr>
          <w:noProof/>
        </w:rPr>
        <w:t>a</w:t>
      </w:r>
      <w:r w:rsidRPr="00E07C68">
        <w:rPr>
          <w:noProof/>
        </w:rPr>
        <w:tab/>
        <w:t xml:space="preserve">Președintele </w:t>
      </w:r>
      <w:r w:rsidRPr="00E07C68">
        <w:rPr>
          <w:noProof/>
        </w:rPr>
        <w:br/>
      </w:r>
    </w:p>
    <w:sectPr w:rsidR="001A62D7" w:rsidRPr="00E07C68" w:rsidSect="006D5106">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62D7" w:rsidRPr="00E07C68" w:rsidRDefault="001A62D7" w:rsidP="001A62D7">
      <w:pPr>
        <w:spacing w:before="0" w:after="0"/>
      </w:pPr>
      <w:r w:rsidRPr="00E07C68">
        <w:separator/>
      </w:r>
    </w:p>
  </w:endnote>
  <w:endnote w:type="continuationSeparator" w:id="0">
    <w:p w:rsidR="001A62D7" w:rsidRPr="00E07C68" w:rsidRDefault="001A62D7" w:rsidP="001A62D7">
      <w:pPr>
        <w:spacing w:before="0" w:after="0"/>
      </w:pPr>
      <w:r w:rsidRPr="00E07C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106" w:rsidRPr="006D5106" w:rsidRDefault="006D5106" w:rsidP="006D5106">
    <w:pPr>
      <w:pStyle w:val="Footer"/>
      <w:rPr>
        <w:rFonts w:ascii="Arial" w:hAnsi="Arial" w:cs="Arial"/>
        <w:b/>
        <w:sz w:val="48"/>
      </w:rPr>
    </w:pPr>
    <w:r w:rsidRPr="006D5106">
      <w:rPr>
        <w:rFonts w:ascii="Arial" w:hAnsi="Arial" w:cs="Arial"/>
        <w:b/>
        <w:sz w:val="48"/>
      </w:rPr>
      <w:t>RO</w:t>
    </w:r>
    <w:r w:rsidRPr="006D5106">
      <w:rPr>
        <w:rFonts w:ascii="Arial" w:hAnsi="Arial" w:cs="Arial"/>
        <w:b/>
        <w:sz w:val="48"/>
      </w:rPr>
      <w:tab/>
    </w:r>
    <w:r w:rsidRPr="006D5106">
      <w:rPr>
        <w:rFonts w:ascii="Arial" w:hAnsi="Arial" w:cs="Arial"/>
        <w:b/>
        <w:sz w:val="48"/>
      </w:rPr>
      <w:tab/>
    </w:r>
    <w:r w:rsidRPr="006D5106">
      <w:tab/>
    </w:r>
    <w:r w:rsidRPr="006D510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106" w:rsidRPr="006D5106" w:rsidRDefault="006D5106" w:rsidP="006D5106">
    <w:pPr>
      <w:pStyle w:val="Footer"/>
      <w:rPr>
        <w:rFonts w:ascii="Arial" w:hAnsi="Arial" w:cs="Arial"/>
        <w:b/>
        <w:sz w:val="48"/>
      </w:rPr>
    </w:pPr>
    <w:r w:rsidRPr="006D5106">
      <w:rPr>
        <w:rFonts w:ascii="Arial" w:hAnsi="Arial" w:cs="Arial"/>
        <w:b/>
        <w:sz w:val="48"/>
      </w:rPr>
      <w:t>RO</w:t>
    </w:r>
    <w:r w:rsidRPr="006D5106">
      <w:rPr>
        <w:rFonts w:ascii="Arial" w:hAnsi="Arial" w:cs="Arial"/>
        <w:b/>
        <w:sz w:val="48"/>
      </w:rPr>
      <w:tab/>
    </w:r>
    <w:r w:rsidRPr="006D5106">
      <w:rPr>
        <w:rFonts w:ascii="Arial" w:hAnsi="Arial" w:cs="Arial"/>
        <w:b/>
        <w:sz w:val="48"/>
      </w:rPr>
      <w:tab/>
    </w:r>
    <w:r w:rsidRPr="006D5106">
      <w:tab/>
    </w:r>
    <w:r w:rsidRPr="006D510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106" w:rsidRDefault="006D510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106" w:rsidRPr="006D5106" w:rsidRDefault="006D5106" w:rsidP="006D5106">
    <w:pPr>
      <w:pStyle w:val="Footer"/>
      <w:rPr>
        <w:rFonts w:ascii="Arial" w:hAnsi="Arial" w:cs="Arial"/>
        <w:b/>
        <w:sz w:val="48"/>
      </w:rPr>
    </w:pPr>
    <w:r w:rsidRPr="006D5106">
      <w:rPr>
        <w:rFonts w:ascii="Arial" w:hAnsi="Arial" w:cs="Arial"/>
        <w:b/>
        <w:sz w:val="48"/>
      </w:rPr>
      <w:t>RO</w:t>
    </w:r>
    <w:r w:rsidRPr="006D5106">
      <w:rPr>
        <w:rFonts w:ascii="Arial" w:hAnsi="Arial" w:cs="Arial"/>
        <w:b/>
        <w:sz w:val="48"/>
      </w:rPr>
      <w:tab/>
    </w:r>
    <w:r>
      <w:fldChar w:fldCharType="begin"/>
    </w:r>
    <w:r>
      <w:instrText xml:space="preserve"> PAGE  \* MERGEFORMAT </w:instrText>
    </w:r>
    <w:r>
      <w:fldChar w:fldCharType="separate"/>
    </w:r>
    <w:r w:rsidR="002E0C20">
      <w:rPr>
        <w:noProof/>
      </w:rPr>
      <w:t>12</w:t>
    </w:r>
    <w:r>
      <w:fldChar w:fldCharType="end"/>
    </w:r>
    <w:r>
      <w:tab/>
    </w:r>
    <w:r w:rsidRPr="006D5106">
      <w:tab/>
    </w:r>
    <w:r w:rsidRPr="006D5106">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106" w:rsidRDefault="006D5106" w:rsidP="006D51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62D7" w:rsidRPr="00E07C68" w:rsidRDefault="001A62D7" w:rsidP="001A62D7">
      <w:pPr>
        <w:spacing w:before="0" w:after="0"/>
      </w:pPr>
      <w:r w:rsidRPr="00E07C68">
        <w:separator/>
      </w:r>
    </w:p>
  </w:footnote>
  <w:footnote w:type="continuationSeparator" w:id="0">
    <w:p w:rsidR="001A62D7" w:rsidRPr="00E07C68" w:rsidRDefault="001A62D7" w:rsidP="001A62D7">
      <w:pPr>
        <w:spacing w:before="0" w:after="0"/>
      </w:pPr>
      <w:r w:rsidRPr="00E07C68">
        <w:continuationSeparator/>
      </w:r>
    </w:p>
  </w:footnote>
  <w:footnote w:id="1">
    <w:p w:rsidR="001A62D7" w:rsidRPr="00E07C68" w:rsidRDefault="001A62D7" w:rsidP="001A62D7">
      <w:pPr>
        <w:pStyle w:val="FootnoteText"/>
      </w:pPr>
      <w:r w:rsidRPr="00E07C68">
        <w:rPr>
          <w:rStyle w:val="FootnoteReference"/>
        </w:rPr>
        <w:footnoteRef/>
      </w:r>
      <w:r w:rsidRPr="00E07C68">
        <w:tab/>
        <w:t>JO</w:t>
      </w:r>
      <w:r w:rsidR="00E07C68">
        <w:t> </w:t>
      </w:r>
      <w:r w:rsidRPr="00E07C68">
        <w:t>L 153, 3.5.2021, p. 48.</w:t>
      </w:r>
    </w:p>
  </w:footnote>
  <w:footnote w:id="2">
    <w:p w:rsidR="001A62D7" w:rsidRPr="00E07C68" w:rsidRDefault="001A62D7" w:rsidP="001A62D7">
      <w:pPr>
        <w:pStyle w:val="FootnoteText"/>
      </w:pPr>
      <w:r w:rsidRPr="00E07C68">
        <w:rPr>
          <w:rStyle w:val="FootnoteReference"/>
        </w:rPr>
        <w:footnoteRef/>
      </w:r>
      <w:r w:rsidRPr="00E07C68">
        <w:tab/>
        <w:t>Regulamentul Delegat (UE) 2019/1755 al Comisiei din 8 august 2019 de modificare a anexelor la Regulamentul (CE) nr. 1059/2003 al Parlamentului European și al Consiliului privind instituirea unui nomenclator comun al unităților teritoriale de statistică (NUTS). JO</w:t>
      </w:r>
      <w:r w:rsidR="00E07C68">
        <w:t> </w:t>
      </w:r>
      <w:r w:rsidRPr="00E07C68">
        <w:t>L 270, 24.10.2019, p. 1–56.</w:t>
      </w:r>
    </w:p>
  </w:footnote>
  <w:footnote w:id="3">
    <w:p w:rsidR="001A62D7" w:rsidRPr="00E07C68" w:rsidRDefault="001A62D7" w:rsidP="001A62D7">
      <w:pPr>
        <w:pStyle w:val="FootnoteText"/>
      </w:pPr>
      <w:r w:rsidRPr="00E07C68">
        <w:rPr>
          <w:rStyle w:val="FootnoteReference"/>
        </w:rPr>
        <w:footnoteRef/>
      </w:r>
      <w:r w:rsidRPr="00E07C68">
        <w:tab/>
        <w:t>JO</w:t>
      </w:r>
      <w:r w:rsidR="00E07C68">
        <w:t> </w:t>
      </w:r>
      <w:r w:rsidRPr="00E07C68">
        <w:t>L 393, 30.12.2006, p. 1.</w:t>
      </w:r>
    </w:p>
  </w:footnote>
  <w:footnote w:id="4">
    <w:p w:rsidR="001A62D7" w:rsidRPr="00E07C68" w:rsidRDefault="001A62D7" w:rsidP="001A62D7">
      <w:pPr>
        <w:pStyle w:val="FootnoteText"/>
      </w:pPr>
      <w:r w:rsidRPr="00E07C68">
        <w:rPr>
          <w:rStyle w:val="FootnoteReference"/>
        </w:rPr>
        <w:footnoteRef/>
      </w:r>
      <w:r w:rsidRPr="00E07C68">
        <w:tab/>
        <w:t>În conformitate cu articolul 7 alineatul (5) din Regulamentul (UE) 2021/691.</w:t>
      </w:r>
    </w:p>
  </w:footnote>
  <w:footnote w:id="5">
    <w:p w:rsidR="00566198" w:rsidRPr="00E07C68" w:rsidRDefault="00566198">
      <w:pPr>
        <w:pStyle w:val="FootnoteText"/>
      </w:pPr>
      <w:r w:rsidRPr="00E07C68">
        <w:rPr>
          <w:rStyle w:val="FootnoteReference"/>
        </w:rPr>
        <w:footnoteRef/>
      </w:r>
      <w:r w:rsidRPr="00E07C68">
        <w:tab/>
      </w:r>
      <w:hyperlink r:id="rId1" w:history="1">
        <w:r w:rsidRPr="00155747">
          <w:rPr>
            <w:rStyle w:val="Hyperlink"/>
          </w:rPr>
          <w:t>Statbel.</w:t>
        </w:r>
      </w:hyperlink>
      <w:r w:rsidR="00E07C68" w:rsidRPr="00155747">
        <w:rPr>
          <w:u w:val="single"/>
        </w:rPr>
        <w:t xml:space="preserve"> </w:t>
      </w:r>
      <w:hyperlink r:id="rId2" w:history="1">
        <w:r w:rsidRPr="00155747">
          <w:rPr>
            <w:rStyle w:val="Hyperlink"/>
          </w:rPr>
          <w:t>Numărul de falimente și de pierderi de locuri de muncă în Belgia</w:t>
        </w:r>
      </w:hyperlink>
      <w:r w:rsidRPr="00E07C68">
        <w:t>.</w:t>
      </w:r>
    </w:p>
  </w:footnote>
  <w:footnote w:id="6">
    <w:p w:rsidR="0029417E" w:rsidRPr="00E07C68" w:rsidRDefault="0029417E">
      <w:pPr>
        <w:pStyle w:val="FootnoteText"/>
      </w:pPr>
      <w:r w:rsidRPr="00E07C68">
        <w:rPr>
          <w:rStyle w:val="FootnoteReference"/>
        </w:rPr>
        <w:footnoteRef/>
      </w:r>
      <w:r w:rsidRPr="00E07C68">
        <w:tab/>
      </w:r>
      <w:hyperlink r:id="rId3" w:history="1">
        <w:r w:rsidRPr="00155747">
          <w:rPr>
            <w:rStyle w:val="Hyperlink"/>
          </w:rPr>
          <w:t>Statbel.</w:t>
        </w:r>
      </w:hyperlink>
      <w:r w:rsidR="00E07C68" w:rsidRPr="00155747">
        <w:rPr>
          <w:u w:val="single"/>
        </w:rPr>
        <w:t xml:space="preserve"> </w:t>
      </w:r>
      <w:hyperlink r:id="rId4" w:history="1">
        <w:r w:rsidRPr="00155747">
          <w:rPr>
            <w:rStyle w:val="Hyperlink"/>
          </w:rPr>
          <w:t>Evoluția numărului de falimente și de pierderi de locuri de muncă pe an</w:t>
        </w:r>
      </w:hyperlink>
      <w:r w:rsidRPr="00E07C68">
        <w:t>.</w:t>
      </w:r>
    </w:p>
  </w:footnote>
  <w:footnote w:id="7">
    <w:p w:rsidR="004E0712" w:rsidRPr="00E07C68" w:rsidRDefault="004E0712">
      <w:pPr>
        <w:pStyle w:val="FootnoteText"/>
      </w:pPr>
      <w:r w:rsidRPr="00E07C68">
        <w:rPr>
          <w:rStyle w:val="FootnoteReference"/>
        </w:rPr>
        <w:footnoteRef/>
      </w:r>
      <w:r w:rsidRPr="00E07C68">
        <w:tab/>
      </w:r>
      <w:hyperlink r:id="rId5" w:history="1">
        <w:r w:rsidRPr="00155747">
          <w:rPr>
            <w:rStyle w:val="Hyperlink"/>
          </w:rPr>
          <w:t>Statbel.</w:t>
        </w:r>
      </w:hyperlink>
      <w:r w:rsidR="00E07C68" w:rsidRPr="00155747">
        <w:rPr>
          <w:u w:val="single"/>
        </w:rPr>
        <w:t xml:space="preserve"> </w:t>
      </w:r>
      <w:hyperlink r:id="rId6" w:history="1">
        <w:r w:rsidRPr="00155747">
          <w:rPr>
            <w:rStyle w:val="Hyperlink"/>
          </w:rPr>
          <w:t>Numărul de falimente și de pierderi de locuri de muncă în Belgia</w:t>
        </w:r>
      </w:hyperlink>
      <w:r w:rsidRPr="00E07C68">
        <w:t>.</w:t>
      </w:r>
    </w:p>
  </w:footnote>
  <w:footnote w:id="8">
    <w:p w:rsidR="00CE4172" w:rsidRPr="00E07C68" w:rsidRDefault="00CE4172">
      <w:pPr>
        <w:pStyle w:val="FootnoteText"/>
      </w:pPr>
      <w:r w:rsidRPr="00E07C68">
        <w:rPr>
          <w:rStyle w:val="FootnoteReference"/>
        </w:rPr>
        <w:footnoteRef/>
      </w:r>
      <w:r w:rsidRPr="00E07C68">
        <w:tab/>
      </w:r>
      <w:hyperlink r:id="rId7" w:history="1">
        <w:r w:rsidRPr="00E07C68">
          <w:rPr>
            <w:rStyle w:val="Hyperlink"/>
          </w:rPr>
          <w:t>Arvastat.</w:t>
        </w:r>
      </w:hyperlink>
    </w:p>
  </w:footnote>
  <w:footnote w:id="9">
    <w:p w:rsidR="0055521B" w:rsidRPr="00E07C68" w:rsidRDefault="0055521B" w:rsidP="0055521B">
      <w:pPr>
        <w:pStyle w:val="FootnoteText"/>
      </w:pPr>
      <w:r w:rsidRPr="00E07C68">
        <w:rPr>
          <w:rStyle w:val="FootnoteReference"/>
        </w:rPr>
        <w:footnoteRef/>
      </w:r>
      <w:r w:rsidRPr="00E07C68">
        <w:tab/>
        <w:t>Decretul regal din 10 noiembrie 2006 de modificare a Decretului regal din 9 martie 2006.</w:t>
      </w:r>
    </w:p>
  </w:footnote>
  <w:footnote w:id="10">
    <w:p w:rsidR="00F33F5A" w:rsidRPr="00E07C68" w:rsidRDefault="00F33F5A">
      <w:pPr>
        <w:pStyle w:val="FootnoteText"/>
      </w:pPr>
      <w:r w:rsidRPr="00E07C68">
        <w:rPr>
          <w:rStyle w:val="FootnoteReference"/>
        </w:rPr>
        <w:footnoteRef/>
      </w:r>
      <w:r w:rsidRPr="00E07C68">
        <w:tab/>
        <w:t xml:space="preserve">Algemene Centrale der Liberale Vakbonden van België. </w:t>
      </w:r>
    </w:p>
  </w:footnote>
  <w:footnote w:id="11">
    <w:p w:rsidR="00A81EF9" w:rsidRPr="00E07C68" w:rsidRDefault="00A81EF9">
      <w:pPr>
        <w:pStyle w:val="FootnoteText"/>
      </w:pPr>
      <w:r w:rsidRPr="00E07C68">
        <w:rPr>
          <w:rStyle w:val="FootnoteReference"/>
        </w:rPr>
        <w:footnoteRef/>
      </w:r>
      <w:r w:rsidRPr="00E07C68">
        <w:tab/>
        <w:t>Algemeen Belgisch Vakverbond.</w:t>
      </w:r>
    </w:p>
  </w:footnote>
  <w:footnote w:id="12">
    <w:p w:rsidR="00034F32" w:rsidRPr="00E07C68" w:rsidRDefault="00034F32">
      <w:pPr>
        <w:pStyle w:val="FootnoteText"/>
      </w:pPr>
      <w:r w:rsidRPr="00E07C68">
        <w:rPr>
          <w:rStyle w:val="FootnoteReference"/>
        </w:rPr>
        <w:footnoteRef/>
      </w:r>
      <w:r w:rsidRPr="00E07C68">
        <w:tab/>
        <w:t>Algemeen Christelijk Vakverbond.</w:t>
      </w:r>
    </w:p>
  </w:footnote>
  <w:footnote w:id="13">
    <w:p w:rsidR="001A62D7" w:rsidRPr="00E07C68" w:rsidRDefault="001A62D7" w:rsidP="001A62D7">
      <w:pPr>
        <w:pStyle w:val="FootnoteText"/>
      </w:pPr>
      <w:r w:rsidRPr="00E07C68">
        <w:rPr>
          <w:rStyle w:val="FootnoteReference"/>
        </w:rPr>
        <w:footnoteRef/>
      </w:r>
      <w:r w:rsidRPr="00E07C68">
        <w:tab/>
        <w:t>ISCED 0-2</w:t>
      </w:r>
      <w:r w:rsidR="00E07C68">
        <w:t>.</w:t>
      </w:r>
    </w:p>
  </w:footnote>
  <w:footnote w:id="14">
    <w:p w:rsidR="001A62D7" w:rsidRPr="00E07C68" w:rsidRDefault="001A62D7" w:rsidP="001A62D7">
      <w:pPr>
        <w:pStyle w:val="FootnoteText"/>
      </w:pPr>
      <w:r w:rsidRPr="00E07C68">
        <w:rPr>
          <w:rStyle w:val="FootnoteReference"/>
        </w:rPr>
        <w:footnoteRef/>
      </w:r>
      <w:r w:rsidRPr="00E07C68">
        <w:tab/>
        <w:t>ISCED 3</w:t>
      </w:r>
      <w:r w:rsidR="00E07C68">
        <w:t>.</w:t>
      </w:r>
    </w:p>
  </w:footnote>
  <w:footnote w:id="15">
    <w:p w:rsidR="001A62D7" w:rsidRPr="00E07C68" w:rsidRDefault="001A62D7" w:rsidP="001A62D7">
      <w:pPr>
        <w:pStyle w:val="FootnoteText"/>
      </w:pPr>
      <w:r w:rsidRPr="00E07C68">
        <w:rPr>
          <w:rStyle w:val="FootnoteReference"/>
        </w:rPr>
        <w:footnoteRef/>
      </w:r>
      <w:r w:rsidRPr="00E07C68">
        <w:tab/>
        <w:t>ISCED 4</w:t>
      </w:r>
      <w:r w:rsidR="00E07C68">
        <w:t>.</w:t>
      </w:r>
    </w:p>
  </w:footnote>
  <w:footnote w:id="16">
    <w:p w:rsidR="001A62D7" w:rsidRPr="00E07C68" w:rsidRDefault="001A62D7" w:rsidP="001A62D7">
      <w:pPr>
        <w:pStyle w:val="FootnoteText"/>
      </w:pPr>
      <w:r w:rsidRPr="00E07C68">
        <w:rPr>
          <w:rStyle w:val="FootnoteReference"/>
        </w:rPr>
        <w:footnoteRef/>
      </w:r>
      <w:r w:rsidRPr="00E07C68">
        <w:tab/>
        <w:t>ISCED 5-8</w:t>
      </w:r>
      <w:r w:rsidR="00E07C68">
        <w:t>.</w:t>
      </w:r>
    </w:p>
  </w:footnote>
  <w:footnote w:id="17">
    <w:p w:rsidR="00F33B64" w:rsidRPr="00E07C68" w:rsidRDefault="00F33B64">
      <w:pPr>
        <w:pStyle w:val="FootnoteText"/>
      </w:pPr>
      <w:r w:rsidRPr="00E07C68">
        <w:rPr>
          <w:rStyle w:val="FootnoteReference"/>
        </w:rPr>
        <w:footnoteRef/>
      </w:r>
      <w:r w:rsidRPr="00E07C68">
        <w:tab/>
        <w:t>Vlaamse Dienst voor Arbeidsbemiddeling en Beroepsopleiding (VDAB).</w:t>
      </w:r>
    </w:p>
  </w:footnote>
  <w:footnote w:id="18">
    <w:p w:rsidR="001A62D7" w:rsidRPr="00E07C68" w:rsidRDefault="001A62D7" w:rsidP="001A62D7">
      <w:pPr>
        <w:pStyle w:val="FootnoteText"/>
      </w:pPr>
      <w:r w:rsidRPr="00E07C68">
        <w:rPr>
          <w:rStyle w:val="FootnoteReference"/>
        </w:rPr>
        <w:footnoteRef/>
      </w:r>
      <w:r w:rsidRPr="00E07C68">
        <w:tab/>
        <w:t>Pentru a se evita zecimalele, costurile estimate per lucrător au fost rotunjite. Cu toate acestea, rotunjirile nu au niciun impact asupra costului total al fiecărei măsuri, care nu diferă de cel indicat în cererea prezentată de Belgia.</w:t>
      </w:r>
    </w:p>
  </w:footnote>
  <w:footnote w:id="19">
    <w:p w:rsidR="001A62D7" w:rsidRPr="00E07C68" w:rsidRDefault="001A62D7" w:rsidP="001A62D7">
      <w:pPr>
        <w:pStyle w:val="FootnoteText"/>
      </w:pPr>
      <w:r w:rsidRPr="00E07C68">
        <w:rPr>
          <w:rStyle w:val="FootnoteReference"/>
        </w:rPr>
        <w:footnoteRef/>
      </w:r>
      <w:r w:rsidRPr="00E07C68">
        <w:tab/>
        <w:t>Totalurile nu corespund exact din cauza rotunjirilor.</w:t>
      </w:r>
    </w:p>
  </w:footnote>
  <w:footnote w:id="20">
    <w:p w:rsidR="001A62D7" w:rsidRPr="00E07C68" w:rsidRDefault="001A62D7" w:rsidP="001A62D7">
      <w:pPr>
        <w:pStyle w:val="FootnoteText"/>
      </w:pPr>
      <w:r w:rsidRPr="00E07C68">
        <w:rPr>
          <w:rStyle w:val="FootnoteReference"/>
        </w:rPr>
        <w:footnoteRef/>
      </w:r>
      <w:r w:rsidRPr="00E07C68">
        <w:tab/>
        <w:t>JO</w:t>
      </w:r>
      <w:r w:rsidR="00E07C68">
        <w:t> </w:t>
      </w:r>
      <w:r w:rsidRPr="00E07C68">
        <w:t>L 433 I, 22.12.2020, p. 11.</w:t>
      </w:r>
    </w:p>
  </w:footnote>
  <w:footnote w:id="21">
    <w:p w:rsidR="001A62D7" w:rsidRPr="00E07C68" w:rsidRDefault="001A62D7" w:rsidP="001A62D7">
      <w:pPr>
        <w:pStyle w:val="FootnoteText"/>
      </w:pPr>
      <w:r w:rsidRPr="00E07C68">
        <w:rPr>
          <w:rStyle w:val="FootnoteReference"/>
        </w:rPr>
        <w:footnoteRef/>
      </w:r>
      <w:r w:rsidRPr="00E07C68">
        <w:tab/>
        <w:t>JO</w:t>
      </w:r>
      <w:r w:rsidR="00E07C68">
        <w:t> </w:t>
      </w:r>
      <w:r w:rsidRPr="00E07C68">
        <w:t>L, 2024/765, 29.2.2024, ELI: http://data.europa.eu/eli/reg/2024/765/oj.</w:t>
      </w:r>
    </w:p>
  </w:footnote>
  <w:footnote w:id="22">
    <w:p w:rsidR="001A62D7" w:rsidRPr="00E07C68" w:rsidRDefault="001A62D7" w:rsidP="001A62D7">
      <w:pPr>
        <w:pStyle w:val="FootnoteText"/>
      </w:pPr>
      <w:r w:rsidRPr="00E07C68">
        <w:rPr>
          <w:rStyle w:val="FootnoteReference"/>
        </w:rPr>
        <w:footnoteRef/>
      </w:r>
      <w:r w:rsidRPr="00E07C68">
        <w:tab/>
        <w:t>JO</w:t>
      </w:r>
      <w:r w:rsidR="00E07C68">
        <w:t> </w:t>
      </w:r>
      <w:r w:rsidRPr="00E07C68">
        <w:t>L 433 I, 22.12.2020, p. 28.</w:t>
      </w:r>
    </w:p>
  </w:footnote>
  <w:footnote w:id="23">
    <w:p w:rsidR="001A62D7" w:rsidRPr="00E07C68" w:rsidRDefault="001A62D7" w:rsidP="001A62D7">
      <w:pPr>
        <w:pStyle w:val="FootnoteText"/>
      </w:pPr>
      <w:r w:rsidRPr="00E07C68">
        <w:rPr>
          <w:rStyle w:val="FootnoteReference"/>
        </w:rPr>
        <w:footnoteRef/>
      </w:r>
      <w:r w:rsidRPr="00E07C68">
        <w:tab/>
        <w:t>Regulamentul (UE, Euratom) 2024/2509 al Parlamentului European și al Consiliului din 23 septembrie 2024 privind normele financiare aplicabile bugetului general al Uniunii (reformare) JO L, 2024/2509, 26.9.2024, ELI: http://data.europa.eu/eli/reg/2024/2509/oj.</w:t>
      </w:r>
    </w:p>
  </w:footnote>
  <w:footnote w:id="24">
    <w:p w:rsidR="001A62D7" w:rsidRPr="00E07C68" w:rsidRDefault="001A62D7" w:rsidP="001A62D7">
      <w:pPr>
        <w:pStyle w:val="FootnoteText"/>
      </w:pPr>
      <w:r w:rsidRPr="00E07C68">
        <w:rPr>
          <w:rStyle w:val="FootnoteReference"/>
        </w:rPr>
        <w:footnoteRef/>
      </w:r>
      <w:r w:rsidRPr="00E07C68">
        <w:tab/>
        <w:t>JO</w:t>
      </w:r>
      <w:r w:rsidR="00E07C68">
        <w:t> </w:t>
      </w:r>
      <w:r w:rsidRPr="00E07C68">
        <w:t>L 153, 3.5.2021, p. 48.</w:t>
      </w:r>
    </w:p>
  </w:footnote>
  <w:footnote w:id="25">
    <w:p w:rsidR="001A62D7" w:rsidRPr="00E07C68" w:rsidRDefault="001A62D7" w:rsidP="001A62D7">
      <w:pPr>
        <w:pStyle w:val="FootnoteText"/>
      </w:pPr>
      <w:r w:rsidRPr="00E07C68">
        <w:rPr>
          <w:rStyle w:val="FootnoteReference"/>
        </w:rPr>
        <w:footnoteRef/>
      </w:r>
      <w:r w:rsidRPr="00E07C68">
        <w:tab/>
        <w:t>JO</w:t>
      </w:r>
      <w:r w:rsidR="00E07C68">
        <w:t> </w:t>
      </w:r>
      <w:r w:rsidRPr="00E07C68">
        <w:t>L 433 I, 22.12.2020, p. 28</w:t>
      </w:r>
      <w:r w:rsidR="00E07C68">
        <w:t>.</w:t>
      </w:r>
    </w:p>
  </w:footnote>
  <w:footnote w:id="26">
    <w:p w:rsidR="001A62D7" w:rsidRPr="00E07C68" w:rsidRDefault="001A62D7" w:rsidP="001A62D7">
      <w:pPr>
        <w:pStyle w:val="FootnoteText"/>
      </w:pPr>
      <w:r w:rsidRPr="00E07C68">
        <w:rPr>
          <w:rStyle w:val="FootnoteReference"/>
        </w:rPr>
        <w:footnoteRef/>
      </w:r>
      <w:r w:rsidRPr="00E07C68">
        <w:tab/>
        <w:t>Regulamentul (UE, Euratom) 2020/2093 al Consiliului din 17 decembrie 2020 de stabilire a cadrului financiar multianual pentru perioada 2021-2027 (JO</w:t>
      </w:r>
      <w:r w:rsidR="00E07C68">
        <w:t> </w:t>
      </w:r>
      <w:r w:rsidRPr="00E07C68">
        <w:t>L 433 I, 22.12.2020, p. 11).</w:t>
      </w:r>
    </w:p>
  </w:footnote>
  <w:footnote w:id="27">
    <w:p w:rsidR="001A62D7" w:rsidRPr="00E07C68" w:rsidRDefault="001A62D7" w:rsidP="001A62D7">
      <w:pPr>
        <w:pStyle w:val="FootnoteText"/>
      </w:pPr>
      <w:r w:rsidRPr="00E07C68">
        <w:rPr>
          <w:rStyle w:val="FootnoteReference"/>
        </w:rPr>
        <w:footnoteRef/>
      </w:r>
      <w:r w:rsidRPr="00E07C68">
        <w:tab/>
        <w:t>JO</w:t>
      </w:r>
      <w:r w:rsidR="00E07C68">
        <w:t> </w:t>
      </w:r>
      <w:r w:rsidRPr="00E07C68">
        <w:t>L, 2024/765, 29.2.2024, ELI: http://data.europa.eu/eli/reg/2024/765/oj.</w:t>
      </w:r>
    </w:p>
  </w:footnote>
  <w:footnote w:id="28">
    <w:p w:rsidR="001A62D7" w:rsidRPr="00E07C68" w:rsidRDefault="001A62D7" w:rsidP="001A62D7">
      <w:pPr>
        <w:pStyle w:val="FootnoteText"/>
      </w:pPr>
      <w:r w:rsidRPr="00E07C68">
        <w:rPr>
          <w:rStyle w:val="FootnoteReference"/>
        </w:rPr>
        <w:footnoteRef/>
      </w:r>
      <w:r w:rsidRPr="00E07C68">
        <w:tab/>
        <w:t>COM(2026) 50.</w:t>
      </w:r>
    </w:p>
  </w:footnote>
  <w:footnote w:id="29">
    <w:p w:rsidR="00281AE4" w:rsidRPr="00281AE4" w:rsidRDefault="00281AE4">
      <w:pPr>
        <w:pStyle w:val="FootnoteText"/>
      </w:pPr>
      <w:r w:rsidRPr="00E07C68">
        <w:rPr>
          <w:rStyle w:val="FootnoteReference"/>
        </w:rPr>
        <w:t>*</w:t>
      </w:r>
      <w:r w:rsidRPr="00E07C68">
        <w:tab/>
      </w:r>
      <w:r w:rsidRPr="00E07C68">
        <w:rPr>
          <w:color w:val="FF0000"/>
        </w:rPr>
        <w:t>Data urmează a fi introdusă de către Parlament înainte de publicarea în JO.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106" w:rsidRDefault="006D51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106" w:rsidRDefault="006D51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12"/>
    <w:lvlOverride w:ilvl="0">
      <w:startOverride w:val="1"/>
    </w:lvlOverride>
  </w:num>
  <w:num w:numId="20">
    <w:abstractNumId w:val="23"/>
  </w:num>
  <w:num w:numId="21">
    <w:abstractNumId w:val="12"/>
  </w:num>
  <w:num w:numId="22">
    <w:abstractNumId w:val="26"/>
  </w:num>
  <w:num w:numId="23">
    <w:abstractNumId w:val="6"/>
  </w:num>
  <w:num w:numId="24">
    <w:abstractNumId w:val="13"/>
  </w:num>
  <w:num w:numId="25">
    <w:abstractNumId w:val="14"/>
  </w:num>
  <w:num w:numId="26">
    <w:abstractNumId w:val="4"/>
  </w:num>
  <w:num w:numId="27">
    <w:abstractNumId w:val="25"/>
  </w:num>
  <w:num w:numId="28">
    <w:abstractNumId w:val="3"/>
  </w:num>
  <w:num w:numId="29">
    <w:abstractNumId w:val="15"/>
  </w:num>
  <w:num w:numId="30">
    <w:abstractNumId w:val="21"/>
  </w:num>
  <w:num w:numId="31">
    <w:abstractNumId w:val="22"/>
  </w:num>
  <w:num w:numId="32">
    <w:abstractNumId w:val="5"/>
  </w:num>
  <w:num w:numId="33">
    <w:abstractNumId w:val="19"/>
  </w:num>
  <w:num w:numId="34">
    <w:abstractNumId w:val="30"/>
  </w:num>
  <w:num w:numId="35">
    <w:abstractNumId w:val="23"/>
  </w:num>
  <w:num w:numId="36">
    <w:abstractNumId w:val="12"/>
  </w:num>
  <w:num w:numId="37">
    <w:abstractNumId w:val="26"/>
  </w:num>
  <w:num w:numId="38">
    <w:abstractNumId w:val="6"/>
  </w:num>
  <w:num w:numId="39">
    <w:abstractNumId w:val="13"/>
  </w:num>
  <w:num w:numId="40">
    <w:abstractNumId w:val="14"/>
  </w:num>
  <w:num w:numId="41">
    <w:abstractNumId w:val="4"/>
  </w:num>
  <w:num w:numId="42">
    <w:abstractNumId w:val="25"/>
  </w:num>
  <w:num w:numId="43">
    <w:abstractNumId w:val="3"/>
  </w:num>
  <w:num w:numId="44">
    <w:abstractNumId w:val="15"/>
  </w:num>
  <w:num w:numId="45">
    <w:abstractNumId w:val="21"/>
  </w:num>
  <w:num w:numId="46">
    <w:abstractNumId w:val="22"/>
  </w:num>
  <w:num w:numId="47">
    <w:abstractNumId w:val="5"/>
  </w:num>
  <w:num w:numId="48">
    <w:abstractNumId w:val="19"/>
  </w:num>
  <w:num w:numId="49">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ocumentProtection w:edit="forms" w:enforcement="0"/>
  <w:defaultTabStop w:val="720"/>
  <w:hyphenationZone w:val="425"/>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9 11:46:3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34AC3E4-A6E8-49EB-B4F5-D8D4823F68C7"/>
    <w:docVar w:name="LW_COVERPAGE_TYPE" w:val="1"/>
    <w:docVar w:name="LW_CreatedUtc" w:val="2025-02-03T12:09:04.7855178Z"/>
    <w:docVar w:name="LW_CROSSREFERENCE" w:val="&lt;UNUSED&gt;"/>
    <w:docVar w:name="LW_DocType" w:val="COM"/>
    <w:docVar w:name="LW_EMISSION" w:val="30.4.2026"/>
    <w:docVar w:name="LW_EMISSION_ISODATE" w:val="2026-04-30"/>
    <w:docVar w:name="LW_EMISSION_LOCATION" w:val="BRX"/>
    <w:docVar w:name="LW_EMISSION_PREFIX" w:val="Bruxelles,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BUD"/>
    <w:docVar w:name="LW_REF.II.NEW.CP_NUMBER" w:val="0097"/>
    <w:docVar w:name="LW_REF.II.NEW.CP_YEAR" w:val="2026"/>
    <w:docVar w:name="LW_REF.INST.NEW" w:val="COM"/>
    <w:docVar w:name="LW_REF.INST.NEW_ADOPTED" w:val="final"/>
    <w:docVar w:name="LW_REF.INST.NEW_TEXT" w:val="(2026) 5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mobilizarea Fondului european de ajustare la globalizare pentru lucr\u259?torii disponibiliza\u539?i în urma unei cereri din partea Belgiei \u8211? EGF/2025/009 BE/Soliver"/>
    <w:docVar w:name="LW_TYPE.DOC.CP" w:val="DECIZIE A PARLAMENTULUI EUROPEAN \u536?I A CONSILIULUI"/>
    <w:docVar w:name="LwApiVersions" w:val="LW4CoDe 1.24.5.0; LW 9.2, Build 20251112"/>
  </w:docVars>
  <w:rsids>
    <w:rsidRoot w:val="001A62D7"/>
    <w:rsid w:val="0000083F"/>
    <w:rsid w:val="000021EA"/>
    <w:rsid w:val="0000449A"/>
    <w:rsid w:val="000052CE"/>
    <w:rsid w:val="000155C2"/>
    <w:rsid w:val="000171AE"/>
    <w:rsid w:val="0001783E"/>
    <w:rsid w:val="00025367"/>
    <w:rsid w:val="00034F32"/>
    <w:rsid w:val="0005763D"/>
    <w:rsid w:val="000A1446"/>
    <w:rsid w:val="000A3457"/>
    <w:rsid w:val="000D02FF"/>
    <w:rsid w:val="000E1551"/>
    <w:rsid w:val="000E54A7"/>
    <w:rsid w:val="000F421F"/>
    <w:rsid w:val="001065F5"/>
    <w:rsid w:val="00107DA6"/>
    <w:rsid w:val="001238EF"/>
    <w:rsid w:val="0013042E"/>
    <w:rsid w:val="00133AB1"/>
    <w:rsid w:val="00135B76"/>
    <w:rsid w:val="00141A92"/>
    <w:rsid w:val="00155747"/>
    <w:rsid w:val="00192556"/>
    <w:rsid w:val="00197613"/>
    <w:rsid w:val="001A62D7"/>
    <w:rsid w:val="001C2EBA"/>
    <w:rsid w:val="001C70A2"/>
    <w:rsid w:val="001D3672"/>
    <w:rsid w:val="001D5602"/>
    <w:rsid w:val="001E1BFF"/>
    <w:rsid w:val="001F1BF2"/>
    <w:rsid w:val="00207E64"/>
    <w:rsid w:val="0022114D"/>
    <w:rsid w:val="002241E3"/>
    <w:rsid w:val="00232A52"/>
    <w:rsid w:val="00233DC7"/>
    <w:rsid w:val="00241826"/>
    <w:rsid w:val="00242082"/>
    <w:rsid w:val="00247653"/>
    <w:rsid w:val="00247779"/>
    <w:rsid w:val="00250DD0"/>
    <w:rsid w:val="00260CD5"/>
    <w:rsid w:val="00265183"/>
    <w:rsid w:val="00281568"/>
    <w:rsid w:val="00281AE4"/>
    <w:rsid w:val="00283BE2"/>
    <w:rsid w:val="00285BEE"/>
    <w:rsid w:val="00286C70"/>
    <w:rsid w:val="0029417E"/>
    <w:rsid w:val="0029533F"/>
    <w:rsid w:val="00296ADB"/>
    <w:rsid w:val="002B30AF"/>
    <w:rsid w:val="002B529C"/>
    <w:rsid w:val="002C667E"/>
    <w:rsid w:val="002D162C"/>
    <w:rsid w:val="002D6DD1"/>
    <w:rsid w:val="002E0C20"/>
    <w:rsid w:val="002F5D8B"/>
    <w:rsid w:val="003075BA"/>
    <w:rsid w:val="00327B30"/>
    <w:rsid w:val="0033344A"/>
    <w:rsid w:val="0033742C"/>
    <w:rsid w:val="00347B23"/>
    <w:rsid w:val="00377FD4"/>
    <w:rsid w:val="003827EA"/>
    <w:rsid w:val="00385ADE"/>
    <w:rsid w:val="003A5970"/>
    <w:rsid w:val="003B5B93"/>
    <w:rsid w:val="003D3D6D"/>
    <w:rsid w:val="003D76E8"/>
    <w:rsid w:val="003F4B17"/>
    <w:rsid w:val="003F4EF7"/>
    <w:rsid w:val="003F6F44"/>
    <w:rsid w:val="004079A2"/>
    <w:rsid w:val="0042300E"/>
    <w:rsid w:val="0042368B"/>
    <w:rsid w:val="0042648E"/>
    <w:rsid w:val="004619C8"/>
    <w:rsid w:val="00463A4D"/>
    <w:rsid w:val="00472E9F"/>
    <w:rsid w:val="004874E6"/>
    <w:rsid w:val="00492EF2"/>
    <w:rsid w:val="004936D2"/>
    <w:rsid w:val="004A0B30"/>
    <w:rsid w:val="004A53A7"/>
    <w:rsid w:val="004A5846"/>
    <w:rsid w:val="004B1583"/>
    <w:rsid w:val="004C0C1C"/>
    <w:rsid w:val="004D3EAA"/>
    <w:rsid w:val="004E0712"/>
    <w:rsid w:val="004E1AD7"/>
    <w:rsid w:val="004E5110"/>
    <w:rsid w:val="004E5B86"/>
    <w:rsid w:val="004F0C60"/>
    <w:rsid w:val="004F4579"/>
    <w:rsid w:val="004F5528"/>
    <w:rsid w:val="005051E1"/>
    <w:rsid w:val="005206E6"/>
    <w:rsid w:val="00532962"/>
    <w:rsid w:val="0054282B"/>
    <w:rsid w:val="0055521B"/>
    <w:rsid w:val="00566198"/>
    <w:rsid w:val="005B1EB6"/>
    <w:rsid w:val="005B5E5A"/>
    <w:rsid w:val="005B68D8"/>
    <w:rsid w:val="005C34B2"/>
    <w:rsid w:val="005D4FF1"/>
    <w:rsid w:val="005E047F"/>
    <w:rsid w:val="005E26D5"/>
    <w:rsid w:val="005F57AA"/>
    <w:rsid w:val="005F5B7C"/>
    <w:rsid w:val="00605200"/>
    <w:rsid w:val="00630A91"/>
    <w:rsid w:val="00634AC7"/>
    <w:rsid w:val="00645F04"/>
    <w:rsid w:val="006610FB"/>
    <w:rsid w:val="006713C7"/>
    <w:rsid w:val="006806E3"/>
    <w:rsid w:val="00687ABA"/>
    <w:rsid w:val="0069342F"/>
    <w:rsid w:val="006B2E5B"/>
    <w:rsid w:val="006D166F"/>
    <w:rsid w:val="006D5106"/>
    <w:rsid w:val="006D74FC"/>
    <w:rsid w:val="006D78FF"/>
    <w:rsid w:val="006E5D60"/>
    <w:rsid w:val="006F0E26"/>
    <w:rsid w:val="00707075"/>
    <w:rsid w:val="007266B5"/>
    <w:rsid w:val="00731699"/>
    <w:rsid w:val="0073171B"/>
    <w:rsid w:val="00733DEF"/>
    <w:rsid w:val="0075716A"/>
    <w:rsid w:val="00764BAD"/>
    <w:rsid w:val="007717BD"/>
    <w:rsid w:val="00773331"/>
    <w:rsid w:val="00783B1B"/>
    <w:rsid w:val="00786A7E"/>
    <w:rsid w:val="007932EF"/>
    <w:rsid w:val="00797CE1"/>
    <w:rsid w:val="007A0C2F"/>
    <w:rsid w:val="007B3690"/>
    <w:rsid w:val="007B73B4"/>
    <w:rsid w:val="007C116C"/>
    <w:rsid w:val="007C7D48"/>
    <w:rsid w:val="007E05B0"/>
    <w:rsid w:val="007E5241"/>
    <w:rsid w:val="007F016A"/>
    <w:rsid w:val="007F7AEF"/>
    <w:rsid w:val="007F7C31"/>
    <w:rsid w:val="00815D63"/>
    <w:rsid w:val="00822237"/>
    <w:rsid w:val="00822F61"/>
    <w:rsid w:val="00824751"/>
    <w:rsid w:val="00832804"/>
    <w:rsid w:val="00842DE2"/>
    <w:rsid w:val="0084757F"/>
    <w:rsid w:val="008519BE"/>
    <w:rsid w:val="00862F27"/>
    <w:rsid w:val="00874D22"/>
    <w:rsid w:val="008855AA"/>
    <w:rsid w:val="00887599"/>
    <w:rsid w:val="008925A4"/>
    <w:rsid w:val="00893F0A"/>
    <w:rsid w:val="008A2914"/>
    <w:rsid w:val="008B5E24"/>
    <w:rsid w:val="008C3FE7"/>
    <w:rsid w:val="008D2433"/>
    <w:rsid w:val="008E4D8E"/>
    <w:rsid w:val="008F049C"/>
    <w:rsid w:val="008F5442"/>
    <w:rsid w:val="009316C0"/>
    <w:rsid w:val="0094043E"/>
    <w:rsid w:val="00944322"/>
    <w:rsid w:val="0094444C"/>
    <w:rsid w:val="00944517"/>
    <w:rsid w:val="0095318D"/>
    <w:rsid w:val="00961654"/>
    <w:rsid w:val="00984FE9"/>
    <w:rsid w:val="00985D0A"/>
    <w:rsid w:val="00986BCD"/>
    <w:rsid w:val="00986DA0"/>
    <w:rsid w:val="009A476A"/>
    <w:rsid w:val="009A7C8E"/>
    <w:rsid w:val="009C2E1D"/>
    <w:rsid w:val="009D238C"/>
    <w:rsid w:val="009D3AF4"/>
    <w:rsid w:val="009E7230"/>
    <w:rsid w:val="009F3301"/>
    <w:rsid w:val="00A06181"/>
    <w:rsid w:val="00A27BD7"/>
    <w:rsid w:val="00A27D7C"/>
    <w:rsid w:val="00A32CAA"/>
    <w:rsid w:val="00A36992"/>
    <w:rsid w:val="00A40F1B"/>
    <w:rsid w:val="00A748C9"/>
    <w:rsid w:val="00A81EF9"/>
    <w:rsid w:val="00A85F2E"/>
    <w:rsid w:val="00A90EB2"/>
    <w:rsid w:val="00A92EDE"/>
    <w:rsid w:val="00A93E41"/>
    <w:rsid w:val="00AA016E"/>
    <w:rsid w:val="00AA344A"/>
    <w:rsid w:val="00AA485E"/>
    <w:rsid w:val="00AC4216"/>
    <w:rsid w:val="00AE7D04"/>
    <w:rsid w:val="00AF0B1D"/>
    <w:rsid w:val="00B10303"/>
    <w:rsid w:val="00B10D37"/>
    <w:rsid w:val="00B17A01"/>
    <w:rsid w:val="00B17E47"/>
    <w:rsid w:val="00B316D7"/>
    <w:rsid w:val="00B50506"/>
    <w:rsid w:val="00B84B9C"/>
    <w:rsid w:val="00B95039"/>
    <w:rsid w:val="00BB0AE6"/>
    <w:rsid w:val="00BB34D8"/>
    <w:rsid w:val="00BB5342"/>
    <w:rsid w:val="00BC1E27"/>
    <w:rsid w:val="00BC2C58"/>
    <w:rsid w:val="00BC4D63"/>
    <w:rsid w:val="00BC7A56"/>
    <w:rsid w:val="00BD6159"/>
    <w:rsid w:val="00BE4826"/>
    <w:rsid w:val="00BF27AE"/>
    <w:rsid w:val="00C054F9"/>
    <w:rsid w:val="00C12301"/>
    <w:rsid w:val="00C16CCE"/>
    <w:rsid w:val="00C2027B"/>
    <w:rsid w:val="00C22000"/>
    <w:rsid w:val="00C22CCB"/>
    <w:rsid w:val="00C3171C"/>
    <w:rsid w:val="00C368C3"/>
    <w:rsid w:val="00C36A72"/>
    <w:rsid w:val="00C67372"/>
    <w:rsid w:val="00C73D01"/>
    <w:rsid w:val="00C75D00"/>
    <w:rsid w:val="00C76357"/>
    <w:rsid w:val="00C91721"/>
    <w:rsid w:val="00C966AD"/>
    <w:rsid w:val="00CA1197"/>
    <w:rsid w:val="00CA235E"/>
    <w:rsid w:val="00CA7EE1"/>
    <w:rsid w:val="00CC078D"/>
    <w:rsid w:val="00CC1BB7"/>
    <w:rsid w:val="00CD2326"/>
    <w:rsid w:val="00CD24F6"/>
    <w:rsid w:val="00CD361B"/>
    <w:rsid w:val="00CE0120"/>
    <w:rsid w:val="00CE4172"/>
    <w:rsid w:val="00D0426B"/>
    <w:rsid w:val="00D04C4F"/>
    <w:rsid w:val="00D135B4"/>
    <w:rsid w:val="00D13762"/>
    <w:rsid w:val="00D15047"/>
    <w:rsid w:val="00D20381"/>
    <w:rsid w:val="00D300AA"/>
    <w:rsid w:val="00D3296E"/>
    <w:rsid w:val="00D51A37"/>
    <w:rsid w:val="00D54F1D"/>
    <w:rsid w:val="00D574B1"/>
    <w:rsid w:val="00D6399D"/>
    <w:rsid w:val="00D64B73"/>
    <w:rsid w:val="00D723C4"/>
    <w:rsid w:val="00D7429C"/>
    <w:rsid w:val="00D746FE"/>
    <w:rsid w:val="00D75089"/>
    <w:rsid w:val="00DA06D8"/>
    <w:rsid w:val="00DB5C1E"/>
    <w:rsid w:val="00DC0B2E"/>
    <w:rsid w:val="00DF7F81"/>
    <w:rsid w:val="00E07C68"/>
    <w:rsid w:val="00E1163B"/>
    <w:rsid w:val="00E30269"/>
    <w:rsid w:val="00E306C4"/>
    <w:rsid w:val="00E31259"/>
    <w:rsid w:val="00E346FB"/>
    <w:rsid w:val="00E42F7B"/>
    <w:rsid w:val="00E44FF0"/>
    <w:rsid w:val="00E53511"/>
    <w:rsid w:val="00E63255"/>
    <w:rsid w:val="00E65594"/>
    <w:rsid w:val="00E6650F"/>
    <w:rsid w:val="00E851BF"/>
    <w:rsid w:val="00E876BC"/>
    <w:rsid w:val="00EA5C15"/>
    <w:rsid w:val="00EB33C4"/>
    <w:rsid w:val="00EE4EA9"/>
    <w:rsid w:val="00EE5AD2"/>
    <w:rsid w:val="00EF01DB"/>
    <w:rsid w:val="00EF3F91"/>
    <w:rsid w:val="00F0286E"/>
    <w:rsid w:val="00F04468"/>
    <w:rsid w:val="00F07146"/>
    <w:rsid w:val="00F10FB1"/>
    <w:rsid w:val="00F33B64"/>
    <w:rsid w:val="00F33F5A"/>
    <w:rsid w:val="00F425B1"/>
    <w:rsid w:val="00F438C3"/>
    <w:rsid w:val="00F6052A"/>
    <w:rsid w:val="00F62339"/>
    <w:rsid w:val="00F62893"/>
    <w:rsid w:val="00F64D77"/>
    <w:rsid w:val="00F7776C"/>
    <w:rsid w:val="00F80243"/>
    <w:rsid w:val="00F87FDE"/>
    <w:rsid w:val="00F9787A"/>
    <w:rsid w:val="00FA5322"/>
    <w:rsid w:val="00FB61E6"/>
    <w:rsid w:val="00FC0259"/>
    <w:rsid w:val="00FC1DBA"/>
    <w:rsid w:val="00FC38F8"/>
    <w:rsid w:val="00FE3C57"/>
    <w:rsid w:val="00FE528A"/>
    <w:rsid w:val="00FF1A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0353"/>
    <o:shapelayout v:ext="edit">
      <o:idmap v:ext="edit" data="1"/>
    </o:shapelayout>
  </w:shapeDefaults>
  <w:decimalSymbol w:val=","/>
  <w:listSeparator w:val=";"/>
  <w15:docId w15:val="{49135F58-2DE3-4C0E-842E-895763F0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1A62D7"/>
    <w:pPr>
      <w:numPr>
        <w:numId w:val="2"/>
      </w:numPr>
      <w:tabs>
        <w:tab w:val="num" w:pos="360"/>
      </w:tabs>
      <w:ind w:left="0" w:firstLine="0"/>
    </w:pPr>
    <w:rPr>
      <w:rFonts w:eastAsia="Times New Roman"/>
      <w:lang w:eastAsia="de-DE"/>
    </w:rPr>
  </w:style>
  <w:style w:type="paragraph" w:styleId="ListNumber">
    <w:name w:val="List Number"/>
    <w:basedOn w:val="Normal"/>
    <w:uiPriority w:val="99"/>
    <w:rsid w:val="001A62D7"/>
    <w:pPr>
      <w:numPr>
        <w:numId w:val="6"/>
      </w:numPr>
    </w:pPr>
    <w:rPr>
      <w:rFonts w:eastAsia="Times New Roman"/>
      <w:lang w:eastAsia="de-DE"/>
    </w:rPr>
  </w:style>
  <w:style w:type="paragraph" w:customStyle="1" w:styleId="ListBullet1">
    <w:name w:val="List Bullet 1"/>
    <w:basedOn w:val="Normal"/>
    <w:rsid w:val="001A62D7"/>
    <w:pPr>
      <w:numPr>
        <w:numId w:val="1"/>
      </w:numPr>
    </w:pPr>
    <w:rPr>
      <w:rFonts w:eastAsia="Times New Roman"/>
      <w:lang w:eastAsia="de-DE"/>
    </w:rPr>
  </w:style>
  <w:style w:type="paragraph" w:customStyle="1" w:styleId="ListDash">
    <w:name w:val="List Dash"/>
    <w:basedOn w:val="Normal"/>
    <w:rsid w:val="001A62D7"/>
    <w:pPr>
      <w:numPr>
        <w:numId w:val="3"/>
      </w:numPr>
    </w:pPr>
    <w:rPr>
      <w:rFonts w:eastAsia="Times New Roman"/>
      <w:lang w:eastAsia="de-DE"/>
    </w:rPr>
  </w:style>
  <w:style w:type="paragraph" w:customStyle="1" w:styleId="ListDash1">
    <w:name w:val="List Dash 1"/>
    <w:basedOn w:val="Normal"/>
    <w:rsid w:val="001A62D7"/>
    <w:pPr>
      <w:numPr>
        <w:numId w:val="4"/>
      </w:numPr>
    </w:pPr>
    <w:rPr>
      <w:rFonts w:eastAsia="Times New Roman"/>
      <w:lang w:eastAsia="de-DE"/>
    </w:rPr>
  </w:style>
  <w:style w:type="paragraph" w:customStyle="1" w:styleId="ListDash2">
    <w:name w:val="List Dash 2"/>
    <w:basedOn w:val="Normal"/>
    <w:rsid w:val="001A62D7"/>
    <w:pPr>
      <w:numPr>
        <w:numId w:val="5"/>
      </w:numPr>
    </w:pPr>
    <w:rPr>
      <w:rFonts w:eastAsia="Times New Roman"/>
      <w:lang w:eastAsia="de-DE"/>
    </w:rPr>
  </w:style>
  <w:style w:type="paragraph" w:customStyle="1" w:styleId="ListNumberLevel2">
    <w:name w:val="List Number (Level 2)"/>
    <w:basedOn w:val="Normal"/>
    <w:rsid w:val="001A62D7"/>
    <w:pPr>
      <w:numPr>
        <w:ilvl w:val="1"/>
        <w:numId w:val="6"/>
      </w:numPr>
    </w:pPr>
    <w:rPr>
      <w:rFonts w:eastAsia="Times New Roman"/>
      <w:lang w:eastAsia="de-DE"/>
    </w:rPr>
  </w:style>
  <w:style w:type="paragraph" w:customStyle="1" w:styleId="ListNumberLevel3">
    <w:name w:val="List Number (Level 3)"/>
    <w:basedOn w:val="Normal"/>
    <w:rsid w:val="001A62D7"/>
    <w:pPr>
      <w:numPr>
        <w:ilvl w:val="2"/>
        <w:numId w:val="6"/>
      </w:numPr>
    </w:pPr>
    <w:rPr>
      <w:rFonts w:eastAsia="Times New Roman"/>
      <w:lang w:eastAsia="de-DE"/>
    </w:rPr>
  </w:style>
  <w:style w:type="paragraph" w:customStyle="1" w:styleId="ListNumberLevel4">
    <w:name w:val="List Number (Level 4)"/>
    <w:basedOn w:val="Normal"/>
    <w:rsid w:val="001A62D7"/>
    <w:pPr>
      <w:numPr>
        <w:ilvl w:val="3"/>
        <w:numId w:val="6"/>
      </w:numPr>
    </w:pPr>
    <w:rPr>
      <w:rFonts w:eastAsia="Times New Roman"/>
      <w:lang w:eastAsia="de-DE"/>
    </w:rPr>
  </w:style>
  <w:style w:type="table" w:styleId="TableGrid">
    <w:name w:val="Table Grid"/>
    <w:basedOn w:val="TableNormal"/>
    <w:rsid w:val="001A62D7"/>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A62D7"/>
    <w:rPr>
      <w:color w:val="0000FF"/>
      <w:u w:val="single"/>
    </w:rPr>
  </w:style>
  <w:style w:type="paragraph" w:styleId="ListBullet">
    <w:name w:val="List Bullet"/>
    <w:basedOn w:val="Normal"/>
    <w:uiPriority w:val="99"/>
    <w:rsid w:val="001A62D7"/>
    <w:pPr>
      <w:numPr>
        <w:numId w:val="7"/>
      </w:numPr>
    </w:pPr>
    <w:rPr>
      <w:rFonts w:eastAsia="Times New Roman"/>
      <w:lang w:eastAsia="en-GB"/>
    </w:rPr>
  </w:style>
  <w:style w:type="paragraph" w:styleId="ListBullet2">
    <w:name w:val="List Bullet 2"/>
    <w:basedOn w:val="Normal"/>
    <w:uiPriority w:val="99"/>
    <w:rsid w:val="001A62D7"/>
    <w:pPr>
      <w:numPr>
        <w:numId w:val="8"/>
      </w:numPr>
    </w:pPr>
    <w:rPr>
      <w:rFonts w:eastAsia="Times New Roman"/>
      <w:lang w:eastAsia="en-GB"/>
    </w:rPr>
  </w:style>
  <w:style w:type="paragraph" w:styleId="ListBullet3">
    <w:name w:val="List Bullet 3"/>
    <w:basedOn w:val="Normal"/>
    <w:uiPriority w:val="99"/>
    <w:rsid w:val="001A62D7"/>
    <w:pPr>
      <w:numPr>
        <w:numId w:val="9"/>
      </w:numPr>
    </w:pPr>
    <w:rPr>
      <w:rFonts w:eastAsia="Times New Roman"/>
      <w:lang w:eastAsia="en-GB"/>
    </w:rPr>
  </w:style>
  <w:style w:type="paragraph" w:styleId="ListNumber2">
    <w:name w:val="List Number 2"/>
    <w:basedOn w:val="Normal"/>
    <w:uiPriority w:val="99"/>
    <w:rsid w:val="001A62D7"/>
    <w:pPr>
      <w:numPr>
        <w:numId w:val="13"/>
      </w:numPr>
    </w:pPr>
    <w:rPr>
      <w:rFonts w:eastAsia="Times New Roman"/>
      <w:lang w:eastAsia="en-GB"/>
    </w:rPr>
  </w:style>
  <w:style w:type="paragraph" w:styleId="ListNumber3">
    <w:name w:val="List Number 3"/>
    <w:basedOn w:val="Normal"/>
    <w:uiPriority w:val="99"/>
    <w:rsid w:val="001A62D7"/>
    <w:pPr>
      <w:numPr>
        <w:numId w:val="14"/>
      </w:numPr>
    </w:pPr>
    <w:rPr>
      <w:rFonts w:eastAsia="Times New Roman"/>
      <w:lang w:eastAsia="en-GB"/>
    </w:rPr>
  </w:style>
  <w:style w:type="paragraph" w:styleId="ListNumber4">
    <w:name w:val="List Number 4"/>
    <w:basedOn w:val="Normal"/>
    <w:uiPriority w:val="99"/>
    <w:rsid w:val="001A62D7"/>
    <w:pPr>
      <w:numPr>
        <w:numId w:val="15"/>
      </w:numPr>
    </w:pPr>
    <w:rPr>
      <w:rFonts w:eastAsia="Times New Roman"/>
      <w:lang w:eastAsia="en-GB"/>
    </w:rPr>
  </w:style>
  <w:style w:type="paragraph" w:customStyle="1" w:styleId="ListDash3">
    <w:name w:val="List Dash 3"/>
    <w:basedOn w:val="Normal"/>
    <w:rsid w:val="001A62D7"/>
    <w:pPr>
      <w:numPr>
        <w:numId w:val="10"/>
      </w:numPr>
    </w:pPr>
    <w:rPr>
      <w:rFonts w:eastAsia="Times New Roman"/>
      <w:lang w:eastAsia="en-GB"/>
    </w:rPr>
  </w:style>
  <w:style w:type="paragraph" w:customStyle="1" w:styleId="ListDash4">
    <w:name w:val="List Dash 4"/>
    <w:basedOn w:val="Normal"/>
    <w:rsid w:val="001A62D7"/>
    <w:pPr>
      <w:numPr>
        <w:numId w:val="11"/>
      </w:numPr>
    </w:pPr>
    <w:rPr>
      <w:rFonts w:eastAsia="Times New Roman"/>
      <w:lang w:eastAsia="en-GB"/>
    </w:rPr>
  </w:style>
  <w:style w:type="paragraph" w:customStyle="1" w:styleId="ListNumber1">
    <w:name w:val="List Number 1"/>
    <w:basedOn w:val="Text1"/>
    <w:rsid w:val="001A62D7"/>
    <w:pPr>
      <w:numPr>
        <w:numId w:val="12"/>
      </w:numPr>
    </w:pPr>
    <w:rPr>
      <w:rFonts w:eastAsia="Times New Roman"/>
      <w:lang w:eastAsia="en-GB"/>
    </w:rPr>
  </w:style>
  <w:style w:type="paragraph" w:customStyle="1" w:styleId="ListNumber1Level2">
    <w:name w:val="List Number 1 (Level 2)"/>
    <w:basedOn w:val="Text1"/>
    <w:rsid w:val="001A62D7"/>
    <w:pPr>
      <w:numPr>
        <w:ilvl w:val="1"/>
        <w:numId w:val="12"/>
      </w:numPr>
    </w:pPr>
    <w:rPr>
      <w:rFonts w:eastAsia="Times New Roman"/>
      <w:lang w:eastAsia="en-GB"/>
    </w:rPr>
  </w:style>
  <w:style w:type="paragraph" w:customStyle="1" w:styleId="ListNumber2Level2">
    <w:name w:val="List Number 2 (Level 2)"/>
    <w:basedOn w:val="Text2"/>
    <w:rsid w:val="001A62D7"/>
    <w:pPr>
      <w:numPr>
        <w:ilvl w:val="1"/>
        <w:numId w:val="13"/>
      </w:numPr>
    </w:pPr>
    <w:rPr>
      <w:rFonts w:eastAsia="Times New Roman"/>
      <w:lang w:eastAsia="en-GB"/>
    </w:rPr>
  </w:style>
  <w:style w:type="paragraph" w:customStyle="1" w:styleId="ListNumber3Level2">
    <w:name w:val="List Number 3 (Level 2)"/>
    <w:basedOn w:val="Text3"/>
    <w:rsid w:val="001A62D7"/>
    <w:pPr>
      <w:numPr>
        <w:ilvl w:val="1"/>
        <w:numId w:val="14"/>
      </w:numPr>
    </w:pPr>
    <w:rPr>
      <w:rFonts w:eastAsia="Times New Roman"/>
      <w:lang w:eastAsia="en-GB"/>
    </w:rPr>
  </w:style>
  <w:style w:type="paragraph" w:customStyle="1" w:styleId="ListNumber4Level2">
    <w:name w:val="List Number 4 (Level 2)"/>
    <w:basedOn w:val="Text4"/>
    <w:rsid w:val="001A62D7"/>
    <w:pPr>
      <w:numPr>
        <w:ilvl w:val="1"/>
        <w:numId w:val="15"/>
      </w:numPr>
    </w:pPr>
    <w:rPr>
      <w:rFonts w:eastAsia="Times New Roman"/>
      <w:lang w:eastAsia="en-GB"/>
    </w:rPr>
  </w:style>
  <w:style w:type="paragraph" w:customStyle="1" w:styleId="ListNumber1Level3">
    <w:name w:val="List Number 1 (Level 3)"/>
    <w:basedOn w:val="Text1"/>
    <w:rsid w:val="001A62D7"/>
    <w:pPr>
      <w:numPr>
        <w:ilvl w:val="2"/>
        <w:numId w:val="12"/>
      </w:numPr>
    </w:pPr>
    <w:rPr>
      <w:rFonts w:eastAsia="Times New Roman"/>
      <w:lang w:eastAsia="en-GB"/>
    </w:rPr>
  </w:style>
  <w:style w:type="paragraph" w:customStyle="1" w:styleId="ListNumber2Level3">
    <w:name w:val="List Number 2 (Level 3)"/>
    <w:basedOn w:val="Text2"/>
    <w:rsid w:val="001A62D7"/>
    <w:pPr>
      <w:numPr>
        <w:ilvl w:val="2"/>
        <w:numId w:val="13"/>
      </w:numPr>
    </w:pPr>
    <w:rPr>
      <w:rFonts w:eastAsia="Times New Roman"/>
      <w:lang w:eastAsia="en-GB"/>
    </w:rPr>
  </w:style>
  <w:style w:type="paragraph" w:customStyle="1" w:styleId="ListNumber3Level3">
    <w:name w:val="List Number 3 (Level 3)"/>
    <w:basedOn w:val="Text3"/>
    <w:rsid w:val="001A62D7"/>
    <w:pPr>
      <w:numPr>
        <w:ilvl w:val="2"/>
        <w:numId w:val="14"/>
      </w:numPr>
    </w:pPr>
    <w:rPr>
      <w:rFonts w:eastAsia="Times New Roman"/>
      <w:lang w:eastAsia="en-GB"/>
    </w:rPr>
  </w:style>
  <w:style w:type="paragraph" w:customStyle="1" w:styleId="ListNumber4Level3">
    <w:name w:val="List Number 4 (Level 3)"/>
    <w:basedOn w:val="Text4"/>
    <w:rsid w:val="001A62D7"/>
    <w:pPr>
      <w:numPr>
        <w:ilvl w:val="2"/>
        <w:numId w:val="15"/>
      </w:numPr>
    </w:pPr>
    <w:rPr>
      <w:rFonts w:eastAsia="Times New Roman"/>
      <w:lang w:eastAsia="en-GB"/>
    </w:rPr>
  </w:style>
  <w:style w:type="paragraph" w:customStyle="1" w:styleId="ListNumber1Level4">
    <w:name w:val="List Number 1 (Level 4)"/>
    <w:basedOn w:val="Text1"/>
    <w:rsid w:val="001A62D7"/>
    <w:pPr>
      <w:numPr>
        <w:ilvl w:val="3"/>
        <w:numId w:val="12"/>
      </w:numPr>
    </w:pPr>
    <w:rPr>
      <w:rFonts w:eastAsia="Times New Roman"/>
      <w:lang w:eastAsia="en-GB"/>
    </w:rPr>
  </w:style>
  <w:style w:type="paragraph" w:customStyle="1" w:styleId="ListNumber2Level4">
    <w:name w:val="List Number 2 (Level 4)"/>
    <w:basedOn w:val="Text2"/>
    <w:rsid w:val="001A62D7"/>
    <w:pPr>
      <w:numPr>
        <w:ilvl w:val="3"/>
        <w:numId w:val="13"/>
      </w:numPr>
    </w:pPr>
    <w:rPr>
      <w:rFonts w:eastAsia="Times New Roman"/>
      <w:lang w:eastAsia="en-GB"/>
    </w:rPr>
  </w:style>
  <w:style w:type="paragraph" w:customStyle="1" w:styleId="ListNumber3Level4">
    <w:name w:val="List Number 3 (Level 4)"/>
    <w:basedOn w:val="Text3"/>
    <w:rsid w:val="001A62D7"/>
    <w:pPr>
      <w:numPr>
        <w:ilvl w:val="3"/>
        <w:numId w:val="14"/>
      </w:numPr>
    </w:pPr>
    <w:rPr>
      <w:rFonts w:eastAsia="Times New Roman"/>
      <w:lang w:eastAsia="en-GB"/>
    </w:rPr>
  </w:style>
  <w:style w:type="paragraph" w:customStyle="1" w:styleId="ListNumber4Level4">
    <w:name w:val="List Number 4 (Level 4)"/>
    <w:basedOn w:val="Text4"/>
    <w:rsid w:val="001A62D7"/>
    <w:pPr>
      <w:numPr>
        <w:ilvl w:val="3"/>
        <w:numId w:val="15"/>
      </w:numPr>
    </w:pPr>
    <w:rPr>
      <w:rFonts w:eastAsia="Times New Roman"/>
      <w:lang w:eastAsia="en-GB"/>
    </w:rPr>
  </w:style>
  <w:style w:type="paragraph" w:customStyle="1" w:styleId="Annexetitreacte">
    <w:name w:val="Annexe titre (acte)"/>
    <w:basedOn w:val="Normal"/>
    <w:next w:val="Normal"/>
    <w:rsid w:val="001A62D7"/>
    <w:pPr>
      <w:jc w:val="center"/>
    </w:pPr>
    <w:rPr>
      <w:rFonts w:eastAsia="Times New Roman"/>
      <w:b/>
      <w:u w:val="single"/>
      <w:lang w:eastAsia="en-GB"/>
    </w:rPr>
  </w:style>
  <w:style w:type="paragraph" w:customStyle="1" w:styleId="Annexetitreexposglobal">
    <w:name w:val="Annexe titre (exposé global)"/>
    <w:basedOn w:val="Normal"/>
    <w:next w:val="Normal"/>
    <w:rsid w:val="001A62D7"/>
    <w:pPr>
      <w:jc w:val="center"/>
    </w:pPr>
    <w:rPr>
      <w:rFonts w:eastAsia="Times New Roman"/>
      <w:b/>
      <w:u w:val="single"/>
      <w:lang w:eastAsia="en-GB"/>
    </w:rPr>
  </w:style>
  <w:style w:type="paragraph" w:customStyle="1" w:styleId="Annexetitrefichefinacte">
    <w:name w:val="Annexe titre (fiche fin. acte)"/>
    <w:basedOn w:val="Normal"/>
    <w:next w:val="Normal"/>
    <w:rsid w:val="001A62D7"/>
    <w:pPr>
      <w:jc w:val="center"/>
    </w:pPr>
    <w:rPr>
      <w:rFonts w:eastAsia="Times New Roman"/>
      <w:b/>
      <w:u w:val="single"/>
      <w:lang w:eastAsia="en-GB"/>
    </w:rPr>
  </w:style>
  <w:style w:type="paragraph" w:customStyle="1" w:styleId="Annexetitrefichefinglobale">
    <w:name w:val="Annexe titre (fiche fin. globale)"/>
    <w:basedOn w:val="Normal"/>
    <w:next w:val="Normal"/>
    <w:rsid w:val="001A62D7"/>
    <w:pPr>
      <w:jc w:val="center"/>
    </w:pPr>
    <w:rPr>
      <w:rFonts w:eastAsia="Times New Roman"/>
      <w:b/>
      <w:u w:val="single"/>
      <w:lang w:eastAsia="en-GB"/>
    </w:rPr>
  </w:style>
  <w:style w:type="paragraph" w:customStyle="1" w:styleId="Annexetitreglobale">
    <w:name w:val="Annexe titre (globale)"/>
    <w:basedOn w:val="Normal"/>
    <w:next w:val="Normal"/>
    <w:rsid w:val="001A62D7"/>
    <w:pPr>
      <w:jc w:val="center"/>
    </w:pPr>
    <w:rPr>
      <w:rFonts w:eastAsia="Times New Roman"/>
      <w:b/>
      <w:u w:val="single"/>
      <w:lang w:eastAsia="en-GB"/>
    </w:rPr>
  </w:style>
  <w:style w:type="paragraph" w:customStyle="1" w:styleId="Exposdesmotifstitreglobal">
    <w:name w:val="Exposé des motifs titre (global)"/>
    <w:basedOn w:val="Normal"/>
    <w:next w:val="Normal"/>
    <w:rsid w:val="001A62D7"/>
    <w:pPr>
      <w:jc w:val="center"/>
    </w:pPr>
    <w:rPr>
      <w:rFonts w:eastAsia="Times New Roman"/>
      <w:b/>
      <w:u w:val="single"/>
      <w:lang w:eastAsia="en-GB"/>
    </w:rPr>
  </w:style>
  <w:style w:type="paragraph" w:customStyle="1" w:styleId="Langueoriginale">
    <w:name w:val="Langue originale"/>
    <w:basedOn w:val="Normal"/>
    <w:rsid w:val="001A62D7"/>
    <w:pPr>
      <w:spacing w:before="360"/>
      <w:jc w:val="center"/>
    </w:pPr>
    <w:rPr>
      <w:rFonts w:eastAsia="Times New Roman"/>
      <w:caps/>
      <w:lang w:eastAsia="en-GB"/>
    </w:rPr>
  </w:style>
  <w:style w:type="paragraph" w:customStyle="1" w:styleId="Phrasefinale">
    <w:name w:val="Phrase finale"/>
    <w:basedOn w:val="Normal"/>
    <w:next w:val="Normal"/>
    <w:rsid w:val="001A62D7"/>
    <w:pPr>
      <w:spacing w:before="360" w:after="0"/>
      <w:jc w:val="center"/>
    </w:pPr>
    <w:rPr>
      <w:rFonts w:eastAsia="Times New Roman"/>
      <w:lang w:eastAsia="en-GB"/>
    </w:rPr>
  </w:style>
  <w:style w:type="paragraph" w:customStyle="1" w:styleId="Prliminairetitre">
    <w:name w:val="Préliminaire titre"/>
    <w:basedOn w:val="Normal"/>
    <w:next w:val="Normal"/>
    <w:rsid w:val="001A62D7"/>
    <w:pPr>
      <w:spacing w:before="360" w:after="360"/>
      <w:jc w:val="center"/>
    </w:pPr>
    <w:rPr>
      <w:rFonts w:eastAsia="Times New Roman"/>
      <w:b/>
      <w:lang w:eastAsia="en-GB"/>
    </w:rPr>
  </w:style>
  <w:style w:type="paragraph" w:customStyle="1" w:styleId="Prliminairetype">
    <w:name w:val="Préliminaire type"/>
    <w:basedOn w:val="Normal"/>
    <w:next w:val="Normal"/>
    <w:rsid w:val="001A62D7"/>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1A62D7"/>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1A62D7"/>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1A62D7"/>
    <w:pPr>
      <w:spacing w:before="0" w:after="0"/>
      <w:ind w:left="5103"/>
      <w:jc w:val="left"/>
    </w:pPr>
    <w:rPr>
      <w:rFonts w:eastAsia="Times New Roman"/>
      <w:lang w:eastAsia="en-GB"/>
    </w:rPr>
  </w:style>
  <w:style w:type="paragraph" w:customStyle="1" w:styleId="Sous-titreobjetprliminaire">
    <w:name w:val="Sous-titre objet (préliminaire)"/>
    <w:basedOn w:val="Normal"/>
    <w:rsid w:val="001A62D7"/>
    <w:pPr>
      <w:spacing w:before="0" w:after="0"/>
      <w:jc w:val="center"/>
    </w:pPr>
    <w:rPr>
      <w:rFonts w:eastAsia="Times New Roman"/>
      <w:b/>
      <w:lang w:eastAsia="en-GB"/>
    </w:rPr>
  </w:style>
  <w:style w:type="paragraph" w:customStyle="1" w:styleId="Statutprliminaire">
    <w:name w:val="Statut (préliminaire)"/>
    <w:basedOn w:val="Normal"/>
    <w:next w:val="Normal"/>
    <w:rsid w:val="001A62D7"/>
    <w:pPr>
      <w:spacing w:before="360" w:after="0"/>
      <w:jc w:val="center"/>
    </w:pPr>
    <w:rPr>
      <w:rFonts w:eastAsia="Times New Roman"/>
      <w:lang w:eastAsia="en-GB"/>
    </w:rPr>
  </w:style>
  <w:style w:type="paragraph" w:customStyle="1" w:styleId="Titreobjetprliminaire">
    <w:name w:val="Titre objet (préliminaire)"/>
    <w:basedOn w:val="Normal"/>
    <w:next w:val="Normal"/>
    <w:rsid w:val="001A62D7"/>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1A62D7"/>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1A62D7"/>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1A62D7"/>
    <w:pPr>
      <w:jc w:val="center"/>
    </w:pPr>
    <w:rPr>
      <w:rFonts w:eastAsia="Times New Roman"/>
      <w:b/>
      <w:u w:val="single"/>
      <w:lang w:eastAsia="en-GB"/>
    </w:rPr>
  </w:style>
  <w:style w:type="paragraph" w:customStyle="1" w:styleId="Fichefinanciretravailtitre">
    <w:name w:val="Fiche financière (travail) titre"/>
    <w:basedOn w:val="Normal"/>
    <w:next w:val="Normal"/>
    <w:rsid w:val="001A62D7"/>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1A62D7"/>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1A62D7"/>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1A62D7"/>
    <w:pPr>
      <w:jc w:val="center"/>
    </w:pPr>
    <w:rPr>
      <w:rFonts w:eastAsia="Times New Roman"/>
      <w:b/>
      <w:u w:val="single"/>
      <w:lang w:eastAsia="en-GB"/>
    </w:rPr>
  </w:style>
  <w:style w:type="character" w:styleId="CommentReference">
    <w:name w:val="annotation reference"/>
    <w:uiPriority w:val="99"/>
    <w:rsid w:val="001A62D7"/>
    <w:rPr>
      <w:rFonts w:cs="Times New Roman"/>
      <w:sz w:val="16"/>
      <w:szCs w:val="16"/>
    </w:rPr>
  </w:style>
  <w:style w:type="paragraph" w:styleId="CommentText">
    <w:name w:val="annotation text"/>
    <w:basedOn w:val="Normal"/>
    <w:link w:val="CommentTextChar"/>
    <w:uiPriority w:val="99"/>
    <w:rsid w:val="001A62D7"/>
    <w:rPr>
      <w:rFonts w:eastAsia="Times New Roman"/>
      <w:sz w:val="20"/>
      <w:szCs w:val="20"/>
      <w:lang w:eastAsia="en-GB"/>
    </w:rPr>
  </w:style>
  <w:style w:type="character" w:customStyle="1" w:styleId="CommentTextChar">
    <w:name w:val="Comment Text Char"/>
    <w:basedOn w:val="DefaultParagraphFont"/>
    <w:link w:val="CommentText"/>
    <w:uiPriority w:val="99"/>
    <w:rsid w:val="001A62D7"/>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uiPriority w:val="99"/>
    <w:rsid w:val="001A62D7"/>
    <w:rPr>
      <w:b/>
      <w:bCs/>
    </w:rPr>
  </w:style>
  <w:style w:type="character" w:customStyle="1" w:styleId="CommentSubjectChar">
    <w:name w:val="Comment Subject Char"/>
    <w:basedOn w:val="CommentTextChar"/>
    <w:link w:val="CommentSubject"/>
    <w:uiPriority w:val="99"/>
    <w:rsid w:val="001A62D7"/>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uiPriority w:val="99"/>
    <w:rsid w:val="001A62D7"/>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rsid w:val="001A62D7"/>
    <w:rPr>
      <w:rFonts w:ascii="Tahoma" w:eastAsia="Times New Roman" w:hAnsi="Tahoma" w:cs="Tahoma"/>
      <w:sz w:val="16"/>
      <w:szCs w:val="16"/>
      <w:lang w:val="ro-RO" w:eastAsia="en-GB"/>
    </w:rPr>
  </w:style>
  <w:style w:type="paragraph" w:styleId="Caption">
    <w:name w:val="caption"/>
    <w:basedOn w:val="Normal"/>
    <w:next w:val="Normal"/>
    <w:uiPriority w:val="35"/>
    <w:qFormat/>
    <w:rsid w:val="001A62D7"/>
    <w:rPr>
      <w:rFonts w:eastAsia="Times New Roman"/>
      <w:b/>
      <w:bCs/>
      <w:sz w:val="20"/>
      <w:szCs w:val="20"/>
      <w:lang w:eastAsia="en-GB"/>
    </w:rPr>
  </w:style>
  <w:style w:type="paragraph" w:styleId="TableofFigures">
    <w:name w:val="table of figures"/>
    <w:basedOn w:val="Normal"/>
    <w:next w:val="Normal"/>
    <w:uiPriority w:val="99"/>
    <w:rsid w:val="001A62D7"/>
    <w:rPr>
      <w:rFonts w:eastAsia="Times New Roman"/>
      <w:lang w:eastAsia="en-GB"/>
    </w:rPr>
  </w:style>
  <w:style w:type="character" w:styleId="PageNumber">
    <w:name w:val="page number"/>
    <w:rsid w:val="001A62D7"/>
  </w:style>
  <w:style w:type="character" w:customStyle="1" w:styleId="tw4winMark">
    <w:name w:val="tw4winMark"/>
    <w:rsid w:val="001A62D7"/>
    <w:rPr>
      <w:vanish/>
      <w:color w:val="800080"/>
      <w:vertAlign w:val="subscript"/>
    </w:rPr>
  </w:style>
  <w:style w:type="character" w:styleId="FollowedHyperlink">
    <w:name w:val="FollowedHyperlink"/>
    <w:rsid w:val="001A62D7"/>
    <w:rPr>
      <w:color w:val="800080"/>
      <w:u w:val="single"/>
    </w:rPr>
  </w:style>
  <w:style w:type="paragraph" w:customStyle="1" w:styleId="Sous-titreobjet">
    <w:name w:val="Sous-titre objet"/>
    <w:basedOn w:val="Normal"/>
    <w:rsid w:val="001A62D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A62D7"/>
  </w:style>
  <w:style w:type="paragraph" w:styleId="Revision">
    <w:name w:val="Revision"/>
    <w:hidden/>
    <w:uiPriority w:val="99"/>
    <w:semiHidden/>
    <w:rsid w:val="001A62D7"/>
    <w:rPr>
      <w:rFonts w:ascii="Calibri" w:eastAsia="Calibri" w:hAnsi="Calibri" w:cs="Times New Roman"/>
      <w:sz w:val="24"/>
      <w:lang w:eastAsia="en-GB"/>
    </w:rPr>
  </w:style>
  <w:style w:type="paragraph" w:customStyle="1" w:styleId="FooterCoverPage">
    <w:name w:val="Footer Cover Page"/>
    <w:basedOn w:val="Normal"/>
    <w:link w:val="FooterCoverPageChar"/>
    <w:rsid w:val="001A62D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A62D7"/>
    <w:rPr>
      <w:rFonts w:ascii="Times New Roman" w:hAnsi="Times New Roman" w:cs="Times New Roman"/>
      <w:b/>
      <w:sz w:val="28"/>
      <w:lang w:val="ro-RO"/>
    </w:rPr>
  </w:style>
  <w:style w:type="character" w:customStyle="1" w:styleId="FooterCoverPageChar">
    <w:name w:val="Footer Cover Page Char"/>
    <w:link w:val="FooterCoverPage"/>
    <w:rsid w:val="001A62D7"/>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1A62D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A62D7"/>
    <w:rPr>
      <w:rFonts w:ascii="Times New Roman" w:eastAsia="Calibri" w:hAnsi="Times New Roman" w:cs="Times New Roman"/>
      <w:sz w:val="24"/>
      <w:lang w:val="ro-RO" w:eastAsia="en-GB"/>
    </w:rPr>
  </w:style>
  <w:style w:type="character" w:customStyle="1" w:styleId="FooterSensitivityChar">
    <w:name w:val="Footer Sensitivity Char"/>
    <w:rsid w:val="001A62D7"/>
    <w:rPr>
      <w:rFonts w:ascii="Times New Roman" w:hAnsi="Times New Roman" w:cs="Times New Roman"/>
      <w:b/>
      <w:sz w:val="32"/>
      <w:lang w:val="ro-RO"/>
    </w:rPr>
  </w:style>
  <w:style w:type="character" w:customStyle="1" w:styleId="HeaderSensitivityChar">
    <w:name w:val="Header Sensitivity Char"/>
    <w:rsid w:val="001A62D7"/>
    <w:rPr>
      <w:rFonts w:ascii="Times New Roman" w:hAnsi="Times New Roman" w:cs="Times New Roman"/>
      <w:b/>
      <w:sz w:val="32"/>
      <w:lang w:val="ro-RO"/>
    </w:rPr>
  </w:style>
  <w:style w:type="character" w:customStyle="1" w:styleId="HeaderSensitivityRightChar">
    <w:name w:val="Header Sensitivity Right Char"/>
    <w:rsid w:val="001A62D7"/>
    <w:rPr>
      <w:rFonts w:ascii="Times New Roman" w:hAnsi="Times New Roman" w:cs="Times New Roman"/>
      <w:sz w:val="28"/>
      <w:lang w:val="ro-RO"/>
    </w:rPr>
  </w:style>
  <w:style w:type="paragraph" w:customStyle="1" w:styleId="LegalNumPar">
    <w:name w:val="LegalNumPar"/>
    <w:basedOn w:val="Normal"/>
    <w:rsid w:val="001A62D7"/>
    <w:pPr>
      <w:numPr>
        <w:numId w:val="16"/>
      </w:numPr>
      <w:spacing w:line="360" w:lineRule="auto"/>
    </w:pPr>
    <w:rPr>
      <w:rFonts w:eastAsia="Times New Roman"/>
      <w:lang w:eastAsia="en-GB"/>
    </w:rPr>
  </w:style>
  <w:style w:type="paragraph" w:customStyle="1" w:styleId="LegalNumPar2">
    <w:name w:val="LegalNumPar2"/>
    <w:basedOn w:val="Normal"/>
    <w:rsid w:val="001A62D7"/>
    <w:pPr>
      <w:numPr>
        <w:ilvl w:val="1"/>
        <w:numId w:val="16"/>
      </w:numPr>
      <w:spacing w:line="360" w:lineRule="auto"/>
    </w:pPr>
    <w:rPr>
      <w:rFonts w:eastAsia="Times New Roman"/>
      <w:lang w:eastAsia="en-GB"/>
    </w:rPr>
  </w:style>
  <w:style w:type="paragraph" w:customStyle="1" w:styleId="LegalNumPar3">
    <w:name w:val="LegalNumPar3"/>
    <w:basedOn w:val="Normal"/>
    <w:rsid w:val="001A62D7"/>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1A62D7"/>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1A62D7"/>
    <w:rPr>
      <w:color w:val="605E5C"/>
      <w:shd w:val="clear" w:color="auto" w:fill="E1DFDD"/>
    </w:rPr>
  </w:style>
  <w:style w:type="character" w:styleId="Strong">
    <w:name w:val="Strong"/>
    <w:basedOn w:val="DefaultParagraphFont"/>
    <w:qFormat/>
    <w:rsid w:val="001A62D7"/>
    <w:rPr>
      <w:b/>
      <w:bCs/>
    </w:rPr>
  </w:style>
  <w:style w:type="character" w:styleId="Emphasis">
    <w:name w:val="Emphasis"/>
    <w:basedOn w:val="DefaultParagraphFont"/>
    <w:qFormat/>
    <w:rsid w:val="001A62D7"/>
    <w:rPr>
      <w:i/>
      <w:iCs/>
    </w:rPr>
  </w:style>
  <w:style w:type="character" w:customStyle="1" w:styleId="Mention">
    <w:name w:val="Mention"/>
    <w:basedOn w:val="DefaultParagraphFont"/>
    <w:uiPriority w:val="99"/>
    <w:unhideWhenUsed/>
    <w:rsid w:val="001A62D7"/>
    <w:rPr>
      <w:color w:val="2B579A"/>
      <w:shd w:val="clear" w:color="auto" w:fill="E1DFDD"/>
    </w:rPr>
  </w:style>
  <w:style w:type="character" w:customStyle="1" w:styleId="normaltextrun">
    <w:name w:val="normaltextrun"/>
    <w:basedOn w:val="DefaultParagraphFont"/>
    <w:rsid w:val="001A62D7"/>
  </w:style>
  <w:style w:type="character" w:customStyle="1" w:styleId="eop">
    <w:name w:val="eop"/>
    <w:basedOn w:val="DefaultParagraphFont"/>
    <w:rsid w:val="001A62D7"/>
  </w:style>
  <w:style w:type="character" w:customStyle="1" w:styleId="viiyi">
    <w:name w:val="viiyi"/>
    <w:basedOn w:val="DefaultParagraphFont"/>
    <w:rsid w:val="001A62D7"/>
  </w:style>
  <w:style w:type="character" w:customStyle="1" w:styleId="jlqj4b">
    <w:name w:val="jlqj4b"/>
    <w:basedOn w:val="DefaultParagraphFont"/>
    <w:rsid w:val="001A62D7"/>
  </w:style>
  <w:style w:type="character" w:customStyle="1" w:styleId="HeaderChar">
    <w:name w:val="Header Char"/>
    <w:basedOn w:val="DefaultParagraphFont"/>
    <w:link w:val="Header"/>
    <w:uiPriority w:val="99"/>
    <w:rsid w:val="006D5106"/>
    <w:rPr>
      <w:rFonts w:ascii="Times New Roman" w:hAnsi="Times New Roman" w:cs="Times New Roman"/>
      <w:sz w:val="24"/>
      <w:lang w:val="ro-RO"/>
    </w:rPr>
  </w:style>
  <w:style w:type="character" w:customStyle="1" w:styleId="FooterChar">
    <w:name w:val="Footer Char"/>
    <w:basedOn w:val="DefaultParagraphFont"/>
    <w:link w:val="Footer"/>
    <w:uiPriority w:val="99"/>
    <w:rsid w:val="006D5106"/>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D510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D5106"/>
    <w:pPr>
      <w:spacing w:before="0"/>
      <w:jc w:val="right"/>
    </w:pPr>
    <w:rPr>
      <w:sz w:val="28"/>
    </w:rPr>
  </w:style>
  <w:style w:type="paragraph" w:customStyle="1" w:styleId="FooterSensitivity">
    <w:name w:val="Footer Sensitivity"/>
    <w:basedOn w:val="Normal"/>
    <w:rsid w:val="006D510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Tiret5">
    <w:name w:val="Tiret 5"/>
    <w:basedOn w:val="Point5"/>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NumPar5">
    <w:name w:val="NumPar 5"/>
    <w:basedOn w:val="Normal"/>
    <w:next w:val="Text2"/>
    <w:pPr>
      <w:numPr>
        <w:ilvl w:val="4"/>
        <w:numId w:val="41"/>
      </w:numPr>
    </w:pPr>
  </w:style>
  <w:style w:type="paragraph" w:customStyle="1" w:styleId="NumPar6">
    <w:name w:val="NumPar 6"/>
    <w:basedOn w:val="Normal"/>
    <w:next w:val="Text2"/>
    <w:pPr>
      <w:numPr>
        <w:ilvl w:val="5"/>
        <w:numId w:val="41"/>
      </w:numPr>
    </w:pPr>
  </w:style>
  <w:style w:type="paragraph" w:customStyle="1" w:styleId="NumPar7">
    <w:name w:val="NumPar 7"/>
    <w:basedOn w:val="Normal"/>
    <w:next w:val="Text2"/>
    <w:pPr>
      <w:numPr>
        <w:ilvl w:val="6"/>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D5106"/>
    <w:pPr>
      <w:tabs>
        <w:tab w:val="center" w:pos="4535"/>
        <w:tab w:val="right" w:pos="9071"/>
      </w:tabs>
      <w:spacing w:before="0"/>
    </w:pPr>
  </w:style>
  <w:style w:type="paragraph" w:customStyle="1" w:styleId="HeaderLandscape">
    <w:name w:val="HeaderLandscape"/>
    <w:basedOn w:val="Normal"/>
    <w:rsid w:val="006D5106"/>
    <w:pPr>
      <w:tabs>
        <w:tab w:val="center" w:pos="7285"/>
        <w:tab w:val="right" w:pos="14003"/>
      </w:tabs>
      <w:spacing w:before="0"/>
    </w:pPr>
  </w:style>
  <w:style w:type="paragraph" w:styleId="Footer">
    <w:name w:val="footer"/>
    <w:basedOn w:val="Normal"/>
    <w:link w:val="FooterChar"/>
    <w:uiPriority w:val="99"/>
    <w:unhideWhenUsed/>
    <w:rsid w:val="006D510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D510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statbel.fgov.be/en/news/272-bankruptcies-week-49" TargetMode="External"/><Relationship Id="rId7" Type="http://schemas.openxmlformats.org/officeDocument/2006/relationships/hyperlink" Target="https://arvastat.vdab.be/wz/basisstatistieken/kengetallen.html" TargetMode="External"/><Relationship Id="rId2" Type="http://schemas.openxmlformats.org/officeDocument/2006/relationships/hyperlink" Target="https://bestat.statbel.fgov.be/bestat/crosstable.xhtml?view=6f20761b-a0f9-44d6-835a-168417863f4e" TargetMode="External"/><Relationship Id="rId1" Type="http://schemas.openxmlformats.org/officeDocument/2006/relationships/hyperlink" Target="https://bestat.statbel.fgov.be/bestat/crosstable.xhtml?view=6f20761b-a0f9-44d6-835a-168417863f4e" TargetMode="External"/><Relationship Id="rId6" Type="http://schemas.openxmlformats.org/officeDocument/2006/relationships/hyperlink" Target="https://bestat.statbel.fgov.be/bestat/crosstable.xhtml?view=6f20761b-a0f9-44d6-835a-168417863f4e" TargetMode="External"/><Relationship Id="rId5" Type="http://schemas.openxmlformats.org/officeDocument/2006/relationships/hyperlink" Target="https://bestat.statbel.fgov.be/bestat/crosstable.xhtml?view=6f20761b-a0f9-44d6-835a-168417863f4e" TargetMode="External"/><Relationship Id="rId4" Type="http://schemas.openxmlformats.org/officeDocument/2006/relationships/hyperlink" Target="https://statbel.fgov.be/en/news/272-bankruptcies-week-4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CDE8B-F124-4310-B2B5-5D40E59F9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17</TotalTime>
  <Pages>12</Pages>
  <Words>3892</Words>
  <Characters>22186</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cp:revision>
  <cp:lastPrinted>2026-03-24T10:08:00Z</cp:lastPrinted>
  <dcterms:created xsi:type="dcterms:W3CDTF">2026-03-25T11:54:00Z</dcterms:created>
  <dcterms:modified xsi:type="dcterms:W3CDTF">2026-04-29T09:46:00Z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2025-02-03T12:15:49Z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56910240-6c56-4989-8e01-d1db357c2268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