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12DD9D" w14:textId="1E456466" w:rsidR="002B26AA" w:rsidRDefault="00DC5E71" w:rsidP="00DC5E71">
      <w:pPr>
        <w:pStyle w:val="Pagedecouverture"/>
        <w:rPr>
          <w:noProof/>
        </w:rPr>
      </w:pPr>
      <w:r>
        <w:rPr>
          <w:noProof/>
        </w:rPr>
        <w:pict w14:anchorId="19B02D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E7CB061-657C-48A6-8CD6-EBE5960E2204" style="width:455.25pt;height:330pt">
            <v:imagedata r:id="rId11" o:title=""/>
          </v:shape>
        </w:pict>
      </w:r>
    </w:p>
    <w:p w14:paraId="6FCCC18D" w14:textId="77777777" w:rsidR="00923B41" w:rsidRDefault="00923B41">
      <w:pPr>
        <w:spacing w:before="0" w:after="200" w:line="276" w:lineRule="auto"/>
        <w:jc w:val="left"/>
        <w:rPr>
          <w:b/>
          <w:noProof/>
          <w:u w:val="single"/>
        </w:rPr>
        <w:sectPr w:rsidR="00923B41" w:rsidSect="00DC5E71">
          <w:footerReference w:type="even" r:id="rId12"/>
          <w:footerReference w:type="default" r:id="rId13"/>
          <w:pgSz w:w="11907" w:h="16839"/>
          <w:pgMar w:top="1134" w:right="1417" w:bottom="1134" w:left="1417" w:header="709" w:footer="709" w:gutter="0"/>
          <w:pgNumType w:start="0"/>
          <w:cols w:space="720"/>
          <w:docGrid w:linePitch="360"/>
        </w:sectPr>
      </w:pPr>
    </w:p>
    <w:p w14:paraId="1D2A1F42" w14:textId="77777777" w:rsidR="002B26AA" w:rsidRDefault="002B26AA">
      <w:pPr>
        <w:pStyle w:val="Exposdesmotifstitre"/>
        <w:rPr>
          <w:noProof/>
        </w:rPr>
      </w:pPr>
      <w:bookmarkStart w:id="0" w:name="_GoBack"/>
      <w:bookmarkEnd w:id="0"/>
      <w:r w:rsidRPr="006F770D">
        <w:rPr>
          <w:noProof/>
        </w:rPr>
        <w:lastRenderedPageBreak/>
        <w:t>EXPLANATORY MEMORANDUM</w:t>
      </w:r>
    </w:p>
    <w:p w14:paraId="73FDE324" w14:textId="77777777" w:rsidR="002B26AA" w:rsidRDefault="002B26AA">
      <w:pPr>
        <w:rPr>
          <w:noProof/>
        </w:rPr>
      </w:pPr>
    </w:p>
    <w:p w14:paraId="6DFFD6CF" w14:textId="77777777" w:rsidR="00E811BB" w:rsidRPr="00B726BD" w:rsidRDefault="00E811BB" w:rsidP="00E811BB">
      <w:pPr>
        <w:ind w:right="85"/>
        <w:rPr>
          <w:noProof/>
        </w:rPr>
      </w:pPr>
      <w:bookmarkStart w:id="1" w:name="_Hlk198218552"/>
      <w:r>
        <w:rPr>
          <w:noProof/>
        </w:rPr>
        <w:t>T</w:t>
      </w:r>
      <w:r w:rsidRPr="00B726BD">
        <w:rPr>
          <w:noProof/>
        </w:rPr>
        <w:t>he Treaty on the Functioning of the European Union</w:t>
      </w:r>
      <w:r>
        <w:rPr>
          <w:noProof/>
        </w:rPr>
        <w:t xml:space="preserve"> requires</w:t>
      </w:r>
      <w:r w:rsidRPr="00B726BD">
        <w:rPr>
          <w:noProof/>
        </w:rPr>
        <w:t xml:space="preserve"> Member States to regard their economic policies and promoting employment as a matter of common concern and </w:t>
      </w:r>
      <w:r>
        <w:rPr>
          <w:noProof/>
        </w:rPr>
        <w:t xml:space="preserve">to </w:t>
      </w:r>
      <w:r w:rsidRPr="00B726BD">
        <w:rPr>
          <w:noProof/>
        </w:rPr>
        <w:t xml:space="preserve">coordinate their action within the Council. The Council is </w:t>
      </w:r>
      <w:r>
        <w:rPr>
          <w:noProof/>
        </w:rPr>
        <w:t xml:space="preserve">required </w:t>
      </w:r>
      <w:r w:rsidRPr="00B726BD">
        <w:rPr>
          <w:noProof/>
        </w:rPr>
        <w:t>to adopt employment guidelines (Article</w:t>
      </w:r>
      <w:r>
        <w:rPr>
          <w:noProof/>
        </w:rPr>
        <w:t> </w:t>
      </w:r>
      <w:r w:rsidRPr="00B726BD">
        <w:rPr>
          <w:noProof/>
        </w:rPr>
        <w:t xml:space="preserve">148), </w:t>
      </w:r>
      <w:r>
        <w:rPr>
          <w:noProof/>
        </w:rPr>
        <w:t xml:space="preserve">which </w:t>
      </w:r>
      <w:r w:rsidRPr="00B726BD">
        <w:rPr>
          <w:noProof/>
        </w:rPr>
        <w:t>must be consistent with the broad economic policy guidelines (Article</w:t>
      </w:r>
      <w:r>
        <w:rPr>
          <w:noProof/>
        </w:rPr>
        <w:t> </w:t>
      </w:r>
      <w:r w:rsidRPr="00B726BD">
        <w:rPr>
          <w:noProof/>
        </w:rPr>
        <w:t>121).</w:t>
      </w:r>
    </w:p>
    <w:p w14:paraId="0AE0B16C" w14:textId="0C328B53" w:rsidR="00E811BB" w:rsidRPr="00B726BD" w:rsidRDefault="00E811BB" w:rsidP="001C11E4">
      <w:pPr>
        <w:ind w:left="-6" w:right="85"/>
        <w:rPr>
          <w:noProof/>
        </w:rPr>
      </w:pPr>
      <w:r w:rsidRPr="00B726BD">
        <w:rPr>
          <w:noProof/>
        </w:rPr>
        <w:t xml:space="preserve">While the broad economic policy guidelines </w:t>
      </w:r>
      <w:r>
        <w:rPr>
          <w:noProof/>
        </w:rPr>
        <w:t>are</w:t>
      </w:r>
      <w:r w:rsidRPr="00B726BD">
        <w:rPr>
          <w:noProof/>
        </w:rPr>
        <w:t xml:space="preserve"> valid </w:t>
      </w:r>
      <w:r>
        <w:rPr>
          <w:noProof/>
        </w:rPr>
        <w:t>on an ongoing basis</w:t>
      </w:r>
      <w:r w:rsidRPr="00B726BD">
        <w:rPr>
          <w:noProof/>
        </w:rPr>
        <w:t xml:space="preserve">, the employment guidelines need to be drawn up each year. </w:t>
      </w:r>
      <w:r>
        <w:rPr>
          <w:noProof/>
        </w:rPr>
        <w:t>Both sets of</w:t>
      </w:r>
      <w:r w:rsidRPr="00B726BD">
        <w:rPr>
          <w:noProof/>
        </w:rPr>
        <w:t xml:space="preserve"> guidelines were adopted together (‘integrated package’) in 2010</w:t>
      </w:r>
      <w:r>
        <w:rPr>
          <w:noProof/>
        </w:rPr>
        <w:t xml:space="preserve"> and underpinned</w:t>
      </w:r>
      <w:r w:rsidRPr="00B726BD">
        <w:rPr>
          <w:noProof/>
        </w:rPr>
        <w:t xml:space="preserve"> the Europe 2020 strategy. Revised integrated guidelines were adopted in 2015. For the employment guidelines, a practice has developed since 2018 of </w:t>
      </w:r>
      <w:r w:rsidRPr="00737187">
        <w:rPr>
          <w:noProof/>
        </w:rPr>
        <w:t xml:space="preserve">alternating between a full update (covering both recitals and guidelines proper) every other year, and a ‘reconduction’ (updating the recitals while keeping the guidelines proper unchanged) in the intermediate year. Following a </w:t>
      </w:r>
      <w:r w:rsidR="008D2F3C" w:rsidRPr="00EC5B3D">
        <w:rPr>
          <w:noProof/>
        </w:rPr>
        <w:t xml:space="preserve">full update </w:t>
      </w:r>
      <w:r w:rsidRPr="00737187">
        <w:rPr>
          <w:noProof/>
        </w:rPr>
        <w:t>in 202</w:t>
      </w:r>
      <w:r w:rsidR="008D2F3C" w:rsidRPr="00737187">
        <w:rPr>
          <w:noProof/>
        </w:rPr>
        <w:t>4</w:t>
      </w:r>
      <w:r w:rsidRPr="00737187">
        <w:rPr>
          <w:noProof/>
        </w:rPr>
        <w:t xml:space="preserve">, a </w:t>
      </w:r>
      <w:r w:rsidR="008D2F3C" w:rsidRPr="00737187">
        <w:rPr>
          <w:noProof/>
        </w:rPr>
        <w:t>reconduction</w:t>
      </w:r>
      <w:r w:rsidRPr="00737187">
        <w:rPr>
          <w:noProof/>
        </w:rPr>
        <w:t xml:space="preserve"> was carried out in 202</w:t>
      </w:r>
      <w:r w:rsidR="008D2F3C" w:rsidRPr="00737187">
        <w:rPr>
          <w:noProof/>
        </w:rPr>
        <w:t>5</w:t>
      </w:r>
      <w:r w:rsidRPr="00737187">
        <w:rPr>
          <w:noProof/>
        </w:rPr>
        <w:t xml:space="preserve">. </w:t>
      </w:r>
      <w:r w:rsidR="009E28A8" w:rsidRPr="00737187">
        <w:rPr>
          <w:noProof/>
        </w:rPr>
        <w:t xml:space="preserve">Thus, this year both guidelines proper and recitals are being updated. </w:t>
      </w:r>
      <w:r w:rsidR="009E28A8" w:rsidRPr="0050187A">
        <w:rPr>
          <w:noProof/>
        </w:rPr>
        <w:t>New elements are brought in</w:t>
      </w:r>
      <w:r w:rsidR="00130D07">
        <w:rPr>
          <w:noProof/>
        </w:rPr>
        <w:t>to</w:t>
      </w:r>
      <w:r w:rsidR="009E28A8" w:rsidRPr="0050187A">
        <w:rPr>
          <w:noProof/>
        </w:rPr>
        <w:t xml:space="preserve"> the guidelines</w:t>
      </w:r>
      <w:r w:rsidR="00737187" w:rsidRPr="0050187A">
        <w:rPr>
          <w:noProof/>
        </w:rPr>
        <w:t>, notably</w:t>
      </w:r>
      <w:r w:rsidR="009E28A8" w:rsidRPr="0050187A">
        <w:rPr>
          <w:noProof/>
        </w:rPr>
        <w:t xml:space="preserve"> on</w:t>
      </w:r>
      <w:r w:rsidR="00737187">
        <w:rPr>
          <w:noProof/>
        </w:rPr>
        <w:t>:</w:t>
      </w:r>
      <w:r w:rsidR="009E28A8" w:rsidRPr="0050187A">
        <w:rPr>
          <w:noProof/>
        </w:rPr>
        <w:t xml:space="preserve"> </w:t>
      </w:r>
      <w:r w:rsidR="00737187">
        <w:rPr>
          <w:noProof/>
        </w:rPr>
        <w:t xml:space="preserve">(i) </w:t>
      </w:r>
      <w:r w:rsidR="009E28A8" w:rsidRPr="0050187A">
        <w:rPr>
          <w:noProof/>
        </w:rPr>
        <w:t>job quality (related to the Quality Jobs Roadmap</w:t>
      </w:r>
      <w:r w:rsidR="00737187" w:rsidRPr="0050187A">
        <w:rPr>
          <w:noProof/>
        </w:rPr>
        <w:t xml:space="preserve"> </w:t>
      </w:r>
      <w:r w:rsidR="007B18AA">
        <w:rPr>
          <w:noProof/>
        </w:rPr>
        <w:t>presented by the Commission in</w:t>
      </w:r>
      <w:r w:rsidR="00737187" w:rsidRPr="0050187A">
        <w:rPr>
          <w:noProof/>
        </w:rPr>
        <w:t xml:space="preserve"> December 2025</w:t>
      </w:r>
      <w:r w:rsidR="009E28A8" w:rsidRPr="0050187A">
        <w:rPr>
          <w:noProof/>
        </w:rPr>
        <w:t xml:space="preserve"> and </w:t>
      </w:r>
      <w:r w:rsidR="000F353E">
        <w:rPr>
          <w:noProof/>
        </w:rPr>
        <w:t xml:space="preserve">the work of </w:t>
      </w:r>
      <w:r w:rsidR="009E28A8" w:rsidRPr="0050187A">
        <w:rPr>
          <w:noProof/>
        </w:rPr>
        <w:t xml:space="preserve">the Employment Committee (EMCO) on the </w:t>
      </w:r>
      <w:r w:rsidR="000F353E">
        <w:rPr>
          <w:noProof/>
        </w:rPr>
        <w:t xml:space="preserve">various dimensions of </w:t>
      </w:r>
      <w:r w:rsidR="009E28A8" w:rsidRPr="0050187A">
        <w:rPr>
          <w:noProof/>
        </w:rPr>
        <w:t xml:space="preserve">job quality </w:t>
      </w:r>
      <w:r w:rsidR="00737187">
        <w:rPr>
          <w:noProof/>
        </w:rPr>
        <w:t xml:space="preserve">and related </w:t>
      </w:r>
      <w:r w:rsidR="009E28A8" w:rsidRPr="0050187A">
        <w:rPr>
          <w:noProof/>
        </w:rPr>
        <w:t>monitoring framework</w:t>
      </w:r>
      <w:r w:rsidR="00737187" w:rsidRPr="0050187A">
        <w:rPr>
          <w:noProof/>
        </w:rPr>
        <w:t>)</w:t>
      </w:r>
      <w:r w:rsidR="00737187">
        <w:rPr>
          <w:noProof/>
        </w:rPr>
        <w:t>;</w:t>
      </w:r>
      <w:r w:rsidR="00737187" w:rsidRPr="0050187A">
        <w:rPr>
          <w:noProof/>
        </w:rPr>
        <w:t xml:space="preserve"> </w:t>
      </w:r>
      <w:r w:rsidR="00737187">
        <w:rPr>
          <w:noProof/>
        </w:rPr>
        <w:t xml:space="preserve">(ii) </w:t>
      </w:r>
      <w:r w:rsidR="00737187" w:rsidRPr="0050187A">
        <w:rPr>
          <w:noProof/>
        </w:rPr>
        <w:t>skills and education (i</w:t>
      </w:r>
      <w:r w:rsidR="00737187">
        <w:rPr>
          <w:noProof/>
        </w:rPr>
        <w:t>n</w:t>
      </w:r>
      <w:r w:rsidR="00737187" w:rsidRPr="0050187A">
        <w:rPr>
          <w:noProof/>
        </w:rPr>
        <w:t xml:space="preserve"> line with the</w:t>
      </w:r>
      <w:r w:rsidR="00737187" w:rsidRPr="00204461">
        <w:rPr>
          <w:noProof/>
        </w:rPr>
        <w:t xml:space="preserve"> new</w:t>
      </w:r>
      <w:r w:rsidR="00737187" w:rsidRPr="0050187A">
        <w:rPr>
          <w:noProof/>
        </w:rPr>
        <w:t xml:space="preserve"> Council Recommendation on Human Capital put forward by the Commission in November 2025 and adopted by </w:t>
      </w:r>
      <w:r w:rsidR="002A0EFD">
        <w:rPr>
          <w:noProof/>
        </w:rPr>
        <w:t>the Council</w:t>
      </w:r>
      <w:r w:rsidR="002A0EFD" w:rsidRPr="0050187A">
        <w:rPr>
          <w:noProof/>
        </w:rPr>
        <w:t xml:space="preserve"> </w:t>
      </w:r>
      <w:r w:rsidR="00737187" w:rsidRPr="0050187A">
        <w:rPr>
          <w:noProof/>
        </w:rPr>
        <w:t>in</w:t>
      </w:r>
      <w:r w:rsidR="009E28A8" w:rsidRPr="0050187A">
        <w:rPr>
          <w:noProof/>
        </w:rPr>
        <w:t xml:space="preserve"> </w:t>
      </w:r>
      <w:r w:rsidR="00737187" w:rsidRPr="00204461">
        <w:rPr>
          <w:noProof/>
        </w:rPr>
        <w:t xml:space="preserve">March 2026); and (iii) </w:t>
      </w:r>
      <w:r w:rsidR="00882F92">
        <w:rPr>
          <w:noProof/>
        </w:rPr>
        <w:t xml:space="preserve">poverty reduction and </w:t>
      </w:r>
      <w:r w:rsidR="00737187" w:rsidRPr="00204461">
        <w:rPr>
          <w:noProof/>
        </w:rPr>
        <w:t>social inclusion (in line with the Anti-Poverty</w:t>
      </w:r>
      <w:r w:rsidR="00882F92">
        <w:rPr>
          <w:noProof/>
        </w:rPr>
        <w:t xml:space="preserve"> </w:t>
      </w:r>
      <w:r w:rsidR="00737187" w:rsidRPr="00204461">
        <w:rPr>
          <w:noProof/>
        </w:rPr>
        <w:t xml:space="preserve">Strategy put forward by the Commission in May 2026). The </w:t>
      </w:r>
      <w:r w:rsidR="00DB329C">
        <w:rPr>
          <w:noProof/>
        </w:rPr>
        <w:t>guidelines</w:t>
      </w:r>
      <w:r w:rsidR="00DB329C" w:rsidRPr="00204461">
        <w:rPr>
          <w:noProof/>
        </w:rPr>
        <w:t xml:space="preserve"> </w:t>
      </w:r>
      <w:r w:rsidR="00737187" w:rsidRPr="0050187A">
        <w:rPr>
          <w:noProof/>
        </w:rPr>
        <w:t xml:space="preserve">have </w:t>
      </w:r>
      <w:r w:rsidR="00C52AA2">
        <w:rPr>
          <w:noProof/>
        </w:rPr>
        <w:t xml:space="preserve">also </w:t>
      </w:r>
      <w:r w:rsidR="00737187" w:rsidRPr="0050187A">
        <w:rPr>
          <w:noProof/>
        </w:rPr>
        <w:t>been</w:t>
      </w:r>
      <w:r w:rsidR="00737187" w:rsidRPr="00204461">
        <w:rPr>
          <w:noProof/>
        </w:rPr>
        <w:t xml:space="preserve"> significantly streamlined to avoid repetitions and improve readability.</w:t>
      </w:r>
      <w:r w:rsidR="00737187">
        <w:rPr>
          <w:noProof/>
        </w:rPr>
        <w:t xml:space="preserve"> T</w:t>
      </w:r>
      <w:r w:rsidRPr="00B726BD">
        <w:rPr>
          <w:noProof/>
        </w:rPr>
        <w:t xml:space="preserve">he recitals </w:t>
      </w:r>
      <w:r w:rsidR="0073442A">
        <w:rPr>
          <w:noProof/>
        </w:rPr>
        <w:t>have likewise been</w:t>
      </w:r>
      <w:r w:rsidRPr="00B726BD">
        <w:rPr>
          <w:noProof/>
        </w:rPr>
        <w:t xml:space="preserve"> updated to </w:t>
      </w:r>
      <w:r w:rsidR="00737187">
        <w:rPr>
          <w:noProof/>
        </w:rPr>
        <w:t xml:space="preserve">the current socio-economic context and the </w:t>
      </w:r>
      <w:r w:rsidR="00806596">
        <w:rPr>
          <w:noProof/>
        </w:rPr>
        <w:t xml:space="preserve">most recent policy initiatives. </w:t>
      </w:r>
      <w:r>
        <w:rPr>
          <w:noProof/>
        </w:rPr>
        <w:t xml:space="preserve"> </w:t>
      </w:r>
    </w:p>
    <w:p w14:paraId="69033733" w14:textId="0A17B0CB" w:rsidR="005416F9" w:rsidRDefault="005416F9" w:rsidP="001C11E4">
      <w:pPr>
        <w:ind w:left="-6" w:right="85"/>
        <w:rPr>
          <w:noProof/>
        </w:rPr>
      </w:pPr>
      <w:r>
        <w:rPr>
          <w:noProof/>
        </w:rPr>
        <w:t>Along with the broad economic policy guidelines, the employment guidelines are presented as a Council Decision on guidelines for the employment policies of the Member States (Part II of the Integrated Guidelines) and provide the basis for country specific</w:t>
      </w:r>
      <w:r w:rsidR="0073442A">
        <w:rPr>
          <w:noProof/>
        </w:rPr>
        <w:t>-</w:t>
      </w:r>
      <w:r>
        <w:rPr>
          <w:noProof/>
        </w:rPr>
        <w:t xml:space="preserve">recommendations in the respective domains. </w:t>
      </w:r>
    </w:p>
    <w:bookmarkEnd w:id="1"/>
    <w:p w14:paraId="3B699DDB" w14:textId="77777777" w:rsidR="005416F9" w:rsidRDefault="005416F9" w:rsidP="001C11E4">
      <w:pPr>
        <w:jc w:val="left"/>
        <w:rPr>
          <w:noProof/>
        </w:rPr>
      </w:pPr>
      <w:r>
        <w:rPr>
          <w:noProof/>
        </w:rPr>
        <w:t xml:space="preserve"> </w:t>
      </w:r>
    </w:p>
    <w:p w14:paraId="5DD9BDD6" w14:textId="77777777" w:rsidR="005416F9" w:rsidRDefault="005416F9" w:rsidP="001C11E4">
      <w:pPr>
        <w:ind w:left="-6" w:right="85"/>
        <w:rPr>
          <w:noProof/>
        </w:rPr>
      </w:pPr>
      <w:r>
        <w:rPr>
          <w:noProof/>
        </w:rPr>
        <w:t xml:space="preserve">The revised “Employment Guidelines” are the following: </w:t>
      </w:r>
    </w:p>
    <w:p w14:paraId="0554AE6F" w14:textId="77777777" w:rsidR="005416F9" w:rsidRDefault="005416F9" w:rsidP="001C11E4">
      <w:pPr>
        <w:ind w:left="-6" w:right="85"/>
        <w:rPr>
          <w:noProof/>
        </w:rPr>
      </w:pPr>
      <w:r>
        <w:rPr>
          <w:noProof/>
        </w:rPr>
        <w:t xml:space="preserve">Guideline 5: Boosting the demand for labour </w:t>
      </w:r>
    </w:p>
    <w:p w14:paraId="1CB49D30" w14:textId="77777777" w:rsidR="005416F9" w:rsidRDefault="005416F9" w:rsidP="001C11E4">
      <w:pPr>
        <w:ind w:left="-6" w:right="85"/>
        <w:rPr>
          <w:noProof/>
        </w:rPr>
      </w:pPr>
      <w:r>
        <w:rPr>
          <w:noProof/>
        </w:rPr>
        <w:t xml:space="preserve">Guideline 6: Enhancing labour supply and improving access to employment, lifelong acquisition of skills and competences </w:t>
      </w:r>
      <w:r>
        <w:rPr>
          <w:i/>
          <w:noProof/>
        </w:rPr>
        <w:t xml:space="preserve"> </w:t>
      </w:r>
    </w:p>
    <w:p w14:paraId="57FEEB24" w14:textId="77777777" w:rsidR="005416F9" w:rsidRDefault="005416F9" w:rsidP="001C11E4">
      <w:pPr>
        <w:ind w:left="-6" w:right="85"/>
        <w:rPr>
          <w:noProof/>
        </w:rPr>
      </w:pPr>
      <w:r>
        <w:rPr>
          <w:noProof/>
        </w:rPr>
        <w:t xml:space="preserve">Guideline 7: Enhancing the functioning of labour markets and the effectiveness of social dialogue </w:t>
      </w:r>
    </w:p>
    <w:p w14:paraId="698FA076" w14:textId="4D22AF6A" w:rsidR="005416F9" w:rsidRDefault="005416F9" w:rsidP="001C11E4">
      <w:pPr>
        <w:ind w:left="-6" w:right="85"/>
        <w:rPr>
          <w:noProof/>
        </w:rPr>
      </w:pPr>
      <w:r>
        <w:rPr>
          <w:noProof/>
        </w:rPr>
        <w:t>Guideline 8: Promoting equal opportunities for all, fostering social inclusion</w:t>
      </w:r>
      <w:r w:rsidR="00B4702C">
        <w:rPr>
          <w:noProof/>
        </w:rPr>
        <w:t>, preventing</w:t>
      </w:r>
      <w:r>
        <w:rPr>
          <w:noProof/>
        </w:rPr>
        <w:t xml:space="preserve"> and fighting poverty </w:t>
      </w:r>
    </w:p>
    <w:p w14:paraId="460BCDA5" w14:textId="77777777" w:rsidR="005416F9" w:rsidRPr="00FD40BA" w:rsidRDefault="005416F9">
      <w:pPr>
        <w:rPr>
          <w:noProof/>
        </w:rPr>
        <w:sectPr w:rsidR="005416F9" w:rsidRPr="00FD40BA" w:rsidSect="00DC5E7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pgNumType w:start="0"/>
          <w:cols w:space="708"/>
          <w:docGrid w:linePitch="360"/>
        </w:sectPr>
      </w:pPr>
    </w:p>
    <w:p w14:paraId="4DDD19AB" w14:textId="3DC92DE7" w:rsidR="00EC28D4" w:rsidRDefault="000B5ABB" w:rsidP="000B5ABB">
      <w:pPr>
        <w:pStyle w:val="Rfrenceinterinstitutionnelle"/>
        <w:rPr>
          <w:noProof/>
        </w:rPr>
      </w:pPr>
      <w:r>
        <w:rPr>
          <w:noProof/>
        </w:rPr>
        <w:lastRenderedPageBreak/>
        <w:t>2026/0137 (NLE)</w:t>
      </w:r>
    </w:p>
    <w:p w14:paraId="362E9016" w14:textId="235C32DB" w:rsidR="002B26AA" w:rsidRPr="00FD40BA" w:rsidRDefault="000B5ABB" w:rsidP="000B5ABB">
      <w:pPr>
        <w:pStyle w:val="Statut"/>
        <w:rPr>
          <w:noProof/>
        </w:rPr>
      </w:pPr>
      <w:r w:rsidRPr="000B5ABB">
        <w:rPr>
          <w:noProof/>
        </w:rPr>
        <w:t>Proposal for a</w:t>
      </w:r>
    </w:p>
    <w:p w14:paraId="335A631A" w14:textId="63E4016A" w:rsidR="002B26AA" w:rsidRPr="00FD40BA" w:rsidRDefault="000B5ABB" w:rsidP="000B5ABB">
      <w:pPr>
        <w:pStyle w:val="Typedudocument"/>
        <w:rPr>
          <w:noProof/>
        </w:rPr>
      </w:pPr>
      <w:r w:rsidRPr="000B5ABB">
        <w:rPr>
          <w:noProof/>
        </w:rPr>
        <w:t>COUNCIL DECISION</w:t>
      </w:r>
    </w:p>
    <w:p w14:paraId="2D989E62" w14:textId="3E504DAC" w:rsidR="002B26AA" w:rsidRPr="00FD40BA" w:rsidRDefault="000B5ABB" w:rsidP="000B5ABB">
      <w:pPr>
        <w:pStyle w:val="Titreobjet"/>
        <w:rPr>
          <w:noProof/>
        </w:rPr>
      </w:pPr>
      <w:r w:rsidRPr="000B5ABB">
        <w:rPr>
          <w:noProof/>
        </w:rPr>
        <w:t>on guidelines for the employment policies of the Member States</w:t>
      </w:r>
    </w:p>
    <w:p w14:paraId="5300E972" w14:textId="77777777" w:rsidR="002B26AA" w:rsidRPr="00FD40BA" w:rsidRDefault="002B26AA">
      <w:pPr>
        <w:pStyle w:val="Institutionquiagit"/>
        <w:rPr>
          <w:noProof/>
        </w:rPr>
      </w:pPr>
      <w:r w:rsidRPr="00FD40BA">
        <w:rPr>
          <w:noProof/>
        </w:rPr>
        <w:t xml:space="preserve">THE COUNCIL OF THE EUROPEAN </w:t>
      </w:r>
      <w:smartTag w:uri="urn:schemas-microsoft-com:office:smarttags" w:element="place">
        <w:r w:rsidRPr="00FD40BA">
          <w:rPr>
            <w:noProof/>
          </w:rPr>
          <w:t>UNION</w:t>
        </w:r>
      </w:smartTag>
      <w:r w:rsidRPr="00FD40BA">
        <w:rPr>
          <w:noProof/>
        </w:rPr>
        <w:t>,</w:t>
      </w:r>
    </w:p>
    <w:p w14:paraId="65089E11" w14:textId="77777777" w:rsidR="002B26AA" w:rsidRPr="00FD40BA" w:rsidRDefault="002B26AA">
      <w:pPr>
        <w:rPr>
          <w:noProof/>
        </w:rPr>
      </w:pPr>
      <w:r w:rsidRPr="00FD40BA">
        <w:rPr>
          <w:noProof/>
        </w:rPr>
        <w:t xml:space="preserve">Having regard to the Treaty on the Functioning of the European Union, and in particular </w:t>
      </w:r>
      <w:r w:rsidRPr="00AF77B2">
        <w:rPr>
          <w:noProof/>
        </w:rPr>
        <w:t xml:space="preserve">Article </w:t>
      </w:r>
      <w:r w:rsidR="00AF77B2" w:rsidRPr="00DC1512">
        <w:rPr>
          <w:noProof/>
        </w:rPr>
        <w:t xml:space="preserve">148(2) </w:t>
      </w:r>
      <w:r w:rsidRPr="00AF77B2">
        <w:rPr>
          <w:noProof/>
        </w:rPr>
        <w:t>thereof</w:t>
      </w:r>
      <w:r w:rsidRPr="00FD40BA">
        <w:rPr>
          <w:noProof/>
        </w:rPr>
        <w:t>,</w:t>
      </w:r>
    </w:p>
    <w:p w14:paraId="16A4E259" w14:textId="77777777" w:rsidR="002B26AA" w:rsidRPr="00FD40BA" w:rsidRDefault="002B26AA">
      <w:pPr>
        <w:rPr>
          <w:noProof/>
        </w:rPr>
      </w:pPr>
      <w:r w:rsidRPr="00FD40BA">
        <w:rPr>
          <w:noProof/>
        </w:rPr>
        <w:t>Having regard to the proposal from the European Commission,</w:t>
      </w:r>
    </w:p>
    <w:p w14:paraId="4E8C2096" w14:textId="77777777" w:rsidR="00AF77B2" w:rsidRPr="006B2FC3" w:rsidRDefault="00AF77B2" w:rsidP="00AF77B2">
      <w:pPr>
        <w:rPr>
          <w:noProof/>
        </w:rPr>
      </w:pPr>
      <w:r w:rsidRPr="006B2FC3">
        <w:rPr>
          <w:noProof/>
        </w:rPr>
        <w:t>Having regard to the opinion of the European Parliament</w:t>
      </w:r>
      <w:r>
        <w:rPr>
          <w:noProof/>
        </w:rPr>
        <w:t xml:space="preserve"> (</w:t>
      </w:r>
      <w:r w:rsidRPr="00CA47F4">
        <w:rPr>
          <w:rStyle w:val="FootnoteReference"/>
          <w:noProof/>
        </w:rPr>
        <w:footnoteReference w:id="2"/>
      </w:r>
      <w:r>
        <w:rPr>
          <w:noProof/>
        </w:rPr>
        <w:t>)</w:t>
      </w:r>
      <w:r w:rsidRPr="006B2FC3">
        <w:rPr>
          <w:noProof/>
        </w:rPr>
        <w:t>,</w:t>
      </w:r>
    </w:p>
    <w:p w14:paraId="70CAF36E" w14:textId="77777777" w:rsidR="00AF77B2" w:rsidRPr="006B2FC3" w:rsidRDefault="00AF77B2" w:rsidP="00AF77B2">
      <w:pPr>
        <w:rPr>
          <w:noProof/>
        </w:rPr>
      </w:pPr>
      <w:r w:rsidRPr="006B2FC3">
        <w:rPr>
          <w:noProof/>
        </w:rPr>
        <w:t>Having regard to the opinion of the European Economic and Social Committee</w:t>
      </w:r>
      <w:r>
        <w:rPr>
          <w:noProof/>
        </w:rPr>
        <w:t xml:space="preserve"> (</w:t>
      </w:r>
      <w:r w:rsidRPr="00CA47F4">
        <w:rPr>
          <w:rStyle w:val="FootnoteReference"/>
          <w:noProof/>
        </w:rPr>
        <w:footnoteReference w:id="3"/>
      </w:r>
      <w:r>
        <w:rPr>
          <w:noProof/>
        </w:rPr>
        <w:t>)</w:t>
      </w:r>
      <w:r w:rsidRPr="006B2FC3">
        <w:rPr>
          <w:noProof/>
        </w:rPr>
        <w:t>,</w:t>
      </w:r>
    </w:p>
    <w:p w14:paraId="34E9B41B" w14:textId="77777777" w:rsidR="00AF77B2" w:rsidRPr="006B2FC3" w:rsidRDefault="00AF77B2" w:rsidP="00AF77B2">
      <w:pPr>
        <w:rPr>
          <w:noProof/>
        </w:rPr>
      </w:pPr>
      <w:r>
        <w:rPr>
          <w:noProof/>
        </w:rPr>
        <w:t>After consulting</w:t>
      </w:r>
      <w:r w:rsidRPr="006B2FC3">
        <w:rPr>
          <w:noProof/>
        </w:rPr>
        <w:t xml:space="preserve"> the Committee of the Regions,</w:t>
      </w:r>
    </w:p>
    <w:p w14:paraId="04AF2E14" w14:textId="77777777" w:rsidR="00AF77B2" w:rsidRPr="006B2FC3" w:rsidRDefault="00AF77B2" w:rsidP="00AF77B2">
      <w:pPr>
        <w:rPr>
          <w:noProof/>
        </w:rPr>
      </w:pPr>
      <w:r w:rsidRPr="006B2FC3">
        <w:rPr>
          <w:noProof/>
        </w:rPr>
        <w:t>Having regard to the opinion of the Employment Committee</w:t>
      </w:r>
      <w:r>
        <w:rPr>
          <w:noProof/>
        </w:rPr>
        <w:t xml:space="preserve"> (</w:t>
      </w:r>
      <w:r w:rsidRPr="00CA47F4">
        <w:rPr>
          <w:rStyle w:val="FootnoteReference"/>
          <w:noProof/>
        </w:rPr>
        <w:footnoteReference w:id="4"/>
      </w:r>
      <w:r>
        <w:rPr>
          <w:noProof/>
        </w:rPr>
        <w:t>),</w:t>
      </w:r>
    </w:p>
    <w:p w14:paraId="4F876691" w14:textId="77777777" w:rsidR="002B26AA" w:rsidRPr="00FD40BA" w:rsidRDefault="002B26AA">
      <w:pPr>
        <w:rPr>
          <w:noProof/>
        </w:rPr>
      </w:pPr>
      <w:r w:rsidRPr="00FD40BA">
        <w:rPr>
          <w:noProof/>
        </w:rPr>
        <w:t>Whereas:</w:t>
      </w:r>
    </w:p>
    <w:p w14:paraId="1876B673" w14:textId="7FD42082" w:rsidR="000A7726" w:rsidRPr="005F3EEF" w:rsidRDefault="000A7726" w:rsidP="000A7726">
      <w:pPr>
        <w:pStyle w:val="ManualConsidrant"/>
        <w:rPr>
          <w:noProof/>
        </w:rPr>
      </w:pPr>
      <w:r w:rsidRPr="009B5893">
        <w:rPr>
          <w:noProof/>
        </w:rPr>
        <w:t>(1)</w:t>
      </w:r>
      <w:r w:rsidRPr="009B5893">
        <w:rPr>
          <w:noProof/>
        </w:rPr>
        <w:tab/>
      </w:r>
      <w:r w:rsidRPr="00366F6E">
        <w:rPr>
          <w:noProof/>
        </w:rPr>
        <w:t xml:space="preserve">Member States and the Union are to work towards developing a coordinated strategy for employment and in particular for the promotion of a skilled, trained and adaptable workforce, as well as </w:t>
      </w:r>
      <w:r w:rsidR="0043232A">
        <w:rPr>
          <w:noProof/>
        </w:rPr>
        <w:t xml:space="preserve">inclusive and resilient </w:t>
      </w:r>
      <w:r w:rsidRPr="00366F6E">
        <w:rPr>
          <w:noProof/>
        </w:rPr>
        <w:t xml:space="preserve">labour markets, with a view to achieving the objectives of full employment and social progress, </w:t>
      </w:r>
      <w:r w:rsidR="0043232A">
        <w:rPr>
          <w:noProof/>
        </w:rPr>
        <w:t xml:space="preserve">and </w:t>
      </w:r>
      <w:r w:rsidRPr="00366F6E">
        <w:rPr>
          <w:noProof/>
        </w:rPr>
        <w:t>balanced economic growth laid down in Article 3 of the Treaty on European Union (TEU). Member States are to regard promoting employment as a matter of common concern and to coordinate their action in that respect within the Council</w:t>
      </w:r>
      <w:r w:rsidRPr="006B2FC3">
        <w:rPr>
          <w:noProof/>
        </w:rPr>
        <w:t>.</w:t>
      </w:r>
      <w:r w:rsidRPr="00FD40BA">
        <w:rPr>
          <w:noProof/>
        </w:rPr>
        <w:t xml:space="preserve"> </w:t>
      </w:r>
    </w:p>
    <w:p w14:paraId="4EC8F9C4" w14:textId="6C7B560D" w:rsidR="00FE3F47" w:rsidRPr="00FE3F47" w:rsidRDefault="000A7726" w:rsidP="00FE3F47">
      <w:pPr>
        <w:pStyle w:val="ManualConsidrant"/>
        <w:rPr>
          <w:rFonts w:asciiTheme="majorBidi" w:hAnsiTheme="majorBidi" w:cstheme="majorBidi"/>
          <w:noProof/>
          <w:szCs w:val="24"/>
        </w:rPr>
      </w:pPr>
      <w:r w:rsidRPr="009B5893">
        <w:rPr>
          <w:noProof/>
        </w:rPr>
        <w:t>(2)</w:t>
      </w:r>
      <w:r w:rsidRPr="009B5893">
        <w:rPr>
          <w:noProof/>
        </w:rPr>
        <w:tab/>
      </w:r>
      <w:r w:rsidRPr="00366F6E">
        <w:rPr>
          <w:rFonts w:asciiTheme="majorBidi" w:hAnsiTheme="majorBidi" w:cstheme="majorBidi"/>
          <w:noProof/>
          <w:szCs w:val="24"/>
        </w:rPr>
        <w:t xml:space="preserve">The Union is to combat social exclusion and discrimination, and to promote social justice and protection, equality between women and men, solidarity between generations and the protection of the </w:t>
      </w:r>
      <w:r w:rsidRPr="00366F6E">
        <w:rPr>
          <w:noProof/>
        </w:rPr>
        <w:t>rights</w:t>
      </w:r>
      <w:r w:rsidRPr="00366F6E">
        <w:rPr>
          <w:rFonts w:asciiTheme="majorBidi" w:hAnsiTheme="majorBidi" w:cstheme="majorBidi"/>
          <w:noProof/>
          <w:szCs w:val="24"/>
        </w:rPr>
        <w:t xml:space="preserve"> of the child as laid down in Article 3 TEU. In defining and implementing its policies and activities, the Union is to take into account requirements linked to the promotion of a high level of employment, the guarantee of adequate social protection, the fight against social exclusion, and a high level of education, training and protection of human health as laid down in Article 9 of the Treaty on the Functioning of the European Union (TFEU).</w:t>
      </w:r>
      <w:r w:rsidR="00EB5C88">
        <w:rPr>
          <w:rFonts w:asciiTheme="majorBidi" w:hAnsiTheme="majorBidi" w:cstheme="majorBidi"/>
          <w:noProof/>
          <w:szCs w:val="24"/>
        </w:rPr>
        <w:t xml:space="preserve"> </w:t>
      </w:r>
    </w:p>
    <w:p w14:paraId="63FE654B" w14:textId="4B0666B5" w:rsidR="00FE3F47" w:rsidRPr="004506E1" w:rsidRDefault="000A7726" w:rsidP="00FE3F47">
      <w:pPr>
        <w:pStyle w:val="ManualConsidrant"/>
        <w:rPr>
          <w:rFonts w:asciiTheme="majorBidi" w:hAnsiTheme="majorBidi" w:cstheme="majorBidi"/>
          <w:noProof/>
        </w:rPr>
      </w:pPr>
      <w:r w:rsidRPr="009B5893">
        <w:rPr>
          <w:noProof/>
        </w:rPr>
        <w:t>(3)</w:t>
      </w:r>
      <w:r w:rsidRPr="009B5893">
        <w:rPr>
          <w:noProof/>
        </w:rPr>
        <w:tab/>
      </w:r>
      <w:r w:rsidRPr="00366F6E">
        <w:rPr>
          <w:rFonts w:asciiTheme="majorBidi" w:hAnsiTheme="majorBidi" w:cstheme="majorBidi"/>
          <w:noProof/>
          <w:szCs w:val="24"/>
        </w:rPr>
        <w:t xml:space="preserve">In accordance with the TFEU, the Union has developed and implemented </w:t>
      </w:r>
      <w:r w:rsidR="0043232A">
        <w:rPr>
          <w:rFonts w:asciiTheme="majorBidi" w:hAnsiTheme="majorBidi" w:cstheme="majorBidi"/>
          <w:noProof/>
          <w:szCs w:val="24"/>
        </w:rPr>
        <w:t>a</w:t>
      </w:r>
      <w:r w:rsidR="00FE3F47">
        <w:rPr>
          <w:rFonts w:asciiTheme="majorBidi" w:hAnsiTheme="majorBidi" w:cstheme="majorBidi"/>
          <w:noProof/>
          <w:szCs w:val="24"/>
        </w:rPr>
        <w:t>n integrated</w:t>
      </w:r>
      <w:r w:rsidR="0043232A">
        <w:rPr>
          <w:rFonts w:asciiTheme="majorBidi" w:hAnsiTheme="majorBidi" w:cstheme="majorBidi"/>
          <w:noProof/>
          <w:szCs w:val="24"/>
        </w:rPr>
        <w:t xml:space="preserve"> </w:t>
      </w:r>
      <w:r w:rsidRPr="00366F6E">
        <w:rPr>
          <w:rFonts w:asciiTheme="majorBidi" w:hAnsiTheme="majorBidi" w:cstheme="majorBidi"/>
          <w:noProof/>
          <w:szCs w:val="24"/>
        </w:rPr>
        <w:t xml:space="preserve">policy coordination </w:t>
      </w:r>
      <w:r w:rsidR="0043232A">
        <w:rPr>
          <w:rFonts w:asciiTheme="majorBidi" w:hAnsiTheme="majorBidi" w:cstheme="majorBidi"/>
          <w:noProof/>
          <w:szCs w:val="24"/>
        </w:rPr>
        <w:t>framework</w:t>
      </w:r>
      <w:r w:rsidRPr="00366F6E">
        <w:rPr>
          <w:rFonts w:asciiTheme="majorBidi" w:hAnsiTheme="majorBidi" w:cstheme="majorBidi"/>
          <w:noProof/>
          <w:szCs w:val="24"/>
        </w:rPr>
        <w:t xml:space="preserve"> for economic and employment policies</w:t>
      </w:r>
      <w:r w:rsidR="00441953">
        <w:rPr>
          <w:rFonts w:asciiTheme="majorBidi" w:hAnsiTheme="majorBidi" w:cstheme="majorBidi"/>
          <w:noProof/>
          <w:szCs w:val="24"/>
        </w:rPr>
        <w:t xml:space="preserve"> in the </w:t>
      </w:r>
      <w:r w:rsidR="006D7C69">
        <w:rPr>
          <w:rFonts w:asciiTheme="majorBidi" w:hAnsiTheme="majorBidi" w:cstheme="majorBidi"/>
          <w:noProof/>
          <w:szCs w:val="24"/>
        </w:rPr>
        <w:t xml:space="preserve">context of the </w:t>
      </w:r>
      <w:r w:rsidR="00441953">
        <w:rPr>
          <w:rFonts w:asciiTheme="majorBidi" w:hAnsiTheme="majorBidi" w:cstheme="majorBidi"/>
          <w:noProof/>
          <w:szCs w:val="24"/>
        </w:rPr>
        <w:t>European Semester</w:t>
      </w:r>
      <w:r w:rsidR="005333D3">
        <w:rPr>
          <w:rFonts w:asciiTheme="majorBidi" w:hAnsiTheme="majorBidi" w:cstheme="majorBidi"/>
          <w:noProof/>
          <w:szCs w:val="24"/>
        </w:rPr>
        <w:t xml:space="preserve"> </w:t>
      </w:r>
      <w:r w:rsidR="00806596">
        <w:rPr>
          <w:rFonts w:asciiTheme="majorBidi" w:hAnsiTheme="majorBidi" w:cstheme="majorBidi"/>
          <w:noProof/>
          <w:szCs w:val="24"/>
        </w:rPr>
        <w:t>(</w:t>
      </w:r>
      <w:r w:rsidR="00832FFC">
        <w:rPr>
          <w:rStyle w:val="FootnoteReference"/>
          <w:rFonts w:asciiTheme="majorBidi" w:hAnsiTheme="majorBidi" w:cstheme="majorBidi"/>
          <w:noProof/>
        </w:rPr>
        <w:footnoteReference w:id="5"/>
      </w:r>
      <w:r w:rsidR="00806596">
        <w:rPr>
          <w:rFonts w:asciiTheme="majorBidi" w:hAnsiTheme="majorBidi" w:cstheme="majorBidi"/>
          <w:noProof/>
          <w:szCs w:val="24"/>
        </w:rPr>
        <w:t>).</w:t>
      </w:r>
      <w:r w:rsidR="00FE3F47" w:rsidRPr="0CF0085B">
        <w:rPr>
          <w:rFonts w:asciiTheme="majorBidi" w:hAnsiTheme="majorBidi" w:cstheme="majorBidi"/>
          <w:noProof/>
        </w:rPr>
        <w:t xml:space="preserve"> </w:t>
      </w:r>
      <w:r w:rsidR="00FE3F47">
        <w:rPr>
          <w:rFonts w:asciiTheme="majorBidi" w:hAnsiTheme="majorBidi" w:cstheme="majorBidi"/>
          <w:noProof/>
        </w:rPr>
        <w:t xml:space="preserve">The European Semester </w:t>
      </w:r>
      <w:r w:rsidR="00FE3F47" w:rsidRPr="00C40C1F">
        <w:rPr>
          <w:rFonts w:asciiTheme="majorBidi" w:hAnsiTheme="majorBidi" w:cstheme="majorBidi"/>
          <w:noProof/>
        </w:rPr>
        <w:t>is aligned with the Competitiveness Compass</w:t>
      </w:r>
      <w:r w:rsidR="00FE3F47">
        <w:rPr>
          <w:rFonts w:asciiTheme="majorBidi" w:hAnsiTheme="majorBidi" w:cstheme="majorBidi"/>
          <w:noProof/>
        </w:rPr>
        <w:t>,</w:t>
      </w:r>
      <w:r w:rsidR="00FE3F47" w:rsidRPr="00C40C1F">
        <w:rPr>
          <w:rFonts w:asciiTheme="majorBidi" w:hAnsiTheme="majorBidi" w:cstheme="majorBidi"/>
          <w:noProof/>
        </w:rPr>
        <w:t xml:space="preserve"> which provides a framework to boost competitiveness by </w:t>
      </w:r>
      <w:r w:rsidR="00FE3F47" w:rsidRPr="00C40C1F">
        <w:rPr>
          <w:rFonts w:asciiTheme="majorBidi" w:hAnsiTheme="majorBidi" w:cstheme="majorBidi"/>
          <w:noProof/>
        </w:rPr>
        <w:lastRenderedPageBreak/>
        <w:t>closing the innovation gap, decarbonising our economy, reducing excessive dependencies and increasing security</w:t>
      </w:r>
      <w:r w:rsidR="00FE3F47">
        <w:rPr>
          <w:rFonts w:asciiTheme="majorBidi" w:hAnsiTheme="majorBidi" w:cstheme="majorBidi"/>
          <w:noProof/>
        </w:rPr>
        <w:t>.</w:t>
      </w:r>
      <w:r w:rsidR="00005361">
        <w:rPr>
          <w:rFonts w:asciiTheme="majorBidi" w:hAnsiTheme="majorBidi" w:cstheme="majorBidi"/>
          <w:noProof/>
        </w:rPr>
        <w:t xml:space="preserve"> </w:t>
      </w:r>
      <w:r w:rsidR="00FE3F47">
        <w:rPr>
          <w:rFonts w:asciiTheme="majorBidi" w:hAnsiTheme="majorBidi" w:cstheme="majorBidi"/>
          <w:noProof/>
        </w:rPr>
        <w:t>The Compass identifies</w:t>
      </w:r>
      <w:r w:rsidR="00FE3F47">
        <w:rPr>
          <w:rFonts w:eastAsia="Aptos"/>
          <w:noProof/>
        </w:rPr>
        <w:t xml:space="preserve"> s</w:t>
      </w:r>
      <w:r w:rsidR="00FE3F47" w:rsidRPr="0061690B">
        <w:rPr>
          <w:rFonts w:eastAsia="Aptos"/>
          <w:noProof/>
        </w:rPr>
        <w:t>kills</w:t>
      </w:r>
      <w:r w:rsidR="00FE3F47">
        <w:rPr>
          <w:rFonts w:eastAsia="Aptos"/>
          <w:noProof/>
        </w:rPr>
        <w:t xml:space="preserve">, </w:t>
      </w:r>
      <w:r w:rsidR="00FE3F47" w:rsidRPr="0061690B">
        <w:rPr>
          <w:rFonts w:eastAsia="Aptos"/>
          <w:noProof/>
        </w:rPr>
        <w:t xml:space="preserve">quality jobs </w:t>
      </w:r>
      <w:r w:rsidR="00FE3F47">
        <w:rPr>
          <w:rFonts w:eastAsia="Aptos"/>
          <w:noProof/>
        </w:rPr>
        <w:t xml:space="preserve">and </w:t>
      </w:r>
      <w:r w:rsidR="00FE3F47" w:rsidRPr="0061690B">
        <w:rPr>
          <w:rFonts w:eastAsia="Aptos"/>
          <w:noProof/>
        </w:rPr>
        <w:t>social fairness</w:t>
      </w:r>
      <w:r w:rsidR="00237526">
        <w:rPr>
          <w:rFonts w:eastAsia="Aptos"/>
          <w:noProof/>
        </w:rPr>
        <w:t xml:space="preserve"> among the</w:t>
      </w:r>
      <w:r w:rsidR="00FE3F47">
        <w:rPr>
          <w:rFonts w:eastAsia="Aptos"/>
          <w:noProof/>
        </w:rPr>
        <w:t xml:space="preserve"> horizontal enablers</w:t>
      </w:r>
      <w:r w:rsidR="00FE3F47" w:rsidRPr="0061690B">
        <w:rPr>
          <w:rFonts w:eastAsia="Aptos"/>
          <w:noProof/>
        </w:rPr>
        <w:t>.</w:t>
      </w:r>
      <w:r w:rsidR="00FE3F47" w:rsidRPr="00C40C1F">
        <w:rPr>
          <w:rFonts w:asciiTheme="majorBidi" w:hAnsiTheme="majorBidi" w:cstheme="majorBidi"/>
          <w:noProof/>
        </w:rPr>
        <w:t xml:space="preserve"> </w:t>
      </w:r>
      <w:r w:rsidR="00FE3F47">
        <w:rPr>
          <w:rFonts w:asciiTheme="majorBidi" w:hAnsiTheme="majorBidi" w:cstheme="majorBidi"/>
          <w:noProof/>
        </w:rPr>
        <w:t>T</w:t>
      </w:r>
      <w:r w:rsidR="00FE3F47" w:rsidRPr="0CF0085B">
        <w:rPr>
          <w:rFonts w:asciiTheme="majorBidi" w:hAnsiTheme="majorBidi" w:cstheme="majorBidi"/>
          <w:noProof/>
        </w:rPr>
        <w:t xml:space="preserve">he </w:t>
      </w:r>
      <w:r w:rsidR="001131F3">
        <w:rPr>
          <w:rFonts w:asciiTheme="majorBidi" w:hAnsiTheme="majorBidi" w:cstheme="majorBidi"/>
          <w:noProof/>
        </w:rPr>
        <w:t xml:space="preserve">European </w:t>
      </w:r>
      <w:r w:rsidR="00FE3F47" w:rsidRPr="0CF0085B">
        <w:rPr>
          <w:rFonts w:asciiTheme="majorBidi" w:hAnsiTheme="majorBidi" w:cstheme="majorBidi"/>
          <w:noProof/>
        </w:rPr>
        <w:t>Semester</w:t>
      </w:r>
      <w:r w:rsidR="00FE3F47">
        <w:rPr>
          <w:rFonts w:asciiTheme="majorBidi" w:hAnsiTheme="majorBidi" w:cstheme="majorBidi"/>
          <w:noProof/>
        </w:rPr>
        <w:t xml:space="preserve"> also</w:t>
      </w:r>
      <w:r w:rsidR="00FE3F47" w:rsidRPr="0CF0085B">
        <w:rPr>
          <w:rFonts w:asciiTheme="majorBidi" w:hAnsiTheme="majorBidi" w:cstheme="majorBidi"/>
          <w:noProof/>
        </w:rPr>
        <w:t xml:space="preserve"> integrates the principles of the European Pillar of Social Rights, proclaimed by the European Parliament, the Council and the Commission in November 2017</w:t>
      </w:r>
      <w:r w:rsidR="00FE3F47">
        <w:rPr>
          <w:rFonts w:asciiTheme="majorBidi" w:hAnsiTheme="majorBidi" w:cstheme="majorBidi"/>
          <w:noProof/>
        </w:rPr>
        <w:t xml:space="preserve"> (</w:t>
      </w:r>
      <w:r w:rsidR="00FE3F47" w:rsidRPr="00C114EE">
        <w:rPr>
          <w:rStyle w:val="FootnoteReference"/>
          <w:noProof/>
        </w:rPr>
        <w:footnoteReference w:id="6"/>
      </w:r>
      <w:r w:rsidR="00FE3F47">
        <w:rPr>
          <w:rFonts w:asciiTheme="majorBidi" w:hAnsiTheme="majorBidi" w:cstheme="majorBidi"/>
          <w:noProof/>
        </w:rPr>
        <w:t>).</w:t>
      </w:r>
      <w:r w:rsidR="00FE3F47" w:rsidRPr="0CF0085B">
        <w:rPr>
          <w:rFonts w:asciiTheme="majorBidi" w:hAnsiTheme="majorBidi" w:cstheme="majorBidi"/>
          <w:noProof/>
        </w:rPr>
        <w:t xml:space="preserve"> </w:t>
      </w:r>
      <w:r w:rsidR="00FE3F47">
        <w:rPr>
          <w:rFonts w:asciiTheme="majorBidi" w:hAnsiTheme="majorBidi" w:cstheme="majorBidi"/>
          <w:noProof/>
        </w:rPr>
        <w:t>It relies on</w:t>
      </w:r>
      <w:r w:rsidR="00FE3F47" w:rsidRPr="0CF0085B">
        <w:rPr>
          <w:rFonts w:asciiTheme="majorBidi" w:hAnsiTheme="majorBidi" w:cstheme="majorBidi"/>
          <w:noProof/>
        </w:rPr>
        <w:t xml:space="preserve"> the Social Scoreboard</w:t>
      </w:r>
      <w:r w:rsidR="00FE3F47">
        <w:rPr>
          <w:rFonts w:asciiTheme="majorBidi" w:hAnsiTheme="majorBidi" w:cstheme="majorBidi"/>
          <w:noProof/>
        </w:rPr>
        <w:t xml:space="preserve"> as its monitoring tool. Th</w:t>
      </w:r>
      <w:r w:rsidR="00832FFC">
        <w:rPr>
          <w:rFonts w:asciiTheme="majorBidi" w:hAnsiTheme="majorBidi" w:cstheme="majorBidi"/>
          <w:noProof/>
        </w:rPr>
        <w:t>e Social Scoreboard also</w:t>
      </w:r>
      <w:r w:rsidR="00FE3F47">
        <w:rPr>
          <w:rFonts w:asciiTheme="majorBidi" w:hAnsiTheme="majorBidi" w:cstheme="majorBidi"/>
          <w:noProof/>
        </w:rPr>
        <w:t xml:space="preserve"> </w:t>
      </w:r>
      <w:r w:rsidR="00166605">
        <w:rPr>
          <w:rFonts w:asciiTheme="majorBidi" w:hAnsiTheme="majorBidi" w:cstheme="majorBidi"/>
          <w:noProof/>
        </w:rPr>
        <w:t>provides the basis for</w:t>
      </w:r>
      <w:r w:rsidR="00FE3F47" w:rsidRPr="0CF0085B">
        <w:rPr>
          <w:rFonts w:asciiTheme="majorBidi" w:hAnsiTheme="majorBidi" w:cstheme="majorBidi"/>
          <w:noProof/>
        </w:rPr>
        <w:t xml:space="preserve"> an analysis of risks and challenges to upward social convergence in the Union,</w:t>
      </w:r>
      <w:r w:rsidR="00FE3F47">
        <w:rPr>
          <w:rFonts w:asciiTheme="majorBidi" w:hAnsiTheme="majorBidi" w:cstheme="majorBidi"/>
          <w:noProof/>
        </w:rPr>
        <w:t xml:space="preserve"> in the frame</w:t>
      </w:r>
      <w:r w:rsidR="00351D36">
        <w:rPr>
          <w:rFonts w:asciiTheme="majorBidi" w:hAnsiTheme="majorBidi" w:cstheme="majorBidi"/>
          <w:noProof/>
        </w:rPr>
        <w:t>work</w:t>
      </w:r>
      <w:r w:rsidR="00FE3F47">
        <w:rPr>
          <w:rFonts w:asciiTheme="majorBidi" w:hAnsiTheme="majorBidi" w:cstheme="majorBidi"/>
          <w:noProof/>
        </w:rPr>
        <w:t xml:space="preserve"> of the Social Convergence Framework</w:t>
      </w:r>
      <w:r w:rsidR="00806596">
        <w:rPr>
          <w:rFonts w:asciiTheme="majorBidi" w:hAnsiTheme="majorBidi" w:cstheme="majorBidi"/>
          <w:noProof/>
        </w:rPr>
        <w:t xml:space="preserve"> (</w:t>
      </w:r>
      <w:r w:rsidR="00832FFC">
        <w:rPr>
          <w:rStyle w:val="FootnoteReference"/>
          <w:rFonts w:asciiTheme="majorBidi" w:hAnsiTheme="majorBidi" w:cstheme="majorBidi"/>
          <w:noProof/>
        </w:rPr>
        <w:footnoteReference w:id="7"/>
      </w:r>
      <w:r w:rsidR="00806596">
        <w:rPr>
          <w:rFonts w:asciiTheme="majorBidi" w:hAnsiTheme="majorBidi" w:cstheme="majorBidi"/>
          <w:noProof/>
        </w:rPr>
        <w:t>)</w:t>
      </w:r>
      <w:r w:rsidR="00FE3F47">
        <w:rPr>
          <w:rFonts w:asciiTheme="majorBidi" w:hAnsiTheme="majorBidi" w:cstheme="majorBidi"/>
          <w:noProof/>
        </w:rPr>
        <w:t>.</w:t>
      </w:r>
      <w:r w:rsidR="00FE3F47" w:rsidRPr="0CF0085B">
        <w:rPr>
          <w:rFonts w:asciiTheme="majorBidi" w:hAnsiTheme="majorBidi" w:cstheme="majorBidi"/>
          <w:noProof/>
        </w:rPr>
        <w:t xml:space="preserve"> </w:t>
      </w:r>
      <w:r w:rsidR="00FE3F47">
        <w:rPr>
          <w:rFonts w:asciiTheme="majorBidi" w:hAnsiTheme="majorBidi" w:cstheme="majorBidi"/>
          <w:noProof/>
        </w:rPr>
        <w:t xml:space="preserve">The </w:t>
      </w:r>
      <w:r w:rsidR="001131F3">
        <w:rPr>
          <w:rFonts w:asciiTheme="majorBidi" w:hAnsiTheme="majorBidi" w:cstheme="majorBidi"/>
          <w:noProof/>
        </w:rPr>
        <w:t xml:space="preserve">European </w:t>
      </w:r>
      <w:r w:rsidR="00FE3F47">
        <w:rPr>
          <w:rFonts w:asciiTheme="majorBidi" w:hAnsiTheme="majorBidi" w:cstheme="majorBidi"/>
          <w:noProof/>
        </w:rPr>
        <w:t>Semester</w:t>
      </w:r>
      <w:r w:rsidR="00832FFC">
        <w:rPr>
          <w:rFonts w:asciiTheme="majorBidi" w:hAnsiTheme="majorBidi" w:cstheme="majorBidi"/>
          <w:noProof/>
        </w:rPr>
        <w:t xml:space="preserve"> </w:t>
      </w:r>
      <w:r w:rsidR="00FE3F47" w:rsidRPr="0CF0085B">
        <w:rPr>
          <w:rFonts w:asciiTheme="majorBidi" w:hAnsiTheme="majorBidi" w:cstheme="majorBidi"/>
          <w:noProof/>
        </w:rPr>
        <w:t xml:space="preserve">provides for strong engagement with social partners, civil society and other stakeholders. </w:t>
      </w:r>
      <w:r w:rsidR="009E0351">
        <w:rPr>
          <w:rFonts w:asciiTheme="majorBidi" w:hAnsiTheme="majorBidi" w:cstheme="majorBidi"/>
          <w:noProof/>
        </w:rPr>
        <w:t>The Semester is also complemented by</w:t>
      </w:r>
      <w:r w:rsidR="00A558FB">
        <w:rPr>
          <w:rFonts w:asciiTheme="majorBidi" w:hAnsiTheme="majorBidi" w:cstheme="majorBidi"/>
          <w:noProof/>
        </w:rPr>
        <w:t xml:space="preserve"> the Digital Decade Policy Programme governance and recommendations.</w:t>
      </w:r>
    </w:p>
    <w:p w14:paraId="228C8859" w14:textId="6EC1EB06" w:rsidR="00832FFC" w:rsidRDefault="00832FFC" w:rsidP="000A7726">
      <w:pPr>
        <w:pStyle w:val="ManualConsidrant"/>
        <w:rPr>
          <w:rFonts w:asciiTheme="majorBidi" w:hAnsiTheme="majorBidi" w:cstheme="majorBidi"/>
          <w:noProof/>
        </w:rPr>
      </w:pPr>
      <w:r>
        <w:rPr>
          <w:rFonts w:asciiTheme="majorBidi" w:hAnsiTheme="majorBidi" w:cstheme="majorBidi"/>
          <w:noProof/>
          <w:szCs w:val="24"/>
        </w:rPr>
        <w:t xml:space="preserve">(4)      </w:t>
      </w:r>
      <w:r w:rsidR="00882F92">
        <w:rPr>
          <w:rFonts w:asciiTheme="majorBidi" w:hAnsiTheme="majorBidi" w:cstheme="majorBidi"/>
          <w:noProof/>
          <w:szCs w:val="24"/>
        </w:rPr>
        <w:tab/>
      </w:r>
      <w:r w:rsidR="000A7726" w:rsidRPr="00366F6E">
        <w:rPr>
          <w:rFonts w:asciiTheme="majorBidi" w:hAnsiTheme="majorBidi" w:cstheme="majorBidi"/>
          <w:noProof/>
          <w:szCs w:val="24"/>
        </w:rPr>
        <w:t>As part of th</w:t>
      </w:r>
      <w:r w:rsidR="0043232A">
        <w:rPr>
          <w:rFonts w:asciiTheme="majorBidi" w:hAnsiTheme="majorBidi" w:cstheme="majorBidi"/>
          <w:noProof/>
          <w:szCs w:val="24"/>
        </w:rPr>
        <w:t>is</w:t>
      </w:r>
      <w:r w:rsidR="000A7726" w:rsidRPr="00366F6E">
        <w:rPr>
          <w:rFonts w:asciiTheme="majorBidi" w:hAnsiTheme="majorBidi" w:cstheme="majorBidi"/>
          <w:noProof/>
          <w:szCs w:val="24"/>
        </w:rPr>
        <w:t xml:space="preserve"> </w:t>
      </w:r>
      <w:r w:rsidR="0043232A">
        <w:rPr>
          <w:rFonts w:asciiTheme="majorBidi" w:hAnsiTheme="majorBidi" w:cstheme="majorBidi"/>
          <w:noProof/>
          <w:szCs w:val="24"/>
        </w:rPr>
        <w:t>framework</w:t>
      </w:r>
      <w:r w:rsidR="000A7726" w:rsidRPr="00366F6E">
        <w:rPr>
          <w:rFonts w:asciiTheme="majorBidi" w:hAnsiTheme="majorBidi" w:cstheme="majorBidi"/>
          <w:noProof/>
          <w:szCs w:val="24"/>
        </w:rPr>
        <w:t>, the guidelines for the employment policies of the Member States (the ‘Employment Guidelines’)</w:t>
      </w:r>
      <w:r>
        <w:rPr>
          <w:rFonts w:asciiTheme="majorBidi" w:hAnsiTheme="majorBidi" w:cstheme="majorBidi"/>
          <w:noProof/>
          <w:szCs w:val="24"/>
        </w:rPr>
        <w:t>,</w:t>
      </w:r>
      <w:r w:rsidR="000A7726" w:rsidRPr="00366F6E">
        <w:rPr>
          <w:rFonts w:asciiTheme="majorBidi" w:hAnsiTheme="majorBidi" w:cstheme="majorBidi"/>
          <w:noProof/>
          <w:szCs w:val="24"/>
        </w:rPr>
        <w:t xml:space="preserve"> set out in the Annex to </w:t>
      </w:r>
      <w:r w:rsidR="00BD2740">
        <w:rPr>
          <w:rFonts w:asciiTheme="majorBidi" w:hAnsiTheme="majorBidi" w:cstheme="majorBidi"/>
          <w:noProof/>
          <w:szCs w:val="24"/>
        </w:rPr>
        <w:t xml:space="preserve">this </w:t>
      </w:r>
      <w:r w:rsidR="000A7726" w:rsidRPr="00366F6E">
        <w:rPr>
          <w:rFonts w:asciiTheme="majorBidi" w:hAnsiTheme="majorBidi" w:cstheme="majorBidi"/>
          <w:noProof/>
          <w:szCs w:val="24"/>
        </w:rPr>
        <w:t>Decision, together with the broad guidelines for the economic policies of the Member States and of the Union</w:t>
      </w:r>
      <w:r w:rsidR="00E47CA4">
        <w:rPr>
          <w:rFonts w:asciiTheme="majorBidi" w:hAnsiTheme="majorBidi" w:cstheme="majorBidi"/>
          <w:noProof/>
          <w:szCs w:val="24"/>
        </w:rPr>
        <w:t>,</w:t>
      </w:r>
      <w:r w:rsidR="000A7726" w:rsidRPr="00366F6E">
        <w:rPr>
          <w:rFonts w:asciiTheme="majorBidi" w:hAnsiTheme="majorBidi" w:cstheme="majorBidi"/>
          <w:noProof/>
          <w:szCs w:val="24"/>
        </w:rPr>
        <w:t xml:space="preserve"> set out in Council Recommendation (EU)</w:t>
      </w:r>
      <w:r w:rsidR="000A7726">
        <w:rPr>
          <w:rFonts w:asciiTheme="majorBidi" w:hAnsiTheme="majorBidi" w:cstheme="majorBidi"/>
          <w:noProof/>
          <w:szCs w:val="24"/>
        </w:rPr>
        <w:t> </w:t>
      </w:r>
      <w:r w:rsidR="000A7726" w:rsidRPr="00366F6E">
        <w:rPr>
          <w:rFonts w:asciiTheme="majorBidi" w:hAnsiTheme="majorBidi" w:cstheme="majorBidi"/>
          <w:noProof/>
          <w:szCs w:val="24"/>
        </w:rPr>
        <w:t>2015/1184</w:t>
      </w:r>
      <w:r w:rsidR="000A7726">
        <w:rPr>
          <w:rFonts w:asciiTheme="majorBidi" w:hAnsiTheme="majorBidi" w:cstheme="majorBidi"/>
          <w:noProof/>
          <w:szCs w:val="24"/>
        </w:rPr>
        <w:t xml:space="preserve"> (</w:t>
      </w:r>
      <w:r w:rsidR="000A7726" w:rsidRPr="00C114EE">
        <w:rPr>
          <w:rStyle w:val="FootnoteReference"/>
          <w:noProof/>
        </w:rPr>
        <w:footnoteReference w:id="8"/>
      </w:r>
      <w:r w:rsidR="000A7726">
        <w:rPr>
          <w:rFonts w:asciiTheme="majorBidi" w:hAnsiTheme="majorBidi" w:cstheme="majorBidi"/>
          <w:noProof/>
          <w:szCs w:val="24"/>
        </w:rPr>
        <w:t>)</w:t>
      </w:r>
      <w:r w:rsidR="000A7726" w:rsidRPr="00366F6E">
        <w:rPr>
          <w:rFonts w:asciiTheme="majorBidi" w:hAnsiTheme="majorBidi" w:cstheme="majorBidi"/>
          <w:noProof/>
          <w:szCs w:val="24"/>
        </w:rPr>
        <w:t xml:space="preserve">, form the Integrated Guidelines. The Employment Guidelines are to guide policy implementation in the Member States and in the Union, reflecting the </w:t>
      </w:r>
      <w:r w:rsidR="000A7726" w:rsidRPr="00366F6E">
        <w:rPr>
          <w:noProof/>
        </w:rPr>
        <w:t>interdependence</w:t>
      </w:r>
      <w:r w:rsidR="000A7726" w:rsidRPr="00366F6E">
        <w:rPr>
          <w:rFonts w:asciiTheme="majorBidi" w:hAnsiTheme="majorBidi" w:cstheme="majorBidi"/>
          <w:noProof/>
          <w:szCs w:val="24"/>
        </w:rPr>
        <w:t xml:space="preserve"> between the Member States.</w:t>
      </w:r>
      <w:r w:rsidR="0031635C">
        <w:rPr>
          <w:rFonts w:asciiTheme="majorBidi" w:hAnsiTheme="majorBidi" w:cstheme="majorBidi"/>
          <w:noProof/>
          <w:szCs w:val="24"/>
        </w:rPr>
        <w:t xml:space="preserve"> </w:t>
      </w:r>
      <w:r w:rsidR="000A7726" w:rsidRPr="00366F6E">
        <w:rPr>
          <w:rFonts w:asciiTheme="majorBidi" w:hAnsiTheme="majorBidi" w:cstheme="majorBidi"/>
          <w:noProof/>
          <w:szCs w:val="24"/>
        </w:rPr>
        <w:t>The resulting set of coordinated Union and national policies constitute</w:t>
      </w:r>
      <w:r w:rsidR="000A7726">
        <w:rPr>
          <w:rFonts w:asciiTheme="majorBidi" w:hAnsiTheme="majorBidi" w:cstheme="majorBidi"/>
          <w:noProof/>
          <w:szCs w:val="24"/>
        </w:rPr>
        <w:t>s</w:t>
      </w:r>
      <w:r w:rsidR="000A7726" w:rsidRPr="00366F6E">
        <w:rPr>
          <w:rFonts w:asciiTheme="majorBidi" w:hAnsiTheme="majorBidi" w:cstheme="majorBidi"/>
          <w:noProof/>
          <w:szCs w:val="24"/>
        </w:rPr>
        <w:t xml:space="preserve"> an appropriate economic, employment and social policy mix</w:t>
      </w:r>
      <w:r w:rsidR="0043232A">
        <w:rPr>
          <w:rFonts w:asciiTheme="majorBidi" w:hAnsiTheme="majorBidi" w:cstheme="majorBidi"/>
          <w:noProof/>
          <w:szCs w:val="24"/>
        </w:rPr>
        <w:t>.</w:t>
      </w:r>
      <w:r w:rsidR="000A7726" w:rsidRPr="00366F6E">
        <w:rPr>
          <w:rFonts w:asciiTheme="majorBidi" w:hAnsiTheme="majorBidi" w:cstheme="majorBidi"/>
          <w:noProof/>
          <w:szCs w:val="24"/>
        </w:rPr>
        <w:t xml:space="preserve"> </w:t>
      </w:r>
      <w:r w:rsidR="00BD6AB5">
        <w:rPr>
          <w:rFonts w:asciiTheme="majorBidi" w:hAnsiTheme="majorBidi" w:cstheme="majorBidi"/>
          <w:noProof/>
          <w:szCs w:val="24"/>
        </w:rPr>
        <w:t>It</w:t>
      </w:r>
      <w:r w:rsidR="00204461">
        <w:rPr>
          <w:rFonts w:asciiTheme="majorBidi" w:hAnsiTheme="majorBidi" w:cstheme="majorBidi"/>
          <w:noProof/>
          <w:szCs w:val="24"/>
        </w:rPr>
        <w:t xml:space="preserve"> </w:t>
      </w:r>
      <w:r w:rsidR="000A7726" w:rsidRPr="00366F6E">
        <w:rPr>
          <w:rFonts w:asciiTheme="majorBidi" w:hAnsiTheme="majorBidi" w:cstheme="majorBidi"/>
          <w:noProof/>
          <w:szCs w:val="24"/>
        </w:rPr>
        <w:t>should achieve positive spill-over effects for labour markets and society at large, strengthen economic and social resilience</w:t>
      </w:r>
      <w:r w:rsidR="000A7726">
        <w:rPr>
          <w:rFonts w:asciiTheme="majorBidi" w:hAnsiTheme="majorBidi" w:cstheme="majorBidi"/>
          <w:noProof/>
          <w:szCs w:val="24"/>
        </w:rPr>
        <w:t>,</w:t>
      </w:r>
      <w:r w:rsidR="000A7726" w:rsidRPr="00F63762">
        <w:rPr>
          <w:rFonts w:asciiTheme="majorBidi" w:hAnsiTheme="majorBidi" w:cstheme="majorBidi"/>
          <w:noProof/>
          <w:szCs w:val="24"/>
        </w:rPr>
        <w:t xml:space="preserve"> </w:t>
      </w:r>
      <w:r w:rsidR="000A7726" w:rsidRPr="00366F6E">
        <w:rPr>
          <w:rFonts w:asciiTheme="majorBidi" w:hAnsiTheme="majorBidi" w:cstheme="majorBidi"/>
          <w:noProof/>
          <w:szCs w:val="24"/>
        </w:rPr>
        <w:t>and effectively respond to medium- and longer-term challenges</w:t>
      </w:r>
      <w:r w:rsidR="000A7726">
        <w:rPr>
          <w:rFonts w:asciiTheme="majorBidi" w:hAnsiTheme="majorBidi" w:cstheme="majorBidi"/>
          <w:noProof/>
          <w:szCs w:val="24"/>
        </w:rPr>
        <w:t>,</w:t>
      </w:r>
      <w:r w:rsidR="000A7726" w:rsidRPr="00366F6E">
        <w:rPr>
          <w:rFonts w:asciiTheme="majorBidi" w:hAnsiTheme="majorBidi" w:cstheme="majorBidi"/>
          <w:noProof/>
          <w:szCs w:val="24"/>
        </w:rPr>
        <w:t xml:space="preserve"> </w:t>
      </w:r>
      <w:r w:rsidR="000A7726">
        <w:rPr>
          <w:rFonts w:asciiTheme="majorBidi" w:hAnsiTheme="majorBidi" w:cstheme="majorBidi"/>
          <w:noProof/>
          <w:szCs w:val="24"/>
        </w:rPr>
        <w:t>including the need to strengthen competitiveness</w:t>
      </w:r>
      <w:r w:rsidR="00AD16A5">
        <w:rPr>
          <w:rFonts w:asciiTheme="majorBidi" w:hAnsiTheme="majorBidi" w:cstheme="majorBidi"/>
          <w:noProof/>
          <w:szCs w:val="24"/>
        </w:rPr>
        <w:t>, innovation and productivity</w:t>
      </w:r>
      <w:r w:rsidR="000A7726">
        <w:rPr>
          <w:rFonts w:asciiTheme="majorBidi" w:hAnsiTheme="majorBidi" w:cstheme="majorBidi"/>
          <w:noProof/>
          <w:szCs w:val="24"/>
        </w:rPr>
        <w:t xml:space="preserve"> </w:t>
      </w:r>
      <w:r w:rsidR="0043232A">
        <w:rPr>
          <w:rFonts w:asciiTheme="majorBidi" w:hAnsiTheme="majorBidi" w:cstheme="majorBidi"/>
          <w:noProof/>
          <w:szCs w:val="24"/>
        </w:rPr>
        <w:t>and</w:t>
      </w:r>
      <w:r w:rsidR="00DE5394">
        <w:rPr>
          <w:rFonts w:asciiTheme="majorBidi" w:hAnsiTheme="majorBidi" w:cstheme="majorBidi"/>
          <w:noProof/>
          <w:szCs w:val="24"/>
        </w:rPr>
        <w:t xml:space="preserve"> the Union’s strategic autonomy</w:t>
      </w:r>
      <w:r w:rsidR="00BD6AB5">
        <w:rPr>
          <w:rFonts w:asciiTheme="majorBidi" w:hAnsiTheme="majorBidi" w:cstheme="majorBidi"/>
          <w:noProof/>
          <w:szCs w:val="24"/>
        </w:rPr>
        <w:t>.</w:t>
      </w:r>
      <w:r w:rsidR="00DE5394">
        <w:rPr>
          <w:rFonts w:asciiTheme="majorBidi" w:hAnsiTheme="majorBidi" w:cstheme="majorBidi"/>
          <w:noProof/>
          <w:szCs w:val="24"/>
        </w:rPr>
        <w:t xml:space="preserve"> </w:t>
      </w:r>
      <w:r w:rsidR="00D064B2" w:rsidRPr="0CF0085B">
        <w:rPr>
          <w:rFonts w:asciiTheme="majorBidi" w:hAnsiTheme="majorBidi" w:cstheme="majorBidi"/>
          <w:noProof/>
        </w:rPr>
        <w:t>The economic and employment policies of the Union and the Member States should go hand in hand with the Union’s fair transition to a climate-neutral, environmentally sustainable and digital</w:t>
      </w:r>
      <w:r w:rsidR="00A558FB">
        <w:rPr>
          <w:rFonts w:asciiTheme="majorBidi" w:hAnsiTheme="majorBidi" w:cstheme="majorBidi"/>
          <w:noProof/>
        </w:rPr>
        <w:t>ly sovereign</w:t>
      </w:r>
      <w:r w:rsidR="00D064B2" w:rsidRPr="0CF0085B">
        <w:rPr>
          <w:rFonts w:asciiTheme="majorBidi" w:hAnsiTheme="majorBidi" w:cstheme="majorBidi"/>
          <w:noProof/>
        </w:rPr>
        <w:t xml:space="preserve"> economy</w:t>
      </w:r>
      <w:r w:rsidR="00D064B2">
        <w:rPr>
          <w:rFonts w:asciiTheme="majorBidi" w:hAnsiTheme="majorBidi" w:cstheme="majorBidi"/>
          <w:noProof/>
        </w:rPr>
        <w:t>.</w:t>
      </w:r>
    </w:p>
    <w:p w14:paraId="5682DE52" w14:textId="3CDD76C1" w:rsidR="000A7726" w:rsidRDefault="000A7726" w:rsidP="0031635C">
      <w:pPr>
        <w:pStyle w:val="ManualConsidrant"/>
        <w:rPr>
          <w:noProof/>
        </w:rPr>
      </w:pPr>
      <w:r w:rsidRPr="75DC9A71">
        <w:rPr>
          <w:noProof/>
        </w:rPr>
        <w:t>(</w:t>
      </w:r>
      <w:r w:rsidR="00882F92">
        <w:rPr>
          <w:noProof/>
        </w:rPr>
        <w:t>5</w:t>
      </w:r>
      <w:r w:rsidRPr="75DC9A71">
        <w:rPr>
          <w:noProof/>
        </w:rPr>
        <w:t>)</w:t>
      </w:r>
      <w:r w:rsidRPr="00767720">
        <w:rPr>
          <w:noProof/>
          <w:szCs w:val="24"/>
        </w:rPr>
        <w:tab/>
      </w:r>
      <w:r w:rsidRPr="3E7028AD">
        <w:rPr>
          <w:rFonts w:asciiTheme="majorBidi" w:hAnsiTheme="majorBidi" w:cstheme="majorBidi"/>
          <w:noProof/>
        </w:rPr>
        <w:t xml:space="preserve">The Employment Guidelines are consistent with the </w:t>
      </w:r>
      <w:r w:rsidR="00E06069">
        <w:rPr>
          <w:rFonts w:asciiTheme="majorBidi" w:hAnsiTheme="majorBidi" w:cstheme="majorBidi"/>
          <w:noProof/>
        </w:rPr>
        <w:t>revised</w:t>
      </w:r>
      <w:r w:rsidR="00E06069" w:rsidRPr="3E7028AD">
        <w:rPr>
          <w:rFonts w:asciiTheme="majorBidi" w:hAnsiTheme="majorBidi" w:cstheme="majorBidi"/>
          <w:noProof/>
        </w:rPr>
        <w:t xml:space="preserve"> </w:t>
      </w:r>
      <w:r w:rsidRPr="3E7028AD">
        <w:rPr>
          <w:rFonts w:asciiTheme="majorBidi" w:hAnsiTheme="majorBidi" w:cstheme="majorBidi"/>
          <w:noProof/>
        </w:rPr>
        <w:t>economic governance framework of the Union, which entered into force on 30 April 2024</w:t>
      </w:r>
      <w:r>
        <w:rPr>
          <w:rFonts w:asciiTheme="majorBidi" w:hAnsiTheme="majorBidi" w:cstheme="majorBidi"/>
          <w:noProof/>
        </w:rPr>
        <w:t xml:space="preserve"> (</w:t>
      </w:r>
      <w:r w:rsidRPr="00C114EE">
        <w:rPr>
          <w:rStyle w:val="FootnoteReference"/>
          <w:noProof/>
        </w:rPr>
        <w:footnoteReference w:id="9"/>
      </w:r>
      <w:r>
        <w:rPr>
          <w:rFonts w:asciiTheme="majorBidi" w:hAnsiTheme="majorBidi" w:cstheme="majorBidi"/>
          <w:noProof/>
        </w:rPr>
        <w:t>)</w:t>
      </w:r>
      <w:r w:rsidRPr="3E7028AD">
        <w:rPr>
          <w:rFonts w:asciiTheme="majorBidi" w:hAnsiTheme="majorBidi" w:cstheme="majorBidi"/>
          <w:noProof/>
        </w:rPr>
        <w:t>, and with existing Union legislation and Union initiatives</w:t>
      </w:r>
      <w:r w:rsidR="002913F6">
        <w:rPr>
          <w:rFonts w:asciiTheme="majorBidi" w:hAnsiTheme="majorBidi" w:cstheme="majorBidi"/>
          <w:noProof/>
        </w:rPr>
        <w:t>.</w:t>
      </w:r>
      <w:r w:rsidRPr="3E7028AD">
        <w:rPr>
          <w:rFonts w:asciiTheme="majorBidi" w:hAnsiTheme="majorBidi" w:cstheme="majorBidi"/>
          <w:noProof/>
        </w:rPr>
        <w:t xml:space="preserve"> </w:t>
      </w:r>
      <w:r w:rsidR="002913F6">
        <w:rPr>
          <w:rFonts w:asciiTheme="majorBidi" w:hAnsiTheme="majorBidi" w:cstheme="majorBidi"/>
          <w:noProof/>
        </w:rPr>
        <w:t xml:space="preserve">These </w:t>
      </w:r>
      <w:r w:rsidRPr="3E7028AD">
        <w:rPr>
          <w:rFonts w:asciiTheme="majorBidi" w:hAnsiTheme="majorBidi" w:cstheme="majorBidi"/>
          <w:noProof/>
        </w:rPr>
        <w:t>includ</w:t>
      </w:r>
      <w:r w:rsidR="002913F6">
        <w:rPr>
          <w:rFonts w:asciiTheme="majorBidi" w:hAnsiTheme="majorBidi" w:cstheme="majorBidi"/>
          <w:noProof/>
        </w:rPr>
        <w:t>e</w:t>
      </w:r>
      <w:r w:rsidR="002035AD">
        <w:rPr>
          <w:rFonts w:asciiTheme="majorBidi" w:hAnsiTheme="majorBidi" w:cstheme="majorBidi"/>
          <w:noProof/>
        </w:rPr>
        <w:t xml:space="preserve"> inter alia</w:t>
      </w:r>
      <w:r w:rsidRPr="3E7028AD">
        <w:rPr>
          <w:rFonts w:asciiTheme="majorBidi" w:hAnsiTheme="majorBidi" w:cstheme="majorBidi"/>
          <w:noProof/>
        </w:rPr>
        <w:t xml:space="preserve"> </w:t>
      </w:r>
      <w:r w:rsidR="0021401F">
        <w:rPr>
          <w:noProof/>
        </w:rPr>
        <w:t>the Commission Communication</w:t>
      </w:r>
      <w:r w:rsidR="00C342EC">
        <w:rPr>
          <w:noProof/>
        </w:rPr>
        <w:t>s</w:t>
      </w:r>
      <w:r w:rsidR="0021401F">
        <w:rPr>
          <w:noProof/>
        </w:rPr>
        <w:t xml:space="preserve"> </w:t>
      </w:r>
      <w:r>
        <w:rPr>
          <w:noProof/>
        </w:rPr>
        <w:t xml:space="preserve">on the Union of Skills, </w:t>
      </w:r>
      <w:r w:rsidR="002035AD">
        <w:rPr>
          <w:noProof/>
        </w:rPr>
        <w:t>of 5 March 2025</w:t>
      </w:r>
      <w:r w:rsidR="005333D3">
        <w:rPr>
          <w:noProof/>
        </w:rPr>
        <w:t xml:space="preserve"> (</w:t>
      </w:r>
      <w:r w:rsidR="00C342EC">
        <w:rPr>
          <w:rStyle w:val="FootnoteReference"/>
          <w:noProof/>
        </w:rPr>
        <w:footnoteReference w:id="10"/>
      </w:r>
      <w:r w:rsidR="005333D3">
        <w:rPr>
          <w:noProof/>
        </w:rPr>
        <w:t>)</w:t>
      </w:r>
      <w:r w:rsidR="00C342EC">
        <w:rPr>
          <w:noProof/>
        </w:rPr>
        <w:t>, and on the European Union’s Anti-Poverty Strategy: addressing and preventing poverty from childhood to old age</w:t>
      </w:r>
      <w:r w:rsidR="0021401F">
        <w:rPr>
          <w:noProof/>
        </w:rPr>
        <w:t>,</w:t>
      </w:r>
      <w:r w:rsidR="002035AD">
        <w:rPr>
          <w:noProof/>
        </w:rPr>
        <w:t xml:space="preserve"> </w:t>
      </w:r>
      <w:r w:rsidR="00C342EC">
        <w:rPr>
          <w:noProof/>
        </w:rPr>
        <w:t xml:space="preserve">of 6 May 2026, </w:t>
      </w:r>
      <w:r w:rsidR="00C342EC" w:rsidRPr="00A16C46">
        <w:rPr>
          <w:noProof/>
        </w:rPr>
        <w:t xml:space="preserve">and </w:t>
      </w:r>
      <w:r w:rsidR="0021401F" w:rsidRPr="00A16C46">
        <w:rPr>
          <w:noProof/>
        </w:rPr>
        <w:t xml:space="preserve">the Council </w:t>
      </w:r>
      <w:r w:rsidR="002035AD" w:rsidRPr="00A16C46">
        <w:rPr>
          <w:noProof/>
        </w:rPr>
        <w:t>Recommendation</w:t>
      </w:r>
      <w:r w:rsidR="0021401F" w:rsidRPr="00A16C46">
        <w:rPr>
          <w:noProof/>
        </w:rPr>
        <w:t xml:space="preserve"> on Human Capital in the European Union of </w:t>
      </w:r>
      <w:r w:rsidR="008655F7" w:rsidRPr="00A16C46">
        <w:rPr>
          <w:noProof/>
        </w:rPr>
        <w:t>9</w:t>
      </w:r>
      <w:r w:rsidR="0021401F" w:rsidRPr="00A16C46">
        <w:rPr>
          <w:noProof/>
        </w:rPr>
        <w:t xml:space="preserve"> March 2026</w:t>
      </w:r>
      <w:r w:rsidRPr="00A16C46">
        <w:rPr>
          <w:noProof/>
        </w:rPr>
        <w:t>.</w:t>
      </w:r>
    </w:p>
    <w:p w14:paraId="72ADC83C" w14:textId="340DDCBF" w:rsidR="00F8351A" w:rsidRDefault="000A7726" w:rsidP="000A7726">
      <w:pPr>
        <w:pStyle w:val="ManualConsidrant"/>
        <w:rPr>
          <w:rFonts w:asciiTheme="majorBidi" w:hAnsiTheme="majorBidi" w:cstheme="majorBidi"/>
          <w:noProof/>
        </w:rPr>
      </w:pPr>
      <w:r>
        <w:rPr>
          <w:noProof/>
        </w:rPr>
        <w:t>(</w:t>
      </w:r>
      <w:r w:rsidR="00882F92">
        <w:rPr>
          <w:noProof/>
        </w:rPr>
        <w:t>6</w:t>
      </w:r>
      <w:r>
        <w:rPr>
          <w:noProof/>
        </w:rPr>
        <w:t>)</w:t>
      </w:r>
      <w:r>
        <w:rPr>
          <w:noProof/>
        </w:rPr>
        <w:tab/>
      </w:r>
      <w:r w:rsidRPr="3E7028AD">
        <w:rPr>
          <w:rFonts w:asciiTheme="majorBidi" w:hAnsiTheme="majorBidi" w:cstheme="majorBidi"/>
          <w:noProof/>
        </w:rPr>
        <w:t xml:space="preserve">The European Pillar of Social </w:t>
      </w:r>
      <w:r>
        <w:rPr>
          <w:noProof/>
        </w:rPr>
        <w:t>Rights</w:t>
      </w:r>
      <w:r w:rsidRPr="3E7028AD">
        <w:rPr>
          <w:rFonts w:asciiTheme="majorBidi" w:hAnsiTheme="majorBidi" w:cstheme="majorBidi"/>
          <w:noProof/>
        </w:rPr>
        <w:t xml:space="preserve"> sets out twenty principles and rights to support well-functioning and fair labour markets and welfare systems</w:t>
      </w:r>
      <w:r w:rsidR="008068E7">
        <w:rPr>
          <w:rFonts w:asciiTheme="majorBidi" w:hAnsiTheme="majorBidi" w:cstheme="majorBidi"/>
          <w:noProof/>
        </w:rPr>
        <w:t>. They are</w:t>
      </w:r>
      <w:r w:rsidRPr="3E7028AD">
        <w:rPr>
          <w:rFonts w:asciiTheme="majorBidi" w:hAnsiTheme="majorBidi" w:cstheme="majorBidi"/>
          <w:noProof/>
        </w:rPr>
        <w:t xml:space="preserve"> structured around </w:t>
      </w:r>
      <w:r w:rsidR="007C37EA" w:rsidRPr="00B726BD">
        <w:rPr>
          <w:rFonts w:asciiTheme="majorBidi" w:hAnsiTheme="majorBidi" w:cstheme="majorBidi"/>
          <w:noProof/>
        </w:rPr>
        <w:t xml:space="preserve">equal opportunities and access to the labour market, fair working conditions, and social protection and inclusion. </w:t>
      </w:r>
      <w:r w:rsidRPr="3E7028AD">
        <w:rPr>
          <w:rFonts w:asciiTheme="majorBidi" w:hAnsiTheme="majorBidi" w:cstheme="majorBidi"/>
          <w:noProof/>
        </w:rPr>
        <w:t>Th</w:t>
      </w:r>
      <w:r w:rsidR="00F8351A">
        <w:rPr>
          <w:rFonts w:asciiTheme="majorBidi" w:hAnsiTheme="majorBidi" w:cstheme="majorBidi"/>
          <w:noProof/>
        </w:rPr>
        <w:t>e</w:t>
      </w:r>
      <w:r w:rsidRPr="3E7028AD">
        <w:rPr>
          <w:rFonts w:asciiTheme="majorBidi" w:hAnsiTheme="majorBidi" w:cstheme="majorBidi"/>
          <w:noProof/>
        </w:rPr>
        <w:t xml:space="preserve">se principles and rights give strategic direction to the Union. The European Pillar of Social Rights, with its accompanying Social Scoreboard, </w:t>
      </w:r>
      <w:r w:rsidR="00F8351A">
        <w:rPr>
          <w:rFonts w:asciiTheme="majorBidi" w:hAnsiTheme="majorBidi" w:cstheme="majorBidi"/>
          <w:noProof/>
        </w:rPr>
        <w:t xml:space="preserve">also </w:t>
      </w:r>
      <w:r w:rsidRPr="3E7028AD">
        <w:rPr>
          <w:rFonts w:asciiTheme="majorBidi" w:hAnsiTheme="majorBidi" w:cstheme="majorBidi"/>
          <w:noProof/>
        </w:rPr>
        <w:t>constitutes guidance to monitor the employment</w:t>
      </w:r>
      <w:r>
        <w:rPr>
          <w:rFonts w:asciiTheme="majorBidi" w:hAnsiTheme="majorBidi" w:cstheme="majorBidi"/>
          <w:noProof/>
        </w:rPr>
        <w:t>, skills</w:t>
      </w:r>
      <w:r w:rsidRPr="3E7028AD">
        <w:rPr>
          <w:rFonts w:asciiTheme="majorBidi" w:hAnsiTheme="majorBidi" w:cstheme="majorBidi"/>
          <w:noProof/>
        </w:rPr>
        <w:t xml:space="preserve"> and social performance of Member States </w:t>
      </w:r>
      <w:r w:rsidR="00F8351A">
        <w:rPr>
          <w:rFonts w:asciiTheme="majorBidi" w:hAnsiTheme="majorBidi" w:cstheme="majorBidi"/>
          <w:noProof/>
        </w:rPr>
        <w:t>and</w:t>
      </w:r>
      <w:r w:rsidRPr="3E7028AD">
        <w:rPr>
          <w:rFonts w:asciiTheme="majorBidi" w:hAnsiTheme="majorBidi" w:cstheme="majorBidi"/>
          <w:noProof/>
        </w:rPr>
        <w:t xml:space="preserve"> upward social convergence in the Union, in the </w:t>
      </w:r>
      <w:r w:rsidRPr="3E7028AD">
        <w:rPr>
          <w:rFonts w:asciiTheme="majorBidi" w:hAnsiTheme="majorBidi" w:cstheme="majorBidi"/>
          <w:noProof/>
        </w:rPr>
        <w:lastRenderedPageBreak/>
        <w:t>European Semester</w:t>
      </w:r>
      <w:r w:rsidR="00F8351A">
        <w:rPr>
          <w:rFonts w:asciiTheme="majorBidi" w:hAnsiTheme="majorBidi" w:cstheme="majorBidi"/>
          <w:noProof/>
        </w:rPr>
        <w:t xml:space="preserve">. </w:t>
      </w:r>
      <w:r w:rsidR="00884252">
        <w:rPr>
          <w:rFonts w:asciiTheme="majorBidi" w:hAnsiTheme="majorBidi" w:cstheme="majorBidi"/>
          <w:noProof/>
        </w:rPr>
        <w:t>The Pillar</w:t>
      </w:r>
      <w:r w:rsidRPr="3E7028AD">
        <w:rPr>
          <w:rFonts w:asciiTheme="majorBidi" w:hAnsiTheme="majorBidi" w:cstheme="majorBidi"/>
          <w:noProof/>
        </w:rPr>
        <w:t xml:space="preserve"> drive</w:t>
      </w:r>
      <w:r w:rsidR="00F8351A">
        <w:rPr>
          <w:rFonts w:asciiTheme="majorBidi" w:hAnsiTheme="majorBidi" w:cstheme="majorBidi"/>
          <w:noProof/>
        </w:rPr>
        <w:t>s</w:t>
      </w:r>
      <w:r w:rsidRPr="3E7028AD">
        <w:rPr>
          <w:rFonts w:asciiTheme="majorBidi" w:hAnsiTheme="majorBidi" w:cstheme="majorBidi"/>
          <w:noProof/>
        </w:rPr>
        <w:t xml:space="preserve"> reforms and investments at national, regional and local levels</w:t>
      </w:r>
      <w:r w:rsidR="00F8351A">
        <w:rPr>
          <w:rFonts w:asciiTheme="majorBidi" w:hAnsiTheme="majorBidi" w:cstheme="majorBidi"/>
          <w:noProof/>
        </w:rPr>
        <w:t>, allowing</w:t>
      </w:r>
      <w:r w:rsidRPr="3E7028AD">
        <w:rPr>
          <w:rFonts w:asciiTheme="majorBidi" w:hAnsiTheme="majorBidi" w:cstheme="majorBidi"/>
          <w:noProof/>
        </w:rPr>
        <w:t xml:space="preserve"> to reconcile the ‘social’ and the ‘market’ in today’s modern economy. </w:t>
      </w:r>
    </w:p>
    <w:p w14:paraId="79EB8648" w14:textId="0215F2A3" w:rsidR="00696433" w:rsidRDefault="00F8351A" w:rsidP="00696433">
      <w:pPr>
        <w:pStyle w:val="ManualConsidrant"/>
        <w:rPr>
          <w:rFonts w:asciiTheme="majorBidi" w:hAnsiTheme="majorBidi" w:cstheme="majorBidi"/>
          <w:noProof/>
        </w:rPr>
      </w:pPr>
      <w:r>
        <w:rPr>
          <w:rFonts w:asciiTheme="majorBidi" w:hAnsiTheme="majorBidi" w:cstheme="majorBidi"/>
          <w:noProof/>
        </w:rPr>
        <w:t>(</w:t>
      </w:r>
      <w:r w:rsidR="00882F92">
        <w:rPr>
          <w:rFonts w:asciiTheme="majorBidi" w:hAnsiTheme="majorBidi" w:cstheme="majorBidi"/>
          <w:noProof/>
        </w:rPr>
        <w:t>7</w:t>
      </w:r>
      <w:r>
        <w:rPr>
          <w:rFonts w:asciiTheme="majorBidi" w:hAnsiTheme="majorBidi" w:cstheme="majorBidi"/>
          <w:noProof/>
        </w:rPr>
        <w:t xml:space="preserve">)       </w:t>
      </w:r>
      <w:r w:rsidR="000A7726" w:rsidRPr="3E7028AD">
        <w:rPr>
          <w:rFonts w:asciiTheme="majorBidi" w:hAnsiTheme="majorBidi" w:cstheme="majorBidi"/>
          <w:noProof/>
        </w:rPr>
        <w:t xml:space="preserve">On 4 March 2021, the Commission put forward an </w:t>
      </w:r>
      <w:bookmarkStart w:id="2" w:name="_Hlk131524086"/>
      <w:r w:rsidR="000A7726" w:rsidRPr="3E7028AD">
        <w:rPr>
          <w:rFonts w:asciiTheme="majorBidi" w:hAnsiTheme="majorBidi" w:cstheme="majorBidi"/>
          <w:noProof/>
        </w:rPr>
        <w:t>Action Plan for the implementation of the European Pillar of Social Rights</w:t>
      </w:r>
      <w:r w:rsidR="00884252">
        <w:rPr>
          <w:rFonts w:asciiTheme="majorBidi" w:hAnsiTheme="majorBidi" w:cstheme="majorBidi"/>
          <w:noProof/>
        </w:rPr>
        <w:t>.</w:t>
      </w:r>
      <w:r w:rsidR="000A7726" w:rsidRPr="3E7028AD">
        <w:rPr>
          <w:rFonts w:asciiTheme="majorBidi" w:hAnsiTheme="majorBidi" w:cstheme="majorBidi"/>
          <w:noProof/>
        </w:rPr>
        <w:t xml:space="preserve"> </w:t>
      </w:r>
      <w:r w:rsidR="00884252">
        <w:rPr>
          <w:rFonts w:asciiTheme="majorBidi" w:hAnsiTheme="majorBidi" w:cstheme="majorBidi"/>
          <w:noProof/>
        </w:rPr>
        <w:t xml:space="preserve">This </w:t>
      </w:r>
      <w:r w:rsidR="000A7726" w:rsidRPr="3E7028AD">
        <w:rPr>
          <w:rFonts w:asciiTheme="majorBidi" w:hAnsiTheme="majorBidi" w:cstheme="majorBidi"/>
          <w:noProof/>
        </w:rPr>
        <w:t>includ</w:t>
      </w:r>
      <w:r w:rsidR="00884252">
        <w:rPr>
          <w:rFonts w:asciiTheme="majorBidi" w:hAnsiTheme="majorBidi" w:cstheme="majorBidi"/>
          <w:noProof/>
        </w:rPr>
        <w:t>ed</w:t>
      </w:r>
      <w:r w:rsidR="000A7726" w:rsidRPr="3E7028AD">
        <w:rPr>
          <w:rFonts w:asciiTheme="majorBidi" w:hAnsiTheme="majorBidi" w:cstheme="majorBidi"/>
          <w:noProof/>
        </w:rPr>
        <w:t xml:space="preserve"> ambitious yet realistic Union headline targets for 2030 on employment (at least 78% of the population aged 20-64 should be in employment), skills (at least 60% of all adults should participate in training every year) and poverty reduction (at least 15 million fewer people should be at risk of poverty or social exclusion, including 5 million children) (the ‘Union headline targets for 2030’)</w:t>
      </w:r>
      <w:r w:rsidR="008068E7">
        <w:rPr>
          <w:rFonts w:asciiTheme="majorBidi" w:hAnsiTheme="majorBidi" w:cstheme="majorBidi"/>
          <w:noProof/>
        </w:rPr>
        <w:t>. It also included</w:t>
      </w:r>
      <w:r w:rsidR="000A7726" w:rsidRPr="3E7028AD">
        <w:rPr>
          <w:rFonts w:asciiTheme="majorBidi" w:hAnsiTheme="majorBidi" w:cstheme="majorBidi"/>
          <w:noProof/>
        </w:rPr>
        <w:t xml:space="preserve"> complementary sub-targets</w:t>
      </w:r>
      <w:bookmarkEnd w:id="2"/>
      <w:r w:rsidR="000A7726" w:rsidRPr="3E7028AD">
        <w:rPr>
          <w:rFonts w:asciiTheme="majorBidi" w:hAnsiTheme="majorBidi" w:cstheme="majorBidi"/>
          <w:noProof/>
        </w:rPr>
        <w:t>, as well as a revised Social Scoreboard.</w:t>
      </w:r>
      <w:r w:rsidR="000A7726">
        <w:rPr>
          <w:rFonts w:asciiTheme="majorBidi" w:hAnsiTheme="majorBidi" w:cstheme="majorBidi"/>
          <w:noProof/>
        </w:rPr>
        <w:t xml:space="preserve"> </w:t>
      </w:r>
      <w:r w:rsidR="000A7726" w:rsidRPr="3E7028AD">
        <w:rPr>
          <w:rFonts w:asciiTheme="majorBidi" w:hAnsiTheme="majorBidi" w:cstheme="majorBidi"/>
          <w:noProof/>
        </w:rPr>
        <w:t xml:space="preserve">The Union headline targets for 2030 were welcomed by the Heads of State or Government at the Porto Social Summit </w:t>
      </w:r>
      <w:r w:rsidR="00884252">
        <w:rPr>
          <w:rFonts w:asciiTheme="majorBidi" w:hAnsiTheme="majorBidi" w:cstheme="majorBidi"/>
          <w:noProof/>
        </w:rPr>
        <w:t xml:space="preserve">of May 2021 </w:t>
      </w:r>
      <w:r w:rsidR="000A7726" w:rsidRPr="3E7028AD">
        <w:rPr>
          <w:rFonts w:asciiTheme="majorBidi" w:hAnsiTheme="majorBidi" w:cstheme="majorBidi"/>
          <w:noProof/>
        </w:rPr>
        <w:t xml:space="preserve">and by the June 2021 European Council. They </w:t>
      </w:r>
      <w:r w:rsidR="00884252">
        <w:rPr>
          <w:rFonts w:asciiTheme="majorBidi" w:hAnsiTheme="majorBidi" w:cstheme="majorBidi"/>
          <w:noProof/>
        </w:rPr>
        <w:t>support</w:t>
      </w:r>
      <w:r w:rsidR="000A7726" w:rsidRPr="3E7028AD">
        <w:rPr>
          <w:rFonts w:asciiTheme="majorBidi" w:hAnsiTheme="majorBidi" w:cstheme="majorBidi"/>
          <w:noProof/>
        </w:rPr>
        <w:t xml:space="preserve">, together with the Social Scoreboard, </w:t>
      </w:r>
      <w:r w:rsidR="00884252">
        <w:rPr>
          <w:rFonts w:asciiTheme="majorBidi" w:hAnsiTheme="majorBidi" w:cstheme="majorBidi"/>
          <w:noProof/>
        </w:rPr>
        <w:t>the</w:t>
      </w:r>
      <w:r w:rsidR="000A7726" w:rsidRPr="3E7028AD">
        <w:rPr>
          <w:rFonts w:asciiTheme="majorBidi" w:hAnsiTheme="majorBidi" w:cstheme="majorBidi"/>
          <w:noProof/>
        </w:rPr>
        <w:t xml:space="preserve"> </w:t>
      </w:r>
      <w:r w:rsidR="000A7726">
        <w:rPr>
          <w:noProof/>
        </w:rPr>
        <w:t>monitoring</w:t>
      </w:r>
      <w:r w:rsidR="000A7726" w:rsidRPr="3E7028AD">
        <w:rPr>
          <w:rFonts w:asciiTheme="majorBidi" w:hAnsiTheme="majorBidi" w:cstheme="majorBidi"/>
          <w:noProof/>
        </w:rPr>
        <w:t xml:space="preserve"> </w:t>
      </w:r>
      <w:r w:rsidR="00884252">
        <w:rPr>
          <w:rFonts w:asciiTheme="majorBidi" w:hAnsiTheme="majorBidi" w:cstheme="majorBidi"/>
          <w:noProof/>
        </w:rPr>
        <w:t xml:space="preserve">of </w:t>
      </w:r>
      <w:r w:rsidR="000A7726" w:rsidRPr="3E7028AD">
        <w:rPr>
          <w:rFonts w:asciiTheme="majorBidi" w:hAnsiTheme="majorBidi" w:cstheme="majorBidi"/>
          <w:noProof/>
        </w:rPr>
        <w:t xml:space="preserve">progress towards the implementation of the principles of the European Pillar of Social Rights in the European Semester. </w:t>
      </w:r>
      <w:r w:rsidR="00884252">
        <w:rPr>
          <w:rFonts w:asciiTheme="majorBidi" w:hAnsiTheme="majorBidi" w:cstheme="majorBidi"/>
          <w:noProof/>
        </w:rPr>
        <w:t>Against this background</w:t>
      </w:r>
      <w:r w:rsidR="000A7726" w:rsidRPr="3E7028AD">
        <w:rPr>
          <w:rFonts w:asciiTheme="majorBidi" w:hAnsiTheme="majorBidi" w:cstheme="majorBidi"/>
          <w:noProof/>
        </w:rPr>
        <w:t xml:space="preserve">, Member States </w:t>
      </w:r>
      <w:r w:rsidR="008068E7">
        <w:rPr>
          <w:rFonts w:asciiTheme="majorBidi" w:hAnsiTheme="majorBidi" w:cstheme="majorBidi"/>
          <w:noProof/>
        </w:rPr>
        <w:t xml:space="preserve">also </w:t>
      </w:r>
      <w:r w:rsidR="000A7726" w:rsidRPr="3E7028AD">
        <w:rPr>
          <w:rFonts w:asciiTheme="majorBidi" w:hAnsiTheme="majorBidi" w:cstheme="majorBidi"/>
          <w:noProof/>
        </w:rPr>
        <w:t>set ambitious national targets which,</w:t>
      </w:r>
      <w:r w:rsidR="000225F2">
        <w:rPr>
          <w:rFonts w:asciiTheme="majorBidi" w:hAnsiTheme="majorBidi" w:cstheme="majorBidi"/>
          <w:noProof/>
        </w:rPr>
        <w:t xml:space="preserve"> </w:t>
      </w:r>
      <w:r w:rsidR="000225F2" w:rsidRPr="3E7028AD">
        <w:rPr>
          <w:rFonts w:asciiTheme="majorBidi" w:hAnsiTheme="majorBidi" w:cstheme="majorBidi"/>
          <w:noProof/>
        </w:rPr>
        <w:t xml:space="preserve">taking due account </w:t>
      </w:r>
      <w:r w:rsidR="004D2F9D">
        <w:rPr>
          <w:rFonts w:asciiTheme="majorBidi" w:hAnsiTheme="majorBidi" w:cstheme="majorBidi"/>
          <w:noProof/>
        </w:rPr>
        <w:t xml:space="preserve">of </w:t>
      </w:r>
      <w:r w:rsidR="000225F2" w:rsidRPr="3E7028AD">
        <w:rPr>
          <w:rFonts w:asciiTheme="majorBidi" w:hAnsiTheme="majorBidi" w:cstheme="majorBidi"/>
          <w:noProof/>
        </w:rPr>
        <w:t>the</w:t>
      </w:r>
      <w:r w:rsidR="000A7726" w:rsidRPr="3E7028AD">
        <w:rPr>
          <w:rFonts w:asciiTheme="majorBidi" w:hAnsiTheme="majorBidi" w:cstheme="majorBidi"/>
          <w:noProof/>
        </w:rPr>
        <w:t xml:space="preserve"> starting position of each Member State, constitute an adequate contribution to the achievement of the </w:t>
      </w:r>
      <w:r w:rsidR="00884252">
        <w:rPr>
          <w:rFonts w:asciiTheme="majorBidi" w:hAnsiTheme="majorBidi" w:cstheme="majorBidi"/>
          <w:noProof/>
        </w:rPr>
        <w:t xml:space="preserve">three </w:t>
      </w:r>
      <w:r w:rsidR="000A7726" w:rsidRPr="3E7028AD">
        <w:rPr>
          <w:rFonts w:asciiTheme="majorBidi" w:hAnsiTheme="majorBidi" w:cstheme="majorBidi"/>
          <w:noProof/>
        </w:rPr>
        <w:t xml:space="preserve">Union headline targets for 2030. </w:t>
      </w:r>
    </w:p>
    <w:p w14:paraId="73D68E64" w14:textId="6070EC0A" w:rsidR="000A7726" w:rsidRPr="00D5186D" w:rsidRDefault="008068E7" w:rsidP="008068E7">
      <w:pPr>
        <w:pStyle w:val="ManualConsidrant"/>
        <w:rPr>
          <w:rFonts w:asciiTheme="majorBidi" w:hAnsiTheme="majorBidi" w:cstheme="majorBidi"/>
          <w:noProof/>
          <w:szCs w:val="24"/>
          <w:lang w:val="en-IE"/>
        </w:rPr>
      </w:pPr>
      <w:r>
        <w:rPr>
          <w:rFonts w:asciiTheme="majorBidi" w:hAnsiTheme="majorBidi" w:cstheme="majorBidi"/>
          <w:noProof/>
        </w:rPr>
        <w:t>(</w:t>
      </w:r>
      <w:r w:rsidR="00882F92">
        <w:rPr>
          <w:rFonts w:asciiTheme="majorBidi" w:hAnsiTheme="majorBidi" w:cstheme="majorBidi"/>
          <w:noProof/>
        </w:rPr>
        <w:t>8</w:t>
      </w:r>
      <w:r>
        <w:rPr>
          <w:rFonts w:asciiTheme="majorBidi" w:hAnsiTheme="majorBidi" w:cstheme="majorBidi"/>
          <w:noProof/>
        </w:rPr>
        <w:t xml:space="preserve">) </w:t>
      </w:r>
      <w:r>
        <w:rPr>
          <w:rFonts w:asciiTheme="majorBidi" w:hAnsiTheme="majorBidi" w:cstheme="majorBidi"/>
          <w:noProof/>
        </w:rPr>
        <w:tab/>
      </w:r>
      <w:r w:rsidR="000A7726" w:rsidDel="00696433">
        <w:rPr>
          <w:rFonts w:asciiTheme="majorBidi" w:hAnsiTheme="majorBidi" w:cstheme="majorBidi"/>
          <w:noProof/>
        </w:rPr>
        <w:t>T</w:t>
      </w:r>
      <w:r w:rsidR="000A7726" w:rsidRPr="3E7028AD" w:rsidDel="00696433">
        <w:rPr>
          <w:rFonts w:asciiTheme="majorBidi" w:hAnsiTheme="majorBidi" w:cstheme="majorBidi"/>
          <w:noProof/>
        </w:rPr>
        <w:t xml:space="preserve">he implementation of the European Pillar of Social Rights and </w:t>
      </w:r>
      <w:r w:rsidR="000A7726" w:rsidDel="00696433">
        <w:rPr>
          <w:rFonts w:asciiTheme="majorBidi" w:hAnsiTheme="majorBidi" w:cstheme="majorBidi"/>
          <w:noProof/>
        </w:rPr>
        <w:t xml:space="preserve">progress on </w:t>
      </w:r>
      <w:r w:rsidR="000A7726" w:rsidRPr="3E7028AD" w:rsidDel="00696433">
        <w:rPr>
          <w:rFonts w:asciiTheme="majorBidi" w:hAnsiTheme="majorBidi" w:cstheme="majorBidi"/>
          <w:noProof/>
        </w:rPr>
        <w:t xml:space="preserve">the Union </w:t>
      </w:r>
      <w:r w:rsidR="000A7726" w:rsidDel="00696433">
        <w:rPr>
          <w:rFonts w:asciiTheme="majorBidi" w:hAnsiTheme="majorBidi" w:cstheme="majorBidi"/>
          <w:noProof/>
        </w:rPr>
        <w:t xml:space="preserve">and national </w:t>
      </w:r>
      <w:r w:rsidR="00E269F0" w:rsidRPr="3E7028AD" w:rsidDel="00696433">
        <w:rPr>
          <w:rFonts w:asciiTheme="majorBidi" w:hAnsiTheme="majorBidi" w:cstheme="majorBidi"/>
          <w:noProof/>
        </w:rPr>
        <w:t xml:space="preserve">headline </w:t>
      </w:r>
      <w:r w:rsidR="000A7726" w:rsidRPr="3E7028AD" w:rsidDel="00696433">
        <w:rPr>
          <w:rFonts w:asciiTheme="majorBidi" w:hAnsiTheme="majorBidi" w:cstheme="majorBidi"/>
          <w:noProof/>
        </w:rPr>
        <w:t>targets for</w:t>
      </w:r>
      <w:r w:rsidR="000A7726" w:rsidDel="00696433">
        <w:rPr>
          <w:rFonts w:asciiTheme="majorBidi" w:hAnsiTheme="majorBidi" w:cstheme="majorBidi"/>
          <w:noProof/>
        </w:rPr>
        <w:t xml:space="preserve"> </w:t>
      </w:r>
      <w:r w:rsidR="000A7726" w:rsidRPr="3E7028AD" w:rsidDel="00696433">
        <w:rPr>
          <w:rFonts w:asciiTheme="majorBidi" w:hAnsiTheme="majorBidi" w:cstheme="majorBidi"/>
          <w:noProof/>
        </w:rPr>
        <w:t xml:space="preserve">2030 </w:t>
      </w:r>
      <w:r w:rsidR="000A7726" w:rsidRPr="00366F6E" w:rsidDel="00696433">
        <w:rPr>
          <w:rFonts w:asciiTheme="majorBidi" w:hAnsiTheme="majorBidi" w:cstheme="majorBidi"/>
          <w:noProof/>
          <w:szCs w:val="24"/>
        </w:rPr>
        <w:t>is</w:t>
      </w:r>
      <w:r w:rsidR="000A7726" w:rsidRPr="3E7028AD" w:rsidDel="00696433">
        <w:rPr>
          <w:rFonts w:asciiTheme="majorBidi" w:hAnsiTheme="majorBidi" w:cstheme="majorBidi"/>
          <w:noProof/>
        </w:rPr>
        <w:t xml:space="preserve"> monitored in the Joint Employment Report </w:t>
      </w:r>
      <w:r w:rsidR="00220A76">
        <w:rPr>
          <w:rFonts w:asciiTheme="majorBidi" w:hAnsiTheme="majorBidi" w:cstheme="majorBidi"/>
          <w:noProof/>
        </w:rPr>
        <w:t xml:space="preserve">which was </w:t>
      </w:r>
      <w:r w:rsidR="000A7726" w:rsidRPr="3E7028AD" w:rsidDel="00696433">
        <w:rPr>
          <w:rFonts w:asciiTheme="majorBidi" w:hAnsiTheme="majorBidi" w:cstheme="majorBidi"/>
          <w:noProof/>
        </w:rPr>
        <w:t xml:space="preserve">adopted by the Council </w:t>
      </w:r>
      <w:r w:rsidR="000A7726" w:rsidDel="00696433">
        <w:rPr>
          <w:rFonts w:asciiTheme="majorBidi" w:hAnsiTheme="majorBidi" w:cstheme="majorBidi"/>
          <w:noProof/>
        </w:rPr>
        <w:t>in</w:t>
      </w:r>
      <w:r w:rsidR="000A7726" w:rsidRPr="3E7028AD" w:rsidDel="00696433">
        <w:rPr>
          <w:rFonts w:asciiTheme="majorBidi" w:hAnsiTheme="majorBidi" w:cstheme="majorBidi"/>
          <w:noProof/>
        </w:rPr>
        <w:t> March 202</w:t>
      </w:r>
      <w:r>
        <w:rPr>
          <w:rFonts w:asciiTheme="majorBidi" w:hAnsiTheme="majorBidi" w:cstheme="majorBidi"/>
          <w:noProof/>
        </w:rPr>
        <w:t>6</w:t>
      </w:r>
      <w:r w:rsidR="000A7726" w:rsidRPr="3E7028AD" w:rsidDel="00696433">
        <w:rPr>
          <w:rFonts w:asciiTheme="majorBidi" w:hAnsiTheme="majorBidi" w:cstheme="majorBidi"/>
          <w:noProof/>
        </w:rPr>
        <w:t xml:space="preserve"> </w:t>
      </w:r>
      <w:r w:rsidR="000A7726" w:rsidRPr="0072679E" w:rsidDel="00696433">
        <w:rPr>
          <w:rFonts w:asciiTheme="majorBidi" w:hAnsiTheme="majorBidi" w:cstheme="majorBidi"/>
          <w:noProof/>
        </w:rPr>
        <w:t xml:space="preserve">and </w:t>
      </w:r>
      <w:r w:rsidR="00AA21C4">
        <w:rPr>
          <w:rFonts w:asciiTheme="majorBidi" w:hAnsiTheme="majorBidi" w:cstheme="majorBidi"/>
          <w:noProof/>
        </w:rPr>
        <w:t xml:space="preserve">is </w:t>
      </w:r>
      <w:r w:rsidR="000A7726" w:rsidRPr="0072679E" w:rsidDel="00696433">
        <w:rPr>
          <w:rFonts w:asciiTheme="majorBidi" w:hAnsiTheme="majorBidi" w:cstheme="majorBidi"/>
          <w:noProof/>
        </w:rPr>
        <w:t xml:space="preserve">integrated into the monitoring tools for the European Semester. </w:t>
      </w:r>
      <w:r w:rsidR="00AA21C4">
        <w:rPr>
          <w:rFonts w:asciiTheme="majorBidi" w:hAnsiTheme="majorBidi" w:cstheme="majorBidi"/>
          <w:noProof/>
        </w:rPr>
        <w:t>T</w:t>
      </w:r>
      <w:r w:rsidR="000A7726" w:rsidRPr="0072679E" w:rsidDel="00696433">
        <w:rPr>
          <w:rFonts w:asciiTheme="majorBidi" w:hAnsiTheme="majorBidi" w:cstheme="majorBidi"/>
          <w:noProof/>
        </w:rPr>
        <w:t>he Joint Employment Report contains a ‘first-stage country analysis’ on potential risks to upward social convergence in line with the Social Convergence Framework</w:t>
      </w:r>
      <w:r>
        <w:rPr>
          <w:rFonts w:asciiTheme="majorBidi" w:hAnsiTheme="majorBidi" w:cstheme="majorBidi"/>
          <w:noProof/>
        </w:rPr>
        <w:t>.</w:t>
      </w:r>
      <w:r w:rsidR="000A7726" w:rsidRPr="0072679E" w:rsidDel="00696433">
        <w:rPr>
          <w:rFonts w:asciiTheme="majorBidi" w:hAnsiTheme="majorBidi" w:cstheme="majorBidi"/>
          <w:noProof/>
        </w:rPr>
        <w:t xml:space="preserve"> </w:t>
      </w:r>
      <w:r>
        <w:rPr>
          <w:rFonts w:asciiTheme="majorBidi" w:hAnsiTheme="majorBidi" w:cstheme="majorBidi"/>
          <w:noProof/>
        </w:rPr>
        <w:t>T</w:t>
      </w:r>
      <w:r w:rsidR="000A7726" w:rsidRPr="0072679E" w:rsidDel="00696433">
        <w:rPr>
          <w:rFonts w:asciiTheme="majorBidi" w:hAnsiTheme="majorBidi" w:cstheme="majorBidi"/>
          <w:noProof/>
        </w:rPr>
        <w:t>h</w:t>
      </w:r>
      <w:r>
        <w:rPr>
          <w:rFonts w:asciiTheme="majorBidi" w:hAnsiTheme="majorBidi" w:cstheme="majorBidi"/>
          <w:noProof/>
        </w:rPr>
        <w:t>e latter</w:t>
      </w:r>
      <w:r w:rsidR="000A7726" w:rsidRPr="0072679E" w:rsidDel="00696433">
        <w:rPr>
          <w:rFonts w:asciiTheme="majorBidi" w:hAnsiTheme="majorBidi" w:cstheme="majorBidi"/>
          <w:noProof/>
        </w:rPr>
        <w:t xml:space="preserve"> identifies Member States which experience potential risks to be examined in a deeper ‘second-stage analysis’. </w:t>
      </w:r>
    </w:p>
    <w:p w14:paraId="4051069F" w14:textId="4E3CEBCC" w:rsidR="00126A90" w:rsidRDefault="000A7726" w:rsidP="000A7726">
      <w:pPr>
        <w:pStyle w:val="ManualConsidrant"/>
        <w:rPr>
          <w:rFonts w:asciiTheme="majorBidi" w:hAnsiTheme="majorBidi" w:cstheme="majorBidi"/>
          <w:noProof/>
        </w:rPr>
      </w:pPr>
      <w:r w:rsidRPr="009B5893">
        <w:rPr>
          <w:noProof/>
        </w:rPr>
        <w:t>(</w:t>
      </w:r>
      <w:r w:rsidR="00882F92">
        <w:rPr>
          <w:noProof/>
        </w:rPr>
        <w:t>9</w:t>
      </w:r>
      <w:r w:rsidRPr="009B5893">
        <w:rPr>
          <w:noProof/>
        </w:rPr>
        <w:t>)</w:t>
      </w:r>
      <w:r w:rsidRPr="009B5893">
        <w:rPr>
          <w:noProof/>
        </w:rPr>
        <w:tab/>
      </w:r>
      <w:r w:rsidR="0025197F" w:rsidRPr="488E1BE8">
        <w:rPr>
          <w:rFonts w:asciiTheme="majorBidi" w:hAnsiTheme="majorBidi" w:cstheme="majorBidi"/>
          <w:noProof/>
        </w:rPr>
        <w:t xml:space="preserve">The Integrated Guidelines serve as a basis for the country-specific recommendations </w:t>
      </w:r>
      <w:r w:rsidR="00116E0F">
        <w:rPr>
          <w:rFonts w:asciiTheme="majorBidi" w:hAnsiTheme="majorBidi" w:cstheme="majorBidi"/>
          <w:noProof/>
        </w:rPr>
        <w:t>addressed by</w:t>
      </w:r>
      <w:r w:rsidR="00116E0F" w:rsidRPr="488E1BE8">
        <w:rPr>
          <w:rFonts w:asciiTheme="majorBidi" w:hAnsiTheme="majorBidi" w:cstheme="majorBidi"/>
          <w:noProof/>
        </w:rPr>
        <w:t xml:space="preserve"> </w:t>
      </w:r>
      <w:r w:rsidR="0025197F" w:rsidRPr="488E1BE8">
        <w:rPr>
          <w:rFonts w:asciiTheme="majorBidi" w:hAnsiTheme="majorBidi" w:cstheme="majorBidi"/>
          <w:noProof/>
        </w:rPr>
        <w:t>the Council to Member States</w:t>
      </w:r>
      <w:r w:rsidR="00C5603E">
        <w:rPr>
          <w:rFonts w:asciiTheme="majorBidi" w:hAnsiTheme="majorBidi" w:cstheme="majorBidi"/>
          <w:noProof/>
        </w:rPr>
        <w:t xml:space="preserve"> </w:t>
      </w:r>
      <w:r w:rsidR="00481AE9">
        <w:rPr>
          <w:rFonts w:asciiTheme="majorBidi" w:hAnsiTheme="majorBidi" w:cstheme="majorBidi"/>
          <w:noProof/>
        </w:rPr>
        <w:t xml:space="preserve">under </w:t>
      </w:r>
      <w:r w:rsidR="00C5603E">
        <w:rPr>
          <w:rFonts w:asciiTheme="majorBidi" w:hAnsiTheme="majorBidi" w:cstheme="majorBidi"/>
          <w:noProof/>
        </w:rPr>
        <w:t>the European Semester</w:t>
      </w:r>
      <w:r w:rsidR="0025197F" w:rsidRPr="0025197F">
        <w:rPr>
          <w:rFonts w:asciiTheme="majorBidi" w:hAnsiTheme="majorBidi" w:cstheme="majorBidi"/>
          <w:noProof/>
          <w:lang w:val="en-IE"/>
        </w:rPr>
        <w:t>.</w:t>
      </w:r>
      <w:r w:rsidRPr="488E1BE8">
        <w:rPr>
          <w:rFonts w:asciiTheme="majorBidi" w:hAnsiTheme="majorBidi" w:cstheme="majorBidi"/>
          <w:noProof/>
        </w:rPr>
        <w:t xml:space="preserve"> </w:t>
      </w:r>
      <w:r w:rsidR="00FD07D1" w:rsidRPr="0050187A">
        <w:rPr>
          <w:rFonts w:asciiTheme="majorBidi" w:hAnsiTheme="majorBidi" w:cstheme="majorBidi"/>
          <w:noProof/>
        </w:rPr>
        <w:t>While the Integrated Guidelines are addressed to Member States and the Union, they should be implemented in partnership with all national, regional and local authorities, closely involving parliaments, as well as social partners and representatives of civil society.</w:t>
      </w:r>
      <w:r w:rsidR="00893F9E">
        <w:rPr>
          <w:rFonts w:asciiTheme="majorBidi" w:hAnsiTheme="majorBidi" w:cstheme="majorBidi"/>
          <w:noProof/>
        </w:rPr>
        <w:t xml:space="preserve"> </w:t>
      </w:r>
      <w:r w:rsidR="00C5603E">
        <w:rPr>
          <w:rFonts w:asciiTheme="majorBidi" w:hAnsiTheme="majorBidi" w:cstheme="majorBidi"/>
          <w:noProof/>
        </w:rPr>
        <w:t>L</w:t>
      </w:r>
      <w:r w:rsidR="00893F9E" w:rsidRPr="02FBFF91">
        <w:rPr>
          <w:rFonts w:asciiTheme="majorBidi" w:hAnsiTheme="majorBidi" w:cstheme="majorBidi"/>
          <w:noProof/>
        </w:rPr>
        <w:t>abour market</w:t>
      </w:r>
      <w:r w:rsidR="00893F9E">
        <w:rPr>
          <w:rFonts w:asciiTheme="majorBidi" w:hAnsiTheme="majorBidi" w:cstheme="majorBidi"/>
          <w:noProof/>
        </w:rPr>
        <w:t xml:space="preserve"> and social reforms</w:t>
      </w:r>
      <w:r w:rsidR="00893F9E" w:rsidRPr="02FBFF91">
        <w:rPr>
          <w:rFonts w:asciiTheme="majorBidi" w:hAnsiTheme="majorBidi" w:cstheme="majorBidi"/>
          <w:noProof/>
        </w:rPr>
        <w:t xml:space="preserve"> should observe national practices of social dialogue and collective bargaining, as well as the autonomy of social partners</w:t>
      </w:r>
      <w:r w:rsidR="00893F9E">
        <w:rPr>
          <w:rFonts w:asciiTheme="majorBidi" w:hAnsiTheme="majorBidi" w:cstheme="majorBidi"/>
          <w:noProof/>
        </w:rPr>
        <w:t>.</w:t>
      </w:r>
      <w:r w:rsidR="00893F9E" w:rsidRPr="02FBFF91">
        <w:rPr>
          <w:rFonts w:asciiTheme="majorBidi" w:hAnsiTheme="majorBidi" w:cstheme="majorBidi"/>
          <w:noProof/>
        </w:rPr>
        <w:t xml:space="preserve"> The importance of social dialogue in tackling challenges in the world of work was reaffirmed at the 2024 Val Duchesse Summit</w:t>
      </w:r>
      <w:r w:rsidR="00893F9E" w:rsidRPr="169F1CA6">
        <w:rPr>
          <w:rFonts w:asciiTheme="majorBidi" w:hAnsiTheme="majorBidi" w:cstheme="majorBidi"/>
          <w:noProof/>
        </w:rPr>
        <w:t xml:space="preserve"> </w:t>
      </w:r>
      <w:r w:rsidR="00893F9E" w:rsidRPr="4A271D7D">
        <w:rPr>
          <w:rFonts w:eastAsia="Times New Roman"/>
          <w:noProof/>
        </w:rPr>
        <w:t xml:space="preserve">and </w:t>
      </w:r>
      <w:r w:rsidR="00893F9E" w:rsidRPr="00882F92">
        <w:rPr>
          <w:rFonts w:eastAsia="Times New Roman"/>
          <w:noProof/>
        </w:rPr>
        <w:t>in the Pact for European Social Dialogue signed in March 2025</w:t>
      </w:r>
      <w:r w:rsidR="00893F9E" w:rsidRPr="00882F92">
        <w:rPr>
          <w:rFonts w:asciiTheme="majorBidi" w:hAnsiTheme="majorBidi" w:cstheme="majorBidi"/>
          <w:noProof/>
        </w:rPr>
        <w:t>.</w:t>
      </w:r>
    </w:p>
    <w:p w14:paraId="6384477E" w14:textId="44C20615" w:rsidR="00A16C46" w:rsidRPr="00882F92" w:rsidRDefault="00A16C46" w:rsidP="000A7726">
      <w:pPr>
        <w:pStyle w:val="ManualConsidrant"/>
        <w:rPr>
          <w:rFonts w:asciiTheme="majorBidi" w:hAnsiTheme="majorBidi" w:cstheme="majorBidi"/>
          <w:noProof/>
        </w:rPr>
      </w:pPr>
      <w:r>
        <w:rPr>
          <w:rFonts w:asciiTheme="majorBidi" w:hAnsiTheme="majorBidi" w:cstheme="majorBidi"/>
          <w:noProof/>
        </w:rPr>
        <w:t xml:space="preserve">(10) </w:t>
      </w:r>
      <w:r>
        <w:rPr>
          <w:rFonts w:asciiTheme="majorBidi" w:hAnsiTheme="majorBidi" w:cstheme="majorBidi"/>
          <w:noProof/>
        </w:rPr>
        <w:tab/>
        <w:t xml:space="preserve">Member </w:t>
      </w:r>
      <w:r w:rsidR="00E41E7D">
        <w:rPr>
          <w:rFonts w:asciiTheme="majorBidi" w:hAnsiTheme="majorBidi" w:cstheme="majorBidi"/>
          <w:noProof/>
        </w:rPr>
        <w:t>S</w:t>
      </w:r>
      <w:r>
        <w:rPr>
          <w:rFonts w:asciiTheme="majorBidi" w:hAnsiTheme="majorBidi" w:cstheme="majorBidi"/>
          <w:noProof/>
        </w:rPr>
        <w:t xml:space="preserve">tates should make </w:t>
      </w:r>
      <w:r w:rsidRPr="00A16C46">
        <w:rPr>
          <w:rFonts w:asciiTheme="majorBidi" w:hAnsiTheme="majorBidi" w:cstheme="majorBidi"/>
          <w:noProof/>
        </w:rPr>
        <w:t xml:space="preserve">full use of </w:t>
      </w:r>
      <w:r w:rsidRPr="00935670">
        <w:rPr>
          <w:rFonts w:asciiTheme="majorBidi" w:hAnsiTheme="majorBidi" w:cstheme="majorBidi"/>
          <w:noProof/>
        </w:rPr>
        <w:t>available EU funding</w:t>
      </w:r>
      <w:r w:rsidR="00E41E7D" w:rsidRPr="0050187A">
        <w:rPr>
          <w:rFonts w:asciiTheme="majorBidi" w:hAnsiTheme="majorBidi" w:cstheme="majorBidi"/>
          <w:noProof/>
        </w:rPr>
        <w:t>, in particular the European Social Fund Plus and the Social Climate Fund,</w:t>
      </w:r>
      <w:r w:rsidRPr="00935670">
        <w:rPr>
          <w:rFonts w:asciiTheme="majorBidi" w:hAnsiTheme="majorBidi" w:cstheme="majorBidi"/>
          <w:noProof/>
        </w:rPr>
        <w:t xml:space="preserve"> </w:t>
      </w:r>
      <w:r w:rsidRPr="0050187A">
        <w:rPr>
          <w:rFonts w:asciiTheme="majorBidi" w:hAnsiTheme="majorBidi" w:cstheme="majorBidi"/>
          <w:noProof/>
        </w:rPr>
        <w:t>to foster quality employment</w:t>
      </w:r>
      <w:r w:rsidR="00E41E7D">
        <w:rPr>
          <w:rFonts w:asciiTheme="majorBidi" w:hAnsiTheme="majorBidi" w:cstheme="majorBidi"/>
          <w:noProof/>
        </w:rPr>
        <w:t xml:space="preserve"> and</w:t>
      </w:r>
      <w:r w:rsidRPr="0050187A">
        <w:rPr>
          <w:rFonts w:asciiTheme="majorBidi" w:hAnsiTheme="majorBidi" w:cstheme="majorBidi"/>
          <w:noProof/>
        </w:rPr>
        <w:t xml:space="preserve"> skills</w:t>
      </w:r>
      <w:r w:rsidR="00E41E7D">
        <w:rPr>
          <w:rFonts w:asciiTheme="majorBidi" w:hAnsiTheme="majorBidi" w:cstheme="majorBidi"/>
          <w:noProof/>
        </w:rPr>
        <w:t>, fight against poverty</w:t>
      </w:r>
      <w:r w:rsidRPr="0050187A">
        <w:rPr>
          <w:rFonts w:asciiTheme="majorBidi" w:hAnsiTheme="majorBidi" w:cstheme="majorBidi"/>
          <w:noProof/>
        </w:rPr>
        <w:t xml:space="preserve"> and</w:t>
      </w:r>
      <w:r w:rsidR="00E41E7D">
        <w:rPr>
          <w:rFonts w:asciiTheme="majorBidi" w:hAnsiTheme="majorBidi" w:cstheme="majorBidi"/>
          <w:noProof/>
        </w:rPr>
        <w:t xml:space="preserve"> support employment and</w:t>
      </w:r>
      <w:r w:rsidRPr="0050187A">
        <w:rPr>
          <w:rFonts w:asciiTheme="majorBidi" w:hAnsiTheme="majorBidi" w:cstheme="majorBidi"/>
          <w:noProof/>
        </w:rPr>
        <w:t xml:space="preserve"> social reforms and investments</w:t>
      </w:r>
      <w:r w:rsidRPr="00A16C46">
        <w:rPr>
          <w:rFonts w:asciiTheme="majorBidi" w:hAnsiTheme="majorBidi" w:cstheme="majorBidi"/>
          <w:noProof/>
        </w:rPr>
        <w:t xml:space="preserve">. </w:t>
      </w:r>
      <w:r w:rsidRPr="0050187A">
        <w:rPr>
          <w:rFonts w:asciiTheme="majorBidi" w:hAnsiTheme="majorBidi" w:cstheme="majorBidi"/>
          <w:noProof/>
        </w:rPr>
        <w:t>This includes fighting social exclusion, combatting discrimination, ensuring accessibility and inclusion, and promoting upskilling and reskilling opportunities for the workforce, lifelong learning and high-quality education and training for all</w:t>
      </w:r>
      <w:r w:rsidRPr="00A16C46">
        <w:rPr>
          <w:rFonts w:asciiTheme="majorBidi" w:hAnsiTheme="majorBidi" w:cstheme="majorBidi"/>
          <w:noProof/>
        </w:rPr>
        <w:t xml:space="preserve">. </w:t>
      </w:r>
      <w:r w:rsidRPr="0050187A">
        <w:rPr>
          <w:rFonts w:asciiTheme="majorBidi" w:hAnsiTheme="majorBidi" w:cstheme="majorBidi"/>
          <w:noProof/>
        </w:rPr>
        <w:t>For the funding period post-2027,</w:t>
      </w:r>
      <w:r w:rsidR="00EC4DF6">
        <w:rPr>
          <w:rFonts w:asciiTheme="majorBidi" w:hAnsiTheme="majorBidi" w:cstheme="majorBidi"/>
          <w:noProof/>
        </w:rPr>
        <w:t xml:space="preserve"> </w:t>
      </w:r>
      <w:r w:rsidR="00996327">
        <w:rPr>
          <w:rFonts w:asciiTheme="majorBidi" w:hAnsiTheme="majorBidi" w:cstheme="majorBidi"/>
          <w:noProof/>
        </w:rPr>
        <w:t>t</w:t>
      </w:r>
      <w:r w:rsidR="00996327" w:rsidRPr="00136A3C">
        <w:rPr>
          <w:rFonts w:asciiTheme="majorBidi" w:hAnsiTheme="majorBidi" w:cstheme="majorBidi"/>
          <w:noProof/>
        </w:rPr>
        <w:t>he National and Regional Partnership Plans (NRPP</w:t>
      </w:r>
      <w:r w:rsidR="00F646A8">
        <w:rPr>
          <w:rFonts w:asciiTheme="majorBidi" w:hAnsiTheme="majorBidi" w:cstheme="majorBidi"/>
          <w:noProof/>
        </w:rPr>
        <w:t>s</w:t>
      </w:r>
      <w:r w:rsidR="00996327" w:rsidRPr="00136A3C">
        <w:rPr>
          <w:rFonts w:asciiTheme="majorBidi" w:hAnsiTheme="majorBidi" w:cstheme="majorBidi"/>
          <w:noProof/>
        </w:rPr>
        <w:t xml:space="preserve">) will continue promoting and strengthening integrated efforts in these areas. The Employment Guidelines should inform the programming of the NRPPs. </w:t>
      </w:r>
      <w:r w:rsidRPr="00A16C46">
        <w:rPr>
          <w:rFonts w:asciiTheme="majorBidi" w:hAnsiTheme="majorBidi" w:cstheme="majorBidi"/>
          <w:noProof/>
        </w:rPr>
        <w:t xml:space="preserve">In the context of the overarching decarbonisation objectives of the </w:t>
      </w:r>
      <w:r w:rsidR="00775145">
        <w:rPr>
          <w:rFonts w:asciiTheme="majorBidi" w:hAnsiTheme="majorBidi" w:cstheme="majorBidi"/>
          <w:noProof/>
        </w:rPr>
        <w:t>Union</w:t>
      </w:r>
      <w:r w:rsidRPr="00A16C46">
        <w:rPr>
          <w:rFonts w:asciiTheme="majorBidi" w:hAnsiTheme="majorBidi" w:cstheme="majorBidi"/>
          <w:noProof/>
        </w:rPr>
        <w:t xml:space="preserve">, </w:t>
      </w:r>
      <w:r w:rsidRPr="0050187A">
        <w:rPr>
          <w:rFonts w:asciiTheme="majorBidi" w:hAnsiTheme="majorBidi" w:cstheme="majorBidi"/>
          <w:noProof/>
        </w:rPr>
        <w:lastRenderedPageBreak/>
        <w:t>the Social Climate Fund (</w:t>
      </w:r>
      <w:r w:rsidRPr="0050187A">
        <w:rPr>
          <w:rStyle w:val="FootnoteReference"/>
          <w:rFonts w:asciiTheme="majorBidi" w:hAnsiTheme="majorBidi" w:cstheme="majorBidi"/>
          <w:noProof/>
        </w:rPr>
        <w:footnoteReference w:id="11"/>
      </w:r>
      <w:r w:rsidRPr="0050187A">
        <w:rPr>
          <w:rFonts w:asciiTheme="majorBidi" w:hAnsiTheme="majorBidi" w:cstheme="majorBidi"/>
          <w:noProof/>
        </w:rPr>
        <w:t xml:space="preserve">) </w:t>
      </w:r>
      <w:r w:rsidRPr="00A16C46">
        <w:rPr>
          <w:rFonts w:asciiTheme="majorBidi" w:hAnsiTheme="majorBidi" w:cstheme="majorBidi"/>
          <w:noProof/>
        </w:rPr>
        <w:t>will be key in addressing the needs of vulnerable households, vulnerable transport users and vulnerable micro-enterprises.</w:t>
      </w:r>
    </w:p>
    <w:p w14:paraId="25413503" w14:textId="38DA016D" w:rsidR="000A7726" w:rsidRDefault="000A7726" w:rsidP="000A7726">
      <w:pPr>
        <w:pStyle w:val="ManualConsidrant"/>
        <w:rPr>
          <w:rFonts w:asciiTheme="majorBidi" w:hAnsiTheme="majorBidi" w:cstheme="majorBidi"/>
          <w:noProof/>
          <w:szCs w:val="24"/>
        </w:rPr>
      </w:pPr>
      <w:r w:rsidRPr="009B5893">
        <w:rPr>
          <w:noProof/>
        </w:rPr>
        <w:t>(</w:t>
      </w:r>
      <w:r w:rsidR="00882F92">
        <w:rPr>
          <w:noProof/>
        </w:rPr>
        <w:t>1</w:t>
      </w:r>
      <w:r w:rsidR="00A16C46">
        <w:rPr>
          <w:noProof/>
        </w:rPr>
        <w:t>1</w:t>
      </w:r>
      <w:r w:rsidRPr="009B5893">
        <w:rPr>
          <w:noProof/>
        </w:rPr>
        <w:t>)</w:t>
      </w:r>
      <w:r w:rsidRPr="009B5893">
        <w:rPr>
          <w:noProof/>
        </w:rPr>
        <w:tab/>
      </w:r>
      <w:r w:rsidRPr="00366F6E">
        <w:rPr>
          <w:rFonts w:asciiTheme="majorBidi" w:hAnsiTheme="majorBidi" w:cstheme="majorBidi"/>
          <w:noProof/>
          <w:szCs w:val="24"/>
        </w:rPr>
        <w:t xml:space="preserve">The Employment Committee and the Social Protection Committee should monitor how the relevant policies are implemented in light of the Employment Guidelines, in line with their respective mandates under the </w:t>
      </w:r>
      <w:r w:rsidRPr="00366F6E">
        <w:rPr>
          <w:noProof/>
        </w:rPr>
        <w:t>TFEU</w:t>
      </w:r>
      <w:r w:rsidRPr="00366F6E">
        <w:rPr>
          <w:rFonts w:asciiTheme="majorBidi" w:hAnsiTheme="majorBidi" w:cstheme="majorBidi"/>
          <w:noProof/>
          <w:szCs w:val="24"/>
        </w:rPr>
        <w:t>. Th</w:t>
      </w:r>
      <w:r w:rsidR="00437BCE">
        <w:rPr>
          <w:rFonts w:asciiTheme="majorBidi" w:hAnsiTheme="majorBidi" w:cstheme="majorBidi"/>
          <w:noProof/>
          <w:szCs w:val="24"/>
        </w:rPr>
        <w:t>e</w:t>
      </w:r>
      <w:r w:rsidRPr="00366F6E">
        <w:rPr>
          <w:rFonts w:asciiTheme="majorBidi" w:hAnsiTheme="majorBidi" w:cstheme="majorBidi"/>
          <w:noProof/>
          <w:szCs w:val="24"/>
        </w:rPr>
        <w:t xml:space="preserve">se </w:t>
      </w:r>
      <w:r w:rsidR="00437BCE">
        <w:rPr>
          <w:rFonts w:asciiTheme="majorBidi" w:hAnsiTheme="majorBidi" w:cstheme="majorBidi"/>
          <w:noProof/>
          <w:szCs w:val="24"/>
        </w:rPr>
        <w:t>C</w:t>
      </w:r>
      <w:r w:rsidRPr="00366F6E">
        <w:rPr>
          <w:rFonts w:asciiTheme="majorBidi" w:hAnsiTheme="majorBidi" w:cstheme="majorBidi"/>
          <w:noProof/>
          <w:szCs w:val="24"/>
        </w:rPr>
        <w:t>ommittees and the Council preparatory bodies involved in the coordination of economic and social policies should work closely together. Policy dialogue between the European Parliament, the Council and the Commission should be maintained, in particular as regards the Employment Guidelines.</w:t>
      </w:r>
    </w:p>
    <w:p w14:paraId="519B677D" w14:textId="1E757AC2" w:rsidR="000A7726" w:rsidRDefault="000A7726" w:rsidP="000A7726">
      <w:pPr>
        <w:pStyle w:val="ManualConsidrant"/>
        <w:rPr>
          <w:noProof/>
        </w:rPr>
      </w:pPr>
      <w:r w:rsidRPr="009B5893">
        <w:rPr>
          <w:noProof/>
        </w:rPr>
        <w:t>(1</w:t>
      </w:r>
      <w:r w:rsidR="00A16C46">
        <w:rPr>
          <w:noProof/>
        </w:rPr>
        <w:t>2</w:t>
      </w:r>
      <w:r w:rsidRPr="009B5893">
        <w:rPr>
          <w:noProof/>
        </w:rPr>
        <w:t>)</w:t>
      </w:r>
      <w:r w:rsidRPr="009B5893">
        <w:rPr>
          <w:noProof/>
        </w:rPr>
        <w:tab/>
      </w:r>
      <w:r w:rsidRPr="006B2FC3">
        <w:rPr>
          <w:noProof/>
        </w:rPr>
        <w:t>The Social Protection Committee was consulted,</w:t>
      </w:r>
    </w:p>
    <w:p w14:paraId="22F2E4DD" w14:textId="77777777" w:rsidR="00A16C46" w:rsidRDefault="00A16C46" w:rsidP="000A7726">
      <w:pPr>
        <w:pStyle w:val="ManualConsidrant"/>
        <w:rPr>
          <w:noProof/>
        </w:rPr>
      </w:pPr>
    </w:p>
    <w:p w14:paraId="51DE177A" w14:textId="77777777" w:rsidR="002B26AA" w:rsidRPr="00FD40BA" w:rsidRDefault="002B26AA" w:rsidP="000B3C18">
      <w:pPr>
        <w:pStyle w:val="Formuledadoption"/>
        <w:rPr>
          <w:noProof/>
        </w:rPr>
      </w:pPr>
      <w:r w:rsidRPr="00FD40BA">
        <w:rPr>
          <w:noProof/>
        </w:rPr>
        <w:t xml:space="preserve">HAS ADOPTED THIS DECISION: </w:t>
      </w:r>
    </w:p>
    <w:p w14:paraId="503780D5" w14:textId="77777777" w:rsidR="002B26AA" w:rsidRPr="000B3C18" w:rsidRDefault="002B26AA" w:rsidP="000B3C18">
      <w:pPr>
        <w:pStyle w:val="Titrearticle"/>
        <w:rPr>
          <w:noProof/>
        </w:rPr>
      </w:pPr>
      <w:r w:rsidRPr="000B3C18">
        <w:rPr>
          <w:noProof/>
        </w:rPr>
        <w:t>Article 1</w:t>
      </w:r>
    </w:p>
    <w:p w14:paraId="7C56393A" w14:textId="3A2689EF" w:rsidR="000A7726" w:rsidRPr="00366F6E" w:rsidRDefault="000A7726" w:rsidP="000A7726">
      <w:pPr>
        <w:rPr>
          <w:noProof/>
        </w:rPr>
      </w:pPr>
      <w:r w:rsidRPr="00366F6E">
        <w:rPr>
          <w:noProof/>
        </w:rPr>
        <w:t>The Guidelines for the employment policies of the Member States</w:t>
      </w:r>
      <w:r w:rsidR="00C5603E">
        <w:rPr>
          <w:noProof/>
        </w:rPr>
        <w:t xml:space="preserve"> (the ‘Employment Guidelines’)</w:t>
      </w:r>
      <w:r>
        <w:rPr>
          <w:noProof/>
        </w:rPr>
        <w:t xml:space="preserve">, as set out in the Annex, are </w:t>
      </w:r>
      <w:r w:rsidR="00C5603E">
        <w:rPr>
          <w:noProof/>
        </w:rPr>
        <w:t>hereby adopted. The Employment Guidelines shall form part of the Integrated Guidelines.</w:t>
      </w:r>
      <w:r w:rsidRPr="00366F6E">
        <w:rPr>
          <w:noProof/>
        </w:rPr>
        <w:t xml:space="preserve"> </w:t>
      </w:r>
    </w:p>
    <w:p w14:paraId="12DE5BB6" w14:textId="77777777" w:rsidR="002B26AA" w:rsidRPr="000B3C18" w:rsidRDefault="002B26AA" w:rsidP="001141B3">
      <w:pPr>
        <w:pStyle w:val="Titrearticle"/>
        <w:rPr>
          <w:noProof/>
        </w:rPr>
      </w:pPr>
      <w:r w:rsidRPr="000B3C18">
        <w:rPr>
          <w:noProof/>
        </w:rPr>
        <w:t xml:space="preserve">Article </w:t>
      </w:r>
      <w:bookmarkStart w:id="3" w:name="_Hlk126129799"/>
      <w:r w:rsidR="000A7726" w:rsidRPr="00DC1512">
        <w:rPr>
          <w:noProof/>
        </w:rPr>
        <w:t>2</w:t>
      </w:r>
      <w:bookmarkEnd w:id="3"/>
    </w:p>
    <w:p w14:paraId="77710F7C" w14:textId="092B8AC7" w:rsidR="002B26AA" w:rsidRDefault="002B26AA" w:rsidP="000B3C18">
      <w:pPr>
        <w:keepLines/>
        <w:rPr>
          <w:noProof/>
        </w:rPr>
      </w:pPr>
      <w:r w:rsidRPr="00FD40BA">
        <w:rPr>
          <w:noProof/>
        </w:rPr>
        <w:t>Th</w:t>
      </w:r>
      <w:r w:rsidR="00C5603E">
        <w:rPr>
          <w:noProof/>
        </w:rPr>
        <w:t>e</w:t>
      </w:r>
      <w:r w:rsidR="000A7726">
        <w:rPr>
          <w:noProof/>
        </w:rPr>
        <w:t xml:space="preserve"> Member States</w:t>
      </w:r>
      <w:r w:rsidR="00C5603E">
        <w:rPr>
          <w:noProof/>
        </w:rPr>
        <w:t xml:space="preserve"> shall take the Employment Guidelines into account in their employment policies and reform programmes, which shall be reported in accordance with Article 148(3) TFEU</w:t>
      </w:r>
      <w:r w:rsidRPr="00FD40BA">
        <w:rPr>
          <w:noProof/>
        </w:rPr>
        <w:t>.</w:t>
      </w:r>
    </w:p>
    <w:p w14:paraId="55B7823A" w14:textId="13FFDC63" w:rsidR="008D441B" w:rsidRPr="000B3C18" w:rsidRDefault="008D441B" w:rsidP="00BC1068">
      <w:pPr>
        <w:pStyle w:val="Titrearticle"/>
        <w:rPr>
          <w:noProof/>
        </w:rPr>
      </w:pPr>
      <w:r w:rsidRPr="000B3C18">
        <w:rPr>
          <w:noProof/>
        </w:rPr>
        <w:t xml:space="preserve">Article </w:t>
      </w:r>
      <w:r w:rsidR="00DA4285">
        <w:rPr>
          <w:noProof/>
        </w:rPr>
        <w:t>3</w:t>
      </w:r>
    </w:p>
    <w:p w14:paraId="14C49C93" w14:textId="6BA3A426" w:rsidR="008D441B" w:rsidRPr="00FD40BA" w:rsidRDefault="00F25183" w:rsidP="008D441B">
      <w:pPr>
        <w:keepLines/>
        <w:rPr>
          <w:noProof/>
        </w:rPr>
      </w:pPr>
      <w:r w:rsidRPr="00F25183">
        <w:rPr>
          <w:noProof/>
        </w:rPr>
        <w:t>This Decision is addressed to the Member States</w:t>
      </w:r>
      <w:r w:rsidR="008D441B" w:rsidRPr="00FD40BA">
        <w:rPr>
          <w:noProof/>
        </w:rPr>
        <w:t>.</w:t>
      </w:r>
    </w:p>
    <w:p w14:paraId="476BF4FE" w14:textId="17517611" w:rsidR="000A7726" w:rsidRDefault="000B5ABB" w:rsidP="00BC1068">
      <w:pPr>
        <w:pStyle w:val="Fait"/>
        <w:rPr>
          <w:noProof/>
        </w:rPr>
      </w:pPr>
      <w:r>
        <w:rPr>
          <w:noProof/>
        </w:rPr>
        <w:t>Done at Brussels,</w:t>
      </w:r>
    </w:p>
    <w:p w14:paraId="13A29250" w14:textId="77777777" w:rsidR="002B26AA" w:rsidRDefault="002B26AA" w:rsidP="00BC1068">
      <w:pPr>
        <w:pStyle w:val="Institutionquisigne"/>
        <w:rPr>
          <w:noProof/>
        </w:rPr>
      </w:pPr>
      <w:r w:rsidRPr="002B26AA">
        <w:rPr>
          <w:noProof/>
        </w:rPr>
        <w:tab/>
        <w:t>For the Council</w:t>
      </w:r>
    </w:p>
    <w:p w14:paraId="5ED3B8F7" w14:textId="77777777" w:rsidR="002B26AA" w:rsidRPr="000B3C18" w:rsidRDefault="002B26AA" w:rsidP="00045F71">
      <w:pPr>
        <w:pStyle w:val="Personnequisigne"/>
        <w:rPr>
          <w:noProof/>
          <w:color w:val="008000"/>
        </w:rPr>
      </w:pPr>
      <w:r w:rsidRPr="002B26AA">
        <w:rPr>
          <w:noProof/>
        </w:rPr>
        <w:tab/>
        <w:t>The President</w:t>
      </w:r>
    </w:p>
    <w:sectPr w:rsidR="002B26AA" w:rsidRPr="000B3C18" w:rsidSect="00DC5E71">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A301DA" w14:textId="77777777" w:rsidR="008344FE" w:rsidRDefault="008344FE" w:rsidP="002B26AA">
      <w:pPr>
        <w:spacing w:before="0" w:after="0"/>
      </w:pPr>
      <w:r>
        <w:separator/>
      </w:r>
    </w:p>
  </w:endnote>
  <w:endnote w:type="continuationSeparator" w:id="0">
    <w:p w14:paraId="363D1C6C" w14:textId="77777777" w:rsidR="008344FE" w:rsidRDefault="008344FE" w:rsidP="002B26AA">
      <w:pPr>
        <w:spacing w:before="0" w:after="0"/>
      </w:pPr>
      <w:r>
        <w:continuationSeparator/>
      </w:r>
    </w:p>
  </w:endnote>
  <w:endnote w:type="continuationNotice" w:id="1">
    <w:p w14:paraId="5C0346CA" w14:textId="77777777" w:rsidR="008344FE" w:rsidRDefault="008344F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0EAE0" w14:textId="6549D1C2" w:rsidR="00DC5E71" w:rsidRPr="00DC5E71" w:rsidRDefault="00DC5E71" w:rsidP="00DC5E71">
    <w:pPr>
      <w:pStyle w:val="Footer"/>
      <w:rPr>
        <w:rFonts w:ascii="Arial" w:hAnsi="Arial" w:cs="Arial"/>
        <w:b/>
        <w:sz w:val="48"/>
      </w:rPr>
    </w:pPr>
    <w:r w:rsidRPr="00DC5E71">
      <w:rPr>
        <w:rFonts w:ascii="Arial" w:hAnsi="Arial" w:cs="Arial"/>
        <w:b/>
        <w:sz w:val="48"/>
      </w:rPr>
      <w:t>EN</w:t>
    </w:r>
    <w:r w:rsidRPr="00DC5E71">
      <w:rPr>
        <w:rFonts w:ascii="Arial" w:hAnsi="Arial" w:cs="Arial"/>
        <w:b/>
        <w:sz w:val="48"/>
      </w:rPr>
      <w:tab/>
    </w:r>
    <w:r w:rsidRPr="00DC5E71">
      <w:rPr>
        <w:rFonts w:ascii="Arial" w:hAnsi="Arial" w:cs="Arial"/>
        <w:b/>
        <w:sz w:val="48"/>
      </w:rPr>
      <w:tab/>
    </w:r>
    <w:r w:rsidRPr="00DC5E71">
      <w:tab/>
    </w:r>
    <w:r w:rsidRPr="00DC5E7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FF756" w14:textId="70E5446C" w:rsidR="00DC5E71" w:rsidRPr="00DC5E71" w:rsidRDefault="00DC5E71" w:rsidP="00DC5E71">
    <w:pPr>
      <w:pStyle w:val="Footer"/>
      <w:rPr>
        <w:rFonts w:ascii="Arial" w:hAnsi="Arial" w:cs="Arial"/>
        <w:b/>
        <w:sz w:val="48"/>
      </w:rPr>
    </w:pPr>
    <w:r w:rsidRPr="00DC5E71">
      <w:rPr>
        <w:rFonts w:ascii="Arial" w:hAnsi="Arial" w:cs="Arial"/>
        <w:b/>
        <w:sz w:val="48"/>
      </w:rPr>
      <w:t>EN</w:t>
    </w:r>
    <w:r w:rsidRPr="00DC5E71">
      <w:rPr>
        <w:rFonts w:ascii="Arial" w:hAnsi="Arial" w:cs="Arial"/>
        <w:b/>
        <w:sz w:val="48"/>
      </w:rPr>
      <w:tab/>
    </w:r>
    <w:r w:rsidRPr="00DC5E71">
      <w:rPr>
        <w:rFonts w:ascii="Arial" w:hAnsi="Arial" w:cs="Arial"/>
        <w:b/>
        <w:sz w:val="48"/>
      </w:rPr>
      <w:tab/>
    </w:r>
    <w:r w:rsidRPr="00DC5E71">
      <w:tab/>
    </w:r>
    <w:r w:rsidRPr="00DC5E7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44269" w14:textId="77777777" w:rsidR="00DC5E71" w:rsidRDefault="00DC5E7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29F96" w14:textId="4C398A0B" w:rsidR="00DC5E71" w:rsidRPr="00DC5E71" w:rsidRDefault="00DC5E71" w:rsidP="00DC5E71">
    <w:pPr>
      <w:pStyle w:val="Footer"/>
      <w:rPr>
        <w:rFonts w:ascii="Arial" w:hAnsi="Arial" w:cs="Arial"/>
        <w:b/>
        <w:sz w:val="48"/>
      </w:rPr>
    </w:pPr>
    <w:r w:rsidRPr="00DC5E71">
      <w:rPr>
        <w:rFonts w:ascii="Arial" w:hAnsi="Arial" w:cs="Arial"/>
        <w:b/>
        <w:sz w:val="48"/>
      </w:rPr>
      <w:t>EN</w:t>
    </w:r>
    <w:r w:rsidRPr="00DC5E71">
      <w:rPr>
        <w:rFonts w:ascii="Arial" w:hAnsi="Arial" w:cs="Arial"/>
        <w:b/>
        <w:sz w:val="48"/>
      </w:rPr>
      <w:tab/>
    </w:r>
    <w:r>
      <w:fldChar w:fldCharType="begin"/>
    </w:r>
    <w:r>
      <w:instrText xml:space="preserve"> PAGE  \* MERGEFORMAT </w:instrText>
    </w:r>
    <w:r>
      <w:fldChar w:fldCharType="separate"/>
    </w:r>
    <w:r w:rsidR="00BC1068">
      <w:rPr>
        <w:noProof/>
      </w:rPr>
      <w:t>4</w:t>
    </w:r>
    <w:r>
      <w:fldChar w:fldCharType="end"/>
    </w:r>
    <w:r>
      <w:tab/>
    </w:r>
    <w:r w:rsidRPr="00DC5E71">
      <w:tab/>
    </w:r>
    <w:r w:rsidRPr="00DC5E71">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456D1" w14:textId="77777777" w:rsidR="00DC5E71" w:rsidRDefault="00DC5E71" w:rsidP="00DC5E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E5E09F" w14:textId="77777777" w:rsidR="008344FE" w:rsidRDefault="008344FE" w:rsidP="002B26AA">
      <w:pPr>
        <w:spacing w:before="0" w:after="0"/>
      </w:pPr>
      <w:r>
        <w:separator/>
      </w:r>
    </w:p>
  </w:footnote>
  <w:footnote w:type="continuationSeparator" w:id="0">
    <w:p w14:paraId="4A247416" w14:textId="77777777" w:rsidR="008344FE" w:rsidRDefault="008344FE" w:rsidP="002B26AA">
      <w:pPr>
        <w:spacing w:before="0" w:after="0"/>
      </w:pPr>
      <w:r>
        <w:continuationSeparator/>
      </w:r>
    </w:p>
  </w:footnote>
  <w:footnote w:type="continuationNotice" w:id="1">
    <w:p w14:paraId="00C2CDF4" w14:textId="77777777" w:rsidR="008344FE" w:rsidRDefault="008344FE">
      <w:pPr>
        <w:spacing w:before="0" w:after="0"/>
      </w:pPr>
    </w:p>
  </w:footnote>
  <w:footnote w:id="2">
    <w:p w14:paraId="04AD45E6" w14:textId="456CDDD2" w:rsidR="00AF77B2" w:rsidRPr="00256723" w:rsidRDefault="00AF77B2" w:rsidP="00AF77B2">
      <w:pPr>
        <w:pStyle w:val="FootnoteText"/>
      </w:pPr>
      <w:r w:rsidRPr="002855FB">
        <w:rPr>
          <w:rStyle w:val="FootnoteReference"/>
        </w:rPr>
        <w:footnoteRef/>
      </w:r>
      <w:r w:rsidRPr="002855FB">
        <w:tab/>
        <w:t xml:space="preserve">Opinion of </w:t>
      </w:r>
      <w:r w:rsidRPr="00256723">
        <w:t>tbd DATE 202</w:t>
      </w:r>
      <w:r w:rsidR="00C75F8C" w:rsidRPr="00256723">
        <w:t>6</w:t>
      </w:r>
      <w:r w:rsidRPr="00256723">
        <w:t xml:space="preserve"> (not yet published in the Official Journal).</w:t>
      </w:r>
    </w:p>
  </w:footnote>
  <w:footnote w:id="3">
    <w:p w14:paraId="065F2A0D" w14:textId="7C8699A0" w:rsidR="00AF77B2" w:rsidRPr="00256723" w:rsidRDefault="00AF77B2" w:rsidP="00AF77B2">
      <w:pPr>
        <w:pStyle w:val="FootnoteText"/>
      </w:pPr>
      <w:r w:rsidRPr="00256723">
        <w:rPr>
          <w:rStyle w:val="FootnoteReference"/>
        </w:rPr>
        <w:footnoteRef/>
      </w:r>
      <w:r w:rsidRPr="00256723">
        <w:tab/>
        <w:t>Opinion of tbd DATE 202</w:t>
      </w:r>
      <w:r w:rsidR="00C75F8C" w:rsidRPr="00256723">
        <w:t>6</w:t>
      </w:r>
      <w:r w:rsidRPr="00256723">
        <w:t xml:space="preserve"> (not yet published in the Official Journal).</w:t>
      </w:r>
    </w:p>
  </w:footnote>
  <w:footnote w:id="4">
    <w:p w14:paraId="0BDCEF9F" w14:textId="52C0953F" w:rsidR="00AF77B2" w:rsidRPr="002855FB" w:rsidRDefault="00AF77B2" w:rsidP="00AF77B2">
      <w:pPr>
        <w:pStyle w:val="FootnoteText"/>
      </w:pPr>
      <w:r w:rsidRPr="00256723">
        <w:rPr>
          <w:rStyle w:val="FootnoteReference"/>
        </w:rPr>
        <w:footnoteRef/>
      </w:r>
      <w:r w:rsidRPr="00256723">
        <w:tab/>
        <w:t>Opinion of tbd DATE 202</w:t>
      </w:r>
      <w:r w:rsidR="00C75F8C" w:rsidRPr="00256723">
        <w:t>6</w:t>
      </w:r>
      <w:r w:rsidRPr="00256723">
        <w:t xml:space="preserve"> (</w:t>
      </w:r>
      <w:r w:rsidRPr="002855FB">
        <w:t>not yet published in the Official Journal).</w:t>
      </w:r>
    </w:p>
  </w:footnote>
  <w:footnote w:id="5">
    <w:p w14:paraId="3FF5D3B7" w14:textId="2DDD8165" w:rsidR="00832FFC" w:rsidRDefault="00832FFC" w:rsidP="00832FFC">
      <w:pPr>
        <w:pStyle w:val="FootnoteText"/>
      </w:pPr>
      <w:r w:rsidRPr="00E767F3">
        <w:rPr>
          <w:rStyle w:val="FootnoteReference"/>
        </w:rPr>
        <w:footnoteRef/>
      </w:r>
      <w:r w:rsidR="00E767F3">
        <w:tab/>
      </w:r>
      <w:r w:rsidR="00806596" w:rsidRPr="00366F6E">
        <w:rPr>
          <w:rFonts w:asciiTheme="majorBidi" w:hAnsiTheme="majorBidi" w:cstheme="majorBidi"/>
          <w:szCs w:val="24"/>
        </w:rPr>
        <w:t>Regulation (EU) 2024/1263 of the European Parliament and of the Council of 29 April 2024 on the effective coordination of economic policies and on multilateral budgetary surveillance and repealing Council Regulation (EC) No 1466/97 (OJ L, 2024/1263, 30.4.2024, ELI: http://data.europa.eu/eli/reg/2024/1263/</w:t>
      </w:r>
      <w:r w:rsidR="00806596" w:rsidRPr="00C114EE">
        <w:rPr>
          <w:rFonts w:asciiTheme="majorBidi" w:hAnsiTheme="majorBidi" w:cstheme="majorBidi"/>
          <w:szCs w:val="24"/>
        </w:rPr>
        <w:t>oj</w:t>
      </w:r>
      <w:r w:rsidR="00806596" w:rsidRPr="000B3C18">
        <w:t>).</w:t>
      </w:r>
    </w:p>
  </w:footnote>
  <w:footnote w:id="6">
    <w:p w14:paraId="365A70B7" w14:textId="77777777" w:rsidR="00FE3F47" w:rsidRDefault="00FE3F47" w:rsidP="00FE3F47">
      <w:pPr>
        <w:pStyle w:val="FootnoteText"/>
        <w:rPr>
          <w:rFonts w:asciiTheme="majorBidi" w:hAnsiTheme="majorBidi" w:cstheme="majorBidi"/>
        </w:rPr>
      </w:pPr>
      <w:r w:rsidRPr="0CF0085B">
        <w:rPr>
          <w:rStyle w:val="FootnoteReference"/>
          <w:rFonts w:asciiTheme="majorBidi" w:hAnsiTheme="majorBidi" w:cstheme="majorBidi"/>
        </w:rPr>
        <w:footnoteRef/>
      </w:r>
      <w:r>
        <w:rPr>
          <w:rFonts w:asciiTheme="majorBidi" w:hAnsiTheme="majorBidi" w:cstheme="majorBidi"/>
          <w:szCs w:val="24"/>
        </w:rPr>
        <w:tab/>
      </w:r>
      <w:r w:rsidRPr="0CF0085B">
        <w:rPr>
          <w:rFonts w:asciiTheme="majorBidi" w:hAnsiTheme="majorBidi" w:cstheme="majorBidi"/>
        </w:rPr>
        <w:t>Interinstitutional Proclamation on the European Pillar of Social Rights (OJ C 428, 13.12.2017, p. 10).</w:t>
      </w:r>
    </w:p>
  </w:footnote>
  <w:footnote w:id="7">
    <w:p w14:paraId="12EDB06E" w14:textId="63E3FEB5" w:rsidR="00832FFC" w:rsidRDefault="00832FFC">
      <w:pPr>
        <w:pStyle w:val="FootnoteText"/>
      </w:pPr>
      <w:r w:rsidRPr="00E767F3">
        <w:rPr>
          <w:rStyle w:val="FootnoteReference"/>
        </w:rPr>
        <w:footnoteRef/>
      </w:r>
      <w:r w:rsidR="00E767F3">
        <w:tab/>
      </w:r>
      <w:r w:rsidR="008E52F9">
        <w:t>See Art. 3</w:t>
      </w:r>
      <w:r w:rsidR="00085E24">
        <w:t>(3)b</w:t>
      </w:r>
      <w:r w:rsidR="008E52F9">
        <w:t xml:space="preserve"> and recital </w:t>
      </w:r>
      <w:r w:rsidR="00085E24">
        <w:t xml:space="preserve">8 </w:t>
      </w:r>
      <w:r w:rsidR="008E52F9">
        <w:t>of</w:t>
      </w:r>
      <w:r w:rsidR="00085E24">
        <w:t xml:space="preserve"> </w:t>
      </w:r>
      <w:r w:rsidR="00085E24" w:rsidRPr="00366F6E">
        <w:rPr>
          <w:rFonts w:asciiTheme="majorBidi" w:hAnsiTheme="majorBidi" w:cstheme="majorBidi"/>
          <w:szCs w:val="24"/>
        </w:rPr>
        <w:t>Regulation (EU) 2024/1263 of the European Parliament and of the Council of 29 April 2024</w:t>
      </w:r>
      <w:r w:rsidR="00085E24">
        <w:rPr>
          <w:rFonts w:asciiTheme="majorBidi" w:hAnsiTheme="majorBidi" w:cstheme="majorBidi"/>
          <w:szCs w:val="24"/>
        </w:rPr>
        <w:t>.</w:t>
      </w:r>
    </w:p>
  </w:footnote>
  <w:footnote w:id="8">
    <w:p w14:paraId="1FFC7718" w14:textId="77777777" w:rsidR="000A7726" w:rsidRDefault="000A7726" w:rsidP="000A7726">
      <w:pPr>
        <w:pStyle w:val="FootnoteText"/>
        <w:rPr>
          <w:rFonts w:asciiTheme="majorBidi" w:hAnsiTheme="majorBidi" w:cstheme="majorBidi"/>
          <w:szCs w:val="24"/>
        </w:rPr>
      </w:pPr>
      <w:r>
        <w:rPr>
          <w:rStyle w:val="FootnoteReference"/>
          <w:rFonts w:asciiTheme="majorBidi" w:hAnsiTheme="majorBidi" w:cstheme="majorBidi"/>
          <w:szCs w:val="24"/>
        </w:rPr>
        <w:footnoteRef/>
      </w:r>
      <w:r>
        <w:rPr>
          <w:rFonts w:asciiTheme="majorBidi" w:hAnsiTheme="majorBidi" w:cstheme="majorBidi"/>
          <w:szCs w:val="24"/>
        </w:rPr>
        <w:tab/>
        <w:t>Council Recommendation (EU) 2015/1184 of 14 July 2015 on broad guidelines for the economic policies of the Member States and of the European Union (</w:t>
      </w:r>
      <w:r w:rsidRPr="00366F6E">
        <w:rPr>
          <w:rFonts w:asciiTheme="majorBidi" w:hAnsiTheme="majorBidi" w:cstheme="majorBidi"/>
          <w:szCs w:val="24"/>
        </w:rPr>
        <w:t>OJ L 192, 18.7.2015, p. 27</w:t>
      </w:r>
      <w:r>
        <w:rPr>
          <w:rFonts w:asciiTheme="majorBidi" w:hAnsiTheme="majorBidi" w:cstheme="majorBidi"/>
          <w:szCs w:val="24"/>
        </w:rPr>
        <w:t>).</w:t>
      </w:r>
    </w:p>
  </w:footnote>
  <w:footnote w:id="9">
    <w:p w14:paraId="292DAEDE" w14:textId="77777777" w:rsidR="000A7726" w:rsidRPr="00C114EE" w:rsidRDefault="000A7726" w:rsidP="000A7726">
      <w:pPr>
        <w:pStyle w:val="FootnoteText"/>
        <w:rPr>
          <w:rFonts w:asciiTheme="majorBidi" w:hAnsiTheme="majorBidi" w:cstheme="majorBidi"/>
          <w:szCs w:val="24"/>
          <w:lang w:val="hu-HU"/>
        </w:rPr>
      </w:pPr>
      <w:r>
        <w:rPr>
          <w:rStyle w:val="FootnoteReference"/>
          <w:rFonts w:asciiTheme="majorBidi" w:hAnsiTheme="majorBidi" w:cstheme="majorBidi"/>
          <w:szCs w:val="24"/>
        </w:rPr>
        <w:footnoteRef/>
      </w:r>
      <w:r>
        <w:rPr>
          <w:rFonts w:asciiTheme="majorBidi" w:hAnsiTheme="majorBidi" w:cstheme="majorBidi"/>
          <w:szCs w:val="24"/>
        </w:rPr>
        <w:tab/>
      </w:r>
      <w:r w:rsidRPr="00366F6E">
        <w:rPr>
          <w:rFonts w:asciiTheme="majorBidi" w:hAnsiTheme="majorBidi" w:cstheme="majorBidi"/>
          <w:szCs w:val="24"/>
        </w:rPr>
        <w:t>Regulation (EU) 2024/1263 of the European Parliament and of the Council of 29 April 2024 on the effective coordination of economic policies and on multilateral budgetary surveillance and repealing Council Regulation (EC) No 1466/97 (OJ L, 2024/1263, 30.4.2024, ELI: http://data.europa.eu/eli/reg/2024/1263/</w:t>
      </w:r>
      <w:r w:rsidRPr="00C114EE">
        <w:rPr>
          <w:rFonts w:asciiTheme="majorBidi" w:hAnsiTheme="majorBidi" w:cstheme="majorBidi"/>
          <w:szCs w:val="24"/>
        </w:rPr>
        <w:t>oj</w:t>
      </w:r>
      <w:r w:rsidRPr="000B3C18">
        <w:t>).</w:t>
      </w:r>
    </w:p>
  </w:footnote>
  <w:footnote w:id="10">
    <w:p w14:paraId="65ABCFB4" w14:textId="2EADE7C6" w:rsidR="00C342EC" w:rsidRPr="000B5ABB" w:rsidRDefault="00C342EC" w:rsidP="00C342EC">
      <w:pPr>
        <w:pStyle w:val="FootnoteText"/>
        <w:rPr>
          <w:lang w:val="en-IE"/>
        </w:rPr>
      </w:pPr>
      <w:r w:rsidRPr="00E767F3">
        <w:rPr>
          <w:rStyle w:val="FootnoteReference"/>
        </w:rPr>
        <w:footnoteRef/>
      </w:r>
      <w:r w:rsidR="00E767F3">
        <w:rPr>
          <w:lang w:val="en-IE"/>
        </w:rPr>
        <w:tab/>
      </w:r>
      <w:r w:rsidRPr="00BB1104">
        <w:rPr>
          <w:lang w:val="en-IE"/>
        </w:rPr>
        <w:t>COM(2025) 90 final.</w:t>
      </w:r>
    </w:p>
  </w:footnote>
  <w:footnote w:id="11">
    <w:p w14:paraId="5B56F708" w14:textId="77777777" w:rsidR="00A16C46" w:rsidRPr="003C5A2E" w:rsidRDefault="00A16C46" w:rsidP="00A16C46">
      <w:pPr>
        <w:pStyle w:val="FootnoteText"/>
      </w:pPr>
      <w:r w:rsidRPr="00DC1512">
        <w:rPr>
          <w:rStyle w:val="FootnoteReference"/>
        </w:rPr>
        <w:footnoteRef/>
      </w:r>
      <w:r>
        <w:tab/>
      </w:r>
      <w:r w:rsidRPr="000C2FF2">
        <w:t>Regulation (EU) 202</w:t>
      </w:r>
      <w:r>
        <w:t>3</w:t>
      </w:r>
      <w:r w:rsidRPr="000C2FF2">
        <w:t>/</w:t>
      </w:r>
      <w:r>
        <w:t>955</w:t>
      </w:r>
      <w:r w:rsidRPr="000C2FF2">
        <w:t xml:space="preserve"> of the European Parliament and of the Council of </w:t>
      </w:r>
      <w:r>
        <w:t>10</w:t>
      </w:r>
      <w:r w:rsidRPr="000C2FF2">
        <w:t xml:space="preserve"> </w:t>
      </w:r>
      <w:r>
        <w:t>May</w:t>
      </w:r>
      <w:r w:rsidRPr="000C2FF2">
        <w:t xml:space="preserve"> 202</w:t>
      </w:r>
      <w:r>
        <w:t>3</w:t>
      </w:r>
      <w:r w:rsidRPr="000C2FF2">
        <w:t xml:space="preserve"> establishing </w:t>
      </w:r>
      <w:r>
        <w:t>a Social Climate Fund and amending Regulation</w:t>
      </w:r>
      <w:r w:rsidRPr="000C2FF2">
        <w:t xml:space="preserve"> </w:t>
      </w:r>
      <w:r w:rsidRPr="00984E90">
        <w:t xml:space="preserve">(EU) 2021/1060 </w:t>
      </w:r>
      <w:r w:rsidRPr="000C2FF2">
        <w:t xml:space="preserve">(OJ L </w:t>
      </w:r>
      <w:r>
        <w:t>130</w:t>
      </w:r>
      <w:r w:rsidRPr="000C2FF2">
        <w:t>, 1</w:t>
      </w:r>
      <w:r>
        <w:t>6</w:t>
      </w:r>
      <w:r w:rsidRPr="000C2FF2">
        <w:t>.</w:t>
      </w:r>
      <w:r>
        <w:t>5</w:t>
      </w:r>
      <w:r w:rsidRPr="000C2FF2">
        <w:t>.202</w:t>
      </w:r>
      <w:r>
        <w:t>3</w:t>
      </w:r>
      <w:r w:rsidRPr="000C2FF2">
        <w:t>, p. 1</w:t>
      </w:r>
      <w:r>
        <w:t>-51</w:t>
      </w:r>
      <w:r w:rsidRPr="000C2FF2">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4D48B" w14:textId="77777777" w:rsidR="00DC5E71" w:rsidRDefault="00DC5E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98F33" w14:textId="77777777" w:rsidR="00DC5E71" w:rsidRDefault="00DC5E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23"/>
  </w:num>
  <w:num w:numId="18">
    <w:abstractNumId w:val="12"/>
  </w:num>
  <w:num w:numId="19">
    <w:abstractNumId w:val="26"/>
  </w:num>
  <w:num w:numId="20">
    <w:abstractNumId w:val="6"/>
  </w:num>
  <w:num w:numId="21">
    <w:abstractNumId w:val="13"/>
  </w:num>
  <w:num w:numId="22">
    <w:abstractNumId w:val="14"/>
  </w:num>
  <w:num w:numId="23">
    <w:abstractNumId w:val="4"/>
  </w:num>
  <w:num w:numId="24">
    <w:abstractNumId w:val="25"/>
  </w:num>
  <w:num w:numId="25">
    <w:abstractNumId w:val="3"/>
  </w:num>
  <w:num w:numId="26">
    <w:abstractNumId w:val="15"/>
  </w:num>
  <w:num w:numId="27">
    <w:abstractNumId w:val="21"/>
  </w:num>
  <w:num w:numId="28">
    <w:abstractNumId w:val="22"/>
  </w:num>
  <w:num w:numId="29">
    <w:abstractNumId w:val="5"/>
  </w:num>
  <w:num w:numId="30">
    <w:abstractNumId w:val="19"/>
  </w:num>
  <w:num w:numId="31">
    <w:abstractNumId w:val="30"/>
  </w:num>
  <w:num w:numId="32">
    <w:abstractNumId w:val="23"/>
  </w:num>
  <w:num w:numId="33">
    <w:abstractNumId w:val="12"/>
  </w:num>
  <w:num w:numId="34">
    <w:abstractNumId w:val="26"/>
  </w:num>
  <w:num w:numId="35">
    <w:abstractNumId w:val="6"/>
  </w:num>
  <w:num w:numId="36">
    <w:abstractNumId w:val="13"/>
  </w:num>
  <w:num w:numId="37">
    <w:abstractNumId w:val="14"/>
  </w:num>
  <w:num w:numId="38">
    <w:abstractNumId w:val="4"/>
  </w:num>
  <w:num w:numId="39">
    <w:abstractNumId w:val="25"/>
  </w:num>
  <w:num w:numId="40">
    <w:abstractNumId w:val="3"/>
  </w:num>
  <w:num w:numId="41">
    <w:abstractNumId w:val="15"/>
  </w:num>
  <w:num w:numId="42">
    <w:abstractNumId w:val="21"/>
  </w:num>
  <w:num w:numId="43">
    <w:abstractNumId w:val="22"/>
  </w:num>
  <w:num w:numId="44">
    <w:abstractNumId w:val="5"/>
  </w:num>
  <w:num w:numId="45">
    <w:abstractNumId w:val="19"/>
  </w:num>
  <w:num w:numId="46">
    <w:abstractNumId w:val="3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9 15:55: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BE7CB061-657C-48A6-8CD6-EBE5960E2204"/>
    <w:docVar w:name="LW_COVERPAGE_TYPE" w:val="1"/>
    <w:docVar w:name="LW_CreatedUtc" w:val="2025-05-16T17:03:24.4511158Z"/>
    <w:docVar w:name="LW_CROSSREFERENCE" w:val="&lt;UNUSED&gt;"/>
    <w:docVar w:name="LW_DocType" w:val="COM"/>
    <w:docVar w:name="LW_EMISSION" w:val="3.6.2026"/>
    <w:docVar w:name="LW_EMISSION_ISODATE" w:val="2026-06-03"/>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37"/>
    <w:docVar w:name="LW_REF.II.NEW.CP_YEAR" w:val="2026"/>
    <w:docVar w:name="LW_REF.INST.NEW" w:val="COM"/>
    <w:docVar w:name="LW_REF.INST.NEW_ADOPTED" w:val="final"/>
    <w:docVar w:name="LW_REF.INST.NEW_TEXT" w:val="(2026) 51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guidelines for the employment policies of the Member States"/>
    <w:docVar w:name="LW_TYPE.DOC.CP" w:val="COUNCIL DECISION"/>
    <w:docVar w:name="LwApiVersions" w:val="LW4CoDe 1.24.5.0; LW 9.2, Build 20251112"/>
  </w:docVars>
  <w:rsids>
    <w:rsidRoot w:val="002B26AA"/>
    <w:rsid w:val="00001A78"/>
    <w:rsid w:val="00001DDE"/>
    <w:rsid w:val="00002389"/>
    <w:rsid w:val="000031DE"/>
    <w:rsid w:val="000035EF"/>
    <w:rsid w:val="000038B2"/>
    <w:rsid w:val="00003A92"/>
    <w:rsid w:val="0000520F"/>
    <w:rsid w:val="00005361"/>
    <w:rsid w:val="0000601F"/>
    <w:rsid w:val="00010588"/>
    <w:rsid w:val="00010AFA"/>
    <w:rsid w:val="000122EA"/>
    <w:rsid w:val="0001247D"/>
    <w:rsid w:val="0001265F"/>
    <w:rsid w:val="0001279A"/>
    <w:rsid w:val="00012CBB"/>
    <w:rsid w:val="00012EE9"/>
    <w:rsid w:val="00013104"/>
    <w:rsid w:val="00014E6E"/>
    <w:rsid w:val="00015815"/>
    <w:rsid w:val="0001751A"/>
    <w:rsid w:val="00020721"/>
    <w:rsid w:val="00020DAD"/>
    <w:rsid w:val="00021668"/>
    <w:rsid w:val="00021737"/>
    <w:rsid w:val="00021EA5"/>
    <w:rsid w:val="000225F2"/>
    <w:rsid w:val="00023AF6"/>
    <w:rsid w:val="00023FCF"/>
    <w:rsid w:val="0002425E"/>
    <w:rsid w:val="00024C4F"/>
    <w:rsid w:val="000250B4"/>
    <w:rsid w:val="00027282"/>
    <w:rsid w:val="0002767C"/>
    <w:rsid w:val="00030F13"/>
    <w:rsid w:val="0003155C"/>
    <w:rsid w:val="00031699"/>
    <w:rsid w:val="00031847"/>
    <w:rsid w:val="00031FF4"/>
    <w:rsid w:val="00032858"/>
    <w:rsid w:val="000348A7"/>
    <w:rsid w:val="000353DB"/>
    <w:rsid w:val="000354C9"/>
    <w:rsid w:val="000357DD"/>
    <w:rsid w:val="00037C40"/>
    <w:rsid w:val="00040556"/>
    <w:rsid w:val="0004109C"/>
    <w:rsid w:val="000412B6"/>
    <w:rsid w:val="0004138E"/>
    <w:rsid w:val="0004286C"/>
    <w:rsid w:val="000439BE"/>
    <w:rsid w:val="00044482"/>
    <w:rsid w:val="00045377"/>
    <w:rsid w:val="00045F71"/>
    <w:rsid w:val="000460C9"/>
    <w:rsid w:val="00046382"/>
    <w:rsid w:val="000465FA"/>
    <w:rsid w:val="00046BE4"/>
    <w:rsid w:val="00050E95"/>
    <w:rsid w:val="00051955"/>
    <w:rsid w:val="0005218D"/>
    <w:rsid w:val="0005274A"/>
    <w:rsid w:val="000538D9"/>
    <w:rsid w:val="0005396E"/>
    <w:rsid w:val="00055971"/>
    <w:rsid w:val="000563ED"/>
    <w:rsid w:val="0005696F"/>
    <w:rsid w:val="000569DD"/>
    <w:rsid w:val="00057107"/>
    <w:rsid w:val="00057814"/>
    <w:rsid w:val="0005790F"/>
    <w:rsid w:val="00057E07"/>
    <w:rsid w:val="00060086"/>
    <w:rsid w:val="00061857"/>
    <w:rsid w:val="00064D95"/>
    <w:rsid w:val="00064E42"/>
    <w:rsid w:val="00067399"/>
    <w:rsid w:val="00067D5A"/>
    <w:rsid w:val="00070CC2"/>
    <w:rsid w:val="00071423"/>
    <w:rsid w:val="00072C06"/>
    <w:rsid w:val="00072E4D"/>
    <w:rsid w:val="00073372"/>
    <w:rsid w:val="0007379B"/>
    <w:rsid w:val="00073A95"/>
    <w:rsid w:val="00075CE7"/>
    <w:rsid w:val="000774B7"/>
    <w:rsid w:val="000774E3"/>
    <w:rsid w:val="00081446"/>
    <w:rsid w:val="00083560"/>
    <w:rsid w:val="00084F11"/>
    <w:rsid w:val="00085C38"/>
    <w:rsid w:val="00085D78"/>
    <w:rsid w:val="00085E24"/>
    <w:rsid w:val="0008601E"/>
    <w:rsid w:val="00086E47"/>
    <w:rsid w:val="00090CF8"/>
    <w:rsid w:val="00090FBA"/>
    <w:rsid w:val="0009249E"/>
    <w:rsid w:val="00095B8E"/>
    <w:rsid w:val="0009689A"/>
    <w:rsid w:val="00097B04"/>
    <w:rsid w:val="00097B70"/>
    <w:rsid w:val="000A0784"/>
    <w:rsid w:val="000A0E6C"/>
    <w:rsid w:val="000A2E8A"/>
    <w:rsid w:val="000A3588"/>
    <w:rsid w:val="000A3919"/>
    <w:rsid w:val="000A4884"/>
    <w:rsid w:val="000A506F"/>
    <w:rsid w:val="000A544F"/>
    <w:rsid w:val="000A545C"/>
    <w:rsid w:val="000A5A83"/>
    <w:rsid w:val="000A5F16"/>
    <w:rsid w:val="000A60BC"/>
    <w:rsid w:val="000A64D0"/>
    <w:rsid w:val="000A714A"/>
    <w:rsid w:val="000A7679"/>
    <w:rsid w:val="000A7726"/>
    <w:rsid w:val="000A7D46"/>
    <w:rsid w:val="000B05D8"/>
    <w:rsid w:val="000B2740"/>
    <w:rsid w:val="000B308F"/>
    <w:rsid w:val="000B356E"/>
    <w:rsid w:val="000B3671"/>
    <w:rsid w:val="000B3C18"/>
    <w:rsid w:val="000B4248"/>
    <w:rsid w:val="000B538F"/>
    <w:rsid w:val="000B575D"/>
    <w:rsid w:val="000B5ABB"/>
    <w:rsid w:val="000B7250"/>
    <w:rsid w:val="000B7B57"/>
    <w:rsid w:val="000C0C96"/>
    <w:rsid w:val="000C108F"/>
    <w:rsid w:val="000C19D1"/>
    <w:rsid w:val="000C454C"/>
    <w:rsid w:val="000C4A15"/>
    <w:rsid w:val="000C5D0C"/>
    <w:rsid w:val="000C6237"/>
    <w:rsid w:val="000C6B6A"/>
    <w:rsid w:val="000C7FA0"/>
    <w:rsid w:val="000D19B2"/>
    <w:rsid w:val="000D1A75"/>
    <w:rsid w:val="000D1B2B"/>
    <w:rsid w:val="000D3839"/>
    <w:rsid w:val="000D5769"/>
    <w:rsid w:val="000D6CDF"/>
    <w:rsid w:val="000D710B"/>
    <w:rsid w:val="000E00E5"/>
    <w:rsid w:val="000E096B"/>
    <w:rsid w:val="000E0FE0"/>
    <w:rsid w:val="000E110F"/>
    <w:rsid w:val="000E3037"/>
    <w:rsid w:val="000E3B89"/>
    <w:rsid w:val="000E5721"/>
    <w:rsid w:val="000E590A"/>
    <w:rsid w:val="000E7268"/>
    <w:rsid w:val="000E789B"/>
    <w:rsid w:val="000F068B"/>
    <w:rsid w:val="000F1466"/>
    <w:rsid w:val="000F27B8"/>
    <w:rsid w:val="000F27DE"/>
    <w:rsid w:val="000F353E"/>
    <w:rsid w:val="000F44A2"/>
    <w:rsid w:val="000F4945"/>
    <w:rsid w:val="000F61FC"/>
    <w:rsid w:val="000F690E"/>
    <w:rsid w:val="000F6EFC"/>
    <w:rsid w:val="000F7A7F"/>
    <w:rsid w:val="000F7FB8"/>
    <w:rsid w:val="001003CF"/>
    <w:rsid w:val="001006AC"/>
    <w:rsid w:val="00103421"/>
    <w:rsid w:val="00103500"/>
    <w:rsid w:val="00104608"/>
    <w:rsid w:val="0010531F"/>
    <w:rsid w:val="001053BE"/>
    <w:rsid w:val="00106514"/>
    <w:rsid w:val="001065F5"/>
    <w:rsid w:val="00110964"/>
    <w:rsid w:val="00111A30"/>
    <w:rsid w:val="00112BE1"/>
    <w:rsid w:val="0011307C"/>
    <w:rsid w:val="001131F3"/>
    <w:rsid w:val="001141B3"/>
    <w:rsid w:val="00115139"/>
    <w:rsid w:val="00115C73"/>
    <w:rsid w:val="00116B7C"/>
    <w:rsid w:val="00116E0F"/>
    <w:rsid w:val="0011771D"/>
    <w:rsid w:val="00120DA9"/>
    <w:rsid w:val="0012155F"/>
    <w:rsid w:val="00121ACE"/>
    <w:rsid w:val="00121B35"/>
    <w:rsid w:val="00122131"/>
    <w:rsid w:val="00122E6A"/>
    <w:rsid w:val="00123021"/>
    <w:rsid w:val="001238EF"/>
    <w:rsid w:val="00123EBE"/>
    <w:rsid w:val="001241C7"/>
    <w:rsid w:val="001259EE"/>
    <w:rsid w:val="00126A90"/>
    <w:rsid w:val="0013002B"/>
    <w:rsid w:val="00130D07"/>
    <w:rsid w:val="001310D8"/>
    <w:rsid w:val="0013203E"/>
    <w:rsid w:val="00133F4E"/>
    <w:rsid w:val="001341F9"/>
    <w:rsid w:val="00134621"/>
    <w:rsid w:val="00135284"/>
    <w:rsid w:val="00135780"/>
    <w:rsid w:val="001378A2"/>
    <w:rsid w:val="001405C7"/>
    <w:rsid w:val="00141915"/>
    <w:rsid w:val="00142223"/>
    <w:rsid w:val="00142D79"/>
    <w:rsid w:val="0014302C"/>
    <w:rsid w:val="00145EE6"/>
    <w:rsid w:val="001476B3"/>
    <w:rsid w:val="00147CBB"/>
    <w:rsid w:val="00147F77"/>
    <w:rsid w:val="00147FF0"/>
    <w:rsid w:val="001503CA"/>
    <w:rsid w:val="00150F5D"/>
    <w:rsid w:val="001510BB"/>
    <w:rsid w:val="0015150D"/>
    <w:rsid w:val="001515AE"/>
    <w:rsid w:val="00152019"/>
    <w:rsid w:val="0015262F"/>
    <w:rsid w:val="00152B6F"/>
    <w:rsid w:val="00152DAE"/>
    <w:rsid w:val="0015374E"/>
    <w:rsid w:val="00154020"/>
    <w:rsid w:val="001541FB"/>
    <w:rsid w:val="00154593"/>
    <w:rsid w:val="0015526B"/>
    <w:rsid w:val="001556C4"/>
    <w:rsid w:val="0015635C"/>
    <w:rsid w:val="00157AD5"/>
    <w:rsid w:val="00157DA9"/>
    <w:rsid w:val="001615D2"/>
    <w:rsid w:val="001640A5"/>
    <w:rsid w:val="00164468"/>
    <w:rsid w:val="001653B0"/>
    <w:rsid w:val="0016624E"/>
    <w:rsid w:val="00166498"/>
    <w:rsid w:val="00166605"/>
    <w:rsid w:val="001716CA"/>
    <w:rsid w:val="00172B56"/>
    <w:rsid w:val="00172C48"/>
    <w:rsid w:val="001732FD"/>
    <w:rsid w:val="00173779"/>
    <w:rsid w:val="00173B8E"/>
    <w:rsid w:val="00177D40"/>
    <w:rsid w:val="00180E68"/>
    <w:rsid w:val="00181B65"/>
    <w:rsid w:val="00181EE9"/>
    <w:rsid w:val="001829B0"/>
    <w:rsid w:val="00183BF7"/>
    <w:rsid w:val="00183C5E"/>
    <w:rsid w:val="00184C75"/>
    <w:rsid w:val="001853EB"/>
    <w:rsid w:val="001855BA"/>
    <w:rsid w:val="001859A7"/>
    <w:rsid w:val="001864AC"/>
    <w:rsid w:val="00187BB7"/>
    <w:rsid w:val="00191F3D"/>
    <w:rsid w:val="00192A24"/>
    <w:rsid w:val="0019382B"/>
    <w:rsid w:val="00193D1B"/>
    <w:rsid w:val="00193E51"/>
    <w:rsid w:val="00196194"/>
    <w:rsid w:val="00196495"/>
    <w:rsid w:val="00196E3D"/>
    <w:rsid w:val="00197613"/>
    <w:rsid w:val="0019768D"/>
    <w:rsid w:val="001A0602"/>
    <w:rsid w:val="001A2233"/>
    <w:rsid w:val="001A24DB"/>
    <w:rsid w:val="001A2CCD"/>
    <w:rsid w:val="001A3745"/>
    <w:rsid w:val="001A3B23"/>
    <w:rsid w:val="001A469F"/>
    <w:rsid w:val="001A5CF5"/>
    <w:rsid w:val="001A69CF"/>
    <w:rsid w:val="001A6F54"/>
    <w:rsid w:val="001A784D"/>
    <w:rsid w:val="001B01B4"/>
    <w:rsid w:val="001B0A03"/>
    <w:rsid w:val="001B2253"/>
    <w:rsid w:val="001B2661"/>
    <w:rsid w:val="001B3AE4"/>
    <w:rsid w:val="001B3D36"/>
    <w:rsid w:val="001B54CA"/>
    <w:rsid w:val="001B55C5"/>
    <w:rsid w:val="001B5CAD"/>
    <w:rsid w:val="001B6190"/>
    <w:rsid w:val="001B622E"/>
    <w:rsid w:val="001B6F52"/>
    <w:rsid w:val="001C0C44"/>
    <w:rsid w:val="001C11E4"/>
    <w:rsid w:val="001C348D"/>
    <w:rsid w:val="001C3D1B"/>
    <w:rsid w:val="001C3E96"/>
    <w:rsid w:val="001C44F2"/>
    <w:rsid w:val="001C453A"/>
    <w:rsid w:val="001C485C"/>
    <w:rsid w:val="001C5332"/>
    <w:rsid w:val="001C55AB"/>
    <w:rsid w:val="001C5AE5"/>
    <w:rsid w:val="001C5B27"/>
    <w:rsid w:val="001C6AAA"/>
    <w:rsid w:val="001C7498"/>
    <w:rsid w:val="001C7561"/>
    <w:rsid w:val="001D008C"/>
    <w:rsid w:val="001D0AE4"/>
    <w:rsid w:val="001D1DE2"/>
    <w:rsid w:val="001D2233"/>
    <w:rsid w:val="001D2395"/>
    <w:rsid w:val="001D26CE"/>
    <w:rsid w:val="001D5157"/>
    <w:rsid w:val="001D541A"/>
    <w:rsid w:val="001D7105"/>
    <w:rsid w:val="001D7459"/>
    <w:rsid w:val="001D7C63"/>
    <w:rsid w:val="001D7DDE"/>
    <w:rsid w:val="001D7EAF"/>
    <w:rsid w:val="001E0B0F"/>
    <w:rsid w:val="001E0D0B"/>
    <w:rsid w:val="001E156E"/>
    <w:rsid w:val="001E2216"/>
    <w:rsid w:val="001E2A4B"/>
    <w:rsid w:val="001E2FCB"/>
    <w:rsid w:val="001E349C"/>
    <w:rsid w:val="001E4770"/>
    <w:rsid w:val="001E745A"/>
    <w:rsid w:val="001F014D"/>
    <w:rsid w:val="001F0608"/>
    <w:rsid w:val="001F0914"/>
    <w:rsid w:val="001F250B"/>
    <w:rsid w:val="001F27D4"/>
    <w:rsid w:val="001F2C87"/>
    <w:rsid w:val="001F60C2"/>
    <w:rsid w:val="001F652F"/>
    <w:rsid w:val="001F714C"/>
    <w:rsid w:val="001F772B"/>
    <w:rsid w:val="001F7732"/>
    <w:rsid w:val="001F7D97"/>
    <w:rsid w:val="002009D2"/>
    <w:rsid w:val="00200F8A"/>
    <w:rsid w:val="0020261D"/>
    <w:rsid w:val="0020290F"/>
    <w:rsid w:val="002033AC"/>
    <w:rsid w:val="002035AD"/>
    <w:rsid w:val="00204461"/>
    <w:rsid w:val="0020473F"/>
    <w:rsid w:val="00205D1B"/>
    <w:rsid w:val="00207545"/>
    <w:rsid w:val="0020765C"/>
    <w:rsid w:val="00211047"/>
    <w:rsid w:val="00213AFA"/>
    <w:rsid w:val="0021401F"/>
    <w:rsid w:val="0021439B"/>
    <w:rsid w:val="00214DE9"/>
    <w:rsid w:val="00215540"/>
    <w:rsid w:val="002156B3"/>
    <w:rsid w:val="00216AAF"/>
    <w:rsid w:val="0022044A"/>
    <w:rsid w:val="00220690"/>
    <w:rsid w:val="00220A76"/>
    <w:rsid w:val="00221EEA"/>
    <w:rsid w:val="002225CE"/>
    <w:rsid w:val="0022351C"/>
    <w:rsid w:val="00223838"/>
    <w:rsid w:val="00224328"/>
    <w:rsid w:val="00224C04"/>
    <w:rsid w:val="002260B2"/>
    <w:rsid w:val="002262A8"/>
    <w:rsid w:val="00233770"/>
    <w:rsid w:val="00233DC7"/>
    <w:rsid w:val="00234570"/>
    <w:rsid w:val="00234687"/>
    <w:rsid w:val="0023567F"/>
    <w:rsid w:val="00235B9C"/>
    <w:rsid w:val="00236307"/>
    <w:rsid w:val="002368BD"/>
    <w:rsid w:val="0023739D"/>
    <w:rsid w:val="00237526"/>
    <w:rsid w:val="00241C24"/>
    <w:rsid w:val="002429B7"/>
    <w:rsid w:val="00242CB3"/>
    <w:rsid w:val="00244483"/>
    <w:rsid w:val="00245F62"/>
    <w:rsid w:val="00246DF1"/>
    <w:rsid w:val="00246F4F"/>
    <w:rsid w:val="00246F66"/>
    <w:rsid w:val="00247779"/>
    <w:rsid w:val="00250C17"/>
    <w:rsid w:val="00251082"/>
    <w:rsid w:val="0025197F"/>
    <w:rsid w:val="00251FE8"/>
    <w:rsid w:val="00253751"/>
    <w:rsid w:val="0025375C"/>
    <w:rsid w:val="002538A2"/>
    <w:rsid w:val="00253CCE"/>
    <w:rsid w:val="00256210"/>
    <w:rsid w:val="00256723"/>
    <w:rsid w:val="00260127"/>
    <w:rsid w:val="002619D5"/>
    <w:rsid w:val="0026208B"/>
    <w:rsid w:val="002624D0"/>
    <w:rsid w:val="00263C3B"/>
    <w:rsid w:val="002640EA"/>
    <w:rsid w:val="00264967"/>
    <w:rsid w:val="00265621"/>
    <w:rsid w:val="00265732"/>
    <w:rsid w:val="00265D05"/>
    <w:rsid w:val="002671D6"/>
    <w:rsid w:val="0026737B"/>
    <w:rsid w:val="00270870"/>
    <w:rsid w:val="00270C71"/>
    <w:rsid w:val="00271975"/>
    <w:rsid w:val="00271BBE"/>
    <w:rsid w:val="00272C59"/>
    <w:rsid w:val="002730A2"/>
    <w:rsid w:val="00273A73"/>
    <w:rsid w:val="00274D86"/>
    <w:rsid w:val="00275190"/>
    <w:rsid w:val="0027637C"/>
    <w:rsid w:val="00276E1E"/>
    <w:rsid w:val="00277C00"/>
    <w:rsid w:val="00282244"/>
    <w:rsid w:val="00282872"/>
    <w:rsid w:val="00283D9A"/>
    <w:rsid w:val="00283E73"/>
    <w:rsid w:val="00284052"/>
    <w:rsid w:val="00284E28"/>
    <w:rsid w:val="00285BEE"/>
    <w:rsid w:val="0028616A"/>
    <w:rsid w:val="00287E13"/>
    <w:rsid w:val="0029101B"/>
    <w:rsid w:val="002910BF"/>
    <w:rsid w:val="002913F6"/>
    <w:rsid w:val="0029180C"/>
    <w:rsid w:val="0029308F"/>
    <w:rsid w:val="0029437E"/>
    <w:rsid w:val="0029533F"/>
    <w:rsid w:val="00295930"/>
    <w:rsid w:val="002968B6"/>
    <w:rsid w:val="002977DE"/>
    <w:rsid w:val="002A0773"/>
    <w:rsid w:val="002A0EFD"/>
    <w:rsid w:val="002A1B26"/>
    <w:rsid w:val="002A1CBA"/>
    <w:rsid w:val="002A2A01"/>
    <w:rsid w:val="002A2C8A"/>
    <w:rsid w:val="002A2FE4"/>
    <w:rsid w:val="002A384F"/>
    <w:rsid w:val="002A4867"/>
    <w:rsid w:val="002A5911"/>
    <w:rsid w:val="002A6208"/>
    <w:rsid w:val="002A6A4A"/>
    <w:rsid w:val="002A7E81"/>
    <w:rsid w:val="002B01AC"/>
    <w:rsid w:val="002B26AA"/>
    <w:rsid w:val="002B2C7C"/>
    <w:rsid w:val="002B30AF"/>
    <w:rsid w:val="002B312B"/>
    <w:rsid w:val="002B413C"/>
    <w:rsid w:val="002B4191"/>
    <w:rsid w:val="002B4A55"/>
    <w:rsid w:val="002B5A85"/>
    <w:rsid w:val="002B63A1"/>
    <w:rsid w:val="002B7DC4"/>
    <w:rsid w:val="002C17A3"/>
    <w:rsid w:val="002C183D"/>
    <w:rsid w:val="002C30C4"/>
    <w:rsid w:val="002C6107"/>
    <w:rsid w:val="002C6787"/>
    <w:rsid w:val="002C7093"/>
    <w:rsid w:val="002C7465"/>
    <w:rsid w:val="002C74E1"/>
    <w:rsid w:val="002C7E40"/>
    <w:rsid w:val="002D0018"/>
    <w:rsid w:val="002D0610"/>
    <w:rsid w:val="002D1423"/>
    <w:rsid w:val="002D1AE5"/>
    <w:rsid w:val="002D3356"/>
    <w:rsid w:val="002D36EF"/>
    <w:rsid w:val="002D45BD"/>
    <w:rsid w:val="002D78FB"/>
    <w:rsid w:val="002E0538"/>
    <w:rsid w:val="002E0DEA"/>
    <w:rsid w:val="002E39D9"/>
    <w:rsid w:val="002E467E"/>
    <w:rsid w:val="002E52A0"/>
    <w:rsid w:val="002E5D75"/>
    <w:rsid w:val="002E67C3"/>
    <w:rsid w:val="002E6910"/>
    <w:rsid w:val="002E717A"/>
    <w:rsid w:val="002E7288"/>
    <w:rsid w:val="002E7402"/>
    <w:rsid w:val="002E78B7"/>
    <w:rsid w:val="002F0668"/>
    <w:rsid w:val="002F093F"/>
    <w:rsid w:val="002F109D"/>
    <w:rsid w:val="002F17CF"/>
    <w:rsid w:val="002F17DD"/>
    <w:rsid w:val="002F205F"/>
    <w:rsid w:val="002F277A"/>
    <w:rsid w:val="002F36E5"/>
    <w:rsid w:val="002F3E80"/>
    <w:rsid w:val="002F48E8"/>
    <w:rsid w:val="002F4EAE"/>
    <w:rsid w:val="003002A9"/>
    <w:rsid w:val="0030035E"/>
    <w:rsid w:val="003018D6"/>
    <w:rsid w:val="00302E19"/>
    <w:rsid w:val="00302FE8"/>
    <w:rsid w:val="00303E54"/>
    <w:rsid w:val="0030603F"/>
    <w:rsid w:val="003062EF"/>
    <w:rsid w:val="003067ED"/>
    <w:rsid w:val="00307AE5"/>
    <w:rsid w:val="00307BDB"/>
    <w:rsid w:val="00307C6E"/>
    <w:rsid w:val="00307CB9"/>
    <w:rsid w:val="00310C5F"/>
    <w:rsid w:val="00310CC8"/>
    <w:rsid w:val="003120DF"/>
    <w:rsid w:val="00312653"/>
    <w:rsid w:val="00313DCA"/>
    <w:rsid w:val="0031467E"/>
    <w:rsid w:val="003146CF"/>
    <w:rsid w:val="0031590D"/>
    <w:rsid w:val="0031635C"/>
    <w:rsid w:val="00316512"/>
    <w:rsid w:val="0031672B"/>
    <w:rsid w:val="0032048A"/>
    <w:rsid w:val="00320AFF"/>
    <w:rsid w:val="0032245B"/>
    <w:rsid w:val="00322D99"/>
    <w:rsid w:val="00322E0B"/>
    <w:rsid w:val="00324667"/>
    <w:rsid w:val="003256C4"/>
    <w:rsid w:val="00327947"/>
    <w:rsid w:val="003279CD"/>
    <w:rsid w:val="00327AB9"/>
    <w:rsid w:val="003304BA"/>
    <w:rsid w:val="0033057F"/>
    <w:rsid w:val="00331A3A"/>
    <w:rsid w:val="00332E1F"/>
    <w:rsid w:val="0033344A"/>
    <w:rsid w:val="003339A9"/>
    <w:rsid w:val="00334542"/>
    <w:rsid w:val="00334A02"/>
    <w:rsid w:val="00334DDE"/>
    <w:rsid w:val="00335A57"/>
    <w:rsid w:val="00335D9F"/>
    <w:rsid w:val="0034024F"/>
    <w:rsid w:val="00340B3F"/>
    <w:rsid w:val="00341017"/>
    <w:rsid w:val="00342D67"/>
    <w:rsid w:val="00343278"/>
    <w:rsid w:val="00343524"/>
    <w:rsid w:val="00343F1E"/>
    <w:rsid w:val="00345968"/>
    <w:rsid w:val="003476A2"/>
    <w:rsid w:val="0035085D"/>
    <w:rsid w:val="00350F8C"/>
    <w:rsid w:val="00351753"/>
    <w:rsid w:val="00351D36"/>
    <w:rsid w:val="00352850"/>
    <w:rsid w:val="00352EAF"/>
    <w:rsid w:val="00354737"/>
    <w:rsid w:val="0035612D"/>
    <w:rsid w:val="003569E3"/>
    <w:rsid w:val="003571DF"/>
    <w:rsid w:val="00360700"/>
    <w:rsid w:val="003612CD"/>
    <w:rsid w:val="0036245C"/>
    <w:rsid w:val="00363F16"/>
    <w:rsid w:val="00363FCE"/>
    <w:rsid w:val="00364D55"/>
    <w:rsid w:val="00364E52"/>
    <w:rsid w:val="00365A95"/>
    <w:rsid w:val="00366267"/>
    <w:rsid w:val="003715B6"/>
    <w:rsid w:val="00373E4A"/>
    <w:rsid w:val="00374293"/>
    <w:rsid w:val="003749CE"/>
    <w:rsid w:val="00374A8F"/>
    <w:rsid w:val="0037624A"/>
    <w:rsid w:val="003768D4"/>
    <w:rsid w:val="003769A1"/>
    <w:rsid w:val="00377151"/>
    <w:rsid w:val="0037787E"/>
    <w:rsid w:val="00377B43"/>
    <w:rsid w:val="00377BBC"/>
    <w:rsid w:val="003801C3"/>
    <w:rsid w:val="00380C44"/>
    <w:rsid w:val="003814B1"/>
    <w:rsid w:val="00381699"/>
    <w:rsid w:val="00381A4B"/>
    <w:rsid w:val="00383474"/>
    <w:rsid w:val="0038396A"/>
    <w:rsid w:val="003848D0"/>
    <w:rsid w:val="00384C24"/>
    <w:rsid w:val="00385EDB"/>
    <w:rsid w:val="00386652"/>
    <w:rsid w:val="003866E7"/>
    <w:rsid w:val="00386F45"/>
    <w:rsid w:val="003872EB"/>
    <w:rsid w:val="00387FFD"/>
    <w:rsid w:val="0039052F"/>
    <w:rsid w:val="003912F1"/>
    <w:rsid w:val="00391835"/>
    <w:rsid w:val="00392D46"/>
    <w:rsid w:val="003935CC"/>
    <w:rsid w:val="00394571"/>
    <w:rsid w:val="00394B54"/>
    <w:rsid w:val="0039621A"/>
    <w:rsid w:val="00396683"/>
    <w:rsid w:val="0039720E"/>
    <w:rsid w:val="003975A6"/>
    <w:rsid w:val="003A07FC"/>
    <w:rsid w:val="003A0F67"/>
    <w:rsid w:val="003A4310"/>
    <w:rsid w:val="003A5AA2"/>
    <w:rsid w:val="003A5AB1"/>
    <w:rsid w:val="003A5EE9"/>
    <w:rsid w:val="003B1069"/>
    <w:rsid w:val="003B268E"/>
    <w:rsid w:val="003B3115"/>
    <w:rsid w:val="003B38E3"/>
    <w:rsid w:val="003B66E9"/>
    <w:rsid w:val="003B6BB1"/>
    <w:rsid w:val="003B7463"/>
    <w:rsid w:val="003C0452"/>
    <w:rsid w:val="003C051F"/>
    <w:rsid w:val="003C0612"/>
    <w:rsid w:val="003C0CA3"/>
    <w:rsid w:val="003C0F0B"/>
    <w:rsid w:val="003C17D6"/>
    <w:rsid w:val="003C2048"/>
    <w:rsid w:val="003C2202"/>
    <w:rsid w:val="003C3CC6"/>
    <w:rsid w:val="003C456C"/>
    <w:rsid w:val="003C4A34"/>
    <w:rsid w:val="003C4B02"/>
    <w:rsid w:val="003C5A4E"/>
    <w:rsid w:val="003C6DF4"/>
    <w:rsid w:val="003C704B"/>
    <w:rsid w:val="003D106B"/>
    <w:rsid w:val="003D1671"/>
    <w:rsid w:val="003D26F4"/>
    <w:rsid w:val="003D2977"/>
    <w:rsid w:val="003D2C78"/>
    <w:rsid w:val="003D5108"/>
    <w:rsid w:val="003D579F"/>
    <w:rsid w:val="003D7597"/>
    <w:rsid w:val="003D7A37"/>
    <w:rsid w:val="003E024D"/>
    <w:rsid w:val="003E1122"/>
    <w:rsid w:val="003E19A6"/>
    <w:rsid w:val="003E1DEC"/>
    <w:rsid w:val="003E2C2F"/>
    <w:rsid w:val="003E2E77"/>
    <w:rsid w:val="003E3A9E"/>
    <w:rsid w:val="003E3B1A"/>
    <w:rsid w:val="003E3C33"/>
    <w:rsid w:val="003E3DCB"/>
    <w:rsid w:val="003E4C38"/>
    <w:rsid w:val="003E5ADE"/>
    <w:rsid w:val="003E5BA6"/>
    <w:rsid w:val="003F0384"/>
    <w:rsid w:val="003F314F"/>
    <w:rsid w:val="003F3859"/>
    <w:rsid w:val="003F5739"/>
    <w:rsid w:val="003F6C00"/>
    <w:rsid w:val="003F6D7C"/>
    <w:rsid w:val="00400641"/>
    <w:rsid w:val="00401B97"/>
    <w:rsid w:val="0040298A"/>
    <w:rsid w:val="004032C2"/>
    <w:rsid w:val="00404175"/>
    <w:rsid w:val="00405B32"/>
    <w:rsid w:val="0040735D"/>
    <w:rsid w:val="0040763B"/>
    <w:rsid w:val="00410C11"/>
    <w:rsid w:val="00410C4F"/>
    <w:rsid w:val="00411E68"/>
    <w:rsid w:val="004120FD"/>
    <w:rsid w:val="0041322E"/>
    <w:rsid w:val="004148E1"/>
    <w:rsid w:val="00414BF3"/>
    <w:rsid w:val="00414DEE"/>
    <w:rsid w:val="00415E5A"/>
    <w:rsid w:val="00416E1D"/>
    <w:rsid w:val="004170DB"/>
    <w:rsid w:val="00417854"/>
    <w:rsid w:val="004200A8"/>
    <w:rsid w:val="004206C3"/>
    <w:rsid w:val="00421295"/>
    <w:rsid w:val="00422160"/>
    <w:rsid w:val="00422420"/>
    <w:rsid w:val="0042353B"/>
    <w:rsid w:val="004248B4"/>
    <w:rsid w:val="0042648E"/>
    <w:rsid w:val="00426B11"/>
    <w:rsid w:val="004316FC"/>
    <w:rsid w:val="00431BEA"/>
    <w:rsid w:val="00431EF0"/>
    <w:rsid w:val="0043232A"/>
    <w:rsid w:val="00432F45"/>
    <w:rsid w:val="004346FD"/>
    <w:rsid w:val="00435C59"/>
    <w:rsid w:val="00436A68"/>
    <w:rsid w:val="00436D6F"/>
    <w:rsid w:val="004379A7"/>
    <w:rsid w:val="00437B4B"/>
    <w:rsid w:val="00437BCE"/>
    <w:rsid w:val="0044047B"/>
    <w:rsid w:val="004405A4"/>
    <w:rsid w:val="0044091A"/>
    <w:rsid w:val="0044132E"/>
    <w:rsid w:val="00441942"/>
    <w:rsid w:val="00441953"/>
    <w:rsid w:val="00441975"/>
    <w:rsid w:val="00441F24"/>
    <w:rsid w:val="0044239B"/>
    <w:rsid w:val="00444734"/>
    <w:rsid w:val="00444DD0"/>
    <w:rsid w:val="00445FD4"/>
    <w:rsid w:val="00446165"/>
    <w:rsid w:val="0044714C"/>
    <w:rsid w:val="00447771"/>
    <w:rsid w:val="0044789C"/>
    <w:rsid w:val="00447EB3"/>
    <w:rsid w:val="00450C25"/>
    <w:rsid w:val="004512DD"/>
    <w:rsid w:val="004546A3"/>
    <w:rsid w:val="004549B8"/>
    <w:rsid w:val="00455613"/>
    <w:rsid w:val="0045619C"/>
    <w:rsid w:val="00456D74"/>
    <w:rsid w:val="00460184"/>
    <w:rsid w:val="00460A67"/>
    <w:rsid w:val="00462029"/>
    <w:rsid w:val="00462B5E"/>
    <w:rsid w:val="004640A5"/>
    <w:rsid w:val="00465BBF"/>
    <w:rsid w:val="00465E22"/>
    <w:rsid w:val="00467CB1"/>
    <w:rsid w:val="004716C2"/>
    <w:rsid w:val="004721D1"/>
    <w:rsid w:val="0047494D"/>
    <w:rsid w:val="00474CDD"/>
    <w:rsid w:val="0047528F"/>
    <w:rsid w:val="004753AB"/>
    <w:rsid w:val="00475550"/>
    <w:rsid w:val="004762EB"/>
    <w:rsid w:val="00476892"/>
    <w:rsid w:val="00477458"/>
    <w:rsid w:val="00477594"/>
    <w:rsid w:val="004807BE"/>
    <w:rsid w:val="00481AE9"/>
    <w:rsid w:val="00482084"/>
    <w:rsid w:val="0048345B"/>
    <w:rsid w:val="0048458A"/>
    <w:rsid w:val="00484790"/>
    <w:rsid w:val="004863D8"/>
    <w:rsid w:val="00486CFE"/>
    <w:rsid w:val="00490BD0"/>
    <w:rsid w:val="004917B9"/>
    <w:rsid w:val="0049185D"/>
    <w:rsid w:val="00493626"/>
    <w:rsid w:val="004936D2"/>
    <w:rsid w:val="004943A5"/>
    <w:rsid w:val="004946CC"/>
    <w:rsid w:val="0049512F"/>
    <w:rsid w:val="00495401"/>
    <w:rsid w:val="0049596E"/>
    <w:rsid w:val="00495F69"/>
    <w:rsid w:val="004A1D2F"/>
    <w:rsid w:val="004A2E2A"/>
    <w:rsid w:val="004A31A7"/>
    <w:rsid w:val="004A4D64"/>
    <w:rsid w:val="004A65E0"/>
    <w:rsid w:val="004A6618"/>
    <w:rsid w:val="004A7838"/>
    <w:rsid w:val="004B0EC6"/>
    <w:rsid w:val="004B1B7D"/>
    <w:rsid w:val="004B3334"/>
    <w:rsid w:val="004B4461"/>
    <w:rsid w:val="004B503E"/>
    <w:rsid w:val="004B5390"/>
    <w:rsid w:val="004B5DAB"/>
    <w:rsid w:val="004B6273"/>
    <w:rsid w:val="004B6463"/>
    <w:rsid w:val="004B690E"/>
    <w:rsid w:val="004B6950"/>
    <w:rsid w:val="004B6EE9"/>
    <w:rsid w:val="004B6F92"/>
    <w:rsid w:val="004C0246"/>
    <w:rsid w:val="004C0B69"/>
    <w:rsid w:val="004C0BBA"/>
    <w:rsid w:val="004C0EA9"/>
    <w:rsid w:val="004C2985"/>
    <w:rsid w:val="004C3220"/>
    <w:rsid w:val="004C3514"/>
    <w:rsid w:val="004C3C01"/>
    <w:rsid w:val="004C4771"/>
    <w:rsid w:val="004C5AA7"/>
    <w:rsid w:val="004C5E20"/>
    <w:rsid w:val="004C6D4B"/>
    <w:rsid w:val="004C6FF6"/>
    <w:rsid w:val="004C77BA"/>
    <w:rsid w:val="004D0025"/>
    <w:rsid w:val="004D119D"/>
    <w:rsid w:val="004D1B94"/>
    <w:rsid w:val="004D2AB2"/>
    <w:rsid w:val="004D2F9D"/>
    <w:rsid w:val="004D3F11"/>
    <w:rsid w:val="004D4FCD"/>
    <w:rsid w:val="004D57D7"/>
    <w:rsid w:val="004D7A43"/>
    <w:rsid w:val="004E101D"/>
    <w:rsid w:val="004E1AC2"/>
    <w:rsid w:val="004E2E08"/>
    <w:rsid w:val="004E3093"/>
    <w:rsid w:val="004E499F"/>
    <w:rsid w:val="004E50BC"/>
    <w:rsid w:val="004E652A"/>
    <w:rsid w:val="004E6696"/>
    <w:rsid w:val="004E7FE5"/>
    <w:rsid w:val="004F0CBA"/>
    <w:rsid w:val="004F1129"/>
    <w:rsid w:val="004F197C"/>
    <w:rsid w:val="004F2865"/>
    <w:rsid w:val="004F3840"/>
    <w:rsid w:val="004F411B"/>
    <w:rsid w:val="004F41EF"/>
    <w:rsid w:val="004F4B97"/>
    <w:rsid w:val="004F4D93"/>
    <w:rsid w:val="004F5866"/>
    <w:rsid w:val="004F673C"/>
    <w:rsid w:val="004F75B1"/>
    <w:rsid w:val="0050084A"/>
    <w:rsid w:val="00500906"/>
    <w:rsid w:val="00500ABC"/>
    <w:rsid w:val="005016F1"/>
    <w:rsid w:val="0050187A"/>
    <w:rsid w:val="00501C33"/>
    <w:rsid w:val="005028F7"/>
    <w:rsid w:val="00503766"/>
    <w:rsid w:val="00503DF4"/>
    <w:rsid w:val="0050600B"/>
    <w:rsid w:val="00510AC0"/>
    <w:rsid w:val="00510D56"/>
    <w:rsid w:val="0051343B"/>
    <w:rsid w:val="0051403B"/>
    <w:rsid w:val="00514DAA"/>
    <w:rsid w:val="00515028"/>
    <w:rsid w:val="00515161"/>
    <w:rsid w:val="00517E80"/>
    <w:rsid w:val="00521591"/>
    <w:rsid w:val="005228A1"/>
    <w:rsid w:val="00522DCB"/>
    <w:rsid w:val="005238C6"/>
    <w:rsid w:val="00526E53"/>
    <w:rsid w:val="00526FBA"/>
    <w:rsid w:val="00527CD5"/>
    <w:rsid w:val="00530442"/>
    <w:rsid w:val="00531198"/>
    <w:rsid w:val="00531829"/>
    <w:rsid w:val="0053193D"/>
    <w:rsid w:val="00531A76"/>
    <w:rsid w:val="00531C79"/>
    <w:rsid w:val="00531F80"/>
    <w:rsid w:val="00532D68"/>
    <w:rsid w:val="005330B5"/>
    <w:rsid w:val="005333D3"/>
    <w:rsid w:val="00533B55"/>
    <w:rsid w:val="00534D95"/>
    <w:rsid w:val="00535D66"/>
    <w:rsid w:val="005366DB"/>
    <w:rsid w:val="005377CF"/>
    <w:rsid w:val="005408FA"/>
    <w:rsid w:val="00540D3E"/>
    <w:rsid w:val="0054120A"/>
    <w:rsid w:val="005416F9"/>
    <w:rsid w:val="005425AD"/>
    <w:rsid w:val="005425C3"/>
    <w:rsid w:val="00544265"/>
    <w:rsid w:val="005460DC"/>
    <w:rsid w:val="0054710D"/>
    <w:rsid w:val="00547DEA"/>
    <w:rsid w:val="00552265"/>
    <w:rsid w:val="00553452"/>
    <w:rsid w:val="00556B61"/>
    <w:rsid w:val="00556C55"/>
    <w:rsid w:val="005576F2"/>
    <w:rsid w:val="00560473"/>
    <w:rsid w:val="005605FF"/>
    <w:rsid w:val="00560B92"/>
    <w:rsid w:val="00560F60"/>
    <w:rsid w:val="00561CF1"/>
    <w:rsid w:val="00563891"/>
    <w:rsid w:val="00563A08"/>
    <w:rsid w:val="00564AD7"/>
    <w:rsid w:val="00566CC0"/>
    <w:rsid w:val="00567063"/>
    <w:rsid w:val="00567408"/>
    <w:rsid w:val="00567FE4"/>
    <w:rsid w:val="00570529"/>
    <w:rsid w:val="00570722"/>
    <w:rsid w:val="00572761"/>
    <w:rsid w:val="00572CB7"/>
    <w:rsid w:val="00572E52"/>
    <w:rsid w:val="00573E9A"/>
    <w:rsid w:val="005744A3"/>
    <w:rsid w:val="005746B7"/>
    <w:rsid w:val="005747A5"/>
    <w:rsid w:val="005747E0"/>
    <w:rsid w:val="00574B15"/>
    <w:rsid w:val="00574F71"/>
    <w:rsid w:val="00575021"/>
    <w:rsid w:val="0057519E"/>
    <w:rsid w:val="005762B6"/>
    <w:rsid w:val="0057658C"/>
    <w:rsid w:val="00577D02"/>
    <w:rsid w:val="0058019B"/>
    <w:rsid w:val="00580F56"/>
    <w:rsid w:val="00581A9B"/>
    <w:rsid w:val="00581E06"/>
    <w:rsid w:val="005820F8"/>
    <w:rsid w:val="005828B4"/>
    <w:rsid w:val="00583E8E"/>
    <w:rsid w:val="0058497D"/>
    <w:rsid w:val="00584FC0"/>
    <w:rsid w:val="005858D8"/>
    <w:rsid w:val="00586AD5"/>
    <w:rsid w:val="005875A1"/>
    <w:rsid w:val="00590108"/>
    <w:rsid w:val="0059163A"/>
    <w:rsid w:val="005922AB"/>
    <w:rsid w:val="0059343F"/>
    <w:rsid w:val="0059363A"/>
    <w:rsid w:val="0059428B"/>
    <w:rsid w:val="00596B19"/>
    <w:rsid w:val="00596C9B"/>
    <w:rsid w:val="005A2840"/>
    <w:rsid w:val="005A351D"/>
    <w:rsid w:val="005A3F42"/>
    <w:rsid w:val="005A4EB8"/>
    <w:rsid w:val="005A564C"/>
    <w:rsid w:val="005A7CDA"/>
    <w:rsid w:val="005B15FF"/>
    <w:rsid w:val="005B1A05"/>
    <w:rsid w:val="005B1EB6"/>
    <w:rsid w:val="005B3377"/>
    <w:rsid w:val="005B51B7"/>
    <w:rsid w:val="005B59B4"/>
    <w:rsid w:val="005B5E5B"/>
    <w:rsid w:val="005B71F8"/>
    <w:rsid w:val="005B7C22"/>
    <w:rsid w:val="005C0961"/>
    <w:rsid w:val="005C1E86"/>
    <w:rsid w:val="005C2226"/>
    <w:rsid w:val="005C3821"/>
    <w:rsid w:val="005C4BC9"/>
    <w:rsid w:val="005C516F"/>
    <w:rsid w:val="005C55BB"/>
    <w:rsid w:val="005C5E06"/>
    <w:rsid w:val="005C78F0"/>
    <w:rsid w:val="005D19F8"/>
    <w:rsid w:val="005D490A"/>
    <w:rsid w:val="005D5339"/>
    <w:rsid w:val="005D548C"/>
    <w:rsid w:val="005D54A4"/>
    <w:rsid w:val="005D74F2"/>
    <w:rsid w:val="005E0BBF"/>
    <w:rsid w:val="005E1DAD"/>
    <w:rsid w:val="005E20DD"/>
    <w:rsid w:val="005E2A2E"/>
    <w:rsid w:val="005E2EC2"/>
    <w:rsid w:val="005E4E29"/>
    <w:rsid w:val="005E5AD0"/>
    <w:rsid w:val="005E6FED"/>
    <w:rsid w:val="005E70E8"/>
    <w:rsid w:val="005E7A64"/>
    <w:rsid w:val="005E7C8B"/>
    <w:rsid w:val="005F042D"/>
    <w:rsid w:val="005F1E50"/>
    <w:rsid w:val="005F2040"/>
    <w:rsid w:val="005F2A0C"/>
    <w:rsid w:val="005F2B31"/>
    <w:rsid w:val="005F2D9D"/>
    <w:rsid w:val="005F31D8"/>
    <w:rsid w:val="005F3EEF"/>
    <w:rsid w:val="005F43BC"/>
    <w:rsid w:val="005F44D0"/>
    <w:rsid w:val="005F53AE"/>
    <w:rsid w:val="005F5810"/>
    <w:rsid w:val="005F64C6"/>
    <w:rsid w:val="005F677E"/>
    <w:rsid w:val="005F6850"/>
    <w:rsid w:val="00600202"/>
    <w:rsid w:val="00600F53"/>
    <w:rsid w:val="006029BA"/>
    <w:rsid w:val="00604782"/>
    <w:rsid w:val="00606117"/>
    <w:rsid w:val="00606819"/>
    <w:rsid w:val="00606A8D"/>
    <w:rsid w:val="00606B7D"/>
    <w:rsid w:val="006076ED"/>
    <w:rsid w:val="00607F1D"/>
    <w:rsid w:val="00610908"/>
    <w:rsid w:val="00611A3E"/>
    <w:rsid w:val="0061243B"/>
    <w:rsid w:val="00612C9A"/>
    <w:rsid w:val="00612E4C"/>
    <w:rsid w:val="006148B7"/>
    <w:rsid w:val="00614C52"/>
    <w:rsid w:val="006165ED"/>
    <w:rsid w:val="006178B3"/>
    <w:rsid w:val="00621D6C"/>
    <w:rsid w:val="00622034"/>
    <w:rsid w:val="006224C7"/>
    <w:rsid w:val="00622E79"/>
    <w:rsid w:val="00624AEE"/>
    <w:rsid w:val="006301BD"/>
    <w:rsid w:val="006311FD"/>
    <w:rsid w:val="006313FB"/>
    <w:rsid w:val="006326FF"/>
    <w:rsid w:val="00632915"/>
    <w:rsid w:val="00632AF0"/>
    <w:rsid w:val="00634058"/>
    <w:rsid w:val="006341BD"/>
    <w:rsid w:val="00636067"/>
    <w:rsid w:val="006369FB"/>
    <w:rsid w:val="00636CD2"/>
    <w:rsid w:val="0063707D"/>
    <w:rsid w:val="006409D0"/>
    <w:rsid w:val="0064214E"/>
    <w:rsid w:val="00642A8E"/>
    <w:rsid w:val="0064354E"/>
    <w:rsid w:val="00644BD9"/>
    <w:rsid w:val="00645691"/>
    <w:rsid w:val="00646EB1"/>
    <w:rsid w:val="00647407"/>
    <w:rsid w:val="006522A6"/>
    <w:rsid w:val="006525E9"/>
    <w:rsid w:val="006533FA"/>
    <w:rsid w:val="0065369D"/>
    <w:rsid w:val="006548A6"/>
    <w:rsid w:val="006557E6"/>
    <w:rsid w:val="00655F4C"/>
    <w:rsid w:val="00656621"/>
    <w:rsid w:val="00656AAF"/>
    <w:rsid w:val="00657074"/>
    <w:rsid w:val="0066065B"/>
    <w:rsid w:val="00660E0E"/>
    <w:rsid w:val="006610A2"/>
    <w:rsid w:val="00661662"/>
    <w:rsid w:val="00661A12"/>
    <w:rsid w:val="00662130"/>
    <w:rsid w:val="00662DAB"/>
    <w:rsid w:val="00663229"/>
    <w:rsid w:val="00663ED0"/>
    <w:rsid w:val="0066594B"/>
    <w:rsid w:val="00665AD6"/>
    <w:rsid w:val="006662F6"/>
    <w:rsid w:val="00666BCC"/>
    <w:rsid w:val="00670431"/>
    <w:rsid w:val="00671024"/>
    <w:rsid w:val="00674C3F"/>
    <w:rsid w:val="0067533E"/>
    <w:rsid w:val="00675C3F"/>
    <w:rsid w:val="00675E73"/>
    <w:rsid w:val="0067672C"/>
    <w:rsid w:val="006775D1"/>
    <w:rsid w:val="0068018C"/>
    <w:rsid w:val="00683F8B"/>
    <w:rsid w:val="00684F95"/>
    <w:rsid w:val="00684FDA"/>
    <w:rsid w:val="006860B1"/>
    <w:rsid w:val="00686744"/>
    <w:rsid w:val="00687E8A"/>
    <w:rsid w:val="00690284"/>
    <w:rsid w:val="00690503"/>
    <w:rsid w:val="00690D80"/>
    <w:rsid w:val="0069112B"/>
    <w:rsid w:val="00691DE8"/>
    <w:rsid w:val="006946B9"/>
    <w:rsid w:val="00696433"/>
    <w:rsid w:val="0069649C"/>
    <w:rsid w:val="006969CD"/>
    <w:rsid w:val="00696C2F"/>
    <w:rsid w:val="006974D2"/>
    <w:rsid w:val="00697825"/>
    <w:rsid w:val="006A1679"/>
    <w:rsid w:val="006A1684"/>
    <w:rsid w:val="006A3A33"/>
    <w:rsid w:val="006A3ADA"/>
    <w:rsid w:val="006A552B"/>
    <w:rsid w:val="006A6140"/>
    <w:rsid w:val="006A6D50"/>
    <w:rsid w:val="006A6EE0"/>
    <w:rsid w:val="006B0F5B"/>
    <w:rsid w:val="006B1482"/>
    <w:rsid w:val="006B3125"/>
    <w:rsid w:val="006B44F8"/>
    <w:rsid w:val="006B50EE"/>
    <w:rsid w:val="006B5523"/>
    <w:rsid w:val="006B5DA5"/>
    <w:rsid w:val="006B687F"/>
    <w:rsid w:val="006C0008"/>
    <w:rsid w:val="006C13AB"/>
    <w:rsid w:val="006C152F"/>
    <w:rsid w:val="006C2320"/>
    <w:rsid w:val="006C2338"/>
    <w:rsid w:val="006C2390"/>
    <w:rsid w:val="006C2E1A"/>
    <w:rsid w:val="006C368A"/>
    <w:rsid w:val="006C3ABD"/>
    <w:rsid w:val="006C3B87"/>
    <w:rsid w:val="006C436F"/>
    <w:rsid w:val="006C4A59"/>
    <w:rsid w:val="006C60FE"/>
    <w:rsid w:val="006C6190"/>
    <w:rsid w:val="006C62D7"/>
    <w:rsid w:val="006C66E5"/>
    <w:rsid w:val="006C68B0"/>
    <w:rsid w:val="006D0211"/>
    <w:rsid w:val="006D23A2"/>
    <w:rsid w:val="006D2E03"/>
    <w:rsid w:val="006D37DD"/>
    <w:rsid w:val="006D61F9"/>
    <w:rsid w:val="006D635A"/>
    <w:rsid w:val="006D6802"/>
    <w:rsid w:val="006D6A34"/>
    <w:rsid w:val="006D7044"/>
    <w:rsid w:val="006D739F"/>
    <w:rsid w:val="006D7ACE"/>
    <w:rsid w:val="006D7C69"/>
    <w:rsid w:val="006D7E69"/>
    <w:rsid w:val="006E00F2"/>
    <w:rsid w:val="006E020A"/>
    <w:rsid w:val="006E02C9"/>
    <w:rsid w:val="006E0B61"/>
    <w:rsid w:val="006E0EF2"/>
    <w:rsid w:val="006E1DD3"/>
    <w:rsid w:val="006E3097"/>
    <w:rsid w:val="006E358B"/>
    <w:rsid w:val="006E3BAE"/>
    <w:rsid w:val="006E4939"/>
    <w:rsid w:val="006E65CC"/>
    <w:rsid w:val="006E6E04"/>
    <w:rsid w:val="006F009D"/>
    <w:rsid w:val="006F1299"/>
    <w:rsid w:val="006F2DE5"/>
    <w:rsid w:val="006F31BC"/>
    <w:rsid w:val="006F3BC1"/>
    <w:rsid w:val="006F5D1D"/>
    <w:rsid w:val="006F5D4C"/>
    <w:rsid w:val="006F6617"/>
    <w:rsid w:val="006F6C48"/>
    <w:rsid w:val="006F6E68"/>
    <w:rsid w:val="006F6FD0"/>
    <w:rsid w:val="006F7AD1"/>
    <w:rsid w:val="00701B2D"/>
    <w:rsid w:val="0070383A"/>
    <w:rsid w:val="007045D4"/>
    <w:rsid w:val="00705180"/>
    <w:rsid w:val="00706B16"/>
    <w:rsid w:val="007071FB"/>
    <w:rsid w:val="00707641"/>
    <w:rsid w:val="0071051B"/>
    <w:rsid w:val="007112CF"/>
    <w:rsid w:val="00712679"/>
    <w:rsid w:val="00715AE6"/>
    <w:rsid w:val="00716A8B"/>
    <w:rsid w:val="00716BBC"/>
    <w:rsid w:val="00717273"/>
    <w:rsid w:val="007172F3"/>
    <w:rsid w:val="00717606"/>
    <w:rsid w:val="00717DF7"/>
    <w:rsid w:val="00717FA1"/>
    <w:rsid w:val="00721ADE"/>
    <w:rsid w:val="00721FBC"/>
    <w:rsid w:val="0072255A"/>
    <w:rsid w:val="007264A8"/>
    <w:rsid w:val="00726A22"/>
    <w:rsid w:val="00727CE6"/>
    <w:rsid w:val="007317AC"/>
    <w:rsid w:val="0073261C"/>
    <w:rsid w:val="0073442A"/>
    <w:rsid w:val="00734708"/>
    <w:rsid w:val="00734F49"/>
    <w:rsid w:val="00735554"/>
    <w:rsid w:val="007358AD"/>
    <w:rsid w:val="00737187"/>
    <w:rsid w:val="00737CE9"/>
    <w:rsid w:val="007401A6"/>
    <w:rsid w:val="00741163"/>
    <w:rsid w:val="00741826"/>
    <w:rsid w:val="00741CFE"/>
    <w:rsid w:val="00741F87"/>
    <w:rsid w:val="007429EB"/>
    <w:rsid w:val="00742B1C"/>
    <w:rsid w:val="00742BC6"/>
    <w:rsid w:val="0074355B"/>
    <w:rsid w:val="00743FA5"/>
    <w:rsid w:val="007449DB"/>
    <w:rsid w:val="007460BE"/>
    <w:rsid w:val="00746B23"/>
    <w:rsid w:val="00747BBB"/>
    <w:rsid w:val="00750E23"/>
    <w:rsid w:val="00751C34"/>
    <w:rsid w:val="0075225A"/>
    <w:rsid w:val="00752652"/>
    <w:rsid w:val="007526C3"/>
    <w:rsid w:val="007528F0"/>
    <w:rsid w:val="00752B9A"/>
    <w:rsid w:val="00753010"/>
    <w:rsid w:val="00755378"/>
    <w:rsid w:val="00755510"/>
    <w:rsid w:val="007563E4"/>
    <w:rsid w:val="00756803"/>
    <w:rsid w:val="00756915"/>
    <w:rsid w:val="007572DF"/>
    <w:rsid w:val="007605FD"/>
    <w:rsid w:val="00761338"/>
    <w:rsid w:val="00761D55"/>
    <w:rsid w:val="00764815"/>
    <w:rsid w:val="00764C02"/>
    <w:rsid w:val="00765FAE"/>
    <w:rsid w:val="00765FFA"/>
    <w:rsid w:val="0076620A"/>
    <w:rsid w:val="00766426"/>
    <w:rsid w:val="00766568"/>
    <w:rsid w:val="00766EAE"/>
    <w:rsid w:val="00767720"/>
    <w:rsid w:val="00767902"/>
    <w:rsid w:val="00767F89"/>
    <w:rsid w:val="00771014"/>
    <w:rsid w:val="0077120C"/>
    <w:rsid w:val="00771975"/>
    <w:rsid w:val="00773331"/>
    <w:rsid w:val="00774A0A"/>
    <w:rsid w:val="00775145"/>
    <w:rsid w:val="00776402"/>
    <w:rsid w:val="00776EBA"/>
    <w:rsid w:val="007775C5"/>
    <w:rsid w:val="00777999"/>
    <w:rsid w:val="00777DAF"/>
    <w:rsid w:val="007809DF"/>
    <w:rsid w:val="00781729"/>
    <w:rsid w:val="0078182E"/>
    <w:rsid w:val="0078191D"/>
    <w:rsid w:val="007819CE"/>
    <w:rsid w:val="0078272D"/>
    <w:rsid w:val="0078295F"/>
    <w:rsid w:val="0078340C"/>
    <w:rsid w:val="00784016"/>
    <w:rsid w:val="00785F98"/>
    <w:rsid w:val="0078621B"/>
    <w:rsid w:val="00787431"/>
    <w:rsid w:val="00787978"/>
    <w:rsid w:val="0079112F"/>
    <w:rsid w:val="0079289A"/>
    <w:rsid w:val="00792B6D"/>
    <w:rsid w:val="007932EF"/>
    <w:rsid w:val="00793381"/>
    <w:rsid w:val="00793E80"/>
    <w:rsid w:val="00794F32"/>
    <w:rsid w:val="00796119"/>
    <w:rsid w:val="00796547"/>
    <w:rsid w:val="00796668"/>
    <w:rsid w:val="0079688D"/>
    <w:rsid w:val="007A0571"/>
    <w:rsid w:val="007A0652"/>
    <w:rsid w:val="007A085A"/>
    <w:rsid w:val="007A115E"/>
    <w:rsid w:val="007A19A6"/>
    <w:rsid w:val="007A556E"/>
    <w:rsid w:val="007A6A0F"/>
    <w:rsid w:val="007A6A63"/>
    <w:rsid w:val="007A7908"/>
    <w:rsid w:val="007A7B43"/>
    <w:rsid w:val="007A7DED"/>
    <w:rsid w:val="007A7EC2"/>
    <w:rsid w:val="007B0584"/>
    <w:rsid w:val="007B079C"/>
    <w:rsid w:val="007B0F04"/>
    <w:rsid w:val="007B1023"/>
    <w:rsid w:val="007B18AA"/>
    <w:rsid w:val="007B2AC6"/>
    <w:rsid w:val="007B35B1"/>
    <w:rsid w:val="007B3C36"/>
    <w:rsid w:val="007B3E71"/>
    <w:rsid w:val="007B4203"/>
    <w:rsid w:val="007B5D8A"/>
    <w:rsid w:val="007B6A17"/>
    <w:rsid w:val="007C0C3D"/>
    <w:rsid w:val="007C1BC7"/>
    <w:rsid w:val="007C37EA"/>
    <w:rsid w:val="007C3DA5"/>
    <w:rsid w:val="007C4D00"/>
    <w:rsid w:val="007C51D2"/>
    <w:rsid w:val="007C52B7"/>
    <w:rsid w:val="007C573A"/>
    <w:rsid w:val="007C6AF5"/>
    <w:rsid w:val="007C760A"/>
    <w:rsid w:val="007D1D12"/>
    <w:rsid w:val="007D22D8"/>
    <w:rsid w:val="007D237B"/>
    <w:rsid w:val="007D24F4"/>
    <w:rsid w:val="007D3441"/>
    <w:rsid w:val="007D35E7"/>
    <w:rsid w:val="007D3DA5"/>
    <w:rsid w:val="007D3FE2"/>
    <w:rsid w:val="007D4314"/>
    <w:rsid w:val="007D5381"/>
    <w:rsid w:val="007E05B0"/>
    <w:rsid w:val="007E07BE"/>
    <w:rsid w:val="007E0981"/>
    <w:rsid w:val="007E1654"/>
    <w:rsid w:val="007E1D0E"/>
    <w:rsid w:val="007E3F98"/>
    <w:rsid w:val="007E4FEE"/>
    <w:rsid w:val="007E5350"/>
    <w:rsid w:val="007E59BD"/>
    <w:rsid w:val="007E5B15"/>
    <w:rsid w:val="007E5E79"/>
    <w:rsid w:val="007E6BE9"/>
    <w:rsid w:val="007E6C6D"/>
    <w:rsid w:val="007E7EB1"/>
    <w:rsid w:val="007F04E1"/>
    <w:rsid w:val="007F0DDB"/>
    <w:rsid w:val="007F20E1"/>
    <w:rsid w:val="007F2D7C"/>
    <w:rsid w:val="007F2DC9"/>
    <w:rsid w:val="007F3A81"/>
    <w:rsid w:val="007F485C"/>
    <w:rsid w:val="007F4AA1"/>
    <w:rsid w:val="007F5C19"/>
    <w:rsid w:val="007F60C0"/>
    <w:rsid w:val="007F6A2E"/>
    <w:rsid w:val="007F7675"/>
    <w:rsid w:val="007F7C2E"/>
    <w:rsid w:val="00800FF7"/>
    <w:rsid w:val="00801C44"/>
    <w:rsid w:val="008026B2"/>
    <w:rsid w:val="008027AE"/>
    <w:rsid w:val="00803B9C"/>
    <w:rsid w:val="00806449"/>
    <w:rsid w:val="00806596"/>
    <w:rsid w:val="008068E7"/>
    <w:rsid w:val="00806E4C"/>
    <w:rsid w:val="0080710F"/>
    <w:rsid w:val="00810EC7"/>
    <w:rsid w:val="00811103"/>
    <w:rsid w:val="00811662"/>
    <w:rsid w:val="008118FD"/>
    <w:rsid w:val="00811FBA"/>
    <w:rsid w:val="00814B6A"/>
    <w:rsid w:val="00814EA4"/>
    <w:rsid w:val="0081549C"/>
    <w:rsid w:val="00815572"/>
    <w:rsid w:val="008165E4"/>
    <w:rsid w:val="00821441"/>
    <w:rsid w:val="00822254"/>
    <w:rsid w:val="0082447A"/>
    <w:rsid w:val="00825276"/>
    <w:rsid w:val="00826CAC"/>
    <w:rsid w:val="00826F2A"/>
    <w:rsid w:val="00827CE3"/>
    <w:rsid w:val="008305F8"/>
    <w:rsid w:val="0083113C"/>
    <w:rsid w:val="00832A76"/>
    <w:rsid w:val="00832C15"/>
    <w:rsid w:val="00832FFC"/>
    <w:rsid w:val="008344FE"/>
    <w:rsid w:val="008350B9"/>
    <w:rsid w:val="00840315"/>
    <w:rsid w:val="0084257A"/>
    <w:rsid w:val="00842B51"/>
    <w:rsid w:val="00842B6F"/>
    <w:rsid w:val="0084375F"/>
    <w:rsid w:val="00843B49"/>
    <w:rsid w:val="00845479"/>
    <w:rsid w:val="0084672C"/>
    <w:rsid w:val="00847CB4"/>
    <w:rsid w:val="0085086E"/>
    <w:rsid w:val="00851B5D"/>
    <w:rsid w:val="008526E4"/>
    <w:rsid w:val="00852A95"/>
    <w:rsid w:val="0085775F"/>
    <w:rsid w:val="00857CB2"/>
    <w:rsid w:val="008601E9"/>
    <w:rsid w:val="00862547"/>
    <w:rsid w:val="00863454"/>
    <w:rsid w:val="00863C69"/>
    <w:rsid w:val="00863C6A"/>
    <w:rsid w:val="008643B7"/>
    <w:rsid w:val="008655F7"/>
    <w:rsid w:val="0086598C"/>
    <w:rsid w:val="0087097C"/>
    <w:rsid w:val="00871F40"/>
    <w:rsid w:val="00873E65"/>
    <w:rsid w:val="008744A8"/>
    <w:rsid w:val="00874D22"/>
    <w:rsid w:val="00875040"/>
    <w:rsid w:val="0087626D"/>
    <w:rsid w:val="0087667B"/>
    <w:rsid w:val="00876D78"/>
    <w:rsid w:val="0087705D"/>
    <w:rsid w:val="008805C6"/>
    <w:rsid w:val="00881A40"/>
    <w:rsid w:val="008821FE"/>
    <w:rsid w:val="00882F92"/>
    <w:rsid w:val="008830FC"/>
    <w:rsid w:val="008838D1"/>
    <w:rsid w:val="00884252"/>
    <w:rsid w:val="008848ED"/>
    <w:rsid w:val="00885DA6"/>
    <w:rsid w:val="0088745F"/>
    <w:rsid w:val="00887C64"/>
    <w:rsid w:val="00890B9D"/>
    <w:rsid w:val="00891BE2"/>
    <w:rsid w:val="00893813"/>
    <w:rsid w:val="00893F9E"/>
    <w:rsid w:val="00894786"/>
    <w:rsid w:val="00894F77"/>
    <w:rsid w:val="008952FE"/>
    <w:rsid w:val="008A05A8"/>
    <w:rsid w:val="008A07C5"/>
    <w:rsid w:val="008A09CB"/>
    <w:rsid w:val="008A09FA"/>
    <w:rsid w:val="008A2914"/>
    <w:rsid w:val="008A63D4"/>
    <w:rsid w:val="008A731C"/>
    <w:rsid w:val="008B09C4"/>
    <w:rsid w:val="008B0F6A"/>
    <w:rsid w:val="008B0FCD"/>
    <w:rsid w:val="008B15BF"/>
    <w:rsid w:val="008B1BE2"/>
    <w:rsid w:val="008B1E7F"/>
    <w:rsid w:val="008B2F61"/>
    <w:rsid w:val="008B3716"/>
    <w:rsid w:val="008B399F"/>
    <w:rsid w:val="008B4DAF"/>
    <w:rsid w:val="008B537F"/>
    <w:rsid w:val="008B6879"/>
    <w:rsid w:val="008B6E52"/>
    <w:rsid w:val="008C08E1"/>
    <w:rsid w:val="008C13CB"/>
    <w:rsid w:val="008C18F5"/>
    <w:rsid w:val="008C1F78"/>
    <w:rsid w:val="008C2378"/>
    <w:rsid w:val="008C2688"/>
    <w:rsid w:val="008C3A05"/>
    <w:rsid w:val="008C4677"/>
    <w:rsid w:val="008C4B1F"/>
    <w:rsid w:val="008C4C62"/>
    <w:rsid w:val="008C53BF"/>
    <w:rsid w:val="008C5ADF"/>
    <w:rsid w:val="008C6A4F"/>
    <w:rsid w:val="008C71DB"/>
    <w:rsid w:val="008D02AB"/>
    <w:rsid w:val="008D130B"/>
    <w:rsid w:val="008D22C5"/>
    <w:rsid w:val="008D2C58"/>
    <w:rsid w:val="008D2F3C"/>
    <w:rsid w:val="008D3945"/>
    <w:rsid w:val="008D3A51"/>
    <w:rsid w:val="008D3AA7"/>
    <w:rsid w:val="008D3C28"/>
    <w:rsid w:val="008D3C9B"/>
    <w:rsid w:val="008D441B"/>
    <w:rsid w:val="008D4A54"/>
    <w:rsid w:val="008D4A75"/>
    <w:rsid w:val="008E12C0"/>
    <w:rsid w:val="008E32E9"/>
    <w:rsid w:val="008E33FD"/>
    <w:rsid w:val="008E3B0D"/>
    <w:rsid w:val="008E4230"/>
    <w:rsid w:val="008E4D8E"/>
    <w:rsid w:val="008E52F9"/>
    <w:rsid w:val="008E7785"/>
    <w:rsid w:val="008E7DD4"/>
    <w:rsid w:val="008F0686"/>
    <w:rsid w:val="008F2AC3"/>
    <w:rsid w:val="008F3EA6"/>
    <w:rsid w:val="008F4F9C"/>
    <w:rsid w:val="00900BBD"/>
    <w:rsid w:val="00901448"/>
    <w:rsid w:val="009017E1"/>
    <w:rsid w:val="00901A04"/>
    <w:rsid w:val="00901BF0"/>
    <w:rsid w:val="00901C68"/>
    <w:rsid w:val="00901E2D"/>
    <w:rsid w:val="0090289B"/>
    <w:rsid w:val="00905647"/>
    <w:rsid w:val="009058C9"/>
    <w:rsid w:val="00911AF5"/>
    <w:rsid w:val="0091240A"/>
    <w:rsid w:val="00912C59"/>
    <w:rsid w:val="00913E50"/>
    <w:rsid w:val="00915253"/>
    <w:rsid w:val="00916988"/>
    <w:rsid w:val="00920572"/>
    <w:rsid w:val="00920800"/>
    <w:rsid w:val="00920C0F"/>
    <w:rsid w:val="00922D0C"/>
    <w:rsid w:val="009234B1"/>
    <w:rsid w:val="009236C3"/>
    <w:rsid w:val="00923B41"/>
    <w:rsid w:val="009249FA"/>
    <w:rsid w:val="00925F52"/>
    <w:rsid w:val="00926486"/>
    <w:rsid w:val="00931B5D"/>
    <w:rsid w:val="009337C2"/>
    <w:rsid w:val="00933FDD"/>
    <w:rsid w:val="00935670"/>
    <w:rsid w:val="00935889"/>
    <w:rsid w:val="0093634F"/>
    <w:rsid w:val="00936994"/>
    <w:rsid w:val="00937734"/>
    <w:rsid w:val="00937B39"/>
    <w:rsid w:val="00937CE9"/>
    <w:rsid w:val="00940E18"/>
    <w:rsid w:val="0094103F"/>
    <w:rsid w:val="00941238"/>
    <w:rsid w:val="0094140C"/>
    <w:rsid w:val="00942166"/>
    <w:rsid w:val="0094226E"/>
    <w:rsid w:val="00943036"/>
    <w:rsid w:val="00943B04"/>
    <w:rsid w:val="00945A17"/>
    <w:rsid w:val="00945FC6"/>
    <w:rsid w:val="00946167"/>
    <w:rsid w:val="00947727"/>
    <w:rsid w:val="00947D6E"/>
    <w:rsid w:val="00950575"/>
    <w:rsid w:val="009509BB"/>
    <w:rsid w:val="009524F0"/>
    <w:rsid w:val="0095365E"/>
    <w:rsid w:val="009556F7"/>
    <w:rsid w:val="00955F54"/>
    <w:rsid w:val="00956826"/>
    <w:rsid w:val="009616D2"/>
    <w:rsid w:val="00961C7C"/>
    <w:rsid w:val="00963C47"/>
    <w:rsid w:val="00964BFB"/>
    <w:rsid w:val="00965055"/>
    <w:rsid w:val="00966256"/>
    <w:rsid w:val="009675E7"/>
    <w:rsid w:val="00967D58"/>
    <w:rsid w:val="00967F60"/>
    <w:rsid w:val="00971834"/>
    <w:rsid w:val="00974E63"/>
    <w:rsid w:val="009754C1"/>
    <w:rsid w:val="009754E8"/>
    <w:rsid w:val="009756C4"/>
    <w:rsid w:val="00976227"/>
    <w:rsid w:val="00977505"/>
    <w:rsid w:val="009779CB"/>
    <w:rsid w:val="00977C4B"/>
    <w:rsid w:val="00980C41"/>
    <w:rsid w:val="00981878"/>
    <w:rsid w:val="00981C7D"/>
    <w:rsid w:val="00983114"/>
    <w:rsid w:val="0098332E"/>
    <w:rsid w:val="009850CC"/>
    <w:rsid w:val="009857C9"/>
    <w:rsid w:val="00986B9F"/>
    <w:rsid w:val="00987308"/>
    <w:rsid w:val="00987501"/>
    <w:rsid w:val="009879D0"/>
    <w:rsid w:val="00990F65"/>
    <w:rsid w:val="00991C2A"/>
    <w:rsid w:val="00992490"/>
    <w:rsid w:val="0099330A"/>
    <w:rsid w:val="0099491D"/>
    <w:rsid w:val="009949FD"/>
    <w:rsid w:val="00994CA8"/>
    <w:rsid w:val="009957FC"/>
    <w:rsid w:val="00996327"/>
    <w:rsid w:val="00996CAC"/>
    <w:rsid w:val="00997B9F"/>
    <w:rsid w:val="009A09EA"/>
    <w:rsid w:val="009A2758"/>
    <w:rsid w:val="009A32EE"/>
    <w:rsid w:val="009A369A"/>
    <w:rsid w:val="009A3AF1"/>
    <w:rsid w:val="009A3F62"/>
    <w:rsid w:val="009A3F81"/>
    <w:rsid w:val="009A477F"/>
    <w:rsid w:val="009A5DC8"/>
    <w:rsid w:val="009A715A"/>
    <w:rsid w:val="009B0256"/>
    <w:rsid w:val="009B033D"/>
    <w:rsid w:val="009B1121"/>
    <w:rsid w:val="009B12D8"/>
    <w:rsid w:val="009B3226"/>
    <w:rsid w:val="009B4217"/>
    <w:rsid w:val="009B43E4"/>
    <w:rsid w:val="009B4E1A"/>
    <w:rsid w:val="009B5893"/>
    <w:rsid w:val="009B595D"/>
    <w:rsid w:val="009B5F2F"/>
    <w:rsid w:val="009B5F4A"/>
    <w:rsid w:val="009B6765"/>
    <w:rsid w:val="009B6CA5"/>
    <w:rsid w:val="009C0264"/>
    <w:rsid w:val="009C0E9E"/>
    <w:rsid w:val="009C2250"/>
    <w:rsid w:val="009C29BF"/>
    <w:rsid w:val="009C459C"/>
    <w:rsid w:val="009C4947"/>
    <w:rsid w:val="009C4B9C"/>
    <w:rsid w:val="009C6FEF"/>
    <w:rsid w:val="009D15A5"/>
    <w:rsid w:val="009D1D4C"/>
    <w:rsid w:val="009D220E"/>
    <w:rsid w:val="009D2763"/>
    <w:rsid w:val="009D2A80"/>
    <w:rsid w:val="009D2BC5"/>
    <w:rsid w:val="009D2C89"/>
    <w:rsid w:val="009D2E07"/>
    <w:rsid w:val="009D35ED"/>
    <w:rsid w:val="009D3832"/>
    <w:rsid w:val="009D464F"/>
    <w:rsid w:val="009D56C9"/>
    <w:rsid w:val="009D71CC"/>
    <w:rsid w:val="009D7552"/>
    <w:rsid w:val="009E0351"/>
    <w:rsid w:val="009E05F7"/>
    <w:rsid w:val="009E28A8"/>
    <w:rsid w:val="009E3134"/>
    <w:rsid w:val="009E3FA0"/>
    <w:rsid w:val="009E45B6"/>
    <w:rsid w:val="009E667B"/>
    <w:rsid w:val="009F0C65"/>
    <w:rsid w:val="009F1CC0"/>
    <w:rsid w:val="009F28FE"/>
    <w:rsid w:val="009F2B28"/>
    <w:rsid w:val="009F459E"/>
    <w:rsid w:val="009F45FE"/>
    <w:rsid w:val="009F53C1"/>
    <w:rsid w:val="009F59F5"/>
    <w:rsid w:val="009F65BD"/>
    <w:rsid w:val="009F70B1"/>
    <w:rsid w:val="009F7B21"/>
    <w:rsid w:val="009F7E58"/>
    <w:rsid w:val="00A00C6C"/>
    <w:rsid w:val="00A01592"/>
    <w:rsid w:val="00A04A59"/>
    <w:rsid w:val="00A05F6C"/>
    <w:rsid w:val="00A06DAF"/>
    <w:rsid w:val="00A10576"/>
    <w:rsid w:val="00A10CFF"/>
    <w:rsid w:val="00A10F6B"/>
    <w:rsid w:val="00A116AB"/>
    <w:rsid w:val="00A11ABA"/>
    <w:rsid w:val="00A12701"/>
    <w:rsid w:val="00A12AE8"/>
    <w:rsid w:val="00A13548"/>
    <w:rsid w:val="00A13E42"/>
    <w:rsid w:val="00A15246"/>
    <w:rsid w:val="00A15558"/>
    <w:rsid w:val="00A16C46"/>
    <w:rsid w:val="00A17A49"/>
    <w:rsid w:val="00A17F80"/>
    <w:rsid w:val="00A222D0"/>
    <w:rsid w:val="00A227BE"/>
    <w:rsid w:val="00A23CFF"/>
    <w:rsid w:val="00A24077"/>
    <w:rsid w:val="00A240FA"/>
    <w:rsid w:val="00A24462"/>
    <w:rsid w:val="00A24CAE"/>
    <w:rsid w:val="00A26099"/>
    <w:rsid w:val="00A26293"/>
    <w:rsid w:val="00A26766"/>
    <w:rsid w:val="00A26BDE"/>
    <w:rsid w:val="00A272EB"/>
    <w:rsid w:val="00A27D97"/>
    <w:rsid w:val="00A27F25"/>
    <w:rsid w:val="00A30663"/>
    <w:rsid w:val="00A30ECE"/>
    <w:rsid w:val="00A3373B"/>
    <w:rsid w:val="00A33E47"/>
    <w:rsid w:val="00A3476B"/>
    <w:rsid w:val="00A349A0"/>
    <w:rsid w:val="00A34CE0"/>
    <w:rsid w:val="00A35723"/>
    <w:rsid w:val="00A36CD7"/>
    <w:rsid w:val="00A3744D"/>
    <w:rsid w:val="00A4032B"/>
    <w:rsid w:val="00A40658"/>
    <w:rsid w:val="00A41FD1"/>
    <w:rsid w:val="00A44FAC"/>
    <w:rsid w:val="00A451CB"/>
    <w:rsid w:val="00A45C36"/>
    <w:rsid w:val="00A4649F"/>
    <w:rsid w:val="00A478F8"/>
    <w:rsid w:val="00A5097D"/>
    <w:rsid w:val="00A509A8"/>
    <w:rsid w:val="00A514A3"/>
    <w:rsid w:val="00A52E11"/>
    <w:rsid w:val="00A537BB"/>
    <w:rsid w:val="00A53EB2"/>
    <w:rsid w:val="00A53FEC"/>
    <w:rsid w:val="00A54DD4"/>
    <w:rsid w:val="00A54E0B"/>
    <w:rsid w:val="00A558FB"/>
    <w:rsid w:val="00A56267"/>
    <w:rsid w:val="00A603D6"/>
    <w:rsid w:val="00A616B6"/>
    <w:rsid w:val="00A61814"/>
    <w:rsid w:val="00A61915"/>
    <w:rsid w:val="00A61A13"/>
    <w:rsid w:val="00A61D99"/>
    <w:rsid w:val="00A62DC2"/>
    <w:rsid w:val="00A63039"/>
    <w:rsid w:val="00A6312E"/>
    <w:rsid w:val="00A63467"/>
    <w:rsid w:val="00A6403E"/>
    <w:rsid w:val="00A6451F"/>
    <w:rsid w:val="00A65148"/>
    <w:rsid w:val="00A65974"/>
    <w:rsid w:val="00A67AB5"/>
    <w:rsid w:val="00A67BF9"/>
    <w:rsid w:val="00A71750"/>
    <w:rsid w:val="00A718EC"/>
    <w:rsid w:val="00A736A6"/>
    <w:rsid w:val="00A73E88"/>
    <w:rsid w:val="00A76B2C"/>
    <w:rsid w:val="00A772F5"/>
    <w:rsid w:val="00A80AFD"/>
    <w:rsid w:val="00A80C8C"/>
    <w:rsid w:val="00A81070"/>
    <w:rsid w:val="00A810EF"/>
    <w:rsid w:val="00A830E2"/>
    <w:rsid w:val="00A83A56"/>
    <w:rsid w:val="00A84DA4"/>
    <w:rsid w:val="00A85947"/>
    <w:rsid w:val="00A85CE9"/>
    <w:rsid w:val="00A90DFF"/>
    <w:rsid w:val="00A91922"/>
    <w:rsid w:val="00A94E39"/>
    <w:rsid w:val="00A94FFE"/>
    <w:rsid w:val="00A9503B"/>
    <w:rsid w:val="00A97631"/>
    <w:rsid w:val="00AA21C4"/>
    <w:rsid w:val="00AA3740"/>
    <w:rsid w:val="00AA4BBC"/>
    <w:rsid w:val="00AA5EF2"/>
    <w:rsid w:val="00AA7156"/>
    <w:rsid w:val="00AB1DF5"/>
    <w:rsid w:val="00AB225D"/>
    <w:rsid w:val="00AB49AA"/>
    <w:rsid w:val="00AB5C29"/>
    <w:rsid w:val="00AC04AD"/>
    <w:rsid w:val="00AC085F"/>
    <w:rsid w:val="00AC1714"/>
    <w:rsid w:val="00AC1F6D"/>
    <w:rsid w:val="00AC3355"/>
    <w:rsid w:val="00AC3ABC"/>
    <w:rsid w:val="00AC4756"/>
    <w:rsid w:val="00AC4D19"/>
    <w:rsid w:val="00AD16A5"/>
    <w:rsid w:val="00AD16C0"/>
    <w:rsid w:val="00AD24A3"/>
    <w:rsid w:val="00AD4DB0"/>
    <w:rsid w:val="00AD52B7"/>
    <w:rsid w:val="00AD594F"/>
    <w:rsid w:val="00AE21CA"/>
    <w:rsid w:val="00AE6D0A"/>
    <w:rsid w:val="00AE6E28"/>
    <w:rsid w:val="00AE7FE7"/>
    <w:rsid w:val="00AF0831"/>
    <w:rsid w:val="00AF23C5"/>
    <w:rsid w:val="00AF3B9F"/>
    <w:rsid w:val="00AF3E43"/>
    <w:rsid w:val="00AF42BD"/>
    <w:rsid w:val="00AF4574"/>
    <w:rsid w:val="00AF56FD"/>
    <w:rsid w:val="00AF58FE"/>
    <w:rsid w:val="00AF67D4"/>
    <w:rsid w:val="00AF6A85"/>
    <w:rsid w:val="00AF6F33"/>
    <w:rsid w:val="00AF77B2"/>
    <w:rsid w:val="00B015F1"/>
    <w:rsid w:val="00B02165"/>
    <w:rsid w:val="00B02940"/>
    <w:rsid w:val="00B0333E"/>
    <w:rsid w:val="00B04B14"/>
    <w:rsid w:val="00B04D34"/>
    <w:rsid w:val="00B0549E"/>
    <w:rsid w:val="00B05AA0"/>
    <w:rsid w:val="00B06030"/>
    <w:rsid w:val="00B06604"/>
    <w:rsid w:val="00B078C5"/>
    <w:rsid w:val="00B103AC"/>
    <w:rsid w:val="00B1075E"/>
    <w:rsid w:val="00B12186"/>
    <w:rsid w:val="00B134BB"/>
    <w:rsid w:val="00B13A60"/>
    <w:rsid w:val="00B14647"/>
    <w:rsid w:val="00B14762"/>
    <w:rsid w:val="00B14C64"/>
    <w:rsid w:val="00B14DBC"/>
    <w:rsid w:val="00B155E9"/>
    <w:rsid w:val="00B1582B"/>
    <w:rsid w:val="00B176E6"/>
    <w:rsid w:val="00B203B4"/>
    <w:rsid w:val="00B213A3"/>
    <w:rsid w:val="00B21415"/>
    <w:rsid w:val="00B217B4"/>
    <w:rsid w:val="00B26768"/>
    <w:rsid w:val="00B27A64"/>
    <w:rsid w:val="00B30157"/>
    <w:rsid w:val="00B30B15"/>
    <w:rsid w:val="00B30F04"/>
    <w:rsid w:val="00B316CA"/>
    <w:rsid w:val="00B31A6A"/>
    <w:rsid w:val="00B3272D"/>
    <w:rsid w:val="00B32E38"/>
    <w:rsid w:val="00B34B1E"/>
    <w:rsid w:val="00B362E4"/>
    <w:rsid w:val="00B37E17"/>
    <w:rsid w:val="00B40178"/>
    <w:rsid w:val="00B401C5"/>
    <w:rsid w:val="00B40E58"/>
    <w:rsid w:val="00B40F10"/>
    <w:rsid w:val="00B41384"/>
    <w:rsid w:val="00B455BC"/>
    <w:rsid w:val="00B45A4D"/>
    <w:rsid w:val="00B45E31"/>
    <w:rsid w:val="00B46867"/>
    <w:rsid w:val="00B46F0E"/>
    <w:rsid w:val="00B4702C"/>
    <w:rsid w:val="00B477EC"/>
    <w:rsid w:val="00B5302B"/>
    <w:rsid w:val="00B530DA"/>
    <w:rsid w:val="00B53B80"/>
    <w:rsid w:val="00B53EDC"/>
    <w:rsid w:val="00B54FC9"/>
    <w:rsid w:val="00B56249"/>
    <w:rsid w:val="00B56940"/>
    <w:rsid w:val="00B573CD"/>
    <w:rsid w:val="00B577ED"/>
    <w:rsid w:val="00B57CE4"/>
    <w:rsid w:val="00B60779"/>
    <w:rsid w:val="00B61AAB"/>
    <w:rsid w:val="00B61AB1"/>
    <w:rsid w:val="00B62302"/>
    <w:rsid w:val="00B6294C"/>
    <w:rsid w:val="00B641FC"/>
    <w:rsid w:val="00B64498"/>
    <w:rsid w:val="00B6491D"/>
    <w:rsid w:val="00B652BE"/>
    <w:rsid w:val="00B6587F"/>
    <w:rsid w:val="00B6621A"/>
    <w:rsid w:val="00B67095"/>
    <w:rsid w:val="00B70C74"/>
    <w:rsid w:val="00B716D7"/>
    <w:rsid w:val="00B7275B"/>
    <w:rsid w:val="00B739BF"/>
    <w:rsid w:val="00B756D9"/>
    <w:rsid w:val="00B81FC3"/>
    <w:rsid w:val="00B8211C"/>
    <w:rsid w:val="00B821E7"/>
    <w:rsid w:val="00B826FE"/>
    <w:rsid w:val="00B82843"/>
    <w:rsid w:val="00B837B7"/>
    <w:rsid w:val="00B83C90"/>
    <w:rsid w:val="00B8426F"/>
    <w:rsid w:val="00B85072"/>
    <w:rsid w:val="00B86B18"/>
    <w:rsid w:val="00B877CD"/>
    <w:rsid w:val="00B914E4"/>
    <w:rsid w:val="00B92026"/>
    <w:rsid w:val="00B936F1"/>
    <w:rsid w:val="00B96A37"/>
    <w:rsid w:val="00B96E16"/>
    <w:rsid w:val="00BA0975"/>
    <w:rsid w:val="00BA192B"/>
    <w:rsid w:val="00BA1CF9"/>
    <w:rsid w:val="00BA1FF1"/>
    <w:rsid w:val="00BA2EC4"/>
    <w:rsid w:val="00BA4ECE"/>
    <w:rsid w:val="00BA523B"/>
    <w:rsid w:val="00BA7219"/>
    <w:rsid w:val="00BA7B06"/>
    <w:rsid w:val="00BB0746"/>
    <w:rsid w:val="00BB1104"/>
    <w:rsid w:val="00BB1405"/>
    <w:rsid w:val="00BB2BAC"/>
    <w:rsid w:val="00BB3FCA"/>
    <w:rsid w:val="00BB6C85"/>
    <w:rsid w:val="00BB77EE"/>
    <w:rsid w:val="00BC0E8C"/>
    <w:rsid w:val="00BC1068"/>
    <w:rsid w:val="00BC192C"/>
    <w:rsid w:val="00BC1998"/>
    <w:rsid w:val="00BC1C0C"/>
    <w:rsid w:val="00BC1F86"/>
    <w:rsid w:val="00BC2468"/>
    <w:rsid w:val="00BC359F"/>
    <w:rsid w:val="00BC3CF0"/>
    <w:rsid w:val="00BC631A"/>
    <w:rsid w:val="00BC6342"/>
    <w:rsid w:val="00BC6E3F"/>
    <w:rsid w:val="00BC7D7E"/>
    <w:rsid w:val="00BD15EF"/>
    <w:rsid w:val="00BD1C31"/>
    <w:rsid w:val="00BD2013"/>
    <w:rsid w:val="00BD2740"/>
    <w:rsid w:val="00BD28EC"/>
    <w:rsid w:val="00BD610A"/>
    <w:rsid w:val="00BD68D7"/>
    <w:rsid w:val="00BD6AB5"/>
    <w:rsid w:val="00BD7F8E"/>
    <w:rsid w:val="00BE12E0"/>
    <w:rsid w:val="00BE3652"/>
    <w:rsid w:val="00BE3CEA"/>
    <w:rsid w:val="00BE4FA0"/>
    <w:rsid w:val="00BE4FEF"/>
    <w:rsid w:val="00BE5319"/>
    <w:rsid w:val="00BE5B40"/>
    <w:rsid w:val="00BF0C98"/>
    <w:rsid w:val="00BF2DC8"/>
    <w:rsid w:val="00BF2E30"/>
    <w:rsid w:val="00BF44FB"/>
    <w:rsid w:val="00C022C7"/>
    <w:rsid w:val="00C02846"/>
    <w:rsid w:val="00C03D1E"/>
    <w:rsid w:val="00C040E7"/>
    <w:rsid w:val="00C057C3"/>
    <w:rsid w:val="00C062A3"/>
    <w:rsid w:val="00C06D2B"/>
    <w:rsid w:val="00C0723A"/>
    <w:rsid w:val="00C1044D"/>
    <w:rsid w:val="00C10DF8"/>
    <w:rsid w:val="00C12301"/>
    <w:rsid w:val="00C12A72"/>
    <w:rsid w:val="00C13F09"/>
    <w:rsid w:val="00C13FCD"/>
    <w:rsid w:val="00C148A4"/>
    <w:rsid w:val="00C15202"/>
    <w:rsid w:val="00C163D7"/>
    <w:rsid w:val="00C16B1E"/>
    <w:rsid w:val="00C17140"/>
    <w:rsid w:val="00C171FD"/>
    <w:rsid w:val="00C206FD"/>
    <w:rsid w:val="00C207DA"/>
    <w:rsid w:val="00C2083C"/>
    <w:rsid w:val="00C21418"/>
    <w:rsid w:val="00C24EC2"/>
    <w:rsid w:val="00C25B62"/>
    <w:rsid w:val="00C25BD2"/>
    <w:rsid w:val="00C2653F"/>
    <w:rsid w:val="00C26877"/>
    <w:rsid w:val="00C27042"/>
    <w:rsid w:val="00C30FED"/>
    <w:rsid w:val="00C320A8"/>
    <w:rsid w:val="00C32211"/>
    <w:rsid w:val="00C3286C"/>
    <w:rsid w:val="00C33094"/>
    <w:rsid w:val="00C33A06"/>
    <w:rsid w:val="00C33ED6"/>
    <w:rsid w:val="00C342EC"/>
    <w:rsid w:val="00C36F3A"/>
    <w:rsid w:val="00C37252"/>
    <w:rsid w:val="00C40791"/>
    <w:rsid w:val="00C41EE9"/>
    <w:rsid w:val="00C42660"/>
    <w:rsid w:val="00C429AB"/>
    <w:rsid w:val="00C42C1C"/>
    <w:rsid w:val="00C433D4"/>
    <w:rsid w:val="00C4382A"/>
    <w:rsid w:val="00C442C6"/>
    <w:rsid w:val="00C44FC8"/>
    <w:rsid w:val="00C45311"/>
    <w:rsid w:val="00C478AA"/>
    <w:rsid w:val="00C47A5B"/>
    <w:rsid w:val="00C52918"/>
    <w:rsid w:val="00C52AA2"/>
    <w:rsid w:val="00C543ED"/>
    <w:rsid w:val="00C5471F"/>
    <w:rsid w:val="00C55476"/>
    <w:rsid w:val="00C557F7"/>
    <w:rsid w:val="00C5603E"/>
    <w:rsid w:val="00C56844"/>
    <w:rsid w:val="00C5781A"/>
    <w:rsid w:val="00C57B0C"/>
    <w:rsid w:val="00C57FEA"/>
    <w:rsid w:val="00C604FD"/>
    <w:rsid w:val="00C60C4D"/>
    <w:rsid w:val="00C6177C"/>
    <w:rsid w:val="00C63378"/>
    <w:rsid w:val="00C63C02"/>
    <w:rsid w:val="00C640AA"/>
    <w:rsid w:val="00C64268"/>
    <w:rsid w:val="00C6571A"/>
    <w:rsid w:val="00C66C71"/>
    <w:rsid w:val="00C67190"/>
    <w:rsid w:val="00C67BDA"/>
    <w:rsid w:val="00C67D5C"/>
    <w:rsid w:val="00C70A9A"/>
    <w:rsid w:val="00C71381"/>
    <w:rsid w:val="00C716D6"/>
    <w:rsid w:val="00C717FB"/>
    <w:rsid w:val="00C72131"/>
    <w:rsid w:val="00C74833"/>
    <w:rsid w:val="00C75574"/>
    <w:rsid w:val="00C75F8C"/>
    <w:rsid w:val="00C77004"/>
    <w:rsid w:val="00C77AB4"/>
    <w:rsid w:val="00C77D1B"/>
    <w:rsid w:val="00C77F0F"/>
    <w:rsid w:val="00C81678"/>
    <w:rsid w:val="00C81827"/>
    <w:rsid w:val="00C81E16"/>
    <w:rsid w:val="00C826FA"/>
    <w:rsid w:val="00C833BD"/>
    <w:rsid w:val="00C838EA"/>
    <w:rsid w:val="00C83A56"/>
    <w:rsid w:val="00C873C0"/>
    <w:rsid w:val="00C91D9C"/>
    <w:rsid w:val="00C91D9D"/>
    <w:rsid w:val="00C91E2A"/>
    <w:rsid w:val="00C92530"/>
    <w:rsid w:val="00C92BBE"/>
    <w:rsid w:val="00C92D20"/>
    <w:rsid w:val="00C92DB2"/>
    <w:rsid w:val="00C94C60"/>
    <w:rsid w:val="00C95871"/>
    <w:rsid w:val="00C96F93"/>
    <w:rsid w:val="00C973BA"/>
    <w:rsid w:val="00CA09A5"/>
    <w:rsid w:val="00CA16DA"/>
    <w:rsid w:val="00CA2AEF"/>
    <w:rsid w:val="00CA2CA7"/>
    <w:rsid w:val="00CA3D2D"/>
    <w:rsid w:val="00CA4BE5"/>
    <w:rsid w:val="00CA5034"/>
    <w:rsid w:val="00CA54B3"/>
    <w:rsid w:val="00CA736F"/>
    <w:rsid w:val="00CA7A36"/>
    <w:rsid w:val="00CA7A5C"/>
    <w:rsid w:val="00CB029E"/>
    <w:rsid w:val="00CB0A3D"/>
    <w:rsid w:val="00CB2489"/>
    <w:rsid w:val="00CB4ECE"/>
    <w:rsid w:val="00CB5C9B"/>
    <w:rsid w:val="00CB7162"/>
    <w:rsid w:val="00CC12AA"/>
    <w:rsid w:val="00CC24D8"/>
    <w:rsid w:val="00CC3F05"/>
    <w:rsid w:val="00CC4C29"/>
    <w:rsid w:val="00CC51BC"/>
    <w:rsid w:val="00CC53BF"/>
    <w:rsid w:val="00CC62F9"/>
    <w:rsid w:val="00CC6C9C"/>
    <w:rsid w:val="00CC78F7"/>
    <w:rsid w:val="00CC79A7"/>
    <w:rsid w:val="00CD0475"/>
    <w:rsid w:val="00CD29BB"/>
    <w:rsid w:val="00CD2DEF"/>
    <w:rsid w:val="00CD3973"/>
    <w:rsid w:val="00CD41AA"/>
    <w:rsid w:val="00CD55A4"/>
    <w:rsid w:val="00CD5EB1"/>
    <w:rsid w:val="00CD7386"/>
    <w:rsid w:val="00CD7485"/>
    <w:rsid w:val="00CE2499"/>
    <w:rsid w:val="00CE331E"/>
    <w:rsid w:val="00CE3E3E"/>
    <w:rsid w:val="00CE3FBD"/>
    <w:rsid w:val="00CE4946"/>
    <w:rsid w:val="00CE502C"/>
    <w:rsid w:val="00CE554D"/>
    <w:rsid w:val="00CE584F"/>
    <w:rsid w:val="00CE645B"/>
    <w:rsid w:val="00CE6616"/>
    <w:rsid w:val="00CE7413"/>
    <w:rsid w:val="00CF3CCD"/>
    <w:rsid w:val="00CF7565"/>
    <w:rsid w:val="00CF7775"/>
    <w:rsid w:val="00D00482"/>
    <w:rsid w:val="00D008F1"/>
    <w:rsid w:val="00D01823"/>
    <w:rsid w:val="00D01EBA"/>
    <w:rsid w:val="00D024F6"/>
    <w:rsid w:val="00D027E3"/>
    <w:rsid w:val="00D03654"/>
    <w:rsid w:val="00D038B0"/>
    <w:rsid w:val="00D05143"/>
    <w:rsid w:val="00D06450"/>
    <w:rsid w:val="00D064B2"/>
    <w:rsid w:val="00D068FB"/>
    <w:rsid w:val="00D11C78"/>
    <w:rsid w:val="00D13A8B"/>
    <w:rsid w:val="00D13AED"/>
    <w:rsid w:val="00D14202"/>
    <w:rsid w:val="00D172BC"/>
    <w:rsid w:val="00D20381"/>
    <w:rsid w:val="00D21740"/>
    <w:rsid w:val="00D21A11"/>
    <w:rsid w:val="00D21CA3"/>
    <w:rsid w:val="00D21F56"/>
    <w:rsid w:val="00D2210A"/>
    <w:rsid w:val="00D221D9"/>
    <w:rsid w:val="00D225F0"/>
    <w:rsid w:val="00D2342E"/>
    <w:rsid w:val="00D265D0"/>
    <w:rsid w:val="00D2722E"/>
    <w:rsid w:val="00D27E61"/>
    <w:rsid w:val="00D306D9"/>
    <w:rsid w:val="00D30A66"/>
    <w:rsid w:val="00D34286"/>
    <w:rsid w:val="00D34935"/>
    <w:rsid w:val="00D359FD"/>
    <w:rsid w:val="00D37679"/>
    <w:rsid w:val="00D37C51"/>
    <w:rsid w:val="00D37EB5"/>
    <w:rsid w:val="00D40343"/>
    <w:rsid w:val="00D419FD"/>
    <w:rsid w:val="00D43E70"/>
    <w:rsid w:val="00D446A4"/>
    <w:rsid w:val="00D47188"/>
    <w:rsid w:val="00D475A6"/>
    <w:rsid w:val="00D5186D"/>
    <w:rsid w:val="00D51ACD"/>
    <w:rsid w:val="00D53FA2"/>
    <w:rsid w:val="00D55E15"/>
    <w:rsid w:val="00D56CA7"/>
    <w:rsid w:val="00D57B84"/>
    <w:rsid w:val="00D60F46"/>
    <w:rsid w:val="00D62149"/>
    <w:rsid w:val="00D6224C"/>
    <w:rsid w:val="00D625AD"/>
    <w:rsid w:val="00D62855"/>
    <w:rsid w:val="00D639F1"/>
    <w:rsid w:val="00D63D9E"/>
    <w:rsid w:val="00D6419C"/>
    <w:rsid w:val="00D648FB"/>
    <w:rsid w:val="00D649E1"/>
    <w:rsid w:val="00D65EDF"/>
    <w:rsid w:val="00D673F7"/>
    <w:rsid w:val="00D674DD"/>
    <w:rsid w:val="00D70236"/>
    <w:rsid w:val="00D71849"/>
    <w:rsid w:val="00D7271F"/>
    <w:rsid w:val="00D73182"/>
    <w:rsid w:val="00D732C5"/>
    <w:rsid w:val="00D743B7"/>
    <w:rsid w:val="00D76CC3"/>
    <w:rsid w:val="00D77406"/>
    <w:rsid w:val="00D81412"/>
    <w:rsid w:val="00D83F7D"/>
    <w:rsid w:val="00D84046"/>
    <w:rsid w:val="00D84B3F"/>
    <w:rsid w:val="00D84E0F"/>
    <w:rsid w:val="00D85006"/>
    <w:rsid w:val="00D85007"/>
    <w:rsid w:val="00D85725"/>
    <w:rsid w:val="00D85B06"/>
    <w:rsid w:val="00D85ECF"/>
    <w:rsid w:val="00D860E6"/>
    <w:rsid w:val="00D86BC6"/>
    <w:rsid w:val="00D86BCF"/>
    <w:rsid w:val="00D872CB"/>
    <w:rsid w:val="00D900C8"/>
    <w:rsid w:val="00D91220"/>
    <w:rsid w:val="00D91AF0"/>
    <w:rsid w:val="00D91FC4"/>
    <w:rsid w:val="00D92266"/>
    <w:rsid w:val="00D93170"/>
    <w:rsid w:val="00D932A6"/>
    <w:rsid w:val="00D93878"/>
    <w:rsid w:val="00D93BFC"/>
    <w:rsid w:val="00D9472D"/>
    <w:rsid w:val="00D96288"/>
    <w:rsid w:val="00D96E15"/>
    <w:rsid w:val="00D97D02"/>
    <w:rsid w:val="00DA0167"/>
    <w:rsid w:val="00DA0290"/>
    <w:rsid w:val="00DA0F41"/>
    <w:rsid w:val="00DA174F"/>
    <w:rsid w:val="00DA3B64"/>
    <w:rsid w:val="00DA3F55"/>
    <w:rsid w:val="00DA4285"/>
    <w:rsid w:val="00DA4902"/>
    <w:rsid w:val="00DA5671"/>
    <w:rsid w:val="00DA590C"/>
    <w:rsid w:val="00DA64AC"/>
    <w:rsid w:val="00DA7B3F"/>
    <w:rsid w:val="00DB150D"/>
    <w:rsid w:val="00DB261D"/>
    <w:rsid w:val="00DB329C"/>
    <w:rsid w:val="00DB382E"/>
    <w:rsid w:val="00DB47AA"/>
    <w:rsid w:val="00DB5853"/>
    <w:rsid w:val="00DB625D"/>
    <w:rsid w:val="00DB65DD"/>
    <w:rsid w:val="00DB750F"/>
    <w:rsid w:val="00DB7836"/>
    <w:rsid w:val="00DC0934"/>
    <w:rsid w:val="00DC1512"/>
    <w:rsid w:val="00DC2CFF"/>
    <w:rsid w:val="00DC332C"/>
    <w:rsid w:val="00DC59A2"/>
    <w:rsid w:val="00DC5E71"/>
    <w:rsid w:val="00DC7FB9"/>
    <w:rsid w:val="00DD0A22"/>
    <w:rsid w:val="00DD13C4"/>
    <w:rsid w:val="00DD225A"/>
    <w:rsid w:val="00DD4155"/>
    <w:rsid w:val="00DD4E94"/>
    <w:rsid w:val="00DD5969"/>
    <w:rsid w:val="00DD5E54"/>
    <w:rsid w:val="00DE056D"/>
    <w:rsid w:val="00DE0CCA"/>
    <w:rsid w:val="00DE144B"/>
    <w:rsid w:val="00DE2042"/>
    <w:rsid w:val="00DE22F4"/>
    <w:rsid w:val="00DE28EF"/>
    <w:rsid w:val="00DE2BF9"/>
    <w:rsid w:val="00DE2D2B"/>
    <w:rsid w:val="00DE2DF9"/>
    <w:rsid w:val="00DE3C59"/>
    <w:rsid w:val="00DE43A7"/>
    <w:rsid w:val="00DE46EA"/>
    <w:rsid w:val="00DE501F"/>
    <w:rsid w:val="00DE5394"/>
    <w:rsid w:val="00DE5B86"/>
    <w:rsid w:val="00DE5DF6"/>
    <w:rsid w:val="00DE6529"/>
    <w:rsid w:val="00DE67E3"/>
    <w:rsid w:val="00DE78AC"/>
    <w:rsid w:val="00DF3065"/>
    <w:rsid w:val="00DF3186"/>
    <w:rsid w:val="00DF516F"/>
    <w:rsid w:val="00DF5479"/>
    <w:rsid w:val="00DF5C74"/>
    <w:rsid w:val="00DF6893"/>
    <w:rsid w:val="00DF728A"/>
    <w:rsid w:val="00DF7F9F"/>
    <w:rsid w:val="00E00302"/>
    <w:rsid w:val="00E021AB"/>
    <w:rsid w:val="00E0271C"/>
    <w:rsid w:val="00E035E5"/>
    <w:rsid w:val="00E03C14"/>
    <w:rsid w:val="00E03F21"/>
    <w:rsid w:val="00E049E4"/>
    <w:rsid w:val="00E06069"/>
    <w:rsid w:val="00E061C6"/>
    <w:rsid w:val="00E10339"/>
    <w:rsid w:val="00E107D2"/>
    <w:rsid w:val="00E10863"/>
    <w:rsid w:val="00E10A4D"/>
    <w:rsid w:val="00E11E39"/>
    <w:rsid w:val="00E11FC7"/>
    <w:rsid w:val="00E135C7"/>
    <w:rsid w:val="00E13D82"/>
    <w:rsid w:val="00E1752D"/>
    <w:rsid w:val="00E20BA6"/>
    <w:rsid w:val="00E20C3B"/>
    <w:rsid w:val="00E21962"/>
    <w:rsid w:val="00E21B66"/>
    <w:rsid w:val="00E230EE"/>
    <w:rsid w:val="00E23128"/>
    <w:rsid w:val="00E2343B"/>
    <w:rsid w:val="00E234A2"/>
    <w:rsid w:val="00E23BE2"/>
    <w:rsid w:val="00E24404"/>
    <w:rsid w:val="00E2462A"/>
    <w:rsid w:val="00E24DCE"/>
    <w:rsid w:val="00E24FEB"/>
    <w:rsid w:val="00E257CD"/>
    <w:rsid w:val="00E269F0"/>
    <w:rsid w:val="00E274BA"/>
    <w:rsid w:val="00E276D2"/>
    <w:rsid w:val="00E27BE2"/>
    <w:rsid w:val="00E30D4E"/>
    <w:rsid w:val="00E322DD"/>
    <w:rsid w:val="00E32D9D"/>
    <w:rsid w:val="00E3302C"/>
    <w:rsid w:val="00E3324C"/>
    <w:rsid w:val="00E33BF4"/>
    <w:rsid w:val="00E3668D"/>
    <w:rsid w:val="00E371EA"/>
    <w:rsid w:val="00E4010A"/>
    <w:rsid w:val="00E406F3"/>
    <w:rsid w:val="00E409E5"/>
    <w:rsid w:val="00E40ED0"/>
    <w:rsid w:val="00E412F4"/>
    <w:rsid w:val="00E4144D"/>
    <w:rsid w:val="00E41E7D"/>
    <w:rsid w:val="00E42698"/>
    <w:rsid w:val="00E45180"/>
    <w:rsid w:val="00E45790"/>
    <w:rsid w:val="00E45BE5"/>
    <w:rsid w:val="00E4618F"/>
    <w:rsid w:val="00E46FD7"/>
    <w:rsid w:val="00E4710E"/>
    <w:rsid w:val="00E47C03"/>
    <w:rsid w:val="00E47CA1"/>
    <w:rsid w:val="00E47CA4"/>
    <w:rsid w:val="00E53060"/>
    <w:rsid w:val="00E53485"/>
    <w:rsid w:val="00E60726"/>
    <w:rsid w:val="00E6089D"/>
    <w:rsid w:val="00E6202C"/>
    <w:rsid w:val="00E622AB"/>
    <w:rsid w:val="00E62B03"/>
    <w:rsid w:val="00E63B0F"/>
    <w:rsid w:val="00E650BB"/>
    <w:rsid w:val="00E65B0F"/>
    <w:rsid w:val="00E65D5F"/>
    <w:rsid w:val="00E67270"/>
    <w:rsid w:val="00E70CAA"/>
    <w:rsid w:val="00E72BB5"/>
    <w:rsid w:val="00E731A5"/>
    <w:rsid w:val="00E7414B"/>
    <w:rsid w:val="00E760FA"/>
    <w:rsid w:val="00E7663C"/>
    <w:rsid w:val="00E766BA"/>
    <w:rsid w:val="00E767F3"/>
    <w:rsid w:val="00E77450"/>
    <w:rsid w:val="00E77B70"/>
    <w:rsid w:val="00E811BB"/>
    <w:rsid w:val="00E81E36"/>
    <w:rsid w:val="00E829C9"/>
    <w:rsid w:val="00E83C98"/>
    <w:rsid w:val="00E83ED7"/>
    <w:rsid w:val="00E85A0F"/>
    <w:rsid w:val="00E87B7A"/>
    <w:rsid w:val="00E905E1"/>
    <w:rsid w:val="00E905EA"/>
    <w:rsid w:val="00E90C3F"/>
    <w:rsid w:val="00E9177A"/>
    <w:rsid w:val="00E92739"/>
    <w:rsid w:val="00E9279F"/>
    <w:rsid w:val="00E92D06"/>
    <w:rsid w:val="00E940D8"/>
    <w:rsid w:val="00E94327"/>
    <w:rsid w:val="00E95446"/>
    <w:rsid w:val="00E954E4"/>
    <w:rsid w:val="00E95875"/>
    <w:rsid w:val="00E95C04"/>
    <w:rsid w:val="00E961F5"/>
    <w:rsid w:val="00E969EF"/>
    <w:rsid w:val="00E9723B"/>
    <w:rsid w:val="00E97BAD"/>
    <w:rsid w:val="00EA096C"/>
    <w:rsid w:val="00EA0FC6"/>
    <w:rsid w:val="00EA17D3"/>
    <w:rsid w:val="00EA1DF0"/>
    <w:rsid w:val="00EA3E30"/>
    <w:rsid w:val="00EA45A6"/>
    <w:rsid w:val="00EA6101"/>
    <w:rsid w:val="00EA6B42"/>
    <w:rsid w:val="00EA7308"/>
    <w:rsid w:val="00EA75A5"/>
    <w:rsid w:val="00EA7DA2"/>
    <w:rsid w:val="00EB1139"/>
    <w:rsid w:val="00EB15D7"/>
    <w:rsid w:val="00EB1ABF"/>
    <w:rsid w:val="00EB1AD3"/>
    <w:rsid w:val="00EB254A"/>
    <w:rsid w:val="00EB337A"/>
    <w:rsid w:val="00EB4FA3"/>
    <w:rsid w:val="00EB53C5"/>
    <w:rsid w:val="00EB5AED"/>
    <w:rsid w:val="00EB5BA6"/>
    <w:rsid w:val="00EB5C88"/>
    <w:rsid w:val="00EB5FEC"/>
    <w:rsid w:val="00EB6354"/>
    <w:rsid w:val="00EB6425"/>
    <w:rsid w:val="00EB653E"/>
    <w:rsid w:val="00EB6CAE"/>
    <w:rsid w:val="00EB7F06"/>
    <w:rsid w:val="00EC0005"/>
    <w:rsid w:val="00EC0627"/>
    <w:rsid w:val="00EC1B5D"/>
    <w:rsid w:val="00EC1E1F"/>
    <w:rsid w:val="00EC28D4"/>
    <w:rsid w:val="00EC46ED"/>
    <w:rsid w:val="00EC4DF6"/>
    <w:rsid w:val="00EC523A"/>
    <w:rsid w:val="00EC6006"/>
    <w:rsid w:val="00EC7D6B"/>
    <w:rsid w:val="00ED0067"/>
    <w:rsid w:val="00ED06BF"/>
    <w:rsid w:val="00ED3AE0"/>
    <w:rsid w:val="00ED48F5"/>
    <w:rsid w:val="00ED5F24"/>
    <w:rsid w:val="00ED5F5A"/>
    <w:rsid w:val="00ED6B06"/>
    <w:rsid w:val="00ED71D8"/>
    <w:rsid w:val="00ED756B"/>
    <w:rsid w:val="00ED756E"/>
    <w:rsid w:val="00ED7BEF"/>
    <w:rsid w:val="00EE00C1"/>
    <w:rsid w:val="00EE2D34"/>
    <w:rsid w:val="00EE412C"/>
    <w:rsid w:val="00EE4995"/>
    <w:rsid w:val="00EE6D06"/>
    <w:rsid w:val="00EE6D6C"/>
    <w:rsid w:val="00EF1141"/>
    <w:rsid w:val="00EF1735"/>
    <w:rsid w:val="00EF3CC1"/>
    <w:rsid w:val="00EF6467"/>
    <w:rsid w:val="00EF723A"/>
    <w:rsid w:val="00EF75DF"/>
    <w:rsid w:val="00F01ADF"/>
    <w:rsid w:val="00F038E1"/>
    <w:rsid w:val="00F04146"/>
    <w:rsid w:val="00F052F8"/>
    <w:rsid w:val="00F0616E"/>
    <w:rsid w:val="00F06516"/>
    <w:rsid w:val="00F0744B"/>
    <w:rsid w:val="00F07BFF"/>
    <w:rsid w:val="00F10284"/>
    <w:rsid w:val="00F1100D"/>
    <w:rsid w:val="00F12914"/>
    <w:rsid w:val="00F13FD3"/>
    <w:rsid w:val="00F144AC"/>
    <w:rsid w:val="00F151E5"/>
    <w:rsid w:val="00F15526"/>
    <w:rsid w:val="00F17125"/>
    <w:rsid w:val="00F172C3"/>
    <w:rsid w:val="00F17750"/>
    <w:rsid w:val="00F215D9"/>
    <w:rsid w:val="00F21DF2"/>
    <w:rsid w:val="00F222F5"/>
    <w:rsid w:val="00F2388B"/>
    <w:rsid w:val="00F23C81"/>
    <w:rsid w:val="00F24231"/>
    <w:rsid w:val="00F25183"/>
    <w:rsid w:val="00F254A0"/>
    <w:rsid w:val="00F2664E"/>
    <w:rsid w:val="00F27EED"/>
    <w:rsid w:val="00F31BAB"/>
    <w:rsid w:val="00F31C57"/>
    <w:rsid w:val="00F3216D"/>
    <w:rsid w:val="00F32773"/>
    <w:rsid w:val="00F340EF"/>
    <w:rsid w:val="00F3541E"/>
    <w:rsid w:val="00F35AA3"/>
    <w:rsid w:val="00F35C4E"/>
    <w:rsid w:val="00F36786"/>
    <w:rsid w:val="00F369E6"/>
    <w:rsid w:val="00F37B62"/>
    <w:rsid w:val="00F37C98"/>
    <w:rsid w:val="00F41B3B"/>
    <w:rsid w:val="00F4337E"/>
    <w:rsid w:val="00F44E02"/>
    <w:rsid w:val="00F4711F"/>
    <w:rsid w:val="00F503B5"/>
    <w:rsid w:val="00F50A32"/>
    <w:rsid w:val="00F51590"/>
    <w:rsid w:val="00F524FA"/>
    <w:rsid w:val="00F54DCE"/>
    <w:rsid w:val="00F56A70"/>
    <w:rsid w:val="00F56BAE"/>
    <w:rsid w:val="00F56E4E"/>
    <w:rsid w:val="00F60734"/>
    <w:rsid w:val="00F6084C"/>
    <w:rsid w:val="00F608DD"/>
    <w:rsid w:val="00F63053"/>
    <w:rsid w:val="00F646A8"/>
    <w:rsid w:val="00F646CD"/>
    <w:rsid w:val="00F657FE"/>
    <w:rsid w:val="00F66DC7"/>
    <w:rsid w:val="00F67575"/>
    <w:rsid w:val="00F67C92"/>
    <w:rsid w:val="00F715E7"/>
    <w:rsid w:val="00F724EE"/>
    <w:rsid w:val="00F72597"/>
    <w:rsid w:val="00F74020"/>
    <w:rsid w:val="00F75510"/>
    <w:rsid w:val="00F7588F"/>
    <w:rsid w:val="00F7608C"/>
    <w:rsid w:val="00F76C9B"/>
    <w:rsid w:val="00F801E6"/>
    <w:rsid w:val="00F802E9"/>
    <w:rsid w:val="00F8046A"/>
    <w:rsid w:val="00F807C2"/>
    <w:rsid w:val="00F81413"/>
    <w:rsid w:val="00F81AE1"/>
    <w:rsid w:val="00F81E5A"/>
    <w:rsid w:val="00F82067"/>
    <w:rsid w:val="00F825DD"/>
    <w:rsid w:val="00F8317F"/>
    <w:rsid w:val="00F8351A"/>
    <w:rsid w:val="00F8417E"/>
    <w:rsid w:val="00F8480F"/>
    <w:rsid w:val="00F8536F"/>
    <w:rsid w:val="00F85830"/>
    <w:rsid w:val="00F85D09"/>
    <w:rsid w:val="00F91D34"/>
    <w:rsid w:val="00F929AA"/>
    <w:rsid w:val="00F9314B"/>
    <w:rsid w:val="00F9430E"/>
    <w:rsid w:val="00F95425"/>
    <w:rsid w:val="00F96D39"/>
    <w:rsid w:val="00F97EAB"/>
    <w:rsid w:val="00FA057E"/>
    <w:rsid w:val="00FA05D8"/>
    <w:rsid w:val="00FA112B"/>
    <w:rsid w:val="00FA28EA"/>
    <w:rsid w:val="00FA2DD7"/>
    <w:rsid w:val="00FA3B6A"/>
    <w:rsid w:val="00FA3E1E"/>
    <w:rsid w:val="00FA4C11"/>
    <w:rsid w:val="00FA6CDA"/>
    <w:rsid w:val="00FA6D94"/>
    <w:rsid w:val="00FB0BEF"/>
    <w:rsid w:val="00FB10B7"/>
    <w:rsid w:val="00FB13FA"/>
    <w:rsid w:val="00FB3A3A"/>
    <w:rsid w:val="00FB3BEB"/>
    <w:rsid w:val="00FB3DC1"/>
    <w:rsid w:val="00FB751A"/>
    <w:rsid w:val="00FB7660"/>
    <w:rsid w:val="00FC0638"/>
    <w:rsid w:val="00FC0F04"/>
    <w:rsid w:val="00FC11D9"/>
    <w:rsid w:val="00FC161D"/>
    <w:rsid w:val="00FC167A"/>
    <w:rsid w:val="00FC2351"/>
    <w:rsid w:val="00FC2D84"/>
    <w:rsid w:val="00FC38F8"/>
    <w:rsid w:val="00FC43FA"/>
    <w:rsid w:val="00FC4FF9"/>
    <w:rsid w:val="00FC5FB5"/>
    <w:rsid w:val="00FC774D"/>
    <w:rsid w:val="00FD04FD"/>
    <w:rsid w:val="00FD07D1"/>
    <w:rsid w:val="00FD101E"/>
    <w:rsid w:val="00FD2652"/>
    <w:rsid w:val="00FD26A2"/>
    <w:rsid w:val="00FD3AC3"/>
    <w:rsid w:val="00FD3E65"/>
    <w:rsid w:val="00FD3F47"/>
    <w:rsid w:val="00FD6527"/>
    <w:rsid w:val="00FD6A8A"/>
    <w:rsid w:val="00FD6BC3"/>
    <w:rsid w:val="00FD7237"/>
    <w:rsid w:val="00FD7271"/>
    <w:rsid w:val="00FD7AA2"/>
    <w:rsid w:val="00FE0482"/>
    <w:rsid w:val="00FE101C"/>
    <w:rsid w:val="00FE170C"/>
    <w:rsid w:val="00FE2B75"/>
    <w:rsid w:val="00FE2EB5"/>
    <w:rsid w:val="00FE3F47"/>
    <w:rsid w:val="00FE4222"/>
    <w:rsid w:val="00FE5F63"/>
    <w:rsid w:val="00FE69AD"/>
    <w:rsid w:val="00FE75FD"/>
    <w:rsid w:val="00FF072A"/>
    <w:rsid w:val="00FF108C"/>
    <w:rsid w:val="00FF1221"/>
    <w:rsid w:val="00FF1584"/>
    <w:rsid w:val="00FF258D"/>
    <w:rsid w:val="00FF2680"/>
    <w:rsid w:val="00FF3D29"/>
    <w:rsid w:val="00FF51F1"/>
    <w:rsid w:val="00FF5562"/>
    <w:rsid w:val="00FF5580"/>
    <w:rsid w:val="00FF59F1"/>
    <w:rsid w:val="00FF5C4B"/>
    <w:rsid w:val="00FF63CC"/>
    <w:rsid w:val="00FF6BF5"/>
    <w:rsid w:val="00FF6C3B"/>
    <w:rsid w:val="00FF73CF"/>
    <w:rsid w:val="00FF765A"/>
    <w:rsid w:val="010EA8BF"/>
    <w:rsid w:val="0271559B"/>
    <w:rsid w:val="02AA7920"/>
    <w:rsid w:val="02DBA3A0"/>
    <w:rsid w:val="02EF974D"/>
    <w:rsid w:val="030B32BA"/>
    <w:rsid w:val="0354D9D6"/>
    <w:rsid w:val="03974014"/>
    <w:rsid w:val="04053971"/>
    <w:rsid w:val="04480FE9"/>
    <w:rsid w:val="05B5FC36"/>
    <w:rsid w:val="061FED94"/>
    <w:rsid w:val="062A2D67"/>
    <w:rsid w:val="0722D250"/>
    <w:rsid w:val="0763E368"/>
    <w:rsid w:val="088B9E82"/>
    <w:rsid w:val="09DFE4D9"/>
    <w:rsid w:val="0A88E792"/>
    <w:rsid w:val="0A89BC73"/>
    <w:rsid w:val="0BFC2F94"/>
    <w:rsid w:val="0C6770F8"/>
    <w:rsid w:val="0CB4D787"/>
    <w:rsid w:val="0CD554F7"/>
    <w:rsid w:val="0D004EA8"/>
    <w:rsid w:val="0D0247E1"/>
    <w:rsid w:val="0D2E7B1A"/>
    <w:rsid w:val="0E6CEA23"/>
    <w:rsid w:val="0ED29DA8"/>
    <w:rsid w:val="0ED6AA7D"/>
    <w:rsid w:val="0EDB547C"/>
    <w:rsid w:val="0EF12D72"/>
    <w:rsid w:val="0F2D3ABC"/>
    <w:rsid w:val="0FB5913F"/>
    <w:rsid w:val="1143B662"/>
    <w:rsid w:val="11FA6459"/>
    <w:rsid w:val="122FBEA0"/>
    <w:rsid w:val="13055670"/>
    <w:rsid w:val="133BE19B"/>
    <w:rsid w:val="13DFA052"/>
    <w:rsid w:val="13E3AFAC"/>
    <w:rsid w:val="13F1F626"/>
    <w:rsid w:val="1495CF6C"/>
    <w:rsid w:val="163606C6"/>
    <w:rsid w:val="1723E2A7"/>
    <w:rsid w:val="17710C37"/>
    <w:rsid w:val="1800FFB8"/>
    <w:rsid w:val="1922BC4C"/>
    <w:rsid w:val="1966F485"/>
    <w:rsid w:val="19C7A28C"/>
    <w:rsid w:val="1AA51850"/>
    <w:rsid w:val="1B1D25D0"/>
    <w:rsid w:val="1BA0E1F8"/>
    <w:rsid w:val="1C120C20"/>
    <w:rsid w:val="1C61263C"/>
    <w:rsid w:val="1C90F0DD"/>
    <w:rsid w:val="1CCA96AA"/>
    <w:rsid w:val="1D07957B"/>
    <w:rsid w:val="1D8240C0"/>
    <w:rsid w:val="1E4BB4B3"/>
    <w:rsid w:val="1E5FDB46"/>
    <w:rsid w:val="1F54E216"/>
    <w:rsid w:val="1F8E7C93"/>
    <w:rsid w:val="204696E3"/>
    <w:rsid w:val="208C4C88"/>
    <w:rsid w:val="20FBE319"/>
    <w:rsid w:val="213ABE7D"/>
    <w:rsid w:val="215A0265"/>
    <w:rsid w:val="2226C2F7"/>
    <w:rsid w:val="224DE5AA"/>
    <w:rsid w:val="230284AE"/>
    <w:rsid w:val="2308B664"/>
    <w:rsid w:val="2338D07C"/>
    <w:rsid w:val="23BDF8FD"/>
    <w:rsid w:val="2407B549"/>
    <w:rsid w:val="243C3AAF"/>
    <w:rsid w:val="2460BEC6"/>
    <w:rsid w:val="24713925"/>
    <w:rsid w:val="24C4214F"/>
    <w:rsid w:val="26C8829B"/>
    <w:rsid w:val="27B0F06D"/>
    <w:rsid w:val="27C5F482"/>
    <w:rsid w:val="28598ABB"/>
    <w:rsid w:val="28BB0DA3"/>
    <w:rsid w:val="2BEC6887"/>
    <w:rsid w:val="2DD1AF4D"/>
    <w:rsid w:val="2E469916"/>
    <w:rsid w:val="2FC2AC07"/>
    <w:rsid w:val="304354E7"/>
    <w:rsid w:val="305418E8"/>
    <w:rsid w:val="3097018F"/>
    <w:rsid w:val="30CC787C"/>
    <w:rsid w:val="315F8D68"/>
    <w:rsid w:val="32348DC0"/>
    <w:rsid w:val="323CEA85"/>
    <w:rsid w:val="33C9A3BA"/>
    <w:rsid w:val="3441ECF0"/>
    <w:rsid w:val="34A46CF2"/>
    <w:rsid w:val="34C4D811"/>
    <w:rsid w:val="37C74708"/>
    <w:rsid w:val="3808D865"/>
    <w:rsid w:val="386EBCFE"/>
    <w:rsid w:val="397A652B"/>
    <w:rsid w:val="3C3B4C50"/>
    <w:rsid w:val="3C59EF21"/>
    <w:rsid w:val="3D039026"/>
    <w:rsid w:val="3E69AC31"/>
    <w:rsid w:val="3FD6AE10"/>
    <w:rsid w:val="3FD94959"/>
    <w:rsid w:val="40C72BCE"/>
    <w:rsid w:val="41028339"/>
    <w:rsid w:val="424F4416"/>
    <w:rsid w:val="425147E7"/>
    <w:rsid w:val="42B528AF"/>
    <w:rsid w:val="4335C841"/>
    <w:rsid w:val="44A559D6"/>
    <w:rsid w:val="453CF6B6"/>
    <w:rsid w:val="4596BEE9"/>
    <w:rsid w:val="45F7DAFE"/>
    <w:rsid w:val="498CD2EF"/>
    <w:rsid w:val="4A2CF3D2"/>
    <w:rsid w:val="4A628C2A"/>
    <w:rsid w:val="4C42D800"/>
    <w:rsid w:val="4DBC3CA7"/>
    <w:rsid w:val="4E325509"/>
    <w:rsid w:val="4EE86B88"/>
    <w:rsid w:val="4F072E23"/>
    <w:rsid w:val="4F71FF57"/>
    <w:rsid w:val="4F72055A"/>
    <w:rsid w:val="4F98CB23"/>
    <w:rsid w:val="501D5C2C"/>
    <w:rsid w:val="50CF32B8"/>
    <w:rsid w:val="521AEE9D"/>
    <w:rsid w:val="52A8A3FA"/>
    <w:rsid w:val="53930741"/>
    <w:rsid w:val="53E91796"/>
    <w:rsid w:val="53FF79A8"/>
    <w:rsid w:val="5426E0B0"/>
    <w:rsid w:val="54F5D015"/>
    <w:rsid w:val="5A8C79D9"/>
    <w:rsid w:val="5AF01D38"/>
    <w:rsid w:val="5B34314B"/>
    <w:rsid w:val="5B8A0BA1"/>
    <w:rsid w:val="5B9A23DF"/>
    <w:rsid w:val="5D9557AC"/>
    <w:rsid w:val="5EA9F123"/>
    <w:rsid w:val="5F4AA97E"/>
    <w:rsid w:val="5F88BA99"/>
    <w:rsid w:val="60B02E11"/>
    <w:rsid w:val="60F4F9FE"/>
    <w:rsid w:val="6152028D"/>
    <w:rsid w:val="62136057"/>
    <w:rsid w:val="63126610"/>
    <w:rsid w:val="636E1DF0"/>
    <w:rsid w:val="63EFF9C2"/>
    <w:rsid w:val="6444324F"/>
    <w:rsid w:val="656C123D"/>
    <w:rsid w:val="660D3E37"/>
    <w:rsid w:val="6639990D"/>
    <w:rsid w:val="6659746D"/>
    <w:rsid w:val="668147EB"/>
    <w:rsid w:val="6687DE48"/>
    <w:rsid w:val="679A1ADA"/>
    <w:rsid w:val="67B9D994"/>
    <w:rsid w:val="687D6A66"/>
    <w:rsid w:val="6A889CFD"/>
    <w:rsid w:val="6C2513D1"/>
    <w:rsid w:val="6DC3367F"/>
    <w:rsid w:val="6E6AEAD9"/>
    <w:rsid w:val="6EB79B82"/>
    <w:rsid w:val="6F847C7E"/>
    <w:rsid w:val="6FC9486B"/>
    <w:rsid w:val="70AA06A3"/>
    <w:rsid w:val="7133E756"/>
    <w:rsid w:val="719A396E"/>
    <w:rsid w:val="71F78E71"/>
    <w:rsid w:val="72CBF751"/>
    <w:rsid w:val="72E42E27"/>
    <w:rsid w:val="731185B8"/>
    <w:rsid w:val="73E63699"/>
    <w:rsid w:val="73FD0116"/>
    <w:rsid w:val="74529C5F"/>
    <w:rsid w:val="749EFC7E"/>
    <w:rsid w:val="75DC9A71"/>
    <w:rsid w:val="76315FDE"/>
    <w:rsid w:val="76C8FBC3"/>
    <w:rsid w:val="76E09089"/>
    <w:rsid w:val="77811613"/>
    <w:rsid w:val="79F1CA26"/>
    <w:rsid w:val="7AB0FC20"/>
    <w:rsid w:val="7AB12EF1"/>
    <w:rsid w:val="7AEF72DD"/>
    <w:rsid w:val="7B95880D"/>
    <w:rsid w:val="7BB53B34"/>
    <w:rsid w:val="7D21A59B"/>
    <w:rsid w:val="7E82002A"/>
    <w:rsid w:val="7F0AB57B"/>
    <w:rsid w:val="7F2FE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4:docId w14:val="295A2835"/>
  <w15:docId w15:val="{8D6AFF75-D89B-4D1C-8E79-19D9BAB6B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0B3C18"/>
    <w:pPr>
      <w:numPr>
        <w:numId w:val="2"/>
      </w:numPr>
      <w:tabs>
        <w:tab w:val="num" w:pos="360"/>
      </w:tabs>
      <w:ind w:left="0" w:firstLine="0"/>
    </w:pPr>
    <w:rPr>
      <w:rFonts w:eastAsia="Times New Roman"/>
      <w:lang w:eastAsia="de-DE"/>
    </w:rPr>
  </w:style>
  <w:style w:type="paragraph" w:styleId="ListNumber">
    <w:name w:val="List Number"/>
    <w:basedOn w:val="Normal"/>
    <w:rsid w:val="002B26AA"/>
    <w:pPr>
      <w:numPr>
        <w:numId w:val="6"/>
      </w:numPr>
    </w:pPr>
    <w:rPr>
      <w:rFonts w:eastAsia="Times New Roman"/>
      <w:lang w:eastAsia="de-DE"/>
    </w:rPr>
  </w:style>
  <w:style w:type="paragraph" w:customStyle="1" w:styleId="ListBullet1">
    <w:name w:val="List Bullet 1"/>
    <w:basedOn w:val="Normal"/>
    <w:rsid w:val="002B26AA"/>
    <w:pPr>
      <w:numPr>
        <w:numId w:val="1"/>
      </w:numPr>
    </w:pPr>
    <w:rPr>
      <w:rFonts w:eastAsia="Times New Roman"/>
      <w:lang w:eastAsia="de-DE"/>
    </w:rPr>
  </w:style>
  <w:style w:type="paragraph" w:customStyle="1" w:styleId="ListDash">
    <w:name w:val="List Dash"/>
    <w:basedOn w:val="Normal"/>
    <w:rsid w:val="002B26AA"/>
    <w:pPr>
      <w:numPr>
        <w:numId w:val="3"/>
      </w:numPr>
    </w:pPr>
    <w:rPr>
      <w:rFonts w:eastAsia="Times New Roman"/>
      <w:lang w:eastAsia="de-DE"/>
    </w:rPr>
  </w:style>
  <w:style w:type="paragraph" w:customStyle="1" w:styleId="ListDash1">
    <w:name w:val="List Dash 1"/>
    <w:basedOn w:val="Normal"/>
    <w:rsid w:val="002B26AA"/>
    <w:pPr>
      <w:numPr>
        <w:numId w:val="4"/>
      </w:numPr>
    </w:pPr>
    <w:rPr>
      <w:rFonts w:eastAsia="Times New Roman"/>
      <w:lang w:eastAsia="de-DE"/>
    </w:rPr>
  </w:style>
  <w:style w:type="paragraph" w:customStyle="1" w:styleId="ListDash2">
    <w:name w:val="List Dash 2"/>
    <w:basedOn w:val="Normal"/>
    <w:rsid w:val="002B26AA"/>
    <w:pPr>
      <w:numPr>
        <w:numId w:val="5"/>
      </w:numPr>
    </w:pPr>
    <w:rPr>
      <w:rFonts w:eastAsia="Times New Roman"/>
      <w:lang w:eastAsia="de-DE"/>
    </w:rPr>
  </w:style>
  <w:style w:type="paragraph" w:customStyle="1" w:styleId="ListNumberLevel2">
    <w:name w:val="List Number (Level 2)"/>
    <w:basedOn w:val="Normal"/>
    <w:rsid w:val="002B26AA"/>
    <w:pPr>
      <w:numPr>
        <w:ilvl w:val="1"/>
        <w:numId w:val="6"/>
      </w:numPr>
    </w:pPr>
    <w:rPr>
      <w:rFonts w:eastAsia="Times New Roman"/>
      <w:lang w:eastAsia="de-DE"/>
    </w:rPr>
  </w:style>
  <w:style w:type="paragraph" w:customStyle="1" w:styleId="ListNumberLevel3">
    <w:name w:val="List Number (Level 3)"/>
    <w:basedOn w:val="Normal"/>
    <w:rsid w:val="002B26AA"/>
    <w:pPr>
      <w:numPr>
        <w:ilvl w:val="2"/>
        <w:numId w:val="6"/>
      </w:numPr>
    </w:pPr>
    <w:rPr>
      <w:rFonts w:eastAsia="Times New Roman"/>
      <w:lang w:eastAsia="de-DE"/>
    </w:rPr>
  </w:style>
  <w:style w:type="paragraph" w:customStyle="1" w:styleId="ListNumberLevel4">
    <w:name w:val="List Number (Level 4)"/>
    <w:basedOn w:val="Normal"/>
    <w:rsid w:val="002B26AA"/>
    <w:pPr>
      <w:numPr>
        <w:ilvl w:val="3"/>
        <w:numId w:val="6"/>
      </w:numPr>
    </w:pPr>
    <w:rPr>
      <w:rFonts w:eastAsia="Times New Roman"/>
      <w:lang w:eastAsia="de-DE"/>
    </w:rPr>
  </w:style>
  <w:style w:type="table" w:styleId="TableGrid">
    <w:name w:val="Table Grid"/>
    <w:basedOn w:val="TableNormal"/>
    <w:rsid w:val="002B26AA"/>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B3C18"/>
    <w:rPr>
      <w:color w:val="0000FF"/>
      <w:u w:val="single"/>
    </w:rPr>
  </w:style>
  <w:style w:type="paragraph" w:styleId="ListBullet">
    <w:name w:val="List Bullet"/>
    <w:basedOn w:val="Normal"/>
    <w:uiPriority w:val="99"/>
    <w:rsid w:val="000B3C18"/>
    <w:pPr>
      <w:numPr>
        <w:numId w:val="7"/>
      </w:numPr>
    </w:pPr>
    <w:rPr>
      <w:rFonts w:eastAsia="Times New Roman"/>
      <w:lang w:val="fr-FR" w:eastAsia="en-GB"/>
    </w:rPr>
  </w:style>
  <w:style w:type="paragraph" w:styleId="ListBullet2">
    <w:name w:val="List Bullet 2"/>
    <w:basedOn w:val="Normal"/>
    <w:uiPriority w:val="99"/>
    <w:rsid w:val="000B3C18"/>
    <w:pPr>
      <w:numPr>
        <w:numId w:val="8"/>
      </w:numPr>
    </w:pPr>
    <w:rPr>
      <w:rFonts w:eastAsia="Times New Roman"/>
      <w:lang w:val="fr-FR" w:eastAsia="en-GB"/>
    </w:rPr>
  </w:style>
  <w:style w:type="paragraph" w:styleId="ListBullet3">
    <w:name w:val="List Bullet 3"/>
    <w:basedOn w:val="Normal"/>
    <w:uiPriority w:val="99"/>
    <w:rsid w:val="000B3C18"/>
    <w:pPr>
      <w:numPr>
        <w:numId w:val="9"/>
      </w:numPr>
    </w:pPr>
    <w:rPr>
      <w:rFonts w:eastAsia="Times New Roman"/>
      <w:lang w:val="fr-FR" w:eastAsia="en-GB"/>
    </w:rPr>
  </w:style>
  <w:style w:type="paragraph" w:styleId="ListNumber2">
    <w:name w:val="List Number 2"/>
    <w:basedOn w:val="Normal"/>
    <w:rsid w:val="002B26AA"/>
    <w:pPr>
      <w:numPr>
        <w:numId w:val="13"/>
      </w:numPr>
    </w:pPr>
    <w:rPr>
      <w:rFonts w:eastAsia="Times New Roman"/>
      <w:lang w:val="fr-FR" w:eastAsia="en-GB"/>
    </w:rPr>
  </w:style>
  <w:style w:type="paragraph" w:styleId="ListNumber3">
    <w:name w:val="List Number 3"/>
    <w:basedOn w:val="Normal"/>
    <w:rsid w:val="002B26AA"/>
    <w:pPr>
      <w:numPr>
        <w:numId w:val="14"/>
      </w:numPr>
    </w:pPr>
    <w:rPr>
      <w:rFonts w:eastAsia="Times New Roman"/>
      <w:lang w:val="fr-FR" w:eastAsia="en-GB"/>
    </w:rPr>
  </w:style>
  <w:style w:type="paragraph" w:styleId="ListNumber4">
    <w:name w:val="List Number 4"/>
    <w:basedOn w:val="Normal"/>
    <w:rsid w:val="002B26AA"/>
    <w:pPr>
      <w:numPr>
        <w:numId w:val="15"/>
      </w:numPr>
    </w:pPr>
    <w:rPr>
      <w:rFonts w:eastAsia="Times New Roman"/>
      <w:lang w:val="fr-FR" w:eastAsia="en-GB"/>
    </w:rPr>
  </w:style>
  <w:style w:type="paragraph" w:customStyle="1" w:styleId="ListDash3">
    <w:name w:val="List Dash 3"/>
    <w:basedOn w:val="Normal"/>
    <w:rsid w:val="002B26AA"/>
    <w:pPr>
      <w:numPr>
        <w:numId w:val="10"/>
      </w:numPr>
    </w:pPr>
    <w:rPr>
      <w:rFonts w:eastAsia="Times New Roman"/>
      <w:lang w:val="fr-FR" w:eastAsia="en-GB"/>
    </w:rPr>
  </w:style>
  <w:style w:type="paragraph" w:customStyle="1" w:styleId="ListDash4">
    <w:name w:val="List Dash 4"/>
    <w:basedOn w:val="Normal"/>
    <w:rsid w:val="002B26AA"/>
    <w:pPr>
      <w:numPr>
        <w:numId w:val="11"/>
      </w:numPr>
    </w:pPr>
    <w:rPr>
      <w:rFonts w:eastAsia="Times New Roman"/>
      <w:lang w:val="fr-FR" w:eastAsia="en-GB"/>
    </w:rPr>
  </w:style>
  <w:style w:type="paragraph" w:customStyle="1" w:styleId="ListNumber1">
    <w:name w:val="List Number 1"/>
    <w:basedOn w:val="Text1"/>
    <w:rsid w:val="002B26AA"/>
    <w:pPr>
      <w:numPr>
        <w:numId w:val="12"/>
      </w:numPr>
    </w:pPr>
    <w:rPr>
      <w:rFonts w:eastAsia="Times New Roman"/>
      <w:lang w:val="fr-FR" w:eastAsia="en-GB"/>
    </w:rPr>
  </w:style>
  <w:style w:type="paragraph" w:customStyle="1" w:styleId="ListNumber1Level2">
    <w:name w:val="List Number 1 (Level 2)"/>
    <w:basedOn w:val="Text1"/>
    <w:rsid w:val="002B26AA"/>
    <w:pPr>
      <w:numPr>
        <w:ilvl w:val="1"/>
        <w:numId w:val="12"/>
      </w:numPr>
    </w:pPr>
    <w:rPr>
      <w:rFonts w:eastAsia="Times New Roman"/>
      <w:lang w:val="fr-FR" w:eastAsia="en-GB"/>
    </w:rPr>
  </w:style>
  <w:style w:type="paragraph" w:customStyle="1" w:styleId="ListNumber2Level2">
    <w:name w:val="List Number 2 (Level 2)"/>
    <w:basedOn w:val="Text2"/>
    <w:rsid w:val="002B26AA"/>
    <w:pPr>
      <w:numPr>
        <w:ilvl w:val="1"/>
        <w:numId w:val="13"/>
      </w:numPr>
    </w:pPr>
    <w:rPr>
      <w:rFonts w:eastAsia="Times New Roman"/>
      <w:lang w:val="fr-FR" w:eastAsia="en-GB"/>
    </w:rPr>
  </w:style>
  <w:style w:type="paragraph" w:customStyle="1" w:styleId="ListNumber3Level2">
    <w:name w:val="List Number 3 (Level 2)"/>
    <w:basedOn w:val="Text3"/>
    <w:rsid w:val="002B26AA"/>
    <w:pPr>
      <w:numPr>
        <w:ilvl w:val="1"/>
        <w:numId w:val="14"/>
      </w:numPr>
    </w:pPr>
    <w:rPr>
      <w:rFonts w:eastAsia="Times New Roman"/>
      <w:lang w:val="fr-FR" w:eastAsia="en-GB"/>
    </w:rPr>
  </w:style>
  <w:style w:type="paragraph" w:customStyle="1" w:styleId="ListNumber4Level2">
    <w:name w:val="List Number 4 (Level 2)"/>
    <w:basedOn w:val="Text4"/>
    <w:rsid w:val="002B26AA"/>
    <w:pPr>
      <w:numPr>
        <w:ilvl w:val="1"/>
        <w:numId w:val="15"/>
      </w:numPr>
    </w:pPr>
    <w:rPr>
      <w:rFonts w:eastAsia="Times New Roman"/>
      <w:lang w:val="fr-FR" w:eastAsia="en-GB"/>
    </w:rPr>
  </w:style>
  <w:style w:type="paragraph" w:customStyle="1" w:styleId="ListNumber1Level3">
    <w:name w:val="List Number 1 (Level 3)"/>
    <w:basedOn w:val="Text1"/>
    <w:rsid w:val="002B26AA"/>
    <w:pPr>
      <w:numPr>
        <w:ilvl w:val="2"/>
        <w:numId w:val="12"/>
      </w:numPr>
    </w:pPr>
    <w:rPr>
      <w:rFonts w:eastAsia="Times New Roman"/>
      <w:lang w:val="fr-FR" w:eastAsia="en-GB"/>
    </w:rPr>
  </w:style>
  <w:style w:type="paragraph" w:customStyle="1" w:styleId="ListNumber2Level3">
    <w:name w:val="List Number 2 (Level 3)"/>
    <w:basedOn w:val="Text2"/>
    <w:rsid w:val="002B26AA"/>
    <w:pPr>
      <w:numPr>
        <w:ilvl w:val="2"/>
        <w:numId w:val="13"/>
      </w:numPr>
    </w:pPr>
    <w:rPr>
      <w:rFonts w:eastAsia="Times New Roman"/>
      <w:lang w:val="fr-FR" w:eastAsia="en-GB"/>
    </w:rPr>
  </w:style>
  <w:style w:type="paragraph" w:customStyle="1" w:styleId="ListNumber3Level3">
    <w:name w:val="List Number 3 (Level 3)"/>
    <w:basedOn w:val="Text3"/>
    <w:rsid w:val="002B26AA"/>
    <w:pPr>
      <w:numPr>
        <w:ilvl w:val="2"/>
        <w:numId w:val="14"/>
      </w:numPr>
    </w:pPr>
    <w:rPr>
      <w:rFonts w:eastAsia="Times New Roman"/>
      <w:lang w:val="fr-FR" w:eastAsia="en-GB"/>
    </w:rPr>
  </w:style>
  <w:style w:type="paragraph" w:customStyle="1" w:styleId="ListNumber4Level3">
    <w:name w:val="List Number 4 (Level 3)"/>
    <w:basedOn w:val="Text4"/>
    <w:rsid w:val="002B26AA"/>
    <w:pPr>
      <w:numPr>
        <w:ilvl w:val="2"/>
        <w:numId w:val="15"/>
      </w:numPr>
    </w:pPr>
    <w:rPr>
      <w:rFonts w:eastAsia="Times New Roman"/>
      <w:lang w:val="fr-FR" w:eastAsia="en-GB"/>
    </w:rPr>
  </w:style>
  <w:style w:type="paragraph" w:customStyle="1" w:styleId="ListNumber1Level4">
    <w:name w:val="List Number 1 (Level 4)"/>
    <w:basedOn w:val="Text1"/>
    <w:rsid w:val="002B26AA"/>
    <w:pPr>
      <w:numPr>
        <w:ilvl w:val="3"/>
        <w:numId w:val="12"/>
      </w:numPr>
    </w:pPr>
    <w:rPr>
      <w:rFonts w:eastAsia="Times New Roman"/>
      <w:lang w:val="fr-FR" w:eastAsia="en-GB"/>
    </w:rPr>
  </w:style>
  <w:style w:type="paragraph" w:customStyle="1" w:styleId="ListNumber2Level4">
    <w:name w:val="List Number 2 (Level 4)"/>
    <w:basedOn w:val="Text2"/>
    <w:rsid w:val="002B26AA"/>
    <w:pPr>
      <w:numPr>
        <w:ilvl w:val="3"/>
        <w:numId w:val="13"/>
      </w:numPr>
    </w:pPr>
    <w:rPr>
      <w:rFonts w:eastAsia="Times New Roman"/>
      <w:lang w:val="fr-FR" w:eastAsia="en-GB"/>
    </w:rPr>
  </w:style>
  <w:style w:type="paragraph" w:customStyle="1" w:styleId="ListNumber3Level4">
    <w:name w:val="List Number 3 (Level 4)"/>
    <w:basedOn w:val="Text3"/>
    <w:rsid w:val="002B26AA"/>
    <w:pPr>
      <w:numPr>
        <w:ilvl w:val="3"/>
        <w:numId w:val="14"/>
      </w:numPr>
    </w:pPr>
    <w:rPr>
      <w:rFonts w:eastAsia="Times New Roman"/>
      <w:lang w:val="fr-FR" w:eastAsia="en-GB"/>
    </w:rPr>
  </w:style>
  <w:style w:type="paragraph" w:customStyle="1" w:styleId="ListNumber4Level4">
    <w:name w:val="List Number 4 (Level 4)"/>
    <w:basedOn w:val="Text4"/>
    <w:rsid w:val="002B26AA"/>
    <w:pPr>
      <w:numPr>
        <w:ilvl w:val="3"/>
        <w:numId w:val="15"/>
      </w:numPr>
    </w:pPr>
    <w:rPr>
      <w:rFonts w:eastAsia="Times New Roman"/>
      <w:lang w:val="fr-FR" w:eastAsia="en-GB"/>
    </w:rPr>
  </w:style>
  <w:style w:type="paragraph" w:customStyle="1" w:styleId="Annexetitreacte">
    <w:name w:val="Annexe titre (acte)"/>
    <w:basedOn w:val="Normal"/>
    <w:next w:val="Normal"/>
    <w:rsid w:val="002B26AA"/>
    <w:pPr>
      <w:jc w:val="center"/>
    </w:pPr>
    <w:rPr>
      <w:rFonts w:eastAsia="Times New Roman"/>
      <w:b/>
      <w:u w:val="single"/>
      <w:lang w:val="fr-FR" w:eastAsia="en-GB"/>
    </w:rPr>
  </w:style>
  <w:style w:type="paragraph" w:customStyle="1" w:styleId="Annexetitreexposglobal">
    <w:name w:val="Annexe titre (exposé global)"/>
    <w:basedOn w:val="Normal"/>
    <w:next w:val="Normal"/>
    <w:rsid w:val="002B26AA"/>
    <w:pPr>
      <w:jc w:val="center"/>
    </w:pPr>
    <w:rPr>
      <w:rFonts w:eastAsia="Times New Roman"/>
      <w:b/>
      <w:u w:val="single"/>
      <w:lang w:val="fr-FR" w:eastAsia="en-GB"/>
    </w:rPr>
  </w:style>
  <w:style w:type="paragraph" w:customStyle="1" w:styleId="Annexetitrefichefinacte">
    <w:name w:val="Annexe titre (fiche fin. acte)"/>
    <w:basedOn w:val="Normal"/>
    <w:next w:val="Normal"/>
    <w:rsid w:val="002B26AA"/>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2B26AA"/>
    <w:pPr>
      <w:jc w:val="center"/>
    </w:pPr>
    <w:rPr>
      <w:rFonts w:eastAsia="Times New Roman"/>
      <w:b/>
      <w:u w:val="single"/>
      <w:lang w:val="fr-FR" w:eastAsia="en-GB"/>
    </w:rPr>
  </w:style>
  <w:style w:type="paragraph" w:customStyle="1" w:styleId="Annexetitreglobale">
    <w:name w:val="Annexe titre (globale)"/>
    <w:basedOn w:val="Normal"/>
    <w:next w:val="Normal"/>
    <w:rsid w:val="002B26AA"/>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2B26AA"/>
    <w:pPr>
      <w:jc w:val="center"/>
    </w:pPr>
    <w:rPr>
      <w:rFonts w:eastAsia="Times New Roman"/>
      <w:b/>
      <w:u w:val="single"/>
      <w:lang w:val="fr-FR" w:eastAsia="en-GB"/>
    </w:rPr>
  </w:style>
  <w:style w:type="paragraph" w:customStyle="1" w:styleId="Langueoriginale">
    <w:name w:val="Langue originale"/>
    <w:basedOn w:val="Normal"/>
    <w:rsid w:val="002B26AA"/>
    <w:pPr>
      <w:spacing w:before="360"/>
      <w:jc w:val="center"/>
    </w:pPr>
    <w:rPr>
      <w:rFonts w:eastAsia="Times New Roman"/>
      <w:caps/>
      <w:lang w:val="fr-FR" w:eastAsia="en-GB"/>
    </w:rPr>
  </w:style>
  <w:style w:type="paragraph" w:customStyle="1" w:styleId="Phrasefinale">
    <w:name w:val="Phrase finale"/>
    <w:basedOn w:val="Normal"/>
    <w:next w:val="Normal"/>
    <w:rsid w:val="002B26AA"/>
    <w:pPr>
      <w:spacing w:before="360" w:after="0"/>
      <w:jc w:val="center"/>
    </w:pPr>
    <w:rPr>
      <w:rFonts w:eastAsia="Times New Roman"/>
      <w:lang w:val="fr-FR" w:eastAsia="en-GB"/>
    </w:rPr>
  </w:style>
  <w:style w:type="paragraph" w:customStyle="1" w:styleId="Prliminairetitre">
    <w:name w:val="Préliminaire titre"/>
    <w:basedOn w:val="Normal"/>
    <w:next w:val="Normal"/>
    <w:rsid w:val="002B26AA"/>
    <w:pPr>
      <w:spacing w:before="360" w:after="360"/>
      <w:jc w:val="center"/>
    </w:pPr>
    <w:rPr>
      <w:rFonts w:eastAsia="Times New Roman"/>
      <w:b/>
      <w:lang w:val="fr-FR" w:eastAsia="en-GB"/>
    </w:rPr>
  </w:style>
  <w:style w:type="paragraph" w:customStyle="1" w:styleId="Prliminairetype">
    <w:name w:val="Préliminaire type"/>
    <w:basedOn w:val="Normal"/>
    <w:next w:val="Normal"/>
    <w:rsid w:val="002B26AA"/>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2B26AA"/>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2B26AA"/>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2B26AA"/>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2B26AA"/>
    <w:pPr>
      <w:spacing w:before="0" w:after="0"/>
      <w:jc w:val="center"/>
    </w:pPr>
    <w:rPr>
      <w:rFonts w:eastAsia="Times New Roman"/>
      <w:b/>
      <w:lang w:val="fr-FR" w:eastAsia="en-GB"/>
    </w:rPr>
  </w:style>
  <w:style w:type="paragraph" w:customStyle="1" w:styleId="Statutprliminaire">
    <w:name w:val="Statut (préliminaire)"/>
    <w:basedOn w:val="Normal"/>
    <w:next w:val="Normal"/>
    <w:rsid w:val="002B26AA"/>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2B26AA"/>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2B26AA"/>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2B26AA"/>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2B26AA"/>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2B26AA"/>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2B26AA"/>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2B26AA"/>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2B26AA"/>
    <w:pPr>
      <w:jc w:val="center"/>
    </w:pPr>
    <w:rPr>
      <w:rFonts w:eastAsia="Times New Roman"/>
      <w:b/>
      <w:u w:val="single"/>
      <w:lang w:val="fr-FR" w:eastAsia="en-GB"/>
    </w:rPr>
  </w:style>
  <w:style w:type="character" w:styleId="CommentReference">
    <w:name w:val="annotation reference"/>
    <w:uiPriority w:val="99"/>
    <w:rsid w:val="000B3C18"/>
    <w:rPr>
      <w:rFonts w:cs="Times New Roman"/>
      <w:sz w:val="16"/>
      <w:szCs w:val="16"/>
    </w:rPr>
  </w:style>
  <w:style w:type="paragraph" w:styleId="CommentText">
    <w:name w:val="annotation text"/>
    <w:basedOn w:val="Normal"/>
    <w:link w:val="CommentTextChar"/>
    <w:uiPriority w:val="99"/>
    <w:rsid w:val="000B3C18"/>
    <w:rPr>
      <w:rFonts w:eastAsia="Times New Roman"/>
      <w:sz w:val="20"/>
      <w:szCs w:val="20"/>
      <w:lang w:val="fr-FR" w:eastAsia="en-GB"/>
    </w:rPr>
  </w:style>
  <w:style w:type="character" w:customStyle="1" w:styleId="CommentTextChar">
    <w:name w:val="Comment Text Char"/>
    <w:basedOn w:val="DefaultParagraphFont"/>
    <w:link w:val="CommentText"/>
    <w:uiPriority w:val="99"/>
    <w:rsid w:val="002B26AA"/>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0B3C18"/>
    <w:rPr>
      <w:b/>
      <w:bCs/>
    </w:rPr>
  </w:style>
  <w:style w:type="character" w:customStyle="1" w:styleId="CommentSubjectChar">
    <w:name w:val="Comment Subject Char"/>
    <w:basedOn w:val="CommentTextChar"/>
    <w:link w:val="CommentSubject"/>
    <w:uiPriority w:val="99"/>
    <w:rsid w:val="002B26AA"/>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2B26AA"/>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2B26AA"/>
    <w:rPr>
      <w:rFonts w:ascii="Tahoma" w:eastAsia="Times New Roman" w:hAnsi="Tahoma" w:cs="Tahoma"/>
      <w:sz w:val="16"/>
      <w:szCs w:val="16"/>
      <w:lang w:val="fr-FR" w:eastAsia="en-GB"/>
    </w:rPr>
  </w:style>
  <w:style w:type="paragraph" w:styleId="Caption">
    <w:name w:val="caption"/>
    <w:basedOn w:val="Normal"/>
    <w:next w:val="Normal"/>
    <w:qFormat/>
    <w:rsid w:val="002B26AA"/>
    <w:rPr>
      <w:rFonts w:eastAsia="Times New Roman"/>
      <w:b/>
      <w:bCs/>
      <w:sz w:val="20"/>
      <w:szCs w:val="20"/>
      <w:lang w:val="fr-FR" w:eastAsia="en-GB"/>
    </w:rPr>
  </w:style>
  <w:style w:type="paragraph" w:styleId="TableofFigures">
    <w:name w:val="table of figures"/>
    <w:basedOn w:val="Normal"/>
    <w:next w:val="Normal"/>
    <w:rsid w:val="002B26AA"/>
    <w:rPr>
      <w:rFonts w:eastAsia="Times New Roman"/>
      <w:lang w:val="fr-FR" w:eastAsia="en-GB"/>
    </w:rPr>
  </w:style>
  <w:style w:type="character" w:styleId="PageNumber">
    <w:name w:val="page number"/>
    <w:rsid w:val="002B26AA"/>
  </w:style>
  <w:style w:type="character" w:customStyle="1" w:styleId="tw4winMark">
    <w:name w:val="tw4winMark"/>
    <w:rsid w:val="002B26AA"/>
    <w:rPr>
      <w:vanish/>
      <w:color w:val="800080"/>
      <w:vertAlign w:val="subscript"/>
    </w:rPr>
  </w:style>
  <w:style w:type="character" w:styleId="FollowedHyperlink">
    <w:name w:val="FollowedHyperlink"/>
    <w:rsid w:val="002B26AA"/>
    <w:rPr>
      <w:color w:val="800080"/>
      <w:u w:val="single"/>
    </w:rPr>
  </w:style>
  <w:style w:type="paragraph" w:customStyle="1" w:styleId="Sous-titreobjet">
    <w:name w:val="Sous-titre objet"/>
    <w:basedOn w:val="Normal"/>
    <w:rsid w:val="002B26AA"/>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2B26AA"/>
  </w:style>
  <w:style w:type="paragraph" w:styleId="Revision">
    <w:name w:val="Revision"/>
    <w:hidden/>
    <w:uiPriority w:val="99"/>
    <w:semiHidden/>
    <w:rsid w:val="000B3C18"/>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2B26AA"/>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2B26AA"/>
    <w:rPr>
      <w:rFonts w:ascii="Times New Roman" w:hAnsi="Times New Roman" w:cs="Times New Roman"/>
      <w:b/>
      <w:sz w:val="28"/>
      <w:lang w:val="en-GB"/>
    </w:rPr>
  </w:style>
  <w:style w:type="character" w:customStyle="1" w:styleId="FooterCoverPageChar">
    <w:name w:val="Footer Cover Page Char"/>
    <w:link w:val="FooterCoverPage"/>
    <w:rsid w:val="002B26AA"/>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2B26AA"/>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2B26AA"/>
    <w:rPr>
      <w:rFonts w:ascii="Times New Roman" w:eastAsia="Calibri" w:hAnsi="Times New Roman" w:cs="Times New Roman"/>
      <w:sz w:val="24"/>
      <w:lang w:val="en-GB" w:eastAsia="en-GB"/>
    </w:rPr>
  </w:style>
  <w:style w:type="character" w:customStyle="1" w:styleId="FooterSensitivityChar">
    <w:name w:val="Footer Sensitivity Char"/>
    <w:rsid w:val="002B26AA"/>
    <w:rPr>
      <w:rFonts w:ascii="Times New Roman" w:hAnsi="Times New Roman" w:cs="Times New Roman"/>
      <w:b/>
      <w:sz w:val="32"/>
      <w:lang w:val="en-GB"/>
    </w:rPr>
  </w:style>
  <w:style w:type="character" w:customStyle="1" w:styleId="HeaderSensitivityChar">
    <w:name w:val="Header Sensitivity Char"/>
    <w:rsid w:val="002B26AA"/>
    <w:rPr>
      <w:rFonts w:ascii="Times New Roman" w:hAnsi="Times New Roman" w:cs="Times New Roman"/>
      <w:b/>
      <w:sz w:val="32"/>
      <w:lang w:val="en-GB"/>
    </w:rPr>
  </w:style>
  <w:style w:type="character" w:customStyle="1" w:styleId="HeaderSensitivityRightChar">
    <w:name w:val="Header Sensitivity Right Char"/>
    <w:rsid w:val="002B26AA"/>
    <w:rPr>
      <w:rFonts w:ascii="Times New Roman" w:hAnsi="Times New Roman" w:cs="Times New Roman"/>
      <w:sz w:val="28"/>
      <w:lang w:val="en-GB"/>
    </w:rPr>
  </w:style>
  <w:style w:type="paragraph" w:customStyle="1" w:styleId="LegalNumPar">
    <w:name w:val="LegalNumPar"/>
    <w:basedOn w:val="Normal"/>
    <w:rsid w:val="002B26AA"/>
    <w:pPr>
      <w:numPr>
        <w:numId w:val="16"/>
      </w:numPr>
      <w:spacing w:line="360" w:lineRule="auto"/>
    </w:pPr>
    <w:rPr>
      <w:rFonts w:eastAsia="Times New Roman"/>
      <w:lang w:eastAsia="en-GB"/>
    </w:rPr>
  </w:style>
  <w:style w:type="paragraph" w:customStyle="1" w:styleId="LegalNumPar2">
    <w:name w:val="LegalNumPar2"/>
    <w:basedOn w:val="Normal"/>
    <w:rsid w:val="002B26AA"/>
    <w:pPr>
      <w:numPr>
        <w:ilvl w:val="1"/>
        <w:numId w:val="16"/>
      </w:numPr>
      <w:spacing w:line="360" w:lineRule="auto"/>
    </w:pPr>
    <w:rPr>
      <w:rFonts w:eastAsia="Times New Roman"/>
      <w:lang w:eastAsia="en-GB"/>
    </w:rPr>
  </w:style>
  <w:style w:type="paragraph" w:customStyle="1" w:styleId="LegalNumPar3">
    <w:name w:val="LegalNumPar3"/>
    <w:basedOn w:val="Normal"/>
    <w:rsid w:val="002B26AA"/>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2B26AA"/>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2B26AA"/>
    <w:rPr>
      <w:color w:val="605E5C"/>
      <w:shd w:val="clear" w:color="auto" w:fill="E1DFDD"/>
    </w:rPr>
  </w:style>
  <w:style w:type="character" w:styleId="Strong">
    <w:name w:val="Strong"/>
    <w:basedOn w:val="DefaultParagraphFont"/>
    <w:qFormat/>
    <w:rsid w:val="002B26AA"/>
    <w:rPr>
      <w:b/>
      <w:bCs/>
    </w:rPr>
  </w:style>
  <w:style w:type="character" w:styleId="Emphasis">
    <w:name w:val="Emphasis"/>
    <w:basedOn w:val="DefaultParagraphFont"/>
    <w:qFormat/>
    <w:rsid w:val="002B26AA"/>
    <w:rPr>
      <w:i/>
      <w:iCs/>
    </w:rPr>
  </w:style>
  <w:style w:type="character" w:customStyle="1" w:styleId="Mention1">
    <w:name w:val="Mention1"/>
    <w:basedOn w:val="DefaultParagraphFont"/>
    <w:uiPriority w:val="99"/>
    <w:unhideWhenUsed/>
    <w:rsid w:val="002B26AA"/>
    <w:rPr>
      <w:color w:val="2B579A"/>
      <w:shd w:val="clear" w:color="auto" w:fill="E1DFDD"/>
    </w:rPr>
  </w:style>
  <w:style w:type="character" w:customStyle="1" w:styleId="normaltextrun">
    <w:name w:val="normaltextrun"/>
    <w:basedOn w:val="DefaultParagraphFont"/>
    <w:rsid w:val="002B26AA"/>
  </w:style>
  <w:style w:type="character" w:customStyle="1" w:styleId="eop">
    <w:name w:val="eop"/>
    <w:basedOn w:val="DefaultParagraphFont"/>
    <w:rsid w:val="002B26AA"/>
  </w:style>
  <w:style w:type="character" w:customStyle="1" w:styleId="UnresolvedMention11">
    <w:name w:val="Unresolved Mention11"/>
    <w:basedOn w:val="DefaultParagraphFont"/>
    <w:uiPriority w:val="99"/>
    <w:semiHidden/>
    <w:unhideWhenUsed/>
    <w:rsid w:val="000B3C18"/>
    <w:rPr>
      <w:color w:val="605E5C"/>
      <w:shd w:val="clear" w:color="auto" w:fill="E1DFDD"/>
    </w:rPr>
  </w:style>
  <w:style w:type="character" w:customStyle="1" w:styleId="UnresolvedMention2">
    <w:name w:val="Unresolved Mention2"/>
    <w:basedOn w:val="DefaultParagraphFont"/>
    <w:uiPriority w:val="99"/>
    <w:semiHidden/>
    <w:unhideWhenUsed/>
    <w:rsid w:val="000B3C18"/>
    <w:rPr>
      <w:color w:val="605E5C"/>
      <w:shd w:val="clear" w:color="auto" w:fill="E1DFDD"/>
    </w:rPr>
  </w:style>
  <w:style w:type="character" w:customStyle="1" w:styleId="cf01">
    <w:name w:val="cf01"/>
    <w:basedOn w:val="DefaultParagraphFont"/>
    <w:rsid w:val="000B3C18"/>
    <w:rPr>
      <w:rFonts w:ascii="Segoe UI" w:hAnsi="Segoe UI" w:cs="Segoe UI" w:hint="default"/>
      <w:sz w:val="18"/>
      <w:szCs w:val="18"/>
    </w:rPr>
  </w:style>
  <w:style w:type="character" w:customStyle="1" w:styleId="cf11">
    <w:name w:val="cf11"/>
    <w:basedOn w:val="DefaultParagraphFont"/>
    <w:rsid w:val="000B3C18"/>
    <w:rPr>
      <w:rFonts w:ascii="Segoe UI" w:hAnsi="Segoe UI" w:cs="Segoe UI" w:hint="default"/>
      <w:i/>
      <w:iCs/>
      <w:sz w:val="18"/>
      <w:szCs w:val="18"/>
    </w:rPr>
  </w:style>
  <w:style w:type="paragraph" w:styleId="EndnoteText">
    <w:name w:val="endnote text"/>
    <w:basedOn w:val="Normal"/>
    <w:link w:val="EndnoteTextChar"/>
    <w:uiPriority w:val="99"/>
    <w:semiHidden/>
    <w:unhideWhenUsed/>
    <w:rsid w:val="000B3C18"/>
    <w:pPr>
      <w:spacing w:before="0" w:after="0"/>
    </w:pPr>
    <w:rPr>
      <w:sz w:val="20"/>
      <w:szCs w:val="20"/>
    </w:rPr>
  </w:style>
  <w:style w:type="character" w:customStyle="1" w:styleId="EndnoteTextChar">
    <w:name w:val="Endnote Text Char"/>
    <w:basedOn w:val="DefaultParagraphFont"/>
    <w:link w:val="EndnoteText"/>
    <w:uiPriority w:val="99"/>
    <w:semiHidden/>
    <w:rsid w:val="000B3C18"/>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0B3C18"/>
    <w:rPr>
      <w:vertAlign w:val="superscript"/>
    </w:rPr>
  </w:style>
  <w:style w:type="character" w:customStyle="1" w:styleId="Mention11">
    <w:name w:val="Mention11"/>
    <w:basedOn w:val="DefaultParagraphFont"/>
    <w:uiPriority w:val="99"/>
    <w:unhideWhenUsed/>
    <w:rsid w:val="000B3C18"/>
    <w:rPr>
      <w:color w:val="2B579A"/>
      <w:shd w:val="clear" w:color="auto" w:fill="E1DFDD"/>
    </w:rPr>
  </w:style>
  <w:style w:type="character" w:customStyle="1" w:styleId="UnresolvedMention">
    <w:name w:val="Unresolved Mention"/>
    <w:basedOn w:val="DefaultParagraphFont"/>
    <w:uiPriority w:val="99"/>
    <w:semiHidden/>
    <w:unhideWhenUsed/>
    <w:rsid w:val="00E767F3"/>
    <w:rPr>
      <w:color w:val="605E5C"/>
      <w:shd w:val="clear" w:color="auto" w:fill="E1DFDD"/>
    </w:rPr>
  </w:style>
  <w:style w:type="character" w:customStyle="1" w:styleId="HeaderChar">
    <w:name w:val="Header Char"/>
    <w:basedOn w:val="DefaultParagraphFont"/>
    <w:link w:val="Header"/>
    <w:uiPriority w:val="99"/>
    <w:rsid w:val="00DC5E71"/>
    <w:rPr>
      <w:rFonts w:ascii="Times New Roman" w:hAnsi="Times New Roman" w:cs="Times New Roman"/>
      <w:sz w:val="24"/>
      <w:lang w:val="en-GB"/>
    </w:rPr>
  </w:style>
  <w:style w:type="character" w:customStyle="1" w:styleId="FooterChar">
    <w:name w:val="Footer Char"/>
    <w:basedOn w:val="DefaultParagraphFont"/>
    <w:link w:val="Footer"/>
    <w:uiPriority w:val="99"/>
    <w:rsid w:val="00DC5E71"/>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C5E7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C5E71"/>
    <w:pPr>
      <w:spacing w:before="0"/>
      <w:jc w:val="right"/>
    </w:pPr>
    <w:rPr>
      <w:sz w:val="28"/>
    </w:rPr>
  </w:style>
  <w:style w:type="paragraph" w:customStyle="1" w:styleId="FooterSensitivity">
    <w:name w:val="Footer Sensitivity"/>
    <w:basedOn w:val="Normal"/>
    <w:rsid w:val="00DC5E7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2"/>
      </w:numPr>
    </w:pPr>
  </w:style>
  <w:style w:type="paragraph" w:customStyle="1" w:styleId="Tiret1">
    <w:name w:val="Tiret 1"/>
    <w:basedOn w:val="Point1"/>
    <w:pPr>
      <w:numPr>
        <w:numId w:val="33"/>
      </w:numPr>
    </w:pPr>
  </w:style>
  <w:style w:type="paragraph" w:customStyle="1" w:styleId="Tiret2">
    <w:name w:val="Tiret 2"/>
    <w:basedOn w:val="Point2"/>
    <w:pPr>
      <w:numPr>
        <w:numId w:val="34"/>
      </w:numPr>
    </w:pPr>
  </w:style>
  <w:style w:type="paragraph" w:customStyle="1" w:styleId="Tiret3">
    <w:name w:val="Tiret 3"/>
    <w:basedOn w:val="Point3"/>
    <w:pPr>
      <w:numPr>
        <w:numId w:val="35"/>
      </w:numPr>
    </w:pPr>
  </w:style>
  <w:style w:type="paragraph" w:customStyle="1" w:styleId="Tiret4">
    <w:name w:val="Tiret 4"/>
    <w:basedOn w:val="Point4"/>
    <w:pPr>
      <w:numPr>
        <w:numId w:val="36"/>
      </w:numPr>
    </w:pPr>
  </w:style>
  <w:style w:type="paragraph" w:customStyle="1" w:styleId="Tiret5">
    <w:name w:val="Tiret 5"/>
    <w:basedOn w:val="Point5"/>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NumPar5">
    <w:name w:val="NumPar 5"/>
    <w:basedOn w:val="Normal"/>
    <w:next w:val="Text2"/>
    <w:pPr>
      <w:numPr>
        <w:ilvl w:val="4"/>
        <w:numId w:val="38"/>
      </w:numPr>
    </w:pPr>
  </w:style>
  <w:style w:type="paragraph" w:customStyle="1" w:styleId="NumPar6">
    <w:name w:val="NumPar 6"/>
    <w:basedOn w:val="Normal"/>
    <w:next w:val="Text2"/>
    <w:pPr>
      <w:numPr>
        <w:ilvl w:val="5"/>
        <w:numId w:val="38"/>
      </w:numPr>
    </w:pPr>
  </w:style>
  <w:style w:type="paragraph" w:customStyle="1" w:styleId="NumPar7">
    <w:name w:val="NumPar 7"/>
    <w:basedOn w:val="Normal"/>
    <w:next w:val="Text2"/>
    <w:pPr>
      <w:numPr>
        <w:ilvl w:val="6"/>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C5E71"/>
    <w:pPr>
      <w:tabs>
        <w:tab w:val="center" w:pos="4535"/>
        <w:tab w:val="right" w:pos="9071"/>
      </w:tabs>
      <w:spacing w:before="0"/>
    </w:pPr>
  </w:style>
  <w:style w:type="paragraph" w:customStyle="1" w:styleId="HeaderLandscape">
    <w:name w:val="HeaderLandscape"/>
    <w:basedOn w:val="Normal"/>
    <w:rsid w:val="00DC5E71"/>
    <w:pPr>
      <w:tabs>
        <w:tab w:val="center" w:pos="7285"/>
        <w:tab w:val="right" w:pos="14003"/>
      </w:tabs>
      <w:spacing w:before="0"/>
    </w:pPr>
  </w:style>
  <w:style w:type="paragraph" w:styleId="Footer">
    <w:name w:val="footer"/>
    <w:basedOn w:val="Normal"/>
    <w:link w:val="FooterChar"/>
    <w:uiPriority w:val="99"/>
    <w:unhideWhenUsed/>
    <w:rsid w:val="00DC5E7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C5E7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78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mment xmlns="541a8a8b-b856-4d35-a5c7-7f2c0ec3d499" xsi:nil="true"/>
    <Year xmlns="541a8a8b-b856-4d35-a5c7-7f2c0ec3d499" xsi:nil="true"/>
    <lcf76f155ced4ddcb4097134ff3c332f xmlns="541a8a8b-b856-4d35-a5c7-7f2c0ec3d499">
      <Terms xmlns="http://schemas.microsoft.com/office/infopath/2007/PartnerControls"/>
    </lcf76f155ced4ddcb4097134ff3c332f>
    <TaxCatchAll xmlns="e0757b53-df10-4b98-9811-094c4c3e23a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7ccc736c7520f5083f9a5ab5bc5df0e">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bd68d7ea74b11c909c78feeb1fd432ad" ns2:_="" ns3:_="">
    <xsd:import namespace="541a8a8b-b856-4d35-a5c7-7f2c0ec3d499"/>
    <xsd:import namespace="e0757b53-df10-4b98-9811-094c4c3e23a8"/>
    <xsd:element name="properties">
      <xsd:complexType>
        <xsd:sequence>
          <xsd:element name="documentManagement">
            <xsd:complexType>
              <xsd:all>
                <xsd:element ref="ns2:Comment" minOccurs="0"/>
                <xsd:element ref="ns2:Year"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Comment" ma:index="3" nillable="true" ma:displayName="Comment" ma:format="Dropdown" ma:internalName="Comment" ma:readOnly="false">
      <xsd:simpleType>
        <xsd:restriction base="dms:Text">
          <xsd:maxLength value="255"/>
        </xsd:restriction>
      </xsd:simpleType>
    </xsd:element>
    <xsd:element name="Year" ma:index="4" nillable="true" ma:displayName="Year" ma:format="DateOnly" ma:internalName="Year"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element name="TaxCatchAll" ma:index="22" nillable="true" ma:displayName="Taxonomy Catch All Column" ma:hidden="true" ma:list="{e94bbc1f-4af1-4350-9187-1125370a984a}" ma:internalName="TaxCatchAll" ma:readOnly="false"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38F36-E798-4232-B588-5CB0982C470B}">
  <ds:schemaRefs>
    <ds:schemaRef ds:uri="http://schemas.microsoft.com/sharepoint/v3/contenttype/forms"/>
  </ds:schemaRefs>
</ds:datastoreItem>
</file>

<file path=customXml/itemProps2.xml><?xml version="1.0" encoding="utf-8"?>
<ds:datastoreItem xmlns:ds="http://schemas.openxmlformats.org/officeDocument/2006/customXml" ds:itemID="{24241097-866E-44FA-A1D4-23AB00454200}">
  <ds:schemaRefs>
    <ds:schemaRef ds:uri="http://purl.org/dc/elements/1.1/"/>
    <ds:schemaRef ds:uri="http://www.w3.org/XML/1998/namespace"/>
    <ds:schemaRef ds:uri="http://purl.org/dc/terms/"/>
    <ds:schemaRef ds:uri="http://schemas.microsoft.com/office/2006/metadata/properties"/>
    <ds:schemaRef ds:uri="http://schemas.microsoft.com/office/infopath/2007/PartnerControls"/>
    <ds:schemaRef ds:uri="541a8a8b-b856-4d35-a5c7-7f2c0ec3d499"/>
    <ds:schemaRef ds:uri="http://schemas.microsoft.com/office/2006/documentManagement/types"/>
    <ds:schemaRef ds:uri="http://purl.org/dc/dcmitype/"/>
    <ds:schemaRef ds:uri="http://schemas.openxmlformats.org/package/2006/metadata/core-properties"/>
    <ds:schemaRef ds:uri="e0757b53-df10-4b98-9811-094c4c3e23a8"/>
  </ds:schemaRefs>
</ds:datastoreItem>
</file>

<file path=customXml/itemProps3.xml><?xml version="1.0" encoding="utf-8"?>
<ds:datastoreItem xmlns:ds="http://schemas.openxmlformats.org/officeDocument/2006/customXml" ds:itemID="{A3B8EB9C-42D5-43A0-949C-888D881582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42C8D3-48C1-452C-B438-BD396B6F5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6</Pages>
  <Words>1905</Words>
  <Characters>10863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cp:lastPrinted>2026-05-26T18:33:00Z</cp:lastPrinted>
  <dcterms:created xsi:type="dcterms:W3CDTF">2026-05-30T08:15:00Z</dcterms:created>
  <dcterms:modified xsi:type="dcterms:W3CDTF">2026-06-01T18:07:00Z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2025-05-19T12:42:33Z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b54c33d4-709c-40a8-bb63-c583c1551aa8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Category">
    <vt:lpwstr>COM/PL/ORG</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SJ-019</vt:lpwstr>
  </property>
  <property fmtid="{D5CDD505-2E9C-101B-9397-08002B2CF9AE}" pid="15" name="ContentTypeId">
    <vt:lpwstr>0x010100087E4EC354ADFB40AC5D4FC129E379BA</vt:lpwstr>
  </property>
  <property fmtid="{D5CDD505-2E9C-101B-9397-08002B2CF9AE}" pid="16" name="MediaServiceImageTags">
    <vt:lpwstr/>
  </property>
  <property fmtid="{D5CDD505-2E9C-101B-9397-08002B2CF9AE}" pid="17" name="DQCStatus">
    <vt:lpwstr>Yellow (DQC version 03)</vt:lpwstr>
  </property>
</Properties>
</file>