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2DD9D" w14:textId="7D28F275" w:rsidR="002B26AA" w:rsidRPr="00DF59AA" w:rsidRDefault="00E81AD1" w:rsidP="00E81AD1">
      <w:pPr>
        <w:pStyle w:val="Pagedecouverture"/>
        <w:rPr>
          <w:noProof/>
        </w:rPr>
      </w:pPr>
      <w:r>
        <w:rPr>
          <w:noProof/>
        </w:rPr>
        <w:pict w14:anchorId="46ADA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AA09D0-A96B-4FA3-A5CD-95FD560BE88D" style="width:455.25pt;height:330pt">
            <v:imagedata r:id="rId11" o:title=""/>
          </v:shape>
        </w:pict>
      </w:r>
    </w:p>
    <w:p w14:paraId="6FCCC18D" w14:textId="77777777" w:rsidR="00923B41" w:rsidRPr="00DF59AA" w:rsidRDefault="00923B41">
      <w:pPr>
        <w:spacing w:before="0" w:after="200" w:line="276" w:lineRule="auto"/>
        <w:jc w:val="left"/>
        <w:rPr>
          <w:b/>
          <w:noProof/>
          <w:u w:val="single"/>
        </w:rPr>
        <w:sectPr w:rsidR="00923B41" w:rsidRPr="00DF59AA" w:rsidSect="00E81AD1">
          <w:footerReference w:type="even" r:id="rId12"/>
          <w:footerReference w:type="default" r:id="rId13"/>
          <w:pgSz w:w="11907" w:h="16839"/>
          <w:pgMar w:top="1134" w:right="1417" w:bottom="1134" w:left="1417" w:header="709" w:footer="709" w:gutter="0"/>
          <w:pgNumType w:start="0"/>
          <w:cols w:space="720"/>
          <w:docGrid w:linePitch="360"/>
        </w:sectPr>
      </w:pPr>
    </w:p>
    <w:p w14:paraId="1D2A1F42" w14:textId="77777777" w:rsidR="002B26AA" w:rsidRPr="00DF59AA" w:rsidRDefault="002B26AA">
      <w:pPr>
        <w:pStyle w:val="Exposdesmotifstitre"/>
        <w:rPr>
          <w:noProof/>
        </w:rPr>
      </w:pPr>
      <w:bookmarkStart w:id="0" w:name="_GoBack"/>
      <w:bookmarkEnd w:id="0"/>
      <w:r w:rsidRPr="00DF59AA">
        <w:rPr>
          <w:noProof/>
        </w:rPr>
        <w:lastRenderedPageBreak/>
        <w:t>EXPOSÉ DES MOTIFS</w:t>
      </w:r>
    </w:p>
    <w:p w14:paraId="73FDE324" w14:textId="77777777" w:rsidR="002B26AA" w:rsidRPr="00DF59AA" w:rsidRDefault="002B26AA">
      <w:pPr>
        <w:rPr>
          <w:noProof/>
        </w:rPr>
      </w:pPr>
    </w:p>
    <w:p w14:paraId="6DFFD6CF" w14:textId="77777777" w:rsidR="00E811BB" w:rsidRPr="00DF59AA" w:rsidRDefault="00E811BB" w:rsidP="00E811BB">
      <w:pPr>
        <w:ind w:right="85"/>
        <w:rPr>
          <w:noProof/>
        </w:rPr>
      </w:pPr>
      <w:bookmarkStart w:id="1" w:name="_Hlk198218552"/>
      <w:r w:rsidRPr="00DF59AA">
        <w:rPr>
          <w:noProof/>
        </w:rPr>
        <w:t>Le traité sur le fonctionnement de l’Union européenne impose aux États membres de considérer leurs politiques économiques et la promotion de l’emploi comme des questions d’intérêt commun et de coordonner leur action au sein du Conseil. Le Conseil doit adopter des lignes directrices pour l’emploi (article 148), lesquelles doivent être compatibles avec les grandes orientations des politiques économiques (article 121).</w:t>
      </w:r>
    </w:p>
    <w:p w14:paraId="0AE0B16C" w14:textId="0C328B53" w:rsidR="00E811BB" w:rsidRPr="00DF59AA" w:rsidRDefault="00E811BB" w:rsidP="001C11E4">
      <w:pPr>
        <w:ind w:left="-6" w:right="85"/>
        <w:rPr>
          <w:noProof/>
        </w:rPr>
      </w:pPr>
      <w:r w:rsidRPr="00DF59AA">
        <w:rPr>
          <w:noProof/>
        </w:rPr>
        <w:t xml:space="preserve">Alors que les grandes orientations des politiques économiques sont valables de manière continue, les lignes directrices pour l’emploi doivent être reformulées chaque année. Les grandes orientations et les lignes directrices ont été adoptées conjointement pour la première fois en 2010 (sous la forme d’un «ensemble de mesures intégrées»), et elles ont soutenu la stratégie «Europe 2020». Des lignes directrices intégrées révisées ont été adoptées en 2015. En ce qui concerne les lignes directrices pour l’emploi, s’est développée depuis 2018 une pratique consistant à procéder alternativement à une actualisation complète (portant à la fois sur les considérants et sur les lignes directrices proprement dites) une année sur deux et à une «reconduction» (actualisation des considérants mais conservation des lignes directrices en l’état) l’année suivante. À la suite d’une actualisation complète en 2024, une reconduction a été effectuée en 2025. Par conséquent, cette année, tant les lignes directrices proprement dites que les considérants sont mis à jour. De nouveaux éléments sont introduits dans les lignes directrices, notamment en ce qui concerne i) la qualité de l’emploi [en lien avec la feuille de route pour des emplois de qualité présentée par la Commission en décembre 2025 et les travaux du Comité de l’emploi (COEM) sur les différentes dimensions de la qualité de l’emploi et le cadre de suivi y afférent], ii) les compétences et l’éducation (conformément à la nouvelle recommandation du Conseil relative au capital humain présentée par la Commission en novembre 2025 et adoptée par le Conseil en mars 2026) ainsi que iii) la réduction de la pauvreté et l’inclusion sociale (conformément à la stratégie de lutte contre la pauvreté présentée par la Commission en mai 2026). Les lignes directrices ont aussi été sensiblement rationalisées afin d’éviter les répétitions et d’améliorer la lisibilité. Les considérants ont également été mis à jour pour tenir compte du contexte socio-économique actuel et des initiatives stratégiques les plus récentes.  </w:t>
      </w:r>
    </w:p>
    <w:p w14:paraId="69033733" w14:textId="0A17B0CB" w:rsidR="005416F9" w:rsidRPr="00DF59AA" w:rsidRDefault="005416F9" w:rsidP="001C11E4">
      <w:pPr>
        <w:ind w:left="-6" w:right="85"/>
        <w:rPr>
          <w:noProof/>
        </w:rPr>
      </w:pPr>
      <w:r w:rsidRPr="00DF59AA">
        <w:rPr>
          <w:noProof/>
        </w:rPr>
        <w:t xml:space="preserve">Parallèlement aux grandes orientations des politiques économiques, les lignes directrices pour l’emploi sont présentées sous la forme d’une décision du Conseil relative aux lignes directrices pour les politiques de l’emploi des États membres (partie II des lignes directrices intégrées) et constituent la base des recommandations par pays dans les domaines correspondants. </w:t>
      </w:r>
    </w:p>
    <w:bookmarkEnd w:id="1"/>
    <w:p w14:paraId="3B699DDB" w14:textId="77777777" w:rsidR="005416F9" w:rsidRPr="00DF59AA" w:rsidRDefault="005416F9" w:rsidP="001C11E4">
      <w:pPr>
        <w:jc w:val="left"/>
        <w:rPr>
          <w:noProof/>
        </w:rPr>
      </w:pPr>
      <w:r w:rsidRPr="00DF59AA">
        <w:rPr>
          <w:noProof/>
        </w:rPr>
        <w:t xml:space="preserve"> </w:t>
      </w:r>
    </w:p>
    <w:p w14:paraId="5DD9BDD6" w14:textId="77777777" w:rsidR="005416F9" w:rsidRPr="00DF59AA" w:rsidRDefault="005416F9" w:rsidP="001C11E4">
      <w:pPr>
        <w:ind w:left="-6" w:right="85"/>
        <w:rPr>
          <w:noProof/>
        </w:rPr>
      </w:pPr>
      <w:r w:rsidRPr="00DF59AA">
        <w:rPr>
          <w:noProof/>
        </w:rPr>
        <w:t xml:space="preserve">Les «lignes directrices pour l’emploi» qui ont été révisées sont les suivantes: </w:t>
      </w:r>
    </w:p>
    <w:p w14:paraId="0554AE6F" w14:textId="77777777" w:rsidR="005416F9" w:rsidRPr="00DF59AA" w:rsidRDefault="005416F9" w:rsidP="001C11E4">
      <w:pPr>
        <w:ind w:left="-6" w:right="85"/>
        <w:rPr>
          <w:noProof/>
        </w:rPr>
      </w:pPr>
      <w:r w:rsidRPr="00DF59AA">
        <w:rPr>
          <w:noProof/>
        </w:rPr>
        <w:t xml:space="preserve">Ligne directrice nº 5: Stimuler la demande de main-d’œuvre </w:t>
      </w:r>
    </w:p>
    <w:p w14:paraId="1CB49D30" w14:textId="77777777" w:rsidR="005416F9" w:rsidRPr="00DF59AA" w:rsidRDefault="005416F9" w:rsidP="001C11E4">
      <w:pPr>
        <w:ind w:left="-6" w:right="85"/>
        <w:rPr>
          <w:noProof/>
        </w:rPr>
      </w:pPr>
      <w:r w:rsidRPr="00DF59AA">
        <w:rPr>
          <w:noProof/>
        </w:rPr>
        <w:t xml:space="preserve">Ligne directrice nº 6: Renforcer l’offre de main-d’œuvre et améliorer l’accès à l’emploi ainsi que l’acquisition de qualifications et de compétences tout au long de la vie </w:t>
      </w:r>
      <w:r w:rsidRPr="00DF59AA">
        <w:rPr>
          <w:i/>
          <w:noProof/>
        </w:rPr>
        <w:t xml:space="preserve"> </w:t>
      </w:r>
    </w:p>
    <w:p w14:paraId="57FEEB24" w14:textId="77777777" w:rsidR="005416F9" w:rsidRPr="00DF59AA" w:rsidRDefault="005416F9" w:rsidP="001C11E4">
      <w:pPr>
        <w:ind w:left="-6" w:right="85"/>
        <w:rPr>
          <w:noProof/>
        </w:rPr>
      </w:pPr>
      <w:r w:rsidRPr="00DF59AA">
        <w:rPr>
          <w:noProof/>
        </w:rPr>
        <w:t xml:space="preserve">Ligne directrice nº 7: Améliorer le fonctionnement des marchés du travail et l’efficacité du dialogue social </w:t>
      </w:r>
    </w:p>
    <w:p w14:paraId="698FA076" w14:textId="4D22AF6A" w:rsidR="005416F9" w:rsidRPr="00DF59AA" w:rsidRDefault="005416F9" w:rsidP="001C11E4">
      <w:pPr>
        <w:ind w:left="-6" w:right="85"/>
        <w:rPr>
          <w:noProof/>
        </w:rPr>
      </w:pPr>
      <w:r w:rsidRPr="00DF59AA">
        <w:rPr>
          <w:noProof/>
        </w:rPr>
        <w:t xml:space="preserve">Ligne directrice nº 8: promouvoir l’égalité des chances pour tous, favoriser l’inclusion sociale, prévenir et combattre la pauvreté </w:t>
      </w:r>
    </w:p>
    <w:p w14:paraId="460BCDA5" w14:textId="77777777" w:rsidR="005416F9" w:rsidRPr="00DF59AA" w:rsidRDefault="005416F9">
      <w:pPr>
        <w:rPr>
          <w:noProof/>
        </w:rPr>
        <w:sectPr w:rsidR="005416F9" w:rsidRPr="00DF59AA" w:rsidSect="00E81AD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08"/>
          <w:docGrid w:linePitch="360"/>
        </w:sectPr>
      </w:pPr>
    </w:p>
    <w:p w14:paraId="4DDD19AB" w14:textId="69C4CF37" w:rsidR="00EC28D4" w:rsidRPr="00DF59AA" w:rsidRDefault="00DF59AA" w:rsidP="00DF59AA">
      <w:pPr>
        <w:pStyle w:val="Rfrenceinterinstitutionnelle"/>
        <w:rPr>
          <w:noProof/>
        </w:rPr>
      </w:pPr>
      <w:r>
        <w:rPr>
          <w:noProof/>
        </w:rPr>
        <w:lastRenderedPageBreak/>
        <w:t>2026/0137 (NLE)</w:t>
      </w:r>
    </w:p>
    <w:p w14:paraId="362E9016" w14:textId="605F0081" w:rsidR="002B26AA" w:rsidRPr="00DF59AA" w:rsidRDefault="00DF59AA" w:rsidP="00DF59AA">
      <w:pPr>
        <w:pStyle w:val="Statut"/>
        <w:rPr>
          <w:noProof/>
        </w:rPr>
      </w:pPr>
      <w:r w:rsidRPr="00DF59AA">
        <w:rPr>
          <w:noProof/>
        </w:rPr>
        <w:t>Proposition de</w:t>
      </w:r>
    </w:p>
    <w:p w14:paraId="335A631A" w14:textId="0F6805D6" w:rsidR="002B26AA" w:rsidRPr="00DF59AA" w:rsidRDefault="00DF59AA" w:rsidP="00DF59AA">
      <w:pPr>
        <w:pStyle w:val="Typedudocument"/>
        <w:rPr>
          <w:noProof/>
        </w:rPr>
      </w:pPr>
      <w:r w:rsidRPr="00DF59AA">
        <w:rPr>
          <w:noProof/>
        </w:rPr>
        <w:t>DÉCISION DU CONSEIL</w:t>
      </w:r>
    </w:p>
    <w:p w14:paraId="2D989E62" w14:textId="3DBD41FC" w:rsidR="002B26AA" w:rsidRPr="00DF59AA" w:rsidRDefault="00DF59AA" w:rsidP="00DF59AA">
      <w:pPr>
        <w:pStyle w:val="Titreobjet"/>
        <w:rPr>
          <w:noProof/>
        </w:rPr>
      </w:pPr>
      <w:r w:rsidRPr="00DF59AA">
        <w:rPr>
          <w:noProof/>
        </w:rPr>
        <w:t>relative aux lignes directrices pour les politiques de l’emploi des États membres</w:t>
      </w:r>
    </w:p>
    <w:p w14:paraId="5300E972" w14:textId="77777777" w:rsidR="002B26AA" w:rsidRPr="00DF59AA" w:rsidRDefault="002B26AA">
      <w:pPr>
        <w:pStyle w:val="Institutionquiagit"/>
        <w:rPr>
          <w:noProof/>
        </w:rPr>
      </w:pPr>
      <w:r w:rsidRPr="00DF59AA">
        <w:rPr>
          <w:noProof/>
        </w:rPr>
        <w:t>LE CONSEIL DE L’UNION EUROPÉENNE,</w:t>
      </w:r>
    </w:p>
    <w:p w14:paraId="65089E11" w14:textId="77777777" w:rsidR="002B26AA" w:rsidRPr="00DF59AA" w:rsidRDefault="002B26AA">
      <w:pPr>
        <w:rPr>
          <w:noProof/>
        </w:rPr>
      </w:pPr>
      <w:r w:rsidRPr="00DF59AA">
        <w:rPr>
          <w:noProof/>
        </w:rPr>
        <w:t>vu le traité sur le fonctionnement de l’Union européenne, et notamment son article 148, paragraphe 2,</w:t>
      </w:r>
    </w:p>
    <w:p w14:paraId="16A4E259" w14:textId="77777777" w:rsidR="002B26AA" w:rsidRPr="00DF59AA" w:rsidRDefault="002B26AA">
      <w:pPr>
        <w:rPr>
          <w:noProof/>
        </w:rPr>
      </w:pPr>
      <w:r w:rsidRPr="00DF59AA">
        <w:rPr>
          <w:noProof/>
        </w:rPr>
        <w:t>vu la proposition de la Commission européenne,</w:t>
      </w:r>
    </w:p>
    <w:p w14:paraId="4E8C2096" w14:textId="77777777" w:rsidR="00AF77B2" w:rsidRPr="00DF59AA" w:rsidRDefault="00AF77B2" w:rsidP="00AF77B2">
      <w:pPr>
        <w:rPr>
          <w:noProof/>
        </w:rPr>
      </w:pPr>
      <w:r w:rsidRPr="00DF59AA">
        <w:rPr>
          <w:noProof/>
        </w:rPr>
        <w:t>vu l’avis du Parlement européen (</w:t>
      </w:r>
      <w:r w:rsidRPr="00DF59AA">
        <w:rPr>
          <w:rStyle w:val="FootnoteReference"/>
          <w:noProof/>
        </w:rPr>
        <w:footnoteReference w:id="2"/>
      </w:r>
      <w:r w:rsidRPr="00DF59AA">
        <w:rPr>
          <w:noProof/>
        </w:rPr>
        <w:t>),</w:t>
      </w:r>
    </w:p>
    <w:p w14:paraId="70CAF36E" w14:textId="77777777" w:rsidR="00AF77B2" w:rsidRPr="00DF59AA" w:rsidRDefault="00AF77B2" w:rsidP="00AF77B2">
      <w:pPr>
        <w:rPr>
          <w:noProof/>
        </w:rPr>
      </w:pPr>
      <w:r w:rsidRPr="00DF59AA">
        <w:rPr>
          <w:noProof/>
        </w:rPr>
        <w:t>vu l’avis du Comité économique et social européen (</w:t>
      </w:r>
      <w:r w:rsidRPr="00DF59AA">
        <w:rPr>
          <w:rStyle w:val="FootnoteReference"/>
          <w:noProof/>
        </w:rPr>
        <w:footnoteReference w:id="3"/>
      </w:r>
      <w:r w:rsidRPr="00DF59AA">
        <w:rPr>
          <w:noProof/>
        </w:rPr>
        <w:t>),</w:t>
      </w:r>
    </w:p>
    <w:p w14:paraId="34E9B41B" w14:textId="77777777" w:rsidR="00AF77B2" w:rsidRPr="00DF59AA" w:rsidRDefault="00AF77B2" w:rsidP="00AF77B2">
      <w:pPr>
        <w:rPr>
          <w:noProof/>
        </w:rPr>
      </w:pPr>
      <w:r w:rsidRPr="00DF59AA">
        <w:rPr>
          <w:noProof/>
        </w:rPr>
        <w:t>après consultation du Comité des régions,</w:t>
      </w:r>
    </w:p>
    <w:p w14:paraId="04AF2E14" w14:textId="77777777" w:rsidR="00AF77B2" w:rsidRPr="00DF59AA" w:rsidRDefault="00AF77B2" w:rsidP="00AF77B2">
      <w:pPr>
        <w:rPr>
          <w:noProof/>
        </w:rPr>
      </w:pPr>
      <w:r w:rsidRPr="00DF59AA">
        <w:rPr>
          <w:noProof/>
        </w:rPr>
        <w:t>vu l’avis du comité de l’emploi (</w:t>
      </w:r>
      <w:r w:rsidRPr="00DF59AA">
        <w:rPr>
          <w:rStyle w:val="FootnoteReference"/>
          <w:noProof/>
        </w:rPr>
        <w:footnoteReference w:id="4"/>
      </w:r>
      <w:r w:rsidRPr="00DF59AA">
        <w:rPr>
          <w:noProof/>
        </w:rPr>
        <w:t>),</w:t>
      </w:r>
    </w:p>
    <w:p w14:paraId="4F876691" w14:textId="77777777" w:rsidR="002B26AA" w:rsidRPr="00DF59AA" w:rsidRDefault="002B26AA">
      <w:pPr>
        <w:rPr>
          <w:noProof/>
        </w:rPr>
      </w:pPr>
      <w:r w:rsidRPr="00DF59AA">
        <w:rPr>
          <w:noProof/>
        </w:rPr>
        <w:t>considérant ce qui suit:</w:t>
      </w:r>
    </w:p>
    <w:p w14:paraId="1876B673" w14:textId="7FD42082" w:rsidR="000A7726" w:rsidRPr="00DF59AA" w:rsidRDefault="000A7726" w:rsidP="000A7726">
      <w:pPr>
        <w:pStyle w:val="ManualConsidrant"/>
        <w:rPr>
          <w:noProof/>
        </w:rPr>
      </w:pPr>
      <w:r w:rsidRPr="00DF59AA">
        <w:rPr>
          <w:noProof/>
        </w:rPr>
        <w:t>(1)</w:t>
      </w:r>
      <w:r w:rsidRPr="00DF59AA">
        <w:rPr>
          <w:noProof/>
        </w:rPr>
        <w:tab/>
        <w:t xml:space="preserve">Les États membres et l’Union doivent s’attacher à élaborer une stratégie coordonnée pour l’emploi et, en particulier, pour promouvoir une main-d’œuvre qualifiée, formée et capable de s’adapter, ainsi que des marchés du travail inclusifs et résilients, en vue d’atteindre les objectifs de plein-emploi et de progrès social ainsi que de croissance économique équilibrée fixés à l’article 3 du traité sur l’Union européenne (ci-après le «TUE»). Les États membres doivent considérer la promotion de l’emploi comme une question d’intérêt commun et coordonner leur action à cet égard au sein du Conseil. </w:t>
      </w:r>
    </w:p>
    <w:p w14:paraId="4EC8F9C4" w14:textId="6C7B560D" w:rsidR="00FE3F47" w:rsidRPr="00DF59AA" w:rsidRDefault="000A7726" w:rsidP="00FE3F47">
      <w:pPr>
        <w:pStyle w:val="ManualConsidrant"/>
        <w:rPr>
          <w:rFonts w:asciiTheme="majorBidi" w:hAnsiTheme="majorBidi" w:cstheme="majorBidi"/>
          <w:noProof/>
          <w:szCs w:val="24"/>
        </w:rPr>
      </w:pPr>
      <w:r w:rsidRPr="00DF59AA">
        <w:rPr>
          <w:noProof/>
        </w:rPr>
        <w:t>(2)</w:t>
      </w:r>
      <w:r w:rsidRPr="00DF59AA">
        <w:rPr>
          <w:noProof/>
        </w:rPr>
        <w:tab/>
        <w:t>L’Union doit combattre l’exclusion sociale et les discriminations et promouvoir la justice et la protection sociales, ainsi que l’égalité entre les femmes et les hommes, la solidarité entre les générations et la protection des droits de l’enfant, comme le prévoit l’article 3 du TUE.</w:t>
      </w:r>
      <w:r w:rsidRPr="00DF59AA">
        <w:rPr>
          <w:rFonts w:asciiTheme="majorBidi" w:hAnsiTheme="majorBidi"/>
          <w:noProof/>
        </w:rPr>
        <w:t xml:space="preserve"> Dans la définition et la mise en œuvre de ses politiques et actions, l’Union doit prendre en compte les exigences liées à la promotion d’un niveau d’emploi élevé, à la garantie d’une protection sociale adéquate, à la lutte contre l’exclusion sociale, et à un niveau élevé d’éducation, de formation, ainsi qu’à la protection de la santé humaine, comme établi à l’article 9 du traité sur le fonctionnement de l’Union européenne (TFUE). </w:t>
      </w:r>
    </w:p>
    <w:p w14:paraId="63FE654B" w14:textId="4B0666B5" w:rsidR="00FE3F47" w:rsidRPr="00DF59AA" w:rsidRDefault="000A7726" w:rsidP="00FE3F47">
      <w:pPr>
        <w:pStyle w:val="ManualConsidrant"/>
        <w:rPr>
          <w:rFonts w:asciiTheme="majorBidi" w:hAnsiTheme="majorBidi" w:cstheme="majorBidi"/>
          <w:noProof/>
        </w:rPr>
      </w:pPr>
      <w:r w:rsidRPr="00DF59AA">
        <w:rPr>
          <w:noProof/>
        </w:rPr>
        <w:t>(3)</w:t>
      </w:r>
      <w:r w:rsidRPr="00DF59AA">
        <w:rPr>
          <w:noProof/>
        </w:rPr>
        <w:tab/>
      </w:r>
      <w:r w:rsidRPr="00DF59AA">
        <w:rPr>
          <w:rFonts w:asciiTheme="majorBidi" w:hAnsiTheme="majorBidi"/>
          <w:noProof/>
        </w:rPr>
        <w:t>Conformément au TFUE, l’Union a élaboré et mis en œuvre un cadre intégré de coordination des actions menées dans le domaine des politiques économiques et de l’emploi dans le contexte du Semestre européen (</w:t>
      </w:r>
      <w:r w:rsidRPr="00DF59AA">
        <w:rPr>
          <w:rStyle w:val="FootnoteReference"/>
          <w:rFonts w:asciiTheme="majorBidi" w:hAnsiTheme="majorBidi" w:cstheme="majorBidi"/>
          <w:noProof/>
        </w:rPr>
        <w:footnoteReference w:id="5"/>
      </w:r>
      <w:r w:rsidRPr="00DF59AA">
        <w:rPr>
          <w:rFonts w:asciiTheme="majorBidi" w:hAnsiTheme="majorBidi"/>
          <w:noProof/>
        </w:rPr>
        <w:t xml:space="preserve">). Le Semestre européen est aligné </w:t>
      </w:r>
      <w:r w:rsidRPr="00DF59AA">
        <w:rPr>
          <w:rFonts w:asciiTheme="majorBidi" w:hAnsiTheme="majorBidi"/>
          <w:noProof/>
        </w:rPr>
        <w:lastRenderedPageBreak/>
        <w:t>sur la boussole pour la compétitivité, qui fournit un cadre pour stimuler la compétitivité en comblant l’écart en matière d’innovation, en décarbonant notre économie, en réduisant les dépendances excessives et en renforçant la sécurité. La boussole recense</w:t>
      </w:r>
      <w:r w:rsidRPr="00DF59AA">
        <w:rPr>
          <w:noProof/>
        </w:rPr>
        <w:t xml:space="preserve"> les compétences, les emplois de qualité et l’équité sociale parmi les catalyseurs horizontaux.</w:t>
      </w:r>
      <w:r w:rsidRPr="00DF59AA">
        <w:rPr>
          <w:rFonts w:asciiTheme="majorBidi" w:hAnsiTheme="majorBidi"/>
          <w:noProof/>
        </w:rPr>
        <w:t xml:space="preserve"> Le Semestre européen intègre également les principes du socle européen des droits sociaux par le Parlement européen, le Conseil et la Commission en novembre 2017 (</w:t>
      </w:r>
      <w:r w:rsidRPr="00DF59AA">
        <w:rPr>
          <w:rStyle w:val="FootnoteReference"/>
          <w:noProof/>
        </w:rPr>
        <w:footnoteReference w:id="6"/>
      </w:r>
      <w:r w:rsidRPr="00DF59AA">
        <w:rPr>
          <w:rFonts w:asciiTheme="majorBidi" w:hAnsiTheme="majorBidi"/>
          <w:noProof/>
        </w:rPr>
        <w:t>). Il s’appuie sur le tableau de bord social, qui lui sert d’outil de suivi. Le tableau de bord social fournit également la base d’une analyse des risques et défis pour la convergence sociale ascendante dans l’Union, dans le contexte du cadre de convergence sociale (</w:t>
      </w:r>
      <w:r w:rsidRPr="00DF59AA">
        <w:rPr>
          <w:rStyle w:val="FootnoteReference"/>
          <w:rFonts w:asciiTheme="majorBidi" w:hAnsiTheme="majorBidi" w:cstheme="majorBidi"/>
          <w:noProof/>
        </w:rPr>
        <w:footnoteReference w:id="7"/>
      </w:r>
      <w:r w:rsidRPr="00DF59AA">
        <w:rPr>
          <w:rFonts w:asciiTheme="majorBidi" w:hAnsiTheme="majorBidi"/>
          <w:noProof/>
        </w:rPr>
        <w:t>). Le Semestre européen prévoit un dialogue étroit avec les partenaires sociaux, la société civile et les autres parties prenantes. Il est en outre complété par la gouvernance et les recommandations du programme d’action pour la décennie numérique.</w:t>
      </w:r>
    </w:p>
    <w:p w14:paraId="228C8859" w14:textId="6EC1EB06" w:rsidR="00832FFC" w:rsidRPr="00DF59AA" w:rsidRDefault="00832FFC" w:rsidP="000A7726">
      <w:pPr>
        <w:pStyle w:val="ManualConsidrant"/>
        <w:rPr>
          <w:rFonts w:asciiTheme="majorBidi" w:hAnsiTheme="majorBidi" w:cstheme="majorBidi"/>
          <w:noProof/>
        </w:rPr>
      </w:pPr>
      <w:r w:rsidRPr="00DF59AA">
        <w:rPr>
          <w:rFonts w:asciiTheme="majorBidi" w:hAnsiTheme="majorBidi"/>
          <w:noProof/>
        </w:rPr>
        <w:t xml:space="preserve">(4)      </w:t>
      </w:r>
      <w:r w:rsidRPr="00DF59AA">
        <w:rPr>
          <w:noProof/>
        </w:rPr>
        <w:tab/>
      </w:r>
      <w:r w:rsidRPr="00DF59AA">
        <w:rPr>
          <w:rFonts w:asciiTheme="majorBidi" w:hAnsiTheme="majorBidi"/>
          <w:noProof/>
        </w:rPr>
        <w:t>Dans ce cadre, les lignes directrices pour les politiques de l’emploi des États membres (ci-après les «lignes directrices pour l’emploi») figurant à l’annexe de la présente décision, en liaison avec les grandes orientations des politiques économiques des États membres et de l’Union, énoncées dans la recommandation (UE) 2015/1184 du Conseil (</w:t>
      </w:r>
      <w:r w:rsidRPr="00DF59AA">
        <w:rPr>
          <w:rStyle w:val="FootnoteReference"/>
          <w:noProof/>
        </w:rPr>
        <w:footnoteReference w:id="8"/>
      </w:r>
      <w:r w:rsidRPr="00DF59AA">
        <w:rPr>
          <w:rFonts w:asciiTheme="majorBidi" w:hAnsiTheme="majorBidi"/>
          <w:noProof/>
        </w:rPr>
        <w:t xml:space="preserve">), constituent les lignes directrices intégrées. </w:t>
      </w:r>
      <w:r w:rsidRPr="00DF59AA">
        <w:rPr>
          <w:noProof/>
        </w:rPr>
        <w:t>Les lignes directrices pour l’emploi doivent donner le cap aux États membres et à l’Union pour la mise en œuvre des politiques, traduisant l’interdépendance entre les États membres.</w:t>
      </w:r>
      <w:r w:rsidRPr="00DF59AA">
        <w:rPr>
          <w:rFonts w:asciiTheme="majorBidi" w:hAnsiTheme="majorBidi"/>
          <w:noProof/>
        </w:rPr>
        <w:t xml:space="preserve"> L’ensemble coordonné de politiques nationales et de l’Union qui en résulte constitue un dosage adéquat de politiques économiques, sociales et de l’emploi. Il devrait avoir des retombées positives pour les marchés du travail et la société dans son ensemble, renforcer la résilience économique et sociale et répondre efficacement aux défis à moyen et à long terme, y compris la nécessité de renforcer la compétitivité, l’innovation et la productivité ainsi que l’autonomie stratégique de l’Union. Les politiques économiques et de l’emploi de l’Union et des États membres devraient aller de pair avec la transition équitable de l’Union vers une économie climatiquement neutre, durable sur le plan environnemental et souveraine sur le plan numérique.</w:t>
      </w:r>
    </w:p>
    <w:p w14:paraId="5682DE52" w14:textId="3CDD76C1" w:rsidR="000A7726" w:rsidRPr="00DF59AA" w:rsidRDefault="000A7726" w:rsidP="0031635C">
      <w:pPr>
        <w:pStyle w:val="ManualConsidrant"/>
        <w:rPr>
          <w:noProof/>
        </w:rPr>
      </w:pPr>
      <w:r w:rsidRPr="00DF59AA">
        <w:rPr>
          <w:noProof/>
        </w:rPr>
        <w:t>(5)</w:t>
      </w:r>
      <w:r w:rsidRPr="00DF59AA">
        <w:rPr>
          <w:noProof/>
        </w:rPr>
        <w:tab/>
      </w:r>
      <w:r w:rsidRPr="00DF59AA">
        <w:rPr>
          <w:rFonts w:asciiTheme="majorBidi" w:hAnsiTheme="majorBidi"/>
          <w:noProof/>
        </w:rPr>
        <w:t>Les lignes directrices pour l’emploi sont compatibles avec le cadre de gouvernance économique révisé de l’Union, qui est entré en vigueur le 30 avril 2024 (</w:t>
      </w:r>
      <w:r w:rsidRPr="00DF59AA">
        <w:rPr>
          <w:rStyle w:val="FootnoteReference"/>
          <w:noProof/>
        </w:rPr>
        <w:footnoteReference w:id="9"/>
      </w:r>
      <w:r w:rsidRPr="00DF59AA">
        <w:rPr>
          <w:rFonts w:asciiTheme="majorBidi" w:hAnsiTheme="majorBidi"/>
          <w:noProof/>
        </w:rPr>
        <w:t>), ainsi qu’avec la législation et les initiatives existantes de l’Union. Il s’agit notamment</w:t>
      </w:r>
      <w:r w:rsidRPr="00DF59AA">
        <w:rPr>
          <w:noProof/>
        </w:rPr>
        <w:t xml:space="preserve"> des communications de la Commission du 5 mars 2025 sur l’union des compétences (</w:t>
      </w:r>
      <w:r w:rsidRPr="00DF59AA">
        <w:rPr>
          <w:rStyle w:val="FootnoteReference"/>
          <w:noProof/>
        </w:rPr>
        <w:footnoteReference w:id="10"/>
      </w:r>
      <w:r w:rsidRPr="00DF59AA">
        <w:rPr>
          <w:noProof/>
        </w:rPr>
        <w:t>) et du 6 mai 2026 relative à la stratégie européenne de lutte contre la pauvreté: combattre et prévenir la pauvreté tout au long de la vie, ainsi que de la recommandation du Conseil du 9 mars 2026 relative au capital humain dans l’Union européenne.</w:t>
      </w:r>
    </w:p>
    <w:p w14:paraId="72ADC83C" w14:textId="340DDCBF" w:rsidR="00F8351A" w:rsidRPr="00DF59AA" w:rsidRDefault="000A7726" w:rsidP="000A7726">
      <w:pPr>
        <w:pStyle w:val="ManualConsidrant"/>
        <w:rPr>
          <w:rFonts w:asciiTheme="majorBidi" w:hAnsiTheme="majorBidi" w:cstheme="majorBidi"/>
          <w:noProof/>
        </w:rPr>
      </w:pPr>
      <w:r w:rsidRPr="00DF59AA">
        <w:rPr>
          <w:noProof/>
        </w:rPr>
        <w:t>(6)</w:t>
      </w:r>
      <w:r w:rsidRPr="00DF59AA">
        <w:rPr>
          <w:noProof/>
        </w:rPr>
        <w:tab/>
      </w:r>
      <w:r w:rsidRPr="00DF59AA">
        <w:rPr>
          <w:rFonts w:asciiTheme="majorBidi" w:hAnsiTheme="majorBidi"/>
          <w:noProof/>
        </w:rPr>
        <w:t xml:space="preserve">Le socle européen des droits </w:t>
      </w:r>
      <w:r w:rsidRPr="00DF59AA">
        <w:rPr>
          <w:noProof/>
        </w:rPr>
        <w:t>sociaux</w:t>
      </w:r>
      <w:r w:rsidRPr="00DF59AA">
        <w:rPr>
          <w:rFonts w:asciiTheme="majorBidi" w:hAnsiTheme="majorBidi"/>
          <w:noProof/>
        </w:rPr>
        <w:t xml:space="preserve"> définit vingt principes et droits visant à soutenir le bon fonctionnement et l’équité des marchés du travail et des systèmes de protection </w:t>
      </w:r>
      <w:r w:rsidRPr="00DF59AA">
        <w:rPr>
          <w:rFonts w:asciiTheme="majorBidi" w:hAnsiTheme="majorBidi"/>
          <w:noProof/>
        </w:rPr>
        <w:lastRenderedPageBreak/>
        <w:t xml:space="preserve">sociale. Ils s’articulent autour de l’égalité des chances et de l’accès au marché du travail, des conditions de travail équitables, ainsi que de la protection et de l’inclusion sociales. Ces principes et droits donnent une orientation stratégique à l’Union. Le socle européen des droits sociaux, considéré avec le tableau de bord social qui l’accompagne, fournit aussi des orientations pour suivre les résultats des États membres en matière sociale, d’emploi et de compétences ainsi que la convergence sociale ascendante dans l’Union, dans le cadre du Semestre européen. Le socle stimule les réformes et les investissements aux niveaux national, régional et local, ce qui permet de concilier la dimension sociale et les aspects liés au marché dans l’économie moderne d’aujourd’hui. </w:t>
      </w:r>
    </w:p>
    <w:p w14:paraId="79EB8648" w14:textId="0215F2A3" w:rsidR="00696433" w:rsidRPr="00DF59AA" w:rsidRDefault="00F8351A" w:rsidP="00696433">
      <w:pPr>
        <w:pStyle w:val="ManualConsidrant"/>
        <w:rPr>
          <w:rFonts w:asciiTheme="majorBidi" w:hAnsiTheme="majorBidi" w:cstheme="majorBidi"/>
          <w:noProof/>
        </w:rPr>
      </w:pPr>
      <w:r w:rsidRPr="00DF59AA">
        <w:rPr>
          <w:rFonts w:asciiTheme="majorBidi" w:hAnsiTheme="majorBidi"/>
          <w:noProof/>
        </w:rPr>
        <w:t xml:space="preserve">(7)       Le 4 mars 2021, la Commission a présenté un </w:t>
      </w:r>
      <w:bookmarkStart w:id="2" w:name="_Hlk131524086"/>
      <w:r w:rsidRPr="00DF59AA">
        <w:rPr>
          <w:rFonts w:asciiTheme="majorBidi" w:hAnsiTheme="majorBidi"/>
          <w:noProof/>
        </w:rPr>
        <w:t>plan d’action pour la mise en œuvre du socle européen des droits sociaux. Celui-ci définit de grands objectifs de l’Union pour 2030 — ambitieux, mais réalistes — en matière d’emploi (au moins 78 % des personnes âgées de 20 à 64 ans devraient avoir un emploi), de compétences (au moins 60 % de l’ensemble des adultes devraient participer à une formation chaque année) et de réduction de la pauvreté (le nombre de personnes exposées au risque de pauvreté ou d’exclusion sociale devrait diminuer d’au moins 15 millions de personnes, dont cinq millions d’enfants) (ci-après les «grands objectifs de l’Union pour 2030»). Il comprend aussi des sous-objectifs complémentaires</w:t>
      </w:r>
      <w:bookmarkEnd w:id="2"/>
      <w:r w:rsidRPr="00DF59AA">
        <w:rPr>
          <w:rFonts w:asciiTheme="majorBidi" w:hAnsiTheme="majorBidi"/>
          <w:noProof/>
        </w:rPr>
        <w:t xml:space="preserve"> et une version révisée du tableau de bord social. Les grands objectifs de l’Union pour 2030 ont été salués par les chefs d’État ou de gouvernement lors du sommet social de Porto de mai 2021 et par le Conseil européen de juin 2021. Ils contribuent, avec le tableau de bord social, au </w:t>
      </w:r>
      <w:r w:rsidRPr="00DF59AA">
        <w:rPr>
          <w:noProof/>
        </w:rPr>
        <w:t>suivi</w:t>
      </w:r>
      <w:r w:rsidRPr="00DF59AA">
        <w:rPr>
          <w:rFonts w:asciiTheme="majorBidi" w:hAnsiTheme="majorBidi"/>
          <w:noProof/>
        </w:rPr>
        <w:t xml:space="preserve"> des progrès accomplis dans la mise en œuvre des principes du socle européen des droits sociaux dans le cadre du Semestre européen. Dans ce contexte, les États membres ont aussi fixé des objectifs nationaux ambitieux qui, en tenant dûment compte de la position de départ de chaque État membre, constituent une contribution adéquate à la réalisation des trois grands objectifs de l’Union pour 2030. </w:t>
      </w:r>
    </w:p>
    <w:p w14:paraId="73D68E64" w14:textId="6070EC0A" w:rsidR="000A7726" w:rsidRPr="00DF59AA" w:rsidRDefault="008068E7" w:rsidP="008068E7">
      <w:pPr>
        <w:pStyle w:val="ManualConsidrant"/>
        <w:rPr>
          <w:rFonts w:asciiTheme="majorBidi" w:hAnsiTheme="majorBidi" w:cstheme="majorBidi"/>
          <w:noProof/>
          <w:szCs w:val="24"/>
        </w:rPr>
      </w:pPr>
      <w:r w:rsidRPr="00DF59AA">
        <w:rPr>
          <w:rFonts w:asciiTheme="majorBidi" w:hAnsiTheme="majorBidi"/>
          <w:noProof/>
        </w:rPr>
        <w:t xml:space="preserve">(8) </w:t>
      </w:r>
      <w:r w:rsidRPr="00DF59AA">
        <w:rPr>
          <w:noProof/>
        </w:rPr>
        <w:tab/>
      </w:r>
      <w:r w:rsidRPr="00DF59AA">
        <w:rPr>
          <w:rFonts w:asciiTheme="majorBidi" w:hAnsiTheme="majorBidi"/>
          <w:noProof/>
        </w:rPr>
        <w:t xml:space="preserve">La mise en œuvre du socle européen des droits sociaux et les progrès réalisés sur la voie de la concrétisation des grands objectifs nationaux et de l’Union pour 2030 font l’objet d’un suivi dans le rapport conjoint sur l’emploi adopté par le Conseil en mars 2026 et sont intégrés dans les outils de suivi du Semestre européen. Le rapport conjoint sur l’emploi contient une «première phase d’analyse par pays» portant sur les risques potentiels pour la convergence sociale ascendante, conformément au cadre de convergence sociale. Ce dernier recense les États membres exposés à des risques potentiels qui seront examinés dans le cadre d’une «deuxième phase d’analyse» plus approfondie. </w:t>
      </w:r>
    </w:p>
    <w:p w14:paraId="4051069F" w14:textId="4E3CEBCC" w:rsidR="00126A90" w:rsidRPr="00DF59AA" w:rsidRDefault="000A7726" w:rsidP="000A7726">
      <w:pPr>
        <w:pStyle w:val="ManualConsidrant"/>
        <w:rPr>
          <w:rFonts w:asciiTheme="majorBidi" w:hAnsiTheme="majorBidi" w:cstheme="majorBidi"/>
          <w:noProof/>
        </w:rPr>
      </w:pPr>
      <w:r w:rsidRPr="00DF59AA">
        <w:rPr>
          <w:noProof/>
        </w:rPr>
        <w:t>(9)</w:t>
      </w:r>
      <w:r w:rsidRPr="00DF59AA">
        <w:rPr>
          <w:noProof/>
        </w:rPr>
        <w:tab/>
      </w:r>
      <w:r w:rsidRPr="00DF59AA">
        <w:rPr>
          <w:rFonts w:asciiTheme="majorBidi" w:hAnsiTheme="majorBidi"/>
          <w:noProof/>
        </w:rPr>
        <w:t xml:space="preserve">Les lignes directrices intégrées servent de base aux recommandations par pays que le Conseil adresse aux États membres dans le cadre du Semestre européen. Bien que les lignes directrices intégrées s’adressent aux États membres et à l’Union, il convient de les mettre en œuvre en partenariat avec l’ensemble des autorités nationales, régionales et locales, et en associant étroitement les parlements ainsi que les partenaires sociaux et les représentants de la société civile. Les réformes du marché du travail et les réformes sociales devraient respecter les pratiques nationales en matière de dialogue social et de négociation collective ainsi que l’autonomie des partenaires sociaux. L’importance du dialogue social pour faire face aux défis du monde du travail a été réaffirmée lors du sommet de Val Duchesse de 2024 </w:t>
      </w:r>
      <w:r w:rsidRPr="00DF59AA">
        <w:rPr>
          <w:noProof/>
        </w:rPr>
        <w:t>et dans le pacte pour le dialogue social européen signé en mars 2025</w:t>
      </w:r>
      <w:r w:rsidRPr="00DF59AA">
        <w:rPr>
          <w:rFonts w:asciiTheme="majorBidi" w:hAnsiTheme="majorBidi"/>
          <w:noProof/>
        </w:rPr>
        <w:t>.</w:t>
      </w:r>
    </w:p>
    <w:p w14:paraId="6384477E" w14:textId="44C20615" w:rsidR="00A16C46" w:rsidRPr="00DF59AA" w:rsidRDefault="00A16C46" w:rsidP="000A7726">
      <w:pPr>
        <w:pStyle w:val="ManualConsidrant"/>
        <w:rPr>
          <w:rFonts w:asciiTheme="majorBidi" w:hAnsiTheme="majorBidi" w:cstheme="majorBidi"/>
          <w:noProof/>
        </w:rPr>
      </w:pPr>
      <w:r w:rsidRPr="00DF59AA">
        <w:rPr>
          <w:rFonts w:asciiTheme="majorBidi" w:hAnsiTheme="majorBidi"/>
          <w:noProof/>
        </w:rPr>
        <w:t xml:space="preserve">(10) </w:t>
      </w:r>
      <w:r w:rsidRPr="00DF59AA">
        <w:rPr>
          <w:noProof/>
        </w:rPr>
        <w:tab/>
      </w:r>
      <w:r w:rsidRPr="00DF59AA">
        <w:rPr>
          <w:rFonts w:asciiTheme="majorBidi" w:hAnsiTheme="majorBidi"/>
          <w:noProof/>
        </w:rPr>
        <w:t xml:space="preserve">Il convient que les États membres tirent pleinement parti des financements disponibles de l’UE, en particulier le Fonds social européen plus et le Fonds social pour le climat, </w:t>
      </w:r>
      <w:r w:rsidRPr="00DF59AA">
        <w:rPr>
          <w:rFonts w:asciiTheme="majorBidi" w:hAnsiTheme="majorBidi"/>
          <w:noProof/>
        </w:rPr>
        <w:lastRenderedPageBreak/>
        <w:t>afin de favoriser des emplois et des compétences de qualité, de lutter contre la pauvreté et de soutenir l’emploi ainsi que les réformes et investissements dans le domaine social. Il s’agit notamment de lutter contre l’exclusion sociale, de combattre la discrimination, de garantir l’accessibilité et l’inclusion et de promouvoir les possibilités de perfectionnement et reconversion professionnels pour la main-d’œuvre, l’apprentissage tout au long de la vie ainsi qu’une éducation et une formation de qualité pour tous. Pour la période de financement postérieure à 2027, les plans de partenariat national et régional (ci-après les «plans PNR») continueront de promouvoir et de renforcer les efforts intégrés dans ces domaines. Il convient que les lignes directrices pour l’emploi servent de base à la programmation des plans PNR. Dans le contexte des objectifs généraux de l’Union en matière de décarbonation, le Fonds social pour le climat (</w:t>
      </w:r>
      <w:r w:rsidRPr="00DF59AA">
        <w:rPr>
          <w:rStyle w:val="FootnoteReference"/>
          <w:rFonts w:asciiTheme="majorBidi" w:hAnsiTheme="majorBidi" w:cstheme="majorBidi"/>
          <w:noProof/>
        </w:rPr>
        <w:footnoteReference w:id="11"/>
      </w:r>
      <w:r w:rsidRPr="00DF59AA">
        <w:rPr>
          <w:rFonts w:asciiTheme="majorBidi" w:hAnsiTheme="majorBidi"/>
          <w:noProof/>
        </w:rPr>
        <w:t>) sera essentiel pour répondre aux besoins des ménages vulnérables, des usagers vulnérables des transports et des microentreprises vulnérables.</w:t>
      </w:r>
    </w:p>
    <w:p w14:paraId="25413503" w14:textId="38DA016D" w:rsidR="000A7726" w:rsidRPr="00DF59AA" w:rsidRDefault="000A7726" w:rsidP="000A7726">
      <w:pPr>
        <w:pStyle w:val="ManualConsidrant"/>
        <w:rPr>
          <w:rFonts w:asciiTheme="majorBidi" w:hAnsiTheme="majorBidi" w:cstheme="majorBidi"/>
          <w:noProof/>
          <w:szCs w:val="24"/>
        </w:rPr>
      </w:pPr>
      <w:r w:rsidRPr="00DF59AA">
        <w:rPr>
          <w:noProof/>
        </w:rPr>
        <w:t>(11)</w:t>
      </w:r>
      <w:r w:rsidRPr="00DF59AA">
        <w:rPr>
          <w:noProof/>
        </w:rPr>
        <w:tab/>
        <w:t>Le comité de l’emploi et le comité de la protection sociale devraient suivre la manière dont les politiques concernées sont mises en œuvre eu égard aux lignes directrices pour l’emploi, conformément au mandat qui incombe à chacun de ces comités en vertu du TFUE.</w:t>
      </w:r>
      <w:r w:rsidRPr="00DF59AA">
        <w:rPr>
          <w:rFonts w:asciiTheme="majorBidi" w:hAnsiTheme="majorBidi"/>
          <w:noProof/>
        </w:rPr>
        <w:t xml:space="preserve"> Il convient que ces comités et les instances préparatoires du Conseil participant à la coordination des politiques économiques et sociales travaillent en étroite coopération. Le dialogue entre le Parlement européen, le Conseil et la Commission devrait être maintenu, en particulier en ce qui concerne les lignes directrices pour l’emploi.</w:t>
      </w:r>
    </w:p>
    <w:p w14:paraId="519B677D" w14:textId="1E757AC2" w:rsidR="000A7726" w:rsidRPr="00DF59AA" w:rsidRDefault="000A7726" w:rsidP="000A7726">
      <w:pPr>
        <w:pStyle w:val="ManualConsidrant"/>
        <w:rPr>
          <w:noProof/>
        </w:rPr>
      </w:pPr>
      <w:r w:rsidRPr="00DF59AA">
        <w:rPr>
          <w:noProof/>
        </w:rPr>
        <w:t>(12)</w:t>
      </w:r>
      <w:r w:rsidRPr="00DF59AA">
        <w:rPr>
          <w:noProof/>
        </w:rPr>
        <w:tab/>
        <w:t>Le comité de la protection sociale a été consulté,</w:t>
      </w:r>
    </w:p>
    <w:p w14:paraId="22F2E4DD" w14:textId="77777777" w:rsidR="00A16C46" w:rsidRPr="00DF59AA" w:rsidRDefault="00A16C46" w:rsidP="000A7726">
      <w:pPr>
        <w:pStyle w:val="ManualConsidrant"/>
        <w:rPr>
          <w:noProof/>
        </w:rPr>
      </w:pPr>
    </w:p>
    <w:p w14:paraId="51DE177A" w14:textId="77777777" w:rsidR="002B26AA" w:rsidRPr="00DF59AA" w:rsidRDefault="002B26AA" w:rsidP="000B3C18">
      <w:pPr>
        <w:pStyle w:val="Formuledadoption"/>
        <w:rPr>
          <w:noProof/>
        </w:rPr>
      </w:pPr>
      <w:r w:rsidRPr="00DF59AA">
        <w:rPr>
          <w:noProof/>
        </w:rPr>
        <w:t xml:space="preserve">A ADOPTÉ LA PRÉSENTE DÉCISION: </w:t>
      </w:r>
    </w:p>
    <w:p w14:paraId="503780D5" w14:textId="77777777" w:rsidR="002B26AA" w:rsidRPr="00DF59AA" w:rsidRDefault="002B26AA" w:rsidP="000B3C18">
      <w:pPr>
        <w:pStyle w:val="Titrearticle"/>
        <w:rPr>
          <w:noProof/>
        </w:rPr>
      </w:pPr>
      <w:r w:rsidRPr="00DF59AA">
        <w:rPr>
          <w:noProof/>
        </w:rPr>
        <w:t>Article premier</w:t>
      </w:r>
    </w:p>
    <w:p w14:paraId="7C56393A" w14:textId="3A2689EF" w:rsidR="000A7726" w:rsidRPr="00DF59AA" w:rsidRDefault="000A7726" w:rsidP="000A7726">
      <w:pPr>
        <w:rPr>
          <w:noProof/>
        </w:rPr>
      </w:pPr>
      <w:r w:rsidRPr="00DF59AA">
        <w:rPr>
          <w:noProof/>
        </w:rPr>
        <w:t xml:space="preserve">Les lignes directrices pour les politiques de l’emploi des États membres (ci-après les «lignes directrices pour l’emploi»), qui figurent en annexe, sont adoptées. Les lignes directrices pour l’emploi font partie des lignes directrices intégrées. </w:t>
      </w:r>
    </w:p>
    <w:p w14:paraId="12DE5BB6" w14:textId="77777777" w:rsidR="002B26AA" w:rsidRPr="00DF59AA" w:rsidRDefault="002B26AA" w:rsidP="001141B3">
      <w:pPr>
        <w:pStyle w:val="Titrearticle"/>
        <w:rPr>
          <w:noProof/>
        </w:rPr>
      </w:pPr>
      <w:r w:rsidRPr="00DF59AA">
        <w:rPr>
          <w:noProof/>
        </w:rPr>
        <w:t>Article </w:t>
      </w:r>
      <w:bookmarkStart w:id="3" w:name="_Hlk126129799"/>
      <w:r w:rsidRPr="00DF59AA">
        <w:rPr>
          <w:noProof/>
        </w:rPr>
        <w:t>2</w:t>
      </w:r>
      <w:bookmarkEnd w:id="3"/>
    </w:p>
    <w:p w14:paraId="77710F7C" w14:textId="092B8AC7" w:rsidR="002B26AA" w:rsidRPr="00DF59AA" w:rsidRDefault="002B26AA" w:rsidP="000B3C18">
      <w:pPr>
        <w:keepLines/>
        <w:rPr>
          <w:noProof/>
        </w:rPr>
      </w:pPr>
      <w:r w:rsidRPr="00DF59AA">
        <w:rPr>
          <w:noProof/>
        </w:rPr>
        <w:t>Les États membres tiennent compte des lignes directrices pour l’emploi dans leurs politiques de l’emploi et leurs programmes de réforme et transmettent un rapport sur ces politiques et programmes conformément à l’article 148, paragraphe 3, du TFUE.</w:t>
      </w:r>
    </w:p>
    <w:p w14:paraId="55B7823A" w14:textId="13FFDC63" w:rsidR="008D441B" w:rsidRPr="00DF59AA" w:rsidRDefault="008D441B" w:rsidP="00E10660">
      <w:pPr>
        <w:pStyle w:val="Titrearticle"/>
        <w:rPr>
          <w:noProof/>
        </w:rPr>
      </w:pPr>
      <w:r w:rsidRPr="00DF59AA">
        <w:rPr>
          <w:noProof/>
        </w:rPr>
        <w:lastRenderedPageBreak/>
        <w:t>Article 3</w:t>
      </w:r>
    </w:p>
    <w:p w14:paraId="14C49C93" w14:textId="6BA3A426" w:rsidR="008D441B" w:rsidRPr="00DF59AA" w:rsidRDefault="00F25183" w:rsidP="00E10660">
      <w:pPr>
        <w:keepNext/>
        <w:keepLines/>
        <w:rPr>
          <w:noProof/>
        </w:rPr>
      </w:pPr>
      <w:r w:rsidRPr="00DF59AA">
        <w:rPr>
          <w:noProof/>
        </w:rPr>
        <w:t>Les États membres sont destinataires de la présente décision.</w:t>
      </w:r>
    </w:p>
    <w:p w14:paraId="476BF4FE" w14:textId="0676B924" w:rsidR="000A7726" w:rsidRPr="00DF59AA" w:rsidRDefault="00DF59AA" w:rsidP="00E10660">
      <w:pPr>
        <w:pStyle w:val="Fait"/>
        <w:rPr>
          <w:noProof/>
        </w:rPr>
      </w:pPr>
      <w:r>
        <w:rPr>
          <w:noProof/>
        </w:rPr>
        <w:t>Fait à Bruxelles, le</w:t>
      </w:r>
    </w:p>
    <w:p w14:paraId="13A29250" w14:textId="77777777" w:rsidR="002B26AA" w:rsidRPr="00DF59AA" w:rsidRDefault="002B26AA" w:rsidP="00E10660">
      <w:pPr>
        <w:pStyle w:val="Institutionquisigne"/>
        <w:rPr>
          <w:noProof/>
        </w:rPr>
      </w:pPr>
      <w:r w:rsidRPr="00DF59AA">
        <w:rPr>
          <w:noProof/>
        </w:rPr>
        <w:tab/>
        <w:t>Par le Conseil</w:t>
      </w:r>
    </w:p>
    <w:p w14:paraId="5ED3B8F7" w14:textId="77777777" w:rsidR="002B26AA" w:rsidRPr="00DF59AA" w:rsidRDefault="002B26AA" w:rsidP="00045F71">
      <w:pPr>
        <w:pStyle w:val="Personnequisigne"/>
        <w:rPr>
          <w:noProof/>
          <w:color w:val="008000"/>
        </w:rPr>
      </w:pPr>
      <w:r w:rsidRPr="00DF59AA">
        <w:rPr>
          <w:noProof/>
        </w:rPr>
        <w:tab/>
        <w:t>Le président</w:t>
      </w:r>
    </w:p>
    <w:sectPr w:rsidR="002B26AA" w:rsidRPr="00DF59AA" w:rsidSect="00E81AD1">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301DA" w14:textId="77777777" w:rsidR="008344FE" w:rsidRDefault="008344FE" w:rsidP="002B26AA">
      <w:pPr>
        <w:spacing w:before="0" w:after="0"/>
      </w:pPr>
      <w:r>
        <w:separator/>
      </w:r>
    </w:p>
  </w:endnote>
  <w:endnote w:type="continuationSeparator" w:id="0">
    <w:p w14:paraId="363D1C6C" w14:textId="77777777" w:rsidR="008344FE" w:rsidRDefault="008344FE" w:rsidP="002B26AA">
      <w:pPr>
        <w:spacing w:before="0" w:after="0"/>
      </w:pPr>
      <w:r>
        <w:continuationSeparator/>
      </w:r>
    </w:p>
  </w:endnote>
  <w:endnote w:type="continuationNotice" w:id="1">
    <w:p w14:paraId="5C0346CA" w14:textId="77777777" w:rsidR="008344FE" w:rsidRDefault="008344F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8F879" w14:textId="4ADE9218" w:rsidR="00E81AD1" w:rsidRPr="00E81AD1" w:rsidRDefault="00E81AD1" w:rsidP="00E81AD1">
    <w:pPr>
      <w:pStyle w:val="Footer"/>
      <w:rPr>
        <w:rFonts w:ascii="Arial" w:hAnsi="Arial" w:cs="Arial"/>
        <w:b/>
        <w:sz w:val="48"/>
      </w:rPr>
    </w:pPr>
    <w:r w:rsidRPr="00E81AD1">
      <w:rPr>
        <w:rFonts w:ascii="Arial" w:hAnsi="Arial" w:cs="Arial"/>
        <w:b/>
        <w:sz w:val="48"/>
      </w:rPr>
      <w:t>FR</w:t>
    </w:r>
    <w:r w:rsidRPr="00E81AD1">
      <w:rPr>
        <w:rFonts w:ascii="Arial" w:hAnsi="Arial" w:cs="Arial"/>
        <w:b/>
        <w:sz w:val="48"/>
      </w:rPr>
      <w:tab/>
    </w:r>
    <w:r w:rsidRPr="00E81AD1">
      <w:rPr>
        <w:rFonts w:ascii="Arial" w:hAnsi="Arial" w:cs="Arial"/>
        <w:b/>
        <w:sz w:val="48"/>
      </w:rPr>
      <w:tab/>
    </w:r>
    <w:r w:rsidRPr="00E81AD1">
      <w:tab/>
    </w:r>
    <w:r w:rsidRPr="00E81AD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B80A4" w14:textId="72494A61" w:rsidR="00E81AD1" w:rsidRPr="00E81AD1" w:rsidRDefault="00E81AD1" w:rsidP="00E81AD1">
    <w:pPr>
      <w:pStyle w:val="Footer"/>
      <w:rPr>
        <w:rFonts w:ascii="Arial" w:hAnsi="Arial" w:cs="Arial"/>
        <w:b/>
        <w:sz w:val="48"/>
      </w:rPr>
    </w:pPr>
    <w:r w:rsidRPr="00E81AD1">
      <w:rPr>
        <w:rFonts w:ascii="Arial" w:hAnsi="Arial" w:cs="Arial"/>
        <w:b/>
        <w:sz w:val="48"/>
      </w:rPr>
      <w:t>FR</w:t>
    </w:r>
    <w:r w:rsidRPr="00E81AD1">
      <w:rPr>
        <w:rFonts w:ascii="Arial" w:hAnsi="Arial" w:cs="Arial"/>
        <w:b/>
        <w:sz w:val="48"/>
      </w:rPr>
      <w:tab/>
    </w:r>
    <w:r w:rsidRPr="00E81AD1">
      <w:rPr>
        <w:rFonts w:ascii="Arial" w:hAnsi="Arial" w:cs="Arial"/>
        <w:b/>
        <w:sz w:val="48"/>
      </w:rPr>
      <w:tab/>
    </w:r>
    <w:r w:rsidRPr="00E81AD1">
      <w:tab/>
    </w:r>
    <w:r w:rsidRPr="00E81AD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D3B76" w14:textId="77777777" w:rsidR="00E81AD1" w:rsidRDefault="00E81A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54489" w14:textId="626316E9" w:rsidR="00E81AD1" w:rsidRPr="00E81AD1" w:rsidRDefault="00E81AD1" w:rsidP="00E81AD1">
    <w:pPr>
      <w:pStyle w:val="Footer"/>
      <w:rPr>
        <w:rFonts w:ascii="Arial" w:hAnsi="Arial" w:cs="Arial"/>
        <w:b/>
        <w:sz w:val="48"/>
      </w:rPr>
    </w:pPr>
    <w:r w:rsidRPr="00E81AD1">
      <w:rPr>
        <w:rFonts w:ascii="Arial" w:hAnsi="Arial" w:cs="Arial"/>
        <w:b/>
        <w:sz w:val="48"/>
      </w:rPr>
      <w:t>FR</w:t>
    </w:r>
    <w:r w:rsidRPr="00E81AD1">
      <w:rPr>
        <w:rFonts w:ascii="Arial" w:hAnsi="Arial" w:cs="Arial"/>
        <w:b/>
        <w:sz w:val="48"/>
      </w:rPr>
      <w:tab/>
    </w:r>
    <w:r>
      <w:fldChar w:fldCharType="begin"/>
    </w:r>
    <w:r>
      <w:instrText xml:space="preserve"> PAGE  \* MERGEFORMAT </w:instrText>
    </w:r>
    <w:r>
      <w:fldChar w:fldCharType="separate"/>
    </w:r>
    <w:r w:rsidR="00E10660">
      <w:rPr>
        <w:noProof/>
      </w:rPr>
      <w:t>5</w:t>
    </w:r>
    <w:r>
      <w:fldChar w:fldCharType="end"/>
    </w:r>
    <w:r>
      <w:tab/>
    </w:r>
    <w:r w:rsidRPr="00E81AD1">
      <w:tab/>
    </w:r>
    <w:r w:rsidRPr="00E81AD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572F" w14:textId="77777777" w:rsidR="00E81AD1" w:rsidRDefault="00E81AD1" w:rsidP="00E81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5E09F" w14:textId="77777777" w:rsidR="008344FE" w:rsidRDefault="008344FE" w:rsidP="002B26AA">
      <w:pPr>
        <w:spacing w:before="0" w:after="0"/>
      </w:pPr>
      <w:r>
        <w:separator/>
      </w:r>
    </w:p>
  </w:footnote>
  <w:footnote w:type="continuationSeparator" w:id="0">
    <w:p w14:paraId="4A247416" w14:textId="77777777" w:rsidR="008344FE" w:rsidRDefault="008344FE" w:rsidP="002B26AA">
      <w:pPr>
        <w:spacing w:before="0" w:after="0"/>
      </w:pPr>
      <w:r>
        <w:continuationSeparator/>
      </w:r>
    </w:p>
  </w:footnote>
  <w:footnote w:type="continuationNotice" w:id="1">
    <w:p w14:paraId="00C2CDF4" w14:textId="77777777" w:rsidR="008344FE" w:rsidRDefault="008344FE">
      <w:pPr>
        <w:spacing w:before="0" w:after="0"/>
      </w:pPr>
    </w:p>
  </w:footnote>
  <w:footnote w:id="2">
    <w:p w14:paraId="04AD45E6" w14:textId="456CDDD2" w:rsidR="00AF77B2" w:rsidRPr="00DF59AA" w:rsidRDefault="00AF77B2" w:rsidP="00AF77B2">
      <w:pPr>
        <w:pStyle w:val="FootnoteText"/>
        <w:rPr>
          <w:lang w:val="fr-BE"/>
        </w:rPr>
      </w:pPr>
      <w:r>
        <w:rPr>
          <w:rStyle w:val="FootnoteReference"/>
        </w:rPr>
        <w:footnoteRef/>
      </w:r>
      <w:r w:rsidRPr="00DF59AA">
        <w:rPr>
          <w:lang w:val="fr-BE"/>
        </w:rPr>
        <w:tab/>
        <w:t>Avis du [à indiquer] DATE 2026 (non encore paru au Journal officiel).</w:t>
      </w:r>
    </w:p>
  </w:footnote>
  <w:footnote w:id="3">
    <w:p w14:paraId="065F2A0D" w14:textId="7C8699A0" w:rsidR="00AF77B2" w:rsidRPr="00DF59AA" w:rsidRDefault="00AF77B2" w:rsidP="00AF77B2">
      <w:pPr>
        <w:pStyle w:val="FootnoteText"/>
        <w:rPr>
          <w:lang w:val="fr-BE"/>
        </w:rPr>
      </w:pPr>
      <w:r>
        <w:rPr>
          <w:rStyle w:val="FootnoteReference"/>
        </w:rPr>
        <w:footnoteRef/>
      </w:r>
      <w:r w:rsidRPr="00DF59AA">
        <w:rPr>
          <w:lang w:val="fr-BE"/>
        </w:rPr>
        <w:tab/>
        <w:t>Avis du [à indiquer] DATE 2026 (non encore paru au Journal officiel).</w:t>
      </w:r>
    </w:p>
  </w:footnote>
  <w:footnote w:id="4">
    <w:p w14:paraId="0BDCEF9F" w14:textId="52C0953F" w:rsidR="00AF77B2" w:rsidRPr="00DF59AA" w:rsidRDefault="00AF77B2" w:rsidP="00AF77B2">
      <w:pPr>
        <w:pStyle w:val="FootnoteText"/>
        <w:rPr>
          <w:lang w:val="fr-BE"/>
        </w:rPr>
      </w:pPr>
      <w:r>
        <w:rPr>
          <w:rStyle w:val="FootnoteReference"/>
        </w:rPr>
        <w:footnoteRef/>
      </w:r>
      <w:r w:rsidRPr="00DF59AA">
        <w:rPr>
          <w:lang w:val="fr-BE"/>
        </w:rPr>
        <w:tab/>
        <w:t>Avis du [à indiquer] DATE 2026 (non encore paru au Journal officiel).</w:t>
      </w:r>
    </w:p>
  </w:footnote>
  <w:footnote w:id="5">
    <w:p w14:paraId="3FF5D3B7" w14:textId="2DDD8165" w:rsidR="00832FFC" w:rsidRPr="00DF59AA" w:rsidRDefault="00832FFC" w:rsidP="00832FFC">
      <w:pPr>
        <w:pStyle w:val="FootnoteText"/>
        <w:rPr>
          <w:lang w:val="fr-BE"/>
        </w:rPr>
      </w:pPr>
      <w:r>
        <w:rPr>
          <w:rStyle w:val="FootnoteReference"/>
        </w:rPr>
        <w:footnoteRef/>
      </w:r>
      <w:r w:rsidRPr="00DF59AA">
        <w:rPr>
          <w:lang w:val="fr-BE"/>
        </w:rPr>
        <w:tab/>
      </w:r>
      <w:r w:rsidRPr="00DF59AA">
        <w:rPr>
          <w:rFonts w:asciiTheme="majorBidi" w:hAnsiTheme="majorBidi"/>
          <w:lang w:val="fr-BE"/>
        </w:rPr>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r w:rsidRPr="00DF59AA">
        <w:rPr>
          <w:lang w:val="fr-BE"/>
        </w:rPr>
        <w:t>).</w:t>
      </w:r>
    </w:p>
  </w:footnote>
  <w:footnote w:id="6">
    <w:p w14:paraId="365A70B7" w14:textId="77777777" w:rsidR="00FE3F47" w:rsidRPr="00DF59AA" w:rsidRDefault="00FE3F47" w:rsidP="00FE3F47">
      <w:pPr>
        <w:pStyle w:val="FootnoteText"/>
        <w:rPr>
          <w:rFonts w:asciiTheme="majorBidi" w:hAnsiTheme="majorBidi" w:cstheme="majorBidi"/>
          <w:lang w:val="fr-BE"/>
        </w:rPr>
      </w:pPr>
      <w:r>
        <w:rPr>
          <w:rStyle w:val="FootnoteReference"/>
          <w:rFonts w:asciiTheme="majorBidi" w:hAnsiTheme="majorBidi" w:cstheme="majorBidi"/>
        </w:rPr>
        <w:footnoteRef/>
      </w:r>
      <w:r w:rsidRPr="00DF59AA">
        <w:rPr>
          <w:lang w:val="fr-BE"/>
        </w:rPr>
        <w:tab/>
        <w:t>Proclamation interinstitutionnelle sur le socle européen des droits sociaux (JO C 428 du 13.12.2017, p. 10).</w:t>
      </w:r>
    </w:p>
  </w:footnote>
  <w:footnote w:id="7">
    <w:p w14:paraId="12EDB06E" w14:textId="63E3FEB5" w:rsidR="00832FFC" w:rsidRPr="00DF59AA" w:rsidRDefault="00832FFC">
      <w:pPr>
        <w:pStyle w:val="FootnoteText"/>
        <w:rPr>
          <w:lang w:val="fr-BE"/>
        </w:rPr>
      </w:pPr>
      <w:r>
        <w:rPr>
          <w:rStyle w:val="FootnoteReference"/>
        </w:rPr>
        <w:footnoteRef/>
      </w:r>
      <w:r w:rsidRPr="00DF59AA">
        <w:rPr>
          <w:lang w:val="fr-BE"/>
        </w:rPr>
        <w:tab/>
        <w:t xml:space="preserve">Voir l’article 3, paragraphe 3, point b), et le considérant 8 du </w:t>
      </w:r>
      <w:r w:rsidRPr="00DF59AA">
        <w:rPr>
          <w:rFonts w:asciiTheme="majorBidi" w:hAnsiTheme="majorBidi"/>
          <w:lang w:val="fr-BE"/>
        </w:rPr>
        <w:t>règlement (UE) 2024/1263 du Parlement européen et du Conseil du 29 avril 2024.</w:t>
      </w:r>
    </w:p>
  </w:footnote>
  <w:footnote w:id="8">
    <w:p w14:paraId="1FFC7718" w14:textId="77777777" w:rsidR="000A7726" w:rsidRPr="00DF59AA" w:rsidRDefault="000A7726" w:rsidP="000A7726">
      <w:pPr>
        <w:pStyle w:val="FootnoteText"/>
        <w:rPr>
          <w:rFonts w:asciiTheme="majorBidi" w:hAnsiTheme="majorBidi" w:cstheme="majorBidi"/>
          <w:szCs w:val="24"/>
          <w:lang w:val="fr-BE"/>
        </w:rPr>
      </w:pPr>
      <w:r>
        <w:rPr>
          <w:rStyle w:val="FootnoteReference"/>
          <w:rFonts w:asciiTheme="majorBidi" w:hAnsiTheme="majorBidi" w:cstheme="majorBidi"/>
          <w:szCs w:val="24"/>
        </w:rPr>
        <w:footnoteRef/>
      </w:r>
      <w:r w:rsidRPr="00DF59AA">
        <w:rPr>
          <w:lang w:val="fr-BE"/>
        </w:rPr>
        <w:tab/>
      </w:r>
      <w:r w:rsidRPr="00DF59AA">
        <w:rPr>
          <w:rFonts w:asciiTheme="majorBidi" w:hAnsiTheme="majorBidi"/>
          <w:lang w:val="fr-BE"/>
        </w:rPr>
        <w:t>Recommandation (UE) 2015/1184 du Conseil du 14 juillet 2015 relative aux grandes orientations des politiques économiques des États membres et de l’Union européenne (JO L 192 du 18.7.2015, p. 27).</w:t>
      </w:r>
    </w:p>
  </w:footnote>
  <w:footnote w:id="9">
    <w:p w14:paraId="292DAEDE" w14:textId="77777777" w:rsidR="000A7726" w:rsidRPr="00DF59AA" w:rsidRDefault="000A7726" w:rsidP="000A7726">
      <w:pPr>
        <w:pStyle w:val="FootnoteText"/>
        <w:rPr>
          <w:rFonts w:asciiTheme="majorBidi" w:hAnsiTheme="majorBidi" w:cstheme="majorBidi"/>
          <w:szCs w:val="24"/>
          <w:lang w:val="fr-BE"/>
        </w:rPr>
      </w:pPr>
      <w:r>
        <w:rPr>
          <w:rStyle w:val="FootnoteReference"/>
          <w:rFonts w:asciiTheme="majorBidi" w:hAnsiTheme="majorBidi" w:cstheme="majorBidi"/>
          <w:szCs w:val="24"/>
        </w:rPr>
        <w:footnoteRef/>
      </w:r>
      <w:r w:rsidRPr="00DF59AA">
        <w:rPr>
          <w:lang w:val="fr-BE"/>
        </w:rPr>
        <w:tab/>
      </w:r>
      <w:r w:rsidRPr="00DF59AA">
        <w:rPr>
          <w:rFonts w:asciiTheme="majorBidi" w:hAnsiTheme="majorBidi"/>
          <w:lang w:val="fr-BE"/>
        </w:rPr>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r w:rsidRPr="00DF59AA">
        <w:rPr>
          <w:lang w:val="fr-BE"/>
        </w:rPr>
        <w:t>).</w:t>
      </w:r>
    </w:p>
  </w:footnote>
  <w:footnote w:id="10">
    <w:p w14:paraId="65ABCFB4" w14:textId="2EADE7C6" w:rsidR="00C342EC" w:rsidRPr="00DF59AA" w:rsidRDefault="00C342EC" w:rsidP="00C342EC">
      <w:pPr>
        <w:pStyle w:val="FootnoteText"/>
        <w:rPr>
          <w:lang w:val="fr-BE"/>
        </w:rPr>
      </w:pPr>
      <w:r>
        <w:rPr>
          <w:rStyle w:val="FootnoteReference"/>
        </w:rPr>
        <w:footnoteRef/>
      </w:r>
      <w:r w:rsidRPr="00DF59AA">
        <w:rPr>
          <w:lang w:val="fr-BE"/>
        </w:rPr>
        <w:tab/>
        <w:t>COM(2025) 90 final.</w:t>
      </w:r>
    </w:p>
  </w:footnote>
  <w:footnote w:id="11">
    <w:p w14:paraId="5B56F708" w14:textId="77777777" w:rsidR="00A16C46" w:rsidRPr="00DF59AA" w:rsidRDefault="00A16C46" w:rsidP="00A16C46">
      <w:pPr>
        <w:pStyle w:val="FootnoteText"/>
        <w:rPr>
          <w:lang w:val="fr-BE"/>
        </w:rPr>
      </w:pPr>
      <w:r>
        <w:rPr>
          <w:rStyle w:val="FootnoteReference"/>
        </w:rPr>
        <w:footnoteRef/>
      </w:r>
      <w:r w:rsidRPr="00DF59AA">
        <w:rPr>
          <w:lang w:val="fr-BE"/>
        </w:rPr>
        <w:tab/>
        <w:t>Règlement (UE) 2023/955 du Parlement européen et du Conseil du 10 mai 2023 instituant un Fonds social pour le climat et modifiant le règlement (UE) 2021/1060 (JO L 130 du 16.5.2023,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13289" w14:textId="77777777" w:rsidR="00E81AD1" w:rsidRDefault="00E81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9EED0" w14:textId="77777777" w:rsidR="00E81AD1" w:rsidRDefault="00E81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 w:numId="32">
    <w:abstractNumId w:val="23"/>
  </w:num>
  <w:num w:numId="33">
    <w:abstractNumId w:val="12"/>
  </w:num>
  <w:num w:numId="34">
    <w:abstractNumId w:val="26"/>
  </w:num>
  <w:num w:numId="35">
    <w:abstractNumId w:val="6"/>
  </w:num>
  <w:num w:numId="36">
    <w:abstractNumId w:val="13"/>
  </w:num>
  <w:num w:numId="37">
    <w:abstractNumId w:val="14"/>
  </w:num>
  <w:num w:numId="38">
    <w:abstractNumId w:val="4"/>
  </w:num>
  <w:num w:numId="39">
    <w:abstractNumId w:val="25"/>
  </w:num>
  <w:num w:numId="40">
    <w:abstractNumId w:val="3"/>
  </w:num>
  <w:num w:numId="41">
    <w:abstractNumId w:val="15"/>
  </w:num>
  <w:num w:numId="42">
    <w:abstractNumId w:val="21"/>
  </w:num>
  <w:num w:numId="43">
    <w:abstractNumId w:val="22"/>
  </w:num>
  <w:num w:numId="44">
    <w:abstractNumId w:val="5"/>
  </w:num>
  <w:num w:numId="45">
    <w:abstractNumId w:val="19"/>
  </w:num>
  <w:num w:numId="46">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19:32: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8AA09D0-A96B-4FA3-A5CD-95FD560BE88D"/>
    <w:docVar w:name="LW_COVERPAGE_TYPE" w:val="1"/>
    <w:docVar w:name="LW_CreatedUtc" w:val="2025-05-16T17:03:24.4511158Z"/>
    <w:docVar w:name="LW_CROSSREFERENCE" w:val="&lt;UNUSED&gt;"/>
    <w:docVar w:name="LW_DocType" w:val="COM"/>
    <w:docVar w:name="LW_EMISSION" w:val="3.6.2026"/>
    <w:docVar w:name="LW_EMISSION_ISODATE" w:val="2026-06-03"/>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37"/>
    <w:docVar w:name="LW_REF.II.NEW.CP_YEAR" w:val="2026"/>
    <w:docVar w:name="LW_REF.INST.NEW" w:val="COM"/>
    <w:docVar w:name="LW_REF.INST.NEW_ADOPTED" w:val="final"/>
    <w:docVar w:name="LW_REF.INST.NEW_TEXT" w:val="(2026)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aux lignes directrices pour les politiques de l\u8217?emploi des États membres"/>
    <w:docVar w:name="LW_TYPE.DOC.CP" w:val="DÉCISION DU CONSEIL"/>
    <w:docVar w:name="LwApiVersions" w:val="LW4CoDe 1.24.5.0; LW 9.2, Build 20251112"/>
  </w:docVars>
  <w:rsids>
    <w:rsidRoot w:val="002B26AA"/>
    <w:rsid w:val="00001A78"/>
    <w:rsid w:val="00001DDE"/>
    <w:rsid w:val="00002389"/>
    <w:rsid w:val="000031DE"/>
    <w:rsid w:val="000035EF"/>
    <w:rsid w:val="000038B2"/>
    <w:rsid w:val="00003A92"/>
    <w:rsid w:val="0000520F"/>
    <w:rsid w:val="00005361"/>
    <w:rsid w:val="0000601F"/>
    <w:rsid w:val="00010588"/>
    <w:rsid w:val="00010AFA"/>
    <w:rsid w:val="000122EA"/>
    <w:rsid w:val="0001247D"/>
    <w:rsid w:val="0001265F"/>
    <w:rsid w:val="0001279A"/>
    <w:rsid w:val="00012CBB"/>
    <w:rsid w:val="00012EE9"/>
    <w:rsid w:val="00013104"/>
    <w:rsid w:val="00014E6E"/>
    <w:rsid w:val="00015815"/>
    <w:rsid w:val="0001751A"/>
    <w:rsid w:val="00020721"/>
    <w:rsid w:val="00020DAD"/>
    <w:rsid w:val="00021668"/>
    <w:rsid w:val="00021737"/>
    <w:rsid w:val="00021EA5"/>
    <w:rsid w:val="000225F2"/>
    <w:rsid w:val="00023AF6"/>
    <w:rsid w:val="00023FCF"/>
    <w:rsid w:val="0002425E"/>
    <w:rsid w:val="00024C4F"/>
    <w:rsid w:val="000250B4"/>
    <w:rsid w:val="00027282"/>
    <w:rsid w:val="0002767C"/>
    <w:rsid w:val="00030F13"/>
    <w:rsid w:val="0003155C"/>
    <w:rsid w:val="00031699"/>
    <w:rsid w:val="00031847"/>
    <w:rsid w:val="00031FF4"/>
    <w:rsid w:val="00032858"/>
    <w:rsid w:val="000348A7"/>
    <w:rsid w:val="000353DB"/>
    <w:rsid w:val="000354C9"/>
    <w:rsid w:val="000357DD"/>
    <w:rsid w:val="00037C40"/>
    <w:rsid w:val="00040556"/>
    <w:rsid w:val="0004109C"/>
    <w:rsid w:val="000412B6"/>
    <w:rsid w:val="0004138E"/>
    <w:rsid w:val="0004286C"/>
    <w:rsid w:val="000439BE"/>
    <w:rsid w:val="00044482"/>
    <w:rsid w:val="00045377"/>
    <w:rsid w:val="00045F71"/>
    <w:rsid w:val="000460C9"/>
    <w:rsid w:val="00046382"/>
    <w:rsid w:val="000465FA"/>
    <w:rsid w:val="00046BE4"/>
    <w:rsid w:val="00050E95"/>
    <w:rsid w:val="00051955"/>
    <w:rsid w:val="0005218D"/>
    <w:rsid w:val="0005274A"/>
    <w:rsid w:val="000538D9"/>
    <w:rsid w:val="0005396E"/>
    <w:rsid w:val="00055971"/>
    <w:rsid w:val="000563ED"/>
    <w:rsid w:val="0005696F"/>
    <w:rsid w:val="000569DD"/>
    <w:rsid w:val="00057107"/>
    <w:rsid w:val="00057814"/>
    <w:rsid w:val="0005790F"/>
    <w:rsid w:val="00057E07"/>
    <w:rsid w:val="00060086"/>
    <w:rsid w:val="00061857"/>
    <w:rsid w:val="00064D95"/>
    <w:rsid w:val="00064E42"/>
    <w:rsid w:val="00067399"/>
    <w:rsid w:val="00067D5A"/>
    <w:rsid w:val="00070CC2"/>
    <w:rsid w:val="00071423"/>
    <w:rsid w:val="00072C06"/>
    <w:rsid w:val="00072E4D"/>
    <w:rsid w:val="00073372"/>
    <w:rsid w:val="0007379B"/>
    <w:rsid w:val="00073A95"/>
    <w:rsid w:val="00075CE7"/>
    <w:rsid w:val="000774B7"/>
    <w:rsid w:val="000774E3"/>
    <w:rsid w:val="00081446"/>
    <w:rsid w:val="00083560"/>
    <w:rsid w:val="00084F11"/>
    <w:rsid w:val="00085C38"/>
    <w:rsid w:val="00085D78"/>
    <w:rsid w:val="00085E24"/>
    <w:rsid w:val="0008601E"/>
    <w:rsid w:val="00086E47"/>
    <w:rsid w:val="0008717D"/>
    <w:rsid w:val="00090CF8"/>
    <w:rsid w:val="00090FBA"/>
    <w:rsid w:val="0009249E"/>
    <w:rsid w:val="00095B8E"/>
    <w:rsid w:val="0009689A"/>
    <w:rsid w:val="00097B04"/>
    <w:rsid w:val="00097B70"/>
    <w:rsid w:val="000A0784"/>
    <w:rsid w:val="000A0E6C"/>
    <w:rsid w:val="000A2E8A"/>
    <w:rsid w:val="000A3588"/>
    <w:rsid w:val="000A3919"/>
    <w:rsid w:val="000A4884"/>
    <w:rsid w:val="000A506F"/>
    <w:rsid w:val="000A544F"/>
    <w:rsid w:val="000A545C"/>
    <w:rsid w:val="000A5A83"/>
    <w:rsid w:val="000A5F16"/>
    <w:rsid w:val="000A60BC"/>
    <w:rsid w:val="000A64D0"/>
    <w:rsid w:val="000A714A"/>
    <w:rsid w:val="000A7679"/>
    <w:rsid w:val="000A7726"/>
    <w:rsid w:val="000A7D46"/>
    <w:rsid w:val="000B05D8"/>
    <w:rsid w:val="000B2740"/>
    <w:rsid w:val="000B308F"/>
    <w:rsid w:val="000B356E"/>
    <w:rsid w:val="000B3671"/>
    <w:rsid w:val="000B3C18"/>
    <w:rsid w:val="000B4248"/>
    <w:rsid w:val="000B538F"/>
    <w:rsid w:val="000B575D"/>
    <w:rsid w:val="000B7250"/>
    <w:rsid w:val="000B7B57"/>
    <w:rsid w:val="000C0C96"/>
    <w:rsid w:val="000C108F"/>
    <w:rsid w:val="000C19D1"/>
    <w:rsid w:val="000C454C"/>
    <w:rsid w:val="000C4A15"/>
    <w:rsid w:val="000C5D0C"/>
    <w:rsid w:val="000C6237"/>
    <w:rsid w:val="000C6B6A"/>
    <w:rsid w:val="000C7FA0"/>
    <w:rsid w:val="000D19B2"/>
    <w:rsid w:val="000D1A75"/>
    <w:rsid w:val="000D1B2B"/>
    <w:rsid w:val="000D3839"/>
    <w:rsid w:val="000D5769"/>
    <w:rsid w:val="000D6CDF"/>
    <w:rsid w:val="000D710B"/>
    <w:rsid w:val="000E00E5"/>
    <w:rsid w:val="000E096B"/>
    <w:rsid w:val="000E0FE0"/>
    <w:rsid w:val="000E110F"/>
    <w:rsid w:val="000E3037"/>
    <w:rsid w:val="000E3B89"/>
    <w:rsid w:val="000E5721"/>
    <w:rsid w:val="000E590A"/>
    <w:rsid w:val="000E7268"/>
    <w:rsid w:val="000E789B"/>
    <w:rsid w:val="000F068B"/>
    <w:rsid w:val="000F1466"/>
    <w:rsid w:val="000F27B8"/>
    <w:rsid w:val="000F27DE"/>
    <w:rsid w:val="000F353E"/>
    <w:rsid w:val="000F44A2"/>
    <w:rsid w:val="000F4945"/>
    <w:rsid w:val="000F61FC"/>
    <w:rsid w:val="000F690E"/>
    <w:rsid w:val="000F6EFC"/>
    <w:rsid w:val="000F7A7F"/>
    <w:rsid w:val="000F7FB8"/>
    <w:rsid w:val="001003CF"/>
    <w:rsid w:val="001006AC"/>
    <w:rsid w:val="00103421"/>
    <w:rsid w:val="00103500"/>
    <w:rsid w:val="00104608"/>
    <w:rsid w:val="0010531F"/>
    <w:rsid w:val="001053BE"/>
    <w:rsid w:val="00106514"/>
    <w:rsid w:val="001065F5"/>
    <w:rsid w:val="00110964"/>
    <w:rsid w:val="00111A30"/>
    <w:rsid w:val="00112BE1"/>
    <w:rsid w:val="0011307C"/>
    <w:rsid w:val="001131F3"/>
    <w:rsid w:val="001141B3"/>
    <w:rsid w:val="00115139"/>
    <w:rsid w:val="00115C73"/>
    <w:rsid w:val="00116B7C"/>
    <w:rsid w:val="00116E0F"/>
    <w:rsid w:val="0011771D"/>
    <w:rsid w:val="00120DA9"/>
    <w:rsid w:val="0012155F"/>
    <w:rsid w:val="00121ACE"/>
    <w:rsid w:val="00121B35"/>
    <w:rsid w:val="00122131"/>
    <w:rsid w:val="00122E6A"/>
    <w:rsid w:val="00123021"/>
    <w:rsid w:val="001238EF"/>
    <w:rsid w:val="00123EBE"/>
    <w:rsid w:val="001241C7"/>
    <w:rsid w:val="001259EE"/>
    <w:rsid w:val="00126A90"/>
    <w:rsid w:val="0013002B"/>
    <w:rsid w:val="00130D07"/>
    <w:rsid w:val="001310D8"/>
    <w:rsid w:val="0013203E"/>
    <w:rsid w:val="00133F4E"/>
    <w:rsid w:val="001341F9"/>
    <w:rsid w:val="00134621"/>
    <w:rsid w:val="00135284"/>
    <w:rsid w:val="00135780"/>
    <w:rsid w:val="001378A2"/>
    <w:rsid w:val="001405C7"/>
    <w:rsid w:val="00141915"/>
    <w:rsid w:val="00142223"/>
    <w:rsid w:val="00142D79"/>
    <w:rsid w:val="0014302C"/>
    <w:rsid w:val="00145EE6"/>
    <w:rsid w:val="001476B3"/>
    <w:rsid w:val="00147CBB"/>
    <w:rsid w:val="00147F77"/>
    <w:rsid w:val="00147FF0"/>
    <w:rsid w:val="001503CA"/>
    <w:rsid w:val="00150F5D"/>
    <w:rsid w:val="001510BB"/>
    <w:rsid w:val="0015150D"/>
    <w:rsid w:val="001515AE"/>
    <w:rsid w:val="00152019"/>
    <w:rsid w:val="0015262F"/>
    <w:rsid w:val="00152B6F"/>
    <w:rsid w:val="00152DAE"/>
    <w:rsid w:val="0015374E"/>
    <w:rsid w:val="00154020"/>
    <w:rsid w:val="001541FB"/>
    <w:rsid w:val="00154593"/>
    <w:rsid w:val="0015526B"/>
    <w:rsid w:val="001556C4"/>
    <w:rsid w:val="0015635C"/>
    <w:rsid w:val="00157AD5"/>
    <w:rsid w:val="00157DA9"/>
    <w:rsid w:val="001615D2"/>
    <w:rsid w:val="001640A5"/>
    <w:rsid w:val="00164468"/>
    <w:rsid w:val="001653B0"/>
    <w:rsid w:val="0016624E"/>
    <w:rsid w:val="00166498"/>
    <w:rsid w:val="00166605"/>
    <w:rsid w:val="001716CA"/>
    <w:rsid w:val="00171A85"/>
    <w:rsid w:val="00172B56"/>
    <w:rsid w:val="00172C48"/>
    <w:rsid w:val="001732FD"/>
    <w:rsid w:val="00173779"/>
    <w:rsid w:val="00177D40"/>
    <w:rsid w:val="00180E68"/>
    <w:rsid w:val="00181B65"/>
    <w:rsid w:val="00181EE9"/>
    <w:rsid w:val="001829B0"/>
    <w:rsid w:val="00183BF7"/>
    <w:rsid w:val="00183C5E"/>
    <w:rsid w:val="00184C75"/>
    <w:rsid w:val="001853EB"/>
    <w:rsid w:val="001855BA"/>
    <w:rsid w:val="001859A7"/>
    <w:rsid w:val="001864AC"/>
    <w:rsid w:val="00187BB7"/>
    <w:rsid w:val="00191F3D"/>
    <w:rsid w:val="00192A24"/>
    <w:rsid w:val="0019382B"/>
    <w:rsid w:val="00193D1B"/>
    <w:rsid w:val="00193E51"/>
    <w:rsid w:val="00196194"/>
    <w:rsid w:val="00196495"/>
    <w:rsid w:val="00196E3D"/>
    <w:rsid w:val="00197613"/>
    <w:rsid w:val="0019768D"/>
    <w:rsid w:val="001A0602"/>
    <w:rsid w:val="001A2233"/>
    <w:rsid w:val="001A24DB"/>
    <w:rsid w:val="001A2CCD"/>
    <w:rsid w:val="001A3745"/>
    <w:rsid w:val="001A3B23"/>
    <w:rsid w:val="001A469F"/>
    <w:rsid w:val="001A5CF5"/>
    <w:rsid w:val="001A69CF"/>
    <w:rsid w:val="001A6F54"/>
    <w:rsid w:val="001A784D"/>
    <w:rsid w:val="001B01B4"/>
    <w:rsid w:val="001B0A03"/>
    <w:rsid w:val="001B2253"/>
    <w:rsid w:val="001B2661"/>
    <w:rsid w:val="001B3AE4"/>
    <w:rsid w:val="001B3D36"/>
    <w:rsid w:val="001B54CA"/>
    <w:rsid w:val="001B55C5"/>
    <w:rsid w:val="001B5CAD"/>
    <w:rsid w:val="001B6190"/>
    <w:rsid w:val="001B622E"/>
    <w:rsid w:val="001B6F52"/>
    <w:rsid w:val="001C0C44"/>
    <w:rsid w:val="001C11E4"/>
    <w:rsid w:val="001C348D"/>
    <w:rsid w:val="001C3D1B"/>
    <w:rsid w:val="001C3E96"/>
    <w:rsid w:val="001C44F2"/>
    <w:rsid w:val="001C453A"/>
    <w:rsid w:val="001C485C"/>
    <w:rsid w:val="001C5332"/>
    <w:rsid w:val="001C55AB"/>
    <w:rsid w:val="001C5AE5"/>
    <w:rsid w:val="001C5B27"/>
    <w:rsid w:val="001C6AAA"/>
    <w:rsid w:val="001C7498"/>
    <w:rsid w:val="001C7561"/>
    <w:rsid w:val="001D008C"/>
    <w:rsid w:val="001D0AE4"/>
    <w:rsid w:val="001D1DE2"/>
    <w:rsid w:val="001D2233"/>
    <w:rsid w:val="001D2395"/>
    <w:rsid w:val="001D26CE"/>
    <w:rsid w:val="001D5157"/>
    <w:rsid w:val="001D541A"/>
    <w:rsid w:val="001D7105"/>
    <w:rsid w:val="001D7459"/>
    <w:rsid w:val="001D7C63"/>
    <w:rsid w:val="001D7DDE"/>
    <w:rsid w:val="001D7EAF"/>
    <w:rsid w:val="001E0B0F"/>
    <w:rsid w:val="001E0D0B"/>
    <w:rsid w:val="001E156E"/>
    <w:rsid w:val="001E2216"/>
    <w:rsid w:val="001E2A4B"/>
    <w:rsid w:val="001E2FCB"/>
    <w:rsid w:val="001E349C"/>
    <w:rsid w:val="001E4770"/>
    <w:rsid w:val="001E745A"/>
    <w:rsid w:val="001F014D"/>
    <w:rsid w:val="001F0608"/>
    <w:rsid w:val="001F0914"/>
    <w:rsid w:val="001F250B"/>
    <w:rsid w:val="001F27D4"/>
    <w:rsid w:val="001F2C87"/>
    <w:rsid w:val="001F60C2"/>
    <w:rsid w:val="001F652F"/>
    <w:rsid w:val="001F714C"/>
    <w:rsid w:val="001F772B"/>
    <w:rsid w:val="001F7732"/>
    <w:rsid w:val="001F7D97"/>
    <w:rsid w:val="002009D2"/>
    <w:rsid w:val="00200F8A"/>
    <w:rsid w:val="0020261D"/>
    <w:rsid w:val="0020290F"/>
    <w:rsid w:val="002033AC"/>
    <w:rsid w:val="002035AD"/>
    <w:rsid w:val="00204461"/>
    <w:rsid w:val="0020473F"/>
    <w:rsid w:val="00205D1B"/>
    <w:rsid w:val="00207545"/>
    <w:rsid w:val="0020765C"/>
    <w:rsid w:val="00211047"/>
    <w:rsid w:val="00213AFA"/>
    <w:rsid w:val="0021401F"/>
    <w:rsid w:val="0021439B"/>
    <w:rsid w:val="00214DE9"/>
    <w:rsid w:val="00215540"/>
    <w:rsid w:val="002156B3"/>
    <w:rsid w:val="00216AAF"/>
    <w:rsid w:val="0022044A"/>
    <w:rsid w:val="00220690"/>
    <w:rsid w:val="00220A76"/>
    <w:rsid w:val="00221EEA"/>
    <w:rsid w:val="002225CE"/>
    <w:rsid w:val="0022351C"/>
    <w:rsid w:val="00223838"/>
    <w:rsid w:val="00224328"/>
    <w:rsid w:val="00224C04"/>
    <w:rsid w:val="002260B2"/>
    <w:rsid w:val="002262A8"/>
    <w:rsid w:val="00233770"/>
    <w:rsid w:val="00233DC7"/>
    <w:rsid w:val="00234570"/>
    <w:rsid w:val="00234687"/>
    <w:rsid w:val="0023567F"/>
    <w:rsid w:val="00235B9C"/>
    <w:rsid w:val="00236307"/>
    <w:rsid w:val="002368BD"/>
    <w:rsid w:val="0023739D"/>
    <w:rsid w:val="00237526"/>
    <w:rsid w:val="00241C24"/>
    <w:rsid w:val="002429B7"/>
    <w:rsid w:val="00242CB3"/>
    <w:rsid w:val="00244483"/>
    <w:rsid w:val="00245F62"/>
    <w:rsid w:val="00246DF1"/>
    <w:rsid w:val="00246F4F"/>
    <w:rsid w:val="00246F66"/>
    <w:rsid w:val="00247779"/>
    <w:rsid w:val="00250C17"/>
    <w:rsid w:val="00251082"/>
    <w:rsid w:val="0025197F"/>
    <w:rsid w:val="00251FE8"/>
    <w:rsid w:val="00253751"/>
    <w:rsid w:val="0025375C"/>
    <w:rsid w:val="002538A2"/>
    <w:rsid w:val="00253CCE"/>
    <w:rsid w:val="00256210"/>
    <w:rsid w:val="00256723"/>
    <w:rsid w:val="00260127"/>
    <w:rsid w:val="002619D5"/>
    <w:rsid w:val="0026208B"/>
    <w:rsid w:val="002624D0"/>
    <w:rsid w:val="00263C3B"/>
    <w:rsid w:val="002640EA"/>
    <w:rsid w:val="00264967"/>
    <w:rsid w:val="00265621"/>
    <w:rsid w:val="00265732"/>
    <w:rsid w:val="00265D05"/>
    <w:rsid w:val="002671D6"/>
    <w:rsid w:val="0026737B"/>
    <w:rsid w:val="00270870"/>
    <w:rsid w:val="00270C71"/>
    <w:rsid w:val="00271975"/>
    <w:rsid w:val="00271BBE"/>
    <w:rsid w:val="00272C59"/>
    <w:rsid w:val="002730A2"/>
    <w:rsid w:val="00273A73"/>
    <w:rsid w:val="00274D86"/>
    <w:rsid w:val="00275190"/>
    <w:rsid w:val="0027637C"/>
    <w:rsid w:val="00276E1E"/>
    <w:rsid w:val="00277C00"/>
    <w:rsid w:val="00282244"/>
    <w:rsid w:val="00282872"/>
    <w:rsid w:val="00283D9A"/>
    <w:rsid w:val="00283E73"/>
    <w:rsid w:val="00284052"/>
    <w:rsid w:val="00284E28"/>
    <w:rsid w:val="00285BEE"/>
    <w:rsid w:val="0028616A"/>
    <w:rsid w:val="00287E13"/>
    <w:rsid w:val="0029101B"/>
    <w:rsid w:val="002910BF"/>
    <w:rsid w:val="002913F6"/>
    <w:rsid w:val="0029180C"/>
    <w:rsid w:val="0029308F"/>
    <w:rsid w:val="0029437E"/>
    <w:rsid w:val="0029533F"/>
    <w:rsid w:val="00295930"/>
    <w:rsid w:val="002968B6"/>
    <w:rsid w:val="002977DE"/>
    <w:rsid w:val="002A0773"/>
    <w:rsid w:val="002A0EFD"/>
    <w:rsid w:val="002A1B26"/>
    <w:rsid w:val="002A1CBA"/>
    <w:rsid w:val="002A2A01"/>
    <w:rsid w:val="002A2C8A"/>
    <w:rsid w:val="002A2FE4"/>
    <w:rsid w:val="002A384F"/>
    <w:rsid w:val="002A4867"/>
    <w:rsid w:val="002A5911"/>
    <w:rsid w:val="002A6208"/>
    <w:rsid w:val="002A6A4A"/>
    <w:rsid w:val="002A7E81"/>
    <w:rsid w:val="002B01AC"/>
    <w:rsid w:val="002B26AA"/>
    <w:rsid w:val="002B2C7C"/>
    <w:rsid w:val="002B30AF"/>
    <w:rsid w:val="002B312B"/>
    <w:rsid w:val="002B413C"/>
    <w:rsid w:val="002B4191"/>
    <w:rsid w:val="002B4A55"/>
    <w:rsid w:val="002B5A85"/>
    <w:rsid w:val="002B63A1"/>
    <w:rsid w:val="002B7DC4"/>
    <w:rsid w:val="002C17A3"/>
    <w:rsid w:val="002C183D"/>
    <w:rsid w:val="002C30C4"/>
    <w:rsid w:val="002C6107"/>
    <w:rsid w:val="002C6787"/>
    <w:rsid w:val="002C7093"/>
    <w:rsid w:val="002C7465"/>
    <w:rsid w:val="002C74E1"/>
    <w:rsid w:val="002C7E40"/>
    <w:rsid w:val="002D0018"/>
    <w:rsid w:val="002D0610"/>
    <w:rsid w:val="002D1423"/>
    <w:rsid w:val="002D1AE5"/>
    <w:rsid w:val="002D3356"/>
    <w:rsid w:val="002D36EF"/>
    <w:rsid w:val="002D45BD"/>
    <w:rsid w:val="002D78FB"/>
    <w:rsid w:val="002E0538"/>
    <w:rsid w:val="002E0DEA"/>
    <w:rsid w:val="002E39D9"/>
    <w:rsid w:val="002E467E"/>
    <w:rsid w:val="002E52A0"/>
    <w:rsid w:val="002E5D75"/>
    <w:rsid w:val="002E67C3"/>
    <w:rsid w:val="002E6910"/>
    <w:rsid w:val="002E717A"/>
    <w:rsid w:val="002E7288"/>
    <w:rsid w:val="002E7402"/>
    <w:rsid w:val="002E78B7"/>
    <w:rsid w:val="002F0668"/>
    <w:rsid w:val="002F093F"/>
    <w:rsid w:val="002F109D"/>
    <w:rsid w:val="002F17CF"/>
    <w:rsid w:val="002F17DD"/>
    <w:rsid w:val="002F205F"/>
    <w:rsid w:val="002F277A"/>
    <w:rsid w:val="002F36E5"/>
    <w:rsid w:val="002F3E80"/>
    <w:rsid w:val="002F48E8"/>
    <w:rsid w:val="002F4EAE"/>
    <w:rsid w:val="003002A9"/>
    <w:rsid w:val="0030035E"/>
    <w:rsid w:val="003018D6"/>
    <w:rsid w:val="00302E19"/>
    <w:rsid w:val="00302FE8"/>
    <w:rsid w:val="00303E54"/>
    <w:rsid w:val="0030603F"/>
    <w:rsid w:val="003062EF"/>
    <w:rsid w:val="003067ED"/>
    <w:rsid w:val="00307AE5"/>
    <w:rsid w:val="00307BDB"/>
    <w:rsid w:val="00307C6E"/>
    <w:rsid w:val="00307CB9"/>
    <w:rsid w:val="00310C5F"/>
    <w:rsid w:val="00310CC8"/>
    <w:rsid w:val="003120DF"/>
    <w:rsid w:val="00312653"/>
    <w:rsid w:val="00313DCA"/>
    <w:rsid w:val="0031467E"/>
    <w:rsid w:val="003146CF"/>
    <w:rsid w:val="0031590D"/>
    <w:rsid w:val="0031635C"/>
    <w:rsid w:val="00316512"/>
    <w:rsid w:val="0031672B"/>
    <w:rsid w:val="0032048A"/>
    <w:rsid w:val="00320AFF"/>
    <w:rsid w:val="0032245B"/>
    <w:rsid w:val="00322D99"/>
    <w:rsid w:val="00322E0B"/>
    <w:rsid w:val="00324667"/>
    <w:rsid w:val="003256C4"/>
    <w:rsid w:val="00327947"/>
    <w:rsid w:val="003279CD"/>
    <w:rsid w:val="00327AB9"/>
    <w:rsid w:val="003304BA"/>
    <w:rsid w:val="0033057F"/>
    <w:rsid w:val="00331A3A"/>
    <w:rsid w:val="00332E1F"/>
    <w:rsid w:val="0033344A"/>
    <w:rsid w:val="003339A9"/>
    <w:rsid w:val="00334542"/>
    <w:rsid w:val="00334A02"/>
    <w:rsid w:val="00334DDE"/>
    <w:rsid w:val="00335A57"/>
    <w:rsid w:val="00335D9F"/>
    <w:rsid w:val="0034024F"/>
    <w:rsid w:val="00340B3F"/>
    <w:rsid w:val="00341017"/>
    <w:rsid w:val="00342D67"/>
    <w:rsid w:val="00343278"/>
    <w:rsid w:val="00343524"/>
    <w:rsid w:val="00343F1E"/>
    <w:rsid w:val="00345968"/>
    <w:rsid w:val="003476A2"/>
    <w:rsid w:val="0035085D"/>
    <w:rsid w:val="00350F8C"/>
    <w:rsid w:val="00351753"/>
    <w:rsid w:val="00351D36"/>
    <w:rsid w:val="00352850"/>
    <w:rsid w:val="00352EAF"/>
    <w:rsid w:val="00354737"/>
    <w:rsid w:val="0035612D"/>
    <w:rsid w:val="003569E3"/>
    <w:rsid w:val="003571DF"/>
    <w:rsid w:val="00360700"/>
    <w:rsid w:val="003612CD"/>
    <w:rsid w:val="0036245C"/>
    <w:rsid w:val="00363F16"/>
    <w:rsid w:val="00363FCE"/>
    <w:rsid w:val="00364D55"/>
    <w:rsid w:val="00364E52"/>
    <w:rsid w:val="00365A95"/>
    <w:rsid w:val="00366267"/>
    <w:rsid w:val="003715B6"/>
    <w:rsid w:val="00373E4A"/>
    <w:rsid w:val="00374293"/>
    <w:rsid w:val="003749CE"/>
    <w:rsid w:val="00374A8F"/>
    <w:rsid w:val="0037624A"/>
    <w:rsid w:val="003768D4"/>
    <w:rsid w:val="003769A1"/>
    <w:rsid w:val="00377151"/>
    <w:rsid w:val="0037787E"/>
    <w:rsid w:val="00377B43"/>
    <w:rsid w:val="00377BBC"/>
    <w:rsid w:val="003801C3"/>
    <w:rsid w:val="00380C44"/>
    <w:rsid w:val="003814B1"/>
    <w:rsid w:val="00381699"/>
    <w:rsid w:val="00381A4B"/>
    <w:rsid w:val="00383474"/>
    <w:rsid w:val="0038396A"/>
    <w:rsid w:val="003848D0"/>
    <w:rsid w:val="00384C24"/>
    <w:rsid w:val="00385EDB"/>
    <w:rsid w:val="00386652"/>
    <w:rsid w:val="003866E7"/>
    <w:rsid w:val="00386F45"/>
    <w:rsid w:val="003872EB"/>
    <w:rsid w:val="00387FFD"/>
    <w:rsid w:val="0039052F"/>
    <w:rsid w:val="003912F1"/>
    <w:rsid w:val="00391835"/>
    <w:rsid w:val="00392D46"/>
    <w:rsid w:val="003935CC"/>
    <w:rsid w:val="00394571"/>
    <w:rsid w:val="00394B54"/>
    <w:rsid w:val="0039621A"/>
    <w:rsid w:val="00396683"/>
    <w:rsid w:val="0039720E"/>
    <w:rsid w:val="003975A6"/>
    <w:rsid w:val="003A07FC"/>
    <w:rsid w:val="003A0F67"/>
    <w:rsid w:val="003A4310"/>
    <w:rsid w:val="003A5AA2"/>
    <w:rsid w:val="003A5AB1"/>
    <w:rsid w:val="003A5EE9"/>
    <w:rsid w:val="003B1069"/>
    <w:rsid w:val="003B268E"/>
    <w:rsid w:val="003B3115"/>
    <w:rsid w:val="003B38E3"/>
    <w:rsid w:val="003B66E9"/>
    <w:rsid w:val="003B6BB1"/>
    <w:rsid w:val="003B7463"/>
    <w:rsid w:val="003C0452"/>
    <w:rsid w:val="003C051F"/>
    <w:rsid w:val="003C0612"/>
    <w:rsid w:val="003C0CA3"/>
    <w:rsid w:val="003C0F0B"/>
    <w:rsid w:val="003C17D6"/>
    <w:rsid w:val="003C2048"/>
    <w:rsid w:val="003C2202"/>
    <w:rsid w:val="003C3CC6"/>
    <w:rsid w:val="003C456C"/>
    <w:rsid w:val="003C4A34"/>
    <w:rsid w:val="003C4B02"/>
    <w:rsid w:val="003C5A4E"/>
    <w:rsid w:val="003C6DF4"/>
    <w:rsid w:val="003C704B"/>
    <w:rsid w:val="003D106B"/>
    <w:rsid w:val="003D1671"/>
    <w:rsid w:val="003D26F4"/>
    <w:rsid w:val="003D2977"/>
    <w:rsid w:val="003D2C78"/>
    <w:rsid w:val="003D5108"/>
    <w:rsid w:val="003D579F"/>
    <w:rsid w:val="003D7597"/>
    <w:rsid w:val="003D7A37"/>
    <w:rsid w:val="003E024D"/>
    <w:rsid w:val="003E1122"/>
    <w:rsid w:val="003E19A6"/>
    <w:rsid w:val="003E1DEC"/>
    <w:rsid w:val="003E2C2F"/>
    <w:rsid w:val="003E2E77"/>
    <w:rsid w:val="003E3A9E"/>
    <w:rsid w:val="003E3B1A"/>
    <w:rsid w:val="003E3C33"/>
    <w:rsid w:val="003E3DCB"/>
    <w:rsid w:val="003E4C38"/>
    <w:rsid w:val="003E5ADE"/>
    <w:rsid w:val="003E5BA6"/>
    <w:rsid w:val="003F0384"/>
    <w:rsid w:val="003F314F"/>
    <w:rsid w:val="003F3859"/>
    <w:rsid w:val="003F5739"/>
    <w:rsid w:val="003F6C00"/>
    <w:rsid w:val="003F6D7C"/>
    <w:rsid w:val="00400641"/>
    <w:rsid w:val="00401B97"/>
    <w:rsid w:val="0040298A"/>
    <w:rsid w:val="004032C2"/>
    <w:rsid w:val="00404175"/>
    <w:rsid w:val="00405B32"/>
    <w:rsid w:val="0040735D"/>
    <w:rsid w:val="0040763B"/>
    <w:rsid w:val="00410C11"/>
    <w:rsid w:val="00410C4F"/>
    <w:rsid w:val="00411E68"/>
    <w:rsid w:val="004120FD"/>
    <w:rsid w:val="0041322E"/>
    <w:rsid w:val="004148E1"/>
    <w:rsid w:val="00414BF3"/>
    <w:rsid w:val="00414DEE"/>
    <w:rsid w:val="00415E5A"/>
    <w:rsid w:val="00416E1D"/>
    <w:rsid w:val="004170DB"/>
    <w:rsid w:val="00417854"/>
    <w:rsid w:val="004200A8"/>
    <w:rsid w:val="004206C3"/>
    <w:rsid w:val="00421295"/>
    <w:rsid w:val="00422160"/>
    <w:rsid w:val="00422420"/>
    <w:rsid w:val="0042353B"/>
    <w:rsid w:val="004248B4"/>
    <w:rsid w:val="0042648E"/>
    <w:rsid w:val="00426B11"/>
    <w:rsid w:val="004316FC"/>
    <w:rsid w:val="00431BEA"/>
    <w:rsid w:val="00431EF0"/>
    <w:rsid w:val="0043232A"/>
    <w:rsid w:val="00432F45"/>
    <w:rsid w:val="004346FD"/>
    <w:rsid w:val="00435C59"/>
    <w:rsid w:val="00436A68"/>
    <w:rsid w:val="00436D6F"/>
    <w:rsid w:val="004379A7"/>
    <w:rsid w:val="00437B4B"/>
    <w:rsid w:val="00437BCE"/>
    <w:rsid w:val="0044047B"/>
    <w:rsid w:val="004405A4"/>
    <w:rsid w:val="0044091A"/>
    <w:rsid w:val="0044132E"/>
    <w:rsid w:val="00441942"/>
    <w:rsid w:val="00441953"/>
    <w:rsid w:val="00441975"/>
    <w:rsid w:val="00441F24"/>
    <w:rsid w:val="0044239B"/>
    <w:rsid w:val="00444734"/>
    <w:rsid w:val="00444DD0"/>
    <w:rsid w:val="00445F94"/>
    <w:rsid w:val="00445FD4"/>
    <w:rsid w:val="00446165"/>
    <w:rsid w:val="0044714C"/>
    <w:rsid w:val="00447771"/>
    <w:rsid w:val="0044789C"/>
    <w:rsid w:val="00447EB3"/>
    <w:rsid w:val="00450C25"/>
    <w:rsid w:val="004512DD"/>
    <w:rsid w:val="004546A3"/>
    <w:rsid w:val="004549B8"/>
    <w:rsid w:val="00455613"/>
    <w:rsid w:val="0045619C"/>
    <w:rsid w:val="00456D74"/>
    <w:rsid w:val="00460184"/>
    <w:rsid w:val="00460A67"/>
    <w:rsid w:val="00462029"/>
    <w:rsid w:val="00462B5E"/>
    <w:rsid w:val="004640A5"/>
    <w:rsid w:val="00465BBF"/>
    <w:rsid w:val="00465E22"/>
    <w:rsid w:val="00467CB1"/>
    <w:rsid w:val="004716C2"/>
    <w:rsid w:val="004721D1"/>
    <w:rsid w:val="0047494D"/>
    <w:rsid w:val="00474CDD"/>
    <w:rsid w:val="0047528F"/>
    <w:rsid w:val="004753AB"/>
    <w:rsid w:val="00475550"/>
    <w:rsid w:val="004762EB"/>
    <w:rsid w:val="00476892"/>
    <w:rsid w:val="00477458"/>
    <w:rsid w:val="00477594"/>
    <w:rsid w:val="004807BE"/>
    <w:rsid w:val="00481AE9"/>
    <w:rsid w:val="00482084"/>
    <w:rsid w:val="0048345B"/>
    <w:rsid w:val="0048458A"/>
    <w:rsid w:val="00484790"/>
    <w:rsid w:val="004863D8"/>
    <w:rsid w:val="00486CFE"/>
    <w:rsid w:val="00490BD0"/>
    <w:rsid w:val="004917B9"/>
    <w:rsid w:val="0049185D"/>
    <w:rsid w:val="00493626"/>
    <w:rsid w:val="004936D2"/>
    <w:rsid w:val="004943A5"/>
    <w:rsid w:val="004946CC"/>
    <w:rsid w:val="0049512F"/>
    <w:rsid w:val="00495401"/>
    <w:rsid w:val="0049596E"/>
    <w:rsid w:val="00495F69"/>
    <w:rsid w:val="004A1D2F"/>
    <w:rsid w:val="004A2E2A"/>
    <w:rsid w:val="004A31A7"/>
    <w:rsid w:val="004A4D64"/>
    <w:rsid w:val="004A65E0"/>
    <w:rsid w:val="004A6618"/>
    <w:rsid w:val="004A7838"/>
    <w:rsid w:val="004B0EC6"/>
    <w:rsid w:val="004B1B7D"/>
    <w:rsid w:val="004B3334"/>
    <w:rsid w:val="004B4461"/>
    <w:rsid w:val="004B503E"/>
    <w:rsid w:val="004B5390"/>
    <w:rsid w:val="004B5DAB"/>
    <w:rsid w:val="004B6048"/>
    <w:rsid w:val="004B6273"/>
    <w:rsid w:val="004B6463"/>
    <w:rsid w:val="004B690E"/>
    <w:rsid w:val="004B6950"/>
    <w:rsid w:val="004B6EE9"/>
    <w:rsid w:val="004B6F92"/>
    <w:rsid w:val="004C0246"/>
    <w:rsid w:val="004C0B69"/>
    <w:rsid w:val="004C0BBA"/>
    <w:rsid w:val="004C0EA9"/>
    <w:rsid w:val="004C2985"/>
    <w:rsid w:val="004C3220"/>
    <w:rsid w:val="004C3514"/>
    <w:rsid w:val="004C3C01"/>
    <w:rsid w:val="004C4771"/>
    <w:rsid w:val="004C5AA7"/>
    <w:rsid w:val="004C5E20"/>
    <w:rsid w:val="004C6D4B"/>
    <w:rsid w:val="004C6FF6"/>
    <w:rsid w:val="004C77BA"/>
    <w:rsid w:val="004D0025"/>
    <w:rsid w:val="004D119D"/>
    <w:rsid w:val="004D1B94"/>
    <w:rsid w:val="004D2AB2"/>
    <w:rsid w:val="004D2F9D"/>
    <w:rsid w:val="004D3F11"/>
    <w:rsid w:val="004D4FCD"/>
    <w:rsid w:val="004D57D7"/>
    <w:rsid w:val="004D7A43"/>
    <w:rsid w:val="004E101D"/>
    <w:rsid w:val="004E1AC2"/>
    <w:rsid w:val="004E2E08"/>
    <w:rsid w:val="004E3093"/>
    <w:rsid w:val="004E499F"/>
    <w:rsid w:val="004E50BC"/>
    <w:rsid w:val="004E652A"/>
    <w:rsid w:val="004E6696"/>
    <w:rsid w:val="004E7FE5"/>
    <w:rsid w:val="004F0CBA"/>
    <w:rsid w:val="004F1129"/>
    <w:rsid w:val="004F197C"/>
    <w:rsid w:val="004F2865"/>
    <w:rsid w:val="004F3840"/>
    <w:rsid w:val="004F411B"/>
    <w:rsid w:val="004F41EF"/>
    <w:rsid w:val="004F4B97"/>
    <w:rsid w:val="004F4D93"/>
    <w:rsid w:val="004F5866"/>
    <w:rsid w:val="004F673C"/>
    <w:rsid w:val="004F75B1"/>
    <w:rsid w:val="0050084A"/>
    <w:rsid w:val="00500906"/>
    <w:rsid w:val="00500ABC"/>
    <w:rsid w:val="005016F1"/>
    <w:rsid w:val="0050187A"/>
    <w:rsid w:val="00501C33"/>
    <w:rsid w:val="005028F7"/>
    <w:rsid w:val="00503766"/>
    <w:rsid w:val="00503DF4"/>
    <w:rsid w:val="0050600B"/>
    <w:rsid w:val="00510AC0"/>
    <w:rsid w:val="00510D56"/>
    <w:rsid w:val="0051343B"/>
    <w:rsid w:val="0051403B"/>
    <w:rsid w:val="00514DAA"/>
    <w:rsid w:val="00515028"/>
    <w:rsid w:val="00515161"/>
    <w:rsid w:val="00517E80"/>
    <w:rsid w:val="00521591"/>
    <w:rsid w:val="005228A1"/>
    <w:rsid w:val="00522DCB"/>
    <w:rsid w:val="005238C6"/>
    <w:rsid w:val="00526E53"/>
    <w:rsid w:val="00526FBA"/>
    <w:rsid w:val="00527CD5"/>
    <w:rsid w:val="00530442"/>
    <w:rsid w:val="00531198"/>
    <w:rsid w:val="00531829"/>
    <w:rsid w:val="0053193D"/>
    <w:rsid w:val="00531A76"/>
    <w:rsid w:val="00531C79"/>
    <w:rsid w:val="00531F80"/>
    <w:rsid w:val="00532D68"/>
    <w:rsid w:val="005330B5"/>
    <w:rsid w:val="005333D3"/>
    <w:rsid w:val="00533B55"/>
    <w:rsid w:val="00534D95"/>
    <w:rsid w:val="00535D66"/>
    <w:rsid w:val="005366DB"/>
    <w:rsid w:val="005377CF"/>
    <w:rsid w:val="005408FA"/>
    <w:rsid w:val="00540D3E"/>
    <w:rsid w:val="0054120A"/>
    <w:rsid w:val="005416F9"/>
    <w:rsid w:val="005425AD"/>
    <w:rsid w:val="005425C3"/>
    <w:rsid w:val="00544265"/>
    <w:rsid w:val="005460DC"/>
    <w:rsid w:val="0054710D"/>
    <w:rsid w:val="00547DEA"/>
    <w:rsid w:val="00552265"/>
    <w:rsid w:val="00553452"/>
    <w:rsid w:val="00556B61"/>
    <w:rsid w:val="00556C55"/>
    <w:rsid w:val="005576F2"/>
    <w:rsid w:val="00560473"/>
    <w:rsid w:val="005605FF"/>
    <w:rsid w:val="00560B92"/>
    <w:rsid w:val="00560F60"/>
    <w:rsid w:val="00561CF1"/>
    <w:rsid w:val="00563891"/>
    <w:rsid w:val="00563A08"/>
    <w:rsid w:val="00564AD7"/>
    <w:rsid w:val="00566CC0"/>
    <w:rsid w:val="00567063"/>
    <w:rsid w:val="00567408"/>
    <w:rsid w:val="00567FE4"/>
    <w:rsid w:val="00570529"/>
    <w:rsid w:val="00570722"/>
    <w:rsid w:val="00572761"/>
    <w:rsid w:val="00572CB7"/>
    <w:rsid w:val="00572E52"/>
    <w:rsid w:val="00573E9A"/>
    <w:rsid w:val="005744A3"/>
    <w:rsid w:val="005746B7"/>
    <w:rsid w:val="005747A5"/>
    <w:rsid w:val="005747E0"/>
    <w:rsid w:val="00574B15"/>
    <w:rsid w:val="00574F71"/>
    <w:rsid w:val="00575021"/>
    <w:rsid w:val="0057519E"/>
    <w:rsid w:val="005762B6"/>
    <w:rsid w:val="0057658C"/>
    <w:rsid w:val="00577D02"/>
    <w:rsid w:val="0058019B"/>
    <w:rsid w:val="00580F56"/>
    <w:rsid w:val="00581A9B"/>
    <w:rsid w:val="00581E06"/>
    <w:rsid w:val="005820F8"/>
    <w:rsid w:val="005828B4"/>
    <w:rsid w:val="00583E8E"/>
    <w:rsid w:val="0058497D"/>
    <w:rsid w:val="00584FC0"/>
    <w:rsid w:val="005858D8"/>
    <w:rsid w:val="00586AD5"/>
    <w:rsid w:val="005875A1"/>
    <w:rsid w:val="00590108"/>
    <w:rsid w:val="0059163A"/>
    <w:rsid w:val="005922AB"/>
    <w:rsid w:val="0059343F"/>
    <w:rsid w:val="0059363A"/>
    <w:rsid w:val="0059428B"/>
    <w:rsid w:val="00596B19"/>
    <w:rsid w:val="00596C9B"/>
    <w:rsid w:val="005A2840"/>
    <w:rsid w:val="005A351D"/>
    <w:rsid w:val="005A3F42"/>
    <w:rsid w:val="005A4EB8"/>
    <w:rsid w:val="005A564C"/>
    <w:rsid w:val="005A7CDA"/>
    <w:rsid w:val="005B15FF"/>
    <w:rsid w:val="005B1A05"/>
    <w:rsid w:val="005B1EB6"/>
    <w:rsid w:val="005B3377"/>
    <w:rsid w:val="005B51B7"/>
    <w:rsid w:val="005B59B4"/>
    <w:rsid w:val="005B5E5B"/>
    <w:rsid w:val="005B71F8"/>
    <w:rsid w:val="005B7C22"/>
    <w:rsid w:val="005C0961"/>
    <w:rsid w:val="005C1E86"/>
    <w:rsid w:val="005C2226"/>
    <w:rsid w:val="005C3821"/>
    <w:rsid w:val="005C4BC9"/>
    <w:rsid w:val="005C516F"/>
    <w:rsid w:val="005C55BB"/>
    <w:rsid w:val="005C5E06"/>
    <w:rsid w:val="005C78F0"/>
    <w:rsid w:val="005D19F8"/>
    <w:rsid w:val="005D490A"/>
    <w:rsid w:val="005D5339"/>
    <w:rsid w:val="005D548C"/>
    <w:rsid w:val="005D54A4"/>
    <w:rsid w:val="005D74F2"/>
    <w:rsid w:val="005E0BBF"/>
    <w:rsid w:val="005E1DAD"/>
    <w:rsid w:val="005E20DD"/>
    <w:rsid w:val="005E2A2E"/>
    <w:rsid w:val="005E2EC2"/>
    <w:rsid w:val="005E4E29"/>
    <w:rsid w:val="005E5AD0"/>
    <w:rsid w:val="005E6FED"/>
    <w:rsid w:val="005E70E8"/>
    <w:rsid w:val="005E7A64"/>
    <w:rsid w:val="005E7C8B"/>
    <w:rsid w:val="005F042D"/>
    <w:rsid w:val="005F1E50"/>
    <w:rsid w:val="005F2040"/>
    <w:rsid w:val="005F2A0C"/>
    <w:rsid w:val="005F2B31"/>
    <w:rsid w:val="005F2D9D"/>
    <w:rsid w:val="005F31D8"/>
    <w:rsid w:val="005F3EEF"/>
    <w:rsid w:val="005F43BC"/>
    <w:rsid w:val="005F44D0"/>
    <w:rsid w:val="005F53AE"/>
    <w:rsid w:val="005F5810"/>
    <w:rsid w:val="005F64C6"/>
    <w:rsid w:val="005F677E"/>
    <w:rsid w:val="005F6850"/>
    <w:rsid w:val="00600202"/>
    <w:rsid w:val="00600F53"/>
    <w:rsid w:val="006029BA"/>
    <w:rsid w:val="00604782"/>
    <w:rsid w:val="00606117"/>
    <w:rsid w:val="00606819"/>
    <w:rsid w:val="00606A8D"/>
    <w:rsid w:val="00606B7D"/>
    <w:rsid w:val="006076ED"/>
    <w:rsid w:val="00607F1D"/>
    <w:rsid w:val="00610908"/>
    <w:rsid w:val="00611A3E"/>
    <w:rsid w:val="0061243B"/>
    <w:rsid w:val="00612C9A"/>
    <w:rsid w:val="00612E4C"/>
    <w:rsid w:val="006148B7"/>
    <w:rsid w:val="00614C52"/>
    <w:rsid w:val="006165ED"/>
    <w:rsid w:val="006178B3"/>
    <w:rsid w:val="00621D6C"/>
    <w:rsid w:val="00622034"/>
    <w:rsid w:val="006224C7"/>
    <w:rsid w:val="00622E79"/>
    <w:rsid w:val="00624AEE"/>
    <w:rsid w:val="006301BD"/>
    <w:rsid w:val="006311FD"/>
    <w:rsid w:val="006313FB"/>
    <w:rsid w:val="006326FF"/>
    <w:rsid w:val="00632915"/>
    <w:rsid w:val="00632AF0"/>
    <w:rsid w:val="00634058"/>
    <w:rsid w:val="006341BD"/>
    <w:rsid w:val="00636067"/>
    <w:rsid w:val="006369FB"/>
    <w:rsid w:val="00636CD2"/>
    <w:rsid w:val="0063707D"/>
    <w:rsid w:val="006409D0"/>
    <w:rsid w:val="0064214E"/>
    <w:rsid w:val="00642A8E"/>
    <w:rsid w:val="0064354E"/>
    <w:rsid w:val="00644BD9"/>
    <w:rsid w:val="00645691"/>
    <w:rsid w:val="00646EB1"/>
    <w:rsid w:val="00647407"/>
    <w:rsid w:val="006522A6"/>
    <w:rsid w:val="006525E9"/>
    <w:rsid w:val="006533FA"/>
    <w:rsid w:val="0065369D"/>
    <w:rsid w:val="006548A6"/>
    <w:rsid w:val="006557E6"/>
    <w:rsid w:val="00655F4C"/>
    <w:rsid w:val="00656621"/>
    <w:rsid w:val="00656AAF"/>
    <w:rsid w:val="00657074"/>
    <w:rsid w:val="0066065B"/>
    <w:rsid w:val="00660E0E"/>
    <w:rsid w:val="006610A2"/>
    <w:rsid w:val="00661662"/>
    <w:rsid w:val="00661A12"/>
    <w:rsid w:val="00662130"/>
    <w:rsid w:val="00662DAB"/>
    <w:rsid w:val="00663229"/>
    <w:rsid w:val="00663ED0"/>
    <w:rsid w:val="0066594B"/>
    <w:rsid w:val="00665AD6"/>
    <w:rsid w:val="006662F6"/>
    <w:rsid w:val="00666BCC"/>
    <w:rsid w:val="00670431"/>
    <w:rsid w:val="00671024"/>
    <w:rsid w:val="00674C3F"/>
    <w:rsid w:val="0067533E"/>
    <w:rsid w:val="00675C3F"/>
    <w:rsid w:val="00675E73"/>
    <w:rsid w:val="0067672C"/>
    <w:rsid w:val="006775D1"/>
    <w:rsid w:val="0068018C"/>
    <w:rsid w:val="00683F8B"/>
    <w:rsid w:val="00684F95"/>
    <w:rsid w:val="00684FDA"/>
    <w:rsid w:val="006860B1"/>
    <w:rsid w:val="00686744"/>
    <w:rsid w:val="006876B1"/>
    <w:rsid w:val="00687E8A"/>
    <w:rsid w:val="00690284"/>
    <w:rsid w:val="00690503"/>
    <w:rsid w:val="00690D80"/>
    <w:rsid w:val="0069112B"/>
    <w:rsid w:val="00691DE8"/>
    <w:rsid w:val="006946B9"/>
    <w:rsid w:val="006956D4"/>
    <w:rsid w:val="00696433"/>
    <w:rsid w:val="0069649C"/>
    <w:rsid w:val="006969CD"/>
    <w:rsid w:val="00696C2F"/>
    <w:rsid w:val="006974D2"/>
    <w:rsid w:val="00697825"/>
    <w:rsid w:val="006A1679"/>
    <w:rsid w:val="006A1684"/>
    <w:rsid w:val="006A3A33"/>
    <w:rsid w:val="006A3ADA"/>
    <w:rsid w:val="006A552B"/>
    <w:rsid w:val="006A6140"/>
    <w:rsid w:val="006A6D50"/>
    <w:rsid w:val="006A6EE0"/>
    <w:rsid w:val="006B0F5B"/>
    <w:rsid w:val="006B1482"/>
    <w:rsid w:val="006B3125"/>
    <w:rsid w:val="006B44F8"/>
    <w:rsid w:val="006B50EE"/>
    <w:rsid w:val="006B5523"/>
    <w:rsid w:val="006B5DA5"/>
    <w:rsid w:val="006B687F"/>
    <w:rsid w:val="006C0008"/>
    <w:rsid w:val="006C13AB"/>
    <w:rsid w:val="006C152F"/>
    <w:rsid w:val="006C2320"/>
    <w:rsid w:val="006C2338"/>
    <w:rsid w:val="006C2390"/>
    <w:rsid w:val="006C2E1A"/>
    <w:rsid w:val="006C368A"/>
    <w:rsid w:val="006C3ABD"/>
    <w:rsid w:val="006C3B87"/>
    <w:rsid w:val="006C436F"/>
    <w:rsid w:val="006C4A59"/>
    <w:rsid w:val="006C60FE"/>
    <w:rsid w:val="006C6190"/>
    <w:rsid w:val="006C62D7"/>
    <w:rsid w:val="006C66E5"/>
    <w:rsid w:val="006C68B0"/>
    <w:rsid w:val="006D0211"/>
    <w:rsid w:val="006D23A2"/>
    <w:rsid w:val="006D2E03"/>
    <w:rsid w:val="006D37DD"/>
    <w:rsid w:val="006D61F9"/>
    <w:rsid w:val="006D635A"/>
    <w:rsid w:val="006D6802"/>
    <w:rsid w:val="006D6A34"/>
    <w:rsid w:val="006D7044"/>
    <w:rsid w:val="006D739F"/>
    <w:rsid w:val="006D7ACE"/>
    <w:rsid w:val="006D7C69"/>
    <w:rsid w:val="006D7E69"/>
    <w:rsid w:val="006E00F2"/>
    <w:rsid w:val="006E020A"/>
    <w:rsid w:val="006E02C9"/>
    <w:rsid w:val="006E0B61"/>
    <w:rsid w:val="006E0EF2"/>
    <w:rsid w:val="006E1DD3"/>
    <w:rsid w:val="006E3097"/>
    <w:rsid w:val="006E358B"/>
    <w:rsid w:val="006E3BAE"/>
    <w:rsid w:val="006E4939"/>
    <w:rsid w:val="006E65CC"/>
    <w:rsid w:val="006E6E04"/>
    <w:rsid w:val="006F009D"/>
    <w:rsid w:val="006F1299"/>
    <w:rsid w:val="006F2DE5"/>
    <w:rsid w:val="006F31BC"/>
    <w:rsid w:val="006F3BC1"/>
    <w:rsid w:val="006F5D1D"/>
    <w:rsid w:val="006F5D4C"/>
    <w:rsid w:val="006F6617"/>
    <w:rsid w:val="006F6C48"/>
    <w:rsid w:val="006F6E68"/>
    <w:rsid w:val="006F6FD0"/>
    <w:rsid w:val="006F7AD1"/>
    <w:rsid w:val="00701B2D"/>
    <w:rsid w:val="0070383A"/>
    <w:rsid w:val="007045D4"/>
    <w:rsid w:val="00705180"/>
    <w:rsid w:val="00706B16"/>
    <w:rsid w:val="007071FB"/>
    <w:rsid w:val="00707641"/>
    <w:rsid w:val="0071051B"/>
    <w:rsid w:val="007112CF"/>
    <w:rsid w:val="00712679"/>
    <w:rsid w:val="00715AE6"/>
    <w:rsid w:val="00716A8B"/>
    <w:rsid w:val="00716BBC"/>
    <w:rsid w:val="00717273"/>
    <w:rsid w:val="007172F3"/>
    <w:rsid w:val="00717606"/>
    <w:rsid w:val="00717DF7"/>
    <w:rsid w:val="00717FA1"/>
    <w:rsid w:val="00721ADE"/>
    <w:rsid w:val="00721FBC"/>
    <w:rsid w:val="0072255A"/>
    <w:rsid w:val="007264A8"/>
    <w:rsid w:val="00726A22"/>
    <w:rsid w:val="00727CE6"/>
    <w:rsid w:val="007317AC"/>
    <w:rsid w:val="0073261C"/>
    <w:rsid w:val="0073442A"/>
    <w:rsid w:val="00734708"/>
    <w:rsid w:val="00734F49"/>
    <w:rsid w:val="00735554"/>
    <w:rsid w:val="007358AD"/>
    <w:rsid w:val="00737187"/>
    <w:rsid w:val="00737CE9"/>
    <w:rsid w:val="007401A6"/>
    <w:rsid w:val="00741163"/>
    <w:rsid w:val="00741826"/>
    <w:rsid w:val="00741CFE"/>
    <w:rsid w:val="00741F87"/>
    <w:rsid w:val="007429EB"/>
    <w:rsid w:val="00742B1C"/>
    <w:rsid w:val="00742BC6"/>
    <w:rsid w:val="0074355B"/>
    <w:rsid w:val="00743FA5"/>
    <w:rsid w:val="007449DB"/>
    <w:rsid w:val="007460BE"/>
    <w:rsid w:val="00746B23"/>
    <w:rsid w:val="00747BBB"/>
    <w:rsid w:val="00750E23"/>
    <w:rsid w:val="00751C34"/>
    <w:rsid w:val="0075225A"/>
    <w:rsid w:val="00752652"/>
    <w:rsid w:val="007526C3"/>
    <w:rsid w:val="007528F0"/>
    <w:rsid w:val="00752B9A"/>
    <w:rsid w:val="00753010"/>
    <w:rsid w:val="00755378"/>
    <w:rsid w:val="00755510"/>
    <w:rsid w:val="007563E4"/>
    <w:rsid w:val="00756803"/>
    <w:rsid w:val="00756915"/>
    <w:rsid w:val="007572DF"/>
    <w:rsid w:val="007605FD"/>
    <w:rsid w:val="00761338"/>
    <w:rsid w:val="00761D55"/>
    <w:rsid w:val="00764815"/>
    <w:rsid w:val="00764C02"/>
    <w:rsid w:val="00765FAE"/>
    <w:rsid w:val="00765FFA"/>
    <w:rsid w:val="0076620A"/>
    <w:rsid w:val="00766426"/>
    <w:rsid w:val="00766568"/>
    <w:rsid w:val="00766EAE"/>
    <w:rsid w:val="00767720"/>
    <w:rsid w:val="00767902"/>
    <w:rsid w:val="00767F89"/>
    <w:rsid w:val="00771014"/>
    <w:rsid w:val="0077120C"/>
    <w:rsid w:val="00771975"/>
    <w:rsid w:val="00773331"/>
    <w:rsid w:val="00774A0A"/>
    <w:rsid w:val="00775145"/>
    <w:rsid w:val="00776402"/>
    <w:rsid w:val="00776EBA"/>
    <w:rsid w:val="007775C5"/>
    <w:rsid w:val="00777999"/>
    <w:rsid w:val="00777DAF"/>
    <w:rsid w:val="007809DF"/>
    <w:rsid w:val="00781729"/>
    <w:rsid w:val="0078182E"/>
    <w:rsid w:val="0078191D"/>
    <w:rsid w:val="007819CE"/>
    <w:rsid w:val="0078272D"/>
    <w:rsid w:val="0078295F"/>
    <w:rsid w:val="0078340C"/>
    <w:rsid w:val="00784016"/>
    <w:rsid w:val="00785F98"/>
    <w:rsid w:val="0078621B"/>
    <w:rsid w:val="00787431"/>
    <w:rsid w:val="00787978"/>
    <w:rsid w:val="0079112F"/>
    <w:rsid w:val="0079289A"/>
    <w:rsid w:val="00792B6D"/>
    <w:rsid w:val="007932EF"/>
    <w:rsid w:val="00793381"/>
    <w:rsid w:val="00793E80"/>
    <w:rsid w:val="00794F32"/>
    <w:rsid w:val="00796119"/>
    <w:rsid w:val="00796547"/>
    <w:rsid w:val="00796668"/>
    <w:rsid w:val="0079688D"/>
    <w:rsid w:val="007A0571"/>
    <w:rsid w:val="007A0652"/>
    <w:rsid w:val="007A085A"/>
    <w:rsid w:val="007A115E"/>
    <w:rsid w:val="007A19A6"/>
    <w:rsid w:val="007A556E"/>
    <w:rsid w:val="007A6A0F"/>
    <w:rsid w:val="007A6A63"/>
    <w:rsid w:val="007A7908"/>
    <w:rsid w:val="007A7B43"/>
    <w:rsid w:val="007A7DED"/>
    <w:rsid w:val="007A7EC2"/>
    <w:rsid w:val="007B0584"/>
    <w:rsid w:val="007B079C"/>
    <w:rsid w:val="007B0F04"/>
    <w:rsid w:val="007B1023"/>
    <w:rsid w:val="007B18AA"/>
    <w:rsid w:val="007B2AC6"/>
    <w:rsid w:val="007B35B1"/>
    <w:rsid w:val="007B3C36"/>
    <w:rsid w:val="007B3E71"/>
    <w:rsid w:val="007B4203"/>
    <w:rsid w:val="007B5D8A"/>
    <w:rsid w:val="007B6A17"/>
    <w:rsid w:val="007C0C3D"/>
    <w:rsid w:val="007C1BC7"/>
    <w:rsid w:val="007C37EA"/>
    <w:rsid w:val="007C3DA5"/>
    <w:rsid w:val="007C4D00"/>
    <w:rsid w:val="007C51D2"/>
    <w:rsid w:val="007C52B7"/>
    <w:rsid w:val="007C573A"/>
    <w:rsid w:val="007C6AF5"/>
    <w:rsid w:val="007C760A"/>
    <w:rsid w:val="007D1D12"/>
    <w:rsid w:val="007D22D8"/>
    <w:rsid w:val="007D237B"/>
    <w:rsid w:val="007D24F4"/>
    <w:rsid w:val="007D3441"/>
    <w:rsid w:val="007D35E7"/>
    <w:rsid w:val="007D3DA5"/>
    <w:rsid w:val="007D3FE2"/>
    <w:rsid w:val="007D4314"/>
    <w:rsid w:val="007D5381"/>
    <w:rsid w:val="007E05B0"/>
    <w:rsid w:val="007E07BE"/>
    <w:rsid w:val="007E0981"/>
    <w:rsid w:val="007E1654"/>
    <w:rsid w:val="007E1D0E"/>
    <w:rsid w:val="007E3F98"/>
    <w:rsid w:val="007E4FEE"/>
    <w:rsid w:val="007E5350"/>
    <w:rsid w:val="007E59BD"/>
    <w:rsid w:val="007E5B15"/>
    <w:rsid w:val="007E5E79"/>
    <w:rsid w:val="007E6BE9"/>
    <w:rsid w:val="007E6C6D"/>
    <w:rsid w:val="007E7EB1"/>
    <w:rsid w:val="007F04E1"/>
    <w:rsid w:val="007F0DDB"/>
    <w:rsid w:val="007F20E1"/>
    <w:rsid w:val="007F2D7C"/>
    <w:rsid w:val="007F2DC9"/>
    <w:rsid w:val="007F3A81"/>
    <w:rsid w:val="007F485C"/>
    <w:rsid w:val="007F4AA1"/>
    <w:rsid w:val="007F5C19"/>
    <w:rsid w:val="007F60C0"/>
    <w:rsid w:val="007F6A2E"/>
    <w:rsid w:val="007F7675"/>
    <w:rsid w:val="007F7C2E"/>
    <w:rsid w:val="00800FF7"/>
    <w:rsid w:val="00801C44"/>
    <w:rsid w:val="008026B2"/>
    <w:rsid w:val="008027AE"/>
    <w:rsid w:val="00803B9C"/>
    <w:rsid w:val="00806449"/>
    <w:rsid w:val="00806596"/>
    <w:rsid w:val="008068E7"/>
    <w:rsid w:val="00806E4C"/>
    <w:rsid w:val="0080710F"/>
    <w:rsid w:val="00810EC7"/>
    <w:rsid w:val="00811103"/>
    <w:rsid w:val="00811662"/>
    <w:rsid w:val="008118FD"/>
    <w:rsid w:val="00811FBA"/>
    <w:rsid w:val="00814B6A"/>
    <w:rsid w:val="00814EA4"/>
    <w:rsid w:val="0081549C"/>
    <w:rsid w:val="00815572"/>
    <w:rsid w:val="008165E4"/>
    <w:rsid w:val="00821441"/>
    <w:rsid w:val="00822254"/>
    <w:rsid w:val="0082447A"/>
    <w:rsid w:val="00825276"/>
    <w:rsid w:val="00826CAC"/>
    <w:rsid w:val="00826F2A"/>
    <w:rsid w:val="00827CE3"/>
    <w:rsid w:val="008305F8"/>
    <w:rsid w:val="0083113C"/>
    <w:rsid w:val="0083159C"/>
    <w:rsid w:val="00832A76"/>
    <w:rsid w:val="00832C15"/>
    <w:rsid w:val="00832FFC"/>
    <w:rsid w:val="008344FE"/>
    <w:rsid w:val="008350B9"/>
    <w:rsid w:val="00840315"/>
    <w:rsid w:val="0084257A"/>
    <w:rsid w:val="00842B51"/>
    <w:rsid w:val="00842B6F"/>
    <w:rsid w:val="0084375F"/>
    <w:rsid w:val="00843B49"/>
    <w:rsid w:val="00845479"/>
    <w:rsid w:val="0084672C"/>
    <w:rsid w:val="00847CB4"/>
    <w:rsid w:val="0085086E"/>
    <w:rsid w:val="00851B5D"/>
    <w:rsid w:val="008526E4"/>
    <w:rsid w:val="00852A95"/>
    <w:rsid w:val="0085775F"/>
    <w:rsid w:val="00857CB2"/>
    <w:rsid w:val="008601E9"/>
    <w:rsid w:val="00862547"/>
    <w:rsid w:val="00863454"/>
    <w:rsid w:val="00863C69"/>
    <w:rsid w:val="00863C6A"/>
    <w:rsid w:val="008643B7"/>
    <w:rsid w:val="008655F7"/>
    <w:rsid w:val="0086598C"/>
    <w:rsid w:val="0087097C"/>
    <w:rsid w:val="00871F40"/>
    <w:rsid w:val="00873E65"/>
    <w:rsid w:val="008744A8"/>
    <w:rsid w:val="00874D22"/>
    <w:rsid w:val="00875040"/>
    <w:rsid w:val="0087626D"/>
    <w:rsid w:val="0087667B"/>
    <w:rsid w:val="00876D78"/>
    <w:rsid w:val="0087705D"/>
    <w:rsid w:val="008805C6"/>
    <w:rsid w:val="00881A40"/>
    <w:rsid w:val="008821FE"/>
    <w:rsid w:val="00882F92"/>
    <w:rsid w:val="008830FC"/>
    <w:rsid w:val="008838D1"/>
    <w:rsid w:val="00884252"/>
    <w:rsid w:val="008848ED"/>
    <w:rsid w:val="00885DA6"/>
    <w:rsid w:val="0088745F"/>
    <w:rsid w:val="00887C64"/>
    <w:rsid w:val="00890B9D"/>
    <w:rsid w:val="00891BE2"/>
    <w:rsid w:val="00893813"/>
    <w:rsid w:val="00893F9E"/>
    <w:rsid w:val="00894786"/>
    <w:rsid w:val="00894F77"/>
    <w:rsid w:val="008952FE"/>
    <w:rsid w:val="008A05A8"/>
    <w:rsid w:val="008A07C5"/>
    <w:rsid w:val="008A09CB"/>
    <w:rsid w:val="008A09FA"/>
    <w:rsid w:val="008A2914"/>
    <w:rsid w:val="008A63D4"/>
    <w:rsid w:val="008A731C"/>
    <w:rsid w:val="008B09C4"/>
    <w:rsid w:val="008B0F6A"/>
    <w:rsid w:val="008B0FCD"/>
    <w:rsid w:val="008B15BF"/>
    <w:rsid w:val="008B1BE2"/>
    <w:rsid w:val="008B1E7F"/>
    <w:rsid w:val="008B2F61"/>
    <w:rsid w:val="008B3716"/>
    <w:rsid w:val="008B399F"/>
    <w:rsid w:val="008B4DAF"/>
    <w:rsid w:val="008B537F"/>
    <w:rsid w:val="008B6879"/>
    <w:rsid w:val="008B6E52"/>
    <w:rsid w:val="008C0253"/>
    <w:rsid w:val="008C08E1"/>
    <w:rsid w:val="008C13CB"/>
    <w:rsid w:val="008C16BA"/>
    <w:rsid w:val="008C18F5"/>
    <w:rsid w:val="008C1F78"/>
    <w:rsid w:val="008C2378"/>
    <w:rsid w:val="008C2688"/>
    <w:rsid w:val="008C3A05"/>
    <w:rsid w:val="008C4677"/>
    <w:rsid w:val="008C4B1F"/>
    <w:rsid w:val="008C4C62"/>
    <w:rsid w:val="008C53BF"/>
    <w:rsid w:val="008C5ADF"/>
    <w:rsid w:val="008C6A4F"/>
    <w:rsid w:val="008C71DB"/>
    <w:rsid w:val="008D02AB"/>
    <w:rsid w:val="008D130B"/>
    <w:rsid w:val="008D22C5"/>
    <w:rsid w:val="008D2C58"/>
    <w:rsid w:val="008D2F3C"/>
    <w:rsid w:val="008D3945"/>
    <w:rsid w:val="008D3A51"/>
    <w:rsid w:val="008D3AA7"/>
    <w:rsid w:val="008D3C28"/>
    <w:rsid w:val="008D3C9B"/>
    <w:rsid w:val="008D441B"/>
    <w:rsid w:val="008D4A54"/>
    <w:rsid w:val="008D4A75"/>
    <w:rsid w:val="008E12C0"/>
    <w:rsid w:val="008E32E9"/>
    <w:rsid w:val="008E33FD"/>
    <w:rsid w:val="008E3B0D"/>
    <w:rsid w:val="008E4230"/>
    <w:rsid w:val="008E4D8E"/>
    <w:rsid w:val="008E52F9"/>
    <w:rsid w:val="008E7785"/>
    <w:rsid w:val="008E7DD4"/>
    <w:rsid w:val="008F0686"/>
    <w:rsid w:val="008F2AC3"/>
    <w:rsid w:val="008F3EA6"/>
    <w:rsid w:val="008F4F9C"/>
    <w:rsid w:val="00900BBD"/>
    <w:rsid w:val="00901448"/>
    <w:rsid w:val="009017E1"/>
    <w:rsid w:val="00901A04"/>
    <w:rsid w:val="00901BF0"/>
    <w:rsid w:val="00901C68"/>
    <w:rsid w:val="00901E2D"/>
    <w:rsid w:val="0090289B"/>
    <w:rsid w:val="00905647"/>
    <w:rsid w:val="009058C9"/>
    <w:rsid w:val="00911AF5"/>
    <w:rsid w:val="0091240A"/>
    <w:rsid w:val="00912C59"/>
    <w:rsid w:val="00913E50"/>
    <w:rsid w:val="00915253"/>
    <w:rsid w:val="00916988"/>
    <w:rsid w:val="00920572"/>
    <w:rsid w:val="00920800"/>
    <w:rsid w:val="00920C0F"/>
    <w:rsid w:val="00922D0C"/>
    <w:rsid w:val="009234B1"/>
    <w:rsid w:val="009236C3"/>
    <w:rsid w:val="00923B41"/>
    <w:rsid w:val="009249FA"/>
    <w:rsid w:val="00925F52"/>
    <w:rsid w:val="00926486"/>
    <w:rsid w:val="00931B5D"/>
    <w:rsid w:val="009337C2"/>
    <w:rsid w:val="00933FDD"/>
    <w:rsid w:val="00935670"/>
    <w:rsid w:val="00935889"/>
    <w:rsid w:val="0093634F"/>
    <w:rsid w:val="00936994"/>
    <w:rsid w:val="00937734"/>
    <w:rsid w:val="00937B39"/>
    <w:rsid w:val="00937CE9"/>
    <w:rsid w:val="00940E18"/>
    <w:rsid w:val="0094103F"/>
    <w:rsid w:val="00941238"/>
    <w:rsid w:val="0094140C"/>
    <w:rsid w:val="00942166"/>
    <w:rsid w:val="0094226E"/>
    <w:rsid w:val="00943036"/>
    <w:rsid w:val="00943B04"/>
    <w:rsid w:val="00945A17"/>
    <w:rsid w:val="00945FC6"/>
    <w:rsid w:val="00946167"/>
    <w:rsid w:val="00947727"/>
    <w:rsid w:val="00947D6E"/>
    <w:rsid w:val="00950575"/>
    <w:rsid w:val="009509BB"/>
    <w:rsid w:val="009524F0"/>
    <w:rsid w:val="0095365E"/>
    <w:rsid w:val="009556F7"/>
    <w:rsid w:val="00955F54"/>
    <w:rsid w:val="00956826"/>
    <w:rsid w:val="009616D2"/>
    <w:rsid w:val="00961C7C"/>
    <w:rsid w:val="00963C47"/>
    <w:rsid w:val="00964BFB"/>
    <w:rsid w:val="00965055"/>
    <w:rsid w:val="00966256"/>
    <w:rsid w:val="009675E7"/>
    <w:rsid w:val="00967D58"/>
    <w:rsid w:val="00967F60"/>
    <w:rsid w:val="00971834"/>
    <w:rsid w:val="00974E63"/>
    <w:rsid w:val="009754C1"/>
    <w:rsid w:val="009754E8"/>
    <w:rsid w:val="009756C4"/>
    <w:rsid w:val="00976227"/>
    <w:rsid w:val="00977505"/>
    <w:rsid w:val="009779CB"/>
    <w:rsid w:val="00977C4B"/>
    <w:rsid w:val="00980C41"/>
    <w:rsid w:val="00981878"/>
    <w:rsid w:val="00981C7D"/>
    <w:rsid w:val="00983114"/>
    <w:rsid w:val="0098332E"/>
    <w:rsid w:val="009850CC"/>
    <w:rsid w:val="009857C9"/>
    <w:rsid w:val="00986A1B"/>
    <w:rsid w:val="00986B9F"/>
    <w:rsid w:val="00987308"/>
    <w:rsid w:val="00987501"/>
    <w:rsid w:val="009879D0"/>
    <w:rsid w:val="00990F65"/>
    <w:rsid w:val="00991C2A"/>
    <w:rsid w:val="00992490"/>
    <w:rsid w:val="0099330A"/>
    <w:rsid w:val="0099491D"/>
    <w:rsid w:val="009949FD"/>
    <w:rsid w:val="00994CA8"/>
    <w:rsid w:val="009957FC"/>
    <w:rsid w:val="00996327"/>
    <w:rsid w:val="00996CAC"/>
    <w:rsid w:val="00997B9F"/>
    <w:rsid w:val="009A09EA"/>
    <w:rsid w:val="009A2758"/>
    <w:rsid w:val="009A32EE"/>
    <w:rsid w:val="009A369A"/>
    <w:rsid w:val="009A3AF1"/>
    <w:rsid w:val="009A3F62"/>
    <w:rsid w:val="009A3F81"/>
    <w:rsid w:val="009A477F"/>
    <w:rsid w:val="009A5DC8"/>
    <w:rsid w:val="009A715A"/>
    <w:rsid w:val="009B0256"/>
    <w:rsid w:val="009B033D"/>
    <w:rsid w:val="009B1121"/>
    <w:rsid w:val="009B12D8"/>
    <w:rsid w:val="009B3226"/>
    <w:rsid w:val="009B4217"/>
    <w:rsid w:val="009B43E4"/>
    <w:rsid w:val="009B4E1A"/>
    <w:rsid w:val="009B5893"/>
    <w:rsid w:val="009B595D"/>
    <w:rsid w:val="009B5F2F"/>
    <w:rsid w:val="009B5F4A"/>
    <w:rsid w:val="009B6765"/>
    <w:rsid w:val="009B6CA5"/>
    <w:rsid w:val="009C0264"/>
    <w:rsid w:val="009C0E9E"/>
    <w:rsid w:val="009C2250"/>
    <w:rsid w:val="009C29BF"/>
    <w:rsid w:val="009C459C"/>
    <w:rsid w:val="009C4947"/>
    <w:rsid w:val="009C4B9C"/>
    <w:rsid w:val="009C6FEF"/>
    <w:rsid w:val="009D15A5"/>
    <w:rsid w:val="009D1D4C"/>
    <w:rsid w:val="009D220E"/>
    <w:rsid w:val="009D2763"/>
    <w:rsid w:val="009D2A80"/>
    <w:rsid w:val="009D2BC5"/>
    <w:rsid w:val="009D2C89"/>
    <w:rsid w:val="009D2E07"/>
    <w:rsid w:val="009D35ED"/>
    <w:rsid w:val="009D3832"/>
    <w:rsid w:val="009D464F"/>
    <w:rsid w:val="009D56C9"/>
    <w:rsid w:val="009D71CC"/>
    <w:rsid w:val="009D7552"/>
    <w:rsid w:val="009E0351"/>
    <w:rsid w:val="009E05F7"/>
    <w:rsid w:val="009E28A8"/>
    <w:rsid w:val="009E3134"/>
    <w:rsid w:val="009E3FA0"/>
    <w:rsid w:val="009E45B6"/>
    <w:rsid w:val="009E667B"/>
    <w:rsid w:val="009F0C65"/>
    <w:rsid w:val="009F1CC0"/>
    <w:rsid w:val="009F28FE"/>
    <w:rsid w:val="009F2B28"/>
    <w:rsid w:val="009F459E"/>
    <w:rsid w:val="009F45FE"/>
    <w:rsid w:val="009F53C1"/>
    <w:rsid w:val="009F59F5"/>
    <w:rsid w:val="009F65BD"/>
    <w:rsid w:val="009F70B1"/>
    <w:rsid w:val="009F7B21"/>
    <w:rsid w:val="009F7E58"/>
    <w:rsid w:val="00A00C6C"/>
    <w:rsid w:val="00A01592"/>
    <w:rsid w:val="00A04A59"/>
    <w:rsid w:val="00A05F6C"/>
    <w:rsid w:val="00A06DAF"/>
    <w:rsid w:val="00A10576"/>
    <w:rsid w:val="00A10CFF"/>
    <w:rsid w:val="00A10F6B"/>
    <w:rsid w:val="00A116AB"/>
    <w:rsid w:val="00A11ABA"/>
    <w:rsid w:val="00A12701"/>
    <w:rsid w:val="00A12AE8"/>
    <w:rsid w:val="00A13548"/>
    <w:rsid w:val="00A13E42"/>
    <w:rsid w:val="00A1478D"/>
    <w:rsid w:val="00A15246"/>
    <w:rsid w:val="00A15558"/>
    <w:rsid w:val="00A16C46"/>
    <w:rsid w:val="00A17A49"/>
    <w:rsid w:val="00A17F80"/>
    <w:rsid w:val="00A222D0"/>
    <w:rsid w:val="00A227BE"/>
    <w:rsid w:val="00A23CFF"/>
    <w:rsid w:val="00A24077"/>
    <w:rsid w:val="00A240FA"/>
    <w:rsid w:val="00A24462"/>
    <w:rsid w:val="00A24CAE"/>
    <w:rsid w:val="00A26099"/>
    <w:rsid w:val="00A26293"/>
    <w:rsid w:val="00A26766"/>
    <w:rsid w:val="00A26BDE"/>
    <w:rsid w:val="00A272EB"/>
    <w:rsid w:val="00A27D97"/>
    <w:rsid w:val="00A27F25"/>
    <w:rsid w:val="00A30663"/>
    <w:rsid w:val="00A30ECE"/>
    <w:rsid w:val="00A3373B"/>
    <w:rsid w:val="00A33E47"/>
    <w:rsid w:val="00A3476B"/>
    <w:rsid w:val="00A349A0"/>
    <w:rsid w:val="00A34CE0"/>
    <w:rsid w:val="00A35723"/>
    <w:rsid w:val="00A36CD7"/>
    <w:rsid w:val="00A3744D"/>
    <w:rsid w:val="00A4032B"/>
    <w:rsid w:val="00A40658"/>
    <w:rsid w:val="00A41FD1"/>
    <w:rsid w:val="00A44FAC"/>
    <w:rsid w:val="00A451CB"/>
    <w:rsid w:val="00A45C36"/>
    <w:rsid w:val="00A4649F"/>
    <w:rsid w:val="00A478F8"/>
    <w:rsid w:val="00A5097D"/>
    <w:rsid w:val="00A509A8"/>
    <w:rsid w:val="00A514A3"/>
    <w:rsid w:val="00A52E11"/>
    <w:rsid w:val="00A537BB"/>
    <w:rsid w:val="00A53EB2"/>
    <w:rsid w:val="00A53FEC"/>
    <w:rsid w:val="00A54DD4"/>
    <w:rsid w:val="00A54E0B"/>
    <w:rsid w:val="00A558FB"/>
    <w:rsid w:val="00A56267"/>
    <w:rsid w:val="00A603D6"/>
    <w:rsid w:val="00A616B6"/>
    <w:rsid w:val="00A61814"/>
    <w:rsid w:val="00A61915"/>
    <w:rsid w:val="00A61A13"/>
    <w:rsid w:val="00A61D99"/>
    <w:rsid w:val="00A62DC2"/>
    <w:rsid w:val="00A63039"/>
    <w:rsid w:val="00A6312E"/>
    <w:rsid w:val="00A63467"/>
    <w:rsid w:val="00A6403E"/>
    <w:rsid w:val="00A6451F"/>
    <w:rsid w:val="00A65148"/>
    <w:rsid w:val="00A65974"/>
    <w:rsid w:val="00A67AB5"/>
    <w:rsid w:val="00A67BF9"/>
    <w:rsid w:val="00A71750"/>
    <w:rsid w:val="00A718EC"/>
    <w:rsid w:val="00A736A6"/>
    <w:rsid w:val="00A73E88"/>
    <w:rsid w:val="00A76B2C"/>
    <w:rsid w:val="00A772F5"/>
    <w:rsid w:val="00A80AFD"/>
    <w:rsid w:val="00A80C8C"/>
    <w:rsid w:val="00A81070"/>
    <w:rsid w:val="00A810EF"/>
    <w:rsid w:val="00A830E2"/>
    <w:rsid w:val="00A83A56"/>
    <w:rsid w:val="00A84DA4"/>
    <w:rsid w:val="00A85947"/>
    <w:rsid w:val="00A85CE9"/>
    <w:rsid w:val="00A90DFF"/>
    <w:rsid w:val="00A91922"/>
    <w:rsid w:val="00A94E39"/>
    <w:rsid w:val="00A94FFE"/>
    <w:rsid w:val="00A9503B"/>
    <w:rsid w:val="00A97631"/>
    <w:rsid w:val="00AA21C4"/>
    <w:rsid w:val="00AA3740"/>
    <w:rsid w:val="00AA4BBC"/>
    <w:rsid w:val="00AA5EF2"/>
    <w:rsid w:val="00AA7156"/>
    <w:rsid w:val="00AB1DF5"/>
    <w:rsid w:val="00AB225D"/>
    <w:rsid w:val="00AB49AA"/>
    <w:rsid w:val="00AB5C29"/>
    <w:rsid w:val="00AC04AD"/>
    <w:rsid w:val="00AC085F"/>
    <w:rsid w:val="00AC1714"/>
    <w:rsid w:val="00AC1F6D"/>
    <w:rsid w:val="00AC3355"/>
    <w:rsid w:val="00AC3ABC"/>
    <w:rsid w:val="00AC4756"/>
    <w:rsid w:val="00AC4D19"/>
    <w:rsid w:val="00AD16A5"/>
    <w:rsid w:val="00AD16C0"/>
    <w:rsid w:val="00AD24A3"/>
    <w:rsid w:val="00AD4DB0"/>
    <w:rsid w:val="00AD52B7"/>
    <w:rsid w:val="00AD594F"/>
    <w:rsid w:val="00AE21CA"/>
    <w:rsid w:val="00AE6D0A"/>
    <w:rsid w:val="00AE6E28"/>
    <w:rsid w:val="00AE7FE7"/>
    <w:rsid w:val="00AF0831"/>
    <w:rsid w:val="00AF23C5"/>
    <w:rsid w:val="00AF3B9F"/>
    <w:rsid w:val="00AF3E43"/>
    <w:rsid w:val="00AF42BD"/>
    <w:rsid w:val="00AF4574"/>
    <w:rsid w:val="00AF56FD"/>
    <w:rsid w:val="00AF58FE"/>
    <w:rsid w:val="00AF67D4"/>
    <w:rsid w:val="00AF6A85"/>
    <w:rsid w:val="00AF6F33"/>
    <w:rsid w:val="00AF77B2"/>
    <w:rsid w:val="00B015F1"/>
    <w:rsid w:val="00B02165"/>
    <w:rsid w:val="00B02940"/>
    <w:rsid w:val="00B0333E"/>
    <w:rsid w:val="00B04B14"/>
    <w:rsid w:val="00B04D34"/>
    <w:rsid w:val="00B0549E"/>
    <w:rsid w:val="00B05AA0"/>
    <w:rsid w:val="00B06030"/>
    <w:rsid w:val="00B06604"/>
    <w:rsid w:val="00B078C5"/>
    <w:rsid w:val="00B103AC"/>
    <w:rsid w:val="00B1075E"/>
    <w:rsid w:val="00B12186"/>
    <w:rsid w:val="00B134BB"/>
    <w:rsid w:val="00B13A60"/>
    <w:rsid w:val="00B14647"/>
    <w:rsid w:val="00B14762"/>
    <w:rsid w:val="00B14C64"/>
    <w:rsid w:val="00B14DBC"/>
    <w:rsid w:val="00B155E9"/>
    <w:rsid w:val="00B1582B"/>
    <w:rsid w:val="00B176E6"/>
    <w:rsid w:val="00B203B4"/>
    <w:rsid w:val="00B213A3"/>
    <w:rsid w:val="00B21415"/>
    <w:rsid w:val="00B217B4"/>
    <w:rsid w:val="00B26768"/>
    <w:rsid w:val="00B27A64"/>
    <w:rsid w:val="00B30157"/>
    <w:rsid w:val="00B30B15"/>
    <w:rsid w:val="00B30F04"/>
    <w:rsid w:val="00B316CA"/>
    <w:rsid w:val="00B31A6A"/>
    <w:rsid w:val="00B3272D"/>
    <w:rsid w:val="00B32E38"/>
    <w:rsid w:val="00B34B1E"/>
    <w:rsid w:val="00B362E4"/>
    <w:rsid w:val="00B37E17"/>
    <w:rsid w:val="00B40178"/>
    <w:rsid w:val="00B401C5"/>
    <w:rsid w:val="00B40E58"/>
    <w:rsid w:val="00B40F10"/>
    <w:rsid w:val="00B41384"/>
    <w:rsid w:val="00B455BC"/>
    <w:rsid w:val="00B45A4D"/>
    <w:rsid w:val="00B45E31"/>
    <w:rsid w:val="00B46867"/>
    <w:rsid w:val="00B46F0E"/>
    <w:rsid w:val="00B4702C"/>
    <w:rsid w:val="00B477EC"/>
    <w:rsid w:val="00B5302B"/>
    <w:rsid w:val="00B530DA"/>
    <w:rsid w:val="00B53B80"/>
    <w:rsid w:val="00B53EDC"/>
    <w:rsid w:val="00B54FC9"/>
    <w:rsid w:val="00B56249"/>
    <w:rsid w:val="00B56940"/>
    <w:rsid w:val="00B573CD"/>
    <w:rsid w:val="00B577ED"/>
    <w:rsid w:val="00B57CE4"/>
    <w:rsid w:val="00B60779"/>
    <w:rsid w:val="00B61AAB"/>
    <w:rsid w:val="00B61AB1"/>
    <w:rsid w:val="00B62302"/>
    <w:rsid w:val="00B6294C"/>
    <w:rsid w:val="00B641FC"/>
    <w:rsid w:val="00B64498"/>
    <w:rsid w:val="00B6491D"/>
    <w:rsid w:val="00B652BE"/>
    <w:rsid w:val="00B6587F"/>
    <w:rsid w:val="00B6621A"/>
    <w:rsid w:val="00B67095"/>
    <w:rsid w:val="00B70C74"/>
    <w:rsid w:val="00B716D7"/>
    <w:rsid w:val="00B7275B"/>
    <w:rsid w:val="00B739BF"/>
    <w:rsid w:val="00B756D9"/>
    <w:rsid w:val="00B75AAB"/>
    <w:rsid w:val="00B81FC3"/>
    <w:rsid w:val="00B8211C"/>
    <w:rsid w:val="00B821E7"/>
    <w:rsid w:val="00B826FE"/>
    <w:rsid w:val="00B82843"/>
    <w:rsid w:val="00B837B7"/>
    <w:rsid w:val="00B83C90"/>
    <w:rsid w:val="00B8426F"/>
    <w:rsid w:val="00B85072"/>
    <w:rsid w:val="00B86B18"/>
    <w:rsid w:val="00B877CD"/>
    <w:rsid w:val="00B914E4"/>
    <w:rsid w:val="00B92026"/>
    <w:rsid w:val="00B936F1"/>
    <w:rsid w:val="00B96A37"/>
    <w:rsid w:val="00B96E16"/>
    <w:rsid w:val="00BA0975"/>
    <w:rsid w:val="00BA192B"/>
    <w:rsid w:val="00BA1CF9"/>
    <w:rsid w:val="00BA1FF1"/>
    <w:rsid w:val="00BA2EC4"/>
    <w:rsid w:val="00BA4ECE"/>
    <w:rsid w:val="00BA523B"/>
    <w:rsid w:val="00BA7219"/>
    <w:rsid w:val="00BA7B06"/>
    <w:rsid w:val="00BB0746"/>
    <w:rsid w:val="00BB1104"/>
    <w:rsid w:val="00BB1405"/>
    <w:rsid w:val="00BB2BAC"/>
    <w:rsid w:val="00BB3FCA"/>
    <w:rsid w:val="00BB6C85"/>
    <w:rsid w:val="00BB77EE"/>
    <w:rsid w:val="00BC0E8C"/>
    <w:rsid w:val="00BC192C"/>
    <w:rsid w:val="00BC1998"/>
    <w:rsid w:val="00BC1C0C"/>
    <w:rsid w:val="00BC1F86"/>
    <w:rsid w:val="00BC2468"/>
    <w:rsid w:val="00BC359F"/>
    <w:rsid w:val="00BC3CF0"/>
    <w:rsid w:val="00BC631A"/>
    <w:rsid w:val="00BC6342"/>
    <w:rsid w:val="00BC6E3F"/>
    <w:rsid w:val="00BC7D7E"/>
    <w:rsid w:val="00BD15EF"/>
    <w:rsid w:val="00BD1998"/>
    <w:rsid w:val="00BD1C31"/>
    <w:rsid w:val="00BD2013"/>
    <w:rsid w:val="00BD2740"/>
    <w:rsid w:val="00BD28EC"/>
    <w:rsid w:val="00BD610A"/>
    <w:rsid w:val="00BD68D7"/>
    <w:rsid w:val="00BD6AB5"/>
    <w:rsid w:val="00BD7F8E"/>
    <w:rsid w:val="00BE12E0"/>
    <w:rsid w:val="00BE3652"/>
    <w:rsid w:val="00BE3CEA"/>
    <w:rsid w:val="00BE4FA0"/>
    <w:rsid w:val="00BE4FEF"/>
    <w:rsid w:val="00BE5319"/>
    <w:rsid w:val="00BE5B40"/>
    <w:rsid w:val="00BF0C98"/>
    <w:rsid w:val="00BF2DC8"/>
    <w:rsid w:val="00BF2E30"/>
    <w:rsid w:val="00BF44FB"/>
    <w:rsid w:val="00C022C7"/>
    <w:rsid w:val="00C02846"/>
    <w:rsid w:val="00C03D1E"/>
    <w:rsid w:val="00C040E7"/>
    <w:rsid w:val="00C057C3"/>
    <w:rsid w:val="00C062A3"/>
    <w:rsid w:val="00C06D2B"/>
    <w:rsid w:val="00C0723A"/>
    <w:rsid w:val="00C1044D"/>
    <w:rsid w:val="00C10DF8"/>
    <w:rsid w:val="00C12301"/>
    <w:rsid w:val="00C12A72"/>
    <w:rsid w:val="00C13F09"/>
    <w:rsid w:val="00C13FCD"/>
    <w:rsid w:val="00C148A4"/>
    <w:rsid w:val="00C15202"/>
    <w:rsid w:val="00C163D7"/>
    <w:rsid w:val="00C16B1E"/>
    <w:rsid w:val="00C17140"/>
    <w:rsid w:val="00C171FD"/>
    <w:rsid w:val="00C206FD"/>
    <w:rsid w:val="00C207DA"/>
    <w:rsid w:val="00C2083C"/>
    <w:rsid w:val="00C21418"/>
    <w:rsid w:val="00C24EC2"/>
    <w:rsid w:val="00C25B62"/>
    <w:rsid w:val="00C25BD2"/>
    <w:rsid w:val="00C2653F"/>
    <w:rsid w:val="00C26877"/>
    <w:rsid w:val="00C27042"/>
    <w:rsid w:val="00C30FED"/>
    <w:rsid w:val="00C320A8"/>
    <w:rsid w:val="00C32211"/>
    <w:rsid w:val="00C3286C"/>
    <w:rsid w:val="00C33094"/>
    <w:rsid w:val="00C33A06"/>
    <w:rsid w:val="00C33ED6"/>
    <w:rsid w:val="00C342EC"/>
    <w:rsid w:val="00C36F3A"/>
    <w:rsid w:val="00C37252"/>
    <w:rsid w:val="00C40791"/>
    <w:rsid w:val="00C41EE9"/>
    <w:rsid w:val="00C42660"/>
    <w:rsid w:val="00C429AB"/>
    <w:rsid w:val="00C42C1C"/>
    <w:rsid w:val="00C433D4"/>
    <w:rsid w:val="00C4382A"/>
    <w:rsid w:val="00C442C6"/>
    <w:rsid w:val="00C44FC8"/>
    <w:rsid w:val="00C45311"/>
    <w:rsid w:val="00C478AA"/>
    <w:rsid w:val="00C47A5B"/>
    <w:rsid w:val="00C52918"/>
    <w:rsid w:val="00C52AA2"/>
    <w:rsid w:val="00C543ED"/>
    <w:rsid w:val="00C5471F"/>
    <w:rsid w:val="00C55476"/>
    <w:rsid w:val="00C557F7"/>
    <w:rsid w:val="00C5603E"/>
    <w:rsid w:val="00C56844"/>
    <w:rsid w:val="00C5781A"/>
    <w:rsid w:val="00C57B0C"/>
    <w:rsid w:val="00C57FEA"/>
    <w:rsid w:val="00C604FD"/>
    <w:rsid w:val="00C60C4D"/>
    <w:rsid w:val="00C6177C"/>
    <w:rsid w:val="00C63378"/>
    <w:rsid w:val="00C63C02"/>
    <w:rsid w:val="00C640AA"/>
    <w:rsid w:val="00C64268"/>
    <w:rsid w:val="00C6571A"/>
    <w:rsid w:val="00C66C71"/>
    <w:rsid w:val="00C67190"/>
    <w:rsid w:val="00C67BDA"/>
    <w:rsid w:val="00C67D5C"/>
    <w:rsid w:val="00C70A9A"/>
    <w:rsid w:val="00C71381"/>
    <w:rsid w:val="00C716D6"/>
    <w:rsid w:val="00C717FB"/>
    <w:rsid w:val="00C72131"/>
    <w:rsid w:val="00C74833"/>
    <w:rsid w:val="00C75574"/>
    <w:rsid w:val="00C75F8C"/>
    <w:rsid w:val="00C77004"/>
    <w:rsid w:val="00C77AB4"/>
    <w:rsid w:val="00C77D1B"/>
    <w:rsid w:val="00C77F0F"/>
    <w:rsid w:val="00C81678"/>
    <w:rsid w:val="00C81827"/>
    <w:rsid w:val="00C81E16"/>
    <w:rsid w:val="00C826FA"/>
    <w:rsid w:val="00C833BD"/>
    <w:rsid w:val="00C838EA"/>
    <w:rsid w:val="00C83A56"/>
    <w:rsid w:val="00C83B99"/>
    <w:rsid w:val="00C873C0"/>
    <w:rsid w:val="00C91D9C"/>
    <w:rsid w:val="00C91D9D"/>
    <w:rsid w:val="00C91E2A"/>
    <w:rsid w:val="00C92530"/>
    <w:rsid w:val="00C92BBE"/>
    <w:rsid w:val="00C92D20"/>
    <w:rsid w:val="00C92DB2"/>
    <w:rsid w:val="00C94C60"/>
    <w:rsid w:val="00C95871"/>
    <w:rsid w:val="00C96F93"/>
    <w:rsid w:val="00C973BA"/>
    <w:rsid w:val="00CA09A5"/>
    <w:rsid w:val="00CA16DA"/>
    <w:rsid w:val="00CA2AEF"/>
    <w:rsid w:val="00CA2CA7"/>
    <w:rsid w:val="00CA3D2D"/>
    <w:rsid w:val="00CA4BE5"/>
    <w:rsid w:val="00CA5034"/>
    <w:rsid w:val="00CA54B3"/>
    <w:rsid w:val="00CA736F"/>
    <w:rsid w:val="00CA7A36"/>
    <w:rsid w:val="00CA7A5C"/>
    <w:rsid w:val="00CB029E"/>
    <w:rsid w:val="00CB0A3D"/>
    <w:rsid w:val="00CB2489"/>
    <w:rsid w:val="00CB4ECE"/>
    <w:rsid w:val="00CB5C9B"/>
    <w:rsid w:val="00CB7162"/>
    <w:rsid w:val="00CC12AA"/>
    <w:rsid w:val="00CC24D8"/>
    <w:rsid w:val="00CC3F05"/>
    <w:rsid w:val="00CC4C29"/>
    <w:rsid w:val="00CC51BC"/>
    <w:rsid w:val="00CC53BF"/>
    <w:rsid w:val="00CC62F9"/>
    <w:rsid w:val="00CC6C9C"/>
    <w:rsid w:val="00CC78F7"/>
    <w:rsid w:val="00CC79A7"/>
    <w:rsid w:val="00CD0475"/>
    <w:rsid w:val="00CD29BB"/>
    <w:rsid w:val="00CD2DEF"/>
    <w:rsid w:val="00CD3973"/>
    <w:rsid w:val="00CD41AA"/>
    <w:rsid w:val="00CD55A4"/>
    <w:rsid w:val="00CD5EB1"/>
    <w:rsid w:val="00CD7386"/>
    <w:rsid w:val="00CD7485"/>
    <w:rsid w:val="00CE2499"/>
    <w:rsid w:val="00CE331E"/>
    <w:rsid w:val="00CE3E3E"/>
    <w:rsid w:val="00CE3FBD"/>
    <w:rsid w:val="00CE4946"/>
    <w:rsid w:val="00CE502C"/>
    <w:rsid w:val="00CE554D"/>
    <w:rsid w:val="00CE584F"/>
    <w:rsid w:val="00CE645B"/>
    <w:rsid w:val="00CE6616"/>
    <w:rsid w:val="00CE7413"/>
    <w:rsid w:val="00CF3CCD"/>
    <w:rsid w:val="00CF7565"/>
    <w:rsid w:val="00CF7775"/>
    <w:rsid w:val="00D00482"/>
    <w:rsid w:val="00D008F1"/>
    <w:rsid w:val="00D01823"/>
    <w:rsid w:val="00D01EBA"/>
    <w:rsid w:val="00D024F6"/>
    <w:rsid w:val="00D027E3"/>
    <w:rsid w:val="00D03654"/>
    <w:rsid w:val="00D038B0"/>
    <w:rsid w:val="00D05143"/>
    <w:rsid w:val="00D06450"/>
    <w:rsid w:val="00D064B2"/>
    <w:rsid w:val="00D068FB"/>
    <w:rsid w:val="00D11C78"/>
    <w:rsid w:val="00D13A8B"/>
    <w:rsid w:val="00D13AED"/>
    <w:rsid w:val="00D14202"/>
    <w:rsid w:val="00D172BC"/>
    <w:rsid w:val="00D20381"/>
    <w:rsid w:val="00D21740"/>
    <w:rsid w:val="00D21A11"/>
    <w:rsid w:val="00D21CA3"/>
    <w:rsid w:val="00D21F56"/>
    <w:rsid w:val="00D2210A"/>
    <w:rsid w:val="00D221D9"/>
    <w:rsid w:val="00D225F0"/>
    <w:rsid w:val="00D2342E"/>
    <w:rsid w:val="00D265D0"/>
    <w:rsid w:val="00D2722E"/>
    <w:rsid w:val="00D27E61"/>
    <w:rsid w:val="00D306D9"/>
    <w:rsid w:val="00D30A66"/>
    <w:rsid w:val="00D34286"/>
    <w:rsid w:val="00D34935"/>
    <w:rsid w:val="00D359FD"/>
    <w:rsid w:val="00D37679"/>
    <w:rsid w:val="00D37C51"/>
    <w:rsid w:val="00D37EB5"/>
    <w:rsid w:val="00D40343"/>
    <w:rsid w:val="00D419FD"/>
    <w:rsid w:val="00D43E70"/>
    <w:rsid w:val="00D446A4"/>
    <w:rsid w:val="00D47188"/>
    <w:rsid w:val="00D475A6"/>
    <w:rsid w:val="00D5186D"/>
    <w:rsid w:val="00D51ACD"/>
    <w:rsid w:val="00D53FA2"/>
    <w:rsid w:val="00D55E15"/>
    <w:rsid w:val="00D56CA7"/>
    <w:rsid w:val="00D57B84"/>
    <w:rsid w:val="00D60F46"/>
    <w:rsid w:val="00D62149"/>
    <w:rsid w:val="00D6224C"/>
    <w:rsid w:val="00D625AD"/>
    <w:rsid w:val="00D62855"/>
    <w:rsid w:val="00D639F1"/>
    <w:rsid w:val="00D63D9E"/>
    <w:rsid w:val="00D6419C"/>
    <w:rsid w:val="00D648FB"/>
    <w:rsid w:val="00D649E1"/>
    <w:rsid w:val="00D65EDF"/>
    <w:rsid w:val="00D673F7"/>
    <w:rsid w:val="00D674DD"/>
    <w:rsid w:val="00D70236"/>
    <w:rsid w:val="00D71849"/>
    <w:rsid w:val="00D7271F"/>
    <w:rsid w:val="00D73182"/>
    <w:rsid w:val="00D732C5"/>
    <w:rsid w:val="00D743B7"/>
    <w:rsid w:val="00D76CC3"/>
    <w:rsid w:val="00D77406"/>
    <w:rsid w:val="00D81412"/>
    <w:rsid w:val="00D83F7D"/>
    <w:rsid w:val="00D84046"/>
    <w:rsid w:val="00D84B3F"/>
    <w:rsid w:val="00D84E0F"/>
    <w:rsid w:val="00D85006"/>
    <w:rsid w:val="00D85007"/>
    <w:rsid w:val="00D85725"/>
    <w:rsid w:val="00D85B06"/>
    <w:rsid w:val="00D85ECF"/>
    <w:rsid w:val="00D860E6"/>
    <w:rsid w:val="00D86BC6"/>
    <w:rsid w:val="00D86BCF"/>
    <w:rsid w:val="00D872CB"/>
    <w:rsid w:val="00D900C8"/>
    <w:rsid w:val="00D91220"/>
    <w:rsid w:val="00D91AF0"/>
    <w:rsid w:val="00D91FC4"/>
    <w:rsid w:val="00D92266"/>
    <w:rsid w:val="00D93170"/>
    <w:rsid w:val="00D932A6"/>
    <w:rsid w:val="00D93878"/>
    <w:rsid w:val="00D93BFC"/>
    <w:rsid w:val="00D9472D"/>
    <w:rsid w:val="00D96288"/>
    <w:rsid w:val="00D96E15"/>
    <w:rsid w:val="00D97D02"/>
    <w:rsid w:val="00DA0167"/>
    <w:rsid w:val="00DA0290"/>
    <w:rsid w:val="00DA0F41"/>
    <w:rsid w:val="00DA174F"/>
    <w:rsid w:val="00DA3B64"/>
    <w:rsid w:val="00DA3F55"/>
    <w:rsid w:val="00DA4285"/>
    <w:rsid w:val="00DA4902"/>
    <w:rsid w:val="00DA5671"/>
    <w:rsid w:val="00DA590C"/>
    <w:rsid w:val="00DA64AC"/>
    <w:rsid w:val="00DA7B3F"/>
    <w:rsid w:val="00DB150D"/>
    <w:rsid w:val="00DB261D"/>
    <w:rsid w:val="00DB329C"/>
    <w:rsid w:val="00DB382E"/>
    <w:rsid w:val="00DB47AA"/>
    <w:rsid w:val="00DB4A42"/>
    <w:rsid w:val="00DB5853"/>
    <w:rsid w:val="00DB625D"/>
    <w:rsid w:val="00DB65DD"/>
    <w:rsid w:val="00DB750F"/>
    <w:rsid w:val="00DB7836"/>
    <w:rsid w:val="00DC0934"/>
    <w:rsid w:val="00DC1512"/>
    <w:rsid w:val="00DC2CFF"/>
    <w:rsid w:val="00DC332C"/>
    <w:rsid w:val="00DC59A2"/>
    <w:rsid w:val="00DC7FB9"/>
    <w:rsid w:val="00DD0A22"/>
    <w:rsid w:val="00DD13C4"/>
    <w:rsid w:val="00DD225A"/>
    <w:rsid w:val="00DD4155"/>
    <w:rsid w:val="00DD4E94"/>
    <w:rsid w:val="00DD5969"/>
    <w:rsid w:val="00DD5E54"/>
    <w:rsid w:val="00DE056D"/>
    <w:rsid w:val="00DE0CCA"/>
    <w:rsid w:val="00DE144B"/>
    <w:rsid w:val="00DE2042"/>
    <w:rsid w:val="00DE22F4"/>
    <w:rsid w:val="00DE28EF"/>
    <w:rsid w:val="00DE2BF9"/>
    <w:rsid w:val="00DE2D2B"/>
    <w:rsid w:val="00DE2DF9"/>
    <w:rsid w:val="00DE3C59"/>
    <w:rsid w:val="00DE43A7"/>
    <w:rsid w:val="00DE46EA"/>
    <w:rsid w:val="00DE501F"/>
    <w:rsid w:val="00DE5394"/>
    <w:rsid w:val="00DE5B86"/>
    <w:rsid w:val="00DE5DF6"/>
    <w:rsid w:val="00DE6529"/>
    <w:rsid w:val="00DE67E3"/>
    <w:rsid w:val="00DE78AC"/>
    <w:rsid w:val="00DF3065"/>
    <w:rsid w:val="00DF3186"/>
    <w:rsid w:val="00DF516F"/>
    <w:rsid w:val="00DF5479"/>
    <w:rsid w:val="00DF59AA"/>
    <w:rsid w:val="00DF5C74"/>
    <w:rsid w:val="00DF6893"/>
    <w:rsid w:val="00DF728A"/>
    <w:rsid w:val="00DF7F9F"/>
    <w:rsid w:val="00E00302"/>
    <w:rsid w:val="00E021AB"/>
    <w:rsid w:val="00E0271C"/>
    <w:rsid w:val="00E035E5"/>
    <w:rsid w:val="00E03C14"/>
    <w:rsid w:val="00E03F21"/>
    <w:rsid w:val="00E049E4"/>
    <w:rsid w:val="00E06069"/>
    <w:rsid w:val="00E061C6"/>
    <w:rsid w:val="00E10339"/>
    <w:rsid w:val="00E10660"/>
    <w:rsid w:val="00E107D2"/>
    <w:rsid w:val="00E10863"/>
    <w:rsid w:val="00E10A4D"/>
    <w:rsid w:val="00E11E39"/>
    <w:rsid w:val="00E11FC7"/>
    <w:rsid w:val="00E135C7"/>
    <w:rsid w:val="00E13D82"/>
    <w:rsid w:val="00E16087"/>
    <w:rsid w:val="00E1752D"/>
    <w:rsid w:val="00E20BA6"/>
    <w:rsid w:val="00E20C3B"/>
    <w:rsid w:val="00E21962"/>
    <w:rsid w:val="00E21B66"/>
    <w:rsid w:val="00E230EE"/>
    <w:rsid w:val="00E23128"/>
    <w:rsid w:val="00E2343B"/>
    <w:rsid w:val="00E234A2"/>
    <w:rsid w:val="00E23BE2"/>
    <w:rsid w:val="00E24404"/>
    <w:rsid w:val="00E2462A"/>
    <w:rsid w:val="00E24DCE"/>
    <w:rsid w:val="00E24FEB"/>
    <w:rsid w:val="00E257CD"/>
    <w:rsid w:val="00E269F0"/>
    <w:rsid w:val="00E274BA"/>
    <w:rsid w:val="00E276D2"/>
    <w:rsid w:val="00E27BE2"/>
    <w:rsid w:val="00E30D4E"/>
    <w:rsid w:val="00E322DD"/>
    <w:rsid w:val="00E32D9D"/>
    <w:rsid w:val="00E3302C"/>
    <w:rsid w:val="00E3324C"/>
    <w:rsid w:val="00E33BF4"/>
    <w:rsid w:val="00E3668D"/>
    <w:rsid w:val="00E371EA"/>
    <w:rsid w:val="00E4010A"/>
    <w:rsid w:val="00E406F3"/>
    <w:rsid w:val="00E409E5"/>
    <w:rsid w:val="00E40ED0"/>
    <w:rsid w:val="00E412F4"/>
    <w:rsid w:val="00E4144D"/>
    <w:rsid w:val="00E41E7D"/>
    <w:rsid w:val="00E42698"/>
    <w:rsid w:val="00E45180"/>
    <w:rsid w:val="00E45790"/>
    <w:rsid w:val="00E45BE5"/>
    <w:rsid w:val="00E4618F"/>
    <w:rsid w:val="00E46FD7"/>
    <w:rsid w:val="00E4710E"/>
    <w:rsid w:val="00E47C03"/>
    <w:rsid w:val="00E47CA1"/>
    <w:rsid w:val="00E47CA4"/>
    <w:rsid w:val="00E53485"/>
    <w:rsid w:val="00E60726"/>
    <w:rsid w:val="00E6089D"/>
    <w:rsid w:val="00E6202C"/>
    <w:rsid w:val="00E622AB"/>
    <w:rsid w:val="00E62B03"/>
    <w:rsid w:val="00E63B0F"/>
    <w:rsid w:val="00E650BB"/>
    <w:rsid w:val="00E65B0F"/>
    <w:rsid w:val="00E65D5F"/>
    <w:rsid w:val="00E67270"/>
    <w:rsid w:val="00E70CAA"/>
    <w:rsid w:val="00E72BB5"/>
    <w:rsid w:val="00E731A5"/>
    <w:rsid w:val="00E7414B"/>
    <w:rsid w:val="00E760FA"/>
    <w:rsid w:val="00E7663C"/>
    <w:rsid w:val="00E766BA"/>
    <w:rsid w:val="00E767F3"/>
    <w:rsid w:val="00E77450"/>
    <w:rsid w:val="00E77B70"/>
    <w:rsid w:val="00E811BB"/>
    <w:rsid w:val="00E81AD1"/>
    <w:rsid w:val="00E81E36"/>
    <w:rsid w:val="00E829C9"/>
    <w:rsid w:val="00E83C98"/>
    <w:rsid w:val="00E83ED7"/>
    <w:rsid w:val="00E85A0F"/>
    <w:rsid w:val="00E87B7A"/>
    <w:rsid w:val="00E905E1"/>
    <w:rsid w:val="00E905EA"/>
    <w:rsid w:val="00E90C3F"/>
    <w:rsid w:val="00E9177A"/>
    <w:rsid w:val="00E92739"/>
    <w:rsid w:val="00E9279F"/>
    <w:rsid w:val="00E92D06"/>
    <w:rsid w:val="00E940D8"/>
    <w:rsid w:val="00E94327"/>
    <w:rsid w:val="00E95446"/>
    <w:rsid w:val="00E954E4"/>
    <w:rsid w:val="00E95875"/>
    <w:rsid w:val="00E95C04"/>
    <w:rsid w:val="00E961F5"/>
    <w:rsid w:val="00E969EF"/>
    <w:rsid w:val="00E9723B"/>
    <w:rsid w:val="00E97BAD"/>
    <w:rsid w:val="00EA096C"/>
    <w:rsid w:val="00EA0FC6"/>
    <w:rsid w:val="00EA17D3"/>
    <w:rsid w:val="00EA1DF0"/>
    <w:rsid w:val="00EA3E30"/>
    <w:rsid w:val="00EA45A6"/>
    <w:rsid w:val="00EA6101"/>
    <w:rsid w:val="00EA6B42"/>
    <w:rsid w:val="00EA7308"/>
    <w:rsid w:val="00EA75A5"/>
    <w:rsid w:val="00EA7DA2"/>
    <w:rsid w:val="00EA7E3D"/>
    <w:rsid w:val="00EB1139"/>
    <w:rsid w:val="00EB15D7"/>
    <w:rsid w:val="00EB1ABF"/>
    <w:rsid w:val="00EB1AD3"/>
    <w:rsid w:val="00EB254A"/>
    <w:rsid w:val="00EB337A"/>
    <w:rsid w:val="00EB4FA3"/>
    <w:rsid w:val="00EB53C5"/>
    <w:rsid w:val="00EB5AED"/>
    <w:rsid w:val="00EB5BA6"/>
    <w:rsid w:val="00EB5C88"/>
    <w:rsid w:val="00EB5FEC"/>
    <w:rsid w:val="00EB6354"/>
    <w:rsid w:val="00EB6425"/>
    <w:rsid w:val="00EB653E"/>
    <w:rsid w:val="00EB6CAE"/>
    <w:rsid w:val="00EB7F06"/>
    <w:rsid w:val="00EC0005"/>
    <w:rsid w:val="00EC0627"/>
    <w:rsid w:val="00EC1B5D"/>
    <w:rsid w:val="00EC1E1F"/>
    <w:rsid w:val="00EC28D4"/>
    <w:rsid w:val="00EC46ED"/>
    <w:rsid w:val="00EC4DF6"/>
    <w:rsid w:val="00EC523A"/>
    <w:rsid w:val="00EC6006"/>
    <w:rsid w:val="00EC7D6B"/>
    <w:rsid w:val="00ED0067"/>
    <w:rsid w:val="00ED06BF"/>
    <w:rsid w:val="00ED3AE0"/>
    <w:rsid w:val="00ED48F5"/>
    <w:rsid w:val="00ED5F24"/>
    <w:rsid w:val="00ED5F5A"/>
    <w:rsid w:val="00ED6B06"/>
    <w:rsid w:val="00ED71D8"/>
    <w:rsid w:val="00ED756B"/>
    <w:rsid w:val="00ED756E"/>
    <w:rsid w:val="00ED7BEF"/>
    <w:rsid w:val="00EE00C1"/>
    <w:rsid w:val="00EE2D34"/>
    <w:rsid w:val="00EE412C"/>
    <w:rsid w:val="00EE4995"/>
    <w:rsid w:val="00EE6D06"/>
    <w:rsid w:val="00EE6D6C"/>
    <w:rsid w:val="00EF1141"/>
    <w:rsid w:val="00EF1735"/>
    <w:rsid w:val="00EF3CC1"/>
    <w:rsid w:val="00EF6467"/>
    <w:rsid w:val="00EF723A"/>
    <w:rsid w:val="00EF75DF"/>
    <w:rsid w:val="00F01ADF"/>
    <w:rsid w:val="00F038E1"/>
    <w:rsid w:val="00F04146"/>
    <w:rsid w:val="00F052F8"/>
    <w:rsid w:val="00F0616E"/>
    <w:rsid w:val="00F06516"/>
    <w:rsid w:val="00F0744B"/>
    <w:rsid w:val="00F07BFF"/>
    <w:rsid w:val="00F10284"/>
    <w:rsid w:val="00F1100D"/>
    <w:rsid w:val="00F12914"/>
    <w:rsid w:val="00F13FD3"/>
    <w:rsid w:val="00F144AC"/>
    <w:rsid w:val="00F151E5"/>
    <w:rsid w:val="00F15526"/>
    <w:rsid w:val="00F17125"/>
    <w:rsid w:val="00F172C3"/>
    <w:rsid w:val="00F17750"/>
    <w:rsid w:val="00F215D9"/>
    <w:rsid w:val="00F21DF2"/>
    <w:rsid w:val="00F222F5"/>
    <w:rsid w:val="00F2388B"/>
    <w:rsid w:val="00F23C81"/>
    <w:rsid w:val="00F24231"/>
    <w:rsid w:val="00F25183"/>
    <w:rsid w:val="00F254A0"/>
    <w:rsid w:val="00F2664E"/>
    <w:rsid w:val="00F27EED"/>
    <w:rsid w:val="00F31BAB"/>
    <w:rsid w:val="00F31C57"/>
    <w:rsid w:val="00F3216D"/>
    <w:rsid w:val="00F32773"/>
    <w:rsid w:val="00F340EF"/>
    <w:rsid w:val="00F3541E"/>
    <w:rsid w:val="00F35AA3"/>
    <w:rsid w:val="00F35C4E"/>
    <w:rsid w:val="00F36786"/>
    <w:rsid w:val="00F37B62"/>
    <w:rsid w:val="00F37C98"/>
    <w:rsid w:val="00F41B3B"/>
    <w:rsid w:val="00F4337E"/>
    <w:rsid w:val="00F44E02"/>
    <w:rsid w:val="00F4711F"/>
    <w:rsid w:val="00F503B5"/>
    <w:rsid w:val="00F50A32"/>
    <w:rsid w:val="00F51590"/>
    <w:rsid w:val="00F524FA"/>
    <w:rsid w:val="00F54DCE"/>
    <w:rsid w:val="00F56A70"/>
    <w:rsid w:val="00F56BAE"/>
    <w:rsid w:val="00F56E4E"/>
    <w:rsid w:val="00F60734"/>
    <w:rsid w:val="00F6084C"/>
    <w:rsid w:val="00F608DD"/>
    <w:rsid w:val="00F63053"/>
    <w:rsid w:val="00F646A8"/>
    <w:rsid w:val="00F646CD"/>
    <w:rsid w:val="00F657FE"/>
    <w:rsid w:val="00F66DC7"/>
    <w:rsid w:val="00F67575"/>
    <w:rsid w:val="00F67C92"/>
    <w:rsid w:val="00F715E7"/>
    <w:rsid w:val="00F724EE"/>
    <w:rsid w:val="00F72597"/>
    <w:rsid w:val="00F74020"/>
    <w:rsid w:val="00F75510"/>
    <w:rsid w:val="00F7588F"/>
    <w:rsid w:val="00F7608C"/>
    <w:rsid w:val="00F76C9B"/>
    <w:rsid w:val="00F801E6"/>
    <w:rsid w:val="00F802E9"/>
    <w:rsid w:val="00F8046A"/>
    <w:rsid w:val="00F807C2"/>
    <w:rsid w:val="00F81413"/>
    <w:rsid w:val="00F81AE1"/>
    <w:rsid w:val="00F81E5A"/>
    <w:rsid w:val="00F82067"/>
    <w:rsid w:val="00F825DD"/>
    <w:rsid w:val="00F8317F"/>
    <w:rsid w:val="00F8351A"/>
    <w:rsid w:val="00F8417E"/>
    <w:rsid w:val="00F8480F"/>
    <w:rsid w:val="00F8536F"/>
    <w:rsid w:val="00F85830"/>
    <w:rsid w:val="00F85D09"/>
    <w:rsid w:val="00F91D34"/>
    <w:rsid w:val="00F929AA"/>
    <w:rsid w:val="00F9314B"/>
    <w:rsid w:val="00F9430E"/>
    <w:rsid w:val="00F95425"/>
    <w:rsid w:val="00F96D39"/>
    <w:rsid w:val="00F97EAB"/>
    <w:rsid w:val="00FA057E"/>
    <w:rsid w:val="00FA05D8"/>
    <w:rsid w:val="00FA112B"/>
    <w:rsid w:val="00FA28EA"/>
    <w:rsid w:val="00FA2DD7"/>
    <w:rsid w:val="00FA3B6A"/>
    <w:rsid w:val="00FA3E1E"/>
    <w:rsid w:val="00FA4C11"/>
    <w:rsid w:val="00FA6CDA"/>
    <w:rsid w:val="00FA6D94"/>
    <w:rsid w:val="00FB0BEF"/>
    <w:rsid w:val="00FB10B7"/>
    <w:rsid w:val="00FB13FA"/>
    <w:rsid w:val="00FB3A3A"/>
    <w:rsid w:val="00FB3BEB"/>
    <w:rsid w:val="00FB3DC1"/>
    <w:rsid w:val="00FB751A"/>
    <w:rsid w:val="00FB7660"/>
    <w:rsid w:val="00FC0638"/>
    <w:rsid w:val="00FC0F04"/>
    <w:rsid w:val="00FC11D9"/>
    <w:rsid w:val="00FC161D"/>
    <w:rsid w:val="00FC167A"/>
    <w:rsid w:val="00FC2351"/>
    <w:rsid w:val="00FC2D84"/>
    <w:rsid w:val="00FC38F8"/>
    <w:rsid w:val="00FC43FA"/>
    <w:rsid w:val="00FC4FF9"/>
    <w:rsid w:val="00FC5FB5"/>
    <w:rsid w:val="00FC774D"/>
    <w:rsid w:val="00FD04FD"/>
    <w:rsid w:val="00FD07D1"/>
    <w:rsid w:val="00FD101E"/>
    <w:rsid w:val="00FD2652"/>
    <w:rsid w:val="00FD26A2"/>
    <w:rsid w:val="00FD3AC3"/>
    <w:rsid w:val="00FD3E65"/>
    <w:rsid w:val="00FD3F47"/>
    <w:rsid w:val="00FD6527"/>
    <w:rsid w:val="00FD6A8A"/>
    <w:rsid w:val="00FD6BC3"/>
    <w:rsid w:val="00FD7237"/>
    <w:rsid w:val="00FD7271"/>
    <w:rsid w:val="00FD7AA2"/>
    <w:rsid w:val="00FE0482"/>
    <w:rsid w:val="00FE101C"/>
    <w:rsid w:val="00FE170C"/>
    <w:rsid w:val="00FE2B75"/>
    <w:rsid w:val="00FE2EB5"/>
    <w:rsid w:val="00FE3F47"/>
    <w:rsid w:val="00FE5F63"/>
    <w:rsid w:val="00FE69AD"/>
    <w:rsid w:val="00FE75FD"/>
    <w:rsid w:val="00FF072A"/>
    <w:rsid w:val="00FF108C"/>
    <w:rsid w:val="00FF1221"/>
    <w:rsid w:val="00FF1584"/>
    <w:rsid w:val="00FF258D"/>
    <w:rsid w:val="00FF2680"/>
    <w:rsid w:val="00FF3D29"/>
    <w:rsid w:val="00FF51F1"/>
    <w:rsid w:val="00FF5562"/>
    <w:rsid w:val="00FF5580"/>
    <w:rsid w:val="00FF59F1"/>
    <w:rsid w:val="00FF5C4B"/>
    <w:rsid w:val="00FF63CC"/>
    <w:rsid w:val="00FF6BF5"/>
    <w:rsid w:val="00FF6C3B"/>
    <w:rsid w:val="00FF73CF"/>
    <w:rsid w:val="00FF765A"/>
    <w:rsid w:val="010EA8BF"/>
    <w:rsid w:val="0271559B"/>
    <w:rsid w:val="02AA7920"/>
    <w:rsid w:val="02DBA3A0"/>
    <w:rsid w:val="02EF974D"/>
    <w:rsid w:val="030B32BA"/>
    <w:rsid w:val="0354D9D6"/>
    <w:rsid w:val="03974014"/>
    <w:rsid w:val="04053971"/>
    <w:rsid w:val="04480FE9"/>
    <w:rsid w:val="05B5FC36"/>
    <w:rsid w:val="061FED94"/>
    <w:rsid w:val="062A2D67"/>
    <w:rsid w:val="0722D250"/>
    <w:rsid w:val="0763E368"/>
    <w:rsid w:val="088B9E82"/>
    <w:rsid w:val="09DFE4D9"/>
    <w:rsid w:val="0A88E792"/>
    <w:rsid w:val="0A89BC73"/>
    <w:rsid w:val="0BFC2F94"/>
    <w:rsid w:val="0C6770F8"/>
    <w:rsid w:val="0CB4D787"/>
    <w:rsid w:val="0CD554F7"/>
    <w:rsid w:val="0D004EA8"/>
    <w:rsid w:val="0D0247E1"/>
    <w:rsid w:val="0D2E7B1A"/>
    <w:rsid w:val="0E6CEA23"/>
    <w:rsid w:val="0ED29DA8"/>
    <w:rsid w:val="0ED6AA7D"/>
    <w:rsid w:val="0EDB547C"/>
    <w:rsid w:val="0EF12D72"/>
    <w:rsid w:val="0F2D3ABC"/>
    <w:rsid w:val="0FB5913F"/>
    <w:rsid w:val="1143B662"/>
    <w:rsid w:val="11FA6459"/>
    <w:rsid w:val="122FBEA0"/>
    <w:rsid w:val="13055670"/>
    <w:rsid w:val="133BE19B"/>
    <w:rsid w:val="13DFA052"/>
    <w:rsid w:val="13E3AFAC"/>
    <w:rsid w:val="13F1F626"/>
    <w:rsid w:val="1495CF6C"/>
    <w:rsid w:val="163606C6"/>
    <w:rsid w:val="1723E2A7"/>
    <w:rsid w:val="17710C37"/>
    <w:rsid w:val="1800FFB8"/>
    <w:rsid w:val="1922BC4C"/>
    <w:rsid w:val="1966F485"/>
    <w:rsid w:val="19C7A28C"/>
    <w:rsid w:val="1AA51850"/>
    <w:rsid w:val="1B1D25D0"/>
    <w:rsid w:val="1BA0E1F8"/>
    <w:rsid w:val="1C120C20"/>
    <w:rsid w:val="1C61263C"/>
    <w:rsid w:val="1C90F0DD"/>
    <w:rsid w:val="1CCA96AA"/>
    <w:rsid w:val="1D07957B"/>
    <w:rsid w:val="1D8240C0"/>
    <w:rsid w:val="1E4BB4B3"/>
    <w:rsid w:val="1E5FDB46"/>
    <w:rsid w:val="1F54E216"/>
    <w:rsid w:val="1F8E7C93"/>
    <w:rsid w:val="204696E3"/>
    <w:rsid w:val="208C4C88"/>
    <w:rsid w:val="20FBE319"/>
    <w:rsid w:val="213ABE7D"/>
    <w:rsid w:val="215A0265"/>
    <w:rsid w:val="2226C2F7"/>
    <w:rsid w:val="224DE5AA"/>
    <w:rsid w:val="230284AE"/>
    <w:rsid w:val="2308B664"/>
    <w:rsid w:val="2338D07C"/>
    <w:rsid w:val="23BDF8FD"/>
    <w:rsid w:val="2407B549"/>
    <w:rsid w:val="243C3AAF"/>
    <w:rsid w:val="2460BEC6"/>
    <w:rsid w:val="24713925"/>
    <w:rsid w:val="24C4214F"/>
    <w:rsid w:val="26C8829B"/>
    <w:rsid w:val="27B0F06D"/>
    <w:rsid w:val="27C5F482"/>
    <w:rsid w:val="28598ABB"/>
    <w:rsid w:val="28BB0DA3"/>
    <w:rsid w:val="2BEC6887"/>
    <w:rsid w:val="2DD1AF4D"/>
    <w:rsid w:val="2E469916"/>
    <w:rsid w:val="2FC2AC07"/>
    <w:rsid w:val="304354E7"/>
    <w:rsid w:val="305418E8"/>
    <w:rsid w:val="3097018F"/>
    <w:rsid w:val="30CC787C"/>
    <w:rsid w:val="315F8D68"/>
    <w:rsid w:val="32348DC0"/>
    <w:rsid w:val="323CEA85"/>
    <w:rsid w:val="33C9A3BA"/>
    <w:rsid w:val="3441ECF0"/>
    <w:rsid w:val="34A46CF2"/>
    <w:rsid w:val="34C4D811"/>
    <w:rsid w:val="37C74708"/>
    <w:rsid w:val="3808D865"/>
    <w:rsid w:val="386EBCFE"/>
    <w:rsid w:val="397A652B"/>
    <w:rsid w:val="3C3B4C50"/>
    <w:rsid w:val="3C59EF21"/>
    <w:rsid w:val="3D039026"/>
    <w:rsid w:val="3E69AC31"/>
    <w:rsid w:val="3FD6AE10"/>
    <w:rsid w:val="3FD94959"/>
    <w:rsid w:val="40C72BCE"/>
    <w:rsid w:val="41028339"/>
    <w:rsid w:val="424F4416"/>
    <w:rsid w:val="425147E7"/>
    <w:rsid w:val="42B528AF"/>
    <w:rsid w:val="4335C841"/>
    <w:rsid w:val="44A559D6"/>
    <w:rsid w:val="453CF6B6"/>
    <w:rsid w:val="4596BEE9"/>
    <w:rsid w:val="45F7DAFE"/>
    <w:rsid w:val="498CD2EF"/>
    <w:rsid w:val="4A2CF3D2"/>
    <w:rsid w:val="4A628C2A"/>
    <w:rsid w:val="4C42D800"/>
    <w:rsid w:val="4DBC3CA7"/>
    <w:rsid w:val="4E325509"/>
    <w:rsid w:val="4EE86B88"/>
    <w:rsid w:val="4F072E23"/>
    <w:rsid w:val="4F71FF57"/>
    <w:rsid w:val="4F72055A"/>
    <w:rsid w:val="4F98CB23"/>
    <w:rsid w:val="501D5C2C"/>
    <w:rsid w:val="50CF32B8"/>
    <w:rsid w:val="521AEE9D"/>
    <w:rsid w:val="52A8A3FA"/>
    <w:rsid w:val="53930741"/>
    <w:rsid w:val="53E91796"/>
    <w:rsid w:val="53FF79A8"/>
    <w:rsid w:val="5426E0B0"/>
    <w:rsid w:val="54F5D015"/>
    <w:rsid w:val="5A8C79D9"/>
    <w:rsid w:val="5AF01D38"/>
    <w:rsid w:val="5B34314B"/>
    <w:rsid w:val="5B8A0BA1"/>
    <w:rsid w:val="5B9A23DF"/>
    <w:rsid w:val="5D9557AC"/>
    <w:rsid w:val="5EA9F123"/>
    <w:rsid w:val="5F4AA97E"/>
    <w:rsid w:val="5F88BA99"/>
    <w:rsid w:val="60B02E11"/>
    <w:rsid w:val="60F4F9FE"/>
    <w:rsid w:val="6152028D"/>
    <w:rsid w:val="62136057"/>
    <w:rsid w:val="63126610"/>
    <w:rsid w:val="636E1DF0"/>
    <w:rsid w:val="63EFF9C2"/>
    <w:rsid w:val="6444324F"/>
    <w:rsid w:val="656C123D"/>
    <w:rsid w:val="660D3E37"/>
    <w:rsid w:val="6639990D"/>
    <w:rsid w:val="6659746D"/>
    <w:rsid w:val="668147EB"/>
    <w:rsid w:val="6687DE48"/>
    <w:rsid w:val="679A1ADA"/>
    <w:rsid w:val="67B9D994"/>
    <w:rsid w:val="687D6A66"/>
    <w:rsid w:val="6A889CFD"/>
    <w:rsid w:val="6C2513D1"/>
    <w:rsid w:val="6DC3367F"/>
    <w:rsid w:val="6E6AEAD9"/>
    <w:rsid w:val="6EB79B82"/>
    <w:rsid w:val="6F847C7E"/>
    <w:rsid w:val="6FC9486B"/>
    <w:rsid w:val="70AA06A3"/>
    <w:rsid w:val="7133E756"/>
    <w:rsid w:val="719A396E"/>
    <w:rsid w:val="71F78E71"/>
    <w:rsid w:val="72CBF751"/>
    <w:rsid w:val="72E42E27"/>
    <w:rsid w:val="731185B8"/>
    <w:rsid w:val="73E63699"/>
    <w:rsid w:val="73FD0116"/>
    <w:rsid w:val="74529C5F"/>
    <w:rsid w:val="749EFC7E"/>
    <w:rsid w:val="75DC9A71"/>
    <w:rsid w:val="76315FDE"/>
    <w:rsid w:val="76C8FBC3"/>
    <w:rsid w:val="76E09089"/>
    <w:rsid w:val="77811613"/>
    <w:rsid w:val="79F1CA26"/>
    <w:rsid w:val="7AB0FC20"/>
    <w:rsid w:val="7AB12EF1"/>
    <w:rsid w:val="7AEF72DD"/>
    <w:rsid w:val="7B95880D"/>
    <w:rsid w:val="7BB53B34"/>
    <w:rsid w:val="7D21A59B"/>
    <w:rsid w:val="7E82002A"/>
    <w:rsid w:val="7F0AB57B"/>
    <w:rsid w:val="7F2FE1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5A2835"/>
  <w15:docId w15:val="{8D6AFF75-D89B-4D1C-8E79-19D9BAB6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0B3C18"/>
    <w:pPr>
      <w:numPr>
        <w:numId w:val="2"/>
      </w:numPr>
      <w:tabs>
        <w:tab w:val="num" w:pos="360"/>
      </w:tabs>
      <w:ind w:left="0" w:firstLine="0"/>
    </w:pPr>
    <w:rPr>
      <w:rFonts w:eastAsia="Times New Roman"/>
      <w:lang w:eastAsia="de-DE"/>
    </w:rPr>
  </w:style>
  <w:style w:type="paragraph" w:styleId="ListNumber">
    <w:name w:val="List Number"/>
    <w:basedOn w:val="Normal"/>
    <w:rsid w:val="002B26AA"/>
    <w:pPr>
      <w:numPr>
        <w:numId w:val="6"/>
      </w:numPr>
    </w:pPr>
    <w:rPr>
      <w:rFonts w:eastAsia="Times New Roman"/>
      <w:lang w:eastAsia="de-DE"/>
    </w:rPr>
  </w:style>
  <w:style w:type="paragraph" w:customStyle="1" w:styleId="ListBullet1">
    <w:name w:val="List Bullet 1"/>
    <w:basedOn w:val="Normal"/>
    <w:rsid w:val="002B26AA"/>
    <w:pPr>
      <w:numPr>
        <w:numId w:val="1"/>
      </w:numPr>
    </w:pPr>
    <w:rPr>
      <w:rFonts w:eastAsia="Times New Roman"/>
      <w:lang w:eastAsia="de-DE"/>
    </w:rPr>
  </w:style>
  <w:style w:type="paragraph" w:customStyle="1" w:styleId="ListDash">
    <w:name w:val="List Dash"/>
    <w:basedOn w:val="Normal"/>
    <w:rsid w:val="002B26AA"/>
    <w:pPr>
      <w:numPr>
        <w:numId w:val="3"/>
      </w:numPr>
    </w:pPr>
    <w:rPr>
      <w:rFonts w:eastAsia="Times New Roman"/>
      <w:lang w:eastAsia="de-DE"/>
    </w:rPr>
  </w:style>
  <w:style w:type="paragraph" w:customStyle="1" w:styleId="ListDash1">
    <w:name w:val="List Dash 1"/>
    <w:basedOn w:val="Normal"/>
    <w:rsid w:val="002B26AA"/>
    <w:pPr>
      <w:numPr>
        <w:numId w:val="4"/>
      </w:numPr>
    </w:pPr>
    <w:rPr>
      <w:rFonts w:eastAsia="Times New Roman"/>
      <w:lang w:eastAsia="de-DE"/>
    </w:rPr>
  </w:style>
  <w:style w:type="paragraph" w:customStyle="1" w:styleId="ListDash2">
    <w:name w:val="List Dash 2"/>
    <w:basedOn w:val="Normal"/>
    <w:rsid w:val="002B26AA"/>
    <w:pPr>
      <w:numPr>
        <w:numId w:val="5"/>
      </w:numPr>
    </w:pPr>
    <w:rPr>
      <w:rFonts w:eastAsia="Times New Roman"/>
      <w:lang w:eastAsia="de-DE"/>
    </w:rPr>
  </w:style>
  <w:style w:type="paragraph" w:customStyle="1" w:styleId="ListNumberLevel2">
    <w:name w:val="List Number (Level 2)"/>
    <w:basedOn w:val="Normal"/>
    <w:rsid w:val="002B26AA"/>
    <w:pPr>
      <w:numPr>
        <w:ilvl w:val="1"/>
        <w:numId w:val="6"/>
      </w:numPr>
    </w:pPr>
    <w:rPr>
      <w:rFonts w:eastAsia="Times New Roman"/>
      <w:lang w:eastAsia="de-DE"/>
    </w:rPr>
  </w:style>
  <w:style w:type="paragraph" w:customStyle="1" w:styleId="ListNumberLevel3">
    <w:name w:val="List Number (Level 3)"/>
    <w:basedOn w:val="Normal"/>
    <w:rsid w:val="002B26AA"/>
    <w:pPr>
      <w:numPr>
        <w:ilvl w:val="2"/>
        <w:numId w:val="6"/>
      </w:numPr>
    </w:pPr>
    <w:rPr>
      <w:rFonts w:eastAsia="Times New Roman"/>
      <w:lang w:eastAsia="de-DE"/>
    </w:rPr>
  </w:style>
  <w:style w:type="paragraph" w:customStyle="1" w:styleId="ListNumberLevel4">
    <w:name w:val="List Number (Level 4)"/>
    <w:basedOn w:val="Normal"/>
    <w:rsid w:val="002B26AA"/>
    <w:pPr>
      <w:numPr>
        <w:ilvl w:val="3"/>
        <w:numId w:val="6"/>
      </w:numPr>
    </w:pPr>
    <w:rPr>
      <w:rFonts w:eastAsia="Times New Roman"/>
      <w:lang w:eastAsia="de-DE"/>
    </w:rPr>
  </w:style>
  <w:style w:type="table" w:styleId="TableGrid">
    <w:name w:val="Table Grid"/>
    <w:basedOn w:val="TableNormal"/>
    <w:rsid w:val="002B26A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B3C18"/>
    <w:rPr>
      <w:color w:val="0000FF"/>
      <w:u w:val="single"/>
    </w:rPr>
  </w:style>
  <w:style w:type="paragraph" w:styleId="ListBullet">
    <w:name w:val="List Bullet"/>
    <w:basedOn w:val="Normal"/>
    <w:uiPriority w:val="99"/>
    <w:rsid w:val="000B3C18"/>
    <w:pPr>
      <w:numPr>
        <w:numId w:val="7"/>
      </w:numPr>
    </w:pPr>
    <w:rPr>
      <w:rFonts w:eastAsia="Times New Roman"/>
      <w:lang w:eastAsia="en-GB"/>
    </w:rPr>
  </w:style>
  <w:style w:type="paragraph" w:styleId="ListBullet2">
    <w:name w:val="List Bullet 2"/>
    <w:basedOn w:val="Normal"/>
    <w:uiPriority w:val="99"/>
    <w:rsid w:val="000B3C18"/>
    <w:pPr>
      <w:numPr>
        <w:numId w:val="8"/>
      </w:numPr>
    </w:pPr>
    <w:rPr>
      <w:rFonts w:eastAsia="Times New Roman"/>
      <w:lang w:eastAsia="en-GB"/>
    </w:rPr>
  </w:style>
  <w:style w:type="paragraph" w:styleId="ListBullet3">
    <w:name w:val="List Bullet 3"/>
    <w:basedOn w:val="Normal"/>
    <w:uiPriority w:val="99"/>
    <w:rsid w:val="000B3C18"/>
    <w:pPr>
      <w:numPr>
        <w:numId w:val="9"/>
      </w:numPr>
    </w:pPr>
    <w:rPr>
      <w:rFonts w:eastAsia="Times New Roman"/>
      <w:lang w:eastAsia="en-GB"/>
    </w:rPr>
  </w:style>
  <w:style w:type="paragraph" w:styleId="ListNumber2">
    <w:name w:val="List Number 2"/>
    <w:basedOn w:val="Normal"/>
    <w:rsid w:val="002B26AA"/>
    <w:pPr>
      <w:numPr>
        <w:numId w:val="13"/>
      </w:numPr>
    </w:pPr>
    <w:rPr>
      <w:rFonts w:eastAsia="Times New Roman"/>
      <w:lang w:eastAsia="en-GB"/>
    </w:rPr>
  </w:style>
  <w:style w:type="paragraph" w:styleId="ListNumber3">
    <w:name w:val="List Number 3"/>
    <w:basedOn w:val="Normal"/>
    <w:rsid w:val="002B26AA"/>
    <w:pPr>
      <w:numPr>
        <w:numId w:val="14"/>
      </w:numPr>
    </w:pPr>
    <w:rPr>
      <w:rFonts w:eastAsia="Times New Roman"/>
      <w:lang w:eastAsia="en-GB"/>
    </w:rPr>
  </w:style>
  <w:style w:type="paragraph" w:styleId="ListNumber4">
    <w:name w:val="List Number 4"/>
    <w:basedOn w:val="Normal"/>
    <w:rsid w:val="002B26AA"/>
    <w:pPr>
      <w:numPr>
        <w:numId w:val="15"/>
      </w:numPr>
    </w:pPr>
    <w:rPr>
      <w:rFonts w:eastAsia="Times New Roman"/>
      <w:lang w:eastAsia="en-GB"/>
    </w:rPr>
  </w:style>
  <w:style w:type="paragraph" w:customStyle="1" w:styleId="ListDash3">
    <w:name w:val="List Dash 3"/>
    <w:basedOn w:val="Normal"/>
    <w:rsid w:val="002B26AA"/>
    <w:pPr>
      <w:numPr>
        <w:numId w:val="10"/>
      </w:numPr>
    </w:pPr>
    <w:rPr>
      <w:rFonts w:eastAsia="Times New Roman"/>
      <w:lang w:eastAsia="en-GB"/>
    </w:rPr>
  </w:style>
  <w:style w:type="paragraph" w:customStyle="1" w:styleId="ListDash4">
    <w:name w:val="List Dash 4"/>
    <w:basedOn w:val="Normal"/>
    <w:rsid w:val="002B26AA"/>
    <w:pPr>
      <w:numPr>
        <w:numId w:val="11"/>
      </w:numPr>
    </w:pPr>
    <w:rPr>
      <w:rFonts w:eastAsia="Times New Roman"/>
      <w:lang w:eastAsia="en-GB"/>
    </w:rPr>
  </w:style>
  <w:style w:type="paragraph" w:customStyle="1" w:styleId="ListNumber1">
    <w:name w:val="List Number 1"/>
    <w:basedOn w:val="Text1"/>
    <w:rsid w:val="002B26AA"/>
    <w:pPr>
      <w:numPr>
        <w:numId w:val="12"/>
      </w:numPr>
    </w:pPr>
    <w:rPr>
      <w:rFonts w:eastAsia="Times New Roman"/>
      <w:lang w:eastAsia="en-GB"/>
    </w:rPr>
  </w:style>
  <w:style w:type="paragraph" w:customStyle="1" w:styleId="ListNumber1Level2">
    <w:name w:val="List Number 1 (Level 2)"/>
    <w:basedOn w:val="Text1"/>
    <w:rsid w:val="002B26AA"/>
    <w:pPr>
      <w:numPr>
        <w:ilvl w:val="1"/>
        <w:numId w:val="12"/>
      </w:numPr>
    </w:pPr>
    <w:rPr>
      <w:rFonts w:eastAsia="Times New Roman"/>
      <w:lang w:eastAsia="en-GB"/>
    </w:rPr>
  </w:style>
  <w:style w:type="paragraph" w:customStyle="1" w:styleId="ListNumber2Level2">
    <w:name w:val="List Number 2 (Level 2)"/>
    <w:basedOn w:val="Text2"/>
    <w:rsid w:val="002B26AA"/>
    <w:pPr>
      <w:numPr>
        <w:ilvl w:val="1"/>
        <w:numId w:val="13"/>
      </w:numPr>
    </w:pPr>
    <w:rPr>
      <w:rFonts w:eastAsia="Times New Roman"/>
      <w:lang w:eastAsia="en-GB"/>
    </w:rPr>
  </w:style>
  <w:style w:type="paragraph" w:customStyle="1" w:styleId="ListNumber3Level2">
    <w:name w:val="List Number 3 (Level 2)"/>
    <w:basedOn w:val="Text3"/>
    <w:rsid w:val="002B26AA"/>
    <w:pPr>
      <w:numPr>
        <w:ilvl w:val="1"/>
        <w:numId w:val="14"/>
      </w:numPr>
    </w:pPr>
    <w:rPr>
      <w:rFonts w:eastAsia="Times New Roman"/>
      <w:lang w:eastAsia="en-GB"/>
    </w:rPr>
  </w:style>
  <w:style w:type="paragraph" w:customStyle="1" w:styleId="ListNumber4Level2">
    <w:name w:val="List Number 4 (Level 2)"/>
    <w:basedOn w:val="Text4"/>
    <w:rsid w:val="002B26AA"/>
    <w:pPr>
      <w:numPr>
        <w:ilvl w:val="1"/>
        <w:numId w:val="15"/>
      </w:numPr>
    </w:pPr>
    <w:rPr>
      <w:rFonts w:eastAsia="Times New Roman"/>
      <w:lang w:eastAsia="en-GB"/>
    </w:rPr>
  </w:style>
  <w:style w:type="paragraph" w:customStyle="1" w:styleId="ListNumber1Level3">
    <w:name w:val="List Number 1 (Level 3)"/>
    <w:basedOn w:val="Text1"/>
    <w:rsid w:val="002B26AA"/>
    <w:pPr>
      <w:numPr>
        <w:ilvl w:val="2"/>
        <w:numId w:val="12"/>
      </w:numPr>
    </w:pPr>
    <w:rPr>
      <w:rFonts w:eastAsia="Times New Roman"/>
      <w:lang w:eastAsia="en-GB"/>
    </w:rPr>
  </w:style>
  <w:style w:type="paragraph" w:customStyle="1" w:styleId="ListNumber2Level3">
    <w:name w:val="List Number 2 (Level 3)"/>
    <w:basedOn w:val="Text2"/>
    <w:rsid w:val="002B26AA"/>
    <w:pPr>
      <w:numPr>
        <w:ilvl w:val="2"/>
        <w:numId w:val="13"/>
      </w:numPr>
    </w:pPr>
    <w:rPr>
      <w:rFonts w:eastAsia="Times New Roman"/>
      <w:lang w:eastAsia="en-GB"/>
    </w:rPr>
  </w:style>
  <w:style w:type="paragraph" w:customStyle="1" w:styleId="ListNumber3Level3">
    <w:name w:val="List Number 3 (Level 3)"/>
    <w:basedOn w:val="Text3"/>
    <w:rsid w:val="002B26AA"/>
    <w:pPr>
      <w:numPr>
        <w:ilvl w:val="2"/>
        <w:numId w:val="14"/>
      </w:numPr>
    </w:pPr>
    <w:rPr>
      <w:rFonts w:eastAsia="Times New Roman"/>
      <w:lang w:eastAsia="en-GB"/>
    </w:rPr>
  </w:style>
  <w:style w:type="paragraph" w:customStyle="1" w:styleId="ListNumber4Level3">
    <w:name w:val="List Number 4 (Level 3)"/>
    <w:basedOn w:val="Text4"/>
    <w:rsid w:val="002B26AA"/>
    <w:pPr>
      <w:numPr>
        <w:ilvl w:val="2"/>
        <w:numId w:val="15"/>
      </w:numPr>
    </w:pPr>
    <w:rPr>
      <w:rFonts w:eastAsia="Times New Roman"/>
      <w:lang w:eastAsia="en-GB"/>
    </w:rPr>
  </w:style>
  <w:style w:type="paragraph" w:customStyle="1" w:styleId="ListNumber1Level4">
    <w:name w:val="List Number 1 (Level 4)"/>
    <w:basedOn w:val="Text1"/>
    <w:rsid w:val="002B26AA"/>
    <w:pPr>
      <w:numPr>
        <w:ilvl w:val="3"/>
        <w:numId w:val="12"/>
      </w:numPr>
    </w:pPr>
    <w:rPr>
      <w:rFonts w:eastAsia="Times New Roman"/>
      <w:lang w:eastAsia="en-GB"/>
    </w:rPr>
  </w:style>
  <w:style w:type="paragraph" w:customStyle="1" w:styleId="ListNumber2Level4">
    <w:name w:val="List Number 2 (Level 4)"/>
    <w:basedOn w:val="Text2"/>
    <w:rsid w:val="002B26AA"/>
    <w:pPr>
      <w:numPr>
        <w:ilvl w:val="3"/>
        <w:numId w:val="13"/>
      </w:numPr>
    </w:pPr>
    <w:rPr>
      <w:rFonts w:eastAsia="Times New Roman"/>
      <w:lang w:eastAsia="en-GB"/>
    </w:rPr>
  </w:style>
  <w:style w:type="paragraph" w:customStyle="1" w:styleId="ListNumber3Level4">
    <w:name w:val="List Number 3 (Level 4)"/>
    <w:basedOn w:val="Text3"/>
    <w:rsid w:val="002B26AA"/>
    <w:pPr>
      <w:numPr>
        <w:ilvl w:val="3"/>
        <w:numId w:val="14"/>
      </w:numPr>
    </w:pPr>
    <w:rPr>
      <w:rFonts w:eastAsia="Times New Roman"/>
      <w:lang w:eastAsia="en-GB"/>
    </w:rPr>
  </w:style>
  <w:style w:type="paragraph" w:customStyle="1" w:styleId="ListNumber4Level4">
    <w:name w:val="List Number 4 (Level 4)"/>
    <w:basedOn w:val="Text4"/>
    <w:rsid w:val="002B26AA"/>
    <w:pPr>
      <w:numPr>
        <w:ilvl w:val="3"/>
        <w:numId w:val="15"/>
      </w:numPr>
    </w:pPr>
    <w:rPr>
      <w:rFonts w:eastAsia="Times New Roman"/>
      <w:lang w:eastAsia="en-GB"/>
    </w:rPr>
  </w:style>
  <w:style w:type="paragraph" w:customStyle="1" w:styleId="Annexetitreacte">
    <w:name w:val="Annexe titre (acte)"/>
    <w:basedOn w:val="Normal"/>
    <w:next w:val="Normal"/>
    <w:rsid w:val="002B26AA"/>
    <w:pPr>
      <w:jc w:val="center"/>
    </w:pPr>
    <w:rPr>
      <w:rFonts w:eastAsia="Times New Roman"/>
      <w:b/>
      <w:u w:val="single"/>
      <w:lang w:eastAsia="en-GB"/>
    </w:rPr>
  </w:style>
  <w:style w:type="paragraph" w:customStyle="1" w:styleId="Annexetitreexposglobal">
    <w:name w:val="Annexe titre (exposé global)"/>
    <w:basedOn w:val="Normal"/>
    <w:next w:val="Normal"/>
    <w:rsid w:val="002B26AA"/>
    <w:pPr>
      <w:jc w:val="center"/>
    </w:pPr>
    <w:rPr>
      <w:rFonts w:eastAsia="Times New Roman"/>
      <w:b/>
      <w:u w:val="single"/>
      <w:lang w:eastAsia="en-GB"/>
    </w:rPr>
  </w:style>
  <w:style w:type="paragraph" w:customStyle="1" w:styleId="Annexetitrefichefinacte">
    <w:name w:val="Annexe titre (fiche fin. acte)"/>
    <w:basedOn w:val="Normal"/>
    <w:next w:val="Normal"/>
    <w:rsid w:val="002B26AA"/>
    <w:pPr>
      <w:jc w:val="center"/>
    </w:pPr>
    <w:rPr>
      <w:rFonts w:eastAsia="Times New Roman"/>
      <w:b/>
      <w:u w:val="single"/>
      <w:lang w:eastAsia="en-GB"/>
    </w:rPr>
  </w:style>
  <w:style w:type="paragraph" w:customStyle="1" w:styleId="Annexetitrefichefinglobale">
    <w:name w:val="Annexe titre (fiche fin. globale)"/>
    <w:basedOn w:val="Normal"/>
    <w:next w:val="Normal"/>
    <w:rsid w:val="002B26AA"/>
    <w:pPr>
      <w:jc w:val="center"/>
    </w:pPr>
    <w:rPr>
      <w:rFonts w:eastAsia="Times New Roman"/>
      <w:b/>
      <w:u w:val="single"/>
      <w:lang w:eastAsia="en-GB"/>
    </w:rPr>
  </w:style>
  <w:style w:type="paragraph" w:customStyle="1" w:styleId="Annexetitreglobale">
    <w:name w:val="Annexe titre (globale)"/>
    <w:basedOn w:val="Normal"/>
    <w:next w:val="Normal"/>
    <w:rsid w:val="002B26AA"/>
    <w:pPr>
      <w:jc w:val="center"/>
    </w:pPr>
    <w:rPr>
      <w:rFonts w:eastAsia="Times New Roman"/>
      <w:b/>
      <w:u w:val="single"/>
      <w:lang w:eastAsia="en-GB"/>
    </w:rPr>
  </w:style>
  <w:style w:type="paragraph" w:customStyle="1" w:styleId="Exposdesmotifstitreglobal">
    <w:name w:val="Exposé des motifs titre (global)"/>
    <w:basedOn w:val="Normal"/>
    <w:next w:val="Normal"/>
    <w:rsid w:val="002B26AA"/>
    <w:pPr>
      <w:jc w:val="center"/>
    </w:pPr>
    <w:rPr>
      <w:rFonts w:eastAsia="Times New Roman"/>
      <w:b/>
      <w:u w:val="single"/>
      <w:lang w:eastAsia="en-GB"/>
    </w:rPr>
  </w:style>
  <w:style w:type="paragraph" w:customStyle="1" w:styleId="Langueoriginale">
    <w:name w:val="Langue originale"/>
    <w:basedOn w:val="Normal"/>
    <w:rsid w:val="002B26AA"/>
    <w:pPr>
      <w:spacing w:before="360"/>
      <w:jc w:val="center"/>
    </w:pPr>
    <w:rPr>
      <w:rFonts w:eastAsia="Times New Roman"/>
      <w:caps/>
      <w:lang w:eastAsia="en-GB"/>
    </w:rPr>
  </w:style>
  <w:style w:type="paragraph" w:customStyle="1" w:styleId="Phrasefinale">
    <w:name w:val="Phrase finale"/>
    <w:basedOn w:val="Normal"/>
    <w:next w:val="Normal"/>
    <w:rsid w:val="002B26AA"/>
    <w:pPr>
      <w:spacing w:before="360" w:after="0"/>
      <w:jc w:val="center"/>
    </w:pPr>
    <w:rPr>
      <w:rFonts w:eastAsia="Times New Roman"/>
      <w:lang w:eastAsia="en-GB"/>
    </w:rPr>
  </w:style>
  <w:style w:type="paragraph" w:customStyle="1" w:styleId="Prliminairetitre">
    <w:name w:val="Préliminaire titre"/>
    <w:basedOn w:val="Normal"/>
    <w:next w:val="Normal"/>
    <w:rsid w:val="002B26AA"/>
    <w:pPr>
      <w:spacing w:before="360" w:after="360"/>
      <w:jc w:val="center"/>
    </w:pPr>
    <w:rPr>
      <w:rFonts w:eastAsia="Times New Roman"/>
      <w:b/>
      <w:lang w:eastAsia="en-GB"/>
    </w:rPr>
  </w:style>
  <w:style w:type="paragraph" w:customStyle="1" w:styleId="Prliminairetype">
    <w:name w:val="Préliminaire type"/>
    <w:basedOn w:val="Normal"/>
    <w:next w:val="Normal"/>
    <w:rsid w:val="002B26A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2B26A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2B26A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2B26AA"/>
    <w:pPr>
      <w:spacing w:before="0" w:after="0"/>
      <w:ind w:left="5103"/>
      <w:jc w:val="left"/>
    </w:pPr>
    <w:rPr>
      <w:rFonts w:eastAsia="Times New Roman"/>
      <w:lang w:eastAsia="en-GB"/>
    </w:rPr>
  </w:style>
  <w:style w:type="paragraph" w:customStyle="1" w:styleId="Sous-titreobjetprliminaire">
    <w:name w:val="Sous-titre objet (préliminaire)"/>
    <w:basedOn w:val="Normal"/>
    <w:rsid w:val="002B26AA"/>
    <w:pPr>
      <w:spacing w:before="0" w:after="0"/>
      <w:jc w:val="center"/>
    </w:pPr>
    <w:rPr>
      <w:rFonts w:eastAsia="Times New Roman"/>
      <w:b/>
      <w:lang w:eastAsia="en-GB"/>
    </w:rPr>
  </w:style>
  <w:style w:type="paragraph" w:customStyle="1" w:styleId="Statutprliminaire">
    <w:name w:val="Statut (préliminaire)"/>
    <w:basedOn w:val="Normal"/>
    <w:next w:val="Normal"/>
    <w:rsid w:val="002B26AA"/>
    <w:pPr>
      <w:spacing w:before="360" w:after="0"/>
      <w:jc w:val="center"/>
    </w:pPr>
    <w:rPr>
      <w:rFonts w:eastAsia="Times New Roman"/>
      <w:lang w:eastAsia="en-GB"/>
    </w:rPr>
  </w:style>
  <w:style w:type="paragraph" w:customStyle="1" w:styleId="Titreobjetprliminaire">
    <w:name w:val="Titre objet (préliminaire)"/>
    <w:basedOn w:val="Normal"/>
    <w:next w:val="Normal"/>
    <w:rsid w:val="002B26A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2B26A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2B26A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2B26AA"/>
    <w:pPr>
      <w:jc w:val="center"/>
    </w:pPr>
    <w:rPr>
      <w:rFonts w:eastAsia="Times New Roman"/>
      <w:b/>
      <w:u w:val="single"/>
      <w:lang w:eastAsia="en-GB"/>
    </w:rPr>
  </w:style>
  <w:style w:type="paragraph" w:customStyle="1" w:styleId="Fichefinanciretravailtitre">
    <w:name w:val="Fiche financière (travail) titre"/>
    <w:basedOn w:val="Normal"/>
    <w:next w:val="Normal"/>
    <w:rsid w:val="002B26A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2B26A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2B26A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2B26AA"/>
    <w:pPr>
      <w:jc w:val="center"/>
    </w:pPr>
    <w:rPr>
      <w:rFonts w:eastAsia="Times New Roman"/>
      <w:b/>
      <w:u w:val="single"/>
      <w:lang w:eastAsia="en-GB"/>
    </w:rPr>
  </w:style>
  <w:style w:type="character" w:styleId="CommentReference">
    <w:name w:val="annotation reference"/>
    <w:uiPriority w:val="99"/>
    <w:rsid w:val="000B3C18"/>
    <w:rPr>
      <w:rFonts w:cs="Times New Roman"/>
      <w:sz w:val="16"/>
      <w:szCs w:val="16"/>
    </w:rPr>
  </w:style>
  <w:style w:type="paragraph" w:styleId="CommentText">
    <w:name w:val="annotation text"/>
    <w:basedOn w:val="Normal"/>
    <w:link w:val="CommentTextChar"/>
    <w:uiPriority w:val="99"/>
    <w:rsid w:val="000B3C18"/>
    <w:rPr>
      <w:rFonts w:eastAsia="Times New Roman"/>
      <w:sz w:val="20"/>
      <w:szCs w:val="20"/>
      <w:lang w:eastAsia="en-GB"/>
    </w:rPr>
  </w:style>
  <w:style w:type="character" w:customStyle="1" w:styleId="CommentTextChar">
    <w:name w:val="Comment Text Char"/>
    <w:basedOn w:val="DefaultParagraphFont"/>
    <w:link w:val="CommentText"/>
    <w:uiPriority w:val="99"/>
    <w:rsid w:val="002B26A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0B3C18"/>
    <w:rPr>
      <w:b/>
      <w:bCs/>
    </w:rPr>
  </w:style>
  <w:style w:type="character" w:customStyle="1" w:styleId="CommentSubjectChar">
    <w:name w:val="Comment Subject Char"/>
    <w:basedOn w:val="CommentTextChar"/>
    <w:link w:val="CommentSubject"/>
    <w:uiPriority w:val="99"/>
    <w:rsid w:val="002B26A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2B26A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2B26AA"/>
    <w:rPr>
      <w:rFonts w:ascii="Tahoma" w:eastAsia="Times New Roman" w:hAnsi="Tahoma" w:cs="Tahoma"/>
      <w:sz w:val="16"/>
      <w:szCs w:val="16"/>
      <w:lang w:val="fr-FR" w:eastAsia="en-GB"/>
    </w:rPr>
  </w:style>
  <w:style w:type="paragraph" w:styleId="Caption">
    <w:name w:val="caption"/>
    <w:basedOn w:val="Normal"/>
    <w:next w:val="Normal"/>
    <w:qFormat/>
    <w:rsid w:val="002B26AA"/>
    <w:rPr>
      <w:rFonts w:eastAsia="Times New Roman"/>
      <w:b/>
      <w:bCs/>
      <w:sz w:val="20"/>
      <w:szCs w:val="20"/>
      <w:lang w:eastAsia="en-GB"/>
    </w:rPr>
  </w:style>
  <w:style w:type="paragraph" w:styleId="TableofFigures">
    <w:name w:val="table of figures"/>
    <w:basedOn w:val="Normal"/>
    <w:next w:val="Normal"/>
    <w:rsid w:val="002B26AA"/>
    <w:rPr>
      <w:rFonts w:eastAsia="Times New Roman"/>
      <w:lang w:eastAsia="en-GB"/>
    </w:rPr>
  </w:style>
  <w:style w:type="character" w:styleId="PageNumber">
    <w:name w:val="page number"/>
    <w:rsid w:val="002B26AA"/>
  </w:style>
  <w:style w:type="character" w:customStyle="1" w:styleId="tw4winMark">
    <w:name w:val="tw4winMark"/>
    <w:rsid w:val="002B26AA"/>
    <w:rPr>
      <w:vanish/>
      <w:color w:val="800080"/>
      <w:vertAlign w:val="subscript"/>
    </w:rPr>
  </w:style>
  <w:style w:type="character" w:styleId="FollowedHyperlink">
    <w:name w:val="FollowedHyperlink"/>
    <w:rsid w:val="002B26AA"/>
    <w:rPr>
      <w:color w:val="800080"/>
      <w:u w:val="single"/>
    </w:rPr>
  </w:style>
  <w:style w:type="paragraph" w:customStyle="1" w:styleId="Sous-titreobjet">
    <w:name w:val="Sous-titre objet"/>
    <w:basedOn w:val="Normal"/>
    <w:rsid w:val="002B26A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2B26AA"/>
  </w:style>
  <w:style w:type="paragraph" w:styleId="Revision">
    <w:name w:val="Revision"/>
    <w:hidden/>
    <w:uiPriority w:val="99"/>
    <w:semiHidden/>
    <w:rsid w:val="000B3C18"/>
    <w:rPr>
      <w:rFonts w:ascii="Calibri" w:eastAsia="Calibri" w:hAnsi="Calibri" w:cs="Times New Roman"/>
      <w:sz w:val="24"/>
      <w:lang w:eastAsia="en-GB"/>
    </w:rPr>
  </w:style>
  <w:style w:type="paragraph" w:customStyle="1" w:styleId="FooterCoverPage">
    <w:name w:val="Footer Cover Page"/>
    <w:basedOn w:val="Normal"/>
    <w:link w:val="FooterCoverPageChar"/>
    <w:rsid w:val="002B26A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2B26AA"/>
    <w:rPr>
      <w:rFonts w:ascii="Times New Roman" w:hAnsi="Times New Roman" w:cs="Times New Roman"/>
      <w:b/>
      <w:sz w:val="28"/>
      <w:lang w:val="fr-FR"/>
    </w:rPr>
  </w:style>
  <w:style w:type="character" w:customStyle="1" w:styleId="FooterCoverPageChar">
    <w:name w:val="Footer Cover Page Char"/>
    <w:link w:val="FooterCoverPage"/>
    <w:rsid w:val="002B26AA"/>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2B26A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2B26AA"/>
    <w:rPr>
      <w:rFonts w:ascii="Times New Roman" w:eastAsia="Calibri" w:hAnsi="Times New Roman" w:cs="Times New Roman"/>
      <w:sz w:val="24"/>
      <w:lang w:val="fr-FR" w:eastAsia="en-GB"/>
    </w:rPr>
  </w:style>
  <w:style w:type="character" w:customStyle="1" w:styleId="FooterSensitivityChar">
    <w:name w:val="Footer Sensitivity Char"/>
    <w:rsid w:val="002B26AA"/>
    <w:rPr>
      <w:rFonts w:ascii="Times New Roman" w:hAnsi="Times New Roman" w:cs="Times New Roman"/>
      <w:b/>
      <w:sz w:val="32"/>
      <w:lang w:val="fr-FR"/>
    </w:rPr>
  </w:style>
  <w:style w:type="character" w:customStyle="1" w:styleId="HeaderSensitivityChar">
    <w:name w:val="Header Sensitivity Char"/>
    <w:rsid w:val="002B26AA"/>
    <w:rPr>
      <w:rFonts w:ascii="Times New Roman" w:hAnsi="Times New Roman" w:cs="Times New Roman"/>
      <w:b/>
      <w:sz w:val="32"/>
      <w:lang w:val="fr-FR"/>
    </w:rPr>
  </w:style>
  <w:style w:type="character" w:customStyle="1" w:styleId="HeaderSensitivityRightChar">
    <w:name w:val="Header Sensitivity Right Char"/>
    <w:rsid w:val="002B26AA"/>
    <w:rPr>
      <w:rFonts w:ascii="Times New Roman" w:hAnsi="Times New Roman" w:cs="Times New Roman"/>
      <w:sz w:val="28"/>
      <w:lang w:val="fr-FR"/>
    </w:rPr>
  </w:style>
  <w:style w:type="paragraph" w:customStyle="1" w:styleId="LegalNumPar">
    <w:name w:val="LegalNumPar"/>
    <w:basedOn w:val="Normal"/>
    <w:rsid w:val="002B26AA"/>
    <w:pPr>
      <w:numPr>
        <w:numId w:val="16"/>
      </w:numPr>
      <w:spacing w:line="360" w:lineRule="auto"/>
    </w:pPr>
    <w:rPr>
      <w:rFonts w:eastAsia="Times New Roman"/>
      <w:lang w:eastAsia="en-GB"/>
    </w:rPr>
  </w:style>
  <w:style w:type="paragraph" w:customStyle="1" w:styleId="LegalNumPar2">
    <w:name w:val="LegalNumPar2"/>
    <w:basedOn w:val="Normal"/>
    <w:rsid w:val="002B26AA"/>
    <w:pPr>
      <w:numPr>
        <w:ilvl w:val="1"/>
        <w:numId w:val="16"/>
      </w:numPr>
      <w:spacing w:line="360" w:lineRule="auto"/>
    </w:pPr>
    <w:rPr>
      <w:rFonts w:eastAsia="Times New Roman"/>
      <w:lang w:eastAsia="en-GB"/>
    </w:rPr>
  </w:style>
  <w:style w:type="paragraph" w:customStyle="1" w:styleId="LegalNumPar3">
    <w:name w:val="LegalNumPar3"/>
    <w:basedOn w:val="Normal"/>
    <w:rsid w:val="002B26AA"/>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2B26AA"/>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2B26AA"/>
    <w:rPr>
      <w:color w:val="605E5C"/>
      <w:shd w:val="clear" w:color="auto" w:fill="E1DFDD"/>
    </w:rPr>
  </w:style>
  <w:style w:type="character" w:styleId="Strong">
    <w:name w:val="Strong"/>
    <w:basedOn w:val="DefaultParagraphFont"/>
    <w:qFormat/>
    <w:rsid w:val="002B26AA"/>
    <w:rPr>
      <w:b/>
      <w:bCs/>
    </w:rPr>
  </w:style>
  <w:style w:type="character" w:styleId="Emphasis">
    <w:name w:val="Emphasis"/>
    <w:basedOn w:val="DefaultParagraphFont"/>
    <w:qFormat/>
    <w:rsid w:val="002B26AA"/>
    <w:rPr>
      <w:i/>
      <w:iCs/>
    </w:rPr>
  </w:style>
  <w:style w:type="character" w:customStyle="1" w:styleId="Mention1">
    <w:name w:val="Mention1"/>
    <w:basedOn w:val="DefaultParagraphFont"/>
    <w:uiPriority w:val="99"/>
    <w:unhideWhenUsed/>
    <w:rsid w:val="002B26AA"/>
    <w:rPr>
      <w:color w:val="2B579A"/>
      <w:shd w:val="clear" w:color="auto" w:fill="E1DFDD"/>
    </w:rPr>
  </w:style>
  <w:style w:type="character" w:customStyle="1" w:styleId="normaltextrun">
    <w:name w:val="normaltextrun"/>
    <w:basedOn w:val="DefaultParagraphFont"/>
    <w:rsid w:val="002B26AA"/>
  </w:style>
  <w:style w:type="character" w:customStyle="1" w:styleId="eop">
    <w:name w:val="eop"/>
    <w:basedOn w:val="DefaultParagraphFont"/>
    <w:rsid w:val="002B26AA"/>
  </w:style>
  <w:style w:type="character" w:customStyle="1" w:styleId="UnresolvedMention11">
    <w:name w:val="Unresolved Mention11"/>
    <w:basedOn w:val="DefaultParagraphFont"/>
    <w:uiPriority w:val="99"/>
    <w:semiHidden/>
    <w:unhideWhenUsed/>
    <w:rsid w:val="000B3C18"/>
    <w:rPr>
      <w:color w:val="605E5C"/>
      <w:shd w:val="clear" w:color="auto" w:fill="E1DFDD"/>
    </w:rPr>
  </w:style>
  <w:style w:type="character" w:customStyle="1" w:styleId="UnresolvedMention2">
    <w:name w:val="Unresolved Mention2"/>
    <w:basedOn w:val="DefaultParagraphFont"/>
    <w:uiPriority w:val="99"/>
    <w:semiHidden/>
    <w:unhideWhenUsed/>
    <w:rsid w:val="000B3C18"/>
    <w:rPr>
      <w:color w:val="605E5C"/>
      <w:shd w:val="clear" w:color="auto" w:fill="E1DFDD"/>
    </w:rPr>
  </w:style>
  <w:style w:type="character" w:customStyle="1" w:styleId="cf01">
    <w:name w:val="cf01"/>
    <w:basedOn w:val="DefaultParagraphFont"/>
    <w:rsid w:val="000B3C18"/>
    <w:rPr>
      <w:rFonts w:ascii="Segoe UI" w:hAnsi="Segoe UI" w:cs="Segoe UI" w:hint="default"/>
      <w:sz w:val="18"/>
      <w:szCs w:val="18"/>
    </w:rPr>
  </w:style>
  <w:style w:type="character" w:customStyle="1" w:styleId="cf11">
    <w:name w:val="cf11"/>
    <w:basedOn w:val="DefaultParagraphFont"/>
    <w:rsid w:val="000B3C18"/>
    <w:rPr>
      <w:rFonts w:ascii="Segoe UI" w:hAnsi="Segoe UI" w:cs="Segoe UI" w:hint="default"/>
      <w:i/>
      <w:iCs/>
      <w:sz w:val="18"/>
      <w:szCs w:val="18"/>
    </w:rPr>
  </w:style>
  <w:style w:type="paragraph" w:styleId="EndnoteText">
    <w:name w:val="endnote text"/>
    <w:basedOn w:val="Normal"/>
    <w:link w:val="EndnoteTextChar"/>
    <w:uiPriority w:val="99"/>
    <w:semiHidden/>
    <w:unhideWhenUsed/>
    <w:rsid w:val="000B3C18"/>
    <w:pPr>
      <w:spacing w:before="0" w:after="0"/>
    </w:pPr>
    <w:rPr>
      <w:sz w:val="20"/>
      <w:szCs w:val="20"/>
    </w:rPr>
  </w:style>
  <w:style w:type="character" w:customStyle="1" w:styleId="EndnoteTextChar">
    <w:name w:val="Endnote Text Char"/>
    <w:basedOn w:val="DefaultParagraphFont"/>
    <w:link w:val="EndnoteText"/>
    <w:uiPriority w:val="99"/>
    <w:semiHidden/>
    <w:rsid w:val="000B3C18"/>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0B3C18"/>
    <w:rPr>
      <w:vertAlign w:val="superscript"/>
    </w:rPr>
  </w:style>
  <w:style w:type="character" w:customStyle="1" w:styleId="Mention11">
    <w:name w:val="Mention11"/>
    <w:basedOn w:val="DefaultParagraphFont"/>
    <w:uiPriority w:val="99"/>
    <w:unhideWhenUsed/>
    <w:rsid w:val="000B3C18"/>
    <w:rPr>
      <w:color w:val="2B579A"/>
      <w:shd w:val="clear" w:color="auto" w:fill="E1DFDD"/>
    </w:rPr>
  </w:style>
  <w:style w:type="character" w:customStyle="1" w:styleId="UnresolvedMention">
    <w:name w:val="Unresolved Mention"/>
    <w:basedOn w:val="DefaultParagraphFont"/>
    <w:uiPriority w:val="99"/>
    <w:semiHidden/>
    <w:unhideWhenUsed/>
    <w:rsid w:val="00E767F3"/>
    <w:rPr>
      <w:color w:val="605E5C"/>
      <w:shd w:val="clear" w:color="auto" w:fill="E1DFDD"/>
    </w:rPr>
  </w:style>
  <w:style w:type="character" w:customStyle="1" w:styleId="HeaderChar">
    <w:name w:val="Header Char"/>
    <w:basedOn w:val="DefaultParagraphFont"/>
    <w:link w:val="Header"/>
    <w:uiPriority w:val="99"/>
    <w:rsid w:val="00E81AD1"/>
    <w:rPr>
      <w:rFonts w:ascii="Times New Roman" w:hAnsi="Times New Roman" w:cs="Times New Roman"/>
      <w:sz w:val="24"/>
      <w:lang w:val="fr-FR"/>
    </w:rPr>
  </w:style>
  <w:style w:type="character" w:customStyle="1" w:styleId="FooterChar">
    <w:name w:val="Footer Char"/>
    <w:basedOn w:val="DefaultParagraphFont"/>
    <w:link w:val="Footer"/>
    <w:uiPriority w:val="99"/>
    <w:rsid w:val="00E81AD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81AD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1AD1"/>
    <w:pPr>
      <w:spacing w:before="0"/>
      <w:jc w:val="right"/>
    </w:pPr>
    <w:rPr>
      <w:sz w:val="28"/>
    </w:rPr>
  </w:style>
  <w:style w:type="paragraph" w:customStyle="1" w:styleId="FooterSensitivity">
    <w:name w:val="Footer Sensitivity"/>
    <w:basedOn w:val="Normal"/>
    <w:rsid w:val="00E81AD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81AD1"/>
    <w:pPr>
      <w:tabs>
        <w:tab w:val="center" w:pos="4535"/>
        <w:tab w:val="right" w:pos="9071"/>
      </w:tabs>
      <w:spacing w:before="0"/>
    </w:pPr>
  </w:style>
  <w:style w:type="paragraph" w:customStyle="1" w:styleId="HeaderLandscape">
    <w:name w:val="HeaderLandscape"/>
    <w:basedOn w:val="Normal"/>
    <w:rsid w:val="00E81AD1"/>
    <w:pPr>
      <w:tabs>
        <w:tab w:val="center" w:pos="7285"/>
        <w:tab w:val="right" w:pos="14003"/>
      </w:tabs>
      <w:spacing w:before="0"/>
    </w:pPr>
  </w:style>
  <w:style w:type="paragraph" w:styleId="Footer">
    <w:name w:val="footer"/>
    <w:basedOn w:val="Normal"/>
    <w:link w:val="FooterChar"/>
    <w:uiPriority w:val="99"/>
    <w:unhideWhenUsed/>
    <w:rsid w:val="00E81AD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81AD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8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7ccc736c7520f5083f9a5ab5bc5df0e">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bd68d7ea74b11c909c78feeb1fd432ad" ns2:_="" ns3:_="">
    <xsd:import namespace="541a8a8b-b856-4d35-a5c7-7f2c0ec3d499"/>
    <xsd:import namespace="e0757b53-df10-4b98-9811-094c4c3e23a8"/>
    <xsd:element name="properties">
      <xsd:complexType>
        <xsd:sequence>
          <xsd:element name="documentManagement">
            <xsd:complexType>
              <xsd:all>
                <xsd:element ref="ns2:Comment" minOccurs="0"/>
                <xsd:element ref="ns2:Year"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Comment" ma:index="3" nillable="true" ma:displayName="Comment" ma:format="Dropdown" ma:internalName="Comment" ma:readOnly="false">
      <xsd:simpleType>
        <xsd:restriction base="dms:Text">
          <xsd:maxLength value="255"/>
        </xsd:restriction>
      </xsd:simpleType>
    </xsd:element>
    <xsd:element name="Year" ma:index="4" nillable="true" ma:displayName="Year" ma:format="DateOnly" ma:internalName="Year"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e94bbc1f-4af1-4350-9187-1125370a984a}" ma:internalName="TaxCatchAll" ma:readOnly="false"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541a8a8b-b856-4d35-a5c7-7f2c0ec3d499" xsi:nil="true"/>
    <Year xmlns="541a8a8b-b856-4d35-a5c7-7f2c0ec3d499"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8EB9C-42D5-43A0-949C-888D88158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538F36-E798-4232-B588-5CB0982C470B}">
  <ds:schemaRefs>
    <ds:schemaRef ds:uri="http://schemas.microsoft.com/sharepoint/v3/contenttype/forms"/>
  </ds:schemaRefs>
</ds:datastoreItem>
</file>

<file path=customXml/itemProps3.xml><?xml version="1.0" encoding="utf-8"?>
<ds:datastoreItem xmlns:ds="http://schemas.openxmlformats.org/officeDocument/2006/customXml" ds:itemID="{24241097-866E-44FA-A1D4-23AB00454200}">
  <ds:schemaRefs>
    <ds:schemaRef ds:uri="http://purl.org/dc/elements/1.1/"/>
    <ds:schemaRef ds:uri="http://www.w3.org/XML/1998/namespace"/>
    <ds:schemaRef ds:uri="http://purl.org/dc/terms/"/>
    <ds:schemaRef ds:uri="http://schemas.microsoft.com/office/2006/metadata/properties"/>
    <ds:schemaRef ds:uri="http://schemas.microsoft.com/office/infopath/2007/PartnerControls"/>
    <ds:schemaRef ds:uri="541a8a8b-b856-4d35-a5c7-7f2c0ec3d499"/>
    <ds:schemaRef ds:uri="http://schemas.microsoft.com/office/2006/documentManagement/types"/>
    <ds:schemaRef ds:uri="http://purl.org/dc/dcmitype/"/>
    <ds:schemaRef ds:uri="http://schemas.openxmlformats.org/package/2006/metadata/core-properties"/>
    <ds:schemaRef ds:uri="e0757b53-df10-4b98-9811-094c4c3e23a8"/>
  </ds:schemaRefs>
</ds:datastoreItem>
</file>

<file path=customXml/itemProps4.xml><?xml version="1.0" encoding="utf-8"?>
<ds:datastoreItem xmlns:ds="http://schemas.openxmlformats.org/officeDocument/2006/customXml" ds:itemID="{C9F737D0-ECA0-4E66-B958-67F1C5997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7</Pages>
  <Words>2245</Words>
  <Characters>12799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2026-05-26T18:33:00Z</cp:lastPrinted>
  <dcterms:created xsi:type="dcterms:W3CDTF">2026-05-27T13:23:00Z</dcterms:created>
  <dcterms:modified xsi:type="dcterms:W3CDTF">2026-06-17T17:32:00Z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2025-05-19T12:42:33Z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b54c33d4-709c-40a8-bb63-c583c1551aa8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SJ-019</vt:lpwstr>
  </property>
  <property fmtid="{D5CDD505-2E9C-101B-9397-08002B2CF9AE}" pid="15" name="ContentTypeId">
    <vt:lpwstr>0x010100087E4EC354ADFB40AC5D4FC129E379BA</vt:lpwstr>
  </property>
  <property fmtid="{D5CDD505-2E9C-101B-9397-08002B2CF9AE}" pid="16" name="MediaServiceImageTags">
    <vt:lpwstr/>
  </property>
  <property fmtid="{D5CDD505-2E9C-101B-9397-08002B2CF9AE}" pid="17" name="DQCStatus">
    <vt:lpwstr>Green (DQC version 03)</vt:lpwstr>
  </property>
</Properties>
</file>