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2DD9D" w14:textId="53B9F971" w:rsidR="002B26AA" w:rsidRPr="00C01CBA" w:rsidRDefault="00A1592E" w:rsidP="00A1592E">
      <w:pPr>
        <w:pStyle w:val="Pagedecouverture"/>
        <w:rPr>
          <w:noProof/>
        </w:rPr>
      </w:pPr>
      <w:r>
        <w:rPr>
          <w:noProof/>
        </w:rPr>
        <w:pict w14:anchorId="61AE33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1FADA9-D7F3-4E28-854D-FBF9B66849C3" style="width:455.25pt;height:330pt">
            <v:imagedata r:id="rId11" o:title=""/>
          </v:shape>
        </w:pict>
      </w:r>
    </w:p>
    <w:p w14:paraId="6FCCC18D" w14:textId="77777777" w:rsidR="00923B41" w:rsidRPr="00C01CBA" w:rsidRDefault="00923B41">
      <w:pPr>
        <w:spacing w:before="0" w:after="200" w:line="276" w:lineRule="auto"/>
        <w:jc w:val="left"/>
        <w:rPr>
          <w:b/>
          <w:noProof/>
          <w:u w:val="single"/>
        </w:rPr>
        <w:sectPr w:rsidR="00923B41" w:rsidRPr="00C01CBA" w:rsidSect="00A1592E">
          <w:footerReference w:type="even" r:id="rId12"/>
          <w:footerReference w:type="default" r:id="rId13"/>
          <w:pgSz w:w="11907" w:h="16839"/>
          <w:pgMar w:top="1134" w:right="1417" w:bottom="1134" w:left="1417" w:header="709" w:footer="709" w:gutter="0"/>
          <w:pgNumType w:start="0"/>
          <w:cols w:space="720"/>
          <w:docGrid w:linePitch="360"/>
        </w:sectPr>
      </w:pPr>
    </w:p>
    <w:p w14:paraId="1D2A1F42" w14:textId="77777777" w:rsidR="002B26AA" w:rsidRPr="00C01CBA" w:rsidRDefault="002B26AA">
      <w:pPr>
        <w:pStyle w:val="Exposdesmotifstitre"/>
        <w:rPr>
          <w:noProof/>
        </w:rPr>
      </w:pPr>
      <w:bookmarkStart w:id="0" w:name="_GoBack"/>
      <w:bookmarkEnd w:id="0"/>
      <w:r w:rsidRPr="00C01CBA">
        <w:rPr>
          <w:noProof/>
        </w:rPr>
        <w:lastRenderedPageBreak/>
        <w:t>EXPUNERE DE MOTIVE</w:t>
      </w:r>
    </w:p>
    <w:p w14:paraId="73FDE324" w14:textId="77777777" w:rsidR="002B26AA" w:rsidRPr="00C01CBA" w:rsidRDefault="002B26AA">
      <w:pPr>
        <w:rPr>
          <w:noProof/>
        </w:rPr>
      </w:pPr>
    </w:p>
    <w:p w14:paraId="6DFFD6CF" w14:textId="77777777" w:rsidR="00E811BB" w:rsidRPr="00C01CBA" w:rsidRDefault="00E811BB" w:rsidP="00E811BB">
      <w:pPr>
        <w:ind w:right="85"/>
        <w:rPr>
          <w:noProof/>
        </w:rPr>
      </w:pPr>
      <w:bookmarkStart w:id="1" w:name="_Hlk198218552"/>
      <w:r w:rsidRPr="00C01CBA">
        <w:rPr>
          <w:noProof/>
        </w:rPr>
        <w:t>Tratatul privind funcționarea Uniunii Europene impune ca statele membre să își considere politicile economice și promovarea ocupării forței de muncă drept chestiuni de interes comun și să își coordoneze acțiunile în cadrul Consiliului. Consiliul are obligația de a adopta orientări privind ocuparea forței de muncă (articolul 148), care trebuie să fie compatibile cu orientările generale de politică economică (articolul 121).</w:t>
      </w:r>
    </w:p>
    <w:p w14:paraId="0AE0B16C" w14:textId="5AB6DD02" w:rsidR="00E811BB" w:rsidRPr="00C01CBA" w:rsidRDefault="00E811BB" w:rsidP="001C11E4">
      <w:pPr>
        <w:ind w:left="-6" w:right="85"/>
        <w:rPr>
          <w:noProof/>
        </w:rPr>
      </w:pPr>
      <w:r w:rsidRPr="00C01CBA">
        <w:rPr>
          <w:noProof/>
        </w:rPr>
        <w:t>În timp ce orientările generale de politică economică sunt valabile pentru o perioadă de timp nedefinită, orientările privind ocuparea forței de muncă trebuie elaborate în fiecare an. Ambele seturi de orientări au fost adoptate împreună („pachetul integrat”) în 2010 și au stat la baza Strategiei Europa 2020, iar în 2015 au fost adoptate orientări integrate revizuite. În ceea ce privește orientările privind ocuparea forței de muncă, începând cu 2018 s-a dezvoltat o practică de alternanță între o actualizare completă (care acoperă atât considerentele, cât și orientările propriu-zise) o dată la doi ani și o „prelungire a valabilității” (actualizarea considerentelor și menținerea orientărilor neschimbate) în anul intermediar. În urma unei actualizări complete efectuate în 2024, în 2025 a avut loc o prelungire a valabilității. Astfel, anul acesta, sunt în curs de actualizare atât orientările propriu-zise, cât și considerentele. Orientările includ noi elemente, în special cu privire la: (i) calitatea locurilor de muncă [în legătură cu foaia de parcurs privind locurile de muncă de calitate prezentată de Comisie în decembrie 2025 și cu activitatea Comitetului pentru ocuparea forței de muncă (EMCO) privind diferitele dimensiuni ale calității locurilor de muncă și cadrul de monitorizare aferent]; (ii) competențe și educație (în conformitate cu noua Recomandare a Consiliului privind capitalul uman, prezentată de Comisie în noiembrie 2025 și adoptată de Consiliu în martie 2026); și (iii) reducerea sărăciei și incluziunea socială (în conformitate cu strategia pentru combaterea sărăciei prezentată de Comisie în mai 2026). De asemenea, orientările au fost semnificativ ameliorate pentru a se evita repetițiile și pentru a se îmbunătăți lizibilitatea. Considerentele au fost, la rândul lor, actualizate în funcție de contextul socioeconomic actual și de cele mai recente inițiative de politică.</w:t>
      </w:r>
      <w:r w:rsidR="00C01CBA">
        <w:rPr>
          <w:noProof/>
        </w:rPr>
        <w:t xml:space="preserve"> </w:t>
      </w:r>
    </w:p>
    <w:p w14:paraId="69033733" w14:textId="0A17B0CB" w:rsidR="005416F9" w:rsidRPr="00C01CBA" w:rsidRDefault="005416F9" w:rsidP="001C11E4">
      <w:pPr>
        <w:ind w:left="-6" w:right="85"/>
        <w:rPr>
          <w:noProof/>
        </w:rPr>
      </w:pPr>
      <w:r w:rsidRPr="00C01CBA">
        <w:rPr>
          <w:noProof/>
        </w:rPr>
        <w:t xml:space="preserve">Alături de orientările generale ale politicilor economice, orientările pentru politicile de ocupare a forței de muncă sunt prezentate sub forma unei decizii a Consiliului privind orientările pentru politicile de ocupare a forței de muncă ale statelor membre (partea a II-a a Orientărilor integrate) și furnizează baza pentru recomandările specifice fiecărei țări în domeniile respective. </w:t>
      </w:r>
    </w:p>
    <w:bookmarkEnd w:id="1"/>
    <w:p w14:paraId="3B699DDB" w14:textId="77777777" w:rsidR="005416F9" w:rsidRPr="00C01CBA" w:rsidRDefault="005416F9" w:rsidP="001C11E4">
      <w:pPr>
        <w:jc w:val="left"/>
        <w:rPr>
          <w:noProof/>
        </w:rPr>
      </w:pPr>
      <w:r w:rsidRPr="00C01CBA">
        <w:rPr>
          <w:noProof/>
        </w:rPr>
        <w:t xml:space="preserve"> </w:t>
      </w:r>
    </w:p>
    <w:p w14:paraId="5DD9BDD6" w14:textId="77777777" w:rsidR="005416F9" w:rsidRPr="00C01CBA" w:rsidRDefault="005416F9" w:rsidP="001C11E4">
      <w:pPr>
        <w:ind w:left="-6" w:right="85"/>
        <w:rPr>
          <w:noProof/>
        </w:rPr>
      </w:pPr>
      <w:r w:rsidRPr="00C01CBA">
        <w:rPr>
          <w:noProof/>
        </w:rPr>
        <w:t xml:space="preserve">„Orientările privind ocuparea forței de muncă” revizuite sunt următoarele: </w:t>
      </w:r>
    </w:p>
    <w:p w14:paraId="0554AE6F" w14:textId="77777777" w:rsidR="005416F9" w:rsidRPr="00C01CBA" w:rsidRDefault="005416F9" w:rsidP="001C11E4">
      <w:pPr>
        <w:ind w:left="-6" w:right="85"/>
        <w:rPr>
          <w:noProof/>
        </w:rPr>
      </w:pPr>
      <w:r w:rsidRPr="00C01CBA">
        <w:rPr>
          <w:noProof/>
        </w:rPr>
        <w:t xml:space="preserve">Orientarea 5: Stimularea cererii de forță de muncă </w:t>
      </w:r>
    </w:p>
    <w:p w14:paraId="1CB49D30" w14:textId="0C29A2FB" w:rsidR="005416F9" w:rsidRPr="00C01CBA" w:rsidRDefault="005416F9" w:rsidP="001C11E4">
      <w:pPr>
        <w:ind w:left="-6" w:right="85"/>
        <w:rPr>
          <w:noProof/>
        </w:rPr>
      </w:pPr>
      <w:r w:rsidRPr="00C01CBA">
        <w:rPr>
          <w:noProof/>
        </w:rPr>
        <w:t>Orientarea 6: Îmbunătățirea ofertei de forță de muncă și ameliorarea accesului la locuri de muncă, dobândirea de aptitudini și competențe pe tot parcursul vieții</w:t>
      </w:r>
      <w:r w:rsidR="00C01CBA">
        <w:rPr>
          <w:noProof/>
        </w:rPr>
        <w:t xml:space="preserve"> </w:t>
      </w:r>
    </w:p>
    <w:p w14:paraId="57FEEB24" w14:textId="77777777" w:rsidR="005416F9" w:rsidRPr="00C01CBA" w:rsidRDefault="005416F9" w:rsidP="001C11E4">
      <w:pPr>
        <w:ind w:left="-6" w:right="85"/>
        <w:rPr>
          <w:noProof/>
        </w:rPr>
      </w:pPr>
      <w:r w:rsidRPr="00C01CBA">
        <w:rPr>
          <w:noProof/>
        </w:rPr>
        <w:t xml:space="preserve">Orientarea 7: Îmbunătățirea funcționării piețelor muncii și a eficacității dialogului social </w:t>
      </w:r>
    </w:p>
    <w:p w14:paraId="698FA076" w14:textId="4D22AF6A" w:rsidR="005416F9" w:rsidRPr="00C01CBA" w:rsidRDefault="005416F9" w:rsidP="001C11E4">
      <w:pPr>
        <w:ind w:left="-6" w:right="85"/>
        <w:rPr>
          <w:noProof/>
        </w:rPr>
      </w:pPr>
      <w:r w:rsidRPr="00C01CBA">
        <w:rPr>
          <w:noProof/>
        </w:rPr>
        <w:t xml:space="preserve">Orientarea 8: Promovarea egalității de șanse pentru toți, încurajarea incluziunii sociale, prevenirea și combaterea sărăciei </w:t>
      </w:r>
    </w:p>
    <w:p w14:paraId="460BCDA5" w14:textId="77777777" w:rsidR="005416F9" w:rsidRPr="00C01CBA" w:rsidRDefault="005416F9">
      <w:pPr>
        <w:rPr>
          <w:noProof/>
        </w:rPr>
        <w:sectPr w:rsidR="005416F9" w:rsidRPr="00C01CBA" w:rsidSect="00A1592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08"/>
          <w:docGrid w:linePitch="360"/>
        </w:sectPr>
      </w:pPr>
    </w:p>
    <w:p w14:paraId="4DDD19AB" w14:textId="2E6D05A0" w:rsidR="00EC28D4" w:rsidRPr="00C01CBA" w:rsidRDefault="007C7936" w:rsidP="007C7936">
      <w:pPr>
        <w:pStyle w:val="Rfrenceinterinstitutionnelle"/>
        <w:rPr>
          <w:noProof/>
        </w:rPr>
      </w:pPr>
      <w:r>
        <w:rPr>
          <w:noProof/>
        </w:rPr>
        <w:lastRenderedPageBreak/>
        <w:t>2026/0137 (NLE)</w:t>
      </w:r>
    </w:p>
    <w:p w14:paraId="362E9016" w14:textId="1884FC8C" w:rsidR="002B26AA" w:rsidRPr="00C01CBA" w:rsidRDefault="007C7936" w:rsidP="007C7936">
      <w:pPr>
        <w:pStyle w:val="Statut"/>
        <w:rPr>
          <w:noProof/>
        </w:rPr>
      </w:pPr>
      <w:r w:rsidRPr="00C01CBA">
        <w:rPr>
          <w:noProof/>
        </w:rPr>
        <w:t>Propunere de</w:t>
      </w:r>
    </w:p>
    <w:p w14:paraId="335A631A" w14:textId="67F90E6A" w:rsidR="002B26AA" w:rsidRPr="00C01CBA" w:rsidRDefault="007C7936" w:rsidP="007C7936">
      <w:pPr>
        <w:pStyle w:val="Typedudocument"/>
        <w:rPr>
          <w:noProof/>
        </w:rPr>
      </w:pPr>
      <w:r w:rsidRPr="00C01CBA">
        <w:rPr>
          <w:noProof/>
        </w:rPr>
        <w:t>DECIZIE A CONSILIULUI</w:t>
      </w:r>
    </w:p>
    <w:p w14:paraId="2D989E62" w14:textId="2D966385" w:rsidR="002B26AA" w:rsidRPr="00C01CBA" w:rsidRDefault="007C7936" w:rsidP="007C7936">
      <w:pPr>
        <w:pStyle w:val="Titreobjet"/>
        <w:rPr>
          <w:noProof/>
        </w:rPr>
      </w:pPr>
      <w:r w:rsidRPr="00C01CBA">
        <w:rPr>
          <w:noProof/>
        </w:rPr>
        <w:t>privind orientările pentru politicile de ocupare a forței de muncă ale statelor membre</w:t>
      </w:r>
    </w:p>
    <w:p w14:paraId="5300E972" w14:textId="77777777" w:rsidR="002B26AA" w:rsidRPr="00C01CBA" w:rsidRDefault="002B26AA">
      <w:pPr>
        <w:pStyle w:val="Institutionquiagit"/>
        <w:rPr>
          <w:noProof/>
        </w:rPr>
      </w:pPr>
      <w:r w:rsidRPr="00C01CBA">
        <w:rPr>
          <w:noProof/>
        </w:rPr>
        <w:t>CONSILIUL UNIUNII EUROPENE,</w:t>
      </w:r>
    </w:p>
    <w:p w14:paraId="65089E11" w14:textId="77777777" w:rsidR="002B26AA" w:rsidRPr="00C01CBA" w:rsidRDefault="002B26AA">
      <w:pPr>
        <w:rPr>
          <w:noProof/>
        </w:rPr>
      </w:pPr>
      <w:r w:rsidRPr="00C01CBA">
        <w:rPr>
          <w:noProof/>
        </w:rPr>
        <w:t>având în vedere Tratatul privind funcționarea Uniunii Europene, în special articolul 148 alineatul (2),</w:t>
      </w:r>
    </w:p>
    <w:p w14:paraId="16A4E259" w14:textId="77777777" w:rsidR="002B26AA" w:rsidRPr="00C01CBA" w:rsidRDefault="002B26AA">
      <w:pPr>
        <w:rPr>
          <w:noProof/>
        </w:rPr>
      </w:pPr>
      <w:r w:rsidRPr="00C01CBA">
        <w:rPr>
          <w:noProof/>
        </w:rPr>
        <w:t>având în vedere propunerea Comisiei Europene,</w:t>
      </w:r>
    </w:p>
    <w:p w14:paraId="4E8C2096" w14:textId="77777777" w:rsidR="00AF77B2" w:rsidRPr="00C01CBA" w:rsidRDefault="00AF77B2" w:rsidP="00AF77B2">
      <w:pPr>
        <w:rPr>
          <w:noProof/>
        </w:rPr>
      </w:pPr>
      <w:r w:rsidRPr="00C01CBA">
        <w:rPr>
          <w:noProof/>
        </w:rPr>
        <w:t>având în vedere avizul Parlamentului European (</w:t>
      </w:r>
      <w:r w:rsidRPr="00C01CBA">
        <w:rPr>
          <w:rStyle w:val="FootnoteReference"/>
          <w:noProof/>
        </w:rPr>
        <w:footnoteReference w:id="2"/>
      </w:r>
      <w:r w:rsidRPr="00C01CBA">
        <w:rPr>
          <w:noProof/>
        </w:rPr>
        <w:t>),</w:t>
      </w:r>
    </w:p>
    <w:p w14:paraId="70CAF36E" w14:textId="77777777" w:rsidR="00AF77B2" w:rsidRPr="00C01CBA" w:rsidRDefault="00AF77B2" w:rsidP="00AF77B2">
      <w:pPr>
        <w:rPr>
          <w:noProof/>
        </w:rPr>
      </w:pPr>
      <w:r w:rsidRPr="00C01CBA">
        <w:rPr>
          <w:noProof/>
        </w:rPr>
        <w:t>având în vedere avizul Comitetului Economic și Social European (</w:t>
      </w:r>
      <w:r w:rsidRPr="00C01CBA">
        <w:rPr>
          <w:rStyle w:val="FootnoteReference"/>
          <w:noProof/>
        </w:rPr>
        <w:footnoteReference w:id="3"/>
      </w:r>
      <w:r w:rsidRPr="00C01CBA">
        <w:rPr>
          <w:noProof/>
        </w:rPr>
        <w:t>),</w:t>
      </w:r>
    </w:p>
    <w:p w14:paraId="34E9B41B" w14:textId="77777777" w:rsidR="00AF77B2" w:rsidRPr="00C01CBA" w:rsidRDefault="00AF77B2" w:rsidP="00AF77B2">
      <w:pPr>
        <w:rPr>
          <w:noProof/>
        </w:rPr>
      </w:pPr>
      <w:r w:rsidRPr="00C01CBA">
        <w:rPr>
          <w:noProof/>
        </w:rPr>
        <w:t>după consultarea Comitetului Regiunilor,</w:t>
      </w:r>
    </w:p>
    <w:p w14:paraId="04AF2E14" w14:textId="77777777" w:rsidR="00AF77B2" w:rsidRPr="00C01CBA" w:rsidRDefault="00AF77B2" w:rsidP="00AF77B2">
      <w:pPr>
        <w:rPr>
          <w:noProof/>
        </w:rPr>
      </w:pPr>
      <w:r w:rsidRPr="00C01CBA">
        <w:rPr>
          <w:noProof/>
        </w:rPr>
        <w:t>având în vedere avizul Comitetului pentru ocuparea forței de muncă (</w:t>
      </w:r>
      <w:r w:rsidRPr="00C01CBA">
        <w:rPr>
          <w:rStyle w:val="FootnoteReference"/>
          <w:noProof/>
        </w:rPr>
        <w:footnoteReference w:id="4"/>
      </w:r>
      <w:r w:rsidRPr="00C01CBA">
        <w:rPr>
          <w:noProof/>
        </w:rPr>
        <w:t>),</w:t>
      </w:r>
    </w:p>
    <w:p w14:paraId="4F876691" w14:textId="77777777" w:rsidR="002B26AA" w:rsidRPr="00C01CBA" w:rsidRDefault="002B26AA">
      <w:pPr>
        <w:rPr>
          <w:noProof/>
        </w:rPr>
      </w:pPr>
      <w:r w:rsidRPr="00C01CBA">
        <w:rPr>
          <w:noProof/>
        </w:rPr>
        <w:t>întrucât:</w:t>
      </w:r>
    </w:p>
    <w:p w14:paraId="1876B673" w14:textId="7FD42082" w:rsidR="000A7726" w:rsidRPr="00C01CBA" w:rsidRDefault="000A7726" w:rsidP="000A7726">
      <w:pPr>
        <w:pStyle w:val="ManualConsidrant"/>
        <w:rPr>
          <w:noProof/>
        </w:rPr>
      </w:pPr>
      <w:r w:rsidRPr="00C01CBA">
        <w:rPr>
          <w:noProof/>
        </w:rPr>
        <w:t>(1)</w:t>
      </w:r>
      <w:r w:rsidRPr="00C01CBA">
        <w:rPr>
          <w:noProof/>
        </w:rPr>
        <w:tab/>
        <w:t xml:space="preserve">Statele membre și Uniunea trebuie să depună eforturi în vederea elaborării unei strategii coordonate pentru ocuparea forței de muncă, în special pentru promovarea unei forțe de muncă competente, calificate și adaptabile, precum și a unor piețe ale muncii favorabile incluziunii și reziliente, în vederea realizării obiectivelor de ocupare deplină a forței de muncă și de progres social, precum și de creștere economică echilibrată, stabilite la articolul 3 din Tratatul privind Uniunea Europeană (TUE). Statele membre trebuie să considere promovarea ocupării forței de muncă drept o chestiune de interes comun și să își coordoneze acțiunile întreprinse în acest sens în cadrul Consiliului. </w:t>
      </w:r>
    </w:p>
    <w:p w14:paraId="4EC8F9C4" w14:textId="6C7B560D" w:rsidR="00FE3F47" w:rsidRPr="00C01CBA" w:rsidRDefault="000A7726" w:rsidP="00FE3F47">
      <w:pPr>
        <w:pStyle w:val="ManualConsidrant"/>
        <w:rPr>
          <w:rFonts w:asciiTheme="majorBidi" w:hAnsiTheme="majorBidi" w:cstheme="majorBidi"/>
          <w:noProof/>
          <w:szCs w:val="24"/>
        </w:rPr>
      </w:pPr>
      <w:r w:rsidRPr="00C01CBA">
        <w:rPr>
          <w:noProof/>
        </w:rPr>
        <w:t>(2)</w:t>
      </w:r>
      <w:r w:rsidRPr="00C01CBA">
        <w:rPr>
          <w:noProof/>
        </w:rPr>
        <w:tab/>
      </w:r>
      <w:r w:rsidRPr="00C01CBA">
        <w:rPr>
          <w:rFonts w:asciiTheme="majorBidi" w:hAnsiTheme="majorBidi"/>
          <w:noProof/>
        </w:rPr>
        <w:t xml:space="preserve">Uniunea trebuie să combată excluziunea socială și discriminările și să promoveze justiția socială și protecția socială, precum și egalitatea între femei și bărbați, solidaritatea între generații și protecția drepturilor copilului, astfel cum se prevede la articolul 3 din TUE. În definirea și punerea în aplicare a politicilor și acțiunilor sale, Uniunea trebuie să țină seama de cerințele privind promovarea unui nivel ridicat al ocupării forței de muncă, garantarea unei protecții sociale corespunzătoare, combaterea excluziunii sociale și de cerințele privind un nivel ridicat de educație, de formare profesională și de protecție a sănătății umane, astfel cum este stabilit la articolul 9 din Tratatul privind funcționarea Uniunii Europene (TFUE). </w:t>
      </w:r>
    </w:p>
    <w:p w14:paraId="63FE654B" w14:textId="4B0666B5" w:rsidR="00FE3F47" w:rsidRPr="00C01CBA" w:rsidRDefault="000A7726" w:rsidP="00FE3F47">
      <w:pPr>
        <w:pStyle w:val="ManualConsidrant"/>
        <w:rPr>
          <w:rFonts w:asciiTheme="majorBidi" w:hAnsiTheme="majorBidi" w:cstheme="majorBidi"/>
          <w:noProof/>
        </w:rPr>
      </w:pPr>
      <w:r w:rsidRPr="00C01CBA">
        <w:rPr>
          <w:noProof/>
        </w:rPr>
        <w:t>(3)</w:t>
      </w:r>
      <w:r w:rsidRPr="00C01CBA">
        <w:rPr>
          <w:noProof/>
        </w:rPr>
        <w:tab/>
      </w:r>
      <w:r w:rsidRPr="00C01CBA">
        <w:rPr>
          <w:rFonts w:asciiTheme="majorBidi" w:hAnsiTheme="majorBidi"/>
          <w:noProof/>
        </w:rPr>
        <w:t>În conformitate cu TFUE, Uniunea a elaborat și a pus în aplicare un cadru integrat de coordonare pentru politicile economice și de ocupare a forței de muncă, în contextul semestrului european(</w:t>
      </w:r>
      <w:r w:rsidRPr="00C01CBA">
        <w:rPr>
          <w:rStyle w:val="FootnoteReference"/>
          <w:rFonts w:asciiTheme="majorBidi" w:hAnsiTheme="majorBidi" w:cstheme="majorBidi"/>
          <w:noProof/>
        </w:rPr>
        <w:footnoteReference w:id="5"/>
      </w:r>
      <w:r w:rsidRPr="00C01CBA">
        <w:rPr>
          <w:rFonts w:asciiTheme="majorBidi" w:hAnsiTheme="majorBidi"/>
          <w:noProof/>
        </w:rPr>
        <w:t xml:space="preserve">). Semestrul european este aliniat la Busola pentru </w:t>
      </w:r>
      <w:r w:rsidRPr="00C01CBA">
        <w:rPr>
          <w:rFonts w:asciiTheme="majorBidi" w:hAnsiTheme="majorBidi"/>
          <w:noProof/>
        </w:rPr>
        <w:lastRenderedPageBreak/>
        <w:t>competitivitate, care oferă un cadru pentru stimularea competitivității prin eliminarea decalajului în materie de inovare, decarbonizarea economiei noastre, reducerea dependențelor excesive și sporirea securității. Busola identifică</w:t>
      </w:r>
      <w:r w:rsidRPr="00C01CBA">
        <w:rPr>
          <w:noProof/>
        </w:rPr>
        <w:t xml:space="preserve"> competențele, locurile de muncă de calitate și echitatea socială printre factorii favorizanți orizontali.</w:t>
      </w:r>
      <w:r w:rsidRPr="00C01CBA">
        <w:rPr>
          <w:rFonts w:asciiTheme="majorBidi" w:hAnsiTheme="majorBidi"/>
          <w:noProof/>
        </w:rPr>
        <w:t xml:space="preserve"> Semestrul european integrează, de asemenea, principiile Pilonului european al drepturilor sociale, proclamat de Parlamentul European, Consiliu și Comisie în noiembrie 2017(</w:t>
      </w:r>
      <w:r w:rsidRPr="00C01CBA">
        <w:rPr>
          <w:rStyle w:val="FootnoteReference"/>
          <w:noProof/>
        </w:rPr>
        <w:footnoteReference w:id="6"/>
      </w:r>
      <w:r w:rsidRPr="00C01CBA">
        <w:rPr>
          <w:rFonts w:asciiTheme="majorBidi" w:hAnsiTheme="majorBidi"/>
          <w:noProof/>
        </w:rPr>
        <w:t>). Acesta se bazează pe tabloul de bord social ca instrument de monitorizare. Tabloul de bord social oferă, de asemenea, baza pentru o analiză a riscurilor și a provocărilor la adresa convergenței sociale ascendente în Uniune, în contextul cadrului de convergență socială (</w:t>
      </w:r>
      <w:r w:rsidRPr="00C01CBA">
        <w:rPr>
          <w:rStyle w:val="FootnoteReference"/>
          <w:rFonts w:asciiTheme="majorBidi" w:hAnsiTheme="majorBidi" w:cstheme="majorBidi"/>
          <w:noProof/>
        </w:rPr>
        <w:footnoteReference w:id="7"/>
      </w:r>
      <w:r w:rsidRPr="00C01CBA">
        <w:rPr>
          <w:rFonts w:asciiTheme="majorBidi" w:hAnsiTheme="majorBidi"/>
          <w:noProof/>
        </w:rPr>
        <w:t>). Semestrul european prevede o colaborare strânsă cu partenerii sociali, cu societatea civilă și cu alte părți interesate. Semestrul este completat, de asemenea, de guvernanța și recomandările programului de politică privind deceniul digital.</w:t>
      </w:r>
    </w:p>
    <w:p w14:paraId="228C8859" w14:textId="72CD1C65" w:rsidR="00832FFC" w:rsidRPr="00C01CBA" w:rsidRDefault="00832FFC" w:rsidP="000A7726">
      <w:pPr>
        <w:pStyle w:val="ManualConsidrant"/>
        <w:rPr>
          <w:rFonts w:asciiTheme="majorBidi" w:hAnsiTheme="majorBidi" w:cstheme="majorBidi"/>
          <w:noProof/>
        </w:rPr>
      </w:pPr>
      <w:r w:rsidRPr="00C01CBA">
        <w:rPr>
          <w:rFonts w:asciiTheme="majorBidi" w:hAnsiTheme="majorBidi"/>
          <w:noProof/>
        </w:rPr>
        <w:t>(4)</w:t>
      </w:r>
      <w:r w:rsidRPr="00C01CBA">
        <w:rPr>
          <w:noProof/>
        </w:rPr>
        <w:tab/>
      </w:r>
      <w:r w:rsidRPr="00C01CBA">
        <w:rPr>
          <w:rFonts w:asciiTheme="majorBidi" w:hAnsiTheme="majorBidi"/>
          <w:noProof/>
        </w:rPr>
        <w:t>Ca parte a acestui cadru, orientările pentru politicile de ocupare a forței de muncă ale statelor membre (denumite în continuare „orientările pentru ocuparea forței de muncă”) prevăzute în anexa la prezenta decizie, împreună cu orientările generale pentru politicile economice ale statelor membre și ale Uniunii prevăzute în Recomandarea (UE) 2015/1184 a Consiliului(</w:t>
      </w:r>
      <w:r w:rsidRPr="00C01CBA">
        <w:rPr>
          <w:rStyle w:val="FootnoteReference"/>
          <w:noProof/>
        </w:rPr>
        <w:footnoteReference w:id="8"/>
      </w:r>
      <w:r w:rsidRPr="00C01CBA">
        <w:rPr>
          <w:rFonts w:asciiTheme="majorBidi" w:hAnsiTheme="majorBidi"/>
          <w:noProof/>
        </w:rPr>
        <w:t xml:space="preserve">), formează orientările integrate. </w:t>
      </w:r>
      <w:r w:rsidRPr="00C01CBA">
        <w:rPr>
          <w:noProof/>
        </w:rPr>
        <w:t>Orientările pentru ocuparea forței de muncă urmează să ghideze punerea în aplicare a politicilor în statele membre și în Uniune, reflectând interdependența dintre statele membre.</w:t>
      </w:r>
      <w:r w:rsidRPr="00C01CBA">
        <w:rPr>
          <w:rFonts w:asciiTheme="majorBidi" w:hAnsiTheme="majorBidi"/>
          <w:noProof/>
        </w:rPr>
        <w:t xml:space="preserve"> Setul rezultat de politici coordonate la nivelul Uniunii și la nivel național constituie un mix adecvat de politici economice, sociale și de ocupare a forței de muncă. Acesta ar trebui să producă efecte de propagare pozitive pentru piețele forței de muncă și pentru societate în general, să consolideze reziliența economică și socială și să răspundă în mod eficace provocărilor pe termen mediu și lung, inclusiv necesității de a consolida competitivitatea, inovarea și productivitatea, precum și autonomia strategică a Uniunii. Politicile economice și de ocupare a forței de muncă ale Uniunii și ale statelor membre ar trebui să meargă mână în mână cu tranziția echitabilă a Uniunii către o economie neutră din punct de vedere climatic, sustenabilă din punctul de vedere al mediului și suverană din punct de vedere digital.</w:t>
      </w:r>
    </w:p>
    <w:p w14:paraId="5682DE52" w14:textId="3CDD76C1" w:rsidR="000A7726" w:rsidRPr="00C01CBA" w:rsidRDefault="000A7726" w:rsidP="0031635C">
      <w:pPr>
        <w:pStyle w:val="ManualConsidrant"/>
        <w:rPr>
          <w:noProof/>
        </w:rPr>
      </w:pPr>
      <w:r w:rsidRPr="00C01CBA">
        <w:rPr>
          <w:noProof/>
        </w:rPr>
        <w:t>(5)</w:t>
      </w:r>
      <w:r w:rsidRPr="00C01CBA">
        <w:rPr>
          <w:noProof/>
        </w:rPr>
        <w:tab/>
      </w:r>
      <w:r w:rsidRPr="00C01CBA">
        <w:rPr>
          <w:rFonts w:asciiTheme="majorBidi" w:hAnsiTheme="majorBidi"/>
          <w:noProof/>
        </w:rPr>
        <w:t>Orientările privind ocuparea forței de muncă sunt în concordanță cu cadrul revizuit de guvernanță economică al Uniunii, care a intrat în vigoare la 30 aprilie 2024(</w:t>
      </w:r>
      <w:r w:rsidRPr="00C01CBA">
        <w:rPr>
          <w:rStyle w:val="FootnoteReference"/>
          <w:noProof/>
        </w:rPr>
        <w:footnoteReference w:id="9"/>
      </w:r>
      <w:r w:rsidRPr="00C01CBA">
        <w:rPr>
          <w:rFonts w:asciiTheme="majorBidi" w:hAnsiTheme="majorBidi"/>
          <w:noProof/>
        </w:rPr>
        <w:t xml:space="preserve">), precum și cu legislația și inițiativele existente ale Uniunii. </w:t>
      </w:r>
      <w:r w:rsidRPr="00C01CBA">
        <w:rPr>
          <w:noProof/>
        </w:rPr>
        <w:t>Printre acestea se numără Comunicarea Comisiei privind uniunea competențelor, din 5 martie 2025(</w:t>
      </w:r>
      <w:r w:rsidRPr="00C01CBA">
        <w:rPr>
          <w:rStyle w:val="FootnoteReference"/>
          <w:noProof/>
        </w:rPr>
        <w:footnoteReference w:id="10"/>
      </w:r>
      <w:r w:rsidRPr="00C01CBA">
        <w:rPr>
          <w:noProof/>
        </w:rPr>
        <w:t xml:space="preserve">), și Comunicarea Comisiei privind Strategia Uniunii Europene de combatere a sărăciei: combaterea și prevenirea sărăciei din copilărie până la bătrânețe, din 6 mai 2026, </w:t>
      </w:r>
      <w:r w:rsidRPr="00C01CBA">
        <w:rPr>
          <w:noProof/>
        </w:rPr>
        <w:lastRenderedPageBreak/>
        <w:t>precum și Recomandarea Consiliului privind capitalul uman în Uniunea Europeană, din 9 martie 2026.</w:t>
      </w:r>
    </w:p>
    <w:p w14:paraId="72ADC83C" w14:textId="340DDCBF" w:rsidR="00F8351A" w:rsidRPr="00C01CBA" w:rsidRDefault="000A7726" w:rsidP="000A7726">
      <w:pPr>
        <w:pStyle w:val="ManualConsidrant"/>
        <w:rPr>
          <w:rFonts w:asciiTheme="majorBidi" w:hAnsiTheme="majorBidi" w:cstheme="majorBidi"/>
          <w:noProof/>
        </w:rPr>
      </w:pPr>
      <w:r w:rsidRPr="00C01CBA">
        <w:rPr>
          <w:noProof/>
        </w:rPr>
        <w:t>(6)</w:t>
      </w:r>
      <w:r w:rsidRPr="00C01CBA">
        <w:rPr>
          <w:noProof/>
        </w:rPr>
        <w:tab/>
      </w:r>
      <w:r w:rsidRPr="00C01CBA">
        <w:rPr>
          <w:rFonts w:asciiTheme="majorBidi" w:hAnsiTheme="majorBidi"/>
          <w:noProof/>
        </w:rPr>
        <w:t xml:space="preserve">Pilonul drepturilor sociale stabilește douăzeci de principii și de drepturi care vin în sprijinul unor piețe ale muncii și al unor sisteme de protecție socială funcționale și echitabile. Acestea sunt structurate în jurul egalității de șanse și accesului pe piața muncii, condițiilor de lucru echitabile și protecției și incluziunii sociale. Aceste principii și drepturi oferă Uniunii o direcție strategică. Pilonul european al drepturilor sociale, împreună cu tabloul de bord social care îl însoțește, constituie, de asemenea, un set de orientări pentru monitorizarea ocupării forței de muncă, a competențelor și a performanței sociale a statelor membre, precum și a convergenței sociale ascendente în Uniune, în cadrul semestrului european. Pilonul stimulează reformele și investițiile la nivel național, regional și local, permițând reconcilierea „dimensiunii sociale” și a „pieței” în economia modernă de astăzi. </w:t>
      </w:r>
    </w:p>
    <w:p w14:paraId="79EB8648" w14:textId="5F83E3A8" w:rsidR="00696433" w:rsidRPr="00C01CBA" w:rsidRDefault="00F8351A" w:rsidP="00696433">
      <w:pPr>
        <w:pStyle w:val="ManualConsidrant"/>
        <w:rPr>
          <w:rFonts w:asciiTheme="majorBidi" w:hAnsiTheme="majorBidi" w:cstheme="majorBidi"/>
          <w:noProof/>
        </w:rPr>
      </w:pPr>
      <w:r w:rsidRPr="00C01CBA">
        <w:rPr>
          <w:noProof/>
        </w:rPr>
        <w:t>(7)</w:t>
      </w:r>
      <w:r w:rsidR="00C01CBA">
        <w:rPr>
          <w:noProof/>
        </w:rPr>
        <w:tab/>
      </w:r>
      <w:r w:rsidRPr="00C01CBA">
        <w:rPr>
          <w:noProof/>
        </w:rPr>
        <w:t>La 4 martie 2021, Comisia a prezentat un</w:t>
      </w:r>
      <w:bookmarkStart w:id="2" w:name="_Hlk131524086"/>
      <w:r w:rsidRPr="00C01CBA">
        <w:rPr>
          <w:noProof/>
        </w:rPr>
        <w:t xml:space="preserve"> </w:t>
      </w:r>
      <w:r w:rsidRPr="00C01CBA">
        <w:rPr>
          <w:rFonts w:asciiTheme="majorBidi" w:hAnsiTheme="majorBidi"/>
          <w:noProof/>
        </w:rPr>
        <w:t>plan de acțiune privind punerea în aplicare a Pilonului european al drepturilor sociale. Acesta a inclus obiective principale ale Uniunii, ambițioase, dar realiste, pentru 2030, privind ocuparea forței de muncă (cel puțin 78 % din populația cu vârste cuprinse între 20 și 64 de ani ar trebui să aibă un loc de muncă), privind competențele (cel puțin 60 % dintre adulți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Planul a cuprins, de asemenea, obiective secundare complementare</w:t>
      </w:r>
      <w:bookmarkEnd w:id="2"/>
      <w:r w:rsidRPr="00C01CBA">
        <w:rPr>
          <w:noProof/>
        </w:rPr>
        <w:t xml:space="preserve">, </w:t>
      </w:r>
      <w:r w:rsidRPr="00C01CBA">
        <w:rPr>
          <w:rFonts w:asciiTheme="majorBidi" w:hAnsiTheme="majorBidi"/>
          <w:noProof/>
        </w:rPr>
        <w:t xml:space="preserve">precum și un tablou de bord social revizuit. Obiectivele principale ale Uniunii pentru 2030 au fost salutate de șefii de stat și de guvern la Summitul social de la Porto în mai 2021 și de Consiliul European în iunie 2021. </w:t>
      </w:r>
      <w:r w:rsidRPr="00C01CBA">
        <w:rPr>
          <w:noProof/>
        </w:rPr>
        <w:t>Ele sprijină, împreună cu tabloul de bord social, monitorizarea progreselor înregistrate în direcția punerii în aplicare a principiilor Pilonului european al drepturilor sociale în contextul semestrului european.</w:t>
      </w:r>
      <w:r w:rsidRPr="00C01CBA">
        <w:rPr>
          <w:rFonts w:asciiTheme="majorBidi" w:hAnsiTheme="majorBidi"/>
          <w:noProof/>
        </w:rPr>
        <w:t xml:space="preserve"> În baza acestui cadru, statele membre au stabilit inclusiv obiective naționale ambițioase care, ținând seama în mod corespunzător de poziția inițială a fiecărui stat membru, constituie o contribuție adecvată la realizarea celor trei obiective principale ale Uniunii pentru 2030. </w:t>
      </w:r>
    </w:p>
    <w:p w14:paraId="73D68E64" w14:textId="35678D46" w:rsidR="000A7726" w:rsidRPr="00C01CBA" w:rsidRDefault="008068E7" w:rsidP="008068E7">
      <w:pPr>
        <w:pStyle w:val="ManualConsidrant"/>
        <w:rPr>
          <w:rFonts w:asciiTheme="majorBidi" w:hAnsiTheme="majorBidi" w:cstheme="majorBidi"/>
          <w:noProof/>
          <w:szCs w:val="24"/>
        </w:rPr>
      </w:pPr>
      <w:r w:rsidRPr="00C01CBA">
        <w:rPr>
          <w:rFonts w:asciiTheme="majorBidi" w:hAnsiTheme="majorBidi"/>
          <w:noProof/>
        </w:rPr>
        <w:t>(8)</w:t>
      </w:r>
      <w:r w:rsidRPr="00C01CBA">
        <w:rPr>
          <w:noProof/>
        </w:rPr>
        <w:tab/>
      </w:r>
      <w:r w:rsidRPr="00C01CBA">
        <w:rPr>
          <w:rFonts w:asciiTheme="majorBidi" w:hAnsiTheme="majorBidi"/>
          <w:noProof/>
        </w:rPr>
        <w:t xml:space="preserve">Punerea în aplicare a Pilonului european al drepturilor sociale și progresele înregistrate în îndeplinirea obiectivelor principale ale Uniunii și a obiectivelor naționale pentru 2030 sunt monitorizate în Raportul comun privind ocuparea forței de muncă adoptat de Consiliu în martie 2026 și sunt integrate în instrumentele de monitorizare pentru semestrul european. Raportul comun privind ocuparea forței de muncă conține o „analiză pe țări din prima etapă” cu privire la riscurile potențiale la adresa convergenței sociale ascendente, în conformitate cu cadrul de convergență socială. Aceasta din urmă identifică statele membre care se confruntă cu riscuri potențiale care trebuie examinate în cadrul unei „analize din a doua etapă” mai aprofundate. </w:t>
      </w:r>
    </w:p>
    <w:p w14:paraId="4051069F" w14:textId="4E3CEBCC" w:rsidR="00126A90" w:rsidRPr="00C01CBA" w:rsidRDefault="000A7726" w:rsidP="000A7726">
      <w:pPr>
        <w:pStyle w:val="ManualConsidrant"/>
        <w:rPr>
          <w:rFonts w:asciiTheme="majorBidi" w:hAnsiTheme="majorBidi" w:cstheme="majorBidi"/>
          <w:noProof/>
        </w:rPr>
      </w:pPr>
      <w:r w:rsidRPr="00C01CBA">
        <w:rPr>
          <w:noProof/>
        </w:rPr>
        <w:t>(9)</w:t>
      </w:r>
      <w:r w:rsidRPr="00C01CBA">
        <w:rPr>
          <w:noProof/>
        </w:rPr>
        <w:tab/>
      </w:r>
      <w:r w:rsidRPr="00C01CBA">
        <w:rPr>
          <w:rFonts w:asciiTheme="majorBidi" w:hAnsiTheme="majorBidi"/>
          <w:noProof/>
        </w:rPr>
        <w:t xml:space="preserve">Orientările integrate servesc drept bază pentru recomandările specifice fiecărei țări adresate de Consiliu statelor membre în cadrul semestrului european. Cu toate că se adresează statelor membre și Uniunii, orientările integrate ar trebui să fie puse în aplicare în parteneriat cu toate autoritățile naționale, regionale și locale, implicând îndeaproape parlamentele, precum și partenerii sociali și reprezentanții societății civile. Piața forței de muncă și reformele sociale ar trebui să respecte practicile naționale de dialog social și negociere colectivă, precum și autonomia partenerilor sociali. Importanța dialogului social în abordarea provocărilor de pe piața muncii </w:t>
      </w:r>
      <w:r w:rsidRPr="00C01CBA">
        <w:rPr>
          <w:rFonts w:asciiTheme="majorBidi" w:hAnsiTheme="majorBidi"/>
          <w:noProof/>
        </w:rPr>
        <w:lastRenderedPageBreak/>
        <w:t>a fost reafirmată în cadrul Summitului de la Val Duchesse</w:t>
      </w:r>
      <w:r w:rsidRPr="00C01CBA">
        <w:rPr>
          <w:noProof/>
        </w:rPr>
        <w:t xml:space="preserve"> din 2024 și în Pactul pentru dialogul social european semnat în martie 2025.</w:t>
      </w:r>
    </w:p>
    <w:p w14:paraId="6384477E" w14:textId="60A379DD" w:rsidR="00A16C46" w:rsidRPr="00C01CBA" w:rsidRDefault="00A16C46" w:rsidP="000A7726">
      <w:pPr>
        <w:pStyle w:val="ManualConsidrant"/>
        <w:rPr>
          <w:rFonts w:asciiTheme="majorBidi" w:hAnsiTheme="majorBidi" w:cstheme="majorBidi"/>
          <w:noProof/>
        </w:rPr>
      </w:pPr>
      <w:r w:rsidRPr="00C01CBA">
        <w:rPr>
          <w:rFonts w:asciiTheme="majorBidi" w:hAnsiTheme="majorBidi"/>
          <w:noProof/>
        </w:rPr>
        <w:t>(10)</w:t>
      </w:r>
      <w:r w:rsidRPr="00C01CBA">
        <w:rPr>
          <w:noProof/>
        </w:rPr>
        <w:tab/>
      </w:r>
      <w:r w:rsidRPr="00C01CBA">
        <w:rPr>
          <w:rFonts w:asciiTheme="majorBidi" w:hAnsiTheme="majorBidi"/>
          <w:noProof/>
        </w:rPr>
        <w:t>Statele membre ar trebui să utilizeze pe deplin finanțarea disponibilă din partea UE, în special Fondul social european Plus și Fondul social pentru climă, pentru a promova locurile de muncă de calitate și competențele, pentru a combate sărăcia și pentru a sprijini ocuparea forței de muncă și reformele și investițiile sociale. Astfel de măsuri includ combaterea excluziunii sociale, combaterea discriminării, asigurarea accesibilității și a incluziunii și promovarea oportunităților de perfecționare și recalificare pentru forța de muncă, învățarea pe tot parcursul vieții și educația și formarea de înaltă calitate pentru toți. Pentru perioada de finanțare de după 2027, planurile de parteneriat național și regional (PPNR) vor continua să promoveze și să consolideze eforturile integrate în aceste domenii. Orientările privind ocuparea forței de muncă ar trebui să stea la baza programării PPNR. În contextul obiectivelor generale de decarbonizare ale Uniunii, Fondul social pentru climă (</w:t>
      </w:r>
      <w:r w:rsidRPr="00C01CBA">
        <w:rPr>
          <w:rStyle w:val="FootnoteReference"/>
          <w:rFonts w:asciiTheme="majorBidi" w:hAnsiTheme="majorBidi" w:cstheme="majorBidi"/>
          <w:noProof/>
        </w:rPr>
        <w:footnoteReference w:id="11"/>
      </w:r>
      <w:r w:rsidRPr="00C01CBA">
        <w:rPr>
          <w:rFonts w:asciiTheme="majorBidi" w:hAnsiTheme="majorBidi"/>
          <w:noProof/>
        </w:rPr>
        <w:t>) va fi esențial pentru abordarea nevoilor gospodăriilor vulnerabile, ale utilizatorilor de transport vulnerabili și ale microîntreprinderilor vulnerabile.</w:t>
      </w:r>
    </w:p>
    <w:p w14:paraId="25413503" w14:textId="38DA016D" w:rsidR="000A7726" w:rsidRPr="00C01CBA" w:rsidRDefault="000A7726" w:rsidP="000A7726">
      <w:pPr>
        <w:pStyle w:val="ManualConsidrant"/>
        <w:rPr>
          <w:rFonts w:asciiTheme="majorBidi" w:hAnsiTheme="majorBidi" w:cstheme="majorBidi"/>
          <w:noProof/>
          <w:szCs w:val="24"/>
        </w:rPr>
      </w:pPr>
      <w:r w:rsidRPr="00C01CBA">
        <w:rPr>
          <w:noProof/>
        </w:rPr>
        <w:t>(11)</w:t>
      </w:r>
      <w:r w:rsidRPr="00C01CBA">
        <w:rPr>
          <w:noProof/>
        </w:rPr>
        <w:tab/>
      </w:r>
      <w:r w:rsidRPr="00C01CBA">
        <w:rPr>
          <w:rFonts w:asciiTheme="majorBidi" w:hAnsiTheme="majorBidi"/>
          <w:noProof/>
        </w:rPr>
        <w:t>Comitetul pentru ocuparea forței de muncă și Comitetul pentru protecție socială ar trebui să monitorizeze modul în care sunt puse în aplicare politicile relevante având în vedere orientările pentru ocuparea forței de muncă, în concordanță cu mandatele care le revin în temeiul</w:t>
      </w:r>
      <w:r w:rsidRPr="00C01CBA">
        <w:rPr>
          <w:noProof/>
        </w:rPr>
        <w:t xml:space="preserve"> TFUE.</w:t>
      </w:r>
      <w:r w:rsidRPr="00C01CBA">
        <w:rPr>
          <w:rFonts w:asciiTheme="majorBidi" w:hAnsiTheme="majorBidi"/>
          <w:noProof/>
        </w:rPr>
        <w:t xml:space="preserve"> Aceste comitete și grupurile de pregătire ale Consiliului implicate în coordonarea politicilor economice și sociale ar trebui să colaboreze îndeaproape. Ar trebui să fie menținut dialogul în materie de politici între Parlamentul European, Consiliu și Comisie, în special în ceea ce privește orientările pentru ocuparea forței de muncă.</w:t>
      </w:r>
    </w:p>
    <w:p w14:paraId="519B677D" w14:textId="1E757AC2" w:rsidR="000A7726" w:rsidRPr="00C01CBA" w:rsidRDefault="000A7726" w:rsidP="000A7726">
      <w:pPr>
        <w:pStyle w:val="ManualConsidrant"/>
        <w:rPr>
          <w:noProof/>
        </w:rPr>
      </w:pPr>
      <w:r w:rsidRPr="00C01CBA">
        <w:rPr>
          <w:noProof/>
        </w:rPr>
        <w:t>(12)</w:t>
      </w:r>
      <w:r w:rsidRPr="00C01CBA">
        <w:rPr>
          <w:noProof/>
        </w:rPr>
        <w:tab/>
        <w:t>A fost consultat Comitetul pentru protecție socială,</w:t>
      </w:r>
    </w:p>
    <w:p w14:paraId="22F2E4DD" w14:textId="77777777" w:rsidR="00A16C46" w:rsidRPr="00C01CBA" w:rsidRDefault="00A16C46" w:rsidP="000A7726">
      <w:pPr>
        <w:pStyle w:val="ManualConsidrant"/>
        <w:rPr>
          <w:noProof/>
        </w:rPr>
      </w:pPr>
    </w:p>
    <w:p w14:paraId="51DE177A" w14:textId="77777777" w:rsidR="002B26AA" w:rsidRPr="00C01CBA" w:rsidRDefault="002B26AA" w:rsidP="000B3C18">
      <w:pPr>
        <w:pStyle w:val="Formuledadoption"/>
        <w:rPr>
          <w:noProof/>
        </w:rPr>
      </w:pPr>
      <w:r w:rsidRPr="00C01CBA">
        <w:rPr>
          <w:noProof/>
        </w:rPr>
        <w:t xml:space="preserve">ADOPTĂ PREZENTA DECIZIE: </w:t>
      </w:r>
    </w:p>
    <w:p w14:paraId="503780D5" w14:textId="77777777" w:rsidR="002B26AA" w:rsidRPr="00C01CBA" w:rsidRDefault="002B26AA" w:rsidP="000B3C18">
      <w:pPr>
        <w:pStyle w:val="Titrearticle"/>
        <w:rPr>
          <w:noProof/>
        </w:rPr>
      </w:pPr>
      <w:r w:rsidRPr="00C01CBA">
        <w:rPr>
          <w:noProof/>
        </w:rPr>
        <w:t>Articolul 1</w:t>
      </w:r>
    </w:p>
    <w:p w14:paraId="7C56393A" w14:textId="3A2689EF" w:rsidR="000A7726" w:rsidRPr="00C01CBA" w:rsidRDefault="000A7726" w:rsidP="000A7726">
      <w:pPr>
        <w:rPr>
          <w:noProof/>
        </w:rPr>
      </w:pPr>
      <w:r w:rsidRPr="00C01CBA">
        <w:rPr>
          <w:noProof/>
        </w:rPr>
        <w:t xml:space="preserve">Se adoptă orientările pentru politicile de ocupare a forței de muncă ale statelor membre (denumite în continuare „orientările pentru ocuparea forței de muncă”), astfel cum sunt prevăzute în anexă. Orientările pentru ocuparea forței de muncă fac parte din orientările integrate. </w:t>
      </w:r>
    </w:p>
    <w:p w14:paraId="12DE5BB6" w14:textId="77777777" w:rsidR="002B26AA" w:rsidRPr="00C01CBA" w:rsidRDefault="002B26AA" w:rsidP="001141B3">
      <w:pPr>
        <w:pStyle w:val="Titrearticle"/>
        <w:rPr>
          <w:noProof/>
        </w:rPr>
      </w:pPr>
      <w:r w:rsidRPr="00C01CBA">
        <w:rPr>
          <w:noProof/>
        </w:rPr>
        <w:t xml:space="preserve">Articolul </w:t>
      </w:r>
      <w:bookmarkStart w:id="3" w:name="_Hlk126129799"/>
      <w:r w:rsidRPr="00C01CBA">
        <w:rPr>
          <w:noProof/>
        </w:rPr>
        <w:t>2</w:t>
      </w:r>
      <w:bookmarkEnd w:id="3"/>
    </w:p>
    <w:p w14:paraId="77710F7C" w14:textId="092B8AC7" w:rsidR="002B26AA" w:rsidRPr="00C01CBA" w:rsidRDefault="002B26AA" w:rsidP="000B3C18">
      <w:pPr>
        <w:keepLines/>
        <w:rPr>
          <w:noProof/>
        </w:rPr>
      </w:pPr>
      <w:r w:rsidRPr="00C01CBA">
        <w:rPr>
          <w:noProof/>
        </w:rPr>
        <w:t>Statele membre iau în considerare orientările pentru ocuparea forței de muncă în politicile lor privind ocuparea forței de muncă și în programele lor de reformă, care se raportează în conformitate cu articolul 148 alineatul (3) din TFUE.</w:t>
      </w:r>
    </w:p>
    <w:p w14:paraId="55B7823A" w14:textId="13FFDC63" w:rsidR="008D441B" w:rsidRPr="00C01CBA" w:rsidRDefault="008D441B" w:rsidP="0040126B">
      <w:pPr>
        <w:pStyle w:val="Titrearticle"/>
        <w:rPr>
          <w:noProof/>
        </w:rPr>
      </w:pPr>
      <w:r w:rsidRPr="00C01CBA">
        <w:rPr>
          <w:noProof/>
        </w:rPr>
        <w:lastRenderedPageBreak/>
        <w:t>Articolul 3</w:t>
      </w:r>
    </w:p>
    <w:p w14:paraId="14C49C93" w14:textId="6BA3A426" w:rsidR="008D441B" w:rsidRPr="00C01CBA" w:rsidRDefault="00F25183" w:rsidP="0040126B">
      <w:pPr>
        <w:keepNext/>
        <w:keepLines/>
        <w:rPr>
          <w:noProof/>
        </w:rPr>
      </w:pPr>
      <w:r w:rsidRPr="00C01CBA">
        <w:rPr>
          <w:noProof/>
        </w:rPr>
        <w:t>Prezenta decizie se adresează statelor membre.</w:t>
      </w:r>
    </w:p>
    <w:p w14:paraId="476BF4FE" w14:textId="147C1E29" w:rsidR="000A7726" w:rsidRPr="00C01CBA" w:rsidRDefault="007C7936" w:rsidP="0040126B">
      <w:pPr>
        <w:pStyle w:val="Fait"/>
        <w:rPr>
          <w:noProof/>
        </w:rPr>
      </w:pPr>
      <w:r>
        <w:rPr>
          <w:noProof/>
        </w:rPr>
        <w:t>Adoptată la Bruxelles,</w:t>
      </w:r>
    </w:p>
    <w:p w14:paraId="13A29250" w14:textId="77777777" w:rsidR="002B26AA" w:rsidRPr="00C01CBA" w:rsidRDefault="002B26AA" w:rsidP="0040126B">
      <w:pPr>
        <w:pStyle w:val="Institutionquisigne"/>
        <w:rPr>
          <w:noProof/>
        </w:rPr>
      </w:pPr>
      <w:r w:rsidRPr="00C01CBA">
        <w:rPr>
          <w:noProof/>
        </w:rPr>
        <w:tab/>
        <w:t>Pentru Consiliu</w:t>
      </w:r>
    </w:p>
    <w:p w14:paraId="5ED3B8F7" w14:textId="77777777" w:rsidR="002B26AA" w:rsidRPr="00C01CBA" w:rsidRDefault="002B26AA" w:rsidP="00045F71">
      <w:pPr>
        <w:pStyle w:val="Personnequisigne"/>
        <w:rPr>
          <w:noProof/>
          <w:color w:val="008000"/>
        </w:rPr>
      </w:pPr>
      <w:r w:rsidRPr="00C01CBA">
        <w:rPr>
          <w:noProof/>
        </w:rPr>
        <w:tab/>
        <w:t>Președintele</w:t>
      </w:r>
    </w:p>
    <w:sectPr w:rsidR="002B26AA" w:rsidRPr="00C01CBA" w:rsidSect="00A1592E">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301DA" w14:textId="77777777" w:rsidR="008344FE" w:rsidRPr="00C01CBA" w:rsidRDefault="008344FE" w:rsidP="002B26AA">
      <w:pPr>
        <w:spacing w:before="0" w:after="0"/>
      </w:pPr>
      <w:r w:rsidRPr="00C01CBA">
        <w:separator/>
      </w:r>
    </w:p>
  </w:endnote>
  <w:endnote w:type="continuationSeparator" w:id="0">
    <w:p w14:paraId="363D1C6C" w14:textId="77777777" w:rsidR="008344FE" w:rsidRPr="00C01CBA" w:rsidRDefault="008344FE" w:rsidP="002B26AA">
      <w:pPr>
        <w:spacing w:before="0" w:after="0"/>
      </w:pPr>
      <w:r w:rsidRPr="00C01CBA">
        <w:continuationSeparator/>
      </w:r>
    </w:p>
  </w:endnote>
  <w:endnote w:type="continuationNotice" w:id="1">
    <w:p w14:paraId="5C0346CA" w14:textId="77777777" w:rsidR="008344FE" w:rsidRPr="00C01CBA" w:rsidRDefault="008344F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93633" w14:textId="6D34C626" w:rsidR="00A1592E" w:rsidRPr="00A1592E" w:rsidRDefault="00A1592E" w:rsidP="00A1592E">
    <w:pPr>
      <w:pStyle w:val="Footer"/>
      <w:rPr>
        <w:rFonts w:ascii="Arial" w:hAnsi="Arial" w:cs="Arial"/>
        <w:b/>
        <w:sz w:val="48"/>
      </w:rPr>
    </w:pPr>
    <w:r w:rsidRPr="00A1592E">
      <w:rPr>
        <w:rFonts w:ascii="Arial" w:hAnsi="Arial" w:cs="Arial"/>
        <w:b/>
        <w:sz w:val="48"/>
      </w:rPr>
      <w:t>RO</w:t>
    </w:r>
    <w:r w:rsidRPr="00A1592E">
      <w:rPr>
        <w:rFonts w:ascii="Arial" w:hAnsi="Arial" w:cs="Arial"/>
        <w:b/>
        <w:sz w:val="48"/>
      </w:rPr>
      <w:tab/>
    </w:r>
    <w:r w:rsidRPr="00A1592E">
      <w:rPr>
        <w:rFonts w:ascii="Arial" w:hAnsi="Arial" w:cs="Arial"/>
        <w:b/>
        <w:sz w:val="48"/>
      </w:rPr>
      <w:tab/>
    </w:r>
    <w:r w:rsidRPr="00A1592E">
      <w:tab/>
    </w:r>
    <w:r w:rsidRPr="00A1592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74AA7" w14:textId="0231AF82" w:rsidR="00A1592E" w:rsidRPr="00A1592E" w:rsidRDefault="00A1592E" w:rsidP="00A1592E">
    <w:pPr>
      <w:pStyle w:val="Footer"/>
      <w:rPr>
        <w:rFonts w:ascii="Arial" w:hAnsi="Arial" w:cs="Arial"/>
        <w:b/>
        <w:sz w:val="48"/>
      </w:rPr>
    </w:pPr>
    <w:r w:rsidRPr="00A1592E">
      <w:rPr>
        <w:rFonts w:ascii="Arial" w:hAnsi="Arial" w:cs="Arial"/>
        <w:b/>
        <w:sz w:val="48"/>
      </w:rPr>
      <w:t>RO</w:t>
    </w:r>
    <w:r w:rsidRPr="00A1592E">
      <w:rPr>
        <w:rFonts w:ascii="Arial" w:hAnsi="Arial" w:cs="Arial"/>
        <w:b/>
        <w:sz w:val="48"/>
      </w:rPr>
      <w:tab/>
    </w:r>
    <w:r w:rsidRPr="00A1592E">
      <w:rPr>
        <w:rFonts w:ascii="Arial" w:hAnsi="Arial" w:cs="Arial"/>
        <w:b/>
        <w:sz w:val="48"/>
      </w:rPr>
      <w:tab/>
    </w:r>
    <w:r w:rsidRPr="00A1592E">
      <w:tab/>
    </w:r>
    <w:r w:rsidRPr="00A1592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CE018" w14:textId="77777777" w:rsidR="00A1592E" w:rsidRDefault="00A159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B6639" w14:textId="5890F44F" w:rsidR="00A1592E" w:rsidRPr="00A1592E" w:rsidRDefault="00A1592E" w:rsidP="00A1592E">
    <w:pPr>
      <w:pStyle w:val="Footer"/>
      <w:rPr>
        <w:rFonts w:ascii="Arial" w:hAnsi="Arial" w:cs="Arial"/>
        <w:b/>
        <w:sz w:val="48"/>
      </w:rPr>
    </w:pPr>
    <w:r w:rsidRPr="00A1592E">
      <w:rPr>
        <w:rFonts w:ascii="Arial" w:hAnsi="Arial" w:cs="Arial"/>
        <w:b/>
        <w:sz w:val="48"/>
      </w:rPr>
      <w:t>RO</w:t>
    </w:r>
    <w:r w:rsidRPr="00A1592E">
      <w:rPr>
        <w:rFonts w:ascii="Arial" w:hAnsi="Arial" w:cs="Arial"/>
        <w:b/>
        <w:sz w:val="48"/>
      </w:rPr>
      <w:tab/>
    </w:r>
    <w:r>
      <w:fldChar w:fldCharType="begin"/>
    </w:r>
    <w:r>
      <w:instrText xml:space="preserve"> PAGE  \* MERGEFORMAT </w:instrText>
    </w:r>
    <w:r>
      <w:fldChar w:fldCharType="separate"/>
    </w:r>
    <w:r w:rsidR="00A642B4">
      <w:rPr>
        <w:noProof/>
      </w:rPr>
      <w:t>0</w:t>
    </w:r>
    <w:r>
      <w:fldChar w:fldCharType="end"/>
    </w:r>
    <w:r>
      <w:tab/>
    </w:r>
    <w:r w:rsidRPr="00A1592E">
      <w:tab/>
    </w:r>
    <w:r w:rsidRPr="00A1592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37227" w14:textId="77777777" w:rsidR="00A1592E" w:rsidRDefault="00A1592E" w:rsidP="00A15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5E09F" w14:textId="77777777" w:rsidR="008344FE" w:rsidRPr="00C01CBA" w:rsidRDefault="008344FE" w:rsidP="002B26AA">
      <w:pPr>
        <w:spacing w:before="0" w:after="0"/>
      </w:pPr>
      <w:r w:rsidRPr="00C01CBA">
        <w:separator/>
      </w:r>
    </w:p>
  </w:footnote>
  <w:footnote w:type="continuationSeparator" w:id="0">
    <w:p w14:paraId="4A247416" w14:textId="77777777" w:rsidR="008344FE" w:rsidRPr="00C01CBA" w:rsidRDefault="008344FE" w:rsidP="002B26AA">
      <w:pPr>
        <w:spacing w:before="0" w:after="0"/>
      </w:pPr>
      <w:r w:rsidRPr="00C01CBA">
        <w:continuationSeparator/>
      </w:r>
    </w:p>
  </w:footnote>
  <w:footnote w:type="continuationNotice" w:id="1">
    <w:p w14:paraId="00C2CDF4" w14:textId="77777777" w:rsidR="008344FE" w:rsidRPr="00C01CBA" w:rsidRDefault="008344FE">
      <w:pPr>
        <w:spacing w:before="0" w:after="0"/>
      </w:pPr>
    </w:p>
  </w:footnote>
  <w:footnote w:id="2">
    <w:p w14:paraId="04AD45E6" w14:textId="456CDDD2" w:rsidR="00AF77B2" w:rsidRPr="00C01CBA" w:rsidRDefault="00AF77B2" w:rsidP="00AF77B2">
      <w:pPr>
        <w:pStyle w:val="FootnoteText"/>
      </w:pPr>
      <w:r w:rsidRPr="00C01CBA">
        <w:rPr>
          <w:rStyle w:val="FootnoteReference"/>
        </w:rPr>
        <w:footnoteRef/>
      </w:r>
      <w:r w:rsidRPr="00C01CBA">
        <w:tab/>
        <w:t>Avizul din DATA (urmează a se stabili) 2026 (nepublicat încă în Jurnalul Oficial).</w:t>
      </w:r>
    </w:p>
  </w:footnote>
  <w:footnote w:id="3">
    <w:p w14:paraId="065F2A0D" w14:textId="7C8699A0" w:rsidR="00AF77B2" w:rsidRPr="00C01CBA" w:rsidRDefault="00AF77B2" w:rsidP="00AF77B2">
      <w:pPr>
        <w:pStyle w:val="FootnoteText"/>
      </w:pPr>
      <w:r w:rsidRPr="00C01CBA">
        <w:rPr>
          <w:rStyle w:val="FootnoteReference"/>
        </w:rPr>
        <w:footnoteRef/>
      </w:r>
      <w:r w:rsidRPr="00C01CBA">
        <w:tab/>
        <w:t>Avizul din DATA (urmează a se stabili) 2026 (nepublicat încă în Jurnalul Oficial).</w:t>
      </w:r>
    </w:p>
  </w:footnote>
  <w:footnote w:id="4">
    <w:p w14:paraId="0BDCEF9F" w14:textId="52C0953F" w:rsidR="00AF77B2" w:rsidRPr="00C01CBA" w:rsidRDefault="00AF77B2" w:rsidP="00AF77B2">
      <w:pPr>
        <w:pStyle w:val="FootnoteText"/>
      </w:pPr>
      <w:r w:rsidRPr="00C01CBA">
        <w:rPr>
          <w:rStyle w:val="FootnoteReference"/>
        </w:rPr>
        <w:footnoteRef/>
      </w:r>
      <w:r w:rsidRPr="00C01CBA">
        <w:tab/>
        <w:t>Avizul din DATA (urmează a se stabili) 2026 (nepublicat încă în Jurnalul Oficial).</w:t>
      </w:r>
    </w:p>
  </w:footnote>
  <w:footnote w:id="5">
    <w:p w14:paraId="3FF5D3B7" w14:textId="665270E3" w:rsidR="00832FFC" w:rsidRPr="00C01CBA" w:rsidRDefault="00832FFC" w:rsidP="00832FFC">
      <w:pPr>
        <w:pStyle w:val="FootnoteText"/>
      </w:pPr>
      <w:r w:rsidRPr="00C01CBA">
        <w:rPr>
          <w:rStyle w:val="FootnoteReference"/>
        </w:rPr>
        <w:footnoteRef/>
      </w:r>
      <w:r w:rsidRPr="00C01CBA">
        <w:tab/>
      </w:r>
      <w:r w:rsidRPr="00C01CBA">
        <w:rPr>
          <w:rFonts w:asciiTheme="majorBidi" w:hAnsiTheme="majorBidi"/>
        </w:rPr>
        <w:t>Regulamentul (UE) 2024/1263 al Parlamentului European și al Consiliului din 29 aprilie 2024 privind coordonarea eficientă a politicilor economice și supravegherea bugetară multilaterală și de abrogare a Regulamentului (CE) nr. 1466/97 al Consiliului (JO</w:t>
      </w:r>
      <w:r w:rsidR="00C01CBA">
        <w:rPr>
          <w:rFonts w:asciiTheme="majorBidi" w:hAnsiTheme="majorBidi"/>
        </w:rPr>
        <w:t> </w:t>
      </w:r>
      <w:r w:rsidRPr="00C01CBA">
        <w:rPr>
          <w:rFonts w:asciiTheme="majorBidi" w:hAnsiTheme="majorBidi"/>
        </w:rPr>
        <w:t>L, 2024/1263, 30.4.2024, ELI: http://data.europa.eu/eli/reg/2024/1263/oj</w:t>
      </w:r>
      <w:r w:rsidRPr="00C01CBA">
        <w:t>).</w:t>
      </w:r>
    </w:p>
  </w:footnote>
  <w:footnote w:id="6">
    <w:p w14:paraId="365A70B7" w14:textId="37656B01" w:rsidR="00FE3F47" w:rsidRPr="00C01CBA" w:rsidRDefault="00FE3F47" w:rsidP="00FE3F47">
      <w:pPr>
        <w:pStyle w:val="FootnoteText"/>
        <w:rPr>
          <w:rFonts w:asciiTheme="majorBidi" w:hAnsiTheme="majorBidi" w:cstheme="majorBidi"/>
        </w:rPr>
      </w:pPr>
      <w:r w:rsidRPr="00C01CBA">
        <w:rPr>
          <w:rStyle w:val="FootnoteReference"/>
          <w:rFonts w:asciiTheme="majorBidi" w:hAnsiTheme="majorBidi" w:cstheme="majorBidi"/>
        </w:rPr>
        <w:footnoteRef/>
      </w:r>
      <w:r w:rsidRPr="00C01CBA">
        <w:tab/>
      </w:r>
      <w:r w:rsidRPr="00C01CBA">
        <w:rPr>
          <w:rFonts w:asciiTheme="majorBidi" w:hAnsiTheme="majorBidi"/>
        </w:rPr>
        <w:t>Proclamația interinstituțională privind Pilonul european al drepturilor sociale (JO</w:t>
      </w:r>
      <w:r w:rsidR="00C01CBA">
        <w:rPr>
          <w:rFonts w:asciiTheme="majorBidi" w:hAnsiTheme="majorBidi"/>
        </w:rPr>
        <w:t> </w:t>
      </w:r>
      <w:r w:rsidRPr="00C01CBA">
        <w:rPr>
          <w:rFonts w:asciiTheme="majorBidi" w:hAnsiTheme="majorBidi"/>
        </w:rPr>
        <w:t>C 428, 13.12.2017, p. 10).</w:t>
      </w:r>
    </w:p>
  </w:footnote>
  <w:footnote w:id="7">
    <w:p w14:paraId="12EDB06E" w14:textId="63E3FEB5" w:rsidR="00832FFC" w:rsidRPr="00C01CBA" w:rsidRDefault="00832FFC">
      <w:pPr>
        <w:pStyle w:val="FootnoteText"/>
      </w:pPr>
      <w:r w:rsidRPr="00C01CBA">
        <w:rPr>
          <w:rStyle w:val="FootnoteReference"/>
        </w:rPr>
        <w:footnoteRef/>
      </w:r>
      <w:r w:rsidRPr="00C01CBA">
        <w:tab/>
        <w:t xml:space="preserve">A se vedea articolul 3 alineatul (3) litera (b) și considerentul 8 din </w:t>
      </w:r>
      <w:r w:rsidRPr="00C01CBA">
        <w:rPr>
          <w:rFonts w:asciiTheme="majorBidi" w:hAnsiTheme="majorBidi"/>
        </w:rPr>
        <w:t>Regulamentul (UE) 2024/1263 al Parlamentului European și al Consiliului din 29 aprilie 2024.</w:t>
      </w:r>
    </w:p>
  </w:footnote>
  <w:footnote w:id="8">
    <w:p w14:paraId="1FFC7718" w14:textId="77777777" w:rsidR="000A7726" w:rsidRPr="00C01CBA" w:rsidRDefault="000A7726" w:rsidP="000A7726">
      <w:pPr>
        <w:pStyle w:val="FootnoteText"/>
        <w:rPr>
          <w:rFonts w:asciiTheme="majorBidi" w:hAnsiTheme="majorBidi" w:cstheme="majorBidi"/>
          <w:szCs w:val="24"/>
        </w:rPr>
      </w:pPr>
      <w:r w:rsidRPr="00C01CBA">
        <w:rPr>
          <w:rStyle w:val="FootnoteReference"/>
          <w:rFonts w:asciiTheme="majorBidi" w:hAnsiTheme="majorBidi" w:cstheme="majorBidi"/>
          <w:szCs w:val="24"/>
        </w:rPr>
        <w:footnoteRef/>
      </w:r>
      <w:r w:rsidRPr="00C01CBA">
        <w:tab/>
      </w:r>
      <w:r w:rsidRPr="00C01CBA">
        <w:rPr>
          <w:rFonts w:asciiTheme="majorBidi" w:hAnsiTheme="majorBidi"/>
        </w:rPr>
        <w:t>Recomandarea (UE) 2015/1184 a Consiliului din 14 iulie 2015 privind orientările generale pentru politicile economice ale statelor membre și ale Uniunii Europene (JO L 192, 18.7.2015, p. 27).</w:t>
      </w:r>
    </w:p>
  </w:footnote>
  <w:footnote w:id="9">
    <w:p w14:paraId="292DAEDE" w14:textId="0E28F9B1" w:rsidR="000A7726" w:rsidRPr="00C01CBA" w:rsidRDefault="000A7726" w:rsidP="000A7726">
      <w:pPr>
        <w:pStyle w:val="FootnoteText"/>
        <w:rPr>
          <w:rFonts w:asciiTheme="majorBidi" w:hAnsiTheme="majorBidi" w:cstheme="majorBidi"/>
          <w:szCs w:val="24"/>
        </w:rPr>
      </w:pPr>
      <w:r w:rsidRPr="00C01CBA">
        <w:rPr>
          <w:rStyle w:val="FootnoteReference"/>
          <w:rFonts w:asciiTheme="majorBidi" w:hAnsiTheme="majorBidi" w:cstheme="majorBidi"/>
          <w:szCs w:val="24"/>
        </w:rPr>
        <w:footnoteRef/>
      </w:r>
      <w:r w:rsidRPr="00C01CBA">
        <w:tab/>
      </w:r>
      <w:r w:rsidRPr="00C01CBA">
        <w:rPr>
          <w:rFonts w:asciiTheme="majorBidi" w:hAnsiTheme="majorBidi"/>
        </w:rPr>
        <w:t>Regulamentul (UE) 2024/1263 al Parlamentului European și al Consiliului din 29 aprilie 2024 privind coordonarea eficientă a politicilor economice și supravegherea bugetară multilaterală și de abrogare a Regulamentului (CE) nr. 1466/97 al Consiliului (JO</w:t>
      </w:r>
      <w:r w:rsidR="00C01CBA">
        <w:rPr>
          <w:rFonts w:asciiTheme="majorBidi" w:hAnsiTheme="majorBidi"/>
        </w:rPr>
        <w:t> </w:t>
      </w:r>
      <w:r w:rsidRPr="00C01CBA">
        <w:rPr>
          <w:rFonts w:asciiTheme="majorBidi" w:hAnsiTheme="majorBidi"/>
        </w:rPr>
        <w:t>L, 2024/1263, 30.4.2024, ELI: http://data.europa.eu/eli/reg/2024/1263/oj</w:t>
      </w:r>
      <w:r w:rsidRPr="00C01CBA">
        <w:t>).</w:t>
      </w:r>
    </w:p>
  </w:footnote>
  <w:footnote w:id="10">
    <w:p w14:paraId="65ABCFB4" w14:textId="2EADE7C6" w:rsidR="00C342EC" w:rsidRPr="00C01CBA" w:rsidRDefault="00C342EC" w:rsidP="00C342EC">
      <w:pPr>
        <w:pStyle w:val="FootnoteText"/>
      </w:pPr>
      <w:r w:rsidRPr="00C01CBA">
        <w:rPr>
          <w:rStyle w:val="FootnoteReference"/>
        </w:rPr>
        <w:footnoteRef/>
      </w:r>
      <w:r w:rsidRPr="00C01CBA">
        <w:tab/>
        <w:t>COM(2025) 90 final.</w:t>
      </w:r>
    </w:p>
  </w:footnote>
  <w:footnote w:id="11">
    <w:p w14:paraId="5B56F708" w14:textId="280116BE" w:rsidR="00A16C46" w:rsidRPr="007C7936" w:rsidRDefault="00A16C46" w:rsidP="00A16C46">
      <w:pPr>
        <w:pStyle w:val="FootnoteText"/>
        <w:rPr>
          <w:lang w:val="fr-FR"/>
        </w:rPr>
      </w:pPr>
      <w:r w:rsidRPr="00C01CBA">
        <w:rPr>
          <w:rStyle w:val="FootnoteReference"/>
        </w:rPr>
        <w:footnoteRef/>
      </w:r>
      <w:r w:rsidRPr="00C01CBA">
        <w:tab/>
        <w:t>Regulamentul (UE) 2023/955 al Parlamentului European și al Consiliului din 10 mai 2023 de instituire a Fondului social pentru climă și de abrogare a Regulamentului (UE) 2021/1060 (JO</w:t>
      </w:r>
      <w:r w:rsidR="00C01CBA">
        <w:t> </w:t>
      </w:r>
      <w:r w:rsidRPr="00C01CBA">
        <w:t>L 130, 16.5.2023,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60222" w14:textId="77777777" w:rsidR="00A1592E" w:rsidRDefault="00A15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C2D88" w14:textId="77777777" w:rsidR="00A1592E" w:rsidRDefault="00A159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num>
  <w:num w:numId="18">
    <w:abstractNumId w:val="12"/>
  </w:num>
  <w:num w:numId="19">
    <w:abstractNumId w:val="26"/>
  </w:num>
  <w:num w:numId="20">
    <w:abstractNumId w:val="6"/>
  </w:num>
  <w:num w:numId="21">
    <w:abstractNumId w:val="13"/>
  </w:num>
  <w:num w:numId="22">
    <w:abstractNumId w:val="14"/>
  </w:num>
  <w:num w:numId="23">
    <w:abstractNumId w:val="4"/>
  </w:num>
  <w:num w:numId="24">
    <w:abstractNumId w:val="25"/>
  </w:num>
  <w:num w:numId="25">
    <w:abstractNumId w:val="3"/>
  </w:num>
  <w:num w:numId="26">
    <w:abstractNumId w:val="15"/>
  </w:num>
  <w:num w:numId="27">
    <w:abstractNumId w:val="21"/>
  </w:num>
  <w:num w:numId="28">
    <w:abstractNumId w:val="22"/>
  </w:num>
  <w:num w:numId="29">
    <w:abstractNumId w:val="5"/>
  </w:num>
  <w:num w:numId="30">
    <w:abstractNumId w:val="19"/>
  </w:num>
  <w:num w:numId="31">
    <w:abstractNumId w:val="30"/>
  </w:num>
  <w:num w:numId="32">
    <w:abstractNumId w:val="23"/>
  </w:num>
  <w:num w:numId="33">
    <w:abstractNumId w:val="12"/>
  </w:num>
  <w:num w:numId="34">
    <w:abstractNumId w:val="26"/>
  </w:num>
  <w:num w:numId="35">
    <w:abstractNumId w:val="6"/>
  </w:num>
  <w:num w:numId="36">
    <w:abstractNumId w:val="13"/>
  </w:num>
  <w:num w:numId="37">
    <w:abstractNumId w:val="14"/>
  </w:num>
  <w:num w:numId="38">
    <w:abstractNumId w:val="4"/>
  </w:num>
  <w:num w:numId="39">
    <w:abstractNumId w:val="25"/>
  </w:num>
  <w:num w:numId="40">
    <w:abstractNumId w:val="3"/>
  </w:num>
  <w:num w:numId="41">
    <w:abstractNumId w:val="15"/>
  </w:num>
  <w:num w:numId="42">
    <w:abstractNumId w:val="21"/>
  </w:num>
  <w:num w:numId="43">
    <w:abstractNumId w:val="22"/>
  </w:num>
  <w:num w:numId="44">
    <w:abstractNumId w:val="5"/>
  </w:num>
  <w:num w:numId="45">
    <w:abstractNumId w:val="19"/>
  </w:num>
  <w:num w:numId="46">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19:3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51FADA9-D7F3-4E28-854D-FBF9B66849C3"/>
    <w:docVar w:name="LW_COVERPAGE_TYPE" w:val="1"/>
    <w:docVar w:name="LW_CreatedUtc" w:val="2025-05-16T17:03:24.4511158Z"/>
    <w:docVar w:name="LW_CROSSREFERENCE" w:val="&lt;UNUSED&gt;"/>
    <w:docVar w:name="LW_DocType" w:val="COM"/>
    <w:docVar w:name="LW_EMISSION" w:val="3.6.2026"/>
    <w:docVar w:name="LW_EMISSION_ISODATE" w:val="2026-06-03"/>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37"/>
    <w:docVar w:name="LW_REF.II.NEW.CP_YEAR" w:val="2026"/>
    <w:docVar w:name="LW_REF.INST.NEW" w:val="COM"/>
    <w:docVar w:name="LW_REF.INST.NEW_ADOPTED" w:val="final"/>
    <w:docVar w:name="LW_REF.INST.NEW_TEXT" w:val="(2026) 5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orient\u259?rile pentru politicile de ocupare a for\u539?ei de munc\u259? ale statelor membre"/>
    <w:docVar w:name="LW_TYPE.DOC.CP" w:val="DECIZIE A CONSILIULUI"/>
    <w:docVar w:name="LwApiVersions" w:val="LW4CoDe 1.24.5.0; LW 9.2, Build 20251112"/>
  </w:docVars>
  <w:rsids>
    <w:rsidRoot w:val="002B26AA"/>
    <w:rsid w:val="00001A78"/>
    <w:rsid w:val="00001DDE"/>
    <w:rsid w:val="00002389"/>
    <w:rsid w:val="000031DE"/>
    <w:rsid w:val="000035EF"/>
    <w:rsid w:val="000038B2"/>
    <w:rsid w:val="00003A92"/>
    <w:rsid w:val="0000520F"/>
    <w:rsid w:val="00005361"/>
    <w:rsid w:val="0000601F"/>
    <w:rsid w:val="00010588"/>
    <w:rsid w:val="00010AFA"/>
    <w:rsid w:val="000122EA"/>
    <w:rsid w:val="0001247D"/>
    <w:rsid w:val="0001265F"/>
    <w:rsid w:val="0001279A"/>
    <w:rsid w:val="00012CBB"/>
    <w:rsid w:val="00012EE9"/>
    <w:rsid w:val="00013104"/>
    <w:rsid w:val="00014E6E"/>
    <w:rsid w:val="00015815"/>
    <w:rsid w:val="0001751A"/>
    <w:rsid w:val="00020721"/>
    <w:rsid w:val="00020DAD"/>
    <w:rsid w:val="00021668"/>
    <w:rsid w:val="00021737"/>
    <w:rsid w:val="00021EA5"/>
    <w:rsid w:val="000225F2"/>
    <w:rsid w:val="00023AF6"/>
    <w:rsid w:val="00023FCF"/>
    <w:rsid w:val="0002425E"/>
    <w:rsid w:val="00024C4F"/>
    <w:rsid w:val="000250B4"/>
    <w:rsid w:val="00027282"/>
    <w:rsid w:val="0002767C"/>
    <w:rsid w:val="00030F13"/>
    <w:rsid w:val="0003155C"/>
    <w:rsid w:val="00031699"/>
    <w:rsid w:val="00031847"/>
    <w:rsid w:val="00031FF4"/>
    <w:rsid w:val="00032858"/>
    <w:rsid w:val="000348A7"/>
    <w:rsid w:val="000353DB"/>
    <w:rsid w:val="000354C9"/>
    <w:rsid w:val="000357DD"/>
    <w:rsid w:val="00037C40"/>
    <w:rsid w:val="00040556"/>
    <w:rsid w:val="0004109C"/>
    <w:rsid w:val="000412B6"/>
    <w:rsid w:val="0004138E"/>
    <w:rsid w:val="0004286C"/>
    <w:rsid w:val="000439BE"/>
    <w:rsid w:val="00044482"/>
    <w:rsid w:val="00045377"/>
    <w:rsid w:val="00045F71"/>
    <w:rsid w:val="000460C9"/>
    <w:rsid w:val="00046382"/>
    <w:rsid w:val="000465FA"/>
    <w:rsid w:val="00046BE4"/>
    <w:rsid w:val="00050E95"/>
    <w:rsid w:val="00051955"/>
    <w:rsid w:val="0005218D"/>
    <w:rsid w:val="0005274A"/>
    <w:rsid w:val="000538D9"/>
    <w:rsid w:val="0005396E"/>
    <w:rsid w:val="00055971"/>
    <w:rsid w:val="000563ED"/>
    <w:rsid w:val="0005696F"/>
    <w:rsid w:val="000569DD"/>
    <w:rsid w:val="00057107"/>
    <w:rsid w:val="00057814"/>
    <w:rsid w:val="0005790F"/>
    <w:rsid w:val="00057E07"/>
    <w:rsid w:val="00060086"/>
    <w:rsid w:val="00061857"/>
    <w:rsid w:val="00064D95"/>
    <w:rsid w:val="00064E42"/>
    <w:rsid w:val="00067399"/>
    <w:rsid w:val="00067D5A"/>
    <w:rsid w:val="00070CC2"/>
    <w:rsid w:val="00071423"/>
    <w:rsid w:val="00072C06"/>
    <w:rsid w:val="00072E4D"/>
    <w:rsid w:val="00073372"/>
    <w:rsid w:val="0007379B"/>
    <w:rsid w:val="00073A95"/>
    <w:rsid w:val="00075CE7"/>
    <w:rsid w:val="000774B7"/>
    <w:rsid w:val="000774E3"/>
    <w:rsid w:val="00081446"/>
    <w:rsid w:val="00083560"/>
    <w:rsid w:val="00084F11"/>
    <w:rsid w:val="00085C38"/>
    <w:rsid w:val="00085D78"/>
    <w:rsid w:val="00085E24"/>
    <w:rsid w:val="0008601E"/>
    <w:rsid w:val="00086E47"/>
    <w:rsid w:val="0008717D"/>
    <w:rsid w:val="00090CF8"/>
    <w:rsid w:val="00090FBA"/>
    <w:rsid w:val="0009249E"/>
    <w:rsid w:val="00095B8E"/>
    <w:rsid w:val="0009689A"/>
    <w:rsid w:val="00097B04"/>
    <w:rsid w:val="00097B70"/>
    <w:rsid w:val="000A0784"/>
    <w:rsid w:val="000A0E6C"/>
    <w:rsid w:val="000A2E8A"/>
    <w:rsid w:val="000A3588"/>
    <w:rsid w:val="000A3919"/>
    <w:rsid w:val="000A4884"/>
    <w:rsid w:val="000A506F"/>
    <w:rsid w:val="000A544F"/>
    <w:rsid w:val="000A545C"/>
    <w:rsid w:val="000A5A83"/>
    <w:rsid w:val="000A5F16"/>
    <w:rsid w:val="000A60BC"/>
    <w:rsid w:val="000A64D0"/>
    <w:rsid w:val="000A714A"/>
    <w:rsid w:val="000A7679"/>
    <w:rsid w:val="000A7726"/>
    <w:rsid w:val="000A7D46"/>
    <w:rsid w:val="000B05D8"/>
    <w:rsid w:val="000B17AA"/>
    <w:rsid w:val="000B2740"/>
    <w:rsid w:val="000B308F"/>
    <w:rsid w:val="000B356E"/>
    <w:rsid w:val="000B3671"/>
    <w:rsid w:val="000B3C18"/>
    <w:rsid w:val="000B4248"/>
    <w:rsid w:val="000B538F"/>
    <w:rsid w:val="000B575D"/>
    <w:rsid w:val="000B7250"/>
    <w:rsid w:val="000B7B57"/>
    <w:rsid w:val="000C0C96"/>
    <w:rsid w:val="000C108F"/>
    <w:rsid w:val="000C19D1"/>
    <w:rsid w:val="000C454C"/>
    <w:rsid w:val="000C4A15"/>
    <w:rsid w:val="000C5D0C"/>
    <w:rsid w:val="000C6237"/>
    <w:rsid w:val="000C6B6A"/>
    <w:rsid w:val="000C7FA0"/>
    <w:rsid w:val="000D19B2"/>
    <w:rsid w:val="000D1A75"/>
    <w:rsid w:val="000D1B2B"/>
    <w:rsid w:val="000D3839"/>
    <w:rsid w:val="000D5769"/>
    <w:rsid w:val="000D6CDF"/>
    <w:rsid w:val="000D710B"/>
    <w:rsid w:val="000E00E5"/>
    <w:rsid w:val="000E096B"/>
    <w:rsid w:val="000E0FE0"/>
    <w:rsid w:val="000E110F"/>
    <w:rsid w:val="000E3037"/>
    <w:rsid w:val="000E315D"/>
    <w:rsid w:val="000E3B89"/>
    <w:rsid w:val="000E5721"/>
    <w:rsid w:val="000E590A"/>
    <w:rsid w:val="000E7268"/>
    <w:rsid w:val="000E789B"/>
    <w:rsid w:val="000F068B"/>
    <w:rsid w:val="000F1466"/>
    <w:rsid w:val="000F27B8"/>
    <w:rsid w:val="000F27DE"/>
    <w:rsid w:val="000F353E"/>
    <w:rsid w:val="000F44A2"/>
    <w:rsid w:val="000F4945"/>
    <w:rsid w:val="000F61FC"/>
    <w:rsid w:val="000F690E"/>
    <w:rsid w:val="000F6EFC"/>
    <w:rsid w:val="000F7A7F"/>
    <w:rsid w:val="000F7FB8"/>
    <w:rsid w:val="001003CF"/>
    <w:rsid w:val="001006AC"/>
    <w:rsid w:val="00103421"/>
    <w:rsid w:val="00103500"/>
    <w:rsid w:val="00104608"/>
    <w:rsid w:val="0010531F"/>
    <w:rsid w:val="001053BE"/>
    <w:rsid w:val="00106514"/>
    <w:rsid w:val="001065F5"/>
    <w:rsid w:val="00110964"/>
    <w:rsid w:val="00111A30"/>
    <w:rsid w:val="00112BE1"/>
    <w:rsid w:val="0011307C"/>
    <w:rsid w:val="001131F3"/>
    <w:rsid w:val="001141B3"/>
    <w:rsid w:val="00115139"/>
    <w:rsid w:val="00115C73"/>
    <w:rsid w:val="00116B7C"/>
    <w:rsid w:val="00116E0F"/>
    <w:rsid w:val="0011771D"/>
    <w:rsid w:val="00120DA9"/>
    <w:rsid w:val="0012155F"/>
    <w:rsid w:val="00121ACE"/>
    <w:rsid w:val="00121B35"/>
    <w:rsid w:val="00122131"/>
    <w:rsid w:val="00122E6A"/>
    <w:rsid w:val="00123021"/>
    <w:rsid w:val="001238EF"/>
    <w:rsid w:val="00123EBE"/>
    <w:rsid w:val="001241C7"/>
    <w:rsid w:val="001259EE"/>
    <w:rsid w:val="00126A90"/>
    <w:rsid w:val="0013002B"/>
    <w:rsid w:val="00130D07"/>
    <w:rsid w:val="001310D8"/>
    <w:rsid w:val="0013203E"/>
    <w:rsid w:val="00133F4E"/>
    <w:rsid w:val="001341F9"/>
    <w:rsid w:val="00134621"/>
    <w:rsid w:val="00135284"/>
    <w:rsid w:val="00135780"/>
    <w:rsid w:val="001378A2"/>
    <w:rsid w:val="001405C7"/>
    <w:rsid w:val="00141915"/>
    <w:rsid w:val="00142223"/>
    <w:rsid w:val="00142D79"/>
    <w:rsid w:val="0014302C"/>
    <w:rsid w:val="00145EE6"/>
    <w:rsid w:val="001476B3"/>
    <w:rsid w:val="00147CBB"/>
    <w:rsid w:val="00147F77"/>
    <w:rsid w:val="00147FF0"/>
    <w:rsid w:val="001503CA"/>
    <w:rsid w:val="00150F5D"/>
    <w:rsid w:val="001510BB"/>
    <w:rsid w:val="0015150D"/>
    <w:rsid w:val="001515AE"/>
    <w:rsid w:val="00152019"/>
    <w:rsid w:val="0015262F"/>
    <w:rsid w:val="00152B6F"/>
    <w:rsid w:val="00152DAE"/>
    <w:rsid w:val="0015374E"/>
    <w:rsid w:val="00154020"/>
    <w:rsid w:val="001541FB"/>
    <w:rsid w:val="00154593"/>
    <w:rsid w:val="0015526B"/>
    <w:rsid w:val="001556C4"/>
    <w:rsid w:val="0015635C"/>
    <w:rsid w:val="00157AD5"/>
    <w:rsid w:val="00157DA9"/>
    <w:rsid w:val="001615D2"/>
    <w:rsid w:val="00162EC5"/>
    <w:rsid w:val="001640A5"/>
    <w:rsid w:val="00164468"/>
    <w:rsid w:val="001653B0"/>
    <w:rsid w:val="0016624E"/>
    <w:rsid w:val="00166498"/>
    <w:rsid w:val="00166605"/>
    <w:rsid w:val="001716CA"/>
    <w:rsid w:val="00171A85"/>
    <w:rsid w:val="00172B56"/>
    <w:rsid w:val="00172C48"/>
    <w:rsid w:val="001732FD"/>
    <w:rsid w:val="00173779"/>
    <w:rsid w:val="00177D40"/>
    <w:rsid w:val="00180E68"/>
    <w:rsid w:val="00181B65"/>
    <w:rsid w:val="00181EE9"/>
    <w:rsid w:val="001829B0"/>
    <w:rsid w:val="00183BF7"/>
    <w:rsid w:val="00183C5E"/>
    <w:rsid w:val="00184C75"/>
    <w:rsid w:val="001853EB"/>
    <w:rsid w:val="001855BA"/>
    <w:rsid w:val="001859A7"/>
    <w:rsid w:val="001864AC"/>
    <w:rsid w:val="00187BB7"/>
    <w:rsid w:val="00191F3D"/>
    <w:rsid w:val="00192A24"/>
    <w:rsid w:val="0019382B"/>
    <w:rsid w:val="00193D1B"/>
    <w:rsid w:val="00193E51"/>
    <w:rsid w:val="00196194"/>
    <w:rsid w:val="00196495"/>
    <w:rsid w:val="00196E3D"/>
    <w:rsid w:val="00197613"/>
    <w:rsid w:val="0019768D"/>
    <w:rsid w:val="001A0602"/>
    <w:rsid w:val="001A2233"/>
    <w:rsid w:val="001A24DB"/>
    <w:rsid w:val="001A2CCD"/>
    <w:rsid w:val="001A3745"/>
    <w:rsid w:val="001A3B23"/>
    <w:rsid w:val="001A469F"/>
    <w:rsid w:val="001A5CF5"/>
    <w:rsid w:val="001A69CF"/>
    <w:rsid w:val="001A6F54"/>
    <w:rsid w:val="001A784D"/>
    <w:rsid w:val="001B01B4"/>
    <w:rsid w:val="001B0A03"/>
    <w:rsid w:val="001B2253"/>
    <w:rsid w:val="001B2661"/>
    <w:rsid w:val="001B3AE4"/>
    <w:rsid w:val="001B3D36"/>
    <w:rsid w:val="001B54CA"/>
    <w:rsid w:val="001B55C5"/>
    <w:rsid w:val="001B5CAD"/>
    <w:rsid w:val="001B6190"/>
    <w:rsid w:val="001B622E"/>
    <w:rsid w:val="001B6F52"/>
    <w:rsid w:val="001C0C44"/>
    <w:rsid w:val="001C11E4"/>
    <w:rsid w:val="001C348D"/>
    <w:rsid w:val="001C3D1B"/>
    <w:rsid w:val="001C3E96"/>
    <w:rsid w:val="001C44F2"/>
    <w:rsid w:val="001C453A"/>
    <w:rsid w:val="001C485C"/>
    <w:rsid w:val="001C5332"/>
    <w:rsid w:val="001C55AB"/>
    <w:rsid w:val="001C5AE5"/>
    <w:rsid w:val="001C5B27"/>
    <w:rsid w:val="001C6AAA"/>
    <w:rsid w:val="001C7498"/>
    <w:rsid w:val="001C7561"/>
    <w:rsid w:val="001D008C"/>
    <w:rsid w:val="001D0AE4"/>
    <w:rsid w:val="001D1DE2"/>
    <w:rsid w:val="001D2233"/>
    <w:rsid w:val="001D2395"/>
    <w:rsid w:val="001D26CE"/>
    <w:rsid w:val="001D5157"/>
    <w:rsid w:val="001D541A"/>
    <w:rsid w:val="001D7105"/>
    <w:rsid w:val="001D7459"/>
    <w:rsid w:val="001D7C63"/>
    <w:rsid w:val="001D7DDE"/>
    <w:rsid w:val="001D7EAF"/>
    <w:rsid w:val="001E0B0F"/>
    <w:rsid w:val="001E0D0B"/>
    <w:rsid w:val="001E156E"/>
    <w:rsid w:val="001E2216"/>
    <w:rsid w:val="001E2A4B"/>
    <w:rsid w:val="001E2FCB"/>
    <w:rsid w:val="001E349C"/>
    <w:rsid w:val="001E4770"/>
    <w:rsid w:val="001E745A"/>
    <w:rsid w:val="001F014D"/>
    <w:rsid w:val="001F0608"/>
    <w:rsid w:val="001F0914"/>
    <w:rsid w:val="001F250B"/>
    <w:rsid w:val="001F27D4"/>
    <w:rsid w:val="001F2C87"/>
    <w:rsid w:val="001F60C2"/>
    <w:rsid w:val="001F652F"/>
    <w:rsid w:val="001F714C"/>
    <w:rsid w:val="001F772B"/>
    <w:rsid w:val="001F7732"/>
    <w:rsid w:val="001F7D97"/>
    <w:rsid w:val="002009D2"/>
    <w:rsid w:val="00200F8A"/>
    <w:rsid w:val="0020261D"/>
    <w:rsid w:val="0020290F"/>
    <w:rsid w:val="002033AC"/>
    <w:rsid w:val="002035AD"/>
    <w:rsid w:val="00204461"/>
    <w:rsid w:val="0020473F"/>
    <w:rsid w:val="00205D1B"/>
    <w:rsid w:val="00207545"/>
    <w:rsid w:val="0020765C"/>
    <w:rsid w:val="00211047"/>
    <w:rsid w:val="00213AFA"/>
    <w:rsid w:val="0021401F"/>
    <w:rsid w:val="0021439B"/>
    <w:rsid w:val="00214DE9"/>
    <w:rsid w:val="00215540"/>
    <w:rsid w:val="002156B3"/>
    <w:rsid w:val="00216AAF"/>
    <w:rsid w:val="0022044A"/>
    <w:rsid w:val="00220690"/>
    <w:rsid w:val="00220A76"/>
    <w:rsid w:val="00221EEA"/>
    <w:rsid w:val="002225CE"/>
    <w:rsid w:val="0022351C"/>
    <w:rsid w:val="00223838"/>
    <w:rsid w:val="00224328"/>
    <w:rsid w:val="00224C04"/>
    <w:rsid w:val="002260B2"/>
    <w:rsid w:val="002262A8"/>
    <w:rsid w:val="00233770"/>
    <w:rsid w:val="00233DC7"/>
    <w:rsid w:val="00234570"/>
    <w:rsid w:val="00234687"/>
    <w:rsid w:val="0023567F"/>
    <w:rsid w:val="00235B9C"/>
    <w:rsid w:val="00236307"/>
    <w:rsid w:val="002368BD"/>
    <w:rsid w:val="0023739D"/>
    <w:rsid w:val="00237526"/>
    <w:rsid w:val="00241C24"/>
    <w:rsid w:val="002429B7"/>
    <w:rsid w:val="00242CB3"/>
    <w:rsid w:val="00244483"/>
    <w:rsid w:val="00245F62"/>
    <w:rsid w:val="00246DF1"/>
    <w:rsid w:val="00246F4F"/>
    <w:rsid w:val="00246F66"/>
    <w:rsid w:val="00247779"/>
    <w:rsid w:val="00250C17"/>
    <w:rsid w:val="00251082"/>
    <w:rsid w:val="0025197F"/>
    <w:rsid w:val="00251FE8"/>
    <w:rsid w:val="00253751"/>
    <w:rsid w:val="0025375C"/>
    <w:rsid w:val="002538A2"/>
    <w:rsid w:val="00253CCE"/>
    <w:rsid w:val="00256210"/>
    <w:rsid w:val="00256723"/>
    <w:rsid w:val="00256F7C"/>
    <w:rsid w:val="00260127"/>
    <w:rsid w:val="002619D5"/>
    <w:rsid w:val="0026208B"/>
    <w:rsid w:val="002624D0"/>
    <w:rsid w:val="00263C3B"/>
    <w:rsid w:val="002640EA"/>
    <w:rsid w:val="00264967"/>
    <w:rsid w:val="00265621"/>
    <w:rsid w:val="00265732"/>
    <w:rsid w:val="00265D05"/>
    <w:rsid w:val="002671D6"/>
    <w:rsid w:val="0026737B"/>
    <w:rsid w:val="00270870"/>
    <w:rsid w:val="00270C71"/>
    <w:rsid w:val="00271975"/>
    <w:rsid w:val="00271BBE"/>
    <w:rsid w:val="00272C59"/>
    <w:rsid w:val="002730A2"/>
    <w:rsid w:val="00273A73"/>
    <w:rsid w:val="00274D86"/>
    <w:rsid w:val="00275190"/>
    <w:rsid w:val="0027637C"/>
    <w:rsid w:val="00276E1E"/>
    <w:rsid w:val="00277C00"/>
    <w:rsid w:val="00282244"/>
    <w:rsid w:val="00282872"/>
    <w:rsid w:val="00283D9A"/>
    <w:rsid w:val="00283E73"/>
    <w:rsid w:val="00284052"/>
    <w:rsid w:val="00284E28"/>
    <w:rsid w:val="00285BEE"/>
    <w:rsid w:val="0028616A"/>
    <w:rsid w:val="00287E13"/>
    <w:rsid w:val="0029101B"/>
    <w:rsid w:val="002910BF"/>
    <w:rsid w:val="002913F6"/>
    <w:rsid w:val="0029180C"/>
    <w:rsid w:val="0029308F"/>
    <w:rsid w:val="0029437E"/>
    <w:rsid w:val="0029533F"/>
    <w:rsid w:val="00295930"/>
    <w:rsid w:val="002968B6"/>
    <w:rsid w:val="002977DE"/>
    <w:rsid w:val="002A0773"/>
    <w:rsid w:val="002A0EFD"/>
    <w:rsid w:val="002A1B26"/>
    <w:rsid w:val="002A1CBA"/>
    <w:rsid w:val="002A2A01"/>
    <w:rsid w:val="002A2C8A"/>
    <w:rsid w:val="002A2FE4"/>
    <w:rsid w:val="002A384F"/>
    <w:rsid w:val="002A4867"/>
    <w:rsid w:val="002A5911"/>
    <w:rsid w:val="002A6208"/>
    <w:rsid w:val="002A6A4A"/>
    <w:rsid w:val="002A7E81"/>
    <w:rsid w:val="002B01AC"/>
    <w:rsid w:val="002B26AA"/>
    <w:rsid w:val="002B2C7C"/>
    <w:rsid w:val="002B30AF"/>
    <w:rsid w:val="002B312B"/>
    <w:rsid w:val="002B413C"/>
    <w:rsid w:val="002B4191"/>
    <w:rsid w:val="002B4A55"/>
    <w:rsid w:val="002B5A85"/>
    <w:rsid w:val="002B63A1"/>
    <w:rsid w:val="002B7DC4"/>
    <w:rsid w:val="002C17A3"/>
    <w:rsid w:val="002C183D"/>
    <w:rsid w:val="002C30C4"/>
    <w:rsid w:val="002C6107"/>
    <w:rsid w:val="002C6787"/>
    <w:rsid w:val="002C7093"/>
    <w:rsid w:val="002C7465"/>
    <w:rsid w:val="002C74E1"/>
    <w:rsid w:val="002C7E40"/>
    <w:rsid w:val="002D0018"/>
    <w:rsid w:val="002D0610"/>
    <w:rsid w:val="002D1423"/>
    <w:rsid w:val="002D1AE5"/>
    <w:rsid w:val="002D3356"/>
    <w:rsid w:val="002D36EF"/>
    <w:rsid w:val="002D45BD"/>
    <w:rsid w:val="002D78FB"/>
    <w:rsid w:val="002E0538"/>
    <w:rsid w:val="002E0DEA"/>
    <w:rsid w:val="002E39D9"/>
    <w:rsid w:val="002E467E"/>
    <w:rsid w:val="002E52A0"/>
    <w:rsid w:val="002E5D75"/>
    <w:rsid w:val="002E67C3"/>
    <w:rsid w:val="002E6910"/>
    <w:rsid w:val="002E717A"/>
    <w:rsid w:val="002E7288"/>
    <w:rsid w:val="002E7402"/>
    <w:rsid w:val="002E78B7"/>
    <w:rsid w:val="002F0668"/>
    <w:rsid w:val="002F093F"/>
    <w:rsid w:val="002F109D"/>
    <w:rsid w:val="002F17CF"/>
    <w:rsid w:val="002F17DD"/>
    <w:rsid w:val="002F205F"/>
    <w:rsid w:val="002F277A"/>
    <w:rsid w:val="002F36E5"/>
    <w:rsid w:val="002F3E80"/>
    <w:rsid w:val="002F48E8"/>
    <w:rsid w:val="002F4EAE"/>
    <w:rsid w:val="003002A9"/>
    <w:rsid w:val="0030035E"/>
    <w:rsid w:val="003018D6"/>
    <w:rsid w:val="00302E19"/>
    <w:rsid w:val="00302FE8"/>
    <w:rsid w:val="00303E54"/>
    <w:rsid w:val="0030603F"/>
    <w:rsid w:val="003062EF"/>
    <w:rsid w:val="003067ED"/>
    <w:rsid w:val="00307AE5"/>
    <w:rsid w:val="00307BDB"/>
    <w:rsid w:val="00307C6E"/>
    <w:rsid w:val="00307CB9"/>
    <w:rsid w:val="00310C5F"/>
    <w:rsid w:val="00310CC8"/>
    <w:rsid w:val="003120DF"/>
    <w:rsid w:val="00312653"/>
    <w:rsid w:val="00313DCA"/>
    <w:rsid w:val="0031467E"/>
    <w:rsid w:val="003146CF"/>
    <w:rsid w:val="0031590D"/>
    <w:rsid w:val="0031635C"/>
    <w:rsid w:val="00316512"/>
    <w:rsid w:val="0031672B"/>
    <w:rsid w:val="0032048A"/>
    <w:rsid w:val="00320AFF"/>
    <w:rsid w:val="0032245B"/>
    <w:rsid w:val="00322D99"/>
    <w:rsid w:val="00322E0B"/>
    <w:rsid w:val="00324667"/>
    <w:rsid w:val="003256C4"/>
    <w:rsid w:val="00327947"/>
    <w:rsid w:val="003279CD"/>
    <w:rsid w:val="00327AB9"/>
    <w:rsid w:val="003304BA"/>
    <w:rsid w:val="0033057F"/>
    <w:rsid w:val="00331A3A"/>
    <w:rsid w:val="00332E1F"/>
    <w:rsid w:val="0033344A"/>
    <w:rsid w:val="003339A9"/>
    <w:rsid w:val="00334542"/>
    <w:rsid w:val="00334A02"/>
    <w:rsid w:val="00334DDE"/>
    <w:rsid w:val="00335A57"/>
    <w:rsid w:val="00335D9F"/>
    <w:rsid w:val="0034024F"/>
    <w:rsid w:val="00340B3F"/>
    <w:rsid w:val="00341017"/>
    <w:rsid w:val="00342D67"/>
    <w:rsid w:val="00343278"/>
    <w:rsid w:val="00343524"/>
    <w:rsid w:val="00343F1E"/>
    <w:rsid w:val="00345968"/>
    <w:rsid w:val="003476A2"/>
    <w:rsid w:val="0035085D"/>
    <w:rsid w:val="00350F8C"/>
    <w:rsid w:val="00351753"/>
    <w:rsid w:val="00351D36"/>
    <w:rsid w:val="00352850"/>
    <w:rsid w:val="00352EAF"/>
    <w:rsid w:val="00354737"/>
    <w:rsid w:val="0035612D"/>
    <w:rsid w:val="003569E3"/>
    <w:rsid w:val="003571DF"/>
    <w:rsid w:val="00360700"/>
    <w:rsid w:val="003612CD"/>
    <w:rsid w:val="0036245C"/>
    <w:rsid w:val="00363F16"/>
    <w:rsid w:val="00363FCE"/>
    <w:rsid w:val="00364D55"/>
    <w:rsid w:val="00364E52"/>
    <w:rsid w:val="00365A95"/>
    <w:rsid w:val="00366267"/>
    <w:rsid w:val="003715B6"/>
    <w:rsid w:val="00373E4A"/>
    <w:rsid w:val="00374293"/>
    <w:rsid w:val="003749CE"/>
    <w:rsid w:val="00374A8F"/>
    <w:rsid w:val="0037624A"/>
    <w:rsid w:val="003768D4"/>
    <w:rsid w:val="003769A1"/>
    <w:rsid w:val="00377151"/>
    <w:rsid w:val="0037787E"/>
    <w:rsid w:val="00377B43"/>
    <w:rsid w:val="00377BBC"/>
    <w:rsid w:val="003801C3"/>
    <w:rsid w:val="00380C44"/>
    <w:rsid w:val="003814B1"/>
    <w:rsid w:val="00381699"/>
    <w:rsid w:val="00381A4B"/>
    <w:rsid w:val="00383474"/>
    <w:rsid w:val="0038396A"/>
    <w:rsid w:val="003848D0"/>
    <w:rsid w:val="00384C24"/>
    <w:rsid w:val="00385EDB"/>
    <w:rsid w:val="00386652"/>
    <w:rsid w:val="003866E7"/>
    <w:rsid w:val="00386F45"/>
    <w:rsid w:val="003872EB"/>
    <w:rsid w:val="00387FFD"/>
    <w:rsid w:val="0039052F"/>
    <w:rsid w:val="003912F1"/>
    <w:rsid w:val="00391835"/>
    <w:rsid w:val="00392D46"/>
    <w:rsid w:val="003935CC"/>
    <w:rsid w:val="00394571"/>
    <w:rsid w:val="00394B54"/>
    <w:rsid w:val="0039621A"/>
    <w:rsid w:val="00396683"/>
    <w:rsid w:val="0039720E"/>
    <w:rsid w:val="003975A6"/>
    <w:rsid w:val="003A07FC"/>
    <w:rsid w:val="003A0F67"/>
    <w:rsid w:val="003A4310"/>
    <w:rsid w:val="003A5AA2"/>
    <w:rsid w:val="003A5AB1"/>
    <w:rsid w:val="003A5EE9"/>
    <w:rsid w:val="003B1069"/>
    <w:rsid w:val="003B268E"/>
    <w:rsid w:val="003B3115"/>
    <w:rsid w:val="003B38E3"/>
    <w:rsid w:val="003B66E9"/>
    <w:rsid w:val="003B6BB1"/>
    <w:rsid w:val="003B7463"/>
    <w:rsid w:val="003C0452"/>
    <w:rsid w:val="003C051F"/>
    <w:rsid w:val="003C0612"/>
    <w:rsid w:val="003C0CA3"/>
    <w:rsid w:val="003C0F0B"/>
    <w:rsid w:val="003C17D6"/>
    <w:rsid w:val="003C2048"/>
    <w:rsid w:val="003C2202"/>
    <w:rsid w:val="003C3CC6"/>
    <w:rsid w:val="003C456C"/>
    <w:rsid w:val="003C4A34"/>
    <w:rsid w:val="003C4B02"/>
    <w:rsid w:val="003C5A4E"/>
    <w:rsid w:val="003C6DF4"/>
    <w:rsid w:val="003C704B"/>
    <w:rsid w:val="003D106B"/>
    <w:rsid w:val="003D1671"/>
    <w:rsid w:val="003D26F4"/>
    <w:rsid w:val="003D2977"/>
    <w:rsid w:val="003D2C78"/>
    <w:rsid w:val="003D5108"/>
    <w:rsid w:val="003D579F"/>
    <w:rsid w:val="003D7597"/>
    <w:rsid w:val="003D7A37"/>
    <w:rsid w:val="003E024D"/>
    <w:rsid w:val="003E1122"/>
    <w:rsid w:val="003E19A6"/>
    <w:rsid w:val="003E1DEC"/>
    <w:rsid w:val="003E2C2F"/>
    <w:rsid w:val="003E2E77"/>
    <w:rsid w:val="003E3A9E"/>
    <w:rsid w:val="003E3B1A"/>
    <w:rsid w:val="003E3C33"/>
    <w:rsid w:val="003E3DCB"/>
    <w:rsid w:val="003E4C38"/>
    <w:rsid w:val="003E5ADE"/>
    <w:rsid w:val="003E5BA6"/>
    <w:rsid w:val="003F0384"/>
    <w:rsid w:val="003F314F"/>
    <w:rsid w:val="003F3859"/>
    <w:rsid w:val="003F5739"/>
    <w:rsid w:val="003F6C00"/>
    <w:rsid w:val="003F6D7C"/>
    <w:rsid w:val="00400641"/>
    <w:rsid w:val="0040126B"/>
    <w:rsid w:val="00401B97"/>
    <w:rsid w:val="0040298A"/>
    <w:rsid w:val="004032C2"/>
    <w:rsid w:val="00404175"/>
    <w:rsid w:val="00405B32"/>
    <w:rsid w:val="0040735D"/>
    <w:rsid w:val="0040763B"/>
    <w:rsid w:val="00410C11"/>
    <w:rsid w:val="00410C4F"/>
    <w:rsid w:val="00411E68"/>
    <w:rsid w:val="004120FD"/>
    <w:rsid w:val="0041322E"/>
    <w:rsid w:val="004148E1"/>
    <w:rsid w:val="00414BF3"/>
    <w:rsid w:val="00414DEE"/>
    <w:rsid w:val="00415E5A"/>
    <w:rsid w:val="00416E1D"/>
    <w:rsid w:val="004170DB"/>
    <w:rsid w:val="00417854"/>
    <w:rsid w:val="004200A8"/>
    <w:rsid w:val="004206C3"/>
    <w:rsid w:val="00421295"/>
    <w:rsid w:val="00422160"/>
    <w:rsid w:val="00422420"/>
    <w:rsid w:val="0042353B"/>
    <w:rsid w:val="004248B4"/>
    <w:rsid w:val="0042648E"/>
    <w:rsid w:val="00426B11"/>
    <w:rsid w:val="004316FC"/>
    <w:rsid w:val="00431BEA"/>
    <w:rsid w:val="00431EF0"/>
    <w:rsid w:val="0043232A"/>
    <w:rsid w:val="00432F45"/>
    <w:rsid w:val="004346FD"/>
    <w:rsid w:val="00435C59"/>
    <w:rsid w:val="00436A68"/>
    <w:rsid w:val="00436D6F"/>
    <w:rsid w:val="004379A7"/>
    <w:rsid w:val="00437B4B"/>
    <w:rsid w:val="00437BCE"/>
    <w:rsid w:val="0044047B"/>
    <w:rsid w:val="004405A4"/>
    <w:rsid w:val="0044091A"/>
    <w:rsid w:val="0044132E"/>
    <w:rsid w:val="00441942"/>
    <w:rsid w:val="00441953"/>
    <w:rsid w:val="00441975"/>
    <w:rsid w:val="00441F24"/>
    <w:rsid w:val="0044239B"/>
    <w:rsid w:val="00444734"/>
    <w:rsid w:val="00444DD0"/>
    <w:rsid w:val="00445F94"/>
    <w:rsid w:val="00445FD4"/>
    <w:rsid w:val="00446165"/>
    <w:rsid w:val="0044714C"/>
    <w:rsid w:val="00447771"/>
    <w:rsid w:val="0044789C"/>
    <w:rsid w:val="00447EB3"/>
    <w:rsid w:val="00450C25"/>
    <w:rsid w:val="004512DD"/>
    <w:rsid w:val="004546A3"/>
    <w:rsid w:val="004549B8"/>
    <w:rsid w:val="00455613"/>
    <w:rsid w:val="0045619C"/>
    <w:rsid w:val="00456D74"/>
    <w:rsid w:val="00460184"/>
    <w:rsid w:val="00460A67"/>
    <w:rsid w:val="00462029"/>
    <w:rsid w:val="00462B5E"/>
    <w:rsid w:val="004640A5"/>
    <w:rsid w:val="00465BBF"/>
    <w:rsid w:val="00465E22"/>
    <w:rsid w:val="00467CB1"/>
    <w:rsid w:val="004716C2"/>
    <w:rsid w:val="004721D1"/>
    <w:rsid w:val="0047494D"/>
    <w:rsid w:val="00474CDD"/>
    <w:rsid w:val="0047528F"/>
    <w:rsid w:val="004753AB"/>
    <w:rsid w:val="00475550"/>
    <w:rsid w:val="004762EB"/>
    <w:rsid w:val="00476892"/>
    <w:rsid w:val="00477458"/>
    <w:rsid w:val="00477594"/>
    <w:rsid w:val="004807BE"/>
    <w:rsid w:val="00481AE9"/>
    <w:rsid w:val="00482084"/>
    <w:rsid w:val="0048345B"/>
    <w:rsid w:val="0048458A"/>
    <w:rsid w:val="00484790"/>
    <w:rsid w:val="004863D8"/>
    <w:rsid w:val="00486CFE"/>
    <w:rsid w:val="00490BD0"/>
    <w:rsid w:val="004917B9"/>
    <w:rsid w:val="0049185D"/>
    <w:rsid w:val="00493626"/>
    <w:rsid w:val="004936D2"/>
    <w:rsid w:val="004943A5"/>
    <w:rsid w:val="004946CC"/>
    <w:rsid w:val="0049512F"/>
    <w:rsid w:val="00495401"/>
    <w:rsid w:val="0049596E"/>
    <w:rsid w:val="00495F69"/>
    <w:rsid w:val="004A1D2F"/>
    <w:rsid w:val="004A2E2A"/>
    <w:rsid w:val="004A31A7"/>
    <w:rsid w:val="004A4D64"/>
    <w:rsid w:val="004A65E0"/>
    <w:rsid w:val="004A6618"/>
    <w:rsid w:val="004A7838"/>
    <w:rsid w:val="004B0EC6"/>
    <w:rsid w:val="004B1B7D"/>
    <w:rsid w:val="004B3334"/>
    <w:rsid w:val="004B4461"/>
    <w:rsid w:val="004B503E"/>
    <w:rsid w:val="004B5390"/>
    <w:rsid w:val="004B5DAB"/>
    <w:rsid w:val="004B6048"/>
    <w:rsid w:val="004B6273"/>
    <w:rsid w:val="004B6463"/>
    <w:rsid w:val="004B690E"/>
    <w:rsid w:val="004B6950"/>
    <w:rsid w:val="004B6EE9"/>
    <w:rsid w:val="004B6F92"/>
    <w:rsid w:val="004C0246"/>
    <w:rsid w:val="004C0B69"/>
    <w:rsid w:val="004C0BBA"/>
    <w:rsid w:val="004C0EA9"/>
    <w:rsid w:val="004C2985"/>
    <w:rsid w:val="004C3220"/>
    <w:rsid w:val="004C3514"/>
    <w:rsid w:val="004C3C01"/>
    <w:rsid w:val="004C4771"/>
    <w:rsid w:val="004C5AA7"/>
    <w:rsid w:val="004C5E20"/>
    <w:rsid w:val="004C6D4B"/>
    <w:rsid w:val="004C6FF6"/>
    <w:rsid w:val="004C77BA"/>
    <w:rsid w:val="004D0025"/>
    <w:rsid w:val="004D119D"/>
    <w:rsid w:val="004D1B94"/>
    <w:rsid w:val="004D2AB2"/>
    <w:rsid w:val="004D2F9D"/>
    <w:rsid w:val="004D3F11"/>
    <w:rsid w:val="004D4FCD"/>
    <w:rsid w:val="004D57D7"/>
    <w:rsid w:val="004D7A43"/>
    <w:rsid w:val="004E101D"/>
    <w:rsid w:val="004E1AC2"/>
    <w:rsid w:val="004E2E08"/>
    <w:rsid w:val="004E3093"/>
    <w:rsid w:val="004E499F"/>
    <w:rsid w:val="004E50BC"/>
    <w:rsid w:val="004E652A"/>
    <w:rsid w:val="004E6696"/>
    <w:rsid w:val="004E7FE5"/>
    <w:rsid w:val="004F0CBA"/>
    <w:rsid w:val="004F1129"/>
    <w:rsid w:val="004F197C"/>
    <w:rsid w:val="004F2865"/>
    <w:rsid w:val="004F3840"/>
    <w:rsid w:val="004F411B"/>
    <w:rsid w:val="004F41EF"/>
    <w:rsid w:val="004F4B97"/>
    <w:rsid w:val="004F4D93"/>
    <w:rsid w:val="004F5866"/>
    <w:rsid w:val="004F673C"/>
    <w:rsid w:val="004F75B1"/>
    <w:rsid w:val="0050084A"/>
    <w:rsid w:val="00500906"/>
    <w:rsid w:val="00500ABC"/>
    <w:rsid w:val="005016F1"/>
    <w:rsid w:val="0050187A"/>
    <w:rsid w:val="00501C33"/>
    <w:rsid w:val="005028F7"/>
    <w:rsid w:val="00503766"/>
    <w:rsid w:val="00503DF4"/>
    <w:rsid w:val="0050600B"/>
    <w:rsid w:val="00510AC0"/>
    <w:rsid w:val="00510D56"/>
    <w:rsid w:val="0051343B"/>
    <w:rsid w:val="0051403B"/>
    <w:rsid w:val="00514DAA"/>
    <w:rsid w:val="00515028"/>
    <w:rsid w:val="00515161"/>
    <w:rsid w:val="00517E80"/>
    <w:rsid w:val="00521591"/>
    <w:rsid w:val="005228A1"/>
    <w:rsid w:val="00522DCB"/>
    <w:rsid w:val="005238C6"/>
    <w:rsid w:val="00526E53"/>
    <w:rsid w:val="00526FBA"/>
    <w:rsid w:val="00527CD5"/>
    <w:rsid w:val="00530442"/>
    <w:rsid w:val="00531198"/>
    <w:rsid w:val="00531829"/>
    <w:rsid w:val="0053193D"/>
    <w:rsid w:val="00531A76"/>
    <w:rsid w:val="00531C79"/>
    <w:rsid w:val="00531F80"/>
    <w:rsid w:val="00532D68"/>
    <w:rsid w:val="005330B5"/>
    <w:rsid w:val="005333D3"/>
    <w:rsid w:val="00533B55"/>
    <w:rsid w:val="00534D95"/>
    <w:rsid w:val="00535D66"/>
    <w:rsid w:val="005366DB"/>
    <w:rsid w:val="005377CF"/>
    <w:rsid w:val="005408FA"/>
    <w:rsid w:val="00540D3E"/>
    <w:rsid w:val="0054120A"/>
    <w:rsid w:val="005416F9"/>
    <w:rsid w:val="005425AD"/>
    <w:rsid w:val="005425C3"/>
    <w:rsid w:val="00544265"/>
    <w:rsid w:val="005460DC"/>
    <w:rsid w:val="0054710D"/>
    <w:rsid w:val="00547DEA"/>
    <w:rsid w:val="00552265"/>
    <w:rsid w:val="00553452"/>
    <w:rsid w:val="00556B61"/>
    <w:rsid w:val="00556C55"/>
    <w:rsid w:val="005576F2"/>
    <w:rsid w:val="00560473"/>
    <w:rsid w:val="005605FF"/>
    <w:rsid w:val="00560B92"/>
    <w:rsid w:val="00560F60"/>
    <w:rsid w:val="00561CF1"/>
    <w:rsid w:val="00563891"/>
    <w:rsid w:val="00563A08"/>
    <w:rsid w:val="00564AD7"/>
    <w:rsid w:val="00566CC0"/>
    <w:rsid w:val="00567063"/>
    <w:rsid w:val="00567408"/>
    <w:rsid w:val="00567FE4"/>
    <w:rsid w:val="00570529"/>
    <w:rsid w:val="00570722"/>
    <w:rsid w:val="00572761"/>
    <w:rsid w:val="00572CB7"/>
    <w:rsid w:val="00572E52"/>
    <w:rsid w:val="00573E9A"/>
    <w:rsid w:val="005744A3"/>
    <w:rsid w:val="005746B7"/>
    <w:rsid w:val="005747A5"/>
    <w:rsid w:val="005747E0"/>
    <w:rsid w:val="00574B15"/>
    <w:rsid w:val="00574F71"/>
    <w:rsid w:val="00575021"/>
    <w:rsid w:val="0057519E"/>
    <w:rsid w:val="005762B6"/>
    <w:rsid w:val="0057658C"/>
    <w:rsid w:val="00577D02"/>
    <w:rsid w:val="0058019B"/>
    <w:rsid w:val="00580F56"/>
    <w:rsid w:val="00581A9B"/>
    <w:rsid w:val="00581E06"/>
    <w:rsid w:val="005820F8"/>
    <w:rsid w:val="005828B4"/>
    <w:rsid w:val="00583E8E"/>
    <w:rsid w:val="0058497D"/>
    <w:rsid w:val="00584FC0"/>
    <w:rsid w:val="005858D8"/>
    <w:rsid w:val="00586AD5"/>
    <w:rsid w:val="005875A1"/>
    <w:rsid w:val="00590108"/>
    <w:rsid w:val="0059163A"/>
    <w:rsid w:val="005922AB"/>
    <w:rsid w:val="0059343F"/>
    <w:rsid w:val="0059363A"/>
    <w:rsid w:val="0059428B"/>
    <w:rsid w:val="00596B19"/>
    <w:rsid w:val="00596C9B"/>
    <w:rsid w:val="005A2840"/>
    <w:rsid w:val="005A351D"/>
    <w:rsid w:val="005A3F42"/>
    <w:rsid w:val="005A4EB8"/>
    <w:rsid w:val="005A564C"/>
    <w:rsid w:val="005A7CDA"/>
    <w:rsid w:val="005B15FF"/>
    <w:rsid w:val="005B1A05"/>
    <w:rsid w:val="005B1EB6"/>
    <w:rsid w:val="005B3377"/>
    <w:rsid w:val="005B51B7"/>
    <w:rsid w:val="005B59B4"/>
    <w:rsid w:val="005B5E5B"/>
    <w:rsid w:val="005B71F8"/>
    <w:rsid w:val="005B7C22"/>
    <w:rsid w:val="005C0961"/>
    <w:rsid w:val="005C1E86"/>
    <w:rsid w:val="005C2226"/>
    <w:rsid w:val="005C3821"/>
    <w:rsid w:val="005C4BC9"/>
    <w:rsid w:val="005C516F"/>
    <w:rsid w:val="005C55BB"/>
    <w:rsid w:val="005C5E06"/>
    <w:rsid w:val="005C78F0"/>
    <w:rsid w:val="005D19F8"/>
    <w:rsid w:val="005D490A"/>
    <w:rsid w:val="005D5339"/>
    <w:rsid w:val="005D548C"/>
    <w:rsid w:val="005D54A4"/>
    <w:rsid w:val="005D74F2"/>
    <w:rsid w:val="005E0BBF"/>
    <w:rsid w:val="005E1DAD"/>
    <w:rsid w:val="005E20DD"/>
    <w:rsid w:val="005E2A2E"/>
    <w:rsid w:val="005E2EC2"/>
    <w:rsid w:val="005E4E29"/>
    <w:rsid w:val="005E5AD0"/>
    <w:rsid w:val="005E6FED"/>
    <w:rsid w:val="005E70E8"/>
    <w:rsid w:val="005E7A64"/>
    <w:rsid w:val="005E7C8B"/>
    <w:rsid w:val="005F042D"/>
    <w:rsid w:val="005F1E50"/>
    <w:rsid w:val="005F2040"/>
    <w:rsid w:val="005F2A0C"/>
    <w:rsid w:val="005F2B31"/>
    <w:rsid w:val="005F2D9D"/>
    <w:rsid w:val="005F31D8"/>
    <w:rsid w:val="005F3EEF"/>
    <w:rsid w:val="005F43BC"/>
    <w:rsid w:val="005F44D0"/>
    <w:rsid w:val="005F53AE"/>
    <w:rsid w:val="005F5810"/>
    <w:rsid w:val="005F64C6"/>
    <w:rsid w:val="005F677E"/>
    <w:rsid w:val="005F6850"/>
    <w:rsid w:val="00600202"/>
    <w:rsid w:val="00600F53"/>
    <w:rsid w:val="006029BA"/>
    <w:rsid w:val="00604782"/>
    <w:rsid w:val="00606117"/>
    <w:rsid w:val="00606819"/>
    <w:rsid w:val="00606A8D"/>
    <w:rsid w:val="00606B7D"/>
    <w:rsid w:val="006076ED"/>
    <w:rsid w:val="00607F1D"/>
    <w:rsid w:val="00610908"/>
    <w:rsid w:val="00611A3E"/>
    <w:rsid w:val="0061243B"/>
    <w:rsid w:val="00612C9A"/>
    <w:rsid w:val="00612E4C"/>
    <w:rsid w:val="006148B7"/>
    <w:rsid w:val="00614C52"/>
    <w:rsid w:val="006165ED"/>
    <w:rsid w:val="006178B3"/>
    <w:rsid w:val="00621D6C"/>
    <w:rsid w:val="00622034"/>
    <w:rsid w:val="006224C7"/>
    <w:rsid w:val="00622E79"/>
    <w:rsid w:val="00624AEE"/>
    <w:rsid w:val="006301BD"/>
    <w:rsid w:val="006311FD"/>
    <w:rsid w:val="006313FB"/>
    <w:rsid w:val="006326FF"/>
    <w:rsid w:val="00632915"/>
    <w:rsid w:val="00632AF0"/>
    <w:rsid w:val="00634058"/>
    <w:rsid w:val="006341BD"/>
    <w:rsid w:val="00636067"/>
    <w:rsid w:val="006369FB"/>
    <w:rsid w:val="00636CD2"/>
    <w:rsid w:val="0063707D"/>
    <w:rsid w:val="006409D0"/>
    <w:rsid w:val="0064214E"/>
    <w:rsid w:val="00642A8E"/>
    <w:rsid w:val="0064354E"/>
    <w:rsid w:val="00644BD9"/>
    <w:rsid w:val="00645691"/>
    <w:rsid w:val="00646EB1"/>
    <w:rsid w:val="00647407"/>
    <w:rsid w:val="006522A6"/>
    <w:rsid w:val="006525E9"/>
    <w:rsid w:val="006533FA"/>
    <w:rsid w:val="0065369D"/>
    <w:rsid w:val="006548A6"/>
    <w:rsid w:val="006557E6"/>
    <w:rsid w:val="00655F4C"/>
    <w:rsid w:val="00656621"/>
    <w:rsid w:val="00656AAF"/>
    <w:rsid w:val="00657074"/>
    <w:rsid w:val="0066065B"/>
    <w:rsid w:val="00660E0E"/>
    <w:rsid w:val="006610A2"/>
    <w:rsid w:val="00661662"/>
    <w:rsid w:val="00661A12"/>
    <w:rsid w:val="00662130"/>
    <w:rsid w:val="00662DAB"/>
    <w:rsid w:val="00663229"/>
    <w:rsid w:val="00663ED0"/>
    <w:rsid w:val="0066594B"/>
    <w:rsid w:val="00665AD6"/>
    <w:rsid w:val="006662F6"/>
    <w:rsid w:val="00666BCC"/>
    <w:rsid w:val="00670431"/>
    <w:rsid w:val="00671024"/>
    <w:rsid w:val="00674C3F"/>
    <w:rsid w:val="0067533E"/>
    <w:rsid w:val="00675C3F"/>
    <w:rsid w:val="00675E73"/>
    <w:rsid w:val="0067672C"/>
    <w:rsid w:val="006775D1"/>
    <w:rsid w:val="0068018C"/>
    <w:rsid w:val="00683F8B"/>
    <w:rsid w:val="00684F95"/>
    <w:rsid w:val="00684FDA"/>
    <w:rsid w:val="00685A75"/>
    <w:rsid w:val="006860B1"/>
    <w:rsid w:val="00686744"/>
    <w:rsid w:val="006876B1"/>
    <w:rsid w:val="00687E8A"/>
    <w:rsid w:val="00690284"/>
    <w:rsid w:val="00690503"/>
    <w:rsid w:val="00690D80"/>
    <w:rsid w:val="0069112B"/>
    <w:rsid w:val="00691DE8"/>
    <w:rsid w:val="006946B9"/>
    <w:rsid w:val="006956D4"/>
    <w:rsid w:val="00696433"/>
    <w:rsid w:val="0069649C"/>
    <w:rsid w:val="006969CD"/>
    <w:rsid w:val="00696C2F"/>
    <w:rsid w:val="006974D2"/>
    <w:rsid w:val="00697825"/>
    <w:rsid w:val="006A1679"/>
    <w:rsid w:val="006A1684"/>
    <w:rsid w:val="006A3A33"/>
    <w:rsid w:val="006A3ADA"/>
    <w:rsid w:val="006A552B"/>
    <w:rsid w:val="006A6140"/>
    <w:rsid w:val="006A6D50"/>
    <w:rsid w:val="006A6EE0"/>
    <w:rsid w:val="006B0F5B"/>
    <w:rsid w:val="006B1482"/>
    <w:rsid w:val="006B3125"/>
    <w:rsid w:val="006B44F8"/>
    <w:rsid w:val="006B50EE"/>
    <w:rsid w:val="006B5523"/>
    <w:rsid w:val="006B5DA5"/>
    <w:rsid w:val="006B687F"/>
    <w:rsid w:val="006C0008"/>
    <w:rsid w:val="006C13AB"/>
    <w:rsid w:val="006C152F"/>
    <w:rsid w:val="006C2320"/>
    <w:rsid w:val="006C2338"/>
    <w:rsid w:val="006C2390"/>
    <w:rsid w:val="006C2E1A"/>
    <w:rsid w:val="006C368A"/>
    <w:rsid w:val="006C3ABD"/>
    <w:rsid w:val="006C3B87"/>
    <w:rsid w:val="006C436F"/>
    <w:rsid w:val="006C4A59"/>
    <w:rsid w:val="006C60FE"/>
    <w:rsid w:val="006C6190"/>
    <w:rsid w:val="006C62D7"/>
    <w:rsid w:val="006C66E5"/>
    <w:rsid w:val="006C68B0"/>
    <w:rsid w:val="006D0211"/>
    <w:rsid w:val="006D23A2"/>
    <w:rsid w:val="006D2E03"/>
    <w:rsid w:val="006D37DD"/>
    <w:rsid w:val="006D61F9"/>
    <w:rsid w:val="006D635A"/>
    <w:rsid w:val="006D6802"/>
    <w:rsid w:val="006D6A34"/>
    <w:rsid w:val="006D7044"/>
    <w:rsid w:val="006D739F"/>
    <w:rsid w:val="006D7ACE"/>
    <w:rsid w:val="006D7C69"/>
    <w:rsid w:val="006D7E69"/>
    <w:rsid w:val="006E00F2"/>
    <w:rsid w:val="006E020A"/>
    <w:rsid w:val="006E02C9"/>
    <w:rsid w:val="006E0B61"/>
    <w:rsid w:val="006E0EF2"/>
    <w:rsid w:val="006E1DD3"/>
    <w:rsid w:val="006E3097"/>
    <w:rsid w:val="006E358B"/>
    <w:rsid w:val="006E3BAE"/>
    <w:rsid w:val="006E4939"/>
    <w:rsid w:val="006E65CC"/>
    <w:rsid w:val="006E6E04"/>
    <w:rsid w:val="006F009D"/>
    <w:rsid w:val="006F1299"/>
    <w:rsid w:val="006F2DE5"/>
    <w:rsid w:val="006F31BC"/>
    <w:rsid w:val="006F3BC1"/>
    <w:rsid w:val="006F5D1D"/>
    <w:rsid w:val="006F5D4C"/>
    <w:rsid w:val="006F6617"/>
    <w:rsid w:val="006F6C48"/>
    <w:rsid w:val="006F6E68"/>
    <w:rsid w:val="006F6FD0"/>
    <w:rsid w:val="006F7AD1"/>
    <w:rsid w:val="00701B2D"/>
    <w:rsid w:val="0070383A"/>
    <w:rsid w:val="007045D4"/>
    <w:rsid w:val="00705180"/>
    <w:rsid w:val="00706B16"/>
    <w:rsid w:val="007071FB"/>
    <w:rsid w:val="00707641"/>
    <w:rsid w:val="0071051B"/>
    <w:rsid w:val="007112CF"/>
    <w:rsid w:val="00712679"/>
    <w:rsid w:val="00715198"/>
    <w:rsid w:val="00715AE6"/>
    <w:rsid w:val="00716A8B"/>
    <w:rsid w:val="00716BBC"/>
    <w:rsid w:val="00717273"/>
    <w:rsid w:val="007172F3"/>
    <w:rsid w:val="00717606"/>
    <w:rsid w:val="00717DF7"/>
    <w:rsid w:val="00717FA1"/>
    <w:rsid w:val="00721ADE"/>
    <w:rsid w:val="00721FBC"/>
    <w:rsid w:val="0072255A"/>
    <w:rsid w:val="007264A8"/>
    <w:rsid w:val="00726A22"/>
    <w:rsid w:val="00727CE6"/>
    <w:rsid w:val="007317AC"/>
    <w:rsid w:val="0073261C"/>
    <w:rsid w:val="0073442A"/>
    <w:rsid w:val="00734708"/>
    <w:rsid w:val="00734F49"/>
    <w:rsid w:val="00735554"/>
    <w:rsid w:val="007358AD"/>
    <w:rsid w:val="00737187"/>
    <w:rsid w:val="00737CE9"/>
    <w:rsid w:val="007401A6"/>
    <w:rsid w:val="00741163"/>
    <w:rsid w:val="00741826"/>
    <w:rsid w:val="00741CFE"/>
    <w:rsid w:val="00741F87"/>
    <w:rsid w:val="007429EB"/>
    <w:rsid w:val="00742B1C"/>
    <w:rsid w:val="00742BC6"/>
    <w:rsid w:val="0074355B"/>
    <w:rsid w:val="00743FA5"/>
    <w:rsid w:val="007449DB"/>
    <w:rsid w:val="007460BE"/>
    <w:rsid w:val="00746B23"/>
    <w:rsid w:val="00747BBB"/>
    <w:rsid w:val="00750E23"/>
    <w:rsid w:val="00751C34"/>
    <w:rsid w:val="0075225A"/>
    <w:rsid w:val="00752652"/>
    <w:rsid w:val="007526C3"/>
    <w:rsid w:val="007528F0"/>
    <w:rsid w:val="00752B9A"/>
    <w:rsid w:val="00753010"/>
    <w:rsid w:val="00755378"/>
    <w:rsid w:val="00755510"/>
    <w:rsid w:val="007563E4"/>
    <w:rsid w:val="00756803"/>
    <w:rsid w:val="00756915"/>
    <w:rsid w:val="007572DF"/>
    <w:rsid w:val="007605FD"/>
    <w:rsid w:val="00761338"/>
    <w:rsid w:val="00761D55"/>
    <w:rsid w:val="00764815"/>
    <w:rsid w:val="00764C02"/>
    <w:rsid w:val="00765FAE"/>
    <w:rsid w:val="00765FFA"/>
    <w:rsid w:val="0076620A"/>
    <w:rsid w:val="00766426"/>
    <w:rsid w:val="00766568"/>
    <w:rsid w:val="00766EAE"/>
    <w:rsid w:val="00767720"/>
    <w:rsid w:val="00767902"/>
    <w:rsid w:val="00767F89"/>
    <w:rsid w:val="00771014"/>
    <w:rsid w:val="0077120C"/>
    <w:rsid w:val="00771975"/>
    <w:rsid w:val="00773331"/>
    <w:rsid w:val="00774A0A"/>
    <w:rsid w:val="00775145"/>
    <w:rsid w:val="00776402"/>
    <w:rsid w:val="00776EBA"/>
    <w:rsid w:val="007775C5"/>
    <w:rsid w:val="00777999"/>
    <w:rsid w:val="00777DAF"/>
    <w:rsid w:val="007809DF"/>
    <w:rsid w:val="00781729"/>
    <w:rsid w:val="0078182E"/>
    <w:rsid w:val="0078191D"/>
    <w:rsid w:val="007819CE"/>
    <w:rsid w:val="0078272D"/>
    <w:rsid w:val="0078295F"/>
    <w:rsid w:val="0078340C"/>
    <w:rsid w:val="00784016"/>
    <w:rsid w:val="00785F98"/>
    <w:rsid w:val="0078621B"/>
    <w:rsid w:val="00787431"/>
    <w:rsid w:val="00787978"/>
    <w:rsid w:val="0079112F"/>
    <w:rsid w:val="0079289A"/>
    <w:rsid w:val="00792B6D"/>
    <w:rsid w:val="007932EF"/>
    <w:rsid w:val="00793381"/>
    <w:rsid w:val="00793E80"/>
    <w:rsid w:val="00794F32"/>
    <w:rsid w:val="00796119"/>
    <w:rsid w:val="00796547"/>
    <w:rsid w:val="00796668"/>
    <w:rsid w:val="0079688D"/>
    <w:rsid w:val="007A0571"/>
    <w:rsid w:val="007A0652"/>
    <w:rsid w:val="007A085A"/>
    <w:rsid w:val="007A115E"/>
    <w:rsid w:val="007A19A6"/>
    <w:rsid w:val="007A556E"/>
    <w:rsid w:val="007A6A0F"/>
    <w:rsid w:val="007A6A63"/>
    <w:rsid w:val="007A7908"/>
    <w:rsid w:val="007A7B43"/>
    <w:rsid w:val="007A7DED"/>
    <w:rsid w:val="007A7EC2"/>
    <w:rsid w:val="007B0584"/>
    <w:rsid w:val="007B079C"/>
    <w:rsid w:val="007B0F04"/>
    <w:rsid w:val="007B1023"/>
    <w:rsid w:val="007B18AA"/>
    <w:rsid w:val="007B2AC6"/>
    <w:rsid w:val="007B35B1"/>
    <w:rsid w:val="007B3C36"/>
    <w:rsid w:val="007B3E71"/>
    <w:rsid w:val="007B4203"/>
    <w:rsid w:val="007B5D8A"/>
    <w:rsid w:val="007B6A17"/>
    <w:rsid w:val="007C0C3D"/>
    <w:rsid w:val="007C1BC7"/>
    <w:rsid w:val="007C37EA"/>
    <w:rsid w:val="007C3DA5"/>
    <w:rsid w:val="007C4D00"/>
    <w:rsid w:val="007C51D2"/>
    <w:rsid w:val="007C52B7"/>
    <w:rsid w:val="007C573A"/>
    <w:rsid w:val="007C6AF5"/>
    <w:rsid w:val="007C760A"/>
    <w:rsid w:val="007C7936"/>
    <w:rsid w:val="007D1D12"/>
    <w:rsid w:val="007D22D8"/>
    <w:rsid w:val="007D237B"/>
    <w:rsid w:val="007D24F4"/>
    <w:rsid w:val="007D3441"/>
    <w:rsid w:val="007D35E7"/>
    <w:rsid w:val="007D3DA5"/>
    <w:rsid w:val="007D3FE2"/>
    <w:rsid w:val="007D4314"/>
    <w:rsid w:val="007D5381"/>
    <w:rsid w:val="007E05B0"/>
    <w:rsid w:val="007E07BE"/>
    <w:rsid w:val="007E0981"/>
    <w:rsid w:val="007E1654"/>
    <w:rsid w:val="007E1D0E"/>
    <w:rsid w:val="007E3F98"/>
    <w:rsid w:val="007E4FEE"/>
    <w:rsid w:val="007E5350"/>
    <w:rsid w:val="007E59BD"/>
    <w:rsid w:val="007E5B15"/>
    <w:rsid w:val="007E5E79"/>
    <w:rsid w:val="007E6BE9"/>
    <w:rsid w:val="007E6C6D"/>
    <w:rsid w:val="007E7EB1"/>
    <w:rsid w:val="007F04E1"/>
    <w:rsid w:val="007F0DDB"/>
    <w:rsid w:val="007F20E1"/>
    <w:rsid w:val="007F2D7C"/>
    <w:rsid w:val="007F2DC9"/>
    <w:rsid w:val="007F3A81"/>
    <w:rsid w:val="007F485C"/>
    <w:rsid w:val="007F4AA1"/>
    <w:rsid w:val="007F5C19"/>
    <w:rsid w:val="007F60C0"/>
    <w:rsid w:val="007F6A2E"/>
    <w:rsid w:val="007F7675"/>
    <w:rsid w:val="007F7C2E"/>
    <w:rsid w:val="00800FF7"/>
    <w:rsid w:val="00801C44"/>
    <w:rsid w:val="008026B2"/>
    <w:rsid w:val="008027AE"/>
    <w:rsid w:val="00803B9C"/>
    <w:rsid w:val="00806449"/>
    <w:rsid w:val="00806596"/>
    <w:rsid w:val="008068E7"/>
    <w:rsid w:val="00806E4C"/>
    <w:rsid w:val="0080710F"/>
    <w:rsid w:val="00810EC7"/>
    <w:rsid w:val="00811103"/>
    <w:rsid w:val="00811662"/>
    <w:rsid w:val="008118FD"/>
    <w:rsid w:val="00811FBA"/>
    <w:rsid w:val="00814B6A"/>
    <w:rsid w:val="00814EA4"/>
    <w:rsid w:val="0081549C"/>
    <w:rsid w:val="00815572"/>
    <w:rsid w:val="008165E4"/>
    <w:rsid w:val="00821441"/>
    <w:rsid w:val="00822254"/>
    <w:rsid w:val="0082447A"/>
    <w:rsid w:val="00825276"/>
    <w:rsid w:val="00826CAC"/>
    <w:rsid w:val="00826F2A"/>
    <w:rsid w:val="00827CE3"/>
    <w:rsid w:val="008305F8"/>
    <w:rsid w:val="0083113C"/>
    <w:rsid w:val="00832A76"/>
    <w:rsid w:val="00832C15"/>
    <w:rsid w:val="00832FFC"/>
    <w:rsid w:val="008344FE"/>
    <w:rsid w:val="008350B9"/>
    <w:rsid w:val="00840315"/>
    <w:rsid w:val="0084257A"/>
    <w:rsid w:val="00842B51"/>
    <w:rsid w:val="00842B6F"/>
    <w:rsid w:val="0084375F"/>
    <w:rsid w:val="00843B49"/>
    <w:rsid w:val="00845479"/>
    <w:rsid w:val="0084672C"/>
    <w:rsid w:val="00847CB4"/>
    <w:rsid w:val="0085086E"/>
    <w:rsid w:val="00851B5D"/>
    <w:rsid w:val="008526E4"/>
    <w:rsid w:val="00852A95"/>
    <w:rsid w:val="0085775F"/>
    <w:rsid w:val="00857CB2"/>
    <w:rsid w:val="008601E9"/>
    <w:rsid w:val="00862547"/>
    <w:rsid w:val="00863454"/>
    <w:rsid w:val="00863C69"/>
    <w:rsid w:val="00863C6A"/>
    <w:rsid w:val="008643B7"/>
    <w:rsid w:val="008655F7"/>
    <w:rsid w:val="0086598C"/>
    <w:rsid w:val="0087097C"/>
    <w:rsid w:val="00871F40"/>
    <w:rsid w:val="00873E65"/>
    <w:rsid w:val="008744A8"/>
    <w:rsid w:val="00874D22"/>
    <w:rsid w:val="00875040"/>
    <w:rsid w:val="0087626D"/>
    <w:rsid w:val="0087667B"/>
    <w:rsid w:val="00876D78"/>
    <w:rsid w:val="0087705D"/>
    <w:rsid w:val="008805C6"/>
    <w:rsid w:val="00881A40"/>
    <w:rsid w:val="008821FE"/>
    <w:rsid w:val="00882F92"/>
    <w:rsid w:val="008830FC"/>
    <w:rsid w:val="008838D1"/>
    <w:rsid w:val="00884252"/>
    <w:rsid w:val="008848ED"/>
    <w:rsid w:val="00885DA6"/>
    <w:rsid w:val="0088745F"/>
    <w:rsid w:val="00887C64"/>
    <w:rsid w:val="00890B9D"/>
    <w:rsid w:val="00891BE2"/>
    <w:rsid w:val="00893813"/>
    <w:rsid w:val="00893F9E"/>
    <w:rsid w:val="00894786"/>
    <w:rsid w:val="00894F77"/>
    <w:rsid w:val="008952FE"/>
    <w:rsid w:val="008A05A8"/>
    <w:rsid w:val="008A07C5"/>
    <w:rsid w:val="008A09CB"/>
    <w:rsid w:val="008A09FA"/>
    <w:rsid w:val="008A2914"/>
    <w:rsid w:val="008A63D4"/>
    <w:rsid w:val="008A731C"/>
    <w:rsid w:val="008B09C4"/>
    <w:rsid w:val="008B0F6A"/>
    <w:rsid w:val="008B0FCD"/>
    <w:rsid w:val="008B15BF"/>
    <w:rsid w:val="008B1BE2"/>
    <w:rsid w:val="008B1E7F"/>
    <w:rsid w:val="008B2F61"/>
    <w:rsid w:val="008B3716"/>
    <w:rsid w:val="008B399F"/>
    <w:rsid w:val="008B4DAF"/>
    <w:rsid w:val="008B537F"/>
    <w:rsid w:val="008B6879"/>
    <w:rsid w:val="008B6E52"/>
    <w:rsid w:val="008C08E1"/>
    <w:rsid w:val="008C13CB"/>
    <w:rsid w:val="008C18F5"/>
    <w:rsid w:val="008C1F78"/>
    <w:rsid w:val="008C2378"/>
    <w:rsid w:val="008C2688"/>
    <w:rsid w:val="008C3A05"/>
    <w:rsid w:val="008C4677"/>
    <w:rsid w:val="008C4B1F"/>
    <w:rsid w:val="008C4C62"/>
    <w:rsid w:val="008C53BF"/>
    <w:rsid w:val="008C5ADF"/>
    <w:rsid w:val="008C6A4F"/>
    <w:rsid w:val="008C71DB"/>
    <w:rsid w:val="008D02AB"/>
    <w:rsid w:val="008D130B"/>
    <w:rsid w:val="008D22C5"/>
    <w:rsid w:val="008D2C58"/>
    <w:rsid w:val="008D2F3C"/>
    <w:rsid w:val="008D3945"/>
    <w:rsid w:val="008D3A51"/>
    <w:rsid w:val="008D3AA7"/>
    <w:rsid w:val="008D3C28"/>
    <w:rsid w:val="008D3C9B"/>
    <w:rsid w:val="008D441B"/>
    <w:rsid w:val="008D4A54"/>
    <w:rsid w:val="008D4A75"/>
    <w:rsid w:val="008E12C0"/>
    <w:rsid w:val="008E32E9"/>
    <w:rsid w:val="008E33FD"/>
    <w:rsid w:val="008E3B0D"/>
    <w:rsid w:val="008E4230"/>
    <w:rsid w:val="008E4D8E"/>
    <w:rsid w:val="008E52F9"/>
    <w:rsid w:val="008E7785"/>
    <w:rsid w:val="008E7DD4"/>
    <w:rsid w:val="008F0686"/>
    <w:rsid w:val="008F2AC3"/>
    <w:rsid w:val="008F3EA6"/>
    <w:rsid w:val="008F4F9C"/>
    <w:rsid w:val="00900BBD"/>
    <w:rsid w:val="00901448"/>
    <w:rsid w:val="009017E1"/>
    <w:rsid w:val="00901A04"/>
    <w:rsid w:val="00901BF0"/>
    <w:rsid w:val="00901C68"/>
    <w:rsid w:val="00901E2D"/>
    <w:rsid w:val="0090289B"/>
    <w:rsid w:val="00905647"/>
    <w:rsid w:val="009058C9"/>
    <w:rsid w:val="00911AF5"/>
    <w:rsid w:val="0091240A"/>
    <w:rsid w:val="00912C59"/>
    <w:rsid w:val="00913E50"/>
    <w:rsid w:val="00915253"/>
    <w:rsid w:val="00916988"/>
    <w:rsid w:val="00920572"/>
    <w:rsid w:val="00920800"/>
    <w:rsid w:val="00920C0F"/>
    <w:rsid w:val="00922D0C"/>
    <w:rsid w:val="009234B1"/>
    <w:rsid w:val="009236C3"/>
    <w:rsid w:val="00923B41"/>
    <w:rsid w:val="009249FA"/>
    <w:rsid w:val="00925F52"/>
    <w:rsid w:val="00926486"/>
    <w:rsid w:val="00931B5D"/>
    <w:rsid w:val="009337C2"/>
    <w:rsid w:val="00933FDD"/>
    <w:rsid w:val="00935670"/>
    <w:rsid w:val="00935889"/>
    <w:rsid w:val="0093634F"/>
    <w:rsid w:val="00936994"/>
    <w:rsid w:val="00937734"/>
    <w:rsid w:val="00937B39"/>
    <w:rsid w:val="00937CE9"/>
    <w:rsid w:val="00940E18"/>
    <w:rsid w:val="0094103F"/>
    <w:rsid w:val="00941238"/>
    <w:rsid w:val="0094140C"/>
    <w:rsid w:val="00942166"/>
    <w:rsid w:val="0094226E"/>
    <w:rsid w:val="00943036"/>
    <w:rsid w:val="00943B04"/>
    <w:rsid w:val="00945A17"/>
    <w:rsid w:val="00945FC6"/>
    <w:rsid w:val="00946167"/>
    <w:rsid w:val="00947727"/>
    <w:rsid w:val="00947D6E"/>
    <w:rsid w:val="00950575"/>
    <w:rsid w:val="009509BB"/>
    <w:rsid w:val="009524F0"/>
    <w:rsid w:val="0095365E"/>
    <w:rsid w:val="009556F7"/>
    <w:rsid w:val="00955F54"/>
    <w:rsid w:val="00956826"/>
    <w:rsid w:val="009616D2"/>
    <w:rsid w:val="00961C7C"/>
    <w:rsid w:val="00963C47"/>
    <w:rsid w:val="00964BFB"/>
    <w:rsid w:val="00965055"/>
    <w:rsid w:val="00966256"/>
    <w:rsid w:val="009675E7"/>
    <w:rsid w:val="00967D58"/>
    <w:rsid w:val="00967F60"/>
    <w:rsid w:val="00971834"/>
    <w:rsid w:val="00974E63"/>
    <w:rsid w:val="009754C1"/>
    <w:rsid w:val="009754E8"/>
    <w:rsid w:val="009756C4"/>
    <w:rsid w:val="00976227"/>
    <w:rsid w:val="00977505"/>
    <w:rsid w:val="009779CB"/>
    <w:rsid w:val="00977C4B"/>
    <w:rsid w:val="00980C41"/>
    <w:rsid w:val="00981878"/>
    <w:rsid w:val="00981C7D"/>
    <w:rsid w:val="00983114"/>
    <w:rsid w:val="0098332E"/>
    <w:rsid w:val="009850CC"/>
    <w:rsid w:val="009857C9"/>
    <w:rsid w:val="00986B9F"/>
    <w:rsid w:val="00987308"/>
    <w:rsid w:val="00987501"/>
    <w:rsid w:val="009879D0"/>
    <w:rsid w:val="00990F65"/>
    <w:rsid w:val="00991C2A"/>
    <w:rsid w:val="00992490"/>
    <w:rsid w:val="0099330A"/>
    <w:rsid w:val="0099491D"/>
    <w:rsid w:val="009949FD"/>
    <w:rsid w:val="00994CA8"/>
    <w:rsid w:val="009957FC"/>
    <w:rsid w:val="00996327"/>
    <w:rsid w:val="00996CAC"/>
    <w:rsid w:val="00997B9F"/>
    <w:rsid w:val="009A09EA"/>
    <w:rsid w:val="009A2758"/>
    <w:rsid w:val="009A32EE"/>
    <w:rsid w:val="009A369A"/>
    <w:rsid w:val="009A3AF1"/>
    <w:rsid w:val="009A3F62"/>
    <w:rsid w:val="009A3F81"/>
    <w:rsid w:val="009A477F"/>
    <w:rsid w:val="009A5DC8"/>
    <w:rsid w:val="009A715A"/>
    <w:rsid w:val="009B0256"/>
    <w:rsid w:val="009B033D"/>
    <w:rsid w:val="009B1121"/>
    <w:rsid w:val="009B12D8"/>
    <w:rsid w:val="009B3226"/>
    <w:rsid w:val="009B4217"/>
    <w:rsid w:val="009B43E4"/>
    <w:rsid w:val="009B4E1A"/>
    <w:rsid w:val="009B5893"/>
    <w:rsid w:val="009B595D"/>
    <w:rsid w:val="009B5F2F"/>
    <w:rsid w:val="009B5F4A"/>
    <w:rsid w:val="009B6765"/>
    <w:rsid w:val="009B6CA5"/>
    <w:rsid w:val="009C0264"/>
    <w:rsid w:val="009C0E9E"/>
    <w:rsid w:val="009C2250"/>
    <w:rsid w:val="009C29BF"/>
    <w:rsid w:val="009C459C"/>
    <w:rsid w:val="009C4947"/>
    <w:rsid w:val="009C4B9C"/>
    <w:rsid w:val="009C6FEF"/>
    <w:rsid w:val="009D15A5"/>
    <w:rsid w:val="009D1D4C"/>
    <w:rsid w:val="009D220E"/>
    <w:rsid w:val="009D2763"/>
    <w:rsid w:val="009D2A80"/>
    <w:rsid w:val="009D2BC5"/>
    <w:rsid w:val="009D2C89"/>
    <w:rsid w:val="009D2E07"/>
    <w:rsid w:val="009D35ED"/>
    <w:rsid w:val="009D3832"/>
    <w:rsid w:val="009D464F"/>
    <w:rsid w:val="009D56C9"/>
    <w:rsid w:val="009D71CC"/>
    <w:rsid w:val="009D7552"/>
    <w:rsid w:val="009E0351"/>
    <w:rsid w:val="009E05F7"/>
    <w:rsid w:val="009E28A8"/>
    <w:rsid w:val="009E3134"/>
    <w:rsid w:val="009E3FA0"/>
    <w:rsid w:val="009E45B6"/>
    <w:rsid w:val="009E667B"/>
    <w:rsid w:val="009F0C65"/>
    <w:rsid w:val="009F1CC0"/>
    <w:rsid w:val="009F28FE"/>
    <w:rsid w:val="009F2B28"/>
    <w:rsid w:val="009F459E"/>
    <w:rsid w:val="009F45FE"/>
    <w:rsid w:val="009F53C1"/>
    <w:rsid w:val="009F59F5"/>
    <w:rsid w:val="009F65BD"/>
    <w:rsid w:val="009F70B1"/>
    <w:rsid w:val="009F7B21"/>
    <w:rsid w:val="009F7E58"/>
    <w:rsid w:val="00A00C6C"/>
    <w:rsid w:val="00A01592"/>
    <w:rsid w:val="00A04A59"/>
    <w:rsid w:val="00A05F6C"/>
    <w:rsid w:val="00A06DAF"/>
    <w:rsid w:val="00A10576"/>
    <w:rsid w:val="00A10CFF"/>
    <w:rsid w:val="00A10F6B"/>
    <w:rsid w:val="00A116AB"/>
    <w:rsid w:val="00A11ABA"/>
    <w:rsid w:val="00A12701"/>
    <w:rsid w:val="00A12AE8"/>
    <w:rsid w:val="00A13548"/>
    <w:rsid w:val="00A13E42"/>
    <w:rsid w:val="00A15246"/>
    <w:rsid w:val="00A15558"/>
    <w:rsid w:val="00A1592E"/>
    <w:rsid w:val="00A16C46"/>
    <w:rsid w:val="00A17A49"/>
    <w:rsid w:val="00A17F80"/>
    <w:rsid w:val="00A222D0"/>
    <w:rsid w:val="00A227BE"/>
    <w:rsid w:val="00A23CFF"/>
    <w:rsid w:val="00A24077"/>
    <w:rsid w:val="00A240FA"/>
    <w:rsid w:val="00A24462"/>
    <w:rsid w:val="00A24CAE"/>
    <w:rsid w:val="00A26099"/>
    <w:rsid w:val="00A26293"/>
    <w:rsid w:val="00A26766"/>
    <w:rsid w:val="00A26BDE"/>
    <w:rsid w:val="00A272EB"/>
    <w:rsid w:val="00A27D97"/>
    <w:rsid w:val="00A27F25"/>
    <w:rsid w:val="00A30663"/>
    <w:rsid w:val="00A30ECE"/>
    <w:rsid w:val="00A3373B"/>
    <w:rsid w:val="00A33E47"/>
    <w:rsid w:val="00A3476B"/>
    <w:rsid w:val="00A349A0"/>
    <w:rsid w:val="00A34CE0"/>
    <w:rsid w:val="00A35723"/>
    <w:rsid w:val="00A36CD7"/>
    <w:rsid w:val="00A3744D"/>
    <w:rsid w:val="00A4032B"/>
    <w:rsid w:val="00A40658"/>
    <w:rsid w:val="00A41FD1"/>
    <w:rsid w:val="00A44FAC"/>
    <w:rsid w:val="00A451CB"/>
    <w:rsid w:val="00A45C36"/>
    <w:rsid w:val="00A4649F"/>
    <w:rsid w:val="00A478F8"/>
    <w:rsid w:val="00A5097D"/>
    <w:rsid w:val="00A509A8"/>
    <w:rsid w:val="00A514A3"/>
    <w:rsid w:val="00A52E11"/>
    <w:rsid w:val="00A537BB"/>
    <w:rsid w:val="00A53EB2"/>
    <w:rsid w:val="00A53FEC"/>
    <w:rsid w:val="00A54DD4"/>
    <w:rsid w:val="00A54E0B"/>
    <w:rsid w:val="00A558FB"/>
    <w:rsid w:val="00A56267"/>
    <w:rsid w:val="00A603D6"/>
    <w:rsid w:val="00A616B6"/>
    <w:rsid w:val="00A61814"/>
    <w:rsid w:val="00A61915"/>
    <w:rsid w:val="00A61A13"/>
    <w:rsid w:val="00A61D99"/>
    <w:rsid w:val="00A62DC2"/>
    <w:rsid w:val="00A63039"/>
    <w:rsid w:val="00A6312E"/>
    <w:rsid w:val="00A63467"/>
    <w:rsid w:val="00A6403E"/>
    <w:rsid w:val="00A642B4"/>
    <w:rsid w:val="00A6451F"/>
    <w:rsid w:val="00A65148"/>
    <w:rsid w:val="00A65974"/>
    <w:rsid w:val="00A67AB5"/>
    <w:rsid w:val="00A67BF9"/>
    <w:rsid w:val="00A71750"/>
    <w:rsid w:val="00A718EC"/>
    <w:rsid w:val="00A736A6"/>
    <w:rsid w:val="00A73E88"/>
    <w:rsid w:val="00A76B2C"/>
    <w:rsid w:val="00A772F5"/>
    <w:rsid w:val="00A80AFD"/>
    <w:rsid w:val="00A80C8C"/>
    <w:rsid w:val="00A81070"/>
    <w:rsid w:val="00A810EF"/>
    <w:rsid w:val="00A830E2"/>
    <w:rsid w:val="00A83A56"/>
    <w:rsid w:val="00A84DA4"/>
    <w:rsid w:val="00A85947"/>
    <w:rsid w:val="00A85CE9"/>
    <w:rsid w:val="00A90DFF"/>
    <w:rsid w:val="00A91922"/>
    <w:rsid w:val="00A94E39"/>
    <w:rsid w:val="00A94FFE"/>
    <w:rsid w:val="00A9503B"/>
    <w:rsid w:val="00A97631"/>
    <w:rsid w:val="00AA21C4"/>
    <w:rsid w:val="00AA3740"/>
    <w:rsid w:val="00AA4BBC"/>
    <w:rsid w:val="00AA5EF2"/>
    <w:rsid w:val="00AA664A"/>
    <w:rsid w:val="00AA7156"/>
    <w:rsid w:val="00AB1DF5"/>
    <w:rsid w:val="00AB225D"/>
    <w:rsid w:val="00AB49AA"/>
    <w:rsid w:val="00AB5C29"/>
    <w:rsid w:val="00AC04AD"/>
    <w:rsid w:val="00AC085F"/>
    <w:rsid w:val="00AC1714"/>
    <w:rsid w:val="00AC1F6D"/>
    <w:rsid w:val="00AC3355"/>
    <w:rsid w:val="00AC3ABC"/>
    <w:rsid w:val="00AC4756"/>
    <w:rsid w:val="00AC4D19"/>
    <w:rsid w:val="00AD16A5"/>
    <w:rsid w:val="00AD16C0"/>
    <w:rsid w:val="00AD24A3"/>
    <w:rsid w:val="00AD4DB0"/>
    <w:rsid w:val="00AD52B7"/>
    <w:rsid w:val="00AD594F"/>
    <w:rsid w:val="00AE21CA"/>
    <w:rsid w:val="00AE6D0A"/>
    <w:rsid w:val="00AE6E28"/>
    <w:rsid w:val="00AE7FE7"/>
    <w:rsid w:val="00AF0831"/>
    <w:rsid w:val="00AF163E"/>
    <w:rsid w:val="00AF23C5"/>
    <w:rsid w:val="00AF3B9F"/>
    <w:rsid w:val="00AF3E43"/>
    <w:rsid w:val="00AF42BD"/>
    <w:rsid w:val="00AF4574"/>
    <w:rsid w:val="00AF56FD"/>
    <w:rsid w:val="00AF58FE"/>
    <w:rsid w:val="00AF67D4"/>
    <w:rsid w:val="00AF6A85"/>
    <w:rsid w:val="00AF6F33"/>
    <w:rsid w:val="00AF77B2"/>
    <w:rsid w:val="00B015F1"/>
    <w:rsid w:val="00B02165"/>
    <w:rsid w:val="00B02940"/>
    <w:rsid w:val="00B0333E"/>
    <w:rsid w:val="00B04B14"/>
    <w:rsid w:val="00B04D34"/>
    <w:rsid w:val="00B0549E"/>
    <w:rsid w:val="00B05AA0"/>
    <w:rsid w:val="00B06030"/>
    <w:rsid w:val="00B06604"/>
    <w:rsid w:val="00B078C5"/>
    <w:rsid w:val="00B103AC"/>
    <w:rsid w:val="00B1075E"/>
    <w:rsid w:val="00B12186"/>
    <w:rsid w:val="00B134BB"/>
    <w:rsid w:val="00B13A60"/>
    <w:rsid w:val="00B14647"/>
    <w:rsid w:val="00B14762"/>
    <w:rsid w:val="00B14C64"/>
    <w:rsid w:val="00B14DBC"/>
    <w:rsid w:val="00B14E6A"/>
    <w:rsid w:val="00B155E9"/>
    <w:rsid w:val="00B1582B"/>
    <w:rsid w:val="00B176E6"/>
    <w:rsid w:val="00B203B4"/>
    <w:rsid w:val="00B213A3"/>
    <w:rsid w:val="00B21415"/>
    <w:rsid w:val="00B217B4"/>
    <w:rsid w:val="00B26768"/>
    <w:rsid w:val="00B27A64"/>
    <w:rsid w:val="00B30157"/>
    <w:rsid w:val="00B30B15"/>
    <w:rsid w:val="00B30F04"/>
    <w:rsid w:val="00B316CA"/>
    <w:rsid w:val="00B31A6A"/>
    <w:rsid w:val="00B3272D"/>
    <w:rsid w:val="00B32E38"/>
    <w:rsid w:val="00B34B1E"/>
    <w:rsid w:val="00B362E4"/>
    <w:rsid w:val="00B37E17"/>
    <w:rsid w:val="00B40178"/>
    <w:rsid w:val="00B401C5"/>
    <w:rsid w:val="00B40E58"/>
    <w:rsid w:val="00B40F10"/>
    <w:rsid w:val="00B41384"/>
    <w:rsid w:val="00B455BC"/>
    <w:rsid w:val="00B45A4D"/>
    <w:rsid w:val="00B45E31"/>
    <w:rsid w:val="00B46867"/>
    <w:rsid w:val="00B46F0E"/>
    <w:rsid w:val="00B4702C"/>
    <w:rsid w:val="00B477EC"/>
    <w:rsid w:val="00B5302B"/>
    <w:rsid w:val="00B530DA"/>
    <w:rsid w:val="00B53B80"/>
    <w:rsid w:val="00B53EDC"/>
    <w:rsid w:val="00B54FC9"/>
    <w:rsid w:val="00B56249"/>
    <w:rsid w:val="00B56940"/>
    <w:rsid w:val="00B573CD"/>
    <w:rsid w:val="00B577ED"/>
    <w:rsid w:val="00B57CE4"/>
    <w:rsid w:val="00B60779"/>
    <w:rsid w:val="00B61AAB"/>
    <w:rsid w:val="00B61AB1"/>
    <w:rsid w:val="00B62302"/>
    <w:rsid w:val="00B6294C"/>
    <w:rsid w:val="00B641FC"/>
    <w:rsid w:val="00B64498"/>
    <w:rsid w:val="00B6491D"/>
    <w:rsid w:val="00B652BE"/>
    <w:rsid w:val="00B6587F"/>
    <w:rsid w:val="00B6621A"/>
    <w:rsid w:val="00B67095"/>
    <w:rsid w:val="00B70C74"/>
    <w:rsid w:val="00B716D7"/>
    <w:rsid w:val="00B7275B"/>
    <w:rsid w:val="00B739BF"/>
    <w:rsid w:val="00B756D9"/>
    <w:rsid w:val="00B81FC3"/>
    <w:rsid w:val="00B8211C"/>
    <w:rsid w:val="00B821E7"/>
    <w:rsid w:val="00B826FE"/>
    <w:rsid w:val="00B82843"/>
    <w:rsid w:val="00B837B7"/>
    <w:rsid w:val="00B83C90"/>
    <w:rsid w:val="00B8426F"/>
    <w:rsid w:val="00B85072"/>
    <w:rsid w:val="00B86B18"/>
    <w:rsid w:val="00B877CD"/>
    <w:rsid w:val="00B914E4"/>
    <w:rsid w:val="00B92026"/>
    <w:rsid w:val="00B936F1"/>
    <w:rsid w:val="00B96A37"/>
    <w:rsid w:val="00B96E16"/>
    <w:rsid w:val="00BA0975"/>
    <w:rsid w:val="00BA192B"/>
    <w:rsid w:val="00BA1CF9"/>
    <w:rsid w:val="00BA1FF1"/>
    <w:rsid w:val="00BA2EC4"/>
    <w:rsid w:val="00BA4ECE"/>
    <w:rsid w:val="00BA523B"/>
    <w:rsid w:val="00BA7219"/>
    <w:rsid w:val="00BA7B06"/>
    <w:rsid w:val="00BB0746"/>
    <w:rsid w:val="00BB1104"/>
    <w:rsid w:val="00BB1405"/>
    <w:rsid w:val="00BB2BAC"/>
    <w:rsid w:val="00BB3FCA"/>
    <w:rsid w:val="00BB6C85"/>
    <w:rsid w:val="00BB77EE"/>
    <w:rsid w:val="00BC0E8C"/>
    <w:rsid w:val="00BC192C"/>
    <w:rsid w:val="00BC1998"/>
    <w:rsid w:val="00BC1C0C"/>
    <w:rsid w:val="00BC1F86"/>
    <w:rsid w:val="00BC2468"/>
    <w:rsid w:val="00BC359F"/>
    <w:rsid w:val="00BC3CF0"/>
    <w:rsid w:val="00BC631A"/>
    <w:rsid w:val="00BC6342"/>
    <w:rsid w:val="00BC6E3F"/>
    <w:rsid w:val="00BC7D7E"/>
    <w:rsid w:val="00BD15EF"/>
    <w:rsid w:val="00BD1998"/>
    <w:rsid w:val="00BD1C31"/>
    <w:rsid w:val="00BD2013"/>
    <w:rsid w:val="00BD2740"/>
    <w:rsid w:val="00BD28EC"/>
    <w:rsid w:val="00BD610A"/>
    <w:rsid w:val="00BD68D7"/>
    <w:rsid w:val="00BD6AB5"/>
    <w:rsid w:val="00BD7F8E"/>
    <w:rsid w:val="00BE12E0"/>
    <w:rsid w:val="00BE3652"/>
    <w:rsid w:val="00BE3CEA"/>
    <w:rsid w:val="00BE4FA0"/>
    <w:rsid w:val="00BE4FEF"/>
    <w:rsid w:val="00BE5319"/>
    <w:rsid w:val="00BE5B40"/>
    <w:rsid w:val="00BF0C98"/>
    <w:rsid w:val="00BF2DC8"/>
    <w:rsid w:val="00BF2E30"/>
    <w:rsid w:val="00BF44FB"/>
    <w:rsid w:val="00C01CBA"/>
    <w:rsid w:val="00C022C7"/>
    <w:rsid w:val="00C02846"/>
    <w:rsid w:val="00C03D1E"/>
    <w:rsid w:val="00C040E7"/>
    <w:rsid w:val="00C057C3"/>
    <w:rsid w:val="00C062A3"/>
    <w:rsid w:val="00C06D2B"/>
    <w:rsid w:val="00C0723A"/>
    <w:rsid w:val="00C1044D"/>
    <w:rsid w:val="00C10DF8"/>
    <w:rsid w:val="00C12301"/>
    <w:rsid w:val="00C12A72"/>
    <w:rsid w:val="00C13F09"/>
    <w:rsid w:val="00C13FCD"/>
    <w:rsid w:val="00C148A4"/>
    <w:rsid w:val="00C15202"/>
    <w:rsid w:val="00C163D7"/>
    <w:rsid w:val="00C16B1E"/>
    <w:rsid w:val="00C17140"/>
    <w:rsid w:val="00C171FD"/>
    <w:rsid w:val="00C206FD"/>
    <w:rsid w:val="00C207DA"/>
    <w:rsid w:val="00C2083C"/>
    <w:rsid w:val="00C21418"/>
    <w:rsid w:val="00C24EC2"/>
    <w:rsid w:val="00C25B62"/>
    <w:rsid w:val="00C25BD2"/>
    <w:rsid w:val="00C2653F"/>
    <w:rsid w:val="00C26877"/>
    <w:rsid w:val="00C27042"/>
    <w:rsid w:val="00C30FED"/>
    <w:rsid w:val="00C320A8"/>
    <w:rsid w:val="00C32211"/>
    <w:rsid w:val="00C3286C"/>
    <w:rsid w:val="00C33094"/>
    <w:rsid w:val="00C33A06"/>
    <w:rsid w:val="00C33ED6"/>
    <w:rsid w:val="00C342EC"/>
    <w:rsid w:val="00C36F3A"/>
    <w:rsid w:val="00C37252"/>
    <w:rsid w:val="00C40791"/>
    <w:rsid w:val="00C41EE9"/>
    <w:rsid w:val="00C42660"/>
    <w:rsid w:val="00C429AB"/>
    <w:rsid w:val="00C42C1C"/>
    <w:rsid w:val="00C433D4"/>
    <w:rsid w:val="00C4382A"/>
    <w:rsid w:val="00C442C6"/>
    <w:rsid w:val="00C44FC8"/>
    <w:rsid w:val="00C45311"/>
    <w:rsid w:val="00C478AA"/>
    <w:rsid w:val="00C47A5B"/>
    <w:rsid w:val="00C52918"/>
    <w:rsid w:val="00C52AA2"/>
    <w:rsid w:val="00C543ED"/>
    <w:rsid w:val="00C5471F"/>
    <w:rsid w:val="00C55476"/>
    <w:rsid w:val="00C557F7"/>
    <w:rsid w:val="00C5603E"/>
    <w:rsid w:val="00C56844"/>
    <w:rsid w:val="00C5781A"/>
    <w:rsid w:val="00C57B0C"/>
    <w:rsid w:val="00C57FEA"/>
    <w:rsid w:val="00C604FD"/>
    <w:rsid w:val="00C60C4D"/>
    <w:rsid w:val="00C6177C"/>
    <w:rsid w:val="00C63378"/>
    <w:rsid w:val="00C63C02"/>
    <w:rsid w:val="00C640AA"/>
    <w:rsid w:val="00C64268"/>
    <w:rsid w:val="00C6571A"/>
    <w:rsid w:val="00C66C71"/>
    <w:rsid w:val="00C67190"/>
    <w:rsid w:val="00C67BDA"/>
    <w:rsid w:val="00C67D5C"/>
    <w:rsid w:val="00C70A9A"/>
    <w:rsid w:val="00C71381"/>
    <w:rsid w:val="00C716D6"/>
    <w:rsid w:val="00C717FB"/>
    <w:rsid w:val="00C72131"/>
    <w:rsid w:val="00C74833"/>
    <w:rsid w:val="00C75574"/>
    <w:rsid w:val="00C75F8C"/>
    <w:rsid w:val="00C77004"/>
    <w:rsid w:val="00C77AB4"/>
    <w:rsid w:val="00C77D1B"/>
    <w:rsid w:val="00C77F0F"/>
    <w:rsid w:val="00C81678"/>
    <w:rsid w:val="00C81827"/>
    <w:rsid w:val="00C81E16"/>
    <w:rsid w:val="00C826FA"/>
    <w:rsid w:val="00C833BD"/>
    <w:rsid w:val="00C838EA"/>
    <w:rsid w:val="00C83A56"/>
    <w:rsid w:val="00C873C0"/>
    <w:rsid w:val="00C91D9C"/>
    <w:rsid w:val="00C91D9D"/>
    <w:rsid w:val="00C91E2A"/>
    <w:rsid w:val="00C92530"/>
    <w:rsid w:val="00C92BBE"/>
    <w:rsid w:val="00C92D20"/>
    <w:rsid w:val="00C92DB2"/>
    <w:rsid w:val="00C94C60"/>
    <w:rsid w:val="00C95871"/>
    <w:rsid w:val="00C96F93"/>
    <w:rsid w:val="00C973BA"/>
    <w:rsid w:val="00CA09A5"/>
    <w:rsid w:val="00CA16DA"/>
    <w:rsid w:val="00CA2AEF"/>
    <w:rsid w:val="00CA2CA7"/>
    <w:rsid w:val="00CA3D2D"/>
    <w:rsid w:val="00CA4BE5"/>
    <w:rsid w:val="00CA5034"/>
    <w:rsid w:val="00CA54B3"/>
    <w:rsid w:val="00CA736F"/>
    <w:rsid w:val="00CA7A36"/>
    <w:rsid w:val="00CA7A5C"/>
    <w:rsid w:val="00CB029E"/>
    <w:rsid w:val="00CB0A3D"/>
    <w:rsid w:val="00CB2489"/>
    <w:rsid w:val="00CB4ECE"/>
    <w:rsid w:val="00CB5C9B"/>
    <w:rsid w:val="00CB7162"/>
    <w:rsid w:val="00CC12AA"/>
    <w:rsid w:val="00CC24D8"/>
    <w:rsid w:val="00CC3F05"/>
    <w:rsid w:val="00CC4C29"/>
    <w:rsid w:val="00CC51BC"/>
    <w:rsid w:val="00CC53BF"/>
    <w:rsid w:val="00CC62F9"/>
    <w:rsid w:val="00CC6C9C"/>
    <w:rsid w:val="00CC78F7"/>
    <w:rsid w:val="00CC79A7"/>
    <w:rsid w:val="00CD0475"/>
    <w:rsid w:val="00CD29BB"/>
    <w:rsid w:val="00CD2DEF"/>
    <w:rsid w:val="00CD3973"/>
    <w:rsid w:val="00CD41AA"/>
    <w:rsid w:val="00CD55A4"/>
    <w:rsid w:val="00CD5EB1"/>
    <w:rsid w:val="00CD7386"/>
    <w:rsid w:val="00CD7485"/>
    <w:rsid w:val="00CE2499"/>
    <w:rsid w:val="00CE331E"/>
    <w:rsid w:val="00CE3E3E"/>
    <w:rsid w:val="00CE3FBD"/>
    <w:rsid w:val="00CE4946"/>
    <w:rsid w:val="00CE502C"/>
    <w:rsid w:val="00CE554D"/>
    <w:rsid w:val="00CE584F"/>
    <w:rsid w:val="00CE645B"/>
    <w:rsid w:val="00CE6616"/>
    <w:rsid w:val="00CE7413"/>
    <w:rsid w:val="00CF3CCD"/>
    <w:rsid w:val="00CF7565"/>
    <w:rsid w:val="00CF7775"/>
    <w:rsid w:val="00D00482"/>
    <w:rsid w:val="00D008F1"/>
    <w:rsid w:val="00D01823"/>
    <w:rsid w:val="00D01EBA"/>
    <w:rsid w:val="00D024F6"/>
    <w:rsid w:val="00D027E3"/>
    <w:rsid w:val="00D03654"/>
    <w:rsid w:val="00D038B0"/>
    <w:rsid w:val="00D05143"/>
    <w:rsid w:val="00D06450"/>
    <w:rsid w:val="00D064B2"/>
    <w:rsid w:val="00D068FB"/>
    <w:rsid w:val="00D11C78"/>
    <w:rsid w:val="00D13A8B"/>
    <w:rsid w:val="00D13AED"/>
    <w:rsid w:val="00D14202"/>
    <w:rsid w:val="00D172BC"/>
    <w:rsid w:val="00D20381"/>
    <w:rsid w:val="00D21740"/>
    <w:rsid w:val="00D21A11"/>
    <w:rsid w:val="00D21CA3"/>
    <w:rsid w:val="00D21F56"/>
    <w:rsid w:val="00D2210A"/>
    <w:rsid w:val="00D221D9"/>
    <w:rsid w:val="00D225F0"/>
    <w:rsid w:val="00D2342E"/>
    <w:rsid w:val="00D265D0"/>
    <w:rsid w:val="00D2722E"/>
    <w:rsid w:val="00D27E61"/>
    <w:rsid w:val="00D306D9"/>
    <w:rsid w:val="00D30A66"/>
    <w:rsid w:val="00D34286"/>
    <w:rsid w:val="00D34935"/>
    <w:rsid w:val="00D359FD"/>
    <w:rsid w:val="00D37679"/>
    <w:rsid w:val="00D37C51"/>
    <w:rsid w:val="00D37EB5"/>
    <w:rsid w:val="00D40343"/>
    <w:rsid w:val="00D419FD"/>
    <w:rsid w:val="00D43E70"/>
    <w:rsid w:val="00D446A4"/>
    <w:rsid w:val="00D47188"/>
    <w:rsid w:val="00D475A6"/>
    <w:rsid w:val="00D5186D"/>
    <w:rsid w:val="00D51ACD"/>
    <w:rsid w:val="00D53FA2"/>
    <w:rsid w:val="00D55E15"/>
    <w:rsid w:val="00D56CA7"/>
    <w:rsid w:val="00D57B84"/>
    <w:rsid w:val="00D60F46"/>
    <w:rsid w:val="00D62149"/>
    <w:rsid w:val="00D6224C"/>
    <w:rsid w:val="00D625AD"/>
    <w:rsid w:val="00D62855"/>
    <w:rsid w:val="00D639F1"/>
    <w:rsid w:val="00D63D9E"/>
    <w:rsid w:val="00D6419C"/>
    <w:rsid w:val="00D648FB"/>
    <w:rsid w:val="00D649E1"/>
    <w:rsid w:val="00D65EDF"/>
    <w:rsid w:val="00D673F7"/>
    <w:rsid w:val="00D674DD"/>
    <w:rsid w:val="00D70236"/>
    <w:rsid w:val="00D71849"/>
    <w:rsid w:val="00D7271F"/>
    <w:rsid w:val="00D73182"/>
    <w:rsid w:val="00D732C5"/>
    <w:rsid w:val="00D743B7"/>
    <w:rsid w:val="00D76CC3"/>
    <w:rsid w:val="00D77406"/>
    <w:rsid w:val="00D81412"/>
    <w:rsid w:val="00D83F7D"/>
    <w:rsid w:val="00D84046"/>
    <w:rsid w:val="00D84B3F"/>
    <w:rsid w:val="00D84E0F"/>
    <w:rsid w:val="00D85006"/>
    <w:rsid w:val="00D85007"/>
    <w:rsid w:val="00D85725"/>
    <w:rsid w:val="00D85B06"/>
    <w:rsid w:val="00D85ECF"/>
    <w:rsid w:val="00D860E6"/>
    <w:rsid w:val="00D86BC6"/>
    <w:rsid w:val="00D86BCF"/>
    <w:rsid w:val="00D872CB"/>
    <w:rsid w:val="00D900C8"/>
    <w:rsid w:val="00D91220"/>
    <w:rsid w:val="00D91AF0"/>
    <w:rsid w:val="00D91FC4"/>
    <w:rsid w:val="00D92266"/>
    <w:rsid w:val="00D93170"/>
    <w:rsid w:val="00D932A6"/>
    <w:rsid w:val="00D93878"/>
    <w:rsid w:val="00D93BFC"/>
    <w:rsid w:val="00D9472D"/>
    <w:rsid w:val="00D96288"/>
    <w:rsid w:val="00D96E15"/>
    <w:rsid w:val="00D97D02"/>
    <w:rsid w:val="00DA0167"/>
    <w:rsid w:val="00DA0290"/>
    <w:rsid w:val="00DA0F41"/>
    <w:rsid w:val="00DA174F"/>
    <w:rsid w:val="00DA3B64"/>
    <w:rsid w:val="00DA3F55"/>
    <w:rsid w:val="00DA4285"/>
    <w:rsid w:val="00DA4902"/>
    <w:rsid w:val="00DA5671"/>
    <w:rsid w:val="00DA590C"/>
    <w:rsid w:val="00DA64AC"/>
    <w:rsid w:val="00DA7B3F"/>
    <w:rsid w:val="00DB150D"/>
    <w:rsid w:val="00DB261D"/>
    <w:rsid w:val="00DB329C"/>
    <w:rsid w:val="00DB382E"/>
    <w:rsid w:val="00DB47AA"/>
    <w:rsid w:val="00DB5853"/>
    <w:rsid w:val="00DB625D"/>
    <w:rsid w:val="00DB65DD"/>
    <w:rsid w:val="00DB750F"/>
    <w:rsid w:val="00DB7836"/>
    <w:rsid w:val="00DC0934"/>
    <w:rsid w:val="00DC1512"/>
    <w:rsid w:val="00DC2CFF"/>
    <w:rsid w:val="00DC332C"/>
    <w:rsid w:val="00DC59A2"/>
    <w:rsid w:val="00DC7FB9"/>
    <w:rsid w:val="00DD0A22"/>
    <w:rsid w:val="00DD13C4"/>
    <w:rsid w:val="00DD225A"/>
    <w:rsid w:val="00DD4155"/>
    <w:rsid w:val="00DD4E94"/>
    <w:rsid w:val="00DD5969"/>
    <w:rsid w:val="00DD5E54"/>
    <w:rsid w:val="00DE056D"/>
    <w:rsid w:val="00DE0CCA"/>
    <w:rsid w:val="00DE144B"/>
    <w:rsid w:val="00DE2042"/>
    <w:rsid w:val="00DE22F4"/>
    <w:rsid w:val="00DE28EF"/>
    <w:rsid w:val="00DE2BF9"/>
    <w:rsid w:val="00DE2D2B"/>
    <w:rsid w:val="00DE2DF9"/>
    <w:rsid w:val="00DE3C59"/>
    <w:rsid w:val="00DE43A7"/>
    <w:rsid w:val="00DE46EA"/>
    <w:rsid w:val="00DE501F"/>
    <w:rsid w:val="00DE5394"/>
    <w:rsid w:val="00DE5B86"/>
    <w:rsid w:val="00DE5DF6"/>
    <w:rsid w:val="00DE6529"/>
    <w:rsid w:val="00DE67E3"/>
    <w:rsid w:val="00DE78AC"/>
    <w:rsid w:val="00DF3065"/>
    <w:rsid w:val="00DF3186"/>
    <w:rsid w:val="00DF516F"/>
    <w:rsid w:val="00DF5479"/>
    <w:rsid w:val="00DF5C74"/>
    <w:rsid w:val="00DF6893"/>
    <w:rsid w:val="00DF728A"/>
    <w:rsid w:val="00DF7F9F"/>
    <w:rsid w:val="00E00302"/>
    <w:rsid w:val="00E021AB"/>
    <w:rsid w:val="00E0271C"/>
    <w:rsid w:val="00E035E5"/>
    <w:rsid w:val="00E03C14"/>
    <w:rsid w:val="00E03F21"/>
    <w:rsid w:val="00E049E4"/>
    <w:rsid w:val="00E06069"/>
    <w:rsid w:val="00E061C6"/>
    <w:rsid w:val="00E10339"/>
    <w:rsid w:val="00E107D2"/>
    <w:rsid w:val="00E10863"/>
    <w:rsid w:val="00E10A4D"/>
    <w:rsid w:val="00E11E39"/>
    <w:rsid w:val="00E11FC7"/>
    <w:rsid w:val="00E135C7"/>
    <w:rsid w:val="00E13D82"/>
    <w:rsid w:val="00E1752D"/>
    <w:rsid w:val="00E20BA6"/>
    <w:rsid w:val="00E20C3B"/>
    <w:rsid w:val="00E21962"/>
    <w:rsid w:val="00E21B66"/>
    <w:rsid w:val="00E230EE"/>
    <w:rsid w:val="00E23128"/>
    <w:rsid w:val="00E2343B"/>
    <w:rsid w:val="00E234A2"/>
    <w:rsid w:val="00E23BE2"/>
    <w:rsid w:val="00E24404"/>
    <w:rsid w:val="00E2462A"/>
    <w:rsid w:val="00E24DCE"/>
    <w:rsid w:val="00E24FEB"/>
    <w:rsid w:val="00E257CD"/>
    <w:rsid w:val="00E269F0"/>
    <w:rsid w:val="00E274BA"/>
    <w:rsid w:val="00E276D2"/>
    <w:rsid w:val="00E27BE2"/>
    <w:rsid w:val="00E30D4E"/>
    <w:rsid w:val="00E322DD"/>
    <w:rsid w:val="00E32D9D"/>
    <w:rsid w:val="00E3302C"/>
    <w:rsid w:val="00E3324C"/>
    <w:rsid w:val="00E33BF4"/>
    <w:rsid w:val="00E3668D"/>
    <w:rsid w:val="00E371EA"/>
    <w:rsid w:val="00E4010A"/>
    <w:rsid w:val="00E406F3"/>
    <w:rsid w:val="00E409E5"/>
    <w:rsid w:val="00E40ED0"/>
    <w:rsid w:val="00E412F4"/>
    <w:rsid w:val="00E4144D"/>
    <w:rsid w:val="00E41E7D"/>
    <w:rsid w:val="00E42698"/>
    <w:rsid w:val="00E45180"/>
    <w:rsid w:val="00E45790"/>
    <w:rsid w:val="00E45BE5"/>
    <w:rsid w:val="00E4618F"/>
    <w:rsid w:val="00E46FD7"/>
    <w:rsid w:val="00E4710E"/>
    <w:rsid w:val="00E47C03"/>
    <w:rsid w:val="00E47CA1"/>
    <w:rsid w:val="00E47CA4"/>
    <w:rsid w:val="00E53485"/>
    <w:rsid w:val="00E60726"/>
    <w:rsid w:val="00E6089D"/>
    <w:rsid w:val="00E6202C"/>
    <w:rsid w:val="00E622AB"/>
    <w:rsid w:val="00E62B03"/>
    <w:rsid w:val="00E63B0F"/>
    <w:rsid w:val="00E650BB"/>
    <w:rsid w:val="00E65B0F"/>
    <w:rsid w:val="00E65D5F"/>
    <w:rsid w:val="00E67270"/>
    <w:rsid w:val="00E70CAA"/>
    <w:rsid w:val="00E72BB5"/>
    <w:rsid w:val="00E731A5"/>
    <w:rsid w:val="00E7414B"/>
    <w:rsid w:val="00E760FA"/>
    <w:rsid w:val="00E7663C"/>
    <w:rsid w:val="00E766BA"/>
    <w:rsid w:val="00E767F3"/>
    <w:rsid w:val="00E77450"/>
    <w:rsid w:val="00E77B70"/>
    <w:rsid w:val="00E811BB"/>
    <w:rsid w:val="00E81E36"/>
    <w:rsid w:val="00E829C9"/>
    <w:rsid w:val="00E83C98"/>
    <w:rsid w:val="00E83ED7"/>
    <w:rsid w:val="00E85A0F"/>
    <w:rsid w:val="00E87B7A"/>
    <w:rsid w:val="00E905E1"/>
    <w:rsid w:val="00E905EA"/>
    <w:rsid w:val="00E90C3F"/>
    <w:rsid w:val="00E9177A"/>
    <w:rsid w:val="00E92739"/>
    <w:rsid w:val="00E9279F"/>
    <w:rsid w:val="00E92D06"/>
    <w:rsid w:val="00E940D8"/>
    <w:rsid w:val="00E94327"/>
    <w:rsid w:val="00E95446"/>
    <w:rsid w:val="00E954E4"/>
    <w:rsid w:val="00E95875"/>
    <w:rsid w:val="00E95C04"/>
    <w:rsid w:val="00E961F5"/>
    <w:rsid w:val="00E969EF"/>
    <w:rsid w:val="00E9723B"/>
    <w:rsid w:val="00E97BAD"/>
    <w:rsid w:val="00EA096C"/>
    <w:rsid w:val="00EA0FC6"/>
    <w:rsid w:val="00EA17D3"/>
    <w:rsid w:val="00EA1DF0"/>
    <w:rsid w:val="00EA3E30"/>
    <w:rsid w:val="00EA45A6"/>
    <w:rsid w:val="00EA6101"/>
    <w:rsid w:val="00EA6B42"/>
    <w:rsid w:val="00EA7308"/>
    <w:rsid w:val="00EA75A5"/>
    <w:rsid w:val="00EA7DA2"/>
    <w:rsid w:val="00EA7E3D"/>
    <w:rsid w:val="00EB1139"/>
    <w:rsid w:val="00EB15D7"/>
    <w:rsid w:val="00EB1ABF"/>
    <w:rsid w:val="00EB1AD3"/>
    <w:rsid w:val="00EB254A"/>
    <w:rsid w:val="00EB337A"/>
    <w:rsid w:val="00EB4FA3"/>
    <w:rsid w:val="00EB53C5"/>
    <w:rsid w:val="00EB5AED"/>
    <w:rsid w:val="00EB5BA6"/>
    <w:rsid w:val="00EB5C88"/>
    <w:rsid w:val="00EB5FEC"/>
    <w:rsid w:val="00EB6354"/>
    <w:rsid w:val="00EB6425"/>
    <w:rsid w:val="00EB653E"/>
    <w:rsid w:val="00EB6CAE"/>
    <w:rsid w:val="00EB7F06"/>
    <w:rsid w:val="00EC0005"/>
    <w:rsid w:val="00EC0627"/>
    <w:rsid w:val="00EC1B5D"/>
    <w:rsid w:val="00EC1E1F"/>
    <w:rsid w:val="00EC28D4"/>
    <w:rsid w:val="00EC46ED"/>
    <w:rsid w:val="00EC4DF6"/>
    <w:rsid w:val="00EC523A"/>
    <w:rsid w:val="00EC6006"/>
    <w:rsid w:val="00EC7D6B"/>
    <w:rsid w:val="00ED0067"/>
    <w:rsid w:val="00ED06BF"/>
    <w:rsid w:val="00ED3AE0"/>
    <w:rsid w:val="00ED48F5"/>
    <w:rsid w:val="00ED5F24"/>
    <w:rsid w:val="00ED5F5A"/>
    <w:rsid w:val="00ED6B06"/>
    <w:rsid w:val="00ED71D8"/>
    <w:rsid w:val="00ED756B"/>
    <w:rsid w:val="00ED756E"/>
    <w:rsid w:val="00ED7BEF"/>
    <w:rsid w:val="00EE00C1"/>
    <w:rsid w:val="00EE2D34"/>
    <w:rsid w:val="00EE412C"/>
    <w:rsid w:val="00EE4995"/>
    <w:rsid w:val="00EE6D06"/>
    <w:rsid w:val="00EE6D6C"/>
    <w:rsid w:val="00EF1141"/>
    <w:rsid w:val="00EF1735"/>
    <w:rsid w:val="00EF3CC1"/>
    <w:rsid w:val="00EF6467"/>
    <w:rsid w:val="00EF723A"/>
    <w:rsid w:val="00EF75DF"/>
    <w:rsid w:val="00F01ADF"/>
    <w:rsid w:val="00F038E1"/>
    <w:rsid w:val="00F04146"/>
    <w:rsid w:val="00F052F8"/>
    <w:rsid w:val="00F0616E"/>
    <w:rsid w:val="00F06516"/>
    <w:rsid w:val="00F0744B"/>
    <w:rsid w:val="00F07BFF"/>
    <w:rsid w:val="00F10284"/>
    <w:rsid w:val="00F1100D"/>
    <w:rsid w:val="00F12914"/>
    <w:rsid w:val="00F13FD3"/>
    <w:rsid w:val="00F144AC"/>
    <w:rsid w:val="00F151E5"/>
    <w:rsid w:val="00F15526"/>
    <w:rsid w:val="00F17125"/>
    <w:rsid w:val="00F172C3"/>
    <w:rsid w:val="00F17750"/>
    <w:rsid w:val="00F215D9"/>
    <w:rsid w:val="00F21DF2"/>
    <w:rsid w:val="00F222F5"/>
    <w:rsid w:val="00F2388B"/>
    <w:rsid w:val="00F23C81"/>
    <w:rsid w:val="00F24231"/>
    <w:rsid w:val="00F25183"/>
    <w:rsid w:val="00F254A0"/>
    <w:rsid w:val="00F2664E"/>
    <w:rsid w:val="00F27EED"/>
    <w:rsid w:val="00F31BAB"/>
    <w:rsid w:val="00F31C57"/>
    <w:rsid w:val="00F3216D"/>
    <w:rsid w:val="00F32773"/>
    <w:rsid w:val="00F340EF"/>
    <w:rsid w:val="00F3541E"/>
    <w:rsid w:val="00F35AA3"/>
    <w:rsid w:val="00F35C4E"/>
    <w:rsid w:val="00F36786"/>
    <w:rsid w:val="00F37B62"/>
    <w:rsid w:val="00F37C98"/>
    <w:rsid w:val="00F41B3B"/>
    <w:rsid w:val="00F4337E"/>
    <w:rsid w:val="00F44E02"/>
    <w:rsid w:val="00F4711F"/>
    <w:rsid w:val="00F503B5"/>
    <w:rsid w:val="00F50A32"/>
    <w:rsid w:val="00F51590"/>
    <w:rsid w:val="00F524FA"/>
    <w:rsid w:val="00F5294A"/>
    <w:rsid w:val="00F54DCE"/>
    <w:rsid w:val="00F56A70"/>
    <w:rsid w:val="00F56BAE"/>
    <w:rsid w:val="00F56E4E"/>
    <w:rsid w:val="00F60734"/>
    <w:rsid w:val="00F6084C"/>
    <w:rsid w:val="00F608DD"/>
    <w:rsid w:val="00F63053"/>
    <w:rsid w:val="00F646A8"/>
    <w:rsid w:val="00F646CD"/>
    <w:rsid w:val="00F657FE"/>
    <w:rsid w:val="00F66DC7"/>
    <w:rsid w:val="00F67575"/>
    <w:rsid w:val="00F67C92"/>
    <w:rsid w:val="00F715E7"/>
    <w:rsid w:val="00F724EE"/>
    <w:rsid w:val="00F72597"/>
    <w:rsid w:val="00F74020"/>
    <w:rsid w:val="00F75510"/>
    <w:rsid w:val="00F7588F"/>
    <w:rsid w:val="00F7608C"/>
    <w:rsid w:val="00F76C9B"/>
    <w:rsid w:val="00F801E6"/>
    <w:rsid w:val="00F802E9"/>
    <w:rsid w:val="00F8046A"/>
    <w:rsid w:val="00F807C2"/>
    <w:rsid w:val="00F81413"/>
    <w:rsid w:val="00F81AE1"/>
    <w:rsid w:val="00F81E5A"/>
    <w:rsid w:val="00F82067"/>
    <w:rsid w:val="00F825DD"/>
    <w:rsid w:val="00F8317F"/>
    <w:rsid w:val="00F8351A"/>
    <w:rsid w:val="00F8417E"/>
    <w:rsid w:val="00F8480F"/>
    <w:rsid w:val="00F8536F"/>
    <w:rsid w:val="00F85830"/>
    <w:rsid w:val="00F85D09"/>
    <w:rsid w:val="00F91D34"/>
    <w:rsid w:val="00F929AA"/>
    <w:rsid w:val="00F9314B"/>
    <w:rsid w:val="00F9430E"/>
    <w:rsid w:val="00F95425"/>
    <w:rsid w:val="00F96D39"/>
    <w:rsid w:val="00F97EAB"/>
    <w:rsid w:val="00FA057E"/>
    <w:rsid w:val="00FA05D8"/>
    <w:rsid w:val="00FA112B"/>
    <w:rsid w:val="00FA28EA"/>
    <w:rsid w:val="00FA2DD7"/>
    <w:rsid w:val="00FA3B6A"/>
    <w:rsid w:val="00FA3E1E"/>
    <w:rsid w:val="00FA4C11"/>
    <w:rsid w:val="00FA6CDA"/>
    <w:rsid w:val="00FA6D94"/>
    <w:rsid w:val="00FB0BEF"/>
    <w:rsid w:val="00FB10B7"/>
    <w:rsid w:val="00FB13FA"/>
    <w:rsid w:val="00FB3A3A"/>
    <w:rsid w:val="00FB3BEB"/>
    <w:rsid w:val="00FB3DC1"/>
    <w:rsid w:val="00FB751A"/>
    <w:rsid w:val="00FB7660"/>
    <w:rsid w:val="00FC0638"/>
    <w:rsid w:val="00FC0F04"/>
    <w:rsid w:val="00FC11D9"/>
    <w:rsid w:val="00FC161D"/>
    <w:rsid w:val="00FC167A"/>
    <w:rsid w:val="00FC2351"/>
    <w:rsid w:val="00FC2D84"/>
    <w:rsid w:val="00FC38F8"/>
    <w:rsid w:val="00FC43FA"/>
    <w:rsid w:val="00FC4FF9"/>
    <w:rsid w:val="00FC5FB5"/>
    <w:rsid w:val="00FC774D"/>
    <w:rsid w:val="00FD04FD"/>
    <w:rsid w:val="00FD07D1"/>
    <w:rsid w:val="00FD101E"/>
    <w:rsid w:val="00FD2652"/>
    <w:rsid w:val="00FD26A2"/>
    <w:rsid w:val="00FD3AC3"/>
    <w:rsid w:val="00FD3E65"/>
    <w:rsid w:val="00FD3F47"/>
    <w:rsid w:val="00FD6527"/>
    <w:rsid w:val="00FD6A8A"/>
    <w:rsid w:val="00FD6BC3"/>
    <w:rsid w:val="00FD7237"/>
    <w:rsid w:val="00FD7271"/>
    <w:rsid w:val="00FD7AA2"/>
    <w:rsid w:val="00FE0482"/>
    <w:rsid w:val="00FE101C"/>
    <w:rsid w:val="00FE170C"/>
    <w:rsid w:val="00FE2B75"/>
    <w:rsid w:val="00FE2EB5"/>
    <w:rsid w:val="00FE3F47"/>
    <w:rsid w:val="00FE5F63"/>
    <w:rsid w:val="00FE69AD"/>
    <w:rsid w:val="00FE75FD"/>
    <w:rsid w:val="00FF072A"/>
    <w:rsid w:val="00FF108C"/>
    <w:rsid w:val="00FF1221"/>
    <w:rsid w:val="00FF1584"/>
    <w:rsid w:val="00FF258D"/>
    <w:rsid w:val="00FF2680"/>
    <w:rsid w:val="00FF3D29"/>
    <w:rsid w:val="00FF51F1"/>
    <w:rsid w:val="00FF5562"/>
    <w:rsid w:val="00FF5580"/>
    <w:rsid w:val="00FF59F1"/>
    <w:rsid w:val="00FF5C4B"/>
    <w:rsid w:val="00FF63CC"/>
    <w:rsid w:val="00FF6BF5"/>
    <w:rsid w:val="00FF6C3B"/>
    <w:rsid w:val="00FF73CF"/>
    <w:rsid w:val="00FF765A"/>
    <w:rsid w:val="010EA8BF"/>
    <w:rsid w:val="0271559B"/>
    <w:rsid w:val="02AA7920"/>
    <w:rsid w:val="02DBA3A0"/>
    <w:rsid w:val="02EF974D"/>
    <w:rsid w:val="030B32BA"/>
    <w:rsid w:val="0354D9D6"/>
    <w:rsid w:val="03974014"/>
    <w:rsid w:val="04053971"/>
    <w:rsid w:val="04480FE9"/>
    <w:rsid w:val="05B5FC36"/>
    <w:rsid w:val="061FED94"/>
    <w:rsid w:val="062A2D67"/>
    <w:rsid w:val="0722D250"/>
    <w:rsid w:val="0763E368"/>
    <w:rsid w:val="088B9E82"/>
    <w:rsid w:val="09DFE4D9"/>
    <w:rsid w:val="0A88E792"/>
    <w:rsid w:val="0A89BC73"/>
    <w:rsid w:val="0BFC2F94"/>
    <w:rsid w:val="0C6770F8"/>
    <w:rsid w:val="0CB4D787"/>
    <w:rsid w:val="0CD554F7"/>
    <w:rsid w:val="0D004EA8"/>
    <w:rsid w:val="0D0247E1"/>
    <w:rsid w:val="0D2E7B1A"/>
    <w:rsid w:val="0E6CEA23"/>
    <w:rsid w:val="0ED29DA8"/>
    <w:rsid w:val="0ED6AA7D"/>
    <w:rsid w:val="0EDB547C"/>
    <w:rsid w:val="0EF12D72"/>
    <w:rsid w:val="0F2D3ABC"/>
    <w:rsid w:val="0FB5913F"/>
    <w:rsid w:val="1143B662"/>
    <w:rsid w:val="11FA6459"/>
    <w:rsid w:val="122FBEA0"/>
    <w:rsid w:val="13055670"/>
    <w:rsid w:val="133BE19B"/>
    <w:rsid w:val="13DFA052"/>
    <w:rsid w:val="13E3AFAC"/>
    <w:rsid w:val="13F1F626"/>
    <w:rsid w:val="1495CF6C"/>
    <w:rsid w:val="163606C6"/>
    <w:rsid w:val="1723E2A7"/>
    <w:rsid w:val="17710C37"/>
    <w:rsid w:val="1800FFB8"/>
    <w:rsid w:val="1922BC4C"/>
    <w:rsid w:val="1966F485"/>
    <w:rsid w:val="19C7A28C"/>
    <w:rsid w:val="1AA51850"/>
    <w:rsid w:val="1B1D25D0"/>
    <w:rsid w:val="1BA0E1F8"/>
    <w:rsid w:val="1C120C20"/>
    <w:rsid w:val="1C61263C"/>
    <w:rsid w:val="1C90F0DD"/>
    <w:rsid w:val="1CCA96AA"/>
    <w:rsid w:val="1D07957B"/>
    <w:rsid w:val="1D8240C0"/>
    <w:rsid w:val="1E4BB4B3"/>
    <w:rsid w:val="1E5FDB46"/>
    <w:rsid w:val="1F54E216"/>
    <w:rsid w:val="1F8E7C93"/>
    <w:rsid w:val="204696E3"/>
    <w:rsid w:val="208C4C88"/>
    <w:rsid w:val="20FBE319"/>
    <w:rsid w:val="213ABE7D"/>
    <w:rsid w:val="215A0265"/>
    <w:rsid w:val="2226C2F7"/>
    <w:rsid w:val="224DE5AA"/>
    <w:rsid w:val="230284AE"/>
    <w:rsid w:val="2308B664"/>
    <w:rsid w:val="2338D07C"/>
    <w:rsid w:val="23BDF8FD"/>
    <w:rsid w:val="2407B549"/>
    <w:rsid w:val="243C3AAF"/>
    <w:rsid w:val="2460BEC6"/>
    <w:rsid w:val="24713925"/>
    <w:rsid w:val="24C4214F"/>
    <w:rsid w:val="26C8829B"/>
    <w:rsid w:val="27B0F06D"/>
    <w:rsid w:val="27C5F482"/>
    <w:rsid w:val="28598ABB"/>
    <w:rsid w:val="28BB0DA3"/>
    <w:rsid w:val="2BEC6887"/>
    <w:rsid w:val="2DD1AF4D"/>
    <w:rsid w:val="2E469916"/>
    <w:rsid w:val="2FC2AC07"/>
    <w:rsid w:val="304354E7"/>
    <w:rsid w:val="305418E8"/>
    <w:rsid w:val="3097018F"/>
    <w:rsid w:val="30CC787C"/>
    <w:rsid w:val="315F8D68"/>
    <w:rsid w:val="32348DC0"/>
    <w:rsid w:val="323CEA85"/>
    <w:rsid w:val="33C9A3BA"/>
    <w:rsid w:val="3441ECF0"/>
    <w:rsid w:val="34A46CF2"/>
    <w:rsid w:val="34C4D811"/>
    <w:rsid w:val="37C74708"/>
    <w:rsid w:val="3808D865"/>
    <w:rsid w:val="386EBCFE"/>
    <w:rsid w:val="397A652B"/>
    <w:rsid w:val="3C3B4C50"/>
    <w:rsid w:val="3C59EF21"/>
    <w:rsid w:val="3D039026"/>
    <w:rsid w:val="3E69AC31"/>
    <w:rsid w:val="3FD6AE10"/>
    <w:rsid w:val="3FD94959"/>
    <w:rsid w:val="40C72BCE"/>
    <w:rsid w:val="41028339"/>
    <w:rsid w:val="424F4416"/>
    <w:rsid w:val="425147E7"/>
    <w:rsid w:val="42B528AF"/>
    <w:rsid w:val="4335C841"/>
    <w:rsid w:val="44A559D6"/>
    <w:rsid w:val="453CF6B6"/>
    <w:rsid w:val="4596BEE9"/>
    <w:rsid w:val="45F7DAFE"/>
    <w:rsid w:val="498CD2EF"/>
    <w:rsid w:val="4A2CF3D2"/>
    <w:rsid w:val="4A628C2A"/>
    <w:rsid w:val="4C42D800"/>
    <w:rsid w:val="4DBC3CA7"/>
    <w:rsid w:val="4E325509"/>
    <w:rsid w:val="4EE86B88"/>
    <w:rsid w:val="4F072E23"/>
    <w:rsid w:val="4F71FF57"/>
    <w:rsid w:val="4F72055A"/>
    <w:rsid w:val="4F98CB23"/>
    <w:rsid w:val="501D5C2C"/>
    <w:rsid w:val="50CF32B8"/>
    <w:rsid w:val="521AEE9D"/>
    <w:rsid w:val="52A8A3FA"/>
    <w:rsid w:val="53930741"/>
    <w:rsid w:val="53E91796"/>
    <w:rsid w:val="53FF79A8"/>
    <w:rsid w:val="5426E0B0"/>
    <w:rsid w:val="54F5D015"/>
    <w:rsid w:val="5A8C79D9"/>
    <w:rsid w:val="5AF01D38"/>
    <w:rsid w:val="5B34314B"/>
    <w:rsid w:val="5B8A0BA1"/>
    <w:rsid w:val="5B9A23DF"/>
    <w:rsid w:val="5D9557AC"/>
    <w:rsid w:val="5EA9F123"/>
    <w:rsid w:val="5F4AA97E"/>
    <w:rsid w:val="5F88BA99"/>
    <w:rsid w:val="60B02E11"/>
    <w:rsid w:val="60F4F9FE"/>
    <w:rsid w:val="6152028D"/>
    <w:rsid w:val="62136057"/>
    <w:rsid w:val="63126610"/>
    <w:rsid w:val="636E1DF0"/>
    <w:rsid w:val="63EFF9C2"/>
    <w:rsid w:val="6444324F"/>
    <w:rsid w:val="656C123D"/>
    <w:rsid w:val="660D3E37"/>
    <w:rsid w:val="6639990D"/>
    <w:rsid w:val="6659746D"/>
    <w:rsid w:val="668147EB"/>
    <w:rsid w:val="6687DE48"/>
    <w:rsid w:val="679A1ADA"/>
    <w:rsid w:val="67B9D994"/>
    <w:rsid w:val="687D6A66"/>
    <w:rsid w:val="6A889CFD"/>
    <w:rsid w:val="6C2513D1"/>
    <w:rsid w:val="6DC3367F"/>
    <w:rsid w:val="6E6AEAD9"/>
    <w:rsid w:val="6EB79B82"/>
    <w:rsid w:val="6F847C7E"/>
    <w:rsid w:val="6FC9486B"/>
    <w:rsid w:val="70AA06A3"/>
    <w:rsid w:val="7133E756"/>
    <w:rsid w:val="719A396E"/>
    <w:rsid w:val="71F78E71"/>
    <w:rsid w:val="72CBF751"/>
    <w:rsid w:val="72E42E27"/>
    <w:rsid w:val="731185B8"/>
    <w:rsid w:val="73E63699"/>
    <w:rsid w:val="73FD0116"/>
    <w:rsid w:val="74529C5F"/>
    <w:rsid w:val="749EFC7E"/>
    <w:rsid w:val="75DC9A71"/>
    <w:rsid w:val="76315FDE"/>
    <w:rsid w:val="76C8FBC3"/>
    <w:rsid w:val="76E09089"/>
    <w:rsid w:val="77811613"/>
    <w:rsid w:val="79F1CA26"/>
    <w:rsid w:val="7AB0FC20"/>
    <w:rsid w:val="7AB12EF1"/>
    <w:rsid w:val="7AEF72DD"/>
    <w:rsid w:val="7B95880D"/>
    <w:rsid w:val="7BB53B34"/>
    <w:rsid w:val="7D21A59B"/>
    <w:rsid w:val="7E82002A"/>
    <w:rsid w:val="7F0AB57B"/>
    <w:rsid w:val="7F2FE12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5A2835"/>
  <w15:docId w15:val="{8D6AFF75-D89B-4D1C-8E79-19D9BAB6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0B3C18"/>
    <w:pPr>
      <w:numPr>
        <w:numId w:val="2"/>
      </w:numPr>
      <w:tabs>
        <w:tab w:val="num" w:pos="360"/>
      </w:tabs>
      <w:ind w:left="0" w:firstLine="0"/>
    </w:pPr>
    <w:rPr>
      <w:rFonts w:eastAsia="Times New Roman"/>
      <w:lang w:eastAsia="de-DE"/>
    </w:rPr>
  </w:style>
  <w:style w:type="paragraph" w:styleId="ListNumber">
    <w:name w:val="List Number"/>
    <w:basedOn w:val="Normal"/>
    <w:rsid w:val="002B26AA"/>
    <w:pPr>
      <w:numPr>
        <w:numId w:val="6"/>
      </w:numPr>
    </w:pPr>
    <w:rPr>
      <w:rFonts w:eastAsia="Times New Roman"/>
      <w:lang w:eastAsia="de-DE"/>
    </w:rPr>
  </w:style>
  <w:style w:type="paragraph" w:customStyle="1" w:styleId="ListBullet1">
    <w:name w:val="List Bullet 1"/>
    <w:basedOn w:val="Normal"/>
    <w:rsid w:val="002B26AA"/>
    <w:pPr>
      <w:numPr>
        <w:numId w:val="1"/>
      </w:numPr>
    </w:pPr>
    <w:rPr>
      <w:rFonts w:eastAsia="Times New Roman"/>
      <w:lang w:eastAsia="de-DE"/>
    </w:rPr>
  </w:style>
  <w:style w:type="paragraph" w:customStyle="1" w:styleId="ListDash">
    <w:name w:val="List Dash"/>
    <w:basedOn w:val="Normal"/>
    <w:rsid w:val="002B26AA"/>
    <w:pPr>
      <w:numPr>
        <w:numId w:val="3"/>
      </w:numPr>
    </w:pPr>
    <w:rPr>
      <w:rFonts w:eastAsia="Times New Roman"/>
      <w:lang w:eastAsia="de-DE"/>
    </w:rPr>
  </w:style>
  <w:style w:type="paragraph" w:customStyle="1" w:styleId="ListDash1">
    <w:name w:val="List Dash 1"/>
    <w:basedOn w:val="Normal"/>
    <w:rsid w:val="002B26AA"/>
    <w:pPr>
      <w:numPr>
        <w:numId w:val="4"/>
      </w:numPr>
    </w:pPr>
    <w:rPr>
      <w:rFonts w:eastAsia="Times New Roman"/>
      <w:lang w:eastAsia="de-DE"/>
    </w:rPr>
  </w:style>
  <w:style w:type="paragraph" w:customStyle="1" w:styleId="ListDash2">
    <w:name w:val="List Dash 2"/>
    <w:basedOn w:val="Normal"/>
    <w:rsid w:val="002B26AA"/>
    <w:pPr>
      <w:numPr>
        <w:numId w:val="5"/>
      </w:numPr>
    </w:pPr>
    <w:rPr>
      <w:rFonts w:eastAsia="Times New Roman"/>
      <w:lang w:eastAsia="de-DE"/>
    </w:rPr>
  </w:style>
  <w:style w:type="paragraph" w:customStyle="1" w:styleId="ListNumberLevel2">
    <w:name w:val="List Number (Level 2)"/>
    <w:basedOn w:val="Normal"/>
    <w:rsid w:val="002B26AA"/>
    <w:pPr>
      <w:numPr>
        <w:ilvl w:val="1"/>
        <w:numId w:val="6"/>
      </w:numPr>
    </w:pPr>
    <w:rPr>
      <w:rFonts w:eastAsia="Times New Roman"/>
      <w:lang w:eastAsia="de-DE"/>
    </w:rPr>
  </w:style>
  <w:style w:type="paragraph" w:customStyle="1" w:styleId="ListNumberLevel3">
    <w:name w:val="List Number (Level 3)"/>
    <w:basedOn w:val="Normal"/>
    <w:rsid w:val="002B26AA"/>
    <w:pPr>
      <w:numPr>
        <w:ilvl w:val="2"/>
        <w:numId w:val="6"/>
      </w:numPr>
    </w:pPr>
    <w:rPr>
      <w:rFonts w:eastAsia="Times New Roman"/>
      <w:lang w:eastAsia="de-DE"/>
    </w:rPr>
  </w:style>
  <w:style w:type="paragraph" w:customStyle="1" w:styleId="ListNumberLevel4">
    <w:name w:val="List Number (Level 4)"/>
    <w:basedOn w:val="Normal"/>
    <w:rsid w:val="002B26AA"/>
    <w:pPr>
      <w:numPr>
        <w:ilvl w:val="3"/>
        <w:numId w:val="6"/>
      </w:numPr>
    </w:pPr>
    <w:rPr>
      <w:rFonts w:eastAsia="Times New Roman"/>
      <w:lang w:eastAsia="de-DE"/>
    </w:rPr>
  </w:style>
  <w:style w:type="table" w:styleId="TableGrid">
    <w:name w:val="Table Grid"/>
    <w:basedOn w:val="TableNormal"/>
    <w:rsid w:val="002B26A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B3C18"/>
    <w:rPr>
      <w:color w:val="0000FF"/>
      <w:u w:val="single"/>
    </w:rPr>
  </w:style>
  <w:style w:type="paragraph" w:styleId="ListBullet">
    <w:name w:val="List Bullet"/>
    <w:basedOn w:val="Normal"/>
    <w:uiPriority w:val="99"/>
    <w:rsid w:val="000B3C18"/>
    <w:pPr>
      <w:numPr>
        <w:numId w:val="7"/>
      </w:numPr>
    </w:pPr>
    <w:rPr>
      <w:rFonts w:eastAsia="Times New Roman"/>
      <w:lang w:eastAsia="en-GB"/>
    </w:rPr>
  </w:style>
  <w:style w:type="paragraph" w:styleId="ListBullet2">
    <w:name w:val="List Bullet 2"/>
    <w:basedOn w:val="Normal"/>
    <w:uiPriority w:val="99"/>
    <w:rsid w:val="000B3C18"/>
    <w:pPr>
      <w:numPr>
        <w:numId w:val="8"/>
      </w:numPr>
    </w:pPr>
    <w:rPr>
      <w:rFonts w:eastAsia="Times New Roman"/>
      <w:lang w:eastAsia="en-GB"/>
    </w:rPr>
  </w:style>
  <w:style w:type="paragraph" w:styleId="ListBullet3">
    <w:name w:val="List Bullet 3"/>
    <w:basedOn w:val="Normal"/>
    <w:uiPriority w:val="99"/>
    <w:rsid w:val="000B3C18"/>
    <w:pPr>
      <w:numPr>
        <w:numId w:val="9"/>
      </w:numPr>
    </w:pPr>
    <w:rPr>
      <w:rFonts w:eastAsia="Times New Roman"/>
      <w:lang w:eastAsia="en-GB"/>
    </w:rPr>
  </w:style>
  <w:style w:type="paragraph" w:styleId="ListNumber2">
    <w:name w:val="List Number 2"/>
    <w:basedOn w:val="Normal"/>
    <w:rsid w:val="002B26AA"/>
    <w:pPr>
      <w:numPr>
        <w:numId w:val="13"/>
      </w:numPr>
    </w:pPr>
    <w:rPr>
      <w:rFonts w:eastAsia="Times New Roman"/>
      <w:lang w:eastAsia="en-GB"/>
    </w:rPr>
  </w:style>
  <w:style w:type="paragraph" w:styleId="ListNumber3">
    <w:name w:val="List Number 3"/>
    <w:basedOn w:val="Normal"/>
    <w:rsid w:val="002B26AA"/>
    <w:pPr>
      <w:numPr>
        <w:numId w:val="14"/>
      </w:numPr>
    </w:pPr>
    <w:rPr>
      <w:rFonts w:eastAsia="Times New Roman"/>
      <w:lang w:eastAsia="en-GB"/>
    </w:rPr>
  </w:style>
  <w:style w:type="paragraph" w:styleId="ListNumber4">
    <w:name w:val="List Number 4"/>
    <w:basedOn w:val="Normal"/>
    <w:rsid w:val="002B26AA"/>
    <w:pPr>
      <w:numPr>
        <w:numId w:val="15"/>
      </w:numPr>
    </w:pPr>
    <w:rPr>
      <w:rFonts w:eastAsia="Times New Roman"/>
      <w:lang w:eastAsia="en-GB"/>
    </w:rPr>
  </w:style>
  <w:style w:type="paragraph" w:customStyle="1" w:styleId="ListDash3">
    <w:name w:val="List Dash 3"/>
    <w:basedOn w:val="Normal"/>
    <w:rsid w:val="002B26AA"/>
    <w:pPr>
      <w:numPr>
        <w:numId w:val="10"/>
      </w:numPr>
    </w:pPr>
    <w:rPr>
      <w:rFonts w:eastAsia="Times New Roman"/>
      <w:lang w:eastAsia="en-GB"/>
    </w:rPr>
  </w:style>
  <w:style w:type="paragraph" w:customStyle="1" w:styleId="ListDash4">
    <w:name w:val="List Dash 4"/>
    <w:basedOn w:val="Normal"/>
    <w:rsid w:val="002B26AA"/>
    <w:pPr>
      <w:numPr>
        <w:numId w:val="11"/>
      </w:numPr>
    </w:pPr>
    <w:rPr>
      <w:rFonts w:eastAsia="Times New Roman"/>
      <w:lang w:eastAsia="en-GB"/>
    </w:rPr>
  </w:style>
  <w:style w:type="paragraph" w:customStyle="1" w:styleId="ListNumber1">
    <w:name w:val="List Number 1"/>
    <w:basedOn w:val="Text1"/>
    <w:rsid w:val="002B26AA"/>
    <w:pPr>
      <w:numPr>
        <w:numId w:val="12"/>
      </w:numPr>
    </w:pPr>
    <w:rPr>
      <w:rFonts w:eastAsia="Times New Roman"/>
      <w:lang w:eastAsia="en-GB"/>
    </w:rPr>
  </w:style>
  <w:style w:type="paragraph" w:customStyle="1" w:styleId="ListNumber1Level2">
    <w:name w:val="List Number 1 (Level 2)"/>
    <w:basedOn w:val="Text1"/>
    <w:rsid w:val="002B26AA"/>
    <w:pPr>
      <w:numPr>
        <w:ilvl w:val="1"/>
        <w:numId w:val="12"/>
      </w:numPr>
    </w:pPr>
    <w:rPr>
      <w:rFonts w:eastAsia="Times New Roman"/>
      <w:lang w:eastAsia="en-GB"/>
    </w:rPr>
  </w:style>
  <w:style w:type="paragraph" w:customStyle="1" w:styleId="ListNumber2Level2">
    <w:name w:val="List Number 2 (Level 2)"/>
    <w:basedOn w:val="Text2"/>
    <w:rsid w:val="002B26AA"/>
    <w:pPr>
      <w:numPr>
        <w:ilvl w:val="1"/>
        <w:numId w:val="13"/>
      </w:numPr>
    </w:pPr>
    <w:rPr>
      <w:rFonts w:eastAsia="Times New Roman"/>
      <w:lang w:eastAsia="en-GB"/>
    </w:rPr>
  </w:style>
  <w:style w:type="paragraph" w:customStyle="1" w:styleId="ListNumber3Level2">
    <w:name w:val="List Number 3 (Level 2)"/>
    <w:basedOn w:val="Text3"/>
    <w:rsid w:val="002B26AA"/>
    <w:pPr>
      <w:numPr>
        <w:ilvl w:val="1"/>
        <w:numId w:val="14"/>
      </w:numPr>
    </w:pPr>
    <w:rPr>
      <w:rFonts w:eastAsia="Times New Roman"/>
      <w:lang w:eastAsia="en-GB"/>
    </w:rPr>
  </w:style>
  <w:style w:type="paragraph" w:customStyle="1" w:styleId="ListNumber4Level2">
    <w:name w:val="List Number 4 (Level 2)"/>
    <w:basedOn w:val="Text4"/>
    <w:rsid w:val="002B26AA"/>
    <w:pPr>
      <w:numPr>
        <w:ilvl w:val="1"/>
        <w:numId w:val="15"/>
      </w:numPr>
    </w:pPr>
    <w:rPr>
      <w:rFonts w:eastAsia="Times New Roman"/>
      <w:lang w:eastAsia="en-GB"/>
    </w:rPr>
  </w:style>
  <w:style w:type="paragraph" w:customStyle="1" w:styleId="ListNumber1Level3">
    <w:name w:val="List Number 1 (Level 3)"/>
    <w:basedOn w:val="Text1"/>
    <w:rsid w:val="002B26AA"/>
    <w:pPr>
      <w:numPr>
        <w:ilvl w:val="2"/>
        <w:numId w:val="12"/>
      </w:numPr>
    </w:pPr>
    <w:rPr>
      <w:rFonts w:eastAsia="Times New Roman"/>
      <w:lang w:eastAsia="en-GB"/>
    </w:rPr>
  </w:style>
  <w:style w:type="paragraph" w:customStyle="1" w:styleId="ListNumber2Level3">
    <w:name w:val="List Number 2 (Level 3)"/>
    <w:basedOn w:val="Text2"/>
    <w:rsid w:val="002B26AA"/>
    <w:pPr>
      <w:numPr>
        <w:ilvl w:val="2"/>
        <w:numId w:val="13"/>
      </w:numPr>
    </w:pPr>
    <w:rPr>
      <w:rFonts w:eastAsia="Times New Roman"/>
      <w:lang w:eastAsia="en-GB"/>
    </w:rPr>
  </w:style>
  <w:style w:type="paragraph" w:customStyle="1" w:styleId="ListNumber3Level3">
    <w:name w:val="List Number 3 (Level 3)"/>
    <w:basedOn w:val="Text3"/>
    <w:rsid w:val="002B26AA"/>
    <w:pPr>
      <w:numPr>
        <w:ilvl w:val="2"/>
        <w:numId w:val="14"/>
      </w:numPr>
    </w:pPr>
    <w:rPr>
      <w:rFonts w:eastAsia="Times New Roman"/>
      <w:lang w:eastAsia="en-GB"/>
    </w:rPr>
  </w:style>
  <w:style w:type="paragraph" w:customStyle="1" w:styleId="ListNumber4Level3">
    <w:name w:val="List Number 4 (Level 3)"/>
    <w:basedOn w:val="Text4"/>
    <w:rsid w:val="002B26AA"/>
    <w:pPr>
      <w:numPr>
        <w:ilvl w:val="2"/>
        <w:numId w:val="15"/>
      </w:numPr>
    </w:pPr>
    <w:rPr>
      <w:rFonts w:eastAsia="Times New Roman"/>
      <w:lang w:eastAsia="en-GB"/>
    </w:rPr>
  </w:style>
  <w:style w:type="paragraph" w:customStyle="1" w:styleId="ListNumber1Level4">
    <w:name w:val="List Number 1 (Level 4)"/>
    <w:basedOn w:val="Text1"/>
    <w:rsid w:val="002B26AA"/>
    <w:pPr>
      <w:numPr>
        <w:ilvl w:val="3"/>
        <w:numId w:val="12"/>
      </w:numPr>
    </w:pPr>
    <w:rPr>
      <w:rFonts w:eastAsia="Times New Roman"/>
      <w:lang w:eastAsia="en-GB"/>
    </w:rPr>
  </w:style>
  <w:style w:type="paragraph" w:customStyle="1" w:styleId="ListNumber2Level4">
    <w:name w:val="List Number 2 (Level 4)"/>
    <w:basedOn w:val="Text2"/>
    <w:rsid w:val="002B26AA"/>
    <w:pPr>
      <w:numPr>
        <w:ilvl w:val="3"/>
        <w:numId w:val="13"/>
      </w:numPr>
    </w:pPr>
    <w:rPr>
      <w:rFonts w:eastAsia="Times New Roman"/>
      <w:lang w:eastAsia="en-GB"/>
    </w:rPr>
  </w:style>
  <w:style w:type="paragraph" w:customStyle="1" w:styleId="ListNumber3Level4">
    <w:name w:val="List Number 3 (Level 4)"/>
    <w:basedOn w:val="Text3"/>
    <w:rsid w:val="002B26AA"/>
    <w:pPr>
      <w:numPr>
        <w:ilvl w:val="3"/>
        <w:numId w:val="14"/>
      </w:numPr>
    </w:pPr>
    <w:rPr>
      <w:rFonts w:eastAsia="Times New Roman"/>
      <w:lang w:eastAsia="en-GB"/>
    </w:rPr>
  </w:style>
  <w:style w:type="paragraph" w:customStyle="1" w:styleId="ListNumber4Level4">
    <w:name w:val="List Number 4 (Level 4)"/>
    <w:basedOn w:val="Text4"/>
    <w:rsid w:val="002B26AA"/>
    <w:pPr>
      <w:numPr>
        <w:ilvl w:val="3"/>
        <w:numId w:val="15"/>
      </w:numPr>
    </w:pPr>
    <w:rPr>
      <w:rFonts w:eastAsia="Times New Roman"/>
      <w:lang w:eastAsia="en-GB"/>
    </w:rPr>
  </w:style>
  <w:style w:type="paragraph" w:customStyle="1" w:styleId="Annexetitreacte">
    <w:name w:val="Annexe titre (acte)"/>
    <w:basedOn w:val="Normal"/>
    <w:next w:val="Normal"/>
    <w:rsid w:val="002B26AA"/>
    <w:pPr>
      <w:jc w:val="center"/>
    </w:pPr>
    <w:rPr>
      <w:rFonts w:eastAsia="Times New Roman"/>
      <w:b/>
      <w:u w:val="single"/>
      <w:lang w:eastAsia="en-GB"/>
    </w:rPr>
  </w:style>
  <w:style w:type="paragraph" w:customStyle="1" w:styleId="Annexetitreexposglobal">
    <w:name w:val="Annexe titre (exposé global)"/>
    <w:basedOn w:val="Normal"/>
    <w:next w:val="Normal"/>
    <w:rsid w:val="002B26AA"/>
    <w:pPr>
      <w:jc w:val="center"/>
    </w:pPr>
    <w:rPr>
      <w:rFonts w:eastAsia="Times New Roman"/>
      <w:b/>
      <w:u w:val="single"/>
      <w:lang w:eastAsia="en-GB"/>
    </w:rPr>
  </w:style>
  <w:style w:type="paragraph" w:customStyle="1" w:styleId="Annexetitrefichefinacte">
    <w:name w:val="Annexe titre (fiche fin. acte)"/>
    <w:basedOn w:val="Normal"/>
    <w:next w:val="Normal"/>
    <w:rsid w:val="002B26AA"/>
    <w:pPr>
      <w:jc w:val="center"/>
    </w:pPr>
    <w:rPr>
      <w:rFonts w:eastAsia="Times New Roman"/>
      <w:b/>
      <w:u w:val="single"/>
      <w:lang w:eastAsia="en-GB"/>
    </w:rPr>
  </w:style>
  <w:style w:type="paragraph" w:customStyle="1" w:styleId="Annexetitrefichefinglobale">
    <w:name w:val="Annexe titre (fiche fin. globale)"/>
    <w:basedOn w:val="Normal"/>
    <w:next w:val="Normal"/>
    <w:rsid w:val="002B26AA"/>
    <w:pPr>
      <w:jc w:val="center"/>
    </w:pPr>
    <w:rPr>
      <w:rFonts w:eastAsia="Times New Roman"/>
      <w:b/>
      <w:u w:val="single"/>
      <w:lang w:eastAsia="en-GB"/>
    </w:rPr>
  </w:style>
  <w:style w:type="paragraph" w:customStyle="1" w:styleId="Annexetitreglobale">
    <w:name w:val="Annexe titre (globale)"/>
    <w:basedOn w:val="Normal"/>
    <w:next w:val="Normal"/>
    <w:rsid w:val="002B26AA"/>
    <w:pPr>
      <w:jc w:val="center"/>
    </w:pPr>
    <w:rPr>
      <w:rFonts w:eastAsia="Times New Roman"/>
      <w:b/>
      <w:u w:val="single"/>
      <w:lang w:eastAsia="en-GB"/>
    </w:rPr>
  </w:style>
  <w:style w:type="paragraph" w:customStyle="1" w:styleId="Exposdesmotifstitreglobal">
    <w:name w:val="Exposé des motifs titre (global)"/>
    <w:basedOn w:val="Normal"/>
    <w:next w:val="Normal"/>
    <w:rsid w:val="002B26AA"/>
    <w:pPr>
      <w:jc w:val="center"/>
    </w:pPr>
    <w:rPr>
      <w:rFonts w:eastAsia="Times New Roman"/>
      <w:b/>
      <w:u w:val="single"/>
      <w:lang w:eastAsia="en-GB"/>
    </w:rPr>
  </w:style>
  <w:style w:type="paragraph" w:customStyle="1" w:styleId="Langueoriginale">
    <w:name w:val="Langue originale"/>
    <w:basedOn w:val="Normal"/>
    <w:rsid w:val="002B26AA"/>
    <w:pPr>
      <w:spacing w:before="360"/>
      <w:jc w:val="center"/>
    </w:pPr>
    <w:rPr>
      <w:rFonts w:eastAsia="Times New Roman"/>
      <w:caps/>
      <w:lang w:eastAsia="en-GB"/>
    </w:rPr>
  </w:style>
  <w:style w:type="paragraph" w:customStyle="1" w:styleId="Phrasefinale">
    <w:name w:val="Phrase finale"/>
    <w:basedOn w:val="Normal"/>
    <w:next w:val="Normal"/>
    <w:rsid w:val="002B26AA"/>
    <w:pPr>
      <w:spacing w:before="360" w:after="0"/>
      <w:jc w:val="center"/>
    </w:pPr>
    <w:rPr>
      <w:rFonts w:eastAsia="Times New Roman"/>
      <w:lang w:eastAsia="en-GB"/>
    </w:rPr>
  </w:style>
  <w:style w:type="paragraph" w:customStyle="1" w:styleId="Prliminairetitre">
    <w:name w:val="Préliminaire titre"/>
    <w:basedOn w:val="Normal"/>
    <w:next w:val="Normal"/>
    <w:rsid w:val="002B26AA"/>
    <w:pPr>
      <w:spacing w:before="360" w:after="360"/>
      <w:jc w:val="center"/>
    </w:pPr>
    <w:rPr>
      <w:rFonts w:eastAsia="Times New Roman"/>
      <w:b/>
      <w:lang w:eastAsia="en-GB"/>
    </w:rPr>
  </w:style>
  <w:style w:type="paragraph" w:customStyle="1" w:styleId="Prliminairetype">
    <w:name w:val="Préliminaire type"/>
    <w:basedOn w:val="Normal"/>
    <w:next w:val="Normal"/>
    <w:rsid w:val="002B26A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2B26A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2B26A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2B26AA"/>
    <w:pPr>
      <w:spacing w:before="0" w:after="0"/>
      <w:ind w:left="5103"/>
      <w:jc w:val="left"/>
    </w:pPr>
    <w:rPr>
      <w:rFonts w:eastAsia="Times New Roman"/>
      <w:lang w:eastAsia="en-GB"/>
    </w:rPr>
  </w:style>
  <w:style w:type="paragraph" w:customStyle="1" w:styleId="Sous-titreobjetprliminaire">
    <w:name w:val="Sous-titre objet (préliminaire)"/>
    <w:basedOn w:val="Normal"/>
    <w:rsid w:val="002B26AA"/>
    <w:pPr>
      <w:spacing w:before="0" w:after="0"/>
      <w:jc w:val="center"/>
    </w:pPr>
    <w:rPr>
      <w:rFonts w:eastAsia="Times New Roman"/>
      <w:b/>
      <w:lang w:eastAsia="en-GB"/>
    </w:rPr>
  </w:style>
  <w:style w:type="paragraph" w:customStyle="1" w:styleId="Statutprliminaire">
    <w:name w:val="Statut (préliminaire)"/>
    <w:basedOn w:val="Normal"/>
    <w:next w:val="Normal"/>
    <w:rsid w:val="002B26AA"/>
    <w:pPr>
      <w:spacing w:before="360" w:after="0"/>
      <w:jc w:val="center"/>
    </w:pPr>
    <w:rPr>
      <w:rFonts w:eastAsia="Times New Roman"/>
      <w:lang w:eastAsia="en-GB"/>
    </w:rPr>
  </w:style>
  <w:style w:type="paragraph" w:customStyle="1" w:styleId="Titreobjetprliminaire">
    <w:name w:val="Titre objet (préliminaire)"/>
    <w:basedOn w:val="Normal"/>
    <w:next w:val="Normal"/>
    <w:rsid w:val="002B26A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2B26A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2B26A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2B26AA"/>
    <w:pPr>
      <w:jc w:val="center"/>
    </w:pPr>
    <w:rPr>
      <w:rFonts w:eastAsia="Times New Roman"/>
      <w:b/>
      <w:u w:val="single"/>
      <w:lang w:eastAsia="en-GB"/>
    </w:rPr>
  </w:style>
  <w:style w:type="paragraph" w:customStyle="1" w:styleId="Fichefinanciretravailtitre">
    <w:name w:val="Fiche financière (travail) titre"/>
    <w:basedOn w:val="Normal"/>
    <w:next w:val="Normal"/>
    <w:rsid w:val="002B26A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2B26A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2B26A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2B26AA"/>
    <w:pPr>
      <w:jc w:val="center"/>
    </w:pPr>
    <w:rPr>
      <w:rFonts w:eastAsia="Times New Roman"/>
      <w:b/>
      <w:u w:val="single"/>
      <w:lang w:eastAsia="en-GB"/>
    </w:rPr>
  </w:style>
  <w:style w:type="character" w:styleId="CommentReference">
    <w:name w:val="annotation reference"/>
    <w:uiPriority w:val="99"/>
    <w:rsid w:val="000B3C18"/>
    <w:rPr>
      <w:rFonts w:cs="Times New Roman"/>
      <w:sz w:val="16"/>
      <w:szCs w:val="16"/>
    </w:rPr>
  </w:style>
  <w:style w:type="paragraph" w:styleId="CommentText">
    <w:name w:val="annotation text"/>
    <w:basedOn w:val="Normal"/>
    <w:link w:val="CommentTextChar"/>
    <w:uiPriority w:val="99"/>
    <w:rsid w:val="000B3C18"/>
    <w:rPr>
      <w:rFonts w:eastAsia="Times New Roman"/>
      <w:sz w:val="20"/>
      <w:szCs w:val="20"/>
      <w:lang w:eastAsia="en-GB"/>
    </w:rPr>
  </w:style>
  <w:style w:type="character" w:customStyle="1" w:styleId="CommentTextChar">
    <w:name w:val="Comment Text Char"/>
    <w:basedOn w:val="DefaultParagraphFont"/>
    <w:link w:val="CommentText"/>
    <w:uiPriority w:val="99"/>
    <w:rsid w:val="002B26AA"/>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0B3C18"/>
    <w:rPr>
      <w:b/>
      <w:bCs/>
    </w:rPr>
  </w:style>
  <w:style w:type="character" w:customStyle="1" w:styleId="CommentSubjectChar">
    <w:name w:val="Comment Subject Char"/>
    <w:basedOn w:val="CommentTextChar"/>
    <w:link w:val="CommentSubject"/>
    <w:uiPriority w:val="99"/>
    <w:rsid w:val="002B26AA"/>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2B26A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2B26AA"/>
    <w:rPr>
      <w:rFonts w:ascii="Tahoma" w:eastAsia="Times New Roman" w:hAnsi="Tahoma" w:cs="Tahoma"/>
      <w:sz w:val="16"/>
      <w:szCs w:val="16"/>
      <w:lang w:val="ro-RO" w:eastAsia="en-GB"/>
    </w:rPr>
  </w:style>
  <w:style w:type="paragraph" w:styleId="Caption">
    <w:name w:val="caption"/>
    <w:basedOn w:val="Normal"/>
    <w:next w:val="Normal"/>
    <w:qFormat/>
    <w:rsid w:val="002B26AA"/>
    <w:rPr>
      <w:rFonts w:eastAsia="Times New Roman"/>
      <w:b/>
      <w:bCs/>
      <w:sz w:val="20"/>
      <w:szCs w:val="20"/>
      <w:lang w:eastAsia="en-GB"/>
    </w:rPr>
  </w:style>
  <w:style w:type="paragraph" w:styleId="TableofFigures">
    <w:name w:val="table of figures"/>
    <w:basedOn w:val="Normal"/>
    <w:next w:val="Normal"/>
    <w:rsid w:val="002B26AA"/>
    <w:rPr>
      <w:rFonts w:eastAsia="Times New Roman"/>
      <w:lang w:eastAsia="en-GB"/>
    </w:rPr>
  </w:style>
  <w:style w:type="character" w:styleId="PageNumber">
    <w:name w:val="page number"/>
    <w:rsid w:val="002B26AA"/>
  </w:style>
  <w:style w:type="character" w:customStyle="1" w:styleId="tw4winMark">
    <w:name w:val="tw4winMark"/>
    <w:rsid w:val="002B26AA"/>
    <w:rPr>
      <w:vanish/>
      <w:color w:val="800080"/>
      <w:vertAlign w:val="subscript"/>
    </w:rPr>
  </w:style>
  <w:style w:type="character" w:styleId="FollowedHyperlink">
    <w:name w:val="FollowedHyperlink"/>
    <w:rsid w:val="002B26AA"/>
    <w:rPr>
      <w:color w:val="800080"/>
      <w:u w:val="single"/>
    </w:rPr>
  </w:style>
  <w:style w:type="paragraph" w:customStyle="1" w:styleId="Sous-titreobjet">
    <w:name w:val="Sous-titre objet"/>
    <w:basedOn w:val="Normal"/>
    <w:rsid w:val="002B26A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2B26AA"/>
  </w:style>
  <w:style w:type="paragraph" w:styleId="Revision">
    <w:name w:val="Revision"/>
    <w:hidden/>
    <w:uiPriority w:val="99"/>
    <w:semiHidden/>
    <w:rsid w:val="000B3C18"/>
    <w:rPr>
      <w:rFonts w:ascii="Calibri" w:eastAsia="Calibri" w:hAnsi="Calibri" w:cs="Times New Roman"/>
      <w:sz w:val="24"/>
      <w:lang w:eastAsia="en-GB"/>
    </w:rPr>
  </w:style>
  <w:style w:type="paragraph" w:customStyle="1" w:styleId="FooterCoverPage">
    <w:name w:val="Footer Cover Page"/>
    <w:basedOn w:val="Normal"/>
    <w:link w:val="FooterCoverPageChar"/>
    <w:rsid w:val="002B26A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2B26AA"/>
    <w:rPr>
      <w:rFonts w:ascii="Times New Roman" w:hAnsi="Times New Roman" w:cs="Times New Roman"/>
      <w:b/>
      <w:sz w:val="28"/>
      <w:lang w:val="ro-RO"/>
    </w:rPr>
  </w:style>
  <w:style w:type="character" w:customStyle="1" w:styleId="FooterCoverPageChar">
    <w:name w:val="Footer Cover Page Char"/>
    <w:link w:val="FooterCoverPage"/>
    <w:rsid w:val="002B26AA"/>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2B26A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2B26AA"/>
    <w:rPr>
      <w:rFonts w:ascii="Times New Roman" w:eastAsia="Calibri" w:hAnsi="Times New Roman" w:cs="Times New Roman"/>
      <w:sz w:val="24"/>
      <w:lang w:val="ro-RO" w:eastAsia="en-GB"/>
    </w:rPr>
  </w:style>
  <w:style w:type="character" w:customStyle="1" w:styleId="FooterSensitivityChar">
    <w:name w:val="Footer Sensitivity Char"/>
    <w:rsid w:val="002B26AA"/>
    <w:rPr>
      <w:rFonts w:ascii="Times New Roman" w:hAnsi="Times New Roman" w:cs="Times New Roman"/>
      <w:b/>
      <w:sz w:val="32"/>
      <w:lang w:val="ro-RO"/>
    </w:rPr>
  </w:style>
  <w:style w:type="character" w:customStyle="1" w:styleId="HeaderSensitivityChar">
    <w:name w:val="Header Sensitivity Char"/>
    <w:rsid w:val="002B26AA"/>
    <w:rPr>
      <w:rFonts w:ascii="Times New Roman" w:hAnsi="Times New Roman" w:cs="Times New Roman"/>
      <w:b/>
      <w:sz w:val="32"/>
      <w:lang w:val="ro-RO"/>
    </w:rPr>
  </w:style>
  <w:style w:type="character" w:customStyle="1" w:styleId="HeaderSensitivityRightChar">
    <w:name w:val="Header Sensitivity Right Char"/>
    <w:rsid w:val="002B26AA"/>
    <w:rPr>
      <w:rFonts w:ascii="Times New Roman" w:hAnsi="Times New Roman" w:cs="Times New Roman"/>
      <w:sz w:val="28"/>
      <w:lang w:val="ro-RO"/>
    </w:rPr>
  </w:style>
  <w:style w:type="paragraph" w:customStyle="1" w:styleId="LegalNumPar">
    <w:name w:val="LegalNumPar"/>
    <w:basedOn w:val="Normal"/>
    <w:rsid w:val="002B26AA"/>
    <w:pPr>
      <w:numPr>
        <w:numId w:val="16"/>
      </w:numPr>
      <w:spacing w:line="360" w:lineRule="auto"/>
    </w:pPr>
    <w:rPr>
      <w:rFonts w:eastAsia="Times New Roman"/>
      <w:lang w:eastAsia="en-GB"/>
    </w:rPr>
  </w:style>
  <w:style w:type="paragraph" w:customStyle="1" w:styleId="LegalNumPar2">
    <w:name w:val="LegalNumPar2"/>
    <w:basedOn w:val="Normal"/>
    <w:rsid w:val="002B26AA"/>
    <w:pPr>
      <w:numPr>
        <w:ilvl w:val="1"/>
        <w:numId w:val="16"/>
      </w:numPr>
      <w:spacing w:line="360" w:lineRule="auto"/>
    </w:pPr>
    <w:rPr>
      <w:rFonts w:eastAsia="Times New Roman"/>
      <w:lang w:eastAsia="en-GB"/>
    </w:rPr>
  </w:style>
  <w:style w:type="paragraph" w:customStyle="1" w:styleId="LegalNumPar3">
    <w:name w:val="LegalNumPar3"/>
    <w:basedOn w:val="Normal"/>
    <w:rsid w:val="002B26AA"/>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2B26AA"/>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2B26AA"/>
    <w:rPr>
      <w:color w:val="605E5C"/>
      <w:shd w:val="clear" w:color="auto" w:fill="E1DFDD"/>
    </w:rPr>
  </w:style>
  <w:style w:type="character" w:styleId="Strong">
    <w:name w:val="Strong"/>
    <w:basedOn w:val="DefaultParagraphFont"/>
    <w:qFormat/>
    <w:rsid w:val="002B26AA"/>
    <w:rPr>
      <w:b/>
      <w:bCs/>
    </w:rPr>
  </w:style>
  <w:style w:type="character" w:styleId="Emphasis">
    <w:name w:val="Emphasis"/>
    <w:basedOn w:val="DefaultParagraphFont"/>
    <w:qFormat/>
    <w:rsid w:val="002B26AA"/>
    <w:rPr>
      <w:i/>
      <w:iCs/>
    </w:rPr>
  </w:style>
  <w:style w:type="character" w:customStyle="1" w:styleId="Mention1">
    <w:name w:val="Mention1"/>
    <w:basedOn w:val="DefaultParagraphFont"/>
    <w:uiPriority w:val="99"/>
    <w:unhideWhenUsed/>
    <w:rsid w:val="002B26AA"/>
    <w:rPr>
      <w:color w:val="2B579A"/>
      <w:shd w:val="clear" w:color="auto" w:fill="E1DFDD"/>
    </w:rPr>
  </w:style>
  <w:style w:type="character" w:customStyle="1" w:styleId="normaltextrun">
    <w:name w:val="normaltextrun"/>
    <w:basedOn w:val="DefaultParagraphFont"/>
    <w:rsid w:val="002B26AA"/>
  </w:style>
  <w:style w:type="character" w:customStyle="1" w:styleId="eop">
    <w:name w:val="eop"/>
    <w:basedOn w:val="DefaultParagraphFont"/>
    <w:rsid w:val="002B26AA"/>
  </w:style>
  <w:style w:type="character" w:customStyle="1" w:styleId="UnresolvedMention11">
    <w:name w:val="Unresolved Mention11"/>
    <w:basedOn w:val="DefaultParagraphFont"/>
    <w:uiPriority w:val="99"/>
    <w:semiHidden/>
    <w:unhideWhenUsed/>
    <w:rsid w:val="000B3C18"/>
    <w:rPr>
      <w:color w:val="605E5C"/>
      <w:shd w:val="clear" w:color="auto" w:fill="E1DFDD"/>
    </w:rPr>
  </w:style>
  <w:style w:type="character" w:customStyle="1" w:styleId="UnresolvedMention2">
    <w:name w:val="Unresolved Mention2"/>
    <w:basedOn w:val="DefaultParagraphFont"/>
    <w:uiPriority w:val="99"/>
    <w:semiHidden/>
    <w:unhideWhenUsed/>
    <w:rsid w:val="000B3C18"/>
    <w:rPr>
      <w:color w:val="605E5C"/>
      <w:shd w:val="clear" w:color="auto" w:fill="E1DFDD"/>
    </w:rPr>
  </w:style>
  <w:style w:type="character" w:customStyle="1" w:styleId="cf01">
    <w:name w:val="cf01"/>
    <w:basedOn w:val="DefaultParagraphFont"/>
    <w:rsid w:val="000B3C18"/>
    <w:rPr>
      <w:rFonts w:ascii="Segoe UI" w:hAnsi="Segoe UI" w:cs="Segoe UI" w:hint="default"/>
      <w:sz w:val="18"/>
      <w:szCs w:val="18"/>
    </w:rPr>
  </w:style>
  <w:style w:type="character" w:customStyle="1" w:styleId="cf11">
    <w:name w:val="cf11"/>
    <w:basedOn w:val="DefaultParagraphFont"/>
    <w:rsid w:val="000B3C18"/>
    <w:rPr>
      <w:rFonts w:ascii="Segoe UI" w:hAnsi="Segoe UI" w:cs="Segoe UI" w:hint="default"/>
      <w:i/>
      <w:iCs/>
      <w:sz w:val="18"/>
      <w:szCs w:val="18"/>
    </w:rPr>
  </w:style>
  <w:style w:type="paragraph" w:styleId="EndnoteText">
    <w:name w:val="endnote text"/>
    <w:basedOn w:val="Normal"/>
    <w:link w:val="EndnoteTextChar"/>
    <w:uiPriority w:val="99"/>
    <w:semiHidden/>
    <w:unhideWhenUsed/>
    <w:rsid w:val="000B3C18"/>
    <w:pPr>
      <w:spacing w:before="0" w:after="0"/>
    </w:pPr>
    <w:rPr>
      <w:sz w:val="20"/>
      <w:szCs w:val="20"/>
    </w:rPr>
  </w:style>
  <w:style w:type="character" w:customStyle="1" w:styleId="EndnoteTextChar">
    <w:name w:val="Endnote Text Char"/>
    <w:basedOn w:val="DefaultParagraphFont"/>
    <w:link w:val="EndnoteText"/>
    <w:uiPriority w:val="99"/>
    <w:semiHidden/>
    <w:rsid w:val="000B3C18"/>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0B3C18"/>
    <w:rPr>
      <w:vertAlign w:val="superscript"/>
    </w:rPr>
  </w:style>
  <w:style w:type="character" w:customStyle="1" w:styleId="Mention11">
    <w:name w:val="Mention11"/>
    <w:basedOn w:val="DefaultParagraphFont"/>
    <w:uiPriority w:val="99"/>
    <w:unhideWhenUsed/>
    <w:rsid w:val="000B3C18"/>
    <w:rPr>
      <w:color w:val="2B579A"/>
      <w:shd w:val="clear" w:color="auto" w:fill="E1DFDD"/>
    </w:rPr>
  </w:style>
  <w:style w:type="character" w:customStyle="1" w:styleId="UnresolvedMention">
    <w:name w:val="Unresolved Mention"/>
    <w:basedOn w:val="DefaultParagraphFont"/>
    <w:uiPriority w:val="99"/>
    <w:semiHidden/>
    <w:unhideWhenUsed/>
    <w:rsid w:val="00E767F3"/>
    <w:rPr>
      <w:color w:val="605E5C"/>
      <w:shd w:val="clear" w:color="auto" w:fill="E1DFDD"/>
    </w:rPr>
  </w:style>
  <w:style w:type="character" w:customStyle="1" w:styleId="HeaderChar">
    <w:name w:val="Header Char"/>
    <w:basedOn w:val="DefaultParagraphFont"/>
    <w:link w:val="Header"/>
    <w:uiPriority w:val="99"/>
    <w:rsid w:val="00A1592E"/>
    <w:rPr>
      <w:rFonts w:ascii="Times New Roman" w:hAnsi="Times New Roman" w:cs="Times New Roman"/>
      <w:sz w:val="24"/>
      <w:lang w:val="ro-RO"/>
    </w:rPr>
  </w:style>
  <w:style w:type="character" w:customStyle="1" w:styleId="FooterChar">
    <w:name w:val="Footer Char"/>
    <w:basedOn w:val="DefaultParagraphFont"/>
    <w:link w:val="Footer"/>
    <w:uiPriority w:val="99"/>
    <w:rsid w:val="00A1592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1592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1592E"/>
    <w:pPr>
      <w:spacing w:before="0"/>
      <w:jc w:val="right"/>
    </w:pPr>
    <w:rPr>
      <w:sz w:val="28"/>
    </w:rPr>
  </w:style>
  <w:style w:type="paragraph" w:customStyle="1" w:styleId="FooterSensitivity">
    <w:name w:val="Footer Sensitivity"/>
    <w:basedOn w:val="Normal"/>
    <w:rsid w:val="00A1592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1592E"/>
    <w:pPr>
      <w:tabs>
        <w:tab w:val="center" w:pos="4535"/>
        <w:tab w:val="right" w:pos="9071"/>
      </w:tabs>
      <w:spacing w:before="0"/>
    </w:pPr>
  </w:style>
  <w:style w:type="paragraph" w:customStyle="1" w:styleId="HeaderLandscape">
    <w:name w:val="HeaderLandscape"/>
    <w:basedOn w:val="Normal"/>
    <w:rsid w:val="00A1592E"/>
    <w:pPr>
      <w:tabs>
        <w:tab w:val="center" w:pos="7285"/>
        <w:tab w:val="right" w:pos="14003"/>
      </w:tabs>
      <w:spacing w:before="0"/>
    </w:pPr>
  </w:style>
  <w:style w:type="paragraph" w:styleId="Footer">
    <w:name w:val="footer"/>
    <w:basedOn w:val="Normal"/>
    <w:link w:val="FooterChar"/>
    <w:uiPriority w:val="99"/>
    <w:unhideWhenUsed/>
    <w:rsid w:val="00A1592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1592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8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7ccc736c7520f5083f9a5ab5bc5df0e">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bd68d7ea74b11c909c78feeb1fd432ad" ns2:_="" ns3:_="">
    <xsd:import namespace="541a8a8b-b856-4d35-a5c7-7f2c0ec3d499"/>
    <xsd:import namespace="e0757b53-df10-4b98-9811-094c4c3e23a8"/>
    <xsd:element name="properties">
      <xsd:complexType>
        <xsd:sequence>
          <xsd:element name="documentManagement">
            <xsd:complexType>
              <xsd:all>
                <xsd:element ref="ns2:Comment" minOccurs="0"/>
                <xsd:element ref="ns2:Year"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Comment" ma:index="3" nillable="true" ma:displayName="Comment" ma:format="Dropdown" ma:internalName="Comment" ma:readOnly="false">
      <xsd:simpleType>
        <xsd:restriction base="dms:Text">
          <xsd:maxLength value="255"/>
        </xsd:restriction>
      </xsd:simpleType>
    </xsd:element>
    <xsd:element name="Year" ma:index="4" nillable="true" ma:displayName="Year" ma:format="DateOnly" ma:internalName="Year"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e94bbc1f-4af1-4350-9187-1125370a984a}" ma:internalName="TaxCatchAll" ma:readOnly="false"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 xmlns="541a8a8b-b856-4d35-a5c7-7f2c0ec3d499" xsi:nil="true"/>
    <Year xmlns="541a8a8b-b856-4d35-a5c7-7f2c0ec3d499"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8EB9C-42D5-43A0-949C-888D88158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241097-866E-44FA-A1D4-23AB00454200}">
  <ds:schemaRefs>
    <ds:schemaRef ds:uri="http://purl.org/dc/elements/1.1/"/>
    <ds:schemaRef ds:uri="http://www.w3.org/XML/1998/namespace"/>
    <ds:schemaRef ds:uri="http://purl.org/dc/terms/"/>
    <ds:schemaRef ds:uri="http://schemas.microsoft.com/office/2006/metadata/properties"/>
    <ds:schemaRef ds:uri="http://schemas.microsoft.com/office/infopath/2007/PartnerControls"/>
    <ds:schemaRef ds:uri="541a8a8b-b856-4d35-a5c7-7f2c0ec3d499"/>
    <ds:schemaRef ds:uri="http://schemas.microsoft.com/office/2006/documentManagement/types"/>
    <ds:schemaRef ds:uri="http://purl.org/dc/dcmitype/"/>
    <ds:schemaRef ds:uri="http://schemas.openxmlformats.org/package/2006/metadata/core-properties"/>
    <ds:schemaRef ds:uri="e0757b53-df10-4b98-9811-094c4c3e23a8"/>
  </ds:schemaRefs>
</ds:datastoreItem>
</file>

<file path=customXml/itemProps3.xml><?xml version="1.0" encoding="utf-8"?>
<ds:datastoreItem xmlns:ds="http://schemas.openxmlformats.org/officeDocument/2006/customXml" ds:itemID="{6A538F36-E798-4232-B588-5CB0982C470B}">
  <ds:schemaRefs>
    <ds:schemaRef ds:uri="http://schemas.microsoft.com/sharepoint/v3/contenttype/forms"/>
  </ds:schemaRefs>
</ds:datastoreItem>
</file>

<file path=customXml/itemProps4.xml><?xml version="1.0" encoding="utf-8"?>
<ds:datastoreItem xmlns:ds="http://schemas.openxmlformats.org/officeDocument/2006/customXml" ds:itemID="{C9CA65D7-49E2-4DDF-9C83-9548223EF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2252</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2026-05-26T18:33:00Z</cp:lastPrinted>
  <dcterms:created xsi:type="dcterms:W3CDTF">2026-05-27T13:23:00Z</dcterms:created>
  <dcterms:modified xsi:type="dcterms:W3CDTF">2026-06-17T17:32:00Z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2025-05-19T12:42:33Z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b54c33d4-709c-40a8-bb63-c583c1551aa8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SJ-019</vt:lpwstr>
  </property>
  <property fmtid="{D5CDD505-2E9C-101B-9397-08002B2CF9AE}" pid="15" name="ContentTypeId">
    <vt:lpwstr>0x010100087E4EC354ADFB40AC5D4FC129E379BA</vt:lpwstr>
  </property>
  <property fmtid="{D5CDD505-2E9C-101B-9397-08002B2CF9AE}" pid="16" name="MediaServiceImageTags">
    <vt:lpwstr/>
  </property>
  <property fmtid="{D5CDD505-2E9C-101B-9397-08002B2CF9AE}" pid="17" name="DQCStatus">
    <vt:lpwstr>Green (DQC version 03)</vt:lpwstr>
  </property>
</Properties>
</file>