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492" w:rsidRDefault="00C2692C" w:rsidP="00C2692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14C4E0-F62E-47AE-A760-7E4ADA112C40" style="width:455.25pt;height:371.25pt">
            <v:imagedata r:id="rId11" o:title=""/>
          </v:shape>
        </w:pict>
      </w:r>
    </w:p>
    <w:p w:rsidR="00E66492" w:rsidRDefault="00E66492" w:rsidP="00E66492">
      <w:pPr>
        <w:rPr>
          <w:noProof/>
        </w:rPr>
        <w:sectPr w:rsidR="00E66492" w:rsidSect="00C2692C">
          <w:footerReference w:type="even" r:id="rId12"/>
          <w:footerReference w:type="default" r:id="rId13"/>
          <w:pgSz w:w="11907" w:h="16839"/>
          <w:pgMar w:top="1134" w:right="1417" w:bottom="1134" w:left="1417" w:header="709" w:footer="709" w:gutter="0"/>
          <w:pgNumType w:start="0"/>
          <w:cols w:space="720"/>
          <w:docGrid w:linePitch="360"/>
        </w:sectPr>
      </w:pPr>
    </w:p>
    <w:p w:rsidR="00E66492" w:rsidRDefault="00E66492" w:rsidP="00BB6B30">
      <w:pPr>
        <w:pStyle w:val="Exposdesmotifstitre"/>
        <w:rPr>
          <w:noProof/>
        </w:rPr>
      </w:pPr>
      <w:bookmarkStart w:id="0" w:name="_GoBack"/>
      <w:bookmarkEnd w:id="0"/>
      <w:r w:rsidRPr="006F770D">
        <w:rPr>
          <w:noProof/>
        </w:rPr>
        <w:lastRenderedPageBreak/>
        <w:t>EXPLANATORY MEMORANDUM</w:t>
      </w:r>
    </w:p>
    <w:p w:rsidR="00E66492" w:rsidRPr="006F770D" w:rsidRDefault="00E66492" w:rsidP="00BB6B30">
      <w:pPr>
        <w:pStyle w:val="ManualHeading1"/>
        <w:rPr>
          <w:noProof/>
        </w:rPr>
      </w:pPr>
      <w:r w:rsidRPr="00C567EE">
        <w:rPr>
          <w:noProof/>
        </w:rPr>
        <w:t>1.</w:t>
      </w:r>
      <w:r w:rsidRPr="00C567EE">
        <w:rPr>
          <w:noProof/>
        </w:rPr>
        <w:tab/>
      </w:r>
      <w:r w:rsidRPr="006F770D">
        <w:rPr>
          <w:noProof/>
        </w:rPr>
        <w:t>CONTEXT OF THE PROPOSAL</w:t>
      </w:r>
    </w:p>
    <w:p w:rsidR="00E66492" w:rsidRPr="00044058" w:rsidRDefault="00E66492"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137B68" w:rsidRDefault="00137B68" w:rsidP="00137B68">
      <w:pPr>
        <w:pBdr>
          <w:top w:val="nil"/>
          <w:left w:val="nil"/>
          <w:bottom w:val="nil"/>
          <w:right w:val="nil"/>
          <w:between w:val="nil"/>
          <w:bar w:val="nil"/>
        </w:pBdr>
        <w:spacing w:before="0" w:after="240"/>
        <w:rPr>
          <w:rFonts w:eastAsia="Arial Unicode MS"/>
          <w:noProof/>
        </w:rPr>
      </w:pPr>
      <w:r w:rsidRPr="00E47BE8">
        <w:rPr>
          <w:rFonts w:eastAsia="Arial Unicode MS"/>
          <w:noProof/>
        </w:rPr>
        <w:t xml:space="preserve">The decision </w:t>
      </w:r>
      <w:r>
        <w:rPr>
          <w:rFonts w:eastAsia="Arial Unicode MS"/>
          <w:noProof/>
        </w:rPr>
        <w:t>concerns a proposal</w:t>
      </w:r>
      <w:r w:rsidRPr="00E47BE8">
        <w:rPr>
          <w:rFonts w:eastAsia="Arial Unicode MS"/>
          <w:noProof/>
        </w:rPr>
        <w:t xml:space="preserve"> </w:t>
      </w:r>
      <w:r>
        <w:rPr>
          <w:rFonts w:eastAsia="Arial Unicode MS"/>
          <w:noProof/>
        </w:rPr>
        <w:t xml:space="preserve">on behalf of the European Union </w:t>
      </w:r>
      <w:r w:rsidR="001E1517">
        <w:rPr>
          <w:rFonts w:eastAsia="Arial Unicode MS"/>
          <w:noProof/>
        </w:rPr>
        <w:t>to</w:t>
      </w:r>
      <w:r>
        <w:rPr>
          <w:rFonts w:eastAsia="Arial Unicode MS"/>
          <w:noProof/>
        </w:rPr>
        <w:t xml:space="preserve"> list the substance </w:t>
      </w:r>
      <w:r w:rsidRPr="00137B68">
        <w:rPr>
          <w:rFonts w:eastAsia="Arial Unicode MS"/>
          <w:noProof/>
        </w:rPr>
        <w:t>bis(2-ethylhexyl) tetrabromophthalate</w:t>
      </w:r>
      <w:r w:rsidR="00E56809">
        <w:rPr>
          <w:rFonts w:eastAsia="Arial Unicode MS"/>
          <w:noProof/>
        </w:rPr>
        <w:t xml:space="preserve"> (TBPH)</w:t>
      </w:r>
      <w:r>
        <w:rPr>
          <w:rFonts w:eastAsia="Arial Unicode MS"/>
          <w:noProof/>
        </w:rPr>
        <w:t xml:space="preserve"> in</w:t>
      </w:r>
      <w:r w:rsidRPr="00E47BE8">
        <w:rPr>
          <w:rFonts w:eastAsia="Arial Unicode MS"/>
          <w:noProof/>
        </w:rPr>
        <w:t xml:space="preserve"> </w:t>
      </w:r>
      <w:r w:rsidR="0029254D">
        <w:rPr>
          <w:rFonts w:eastAsia="Arial Unicode MS"/>
          <w:noProof/>
        </w:rPr>
        <w:t xml:space="preserve">Annex A </w:t>
      </w:r>
      <w:r w:rsidR="003954BC">
        <w:rPr>
          <w:rFonts w:eastAsia="Arial Unicode MS"/>
          <w:noProof/>
        </w:rPr>
        <w:t xml:space="preserve">or B </w:t>
      </w:r>
      <w:r w:rsidR="0029254D">
        <w:rPr>
          <w:rFonts w:eastAsia="Arial Unicode MS"/>
          <w:noProof/>
        </w:rPr>
        <w:t xml:space="preserve">to </w:t>
      </w:r>
      <w:r w:rsidRPr="00E47BE8">
        <w:rPr>
          <w:rFonts w:eastAsia="Arial Unicode MS"/>
          <w:noProof/>
        </w:rPr>
        <w:t xml:space="preserve">the </w:t>
      </w:r>
      <w:r>
        <w:rPr>
          <w:rFonts w:eastAsia="Arial Unicode MS"/>
          <w:noProof/>
        </w:rPr>
        <w:t xml:space="preserve">Stockholm </w:t>
      </w:r>
      <w:r w:rsidRPr="00E47BE8">
        <w:rPr>
          <w:rFonts w:eastAsia="Arial Unicode MS"/>
          <w:noProof/>
        </w:rPr>
        <w:t>Convention on Persistent Organic Pollutants (the Convention)</w:t>
      </w:r>
      <w:r>
        <w:rPr>
          <w:rFonts w:eastAsia="Arial Unicode MS"/>
          <w:noProof/>
        </w:rPr>
        <w:t>. The proposal is the first step in a process that will take at least three years before it is possible for the Parties to the Convention to take a binding decision.</w:t>
      </w:r>
    </w:p>
    <w:p w:rsidR="00137B68" w:rsidRDefault="00137B68" w:rsidP="00137B68">
      <w:pPr>
        <w:pBdr>
          <w:top w:val="nil"/>
          <w:left w:val="nil"/>
          <w:bottom w:val="nil"/>
          <w:right w:val="nil"/>
          <w:between w:val="nil"/>
          <w:bar w:val="nil"/>
        </w:pBdr>
        <w:spacing w:before="0" w:after="240"/>
        <w:rPr>
          <w:rFonts w:eastAsia="Arial Unicode MS"/>
          <w:noProof/>
        </w:rPr>
      </w:pPr>
      <w:r>
        <w:rPr>
          <w:rFonts w:eastAsia="Arial Unicode MS"/>
          <w:noProof/>
        </w:rPr>
        <w:t xml:space="preserve">The </w:t>
      </w:r>
      <w:r w:rsidR="001E1517">
        <w:rPr>
          <w:rFonts w:eastAsia="Arial Unicode MS"/>
          <w:noProof/>
        </w:rPr>
        <w:t>proposal</w:t>
      </w:r>
      <w:r>
        <w:rPr>
          <w:rFonts w:eastAsia="Arial Unicode MS"/>
          <w:noProof/>
        </w:rPr>
        <w:t xml:space="preserve"> </w:t>
      </w:r>
      <w:r w:rsidRPr="00E47BE8">
        <w:rPr>
          <w:rFonts w:eastAsia="Arial Unicode MS"/>
          <w:noProof/>
        </w:rPr>
        <w:t xml:space="preserve">is </w:t>
      </w:r>
      <w:r w:rsidR="001E1517">
        <w:rPr>
          <w:rFonts w:eastAsia="Arial Unicode MS"/>
          <w:noProof/>
        </w:rPr>
        <w:t xml:space="preserve">based on </w:t>
      </w:r>
      <w:r w:rsidRPr="00E47BE8">
        <w:rPr>
          <w:rFonts w:eastAsia="Arial Unicode MS"/>
          <w:noProof/>
        </w:rPr>
        <w:t xml:space="preserve">a scientific assessment </w:t>
      </w:r>
      <w:r>
        <w:rPr>
          <w:rFonts w:eastAsia="Arial Unicode MS"/>
          <w:noProof/>
        </w:rPr>
        <w:t xml:space="preserve">showing that </w:t>
      </w:r>
      <w:r w:rsidRPr="00E47BE8">
        <w:rPr>
          <w:rFonts w:eastAsia="Arial Unicode MS"/>
          <w:noProof/>
        </w:rPr>
        <w:t>the substance meet</w:t>
      </w:r>
      <w:r w:rsidR="001E1517">
        <w:rPr>
          <w:rFonts w:eastAsia="Arial Unicode MS"/>
          <w:noProof/>
        </w:rPr>
        <w:t>s</w:t>
      </w:r>
      <w:r w:rsidRPr="00E47BE8">
        <w:rPr>
          <w:rFonts w:eastAsia="Arial Unicode MS"/>
          <w:noProof/>
        </w:rPr>
        <w:t xml:space="preserve"> the objective criteria </w:t>
      </w:r>
      <w:r>
        <w:rPr>
          <w:rFonts w:eastAsia="Arial Unicode MS"/>
          <w:noProof/>
        </w:rPr>
        <w:t xml:space="preserve">established by the Convention </w:t>
      </w:r>
      <w:r w:rsidRPr="00E47BE8">
        <w:rPr>
          <w:rFonts w:eastAsia="Arial Unicode MS"/>
          <w:noProof/>
        </w:rPr>
        <w:t xml:space="preserve">for </w:t>
      </w:r>
      <w:r>
        <w:rPr>
          <w:rFonts w:eastAsia="Arial Unicode MS"/>
          <w:noProof/>
        </w:rPr>
        <w:t>identification of persistent organic pollutants</w:t>
      </w:r>
      <w:r w:rsidRPr="00E47BE8">
        <w:rPr>
          <w:rFonts w:eastAsia="Arial Unicode MS"/>
          <w:noProof/>
        </w:rPr>
        <w:t xml:space="preserve"> </w:t>
      </w:r>
      <w:r>
        <w:rPr>
          <w:rFonts w:eastAsia="Arial Unicode MS"/>
          <w:noProof/>
        </w:rPr>
        <w:t>(</w:t>
      </w:r>
      <w:r w:rsidRPr="00E47BE8">
        <w:rPr>
          <w:rFonts w:eastAsia="Arial Unicode MS"/>
          <w:noProof/>
        </w:rPr>
        <w:t>POP</w:t>
      </w:r>
      <w:r>
        <w:rPr>
          <w:rFonts w:eastAsia="Arial Unicode MS"/>
          <w:noProof/>
        </w:rPr>
        <w:t>s). D</w:t>
      </w:r>
      <w:r w:rsidRPr="00E47BE8">
        <w:rPr>
          <w:rFonts w:eastAsia="Arial Unicode MS"/>
          <w:noProof/>
        </w:rPr>
        <w:t xml:space="preserve">ue to </w:t>
      </w:r>
      <w:r>
        <w:rPr>
          <w:rFonts w:eastAsia="Arial Unicode MS"/>
          <w:noProof/>
        </w:rPr>
        <w:t xml:space="preserve">EU’s </w:t>
      </w:r>
      <w:r w:rsidRPr="00E47BE8">
        <w:rPr>
          <w:rFonts w:eastAsia="Arial Unicode MS"/>
          <w:noProof/>
        </w:rPr>
        <w:t xml:space="preserve">advanced chemicals legislation </w:t>
      </w:r>
      <w:r>
        <w:rPr>
          <w:rFonts w:eastAsia="Arial Unicode MS"/>
          <w:noProof/>
        </w:rPr>
        <w:t xml:space="preserve">and rich data sources, the EU </w:t>
      </w:r>
      <w:r w:rsidRPr="00E47BE8">
        <w:rPr>
          <w:rFonts w:eastAsia="Arial Unicode MS"/>
          <w:noProof/>
        </w:rPr>
        <w:t xml:space="preserve">has </w:t>
      </w:r>
      <w:r>
        <w:rPr>
          <w:rFonts w:eastAsia="Arial Unicode MS"/>
          <w:noProof/>
        </w:rPr>
        <w:t xml:space="preserve">very </w:t>
      </w:r>
      <w:r w:rsidRPr="00E47BE8">
        <w:rPr>
          <w:rFonts w:eastAsia="Arial Unicode MS"/>
          <w:noProof/>
        </w:rPr>
        <w:t>extensive knowledge about chemicals</w:t>
      </w:r>
      <w:r>
        <w:rPr>
          <w:rFonts w:eastAsia="Arial Unicode MS"/>
          <w:noProof/>
        </w:rPr>
        <w:t>, including their</w:t>
      </w:r>
      <w:r w:rsidRPr="00E47BE8">
        <w:rPr>
          <w:rFonts w:eastAsia="Arial Unicode MS"/>
          <w:noProof/>
        </w:rPr>
        <w:t xml:space="preserve"> </w:t>
      </w:r>
      <w:r w:rsidR="00853227">
        <w:rPr>
          <w:rFonts w:eastAsia="Arial Unicode MS"/>
          <w:noProof/>
        </w:rPr>
        <w:t>use</w:t>
      </w:r>
      <w:r w:rsidR="00853227" w:rsidRPr="00E47BE8">
        <w:rPr>
          <w:rFonts w:eastAsia="Arial Unicode MS"/>
          <w:noProof/>
        </w:rPr>
        <w:t xml:space="preserve"> </w:t>
      </w:r>
      <w:r w:rsidR="00853227">
        <w:rPr>
          <w:rFonts w:eastAsia="Arial Unicode MS"/>
          <w:noProof/>
        </w:rPr>
        <w:t>and</w:t>
      </w:r>
      <w:r w:rsidR="00853227" w:rsidRPr="00E47BE8">
        <w:rPr>
          <w:rFonts w:eastAsia="Arial Unicode MS"/>
          <w:noProof/>
        </w:rPr>
        <w:t xml:space="preserve"> </w:t>
      </w:r>
      <w:r w:rsidRPr="00E47BE8">
        <w:rPr>
          <w:rFonts w:eastAsia="Arial Unicode MS"/>
          <w:noProof/>
        </w:rPr>
        <w:t>safety</w:t>
      </w:r>
      <w:r>
        <w:rPr>
          <w:rFonts w:eastAsia="Arial Unicode MS"/>
          <w:noProof/>
        </w:rPr>
        <w:t xml:space="preserve">. With this solid knowledge about potential POP substances, which are already </w:t>
      </w:r>
      <w:r w:rsidR="00E56809">
        <w:rPr>
          <w:rFonts w:eastAsia="Arial Unicode MS"/>
          <w:noProof/>
        </w:rPr>
        <w:t xml:space="preserve">or in the process of being </w:t>
      </w:r>
      <w:r>
        <w:rPr>
          <w:rFonts w:eastAsia="Arial Unicode MS"/>
          <w:noProof/>
        </w:rPr>
        <w:t>regulated in the EU,</w:t>
      </w:r>
      <w:r w:rsidRPr="00E47BE8">
        <w:rPr>
          <w:rFonts w:eastAsia="Arial Unicode MS"/>
          <w:noProof/>
        </w:rPr>
        <w:t xml:space="preserve"> the EU </w:t>
      </w:r>
      <w:r w:rsidR="008B60D0">
        <w:rPr>
          <w:rFonts w:eastAsia="Arial Unicode MS"/>
          <w:noProof/>
        </w:rPr>
        <w:t xml:space="preserve">aims to take action </w:t>
      </w:r>
      <w:r w:rsidR="001E1517">
        <w:rPr>
          <w:rFonts w:eastAsia="Arial Unicode MS"/>
          <w:noProof/>
        </w:rPr>
        <w:t xml:space="preserve">to control the risks posed by this substance </w:t>
      </w:r>
      <w:r w:rsidR="00C53682">
        <w:rPr>
          <w:rFonts w:eastAsia="Arial Unicode MS"/>
          <w:noProof/>
        </w:rPr>
        <w:t xml:space="preserve">globally </w:t>
      </w:r>
      <w:r w:rsidR="001E1517">
        <w:rPr>
          <w:rFonts w:eastAsia="Arial Unicode MS"/>
          <w:noProof/>
        </w:rPr>
        <w:t xml:space="preserve">as well as to provide for global level playing field for the EU industry. </w:t>
      </w:r>
    </w:p>
    <w:p w:rsidR="00137B68" w:rsidRPr="00CB0BA4" w:rsidRDefault="00137B68" w:rsidP="00137B68">
      <w:pPr>
        <w:pBdr>
          <w:top w:val="nil"/>
          <w:left w:val="nil"/>
          <w:bottom w:val="nil"/>
          <w:right w:val="nil"/>
          <w:between w:val="nil"/>
          <w:bar w:val="nil"/>
        </w:pBdr>
        <w:spacing w:before="0" w:after="240"/>
        <w:rPr>
          <w:rFonts w:eastAsia="Arial Unicode MS"/>
          <w:noProof/>
        </w:rPr>
      </w:pPr>
      <w:r w:rsidRPr="00CB0BA4">
        <w:rPr>
          <w:rFonts w:eastAsia="Arial Unicode MS"/>
          <w:noProof/>
        </w:rPr>
        <w:t>The Convention, which was approved by Council Decision 2006/507/EC</w:t>
      </w:r>
      <w:r w:rsidRPr="00AA242C">
        <w:rPr>
          <w:rStyle w:val="FootnoteReference"/>
          <w:noProof/>
        </w:rPr>
        <w:footnoteReference w:id="1"/>
      </w:r>
      <w:r w:rsidRPr="00CB0BA4">
        <w:rPr>
          <w:rFonts w:eastAsia="Arial Unicode MS"/>
          <w:noProof/>
        </w:rPr>
        <w:t>, entered into force on 17 May 2004. The aim of the Convention is to protect human health and the environment from POPs. The Convention provides a framework, based on the precautionary principle, for elimination of production, use, import and export of POPs, their safe handling and disposal and elimination or reduction of releases of certain unintentional POPs.</w:t>
      </w:r>
    </w:p>
    <w:p w:rsidR="00137B68" w:rsidRPr="00CB0BA4" w:rsidRDefault="00137B68" w:rsidP="00137B68">
      <w:pPr>
        <w:pBdr>
          <w:top w:val="nil"/>
          <w:left w:val="nil"/>
          <w:bottom w:val="nil"/>
          <w:right w:val="nil"/>
          <w:between w:val="nil"/>
          <w:bar w:val="nil"/>
        </w:pBdr>
        <w:spacing w:before="0" w:after="240"/>
        <w:rPr>
          <w:rFonts w:eastAsia="Arial Unicode MS"/>
          <w:noProof/>
        </w:rPr>
      </w:pPr>
      <w:r w:rsidRPr="00CB0BA4">
        <w:rPr>
          <w:rFonts w:eastAsia="Arial Unicode MS"/>
          <w:noProof/>
        </w:rPr>
        <w:t>Regulation (E</w:t>
      </w:r>
      <w:r>
        <w:rPr>
          <w:rFonts w:eastAsia="Arial Unicode MS"/>
          <w:noProof/>
        </w:rPr>
        <w:t>U</w:t>
      </w:r>
      <w:r w:rsidRPr="00CB0BA4">
        <w:rPr>
          <w:rFonts w:eastAsia="Arial Unicode MS"/>
          <w:noProof/>
        </w:rPr>
        <w:t>) 20</w:t>
      </w:r>
      <w:r>
        <w:rPr>
          <w:rFonts w:eastAsia="Arial Unicode MS"/>
          <w:noProof/>
        </w:rPr>
        <w:t>19/1021</w:t>
      </w:r>
      <w:r w:rsidRPr="00CB0BA4">
        <w:rPr>
          <w:rFonts w:eastAsia="Arial Unicode MS"/>
          <w:noProof/>
        </w:rPr>
        <w:t xml:space="preserve"> </w:t>
      </w:r>
      <w:r>
        <w:rPr>
          <w:rFonts w:eastAsia="Arial Unicode MS"/>
          <w:noProof/>
        </w:rPr>
        <w:t>of the European Parliament and of the Council</w:t>
      </w:r>
      <w:r w:rsidRPr="00AA242C">
        <w:rPr>
          <w:rStyle w:val="FootnoteReference"/>
          <w:noProof/>
        </w:rPr>
        <w:footnoteReference w:id="2"/>
      </w:r>
      <w:r w:rsidRPr="00CB0BA4">
        <w:rPr>
          <w:rFonts w:eastAsia="Arial Unicode MS"/>
          <w:noProof/>
        </w:rPr>
        <w:t xml:space="preserve"> implements in Union law the commitments set out in the Convention and in the Protocol to the 1979 Convention on Long-Range Transboundary Air Pollution on Persistent Organic Pollutants (the Protocol), approved by Council Decision 259/2004/EC</w:t>
      </w:r>
      <w:r w:rsidRPr="00AA242C">
        <w:rPr>
          <w:rStyle w:val="FootnoteReference"/>
          <w:noProof/>
        </w:rPr>
        <w:footnoteReference w:id="3"/>
      </w:r>
      <w:r w:rsidRPr="00CB0BA4">
        <w:rPr>
          <w:rFonts w:eastAsia="Arial Unicode MS"/>
          <w:noProof/>
        </w:rPr>
        <w:t>.</w:t>
      </w:r>
    </w:p>
    <w:p w:rsidR="00137B68" w:rsidRDefault="00137B68" w:rsidP="00137B68">
      <w:pPr>
        <w:pBdr>
          <w:top w:val="nil"/>
          <w:left w:val="nil"/>
          <w:bottom w:val="nil"/>
          <w:right w:val="nil"/>
          <w:between w:val="nil"/>
          <w:bar w:val="nil"/>
        </w:pBdr>
        <w:spacing w:before="0" w:after="240"/>
        <w:rPr>
          <w:rFonts w:eastAsia="Arial Unicode MS"/>
          <w:noProof/>
        </w:rPr>
      </w:pPr>
      <w:r w:rsidRPr="00CB0BA4">
        <w:rPr>
          <w:rFonts w:eastAsia="Arial Unicode MS"/>
          <w:noProof/>
        </w:rPr>
        <w:t xml:space="preserve">Article 8(1) of the Convention stipulates that any Party may submit a proposal to the Secretariat for listing a chemical in Annexes A, B </w:t>
      </w:r>
      <w:r>
        <w:rPr>
          <w:rFonts w:eastAsia="Arial Unicode MS"/>
          <w:noProof/>
        </w:rPr>
        <w:t>and/</w:t>
      </w:r>
      <w:r w:rsidRPr="00CB0BA4">
        <w:rPr>
          <w:rFonts w:eastAsia="Arial Unicode MS"/>
          <w:noProof/>
        </w:rPr>
        <w:t>or C to the Convention</w:t>
      </w:r>
      <w:r>
        <w:rPr>
          <w:rFonts w:eastAsia="Arial Unicode MS"/>
          <w:noProof/>
        </w:rPr>
        <w:t>,</w:t>
      </w:r>
      <w:r w:rsidRPr="00CB0BA4">
        <w:rPr>
          <w:rFonts w:eastAsia="Arial Unicode MS"/>
          <w:noProof/>
        </w:rPr>
        <w:t xml:space="preserve"> which will then be reviewed by the Persistent Organic Pollutants Review Committee (POPRC) following Article 8(3) and (4). The proposal shall contain the information specified in Annex D</w:t>
      </w:r>
      <w:r w:rsidRPr="009B32FB">
        <w:rPr>
          <w:noProof/>
        </w:rPr>
        <w:t xml:space="preserve"> </w:t>
      </w:r>
      <w:r>
        <w:rPr>
          <w:noProof/>
        </w:rPr>
        <w:t>on ‘</w:t>
      </w:r>
      <w:r w:rsidRPr="009B32FB">
        <w:rPr>
          <w:rFonts w:eastAsia="Arial Unicode MS"/>
          <w:noProof/>
        </w:rPr>
        <w:t>Information requirements and screening criteria</w:t>
      </w:r>
      <w:r>
        <w:rPr>
          <w:rFonts w:eastAsia="Arial Unicode MS"/>
          <w:noProof/>
        </w:rPr>
        <w:t>’</w:t>
      </w:r>
      <w:r w:rsidRPr="00CB0BA4">
        <w:rPr>
          <w:rFonts w:eastAsia="Arial Unicode MS"/>
          <w:noProof/>
        </w:rPr>
        <w:t xml:space="preserve">. </w:t>
      </w:r>
      <w:r w:rsidR="00222677" w:rsidRPr="00222677">
        <w:rPr>
          <w:rFonts w:eastAsia="Arial Unicode MS"/>
          <w:noProof/>
        </w:rPr>
        <w:t>The POPRC examines the proposal and applies the screening criteria specified in</w:t>
      </w:r>
      <w:r w:rsidR="00222677">
        <w:rPr>
          <w:rFonts w:eastAsia="Arial Unicode MS"/>
          <w:noProof/>
        </w:rPr>
        <w:t xml:space="preserve"> Annex D. </w:t>
      </w:r>
      <w:r w:rsidR="00222677" w:rsidRPr="00222677">
        <w:rPr>
          <w:rFonts w:eastAsia="Arial Unicode MS"/>
          <w:noProof/>
        </w:rPr>
        <w:t>If the POPRC is satisfied that the screening criteria have been fulfilled, it invites Parties and observers to submit information specified in </w:t>
      </w:r>
      <w:hyperlink r:id="rId14" w:history="1">
        <w:r w:rsidR="00222677" w:rsidRPr="00222677">
          <w:rPr>
            <w:rStyle w:val="Hyperlink"/>
            <w:rFonts w:eastAsia="Arial Unicode MS"/>
            <w:noProof/>
          </w:rPr>
          <w:t>Annex E</w:t>
        </w:r>
      </w:hyperlink>
      <w:r w:rsidR="00222677" w:rsidRPr="00222677">
        <w:rPr>
          <w:rFonts w:eastAsia="Arial Unicode MS"/>
          <w:noProof/>
        </w:rPr>
        <w:t> and develops a risk profile</w:t>
      </w:r>
      <w:r w:rsidR="00222677">
        <w:rPr>
          <w:rFonts w:eastAsia="Arial Unicode MS"/>
          <w:noProof/>
        </w:rPr>
        <w:t xml:space="preserve">. </w:t>
      </w:r>
      <w:r w:rsidR="00222677" w:rsidRPr="00222677">
        <w:rPr>
          <w:rFonts w:eastAsia="Arial Unicode MS"/>
          <w:noProof/>
        </w:rPr>
        <w:t>Based on the risk profile, the POPRC makes decision on whether the chemical is likely, as a result of its long-range environmental transport, to lead to significant adverse human health and/or environmental effects such that global action is warranted.</w:t>
      </w:r>
      <w:r w:rsidR="00222677">
        <w:rPr>
          <w:rFonts w:eastAsia="Arial Unicode MS"/>
          <w:noProof/>
        </w:rPr>
        <w:t xml:space="preserve"> </w:t>
      </w:r>
      <w:r w:rsidR="00222677" w:rsidRPr="00222677">
        <w:rPr>
          <w:rFonts w:eastAsia="Arial Unicode MS"/>
          <w:noProof/>
        </w:rPr>
        <w:t>If the POPRC decides that the proposal shall proceed, it invites Parties and observers to submit information related to the socio-economic considerations specified in </w:t>
      </w:r>
      <w:hyperlink r:id="rId15" w:history="1">
        <w:r w:rsidR="00222677" w:rsidRPr="00222677">
          <w:rPr>
            <w:rStyle w:val="Hyperlink"/>
            <w:rFonts w:eastAsia="Arial Unicode MS"/>
            <w:noProof/>
          </w:rPr>
          <w:t>Annex F</w:t>
        </w:r>
      </w:hyperlink>
      <w:r w:rsidR="00222677" w:rsidRPr="00222677">
        <w:rPr>
          <w:rFonts w:eastAsia="Arial Unicode MS"/>
          <w:noProof/>
        </w:rPr>
        <w:t> and develops a risk management evaluation.</w:t>
      </w:r>
      <w:r w:rsidR="00222677" w:rsidRPr="00222677">
        <w:rPr>
          <w:rFonts w:ascii="Roboto" w:hAnsi="Roboto"/>
          <w:noProof/>
          <w:color w:val="000000"/>
          <w:shd w:val="clear" w:color="auto" w:fill="FFFFFF"/>
        </w:rPr>
        <w:t xml:space="preserve"> </w:t>
      </w:r>
      <w:r w:rsidR="00222677" w:rsidRPr="00222677">
        <w:rPr>
          <w:rFonts w:eastAsia="Arial Unicode MS"/>
          <w:noProof/>
        </w:rPr>
        <w:t xml:space="preserve">On the basis of the risk </w:t>
      </w:r>
      <w:r w:rsidR="00222677" w:rsidRPr="00222677">
        <w:rPr>
          <w:rFonts w:eastAsia="Arial Unicode MS"/>
          <w:noProof/>
        </w:rPr>
        <w:lastRenderedPageBreak/>
        <w:t>profile and risk management evaluation, the POPRC recommends whether the chemical should be considered by the Conference of the Parties for listing in Annexes A, B and/or C.</w:t>
      </w:r>
      <w:r w:rsidR="00222677">
        <w:rPr>
          <w:rFonts w:eastAsia="Arial Unicode MS"/>
          <w:noProof/>
        </w:rPr>
        <w:t xml:space="preserve"> </w:t>
      </w:r>
      <w:r>
        <w:rPr>
          <w:rFonts w:eastAsia="Arial Unicode MS"/>
          <w:noProof/>
        </w:rPr>
        <w:t>Based on the recommendation of the POPRC, the Conference of the Parties decides whether to list a substance in Annex A (elimination), Annex B (restriction) and/or Annex C (unintentional production).</w:t>
      </w:r>
      <w:r w:rsidRPr="002475F5">
        <w:rPr>
          <w:rFonts w:eastAsia="Arial Unicode MS"/>
          <w:noProof/>
        </w:rPr>
        <w:t xml:space="preserve"> </w:t>
      </w:r>
      <w:r w:rsidRPr="00CB0BA4">
        <w:rPr>
          <w:rFonts w:eastAsia="Arial Unicode MS"/>
          <w:noProof/>
        </w:rPr>
        <w:t>The procedure for the adoption of amendments to Annexes is governed by Article 22 of the Convention.</w:t>
      </w:r>
    </w:p>
    <w:p w:rsidR="00137B68" w:rsidRPr="0025196F" w:rsidRDefault="00E56809" w:rsidP="00137B68">
      <w:pPr>
        <w:pBdr>
          <w:top w:val="nil"/>
          <w:left w:val="nil"/>
          <w:bottom w:val="nil"/>
          <w:right w:val="nil"/>
          <w:between w:val="nil"/>
          <w:bar w:val="nil"/>
        </w:pBdr>
        <w:spacing w:before="0" w:after="240"/>
        <w:rPr>
          <w:rFonts w:eastAsia="Arial Unicode MS"/>
          <w:noProof/>
        </w:rPr>
      </w:pPr>
      <w:r>
        <w:rPr>
          <w:rFonts w:eastAsia="Arial Unicode MS"/>
          <w:noProof/>
        </w:rPr>
        <w:t xml:space="preserve">TBPH is a brominated flame retardant, identified in the EU as a Substance of Very High Concern </w:t>
      </w:r>
      <w:r w:rsidR="00472F43">
        <w:rPr>
          <w:rFonts w:eastAsia="Arial Unicode MS"/>
          <w:noProof/>
        </w:rPr>
        <w:t>in accordance with</w:t>
      </w:r>
      <w:r>
        <w:rPr>
          <w:rFonts w:eastAsia="Arial Unicode MS"/>
          <w:noProof/>
        </w:rPr>
        <w:t xml:space="preserve"> article 57(</w:t>
      </w:r>
      <w:r w:rsidR="00853227">
        <w:rPr>
          <w:rFonts w:eastAsia="Arial Unicode MS"/>
          <w:noProof/>
        </w:rPr>
        <w:t>e</w:t>
      </w:r>
      <w:r>
        <w:rPr>
          <w:rFonts w:eastAsia="Arial Unicode MS"/>
          <w:noProof/>
        </w:rPr>
        <w:t xml:space="preserve">) of </w:t>
      </w:r>
      <w:r w:rsidR="00BF3284" w:rsidRPr="00AA242C">
        <w:rPr>
          <w:noProof/>
        </w:rPr>
        <w:t>Regulation (E</w:t>
      </w:r>
      <w:r w:rsidR="00BF3284">
        <w:rPr>
          <w:noProof/>
        </w:rPr>
        <w:t>U</w:t>
      </w:r>
      <w:r w:rsidR="00BF3284" w:rsidRPr="00AA242C">
        <w:rPr>
          <w:noProof/>
        </w:rPr>
        <w:t xml:space="preserve">) </w:t>
      </w:r>
      <w:r w:rsidR="00BF3284">
        <w:rPr>
          <w:noProof/>
        </w:rPr>
        <w:t>1907/2006</w:t>
      </w:r>
      <w:r>
        <w:rPr>
          <w:rFonts w:eastAsia="Arial Unicode MS"/>
          <w:noProof/>
        </w:rPr>
        <w:t>, because of its properties as very persistent and vey bioaccumulative</w:t>
      </w:r>
      <w:r w:rsidR="00137B68" w:rsidRPr="0025196F">
        <w:rPr>
          <w:rFonts w:eastAsia="Arial Unicode MS"/>
          <w:noProof/>
        </w:rPr>
        <w:t>.</w:t>
      </w:r>
      <w:r w:rsidR="001249B3">
        <w:rPr>
          <w:rFonts w:eastAsia="Arial Unicode MS"/>
          <w:noProof/>
        </w:rPr>
        <w:t xml:space="preserve"> According to the available </w:t>
      </w:r>
      <w:r w:rsidR="00472F43">
        <w:rPr>
          <w:rFonts w:eastAsia="Arial Unicode MS"/>
          <w:noProof/>
        </w:rPr>
        <w:t xml:space="preserve">scientific </w:t>
      </w:r>
      <w:r w:rsidR="001249B3">
        <w:rPr>
          <w:rFonts w:eastAsia="Arial Unicode MS"/>
          <w:noProof/>
        </w:rPr>
        <w:t>data, TBPH is also toxic and subject to long range transport, as it has been found in remote regions.</w:t>
      </w:r>
      <w:r w:rsidR="001249B3" w:rsidRPr="001249B3">
        <w:rPr>
          <w:rFonts w:eastAsia="Arial Unicode MS"/>
          <w:noProof/>
        </w:rPr>
        <w:t xml:space="preserve"> </w:t>
      </w:r>
      <w:r w:rsidR="001249B3">
        <w:rPr>
          <w:rFonts w:eastAsia="Arial Unicode MS"/>
          <w:noProof/>
        </w:rPr>
        <w:t>Therefore, TBPH</w:t>
      </w:r>
      <w:r w:rsidR="001249B3" w:rsidRPr="00CB0BA4">
        <w:rPr>
          <w:rFonts w:eastAsia="Arial Unicode MS"/>
          <w:noProof/>
        </w:rPr>
        <w:t xml:space="preserve"> meet</w:t>
      </w:r>
      <w:r w:rsidR="001249B3">
        <w:rPr>
          <w:rFonts w:eastAsia="Arial Unicode MS"/>
          <w:noProof/>
        </w:rPr>
        <w:t>s</w:t>
      </w:r>
      <w:r w:rsidR="001249B3" w:rsidRPr="00CB0BA4">
        <w:rPr>
          <w:rFonts w:eastAsia="Arial Unicode MS"/>
          <w:noProof/>
        </w:rPr>
        <w:t xml:space="preserve"> the criteria of Annex D to the Convention and </w:t>
      </w:r>
      <w:r w:rsidR="001249B3">
        <w:rPr>
          <w:rFonts w:eastAsia="Arial Unicode MS"/>
          <w:noProof/>
        </w:rPr>
        <w:t>should</w:t>
      </w:r>
      <w:r w:rsidR="001249B3" w:rsidRPr="00CB0BA4">
        <w:rPr>
          <w:rFonts w:eastAsia="Arial Unicode MS"/>
          <w:noProof/>
        </w:rPr>
        <w:t xml:space="preserve"> be considered as a POP</w:t>
      </w:r>
      <w:r w:rsidR="001249B3">
        <w:rPr>
          <w:rFonts w:eastAsia="Arial Unicode MS"/>
          <w:noProof/>
        </w:rPr>
        <w:t xml:space="preserve"> candidate</w:t>
      </w:r>
      <w:r w:rsidR="001249B3" w:rsidRPr="00CB0BA4">
        <w:rPr>
          <w:rFonts w:eastAsia="Arial Unicode MS"/>
          <w:noProof/>
        </w:rPr>
        <w:t>.</w:t>
      </w:r>
      <w:r w:rsidR="001249B3" w:rsidRPr="0059764A">
        <w:rPr>
          <w:rFonts w:eastAsia="Arial Unicode MS"/>
          <w:noProof/>
        </w:rPr>
        <w:t xml:space="preserve"> </w:t>
      </w:r>
      <w:r w:rsidR="001249B3">
        <w:rPr>
          <w:rFonts w:eastAsia="Arial Unicode MS"/>
          <w:noProof/>
        </w:rPr>
        <w:t>The details of the assessment are available in the scientific dossier that will accompany the proposal for listing TBPH in Annex A or B to the Stockholm Convention.</w:t>
      </w:r>
    </w:p>
    <w:p w:rsidR="00137B68" w:rsidRPr="00CB0BA4" w:rsidRDefault="00137B68" w:rsidP="00137B68">
      <w:pPr>
        <w:pBdr>
          <w:top w:val="nil"/>
          <w:left w:val="nil"/>
          <w:bottom w:val="nil"/>
          <w:right w:val="nil"/>
          <w:between w:val="nil"/>
          <w:bar w:val="nil"/>
        </w:pBdr>
        <w:spacing w:before="0" w:after="240"/>
        <w:rPr>
          <w:rFonts w:eastAsia="Arial Unicode MS"/>
          <w:noProof/>
        </w:rPr>
      </w:pPr>
      <w:r w:rsidRPr="00CB0BA4">
        <w:rPr>
          <w:rFonts w:eastAsia="Arial Unicode MS"/>
          <w:noProof/>
        </w:rPr>
        <w:t xml:space="preserve">With a view to </w:t>
      </w:r>
      <w:r>
        <w:rPr>
          <w:rFonts w:eastAsia="Arial Unicode MS"/>
          <w:noProof/>
        </w:rPr>
        <w:t>starting the review</w:t>
      </w:r>
      <w:r w:rsidR="00630053">
        <w:rPr>
          <w:rFonts w:eastAsia="Arial Unicode MS"/>
          <w:noProof/>
        </w:rPr>
        <w:t xml:space="preserve"> of the </w:t>
      </w:r>
      <w:r w:rsidR="003954BC">
        <w:rPr>
          <w:rFonts w:eastAsia="Arial Unicode MS"/>
          <w:noProof/>
        </w:rPr>
        <w:t>dossier</w:t>
      </w:r>
      <w:r>
        <w:rPr>
          <w:rFonts w:eastAsia="Arial Unicode MS"/>
          <w:noProof/>
        </w:rPr>
        <w:t xml:space="preserve"> at </w:t>
      </w:r>
      <w:r w:rsidRPr="00CB0BA4">
        <w:rPr>
          <w:rFonts w:eastAsia="Arial Unicode MS"/>
          <w:noProof/>
        </w:rPr>
        <w:t xml:space="preserve">the next POPRC meeting in </w:t>
      </w:r>
      <w:r w:rsidR="001249B3">
        <w:rPr>
          <w:rFonts w:eastAsia="Arial Unicode MS"/>
          <w:noProof/>
        </w:rPr>
        <w:t>October 2026</w:t>
      </w:r>
      <w:r w:rsidRPr="00CB0BA4">
        <w:rPr>
          <w:rFonts w:eastAsia="Arial Unicode MS"/>
          <w:noProof/>
        </w:rPr>
        <w:t xml:space="preserve">, </w:t>
      </w:r>
      <w:r>
        <w:rPr>
          <w:rFonts w:eastAsia="Arial Unicode MS"/>
          <w:noProof/>
        </w:rPr>
        <w:t>the deadline for submitting a proposal is in April 202</w:t>
      </w:r>
      <w:r w:rsidR="001249B3">
        <w:rPr>
          <w:rFonts w:eastAsia="Arial Unicode MS"/>
          <w:noProof/>
        </w:rPr>
        <w:t>6</w:t>
      </w:r>
      <w:r>
        <w:rPr>
          <w:rFonts w:eastAsia="Arial Unicode MS"/>
          <w:noProof/>
        </w:rPr>
        <w:t xml:space="preserve">. Given the EU competencies in this domain, </w:t>
      </w:r>
      <w:r w:rsidRPr="00CB0BA4">
        <w:rPr>
          <w:rFonts w:eastAsia="Arial Unicode MS"/>
          <w:noProof/>
        </w:rPr>
        <w:t>it is appropriate that the Commission submit</w:t>
      </w:r>
      <w:r>
        <w:rPr>
          <w:rFonts w:eastAsia="Arial Unicode MS"/>
          <w:noProof/>
        </w:rPr>
        <w:t>s</w:t>
      </w:r>
      <w:r w:rsidRPr="00CB0BA4">
        <w:rPr>
          <w:rFonts w:eastAsia="Arial Unicode MS"/>
          <w:noProof/>
        </w:rPr>
        <w:t xml:space="preserve"> on behalf of the Union a proposal for the listing of </w:t>
      </w:r>
      <w:r w:rsidR="001249B3">
        <w:rPr>
          <w:rFonts w:eastAsia="Arial Unicode MS"/>
          <w:noProof/>
        </w:rPr>
        <w:t>TBPH</w:t>
      </w:r>
      <w:r w:rsidRPr="00CB0BA4">
        <w:rPr>
          <w:rFonts w:eastAsia="Arial Unicode MS"/>
          <w:noProof/>
        </w:rPr>
        <w:t xml:space="preserve"> in </w:t>
      </w:r>
      <w:r w:rsidRPr="0065432E">
        <w:rPr>
          <w:rFonts w:eastAsia="Arial Unicode MS"/>
          <w:noProof/>
        </w:rPr>
        <w:t xml:space="preserve">Annex </w:t>
      </w:r>
      <w:r w:rsidR="001249B3">
        <w:rPr>
          <w:rFonts w:eastAsia="Arial Unicode MS"/>
          <w:noProof/>
        </w:rPr>
        <w:t xml:space="preserve">A or </w:t>
      </w:r>
      <w:r>
        <w:rPr>
          <w:rFonts w:eastAsia="Arial Unicode MS"/>
          <w:noProof/>
        </w:rPr>
        <w:t>B</w:t>
      </w:r>
      <w:r w:rsidRPr="00CB0BA4">
        <w:rPr>
          <w:rFonts w:eastAsia="Arial Unicode MS"/>
          <w:noProof/>
        </w:rPr>
        <w:t xml:space="preserve"> to the Secretariat of the Stockholm Convention</w:t>
      </w:r>
      <w:r>
        <w:rPr>
          <w:rFonts w:eastAsia="Arial Unicode MS"/>
          <w:noProof/>
        </w:rPr>
        <w:t>. The scientific dossier included in the proposal will be reviewed in accordance with the criteria and procedures under the Convention before a decision on the listing may be taken by the Conference of the Parties</w:t>
      </w:r>
      <w:r w:rsidRPr="00CB0BA4">
        <w:rPr>
          <w:rFonts w:eastAsia="Arial Unicode MS"/>
          <w:noProof/>
        </w:rPr>
        <w:t>.</w:t>
      </w:r>
      <w:r>
        <w:rPr>
          <w:rFonts w:eastAsia="Arial Unicode MS"/>
          <w:noProof/>
        </w:rPr>
        <w:t xml:space="preserve"> The scientific assessment under the Convention takes at least three years, and therefore a decision on the listing of </w:t>
      </w:r>
      <w:r w:rsidR="001249B3">
        <w:rPr>
          <w:rFonts w:eastAsia="Arial Unicode MS"/>
          <w:noProof/>
        </w:rPr>
        <w:t>TBPH</w:t>
      </w:r>
      <w:r>
        <w:rPr>
          <w:rFonts w:eastAsia="Arial Unicode MS"/>
          <w:noProof/>
        </w:rPr>
        <w:t xml:space="preserve"> in the Convention will only be possible at the ordinary COP in 202</w:t>
      </w:r>
      <w:r w:rsidR="001249B3">
        <w:rPr>
          <w:rFonts w:eastAsia="Arial Unicode MS"/>
          <w:noProof/>
        </w:rPr>
        <w:t>9</w:t>
      </w:r>
      <w:r>
        <w:rPr>
          <w:rFonts w:eastAsia="Arial Unicode MS"/>
          <w:noProof/>
        </w:rPr>
        <w:t xml:space="preserve"> at the earliest.</w:t>
      </w:r>
    </w:p>
    <w:p w:rsidR="00E66492" w:rsidRPr="002D5EE2" w:rsidRDefault="00E66492"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1249B3" w:rsidRPr="009D32F9" w:rsidRDefault="001249B3" w:rsidP="001249B3">
      <w:pPr>
        <w:pBdr>
          <w:top w:val="nil"/>
          <w:left w:val="nil"/>
          <w:bottom w:val="nil"/>
          <w:right w:val="nil"/>
          <w:between w:val="nil"/>
          <w:bar w:val="nil"/>
        </w:pBdr>
        <w:spacing w:before="0" w:after="240"/>
        <w:rPr>
          <w:rFonts w:eastAsia="Arial Unicode MS"/>
          <w:noProof/>
        </w:rPr>
      </w:pPr>
      <w:r w:rsidRPr="00AA242C">
        <w:rPr>
          <w:noProof/>
        </w:rPr>
        <w:t>The proposal is coherent with and complements the implementation of Regulation (E</w:t>
      </w:r>
      <w:r>
        <w:rPr>
          <w:noProof/>
        </w:rPr>
        <w:t>U</w:t>
      </w:r>
      <w:r w:rsidRPr="00AA242C">
        <w:rPr>
          <w:noProof/>
        </w:rPr>
        <w:t>) 20</w:t>
      </w:r>
      <w:r>
        <w:rPr>
          <w:noProof/>
        </w:rPr>
        <w:t>19/1021</w:t>
      </w:r>
      <w:r w:rsidRPr="00AA242C">
        <w:rPr>
          <w:noProof/>
        </w:rPr>
        <w:t>, which implements the Stockholm Convention in the Union. It is fully in line with the objective to protect human health and the environment from persistent organic pollutants.</w:t>
      </w:r>
    </w:p>
    <w:p w:rsidR="00E66492" w:rsidRPr="002D5EE2" w:rsidRDefault="00E66492"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CC6C09" w:rsidRPr="00CC6C09" w:rsidRDefault="007C112C" w:rsidP="00CC6C09">
      <w:pPr>
        <w:spacing w:before="60" w:after="60"/>
        <w:rPr>
          <w:rFonts w:eastAsia="Arial Unicode MS"/>
          <w:noProof/>
        </w:rPr>
      </w:pPr>
      <w:r>
        <w:rPr>
          <w:rFonts w:eastAsia="Arial Unicode MS"/>
          <w:noProof/>
        </w:rPr>
        <w:t>The European Chemical Agency conducted a scientific assessment of the hazard and uses of a group of brominated flame retardants</w:t>
      </w:r>
      <w:r w:rsidR="00CC6C09">
        <w:rPr>
          <w:rStyle w:val="FootnoteReference"/>
          <w:rFonts w:eastAsia="Arial Unicode MS"/>
          <w:noProof/>
        </w:rPr>
        <w:footnoteReference w:id="4"/>
      </w:r>
      <w:r>
        <w:rPr>
          <w:rFonts w:eastAsia="Arial Unicode MS"/>
          <w:noProof/>
        </w:rPr>
        <w:t xml:space="preserve">, including TBPH, and, on the basis of the results of this work, the Commission is in the process of giving a mandate to ECHA </w:t>
      </w:r>
      <w:bookmarkStart w:id="1" w:name="_Hlk213081748"/>
      <w:r w:rsidR="00755AF2">
        <w:rPr>
          <w:rFonts w:eastAsia="Arial Unicode MS"/>
          <w:noProof/>
        </w:rPr>
        <w:t xml:space="preserve">to prepare an Annex XV dossier </w:t>
      </w:r>
      <w:r>
        <w:rPr>
          <w:rFonts w:eastAsia="Arial Unicode MS"/>
          <w:noProof/>
        </w:rPr>
        <w:t>for a restriction</w:t>
      </w:r>
      <w:r w:rsidR="00755AF2">
        <w:rPr>
          <w:rFonts w:eastAsia="Arial Unicode MS"/>
          <w:noProof/>
        </w:rPr>
        <w:t xml:space="preserve"> under REACH</w:t>
      </w:r>
      <w:bookmarkEnd w:id="1"/>
      <w:r>
        <w:rPr>
          <w:rFonts w:eastAsia="Arial Unicode MS"/>
          <w:noProof/>
        </w:rPr>
        <w:t>.</w:t>
      </w:r>
      <w:r w:rsidR="00CC6C09">
        <w:rPr>
          <w:rFonts w:eastAsia="Arial Unicode MS"/>
          <w:noProof/>
        </w:rPr>
        <w:t xml:space="preserve"> </w:t>
      </w:r>
      <w:r w:rsidR="00CC6C09" w:rsidRPr="00CC6C09">
        <w:rPr>
          <w:rFonts w:eastAsia="Arial Unicode MS"/>
          <w:noProof/>
        </w:rPr>
        <w:t xml:space="preserve">Nominating TBPH in 2026 would allow to progress the two restrictions (EU and international) in parallel, with the Stockholm process using the information generated during the REACH restriction </w:t>
      </w:r>
      <w:r w:rsidR="003954BC">
        <w:rPr>
          <w:rFonts w:eastAsia="Arial Unicode MS"/>
          <w:noProof/>
        </w:rPr>
        <w:t xml:space="preserve">process </w:t>
      </w:r>
      <w:r w:rsidR="00CC6C09" w:rsidRPr="00CC6C09">
        <w:rPr>
          <w:rFonts w:eastAsia="Arial Unicode MS"/>
          <w:noProof/>
        </w:rPr>
        <w:t xml:space="preserve">(including costs, benefits and availability of alternatives). This would avoid having a period of several years when the substance would be restricted in the EU but not globally. </w:t>
      </w:r>
    </w:p>
    <w:p w:rsidR="007C112C" w:rsidRDefault="00CC6C09" w:rsidP="00CC6C09">
      <w:pPr>
        <w:pBdr>
          <w:top w:val="nil"/>
          <w:left w:val="nil"/>
          <w:bottom w:val="nil"/>
          <w:right w:val="nil"/>
          <w:between w:val="nil"/>
          <w:bar w:val="nil"/>
        </w:pBdr>
        <w:spacing w:before="0" w:after="240"/>
        <w:rPr>
          <w:rFonts w:eastAsia="Arial Unicode MS"/>
          <w:noProof/>
        </w:rPr>
      </w:pPr>
      <w:r w:rsidRPr="00CC6C09">
        <w:rPr>
          <w:rFonts w:eastAsia="Arial Unicode MS"/>
          <w:noProof/>
        </w:rPr>
        <w:t>This initiative will reduce one of the categories of the persistent pollution of EU waters identified under the Water Framework Directive in the E</w:t>
      </w:r>
      <w:r w:rsidR="008D351C">
        <w:rPr>
          <w:rFonts w:eastAsia="Arial Unicode MS"/>
          <w:noProof/>
        </w:rPr>
        <w:t xml:space="preserve">uropean </w:t>
      </w:r>
      <w:r w:rsidRPr="00CC6C09">
        <w:rPr>
          <w:rFonts w:eastAsia="Arial Unicode MS"/>
          <w:noProof/>
        </w:rPr>
        <w:t>E</w:t>
      </w:r>
      <w:r w:rsidR="008D351C">
        <w:rPr>
          <w:rFonts w:eastAsia="Arial Unicode MS"/>
          <w:noProof/>
        </w:rPr>
        <w:t xml:space="preserve">nvironment </w:t>
      </w:r>
      <w:r w:rsidRPr="00CC6C09">
        <w:rPr>
          <w:rFonts w:eastAsia="Arial Unicode MS"/>
          <w:noProof/>
        </w:rPr>
        <w:t>A</w:t>
      </w:r>
      <w:r w:rsidR="008D351C">
        <w:rPr>
          <w:rFonts w:eastAsia="Arial Unicode MS"/>
          <w:noProof/>
        </w:rPr>
        <w:t>gency</w:t>
      </w:r>
      <w:r w:rsidRPr="00CC6C09">
        <w:rPr>
          <w:rFonts w:eastAsia="Arial Unicode MS"/>
          <w:noProof/>
        </w:rPr>
        <w:t xml:space="preserve"> state-of-water report</w:t>
      </w:r>
      <w:r w:rsidR="008D351C">
        <w:rPr>
          <w:rStyle w:val="FootnoteReference"/>
          <w:rFonts w:eastAsia="Arial Unicode MS"/>
          <w:noProof/>
        </w:rPr>
        <w:footnoteReference w:id="5"/>
      </w:r>
      <w:r w:rsidRPr="00CC6C09">
        <w:rPr>
          <w:rFonts w:eastAsia="Arial Unicode MS"/>
          <w:noProof/>
        </w:rPr>
        <w:t xml:space="preserve"> and thereby contribute to the EU’s Water Resilience</w:t>
      </w:r>
      <w:r w:rsidR="008D351C">
        <w:rPr>
          <w:rStyle w:val="FootnoteReference"/>
          <w:rFonts w:eastAsia="Arial Unicode MS"/>
          <w:noProof/>
        </w:rPr>
        <w:footnoteReference w:id="6"/>
      </w:r>
      <w:r w:rsidRPr="00CC6C09">
        <w:rPr>
          <w:rFonts w:eastAsia="Arial Unicode MS"/>
          <w:noProof/>
        </w:rPr>
        <w:t xml:space="preserve"> and Zero Pollution agenda</w:t>
      </w:r>
      <w:r w:rsidR="008D351C">
        <w:rPr>
          <w:rStyle w:val="FootnoteReference"/>
          <w:rFonts w:eastAsia="Arial Unicode MS"/>
          <w:noProof/>
        </w:rPr>
        <w:footnoteReference w:id="7"/>
      </w:r>
      <w:r w:rsidRPr="00CC6C09">
        <w:rPr>
          <w:rFonts w:eastAsia="Arial Unicode MS"/>
          <w:noProof/>
        </w:rPr>
        <w:t xml:space="preserve">.  In addition to the global benefits from the listing of TBPH under the Stockholm </w:t>
      </w:r>
      <w:r w:rsidRPr="00CC6C09">
        <w:rPr>
          <w:rFonts w:eastAsia="Arial Unicode MS"/>
          <w:noProof/>
        </w:rPr>
        <w:lastRenderedPageBreak/>
        <w:t xml:space="preserve">Convention, the proposal would allow to </w:t>
      </w:r>
      <w:r w:rsidR="008B60D0">
        <w:rPr>
          <w:rFonts w:eastAsia="Arial Unicode MS"/>
          <w:noProof/>
        </w:rPr>
        <w:t>align</w:t>
      </w:r>
      <w:r w:rsidRPr="00CC6C09">
        <w:rPr>
          <w:rFonts w:eastAsia="Arial Unicode MS"/>
          <w:noProof/>
        </w:rPr>
        <w:t xml:space="preserve"> </w:t>
      </w:r>
      <w:r w:rsidR="00755AF2">
        <w:rPr>
          <w:rFonts w:eastAsia="Arial Unicode MS"/>
          <w:noProof/>
        </w:rPr>
        <w:t xml:space="preserve">the </w:t>
      </w:r>
      <w:r w:rsidR="005964DE">
        <w:rPr>
          <w:rFonts w:eastAsia="Arial Unicode MS"/>
          <w:noProof/>
        </w:rPr>
        <w:t>future</w:t>
      </w:r>
      <w:r w:rsidRPr="00CC6C09">
        <w:rPr>
          <w:rFonts w:eastAsia="Arial Unicode MS"/>
          <w:noProof/>
        </w:rPr>
        <w:t xml:space="preserve"> EU restriction</w:t>
      </w:r>
      <w:r w:rsidR="00755AF2">
        <w:rPr>
          <w:rFonts w:eastAsia="Arial Unicode MS"/>
          <w:noProof/>
        </w:rPr>
        <w:t xml:space="preserve"> that may result from the REACH proces</w:t>
      </w:r>
      <w:r w:rsidRPr="00CC6C09">
        <w:rPr>
          <w:rFonts w:eastAsia="Arial Unicode MS"/>
          <w:noProof/>
        </w:rPr>
        <w:t xml:space="preserve">s </w:t>
      </w:r>
      <w:r w:rsidR="008B60D0">
        <w:rPr>
          <w:rFonts w:eastAsia="Arial Unicode MS"/>
          <w:noProof/>
        </w:rPr>
        <w:t xml:space="preserve">with the global restriction under the Stockholm Convention </w:t>
      </w:r>
      <w:r w:rsidRPr="00CC6C09">
        <w:rPr>
          <w:rFonts w:eastAsia="Arial Unicode MS"/>
          <w:noProof/>
        </w:rPr>
        <w:t xml:space="preserve">and would </w:t>
      </w:r>
      <w:r w:rsidR="00222677">
        <w:rPr>
          <w:rFonts w:eastAsia="Arial Unicode MS"/>
          <w:noProof/>
        </w:rPr>
        <w:t>ensure global level playing field for EU companies</w:t>
      </w:r>
      <w:r w:rsidRPr="00CC6C09">
        <w:rPr>
          <w:rFonts w:eastAsia="Arial Unicode MS"/>
          <w:noProof/>
        </w:rPr>
        <w:t>.</w:t>
      </w:r>
    </w:p>
    <w:p w:rsidR="00E66492" w:rsidRPr="002D5EE2" w:rsidRDefault="00E66492" w:rsidP="00550536">
      <w:pPr>
        <w:pStyle w:val="ManualHeading1"/>
        <w:rPr>
          <w:noProof/>
        </w:rPr>
      </w:pPr>
      <w:r w:rsidRPr="002D5EE2">
        <w:rPr>
          <w:noProof/>
        </w:rPr>
        <w:t>2.</w:t>
      </w:r>
      <w:r w:rsidRPr="002D5EE2">
        <w:rPr>
          <w:noProof/>
        </w:rPr>
        <w:tab/>
        <w:t>LEGAL BASIS, SUBSIDIARITY AND PROPORTIONALITY</w:t>
      </w:r>
    </w:p>
    <w:p w:rsidR="00E66492" w:rsidRPr="002D5EE2" w:rsidRDefault="00E66492"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7C112C" w:rsidRPr="00AA242C" w:rsidRDefault="007C112C" w:rsidP="007C112C">
      <w:pPr>
        <w:pBdr>
          <w:top w:val="nil"/>
          <w:left w:val="nil"/>
          <w:bottom w:val="nil"/>
          <w:right w:val="nil"/>
          <w:between w:val="nil"/>
          <w:bar w:val="nil"/>
        </w:pBdr>
        <w:spacing w:before="0" w:after="240"/>
        <w:rPr>
          <w:noProof/>
        </w:rPr>
      </w:pPr>
      <w:r w:rsidRPr="00AA242C">
        <w:rPr>
          <w:noProof/>
        </w:rPr>
        <w:t>The procedural legal basis for the proposed Council Decision is Article 218(9) TFEU, which is the appropriate basis for an act defining the position of the European Union in relation to an international agreement, in this case the Stockholm Convention.</w:t>
      </w:r>
    </w:p>
    <w:p w:rsidR="007C112C" w:rsidRPr="009D32F9" w:rsidRDefault="007C112C" w:rsidP="007C112C">
      <w:pPr>
        <w:pBdr>
          <w:top w:val="nil"/>
          <w:left w:val="nil"/>
          <w:bottom w:val="nil"/>
          <w:right w:val="nil"/>
          <w:between w:val="nil"/>
          <w:bar w:val="nil"/>
        </w:pBdr>
        <w:spacing w:before="0" w:after="240"/>
        <w:rPr>
          <w:rFonts w:eastAsia="Arial Unicode MS"/>
          <w:noProof/>
        </w:rPr>
      </w:pPr>
      <w:r w:rsidRPr="00AA242C">
        <w:rPr>
          <w:noProof/>
        </w:rPr>
        <w:t xml:space="preserve">The substantive legal basis is Article 192 of the TFEU, paragraph 1, given that the measures agreed under the Stockholm Convention predominantly pursue an environmental objective (i.e. </w:t>
      </w:r>
      <w:r>
        <w:rPr>
          <w:noProof/>
        </w:rPr>
        <w:t xml:space="preserve">control </w:t>
      </w:r>
      <w:r w:rsidRPr="00AA242C">
        <w:rPr>
          <w:noProof/>
        </w:rPr>
        <w:t>of persistent organic pollutants).</w:t>
      </w:r>
    </w:p>
    <w:p w:rsidR="00E66492" w:rsidRPr="002D5EE2" w:rsidRDefault="00E66492"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7C112C" w:rsidRPr="009D32F9" w:rsidRDefault="007C112C" w:rsidP="007C112C">
      <w:pPr>
        <w:pBdr>
          <w:top w:val="nil"/>
          <w:left w:val="nil"/>
          <w:bottom w:val="nil"/>
          <w:right w:val="nil"/>
          <w:between w:val="nil"/>
          <w:bar w:val="nil"/>
        </w:pBdr>
        <w:spacing w:before="0" w:after="240"/>
        <w:rPr>
          <w:rFonts w:eastAsia="Arial Unicode MS"/>
          <w:noProof/>
        </w:rPr>
      </w:pPr>
      <w:r w:rsidRPr="00AA242C">
        <w:rPr>
          <w:noProof/>
        </w:rPr>
        <w:t>Persistent organic pollutants are of global concern and the Stockholm Convention is implemented in the Union by Regulation (E</w:t>
      </w:r>
      <w:r>
        <w:rPr>
          <w:noProof/>
        </w:rPr>
        <w:t>U</w:t>
      </w:r>
      <w:r w:rsidRPr="00AA242C">
        <w:rPr>
          <w:noProof/>
        </w:rPr>
        <w:t xml:space="preserve">) </w:t>
      </w:r>
      <w:r>
        <w:rPr>
          <w:noProof/>
        </w:rPr>
        <w:t>2019/1021</w:t>
      </w:r>
      <w:r w:rsidRPr="00AA242C">
        <w:rPr>
          <w:noProof/>
        </w:rPr>
        <w:t>. Since the Union is a Party to the Convention, it is appropriate that the nomination of a new chemical is done by the Union.</w:t>
      </w:r>
    </w:p>
    <w:p w:rsidR="00E66492" w:rsidRDefault="00E6649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38274B" w:rsidRPr="009D32F9" w:rsidRDefault="0038274B" w:rsidP="0038274B">
      <w:pPr>
        <w:pBdr>
          <w:top w:val="nil"/>
          <w:left w:val="nil"/>
          <w:bottom w:val="nil"/>
          <w:right w:val="nil"/>
          <w:between w:val="nil"/>
          <w:bar w:val="nil"/>
        </w:pBdr>
        <w:spacing w:before="0" w:after="240"/>
        <w:rPr>
          <w:rFonts w:eastAsia="Arial Unicode MS"/>
          <w:noProof/>
        </w:rPr>
      </w:pPr>
      <w:r w:rsidRPr="00AA242C">
        <w:rPr>
          <w:noProof/>
        </w:rPr>
        <w:t>Persistent organic pollutants are of global concern and the Stockholm Convention aims at eliminating the production and use of those chemicals. Therefore, it is proportionate to propose th</w:t>
      </w:r>
      <w:r>
        <w:rPr>
          <w:noProof/>
        </w:rPr>
        <w:t>ose</w:t>
      </w:r>
      <w:r w:rsidRPr="00AA242C">
        <w:rPr>
          <w:noProof/>
        </w:rPr>
        <w:t xml:space="preserve"> chemical</w:t>
      </w:r>
      <w:r>
        <w:rPr>
          <w:noProof/>
        </w:rPr>
        <w:t>s</w:t>
      </w:r>
      <w:r w:rsidRPr="00AA242C">
        <w:rPr>
          <w:noProof/>
        </w:rPr>
        <w:t xml:space="preserve"> to the Convention to ensure that appropriate action is taken at global level.</w:t>
      </w:r>
    </w:p>
    <w:p w:rsidR="00E66492" w:rsidRDefault="00E6649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E66492" w:rsidRPr="0038274B" w:rsidRDefault="0038274B" w:rsidP="00550536">
      <w:pPr>
        <w:pBdr>
          <w:top w:val="nil"/>
          <w:left w:val="nil"/>
          <w:bottom w:val="nil"/>
          <w:right w:val="nil"/>
          <w:between w:val="nil"/>
          <w:bar w:val="nil"/>
        </w:pBdr>
        <w:spacing w:before="0" w:after="240"/>
        <w:rPr>
          <w:noProof/>
        </w:rPr>
      </w:pPr>
      <w:r w:rsidRPr="0038274B">
        <w:rPr>
          <w:noProof/>
        </w:rPr>
        <w:t>The</w:t>
      </w:r>
      <w:r>
        <w:rPr>
          <w:noProof/>
        </w:rPr>
        <w:t xml:space="preserve"> Stockholm Convention is the only instrument available to restrict globally persistent organic pollutants.</w:t>
      </w:r>
      <w:r w:rsidRPr="0038274B">
        <w:rPr>
          <w:noProof/>
        </w:rPr>
        <w:t xml:space="preserve"> </w:t>
      </w:r>
    </w:p>
    <w:p w:rsidR="00E66492" w:rsidRPr="00550536" w:rsidRDefault="00E66492" w:rsidP="00550536">
      <w:pPr>
        <w:pStyle w:val="ManualHeading1"/>
        <w:rPr>
          <w:noProof/>
        </w:rPr>
      </w:pPr>
      <w:r w:rsidRPr="00550536">
        <w:rPr>
          <w:noProof/>
        </w:rPr>
        <w:t>3.</w:t>
      </w:r>
      <w:r w:rsidRPr="00550536">
        <w:rPr>
          <w:noProof/>
        </w:rPr>
        <w:tab/>
        <w:t>RESULTS OF EX-POST EVALUATIONS, STAKEHOLDER CONSULTATIONS AND IMPACT ASSESSMENTS</w:t>
      </w:r>
    </w:p>
    <w:p w:rsidR="00E66492" w:rsidRPr="00044058" w:rsidRDefault="00E66492" w:rsidP="0038274B">
      <w:pPr>
        <w:pStyle w:val="ManualHeading2"/>
        <w:rPr>
          <w:rFonts w:eastAsia="Arial Unicode MS"/>
          <w:noProof/>
        </w:rPr>
      </w:pPr>
    </w:p>
    <w:p w:rsidR="00E66492" w:rsidRDefault="00E6649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BF3284" w:rsidRDefault="0038274B" w:rsidP="00BF3284">
      <w:pPr>
        <w:rPr>
          <w:noProof/>
        </w:rPr>
      </w:pPr>
      <w:r w:rsidRPr="00AA242C">
        <w:rPr>
          <w:noProof/>
        </w:rPr>
        <w:t xml:space="preserve">The proposal was </w:t>
      </w:r>
      <w:r>
        <w:rPr>
          <w:noProof/>
        </w:rPr>
        <w:t>discusse</w:t>
      </w:r>
      <w:r w:rsidRPr="00AA242C">
        <w:rPr>
          <w:noProof/>
        </w:rPr>
        <w:t xml:space="preserve">d with the Member States and other stakeholders in </w:t>
      </w:r>
      <w:r>
        <w:rPr>
          <w:noProof/>
        </w:rPr>
        <w:t xml:space="preserve">the </w:t>
      </w:r>
      <w:r w:rsidRPr="00AA242C">
        <w:rPr>
          <w:noProof/>
        </w:rPr>
        <w:t>meeting</w:t>
      </w:r>
      <w:r>
        <w:rPr>
          <w:noProof/>
        </w:rPr>
        <w:t>s</w:t>
      </w:r>
      <w:r w:rsidRPr="00AA242C">
        <w:rPr>
          <w:noProof/>
        </w:rPr>
        <w:t xml:space="preserve"> of the </w:t>
      </w:r>
      <w:r>
        <w:rPr>
          <w:noProof/>
        </w:rPr>
        <w:t>Competent Authorities for Regulation (EU) 2019/1021. It was subject to a public consultation from 1</w:t>
      </w:r>
      <w:r w:rsidR="00BD0286">
        <w:rPr>
          <w:noProof/>
        </w:rPr>
        <w:t>8</w:t>
      </w:r>
      <w:r>
        <w:rPr>
          <w:noProof/>
        </w:rPr>
        <w:t xml:space="preserve"> June to 1</w:t>
      </w:r>
      <w:r w:rsidR="00BD0286">
        <w:rPr>
          <w:noProof/>
        </w:rPr>
        <w:t>3</w:t>
      </w:r>
      <w:r>
        <w:rPr>
          <w:noProof/>
        </w:rPr>
        <w:t xml:space="preserve"> August 202</w:t>
      </w:r>
      <w:r w:rsidR="00BD0286">
        <w:rPr>
          <w:noProof/>
        </w:rPr>
        <w:t>5</w:t>
      </w:r>
      <w:r>
        <w:rPr>
          <w:noProof/>
        </w:rPr>
        <w:t xml:space="preserve"> </w:t>
      </w:r>
      <w:r w:rsidRPr="00AA242C">
        <w:rPr>
          <w:noProof/>
        </w:rPr>
        <w:t>and the comments received were addressed.</w:t>
      </w:r>
    </w:p>
    <w:p w:rsidR="0038274B" w:rsidRPr="000F7982" w:rsidRDefault="00BF3284" w:rsidP="00BF3284">
      <w:pPr>
        <w:rPr>
          <w:noProof/>
        </w:rPr>
      </w:pPr>
      <w:r w:rsidRPr="00BF3284">
        <w:rPr>
          <w:noProof/>
        </w:rPr>
        <w:t xml:space="preserve">The comments received did not change the overall conclusion for TBPH. The persistence and bioaccumulation sections </w:t>
      </w:r>
      <w:r>
        <w:rPr>
          <w:noProof/>
        </w:rPr>
        <w:t>was</w:t>
      </w:r>
      <w:r w:rsidRPr="00BF3284">
        <w:rPr>
          <w:noProof/>
        </w:rPr>
        <w:t xml:space="preserve"> </w:t>
      </w:r>
      <w:r>
        <w:rPr>
          <w:noProof/>
        </w:rPr>
        <w:t>extended by</w:t>
      </w:r>
      <w:r w:rsidRPr="00BF3284">
        <w:rPr>
          <w:noProof/>
        </w:rPr>
        <w:t xml:space="preserve"> including more detailed </w:t>
      </w:r>
      <w:r>
        <w:rPr>
          <w:noProof/>
        </w:rPr>
        <w:t xml:space="preserve">and updated </w:t>
      </w:r>
      <w:r w:rsidRPr="00BF3284">
        <w:rPr>
          <w:noProof/>
        </w:rPr>
        <w:t xml:space="preserve">information </w:t>
      </w:r>
      <w:r>
        <w:rPr>
          <w:noProof/>
        </w:rPr>
        <w:t>from scientific studies</w:t>
      </w:r>
      <w:r w:rsidRPr="00BF3284">
        <w:rPr>
          <w:noProof/>
        </w:rPr>
        <w:t xml:space="preserve">. The adverse effect section </w:t>
      </w:r>
      <w:r>
        <w:rPr>
          <w:noProof/>
        </w:rPr>
        <w:t>was</w:t>
      </w:r>
      <w:r w:rsidRPr="00BF3284">
        <w:rPr>
          <w:noProof/>
        </w:rPr>
        <w:t xml:space="preserve"> extensively updated, including more detailed information on the </w:t>
      </w:r>
      <w:r w:rsidR="001B135F">
        <w:rPr>
          <w:noProof/>
        </w:rPr>
        <w:t xml:space="preserve">studies </w:t>
      </w:r>
      <w:r>
        <w:rPr>
          <w:noProof/>
        </w:rPr>
        <w:t xml:space="preserve">already assessed </w:t>
      </w:r>
      <w:r w:rsidR="001B135F">
        <w:rPr>
          <w:noProof/>
        </w:rPr>
        <w:t xml:space="preserve">by </w:t>
      </w:r>
      <w:r w:rsidR="005964DE">
        <w:rPr>
          <w:noProof/>
        </w:rPr>
        <w:t xml:space="preserve">the European Chemical Agency </w:t>
      </w:r>
      <w:r w:rsidR="001B135F">
        <w:rPr>
          <w:noProof/>
        </w:rPr>
        <w:t xml:space="preserve">in the </w:t>
      </w:r>
      <w:r w:rsidR="005964DE">
        <w:rPr>
          <w:noProof/>
        </w:rPr>
        <w:t xml:space="preserve">draft dossier </w:t>
      </w:r>
      <w:r w:rsidRPr="00BF3284">
        <w:rPr>
          <w:noProof/>
        </w:rPr>
        <w:t xml:space="preserve">and new information from </w:t>
      </w:r>
      <w:r w:rsidR="005964DE">
        <w:rPr>
          <w:noProof/>
        </w:rPr>
        <w:t xml:space="preserve">recent </w:t>
      </w:r>
      <w:r>
        <w:rPr>
          <w:noProof/>
        </w:rPr>
        <w:t>studies</w:t>
      </w:r>
      <w:r w:rsidRPr="00BF3284">
        <w:rPr>
          <w:noProof/>
        </w:rPr>
        <w:t>. Based on the existing data, the screening criteria in Annex D of the Stockholm Convention for persistence, bioaccumulation, long-range transport and adverse effects are considered to be met for TBPH.</w:t>
      </w:r>
      <w:r w:rsidR="00770CFB">
        <w:rPr>
          <w:noProof/>
        </w:rPr>
        <w:t xml:space="preserve"> </w:t>
      </w:r>
      <w:bookmarkStart w:id="2" w:name="_Hlk212477276"/>
      <w:r w:rsidR="00770CFB">
        <w:rPr>
          <w:noProof/>
        </w:rPr>
        <w:t xml:space="preserve">Some comments indicated that the substance </w:t>
      </w:r>
      <w:r w:rsidR="00691092">
        <w:rPr>
          <w:noProof/>
        </w:rPr>
        <w:t xml:space="preserve">is </w:t>
      </w:r>
      <w:r w:rsidR="00770CFB">
        <w:rPr>
          <w:noProof/>
        </w:rPr>
        <w:t xml:space="preserve">not used in the EU. However, as it is likely used outside the EU, it can be present in </w:t>
      </w:r>
      <w:r w:rsidR="00691092">
        <w:rPr>
          <w:noProof/>
        </w:rPr>
        <w:t xml:space="preserve">some </w:t>
      </w:r>
      <w:r w:rsidR="00770CFB">
        <w:rPr>
          <w:noProof/>
        </w:rPr>
        <w:t>imported products.</w:t>
      </w:r>
      <w:bookmarkEnd w:id="2"/>
    </w:p>
    <w:p w:rsidR="00E66492" w:rsidRDefault="00E6649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t>Impact assessment</w:t>
      </w:r>
    </w:p>
    <w:p w:rsidR="00E0477A" w:rsidRDefault="00ED1F33" w:rsidP="00BD0286">
      <w:pPr>
        <w:pBdr>
          <w:top w:val="nil"/>
          <w:left w:val="nil"/>
          <w:bottom w:val="nil"/>
          <w:right w:val="nil"/>
          <w:between w:val="nil"/>
          <w:bar w:val="nil"/>
        </w:pBdr>
        <w:spacing w:before="0" w:after="240"/>
        <w:rPr>
          <w:noProof/>
        </w:rPr>
      </w:pPr>
      <w:r>
        <w:rPr>
          <w:noProof/>
        </w:rPr>
        <w:t>The decision to nominate TBPH</w:t>
      </w:r>
      <w:r w:rsidR="00BD0286" w:rsidRPr="00AA242C">
        <w:rPr>
          <w:noProof/>
        </w:rPr>
        <w:t xml:space="preserve"> </w:t>
      </w:r>
      <w:r w:rsidR="00BD0286">
        <w:rPr>
          <w:noProof/>
        </w:rPr>
        <w:t>will have no impacts on the EU</w:t>
      </w:r>
      <w:r w:rsidR="00CC6C09">
        <w:rPr>
          <w:noProof/>
        </w:rPr>
        <w:t>,</w:t>
      </w:r>
      <w:r w:rsidR="00BD0286">
        <w:rPr>
          <w:noProof/>
        </w:rPr>
        <w:t xml:space="preserve"> as the act alone </w:t>
      </w:r>
      <w:r w:rsidR="00562525">
        <w:rPr>
          <w:noProof/>
        </w:rPr>
        <w:t xml:space="preserve">only </w:t>
      </w:r>
      <w:r w:rsidR="00BD0286">
        <w:rPr>
          <w:noProof/>
        </w:rPr>
        <w:t>gives authority for the Union to propose TBPH for listing as POP substances under the Stockholm Convention</w:t>
      </w:r>
      <w:r w:rsidR="00E0477A">
        <w:rPr>
          <w:noProof/>
        </w:rPr>
        <w:t xml:space="preserve"> on the basis of its hazard properties</w:t>
      </w:r>
      <w:r w:rsidR="00BD0286">
        <w:rPr>
          <w:noProof/>
        </w:rPr>
        <w:t xml:space="preserve">. </w:t>
      </w:r>
      <w:r>
        <w:rPr>
          <w:noProof/>
        </w:rPr>
        <w:t xml:space="preserve">The possible scope of any future restriction or ban and the assessment of </w:t>
      </w:r>
      <w:r w:rsidR="00E0477A">
        <w:rPr>
          <w:noProof/>
        </w:rPr>
        <w:t xml:space="preserve">impacts will be </w:t>
      </w:r>
      <w:r>
        <w:rPr>
          <w:noProof/>
        </w:rPr>
        <w:t xml:space="preserve">done </w:t>
      </w:r>
      <w:r w:rsidR="00E0477A">
        <w:rPr>
          <w:noProof/>
        </w:rPr>
        <w:t xml:space="preserve">during the Stockholm Convention process and </w:t>
      </w:r>
      <w:r>
        <w:rPr>
          <w:noProof/>
        </w:rPr>
        <w:t xml:space="preserve">by ECHA in </w:t>
      </w:r>
      <w:r w:rsidR="00E0477A">
        <w:rPr>
          <w:noProof/>
        </w:rPr>
        <w:t>the parallel REACH restriction process.</w:t>
      </w:r>
    </w:p>
    <w:p w:rsidR="00BD0286" w:rsidRDefault="00BD0286" w:rsidP="00BD0286">
      <w:pPr>
        <w:pBdr>
          <w:top w:val="nil"/>
          <w:left w:val="nil"/>
          <w:bottom w:val="nil"/>
          <w:right w:val="nil"/>
          <w:between w:val="nil"/>
          <w:bar w:val="nil"/>
        </w:pBdr>
        <w:spacing w:before="0" w:after="240"/>
        <w:rPr>
          <w:noProof/>
        </w:rPr>
      </w:pPr>
      <w:r>
        <w:rPr>
          <w:noProof/>
        </w:rPr>
        <w:t>Any possible listing in Annex A or B to the Stockholm Convention can only be decided by the Conference of the Parties (COP), expected to take place in 202</w:t>
      </w:r>
      <w:r w:rsidR="00CC6C09">
        <w:rPr>
          <w:noProof/>
        </w:rPr>
        <w:t>9</w:t>
      </w:r>
      <w:r>
        <w:rPr>
          <w:noProof/>
        </w:rPr>
        <w:t xml:space="preserve"> at the earliest. The Union is a Party to the Convention and the EU’s position to be adopted at the COP will be established by a Council Decision</w:t>
      </w:r>
      <w:r w:rsidR="00ED1F33">
        <w:rPr>
          <w:noProof/>
        </w:rPr>
        <w:t>. This Council Decision will be</w:t>
      </w:r>
      <w:r>
        <w:rPr>
          <w:noProof/>
        </w:rPr>
        <w:t xml:space="preserve"> based on a proposal by the Commission</w:t>
      </w:r>
      <w:r w:rsidR="00ED1F33">
        <w:rPr>
          <w:noProof/>
        </w:rPr>
        <w:t xml:space="preserve"> prior to the COP in 2029 and will consider the exact proposal for a restriction proposed by the Convention bodies and the EU REACH restriction process</w:t>
      </w:r>
      <w:r>
        <w:rPr>
          <w:noProof/>
        </w:rPr>
        <w:t xml:space="preserve">. Without prejudice to the procedures in place, the EU would normally adopt a position to negotiate a listing that is in conformity with EU policies and legislation. </w:t>
      </w:r>
      <w:r w:rsidR="00CC6C09">
        <w:rPr>
          <w:noProof/>
        </w:rPr>
        <w:t xml:space="preserve">This will include the </w:t>
      </w:r>
      <w:r w:rsidR="00E0477A">
        <w:rPr>
          <w:noProof/>
        </w:rPr>
        <w:t xml:space="preserve">EU relevant </w:t>
      </w:r>
      <w:r w:rsidR="00CC6C09">
        <w:rPr>
          <w:noProof/>
        </w:rPr>
        <w:t>information generated during the REACH restriction process</w:t>
      </w:r>
      <w:r w:rsidR="00E0477A">
        <w:rPr>
          <w:noProof/>
        </w:rPr>
        <w:t>, including the need for specific exemptions</w:t>
      </w:r>
      <w:r w:rsidR="00CC6C09">
        <w:rPr>
          <w:noProof/>
        </w:rPr>
        <w:t>.</w:t>
      </w:r>
      <w:r w:rsidR="00E0477A">
        <w:rPr>
          <w:noProof/>
        </w:rPr>
        <w:t xml:space="preserve"> </w:t>
      </w:r>
      <w:r w:rsidR="00E0477A" w:rsidRPr="00E0477A">
        <w:rPr>
          <w:noProof/>
        </w:rPr>
        <w:t xml:space="preserve">It will be possible to propose exemptions for the uses of TBPH for which substitution would be very difficult or too expensive. </w:t>
      </w:r>
      <w:r w:rsidR="00562525">
        <w:rPr>
          <w:noProof/>
        </w:rPr>
        <w:t xml:space="preserve">In </w:t>
      </w:r>
      <w:r w:rsidR="00562525">
        <w:rPr>
          <w:noProof/>
          <w:lang w:val="en-US"/>
        </w:rPr>
        <w:t xml:space="preserve">addition, </w:t>
      </w:r>
      <w:r w:rsidR="00562525">
        <w:rPr>
          <w:noProof/>
        </w:rPr>
        <w:t>t</w:t>
      </w:r>
      <w:r w:rsidR="00E0477A" w:rsidRPr="00E0477A">
        <w:rPr>
          <w:noProof/>
        </w:rPr>
        <w:t>he EU could still retract the proposal during the scientific discussion in the Stockholm Convention, not support the listing at the Conference of the Parties or opt-out from the listing, should the impacts be too high.</w:t>
      </w:r>
    </w:p>
    <w:p w:rsidR="00E66492" w:rsidRDefault="00E6649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BD0286" w:rsidRPr="004D7FB5" w:rsidRDefault="00BD0286" w:rsidP="00BD0286">
      <w:pPr>
        <w:pStyle w:val="ManualHeading1"/>
        <w:ind w:left="0" w:firstLine="0"/>
        <w:rPr>
          <w:b w:val="0"/>
          <w:smallCaps w:val="0"/>
          <w:noProof/>
          <w:lang w:val="en-IE"/>
        </w:rPr>
      </w:pPr>
      <w:bookmarkStart w:id="3" w:name="_Hlk150266126"/>
      <w:r w:rsidRPr="004D7FB5">
        <w:rPr>
          <w:b w:val="0"/>
          <w:smallCaps w:val="0"/>
          <w:noProof/>
          <w:lang w:val="en-IE"/>
        </w:rPr>
        <w:t xml:space="preserve">The decision to </w:t>
      </w:r>
      <w:r>
        <w:rPr>
          <w:b w:val="0"/>
          <w:smallCaps w:val="0"/>
          <w:noProof/>
          <w:lang w:val="en-IE"/>
        </w:rPr>
        <w:t xml:space="preserve">propose </w:t>
      </w:r>
      <w:r w:rsidR="00CC6C09">
        <w:rPr>
          <w:b w:val="0"/>
          <w:smallCaps w:val="0"/>
          <w:noProof/>
          <w:lang w:val="en-IE"/>
        </w:rPr>
        <w:t>TBPH</w:t>
      </w:r>
      <w:r w:rsidRPr="004D7FB5">
        <w:rPr>
          <w:b w:val="0"/>
          <w:smallCaps w:val="0"/>
          <w:noProof/>
          <w:lang w:val="en-IE"/>
        </w:rPr>
        <w:t xml:space="preserve"> </w:t>
      </w:r>
      <w:r>
        <w:rPr>
          <w:b w:val="0"/>
          <w:smallCaps w:val="0"/>
          <w:noProof/>
          <w:lang w:val="en-IE"/>
        </w:rPr>
        <w:t xml:space="preserve">for listing </w:t>
      </w:r>
      <w:r w:rsidRPr="004D7FB5">
        <w:rPr>
          <w:b w:val="0"/>
          <w:smallCaps w:val="0"/>
          <w:noProof/>
          <w:lang w:val="en-IE"/>
        </w:rPr>
        <w:t xml:space="preserve">as POP </w:t>
      </w:r>
      <w:r w:rsidR="00CC6C09">
        <w:rPr>
          <w:b w:val="0"/>
          <w:smallCaps w:val="0"/>
          <w:noProof/>
          <w:lang w:val="en-IE"/>
        </w:rPr>
        <w:t>under</w:t>
      </w:r>
      <w:r w:rsidRPr="004D7FB5">
        <w:rPr>
          <w:b w:val="0"/>
          <w:smallCaps w:val="0"/>
          <w:noProof/>
          <w:lang w:val="en-IE"/>
        </w:rPr>
        <w:t xml:space="preserve"> the Stockholm</w:t>
      </w:r>
      <w:r>
        <w:rPr>
          <w:b w:val="0"/>
          <w:smallCaps w:val="0"/>
          <w:noProof/>
          <w:lang w:val="en-IE"/>
        </w:rPr>
        <w:t xml:space="preserve"> </w:t>
      </w:r>
      <w:r w:rsidRPr="004D7FB5">
        <w:rPr>
          <w:b w:val="0"/>
          <w:smallCaps w:val="0"/>
          <w:noProof/>
          <w:lang w:val="en-IE"/>
        </w:rPr>
        <w:t xml:space="preserve">Convention has no regulatory fitness and simplification effects. </w:t>
      </w:r>
      <w:bookmarkEnd w:id="3"/>
    </w:p>
    <w:p w:rsidR="00E66492" w:rsidRDefault="00E6649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E66492" w:rsidRPr="00CC0273" w:rsidRDefault="00CC0273" w:rsidP="00550536">
      <w:pPr>
        <w:pBdr>
          <w:top w:val="nil"/>
          <w:left w:val="nil"/>
          <w:bottom w:val="nil"/>
          <w:right w:val="nil"/>
          <w:between w:val="nil"/>
          <w:bar w:val="nil"/>
        </w:pBdr>
        <w:spacing w:before="0" w:after="240"/>
        <w:rPr>
          <w:noProof/>
          <w:lang w:val="en-IE"/>
        </w:rPr>
      </w:pPr>
      <w:r w:rsidRPr="00CC0273">
        <w:rPr>
          <w:noProof/>
          <w:lang w:val="en-IE"/>
        </w:rPr>
        <w:t>The proposal has no consequences for the protection of fundamental rights.</w:t>
      </w:r>
    </w:p>
    <w:p w:rsidR="00E66492" w:rsidRDefault="00E66492" w:rsidP="00550536">
      <w:pPr>
        <w:pStyle w:val="ManualHeading1"/>
        <w:rPr>
          <w:noProof/>
        </w:rPr>
      </w:pPr>
      <w:r w:rsidRPr="00550536">
        <w:rPr>
          <w:noProof/>
        </w:rPr>
        <w:t>4.</w:t>
      </w:r>
      <w:r w:rsidRPr="00550536">
        <w:rPr>
          <w:noProof/>
        </w:rPr>
        <w:tab/>
        <w:t>BUDGETARY IMPLICATIONS</w:t>
      </w:r>
    </w:p>
    <w:p w:rsidR="00CC0273" w:rsidRPr="009D32F9" w:rsidRDefault="00CC0273" w:rsidP="00CC0273">
      <w:pPr>
        <w:pBdr>
          <w:top w:val="nil"/>
          <w:left w:val="nil"/>
          <w:bottom w:val="nil"/>
          <w:right w:val="nil"/>
          <w:between w:val="nil"/>
          <w:bar w:val="nil"/>
        </w:pBdr>
        <w:spacing w:before="0" w:after="240"/>
        <w:rPr>
          <w:rFonts w:eastAsia="Arial Unicode MS"/>
          <w:noProof/>
        </w:rPr>
      </w:pPr>
      <w:r w:rsidRPr="00AA242C">
        <w:rPr>
          <w:noProof/>
        </w:rPr>
        <w:t>The proposal has no budgetary implications.</w:t>
      </w:r>
    </w:p>
    <w:p w:rsidR="00E66492" w:rsidRPr="00550536" w:rsidRDefault="00E66492" w:rsidP="00550536">
      <w:pPr>
        <w:pStyle w:val="ManualHeading1"/>
        <w:rPr>
          <w:noProof/>
        </w:rPr>
      </w:pPr>
      <w:r w:rsidRPr="00550536">
        <w:rPr>
          <w:noProof/>
        </w:rPr>
        <w:t>5.</w:t>
      </w:r>
      <w:r w:rsidRPr="00550536">
        <w:rPr>
          <w:noProof/>
        </w:rPr>
        <w:tab/>
        <w:t>OTHER ELEMENTS</w:t>
      </w:r>
    </w:p>
    <w:p w:rsidR="00E66492" w:rsidRDefault="00E66492"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CC0273" w:rsidRPr="00550536" w:rsidRDefault="00CC0273" w:rsidP="00CC0273">
      <w:pPr>
        <w:pBdr>
          <w:top w:val="nil"/>
          <w:left w:val="nil"/>
          <w:bottom w:val="nil"/>
          <w:right w:val="nil"/>
          <w:between w:val="nil"/>
          <w:bar w:val="nil"/>
        </w:pBdr>
        <w:spacing w:before="0" w:after="240"/>
        <w:rPr>
          <w:rFonts w:eastAsia="Arial Unicode MS"/>
          <w:noProof/>
        </w:rPr>
      </w:pPr>
      <w:r w:rsidRPr="00AA242C">
        <w:rPr>
          <w:noProof/>
        </w:rPr>
        <w:t>An implementation plan, monitoring, evaluation and reporting are not deemed necessary.</w:t>
      </w:r>
    </w:p>
    <w:p w:rsidR="00E66492" w:rsidRDefault="00E66492"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CC0273" w:rsidRPr="009D32F9" w:rsidRDefault="00CC0273" w:rsidP="00CC0273">
      <w:pPr>
        <w:pBdr>
          <w:top w:val="nil"/>
          <w:left w:val="nil"/>
          <w:bottom w:val="nil"/>
          <w:right w:val="nil"/>
          <w:between w:val="nil"/>
          <w:bar w:val="nil"/>
        </w:pBdr>
        <w:spacing w:before="0" w:after="240"/>
        <w:rPr>
          <w:rFonts w:eastAsia="Arial Unicode MS"/>
          <w:noProof/>
        </w:rPr>
      </w:pPr>
      <w:r w:rsidRPr="00AA242C">
        <w:rPr>
          <w:noProof/>
        </w:rPr>
        <w:t xml:space="preserve">The proposal gives the Commission the mandate to </w:t>
      </w:r>
      <w:r>
        <w:rPr>
          <w:noProof/>
        </w:rPr>
        <w:t>propose the listing of TBPH</w:t>
      </w:r>
      <w:r w:rsidRPr="00AA242C">
        <w:rPr>
          <w:noProof/>
        </w:rPr>
        <w:t xml:space="preserve"> </w:t>
      </w:r>
      <w:r>
        <w:rPr>
          <w:noProof/>
        </w:rPr>
        <w:t>in</w:t>
      </w:r>
      <w:r w:rsidRPr="00AA242C">
        <w:rPr>
          <w:noProof/>
        </w:rPr>
        <w:t xml:space="preserve"> the Stockholm Convention on behalf of the European Union.</w:t>
      </w:r>
    </w:p>
    <w:p w:rsidR="00E66492" w:rsidRPr="00FD40BA" w:rsidRDefault="00E66492" w:rsidP="00FD40BA">
      <w:pPr>
        <w:rPr>
          <w:noProof/>
        </w:rPr>
        <w:sectPr w:rsidR="00E66492" w:rsidRPr="00FD40BA" w:rsidSect="00C2692C">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pgNumType w:start="1"/>
          <w:cols w:space="708"/>
          <w:docGrid w:linePitch="360"/>
        </w:sectPr>
      </w:pPr>
    </w:p>
    <w:p w:rsidR="0035426D" w:rsidRDefault="00F57E30">
      <w:pPr>
        <w:pStyle w:val="Rfrenceinterinstitutionnelle"/>
        <w:rPr>
          <w:noProof/>
        </w:rPr>
      </w:pPr>
      <w:r>
        <w:rPr>
          <w:noProof/>
        </w:rPr>
        <w:lastRenderedPageBreak/>
        <w:t>2026/0029 (NLE)</w:t>
      </w:r>
    </w:p>
    <w:p w:rsidR="00E66492" w:rsidRPr="00FD40BA" w:rsidRDefault="00542D9E" w:rsidP="00542D9E">
      <w:pPr>
        <w:pStyle w:val="Statut"/>
        <w:rPr>
          <w:noProof/>
        </w:rPr>
      </w:pPr>
      <w:r w:rsidRPr="00542D9E">
        <w:rPr>
          <w:noProof/>
        </w:rPr>
        <w:t>Proposal for a</w:t>
      </w:r>
    </w:p>
    <w:p w:rsidR="00E66492" w:rsidRPr="00FD40BA" w:rsidRDefault="00542D9E" w:rsidP="00542D9E">
      <w:pPr>
        <w:pStyle w:val="Typedudocument"/>
        <w:rPr>
          <w:noProof/>
        </w:rPr>
      </w:pPr>
      <w:r w:rsidRPr="00542D9E">
        <w:rPr>
          <w:noProof/>
        </w:rPr>
        <w:t>COUNCIL DECISION</w:t>
      </w:r>
    </w:p>
    <w:p w:rsidR="00E66492" w:rsidRPr="00FD40BA" w:rsidRDefault="00542D9E" w:rsidP="00542D9E">
      <w:pPr>
        <w:pStyle w:val="Titreobjet"/>
        <w:rPr>
          <w:noProof/>
        </w:rPr>
      </w:pPr>
      <w:r w:rsidRPr="00542D9E">
        <w:rPr>
          <w:noProof/>
        </w:rPr>
        <w:t>on the submission, on behalf of the European Union, of a proposal for the listing of TBPH in Annex A or Annex B to the Stockholm Convention on Persistent Organic Pollutants</w:t>
      </w:r>
    </w:p>
    <w:p w:rsidR="00E66492" w:rsidRPr="00E66492" w:rsidRDefault="00542D9E" w:rsidP="00542D9E">
      <w:pPr>
        <w:pStyle w:val="IntrtEEE"/>
        <w:rPr>
          <w:noProof/>
        </w:rPr>
      </w:pPr>
      <w:r w:rsidRPr="00542D9E">
        <w:rPr>
          <w:noProof/>
        </w:rPr>
        <w:t>(Text with EEA relevance)</w:t>
      </w:r>
    </w:p>
    <w:p w:rsidR="00E66492" w:rsidRPr="00FD40BA" w:rsidRDefault="00E66492" w:rsidP="00197315">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E66492" w:rsidRPr="00FD40BA" w:rsidRDefault="00E66492" w:rsidP="00197315">
      <w:pPr>
        <w:rPr>
          <w:noProof/>
        </w:rPr>
      </w:pPr>
      <w:r w:rsidRPr="00FD40BA">
        <w:rPr>
          <w:noProof/>
        </w:rPr>
        <w:t xml:space="preserve">Having regard to the Treaty on the Functioning of the European Union, and in particular Article </w:t>
      </w:r>
      <w:r w:rsidR="00CC0273" w:rsidRPr="007F29AA">
        <w:rPr>
          <w:noProof/>
        </w:rPr>
        <w:t>192(1), in conjunction with Article 218(9)</w:t>
      </w:r>
      <w:r w:rsidR="00CC0273">
        <w:rPr>
          <w:noProof/>
        </w:rPr>
        <w:t xml:space="preserve"> </w:t>
      </w:r>
      <w:r w:rsidRPr="00FD40BA">
        <w:rPr>
          <w:noProof/>
        </w:rPr>
        <w:t>thereof,</w:t>
      </w:r>
    </w:p>
    <w:p w:rsidR="00E66492" w:rsidRPr="00FD40BA" w:rsidRDefault="00E66492" w:rsidP="00197315">
      <w:pPr>
        <w:rPr>
          <w:noProof/>
        </w:rPr>
      </w:pPr>
      <w:r w:rsidRPr="00FD40BA">
        <w:rPr>
          <w:noProof/>
        </w:rPr>
        <w:t>Having regard to the proposal from the European Commission,</w:t>
      </w:r>
    </w:p>
    <w:p w:rsidR="00E66492" w:rsidRPr="00FD40BA" w:rsidRDefault="00E66492" w:rsidP="00197315">
      <w:pPr>
        <w:rPr>
          <w:noProof/>
        </w:rPr>
      </w:pPr>
      <w:r w:rsidRPr="00FD40BA">
        <w:rPr>
          <w:noProof/>
        </w:rPr>
        <w:t>Whereas:</w:t>
      </w:r>
    </w:p>
    <w:p w:rsidR="00E66492" w:rsidRDefault="006267BC" w:rsidP="00DB41BA">
      <w:pPr>
        <w:pStyle w:val="ManualConsidrant"/>
        <w:rPr>
          <w:noProof/>
        </w:rPr>
      </w:pPr>
      <w:r>
        <w:rPr>
          <w:noProof/>
        </w:rPr>
        <w:t>(1)</w:t>
      </w:r>
      <w:r>
        <w:rPr>
          <w:noProof/>
        </w:rPr>
        <w:tab/>
      </w:r>
      <w:r>
        <w:rPr>
          <w:rFonts w:eastAsia="Calibri"/>
          <w:noProof/>
          <w:szCs w:val="24"/>
          <w:lang w:eastAsia="en-GB"/>
        </w:rPr>
        <w:t>T</w:t>
      </w:r>
      <w:r w:rsidR="00CC0273" w:rsidRPr="00304616">
        <w:rPr>
          <w:rFonts w:eastAsia="Calibri"/>
          <w:noProof/>
          <w:szCs w:val="24"/>
          <w:lang w:eastAsia="en-GB"/>
        </w:rPr>
        <w:t xml:space="preserve">he Stockholm Convention on Persistent Organic Pollutants  </w:t>
      </w:r>
      <w:r w:rsidR="00230CFA">
        <w:rPr>
          <w:rFonts w:eastAsia="Calibri"/>
          <w:noProof/>
          <w:szCs w:val="24"/>
          <w:lang w:eastAsia="en-GB"/>
        </w:rPr>
        <w:t>(‘the Covention</w:t>
      </w:r>
      <w:r w:rsidR="00C31831">
        <w:rPr>
          <w:rFonts w:eastAsia="Calibri"/>
          <w:noProof/>
          <w:szCs w:val="24"/>
          <w:lang w:eastAsia="en-GB"/>
        </w:rPr>
        <w:t>’</w:t>
      </w:r>
      <w:r w:rsidR="00230CFA">
        <w:rPr>
          <w:rFonts w:eastAsia="Calibri"/>
          <w:noProof/>
          <w:szCs w:val="24"/>
          <w:lang w:eastAsia="en-GB"/>
        </w:rPr>
        <w:t>)</w:t>
      </w:r>
      <w:r w:rsidR="00C31831">
        <w:rPr>
          <w:rFonts w:eastAsia="Calibri"/>
          <w:noProof/>
          <w:szCs w:val="24"/>
          <w:lang w:eastAsia="en-GB"/>
        </w:rPr>
        <w:t xml:space="preserve"> </w:t>
      </w:r>
      <w:r w:rsidR="00CC0273" w:rsidRPr="00304616">
        <w:rPr>
          <w:rFonts w:eastAsia="Calibri"/>
          <w:noProof/>
          <w:szCs w:val="24"/>
          <w:lang w:eastAsia="en-GB"/>
        </w:rPr>
        <w:t xml:space="preserve">was </w:t>
      </w:r>
      <w:r w:rsidR="00CC0273" w:rsidRPr="001E5739">
        <w:rPr>
          <w:rFonts w:eastAsia="Calibri"/>
          <w:noProof/>
          <w:szCs w:val="24"/>
          <w:lang w:eastAsia="en-GB"/>
        </w:rPr>
        <w:t>concluded by the E</w:t>
      </w:r>
      <w:r w:rsidR="00CC0273" w:rsidRPr="00304616">
        <w:rPr>
          <w:rFonts w:eastAsia="Calibri"/>
          <w:noProof/>
          <w:szCs w:val="24"/>
          <w:lang w:eastAsia="en-GB"/>
        </w:rPr>
        <w:t>uropean Community by Council Decision 2006/507/EC</w:t>
      </w:r>
      <w:r w:rsidR="00CC0273" w:rsidRPr="00304616">
        <w:rPr>
          <w:rStyle w:val="FootnoteReference"/>
          <w:noProof/>
        </w:rPr>
        <w:footnoteReference w:id="8"/>
      </w:r>
      <w:r w:rsidR="008513DA">
        <w:rPr>
          <w:rFonts w:eastAsia="Calibri"/>
          <w:noProof/>
          <w:szCs w:val="24"/>
          <w:lang w:eastAsia="en-GB"/>
        </w:rPr>
        <w:t>,</w:t>
      </w:r>
      <w:r w:rsidR="006827C1">
        <w:rPr>
          <w:noProof/>
        </w:rPr>
        <w:t xml:space="preserve"> </w:t>
      </w:r>
      <w:r w:rsidR="008513DA">
        <w:rPr>
          <w:noProof/>
        </w:rPr>
        <w:t xml:space="preserve">which </w:t>
      </w:r>
      <w:r w:rsidR="00424F29" w:rsidRPr="00CB0BA4">
        <w:rPr>
          <w:rFonts w:eastAsia="Arial Unicode MS"/>
          <w:noProof/>
        </w:rPr>
        <w:t>entered into force on 17 May 2004.</w:t>
      </w:r>
    </w:p>
    <w:p w:rsidR="00CC0273" w:rsidRDefault="00455F48" w:rsidP="006F4E5C">
      <w:pPr>
        <w:pStyle w:val="ManualConsidrant"/>
        <w:rPr>
          <w:noProof/>
        </w:rPr>
      </w:pPr>
      <w:r>
        <w:rPr>
          <w:noProof/>
        </w:rPr>
        <w:t>(2)</w:t>
      </w:r>
      <w:r>
        <w:rPr>
          <w:noProof/>
        </w:rPr>
        <w:tab/>
        <w:t>In accordance with Article 8(1) of the Convention, a</w:t>
      </w:r>
      <w:r w:rsidR="00CC0273" w:rsidRPr="00304616">
        <w:rPr>
          <w:noProof/>
        </w:rPr>
        <w:t>s a Party to the Convention, the Union</w:t>
      </w:r>
      <w:r w:rsidR="00CC0273" w:rsidRPr="00AA242C">
        <w:rPr>
          <w:noProof/>
        </w:rPr>
        <w:t xml:space="preserve"> may submit proposals for amendment of the Annexes </w:t>
      </w:r>
      <w:r w:rsidR="008E7F22">
        <w:rPr>
          <w:noProof/>
        </w:rPr>
        <w:t>there</w:t>
      </w:r>
      <w:r w:rsidR="00CC0273" w:rsidRPr="00AA242C">
        <w:rPr>
          <w:noProof/>
        </w:rPr>
        <w:t>to. Annex A</w:t>
      </w:r>
      <w:r w:rsidR="00CC0273" w:rsidRPr="00E104DA">
        <w:rPr>
          <w:noProof/>
        </w:rPr>
        <w:t xml:space="preserve"> </w:t>
      </w:r>
      <w:r w:rsidR="00CC0273" w:rsidRPr="00AA242C">
        <w:rPr>
          <w:noProof/>
        </w:rPr>
        <w:t>to the Convention lists persistent organic pollutants to be eliminated</w:t>
      </w:r>
      <w:r w:rsidR="0021311F">
        <w:rPr>
          <w:noProof/>
        </w:rPr>
        <w:t xml:space="preserve"> and</w:t>
      </w:r>
      <w:r w:rsidR="00CC0273" w:rsidRPr="00AA242C">
        <w:rPr>
          <w:noProof/>
        </w:rPr>
        <w:t xml:space="preserve"> Annex B lists persistent organic pollutants to be restricted.</w:t>
      </w:r>
    </w:p>
    <w:p w:rsidR="00B130B2" w:rsidRPr="00FD40BA" w:rsidRDefault="00A96DF6" w:rsidP="00B130B2">
      <w:pPr>
        <w:pStyle w:val="ManualConsidrant"/>
        <w:rPr>
          <w:noProof/>
        </w:rPr>
      </w:pPr>
      <w:r>
        <w:rPr>
          <w:noProof/>
        </w:rPr>
        <w:t>(3)</w:t>
      </w:r>
      <w:r>
        <w:rPr>
          <w:noProof/>
        </w:rPr>
        <w:tab/>
      </w:r>
      <w:r>
        <w:rPr>
          <w:rFonts w:eastAsia="Arial Unicode MS"/>
          <w:noProof/>
        </w:rPr>
        <w:t>B</w:t>
      </w:r>
      <w:r w:rsidR="002232BC" w:rsidRPr="00137B68">
        <w:rPr>
          <w:rFonts w:eastAsia="Arial Unicode MS"/>
          <w:noProof/>
        </w:rPr>
        <w:t>is(2-ethylhexyl) tetrabromopht</w:t>
      </w:r>
      <w:r>
        <w:rPr>
          <w:rFonts w:eastAsia="Arial Unicode MS"/>
          <w:noProof/>
        </w:rPr>
        <w:t>halate</w:t>
      </w:r>
      <w:r w:rsidR="002232BC">
        <w:rPr>
          <w:rFonts w:eastAsia="Arial Unicode MS"/>
          <w:noProof/>
        </w:rPr>
        <w:t xml:space="preserve"> (‘TBPH’)</w:t>
      </w:r>
      <w:r w:rsidR="004C1DF5">
        <w:rPr>
          <w:rFonts w:eastAsia="Arial Unicode MS"/>
          <w:noProof/>
        </w:rPr>
        <w:t xml:space="preserve"> is a brominated flame retardant, identified in the </w:t>
      </w:r>
      <w:r w:rsidR="002232BC">
        <w:rPr>
          <w:rFonts w:eastAsia="Arial Unicode MS"/>
          <w:noProof/>
        </w:rPr>
        <w:t>Union</w:t>
      </w:r>
      <w:r w:rsidR="004C1DF5">
        <w:rPr>
          <w:rFonts w:eastAsia="Arial Unicode MS"/>
          <w:noProof/>
        </w:rPr>
        <w:t xml:space="preserve"> as a </w:t>
      </w:r>
      <w:r w:rsidR="001D56E3">
        <w:rPr>
          <w:rFonts w:eastAsia="Arial Unicode MS"/>
          <w:noProof/>
        </w:rPr>
        <w:t xml:space="preserve">substance </w:t>
      </w:r>
      <w:r w:rsidR="004C1DF5">
        <w:rPr>
          <w:rFonts w:eastAsia="Arial Unicode MS"/>
          <w:noProof/>
        </w:rPr>
        <w:t xml:space="preserve">of </w:t>
      </w:r>
      <w:r w:rsidR="001D56E3">
        <w:rPr>
          <w:rFonts w:eastAsia="Arial Unicode MS"/>
          <w:noProof/>
        </w:rPr>
        <w:t>very h</w:t>
      </w:r>
      <w:r w:rsidR="004C1DF5">
        <w:rPr>
          <w:rFonts w:eastAsia="Arial Unicode MS"/>
          <w:noProof/>
        </w:rPr>
        <w:t xml:space="preserve">igh </w:t>
      </w:r>
      <w:r w:rsidR="001D56E3">
        <w:rPr>
          <w:rFonts w:eastAsia="Arial Unicode MS"/>
          <w:noProof/>
        </w:rPr>
        <w:t>c</w:t>
      </w:r>
      <w:r w:rsidR="004C1DF5">
        <w:rPr>
          <w:rFonts w:eastAsia="Arial Unicode MS"/>
          <w:noProof/>
        </w:rPr>
        <w:t xml:space="preserve">oncern </w:t>
      </w:r>
      <w:r w:rsidR="00E47F8A">
        <w:rPr>
          <w:rFonts w:eastAsia="Arial Unicode MS"/>
          <w:noProof/>
        </w:rPr>
        <w:t xml:space="preserve">in </w:t>
      </w:r>
      <w:r w:rsidR="004C1DF5">
        <w:rPr>
          <w:rFonts w:eastAsia="Arial Unicode MS"/>
          <w:noProof/>
        </w:rPr>
        <w:t>accord</w:t>
      </w:r>
      <w:r w:rsidR="00E47F8A">
        <w:rPr>
          <w:rFonts w:eastAsia="Arial Unicode MS"/>
          <w:noProof/>
        </w:rPr>
        <w:t>ance with</w:t>
      </w:r>
      <w:r w:rsidR="004C1DF5">
        <w:rPr>
          <w:rFonts w:eastAsia="Arial Unicode MS"/>
          <w:noProof/>
        </w:rPr>
        <w:t xml:space="preserve"> </w:t>
      </w:r>
      <w:r w:rsidR="00D70131">
        <w:rPr>
          <w:rFonts w:eastAsia="Arial Unicode MS"/>
          <w:noProof/>
        </w:rPr>
        <w:t>A</w:t>
      </w:r>
      <w:r w:rsidR="004C1DF5">
        <w:rPr>
          <w:rFonts w:eastAsia="Arial Unicode MS"/>
          <w:noProof/>
        </w:rPr>
        <w:t>rticle 57</w:t>
      </w:r>
      <w:r w:rsidR="00CC31AF">
        <w:rPr>
          <w:rFonts w:eastAsia="Arial Unicode MS"/>
          <w:noProof/>
        </w:rPr>
        <w:t xml:space="preserve">, point (e) </w:t>
      </w:r>
      <w:r w:rsidR="004C1DF5">
        <w:rPr>
          <w:rFonts w:eastAsia="Arial Unicode MS"/>
          <w:noProof/>
        </w:rPr>
        <w:t xml:space="preserve">of </w:t>
      </w:r>
      <w:r w:rsidR="004C1DF5" w:rsidRPr="00AA242C">
        <w:rPr>
          <w:noProof/>
        </w:rPr>
        <w:t>Regulation (E</w:t>
      </w:r>
      <w:r w:rsidR="004C1DF5">
        <w:rPr>
          <w:noProof/>
        </w:rPr>
        <w:t>U</w:t>
      </w:r>
      <w:r w:rsidR="004C1DF5" w:rsidRPr="00AA242C">
        <w:rPr>
          <w:noProof/>
        </w:rPr>
        <w:t xml:space="preserve">) </w:t>
      </w:r>
      <w:r w:rsidR="004C1DF5">
        <w:rPr>
          <w:noProof/>
        </w:rPr>
        <w:t>1907/2006</w:t>
      </w:r>
      <w:r w:rsidR="000A3A20" w:rsidRPr="000A3A20">
        <w:rPr>
          <w:noProof/>
        </w:rPr>
        <w:t xml:space="preserve"> </w:t>
      </w:r>
      <w:r w:rsidR="00616E37" w:rsidRPr="000A3A20">
        <w:rPr>
          <w:noProof/>
        </w:rPr>
        <w:t>of the European Parliament and of the Council</w:t>
      </w:r>
      <w:r w:rsidR="001A4594">
        <w:rPr>
          <w:rStyle w:val="FootnoteReference"/>
          <w:noProof/>
        </w:rPr>
        <w:footnoteReference w:id="9"/>
      </w:r>
      <w:r w:rsidR="004C1DF5">
        <w:rPr>
          <w:rFonts w:eastAsia="Arial Unicode MS"/>
          <w:noProof/>
        </w:rPr>
        <w:t>, because of its properties as very persistent and ve</w:t>
      </w:r>
      <w:r w:rsidR="00CC31AF">
        <w:rPr>
          <w:rFonts w:eastAsia="Arial Unicode MS"/>
          <w:noProof/>
        </w:rPr>
        <w:t>r</w:t>
      </w:r>
      <w:r w:rsidR="004C1DF5">
        <w:rPr>
          <w:rFonts w:eastAsia="Arial Unicode MS"/>
          <w:noProof/>
        </w:rPr>
        <w:t>y bioaccumulative</w:t>
      </w:r>
      <w:r w:rsidR="004C1DF5" w:rsidRPr="0025196F">
        <w:rPr>
          <w:rFonts w:eastAsia="Arial Unicode MS"/>
          <w:noProof/>
        </w:rPr>
        <w:t>.</w:t>
      </w:r>
      <w:r w:rsidR="004C1DF5">
        <w:rPr>
          <w:rFonts w:eastAsia="Arial Unicode MS"/>
          <w:noProof/>
        </w:rPr>
        <w:t xml:space="preserve"> According to the </w:t>
      </w:r>
      <w:r w:rsidR="00B67366">
        <w:rPr>
          <w:rFonts w:eastAsia="Arial Unicode MS"/>
          <w:noProof/>
        </w:rPr>
        <w:t xml:space="preserve">available </w:t>
      </w:r>
      <w:r w:rsidR="00F51033">
        <w:rPr>
          <w:rFonts w:eastAsia="Arial Unicode MS"/>
          <w:noProof/>
        </w:rPr>
        <w:t xml:space="preserve">scientific </w:t>
      </w:r>
      <w:r w:rsidR="004C1DF5">
        <w:rPr>
          <w:rFonts w:eastAsia="Arial Unicode MS"/>
          <w:noProof/>
        </w:rPr>
        <w:t>data, TBPH</w:t>
      </w:r>
      <w:r w:rsidR="001D56E3">
        <w:rPr>
          <w:rFonts w:eastAsia="Arial Unicode MS"/>
          <w:noProof/>
        </w:rPr>
        <w:t xml:space="preserve"> </w:t>
      </w:r>
      <w:r w:rsidR="004C1DF5">
        <w:rPr>
          <w:rFonts w:eastAsia="Arial Unicode MS"/>
          <w:noProof/>
        </w:rPr>
        <w:t>is also toxic and subject to long range transport, as it has been found in remote regions.</w:t>
      </w:r>
      <w:r w:rsidR="004C1DF5" w:rsidRPr="001249B3">
        <w:rPr>
          <w:rFonts w:eastAsia="Arial Unicode MS"/>
          <w:noProof/>
        </w:rPr>
        <w:t xml:space="preserve"> </w:t>
      </w:r>
      <w:r w:rsidR="004C1DF5">
        <w:rPr>
          <w:rFonts w:eastAsia="Arial Unicode MS"/>
          <w:noProof/>
        </w:rPr>
        <w:t>Therefore, TBPH</w:t>
      </w:r>
      <w:r w:rsidR="004C1DF5" w:rsidRPr="00CB0BA4">
        <w:rPr>
          <w:rFonts w:eastAsia="Arial Unicode MS"/>
          <w:noProof/>
        </w:rPr>
        <w:t xml:space="preserve"> meet</w:t>
      </w:r>
      <w:r w:rsidR="004C1DF5">
        <w:rPr>
          <w:rFonts w:eastAsia="Arial Unicode MS"/>
          <w:noProof/>
        </w:rPr>
        <w:t>s</w:t>
      </w:r>
      <w:r w:rsidR="004C1DF5" w:rsidRPr="00CB0BA4">
        <w:rPr>
          <w:rFonts w:eastAsia="Arial Unicode MS"/>
          <w:noProof/>
        </w:rPr>
        <w:t xml:space="preserve"> the criteria of Annex D to the Convention and </w:t>
      </w:r>
      <w:r w:rsidR="004C1DF5">
        <w:rPr>
          <w:rFonts w:eastAsia="Arial Unicode MS"/>
          <w:noProof/>
        </w:rPr>
        <w:t>should</w:t>
      </w:r>
      <w:r w:rsidR="004C1DF5" w:rsidRPr="00CB0BA4">
        <w:rPr>
          <w:rFonts w:eastAsia="Arial Unicode MS"/>
          <w:noProof/>
        </w:rPr>
        <w:t xml:space="preserve"> be considered as a </w:t>
      </w:r>
      <w:r w:rsidRPr="007F29AA">
        <w:rPr>
          <w:noProof/>
        </w:rPr>
        <w:t>persistent organic pollutant</w:t>
      </w:r>
      <w:r w:rsidR="004C1DF5" w:rsidRPr="00CB0BA4">
        <w:rPr>
          <w:rFonts w:eastAsia="Arial Unicode MS"/>
          <w:noProof/>
        </w:rPr>
        <w:t>.</w:t>
      </w:r>
    </w:p>
    <w:p w:rsidR="00B130B2" w:rsidRDefault="00B130B2" w:rsidP="00B130B2">
      <w:pPr>
        <w:pStyle w:val="ManualConsidrant"/>
        <w:rPr>
          <w:noProof/>
          <w:lang w:eastAsia="en-GB"/>
        </w:rPr>
      </w:pPr>
      <w:r>
        <w:rPr>
          <w:noProof/>
        </w:rPr>
        <w:t>(4)</w:t>
      </w:r>
      <w:r>
        <w:rPr>
          <w:noProof/>
        </w:rPr>
        <w:tab/>
      </w:r>
      <w:r>
        <w:rPr>
          <w:noProof/>
          <w:lang w:eastAsia="en-GB"/>
        </w:rPr>
        <w:t>It is th</w:t>
      </w:r>
      <w:r w:rsidR="008513DA">
        <w:rPr>
          <w:noProof/>
          <w:lang w:eastAsia="en-GB"/>
        </w:rPr>
        <w:t>e</w:t>
      </w:r>
      <w:r>
        <w:rPr>
          <w:noProof/>
          <w:lang w:eastAsia="en-GB"/>
        </w:rPr>
        <w:t>refore necessary that t</w:t>
      </w:r>
      <w:r w:rsidRPr="001220AD">
        <w:rPr>
          <w:noProof/>
          <w:lang w:eastAsia="en-GB"/>
        </w:rPr>
        <w:t xml:space="preserve">he Union </w:t>
      </w:r>
      <w:r w:rsidR="008513DA">
        <w:rPr>
          <w:noProof/>
          <w:lang w:eastAsia="en-GB"/>
        </w:rPr>
        <w:t xml:space="preserve">should </w:t>
      </w:r>
      <w:r w:rsidRPr="001220AD">
        <w:rPr>
          <w:noProof/>
          <w:lang w:eastAsia="en-GB"/>
        </w:rPr>
        <w:t xml:space="preserve">submit a proposal to the Secretariat of the Convention for the listing </w:t>
      </w:r>
      <w:r>
        <w:rPr>
          <w:noProof/>
          <w:lang w:eastAsia="en-GB"/>
        </w:rPr>
        <w:t>TBPH</w:t>
      </w:r>
      <w:r w:rsidRPr="00282D62">
        <w:rPr>
          <w:noProof/>
          <w:lang w:eastAsia="en-GB"/>
        </w:rPr>
        <w:t xml:space="preserve"> </w:t>
      </w:r>
      <w:r w:rsidRPr="001220AD">
        <w:rPr>
          <w:noProof/>
          <w:lang w:eastAsia="en-GB"/>
        </w:rPr>
        <w:t xml:space="preserve">in Annex </w:t>
      </w:r>
      <w:r>
        <w:rPr>
          <w:noProof/>
          <w:lang w:eastAsia="en-GB"/>
        </w:rPr>
        <w:t xml:space="preserve">A or </w:t>
      </w:r>
      <w:r w:rsidR="002B6638">
        <w:rPr>
          <w:noProof/>
          <w:lang w:eastAsia="en-GB"/>
        </w:rPr>
        <w:t xml:space="preserve">Annex </w:t>
      </w:r>
      <w:r>
        <w:rPr>
          <w:noProof/>
          <w:lang w:eastAsia="en-GB"/>
        </w:rPr>
        <w:t>B</w:t>
      </w:r>
      <w:r w:rsidRPr="001220AD">
        <w:rPr>
          <w:noProof/>
          <w:lang w:eastAsia="en-GB"/>
        </w:rPr>
        <w:t xml:space="preserve"> to the Convention</w:t>
      </w:r>
      <w:r>
        <w:rPr>
          <w:noProof/>
          <w:lang w:eastAsia="en-GB"/>
        </w:rPr>
        <w:t xml:space="preserve"> to reduce the global emissions of this substance,</w:t>
      </w:r>
    </w:p>
    <w:p w:rsidR="00E66492" w:rsidRPr="00FD40BA" w:rsidRDefault="00E66492" w:rsidP="00197315">
      <w:pPr>
        <w:pStyle w:val="Formuledadoption"/>
        <w:rPr>
          <w:noProof/>
        </w:rPr>
      </w:pPr>
      <w:r w:rsidRPr="00FD40BA">
        <w:rPr>
          <w:noProof/>
        </w:rPr>
        <w:lastRenderedPageBreak/>
        <w:t xml:space="preserve">HAS ADOPTED THIS DECISION: </w:t>
      </w:r>
    </w:p>
    <w:p w:rsidR="00E66492" w:rsidRPr="00FD40BA" w:rsidRDefault="00E66492" w:rsidP="00197315">
      <w:pPr>
        <w:pStyle w:val="Titrearticle"/>
        <w:rPr>
          <w:noProof/>
        </w:rPr>
      </w:pPr>
      <w:r w:rsidRPr="00FD40BA">
        <w:rPr>
          <w:noProof/>
        </w:rPr>
        <w:t>Article 1</w:t>
      </w:r>
    </w:p>
    <w:p w:rsidR="00B130B2" w:rsidRDefault="00B130B2" w:rsidP="00B130B2">
      <w:pPr>
        <w:outlineLvl w:val="0"/>
        <w:rPr>
          <w:rFonts w:eastAsia="Calibri"/>
          <w:noProof/>
          <w:szCs w:val="24"/>
        </w:rPr>
      </w:pPr>
      <w:r w:rsidRPr="007F29AA">
        <w:rPr>
          <w:rFonts w:eastAsia="Calibri"/>
          <w:noProof/>
          <w:szCs w:val="24"/>
          <w:lang w:eastAsia="en-GB"/>
        </w:rPr>
        <w:t xml:space="preserve">The Union shall submit a proposal for the listing of </w:t>
      </w:r>
      <w:r w:rsidRPr="00137B68">
        <w:rPr>
          <w:rFonts w:eastAsia="Arial Unicode MS"/>
          <w:noProof/>
        </w:rPr>
        <w:t>bis(2-ethylhexyl) tetrabromophthalate</w:t>
      </w:r>
      <w:r>
        <w:rPr>
          <w:rFonts w:eastAsia="Arial Unicode MS"/>
          <w:noProof/>
        </w:rPr>
        <w:t xml:space="preserve"> (TBPH)</w:t>
      </w:r>
      <w:r>
        <w:rPr>
          <w:rFonts w:eastAsia="Calibri"/>
          <w:noProof/>
          <w:szCs w:val="24"/>
          <w:lang w:eastAsia="en-GB"/>
        </w:rPr>
        <w:t xml:space="preserve"> </w:t>
      </w:r>
      <w:r w:rsidRPr="007F29AA">
        <w:rPr>
          <w:rFonts w:eastAsia="Calibri"/>
          <w:noProof/>
          <w:szCs w:val="24"/>
          <w:lang w:eastAsia="en-GB"/>
        </w:rPr>
        <w:t xml:space="preserve">in Annex </w:t>
      </w:r>
      <w:r>
        <w:rPr>
          <w:rFonts w:eastAsia="Calibri"/>
          <w:noProof/>
          <w:szCs w:val="24"/>
          <w:lang w:eastAsia="en-GB"/>
        </w:rPr>
        <w:t xml:space="preserve">A or </w:t>
      </w:r>
      <w:r w:rsidR="002B6638">
        <w:rPr>
          <w:rFonts w:eastAsia="Calibri"/>
          <w:noProof/>
          <w:szCs w:val="24"/>
          <w:lang w:eastAsia="en-GB"/>
        </w:rPr>
        <w:t xml:space="preserve">Annex </w:t>
      </w:r>
      <w:r>
        <w:rPr>
          <w:rFonts w:eastAsia="Calibri"/>
          <w:noProof/>
          <w:szCs w:val="24"/>
          <w:lang w:eastAsia="en-GB"/>
        </w:rPr>
        <w:t>B</w:t>
      </w:r>
      <w:r w:rsidRPr="007F29AA">
        <w:rPr>
          <w:rFonts w:eastAsia="Calibri"/>
          <w:noProof/>
          <w:szCs w:val="24"/>
          <w:lang w:eastAsia="en-GB"/>
        </w:rPr>
        <w:t xml:space="preserve"> to the Stockholm Convention o</w:t>
      </w:r>
      <w:r w:rsidRPr="007F29AA">
        <w:rPr>
          <w:rFonts w:eastAsia="Calibri"/>
          <w:noProof/>
          <w:szCs w:val="24"/>
        </w:rPr>
        <w:t>n Persistent Organic Pollutants</w:t>
      </w:r>
      <w:r>
        <w:rPr>
          <w:rFonts w:eastAsia="Calibri"/>
          <w:noProof/>
          <w:szCs w:val="24"/>
        </w:rPr>
        <w:t xml:space="preserve"> </w:t>
      </w:r>
      <w:r w:rsidRPr="002711D2">
        <w:rPr>
          <w:rFonts w:eastAsia="Calibri"/>
          <w:noProof/>
          <w:szCs w:val="24"/>
          <w:lang w:eastAsia="en-GB"/>
        </w:rPr>
        <w:t>(</w:t>
      </w:r>
      <w:r w:rsidRPr="002711D2">
        <w:rPr>
          <w:rFonts w:eastAsia="Times New Roman"/>
          <w:noProof/>
          <w:szCs w:val="24"/>
        </w:rPr>
        <w:t>‘</w:t>
      </w:r>
      <w:r w:rsidRPr="002711D2">
        <w:rPr>
          <w:rFonts w:eastAsia="Calibri"/>
          <w:noProof/>
          <w:szCs w:val="24"/>
          <w:lang w:eastAsia="en-GB"/>
        </w:rPr>
        <w:t>the Convention</w:t>
      </w:r>
      <w:r w:rsidRPr="002711D2">
        <w:rPr>
          <w:rFonts w:eastAsia="Times New Roman"/>
          <w:noProof/>
          <w:szCs w:val="24"/>
        </w:rPr>
        <w:t>’</w:t>
      </w:r>
      <w:r w:rsidRPr="002711D2">
        <w:rPr>
          <w:rFonts w:eastAsia="Calibri"/>
          <w:noProof/>
          <w:szCs w:val="24"/>
          <w:lang w:eastAsia="en-GB"/>
        </w:rPr>
        <w:t>)</w:t>
      </w:r>
      <w:r w:rsidRPr="007F29AA">
        <w:rPr>
          <w:rFonts w:eastAsia="Calibri"/>
          <w:noProof/>
          <w:szCs w:val="24"/>
        </w:rPr>
        <w:t>.</w:t>
      </w:r>
    </w:p>
    <w:p w:rsidR="00B130B2" w:rsidRPr="007F29AA" w:rsidRDefault="00B130B2" w:rsidP="00B130B2">
      <w:pPr>
        <w:outlineLvl w:val="0"/>
        <w:rPr>
          <w:rFonts w:eastAsia="Calibri"/>
          <w:noProof/>
          <w:szCs w:val="24"/>
          <w:lang w:eastAsia="en-GB"/>
        </w:rPr>
      </w:pPr>
      <w:r w:rsidRPr="007F29AA">
        <w:rPr>
          <w:rFonts w:eastAsia="Calibri"/>
          <w:noProof/>
          <w:szCs w:val="24"/>
        </w:rPr>
        <w:t>The Commission shall communicate the proposal on behalf of the Union to the Secretariat of the Convention with all the information required und</w:t>
      </w:r>
      <w:r w:rsidRPr="007F29AA">
        <w:rPr>
          <w:rFonts w:eastAsia="Calibri"/>
          <w:noProof/>
          <w:szCs w:val="24"/>
          <w:lang w:eastAsia="en-GB"/>
        </w:rPr>
        <w:t>er Annex D to the Convention.</w:t>
      </w:r>
    </w:p>
    <w:p w:rsidR="00E66492" w:rsidRPr="00B97935" w:rsidRDefault="00E66492" w:rsidP="00514604">
      <w:pPr>
        <w:pStyle w:val="Titrearticle"/>
        <w:rPr>
          <w:noProof/>
        </w:rPr>
      </w:pPr>
      <w:r w:rsidRPr="00FD40BA">
        <w:rPr>
          <w:noProof/>
        </w:rPr>
        <w:t>Article</w:t>
      </w:r>
      <w:r w:rsidR="00B130B2">
        <w:rPr>
          <w:noProof/>
        </w:rPr>
        <w:t xml:space="preserve"> 2</w:t>
      </w:r>
      <w:r w:rsidRPr="00FD40BA">
        <w:rPr>
          <w:noProof/>
        </w:rPr>
        <w:t xml:space="preserve"> </w:t>
      </w:r>
    </w:p>
    <w:p w:rsidR="00E66492" w:rsidRDefault="00E66492" w:rsidP="00197315">
      <w:pPr>
        <w:keepNext/>
        <w:keepLines/>
        <w:rPr>
          <w:noProof/>
        </w:rPr>
      </w:pPr>
      <w:r w:rsidRPr="00B97935">
        <w:rPr>
          <w:noProof/>
          <w:color w:val="000000"/>
        </w:rPr>
        <w:t xml:space="preserve">This Decision is addressed to </w:t>
      </w:r>
      <w:r w:rsidR="00B130B2">
        <w:rPr>
          <w:noProof/>
          <w:color w:val="000000"/>
        </w:rPr>
        <w:t>the Commission</w:t>
      </w:r>
      <w:r w:rsidRPr="00B97935">
        <w:rPr>
          <w:noProof/>
        </w:rPr>
        <w:t>.</w:t>
      </w:r>
    </w:p>
    <w:p w:rsidR="00E66492" w:rsidRDefault="00542D9E" w:rsidP="00514604">
      <w:pPr>
        <w:pStyle w:val="Fait"/>
        <w:rPr>
          <w:noProof/>
        </w:rPr>
      </w:pPr>
      <w:r>
        <w:rPr>
          <w:noProof/>
        </w:rPr>
        <w:t>Done at Brussels,</w:t>
      </w:r>
    </w:p>
    <w:p w:rsidR="00E66492" w:rsidRDefault="00E66492" w:rsidP="00514604">
      <w:pPr>
        <w:pStyle w:val="Institutionquisigne"/>
        <w:rPr>
          <w:noProof/>
        </w:rPr>
      </w:pPr>
      <w:r w:rsidRPr="00E66492">
        <w:rPr>
          <w:noProof/>
        </w:rPr>
        <w:tab/>
        <w:t>For the Council</w:t>
      </w:r>
    </w:p>
    <w:p w:rsidR="00E66492" w:rsidRPr="00E66492" w:rsidRDefault="00E66492" w:rsidP="00E66492">
      <w:pPr>
        <w:pStyle w:val="Personnequisigne"/>
        <w:rPr>
          <w:noProof/>
        </w:rPr>
      </w:pPr>
      <w:r w:rsidRPr="00E66492">
        <w:rPr>
          <w:noProof/>
        </w:rPr>
        <w:tab/>
        <w:t>The President</w:t>
      </w:r>
    </w:p>
    <w:sectPr w:rsidR="00E66492" w:rsidRPr="00E66492" w:rsidSect="00C2692C">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891" w:rsidRDefault="00851891" w:rsidP="00E66492">
      <w:pPr>
        <w:spacing w:before="0" w:after="0"/>
      </w:pPr>
      <w:r>
        <w:separator/>
      </w:r>
    </w:p>
  </w:endnote>
  <w:endnote w:type="continuationSeparator" w:id="0">
    <w:p w:rsidR="00851891" w:rsidRDefault="00851891" w:rsidP="00E6649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92C" w:rsidRPr="00C2692C" w:rsidRDefault="00C2692C" w:rsidP="00C2692C">
    <w:pPr>
      <w:pStyle w:val="Footer"/>
      <w:rPr>
        <w:rFonts w:ascii="Arial" w:hAnsi="Arial" w:cs="Arial"/>
        <w:b/>
        <w:sz w:val="48"/>
      </w:rPr>
    </w:pPr>
    <w:r w:rsidRPr="00C2692C">
      <w:rPr>
        <w:rFonts w:ascii="Arial" w:hAnsi="Arial" w:cs="Arial"/>
        <w:b/>
        <w:sz w:val="48"/>
      </w:rPr>
      <w:t>EN</w:t>
    </w:r>
    <w:r w:rsidRPr="00C2692C">
      <w:rPr>
        <w:rFonts w:ascii="Arial" w:hAnsi="Arial" w:cs="Arial"/>
        <w:b/>
        <w:sz w:val="48"/>
      </w:rPr>
      <w:tab/>
    </w:r>
    <w:r w:rsidRPr="00C2692C">
      <w:rPr>
        <w:rFonts w:ascii="Arial" w:hAnsi="Arial" w:cs="Arial"/>
        <w:b/>
        <w:sz w:val="48"/>
      </w:rPr>
      <w:tab/>
    </w:r>
    <w:r w:rsidRPr="00C2692C">
      <w:tab/>
    </w:r>
    <w:r w:rsidRPr="00C2692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92C" w:rsidRPr="00C2692C" w:rsidRDefault="00C2692C" w:rsidP="00C2692C">
    <w:pPr>
      <w:pStyle w:val="Footer"/>
      <w:rPr>
        <w:rFonts w:ascii="Arial" w:hAnsi="Arial" w:cs="Arial"/>
        <w:b/>
        <w:sz w:val="48"/>
      </w:rPr>
    </w:pPr>
    <w:r w:rsidRPr="00C2692C">
      <w:rPr>
        <w:rFonts w:ascii="Arial" w:hAnsi="Arial" w:cs="Arial"/>
        <w:b/>
        <w:sz w:val="48"/>
      </w:rPr>
      <w:t>EN</w:t>
    </w:r>
    <w:r w:rsidRPr="00C2692C">
      <w:rPr>
        <w:rFonts w:ascii="Arial" w:hAnsi="Arial" w:cs="Arial"/>
        <w:b/>
        <w:sz w:val="48"/>
      </w:rPr>
      <w:tab/>
    </w:r>
    <w:r w:rsidRPr="00C2692C">
      <w:rPr>
        <w:rFonts w:ascii="Arial" w:hAnsi="Arial" w:cs="Arial"/>
        <w:b/>
        <w:sz w:val="48"/>
      </w:rPr>
      <w:tab/>
    </w:r>
    <w:r w:rsidRPr="00C2692C">
      <w:tab/>
    </w:r>
    <w:r w:rsidRPr="00C2692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92C" w:rsidRDefault="00C269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92C" w:rsidRPr="00C2692C" w:rsidRDefault="00C2692C" w:rsidP="00C2692C">
    <w:pPr>
      <w:pStyle w:val="Footer"/>
      <w:rPr>
        <w:rFonts w:ascii="Arial" w:hAnsi="Arial" w:cs="Arial"/>
        <w:b/>
        <w:sz w:val="48"/>
      </w:rPr>
    </w:pPr>
    <w:r w:rsidRPr="00C2692C">
      <w:rPr>
        <w:rFonts w:ascii="Arial" w:hAnsi="Arial" w:cs="Arial"/>
        <w:b/>
        <w:sz w:val="48"/>
      </w:rPr>
      <w:t>EN</w:t>
    </w:r>
    <w:r w:rsidRPr="00C2692C">
      <w:rPr>
        <w:rFonts w:ascii="Arial" w:hAnsi="Arial" w:cs="Arial"/>
        <w:b/>
        <w:sz w:val="48"/>
      </w:rPr>
      <w:tab/>
    </w:r>
    <w:r>
      <w:fldChar w:fldCharType="begin"/>
    </w:r>
    <w:r>
      <w:instrText xml:space="preserve"> PAGE  \* MERGEFORMAT </w:instrText>
    </w:r>
    <w:r>
      <w:fldChar w:fldCharType="separate"/>
    </w:r>
    <w:r w:rsidR="00514604">
      <w:rPr>
        <w:noProof/>
      </w:rPr>
      <w:t>6</w:t>
    </w:r>
    <w:r>
      <w:fldChar w:fldCharType="end"/>
    </w:r>
    <w:r>
      <w:tab/>
    </w:r>
    <w:r w:rsidRPr="00C2692C">
      <w:tab/>
    </w:r>
    <w:r w:rsidRPr="00C2692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92C" w:rsidRDefault="00C2692C" w:rsidP="00C26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891" w:rsidRDefault="00851891" w:rsidP="00E66492">
      <w:pPr>
        <w:spacing w:before="0" w:after="0"/>
      </w:pPr>
      <w:r>
        <w:separator/>
      </w:r>
    </w:p>
  </w:footnote>
  <w:footnote w:type="continuationSeparator" w:id="0">
    <w:p w:rsidR="00851891" w:rsidRDefault="00851891" w:rsidP="00E66492">
      <w:pPr>
        <w:spacing w:before="0" w:after="0"/>
      </w:pPr>
      <w:r>
        <w:continuationSeparator/>
      </w:r>
    </w:p>
  </w:footnote>
  <w:footnote w:id="1">
    <w:p w:rsidR="00137B68" w:rsidRPr="00A360A6" w:rsidRDefault="00137B68" w:rsidP="00137B68">
      <w:pPr>
        <w:pStyle w:val="FootnoteText"/>
      </w:pPr>
      <w:r>
        <w:rPr>
          <w:rStyle w:val="FootnoteReference"/>
        </w:rPr>
        <w:footnoteRef/>
      </w:r>
      <w:r w:rsidRPr="00A360A6">
        <w:tab/>
      </w:r>
      <w:r w:rsidRPr="001220AD">
        <w:t xml:space="preserve">Council Decision </w:t>
      </w:r>
      <w:r w:rsidRPr="001220AD">
        <w:rPr>
          <w:rFonts w:eastAsia="Calibri"/>
        </w:rPr>
        <w:t>2006/507/EC</w:t>
      </w:r>
      <w:r w:rsidRPr="001220AD">
        <w:t xml:space="preserve"> of 14 October 2004 </w:t>
      </w:r>
      <w:r w:rsidRPr="001220AD">
        <w:rPr>
          <w:rFonts w:eastAsia="Calibri"/>
        </w:rPr>
        <w:t>concerning the conclusion, on behalf of the European Community, of the Stockholm Convention on Persistent Organic Pollutants</w:t>
      </w:r>
      <w:r w:rsidRPr="001220AD">
        <w:t xml:space="preserve"> (OJ L 209, 31.7.2006, p. 1).</w:t>
      </w:r>
    </w:p>
  </w:footnote>
  <w:footnote w:id="2">
    <w:p w:rsidR="00137B68" w:rsidRPr="00A360A6" w:rsidRDefault="00137B68" w:rsidP="00137B68">
      <w:pPr>
        <w:pStyle w:val="FootnoteText"/>
      </w:pPr>
      <w:r>
        <w:rPr>
          <w:rStyle w:val="FootnoteReference"/>
        </w:rPr>
        <w:footnoteRef/>
      </w:r>
      <w:r w:rsidRPr="00A360A6">
        <w:tab/>
        <w:t>Regulation (E</w:t>
      </w:r>
      <w:r>
        <w:t>U</w:t>
      </w:r>
      <w:r w:rsidRPr="00A360A6">
        <w:t>) 20</w:t>
      </w:r>
      <w:r>
        <w:t>19/1021</w:t>
      </w:r>
      <w:r w:rsidRPr="00A360A6">
        <w:t xml:space="preserve"> </w:t>
      </w:r>
      <w:r>
        <w:t>of the European Parliament and of the Council of 20 June 2019 on persistent organic pollutants (</w:t>
      </w:r>
      <w:r w:rsidRPr="00A360A6">
        <w:t>OJ L 1</w:t>
      </w:r>
      <w:r>
        <w:t>69</w:t>
      </w:r>
      <w:r w:rsidRPr="00A360A6">
        <w:t xml:space="preserve">, </w:t>
      </w:r>
      <w:r>
        <w:t>25</w:t>
      </w:r>
      <w:r w:rsidRPr="00A360A6">
        <w:t>.</w:t>
      </w:r>
      <w:r>
        <w:t>6</w:t>
      </w:r>
      <w:r w:rsidRPr="00A360A6">
        <w:t>.20</w:t>
      </w:r>
      <w:r>
        <w:t>19</w:t>
      </w:r>
      <w:r w:rsidRPr="00A360A6">
        <w:t xml:space="preserve">, p. </w:t>
      </w:r>
      <w:r>
        <w:t>45)</w:t>
      </w:r>
      <w:r w:rsidRPr="00A360A6">
        <w:t>.</w:t>
      </w:r>
    </w:p>
  </w:footnote>
  <w:footnote w:id="3">
    <w:p w:rsidR="00137B68" w:rsidRPr="00745DD6" w:rsidRDefault="00137B68" w:rsidP="00137B68">
      <w:pPr>
        <w:pStyle w:val="FootnoteText"/>
      </w:pPr>
      <w:r w:rsidRPr="009B4061">
        <w:rPr>
          <w:rStyle w:val="FootnoteReference"/>
        </w:rPr>
        <w:footnoteRef/>
      </w:r>
      <w:r w:rsidRPr="00745DD6">
        <w:tab/>
        <w:t>C</w:t>
      </w:r>
      <w:r>
        <w:t>ouncil</w:t>
      </w:r>
      <w:r w:rsidRPr="00745DD6">
        <w:t xml:space="preserve"> D</w:t>
      </w:r>
      <w:r>
        <w:t xml:space="preserve">ecision </w:t>
      </w:r>
      <w:r w:rsidRPr="00745DD6">
        <w:t>(2004/259/EC)</w:t>
      </w:r>
      <w:r>
        <w:t xml:space="preserve"> </w:t>
      </w:r>
      <w:r w:rsidRPr="00745DD6">
        <w:t>of 19 February 2004</w:t>
      </w:r>
      <w:r>
        <w:t xml:space="preserve"> </w:t>
      </w:r>
      <w:r w:rsidRPr="00745DD6">
        <w:t>concerning the conclusion, on behalf of the European Community, of the Protocol to the 1979</w:t>
      </w:r>
      <w:r>
        <w:t xml:space="preserve"> </w:t>
      </w:r>
      <w:r w:rsidRPr="00745DD6">
        <w:t>Convention on Long Range Transboundary Air Pollution on Persistent Organic Pollutants (OJ L 81, 19.3.2004, p. 35</w:t>
      </w:r>
      <w:r>
        <w:t>)</w:t>
      </w:r>
      <w:r w:rsidRPr="00745DD6">
        <w:t>.</w:t>
      </w:r>
    </w:p>
  </w:footnote>
  <w:footnote w:id="4">
    <w:p w:rsidR="00CC6C09" w:rsidRPr="00CC6C09" w:rsidRDefault="00CC6C09">
      <w:pPr>
        <w:pStyle w:val="FootnoteText"/>
        <w:rPr>
          <w:lang w:val="en-IE"/>
        </w:rPr>
      </w:pPr>
      <w:r w:rsidRPr="000F7982">
        <w:rPr>
          <w:rStyle w:val="FootnoteReference"/>
        </w:rPr>
        <w:footnoteRef/>
      </w:r>
      <w:r w:rsidR="000F7982">
        <w:tab/>
      </w:r>
      <w:hyperlink r:id="rId1" w:history="1">
        <w:r w:rsidRPr="00CC6C09">
          <w:rPr>
            <w:color w:val="0000FF"/>
            <w:u w:val="single"/>
            <w:lang w:val="en-IE"/>
          </w:rPr>
          <w:t>Regulatory strategy for flame retardants - Publications Office of the EU</w:t>
        </w:r>
      </w:hyperlink>
      <w:r w:rsidRPr="00CC6C09">
        <w:rPr>
          <w:lang w:val="en-IE"/>
        </w:rPr>
        <w:t xml:space="preserve"> and </w:t>
      </w:r>
      <w:hyperlink r:id="rId2" w:history="1">
        <w:r w:rsidRPr="00CC6C09">
          <w:rPr>
            <w:color w:val="0000FF"/>
            <w:u w:val="single"/>
            <w:lang w:val="en-IE"/>
          </w:rPr>
          <w:t>fe02b4cb-4603-8189-dab6-9975f16b509e</w:t>
        </w:r>
      </w:hyperlink>
    </w:p>
  </w:footnote>
  <w:footnote w:id="5">
    <w:p w:rsidR="008D351C" w:rsidRPr="003C5325" w:rsidRDefault="008D351C">
      <w:pPr>
        <w:pStyle w:val="FootnoteText"/>
        <w:rPr>
          <w:lang w:val="en-IE"/>
        </w:rPr>
      </w:pPr>
      <w:r w:rsidRPr="000F7982">
        <w:rPr>
          <w:rStyle w:val="FootnoteReference"/>
        </w:rPr>
        <w:footnoteRef/>
      </w:r>
      <w:r w:rsidR="000F7982">
        <w:tab/>
      </w:r>
      <w:hyperlink r:id="rId3" w:history="1">
        <w:r w:rsidRPr="003C5325">
          <w:t>Europe's state of water 2024: the need for improved water resilience | Publications | European Environment Agency (EEA)</w:t>
        </w:r>
      </w:hyperlink>
    </w:p>
  </w:footnote>
  <w:footnote w:id="6">
    <w:p w:rsidR="008D351C" w:rsidRPr="003C5325" w:rsidRDefault="008D351C">
      <w:pPr>
        <w:pStyle w:val="FootnoteText"/>
        <w:rPr>
          <w:lang w:val="en-IE"/>
        </w:rPr>
      </w:pPr>
      <w:r w:rsidRPr="000F7982">
        <w:rPr>
          <w:rStyle w:val="FootnoteReference"/>
        </w:rPr>
        <w:footnoteRef/>
      </w:r>
      <w:r w:rsidR="000F7982">
        <w:tab/>
      </w:r>
      <w:hyperlink r:id="rId4" w:history="1">
        <w:r w:rsidRPr="003C5325">
          <w:t>Water resilience strategy - European Commission</w:t>
        </w:r>
      </w:hyperlink>
    </w:p>
  </w:footnote>
  <w:footnote w:id="7">
    <w:p w:rsidR="008D351C" w:rsidRPr="003C5325" w:rsidRDefault="008D351C">
      <w:pPr>
        <w:pStyle w:val="FootnoteText"/>
        <w:rPr>
          <w:lang w:val="en-IE"/>
        </w:rPr>
      </w:pPr>
      <w:r w:rsidRPr="000F7982">
        <w:rPr>
          <w:rStyle w:val="FootnoteReference"/>
        </w:rPr>
        <w:footnoteRef/>
      </w:r>
      <w:r w:rsidR="000F7982">
        <w:rPr>
          <w:lang w:val="en-IE"/>
        </w:rPr>
        <w:tab/>
      </w:r>
      <w:hyperlink r:id="rId5" w:history="1">
        <w:r w:rsidR="005964DE" w:rsidRPr="003C5325">
          <w:rPr>
            <w:color w:val="0000FF"/>
            <w:u w:val="single"/>
            <w:lang w:val="en-IE"/>
          </w:rPr>
          <w:t>Zero Pollution Action Plan - Environment - European Commission</w:t>
        </w:r>
      </w:hyperlink>
    </w:p>
  </w:footnote>
  <w:footnote w:id="8">
    <w:p w:rsidR="00CC0273" w:rsidRPr="001220AD" w:rsidRDefault="00CC0273" w:rsidP="00CC0273">
      <w:pPr>
        <w:pStyle w:val="FootnoteText"/>
      </w:pPr>
      <w:r w:rsidRPr="001220AD">
        <w:rPr>
          <w:rStyle w:val="FootnoteReference"/>
        </w:rPr>
        <w:footnoteRef/>
      </w:r>
      <w:r w:rsidRPr="001220AD">
        <w:tab/>
        <w:t xml:space="preserve">Council Decision </w:t>
      </w:r>
      <w:r w:rsidRPr="001220AD">
        <w:rPr>
          <w:rFonts w:eastAsia="Calibri"/>
        </w:rPr>
        <w:t>2006/507/EC</w:t>
      </w:r>
      <w:r w:rsidRPr="001220AD">
        <w:t xml:space="preserve"> of 14 October 2004 </w:t>
      </w:r>
      <w:r w:rsidRPr="001220AD">
        <w:rPr>
          <w:rFonts w:eastAsia="Calibri"/>
        </w:rPr>
        <w:t>concerning the conclusion, on behalf of the European Community, of the Stockholm Convention on Persistent Organic Pollutants</w:t>
      </w:r>
      <w:r w:rsidRPr="001220AD">
        <w:t xml:space="preserve"> (OJ L 209, 31.7.2006, p. 1</w:t>
      </w:r>
      <w:r w:rsidR="00A535E2">
        <w:t xml:space="preserve">, </w:t>
      </w:r>
      <w:r w:rsidR="00A535E2" w:rsidRPr="006C0CA3">
        <w:t>ELI: </w:t>
      </w:r>
      <w:hyperlink r:id="rId6" w:tooltip="Gives access to this document through its ELI URI." w:history="1">
        <w:r w:rsidR="00A535E2" w:rsidRPr="006C0CA3">
          <w:rPr>
            <w:rStyle w:val="Hyperlink"/>
          </w:rPr>
          <w:t>http://data.europa.eu/eli/dec/2006/507/oj</w:t>
        </w:r>
      </w:hyperlink>
      <w:r w:rsidRPr="001220AD">
        <w:t>).</w:t>
      </w:r>
    </w:p>
  </w:footnote>
  <w:footnote w:id="9">
    <w:p w:rsidR="001A4594" w:rsidRPr="00542D9E" w:rsidRDefault="001A4594">
      <w:pPr>
        <w:pStyle w:val="FootnoteText"/>
        <w:rPr>
          <w:lang w:val="lt-LT"/>
        </w:rPr>
      </w:pPr>
      <w:r w:rsidRPr="000F7982">
        <w:rPr>
          <w:rStyle w:val="FootnoteReference"/>
        </w:rPr>
        <w:footnoteRef/>
      </w:r>
      <w:r w:rsidR="000F7982">
        <w:tab/>
      </w:r>
      <w:r w:rsidRPr="001A4594">
        <w:rPr>
          <w:lang w:val="lt-LT"/>
        </w:rPr>
        <w:t>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w:t>
      </w:r>
      <w:r>
        <w:rPr>
          <w:lang w:val="lt-LT"/>
        </w:rPr>
        <w:t xml:space="preserve"> (</w:t>
      </w:r>
      <w:r w:rsidR="00B934FA" w:rsidRPr="00B934FA">
        <w:rPr>
          <w:lang w:val="lt-LT"/>
        </w:rPr>
        <w:t>OJ L 396, 30.12.2006, p. 1</w:t>
      </w:r>
      <w:r w:rsidR="00B934FA">
        <w:rPr>
          <w:lang w:val="lt-LT"/>
        </w:rPr>
        <w:t xml:space="preserve">, </w:t>
      </w:r>
      <w:r w:rsidR="00D06137" w:rsidRPr="00D06137">
        <w:rPr>
          <w:lang w:val="lt-LT"/>
        </w:rPr>
        <w:t>ELI: http://data.europa.eu/eli/reg/2006/1907/oj</w:t>
      </w:r>
      <w:r>
        <w:rPr>
          <w:lang w:val="lt-LT"/>
        </w:rPr>
        <w:t>)</w:t>
      </w:r>
      <w:r w:rsidR="004540C3">
        <w:rPr>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92C" w:rsidRDefault="00C269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92C" w:rsidRDefault="00C26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A163BF8"/>
    <w:lvl w:ilvl="0">
      <w:start w:val="1"/>
      <w:numFmt w:val="decimal"/>
      <w:pStyle w:val="ListNumber4"/>
      <w:lvlText w:val="%1."/>
      <w:lvlJc w:val="left"/>
      <w:pPr>
        <w:tabs>
          <w:tab w:val="num" w:pos="1209"/>
        </w:tabs>
        <w:ind w:left="1209" w:hanging="360"/>
      </w:pPr>
    </w:lvl>
  </w:abstractNum>
  <w:abstractNum w:abstractNumId="1" w15:restartNumberingAfterBreak="0">
    <w:nsid w:val="FFFFFF81"/>
    <w:multiLevelType w:val="singleLevel"/>
    <w:tmpl w:val="26D4F184"/>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F0E4123E"/>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9C5CDC6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74708FE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4"/>
  </w:num>
  <w:num w:numId="3">
    <w:abstractNumId w:val="3"/>
  </w:num>
  <w:num w:numId="4">
    <w:abstractNumId w:val="2"/>
  </w:num>
  <w:num w:numId="5">
    <w:abstractNumId w:val="1"/>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8 08:55: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B14C4E0-F62E-47AE-A760-7E4ADA112C40"/>
    <w:docVar w:name="LW_COVERPAGE_TYPE" w:val="1"/>
    <w:docVar w:name="LW_CreatedUtc" w:val="2025-10-24T08:50:08.2252190Z"/>
    <w:docVar w:name="LW_CROSSREFERENCE" w:val="&lt;UNUSED&gt;"/>
    <w:docVar w:name="LW_DocType" w:val="COM"/>
    <w:docVar w:name="LW_EMISSION" w:val="4.2.2026"/>
    <w:docVar w:name="LW_EMISSION_ISODATE" w:val="2026-02-04"/>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29"/>
    <w:docVar w:name="LW_REF.II.NEW.CP_YEAR" w:val="2026"/>
    <w:docVar w:name="LW_REF.INST.NEW" w:val="COM"/>
    <w:docVar w:name="LW_REF.INST.NEW_ADOPTED" w:val="final"/>
    <w:docVar w:name="LW_REF.INST.NEW_TEXT" w:val="(2026) 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submission, on behalf of the European Union, of a proposal for the listing of TBPH in Annex A or Annex B to the Stockholm Convention on Persistent Organic Pollutants"/>
    <w:docVar w:name="LW_TYPE.DOC.CP" w:val="COUNCIL DECISION"/>
    <w:docVar w:name="LwApiVersions" w:val="LW4CoDe 1.24.5.0; LW 9.2, Build 20251112"/>
  </w:docVars>
  <w:rsids>
    <w:rsidRoot w:val="00E66492"/>
    <w:rsid w:val="00047A76"/>
    <w:rsid w:val="0005426F"/>
    <w:rsid w:val="00057588"/>
    <w:rsid w:val="00061008"/>
    <w:rsid w:val="000A3A20"/>
    <w:rsid w:val="000D045D"/>
    <w:rsid w:val="000E46A1"/>
    <w:rsid w:val="000E5C03"/>
    <w:rsid w:val="000F260B"/>
    <w:rsid w:val="000F32CD"/>
    <w:rsid w:val="000F6F84"/>
    <w:rsid w:val="000F7982"/>
    <w:rsid w:val="001065F5"/>
    <w:rsid w:val="001238EF"/>
    <w:rsid w:val="001249B3"/>
    <w:rsid w:val="00137B68"/>
    <w:rsid w:val="00161FC6"/>
    <w:rsid w:val="00164323"/>
    <w:rsid w:val="0016669F"/>
    <w:rsid w:val="00196AD9"/>
    <w:rsid w:val="00197613"/>
    <w:rsid w:val="001A179E"/>
    <w:rsid w:val="001A4594"/>
    <w:rsid w:val="001B135F"/>
    <w:rsid w:val="001B2A9C"/>
    <w:rsid w:val="001C00AE"/>
    <w:rsid w:val="001D56E3"/>
    <w:rsid w:val="001E1517"/>
    <w:rsid w:val="001F170E"/>
    <w:rsid w:val="001F1D6D"/>
    <w:rsid w:val="00203115"/>
    <w:rsid w:val="0021108F"/>
    <w:rsid w:val="0021311F"/>
    <w:rsid w:val="00222677"/>
    <w:rsid w:val="002232BC"/>
    <w:rsid w:val="00230CFA"/>
    <w:rsid w:val="00232D2A"/>
    <w:rsid w:val="00233DC7"/>
    <w:rsid w:val="00243E51"/>
    <w:rsid w:val="00247779"/>
    <w:rsid w:val="00251E44"/>
    <w:rsid w:val="00253468"/>
    <w:rsid w:val="00285BEE"/>
    <w:rsid w:val="0029254D"/>
    <w:rsid w:val="0029533F"/>
    <w:rsid w:val="002A0A80"/>
    <w:rsid w:val="002B30AF"/>
    <w:rsid w:val="002B6638"/>
    <w:rsid w:val="00313B74"/>
    <w:rsid w:val="003328AB"/>
    <w:rsid w:val="0033344A"/>
    <w:rsid w:val="0035426D"/>
    <w:rsid w:val="00356404"/>
    <w:rsid w:val="0036229A"/>
    <w:rsid w:val="0037138F"/>
    <w:rsid w:val="003754C0"/>
    <w:rsid w:val="00381816"/>
    <w:rsid w:val="0038274B"/>
    <w:rsid w:val="003954BC"/>
    <w:rsid w:val="003C5325"/>
    <w:rsid w:val="003D1D03"/>
    <w:rsid w:val="0042055D"/>
    <w:rsid w:val="00424F29"/>
    <w:rsid w:val="0042648E"/>
    <w:rsid w:val="00434B3B"/>
    <w:rsid w:val="0045237C"/>
    <w:rsid w:val="004540C3"/>
    <w:rsid w:val="00455F48"/>
    <w:rsid w:val="00472F43"/>
    <w:rsid w:val="004936D2"/>
    <w:rsid w:val="004B30D2"/>
    <w:rsid w:val="004C1DF5"/>
    <w:rsid w:val="00514604"/>
    <w:rsid w:val="00527280"/>
    <w:rsid w:val="00542D9E"/>
    <w:rsid w:val="00562525"/>
    <w:rsid w:val="00580E45"/>
    <w:rsid w:val="00581E14"/>
    <w:rsid w:val="005964DE"/>
    <w:rsid w:val="005B1EB6"/>
    <w:rsid w:val="00616E37"/>
    <w:rsid w:val="006267BC"/>
    <w:rsid w:val="00630053"/>
    <w:rsid w:val="006319D9"/>
    <w:rsid w:val="00645CB2"/>
    <w:rsid w:val="00655449"/>
    <w:rsid w:val="006615C2"/>
    <w:rsid w:val="006620F6"/>
    <w:rsid w:val="006827C1"/>
    <w:rsid w:val="006900C6"/>
    <w:rsid w:val="006908FC"/>
    <w:rsid w:val="00691092"/>
    <w:rsid w:val="006A2987"/>
    <w:rsid w:val="006C0CA3"/>
    <w:rsid w:val="00707DEC"/>
    <w:rsid w:val="00741332"/>
    <w:rsid w:val="007462AF"/>
    <w:rsid w:val="00747113"/>
    <w:rsid w:val="00755AF2"/>
    <w:rsid w:val="00770CFB"/>
    <w:rsid w:val="00773308"/>
    <w:rsid w:val="00773331"/>
    <w:rsid w:val="0079179B"/>
    <w:rsid w:val="007932EF"/>
    <w:rsid w:val="007B6181"/>
    <w:rsid w:val="007C112C"/>
    <w:rsid w:val="007E05B0"/>
    <w:rsid w:val="007F2143"/>
    <w:rsid w:val="008513DA"/>
    <w:rsid w:val="00851891"/>
    <w:rsid w:val="00851CBE"/>
    <w:rsid w:val="00853227"/>
    <w:rsid w:val="00861C09"/>
    <w:rsid w:val="00874D22"/>
    <w:rsid w:val="008A2914"/>
    <w:rsid w:val="008B60D0"/>
    <w:rsid w:val="008D351C"/>
    <w:rsid w:val="008E41FE"/>
    <w:rsid w:val="008E4D8E"/>
    <w:rsid w:val="008E7F22"/>
    <w:rsid w:val="008F14C6"/>
    <w:rsid w:val="0091654D"/>
    <w:rsid w:val="00920FD1"/>
    <w:rsid w:val="009512D8"/>
    <w:rsid w:val="00975025"/>
    <w:rsid w:val="00995377"/>
    <w:rsid w:val="009D761F"/>
    <w:rsid w:val="009E6A71"/>
    <w:rsid w:val="009E7E8B"/>
    <w:rsid w:val="00A47BE6"/>
    <w:rsid w:val="00A535E2"/>
    <w:rsid w:val="00A606B7"/>
    <w:rsid w:val="00A72DF4"/>
    <w:rsid w:val="00A96DF6"/>
    <w:rsid w:val="00A97004"/>
    <w:rsid w:val="00AA403F"/>
    <w:rsid w:val="00AC761C"/>
    <w:rsid w:val="00AD191B"/>
    <w:rsid w:val="00AE52C2"/>
    <w:rsid w:val="00B130B2"/>
    <w:rsid w:val="00B166FA"/>
    <w:rsid w:val="00B56A11"/>
    <w:rsid w:val="00B5764A"/>
    <w:rsid w:val="00B67366"/>
    <w:rsid w:val="00B70273"/>
    <w:rsid w:val="00B85897"/>
    <w:rsid w:val="00B934FA"/>
    <w:rsid w:val="00BA76F4"/>
    <w:rsid w:val="00BD0286"/>
    <w:rsid w:val="00BF3284"/>
    <w:rsid w:val="00C12301"/>
    <w:rsid w:val="00C2692C"/>
    <w:rsid w:val="00C31831"/>
    <w:rsid w:val="00C42DD6"/>
    <w:rsid w:val="00C53682"/>
    <w:rsid w:val="00C7665C"/>
    <w:rsid w:val="00C81060"/>
    <w:rsid w:val="00C97510"/>
    <w:rsid w:val="00CC0273"/>
    <w:rsid w:val="00CC31AF"/>
    <w:rsid w:val="00CC6C09"/>
    <w:rsid w:val="00CF028F"/>
    <w:rsid w:val="00D06137"/>
    <w:rsid w:val="00D20381"/>
    <w:rsid w:val="00D33740"/>
    <w:rsid w:val="00D56149"/>
    <w:rsid w:val="00D70131"/>
    <w:rsid w:val="00D915D1"/>
    <w:rsid w:val="00D950FE"/>
    <w:rsid w:val="00DA41FC"/>
    <w:rsid w:val="00DA6461"/>
    <w:rsid w:val="00DB1EEF"/>
    <w:rsid w:val="00DB41BA"/>
    <w:rsid w:val="00DD2217"/>
    <w:rsid w:val="00DF098F"/>
    <w:rsid w:val="00E0477A"/>
    <w:rsid w:val="00E17952"/>
    <w:rsid w:val="00E43D94"/>
    <w:rsid w:val="00E47F8A"/>
    <w:rsid w:val="00E56809"/>
    <w:rsid w:val="00E6645A"/>
    <w:rsid w:val="00E66492"/>
    <w:rsid w:val="00EC54C8"/>
    <w:rsid w:val="00ED1F33"/>
    <w:rsid w:val="00EE2CB7"/>
    <w:rsid w:val="00EF3385"/>
    <w:rsid w:val="00F0709E"/>
    <w:rsid w:val="00F51033"/>
    <w:rsid w:val="00F816BC"/>
    <w:rsid w:val="00F83FAB"/>
    <w:rsid w:val="00F93471"/>
    <w:rsid w:val="00F96449"/>
    <w:rsid w:val="00FC38F8"/>
    <w:rsid w:val="00FF5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8673"/>
    <o:shapelayout v:ext="edit">
      <o:idmap v:ext="edit" data="1"/>
    </o:shapelayout>
  </w:shapeDefaults>
  <w:decimalSymbol w:val=","/>
  <w:listSeparator w:val=";"/>
  <w15:docId w15:val="{2CF20165-C109-4A88-AAA4-7626D5AC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49B3"/>
    <w:rPr>
      <w:color w:val="0000FF"/>
      <w:u w:val="single"/>
    </w:rPr>
  </w:style>
  <w:style w:type="paragraph" w:styleId="ListNumber4">
    <w:name w:val="List Number 4"/>
    <w:basedOn w:val="Normal"/>
    <w:uiPriority w:val="99"/>
    <w:semiHidden/>
    <w:unhideWhenUsed/>
    <w:rsid w:val="00BD0286"/>
    <w:pPr>
      <w:numPr>
        <w:numId w:val="1"/>
      </w:numPr>
      <w:contextualSpacing/>
    </w:pPr>
  </w:style>
  <w:style w:type="paragraph" w:styleId="ListBullet">
    <w:name w:val="List Bullet"/>
    <w:basedOn w:val="Normal"/>
    <w:uiPriority w:val="99"/>
    <w:semiHidden/>
    <w:unhideWhenUsed/>
    <w:rsid w:val="00BF3284"/>
    <w:pPr>
      <w:numPr>
        <w:numId w:val="2"/>
      </w:numPr>
      <w:contextualSpacing/>
    </w:pPr>
  </w:style>
  <w:style w:type="paragraph" w:styleId="ListBullet2">
    <w:name w:val="List Bullet 2"/>
    <w:basedOn w:val="Normal"/>
    <w:uiPriority w:val="99"/>
    <w:semiHidden/>
    <w:unhideWhenUsed/>
    <w:rsid w:val="00BF3284"/>
    <w:pPr>
      <w:numPr>
        <w:numId w:val="3"/>
      </w:numPr>
      <w:contextualSpacing/>
    </w:pPr>
  </w:style>
  <w:style w:type="paragraph" w:styleId="ListBullet3">
    <w:name w:val="List Bullet 3"/>
    <w:basedOn w:val="Normal"/>
    <w:uiPriority w:val="99"/>
    <w:semiHidden/>
    <w:unhideWhenUsed/>
    <w:rsid w:val="00BF3284"/>
    <w:pPr>
      <w:numPr>
        <w:numId w:val="4"/>
      </w:numPr>
      <w:contextualSpacing/>
    </w:pPr>
  </w:style>
  <w:style w:type="paragraph" w:styleId="ListBullet4">
    <w:name w:val="List Bullet 4"/>
    <w:basedOn w:val="Normal"/>
    <w:uiPriority w:val="99"/>
    <w:semiHidden/>
    <w:unhideWhenUsed/>
    <w:rsid w:val="00BF3284"/>
    <w:pPr>
      <w:numPr>
        <w:numId w:val="5"/>
      </w:numPr>
      <w:contextualSpacing/>
    </w:pPr>
  </w:style>
  <w:style w:type="paragraph" w:styleId="Revision">
    <w:name w:val="Revision"/>
    <w:hidden/>
    <w:uiPriority w:val="99"/>
    <w:semiHidden/>
    <w:rsid w:val="001E1517"/>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1E1517"/>
    <w:rPr>
      <w:sz w:val="16"/>
      <w:szCs w:val="16"/>
    </w:rPr>
  </w:style>
  <w:style w:type="paragraph" w:styleId="CommentText">
    <w:name w:val="annotation text"/>
    <w:basedOn w:val="Normal"/>
    <w:link w:val="CommentTextChar"/>
    <w:uiPriority w:val="99"/>
    <w:unhideWhenUsed/>
    <w:rsid w:val="001E1517"/>
    <w:rPr>
      <w:sz w:val="20"/>
      <w:szCs w:val="20"/>
    </w:rPr>
  </w:style>
  <w:style w:type="character" w:customStyle="1" w:styleId="CommentTextChar">
    <w:name w:val="Comment Text Char"/>
    <w:basedOn w:val="DefaultParagraphFont"/>
    <w:link w:val="CommentText"/>
    <w:uiPriority w:val="99"/>
    <w:rsid w:val="001E151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E1517"/>
    <w:rPr>
      <w:b/>
      <w:bCs/>
    </w:rPr>
  </w:style>
  <w:style w:type="character" w:customStyle="1" w:styleId="CommentSubjectChar">
    <w:name w:val="Comment Subject Char"/>
    <w:basedOn w:val="CommentTextChar"/>
    <w:link w:val="CommentSubject"/>
    <w:uiPriority w:val="99"/>
    <w:semiHidden/>
    <w:rsid w:val="001E1517"/>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222677"/>
    <w:rPr>
      <w:color w:val="605E5C"/>
      <w:shd w:val="clear" w:color="auto" w:fill="E1DFDD"/>
    </w:rPr>
  </w:style>
  <w:style w:type="paragraph" w:styleId="EndnoteText">
    <w:name w:val="endnote text"/>
    <w:basedOn w:val="Normal"/>
    <w:link w:val="EndnoteTextChar"/>
    <w:uiPriority w:val="99"/>
    <w:semiHidden/>
    <w:unhideWhenUsed/>
    <w:rsid w:val="008D351C"/>
    <w:pPr>
      <w:spacing w:before="0" w:after="0"/>
    </w:pPr>
    <w:rPr>
      <w:sz w:val="20"/>
      <w:szCs w:val="20"/>
    </w:rPr>
  </w:style>
  <w:style w:type="character" w:customStyle="1" w:styleId="EndnoteTextChar">
    <w:name w:val="Endnote Text Char"/>
    <w:basedOn w:val="DefaultParagraphFont"/>
    <w:link w:val="EndnoteText"/>
    <w:uiPriority w:val="99"/>
    <w:semiHidden/>
    <w:rsid w:val="008D351C"/>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8D351C"/>
    <w:rPr>
      <w:vertAlign w:val="superscript"/>
    </w:rPr>
  </w:style>
  <w:style w:type="character" w:styleId="FollowedHyperlink">
    <w:name w:val="FollowedHyperlink"/>
    <w:basedOn w:val="DefaultParagraphFont"/>
    <w:uiPriority w:val="99"/>
    <w:semiHidden/>
    <w:unhideWhenUsed/>
    <w:rsid w:val="00C7665C"/>
    <w:rPr>
      <w:color w:val="800080" w:themeColor="followedHyperlink"/>
      <w:u w:val="single"/>
    </w:rPr>
  </w:style>
  <w:style w:type="character" w:customStyle="1" w:styleId="HeaderChar">
    <w:name w:val="Header Char"/>
    <w:basedOn w:val="DefaultParagraphFont"/>
    <w:link w:val="Header"/>
    <w:uiPriority w:val="99"/>
    <w:rsid w:val="00C2692C"/>
    <w:rPr>
      <w:rFonts w:ascii="Times New Roman" w:hAnsi="Times New Roman" w:cs="Times New Roman"/>
      <w:sz w:val="24"/>
      <w:lang w:val="en-GB"/>
    </w:rPr>
  </w:style>
  <w:style w:type="character" w:customStyle="1" w:styleId="FooterChar">
    <w:name w:val="Footer Char"/>
    <w:basedOn w:val="DefaultParagraphFont"/>
    <w:link w:val="Footer"/>
    <w:uiPriority w:val="99"/>
    <w:rsid w:val="00C2692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269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2692C"/>
    <w:pPr>
      <w:spacing w:before="0"/>
      <w:jc w:val="right"/>
    </w:pPr>
    <w:rPr>
      <w:sz w:val="28"/>
    </w:rPr>
  </w:style>
  <w:style w:type="paragraph" w:customStyle="1" w:styleId="FooterSensitivity">
    <w:name w:val="Footer Sensitivity"/>
    <w:basedOn w:val="Normal"/>
    <w:rsid w:val="00C269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2692C"/>
    <w:pPr>
      <w:tabs>
        <w:tab w:val="center" w:pos="4535"/>
        <w:tab w:val="right" w:pos="9071"/>
      </w:tabs>
      <w:spacing w:before="0"/>
    </w:pPr>
  </w:style>
  <w:style w:type="paragraph" w:customStyle="1" w:styleId="HeaderLandscape">
    <w:name w:val="HeaderLandscape"/>
    <w:basedOn w:val="Normal"/>
    <w:rsid w:val="00C2692C"/>
    <w:pPr>
      <w:tabs>
        <w:tab w:val="center" w:pos="7285"/>
        <w:tab w:val="right" w:pos="14003"/>
      </w:tabs>
      <w:spacing w:before="0"/>
    </w:pPr>
  </w:style>
  <w:style w:type="paragraph" w:styleId="Footer">
    <w:name w:val="footer"/>
    <w:basedOn w:val="Normal"/>
    <w:link w:val="FooterChar"/>
    <w:uiPriority w:val="99"/>
    <w:unhideWhenUsed/>
    <w:rsid w:val="00C2692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2692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58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pops.int/Portals/0/download.aspx?d=UNEP-POPS-COP-CONVTEXT-F.En.pdf"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ops.int/Portals/0/download.aspx?d=UNEP-POPS-COP-CONVTEXT-E.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en/analysis/publications/europes-state-of-water-2024" TargetMode="External"/><Relationship Id="rId2" Type="http://schemas.openxmlformats.org/officeDocument/2006/relationships/hyperlink" Target="https://echa.europa.eu/documents/10162/17233/rest_aromatic_brominated_flame_retardants_investigation_report_en.pdf/fe02b4cb-4603-8189-dab6-9975f16b509e?t=1734506465364" TargetMode="External"/><Relationship Id="rId1" Type="http://schemas.openxmlformats.org/officeDocument/2006/relationships/hyperlink" Target="https://op.europa.eu/en/publication-detail/-/publication/24097cfb-cf78-11ed-a05c-01aa75ed71a1/language-en" TargetMode="External"/><Relationship Id="rId6" Type="http://schemas.openxmlformats.org/officeDocument/2006/relationships/hyperlink" Target="http://data.europa.eu/eli/dec/2006/507/oj" TargetMode="External"/><Relationship Id="rId5" Type="http://schemas.openxmlformats.org/officeDocument/2006/relationships/hyperlink" Target="https://environment.ec.europa.eu/strategy/zero-pollution-action-plan_en" TargetMode="External"/><Relationship Id="rId4" Type="http://schemas.openxmlformats.org/officeDocument/2006/relationships/hyperlink" Target="https://commission.europa.eu/topics/environment/water-resilience-strategy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53f545d841efbe2c9dab5ef00fcc55e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1b3a6d710fffecef35e5e5af0085c7b2"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BE1B1-03A8-4371-B477-032257757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0E366A-8EE0-42BB-8A54-E0F034F6BC5A}">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8F8A66BB-134C-4822-96D9-09E5558B555B}">
  <ds:schemaRefs>
    <ds:schemaRef ds:uri="http://schemas.microsoft.com/sharepoint/v3/contenttype/forms"/>
  </ds:schemaRefs>
</ds:datastoreItem>
</file>

<file path=customXml/itemProps4.xml><?xml version="1.0" encoding="utf-8"?>
<ds:datastoreItem xmlns:ds="http://schemas.openxmlformats.org/officeDocument/2006/customXml" ds:itemID="{49CC27BB-16DC-41AB-A132-918617F53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46</TotalTime>
  <Pages>7</Pages>
  <Words>2074</Words>
  <Characters>11827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2026-01-13T14:17:00Z</dcterms:created>
  <dcterms:modified xsi:type="dcterms:W3CDTF">2026-01-28T07:55:00Z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2025-10-24T08:51:46Z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8b353eac-ae1e-4f4e-aab4-5e5bac122789</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