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492" w:rsidRPr="00AA0E92" w:rsidRDefault="006019E9" w:rsidP="006019E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B1DB14B-654A-4F21-AA3A-6131A268FD77" style="width:455.25pt;height:371.25pt">
            <v:imagedata r:id="rId11" o:title=""/>
          </v:shape>
        </w:pict>
      </w:r>
    </w:p>
    <w:p w:rsidR="00E66492" w:rsidRPr="00AA0E92" w:rsidRDefault="00E66492" w:rsidP="00E66492">
      <w:pPr>
        <w:rPr>
          <w:noProof/>
        </w:rPr>
        <w:sectPr w:rsidR="00E66492" w:rsidRPr="00AA0E92" w:rsidSect="006019E9">
          <w:footerReference w:type="even" r:id="rId12"/>
          <w:footerReference w:type="default" r:id="rId13"/>
          <w:pgSz w:w="11907" w:h="16839"/>
          <w:pgMar w:top="1134" w:right="1417" w:bottom="1134" w:left="1417" w:header="709" w:footer="709" w:gutter="0"/>
          <w:pgNumType w:start="0"/>
          <w:cols w:space="720"/>
          <w:docGrid w:linePitch="360"/>
        </w:sectPr>
      </w:pPr>
    </w:p>
    <w:p w:rsidR="00E66492" w:rsidRPr="00913B7A" w:rsidRDefault="00E66492" w:rsidP="00BB6B30">
      <w:pPr>
        <w:pStyle w:val="Exposdesmotifstitre"/>
        <w:rPr>
          <w:noProof/>
        </w:rPr>
      </w:pPr>
      <w:bookmarkStart w:id="0" w:name="_GoBack"/>
      <w:bookmarkEnd w:id="0"/>
      <w:r w:rsidRPr="00913B7A">
        <w:rPr>
          <w:noProof/>
        </w:rPr>
        <w:lastRenderedPageBreak/>
        <w:t>EXPUNERE DE MOTIVE</w:t>
      </w:r>
    </w:p>
    <w:p w:rsidR="00E66492" w:rsidRPr="00913B7A" w:rsidRDefault="00E66492" w:rsidP="00BB6B30">
      <w:pPr>
        <w:pStyle w:val="ManualHeading1"/>
        <w:rPr>
          <w:noProof/>
        </w:rPr>
      </w:pPr>
      <w:r w:rsidRPr="00913B7A">
        <w:rPr>
          <w:noProof/>
        </w:rPr>
        <w:t>1.</w:t>
      </w:r>
      <w:r w:rsidRPr="00913B7A">
        <w:rPr>
          <w:noProof/>
        </w:rPr>
        <w:tab/>
        <w:t>CONTEXTUL PROPUNERII</w:t>
      </w:r>
    </w:p>
    <w:p w:rsidR="00E66492" w:rsidRPr="00913B7A" w:rsidRDefault="00E66492" w:rsidP="00044058">
      <w:pPr>
        <w:pStyle w:val="ManualHeading2"/>
        <w:rPr>
          <w:rFonts w:eastAsia="Arial Unicode MS"/>
          <w:noProof/>
        </w:rPr>
      </w:pPr>
      <w:r w:rsidRPr="00913B7A">
        <w:rPr>
          <w:noProof/>
          <w:color w:val="000000"/>
          <w:u w:color="000000"/>
          <w:bdr w:val="nil"/>
        </w:rPr>
        <w:t>•</w:t>
      </w:r>
      <w:r w:rsidRPr="00913B7A">
        <w:rPr>
          <w:noProof/>
        </w:rPr>
        <w:tab/>
        <w:t>Motivele și obiectivele propunerii</w:t>
      </w:r>
    </w:p>
    <w:p w:rsidR="00137B68" w:rsidRPr="00AA0E92" w:rsidRDefault="00137B68" w:rsidP="00137B68">
      <w:pPr>
        <w:pBdr>
          <w:top w:val="nil"/>
          <w:left w:val="nil"/>
          <w:bottom w:val="nil"/>
          <w:right w:val="nil"/>
          <w:between w:val="nil"/>
          <w:bar w:val="nil"/>
        </w:pBdr>
        <w:spacing w:before="0" w:after="240"/>
        <w:rPr>
          <w:rFonts w:eastAsia="Arial Unicode MS"/>
          <w:noProof/>
        </w:rPr>
      </w:pPr>
      <w:r w:rsidRPr="00AA0E92">
        <w:rPr>
          <w:noProof/>
        </w:rPr>
        <w:t>Decizia se referă la o propunere, în numele Uniunii Europene, de includere a substanței tetrabromoftalat de bis (</w:t>
      </w:r>
      <w:r w:rsidRPr="00913B7A">
        <w:rPr>
          <w:noProof/>
        </w:rPr>
        <w:t>2</w:t>
      </w:r>
      <w:r w:rsidRPr="00AA0E92">
        <w:rPr>
          <w:noProof/>
        </w:rPr>
        <w:t>-etilhexil) (TBPH) pe lista din anexa A sau B la Convenția de la Stockholm privind poluanții organici persistenți („convenția”). Propunerea reprezintă prima etapă a unui proces care va dura cel puțin trei ani înainte ca părțile la convenție să poată lua o decizie cu caracter obligatoriu.</w:t>
      </w:r>
    </w:p>
    <w:p w:rsidR="00137B68" w:rsidRPr="00AA0E92" w:rsidRDefault="00137B68" w:rsidP="00137B68">
      <w:pPr>
        <w:pBdr>
          <w:top w:val="nil"/>
          <w:left w:val="nil"/>
          <w:bottom w:val="nil"/>
          <w:right w:val="nil"/>
          <w:between w:val="nil"/>
          <w:bar w:val="nil"/>
        </w:pBdr>
        <w:spacing w:before="0" w:after="240"/>
        <w:rPr>
          <w:rFonts w:eastAsia="Arial Unicode MS"/>
          <w:noProof/>
        </w:rPr>
      </w:pPr>
      <w:r w:rsidRPr="00AA0E92">
        <w:rPr>
          <w:noProof/>
        </w:rPr>
        <w:t xml:space="preserve">Propunerea se bazează pe o evaluare științifică din care reiese că substanța îndeplinește criteriile obiective stabilite de convenție pentru identificarea poluanților organici persistenți (POP). Datorită legislației avansate a UE privind substanțele chimice și surselor bogate de date, UE are cunoștințe foarte ample despre substanțele chimice, inclusiv despre utilizarea și siguranța acestora. Având în vedere aceste cunoștințe solide cu privire la potențialele substanțe POP, care sunt deja sau sunt în curs de a fi reglementate în UE, UE urmărește să ia măsuri pentru a controla riscurile prezentate de această substanță la nivel mondial, precum și pentru a asigura condiții de concurență echitabile la nivel mondial pentru industria UE. </w:t>
      </w:r>
    </w:p>
    <w:p w:rsidR="00137B68" w:rsidRPr="00AA0E92" w:rsidRDefault="00137B68" w:rsidP="00137B68">
      <w:pPr>
        <w:pBdr>
          <w:top w:val="nil"/>
          <w:left w:val="nil"/>
          <w:bottom w:val="nil"/>
          <w:right w:val="nil"/>
          <w:between w:val="nil"/>
          <w:bar w:val="nil"/>
        </w:pBdr>
        <w:spacing w:before="0" w:after="240"/>
        <w:rPr>
          <w:rFonts w:eastAsia="Arial Unicode MS"/>
          <w:noProof/>
        </w:rPr>
      </w:pPr>
      <w:r w:rsidRPr="00AA0E92">
        <w:rPr>
          <w:noProof/>
        </w:rPr>
        <w:t xml:space="preserve">Convenția, aprobată prin Decizia </w:t>
      </w:r>
      <w:r w:rsidRPr="00913B7A">
        <w:rPr>
          <w:noProof/>
        </w:rPr>
        <w:t>2006</w:t>
      </w:r>
      <w:r w:rsidRPr="00AA0E92">
        <w:rPr>
          <w:noProof/>
        </w:rPr>
        <w:t>/</w:t>
      </w:r>
      <w:r w:rsidRPr="00913B7A">
        <w:rPr>
          <w:noProof/>
        </w:rPr>
        <w:t>507</w:t>
      </w:r>
      <w:r w:rsidRPr="00AA0E92">
        <w:rPr>
          <w:noProof/>
        </w:rPr>
        <w:t>/CE a Consiliului</w:t>
      </w:r>
      <w:r w:rsidRPr="00AA0E92">
        <w:rPr>
          <w:rStyle w:val="FootnoteReference"/>
          <w:noProof/>
        </w:rPr>
        <w:footnoteReference w:id="1"/>
      </w:r>
      <w:r w:rsidRPr="00AA0E92">
        <w:rPr>
          <w:noProof/>
        </w:rPr>
        <w:t xml:space="preserve">, a intrat în vigoare la </w:t>
      </w:r>
      <w:r w:rsidRPr="00913B7A">
        <w:rPr>
          <w:noProof/>
        </w:rPr>
        <w:t>17</w:t>
      </w:r>
      <w:r w:rsidRPr="00AA0E92">
        <w:rPr>
          <w:noProof/>
        </w:rPr>
        <w:t> mai</w:t>
      </w:r>
      <w:r w:rsidR="00913B7A">
        <w:rPr>
          <w:noProof/>
        </w:rPr>
        <w:t> </w:t>
      </w:r>
      <w:r w:rsidRPr="00913B7A">
        <w:rPr>
          <w:noProof/>
        </w:rPr>
        <w:t>2004</w:t>
      </w:r>
      <w:r w:rsidRPr="00AA0E92">
        <w:rPr>
          <w:noProof/>
        </w:rPr>
        <w:t>. Obiectivul convenției este de a proteja sănătatea umană și mediul împotriva poluanților organici persistenți. Convenția oferă un cadru, bazat pe principiul precauției, pentru eliminarea producției, a utilizării, a importului și a exportului de poluanți organici persistenți, pentru manipularea și eliminarea în condiții de siguranță a acestora și pentru eliminarea sau reducerea emisiilor de anumiți poluanți organici persistenți produși în mod neintenționat.</w:t>
      </w:r>
    </w:p>
    <w:p w:rsidR="00137B68" w:rsidRPr="00AA0E92" w:rsidRDefault="00137B68" w:rsidP="00137B68">
      <w:pPr>
        <w:pBdr>
          <w:top w:val="nil"/>
          <w:left w:val="nil"/>
          <w:bottom w:val="nil"/>
          <w:right w:val="nil"/>
          <w:between w:val="nil"/>
          <w:bar w:val="nil"/>
        </w:pBdr>
        <w:spacing w:before="0" w:after="240"/>
        <w:rPr>
          <w:rFonts w:eastAsia="Arial Unicode MS"/>
          <w:noProof/>
        </w:rPr>
      </w:pPr>
      <w:r w:rsidRPr="00AA0E92">
        <w:rPr>
          <w:noProof/>
        </w:rPr>
        <w:t xml:space="preserve">Regulamentul (UE) </w:t>
      </w:r>
      <w:r w:rsidRPr="00913B7A">
        <w:rPr>
          <w:noProof/>
        </w:rPr>
        <w:t>2019</w:t>
      </w:r>
      <w:r w:rsidRPr="00AA0E92">
        <w:rPr>
          <w:noProof/>
        </w:rPr>
        <w:t>/</w:t>
      </w:r>
      <w:r w:rsidRPr="00913B7A">
        <w:rPr>
          <w:noProof/>
        </w:rPr>
        <w:t>1021</w:t>
      </w:r>
      <w:r w:rsidRPr="00AA0E92">
        <w:rPr>
          <w:noProof/>
        </w:rPr>
        <w:t xml:space="preserve"> al Parlamentului European și al Consiliului</w:t>
      </w:r>
      <w:r w:rsidRPr="00AA0E92">
        <w:rPr>
          <w:rStyle w:val="FootnoteReference"/>
          <w:noProof/>
        </w:rPr>
        <w:footnoteReference w:id="2"/>
      </w:r>
      <w:r w:rsidRPr="00AA0E92">
        <w:rPr>
          <w:noProof/>
        </w:rPr>
        <w:t xml:space="preserve"> transpune în dreptul Uniunii angajamentele stabilite în convenție și în Protocolul la Convenția din </w:t>
      </w:r>
      <w:r w:rsidRPr="00913B7A">
        <w:rPr>
          <w:noProof/>
        </w:rPr>
        <w:t>1979</w:t>
      </w:r>
      <w:r w:rsidRPr="00AA0E92">
        <w:rPr>
          <w:noProof/>
        </w:rPr>
        <w:t xml:space="preserve"> privind poluarea atmosferică transfrontalieră pe distanțe lungi, referitor la poluanții organici persistenți („protocolul”), aprobat prin Decizia </w:t>
      </w:r>
      <w:r w:rsidRPr="00913B7A">
        <w:rPr>
          <w:noProof/>
        </w:rPr>
        <w:t>2004</w:t>
      </w:r>
      <w:r w:rsidRPr="00AA0E92">
        <w:rPr>
          <w:noProof/>
        </w:rPr>
        <w:t>/</w:t>
      </w:r>
      <w:r w:rsidRPr="00913B7A">
        <w:rPr>
          <w:noProof/>
        </w:rPr>
        <w:t>259</w:t>
      </w:r>
      <w:r w:rsidRPr="00AA0E92">
        <w:rPr>
          <w:noProof/>
        </w:rPr>
        <w:t>/CE a Consiliului</w:t>
      </w:r>
      <w:r w:rsidRPr="00AA0E92">
        <w:rPr>
          <w:rStyle w:val="FootnoteReference"/>
          <w:noProof/>
        </w:rPr>
        <w:footnoteReference w:id="3"/>
      </w:r>
      <w:r w:rsidRPr="00AA0E92">
        <w:rPr>
          <w:noProof/>
        </w:rPr>
        <w:t>.</w:t>
      </w:r>
    </w:p>
    <w:p w:rsidR="00137B68" w:rsidRPr="00AA0E92" w:rsidRDefault="00137B68" w:rsidP="00137B68">
      <w:pPr>
        <w:pBdr>
          <w:top w:val="nil"/>
          <w:left w:val="nil"/>
          <w:bottom w:val="nil"/>
          <w:right w:val="nil"/>
          <w:between w:val="nil"/>
          <w:bar w:val="nil"/>
        </w:pBdr>
        <w:spacing w:before="0" w:after="240"/>
        <w:rPr>
          <w:rFonts w:eastAsia="Arial Unicode MS"/>
          <w:noProof/>
        </w:rPr>
      </w:pPr>
      <w:r w:rsidRPr="00AA0E92">
        <w:rPr>
          <w:noProof/>
        </w:rPr>
        <w:t xml:space="preserve">Articolul </w:t>
      </w:r>
      <w:r w:rsidRPr="00913B7A">
        <w:rPr>
          <w:noProof/>
        </w:rPr>
        <w:t>8</w:t>
      </w:r>
      <w:r w:rsidRPr="00AA0E92">
        <w:rPr>
          <w:noProof/>
        </w:rPr>
        <w:t xml:space="preserve"> alineatul (</w:t>
      </w:r>
      <w:r w:rsidRPr="00913B7A">
        <w:rPr>
          <w:noProof/>
        </w:rPr>
        <w:t>1</w:t>
      </w:r>
      <w:r w:rsidRPr="00AA0E92">
        <w:rPr>
          <w:noProof/>
        </w:rPr>
        <w:t xml:space="preserve">) din convenție prevede că orice parte poate prezenta secretariatului o propunere de includere a unei substanțe chimice pe listele din anexele A, B și/sau C la convenție, care va fi apoi analizată de Comitetul de examinare a poluanților organici persistenți (POPRC), în conformitate cu articolul </w:t>
      </w:r>
      <w:r w:rsidRPr="00913B7A">
        <w:rPr>
          <w:noProof/>
        </w:rPr>
        <w:t>8</w:t>
      </w:r>
      <w:r w:rsidRPr="00AA0E92">
        <w:rPr>
          <w:noProof/>
        </w:rPr>
        <w:t xml:space="preserve"> alineatele (</w:t>
      </w:r>
      <w:r w:rsidRPr="00913B7A">
        <w:rPr>
          <w:noProof/>
        </w:rPr>
        <w:t>3</w:t>
      </w:r>
      <w:r w:rsidRPr="00AA0E92">
        <w:rPr>
          <w:noProof/>
        </w:rPr>
        <w:t>) și (</w:t>
      </w:r>
      <w:r w:rsidRPr="00913B7A">
        <w:rPr>
          <w:noProof/>
        </w:rPr>
        <w:t>4</w:t>
      </w:r>
      <w:r w:rsidRPr="00AA0E92">
        <w:rPr>
          <w:noProof/>
        </w:rPr>
        <w:t xml:space="preserve">). Propunerea conține informațiile specificate în anexa D privind „Informațiile cerute și criteriile de selecție”. POPRC a examinat propunerea și a aplicat criteriile de selecție specificate în anexa D. În cazul în care consideră că au fost îndeplinite criteriile de selecție, POPRC invită părțile și observatorii să transmită informațiile specificate în </w:t>
      </w:r>
      <w:hyperlink r:id="rId14" w:history="1">
        <w:r w:rsidRPr="00913B7A">
          <w:rPr>
            <w:rStyle w:val="Hyperlink"/>
            <w:noProof/>
          </w:rPr>
          <w:t>anexa E</w:t>
        </w:r>
      </w:hyperlink>
      <w:r w:rsidRPr="00AA0E92">
        <w:rPr>
          <w:noProof/>
        </w:rPr>
        <w:t xml:space="preserve"> și elaborează un profil de risc. Pe baza profilului de risc, POPRC decide dacă substanța chimică poate, ca urmare a propagării sale în mediu, pe distanță lungă, să aibă efecte nocive semnificative asupra sănătății umane </w:t>
      </w:r>
      <w:r w:rsidRPr="00AA0E92">
        <w:rPr>
          <w:noProof/>
        </w:rPr>
        <w:lastRenderedPageBreak/>
        <w:t xml:space="preserve">și/sau a mediului care impun adoptarea unor măsuri la nivel mondial. În cazul în care decide că propunerea este admisă, POPRC invită părțile și observatorii să prezinte informații referitoare la efectele socioeconomice specificate în </w:t>
      </w:r>
      <w:hyperlink r:id="rId15" w:history="1">
        <w:r w:rsidRPr="00913B7A">
          <w:rPr>
            <w:rStyle w:val="Hyperlink"/>
            <w:noProof/>
          </w:rPr>
          <w:t>anexa F</w:t>
        </w:r>
      </w:hyperlink>
      <w:r w:rsidRPr="00AA0E92">
        <w:rPr>
          <w:noProof/>
        </w:rPr>
        <w:t xml:space="preserve"> și elaborează o evaluare a gestiunii riscurilor.</w:t>
      </w:r>
      <w:r w:rsidRPr="00AA0E92">
        <w:rPr>
          <w:rFonts w:ascii="Roboto" w:hAnsi="Roboto"/>
          <w:noProof/>
          <w:color w:val="000000"/>
          <w:shd w:val="clear" w:color="auto" w:fill="FFFFFF"/>
        </w:rPr>
        <w:t xml:space="preserve"> </w:t>
      </w:r>
      <w:r w:rsidRPr="00AA0E92">
        <w:rPr>
          <w:noProof/>
        </w:rPr>
        <w:t xml:space="preserve">Pe baza profilului de risc și a evaluării gestiunii riscurilor, POPRC recomandă dacă substanța chimică ar trebui luată în considerare de Conferința părților pentru includerea pe listele din anexele A, B și/sau C. Pe baza recomandării POPRC, Conferința părților decide dacă să includă o substanță în anexa A (eliminare), în anexa B (restricții) și/sau în anexa C (producere neintenționată). Procedura privind adoptarea de modificări ale anexelor este reglementată de articolul </w:t>
      </w:r>
      <w:r w:rsidRPr="00913B7A">
        <w:rPr>
          <w:noProof/>
        </w:rPr>
        <w:t>22</w:t>
      </w:r>
      <w:r w:rsidRPr="00AA0E92">
        <w:rPr>
          <w:noProof/>
        </w:rPr>
        <w:t xml:space="preserve"> din convenție.</w:t>
      </w:r>
    </w:p>
    <w:p w:rsidR="00137B68" w:rsidRPr="00AA0E92" w:rsidRDefault="00E56809" w:rsidP="00137B68">
      <w:pPr>
        <w:pBdr>
          <w:top w:val="nil"/>
          <w:left w:val="nil"/>
          <w:bottom w:val="nil"/>
          <w:right w:val="nil"/>
          <w:between w:val="nil"/>
          <w:bar w:val="nil"/>
        </w:pBdr>
        <w:spacing w:before="0" w:after="240"/>
        <w:rPr>
          <w:rFonts w:eastAsia="Arial Unicode MS"/>
          <w:noProof/>
        </w:rPr>
      </w:pPr>
      <w:r w:rsidRPr="00AA0E92">
        <w:rPr>
          <w:noProof/>
        </w:rPr>
        <w:t>TBPH este un agent de ignifugare bromurat, identificat în UE ca substanță care prezintă motive de îngrijorare deosebită în conformitate cu articolul </w:t>
      </w:r>
      <w:r w:rsidRPr="00913B7A">
        <w:rPr>
          <w:noProof/>
        </w:rPr>
        <w:t>57</w:t>
      </w:r>
      <w:r w:rsidRPr="00AA0E92">
        <w:rPr>
          <w:noProof/>
        </w:rPr>
        <w:t xml:space="preserve"> litera (e) din Regulamentul (UE) nr. </w:t>
      </w:r>
      <w:r w:rsidRPr="00913B7A">
        <w:rPr>
          <w:noProof/>
        </w:rPr>
        <w:t>1907</w:t>
      </w:r>
      <w:r w:rsidRPr="00AA0E92">
        <w:rPr>
          <w:noProof/>
        </w:rPr>
        <w:t>/</w:t>
      </w:r>
      <w:r w:rsidRPr="00913B7A">
        <w:rPr>
          <w:noProof/>
        </w:rPr>
        <w:t>2006</w:t>
      </w:r>
      <w:r w:rsidRPr="00AA0E92">
        <w:rPr>
          <w:noProof/>
        </w:rPr>
        <w:t>, din cauză că proprietățile sale fac ca aceasta să fie foarte persistentă și foarte bioacumulativă. Conform datelor științifice disponibile, TBPH este, de asemenea, toxic și poate fi propagat pe distanță lungă, prezența sa fiind înregistrată în regiuni îndepărtate. Prin urmare, TBPH îndeplinește criteriile din anexa D la convenție și ar trebui să fie considerat un potențial poluant organic persistent. Detaliile evaluării sunt disponibile în dosarul științific care va însoți propunerea de includere a TBPH pe lista din anexa A sau B la Convenția de la Stockholm.</w:t>
      </w:r>
    </w:p>
    <w:p w:rsidR="00137B68" w:rsidRPr="00AA0E92" w:rsidRDefault="00137B68" w:rsidP="00137B68">
      <w:pPr>
        <w:pBdr>
          <w:top w:val="nil"/>
          <w:left w:val="nil"/>
          <w:bottom w:val="nil"/>
          <w:right w:val="nil"/>
          <w:between w:val="nil"/>
          <w:bar w:val="nil"/>
        </w:pBdr>
        <w:spacing w:before="0" w:after="240"/>
        <w:rPr>
          <w:rFonts w:eastAsia="Arial Unicode MS"/>
          <w:noProof/>
        </w:rPr>
      </w:pPr>
      <w:r w:rsidRPr="00AA0E92">
        <w:rPr>
          <w:noProof/>
        </w:rPr>
        <w:t xml:space="preserve">În vederea începerii examinării dosarului la următoarea reuniune a POPRC din octombrie </w:t>
      </w:r>
      <w:r w:rsidRPr="00913B7A">
        <w:rPr>
          <w:noProof/>
        </w:rPr>
        <w:t>2026</w:t>
      </w:r>
      <w:r w:rsidRPr="00AA0E92">
        <w:rPr>
          <w:noProof/>
        </w:rPr>
        <w:t xml:space="preserve">, termenul de depunere a unei propuneri este aprilie </w:t>
      </w:r>
      <w:r w:rsidRPr="00913B7A">
        <w:rPr>
          <w:noProof/>
        </w:rPr>
        <w:t>2026</w:t>
      </w:r>
      <w:r w:rsidRPr="00AA0E92">
        <w:rPr>
          <w:noProof/>
        </w:rPr>
        <w:t xml:space="preserve">. Având în vedere competențele UE în acest domeniu, este oportun ca, în numele Uniunii, Comisia să prezinte secretariatului Convenției de la Stockholm o propunere de includere a TBPH pe lista din anexa A sau B. Dosarul științific inclus în propunere va fi examinat în conformitate cu criteriile și procedurile prevăzute în convenție, înainte ca o decizie privind includerea pe listă să poată fi luată de către Conferința părților. Evaluarea științifică în temeiul convenției durează cel puțin trei ani și, prin urmare, o decizie privind includerea TBPH în convenție va fi posibilă numai în cadrul reuniunii ordinare a Conferinței părților din </w:t>
      </w:r>
      <w:r w:rsidRPr="00913B7A">
        <w:rPr>
          <w:noProof/>
        </w:rPr>
        <w:t>2029</w:t>
      </w:r>
      <w:r w:rsidRPr="00AA0E92">
        <w:rPr>
          <w:noProof/>
        </w:rPr>
        <w:t>, cel mai devreme.</w:t>
      </w:r>
    </w:p>
    <w:p w:rsidR="00E66492" w:rsidRPr="00913B7A" w:rsidRDefault="00E66492" w:rsidP="00044058">
      <w:pPr>
        <w:pStyle w:val="ManualHeading2"/>
        <w:rPr>
          <w:rFonts w:eastAsia="Arial Unicode MS"/>
          <w:noProof/>
          <w:color w:val="000000"/>
          <w:u w:color="000000"/>
          <w:bdr w:val="nil"/>
        </w:rPr>
      </w:pPr>
      <w:r w:rsidRPr="00913B7A">
        <w:rPr>
          <w:noProof/>
          <w:color w:val="000000"/>
          <w:u w:color="000000"/>
          <w:bdr w:val="nil"/>
        </w:rPr>
        <w:t>•</w:t>
      </w:r>
      <w:r w:rsidRPr="00913B7A">
        <w:rPr>
          <w:noProof/>
        </w:rPr>
        <w:tab/>
        <w:t>Coerența cu dispozițiile existente în domeniul de politică vizat</w:t>
      </w:r>
    </w:p>
    <w:p w:rsidR="001249B3" w:rsidRPr="00AA0E92" w:rsidRDefault="001249B3" w:rsidP="001249B3">
      <w:pPr>
        <w:pBdr>
          <w:top w:val="nil"/>
          <w:left w:val="nil"/>
          <w:bottom w:val="nil"/>
          <w:right w:val="nil"/>
          <w:between w:val="nil"/>
          <w:bar w:val="nil"/>
        </w:pBdr>
        <w:spacing w:before="0" w:after="240"/>
        <w:rPr>
          <w:rFonts w:eastAsia="Arial Unicode MS"/>
          <w:noProof/>
        </w:rPr>
      </w:pPr>
      <w:r w:rsidRPr="00AA0E92">
        <w:rPr>
          <w:noProof/>
        </w:rPr>
        <w:t xml:space="preserve">Propunerea este consecventă cu Regulamentul (UE) </w:t>
      </w:r>
      <w:r w:rsidRPr="00913B7A">
        <w:rPr>
          <w:noProof/>
        </w:rPr>
        <w:t>2019</w:t>
      </w:r>
      <w:r w:rsidRPr="00AA0E92">
        <w:rPr>
          <w:noProof/>
        </w:rPr>
        <w:t>/</w:t>
      </w:r>
      <w:r w:rsidRPr="00913B7A">
        <w:rPr>
          <w:noProof/>
        </w:rPr>
        <w:t>1021</w:t>
      </w:r>
      <w:r w:rsidRPr="00AA0E92">
        <w:rPr>
          <w:noProof/>
        </w:rPr>
        <w:t>, care pune în aplicare Convenția de la Stockholm în Uniune, și completează punerea în aplicare a acestuia. Propunerea este în deplină conformitate cu obiectivul de a proteja sănătatea umană și mediul împotriva poluanților organici persistenți.</w:t>
      </w:r>
    </w:p>
    <w:p w:rsidR="00E66492" w:rsidRPr="00913B7A" w:rsidRDefault="00E66492" w:rsidP="00A4693B">
      <w:pPr>
        <w:pStyle w:val="ManualHeading2"/>
        <w:rPr>
          <w:rFonts w:eastAsia="Arial Unicode MS"/>
          <w:noProof/>
        </w:rPr>
      </w:pPr>
      <w:r w:rsidRPr="00913B7A">
        <w:rPr>
          <w:noProof/>
          <w:color w:val="000000"/>
          <w:u w:color="000000"/>
          <w:bdr w:val="nil"/>
        </w:rPr>
        <w:t>•</w:t>
      </w:r>
      <w:r w:rsidRPr="00913B7A">
        <w:rPr>
          <w:noProof/>
        </w:rPr>
        <w:tab/>
        <w:t>Coerența cu alte politici ale Uniunii</w:t>
      </w:r>
    </w:p>
    <w:p w:rsidR="00CC6C09" w:rsidRPr="00AA0E92" w:rsidRDefault="007C112C" w:rsidP="00CC6C09">
      <w:pPr>
        <w:spacing w:before="60" w:after="60"/>
        <w:rPr>
          <w:rFonts w:eastAsia="Arial Unicode MS"/>
          <w:noProof/>
        </w:rPr>
      </w:pPr>
      <w:r w:rsidRPr="00AA0E92">
        <w:rPr>
          <w:noProof/>
        </w:rPr>
        <w:t>Agenția Europeană pentru Produse Chimice a efectuat o evaluare științifică a pericolelor și a utilizărilor unui grup de agenți de ignifugare bromurați</w:t>
      </w:r>
      <w:r w:rsidRPr="00AA0E92">
        <w:rPr>
          <w:rStyle w:val="FootnoteReference"/>
          <w:rFonts w:eastAsia="Arial Unicode MS"/>
          <w:noProof/>
        </w:rPr>
        <w:footnoteReference w:id="4"/>
      </w:r>
      <w:r w:rsidRPr="00AA0E92">
        <w:rPr>
          <w:noProof/>
        </w:rPr>
        <w:t xml:space="preserve">, inclusiv a TBPH, și, pe baza rezultatelor acestei activități, Comisia este în curs de a mandata ECHA </w:t>
      </w:r>
      <w:bookmarkStart w:id="1" w:name="_Hlk213081748"/>
      <w:r w:rsidRPr="00AA0E92">
        <w:rPr>
          <w:noProof/>
        </w:rPr>
        <w:t>să pregătească un dosar în conformitate cu anexa XV pentru o restricționare în temeiul REACH</w:t>
      </w:r>
      <w:bookmarkEnd w:id="1"/>
      <w:r w:rsidRPr="00AA0E92">
        <w:rPr>
          <w:noProof/>
        </w:rPr>
        <w:t xml:space="preserve">. Desemnarea TBPH în </w:t>
      </w:r>
      <w:r w:rsidRPr="00913B7A">
        <w:rPr>
          <w:noProof/>
        </w:rPr>
        <w:t>2026</w:t>
      </w:r>
      <w:r w:rsidRPr="00AA0E92">
        <w:rPr>
          <w:noProof/>
        </w:rPr>
        <w:t xml:space="preserve"> ar permite înregistrarea de progrese în paralel în ceea ce privește cele două restricții (la nivelul UE și la nivel internațional), procesul în baza Convenției de la Stockholm utilizând informațiile generate în timpul procesului de restricționare desfășurat în temeiul REACH (inclusiv costurile, beneficiile și disponibilitatea alternativelor). Astfel, s-ar evita o perioadă de mai mulți ani în care substanța ar fi restricționată în UE, dar nu și la nivel mondial. </w:t>
      </w:r>
    </w:p>
    <w:p w:rsidR="007C112C" w:rsidRPr="00AA0E92" w:rsidRDefault="00CC6C09" w:rsidP="00CC6C09">
      <w:pPr>
        <w:pBdr>
          <w:top w:val="nil"/>
          <w:left w:val="nil"/>
          <w:bottom w:val="nil"/>
          <w:right w:val="nil"/>
          <w:between w:val="nil"/>
          <w:bar w:val="nil"/>
        </w:pBdr>
        <w:spacing w:before="0" w:after="240"/>
        <w:rPr>
          <w:rFonts w:eastAsia="Arial Unicode MS"/>
          <w:noProof/>
        </w:rPr>
      </w:pPr>
      <w:r w:rsidRPr="00AA0E92">
        <w:rPr>
          <w:noProof/>
        </w:rPr>
        <w:lastRenderedPageBreak/>
        <w:t>Această inițiativă va reduce una dintre categoriile de poluare persistentă a apelor UE identificate în temeiul Directivei-cadru privind apa în raportul privind starea apei</w:t>
      </w:r>
      <w:r w:rsidRPr="00AA0E92">
        <w:rPr>
          <w:rStyle w:val="FootnoteReference"/>
          <w:rFonts w:eastAsia="Arial Unicode MS"/>
          <w:noProof/>
        </w:rPr>
        <w:footnoteReference w:id="5"/>
      </w:r>
      <w:r w:rsidRPr="00AA0E92">
        <w:rPr>
          <w:noProof/>
        </w:rPr>
        <w:t xml:space="preserve"> al Agenției Europene de Mediu și, prin urmare, va contribui la agenda UE privind reziliența în domeniul apei</w:t>
      </w:r>
      <w:r w:rsidRPr="00AA0E92">
        <w:rPr>
          <w:rStyle w:val="FootnoteReference"/>
          <w:rFonts w:eastAsia="Arial Unicode MS"/>
          <w:noProof/>
        </w:rPr>
        <w:footnoteReference w:id="6"/>
      </w:r>
      <w:r w:rsidRPr="00AA0E92">
        <w:rPr>
          <w:noProof/>
        </w:rPr>
        <w:t xml:space="preserve"> și reducerea la zero a poluării</w:t>
      </w:r>
      <w:r w:rsidRPr="00AA0E92">
        <w:rPr>
          <w:rStyle w:val="FootnoteReference"/>
          <w:rFonts w:eastAsia="Arial Unicode MS"/>
          <w:noProof/>
        </w:rPr>
        <w:footnoteReference w:id="7"/>
      </w:r>
      <w:r w:rsidRPr="00AA0E92">
        <w:rPr>
          <w:noProof/>
        </w:rPr>
        <w:t>.</w:t>
      </w:r>
      <w:r w:rsidR="00913B7A">
        <w:rPr>
          <w:noProof/>
        </w:rPr>
        <w:t xml:space="preserve"> </w:t>
      </w:r>
      <w:r w:rsidRPr="00AA0E92">
        <w:rPr>
          <w:noProof/>
        </w:rPr>
        <w:t>Pe lângă beneficiile globale ale includerii TBPH pe listă în temeiul Convenției de la Stockholm, propunerea ar permite alinierea viitoarei restricții a UE care ar putea rezulta din procesul desfășurat în temeiul REACH la restricția globală în temeiul Convenției de la Stockholm și ar asigura condiții de concurență echitabile la nivel mondial pentru întreprinderile din UE.</w:t>
      </w:r>
    </w:p>
    <w:p w:rsidR="00E66492" w:rsidRPr="00913B7A" w:rsidRDefault="00E66492" w:rsidP="00550536">
      <w:pPr>
        <w:pStyle w:val="ManualHeading1"/>
        <w:rPr>
          <w:noProof/>
        </w:rPr>
      </w:pPr>
      <w:r w:rsidRPr="00913B7A">
        <w:rPr>
          <w:noProof/>
        </w:rPr>
        <w:t>2.</w:t>
      </w:r>
      <w:r w:rsidRPr="00913B7A">
        <w:rPr>
          <w:noProof/>
        </w:rPr>
        <w:tab/>
        <w:t>TEMEI JURIDIC, SUBSIDIARITATE ȘI PROPORȚIONALITATE</w:t>
      </w:r>
    </w:p>
    <w:p w:rsidR="00E66492" w:rsidRPr="00913B7A" w:rsidRDefault="00E66492" w:rsidP="00A4693B">
      <w:pPr>
        <w:pStyle w:val="ManualHeading2"/>
        <w:rPr>
          <w:rFonts w:eastAsia="Arial Unicode MS"/>
          <w:noProof/>
          <w:u w:color="000000"/>
          <w:bdr w:val="nil"/>
        </w:rPr>
      </w:pPr>
      <w:r w:rsidRPr="00913B7A">
        <w:rPr>
          <w:noProof/>
          <w:u w:color="000000"/>
          <w:bdr w:val="nil"/>
        </w:rPr>
        <w:t>•</w:t>
      </w:r>
      <w:r w:rsidRPr="00913B7A">
        <w:rPr>
          <w:noProof/>
        </w:rPr>
        <w:tab/>
      </w:r>
      <w:r w:rsidRPr="00913B7A">
        <w:rPr>
          <w:noProof/>
          <w:u w:color="000000"/>
          <w:bdr w:val="nil"/>
        </w:rPr>
        <w:t>Temeiul juridic</w:t>
      </w:r>
    </w:p>
    <w:p w:rsidR="007C112C" w:rsidRPr="00AA0E92" w:rsidRDefault="007C112C" w:rsidP="007C112C">
      <w:pPr>
        <w:pBdr>
          <w:top w:val="nil"/>
          <w:left w:val="nil"/>
          <w:bottom w:val="nil"/>
          <w:right w:val="nil"/>
          <w:between w:val="nil"/>
          <w:bar w:val="nil"/>
        </w:pBdr>
        <w:spacing w:before="0" w:after="240"/>
        <w:rPr>
          <w:noProof/>
        </w:rPr>
      </w:pPr>
      <w:r w:rsidRPr="00AA0E92">
        <w:rPr>
          <w:noProof/>
        </w:rPr>
        <w:t xml:space="preserve">Temeiul juridic procedural al propunerii de decizie a Consiliului este articolul </w:t>
      </w:r>
      <w:r w:rsidRPr="00913B7A">
        <w:rPr>
          <w:noProof/>
        </w:rPr>
        <w:t>218</w:t>
      </w:r>
      <w:r w:rsidRPr="00AA0E92">
        <w:rPr>
          <w:noProof/>
        </w:rPr>
        <w:t xml:space="preserve"> alineatul (</w:t>
      </w:r>
      <w:r w:rsidRPr="00913B7A">
        <w:rPr>
          <w:noProof/>
        </w:rPr>
        <w:t>9</w:t>
      </w:r>
      <w:r w:rsidRPr="00AA0E92">
        <w:rPr>
          <w:noProof/>
        </w:rPr>
        <w:t>) din TFUE, care constituie temeiul adecvat pentru un act care definește poziția Uniunii Europene în ceea ce privește un acord internațional, în acest caz Convenția de la Stockholm.</w:t>
      </w:r>
    </w:p>
    <w:p w:rsidR="007C112C" w:rsidRPr="00AA0E92" w:rsidRDefault="007C112C" w:rsidP="007C112C">
      <w:pPr>
        <w:pBdr>
          <w:top w:val="nil"/>
          <w:left w:val="nil"/>
          <w:bottom w:val="nil"/>
          <w:right w:val="nil"/>
          <w:between w:val="nil"/>
          <w:bar w:val="nil"/>
        </w:pBdr>
        <w:spacing w:before="0" w:after="240"/>
        <w:rPr>
          <w:rFonts w:eastAsia="Arial Unicode MS"/>
          <w:noProof/>
        </w:rPr>
      </w:pPr>
      <w:r w:rsidRPr="00AA0E92">
        <w:rPr>
          <w:noProof/>
        </w:rPr>
        <w:t>Temeiul juridic de fond este articolul </w:t>
      </w:r>
      <w:r w:rsidRPr="00913B7A">
        <w:rPr>
          <w:noProof/>
        </w:rPr>
        <w:t>192</w:t>
      </w:r>
      <w:r w:rsidRPr="00AA0E92">
        <w:rPr>
          <w:noProof/>
        </w:rPr>
        <w:t xml:space="preserve"> alineatul (</w:t>
      </w:r>
      <w:r w:rsidRPr="00913B7A">
        <w:rPr>
          <w:noProof/>
        </w:rPr>
        <w:t>1</w:t>
      </w:r>
      <w:r w:rsidRPr="00AA0E92">
        <w:rPr>
          <w:noProof/>
        </w:rPr>
        <w:t>) din TFUE, întrucât măsurile convenite în temeiul Convenției de la Stockholm urmăresc, în principal, un obiectiv de protecție a mediului (și anume controlul poluanților organici persistenți).</w:t>
      </w:r>
    </w:p>
    <w:p w:rsidR="00E66492" w:rsidRPr="00913B7A" w:rsidRDefault="00E66492" w:rsidP="00A4693B">
      <w:pPr>
        <w:pStyle w:val="ManualHeading2"/>
        <w:rPr>
          <w:rFonts w:eastAsia="Arial Unicode MS"/>
          <w:noProof/>
          <w:u w:color="000000"/>
          <w:bdr w:val="nil"/>
        </w:rPr>
      </w:pPr>
      <w:r w:rsidRPr="00913B7A">
        <w:rPr>
          <w:noProof/>
          <w:u w:color="000000"/>
          <w:bdr w:val="nil"/>
        </w:rPr>
        <w:t>•</w:t>
      </w:r>
      <w:r w:rsidRPr="00913B7A">
        <w:rPr>
          <w:noProof/>
        </w:rPr>
        <w:tab/>
      </w:r>
      <w:r w:rsidRPr="00913B7A">
        <w:rPr>
          <w:noProof/>
          <w:u w:color="000000"/>
          <w:bdr w:val="nil"/>
        </w:rPr>
        <w:t xml:space="preserve">Subsidiaritatea (în cazul competențelor neexclusive) </w:t>
      </w:r>
    </w:p>
    <w:p w:rsidR="007C112C" w:rsidRPr="00AA0E92" w:rsidRDefault="007C112C" w:rsidP="007C112C">
      <w:pPr>
        <w:pBdr>
          <w:top w:val="nil"/>
          <w:left w:val="nil"/>
          <w:bottom w:val="nil"/>
          <w:right w:val="nil"/>
          <w:between w:val="nil"/>
          <w:bar w:val="nil"/>
        </w:pBdr>
        <w:spacing w:before="0" w:after="240"/>
        <w:rPr>
          <w:rFonts w:eastAsia="Arial Unicode MS"/>
          <w:noProof/>
        </w:rPr>
      </w:pPr>
      <w:r w:rsidRPr="00AA0E92">
        <w:rPr>
          <w:noProof/>
        </w:rPr>
        <w:t xml:space="preserve">Poluanții organici persistenți constituie o preocupare la nivel mondial, iar Convenția de la Stockholm este pusă în aplicare în Uniune prin Regulamentul (UE) </w:t>
      </w:r>
      <w:r w:rsidRPr="00913B7A">
        <w:rPr>
          <w:noProof/>
        </w:rPr>
        <w:t>2019</w:t>
      </w:r>
      <w:r w:rsidRPr="00AA0E92">
        <w:rPr>
          <w:noProof/>
        </w:rPr>
        <w:t>/</w:t>
      </w:r>
      <w:r w:rsidRPr="00913B7A">
        <w:rPr>
          <w:noProof/>
        </w:rPr>
        <w:t>1021</w:t>
      </w:r>
      <w:r w:rsidRPr="00AA0E92">
        <w:rPr>
          <w:noProof/>
        </w:rPr>
        <w:t>. Dat fiind faptul că Uniunea este parte la convenție, este oportun ca Uniunea să propună includerea unei noi substanțe chimice în cadrul convenției.</w:t>
      </w:r>
    </w:p>
    <w:p w:rsidR="00E66492" w:rsidRPr="00913B7A" w:rsidRDefault="00E66492" w:rsidP="00A4693B">
      <w:pPr>
        <w:pStyle w:val="ManualHeading2"/>
        <w:rPr>
          <w:rFonts w:eastAsia="Arial Unicode MS"/>
          <w:noProof/>
          <w:u w:color="000000"/>
          <w:bdr w:val="nil"/>
        </w:rPr>
      </w:pPr>
      <w:r w:rsidRPr="00913B7A">
        <w:rPr>
          <w:noProof/>
          <w:u w:color="000000"/>
          <w:bdr w:val="nil"/>
        </w:rPr>
        <w:t>•</w:t>
      </w:r>
      <w:r w:rsidRPr="00913B7A">
        <w:rPr>
          <w:noProof/>
        </w:rPr>
        <w:tab/>
      </w:r>
      <w:r w:rsidRPr="00913B7A">
        <w:rPr>
          <w:noProof/>
          <w:u w:color="000000"/>
          <w:bdr w:val="nil"/>
        </w:rPr>
        <w:t>Proporționalitatea</w:t>
      </w:r>
    </w:p>
    <w:p w:rsidR="0038274B" w:rsidRPr="00AA0E92" w:rsidRDefault="0038274B" w:rsidP="0038274B">
      <w:pPr>
        <w:pBdr>
          <w:top w:val="nil"/>
          <w:left w:val="nil"/>
          <w:bottom w:val="nil"/>
          <w:right w:val="nil"/>
          <w:between w:val="nil"/>
          <w:bar w:val="nil"/>
        </w:pBdr>
        <w:spacing w:before="0" w:after="240"/>
        <w:rPr>
          <w:rFonts w:eastAsia="Arial Unicode MS"/>
          <w:noProof/>
        </w:rPr>
      </w:pPr>
      <w:r w:rsidRPr="00AA0E92">
        <w:rPr>
          <w:noProof/>
        </w:rPr>
        <w:t>Poluanții organici persistenți constituie o preocupare la nivel mondial, iar Convenția de la Stockholm vizează eliminarea producției și a utilizării acestor substanțe chimice. Prin urmare, este proporțional să se propună ca substanțele chimice în cauză să fie incluse în cadrul convenției pentru a se asigura luarea de măsuri adecvate la nivel mondial.</w:t>
      </w:r>
    </w:p>
    <w:p w:rsidR="00E66492" w:rsidRPr="00913B7A" w:rsidRDefault="00E66492" w:rsidP="00A4693B">
      <w:pPr>
        <w:pStyle w:val="ManualHeading2"/>
        <w:rPr>
          <w:rFonts w:eastAsia="Arial Unicode MS"/>
          <w:noProof/>
          <w:u w:color="000000"/>
          <w:bdr w:val="nil"/>
        </w:rPr>
      </w:pPr>
      <w:r w:rsidRPr="00913B7A">
        <w:rPr>
          <w:noProof/>
          <w:u w:color="000000"/>
          <w:bdr w:val="nil"/>
        </w:rPr>
        <w:t>•</w:t>
      </w:r>
      <w:r w:rsidRPr="00913B7A">
        <w:rPr>
          <w:noProof/>
        </w:rPr>
        <w:tab/>
      </w:r>
      <w:r w:rsidRPr="00913B7A">
        <w:rPr>
          <w:noProof/>
          <w:u w:color="000000"/>
          <w:bdr w:val="nil"/>
        </w:rPr>
        <w:t>Alegerea instrumentului</w:t>
      </w:r>
    </w:p>
    <w:p w:rsidR="00E66492" w:rsidRPr="00AA0E92" w:rsidRDefault="0038274B" w:rsidP="00550536">
      <w:pPr>
        <w:pBdr>
          <w:top w:val="nil"/>
          <w:left w:val="nil"/>
          <w:bottom w:val="nil"/>
          <w:right w:val="nil"/>
          <w:between w:val="nil"/>
          <w:bar w:val="nil"/>
        </w:pBdr>
        <w:spacing w:before="0" w:after="240"/>
        <w:rPr>
          <w:noProof/>
        </w:rPr>
      </w:pPr>
      <w:r w:rsidRPr="00AA0E92">
        <w:rPr>
          <w:noProof/>
        </w:rPr>
        <w:t xml:space="preserve">Convenția de la Stockholm este singurul instrument disponibil pentru restricționarea poluanților organici persistenți la nivel mondial. </w:t>
      </w:r>
    </w:p>
    <w:p w:rsidR="00E66492" w:rsidRPr="00913B7A" w:rsidRDefault="00E66492" w:rsidP="00550536">
      <w:pPr>
        <w:pStyle w:val="ManualHeading1"/>
        <w:rPr>
          <w:noProof/>
        </w:rPr>
      </w:pPr>
      <w:r w:rsidRPr="00913B7A">
        <w:rPr>
          <w:noProof/>
        </w:rPr>
        <w:t>3.</w:t>
      </w:r>
      <w:r w:rsidRPr="00913B7A">
        <w:rPr>
          <w:noProof/>
        </w:rPr>
        <w:tab/>
        <w:t xml:space="preserve">REZULTATELE EVALUĂRILOR </w:t>
      </w:r>
      <w:r w:rsidRPr="00913B7A">
        <w:rPr>
          <w:i/>
          <w:iCs/>
          <w:noProof/>
        </w:rPr>
        <w:t>EX POST</w:t>
      </w:r>
      <w:r w:rsidRPr="00913B7A">
        <w:rPr>
          <w:noProof/>
        </w:rPr>
        <w:t>, ALE CONSULTĂRILOR CU PĂRȚILE INTERESATE ȘI ALE EVALUĂRILOR IMPACTULUI</w:t>
      </w:r>
    </w:p>
    <w:p w:rsidR="00E66492" w:rsidRPr="00913B7A" w:rsidRDefault="00E66492" w:rsidP="0038274B">
      <w:pPr>
        <w:pStyle w:val="ManualHeading2"/>
        <w:rPr>
          <w:rFonts w:eastAsia="Arial Unicode MS"/>
          <w:noProof/>
        </w:rPr>
      </w:pPr>
    </w:p>
    <w:p w:rsidR="00E66492" w:rsidRPr="00913B7A" w:rsidRDefault="00E66492" w:rsidP="00A4693B">
      <w:pPr>
        <w:pStyle w:val="ManualHeading2"/>
        <w:rPr>
          <w:rFonts w:eastAsia="Arial Unicode MS"/>
          <w:noProof/>
          <w:u w:color="000000"/>
          <w:bdr w:val="nil"/>
        </w:rPr>
      </w:pPr>
      <w:r w:rsidRPr="00913B7A">
        <w:rPr>
          <w:noProof/>
          <w:u w:color="000000"/>
          <w:bdr w:val="nil"/>
        </w:rPr>
        <w:t>•</w:t>
      </w:r>
      <w:r w:rsidRPr="00913B7A">
        <w:rPr>
          <w:noProof/>
        </w:rPr>
        <w:tab/>
      </w:r>
      <w:r w:rsidRPr="00913B7A">
        <w:rPr>
          <w:noProof/>
          <w:u w:color="000000"/>
          <w:bdr w:val="nil"/>
        </w:rPr>
        <w:t>Consultările cu părțile interesate</w:t>
      </w:r>
    </w:p>
    <w:p w:rsidR="00BF3284" w:rsidRPr="00AA0E92" w:rsidRDefault="0038274B" w:rsidP="00BF3284">
      <w:pPr>
        <w:rPr>
          <w:noProof/>
        </w:rPr>
      </w:pPr>
      <w:r w:rsidRPr="00AA0E92">
        <w:rPr>
          <w:noProof/>
        </w:rPr>
        <w:t xml:space="preserve">Propunerea a fost discutată cu statele membre și cu alte părți interesate în cadrul reuniunilor autorităților competente pentru Regulamentul (UE) </w:t>
      </w:r>
      <w:r w:rsidRPr="00913B7A">
        <w:rPr>
          <w:noProof/>
        </w:rPr>
        <w:t>2019</w:t>
      </w:r>
      <w:r w:rsidRPr="00AA0E92">
        <w:rPr>
          <w:noProof/>
        </w:rPr>
        <w:t>/</w:t>
      </w:r>
      <w:r w:rsidRPr="00913B7A">
        <w:rPr>
          <w:noProof/>
        </w:rPr>
        <w:t>1021</w:t>
      </w:r>
      <w:r w:rsidRPr="00AA0E92">
        <w:rPr>
          <w:noProof/>
        </w:rPr>
        <w:t xml:space="preserve">. Aceasta a făcut obiectul unei </w:t>
      </w:r>
      <w:r w:rsidRPr="00AA0E92">
        <w:rPr>
          <w:noProof/>
        </w:rPr>
        <w:lastRenderedPageBreak/>
        <w:t xml:space="preserve">consultări publice în perioada </w:t>
      </w:r>
      <w:r w:rsidRPr="00913B7A">
        <w:rPr>
          <w:noProof/>
        </w:rPr>
        <w:t>18</w:t>
      </w:r>
      <w:r w:rsidRPr="00AA0E92">
        <w:rPr>
          <w:noProof/>
        </w:rPr>
        <w:t xml:space="preserve"> iunie-</w:t>
      </w:r>
      <w:r w:rsidRPr="00913B7A">
        <w:rPr>
          <w:noProof/>
        </w:rPr>
        <w:t>13</w:t>
      </w:r>
      <w:r w:rsidRPr="00AA0E92">
        <w:rPr>
          <w:noProof/>
        </w:rPr>
        <w:t xml:space="preserve"> august </w:t>
      </w:r>
      <w:r w:rsidRPr="00913B7A">
        <w:rPr>
          <w:noProof/>
        </w:rPr>
        <w:t>2025</w:t>
      </w:r>
      <w:r w:rsidRPr="00AA0E92">
        <w:rPr>
          <w:noProof/>
        </w:rPr>
        <w:t>, iar observațiile primite au fost luate în considerare.</w:t>
      </w:r>
    </w:p>
    <w:p w:rsidR="0038274B" w:rsidRPr="00AA0E92" w:rsidRDefault="00BF3284" w:rsidP="00BF3284">
      <w:pPr>
        <w:rPr>
          <w:noProof/>
        </w:rPr>
      </w:pPr>
      <w:r w:rsidRPr="00AA0E92">
        <w:rPr>
          <w:noProof/>
        </w:rPr>
        <w:t xml:space="preserve">Observațiile primite nu au modificat concluzia generală pentru TBPH. Secțiunile privind persistența și bioacumularea au fost extinse prin includerea unor informații mai detaliate și actualizate din studii științifice. Secțiunea privind efectele nocive a fost actualizată pe larg, incluzând în proiectul de dosar informații mai detaliate privind studiile deja evaluate de Agenția Europeană pentru Produse Chimice și informații noi din studii recente. Pe baza datelor existente, criteriile de selecție din anexa D la Convenția de la Stockholm referitoare la persistență, bioacumulare, propagare pe distanță lungă și efecte nocive sunt considerate a fi îndeplinite pentru TBPH. </w:t>
      </w:r>
      <w:bookmarkStart w:id="2" w:name="_Hlk212477276"/>
      <w:r w:rsidRPr="00AA0E92">
        <w:rPr>
          <w:noProof/>
        </w:rPr>
        <w:t>Unele observații au indicat că substanța nu este utilizată în UE. Cu toate acestea, deoarece este probabil să fie utilizată în afara UE, poate fi prezentă în unele produse importate.</w:t>
      </w:r>
      <w:bookmarkEnd w:id="2"/>
    </w:p>
    <w:p w:rsidR="00E66492" w:rsidRPr="00913B7A" w:rsidRDefault="00E66492" w:rsidP="00A4693B">
      <w:pPr>
        <w:pStyle w:val="ManualHeading2"/>
        <w:rPr>
          <w:rFonts w:eastAsia="Arial Unicode MS"/>
          <w:noProof/>
          <w:u w:color="000000"/>
          <w:bdr w:val="nil"/>
        </w:rPr>
      </w:pPr>
      <w:r w:rsidRPr="00913B7A">
        <w:rPr>
          <w:noProof/>
          <w:u w:color="000000"/>
          <w:bdr w:val="nil"/>
        </w:rPr>
        <w:t>•</w:t>
      </w:r>
      <w:r w:rsidRPr="00913B7A">
        <w:rPr>
          <w:noProof/>
        </w:rPr>
        <w:tab/>
      </w:r>
      <w:r w:rsidRPr="00913B7A">
        <w:rPr>
          <w:noProof/>
          <w:u w:color="000000"/>
          <w:bdr w:val="nil"/>
        </w:rPr>
        <w:t>Evaluarea impactului</w:t>
      </w:r>
    </w:p>
    <w:p w:rsidR="00E0477A" w:rsidRPr="00AA0E92" w:rsidRDefault="00ED1F33" w:rsidP="00BD0286">
      <w:pPr>
        <w:pBdr>
          <w:top w:val="nil"/>
          <w:left w:val="nil"/>
          <w:bottom w:val="nil"/>
          <w:right w:val="nil"/>
          <w:between w:val="nil"/>
          <w:bar w:val="nil"/>
        </w:pBdr>
        <w:spacing w:before="0" w:after="240"/>
        <w:rPr>
          <w:noProof/>
        </w:rPr>
      </w:pPr>
      <w:r w:rsidRPr="00AA0E92">
        <w:rPr>
          <w:noProof/>
        </w:rPr>
        <w:t>Decizia de a desemna TBPH nu va avea niciun impact asupra UE, deoarece actul în sine doar conferă Uniunii autoritatea de a propune TBPH în vederea includerii pe lista substanțelor POP în temeiul Convenției de la Stockholm, pe baza proprietăților sale periculoase. Domeniul de aplicare posibil al oricărei restricții sau interdicții viitoare și evaluarea impactului vor fi stabilite în cursul procesului prevăzut de Convenția de la Stockholm și de către ECHA în cadrul procesului paralel de restricționare desfășurat în temeiul REACH.</w:t>
      </w:r>
    </w:p>
    <w:p w:rsidR="00BD0286" w:rsidRPr="00AA0E92" w:rsidRDefault="00BD0286" w:rsidP="00BD0286">
      <w:pPr>
        <w:pBdr>
          <w:top w:val="nil"/>
          <w:left w:val="nil"/>
          <w:bottom w:val="nil"/>
          <w:right w:val="nil"/>
          <w:between w:val="nil"/>
          <w:bar w:val="nil"/>
        </w:pBdr>
        <w:spacing w:before="0" w:after="240"/>
        <w:rPr>
          <w:noProof/>
        </w:rPr>
      </w:pPr>
      <w:r w:rsidRPr="00AA0E92">
        <w:rPr>
          <w:noProof/>
        </w:rPr>
        <w:t xml:space="preserve">Orice eventuală includere pe lista din anexa A sau B la Convenția de la Stockholm poate fi decisă numai de Conferința părților (COP), care se preconizează că va avea loc cel mai devreme în </w:t>
      </w:r>
      <w:r w:rsidRPr="00913B7A">
        <w:rPr>
          <w:noProof/>
        </w:rPr>
        <w:t>2029</w:t>
      </w:r>
      <w:r w:rsidRPr="00AA0E92">
        <w:rPr>
          <w:noProof/>
        </w:rPr>
        <w:t xml:space="preserve">. Uniunea este parte la convenție, iar poziția UE care urmează să fie adoptată în cadrul COP va fi stabilită printr-o decizie a Consiliului. Această decizie a Consiliului se va baza pe o propunere a Comisiei înainte de COP din </w:t>
      </w:r>
      <w:r w:rsidRPr="00913B7A">
        <w:rPr>
          <w:noProof/>
        </w:rPr>
        <w:t>2029</w:t>
      </w:r>
      <w:r w:rsidRPr="00AA0E92">
        <w:rPr>
          <w:noProof/>
        </w:rPr>
        <w:t xml:space="preserve"> și va lua în considerare propunerea exactă de restricționare formulată de organismele convenției și procesul de restricționare în UE desfășurat în temeiul REACH. Fără a aduce atingere procedurilor în vigoare, UE ar adopta, în mod normal, o poziție de negociere a unei includeri pe listă care să fie în conformitate cu politicile și legislația UE. Aceasta va include informațiile relevante pentru UE generate în timpul procesului de restricționare desfășurat în temeiul REACH, inclusiv necesitatea unor derogări specifice. Va fi posibil să se propună derogări pentru utilizările TBPH pentru care substituirea ar fi foarte dificilă sau prea costisitoare. În plus, UE ar putea în continuare să retragă propunerea în cursul discuțiilor științifice din cadrul Convenției de la Stockholm, să nu sprijine includerea pe listă în cadrul Conferinței părților sau să renunțe la includerea pe listă, în cazul în care impactul este prea mare.</w:t>
      </w:r>
    </w:p>
    <w:p w:rsidR="00E66492" w:rsidRPr="00913B7A" w:rsidRDefault="00E66492" w:rsidP="00A4693B">
      <w:pPr>
        <w:pStyle w:val="ManualHeading2"/>
        <w:rPr>
          <w:rFonts w:eastAsia="Arial Unicode MS"/>
          <w:noProof/>
          <w:u w:color="000000"/>
          <w:bdr w:val="nil"/>
        </w:rPr>
      </w:pPr>
      <w:r w:rsidRPr="00913B7A">
        <w:rPr>
          <w:noProof/>
          <w:u w:color="000000"/>
          <w:bdr w:val="nil"/>
        </w:rPr>
        <w:t>•</w:t>
      </w:r>
      <w:r w:rsidRPr="00913B7A">
        <w:rPr>
          <w:noProof/>
        </w:rPr>
        <w:tab/>
      </w:r>
      <w:r w:rsidRPr="00913B7A">
        <w:rPr>
          <w:noProof/>
          <w:u w:color="000000"/>
          <w:bdr w:val="nil"/>
        </w:rPr>
        <w:t>Adecvarea reglementărilor și simplificarea</w:t>
      </w:r>
    </w:p>
    <w:p w:rsidR="00BD0286" w:rsidRPr="00AA0E92" w:rsidRDefault="00BD0286" w:rsidP="00BD0286">
      <w:pPr>
        <w:pStyle w:val="ManualHeading1"/>
        <w:ind w:left="0" w:firstLine="0"/>
        <w:rPr>
          <w:b w:val="0"/>
          <w:smallCaps w:val="0"/>
          <w:noProof/>
        </w:rPr>
      </w:pPr>
      <w:bookmarkStart w:id="3" w:name="_Hlk150266126"/>
      <w:r w:rsidRPr="00AA0E92">
        <w:rPr>
          <w:b w:val="0"/>
          <w:smallCaps w:val="0"/>
          <w:noProof/>
        </w:rPr>
        <w:t xml:space="preserve">Decizia de a propune TBPH pentru a fi inclus pe lista POP în temeiul Convenției de la Stockholm nu are niciun efect de adecvare a reglementărilor și de simplificare. </w:t>
      </w:r>
      <w:bookmarkEnd w:id="3"/>
    </w:p>
    <w:p w:rsidR="00E66492" w:rsidRPr="00913B7A" w:rsidRDefault="00E66492" w:rsidP="00A4693B">
      <w:pPr>
        <w:pStyle w:val="ManualHeading2"/>
        <w:rPr>
          <w:rFonts w:eastAsia="Arial Unicode MS"/>
          <w:noProof/>
          <w:u w:color="000000"/>
          <w:bdr w:val="nil"/>
        </w:rPr>
      </w:pPr>
      <w:r w:rsidRPr="00913B7A">
        <w:rPr>
          <w:noProof/>
          <w:u w:color="000000"/>
          <w:bdr w:val="nil"/>
        </w:rPr>
        <w:t>•</w:t>
      </w:r>
      <w:r w:rsidRPr="00913B7A">
        <w:rPr>
          <w:noProof/>
        </w:rPr>
        <w:tab/>
      </w:r>
      <w:r w:rsidRPr="00913B7A">
        <w:rPr>
          <w:noProof/>
          <w:u w:color="000000"/>
          <w:bdr w:val="nil"/>
        </w:rPr>
        <w:t>Drepturile fundamentale</w:t>
      </w:r>
    </w:p>
    <w:p w:rsidR="00E66492" w:rsidRPr="00AA0E92" w:rsidRDefault="00CC0273" w:rsidP="00550536">
      <w:pPr>
        <w:pBdr>
          <w:top w:val="nil"/>
          <w:left w:val="nil"/>
          <w:bottom w:val="nil"/>
          <w:right w:val="nil"/>
          <w:between w:val="nil"/>
          <w:bar w:val="nil"/>
        </w:pBdr>
        <w:spacing w:before="0" w:after="240"/>
        <w:rPr>
          <w:noProof/>
        </w:rPr>
      </w:pPr>
      <w:r w:rsidRPr="00AA0E92">
        <w:rPr>
          <w:noProof/>
        </w:rPr>
        <w:t>Propunerea nu are consecințe asupra protecției drepturilor fundamentale.</w:t>
      </w:r>
    </w:p>
    <w:p w:rsidR="00E66492" w:rsidRPr="00913B7A" w:rsidRDefault="00E66492" w:rsidP="00550536">
      <w:pPr>
        <w:pStyle w:val="ManualHeading1"/>
        <w:rPr>
          <w:noProof/>
        </w:rPr>
      </w:pPr>
      <w:r w:rsidRPr="00913B7A">
        <w:rPr>
          <w:noProof/>
        </w:rPr>
        <w:t>4.</w:t>
      </w:r>
      <w:r w:rsidRPr="00913B7A">
        <w:rPr>
          <w:noProof/>
        </w:rPr>
        <w:tab/>
        <w:t>IMPLICAȚII BUGETARE</w:t>
      </w:r>
    </w:p>
    <w:p w:rsidR="00CC0273" w:rsidRPr="00AA0E92" w:rsidRDefault="00CC0273" w:rsidP="00CC0273">
      <w:pPr>
        <w:pBdr>
          <w:top w:val="nil"/>
          <w:left w:val="nil"/>
          <w:bottom w:val="nil"/>
          <w:right w:val="nil"/>
          <w:between w:val="nil"/>
          <w:bar w:val="nil"/>
        </w:pBdr>
        <w:spacing w:before="0" w:after="240"/>
        <w:rPr>
          <w:rFonts w:eastAsia="Arial Unicode MS"/>
          <w:noProof/>
        </w:rPr>
      </w:pPr>
      <w:r w:rsidRPr="00AA0E92">
        <w:rPr>
          <w:noProof/>
        </w:rPr>
        <w:t>Propunerea nu are implicații bugetare.</w:t>
      </w:r>
    </w:p>
    <w:p w:rsidR="00E66492" w:rsidRPr="00913B7A" w:rsidRDefault="00E66492" w:rsidP="00550536">
      <w:pPr>
        <w:pStyle w:val="ManualHeading1"/>
        <w:rPr>
          <w:noProof/>
        </w:rPr>
      </w:pPr>
      <w:r w:rsidRPr="00913B7A">
        <w:rPr>
          <w:noProof/>
        </w:rPr>
        <w:lastRenderedPageBreak/>
        <w:t>5.</w:t>
      </w:r>
      <w:r w:rsidRPr="00913B7A">
        <w:rPr>
          <w:noProof/>
        </w:rPr>
        <w:tab/>
        <w:t>ALTE ELEMENTE</w:t>
      </w:r>
    </w:p>
    <w:p w:rsidR="00E66492" w:rsidRPr="00913B7A" w:rsidRDefault="00E66492" w:rsidP="00A4693B">
      <w:pPr>
        <w:pStyle w:val="ManualHeading2"/>
        <w:rPr>
          <w:rFonts w:eastAsia="Arial Unicode MS"/>
          <w:noProof/>
          <w:u w:color="000000"/>
          <w:bdr w:val="nil"/>
        </w:rPr>
      </w:pPr>
      <w:r w:rsidRPr="00913B7A">
        <w:rPr>
          <w:noProof/>
          <w:u w:color="000000"/>
          <w:bdr w:val="nil"/>
        </w:rPr>
        <w:t>•</w:t>
      </w:r>
      <w:r w:rsidRPr="00913B7A">
        <w:rPr>
          <w:noProof/>
        </w:rPr>
        <w:tab/>
      </w:r>
      <w:r w:rsidRPr="00913B7A">
        <w:rPr>
          <w:noProof/>
          <w:u w:color="000000"/>
          <w:bdr w:val="nil"/>
        </w:rPr>
        <w:t>Planurile de punere în aplicare și măsurile de monitorizare, evaluare și raportare</w:t>
      </w:r>
    </w:p>
    <w:p w:rsidR="00CC0273" w:rsidRPr="00AA0E92" w:rsidRDefault="00CC0273" w:rsidP="00CC0273">
      <w:pPr>
        <w:pBdr>
          <w:top w:val="nil"/>
          <w:left w:val="nil"/>
          <w:bottom w:val="nil"/>
          <w:right w:val="nil"/>
          <w:between w:val="nil"/>
          <w:bar w:val="nil"/>
        </w:pBdr>
        <w:spacing w:before="0" w:after="240"/>
        <w:rPr>
          <w:rFonts w:eastAsia="Arial Unicode MS"/>
          <w:noProof/>
        </w:rPr>
      </w:pPr>
      <w:r w:rsidRPr="00AA0E92">
        <w:rPr>
          <w:noProof/>
        </w:rPr>
        <w:t>Nu se consideră că sunt necesare planuri de punere în aplicare, monitorizarea, evaluarea și raportarea.</w:t>
      </w:r>
    </w:p>
    <w:p w:rsidR="00E66492" w:rsidRPr="00913B7A" w:rsidRDefault="00E66492" w:rsidP="00A4693B">
      <w:pPr>
        <w:pStyle w:val="ManualHeading2"/>
        <w:rPr>
          <w:rFonts w:eastAsia="Arial Unicode MS"/>
          <w:noProof/>
          <w:u w:color="000000"/>
          <w:bdr w:val="nil"/>
        </w:rPr>
      </w:pPr>
      <w:r w:rsidRPr="00913B7A">
        <w:rPr>
          <w:noProof/>
          <w:u w:color="000000"/>
          <w:bdr w:val="nil"/>
        </w:rPr>
        <w:t>•</w:t>
      </w:r>
      <w:r w:rsidRPr="00913B7A">
        <w:rPr>
          <w:noProof/>
        </w:rPr>
        <w:tab/>
      </w:r>
      <w:r w:rsidRPr="00913B7A">
        <w:rPr>
          <w:noProof/>
          <w:u w:color="000000"/>
          <w:bdr w:val="nil"/>
        </w:rPr>
        <w:t>Explicarea detaliată a dispozițiilor specifice ale propunerii</w:t>
      </w:r>
    </w:p>
    <w:p w:rsidR="00CC0273" w:rsidRPr="00AA0E92" w:rsidRDefault="00CC0273" w:rsidP="00CC0273">
      <w:pPr>
        <w:pBdr>
          <w:top w:val="nil"/>
          <w:left w:val="nil"/>
          <w:bottom w:val="nil"/>
          <w:right w:val="nil"/>
          <w:between w:val="nil"/>
          <w:bar w:val="nil"/>
        </w:pBdr>
        <w:spacing w:before="0" w:after="240"/>
        <w:rPr>
          <w:rFonts w:eastAsia="Arial Unicode MS"/>
          <w:noProof/>
        </w:rPr>
      </w:pPr>
      <w:r w:rsidRPr="00AA0E92">
        <w:rPr>
          <w:noProof/>
        </w:rPr>
        <w:t>Propunerea încredințează Comisiei mandatul de a propune, în numele Uniunii Europene, includerea TBPH pe listă în temeiul Convenției de la Stockholm.</w:t>
      </w:r>
    </w:p>
    <w:p w:rsidR="00E66492" w:rsidRPr="00AA0E92" w:rsidRDefault="00E66492" w:rsidP="00FD40BA">
      <w:pPr>
        <w:rPr>
          <w:noProof/>
        </w:rPr>
        <w:sectPr w:rsidR="00E66492" w:rsidRPr="00AA0E92" w:rsidSect="006019E9">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pgNumType w:start="1"/>
          <w:cols w:space="708"/>
          <w:docGrid w:linePitch="360"/>
        </w:sectPr>
      </w:pPr>
    </w:p>
    <w:p w:rsidR="008F48F4" w:rsidRDefault="00D45BEB">
      <w:pPr>
        <w:pStyle w:val="Rfrenceinterinstitutionnelle"/>
        <w:rPr>
          <w:noProof/>
        </w:rPr>
      </w:pPr>
      <w:r>
        <w:rPr>
          <w:noProof/>
        </w:rPr>
        <w:lastRenderedPageBreak/>
        <w:t>2026/0029 (NLE)</w:t>
      </w:r>
    </w:p>
    <w:p w:rsidR="00E66492" w:rsidRPr="00AA0E92" w:rsidRDefault="00AA0E92" w:rsidP="00AA0E92">
      <w:pPr>
        <w:pStyle w:val="Statut"/>
        <w:rPr>
          <w:noProof/>
        </w:rPr>
      </w:pPr>
      <w:r w:rsidRPr="00AA0E92">
        <w:rPr>
          <w:noProof/>
        </w:rPr>
        <w:t>Propunere de</w:t>
      </w:r>
    </w:p>
    <w:p w:rsidR="00E66492" w:rsidRPr="00913B7A" w:rsidRDefault="00AA0E92" w:rsidP="00AA0E92">
      <w:pPr>
        <w:pStyle w:val="Typedudocument"/>
        <w:rPr>
          <w:noProof/>
        </w:rPr>
      </w:pPr>
      <w:r w:rsidRPr="00913B7A">
        <w:rPr>
          <w:noProof/>
        </w:rPr>
        <w:t>DECIZIE A CONSILIULUI</w:t>
      </w:r>
    </w:p>
    <w:p w:rsidR="00E66492" w:rsidRPr="00913B7A" w:rsidRDefault="00AA0E92" w:rsidP="00AA0E92">
      <w:pPr>
        <w:pStyle w:val="Titreobjet"/>
        <w:rPr>
          <w:noProof/>
        </w:rPr>
      </w:pPr>
      <w:r w:rsidRPr="00913B7A">
        <w:rPr>
          <w:noProof/>
        </w:rPr>
        <w:t>privind prezentarea, în numele Uniunii Europene, a unei propuneri de includere a TBPH pe lista din anexa A sau B la Convenția de la Stockholm privind poluanții organici persistenți</w:t>
      </w:r>
    </w:p>
    <w:p w:rsidR="00E66492" w:rsidRPr="00AA0E92" w:rsidRDefault="00AA0E92" w:rsidP="00AA0E92">
      <w:pPr>
        <w:pStyle w:val="IntrtEEE"/>
        <w:rPr>
          <w:noProof/>
        </w:rPr>
      </w:pPr>
      <w:r w:rsidRPr="00AA0E92">
        <w:rPr>
          <w:noProof/>
        </w:rPr>
        <w:t>(Text cu relevanță pentru SEE)</w:t>
      </w:r>
    </w:p>
    <w:p w:rsidR="00E66492" w:rsidRPr="00AA0E92" w:rsidRDefault="00E66492" w:rsidP="00197315">
      <w:pPr>
        <w:pStyle w:val="Institutionquiagit"/>
        <w:rPr>
          <w:noProof/>
        </w:rPr>
      </w:pPr>
      <w:r w:rsidRPr="00AA0E92">
        <w:rPr>
          <w:noProof/>
        </w:rPr>
        <w:t>CONSILIUL UNIUNII EUROPENE,</w:t>
      </w:r>
    </w:p>
    <w:p w:rsidR="00E66492" w:rsidRPr="00AA0E92" w:rsidRDefault="00E66492" w:rsidP="00197315">
      <w:pPr>
        <w:rPr>
          <w:noProof/>
        </w:rPr>
      </w:pPr>
      <w:r w:rsidRPr="00AA0E92">
        <w:rPr>
          <w:noProof/>
        </w:rPr>
        <w:t xml:space="preserve">având în vedere Tratatul privind funcționarea Uniunii Europene, în special articolul </w:t>
      </w:r>
      <w:r w:rsidRPr="00913B7A">
        <w:rPr>
          <w:noProof/>
        </w:rPr>
        <w:t>192</w:t>
      </w:r>
      <w:r w:rsidRPr="00AA0E92">
        <w:rPr>
          <w:noProof/>
        </w:rPr>
        <w:t xml:space="preserve"> alineatul (</w:t>
      </w:r>
      <w:r w:rsidRPr="00913B7A">
        <w:rPr>
          <w:noProof/>
        </w:rPr>
        <w:t>1</w:t>
      </w:r>
      <w:r w:rsidRPr="00AA0E92">
        <w:rPr>
          <w:noProof/>
        </w:rPr>
        <w:t xml:space="preserve">), coroborat cu articolul </w:t>
      </w:r>
      <w:r w:rsidRPr="00913B7A">
        <w:rPr>
          <w:noProof/>
        </w:rPr>
        <w:t>218</w:t>
      </w:r>
      <w:r w:rsidRPr="00AA0E92">
        <w:rPr>
          <w:noProof/>
        </w:rPr>
        <w:t xml:space="preserve"> alineatul (</w:t>
      </w:r>
      <w:r w:rsidRPr="00913B7A">
        <w:rPr>
          <w:noProof/>
        </w:rPr>
        <w:t>9</w:t>
      </w:r>
      <w:r w:rsidRPr="00AA0E92">
        <w:rPr>
          <w:noProof/>
        </w:rPr>
        <w:t>),</w:t>
      </w:r>
    </w:p>
    <w:p w:rsidR="00E66492" w:rsidRPr="00AA0E92" w:rsidRDefault="00E66492" w:rsidP="00197315">
      <w:pPr>
        <w:rPr>
          <w:noProof/>
        </w:rPr>
      </w:pPr>
      <w:r w:rsidRPr="00AA0E92">
        <w:rPr>
          <w:noProof/>
        </w:rPr>
        <w:t>având în vedere propunerea Comisiei Europene,</w:t>
      </w:r>
    </w:p>
    <w:p w:rsidR="00E66492" w:rsidRPr="00AA0E92" w:rsidRDefault="00E66492" w:rsidP="00197315">
      <w:pPr>
        <w:rPr>
          <w:noProof/>
        </w:rPr>
      </w:pPr>
      <w:r w:rsidRPr="00AA0E92">
        <w:rPr>
          <w:noProof/>
        </w:rPr>
        <w:t>întrucât:</w:t>
      </w:r>
    </w:p>
    <w:p w:rsidR="00E66492" w:rsidRPr="00AA0E92" w:rsidRDefault="006267BC" w:rsidP="00DB41BA">
      <w:pPr>
        <w:pStyle w:val="ManualConsidrant"/>
        <w:rPr>
          <w:noProof/>
        </w:rPr>
      </w:pPr>
      <w:r>
        <w:rPr>
          <w:noProof/>
        </w:rPr>
        <w:t>(1)</w:t>
      </w:r>
      <w:r>
        <w:rPr>
          <w:noProof/>
        </w:rPr>
        <w:tab/>
      </w:r>
      <w:r w:rsidRPr="00AA0E92">
        <w:rPr>
          <w:noProof/>
        </w:rPr>
        <w:t xml:space="preserve">Convenția de la Stockholm privind poluanții organici persistenți („convenția”) a fost încheiată de către Comunitatea Europeană prin Decizia </w:t>
      </w:r>
      <w:r w:rsidRPr="00913B7A">
        <w:rPr>
          <w:noProof/>
        </w:rPr>
        <w:t>2006</w:t>
      </w:r>
      <w:r w:rsidRPr="00AA0E92">
        <w:rPr>
          <w:noProof/>
        </w:rPr>
        <w:t>/</w:t>
      </w:r>
      <w:r w:rsidRPr="00913B7A">
        <w:rPr>
          <w:noProof/>
        </w:rPr>
        <w:t>507</w:t>
      </w:r>
      <w:r w:rsidRPr="00AA0E92">
        <w:rPr>
          <w:noProof/>
        </w:rPr>
        <w:t>/CE a Consiliului</w:t>
      </w:r>
      <w:r w:rsidRPr="00AA0E92">
        <w:rPr>
          <w:rStyle w:val="FootnoteReference"/>
          <w:noProof/>
        </w:rPr>
        <w:footnoteReference w:id="8"/>
      </w:r>
      <w:r w:rsidRPr="00AA0E92">
        <w:rPr>
          <w:noProof/>
        </w:rPr>
        <w:t xml:space="preserve"> și a intrat în vigoare la </w:t>
      </w:r>
      <w:r w:rsidRPr="00913B7A">
        <w:rPr>
          <w:noProof/>
        </w:rPr>
        <w:t>17</w:t>
      </w:r>
      <w:r w:rsidRPr="00AA0E92">
        <w:rPr>
          <w:noProof/>
        </w:rPr>
        <w:t xml:space="preserve"> mai </w:t>
      </w:r>
      <w:r w:rsidRPr="00913B7A">
        <w:rPr>
          <w:noProof/>
        </w:rPr>
        <w:t>2004</w:t>
      </w:r>
      <w:r w:rsidRPr="00AA0E92">
        <w:rPr>
          <w:noProof/>
        </w:rPr>
        <w:t>.</w:t>
      </w:r>
    </w:p>
    <w:p w:rsidR="00CC0273" w:rsidRPr="00AA0E92" w:rsidRDefault="00455F48" w:rsidP="006F4E5C">
      <w:pPr>
        <w:pStyle w:val="ManualConsidrant"/>
        <w:rPr>
          <w:noProof/>
        </w:rPr>
      </w:pPr>
      <w:r>
        <w:rPr>
          <w:noProof/>
        </w:rPr>
        <w:t>(2)</w:t>
      </w:r>
      <w:r>
        <w:rPr>
          <w:noProof/>
        </w:rPr>
        <w:tab/>
      </w:r>
      <w:r w:rsidRPr="00AA0E92">
        <w:rPr>
          <w:noProof/>
        </w:rPr>
        <w:t>În conformitate cu articolul </w:t>
      </w:r>
      <w:r w:rsidRPr="00913B7A">
        <w:rPr>
          <w:noProof/>
        </w:rPr>
        <w:t>8</w:t>
      </w:r>
      <w:r w:rsidRPr="00AA0E92">
        <w:rPr>
          <w:noProof/>
        </w:rPr>
        <w:t xml:space="preserve"> alineatul (</w:t>
      </w:r>
      <w:r w:rsidRPr="00913B7A">
        <w:rPr>
          <w:noProof/>
        </w:rPr>
        <w:t>1</w:t>
      </w:r>
      <w:r w:rsidRPr="00AA0E92">
        <w:rPr>
          <w:noProof/>
        </w:rPr>
        <w:t>) din convenție, în calitate de parte la convenție, Uniunea poate prezenta propuneri de modificare a anexelor la aceasta. Anexa A la convenție enumeră poluanții organici persistenți care trebuie eliminați, iar anexa B enumeră poluanții organici persistenți care trebuie restricționați.</w:t>
      </w:r>
    </w:p>
    <w:p w:rsidR="00B130B2" w:rsidRPr="00AA0E92" w:rsidRDefault="00A96DF6" w:rsidP="00B130B2">
      <w:pPr>
        <w:pStyle w:val="ManualConsidrant"/>
        <w:rPr>
          <w:noProof/>
        </w:rPr>
      </w:pPr>
      <w:r>
        <w:rPr>
          <w:noProof/>
        </w:rPr>
        <w:t>(3)</w:t>
      </w:r>
      <w:r>
        <w:rPr>
          <w:noProof/>
        </w:rPr>
        <w:tab/>
      </w:r>
      <w:r w:rsidRPr="00AA0E92">
        <w:rPr>
          <w:noProof/>
        </w:rPr>
        <w:t>Tetrabromoftalatul de bis(</w:t>
      </w:r>
      <w:r w:rsidRPr="00913B7A">
        <w:rPr>
          <w:noProof/>
        </w:rPr>
        <w:t>2</w:t>
      </w:r>
      <w:r w:rsidRPr="00AA0E92">
        <w:rPr>
          <w:noProof/>
        </w:rPr>
        <w:t>-etilhexil) („TBPH”) este un agent de ignifugare bromurat, identificat în UE ca substanță care prezintă motive de îngrijorare deosebită în conformitate cu articolul </w:t>
      </w:r>
      <w:r w:rsidRPr="00913B7A">
        <w:rPr>
          <w:noProof/>
        </w:rPr>
        <w:t>57</w:t>
      </w:r>
      <w:r w:rsidRPr="00AA0E92">
        <w:rPr>
          <w:noProof/>
        </w:rPr>
        <w:t xml:space="preserve"> litera (e) din Regulamentul (UE) nr. </w:t>
      </w:r>
      <w:r w:rsidRPr="00913B7A">
        <w:rPr>
          <w:noProof/>
        </w:rPr>
        <w:t>1907</w:t>
      </w:r>
      <w:r w:rsidRPr="00AA0E92">
        <w:rPr>
          <w:noProof/>
        </w:rPr>
        <w:t>/</w:t>
      </w:r>
      <w:r w:rsidRPr="00913B7A">
        <w:rPr>
          <w:noProof/>
        </w:rPr>
        <w:t>2006</w:t>
      </w:r>
      <w:r w:rsidRPr="00AA0E92">
        <w:rPr>
          <w:noProof/>
        </w:rPr>
        <w:t xml:space="preserve"> al Parlamentului European și al Consiliului</w:t>
      </w:r>
      <w:r w:rsidRPr="00AA0E92">
        <w:rPr>
          <w:rStyle w:val="FootnoteReference"/>
          <w:noProof/>
        </w:rPr>
        <w:footnoteReference w:id="9"/>
      </w:r>
      <w:r w:rsidRPr="00AA0E92">
        <w:rPr>
          <w:noProof/>
        </w:rPr>
        <w:t>, din cauză că proprietățile sale fac ca aceasta să fie foarte persistentă și foarte bioacumulativă. Conform datelor științifice disponibile, TBPH este, de asemenea, toxic și poate fi propagat pe distanță lungă, prezența sa fiind înregistrată în regiuni îndepărtate. Prin urmare, TBPH îndeplinește criteriile din anexa D la convenție și ar trebui să fie considerat poluant organic persistent.</w:t>
      </w:r>
    </w:p>
    <w:p w:rsidR="00B130B2" w:rsidRPr="00AA0E92" w:rsidRDefault="00B130B2" w:rsidP="00B130B2">
      <w:pPr>
        <w:pStyle w:val="ManualConsidrant"/>
        <w:rPr>
          <w:noProof/>
        </w:rPr>
      </w:pPr>
      <w:r>
        <w:rPr>
          <w:noProof/>
        </w:rPr>
        <w:t>(4)</w:t>
      </w:r>
      <w:r>
        <w:rPr>
          <w:noProof/>
        </w:rPr>
        <w:tab/>
      </w:r>
      <w:r w:rsidRPr="00AA0E92">
        <w:rPr>
          <w:noProof/>
        </w:rPr>
        <w:t>Prin urmare, este necesar ca Uniunea să prezinte secretariatului convenției o propunere de includere a TBPH pe lista din anexa A sau B la convenție pentru a reduce emisiile globale ale acestei substanțe,</w:t>
      </w:r>
    </w:p>
    <w:p w:rsidR="00E66492" w:rsidRPr="00AA0E92" w:rsidRDefault="00E66492" w:rsidP="00197315">
      <w:pPr>
        <w:pStyle w:val="Formuledadoption"/>
        <w:rPr>
          <w:noProof/>
        </w:rPr>
      </w:pPr>
      <w:r w:rsidRPr="00AA0E92">
        <w:rPr>
          <w:noProof/>
        </w:rPr>
        <w:lastRenderedPageBreak/>
        <w:t xml:space="preserve">ADOPTĂ PREZENTA DECIZIE: </w:t>
      </w:r>
    </w:p>
    <w:p w:rsidR="00E66492" w:rsidRPr="00913B7A" w:rsidRDefault="00E66492" w:rsidP="00197315">
      <w:pPr>
        <w:pStyle w:val="Titrearticle"/>
        <w:rPr>
          <w:noProof/>
        </w:rPr>
      </w:pPr>
      <w:r w:rsidRPr="00913B7A">
        <w:rPr>
          <w:noProof/>
        </w:rPr>
        <w:t>Articolul 1</w:t>
      </w:r>
    </w:p>
    <w:p w:rsidR="00B130B2" w:rsidRPr="00AA0E92" w:rsidRDefault="00B130B2" w:rsidP="00B130B2">
      <w:pPr>
        <w:outlineLvl w:val="0"/>
        <w:rPr>
          <w:rFonts w:eastAsia="Calibri"/>
          <w:noProof/>
          <w:szCs w:val="24"/>
        </w:rPr>
      </w:pPr>
      <w:r w:rsidRPr="00AA0E92">
        <w:rPr>
          <w:noProof/>
        </w:rPr>
        <w:t>Uniunea prezintă o propunere de includere a tetrabromoftalatului de bis(</w:t>
      </w:r>
      <w:r w:rsidRPr="00913B7A">
        <w:rPr>
          <w:noProof/>
        </w:rPr>
        <w:t>2</w:t>
      </w:r>
      <w:r w:rsidRPr="00AA0E92">
        <w:rPr>
          <w:noProof/>
        </w:rPr>
        <w:t>-etilhexil) (TBPH) pe lista din anexa A sau B la Convenția de la Stockholm privind poluanții organici persistenți („convenția”).</w:t>
      </w:r>
    </w:p>
    <w:p w:rsidR="00B130B2" w:rsidRPr="00AA0E92" w:rsidRDefault="00B130B2" w:rsidP="00B130B2">
      <w:pPr>
        <w:outlineLvl w:val="0"/>
        <w:rPr>
          <w:rFonts w:eastAsia="Calibri"/>
          <w:noProof/>
          <w:szCs w:val="24"/>
        </w:rPr>
      </w:pPr>
      <w:r w:rsidRPr="00AA0E92">
        <w:rPr>
          <w:noProof/>
        </w:rPr>
        <w:t>Comisia prezintă secretariatului convenției, în numele Uniunii, propunerea și toate informațiile necesare în temeiul anexei D la convenție.</w:t>
      </w:r>
    </w:p>
    <w:p w:rsidR="00E66492" w:rsidRPr="00913B7A" w:rsidRDefault="00E66492" w:rsidP="00032ADF">
      <w:pPr>
        <w:pStyle w:val="Titrearticle"/>
        <w:rPr>
          <w:noProof/>
        </w:rPr>
      </w:pPr>
      <w:r w:rsidRPr="00913B7A">
        <w:rPr>
          <w:noProof/>
        </w:rPr>
        <w:t xml:space="preserve">Articolul 2 </w:t>
      </w:r>
    </w:p>
    <w:p w:rsidR="00E66492" w:rsidRPr="00AA0E92" w:rsidRDefault="00E66492" w:rsidP="00197315">
      <w:pPr>
        <w:keepNext/>
        <w:keepLines/>
        <w:rPr>
          <w:noProof/>
        </w:rPr>
      </w:pPr>
      <w:r w:rsidRPr="00AA0E92">
        <w:rPr>
          <w:noProof/>
          <w:color w:val="000000"/>
        </w:rPr>
        <w:t>Prezenta decizie se adresează Comisiei</w:t>
      </w:r>
      <w:r w:rsidRPr="00AA0E92">
        <w:rPr>
          <w:noProof/>
        </w:rPr>
        <w:t>.</w:t>
      </w:r>
    </w:p>
    <w:p w:rsidR="00E66492" w:rsidRPr="00AA0E92" w:rsidRDefault="00AA0E92" w:rsidP="00032ADF">
      <w:pPr>
        <w:pStyle w:val="Fait"/>
        <w:rPr>
          <w:noProof/>
        </w:rPr>
      </w:pPr>
      <w:r>
        <w:rPr>
          <w:noProof/>
        </w:rPr>
        <w:t>Adoptată la Bruxelles,</w:t>
      </w:r>
    </w:p>
    <w:p w:rsidR="00E66492" w:rsidRPr="00913B7A" w:rsidRDefault="00E66492" w:rsidP="00032ADF">
      <w:pPr>
        <w:pStyle w:val="Institutionquisigne"/>
        <w:rPr>
          <w:noProof/>
        </w:rPr>
      </w:pPr>
      <w:r w:rsidRPr="00913B7A">
        <w:rPr>
          <w:noProof/>
        </w:rPr>
        <w:tab/>
        <w:t>Pentru Consiliu</w:t>
      </w:r>
    </w:p>
    <w:p w:rsidR="00E66492" w:rsidRPr="00913B7A" w:rsidRDefault="00E66492" w:rsidP="00E66492">
      <w:pPr>
        <w:pStyle w:val="Personnequisigne"/>
        <w:rPr>
          <w:noProof/>
        </w:rPr>
      </w:pPr>
      <w:r w:rsidRPr="00913B7A">
        <w:rPr>
          <w:noProof/>
        </w:rPr>
        <w:tab/>
        <w:t>Președintele</w:t>
      </w:r>
    </w:p>
    <w:sectPr w:rsidR="00E66492" w:rsidRPr="00913B7A" w:rsidSect="006019E9">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891" w:rsidRDefault="00851891" w:rsidP="00E66492">
      <w:pPr>
        <w:spacing w:before="0" w:after="0"/>
      </w:pPr>
      <w:r>
        <w:separator/>
      </w:r>
    </w:p>
  </w:endnote>
  <w:endnote w:type="continuationSeparator" w:id="0">
    <w:p w:rsidR="00851891" w:rsidRDefault="00851891" w:rsidP="00E6649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9E9" w:rsidRPr="006019E9" w:rsidRDefault="006019E9" w:rsidP="006019E9">
    <w:pPr>
      <w:pStyle w:val="Footer"/>
      <w:rPr>
        <w:rFonts w:ascii="Arial" w:hAnsi="Arial" w:cs="Arial"/>
        <w:b/>
        <w:sz w:val="48"/>
      </w:rPr>
    </w:pPr>
    <w:r w:rsidRPr="006019E9">
      <w:rPr>
        <w:rFonts w:ascii="Arial" w:hAnsi="Arial" w:cs="Arial"/>
        <w:b/>
        <w:sz w:val="48"/>
      </w:rPr>
      <w:t>RO</w:t>
    </w:r>
    <w:r w:rsidRPr="006019E9">
      <w:rPr>
        <w:rFonts w:ascii="Arial" w:hAnsi="Arial" w:cs="Arial"/>
        <w:b/>
        <w:sz w:val="48"/>
      </w:rPr>
      <w:tab/>
    </w:r>
    <w:r w:rsidRPr="006019E9">
      <w:rPr>
        <w:rFonts w:ascii="Arial" w:hAnsi="Arial" w:cs="Arial"/>
        <w:b/>
        <w:sz w:val="48"/>
      </w:rPr>
      <w:tab/>
    </w:r>
    <w:r w:rsidRPr="006019E9">
      <w:tab/>
    </w:r>
    <w:r w:rsidRPr="006019E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9E9" w:rsidRPr="006019E9" w:rsidRDefault="006019E9" w:rsidP="006019E9">
    <w:pPr>
      <w:pStyle w:val="Footer"/>
      <w:rPr>
        <w:rFonts w:ascii="Arial" w:hAnsi="Arial" w:cs="Arial"/>
        <w:b/>
        <w:sz w:val="48"/>
      </w:rPr>
    </w:pPr>
    <w:r w:rsidRPr="006019E9">
      <w:rPr>
        <w:rFonts w:ascii="Arial" w:hAnsi="Arial" w:cs="Arial"/>
        <w:b/>
        <w:sz w:val="48"/>
      </w:rPr>
      <w:t>RO</w:t>
    </w:r>
    <w:r w:rsidRPr="006019E9">
      <w:rPr>
        <w:rFonts w:ascii="Arial" w:hAnsi="Arial" w:cs="Arial"/>
        <w:b/>
        <w:sz w:val="48"/>
      </w:rPr>
      <w:tab/>
    </w:r>
    <w:r w:rsidRPr="006019E9">
      <w:rPr>
        <w:rFonts w:ascii="Arial" w:hAnsi="Arial" w:cs="Arial"/>
        <w:b/>
        <w:sz w:val="48"/>
      </w:rPr>
      <w:tab/>
    </w:r>
    <w:r w:rsidRPr="006019E9">
      <w:tab/>
    </w:r>
    <w:r w:rsidRPr="006019E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9E9" w:rsidRDefault="006019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9E9" w:rsidRPr="006019E9" w:rsidRDefault="006019E9" w:rsidP="006019E9">
    <w:pPr>
      <w:pStyle w:val="Footer"/>
      <w:rPr>
        <w:rFonts w:ascii="Arial" w:hAnsi="Arial" w:cs="Arial"/>
        <w:b/>
        <w:sz w:val="48"/>
      </w:rPr>
    </w:pPr>
    <w:r w:rsidRPr="006019E9">
      <w:rPr>
        <w:rFonts w:ascii="Arial" w:hAnsi="Arial" w:cs="Arial"/>
        <w:b/>
        <w:sz w:val="48"/>
      </w:rPr>
      <w:t>RO</w:t>
    </w:r>
    <w:r w:rsidRPr="006019E9">
      <w:rPr>
        <w:rFonts w:ascii="Arial" w:hAnsi="Arial" w:cs="Arial"/>
        <w:b/>
        <w:sz w:val="48"/>
      </w:rPr>
      <w:tab/>
    </w:r>
    <w:r>
      <w:fldChar w:fldCharType="begin"/>
    </w:r>
    <w:r>
      <w:instrText xml:space="preserve"> PAGE  \* MERGEFORMAT </w:instrText>
    </w:r>
    <w:r>
      <w:fldChar w:fldCharType="separate"/>
    </w:r>
    <w:r w:rsidR="00032ADF">
      <w:rPr>
        <w:noProof/>
      </w:rPr>
      <w:t>7</w:t>
    </w:r>
    <w:r>
      <w:fldChar w:fldCharType="end"/>
    </w:r>
    <w:r>
      <w:tab/>
    </w:r>
    <w:r w:rsidRPr="006019E9">
      <w:tab/>
    </w:r>
    <w:r w:rsidRPr="006019E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9E9" w:rsidRDefault="006019E9" w:rsidP="00601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891" w:rsidRDefault="00851891" w:rsidP="00E66492">
      <w:pPr>
        <w:spacing w:before="0" w:after="0"/>
      </w:pPr>
      <w:r>
        <w:separator/>
      </w:r>
    </w:p>
  </w:footnote>
  <w:footnote w:type="continuationSeparator" w:id="0">
    <w:p w:rsidR="00851891" w:rsidRDefault="00851891" w:rsidP="00E66492">
      <w:pPr>
        <w:spacing w:before="0" w:after="0"/>
      </w:pPr>
      <w:r>
        <w:continuationSeparator/>
      </w:r>
    </w:p>
  </w:footnote>
  <w:footnote w:id="1">
    <w:p w:rsidR="00137B68" w:rsidRPr="00913B7A" w:rsidRDefault="00137B68" w:rsidP="00137B68">
      <w:pPr>
        <w:pStyle w:val="FootnoteText"/>
      </w:pPr>
      <w:r>
        <w:rPr>
          <w:rStyle w:val="FootnoteReference"/>
        </w:rPr>
        <w:footnoteRef/>
      </w:r>
      <w:r>
        <w:tab/>
      </w:r>
      <w:r w:rsidRPr="00913B7A">
        <w:t>Decizia 2006/507/CE a Consiliului din 14 octombrie 2004 privind încheierea, în numele Comunității Europene, a Convenției de la Stockholm privind poluanții organici persistenți (JO L 209, 31.7.2006, p. 1).</w:t>
      </w:r>
    </w:p>
  </w:footnote>
  <w:footnote w:id="2">
    <w:p w:rsidR="00137B68" w:rsidRPr="00913B7A" w:rsidRDefault="00137B68" w:rsidP="00137B68">
      <w:pPr>
        <w:pStyle w:val="FootnoteText"/>
      </w:pPr>
      <w:r w:rsidRPr="00913B7A">
        <w:rPr>
          <w:rStyle w:val="FootnoteReference"/>
        </w:rPr>
        <w:footnoteRef/>
      </w:r>
      <w:r w:rsidRPr="00913B7A">
        <w:tab/>
        <w:t>Regulamentul (UE) 2019/1021 al Parlamentului European și al Consiliului din 20 iunie 2019 privind poluanții organici persistenți (JO L 169, 25.6.2019, p. 45).</w:t>
      </w:r>
    </w:p>
  </w:footnote>
  <w:footnote w:id="3">
    <w:p w:rsidR="00137B68" w:rsidRPr="00913B7A" w:rsidRDefault="00137B68" w:rsidP="00137B68">
      <w:pPr>
        <w:pStyle w:val="FootnoteText"/>
      </w:pPr>
      <w:r w:rsidRPr="00913B7A">
        <w:rPr>
          <w:rStyle w:val="FootnoteReference"/>
        </w:rPr>
        <w:footnoteRef/>
      </w:r>
      <w:r w:rsidRPr="00913B7A">
        <w:tab/>
        <w:t>Decizia 2004/259/CE a Consiliului din 19 februarie 2004 privind încheierea, în numele Comunității Europene, a Protocolului la Convenția din 1979 privind poluarea atmosferică transfrontalieră pe distanțe lungi, referitor la poluanții organici persistenți (JO L 81, 19.3.2004, p. 35).</w:t>
      </w:r>
    </w:p>
  </w:footnote>
  <w:footnote w:id="4">
    <w:p w:rsidR="00CC6C09" w:rsidRPr="00913B7A" w:rsidRDefault="00CC6C09">
      <w:pPr>
        <w:pStyle w:val="FootnoteText"/>
      </w:pPr>
      <w:r w:rsidRPr="00913B7A">
        <w:rPr>
          <w:rStyle w:val="FootnoteReference"/>
        </w:rPr>
        <w:footnoteRef/>
      </w:r>
      <w:r w:rsidRPr="00913B7A">
        <w:tab/>
      </w:r>
      <w:hyperlink r:id="rId1" w:history="1">
        <w:r w:rsidRPr="00913B7A">
          <w:rPr>
            <w:color w:val="0000FF"/>
            <w:u w:val="single"/>
          </w:rPr>
          <w:t>Strategia de reglementare pentru agenții de ignifugare – Oficiul pentru Publicații al UE</w:t>
        </w:r>
      </w:hyperlink>
      <w:r w:rsidRPr="00913B7A">
        <w:t xml:space="preserve"> și </w:t>
      </w:r>
      <w:hyperlink r:id="rId2" w:history="1">
        <w:r w:rsidRPr="00913B7A">
          <w:rPr>
            <w:color w:val="0000FF"/>
            <w:u w:val="single"/>
          </w:rPr>
          <w:t>fe02b4cb-4603-8189-dab6-9975f16b509e</w:t>
        </w:r>
      </w:hyperlink>
    </w:p>
  </w:footnote>
  <w:footnote w:id="5">
    <w:p w:rsidR="008D351C" w:rsidRPr="00913B7A" w:rsidRDefault="008D351C">
      <w:pPr>
        <w:pStyle w:val="FootnoteText"/>
      </w:pPr>
      <w:r w:rsidRPr="00913B7A">
        <w:rPr>
          <w:rStyle w:val="FootnoteReference"/>
        </w:rPr>
        <w:footnoteRef/>
      </w:r>
      <w:r w:rsidRPr="00913B7A">
        <w:tab/>
      </w:r>
      <w:hyperlink r:id="rId3" w:history="1">
        <w:r w:rsidRPr="00913B7A">
          <w:rPr>
            <w:i/>
            <w:iCs/>
          </w:rPr>
          <w:t>Europe's state of water 2024:</w:t>
        </w:r>
      </w:hyperlink>
      <w:hyperlink r:id="rId4" w:history="1">
        <w:r w:rsidRPr="00913B7A">
          <w:t xml:space="preserve"> </w:t>
        </w:r>
        <w:r w:rsidRPr="00913B7A">
          <w:rPr>
            <w:i/>
            <w:iCs/>
          </w:rPr>
          <w:t>the need for improved water resilience |</w:t>
        </w:r>
        <w:r w:rsidRPr="00913B7A">
          <w:t xml:space="preserve"> (Starea apelor în Europa 2024. Nevoia de îmbunătățire a rezilienței în domeniul apei)</w:t>
        </w:r>
      </w:hyperlink>
      <w:hyperlink r:id="rId5" w:history="1">
        <w:r w:rsidRPr="00913B7A">
          <w:t xml:space="preserve"> Publicații |</w:t>
        </w:r>
      </w:hyperlink>
      <w:hyperlink r:id="rId6" w:history="1">
        <w:r w:rsidRPr="00913B7A">
          <w:t>Agenția Europeană de Mediu (AEM)</w:t>
        </w:r>
      </w:hyperlink>
      <w:r w:rsidRPr="00913B7A">
        <w:t>.</w:t>
      </w:r>
    </w:p>
  </w:footnote>
  <w:footnote w:id="6">
    <w:p w:rsidR="008D351C" w:rsidRPr="00913B7A" w:rsidRDefault="008D351C">
      <w:pPr>
        <w:pStyle w:val="FootnoteText"/>
      </w:pPr>
      <w:r w:rsidRPr="00913B7A">
        <w:rPr>
          <w:rStyle w:val="FootnoteReference"/>
        </w:rPr>
        <w:footnoteRef/>
      </w:r>
      <w:r w:rsidRPr="00913B7A">
        <w:tab/>
      </w:r>
      <w:hyperlink r:id="rId7" w:history="1">
        <w:r w:rsidRPr="00913B7A">
          <w:t>Strategia pentru reziliența în domeniul apei – Comisia Europeană</w:t>
        </w:r>
      </w:hyperlink>
    </w:p>
  </w:footnote>
  <w:footnote w:id="7">
    <w:p w:rsidR="008D351C" w:rsidRPr="00913B7A" w:rsidRDefault="008D351C">
      <w:pPr>
        <w:pStyle w:val="FootnoteText"/>
      </w:pPr>
      <w:r w:rsidRPr="00913B7A">
        <w:rPr>
          <w:rStyle w:val="FootnoteReference"/>
        </w:rPr>
        <w:footnoteRef/>
      </w:r>
      <w:r w:rsidRPr="00913B7A">
        <w:tab/>
      </w:r>
      <w:hyperlink r:id="rId8" w:history="1">
        <w:r w:rsidRPr="00913B7A">
          <w:rPr>
            <w:color w:val="0000FF"/>
            <w:u w:val="single"/>
          </w:rPr>
          <w:t>Planul de acțiune privind reducerea la zero a poluării – Mediu – Comisia Europeană</w:t>
        </w:r>
      </w:hyperlink>
    </w:p>
  </w:footnote>
  <w:footnote w:id="8">
    <w:p w:rsidR="00CC0273" w:rsidRPr="00913B7A" w:rsidRDefault="00CC0273" w:rsidP="00CC0273">
      <w:pPr>
        <w:pStyle w:val="FootnoteText"/>
      </w:pPr>
      <w:r w:rsidRPr="00913B7A">
        <w:rPr>
          <w:rStyle w:val="FootnoteReference"/>
        </w:rPr>
        <w:footnoteRef/>
      </w:r>
      <w:r w:rsidRPr="00913B7A">
        <w:tab/>
        <w:t>Decizia 2006/507/CE a Consiliului din 14 octombrie 2004 privind încheierea, în numele Comunității Europene, a Convenției de la Stockholm privind poluanții organici persistenți (JO L 209, 31.7.2006, p. 1, ELI: </w:t>
      </w:r>
      <w:hyperlink r:id="rId9" w:tooltip="Oferă acces la acest document prin identificatorul său uniform de resurse ELI." w:history="1">
        <w:r w:rsidRPr="00913B7A">
          <w:rPr>
            <w:rStyle w:val="Hyperlink"/>
          </w:rPr>
          <w:t>http://data.europa.eu/eli/dec/2006/507/oj</w:t>
        </w:r>
      </w:hyperlink>
      <w:r w:rsidRPr="00913B7A">
        <w:t>).</w:t>
      </w:r>
    </w:p>
  </w:footnote>
  <w:footnote w:id="9">
    <w:p w:rsidR="001A4594" w:rsidRPr="00913B7A" w:rsidRDefault="001A4594">
      <w:pPr>
        <w:pStyle w:val="FootnoteText"/>
      </w:pPr>
      <w:r w:rsidRPr="00913B7A">
        <w:rPr>
          <w:rStyle w:val="FootnoteReference"/>
        </w:rPr>
        <w:footnoteRef/>
      </w:r>
      <w:r w:rsidRPr="00913B7A">
        <w:tab/>
        <w:t>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p. 1, ELI: http://data.europa.eu/eli/reg/2006/1907/oj).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9E9" w:rsidRDefault="006019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9E9" w:rsidRDefault="006019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A163BF8"/>
    <w:lvl w:ilvl="0">
      <w:start w:val="1"/>
      <w:numFmt w:val="decimal"/>
      <w:pStyle w:val="ListNumber4"/>
      <w:lvlText w:val="%1."/>
      <w:lvlJc w:val="left"/>
      <w:pPr>
        <w:tabs>
          <w:tab w:val="num" w:pos="1209"/>
        </w:tabs>
        <w:ind w:left="1209" w:hanging="360"/>
      </w:pPr>
    </w:lvl>
  </w:abstractNum>
  <w:abstractNum w:abstractNumId="1" w15:restartNumberingAfterBreak="0">
    <w:nsid w:val="FFFFFF81"/>
    <w:multiLevelType w:val="singleLevel"/>
    <w:tmpl w:val="26D4F184"/>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F0E4123E"/>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9C5CDC6E"/>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74708FE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4"/>
  </w:num>
  <w:num w:numId="3">
    <w:abstractNumId w:val="3"/>
  </w:num>
  <w:num w:numId="4">
    <w:abstractNumId w:val="2"/>
  </w:num>
  <w:num w:numId="5">
    <w:abstractNumId w:val="1"/>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8 08:56: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B1DB14B-654A-4F21-AA3A-6131A268FD77"/>
    <w:docVar w:name="LW_COVERPAGE_TYPE" w:val="1"/>
    <w:docVar w:name="LW_CreatedUtc" w:val="2025-10-24T08:50:08.2252190Z"/>
    <w:docVar w:name="LW_CROSSREFERENCE" w:val="&lt;UNUSED&gt;"/>
    <w:docVar w:name="LW_DocType" w:val="COM"/>
    <w:docVar w:name="LW_EMISSION" w:val="4.2.2026"/>
    <w:docVar w:name="LW_EMISSION_ISODATE" w:val="2026-02-04"/>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29"/>
    <w:docVar w:name="LW_REF.II.NEW.CP_YEAR" w:val="2026"/>
    <w:docVar w:name="LW_REF.INST.NEW" w:val="COM"/>
    <w:docVar w:name="LW_REF.INST.NEW_ADOPTED" w:val="final"/>
    <w:docVar w:name="LW_REF.INST.NEW_TEXT" w:val="(2026) 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rezentarea, în numele Uniunii Europene, a unei propuneri de includere a TBPH pe lista din anexa A sau B la Conven\u539?ia de la Stockholm privind poluan\u539?ii organici persisten\u539?i"/>
    <w:docVar w:name="LW_TYPE.DOC.CP" w:val="DECIZIE A CONSILIULUI"/>
    <w:docVar w:name="LwApiVersions" w:val="LW4CoDe 1.24.5.0; LW 9.2, Build 20251112"/>
  </w:docVars>
  <w:rsids>
    <w:rsidRoot w:val="00E66492"/>
    <w:rsid w:val="0001130F"/>
    <w:rsid w:val="00032ADF"/>
    <w:rsid w:val="00047A76"/>
    <w:rsid w:val="0005426F"/>
    <w:rsid w:val="00057588"/>
    <w:rsid w:val="00061008"/>
    <w:rsid w:val="000A3A20"/>
    <w:rsid w:val="000D045D"/>
    <w:rsid w:val="000E46A1"/>
    <w:rsid w:val="000E5C03"/>
    <w:rsid w:val="000F260B"/>
    <w:rsid w:val="000F32CD"/>
    <w:rsid w:val="000F6F84"/>
    <w:rsid w:val="000F7982"/>
    <w:rsid w:val="001065F5"/>
    <w:rsid w:val="001238EF"/>
    <w:rsid w:val="001249B3"/>
    <w:rsid w:val="001258E5"/>
    <w:rsid w:val="00137B68"/>
    <w:rsid w:val="00161FC6"/>
    <w:rsid w:val="00164323"/>
    <w:rsid w:val="0016669F"/>
    <w:rsid w:val="00176525"/>
    <w:rsid w:val="00196AD9"/>
    <w:rsid w:val="00197613"/>
    <w:rsid w:val="001A179E"/>
    <w:rsid w:val="001A4594"/>
    <w:rsid w:val="001B135F"/>
    <w:rsid w:val="001B2A9C"/>
    <w:rsid w:val="001C00AE"/>
    <w:rsid w:val="001D56E3"/>
    <w:rsid w:val="001E1517"/>
    <w:rsid w:val="001F170E"/>
    <w:rsid w:val="001F1D6D"/>
    <w:rsid w:val="001F3B32"/>
    <w:rsid w:val="00203115"/>
    <w:rsid w:val="0021108F"/>
    <w:rsid w:val="0021311F"/>
    <w:rsid w:val="00222677"/>
    <w:rsid w:val="002232BC"/>
    <w:rsid w:val="00230CFA"/>
    <w:rsid w:val="00232D2A"/>
    <w:rsid w:val="00233DC7"/>
    <w:rsid w:val="00243E51"/>
    <w:rsid w:val="00247779"/>
    <w:rsid w:val="00251E44"/>
    <w:rsid w:val="00253468"/>
    <w:rsid w:val="00285BEE"/>
    <w:rsid w:val="0029254D"/>
    <w:rsid w:val="0029533F"/>
    <w:rsid w:val="002A0A80"/>
    <w:rsid w:val="002B30AF"/>
    <w:rsid w:val="002B6638"/>
    <w:rsid w:val="002D5E46"/>
    <w:rsid w:val="00313B74"/>
    <w:rsid w:val="003328AB"/>
    <w:rsid w:val="0033344A"/>
    <w:rsid w:val="00356404"/>
    <w:rsid w:val="0036229A"/>
    <w:rsid w:val="0037138F"/>
    <w:rsid w:val="003754C0"/>
    <w:rsid w:val="00381816"/>
    <w:rsid w:val="0038274B"/>
    <w:rsid w:val="003954BC"/>
    <w:rsid w:val="003C5325"/>
    <w:rsid w:val="003D1D03"/>
    <w:rsid w:val="0042055D"/>
    <w:rsid w:val="00424F29"/>
    <w:rsid w:val="0042648E"/>
    <w:rsid w:val="00434B3B"/>
    <w:rsid w:val="0045237C"/>
    <w:rsid w:val="004540C3"/>
    <w:rsid w:val="00455F48"/>
    <w:rsid w:val="00466A71"/>
    <w:rsid w:val="00472F43"/>
    <w:rsid w:val="004936D2"/>
    <w:rsid w:val="004B30D2"/>
    <w:rsid w:val="004C1DF5"/>
    <w:rsid w:val="004F3439"/>
    <w:rsid w:val="00527280"/>
    <w:rsid w:val="005319FE"/>
    <w:rsid w:val="00542D9E"/>
    <w:rsid w:val="00562525"/>
    <w:rsid w:val="00580E45"/>
    <w:rsid w:val="00581E14"/>
    <w:rsid w:val="005964DE"/>
    <w:rsid w:val="005B1EB6"/>
    <w:rsid w:val="00600D0F"/>
    <w:rsid w:val="006019E9"/>
    <w:rsid w:val="00616E37"/>
    <w:rsid w:val="006267BC"/>
    <w:rsid w:val="00630053"/>
    <w:rsid w:val="006319D9"/>
    <w:rsid w:val="00645CB2"/>
    <w:rsid w:val="00655449"/>
    <w:rsid w:val="006615C2"/>
    <w:rsid w:val="006620F6"/>
    <w:rsid w:val="006732B5"/>
    <w:rsid w:val="006827C1"/>
    <w:rsid w:val="006900C6"/>
    <w:rsid w:val="006908FC"/>
    <w:rsid w:val="00691092"/>
    <w:rsid w:val="006A2987"/>
    <w:rsid w:val="006C0CA3"/>
    <w:rsid w:val="00707DEC"/>
    <w:rsid w:val="00741332"/>
    <w:rsid w:val="007462AF"/>
    <w:rsid w:val="00747113"/>
    <w:rsid w:val="00755AF2"/>
    <w:rsid w:val="00770CFB"/>
    <w:rsid w:val="00773308"/>
    <w:rsid w:val="00773331"/>
    <w:rsid w:val="0079179B"/>
    <w:rsid w:val="007932EF"/>
    <w:rsid w:val="007B6181"/>
    <w:rsid w:val="007C112C"/>
    <w:rsid w:val="007E05B0"/>
    <w:rsid w:val="007F2143"/>
    <w:rsid w:val="008513DA"/>
    <w:rsid w:val="00851891"/>
    <w:rsid w:val="00851CBE"/>
    <w:rsid w:val="00853227"/>
    <w:rsid w:val="00861C09"/>
    <w:rsid w:val="00874D22"/>
    <w:rsid w:val="008A2914"/>
    <w:rsid w:val="008B60D0"/>
    <w:rsid w:val="008D2921"/>
    <w:rsid w:val="008D351C"/>
    <w:rsid w:val="008E41FE"/>
    <w:rsid w:val="008E4D8E"/>
    <w:rsid w:val="008E7F22"/>
    <w:rsid w:val="008F14C6"/>
    <w:rsid w:val="008F48F4"/>
    <w:rsid w:val="00913B7A"/>
    <w:rsid w:val="0091654D"/>
    <w:rsid w:val="00920FD1"/>
    <w:rsid w:val="009512D8"/>
    <w:rsid w:val="00975025"/>
    <w:rsid w:val="00995377"/>
    <w:rsid w:val="009D761F"/>
    <w:rsid w:val="009E6A71"/>
    <w:rsid w:val="009E7E8B"/>
    <w:rsid w:val="00A47BE6"/>
    <w:rsid w:val="00A535E2"/>
    <w:rsid w:val="00A606B7"/>
    <w:rsid w:val="00A96DF6"/>
    <w:rsid w:val="00A97004"/>
    <w:rsid w:val="00AA0E92"/>
    <w:rsid w:val="00AA403F"/>
    <w:rsid w:val="00AC761C"/>
    <w:rsid w:val="00AE52C2"/>
    <w:rsid w:val="00B130B2"/>
    <w:rsid w:val="00B166FA"/>
    <w:rsid w:val="00B56A11"/>
    <w:rsid w:val="00B5764A"/>
    <w:rsid w:val="00B67366"/>
    <w:rsid w:val="00B70273"/>
    <w:rsid w:val="00B85897"/>
    <w:rsid w:val="00B934FA"/>
    <w:rsid w:val="00BA76F4"/>
    <w:rsid w:val="00BD0286"/>
    <w:rsid w:val="00BF3284"/>
    <w:rsid w:val="00C12301"/>
    <w:rsid w:val="00C30AA4"/>
    <w:rsid w:val="00C31831"/>
    <w:rsid w:val="00C42DD6"/>
    <w:rsid w:val="00C53682"/>
    <w:rsid w:val="00C7665C"/>
    <w:rsid w:val="00C81060"/>
    <w:rsid w:val="00C97510"/>
    <w:rsid w:val="00CC0273"/>
    <w:rsid w:val="00CC11BC"/>
    <w:rsid w:val="00CC31AF"/>
    <w:rsid w:val="00CC6C09"/>
    <w:rsid w:val="00CF028F"/>
    <w:rsid w:val="00D06137"/>
    <w:rsid w:val="00D20381"/>
    <w:rsid w:val="00D33740"/>
    <w:rsid w:val="00D56149"/>
    <w:rsid w:val="00D667F7"/>
    <w:rsid w:val="00D70131"/>
    <w:rsid w:val="00D915D1"/>
    <w:rsid w:val="00D950FE"/>
    <w:rsid w:val="00DA41FC"/>
    <w:rsid w:val="00DB1EEF"/>
    <w:rsid w:val="00DB41BA"/>
    <w:rsid w:val="00DC5B45"/>
    <w:rsid w:val="00DD2217"/>
    <w:rsid w:val="00DF098F"/>
    <w:rsid w:val="00E0477A"/>
    <w:rsid w:val="00E1370F"/>
    <w:rsid w:val="00E17952"/>
    <w:rsid w:val="00E43D94"/>
    <w:rsid w:val="00E47F8A"/>
    <w:rsid w:val="00E56809"/>
    <w:rsid w:val="00E6645A"/>
    <w:rsid w:val="00E66492"/>
    <w:rsid w:val="00EC54C8"/>
    <w:rsid w:val="00ED1F33"/>
    <w:rsid w:val="00EE2CB7"/>
    <w:rsid w:val="00EF3385"/>
    <w:rsid w:val="00F0709E"/>
    <w:rsid w:val="00F51033"/>
    <w:rsid w:val="00F816BC"/>
    <w:rsid w:val="00F83FAB"/>
    <w:rsid w:val="00F93471"/>
    <w:rsid w:val="00F96449"/>
    <w:rsid w:val="00FB007E"/>
    <w:rsid w:val="00FC38F8"/>
    <w:rsid w:val="00FC6C83"/>
    <w:rsid w:val="00FF5AE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5:docId w15:val="{2CF20165-C109-4A88-AAA4-7626D5AC8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249B3"/>
    <w:rPr>
      <w:color w:val="0000FF"/>
      <w:u w:val="single"/>
    </w:rPr>
  </w:style>
  <w:style w:type="paragraph" w:styleId="ListNumber4">
    <w:name w:val="List Number 4"/>
    <w:basedOn w:val="Normal"/>
    <w:uiPriority w:val="99"/>
    <w:semiHidden/>
    <w:unhideWhenUsed/>
    <w:rsid w:val="00BD0286"/>
    <w:pPr>
      <w:numPr>
        <w:numId w:val="1"/>
      </w:numPr>
      <w:contextualSpacing/>
    </w:pPr>
  </w:style>
  <w:style w:type="paragraph" w:styleId="ListBullet">
    <w:name w:val="List Bullet"/>
    <w:basedOn w:val="Normal"/>
    <w:uiPriority w:val="99"/>
    <w:semiHidden/>
    <w:unhideWhenUsed/>
    <w:rsid w:val="00BF3284"/>
    <w:pPr>
      <w:numPr>
        <w:numId w:val="2"/>
      </w:numPr>
      <w:contextualSpacing/>
    </w:pPr>
  </w:style>
  <w:style w:type="paragraph" w:styleId="ListBullet2">
    <w:name w:val="List Bullet 2"/>
    <w:basedOn w:val="Normal"/>
    <w:uiPriority w:val="99"/>
    <w:semiHidden/>
    <w:unhideWhenUsed/>
    <w:rsid w:val="00BF3284"/>
    <w:pPr>
      <w:numPr>
        <w:numId w:val="3"/>
      </w:numPr>
      <w:contextualSpacing/>
    </w:pPr>
  </w:style>
  <w:style w:type="paragraph" w:styleId="ListBullet3">
    <w:name w:val="List Bullet 3"/>
    <w:basedOn w:val="Normal"/>
    <w:uiPriority w:val="99"/>
    <w:semiHidden/>
    <w:unhideWhenUsed/>
    <w:rsid w:val="00BF3284"/>
    <w:pPr>
      <w:numPr>
        <w:numId w:val="4"/>
      </w:numPr>
      <w:contextualSpacing/>
    </w:pPr>
  </w:style>
  <w:style w:type="paragraph" w:styleId="ListBullet4">
    <w:name w:val="List Bullet 4"/>
    <w:basedOn w:val="Normal"/>
    <w:uiPriority w:val="99"/>
    <w:semiHidden/>
    <w:unhideWhenUsed/>
    <w:rsid w:val="00BF3284"/>
    <w:pPr>
      <w:numPr>
        <w:numId w:val="5"/>
      </w:numPr>
      <w:contextualSpacing/>
    </w:pPr>
  </w:style>
  <w:style w:type="paragraph" w:styleId="Revision">
    <w:name w:val="Revision"/>
    <w:hidden/>
    <w:uiPriority w:val="99"/>
    <w:semiHidden/>
    <w:rsid w:val="001E1517"/>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1E1517"/>
    <w:rPr>
      <w:sz w:val="16"/>
      <w:szCs w:val="16"/>
    </w:rPr>
  </w:style>
  <w:style w:type="paragraph" w:styleId="CommentText">
    <w:name w:val="annotation text"/>
    <w:basedOn w:val="Normal"/>
    <w:link w:val="CommentTextChar"/>
    <w:uiPriority w:val="99"/>
    <w:unhideWhenUsed/>
    <w:rsid w:val="001E1517"/>
    <w:rPr>
      <w:sz w:val="20"/>
      <w:szCs w:val="20"/>
    </w:rPr>
  </w:style>
  <w:style w:type="character" w:customStyle="1" w:styleId="CommentTextChar">
    <w:name w:val="Comment Text Char"/>
    <w:basedOn w:val="DefaultParagraphFont"/>
    <w:link w:val="CommentText"/>
    <w:uiPriority w:val="99"/>
    <w:rsid w:val="001E151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E1517"/>
    <w:rPr>
      <w:b/>
      <w:bCs/>
    </w:rPr>
  </w:style>
  <w:style w:type="character" w:customStyle="1" w:styleId="CommentSubjectChar">
    <w:name w:val="Comment Subject Char"/>
    <w:basedOn w:val="CommentTextChar"/>
    <w:link w:val="CommentSubject"/>
    <w:uiPriority w:val="99"/>
    <w:semiHidden/>
    <w:rsid w:val="001E1517"/>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222677"/>
    <w:rPr>
      <w:color w:val="605E5C"/>
      <w:shd w:val="clear" w:color="auto" w:fill="E1DFDD"/>
    </w:rPr>
  </w:style>
  <w:style w:type="paragraph" w:styleId="EndnoteText">
    <w:name w:val="endnote text"/>
    <w:basedOn w:val="Normal"/>
    <w:link w:val="EndnoteTextChar"/>
    <w:uiPriority w:val="99"/>
    <w:semiHidden/>
    <w:unhideWhenUsed/>
    <w:rsid w:val="008D351C"/>
    <w:pPr>
      <w:spacing w:before="0" w:after="0"/>
    </w:pPr>
    <w:rPr>
      <w:sz w:val="20"/>
      <w:szCs w:val="20"/>
    </w:rPr>
  </w:style>
  <w:style w:type="character" w:customStyle="1" w:styleId="EndnoteTextChar">
    <w:name w:val="Endnote Text Char"/>
    <w:basedOn w:val="DefaultParagraphFont"/>
    <w:link w:val="EndnoteText"/>
    <w:uiPriority w:val="99"/>
    <w:semiHidden/>
    <w:rsid w:val="008D351C"/>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8D351C"/>
    <w:rPr>
      <w:vertAlign w:val="superscript"/>
    </w:rPr>
  </w:style>
  <w:style w:type="character" w:styleId="FollowedHyperlink">
    <w:name w:val="FollowedHyperlink"/>
    <w:basedOn w:val="DefaultParagraphFont"/>
    <w:uiPriority w:val="99"/>
    <w:semiHidden/>
    <w:unhideWhenUsed/>
    <w:rsid w:val="00C7665C"/>
    <w:rPr>
      <w:color w:val="800080" w:themeColor="followedHyperlink"/>
      <w:u w:val="single"/>
    </w:rPr>
  </w:style>
  <w:style w:type="character" w:customStyle="1" w:styleId="HeaderChar">
    <w:name w:val="Header Char"/>
    <w:basedOn w:val="DefaultParagraphFont"/>
    <w:link w:val="Header"/>
    <w:uiPriority w:val="99"/>
    <w:rsid w:val="006019E9"/>
    <w:rPr>
      <w:rFonts w:ascii="Times New Roman" w:hAnsi="Times New Roman" w:cs="Times New Roman"/>
      <w:sz w:val="24"/>
      <w:lang w:val="ro-RO"/>
    </w:rPr>
  </w:style>
  <w:style w:type="character" w:customStyle="1" w:styleId="FooterChar">
    <w:name w:val="Footer Char"/>
    <w:basedOn w:val="DefaultParagraphFont"/>
    <w:link w:val="Footer"/>
    <w:uiPriority w:val="99"/>
    <w:rsid w:val="006019E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019E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019E9"/>
    <w:pPr>
      <w:spacing w:before="0"/>
      <w:jc w:val="right"/>
    </w:pPr>
    <w:rPr>
      <w:sz w:val="28"/>
    </w:rPr>
  </w:style>
  <w:style w:type="paragraph" w:customStyle="1" w:styleId="FooterSensitivity">
    <w:name w:val="Footer Sensitivity"/>
    <w:basedOn w:val="Normal"/>
    <w:rsid w:val="006019E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019E9"/>
    <w:pPr>
      <w:tabs>
        <w:tab w:val="center" w:pos="4535"/>
        <w:tab w:val="right" w:pos="9071"/>
      </w:tabs>
      <w:spacing w:before="0"/>
    </w:pPr>
  </w:style>
  <w:style w:type="paragraph" w:customStyle="1" w:styleId="HeaderLandscape">
    <w:name w:val="HeaderLandscape"/>
    <w:basedOn w:val="Normal"/>
    <w:rsid w:val="006019E9"/>
    <w:pPr>
      <w:tabs>
        <w:tab w:val="center" w:pos="7285"/>
        <w:tab w:val="right" w:pos="14003"/>
      </w:tabs>
      <w:spacing w:before="0"/>
    </w:pPr>
  </w:style>
  <w:style w:type="paragraph" w:styleId="Footer">
    <w:name w:val="footer"/>
    <w:basedOn w:val="Normal"/>
    <w:link w:val="FooterChar"/>
    <w:uiPriority w:val="99"/>
    <w:unhideWhenUsed/>
    <w:rsid w:val="006019E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019E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58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pops.int/Portals/0/download.aspx?d=UNEP-POPS-COP-CONVTEXT-F.En.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ops.int/Portals/0/download.aspx?d=UNEP-POPS-COP-CONVTEXT-E.En.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nvironment.ec.europa.eu/strategy/zero-pollution-action-plan_en" TargetMode="External"/><Relationship Id="rId3" Type="http://schemas.openxmlformats.org/officeDocument/2006/relationships/hyperlink" Target="https://www.eea.europa.eu/en/analysis/publications/europes-state-of-water-2024" TargetMode="External"/><Relationship Id="rId7" Type="http://schemas.openxmlformats.org/officeDocument/2006/relationships/hyperlink" Target="https://commission.europa.eu/topics/environment/water-resilience-strategy_ro" TargetMode="External"/><Relationship Id="rId2" Type="http://schemas.openxmlformats.org/officeDocument/2006/relationships/hyperlink" Target="https://echa.europa.eu/documents/10162/17233/rest_aromatic_brominated_flame_retardants_investigation_report_en.pdf/fe02b4cb-4603-8189-dab6-9975f16b509e?t=1734506465364" TargetMode="External"/><Relationship Id="rId1" Type="http://schemas.openxmlformats.org/officeDocument/2006/relationships/hyperlink" Target="https://op.europa.eu/en/publication-detail/-/publication/24097cfb-cf78-11ed-a05c-01aa75ed71a1/language-ro" TargetMode="External"/><Relationship Id="rId6" Type="http://schemas.openxmlformats.org/officeDocument/2006/relationships/hyperlink" Target="https://www.eea.europa.eu/en/analysis/publications/europes-state-of-water-2024" TargetMode="External"/><Relationship Id="rId5" Type="http://schemas.openxmlformats.org/officeDocument/2006/relationships/hyperlink" Target="https://www.eea.europa.eu/en/analysis/publications/europes-state-of-water-2024" TargetMode="External"/><Relationship Id="rId4" Type="http://schemas.openxmlformats.org/officeDocument/2006/relationships/hyperlink" Target="https://www.eea.europa.eu/en/analysis/publications/europes-state-of-water-2024" TargetMode="External"/><Relationship Id="rId9" Type="http://schemas.openxmlformats.org/officeDocument/2006/relationships/hyperlink" Target="http://data.europa.eu/eli/dec/2006/50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53f545d841efbe2c9dab5ef00fcc55e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1b3a6d710fffecef35e5e5af0085c7b2"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BE1B1-03A8-4371-B477-032257757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0E366A-8EE0-42BB-8A54-E0F034F6BC5A}">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8F8A66BB-134C-4822-96D9-09E5558B555B}">
  <ds:schemaRefs>
    <ds:schemaRef ds:uri="http://schemas.microsoft.com/sharepoint/v3/contenttype/forms"/>
  </ds:schemaRefs>
</ds:datastoreItem>
</file>

<file path=customXml/itemProps4.xml><?xml version="1.0" encoding="utf-8"?>
<ds:datastoreItem xmlns:ds="http://schemas.openxmlformats.org/officeDocument/2006/customXml" ds:itemID="{8E45078F-4E04-4351-B019-47B9CB623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55</TotalTime>
  <Pages>8</Pages>
  <Words>2311</Words>
  <Characters>13174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2026-01-13T14:17:00Z</dcterms:created>
  <dcterms:modified xsi:type="dcterms:W3CDTF">2026-01-28T07:56:00Z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2025-10-24T08:51:46Z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8b353eac-ae1e-4f4e-aab4-5e5bac122789</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