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E79BA" w14:textId="5A25EB25" w:rsidR="00E81CCD" w:rsidRPr="00F161E3" w:rsidRDefault="00FA4376" w:rsidP="00FA4376">
      <w:pPr>
        <w:pStyle w:val="Pagedecouverture"/>
        <w:rPr>
          <w:noProof/>
        </w:rPr>
      </w:pPr>
      <w:bookmarkStart w:id="0" w:name="LW_BM_COVERPAGE"/>
      <w:r>
        <w:rPr>
          <w:noProof/>
        </w:rPr>
        <w:pict w14:anchorId="3F9CD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472C94C-CE53-464A-A920-C89137473BAC" style="width:455.25pt;height:313.5pt">
            <v:imagedata r:id="rId8" o:title=""/>
          </v:shape>
        </w:pict>
      </w:r>
    </w:p>
    <w:bookmarkEnd w:id="0"/>
    <w:p w14:paraId="1C8EE7E0" w14:textId="5778F2E2" w:rsidR="003C3BE5" w:rsidRPr="00F161E3" w:rsidRDefault="003C3BE5" w:rsidP="00B22A89">
      <w:pPr>
        <w:pStyle w:val="Pagedecouverture"/>
        <w:rPr>
          <w:noProof/>
          <w:szCs w:val="24"/>
        </w:rPr>
        <w:sectPr w:rsidR="003C3BE5" w:rsidRPr="00F161E3" w:rsidSect="00FA437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5DDFEB2" w14:textId="77777777" w:rsidR="00660BFE" w:rsidRPr="000824E5" w:rsidRDefault="00660BFE" w:rsidP="00660BFE">
      <w:pPr>
        <w:numPr>
          <w:ilvl w:val="0"/>
          <w:numId w:val="1"/>
        </w:numPr>
        <w:spacing w:after="120" w:line="240" w:lineRule="auto"/>
        <w:jc w:val="both"/>
        <w:rPr>
          <w:rFonts w:ascii="Times New Roman" w:hAnsi="Times New Roman" w:cs="Times New Roman"/>
          <w:b/>
          <w:bCs/>
          <w:noProof/>
          <w:sz w:val="24"/>
          <w:szCs w:val="24"/>
          <w:lang w:val="ro-RO"/>
        </w:rPr>
      </w:pPr>
      <w:bookmarkStart w:id="1" w:name="_GoBack"/>
      <w:bookmarkEnd w:id="1"/>
      <w:r w:rsidRPr="000824E5">
        <w:rPr>
          <w:rFonts w:ascii="Times New Roman" w:hAnsi="Times New Roman"/>
          <w:b/>
          <w:noProof/>
          <w:sz w:val="24"/>
          <w:lang w:val="ro-RO"/>
        </w:rPr>
        <w:lastRenderedPageBreak/>
        <w:t xml:space="preserve">Introducere </w:t>
      </w:r>
    </w:p>
    <w:p w14:paraId="4080CBFB"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De la comunitățile de pescari la orașele costiere, viața de zi cu zi a celor </w:t>
      </w:r>
      <w:bookmarkStart w:id="2" w:name="_Hlk230019646"/>
      <w:r w:rsidRPr="000824E5">
        <w:rPr>
          <w:rFonts w:ascii="Times New Roman" w:hAnsi="Times New Roman"/>
          <w:noProof/>
          <w:sz w:val="24"/>
          <w:lang w:val="ro-RO"/>
        </w:rPr>
        <w:t xml:space="preserve">95 de milioane de persoane care trăiesc de-a lungul celor 70 000 km de coastă ai UE și în zonele costiere ale acesteia </w:t>
      </w:r>
      <w:bookmarkEnd w:id="2"/>
      <w:r w:rsidRPr="000824E5">
        <w:rPr>
          <w:rFonts w:ascii="Times New Roman" w:hAnsi="Times New Roman"/>
          <w:noProof/>
          <w:sz w:val="24"/>
          <w:lang w:val="ro-RO"/>
        </w:rPr>
        <w:t>este strâns legată de ocean.</w:t>
      </w:r>
      <w:r>
        <w:rPr>
          <w:rFonts w:ascii="Times New Roman" w:hAnsi="Times New Roman"/>
          <w:noProof/>
          <w:sz w:val="24"/>
        </w:rPr>
        <w:t xml:space="preserve"> </w:t>
      </w:r>
    </w:p>
    <w:p w14:paraId="281E2371" w14:textId="77777777" w:rsidR="00660BFE" w:rsidRPr="000824E5" w:rsidDel="0050134D"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Specificul geografic și identitatea costieră ale UE oferă oportunități unice. La întâlnirea dintre uscat și mare, comunitățile costiere dispun de active importante de mediu, sociale și culturale și de un potențial neexploatat de a promova economia albastră durabilă. Acestea servesc drept terenuri de testare pentru inovarea albastră și pentru noi modele de afaceri durabile, acționează ca administratori ai mediului costier și marin, consolidează competitivitatea UE, refac ecosistemele marine și costiere și le protejează bogatul patrimoniu cultural maritim și identitatea maritimă. Ele joacă un rol esențial de centre locale pentru comerțul maritim, turism, producția de alimente și producția de energie curată.</w:t>
      </w:r>
    </w:p>
    <w:p w14:paraId="274275ED"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În același timp, comunitățile costiere ale UE se află în prima linie a schimbărilor climatice, a pierderii biodiversității marine și costiere și a poluării marine. Turismul excesiv, deficitul de locuințe accesibile ca preț, caracterul sezonier al activităților economice, cum ar fi turismul și pescuitul, oportunitățile limitate de angajare, precum și riscurile de mediu și intensificarea amenințărilor hibride reprezintă provocări suplimentare. Zonele costiere sunt, de asemenea, expuse amenințărilor la adresa securității din cauza poziției lor geografice și au o importanță strategică din perspectiva securității și apărării, în actualul mediu geopolitic tensionat. Dacă nu se intervine pentru atenuarea lor, aceste presiuni riscă să submineze mijloacele de subzistență, securitatea și prosperitatea comunităților costiere, cu consecințe mai ample pentru reziliența, competitivitatea și securitatea UE. Comunitățile costiere din UE sunt extrem de diverse, variind de la comunități mici de pescari la mari orașe portuare industriale, cu caracteristici geografice, medii, structuri de guvernanță, culturi și condiții demografice diferite. O abordare universală nu este nici fezabilă, nici eficace. Prin urmare, strategiile de dezvoltare trebuie să fie adaptate, concepute și puse în aplicare la nivel local, astfel încât să reflecte nevoile, provocările și oportunitățile specifice.</w:t>
      </w:r>
    </w:p>
    <w:p w14:paraId="3BB2D0B3"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În conformitate cu obiectivele Pactului european privind oceanul planetar</w:t>
      </w:r>
      <w:r w:rsidRPr="000824E5">
        <w:rPr>
          <w:rStyle w:val="FootnoteReference"/>
          <w:rFonts w:ascii="Times New Roman" w:hAnsi="Times New Roman" w:cs="Times New Roman"/>
          <w:noProof/>
          <w:sz w:val="24"/>
          <w:szCs w:val="24"/>
          <w:lang w:val="ro-RO"/>
        </w:rPr>
        <w:footnoteReference w:id="1"/>
      </w:r>
      <w:r w:rsidRPr="000824E5">
        <w:rPr>
          <w:rFonts w:ascii="Times New Roman" w:hAnsi="Times New Roman"/>
          <w:noProof/>
          <w:sz w:val="24"/>
          <w:lang w:val="ro-RO"/>
        </w:rPr>
        <w:t xml:space="preserve">, </w:t>
      </w:r>
      <w:r w:rsidRPr="000824E5">
        <w:rPr>
          <w:rFonts w:ascii="Times New Roman" w:hAnsi="Times New Roman"/>
          <w:b/>
          <w:noProof/>
          <w:sz w:val="24"/>
          <w:lang w:val="ro-RO"/>
        </w:rPr>
        <w:t>este prezentată pentru prima dată o strategie a UE care integrează provocările și oportunitățile comunităților costiere într-un cadru unic și coerent</w:t>
      </w:r>
      <w:r w:rsidRPr="000824E5">
        <w:rPr>
          <w:rFonts w:ascii="Times New Roman" w:hAnsi="Times New Roman"/>
          <w:noProof/>
          <w:sz w:val="24"/>
          <w:lang w:val="ro-RO"/>
        </w:rPr>
        <w:t>. Provocările specifice cu care se confruntă teritoriile insulare și regiunile ultraperiferice sunt abordate în Strategia UE pentru insule</w:t>
      </w:r>
      <w:r w:rsidRPr="000824E5">
        <w:rPr>
          <w:rStyle w:val="FootnoteReference"/>
          <w:rFonts w:ascii="Times New Roman" w:hAnsi="Times New Roman" w:cs="Times New Roman"/>
          <w:noProof/>
          <w:sz w:val="24"/>
          <w:szCs w:val="24"/>
          <w:lang w:val="ro-RO"/>
        </w:rPr>
        <w:footnoteReference w:id="2"/>
      </w:r>
      <w:r w:rsidRPr="000824E5">
        <w:rPr>
          <w:rFonts w:ascii="Times New Roman" w:hAnsi="Times New Roman"/>
          <w:noProof/>
          <w:sz w:val="24"/>
          <w:lang w:val="ro-RO"/>
        </w:rPr>
        <w:t xml:space="preserve"> și în viitoarea strategie a UE privind regiunile ultraperiferice. </w:t>
      </w:r>
    </w:p>
    <w:p w14:paraId="55FD476E"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 </w:t>
      </w:r>
    </w:p>
    <w:p w14:paraId="70AA3015" w14:textId="77777777" w:rsidR="00660BFE" w:rsidRPr="000824E5" w:rsidRDefault="00660BFE" w:rsidP="00660BFE">
      <w:pPr>
        <w:numPr>
          <w:ilvl w:val="0"/>
          <w:numId w:val="1"/>
        </w:numPr>
        <w:spacing w:after="120" w:line="240" w:lineRule="auto"/>
        <w:jc w:val="both"/>
        <w:rPr>
          <w:rFonts w:ascii="Times New Roman" w:hAnsi="Times New Roman" w:cs="Times New Roman"/>
          <w:b/>
          <w:bCs/>
          <w:noProof/>
          <w:sz w:val="24"/>
          <w:szCs w:val="24"/>
          <w:lang w:val="ro-RO"/>
        </w:rPr>
      </w:pPr>
      <w:r w:rsidRPr="000824E5">
        <w:rPr>
          <w:rFonts w:ascii="Times New Roman" w:hAnsi="Times New Roman"/>
          <w:b/>
          <w:noProof/>
          <w:sz w:val="24"/>
          <w:lang w:val="ro-RO"/>
        </w:rPr>
        <w:t>O abordare a UE privind comunitățile costiere</w:t>
      </w:r>
    </w:p>
    <w:p w14:paraId="4C038FC3"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Întrucât numeroase politici și fonduri ale UE au impact asupra zonelor costiere, o abordare coerentă a elaborării și punerii în aplicare a acestora poate maximiza sinergiile dintre politicile maritime, climatice, de coeziune, sociale, de cercetare și inovare, energetice și de mediu. Acțiunile UE vor completa, fără a înlocui, eforturile naționale, regionale și locale, în conformitate cu principiul subsidiarității.</w:t>
      </w:r>
    </w:p>
    <w:p w14:paraId="3FAF08AD"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 xml:space="preserve">Punând comunitățile costiere în centrul său, această strategie oferă o direcție clară, sprijinind statele membre și părțile interesate în planificare, programare și punere în aplicare – atât pe termen scurt, cât și pe termen lung. </w:t>
      </w:r>
    </w:p>
    <w:p w14:paraId="38ECB0B6" w14:textId="77777777" w:rsidR="00660BFE" w:rsidRPr="000824E5" w:rsidRDefault="00660BFE" w:rsidP="00660BFE">
      <w:pPr>
        <w:spacing w:after="120" w:line="240" w:lineRule="auto"/>
        <w:jc w:val="both"/>
        <w:rPr>
          <w:rFonts w:ascii="Times New Roman" w:hAnsi="Times New Roman" w:cs="Times New Roman"/>
          <w:b/>
          <w:bCs/>
          <w:noProof/>
          <w:sz w:val="24"/>
          <w:szCs w:val="24"/>
          <w:lang w:val="ro-RO"/>
        </w:rPr>
      </w:pPr>
      <w:r w:rsidRPr="000824E5">
        <w:rPr>
          <w:rFonts w:ascii="Times New Roman" w:hAnsi="Times New Roman"/>
          <w:noProof/>
          <w:sz w:val="24"/>
          <w:lang w:val="ro-RO"/>
        </w:rPr>
        <w:t>O abordare a UE privind comunitățile costiere trebuie să pornească de la nevoile și preocupările locuitorilor din zonele costiere. Pe baza consultărilor cu părțile interesate</w:t>
      </w:r>
      <w:bookmarkStart w:id="3" w:name="_Ref230688243"/>
      <w:r w:rsidRPr="000824E5">
        <w:rPr>
          <w:rStyle w:val="FootnoteReference"/>
          <w:rFonts w:ascii="Times New Roman" w:hAnsi="Times New Roman" w:cs="Times New Roman"/>
          <w:noProof/>
          <w:sz w:val="24"/>
          <w:szCs w:val="24"/>
          <w:lang w:val="ro-RO"/>
        </w:rPr>
        <w:footnoteReference w:id="3"/>
      </w:r>
      <w:bookmarkEnd w:id="3"/>
      <w:r w:rsidRPr="000824E5">
        <w:rPr>
          <w:rFonts w:ascii="Times New Roman" w:hAnsi="Times New Roman"/>
          <w:noProof/>
          <w:sz w:val="24"/>
          <w:lang w:val="ro-RO"/>
        </w:rPr>
        <w:t xml:space="preserve"> și a unei analize a riscurilor și oportunităților pentru comunitățile costiere, abordarea UE identifică </w:t>
      </w:r>
      <w:r w:rsidRPr="000824E5">
        <w:rPr>
          <w:rFonts w:ascii="Times New Roman" w:hAnsi="Times New Roman"/>
          <w:b/>
          <w:noProof/>
          <w:sz w:val="24"/>
          <w:lang w:val="ro-RO"/>
        </w:rPr>
        <w:t>trei obiective strategice pentru comunitățile costiere europene</w:t>
      </w:r>
      <w:r w:rsidRPr="000824E5">
        <w:rPr>
          <w:rFonts w:ascii="Times New Roman" w:hAnsi="Times New Roman"/>
          <w:noProof/>
          <w:sz w:val="24"/>
          <w:lang w:val="ro-RO"/>
        </w:rPr>
        <w:t>:</w:t>
      </w:r>
    </w:p>
    <w:p w14:paraId="6B44041D" w14:textId="77777777" w:rsidR="00660BFE" w:rsidRPr="000824E5" w:rsidRDefault="00660BFE" w:rsidP="00660BFE">
      <w:pPr>
        <w:pStyle w:val="ListParagraph"/>
        <w:numPr>
          <w:ilvl w:val="0"/>
          <w:numId w:val="19"/>
        </w:numPr>
        <w:spacing w:after="60" w:line="240" w:lineRule="auto"/>
        <w:ind w:left="714" w:hanging="357"/>
        <w:contextualSpacing w:val="0"/>
        <w:jc w:val="both"/>
        <w:rPr>
          <w:rFonts w:ascii="Times New Roman" w:eastAsia="Times New Roman" w:hAnsi="Times New Roman" w:cs="Times New Roman"/>
          <w:noProof/>
          <w:sz w:val="24"/>
          <w:szCs w:val="24"/>
          <w:lang w:val="ro-RO"/>
        </w:rPr>
      </w:pPr>
      <w:r w:rsidRPr="000824E5">
        <w:rPr>
          <w:rFonts w:ascii="Times New Roman" w:hAnsi="Times New Roman"/>
          <w:b/>
          <w:noProof/>
          <w:sz w:val="24"/>
          <w:lang w:val="ro-RO"/>
        </w:rPr>
        <w:t xml:space="preserve">Prosperitate. </w:t>
      </w:r>
      <w:r w:rsidRPr="000824E5">
        <w:rPr>
          <w:rFonts w:ascii="Times New Roman" w:hAnsi="Times New Roman"/>
          <w:noProof/>
          <w:sz w:val="24"/>
          <w:lang w:val="ro-RO"/>
        </w:rPr>
        <w:t>Investiții într-o economie albastră diversă și durabilă, sprijinită de inovare și de noi modele de afaceri durabile, și asigurarea unor beneficii locale generate de aceasta.</w:t>
      </w:r>
    </w:p>
    <w:p w14:paraId="2B5ED01C" w14:textId="77777777" w:rsidR="00660BFE" w:rsidRPr="000824E5" w:rsidRDefault="00660BFE" w:rsidP="00660BFE">
      <w:pPr>
        <w:pStyle w:val="ListParagraph"/>
        <w:numPr>
          <w:ilvl w:val="0"/>
          <w:numId w:val="19"/>
        </w:numPr>
        <w:spacing w:after="60" w:line="240" w:lineRule="auto"/>
        <w:ind w:left="714" w:hanging="357"/>
        <w:contextualSpacing w:val="0"/>
        <w:jc w:val="both"/>
        <w:rPr>
          <w:rFonts w:ascii="Times New Roman" w:eastAsia="Times New Roman" w:hAnsi="Times New Roman" w:cs="Times New Roman"/>
          <w:noProof/>
          <w:sz w:val="24"/>
          <w:szCs w:val="24"/>
          <w:lang w:val="ro-RO"/>
        </w:rPr>
      </w:pPr>
      <w:r w:rsidRPr="000824E5">
        <w:rPr>
          <w:rFonts w:ascii="Times New Roman" w:hAnsi="Times New Roman"/>
          <w:b/>
          <w:noProof/>
          <w:sz w:val="24"/>
          <w:lang w:val="ro-RO"/>
        </w:rPr>
        <w:t xml:space="preserve">Reziliență. </w:t>
      </w:r>
      <w:r w:rsidRPr="000824E5">
        <w:rPr>
          <w:rFonts w:ascii="Times New Roman" w:hAnsi="Times New Roman"/>
          <w:noProof/>
          <w:sz w:val="24"/>
          <w:lang w:val="ro-RO"/>
        </w:rPr>
        <w:t xml:space="preserve">Adaptarea continuă la riscurile tot mai mari generate de schimbările climatice și de alte riscuri de mediu, economice, sociale și de securitate, contribuind totodată la decarbonizare, la practici durabile și la reducerea emisiilor de GES în toate activitățile costiere și maritime. </w:t>
      </w:r>
    </w:p>
    <w:p w14:paraId="6F629A82" w14:textId="77777777" w:rsidR="00660BFE" w:rsidRPr="000824E5" w:rsidRDefault="00660BFE" w:rsidP="00660BFE">
      <w:pPr>
        <w:pStyle w:val="ListParagraph"/>
        <w:numPr>
          <w:ilvl w:val="0"/>
          <w:numId w:val="19"/>
        </w:numPr>
        <w:spacing w:after="0" w:line="240" w:lineRule="auto"/>
        <w:jc w:val="both"/>
        <w:rPr>
          <w:rFonts w:ascii="Times New Roman" w:eastAsia="Times New Roman" w:hAnsi="Times New Roman" w:cs="Times New Roman"/>
          <w:noProof/>
          <w:sz w:val="24"/>
          <w:szCs w:val="24"/>
          <w:lang w:val="ro-RO"/>
        </w:rPr>
      </w:pPr>
      <w:r w:rsidRPr="000824E5">
        <w:rPr>
          <w:rFonts w:ascii="Times New Roman" w:hAnsi="Times New Roman"/>
          <w:b/>
          <w:noProof/>
          <w:sz w:val="24"/>
          <w:lang w:val="ro-RO"/>
        </w:rPr>
        <w:t xml:space="preserve">Condiții bune de viață. </w:t>
      </w:r>
      <w:r w:rsidRPr="000824E5">
        <w:rPr>
          <w:rFonts w:ascii="Times New Roman" w:hAnsi="Times New Roman"/>
          <w:noProof/>
          <w:sz w:val="24"/>
          <w:lang w:val="ro-RO"/>
        </w:rPr>
        <w:t>Dezvoltarea unor locuri dinamice, favorabile incluziunii și atractive în care persoanele de toate vârstele să poată trăi, lucra și petrece timpul liber și în care cultura maritimă, patrimoniul și identitatea locală să poată prospera.</w:t>
      </w:r>
    </w:p>
    <w:p w14:paraId="34CE7359"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p>
    <w:p w14:paraId="6F2BFC90" w14:textId="10E81E3B" w:rsidR="00660BFE" w:rsidRPr="000824E5" w:rsidRDefault="00660BFE" w:rsidP="00660BFE">
      <w:pPr>
        <w:pStyle w:val="ListParagraph"/>
        <w:numPr>
          <w:ilvl w:val="1"/>
          <w:numId w:val="1"/>
        </w:numPr>
        <w:spacing w:after="120" w:line="240" w:lineRule="auto"/>
        <w:ind w:left="1077"/>
        <w:contextualSpacing w:val="0"/>
        <w:jc w:val="both"/>
        <w:rPr>
          <w:rFonts w:ascii="Times New Roman" w:hAnsi="Times New Roman" w:cs="Times New Roman"/>
          <w:b/>
          <w:bCs/>
          <w:noProof/>
          <w:sz w:val="24"/>
          <w:szCs w:val="24"/>
          <w:lang w:val="ro-RO"/>
        </w:rPr>
      </w:pPr>
      <w:r w:rsidRPr="000824E5">
        <w:rPr>
          <w:rFonts w:ascii="Times New Roman" w:hAnsi="Times New Roman"/>
          <w:b/>
          <w:noProof/>
          <w:sz w:val="24"/>
          <w:lang w:val="ro-RO"/>
        </w:rPr>
        <w:t>Comunități costiere prospere</w:t>
      </w:r>
      <w:r w:rsidRPr="000824E5">
        <w:rPr>
          <w:rFonts w:ascii="Times New Roman" w:hAnsi="Times New Roman"/>
          <w:noProof/>
          <w:sz w:val="24"/>
          <w:lang w:val="ro-RO"/>
        </w:rPr>
        <w:t xml:space="preserve"> </w:t>
      </w:r>
    </w:p>
    <w:p w14:paraId="05851B59" w14:textId="77777777" w:rsidR="00660BFE" w:rsidRPr="000824E5" w:rsidDel="005813C0" w:rsidRDefault="00660BFE" w:rsidP="00660BFE">
      <w:pPr>
        <w:pStyle w:val="ListParagraph"/>
        <w:numPr>
          <w:ilvl w:val="0"/>
          <w:numId w:val="4"/>
        </w:numPr>
        <w:spacing w:after="120" w:line="240" w:lineRule="auto"/>
        <w:ind w:left="426"/>
        <w:jc w:val="both"/>
        <w:rPr>
          <w:rFonts w:ascii="Times New Roman" w:hAnsi="Times New Roman" w:cs="Times New Roman"/>
          <w:i/>
          <w:iCs/>
          <w:noProof/>
          <w:sz w:val="24"/>
          <w:szCs w:val="24"/>
          <w:lang w:val="ro-RO"/>
        </w:rPr>
      </w:pPr>
      <w:r w:rsidRPr="000824E5">
        <w:rPr>
          <w:rFonts w:ascii="Times New Roman" w:hAnsi="Times New Roman"/>
          <w:i/>
          <w:noProof/>
          <w:sz w:val="24"/>
          <w:lang w:val="ro-RO"/>
        </w:rPr>
        <w:t>Consolidarea și diversificarea sectoarelor tradiționale ale economiei albastre</w:t>
      </w:r>
    </w:p>
    <w:p w14:paraId="5E76E2B2" w14:textId="77777777" w:rsidR="00660BFE" w:rsidRPr="000824E5" w:rsidRDefault="00660BFE" w:rsidP="00660BFE">
      <w:pPr>
        <w:spacing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Economia albastră a UE generează în mod direct aproximativ 263 de miliarde EUR pe an sub formă de valoare</w:t>
      </w:r>
      <w:bookmarkStart w:id="4" w:name="_Ref226557610"/>
      <w:r w:rsidRPr="000824E5">
        <w:rPr>
          <w:rFonts w:ascii="Times New Roman" w:hAnsi="Times New Roman"/>
          <w:noProof/>
          <w:sz w:val="24"/>
          <w:lang w:val="ro-RO"/>
        </w:rPr>
        <w:t xml:space="preserve"> adăugată brută.</w:t>
      </w:r>
      <w:bookmarkEnd w:id="4"/>
      <w:r w:rsidRPr="000824E5">
        <w:rPr>
          <w:rFonts w:ascii="Times New Roman" w:hAnsi="Times New Roman"/>
          <w:noProof/>
          <w:sz w:val="24"/>
          <w:lang w:val="ro-RO"/>
        </w:rPr>
        <w:t xml:space="preserve"> Deși aceasta rămâne subfinanțată, oportunitățile de investiții din sectoarele economiei albastre iau avânt</w:t>
      </w:r>
      <w:r w:rsidRPr="000824E5">
        <w:rPr>
          <w:rFonts w:ascii="Times New Roman" w:hAnsi="Times New Roman" w:cs="Times New Roman"/>
          <w:noProof/>
          <w:sz w:val="24"/>
          <w:szCs w:val="24"/>
          <w:vertAlign w:val="superscript"/>
          <w:lang w:val="ro-RO"/>
        </w:rPr>
        <w:footnoteReference w:id="4"/>
      </w:r>
      <w:r w:rsidRPr="000824E5">
        <w:rPr>
          <w:rFonts w:ascii="Times New Roman" w:hAnsi="Times New Roman"/>
          <w:noProof/>
          <w:sz w:val="24"/>
          <w:lang w:val="ro-RO"/>
        </w:rPr>
        <w:t xml:space="preserve">. Cunoașterea mediului marin, inovațiile albastre și tehnologiile albastre stimulează deja noi modele și noi oportunități de afaceri. Progresele rapide în domeniul energiei din surse regenerabile offshore, al soluțiilor digitale și al observării oceanelor se pot traduce în locuri de muncă, competențe și investiții locale pentru comunitățile costiere. Comunitățile costiere pot acționa ca centre ale economiei albastre, în care inovarea stimulează competitivitatea, consolidând performanța economică globală a UE și asigurând totodată o utilizare durabilă a capitalului natural al oceanelor. Prin orientarea investițiilor către punctele forte regionale, </w:t>
      </w:r>
      <w:r w:rsidRPr="000824E5">
        <w:rPr>
          <w:rFonts w:ascii="Times New Roman" w:hAnsi="Times New Roman"/>
          <w:b/>
          <w:noProof/>
          <w:sz w:val="24"/>
          <w:lang w:val="ro-RO"/>
        </w:rPr>
        <w:t>strategiile de specializare inteligentă (S3)</w:t>
      </w:r>
      <w:r w:rsidRPr="000824E5">
        <w:rPr>
          <w:rFonts w:ascii="Times New Roman" w:hAnsi="Times New Roman"/>
          <w:noProof/>
          <w:sz w:val="24"/>
          <w:lang w:val="ro-RO"/>
        </w:rPr>
        <w:t xml:space="preserve"> încurajează colaborarea în ecosistemele locale și regionale de inovare albastră, generând creștere economică și locuri de muncă în comunitățile costiere. Pentru a consolida legăturile dintre inițiativele de inovare și a extinde inovarea în ecosisteme esențiale precum biotehnologiile albastre, bioeconomia albastră și acvacultura circulară inteligentă, Comisia va continua să sprijine platforma tematică S3 pentru o economie albastră durabilă</w:t>
      </w:r>
      <w:r w:rsidRPr="000824E5">
        <w:rPr>
          <w:rFonts w:ascii="Times New Roman" w:hAnsi="Times New Roman" w:cs="Times New Roman"/>
          <w:noProof/>
          <w:sz w:val="24"/>
          <w:szCs w:val="24"/>
          <w:vertAlign w:val="superscript"/>
          <w:lang w:val="ro-RO"/>
        </w:rPr>
        <w:footnoteReference w:id="5"/>
      </w:r>
      <w:r w:rsidRPr="000824E5">
        <w:rPr>
          <w:rFonts w:ascii="Times New Roman" w:hAnsi="Times New Roman"/>
          <w:noProof/>
          <w:sz w:val="24"/>
          <w:lang w:val="ro-RO"/>
        </w:rPr>
        <w:t xml:space="preserve">. </w:t>
      </w:r>
    </w:p>
    <w:p w14:paraId="11E3BDCE"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Baza industrială a economiei albastre – inclusiv producția maritimă, transportul maritim și porturile – rămâne un pilon major al capacității de inovare, al competitivității și al autonomiei strategice a UE.</w:t>
      </w:r>
      <w:r>
        <w:rPr>
          <w:rFonts w:ascii="Times New Roman" w:hAnsi="Times New Roman"/>
          <w:noProof/>
          <w:sz w:val="24"/>
        </w:rPr>
        <w:t xml:space="preserve"> </w:t>
      </w:r>
      <w:r w:rsidRPr="000824E5">
        <w:rPr>
          <w:rFonts w:ascii="Times New Roman" w:hAnsi="Times New Roman"/>
          <w:b/>
          <w:noProof/>
          <w:sz w:val="24"/>
          <w:lang w:val="ro-RO"/>
        </w:rPr>
        <w:t>Strategia portuară a UE și Strategia maritimă industrială europeană (EIMS)</w:t>
      </w:r>
      <w:r w:rsidRPr="000824E5">
        <w:rPr>
          <w:rStyle w:val="FootnoteReference"/>
          <w:rFonts w:ascii="Times New Roman" w:hAnsi="Times New Roman" w:cs="Times New Roman"/>
          <w:noProof/>
          <w:sz w:val="24"/>
          <w:szCs w:val="24"/>
          <w:lang w:val="ro-RO"/>
        </w:rPr>
        <w:footnoteReference w:id="6"/>
      </w:r>
      <w:r w:rsidRPr="000824E5">
        <w:rPr>
          <w:rFonts w:ascii="Times New Roman" w:hAnsi="Times New Roman"/>
          <w:noProof/>
          <w:sz w:val="24"/>
          <w:lang w:val="ro-RO"/>
        </w:rPr>
        <w:t xml:space="preserve"> trasează direcții care pot genera noi oportunități de afaceri și de inovare, legate, de exemplu, de transportul maritim ecologic, energia offshore și logistică. Astfel, vor fi create locuri de muncă de calitate la nivel local prin inovare portuară și clustere industriale, asigurând în același timp infrastructura și conectivitatea necesare pentru competitivitatea și securitatea UE în ansamblul său. </w:t>
      </w:r>
    </w:p>
    <w:p w14:paraId="68F533F7"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b/>
          <w:noProof/>
          <w:sz w:val="24"/>
          <w:lang w:val="ro-RO"/>
        </w:rPr>
        <w:t>Sectoarele pescuitului și acvaculturii</w:t>
      </w:r>
      <w:r w:rsidRPr="000824E5">
        <w:rPr>
          <w:rFonts w:ascii="Times New Roman" w:hAnsi="Times New Roman"/>
          <w:noProof/>
          <w:sz w:val="24"/>
          <w:lang w:val="ro-RO"/>
        </w:rPr>
        <w:t xml:space="preserve">, inclusiv lanțul valoric extins, reprezintă coloana vertebrală a multor economii costiere. Aceste activități cu tradiție îndelungată sunt adânc înrădăcinate în patrimoniul cultural al UE și sunt vitale pentru aprovizionarea cu alimente a acesteia. Progresele continue în ceea ce privește gestionarea durabilă a pescuitului, în cadrul politicii comune în domeniul pescuitului (PCP), sunt esențiale pentru viabilitatea pe termen lung a sectorului, pentru menținerea locurilor de muncă locale, pentru asigurarea unor venituri echitabile și a securității alimentare, precum și pentru reînnoirea generațiilor (atragerea tinerilor în sector pentru ca acesta să aibă continuitate în viitor). </w:t>
      </w:r>
    </w:p>
    <w:p w14:paraId="21D78A69" w14:textId="77777777" w:rsidR="00660BFE" w:rsidRPr="000824E5" w:rsidRDefault="00660BFE" w:rsidP="00660BFE">
      <w:pPr>
        <w:spacing w:after="120" w:line="240" w:lineRule="auto"/>
        <w:jc w:val="both"/>
        <w:rPr>
          <w:rFonts w:ascii="Times New Roman" w:hAnsi="Times New Roman" w:cs="Times New Roman"/>
          <w:b/>
          <w:bCs/>
          <w:noProof/>
          <w:sz w:val="24"/>
          <w:szCs w:val="24"/>
          <w:u w:val="single"/>
          <w:lang w:val="ro-RO"/>
        </w:rPr>
      </w:pPr>
      <w:r w:rsidRPr="000824E5">
        <w:rPr>
          <w:rFonts w:ascii="Times New Roman" w:hAnsi="Times New Roman"/>
          <w:noProof/>
          <w:sz w:val="24"/>
          <w:lang w:val="ro-RO"/>
        </w:rPr>
        <w:t>Recenta evaluare a Regulamentului privind PCP</w:t>
      </w:r>
      <w:r w:rsidRPr="000824E5">
        <w:rPr>
          <w:rStyle w:val="FootnoteReference"/>
          <w:rFonts w:ascii="Times New Roman" w:hAnsi="Times New Roman" w:cs="Times New Roman"/>
          <w:noProof/>
          <w:sz w:val="24"/>
          <w:szCs w:val="24"/>
          <w:lang w:val="ro-RO"/>
        </w:rPr>
        <w:footnoteReference w:id="7"/>
      </w:r>
      <w:r w:rsidRPr="000824E5">
        <w:rPr>
          <w:rFonts w:ascii="Times New Roman" w:hAnsi="Times New Roman"/>
          <w:noProof/>
          <w:sz w:val="24"/>
          <w:lang w:val="ro-RO"/>
        </w:rPr>
        <w:t xml:space="preserve"> arată că progresele înregistrate nu sunt suficiente: refacerea stocurilor de pește rămâne prea lentă, iar câștigurile economice prea scăzute, printre altele din cauza noilor provocări, inclusiv a evoluțiilor geopolitice, a schimbărilor climatice și a prețurilor ridicate la energie. Potențialul acvaculturii durabile este încă insuficient exploatat. Evaluarea PCP va contribui la fundamentarea potențialelor reforme ale acestei politici și va servi drept bază pentru </w:t>
      </w:r>
      <w:r w:rsidRPr="000824E5">
        <w:rPr>
          <w:rFonts w:ascii="Times New Roman" w:hAnsi="Times New Roman"/>
          <w:b/>
          <w:noProof/>
          <w:sz w:val="24"/>
          <w:lang w:val="ro-RO"/>
        </w:rPr>
        <w:t>Viziunea Comisiei pentru 2040 privind pescuitul și acvacultura</w:t>
      </w:r>
      <w:r w:rsidRPr="000824E5">
        <w:rPr>
          <w:rFonts w:ascii="Times New Roman" w:hAnsi="Times New Roman"/>
          <w:noProof/>
          <w:sz w:val="24"/>
          <w:lang w:val="ro-RO"/>
        </w:rPr>
        <w:t>, un cadru strategic pe 15 ani menit să orienteze elaborarea politicilor în deceniile următoare, pentru a consolida competitivitatea, durabilitatea și reziliența sectoarelor. În contextul Viziunii, Comisia va pune un accent deosebit pe reziliența, durabilitatea și prosperitatea comunităților costiere.</w:t>
      </w:r>
    </w:p>
    <w:p w14:paraId="64E5A566"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b/>
          <w:noProof/>
          <w:sz w:val="24"/>
          <w:lang w:val="ro-RO"/>
        </w:rPr>
        <w:t>Turismul costier</w:t>
      </w:r>
      <w:r w:rsidRPr="000824E5">
        <w:rPr>
          <w:rFonts w:ascii="Times New Roman" w:hAnsi="Times New Roman"/>
          <w:noProof/>
          <w:sz w:val="24"/>
          <w:lang w:val="ro-RO"/>
        </w:rPr>
        <w:t>, cel mai mare angajator din economia albastră, oferă locuri de muncă directe pentru milioane de persoane din UE</w:t>
      </w:r>
      <w:r w:rsidRPr="000824E5">
        <w:rPr>
          <w:rStyle w:val="FootnoteReference"/>
          <w:rFonts w:ascii="Times New Roman" w:hAnsi="Times New Roman" w:cs="Times New Roman"/>
          <w:noProof/>
          <w:sz w:val="24"/>
          <w:szCs w:val="24"/>
          <w:lang w:val="ro-RO"/>
        </w:rPr>
        <w:footnoteReference w:id="8"/>
      </w:r>
      <w:r w:rsidRPr="000824E5">
        <w:rPr>
          <w:noProof/>
          <w:lang w:val="ro-RO"/>
        </w:rPr>
        <w:t>.</w:t>
      </w:r>
      <w:r w:rsidRPr="000824E5">
        <w:rPr>
          <w:rFonts w:ascii="Times New Roman" w:hAnsi="Times New Roman"/>
          <w:noProof/>
          <w:sz w:val="24"/>
          <w:lang w:val="ro-RO"/>
        </w:rPr>
        <w:t xml:space="preserve"> Cu toate acestea, turismul excesiv poate accentua vulnerabilitățile cauzate de caracterul sezonier, supraaglomerare și presiunile asupra resurselor și infrastructurii, precum și provocările în materie de locuințe. </w:t>
      </w:r>
      <w:r w:rsidRPr="000824E5">
        <w:rPr>
          <w:rFonts w:ascii="Times New Roman" w:hAnsi="Times New Roman"/>
          <w:b/>
          <w:noProof/>
          <w:sz w:val="24"/>
          <w:lang w:val="ro-RO"/>
        </w:rPr>
        <w:t>Viitoarea Strategie UE pentru un turism durabil a Comisiei</w:t>
      </w:r>
      <w:r w:rsidRPr="000824E5">
        <w:rPr>
          <w:rFonts w:ascii="Times New Roman" w:hAnsi="Times New Roman"/>
          <w:noProof/>
          <w:sz w:val="24"/>
          <w:lang w:val="ro-RO"/>
        </w:rPr>
        <w:t xml:space="preserve"> urmărește să promoveze modele de turism mai echilibrate,</w:t>
      </w:r>
      <w:r w:rsidRPr="000824E5">
        <w:rPr>
          <w:noProof/>
          <w:lang w:val="ro-RO"/>
        </w:rPr>
        <w:t xml:space="preserve"> </w:t>
      </w:r>
      <w:r w:rsidRPr="000824E5">
        <w:rPr>
          <w:rFonts w:ascii="Times New Roman" w:hAnsi="Times New Roman"/>
          <w:noProof/>
          <w:sz w:val="24"/>
          <w:lang w:val="ro-RO"/>
        </w:rPr>
        <w:t xml:space="preserve">mai reziliente și mai competitive, care să aducă beneficii comunităților locale și călătorilor. </w:t>
      </w:r>
    </w:p>
    <w:p w14:paraId="5907304A" w14:textId="77777777" w:rsidR="00660BFE" w:rsidRPr="000824E5" w:rsidDel="004A32A3" w:rsidRDefault="00660BFE" w:rsidP="00660BFE">
      <w:pPr>
        <w:pStyle w:val="ListParagraph"/>
        <w:numPr>
          <w:ilvl w:val="0"/>
          <w:numId w:val="4"/>
        </w:numPr>
        <w:spacing w:after="120" w:line="240" w:lineRule="auto"/>
        <w:ind w:left="426"/>
        <w:jc w:val="both"/>
        <w:rPr>
          <w:rFonts w:ascii="Times New Roman" w:hAnsi="Times New Roman" w:cs="Times New Roman"/>
          <w:i/>
          <w:iCs/>
          <w:noProof/>
          <w:sz w:val="24"/>
          <w:szCs w:val="24"/>
          <w:lang w:val="ro-RO"/>
        </w:rPr>
      </w:pPr>
      <w:r w:rsidRPr="000824E5">
        <w:rPr>
          <w:rFonts w:ascii="Times New Roman" w:hAnsi="Times New Roman"/>
          <w:i/>
          <w:noProof/>
          <w:sz w:val="24"/>
          <w:lang w:val="ro-RO"/>
        </w:rPr>
        <w:t xml:space="preserve">Oportunități pentru inovare, cunoașterea mediului marin și noi modele de afaceri </w:t>
      </w:r>
    </w:p>
    <w:p w14:paraId="03D478DA"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Cunoașterea mediului marin, inovațiile și tehnologiile albastre stimulează noi modele de afaceri și generează beneficii la nivel local și la nivelul UE, în timp ce progresele înregistrate în domeniul energiei din surse regenerabile offshore, al soluțiilor digitale și al observării oceanelor se pot traduce în locuri de muncă și investiții locale. De asemenea, astfel cum s-a subliniat mai sus, comunitățile costiere pot funcționa ca centre ale economiei albastre.</w:t>
      </w:r>
    </w:p>
    <w:p w14:paraId="092D013D"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 xml:space="preserve">Dezvoltarea viitoare a economiei albastre va depinde de accelerarea digitalizării, de valorificarea datelor privind oceanele și de îmbunătățirea cunoașterii mediului marin și a oceanelor. Modelele de afaceri inovatoare, cum ar fi întreținerea predictivă a activelor offshore, și aplicațiile cu dublă utilizare necesită sisteme de date și de observare mai robuste. </w:t>
      </w:r>
      <w:r w:rsidRPr="000824E5">
        <w:rPr>
          <w:rFonts w:ascii="Times New Roman" w:hAnsi="Times New Roman"/>
          <w:b/>
          <w:noProof/>
          <w:sz w:val="24"/>
          <w:lang w:val="ro-RO"/>
        </w:rPr>
        <w:t>Inițiativa OceanEye</w:t>
      </w:r>
      <w:r w:rsidRPr="000824E5">
        <w:rPr>
          <w:rStyle w:val="FootnoteReference"/>
          <w:rFonts w:ascii="Times New Roman" w:hAnsi="Times New Roman" w:cs="Times New Roman"/>
          <w:noProof/>
          <w:sz w:val="24"/>
          <w:szCs w:val="24"/>
          <w:lang w:val="ro-RO"/>
        </w:rPr>
        <w:footnoteReference w:id="9"/>
      </w:r>
      <w:r w:rsidRPr="000824E5">
        <w:rPr>
          <w:rFonts w:ascii="Times New Roman" w:hAnsi="Times New Roman"/>
          <w:noProof/>
          <w:sz w:val="24"/>
          <w:lang w:val="ro-RO"/>
        </w:rPr>
        <w:t xml:space="preserve"> va consolida monitorizarea și observarea oceanelor la nivel european și mondial și va crea noi oportunități pentru comunitățile costiere:</w:t>
      </w:r>
      <w:r>
        <w:rPr>
          <w:rFonts w:ascii="Times New Roman" w:hAnsi="Times New Roman"/>
          <w:noProof/>
          <w:sz w:val="24"/>
        </w:rPr>
        <w:t xml:space="preserve"> </w:t>
      </w:r>
      <w:r w:rsidRPr="000824E5">
        <w:rPr>
          <w:rFonts w:ascii="Times New Roman" w:hAnsi="Times New Roman"/>
          <w:noProof/>
          <w:sz w:val="24"/>
          <w:lang w:val="ro-RO"/>
        </w:rPr>
        <w:t xml:space="preserve">Aceasta ne va </w:t>
      </w:r>
      <w:r w:rsidRPr="000824E5">
        <w:rPr>
          <w:rFonts w:ascii="Times New Roman" w:hAnsi="Times New Roman"/>
          <w:b/>
          <w:noProof/>
          <w:sz w:val="24"/>
          <w:lang w:val="ro-RO"/>
        </w:rPr>
        <w:t>îmbunătăți cunoștințele cu privire la apele costiere</w:t>
      </w:r>
      <w:r w:rsidRPr="000824E5">
        <w:rPr>
          <w:rFonts w:ascii="Times New Roman" w:hAnsi="Times New Roman"/>
          <w:noProof/>
          <w:sz w:val="24"/>
          <w:lang w:val="ro-RO"/>
        </w:rPr>
        <w:t xml:space="preserve"> și ne va spori capacitatea de a evalua riscurile climatice, de a detecta amenințările la adresa securității maritime și de a oferi oportunități pentru economia albastră a UE. Inițiativa OceanEye, în sinergie cu Destinația Pământ</w:t>
      </w:r>
      <w:bookmarkStart w:id="5" w:name="_Ref230704539"/>
      <w:r w:rsidRPr="000824E5">
        <w:rPr>
          <w:rStyle w:val="FootnoteReference"/>
          <w:rFonts w:ascii="Times New Roman" w:hAnsi="Times New Roman" w:cs="Times New Roman"/>
          <w:noProof/>
          <w:sz w:val="24"/>
          <w:szCs w:val="24"/>
          <w:lang w:val="ro-RO"/>
        </w:rPr>
        <w:footnoteReference w:id="10"/>
      </w:r>
      <w:bookmarkEnd w:id="5"/>
      <w:r w:rsidRPr="000824E5">
        <w:rPr>
          <w:rFonts w:ascii="Times New Roman" w:hAnsi="Times New Roman"/>
          <w:noProof/>
          <w:sz w:val="24"/>
          <w:lang w:val="ro-RO"/>
        </w:rPr>
        <w:t>, va furniza date și instrumente la nivelul zonelor costiere, sprijinind inovarea locală în domeniul tehnologiilor oceanice și al serviciilor de date. De asemenea, OceanEye va investi în consolidarea legăturii emoționale a cetățenilor cu marea și în transformarea observării oceanelor într-un instrument civic și cultural.</w:t>
      </w:r>
      <w:r>
        <w:rPr>
          <w:rFonts w:ascii="Times New Roman" w:hAnsi="Times New Roman"/>
          <w:noProof/>
          <w:sz w:val="24"/>
        </w:rPr>
        <w:t xml:space="preserve"> </w:t>
      </w:r>
    </w:p>
    <w:p w14:paraId="1E9543EC"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Oportunitățile limitate de angajare și caracterul sezonier al activității economice (de exemplu, în domeniul turismului și al pescuitului) subminează prosperitatea în unele zone costiere.</w:t>
      </w:r>
      <w:r w:rsidRPr="000824E5">
        <w:rPr>
          <w:rFonts w:ascii="Times New Roman" w:hAnsi="Times New Roman"/>
          <w:b/>
          <w:noProof/>
          <w:sz w:val="24"/>
          <w:lang w:val="ro-RO"/>
        </w:rPr>
        <w:t xml:space="preserve"> </w:t>
      </w:r>
      <w:r w:rsidRPr="000824E5">
        <w:rPr>
          <w:rFonts w:ascii="Times New Roman" w:hAnsi="Times New Roman"/>
          <w:noProof/>
          <w:sz w:val="24"/>
          <w:lang w:val="ro-RO"/>
        </w:rPr>
        <w:t xml:space="preserve">Inovațiile și noile modele de afaceri (de exemplu, pescaturismul, pescuitul sprijinit de comunitate, dezvoltarea lanțurilor valorice locale, brandingul teritorial și acvacultura la nivel trofic scăzut) pot sprijini </w:t>
      </w:r>
      <w:r w:rsidRPr="000824E5">
        <w:rPr>
          <w:rFonts w:ascii="Times New Roman" w:hAnsi="Times New Roman"/>
          <w:b/>
          <w:noProof/>
          <w:sz w:val="24"/>
          <w:lang w:val="ro-RO"/>
        </w:rPr>
        <w:t>diversificarea economică</w:t>
      </w:r>
      <w:r w:rsidRPr="000824E5">
        <w:rPr>
          <w:rFonts w:ascii="Times New Roman" w:hAnsi="Times New Roman"/>
          <w:noProof/>
          <w:sz w:val="24"/>
          <w:lang w:val="ro-RO"/>
        </w:rPr>
        <w:t>.</w:t>
      </w:r>
      <w:r w:rsidRPr="000824E5">
        <w:rPr>
          <w:rFonts w:ascii="Times New Roman" w:hAnsi="Times New Roman"/>
          <w:bCs/>
          <w:noProof/>
          <w:sz w:val="24"/>
          <w:lang w:val="ro-RO"/>
        </w:rPr>
        <w:t xml:space="preserve"> </w:t>
      </w:r>
      <w:r w:rsidRPr="000824E5">
        <w:rPr>
          <w:rFonts w:ascii="Times New Roman" w:hAnsi="Times New Roman"/>
          <w:noProof/>
          <w:sz w:val="24"/>
          <w:lang w:val="ro-RO"/>
        </w:rPr>
        <w:t xml:space="preserve">Resursele marine regenerabile pot crea locuri de muncă și pot stimula creșterea la nivel local în cadrul bioeconomiei albastre. Viitoarea </w:t>
      </w:r>
      <w:r w:rsidRPr="000824E5">
        <w:rPr>
          <w:rFonts w:ascii="Times New Roman" w:hAnsi="Times New Roman"/>
          <w:b/>
          <w:noProof/>
          <w:sz w:val="24"/>
          <w:lang w:val="ro-RO"/>
        </w:rPr>
        <w:t>inițiativă a UE pentru inovare în domeniul bioeconomiei albastre (BlueBIP)</w:t>
      </w:r>
      <w:r w:rsidRPr="000824E5">
        <w:rPr>
          <w:rFonts w:ascii="Times New Roman" w:hAnsi="Times New Roman"/>
          <w:noProof/>
          <w:sz w:val="24"/>
          <w:lang w:val="ro-RO"/>
        </w:rPr>
        <w:t xml:space="preserve"> va consolida cooperarea regională și sinergiile dintre acvacultură, pescuit, agricultură, cercetare, autorități locale și bioindustrii, pentru a dezvolta lanțuri valorice concrete, cum ar fi cele legate de îngrășămintele pe bază de alge, transformarea subproduselor din pescuit și acvacultură în furaje sau biomateriale, recuperarea </w:t>
      </w:r>
      <w:r w:rsidRPr="000824E5">
        <w:rPr>
          <w:rFonts w:ascii="Times New Roman" w:hAnsi="Times New Roman"/>
          <w:noProof/>
          <w:sz w:val="24"/>
        </w:rPr>
        <w:t>nutrienţilor</w:t>
      </w:r>
      <w:r w:rsidRPr="000824E5">
        <w:rPr>
          <w:rFonts w:ascii="Times New Roman" w:hAnsi="Times New Roman"/>
          <w:noProof/>
          <w:sz w:val="24"/>
          <w:lang w:val="ro-RO"/>
        </w:rPr>
        <w:t xml:space="preserve"> între zonele costiere și zonele agricole și obținerea de produse cu emisii scăzute de dioxid de carbon din acvacultura durabilă. Aceste acțiuni pot stimula diversificarea economică și reziliența și pot contribui la realizarea obiectivelor economiei circulare, consolidând legăturile dintre regiunile costiere, regiunile interioare și părțile interesate. </w:t>
      </w:r>
    </w:p>
    <w:p w14:paraId="5F5B8881"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Creditele pentru natură și creditele de carbon albastru pot fi mecanisme prin care să fie recompensate activitățile de refacere și să fie inversată pierderea biodiversității marine, sporind în același timp sechestrarea carbonului.</w:t>
      </w:r>
      <w:r w:rsidRPr="000824E5">
        <w:rPr>
          <w:rFonts w:ascii="Times New Roman" w:hAnsi="Times New Roman"/>
          <w:iCs/>
          <w:noProof/>
          <w:sz w:val="24"/>
          <w:lang w:val="ro-RO"/>
        </w:rPr>
        <w:t xml:space="preserve"> </w:t>
      </w:r>
      <w:r w:rsidRPr="000824E5">
        <w:rPr>
          <w:rFonts w:ascii="Times New Roman" w:hAnsi="Times New Roman"/>
          <w:noProof/>
          <w:sz w:val="24"/>
          <w:lang w:val="ro-RO"/>
        </w:rPr>
        <w:t xml:space="preserve">Pentru a permite emiterea și comercializarea în viitor a </w:t>
      </w:r>
      <w:r w:rsidRPr="000824E5">
        <w:rPr>
          <w:rFonts w:ascii="Times New Roman" w:hAnsi="Times New Roman"/>
          <w:b/>
          <w:noProof/>
          <w:sz w:val="24"/>
          <w:lang w:val="ro-RO"/>
        </w:rPr>
        <w:t>creditelor de carbon albastru</w:t>
      </w:r>
      <w:r w:rsidRPr="000824E5">
        <w:rPr>
          <w:rFonts w:ascii="Times New Roman" w:hAnsi="Times New Roman"/>
          <w:noProof/>
          <w:sz w:val="24"/>
          <w:lang w:val="ro-RO"/>
        </w:rPr>
        <w:t xml:space="preserve">, </w:t>
      </w:r>
      <w:r w:rsidRPr="000824E5">
        <w:rPr>
          <w:rFonts w:ascii="Times New Roman" w:hAnsi="Times New Roman"/>
          <w:b/>
          <w:noProof/>
          <w:sz w:val="24"/>
          <w:lang w:val="ro-RO"/>
        </w:rPr>
        <w:t>Comisia va sprijini elaborarea unei metodologii de certificare pentru ecosistemele de carbon albastru</w:t>
      </w:r>
      <w:r w:rsidRPr="000824E5">
        <w:rPr>
          <w:rFonts w:ascii="Times New Roman" w:hAnsi="Times New Roman"/>
          <w:noProof/>
          <w:sz w:val="24"/>
          <w:lang w:val="ro-RO"/>
        </w:rPr>
        <w:t xml:space="preserve"> (</w:t>
      </w:r>
      <w:r w:rsidRPr="000824E5">
        <w:rPr>
          <w:rFonts w:ascii="Times New Roman" w:hAnsi="Times New Roman"/>
          <w:i/>
          <w:noProof/>
          <w:sz w:val="24"/>
          <w:lang w:val="ro-RO"/>
        </w:rPr>
        <w:t>pentru mlaștinile mareice și pajiștile de iarbă marină</w:t>
      </w:r>
      <w:r w:rsidRPr="000824E5">
        <w:rPr>
          <w:rFonts w:ascii="Times New Roman" w:hAnsi="Times New Roman"/>
          <w:noProof/>
          <w:sz w:val="24"/>
          <w:lang w:val="ro-RO"/>
        </w:rPr>
        <w:t xml:space="preserve">) în temeiul Regulamentului din 2024 privind absorbțiile de carbon și agricultura carbonului (CRCF). Un proiect de act delegat privind această metodologie este planificat până în 2028. În plus, ca parte a </w:t>
      </w:r>
      <w:r w:rsidRPr="000824E5">
        <w:rPr>
          <w:rFonts w:ascii="Times New Roman" w:hAnsi="Times New Roman"/>
          <w:b/>
          <w:noProof/>
          <w:sz w:val="24"/>
          <w:lang w:val="ro-RO"/>
        </w:rPr>
        <w:t>Foii de parcurs către credite pentru natură</w:t>
      </w:r>
      <w:r w:rsidRPr="000824E5">
        <w:rPr>
          <w:rStyle w:val="FootnoteReference"/>
          <w:rFonts w:ascii="Times New Roman" w:hAnsi="Times New Roman" w:cs="Times New Roman"/>
          <w:noProof/>
          <w:sz w:val="24"/>
          <w:szCs w:val="24"/>
          <w:lang w:val="ro-RO"/>
        </w:rPr>
        <w:footnoteReference w:id="11"/>
      </w:r>
      <w:r w:rsidRPr="000824E5">
        <w:rPr>
          <w:rFonts w:ascii="Times New Roman" w:hAnsi="Times New Roman"/>
          <w:noProof/>
          <w:sz w:val="24"/>
          <w:lang w:val="ro-RO"/>
        </w:rPr>
        <w:t xml:space="preserve">, Comisia structurează un portofoliu tot mai mare de proiecte prin intermediul inițiativelor sale de cercetare, inovare și al inițiativelor-pilot, pentru a testa diferite opțiuni, cu sprijinul Orizont Europa, LIFE, Green Assist și al altor instrumente ale UE. </w:t>
      </w:r>
    </w:p>
    <w:p w14:paraId="5590998C"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Comisia examinează modalitățile de colaborare cu statele membre în cadrul unui proces comun riguros de monitorizare care poate sprijini raportarea și verificarea pentru inventarele de carbon în temeiul Regulamentului privind exploatarea terenurilor, schimbarea destinației terenurilor și silvicultura (LULUCF)</w:t>
      </w:r>
      <w:r w:rsidRPr="000824E5">
        <w:rPr>
          <w:rStyle w:val="FootnoteReference"/>
          <w:rFonts w:ascii="Times New Roman" w:hAnsi="Times New Roman" w:cs="Times New Roman"/>
          <w:noProof/>
          <w:sz w:val="24"/>
          <w:szCs w:val="24"/>
          <w:lang w:val="ro-RO"/>
        </w:rPr>
        <w:footnoteReference w:id="12"/>
      </w:r>
      <w:r w:rsidRPr="000824E5">
        <w:rPr>
          <w:rFonts w:ascii="Times New Roman" w:hAnsi="Times New Roman"/>
          <w:noProof/>
          <w:sz w:val="24"/>
          <w:lang w:val="ro-RO"/>
        </w:rPr>
        <w:t xml:space="preserve"> și obligațiile care decurg din Regulamentul privind restaurarea naturii. Mobilizarea finanțării private pentru refacerea, monitorizarea și gestionarea acestor ecosisteme poate consolida aceste eforturi. </w:t>
      </w:r>
    </w:p>
    <w:p w14:paraId="275F8426" w14:textId="77777777" w:rsidR="00660BFE" w:rsidRPr="000824E5" w:rsidRDefault="00660BFE" w:rsidP="00660BFE">
      <w:pPr>
        <w:spacing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Utilizările spațiului marin (de exemplu, conservarea și refacerea naturii, energia, pescuitul, acvacultura, transportul maritim și turismul) sunt strâns legate de dezvoltarea comunităților costiere. Pe măsură ce concurența pentru spațiu se intensifică, planificarea eficace este esențială, iar modernizarea </w:t>
      </w:r>
      <w:r w:rsidRPr="000824E5">
        <w:rPr>
          <w:rFonts w:ascii="Times New Roman" w:hAnsi="Times New Roman"/>
          <w:b/>
          <w:noProof/>
          <w:sz w:val="24"/>
          <w:lang w:val="ro-RO"/>
        </w:rPr>
        <w:t>Directivei privind amenajarea spațiului maritim (DASM)</w:t>
      </w:r>
      <w:r w:rsidRPr="000824E5">
        <w:rPr>
          <w:rFonts w:ascii="Times New Roman" w:hAnsi="Times New Roman"/>
          <w:noProof/>
          <w:sz w:val="24"/>
          <w:lang w:val="ro-RO"/>
        </w:rPr>
        <w:t xml:space="preserve"> devine necesară. DASM oferă un cadru coerent, transparent și bazat pe dovezi, însă persistă o serie de provocări, printre care impactul tot mai mare al schimbărilor climatice, poluarea marină și presiunile asupra mediului generate de intensificarea utilizării zonelor costiere și maritime, interacțiunile tot mai strânse dintre uscat și mare și necesitatea îmbunătățirii guvernanței oceanelor</w:t>
      </w:r>
      <w:r w:rsidRPr="000824E5">
        <w:rPr>
          <w:rStyle w:val="FootnoteReference"/>
          <w:rFonts w:ascii="Times New Roman" w:hAnsi="Times New Roman" w:cs="Times New Roman"/>
          <w:noProof/>
          <w:sz w:val="24"/>
          <w:szCs w:val="24"/>
          <w:lang w:val="ro-RO"/>
        </w:rPr>
        <w:footnoteReference w:id="13"/>
      </w:r>
      <w:r w:rsidRPr="000824E5">
        <w:rPr>
          <w:noProof/>
          <w:lang w:val="ro-RO"/>
        </w:rPr>
        <w:t>.</w:t>
      </w:r>
      <w:r w:rsidRPr="000824E5">
        <w:rPr>
          <w:rFonts w:ascii="Times New Roman" w:hAnsi="Times New Roman"/>
          <w:noProof/>
          <w:sz w:val="24"/>
          <w:lang w:val="ro-RO"/>
        </w:rPr>
        <w:t xml:space="preserve"> Viitorul </w:t>
      </w:r>
      <w:r w:rsidRPr="000824E5">
        <w:rPr>
          <w:rFonts w:ascii="Times New Roman" w:hAnsi="Times New Roman"/>
          <w:b/>
          <w:noProof/>
          <w:sz w:val="24"/>
          <w:lang w:val="ro-RO"/>
        </w:rPr>
        <w:t>act legislativ european privind oceanul planetar</w:t>
      </w:r>
      <w:r w:rsidRPr="000824E5">
        <w:rPr>
          <w:rFonts w:ascii="Times New Roman" w:hAnsi="Times New Roman"/>
          <w:noProof/>
          <w:sz w:val="24"/>
          <w:lang w:val="ro-RO"/>
        </w:rPr>
        <w:t>, preconizat a fi adoptat până la sfârșitul anului 2026, urmărește să modernizeze DASM în conformitate cu prioritățile Pactului european privind oceanul planetar. Acesta va crea cadrul pentru implicarea comunităților costiere în gestionarea provocărilor legate de adaptarea la schimbările climatice, coexistența activităților maritime, utilizarea durabilă a capitalului natural al oceanelor și consolidarea cooperării transfrontaliere.</w:t>
      </w:r>
      <w:r>
        <w:rPr>
          <w:rFonts w:ascii="Times New Roman" w:hAnsi="Times New Roman"/>
          <w:noProof/>
          <w:sz w:val="24"/>
        </w:rPr>
        <w:t xml:space="preserve"> </w:t>
      </w:r>
    </w:p>
    <w:p w14:paraId="165D7C0D"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b/>
          <w:noProof/>
          <w:sz w:val="24"/>
          <w:lang w:val="ro-RO"/>
        </w:rPr>
        <w:t>Strategia UE privind energia din surse regenerabile offshore</w:t>
      </w:r>
      <w:r w:rsidRPr="000824E5">
        <w:rPr>
          <w:rStyle w:val="FootnoteReference"/>
          <w:rFonts w:ascii="Times New Roman" w:hAnsi="Times New Roman" w:cs="Times New Roman"/>
          <w:noProof/>
          <w:sz w:val="24"/>
          <w:szCs w:val="24"/>
          <w:lang w:val="ro-RO"/>
        </w:rPr>
        <w:footnoteReference w:id="14"/>
      </w:r>
      <w:r w:rsidRPr="000824E5">
        <w:rPr>
          <w:rFonts w:ascii="Times New Roman" w:hAnsi="Times New Roman"/>
          <w:noProof/>
          <w:sz w:val="24"/>
          <w:lang w:val="ro-RO"/>
        </w:rPr>
        <w:t xml:space="preserve"> sprijină decarbonizarea și securitatea energetică și oferă oportunități pentru comunitățile costiere în domeniul tehnologiilor avansate de fabricație, al modernizării porturilor, al investițiilor în lanțul de aprovizionare și al serviciilor de întreținere, în special pentru energia eoliană offshore și, din ce în ce mai mult, pentru energia valurilor și energia mareelor. Pentru UE, aceasta consolidează securitatea energetică și accelerează renunțarea treptată la combustibilii fosili. În același timp, concurența pentru spațiul costier și marin și normele complexe de planificare pot încetini procesul de autorizare a noilor proiecte energetice și pot crea tensiuni cu alte utilizări ale uscatului și ale mării, cum ar fi pescuitul și conservarea naturii. Pentru a răspunde acestor provocări, Comisia Europeană încurajează statele membre să consolideze amenajarea integrată a spațiului maritim și să simplifice procesul de autorizare, asigurând totodată valoare locală și sprijin public prin implicarea comunităților costiere în inițiativele de </w:t>
      </w:r>
      <w:r w:rsidRPr="000824E5">
        <w:rPr>
          <w:rFonts w:ascii="Times New Roman" w:hAnsi="Times New Roman"/>
          <w:b/>
          <w:noProof/>
          <w:sz w:val="24"/>
          <w:lang w:val="ro-RO"/>
        </w:rPr>
        <w:t>dezvoltare locală plasată sub responsabilitatea comunității</w:t>
      </w:r>
      <w:r w:rsidRPr="000824E5">
        <w:rPr>
          <w:rFonts w:ascii="Times New Roman" w:hAnsi="Times New Roman"/>
          <w:noProof/>
          <w:sz w:val="24"/>
          <w:lang w:val="ro-RO"/>
        </w:rPr>
        <w:t xml:space="preserve"> (DLRC). Sprijinite cu aproape 1 miliard EUR pentru perioada 2021-2027 în cadrul Fondului european pentru afaceri maritime, pescuit și acvacultură (FEAMPA) și completate de fonduri din politica de coeziune a UE, </w:t>
      </w:r>
      <w:r w:rsidRPr="000824E5">
        <w:rPr>
          <w:rFonts w:ascii="Times New Roman" w:hAnsi="Times New Roman"/>
          <w:b/>
          <w:noProof/>
          <w:sz w:val="24"/>
          <w:lang w:val="ro-RO"/>
        </w:rPr>
        <w:t>inițiativele DLRC oferă deja beneficii directe comunităților locale</w:t>
      </w:r>
      <w:r w:rsidRPr="000824E5">
        <w:rPr>
          <w:rStyle w:val="FootnoteReference"/>
          <w:rFonts w:ascii="Times New Roman" w:hAnsi="Times New Roman" w:cs="Times New Roman"/>
          <w:b/>
          <w:bCs/>
          <w:noProof/>
          <w:sz w:val="24"/>
          <w:szCs w:val="24"/>
          <w:lang w:val="ro-RO"/>
        </w:rPr>
        <w:footnoteReference w:id="15"/>
      </w:r>
      <w:r w:rsidRPr="000824E5">
        <w:rPr>
          <w:rFonts w:ascii="Times New Roman" w:hAnsi="Times New Roman"/>
          <w:b/>
          <w:noProof/>
          <w:sz w:val="24"/>
          <w:lang w:val="ro-RO"/>
        </w:rPr>
        <w:t xml:space="preserve"> printr-o abordare ascendentă și participativă</w:t>
      </w:r>
      <w:r w:rsidRPr="000824E5">
        <w:rPr>
          <w:rFonts w:ascii="Times New Roman" w:hAnsi="Times New Roman"/>
          <w:noProof/>
          <w:sz w:val="24"/>
          <w:lang w:val="ro-RO"/>
        </w:rPr>
        <w:t xml:space="preserve">, în special în ceea ce privește diversificarea veniturilor. Dincolo de DLRC, o abordare bazată pe specificul teritorial (incluzând totodată </w:t>
      </w:r>
      <w:r w:rsidRPr="000824E5">
        <w:rPr>
          <w:rFonts w:ascii="Times New Roman" w:hAnsi="Times New Roman"/>
          <w:b/>
          <w:noProof/>
          <w:sz w:val="24"/>
          <w:lang w:val="ro-RO"/>
        </w:rPr>
        <w:t>LEADER</w:t>
      </w:r>
      <w:r w:rsidRPr="000824E5">
        <w:rPr>
          <w:rFonts w:ascii="Times New Roman" w:hAnsi="Times New Roman"/>
          <w:noProof/>
          <w:sz w:val="24"/>
          <w:lang w:val="ro-RO"/>
        </w:rPr>
        <w:t xml:space="preserve"> și </w:t>
      </w:r>
      <w:r w:rsidRPr="000824E5">
        <w:rPr>
          <w:rFonts w:ascii="Times New Roman" w:hAnsi="Times New Roman"/>
          <w:b/>
          <w:bCs/>
          <w:noProof/>
          <w:sz w:val="24"/>
          <w:lang w:val="ro-RO"/>
        </w:rPr>
        <w:t>Satele inteligente</w:t>
      </w:r>
      <w:r w:rsidRPr="000824E5">
        <w:rPr>
          <w:rFonts w:ascii="Times New Roman" w:hAnsi="Times New Roman"/>
          <w:noProof/>
          <w:sz w:val="24"/>
          <w:lang w:val="ro-RO"/>
        </w:rPr>
        <w:t>) poate răspunde provocărilor specifice zonelor insulare și costiere.</w:t>
      </w:r>
      <w:r w:rsidRPr="000824E5">
        <w:rPr>
          <w:rFonts w:ascii="Times New Roman" w:hAnsi="Times New Roman"/>
          <w:bCs/>
          <w:noProof/>
          <w:sz w:val="24"/>
          <w:lang w:val="ro-RO"/>
        </w:rPr>
        <w:t xml:space="preserve"> </w:t>
      </w:r>
      <w:r w:rsidRPr="000824E5">
        <w:rPr>
          <w:rFonts w:ascii="Times New Roman" w:hAnsi="Times New Roman"/>
          <w:noProof/>
          <w:sz w:val="24"/>
          <w:lang w:val="ro-RO"/>
        </w:rPr>
        <w:t>În perspectivă, aceste instrumente participative ar trebui continuate și mai bine integrate într-o abordare mai multisectorială a DLRC, inclusiv prin intermediul viitorului BlueBIP.</w:t>
      </w:r>
    </w:p>
    <w:p w14:paraId="1B6CB4D3"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Reînnoirea generațiilor este esențială pentru menținerea dinamismului și competitivității comunităților costiere. Îmbătrânirea populației și emigrarea tinerilor vulnerabilizează piețele locale ale forței de muncă, antreprenoriatul și sectoarele maritime esențiale, cum ar fi pescuitul, acvacultura sau industriile albastre inovatoare. Crearea de locuri de muncă de calitate, definirea unor parcursuri profesionale clare și existența unei oferte solide de competențe, precum și reducerea sarcinii administrative sunt esențiale pentru atragerea și menținerea tinerilor și pentru stimularea inovării. În 2027, Comisia va propune o </w:t>
      </w:r>
      <w:r w:rsidRPr="000824E5">
        <w:rPr>
          <w:rFonts w:ascii="Times New Roman" w:hAnsi="Times New Roman"/>
          <w:b/>
          <w:noProof/>
          <w:sz w:val="24"/>
          <w:lang w:val="ro-RO"/>
        </w:rPr>
        <w:t>strategie pentru reînnoirea generațiilor în sectorul albastru</w:t>
      </w:r>
      <w:r w:rsidRPr="000824E5">
        <w:rPr>
          <w:rFonts w:ascii="Times New Roman" w:hAnsi="Times New Roman"/>
          <w:noProof/>
          <w:sz w:val="24"/>
          <w:lang w:val="ro-RO"/>
        </w:rPr>
        <w:t xml:space="preserve">, pentru a atrage tineri profesioniști către cariere în acest sector și pentru a sprijini durabilitatea și inovarea pe termen lung. În sectorul energiei offshore, un parteneriat în cadrul </w:t>
      </w:r>
      <w:r w:rsidRPr="000824E5">
        <w:rPr>
          <w:rFonts w:ascii="Times New Roman" w:hAnsi="Times New Roman"/>
          <w:b/>
          <w:noProof/>
          <w:sz w:val="24"/>
          <w:lang w:val="ro-RO"/>
        </w:rPr>
        <w:t>Pactului pentru competențe</w:t>
      </w:r>
      <w:r w:rsidRPr="000824E5">
        <w:rPr>
          <w:rFonts w:ascii="Times New Roman" w:hAnsi="Times New Roman"/>
          <w:noProof/>
          <w:sz w:val="24"/>
          <w:lang w:val="ro-RO"/>
        </w:rPr>
        <w:t xml:space="preserve"> va sprijini formarea a 124 000 de persoane în domeniul energiei din surse regenerabile offshore până în 2030.</w:t>
      </w:r>
      <w:r>
        <w:rPr>
          <w:rFonts w:ascii="Times New Roman" w:hAnsi="Times New Roman"/>
          <w:noProof/>
          <w:sz w:val="24"/>
        </w:rPr>
        <w:t xml:space="preserve"> </w:t>
      </w:r>
    </w:p>
    <w:p w14:paraId="3461BBAC" w14:textId="77777777" w:rsidR="00660BFE" w:rsidRPr="000824E5" w:rsidRDefault="00660BFE" w:rsidP="00660BFE">
      <w:pPr>
        <w:spacing w:after="240" w:line="240" w:lineRule="auto"/>
        <w:jc w:val="both"/>
        <w:rPr>
          <w:rFonts w:ascii="Times New Roman" w:hAnsi="Times New Roman" w:cs="Times New Roman"/>
          <w:noProof/>
          <w:sz w:val="24"/>
          <w:szCs w:val="24"/>
          <w:lang w:val="ro-RO"/>
        </w:rPr>
      </w:pPr>
      <w:r w:rsidRPr="000824E5">
        <w:rPr>
          <w:rFonts w:ascii="Times New Roman" w:hAnsi="Times New Roman"/>
          <w:b/>
          <w:noProof/>
          <w:sz w:val="24"/>
          <w:lang w:val="ro-RO"/>
        </w:rPr>
        <w:t xml:space="preserve">În cele din urmă, investițiile în conectivitate în domeniul digital și în cel al transporturilor </w:t>
      </w:r>
      <w:r w:rsidRPr="000824E5">
        <w:rPr>
          <w:rFonts w:ascii="Times New Roman" w:hAnsi="Times New Roman"/>
          <w:noProof/>
          <w:sz w:val="24"/>
          <w:lang w:val="ro-RO"/>
        </w:rPr>
        <w:t xml:space="preserve">sunt vitale pentru creșterea economică și accesul la servicii în regiunile costiere. Statele membre și regiunile pot utiliza finanțarea oferită în cadrul politicii de coeziune pentru a îmbunătăți conectivitatea fizică și digitală în zonele respective. În perioada 2021-2027, politica de coeziune a alocat 40 de miliarde EUR pentru a sprijini obiectivele UE în materie de tranziție digitală, în mare parte pentru a reduce decalajul digital și pentru a stimula conectivitatea. Acest lucru este deosebit de evident în regiunile și teritoriile costiere mai puțin dezvoltate și îndepărtate, în special în cazul insulelor, astfel cum se reflectă în Strategia UE pentru insule. </w:t>
      </w:r>
      <w:r w:rsidRPr="000824E5">
        <w:rPr>
          <w:rFonts w:ascii="Times New Roman" w:hAnsi="Times New Roman"/>
          <w:b/>
          <w:noProof/>
          <w:sz w:val="24"/>
          <w:lang w:val="ro-RO"/>
        </w:rPr>
        <w:t>Comisia încurajează statele membre să utilizeze posibilitățile existente în cadrul Mecanismului pentru interconectarea Europei pentru restul actualei perioade de programare (2026 și 2027)</w:t>
      </w:r>
      <w:r w:rsidRPr="000824E5">
        <w:rPr>
          <w:rFonts w:ascii="Times New Roman" w:hAnsi="Times New Roman"/>
          <w:noProof/>
          <w:sz w:val="24"/>
          <w:lang w:val="ro-RO"/>
        </w:rPr>
        <w:t xml:space="preserve"> și să se pregătească pentru punerea în aplicare în temeiul noului cadru financiar multianual. </w:t>
      </w:r>
    </w:p>
    <w:tbl>
      <w:tblPr>
        <w:tblStyle w:val="TableGrid"/>
        <w:tblW w:w="0" w:type="auto"/>
        <w:shd w:val="clear" w:color="auto" w:fill="F2F2F2" w:themeFill="background1" w:themeFillShade="F2"/>
        <w:tblLook w:val="04A0" w:firstRow="1" w:lastRow="0" w:firstColumn="1" w:lastColumn="0" w:noHBand="0" w:noVBand="1"/>
      </w:tblPr>
      <w:tblGrid>
        <w:gridCol w:w="9016"/>
      </w:tblGrid>
      <w:tr w:rsidR="00660BFE" w:rsidRPr="000824E5" w14:paraId="2101C278" w14:textId="77777777" w:rsidTr="008761F1">
        <w:tc>
          <w:tcPr>
            <w:tcW w:w="9016" w:type="dxa"/>
            <w:shd w:val="clear" w:color="auto" w:fill="F2F2F2" w:themeFill="background1" w:themeFillShade="F2"/>
          </w:tcPr>
          <w:p w14:paraId="24699818" w14:textId="77777777" w:rsidR="00660BFE" w:rsidRPr="000824E5" w:rsidRDefault="00660BFE" w:rsidP="008761F1">
            <w:pPr>
              <w:spacing w:before="120" w:after="120"/>
              <w:jc w:val="both"/>
              <w:rPr>
                <w:rFonts w:ascii="Times New Roman" w:hAnsi="Times New Roman" w:cs="Times New Roman"/>
                <w:b/>
                <w:bCs/>
                <w:i/>
                <w:iCs/>
                <w:noProof/>
                <w:u w:val="single"/>
                <w:lang w:val="ro-RO"/>
              </w:rPr>
            </w:pPr>
            <w:r w:rsidRPr="000824E5">
              <w:rPr>
                <w:rFonts w:ascii="Times New Roman" w:hAnsi="Times New Roman"/>
                <w:b/>
                <w:i/>
                <w:noProof/>
                <w:u w:val="single"/>
                <w:lang w:val="ro-RO"/>
              </w:rPr>
              <w:t>Acțiuni emblematice</w:t>
            </w:r>
            <w:r w:rsidRPr="000824E5">
              <w:rPr>
                <w:rFonts w:ascii="Times New Roman" w:hAnsi="Times New Roman"/>
                <w:b/>
                <w:i/>
                <w:noProof/>
                <w:lang w:val="ro-RO"/>
              </w:rPr>
              <w:t xml:space="preserve"> – Comisia:</w:t>
            </w:r>
            <w:r w:rsidRPr="000824E5">
              <w:rPr>
                <w:rFonts w:ascii="Times New Roman" w:hAnsi="Times New Roman"/>
                <w:b/>
                <w:i/>
                <w:noProof/>
                <w:u w:val="single"/>
                <w:lang w:val="ro-RO"/>
              </w:rPr>
              <w:t xml:space="preserve"> </w:t>
            </w:r>
          </w:p>
          <w:p w14:paraId="01FC85B2" w14:textId="77777777" w:rsidR="00660BFE" w:rsidRPr="000824E5" w:rsidRDefault="00660BFE" w:rsidP="008761F1">
            <w:pPr>
              <w:pStyle w:val="ListParagraph"/>
              <w:numPr>
                <w:ilvl w:val="0"/>
                <w:numId w:val="22"/>
              </w:numPr>
              <w:spacing w:after="60"/>
              <w:ind w:left="357" w:hanging="357"/>
              <w:contextualSpacing w:val="0"/>
              <w:jc w:val="both"/>
              <w:rPr>
                <w:rFonts w:ascii="Times New Roman" w:hAnsi="Times New Roman" w:cs="Times New Roman"/>
                <w:i/>
                <w:iCs/>
                <w:noProof/>
                <w:lang w:val="ro-RO"/>
              </w:rPr>
            </w:pPr>
            <w:r w:rsidRPr="000824E5">
              <w:rPr>
                <w:rFonts w:ascii="Times New Roman" w:hAnsi="Times New Roman"/>
                <w:i/>
                <w:noProof/>
                <w:lang w:val="ro-RO"/>
              </w:rPr>
              <w:t xml:space="preserve">în contextul </w:t>
            </w:r>
            <w:r w:rsidRPr="000824E5">
              <w:rPr>
                <w:rFonts w:ascii="Times New Roman" w:hAnsi="Times New Roman"/>
                <w:b/>
                <w:i/>
                <w:noProof/>
                <w:lang w:val="ro-RO"/>
              </w:rPr>
              <w:t>Viziunii pentru 2040 privind pescuitul și acvacultura</w:t>
            </w:r>
            <w:r w:rsidRPr="000824E5">
              <w:rPr>
                <w:rFonts w:ascii="Times New Roman" w:hAnsi="Times New Roman"/>
                <w:i/>
                <w:noProof/>
                <w:lang w:val="ro-RO"/>
              </w:rPr>
              <w:t>, va pune un accent deosebit pe reziliența, durabilitatea și prosperitatea comunităților costiere;</w:t>
            </w:r>
          </w:p>
          <w:p w14:paraId="4FA1C140" w14:textId="77777777" w:rsidR="00660BFE" w:rsidRPr="000824E5" w:rsidRDefault="00660BFE" w:rsidP="008761F1">
            <w:pPr>
              <w:pStyle w:val="ListParagraph"/>
              <w:numPr>
                <w:ilvl w:val="0"/>
                <w:numId w:val="22"/>
              </w:numPr>
              <w:spacing w:after="60"/>
              <w:ind w:left="357" w:hanging="357"/>
              <w:contextualSpacing w:val="0"/>
              <w:jc w:val="both"/>
              <w:rPr>
                <w:rFonts w:ascii="Times New Roman" w:hAnsi="Times New Roman" w:cs="Times New Roman"/>
                <w:i/>
                <w:iCs/>
                <w:noProof/>
                <w:lang w:val="ro-RO"/>
              </w:rPr>
            </w:pPr>
            <w:r w:rsidRPr="000824E5">
              <w:rPr>
                <w:rFonts w:ascii="Times New Roman" w:hAnsi="Times New Roman"/>
                <w:i/>
                <w:noProof/>
                <w:lang w:val="ro-RO"/>
              </w:rPr>
              <w:t xml:space="preserve">în cadrul </w:t>
            </w:r>
            <w:r w:rsidRPr="000824E5">
              <w:rPr>
                <w:rFonts w:ascii="Times New Roman" w:hAnsi="Times New Roman"/>
                <w:b/>
                <w:i/>
                <w:noProof/>
                <w:lang w:val="ro-RO"/>
              </w:rPr>
              <w:t>inițiativei OceanEye</w:t>
            </w:r>
            <w:r w:rsidRPr="000824E5">
              <w:rPr>
                <w:rFonts w:ascii="Times New Roman" w:hAnsi="Times New Roman"/>
                <w:i/>
                <w:noProof/>
                <w:lang w:val="ro-RO"/>
              </w:rPr>
              <w:t xml:space="preserve">, va sprijini părțile interesate din zonele costiere în valorificarea la maximum a datelor privind oceanele, în beneficiul rezilienței și creșterii acestora; </w:t>
            </w:r>
          </w:p>
          <w:p w14:paraId="0B7F87F3" w14:textId="77777777" w:rsidR="00660BFE" w:rsidRPr="000824E5" w:rsidRDefault="00660BFE" w:rsidP="008761F1">
            <w:pPr>
              <w:pStyle w:val="ListParagraph"/>
              <w:numPr>
                <w:ilvl w:val="0"/>
                <w:numId w:val="22"/>
              </w:numPr>
              <w:spacing w:after="60"/>
              <w:ind w:left="357" w:hanging="357"/>
              <w:contextualSpacing w:val="0"/>
              <w:jc w:val="both"/>
              <w:rPr>
                <w:rFonts w:ascii="Times New Roman" w:hAnsi="Times New Roman" w:cs="Times New Roman"/>
                <w:i/>
                <w:iCs/>
                <w:noProof/>
                <w:lang w:val="ro-RO"/>
              </w:rPr>
            </w:pPr>
            <w:r w:rsidRPr="000824E5">
              <w:rPr>
                <w:rFonts w:ascii="Times New Roman" w:hAnsi="Times New Roman"/>
                <w:i/>
                <w:noProof/>
                <w:lang w:val="ro-RO"/>
              </w:rPr>
              <w:t xml:space="preserve">va </w:t>
            </w:r>
            <w:r w:rsidRPr="000824E5">
              <w:rPr>
                <w:rFonts w:ascii="Times New Roman" w:hAnsi="Times New Roman"/>
                <w:b/>
                <w:i/>
                <w:noProof/>
                <w:lang w:val="ro-RO"/>
              </w:rPr>
              <w:t>sprijini industria</w:t>
            </w:r>
            <w:r w:rsidRPr="000824E5">
              <w:rPr>
                <w:rFonts w:ascii="Times New Roman" w:hAnsi="Times New Roman"/>
                <w:i/>
                <w:noProof/>
                <w:lang w:val="ro-RO"/>
              </w:rPr>
              <w:t xml:space="preserve"> în testarea-pilot a soluțiilor cu dublă utilizare și în elaborarea unor </w:t>
            </w:r>
            <w:r w:rsidRPr="000824E5">
              <w:rPr>
                <w:rFonts w:ascii="Times New Roman" w:hAnsi="Times New Roman"/>
                <w:b/>
                <w:i/>
                <w:noProof/>
                <w:lang w:val="ro-RO"/>
              </w:rPr>
              <w:t>standarde de interoperabilitate la nivelul UE pentru navele și tehnologiile cu dublă utilizare</w:t>
            </w:r>
            <w:r w:rsidRPr="000824E5">
              <w:rPr>
                <w:rFonts w:ascii="Times New Roman" w:hAnsi="Times New Roman"/>
                <w:i/>
                <w:noProof/>
                <w:lang w:val="ro-RO"/>
              </w:rPr>
              <w:t>, pe baza formatelor OceanEye;</w:t>
            </w:r>
          </w:p>
          <w:p w14:paraId="368F3BA3" w14:textId="77777777" w:rsidR="00660BFE" w:rsidRPr="000824E5" w:rsidRDefault="00660BFE" w:rsidP="008761F1">
            <w:pPr>
              <w:pStyle w:val="ListParagraph"/>
              <w:numPr>
                <w:ilvl w:val="0"/>
                <w:numId w:val="22"/>
              </w:numPr>
              <w:spacing w:after="60"/>
              <w:ind w:left="357" w:hanging="357"/>
              <w:contextualSpacing w:val="0"/>
              <w:jc w:val="both"/>
              <w:rPr>
                <w:rFonts w:ascii="Times New Roman" w:hAnsi="Times New Roman" w:cs="Times New Roman"/>
                <w:i/>
                <w:iCs/>
                <w:noProof/>
                <w:lang w:val="ro-RO"/>
              </w:rPr>
            </w:pPr>
            <w:r w:rsidRPr="000824E5">
              <w:rPr>
                <w:rFonts w:ascii="Times New Roman" w:hAnsi="Times New Roman"/>
                <w:i/>
                <w:noProof/>
                <w:lang w:val="ro-RO"/>
              </w:rPr>
              <w:t xml:space="preserve">în contextul </w:t>
            </w:r>
            <w:r w:rsidRPr="000824E5">
              <w:rPr>
                <w:rFonts w:ascii="Times New Roman" w:hAnsi="Times New Roman"/>
                <w:b/>
                <w:i/>
                <w:noProof/>
                <w:lang w:val="ro-RO"/>
              </w:rPr>
              <w:t>revizuirii cadrului de amenajare a spațiului maritim (ASM)</w:t>
            </w:r>
            <w:r w:rsidRPr="000824E5">
              <w:rPr>
                <w:rFonts w:ascii="Times New Roman" w:hAnsi="Times New Roman"/>
                <w:i/>
                <w:noProof/>
                <w:lang w:val="ro-RO"/>
              </w:rPr>
              <w:t xml:space="preserve"> în temeiul </w:t>
            </w:r>
            <w:r w:rsidRPr="000824E5">
              <w:rPr>
                <w:rFonts w:ascii="Times New Roman" w:hAnsi="Times New Roman"/>
                <w:b/>
                <w:i/>
                <w:noProof/>
                <w:lang w:val="ro-RO"/>
              </w:rPr>
              <w:t>actului legislativ european privind oceanul planetar</w:t>
            </w:r>
            <w:r w:rsidRPr="000824E5">
              <w:rPr>
                <w:rFonts w:ascii="Times New Roman" w:hAnsi="Times New Roman"/>
                <w:i/>
                <w:noProof/>
                <w:lang w:val="ro-RO"/>
              </w:rPr>
              <w:t>, va acorda o atenție deosebită nevoilor comunităților costiere;</w:t>
            </w:r>
          </w:p>
          <w:p w14:paraId="2FEFA532" w14:textId="77777777" w:rsidR="00660BFE" w:rsidRPr="000824E5" w:rsidRDefault="00660BFE" w:rsidP="008761F1">
            <w:pPr>
              <w:pStyle w:val="ListParagraph"/>
              <w:numPr>
                <w:ilvl w:val="0"/>
                <w:numId w:val="22"/>
              </w:numPr>
              <w:spacing w:after="60"/>
              <w:ind w:left="357" w:hanging="357"/>
              <w:contextualSpacing w:val="0"/>
              <w:jc w:val="both"/>
              <w:rPr>
                <w:rFonts w:ascii="Times New Roman" w:hAnsi="Times New Roman" w:cs="Times New Roman"/>
                <w:i/>
                <w:iCs/>
                <w:noProof/>
                <w:lang w:val="ro-RO"/>
              </w:rPr>
            </w:pPr>
            <w:r w:rsidRPr="000824E5">
              <w:rPr>
                <w:rFonts w:ascii="Times New Roman" w:hAnsi="Times New Roman"/>
                <w:i/>
                <w:noProof/>
                <w:lang w:val="ro-RO"/>
              </w:rPr>
              <w:t xml:space="preserve">va sprijini </w:t>
            </w:r>
            <w:r w:rsidRPr="000824E5">
              <w:rPr>
                <w:rFonts w:ascii="Times New Roman" w:hAnsi="Times New Roman"/>
                <w:b/>
                <w:i/>
                <w:noProof/>
                <w:lang w:val="ro-RO"/>
              </w:rPr>
              <w:t>elaborarea unei metodologii de certificare</w:t>
            </w:r>
            <w:r w:rsidRPr="000824E5">
              <w:rPr>
                <w:rFonts w:ascii="Times New Roman" w:hAnsi="Times New Roman"/>
                <w:i/>
                <w:noProof/>
                <w:lang w:val="ro-RO"/>
              </w:rPr>
              <w:t xml:space="preserve"> ca etapă următoare în direcția </w:t>
            </w:r>
            <w:r w:rsidRPr="000824E5">
              <w:rPr>
                <w:rFonts w:ascii="Times New Roman" w:hAnsi="Times New Roman"/>
                <w:b/>
                <w:i/>
                <w:noProof/>
                <w:lang w:val="ro-RO"/>
              </w:rPr>
              <w:t>creditelor de carbon albastru</w:t>
            </w:r>
            <w:r w:rsidRPr="000824E5">
              <w:rPr>
                <w:rFonts w:ascii="Times New Roman" w:hAnsi="Times New Roman"/>
                <w:i/>
                <w:noProof/>
                <w:lang w:val="ro-RO"/>
              </w:rPr>
              <w:t>;</w:t>
            </w:r>
          </w:p>
          <w:p w14:paraId="17A145DC" w14:textId="77777777" w:rsidR="00660BFE" w:rsidRPr="000824E5" w:rsidRDefault="00660BFE" w:rsidP="008761F1">
            <w:pPr>
              <w:pStyle w:val="ListParagraph"/>
              <w:numPr>
                <w:ilvl w:val="0"/>
                <w:numId w:val="22"/>
              </w:numPr>
              <w:spacing w:after="120"/>
              <w:ind w:left="357" w:hanging="357"/>
              <w:contextualSpacing w:val="0"/>
              <w:jc w:val="both"/>
              <w:rPr>
                <w:rFonts w:ascii="Times New Roman" w:hAnsi="Times New Roman" w:cs="Times New Roman"/>
                <w:noProof/>
                <w:lang w:val="ro-RO"/>
              </w:rPr>
            </w:pPr>
            <w:r w:rsidRPr="000824E5">
              <w:rPr>
                <w:rFonts w:ascii="Times New Roman" w:hAnsi="Times New Roman"/>
                <w:i/>
                <w:noProof/>
                <w:lang w:val="ro-RO"/>
              </w:rPr>
              <w:t xml:space="preserve">va sprijini crearea de </w:t>
            </w:r>
            <w:r w:rsidRPr="000824E5">
              <w:rPr>
                <w:rFonts w:ascii="Times New Roman" w:hAnsi="Times New Roman"/>
                <w:b/>
                <w:i/>
                <w:noProof/>
                <w:lang w:val="ro-RO"/>
              </w:rPr>
              <w:t xml:space="preserve">clustere și lanțuri valorice în domeniul bioeconomiei albastre </w:t>
            </w:r>
            <w:r w:rsidRPr="000824E5">
              <w:rPr>
                <w:rFonts w:ascii="Times New Roman" w:hAnsi="Times New Roman"/>
                <w:i/>
                <w:noProof/>
                <w:lang w:val="ro-RO"/>
              </w:rPr>
              <w:t xml:space="preserve">în cadrul comunităților costiere, </w:t>
            </w:r>
            <w:r w:rsidRPr="000824E5">
              <w:rPr>
                <w:rFonts w:ascii="Times New Roman" w:hAnsi="Times New Roman"/>
                <w:b/>
                <w:i/>
                <w:noProof/>
                <w:lang w:val="ro-RO"/>
              </w:rPr>
              <w:t>printr-o abordare bazată pe dezvoltarea locală plasată sub responsabilitatea comunității</w:t>
            </w:r>
            <w:r w:rsidRPr="000824E5">
              <w:rPr>
                <w:rFonts w:ascii="Times New Roman" w:hAnsi="Times New Roman"/>
                <w:i/>
                <w:noProof/>
                <w:lang w:val="ro-RO"/>
              </w:rPr>
              <w:t xml:space="preserve">, în cadrul viitoarei </w:t>
            </w:r>
            <w:r w:rsidRPr="000824E5">
              <w:rPr>
                <w:rFonts w:ascii="Times New Roman" w:hAnsi="Times New Roman"/>
                <w:b/>
                <w:i/>
                <w:noProof/>
                <w:lang w:val="ro-RO"/>
              </w:rPr>
              <w:t>inițiative a UE pentru inovare în domeniul bioeconomiei albastre</w:t>
            </w:r>
            <w:r w:rsidRPr="000824E5">
              <w:rPr>
                <w:rFonts w:ascii="Times New Roman" w:hAnsi="Times New Roman"/>
                <w:i/>
                <w:noProof/>
                <w:lang w:val="ro-RO"/>
              </w:rPr>
              <w:t>.</w:t>
            </w:r>
          </w:p>
        </w:tc>
      </w:tr>
    </w:tbl>
    <w:p w14:paraId="5B8E3C40" w14:textId="77777777" w:rsidR="00660BFE" w:rsidRPr="000824E5" w:rsidRDefault="00660BFE" w:rsidP="00660BFE">
      <w:pPr>
        <w:pStyle w:val="ListParagraph"/>
        <w:spacing w:after="120" w:line="240" w:lineRule="auto"/>
        <w:ind w:left="360"/>
        <w:jc w:val="both"/>
        <w:rPr>
          <w:rFonts w:ascii="Times New Roman" w:hAnsi="Times New Roman" w:cs="Times New Roman"/>
          <w:i/>
          <w:iCs/>
          <w:noProof/>
          <w:sz w:val="24"/>
          <w:szCs w:val="24"/>
          <w:lang w:val="ro-RO"/>
        </w:rPr>
      </w:pPr>
    </w:p>
    <w:p w14:paraId="7AAA481A" w14:textId="77777777" w:rsidR="00660BFE" w:rsidRPr="000824E5" w:rsidRDefault="00660BFE" w:rsidP="00660BFE">
      <w:pPr>
        <w:pStyle w:val="ListParagraph"/>
        <w:numPr>
          <w:ilvl w:val="1"/>
          <w:numId w:val="1"/>
        </w:numPr>
        <w:spacing w:after="120" w:line="240" w:lineRule="auto"/>
        <w:jc w:val="both"/>
        <w:rPr>
          <w:rFonts w:ascii="Times New Roman" w:hAnsi="Times New Roman" w:cs="Times New Roman"/>
          <w:b/>
          <w:bCs/>
          <w:noProof/>
          <w:sz w:val="24"/>
          <w:szCs w:val="24"/>
          <w:lang w:val="ro-RO"/>
        </w:rPr>
      </w:pPr>
      <w:r w:rsidRPr="000824E5">
        <w:rPr>
          <w:rFonts w:ascii="Times New Roman" w:hAnsi="Times New Roman"/>
          <w:b/>
          <w:noProof/>
          <w:sz w:val="24"/>
          <w:lang w:val="ro-RO"/>
        </w:rPr>
        <w:t xml:space="preserve">Comunități costiere reziliente </w:t>
      </w:r>
    </w:p>
    <w:p w14:paraId="719CFA04" w14:textId="77777777" w:rsidR="00660BFE" w:rsidRPr="000824E5" w:rsidRDefault="00660BFE" w:rsidP="00660BFE">
      <w:pPr>
        <w:spacing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 xml:space="preserve">Efectele schimbărilor climatice, cum ar fi creșterea nivelului mării și a temperaturilor, eroziunea costieră, inundațiile, creșterile nivelului mării provocate de furtuni, intruziunea apei sărate și degradarea ecosistemelor, afectează din ce în ce mai mult zonele costiere ale UE. Acestea amenință sănătatea și siguranța oamenilor, infrastructura, securitatea aprovizionării cu apă și alimente, evaluările activelor și primele de risc, economiile locale și mediul. Prima </w:t>
      </w:r>
      <w:r w:rsidRPr="000824E5">
        <w:rPr>
          <w:rFonts w:ascii="Times New Roman" w:hAnsi="Times New Roman"/>
          <w:b/>
          <w:noProof/>
          <w:sz w:val="24"/>
          <w:lang w:val="ro-RO"/>
        </w:rPr>
        <w:t>evaluare europeană a riscurilor climatice</w:t>
      </w:r>
      <w:r w:rsidRPr="000824E5">
        <w:rPr>
          <w:rFonts w:ascii="Times New Roman" w:hAnsi="Times New Roman" w:cs="Times New Roman"/>
          <w:noProof/>
          <w:sz w:val="24"/>
          <w:szCs w:val="24"/>
          <w:vertAlign w:val="superscript"/>
          <w:lang w:val="ro-RO"/>
        </w:rPr>
        <w:footnoteReference w:id="16"/>
      </w:r>
      <w:r w:rsidRPr="000824E5">
        <w:rPr>
          <w:rFonts w:ascii="Times New Roman" w:hAnsi="Times New Roman"/>
          <w:noProof/>
          <w:sz w:val="24"/>
          <w:lang w:val="ro-RO"/>
        </w:rPr>
        <w:t xml:space="preserve"> a identificat </w:t>
      </w:r>
      <w:r w:rsidRPr="000824E5">
        <w:rPr>
          <w:rFonts w:ascii="Times New Roman" w:hAnsi="Times New Roman"/>
          <w:b/>
          <w:noProof/>
          <w:sz w:val="24"/>
          <w:lang w:val="ro-RO"/>
        </w:rPr>
        <w:t xml:space="preserve">zonele costiere </w:t>
      </w:r>
      <w:r w:rsidRPr="000824E5">
        <w:rPr>
          <w:rFonts w:ascii="Times New Roman" w:hAnsi="Times New Roman"/>
          <w:noProof/>
          <w:sz w:val="24"/>
          <w:lang w:val="ro-RO"/>
        </w:rPr>
        <w:t xml:space="preserve">ca fiind printre cele mai </w:t>
      </w:r>
      <w:r w:rsidRPr="000824E5">
        <w:rPr>
          <w:rFonts w:ascii="Times New Roman" w:hAnsi="Times New Roman"/>
          <w:b/>
          <w:bCs/>
          <w:noProof/>
          <w:sz w:val="24"/>
          <w:lang w:val="ro-RO"/>
        </w:rPr>
        <w:t>expuse</w:t>
      </w:r>
      <w:r w:rsidRPr="000824E5">
        <w:rPr>
          <w:rFonts w:ascii="Times New Roman" w:hAnsi="Times New Roman"/>
          <w:noProof/>
          <w:sz w:val="24"/>
          <w:lang w:val="ro-RO"/>
        </w:rPr>
        <w:t xml:space="preserve"> riscurilor climatice. Aceste efecte generează, de asemenea, riscuri tot mai mari pentru siturile incluse în patrimoniul cultural și mondial.</w:t>
      </w:r>
    </w:p>
    <w:p w14:paraId="2E304CF0"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 xml:space="preserve">Fără măsuri de atenuare și adaptare, </w:t>
      </w:r>
      <w:r w:rsidRPr="000824E5">
        <w:rPr>
          <w:rFonts w:ascii="Times New Roman" w:hAnsi="Times New Roman"/>
          <w:b/>
          <w:noProof/>
          <w:sz w:val="24"/>
          <w:lang w:val="ro-RO"/>
        </w:rPr>
        <w:t>daunele anuale</w:t>
      </w:r>
      <w:r w:rsidRPr="000824E5">
        <w:rPr>
          <w:rFonts w:ascii="Times New Roman" w:hAnsi="Times New Roman"/>
          <w:noProof/>
          <w:sz w:val="24"/>
          <w:lang w:val="ro-RO"/>
        </w:rPr>
        <w:t xml:space="preserve"> cauzate de inundațiile costiere din UE ar putea crește brusc, de la 1,25 miliarde EUR în prezent la între 93 de miliarde EUR și 961 de miliarde EUR până la sfârșitul secolului, afectând între 1,5 și 3 milioane de persoane</w:t>
      </w:r>
      <w:r w:rsidRPr="000824E5">
        <w:rPr>
          <w:rStyle w:val="FootnoteReference"/>
          <w:rFonts w:ascii="Times New Roman" w:eastAsia="Times New Roman" w:hAnsi="Times New Roman" w:cs="Times New Roman"/>
          <w:noProof/>
          <w:sz w:val="24"/>
          <w:szCs w:val="24"/>
          <w:lang w:val="ro-RO"/>
        </w:rPr>
        <w:footnoteReference w:id="17"/>
      </w:r>
      <w:r w:rsidRPr="000824E5">
        <w:rPr>
          <w:noProof/>
          <w:lang w:val="ro-RO"/>
        </w:rPr>
        <w:t>.</w:t>
      </w:r>
      <w:r w:rsidRPr="000824E5">
        <w:rPr>
          <w:rFonts w:ascii="Times New Roman" w:hAnsi="Times New Roman"/>
          <w:noProof/>
          <w:sz w:val="24"/>
          <w:lang w:val="ro-RO"/>
        </w:rPr>
        <w:t xml:space="preserve"> Cu toate acestea, fiecare miliard EUR investit în adaptare ar putea reduce daunele potențiale provocate de inundații cu 14 miliarde EUR</w:t>
      </w:r>
      <w:r w:rsidRPr="000824E5">
        <w:rPr>
          <w:rStyle w:val="FootnoteReference"/>
          <w:rFonts w:ascii="Times New Roman" w:hAnsi="Times New Roman" w:cs="Times New Roman"/>
          <w:noProof/>
          <w:sz w:val="24"/>
          <w:szCs w:val="24"/>
          <w:lang w:val="ro-RO"/>
        </w:rPr>
        <w:footnoteReference w:id="18"/>
      </w:r>
      <w:r w:rsidRPr="000824E5">
        <w:rPr>
          <w:noProof/>
          <w:lang w:val="ro-RO"/>
        </w:rPr>
        <w:t>.</w:t>
      </w:r>
      <w:r w:rsidRPr="000824E5">
        <w:rPr>
          <w:rFonts w:ascii="Times New Roman" w:hAnsi="Times New Roman"/>
          <w:noProof/>
          <w:sz w:val="24"/>
          <w:lang w:val="ro-RO"/>
        </w:rPr>
        <w:t xml:space="preserve"> Reziliența costieră este un element central al Strategiei UE privind adaptarea la schimbările climatice</w:t>
      </w:r>
      <w:r w:rsidRPr="000824E5">
        <w:rPr>
          <w:rStyle w:val="FootnoteReference"/>
          <w:rFonts w:ascii="Times New Roman" w:hAnsi="Times New Roman" w:cs="Times New Roman"/>
          <w:noProof/>
          <w:sz w:val="24"/>
          <w:szCs w:val="24"/>
          <w:lang w:val="ro-RO"/>
        </w:rPr>
        <w:footnoteReference w:id="19"/>
      </w:r>
      <w:r w:rsidRPr="000824E5">
        <w:rPr>
          <w:noProof/>
          <w:lang w:val="ro-RO"/>
        </w:rPr>
        <w:t>.</w:t>
      </w:r>
      <w:r w:rsidRPr="000824E5">
        <w:rPr>
          <w:rFonts w:ascii="Times New Roman" w:hAnsi="Times New Roman"/>
          <w:noProof/>
          <w:sz w:val="24"/>
          <w:lang w:val="ro-RO"/>
        </w:rPr>
        <w:t xml:space="preserve"> Prin intermediul </w:t>
      </w:r>
      <w:r w:rsidRPr="000824E5">
        <w:rPr>
          <w:rFonts w:ascii="Times New Roman" w:hAnsi="Times New Roman"/>
          <w:b/>
          <w:noProof/>
          <w:sz w:val="24"/>
          <w:lang w:val="ro-RO"/>
        </w:rPr>
        <w:t>misiunilor UE „Adaptarea la schimbările climatice” și „Refacerea oceanelor și a apelor noastre”</w:t>
      </w:r>
      <w:bookmarkStart w:id="6" w:name="_Ref230686409"/>
      <w:r w:rsidRPr="000824E5">
        <w:rPr>
          <w:rStyle w:val="FootnoteReference"/>
          <w:rFonts w:ascii="Times New Roman" w:hAnsi="Times New Roman" w:cs="Times New Roman"/>
          <w:noProof/>
          <w:sz w:val="24"/>
          <w:szCs w:val="24"/>
          <w:lang w:val="ro-RO"/>
        </w:rPr>
        <w:footnoteReference w:id="20"/>
      </w:r>
      <w:bookmarkEnd w:id="6"/>
      <w:r w:rsidRPr="000824E5">
        <w:rPr>
          <w:rFonts w:ascii="Times New Roman" w:hAnsi="Times New Roman"/>
          <w:noProof/>
          <w:sz w:val="24"/>
          <w:lang w:val="ro-RO"/>
        </w:rPr>
        <w:t>, Comisia ajută comunitățile să evalueze riscurile climatice, să elaboreze strategii de adaptare și să pună în aplicare soluții</w:t>
      </w:r>
      <w:r w:rsidRPr="000824E5">
        <w:rPr>
          <w:noProof/>
          <w:lang w:val="ro-RO"/>
        </w:rPr>
        <w:t>.</w:t>
      </w:r>
      <w:r w:rsidRPr="000824E5">
        <w:rPr>
          <w:rFonts w:ascii="Times New Roman" w:hAnsi="Times New Roman"/>
          <w:noProof/>
          <w:sz w:val="24"/>
          <w:lang w:val="ro-RO"/>
        </w:rPr>
        <w:t xml:space="preserve"> Acționând în sinergie, misiunile promovează abordări sistemice concepute în comun, acordând o atenție deosebită soluțiilor bazate pe natură, care consolidează reziliența zonelor costiere la impactul schimbărilor climatice, cum ar fi inundațiile, eroziunea și creșterea nivelului mării. Până la sfârșitul anului 2026, Comisia Europeană va lansa trei noi proiecte emblematice ale misiunii „Adaptarea la schimbările climatice”, cu sprijin din partea UE în valoare de aproximativ 30 de milioane EUR. Acestea vor demonstra soluții integrate de adaptare în punctele critice ale zonelor costiere din perspectiva schimbărilor climatice, în care riscurile climatice multiple și cumulative necesită răspunsuri coordonate. </w:t>
      </w:r>
    </w:p>
    <w:p w14:paraId="0E0452CE" w14:textId="77777777" w:rsidR="00660BFE" w:rsidRPr="000824E5" w:rsidRDefault="00660BFE" w:rsidP="00660BFE">
      <w:pPr>
        <w:spacing w:after="120" w:line="240" w:lineRule="auto"/>
        <w:jc w:val="both"/>
        <w:rPr>
          <w:rFonts w:ascii="Times New Roman" w:hAnsi="Times New Roman" w:cs="Times New Roman"/>
          <w:b/>
          <w:bCs/>
          <w:noProof/>
          <w:sz w:val="24"/>
          <w:szCs w:val="24"/>
          <w:lang w:val="ro-RO"/>
        </w:rPr>
      </w:pPr>
      <w:r w:rsidRPr="000824E5">
        <w:rPr>
          <w:rFonts w:ascii="Times New Roman" w:hAnsi="Times New Roman"/>
          <w:noProof/>
          <w:sz w:val="24"/>
          <w:lang w:val="ro-RO"/>
        </w:rPr>
        <w:t xml:space="preserve">Finanțarea UE, inclusiv fondurile oferite în cadrul politicii de coeziune, oferă un sprijin semnificativ pentru acțiunile climatice în toate statele membre și regiunile în perioada 2021-2027. Cu toate acestea, există în continuare lacune importante în materie de investiții și de politici la nivel național, regional și local. </w:t>
      </w:r>
      <w:r w:rsidRPr="000824E5">
        <w:rPr>
          <w:rFonts w:ascii="Times New Roman" w:hAnsi="Times New Roman"/>
          <w:b/>
          <w:noProof/>
          <w:sz w:val="24"/>
          <w:lang w:val="ro-RO"/>
        </w:rPr>
        <w:t>Comisia, împreună cu Banca Europeană de Investiții (BEI)</w:t>
      </w:r>
      <w:r w:rsidRPr="000824E5">
        <w:rPr>
          <w:rFonts w:ascii="Times New Roman" w:hAnsi="Times New Roman"/>
          <w:noProof/>
          <w:sz w:val="24"/>
          <w:lang w:val="ro-RO"/>
        </w:rPr>
        <w:t xml:space="preserve">, va analiza posibilitatea de a efectua o </w:t>
      </w:r>
      <w:r w:rsidRPr="000824E5">
        <w:rPr>
          <w:rFonts w:ascii="Times New Roman" w:hAnsi="Times New Roman"/>
          <w:b/>
          <w:noProof/>
          <w:sz w:val="24"/>
          <w:lang w:val="ro-RO"/>
        </w:rPr>
        <w:t>cartografiere la nivelul UE pentru identificarea</w:t>
      </w:r>
      <w:r w:rsidRPr="000824E5">
        <w:rPr>
          <w:rFonts w:ascii="Times New Roman" w:hAnsi="Times New Roman"/>
          <w:noProof/>
          <w:sz w:val="24"/>
          <w:lang w:val="ro-RO"/>
        </w:rPr>
        <w:t xml:space="preserve"> rezervelor de investiții existente și a potențialelor noi oportunități de investiții în vederea </w:t>
      </w:r>
      <w:r w:rsidRPr="000824E5">
        <w:rPr>
          <w:rFonts w:ascii="Times New Roman" w:hAnsi="Times New Roman"/>
          <w:b/>
          <w:noProof/>
          <w:sz w:val="24"/>
          <w:lang w:val="ro-RO"/>
        </w:rPr>
        <w:t>adaptării zonelor costiere</w:t>
      </w:r>
      <w:r w:rsidRPr="000824E5">
        <w:rPr>
          <w:rFonts w:ascii="Times New Roman" w:hAnsi="Times New Roman"/>
          <w:noProof/>
          <w:sz w:val="24"/>
          <w:lang w:val="ro-RO"/>
        </w:rPr>
        <w:t>, precum și a costurilor și beneficiilor acestora în contextul viitoarelor schimbări climatice.</w:t>
      </w:r>
      <w:r w:rsidRPr="000824E5">
        <w:rPr>
          <w:rFonts w:ascii="Times New Roman" w:hAnsi="Times New Roman"/>
          <w:bCs/>
          <w:noProof/>
          <w:sz w:val="24"/>
          <w:lang w:val="ro-RO"/>
        </w:rPr>
        <w:t xml:space="preserve"> </w:t>
      </w:r>
      <w:r w:rsidRPr="000824E5">
        <w:rPr>
          <w:rFonts w:ascii="Times New Roman" w:hAnsi="Times New Roman"/>
          <w:noProof/>
          <w:sz w:val="24"/>
          <w:lang w:val="ro-RO"/>
        </w:rPr>
        <w:t xml:space="preserve">În plus, </w:t>
      </w:r>
      <w:r w:rsidRPr="000824E5">
        <w:rPr>
          <w:rFonts w:ascii="Times New Roman" w:hAnsi="Times New Roman"/>
          <w:b/>
          <w:noProof/>
          <w:sz w:val="24"/>
          <w:lang w:val="ro-RO"/>
        </w:rPr>
        <w:t>Comisia va utiliza sprijinul consultativ tehnic al BEI</w:t>
      </w:r>
      <w:r w:rsidRPr="000824E5">
        <w:rPr>
          <w:rFonts w:ascii="Times New Roman" w:hAnsi="Times New Roman"/>
          <w:noProof/>
          <w:sz w:val="24"/>
          <w:lang w:val="ro-RO"/>
        </w:rPr>
        <w:t xml:space="preserve"> (de exemplu, JASPERS</w:t>
      </w:r>
      <w:r w:rsidRPr="000824E5">
        <w:rPr>
          <w:rStyle w:val="FootnoteReference"/>
          <w:rFonts w:ascii="Times New Roman" w:hAnsi="Times New Roman" w:cs="Times New Roman"/>
          <w:noProof/>
          <w:sz w:val="24"/>
          <w:szCs w:val="24"/>
          <w:lang w:val="ro-RO"/>
        </w:rPr>
        <w:footnoteReference w:id="21"/>
      </w:r>
      <w:r w:rsidRPr="000824E5">
        <w:rPr>
          <w:rFonts w:ascii="Times New Roman" w:hAnsi="Times New Roman"/>
          <w:noProof/>
          <w:sz w:val="24"/>
          <w:lang w:val="ro-RO"/>
        </w:rPr>
        <w:t xml:space="preserve"> și alte mandate consultative relevante) </w:t>
      </w:r>
      <w:r w:rsidRPr="000824E5">
        <w:rPr>
          <w:rFonts w:ascii="Times New Roman" w:hAnsi="Times New Roman"/>
          <w:b/>
          <w:noProof/>
          <w:sz w:val="24"/>
          <w:lang w:val="ro-RO"/>
        </w:rPr>
        <w:t>pentru a oferi sprijin pentru consolidarea capacităților</w:t>
      </w:r>
      <w:r w:rsidRPr="000824E5">
        <w:rPr>
          <w:rFonts w:ascii="Times New Roman" w:hAnsi="Times New Roman"/>
          <w:noProof/>
          <w:sz w:val="24"/>
          <w:lang w:val="ro-RO"/>
        </w:rPr>
        <w:t xml:space="preserve"> necesare pregătirii strategiilor și proiectelor de investiții ale comunităților costiere. Acestea pot fi apoi sprijinite printr-o combinație de granturi ale UE și instrumente de creditare ale BEI destinate în mod specific autorităților mici și mijlocii pentru dezvoltarea de proiecte de reziliență la schimbările climatice. În paralel, </w:t>
      </w:r>
      <w:r w:rsidRPr="000824E5">
        <w:rPr>
          <w:rFonts w:ascii="Times New Roman" w:hAnsi="Times New Roman"/>
          <w:b/>
          <w:noProof/>
          <w:sz w:val="24"/>
          <w:lang w:val="ro-RO"/>
        </w:rPr>
        <w:t>Comisia va încuraja cooperarea și parteneriatele strategice</w:t>
      </w:r>
      <w:r w:rsidRPr="000824E5">
        <w:rPr>
          <w:rFonts w:ascii="Times New Roman" w:hAnsi="Times New Roman"/>
          <w:noProof/>
          <w:sz w:val="24"/>
          <w:lang w:val="ro-RO"/>
        </w:rPr>
        <w:t xml:space="preserve"> între autoritățile naționale și cele ale comunităților costiere, utilizând </w:t>
      </w:r>
      <w:r w:rsidRPr="000824E5">
        <w:rPr>
          <w:rFonts w:ascii="Times New Roman" w:hAnsi="Times New Roman"/>
          <w:b/>
          <w:noProof/>
          <w:sz w:val="24"/>
          <w:lang w:val="ro-RO"/>
        </w:rPr>
        <w:t>instrumentele existente</w:t>
      </w:r>
      <w:r w:rsidRPr="000824E5">
        <w:rPr>
          <w:rFonts w:ascii="Times New Roman" w:hAnsi="Times New Roman"/>
          <w:noProof/>
          <w:sz w:val="24"/>
          <w:lang w:val="ro-RO"/>
        </w:rPr>
        <w:t xml:space="preserve">, cum ar fi </w:t>
      </w:r>
      <w:r w:rsidRPr="000824E5">
        <w:rPr>
          <w:rFonts w:ascii="Times New Roman" w:hAnsi="Times New Roman"/>
          <w:b/>
          <w:noProof/>
          <w:sz w:val="24"/>
          <w:lang w:val="ro-RO"/>
        </w:rPr>
        <w:t>Inițiativa urbană europeană, comunitățile Regio Peer2Peer și JASPERS</w:t>
      </w:r>
      <w:r w:rsidRPr="000824E5">
        <w:rPr>
          <w:rFonts w:ascii="Times New Roman" w:hAnsi="Times New Roman"/>
          <w:noProof/>
          <w:sz w:val="24"/>
          <w:lang w:val="ro-RO"/>
        </w:rPr>
        <w:t>.</w:t>
      </w:r>
    </w:p>
    <w:p w14:paraId="56E9647A"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Pentru a spori reziliența comunităților costiere, Comisia a identificat mai multe priorități la nivelul UE, precum și la nivel național și regional: (i) </w:t>
      </w:r>
      <w:r w:rsidRPr="000824E5">
        <w:rPr>
          <w:rFonts w:ascii="Times New Roman" w:hAnsi="Times New Roman"/>
          <w:b/>
          <w:noProof/>
          <w:sz w:val="24"/>
          <w:lang w:val="ro-RO"/>
        </w:rPr>
        <w:t>îmbunătățirea cunoștințelor și a gradului de sensibilizare</w:t>
      </w:r>
      <w:r w:rsidRPr="000824E5">
        <w:rPr>
          <w:rFonts w:ascii="Times New Roman" w:hAnsi="Times New Roman"/>
          <w:noProof/>
          <w:sz w:val="24"/>
          <w:lang w:val="ro-RO"/>
        </w:rPr>
        <w:t xml:space="preserve"> cu privire la riscurile costiere, cu sprijinul OceanEye</w:t>
      </w:r>
      <w:r w:rsidRPr="000824E5">
        <w:rPr>
          <w:rFonts w:ascii="Times New Roman" w:hAnsi="Times New Roman" w:cs="Times New Roman"/>
          <w:noProof/>
          <w:sz w:val="24"/>
          <w:vertAlign w:val="superscript"/>
          <w:lang w:val="ro-RO"/>
        </w:rPr>
        <w:fldChar w:fldCharType="begin" w:fldLock="1"/>
      </w:r>
      <w:r w:rsidRPr="000824E5">
        <w:rPr>
          <w:rFonts w:ascii="Times New Roman" w:hAnsi="Times New Roman" w:cs="Times New Roman"/>
          <w:noProof/>
          <w:sz w:val="24"/>
          <w:vertAlign w:val="superscript"/>
          <w:lang w:val="ro-RO"/>
        </w:rPr>
        <w:instrText xml:space="preserve"> \* MERGEFORMAT </w:instrText>
      </w:r>
      <w:r w:rsidRPr="000824E5">
        <w:rPr>
          <w:rFonts w:ascii="Times New Roman" w:hAnsi="Times New Roman" w:cs="Times New Roman"/>
          <w:noProof/>
          <w:sz w:val="24"/>
          <w:vertAlign w:val="superscript"/>
          <w:lang w:val="ro-RO"/>
        </w:rPr>
        <w:fldChar w:fldCharType="separate"/>
      </w:r>
      <w:r w:rsidRPr="000824E5">
        <w:rPr>
          <w:rFonts w:ascii="Times New Roman" w:hAnsi="Times New Roman" w:cs="Times New Roman"/>
          <w:noProof/>
          <w:sz w:val="24"/>
          <w:vertAlign w:val="superscript"/>
          <w:lang w:val="ro-RO"/>
        </w:rPr>
        <w:t>22</w:t>
      </w:r>
      <w:r w:rsidRPr="000824E5">
        <w:rPr>
          <w:rFonts w:ascii="Times New Roman" w:hAnsi="Times New Roman" w:cs="Times New Roman"/>
          <w:noProof/>
          <w:sz w:val="24"/>
          <w:vertAlign w:val="superscript"/>
          <w:lang w:val="ro-RO"/>
        </w:rPr>
        <w:fldChar w:fldCharType="end"/>
      </w:r>
      <w:r w:rsidRPr="000824E5">
        <w:rPr>
          <w:rFonts w:ascii="Times New Roman" w:hAnsi="Times New Roman"/>
          <w:noProof/>
          <w:sz w:val="24"/>
          <w:lang w:val="ro-RO"/>
        </w:rPr>
        <w:t xml:space="preserve"> și al instrumentului său în curs de dezvoltare, Digital Twin of the Ocean;</w:t>
      </w:r>
      <w:r w:rsidRPr="000824E5">
        <w:rPr>
          <w:rFonts w:ascii="Times New Roman" w:hAnsi="Times New Roman" w:cs="Times New Roman"/>
          <w:noProof/>
          <w:sz w:val="24"/>
          <w:vertAlign w:val="superscript"/>
          <w:lang w:val="ro-RO"/>
        </w:rPr>
        <w:fldChar w:fldCharType="begin" w:fldLock="1"/>
      </w:r>
      <w:r w:rsidRPr="000824E5">
        <w:rPr>
          <w:rFonts w:ascii="Times New Roman" w:hAnsi="Times New Roman" w:cs="Times New Roman"/>
          <w:noProof/>
          <w:sz w:val="24"/>
          <w:vertAlign w:val="superscript"/>
          <w:lang w:val="ro-RO"/>
        </w:rPr>
        <w:instrText xml:space="preserve"> \* MERGEFORMAT </w:instrText>
      </w:r>
      <w:r w:rsidRPr="000824E5">
        <w:rPr>
          <w:rFonts w:ascii="Times New Roman" w:hAnsi="Times New Roman" w:cs="Times New Roman"/>
          <w:noProof/>
          <w:sz w:val="24"/>
          <w:vertAlign w:val="superscript"/>
          <w:lang w:val="ro-RO"/>
        </w:rPr>
        <w:fldChar w:fldCharType="separate"/>
      </w:r>
      <w:r w:rsidRPr="000824E5">
        <w:rPr>
          <w:rFonts w:ascii="Times New Roman" w:hAnsi="Times New Roman" w:cs="Times New Roman"/>
          <w:noProof/>
          <w:sz w:val="24"/>
          <w:vertAlign w:val="superscript"/>
          <w:lang w:val="ro-RO"/>
        </w:rPr>
        <w:t>22</w:t>
      </w:r>
      <w:r w:rsidRPr="000824E5">
        <w:rPr>
          <w:rFonts w:ascii="Times New Roman" w:hAnsi="Times New Roman" w:cs="Times New Roman"/>
          <w:noProof/>
          <w:sz w:val="24"/>
          <w:vertAlign w:val="superscript"/>
          <w:lang w:val="ro-RO"/>
        </w:rPr>
        <w:fldChar w:fldCharType="end"/>
      </w:r>
      <w:r w:rsidRPr="000824E5">
        <w:rPr>
          <w:rFonts w:ascii="Times New Roman" w:hAnsi="Times New Roman"/>
          <w:noProof/>
          <w:sz w:val="24"/>
          <w:lang w:val="ro-RO"/>
        </w:rPr>
        <w:t xml:space="preserve"> </w:t>
      </w:r>
      <w:r w:rsidRPr="000824E5">
        <w:rPr>
          <w:rFonts w:ascii="Times New Roman" w:hAnsi="Times New Roman"/>
          <w:b/>
          <w:noProof/>
          <w:sz w:val="24"/>
          <w:lang w:val="ro-RO"/>
        </w:rPr>
        <w:t>(ii) o mai bună cartografiere a nevoilor de investiții</w:t>
      </w:r>
      <w:r w:rsidRPr="000824E5">
        <w:rPr>
          <w:rFonts w:ascii="Times New Roman" w:hAnsi="Times New Roman"/>
          <w:noProof/>
          <w:sz w:val="24"/>
          <w:lang w:val="ro-RO"/>
        </w:rPr>
        <w:t xml:space="preserve">; </w:t>
      </w:r>
      <w:r w:rsidRPr="000824E5">
        <w:rPr>
          <w:rFonts w:ascii="Times New Roman" w:hAnsi="Times New Roman"/>
          <w:b/>
          <w:noProof/>
          <w:sz w:val="24"/>
          <w:lang w:val="ro-RO"/>
        </w:rPr>
        <w:t>(iii) consolidarea planificării investițiilor și a guvernanței</w:t>
      </w:r>
      <w:r w:rsidRPr="000824E5">
        <w:rPr>
          <w:rFonts w:ascii="Times New Roman" w:hAnsi="Times New Roman"/>
          <w:noProof/>
          <w:sz w:val="24"/>
          <w:lang w:val="ro-RO"/>
        </w:rPr>
        <w:t xml:space="preserve"> și clarificarea responsabilității pentru riscuri la toate nivelurile de guvernanță;</w:t>
      </w:r>
      <w:r w:rsidRPr="000824E5">
        <w:rPr>
          <w:rFonts w:ascii="Times New Roman" w:hAnsi="Times New Roman"/>
          <w:b/>
          <w:noProof/>
          <w:sz w:val="24"/>
          <w:lang w:val="ro-RO"/>
        </w:rPr>
        <w:t xml:space="preserve"> (iv) sprijinirea consolidării capacităților</w:t>
      </w:r>
      <w:r w:rsidRPr="000824E5">
        <w:rPr>
          <w:rFonts w:ascii="Times New Roman" w:hAnsi="Times New Roman"/>
          <w:noProof/>
          <w:sz w:val="24"/>
          <w:lang w:val="ro-RO"/>
        </w:rPr>
        <w:t xml:space="preserve"> pentru realizarea proiectelor în materie de reziliență; </w:t>
      </w:r>
      <w:r w:rsidRPr="000824E5">
        <w:rPr>
          <w:rFonts w:ascii="Times New Roman" w:hAnsi="Times New Roman"/>
          <w:b/>
          <w:noProof/>
          <w:sz w:val="24"/>
          <w:lang w:val="ro-RO"/>
        </w:rPr>
        <w:t>(v) mobilizarea investițiilor</w:t>
      </w:r>
      <w:r w:rsidRPr="000824E5">
        <w:rPr>
          <w:rFonts w:ascii="Times New Roman" w:hAnsi="Times New Roman"/>
          <w:noProof/>
          <w:sz w:val="24"/>
          <w:lang w:val="ro-RO"/>
        </w:rPr>
        <w:t xml:space="preserve"> pentru adaptarea la schimbările climatice și atenuarea acestora. Aceste eforturi se vor baza pe instrumentele existente și pe cele în curs de dezvoltare, inclusiv Climate-ADAPT, EMODnet și Digital Twin of the Ocean. Acest din urmă instrument, dezvoltat în coordonare cu inițiativa Destination Earth, va furniza informații aproape în timp real cu privire la condițiile oceanice și costiere. Acest lucru va consolida capacitatea autorităților de a anticipa pericolele și de a răspunde la acestea, de a cartografia riscurile și de a orienta mai bine măsurile de prevenire pentru a proteja oamenii, infrastructura, ecosistemele și întreprinderile locale.</w:t>
      </w:r>
    </w:p>
    <w:p w14:paraId="52C08CA3"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b/>
          <w:noProof/>
          <w:sz w:val="24"/>
          <w:lang w:val="ro-RO"/>
        </w:rPr>
        <w:t xml:space="preserve">Soluțiile bazate pe natură </w:t>
      </w:r>
      <w:r w:rsidRPr="000824E5">
        <w:rPr>
          <w:rFonts w:ascii="Times New Roman" w:hAnsi="Times New Roman"/>
          <w:noProof/>
          <w:sz w:val="24"/>
          <w:lang w:val="ro-RO"/>
        </w:rPr>
        <w:t xml:space="preserve">pot fi, de asemenea, deosebit de eficace, oferind beneficii de mediu, sociale și economice și consolidând totodată reziliența zonelor costiere. În 2026, Comisia va propune </w:t>
      </w:r>
      <w:r w:rsidRPr="000824E5">
        <w:rPr>
          <w:rFonts w:ascii="Times New Roman" w:hAnsi="Times New Roman"/>
          <w:b/>
          <w:noProof/>
          <w:sz w:val="24"/>
          <w:lang w:val="ro-RO"/>
        </w:rPr>
        <w:t>un cadru european pentru reziliență la schimbările climatice</w:t>
      </w:r>
      <w:r w:rsidRPr="000824E5">
        <w:rPr>
          <w:rFonts w:ascii="Times New Roman" w:hAnsi="Times New Roman"/>
          <w:noProof/>
          <w:sz w:val="24"/>
          <w:lang w:val="ro-RO"/>
        </w:rPr>
        <w:t xml:space="preserve">, pentru a integra viitoarele riscuri climatice în politicile UE, în deciziile de investiții și în gestionarea riscurilor. Prin urmare, autoritățile sunt încurajate </w:t>
      </w:r>
      <w:r w:rsidRPr="000824E5">
        <w:rPr>
          <w:rFonts w:ascii="Times New Roman" w:hAnsi="Times New Roman"/>
          <w:b/>
          <w:noProof/>
          <w:sz w:val="24"/>
          <w:lang w:val="ro-RO"/>
        </w:rPr>
        <w:t>să integreze creșterea nivelului mării și riscurile climatice în managementul zonelor costiere și în amenajarea teritoriului</w:t>
      </w:r>
      <w:r w:rsidRPr="000824E5">
        <w:rPr>
          <w:rFonts w:ascii="Times New Roman" w:hAnsi="Times New Roman"/>
          <w:noProof/>
          <w:sz w:val="24"/>
          <w:lang w:val="ro-RO"/>
        </w:rPr>
        <w:t xml:space="preserve">. De asemenea, inițiative precum noul Bauhaus european vor sprijini orașele costiere prin soluții de reziliență inovatoare, cu potențial de reproducere în alte contexte, în timp ce viitorul </w:t>
      </w:r>
      <w:r w:rsidRPr="000824E5">
        <w:rPr>
          <w:rFonts w:ascii="Times New Roman" w:hAnsi="Times New Roman"/>
          <w:b/>
          <w:noProof/>
          <w:sz w:val="24"/>
          <w:lang w:val="ro-RO"/>
        </w:rPr>
        <w:t>act legislativ european privind oceanul planetar</w:t>
      </w:r>
      <w:r w:rsidRPr="000824E5">
        <w:rPr>
          <w:rFonts w:ascii="Times New Roman" w:hAnsi="Times New Roman"/>
          <w:noProof/>
          <w:sz w:val="24"/>
          <w:lang w:val="ro-RO"/>
        </w:rPr>
        <w:t xml:space="preserve"> urmărește să consolideze integrarea schimbărilor climatice în amenajarea spațiului maritim. </w:t>
      </w:r>
    </w:p>
    <w:p w14:paraId="3FE02DC5"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b/>
          <w:noProof/>
          <w:sz w:val="24"/>
          <w:lang w:val="ro-RO"/>
        </w:rPr>
        <w:t>Gestionarea în comun, care implică părțile interesate de la nivel local</w:t>
      </w:r>
      <w:r w:rsidRPr="000824E5">
        <w:rPr>
          <w:rFonts w:ascii="Times New Roman" w:hAnsi="Times New Roman"/>
          <w:noProof/>
          <w:sz w:val="24"/>
          <w:lang w:val="ro-RO"/>
        </w:rPr>
        <w:t xml:space="preserve">, în special pescarii, în desemnarea și administrarea zonelor protejate, poate îmbunătăți rezultatele în materie de conservare și viabilitatea pe termen lung a măsurilor. Prin combinarea datelor științifice cu expertiza locală, aceasta poate spori respectarea normelor, poate reduce conflictele și poate sprijini adaptarea la schimbările climatice. De asemenea, aceasta poate aduce beneficii locale prin locuri de muncă în domeniul refacerii, monitorizării și administrării, precum și prin venituri din refacerea naturii și din creditele de carbon albastru. Comisia </w:t>
      </w:r>
      <w:r w:rsidRPr="000824E5">
        <w:rPr>
          <w:rFonts w:ascii="Times New Roman" w:hAnsi="Times New Roman"/>
          <w:b/>
          <w:noProof/>
          <w:sz w:val="24"/>
          <w:lang w:val="ro-RO"/>
        </w:rPr>
        <w:t>încurajează inițiativele de dezvoltare locală plasată sub responsabilitatea comunității în zonele costiere și de pescuit</w:t>
      </w:r>
      <w:r w:rsidRPr="000824E5">
        <w:rPr>
          <w:rFonts w:ascii="Times New Roman" w:hAnsi="Times New Roman"/>
          <w:noProof/>
          <w:sz w:val="24"/>
          <w:lang w:val="ro-RO"/>
        </w:rPr>
        <w:t xml:space="preserve"> (grupuri de acțiune locală în domeniul pescuitului/grupuri de acțiune locală - FLAG/LAG) să sprijine proiectele de gestionare a mediului marin și de refacere, precum și soluțiile bazate pe natură. Statele membre sunt, de asemenea, invitate să asigure implicarea activă a comunităților costiere în deciziile referitoare la zonele marine protejate. </w:t>
      </w:r>
    </w:p>
    <w:p w14:paraId="1648AF44"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 xml:space="preserve">Totodată, comunitățile costiere sunt esențiale pentru </w:t>
      </w:r>
      <w:r w:rsidRPr="000824E5">
        <w:rPr>
          <w:rFonts w:ascii="Times New Roman" w:hAnsi="Times New Roman"/>
          <w:b/>
          <w:noProof/>
          <w:sz w:val="24"/>
          <w:lang w:val="ro-RO"/>
        </w:rPr>
        <w:t>securitatea și reziliența Europei</w:t>
      </w:r>
      <w:r w:rsidRPr="000824E5">
        <w:rPr>
          <w:rFonts w:ascii="Times New Roman" w:hAnsi="Times New Roman"/>
          <w:noProof/>
          <w:sz w:val="24"/>
          <w:lang w:val="ro-RO"/>
        </w:rPr>
        <w:t xml:space="preserve">. Multe dintre acestea sunt situate de-a lungul frontierelor maritime externe ale UE și se confruntă cu presiuni tot mai mari în materie de securitate, inclusiv amenințări hibride, sabotaj și riscuri legate de conflictele în curs, cum ar fi dronele și minele maritime plutitoare. Aceste amenințări pot perturba pescuitul, transportul maritim și alte activități economice, subminând în același timp supravegherea frontierelor și facilitând criminalitatea transfrontalieră. </w:t>
      </w:r>
      <w:r w:rsidRPr="000824E5">
        <w:rPr>
          <w:rFonts w:ascii="Times New Roman" w:hAnsi="Times New Roman"/>
          <w:noProof/>
          <w:color w:val="000000" w:themeColor="text1"/>
          <w:sz w:val="24"/>
          <w:lang w:val="ro-RO"/>
        </w:rPr>
        <w:t>De asemenea, trebuie să se acorde o atenție deosebită protecției și rezilienței</w:t>
      </w:r>
      <w:r w:rsidRPr="000824E5">
        <w:rPr>
          <w:rFonts w:ascii="Times New Roman" w:hAnsi="Times New Roman"/>
          <w:b/>
          <w:noProof/>
          <w:color w:val="000000" w:themeColor="text1"/>
          <w:sz w:val="24"/>
          <w:lang w:val="ro-RO"/>
        </w:rPr>
        <w:t xml:space="preserve"> infrastructurii costiere și maritime critice</w:t>
      </w:r>
      <w:r w:rsidRPr="000824E5">
        <w:rPr>
          <w:rFonts w:ascii="Times New Roman" w:hAnsi="Times New Roman"/>
          <w:noProof/>
          <w:color w:val="000000" w:themeColor="text1"/>
          <w:sz w:val="24"/>
          <w:lang w:val="ro-RO"/>
        </w:rPr>
        <w:t>, inclusiv porturilor, infrastructurii energetice offshore și cablurilor submarine. Părțile interesate din zonele costiere, inclusiv pescarii, autoritățile portuare și actorii maritimi locali, pot contribui la conștientizarea situației maritime prin raportarea voluntară a activităților anormale sau suspecte pe mare, potrivit cadrelor naționale.</w:t>
      </w:r>
      <w:r w:rsidRPr="000824E5">
        <w:rPr>
          <w:rFonts w:ascii="Times New Roman" w:hAnsi="Times New Roman"/>
          <w:noProof/>
          <w:sz w:val="24"/>
          <w:lang w:val="ro-RO"/>
        </w:rPr>
        <w:t xml:space="preserve"> </w:t>
      </w:r>
    </w:p>
    <w:p w14:paraId="7D788F3A"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color w:val="000000" w:themeColor="text1"/>
          <w:sz w:val="24"/>
          <w:lang w:val="ro-RO"/>
        </w:rPr>
        <w:t xml:space="preserve">În plus, </w:t>
      </w:r>
      <w:r w:rsidRPr="000824E5">
        <w:rPr>
          <w:rFonts w:ascii="Times New Roman" w:hAnsi="Times New Roman"/>
          <w:b/>
          <w:noProof/>
          <w:color w:val="000000" w:themeColor="text1"/>
          <w:sz w:val="24"/>
          <w:lang w:val="ro-RO"/>
        </w:rPr>
        <w:t>consolidarea securității și apărării în zonele costiere este esențială</w:t>
      </w:r>
      <w:r w:rsidRPr="000824E5">
        <w:rPr>
          <w:rFonts w:ascii="Times New Roman" w:hAnsi="Times New Roman"/>
          <w:noProof/>
          <w:color w:val="000000" w:themeColor="text1"/>
          <w:sz w:val="24"/>
          <w:lang w:val="ro-RO"/>
        </w:rPr>
        <w:t xml:space="preserve"> pentru a asigura protecția infrastructurii critice, pentru a consolida capacitățile de supraveghere și pentru a spori capabilitățile de răspuns rapid în domeniul maritim. </w:t>
      </w:r>
      <w:r w:rsidRPr="000824E5">
        <w:rPr>
          <w:rFonts w:ascii="Times New Roman" w:hAnsi="Times New Roman"/>
          <w:noProof/>
          <w:sz w:val="24"/>
          <w:lang w:val="ro-RO"/>
        </w:rPr>
        <w:t>În acest context, capabilitățile digitale avansate, cum ar fi Destination Earth și gemenii digitali de înaltă rezoluție ai acesteia „Adaptarea la schimbările climatice” și „Fenomene meteorologice extreme”, pot sprijini autoritățile și comunitățile costiere prin îmbunătățirea cunoașterii situației, previzionarea riscurilor, sisteme de alertă timpurie și simularea unor scenarii complexe de tip „ce s-ar întâmpla dacă”, legate de climă și securitate.</w:t>
      </w:r>
    </w:p>
    <w:p w14:paraId="151BA7DF"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Pentru a spori nivelul de pregătire și a acoperi mai multe comunități, </w:t>
      </w:r>
      <w:r w:rsidRPr="000824E5">
        <w:rPr>
          <w:rFonts w:ascii="Times New Roman" w:hAnsi="Times New Roman"/>
          <w:b/>
          <w:noProof/>
          <w:sz w:val="24"/>
          <w:lang w:val="ro-RO"/>
        </w:rPr>
        <w:t>Comisia va extinde inițiativa CoastWAVE</w:t>
      </w:r>
      <w:r w:rsidRPr="000824E5">
        <w:rPr>
          <w:rStyle w:val="FootnoteReference"/>
          <w:rFonts w:ascii="Times New Roman" w:hAnsi="Times New Roman" w:cs="Times New Roman"/>
          <w:b/>
          <w:bCs/>
          <w:noProof/>
          <w:sz w:val="24"/>
          <w:szCs w:val="24"/>
          <w:lang w:val="ro-RO"/>
        </w:rPr>
        <w:footnoteReference w:id="22"/>
      </w:r>
      <w:r w:rsidRPr="000824E5">
        <w:rPr>
          <w:rFonts w:ascii="Times New Roman" w:hAnsi="Times New Roman"/>
          <w:noProof/>
          <w:sz w:val="24"/>
          <w:lang w:val="ro-RO"/>
        </w:rPr>
        <w:t xml:space="preserve"> prin integrarea evaluărilor locale ale pericolelor și a unor sisteme de avertizare personalizate, pentru a se asigura că alertele ajung la comunitățile costiere. Aceste eforturi sunt aliniate la </w:t>
      </w:r>
      <w:r w:rsidRPr="000824E5">
        <w:rPr>
          <w:rFonts w:ascii="Times New Roman" w:hAnsi="Times New Roman"/>
          <w:b/>
          <w:noProof/>
          <w:sz w:val="24"/>
          <w:lang w:val="ro-RO"/>
        </w:rPr>
        <w:t>Strategia UE în materie de securitate maritimă</w:t>
      </w:r>
      <w:r w:rsidRPr="000824E5">
        <w:rPr>
          <w:rFonts w:ascii="Times New Roman" w:hAnsi="Times New Roman"/>
          <w:noProof/>
          <w:sz w:val="24"/>
          <w:lang w:val="ro-RO"/>
        </w:rPr>
        <w:t xml:space="preserve">, la </w:t>
      </w:r>
      <w:r w:rsidRPr="000824E5">
        <w:rPr>
          <w:rFonts w:ascii="Times New Roman" w:hAnsi="Times New Roman"/>
          <w:b/>
          <w:noProof/>
          <w:sz w:val="24"/>
          <w:lang w:val="ro-RO"/>
        </w:rPr>
        <w:t>Strategia portuară a UE</w:t>
      </w:r>
      <w:r w:rsidRPr="000824E5">
        <w:rPr>
          <w:rFonts w:ascii="Times New Roman" w:hAnsi="Times New Roman"/>
          <w:noProof/>
          <w:sz w:val="24"/>
          <w:lang w:val="ro-RO"/>
        </w:rPr>
        <w:t>, la S</w:t>
      </w:r>
      <w:r w:rsidRPr="000824E5">
        <w:rPr>
          <w:rFonts w:ascii="Times New Roman" w:hAnsi="Times New Roman"/>
          <w:b/>
          <w:noProof/>
          <w:sz w:val="24"/>
          <w:lang w:val="ro-RO"/>
        </w:rPr>
        <w:t>trategia UE privind o Uniune a pregătirii</w:t>
      </w:r>
      <w:r w:rsidRPr="000824E5">
        <w:rPr>
          <w:rFonts w:ascii="Times New Roman" w:hAnsi="Times New Roman"/>
          <w:noProof/>
          <w:sz w:val="24"/>
          <w:lang w:val="ro-RO"/>
        </w:rPr>
        <w:t xml:space="preserve"> și la viitoarea </w:t>
      </w:r>
      <w:r w:rsidRPr="000824E5">
        <w:rPr>
          <w:rFonts w:ascii="Times New Roman" w:hAnsi="Times New Roman"/>
          <w:b/>
          <w:noProof/>
          <w:sz w:val="24"/>
          <w:lang w:val="ro-RO"/>
        </w:rPr>
        <w:t>Strategie europeană de securitate</w:t>
      </w:r>
      <w:r w:rsidRPr="000824E5">
        <w:rPr>
          <w:rFonts w:ascii="Times New Roman" w:hAnsi="Times New Roman"/>
          <w:noProof/>
          <w:sz w:val="24"/>
          <w:lang w:val="ro-RO"/>
        </w:rPr>
        <w:t>, reflectând necesitatea sporirii rezilienței și a unei mai bune conștientizări a riscurilor în toate zonele costiere. În conformitate cu aceste strategii, autoritățile ar trebui să sporească gradul de conștientizare a riscurilor în apropierea zonelor portuare, astfel încât locuitorii să poată reacționa eficace în caz de incident.</w:t>
      </w:r>
    </w:p>
    <w:p w14:paraId="6103DCF8" w14:textId="77777777" w:rsidR="00660BFE" w:rsidRPr="000824E5" w:rsidRDefault="00660BFE" w:rsidP="00660BFE">
      <w:pPr>
        <w:spacing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 xml:space="preserve">În calitate de </w:t>
      </w:r>
      <w:r w:rsidRPr="000824E5">
        <w:rPr>
          <w:rFonts w:ascii="Times New Roman" w:hAnsi="Times New Roman"/>
          <w:b/>
          <w:noProof/>
          <w:sz w:val="24"/>
          <w:lang w:val="ro-RO"/>
        </w:rPr>
        <w:t>administratori ai oceanelor</w:t>
      </w:r>
      <w:r w:rsidRPr="000824E5">
        <w:rPr>
          <w:rFonts w:ascii="Times New Roman" w:hAnsi="Times New Roman"/>
          <w:noProof/>
          <w:sz w:val="24"/>
          <w:lang w:val="ro-RO"/>
        </w:rPr>
        <w:t xml:space="preserve">, comunitățile costiere au un rol crucial în protejarea resurselor și ecosistemelor marine, sprijinind în același timp mijloacele de subzistență, securitatea alimentară și activitățile durabile ale economiei albastre. Comunitățile costiere sunt esențiale pentru abordarea de la sursă la mare și pentru </w:t>
      </w:r>
      <w:r w:rsidRPr="000824E5">
        <w:rPr>
          <w:rFonts w:ascii="Times New Roman" w:hAnsi="Times New Roman"/>
          <w:b/>
          <w:noProof/>
          <w:sz w:val="24"/>
          <w:lang w:val="ro-RO"/>
        </w:rPr>
        <w:t>conservarea și refacerea</w:t>
      </w:r>
      <w:r w:rsidRPr="000824E5">
        <w:rPr>
          <w:rFonts w:ascii="Times New Roman" w:hAnsi="Times New Roman"/>
          <w:noProof/>
          <w:sz w:val="24"/>
          <w:lang w:val="ro-RO"/>
        </w:rPr>
        <w:t xml:space="preserve"> mediului costier și marin, inclusiv a biodiversității excepțional de bogate a regiunilor ultraperiferice.</w:t>
      </w:r>
    </w:p>
    <w:p w14:paraId="6C40F074"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b/>
          <w:noProof/>
          <w:sz w:val="24"/>
          <w:lang w:val="ro-RO"/>
        </w:rPr>
        <w:t>Porturile</w:t>
      </w:r>
      <w:r w:rsidRPr="000824E5">
        <w:rPr>
          <w:rFonts w:ascii="Times New Roman" w:hAnsi="Times New Roman"/>
          <w:noProof/>
          <w:sz w:val="24"/>
          <w:lang w:val="ro-RO"/>
        </w:rPr>
        <w:t xml:space="preserve"> sunt </w:t>
      </w:r>
      <w:r w:rsidRPr="000824E5">
        <w:rPr>
          <w:rFonts w:ascii="Times New Roman" w:hAnsi="Times New Roman"/>
          <w:b/>
          <w:noProof/>
          <w:sz w:val="24"/>
          <w:lang w:val="ro-RO"/>
        </w:rPr>
        <w:t>noduri costiere esențiale pentru circularitate și controlul poluării</w:t>
      </w:r>
      <w:r w:rsidRPr="000824E5">
        <w:rPr>
          <w:rFonts w:ascii="Times New Roman" w:hAnsi="Times New Roman"/>
          <w:noProof/>
          <w:sz w:val="24"/>
          <w:lang w:val="ro-RO"/>
        </w:rPr>
        <w:t>. În cadrul strategiei portuare, Comisia va sprijini acest rol prin simplificarea criteriilor tehnice, eficientizarea procedurilor de autorizare și furnizarea de orientări statelor membre.</w:t>
      </w:r>
      <w:r>
        <w:rPr>
          <w:rFonts w:ascii="Times New Roman" w:hAnsi="Times New Roman"/>
          <w:noProof/>
          <w:sz w:val="24"/>
        </w:rPr>
        <w:t xml:space="preserve"> </w:t>
      </w:r>
    </w:p>
    <w:p w14:paraId="12559498" w14:textId="77777777" w:rsidR="00660BFE" w:rsidRPr="000824E5" w:rsidRDefault="00660BFE" w:rsidP="00660BFE">
      <w:pPr>
        <w:spacing w:after="120" w:line="240" w:lineRule="auto"/>
        <w:jc w:val="both"/>
        <w:rPr>
          <w:rFonts w:ascii="Times New Roman" w:hAnsi="Times New Roman" w:cs="Times New Roman"/>
          <w:b/>
          <w:bCs/>
          <w:noProof/>
          <w:sz w:val="24"/>
          <w:szCs w:val="24"/>
          <w:lang w:val="ro-RO"/>
        </w:rPr>
      </w:pPr>
      <w:r w:rsidRPr="000824E5">
        <w:rPr>
          <w:rFonts w:ascii="Times New Roman" w:hAnsi="Times New Roman"/>
          <w:noProof/>
          <w:sz w:val="24"/>
          <w:lang w:val="ro-RO"/>
        </w:rPr>
        <w:t xml:space="preserve">În pofida eforturilor substanțiale de protecție și refacere și a progreselor înregistrate în materie de gestionare durabilă a pescuitului, </w:t>
      </w:r>
      <w:r w:rsidRPr="000824E5">
        <w:rPr>
          <w:rFonts w:ascii="Times New Roman" w:hAnsi="Times New Roman"/>
          <w:b/>
          <w:noProof/>
          <w:sz w:val="24"/>
          <w:lang w:val="ro-RO"/>
        </w:rPr>
        <w:t>ecosistemele costiere și marine rămân supuse unei presiuni puternice</w:t>
      </w:r>
      <w:r w:rsidRPr="000824E5">
        <w:rPr>
          <w:rFonts w:ascii="Times New Roman" w:hAnsi="Times New Roman"/>
          <w:noProof/>
          <w:sz w:val="24"/>
          <w:lang w:val="ro-RO"/>
        </w:rPr>
        <w:t xml:space="preserve"> din cauza poluării, a eutrofizării, a pescuitului excesiv, a eroziunii și a schimbărilor climatice. Aproximativ</w:t>
      </w:r>
      <w:r w:rsidRPr="000824E5">
        <w:rPr>
          <w:rFonts w:ascii="Times New Roman" w:hAnsi="Times New Roman"/>
          <w:b/>
          <w:noProof/>
          <w:sz w:val="24"/>
          <w:lang w:val="ro-RO"/>
        </w:rPr>
        <w:t xml:space="preserve"> 80 % din habitatele marine și terestre protejate din Europa</w:t>
      </w:r>
      <w:r w:rsidRPr="000824E5">
        <w:rPr>
          <w:rFonts w:ascii="Times New Roman" w:hAnsi="Times New Roman"/>
          <w:noProof/>
          <w:sz w:val="24"/>
          <w:lang w:val="ro-RO"/>
        </w:rPr>
        <w:t xml:space="preserve"> se află într-o stare nesatisfăcătoare sau necorespunzătoare, iar </w:t>
      </w:r>
      <w:r w:rsidRPr="000824E5">
        <w:rPr>
          <w:rFonts w:ascii="Times New Roman" w:hAnsi="Times New Roman"/>
          <w:b/>
          <w:noProof/>
          <w:sz w:val="24"/>
          <w:lang w:val="ro-RO"/>
        </w:rPr>
        <w:t>62 % din râuri, lacuri și situri costiere</w:t>
      </w:r>
      <w:r w:rsidRPr="000824E5">
        <w:rPr>
          <w:rFonts w:ascii="Times New Roman" w:hAnsi="Times New Roman"/>
          <w:noProof/>
          <w:sz w:val="24"/>
          <w:lang w:val="ro-RO"/>
        </w:rPr>
        <w:t xml:space="preserve"> au o stare ecologică precară</w:t>
      </w:r>
      <w:r w:rsidRPr="000824E5">
        <w:rPr>
          <w:rStyle w:val="FootnoteReference"/>
          <w:rFonts w:ascii="Times New Roman" w:hAnsi="Times New Roman" w:cs="Times New Roman"/>
          <w:noProof/>
          <w:sz w:val="24"/>
          <w:szCs w:val="24"/>
          <w:lang w:val="ro-RO"/>
        </w:rPr>
        <w:footnoteReference w:id="23"/>
      </w:r>
      <w:r w:rsidRPr="000824E5">
        <w:rPr>
          <w:noProof/>
          <w:lang w:val="ro-RO"/>
        </w:rPr>
        <w:t>.</w:t>
      </w:r>
      <w:r w:rsidRPr="000824E5">
        <w:rPr>
          <w:rFonts w:ascii="Times New Roman" w:hAnsi="Times New Roman"/>
          <w:noProof/>
          <w:sz w:val="24"/>
          <w:vertAlign w:val="superscript"/>
          <w:lang w:val="ro-RO"/>
        </w:rPr>
        <w:t xml:space="preserve"> </w:t>
      </w:r>
      <w:r w:rsidRPr="000824E5">
        <w:rPr>
          <w:rFonts w:ascii="Times New Roman" w:hAnsi="Times New Roman"/>
          <w:noProof/>
          <w:sz w:val="24"/>
          <w:lang w:val="ro-RO"/>
        </w:rPr>
        <w:t xml:space="preserve">Acest lucru are consecințe negative asupra sănătății publice și reduce siguranța și atractivitatea zonelor costiere. De asemenea, subminează pilonul fundamental al sustenabilității sectoarelor economiei albastre, cum ar fi pescuitul și acvacultura. </w:t>
      </w:r>
      <w:r w:rsidRPr="000824E5">
        <w:rPr>
          <w:rFonts w:ascii="Times New Roman" w:hAnsi="Times New Roman"/>
          <w:b/>
          <w:noProof/>
          <w:sz w:val="24"/>
          <w:lang w:val="ro-RO"/>
        </w:rPr>
        <w:t>Punerea în aplicare și asigurarea respectării mai eficace a legislației UE în domeniul mediului rămân esențiale</w:t>
      </w:r>
      <w:r w:rsidRPr="000824E5">
        <w:rPr>
          <w:rFonts w:ascii="Times New Roman" w:hAnsi="Times New Roman"/>
          <w:noProof/>
          <w:sz w:val="24"/>
          <w:lang w:val="ro-RO"/>
        </w:rPr>
        <w:t>, alături de măsuri specifice de refacere în temeiul Regulamentului privind restaurarea naturii</w:t>
      </w:r>
      <w:r w:rsidRPr="000824E5">
        <w:rPr>
          <w:rStyle w:val="FootnoteReference"/>
          <w:rFonts w:ascii="Times New Roman" w:hAnsi="Times New Roman" w:cs="Times New Roman"/>
          <w:noProof/>
          <w:sz w:val="24"/>
          <w:szCs w:val="24"/>
          <w:lang w:val="ro-RO"/>
        </w:rPr>
        <w:footnoteReference w:id="24"/>
      </w:r>
      <w:r w:rsidRPr="000824E5">
        <w:rPr>
          <w:noProof/>
          <w:lang w:val="ro-RO"/>
        </w:rPr>
        <w:t>.</w:t>
      </w:r>
      <w:r w:rsidRPr="000824E5">
        <w:rPr>
          <w:rFonts w:ascii="Times New Roman" w:hAnsi="Times New Roman"/>
          <w:noProof/>
          <w:sz w:val="24"/>
          <w:lang w:val="ro-RO"/>
        </w:rPr>
        <w:t xml:space="preserve"> Până în septembrie 2026, se preconizează că statele membre vor prezenta planuri naționale de restaurare, marcând o etapă esențială în direcția unei conservări mai coordonate a ecosistemelor costiere și marine. Revizuirea planificată a Directivei-cadru Strategia pentru mediul marin în viitorul act legislativ european privind oceanul planetar urmărește să consolideze protecția mediului, să simplifice dispozițiile și să consolideze coerența cu </w:t>
      </w:r>
      <w:r w:rsidRPr="000824E5">
        <w:rPr>
          <w:rFonts w:ascii="Times New Roman" w:hAnsi="Times New Roman"/>
          <w:i/>
          <w:noProof/>
          <w:sz w:val="24"/>
          <w:lang w:val="ro-RO"/>
        </w:rPr>
        <w:t>acquis</w:t>
      </w:r>
      <w:r w:rsidRPr="000824E5">
        <w:rPr>
          <w:rFonts w:ascii="Times New Roman" w:hAnsi="Times New Roman"/>
          <w:noProof/>
          <w:sz w:val="24"/>
          <w:lang w:val="ro-RO"/>
        </w:rPr>
        <w:t xml:space="preserve">-ul UE. </w:t>
      </w:r>
    </w:p>
    <w:p w14:paraId="783247D5" w14:textId="77777777" w:rsidR="00660BFE" w:rsidRPr="000824E5" w:rsidRDefault="00660BFE" w:rsidP="00660BFE">
      <w:pPr>
        <w:spacing w:after="240" w:line="240" w:lineRule="auto"/>
        <w:jc w:val="both"/>
        <w:rPr>
          <w:rFonts w:ascii="Times New Roman" w:eastAsia="Times New Roman" w:hAnsi="Times New Roman" w:cs="Times New Roman"/>
          <w:noProof/>
          <w:sz w:val="24"/>
          <w:szCs w:val="24"/>
          <w:lang w:val="ro-RO"/>
        </w:rPr>
      </w:pPr>
      <w:r w:rsidRPr="000824E5">
        <w:rPr>
          <w:rFonts w:ascii="Times New Roman" w:hAnsi="Times New Roman"/>
          <w:b/>
          <w:noProof/>
          <w:sz w:val="24"/>
          <w:lang w:val="ro-RO"/>
        </w:rPr>
        <w:t>Prin intermediul misiunilor Orizont Europa „Refacerea oceanelor și a apelor noastre”</w:t>
      </w:r>
      <w:r w:rsidRPr="000824E5">
        <w:rPr>
          <w:rFonts w:ascii="Times New Roman" w:hAnsi="Times New Roman" w:cs="Times New Roman"/>
          <w:noProof/>
          <w:sz w:val="24"/>
          <w:vertAlign w:val="superscript"/>
          <w:lang w:val="ro-RO"/>
        </w:rPr>
        <w:fldChar w:fldCharType="begin" w:fldLock="1"/>
      </w:r>
      <w:r w:rsidRPr="000824E5">
        <w:rPr>
          <w:rFonts w:ascii="Times New Roman" w:hAnsi="Times New Roman" w:cs="Times New Roman"/>
          <w:noProof/>
          <w:sz w:val="24"/>
          <w:vertAlign w:val="superscript"/>
          <w:lang w:val="ro-RO"/>
        </w:rPr>
        <w:instrText xml:space="preserve"> NOTEREF _Ref230686409 \h  \* MERGEFORMAT </w:instrText>
      </w:r>
      <w:r w:rsidRPr="000824E5">
        <w:rPr>
          <w:rFonts w:ascii="Times New Roman" w:hAnsi="Times New Roman" w:cs="Times New Roman"/>
          <w:noProof/>
          <w:sz w:val="24"/>
          <w:vertAlign w:val="superscript"/>
          <w:lang w:val="ro-RO"/>
        </w:rPr>
      </w:r>
      <w:r w:rsidRPr="000824E5">
        <w:rPr>
          <w:rFonts w:ascii="Times New Roman" w:hAnsi="Times New Roman" w:cs="Times New Roman"/>
          <w:noProof/>
          <w:sz w:val="24"/>
          <w:vertAlign w:val="superscript"/>
          <w:lang w:val="ro-RO"/>
        </w:rPr>
        <w:fldChar w:fldCharType="separate"/>
      </w:r>
      <w:r w:rsidRPr="000824E5">
        <w:rPr>
          <w:rFonts w:ascii="Times New Roman" w:hAnsi="Times New Roman" w:cs="Times New Roman"/>
          <w:noProof/>
          <w:sz w:val="24"/>
          <w:vertAlign w:val="superscript"/>
          <w:lang w:val="ro-RO"/>
        </w:rPr>
        <w:t>20</w:t>
      </w:r>
      <w:r w:rsidRPr="000824E5">
        <w:rPr>
          <w:rFonts w:ascii="Times New Roman" w:hAnsi="Times New Roman" w:cs="Times New Roman"/>
          <w:noProof/>
          <w:sz w:val="24"/>
          <w:vertAlign w:val="superscript"/>
          <w:lang w:val="ro-RO"/>
        </w:rPr>
        <w:fldChar w:fldCharType="end"/>
      </w:r>
      <w:r w:rsidRPr="000824E5">
        <w:rPr>
          <w:rFonts w:ascii="Times New Roman" w:hAnsi="Times New Roman"/>
          <w:noProof/>
          <w:sz w:val="24"/>
          <w:lang w:val="ro-RO"/>
        </w:rPr>
        <w:t xml:space="preserve"> și </w:t>
      </w:r>
      <w:r w:rsidRPr="000824E5">
        <w:rPr>
          <w:rFonts w:ascii="Times New Roman" w:hAnsi="Times New Roman"/>
          <w:b/>
          <w:noProof/>
          <w:sz w:val="24"/>
          <w:lang w:val="ro-RO"/>
        </w:rPr>
        <w:t>„Un pact al solului pentru Europa”</w:t>
      </w:r>
      <w:r w:rsidRPr="000824E5">
        <w:rPr>
          <w:rStyle w:val="FootnoteReference"/>
          <w:rFonts w:ascii="Times New Roman" w:eastAsiaTheme="minorEastAsia" w:hAnsi="Times New Roman" w:cs="Times New Roman"/>
          <w:b/>
          <w:bCs/>
          <w:noProof/>
          <w:sz w:val="24"/>
          <w:szCs w:val="24"/>
          <w:lang w:val="ro-RO"/>
        </w:rPr>
        <w:footnoteReference w:id="25"/>
      </w:r>
      <w:r w:rsidRPr="000824E5">
        <w:rPr>
          <w:rFonts w:ascii="Times New Roman" w:hAnsi="Times New Roman"/>
          <w:noProof/>
          <w:sz w:val="24"/>
          <w:lang w:val="ro-RO"/>
        </w:rPr>
        <w:t xml:space="preserve">, UE sprijină deja comunitățile costiere prin dezvoltarea și testarea unor soluții inovatoare pentru refacere, managementul zonelor costiere, inclusiv retenția de apă și reducerea poluării cu nutrienți, precum și pentru practicile regenerative ale economiei albastre. </w:t>
      </w:r>
      <w:r w:rsidRPr="000824E5">
        <w:rPr>
          <w:rFonts w:ascii="Times New Roman" w:hAnsi="Times New Roman"/>
          <w:b/>
          <w:noProof/>
          <w:sz w:val="24"/>
          <w:lang w:val="ro-RO"/>
        </w:rPr>
        <w:t>Strategia de cercetare și inovare în domeniul oceanelor și al apei</w:t>
      </w:r>
      <w:r w:rsidRPr="000824E5">
        <w:rPr>
          <w:rFonts w:ascii="Times New Roman" w:hAnsi="Times New Roman"/>
          <w:noProof/>
          <w:sz w:val="24"/>
          <w:lang w:val="ro-RO"/>
        </w:rPr>
        <w:t xml:space="preserve"> va contribui la extinderea abordării de la sursă la mare prin inovare în managementul apei și îmbunătățirea eficienței utilizării apei. Fondurile UE – cum ar fi fondurile oferite în cadrul politicii de coeziune, FEAMPA și LIFE – sprijină deja investițiile în biodiversitate, reziliența la schimbările climatice, managementul durabil al apei și economia circulară în zonele costiere.</w:t>
      </w:r>
    </w:p>
    <w:tbl>
      <w:tblPr>
        <w:tblStyle w:val="TableGrid"/>
        <w:tblW w:w="0" w:type="auto"/>
        <w:tblLook w:val="04A0" w:firstRow="1" w:lastRow="0" w:firstColumn="1" w:lastColumn="0" w:noHBand="0" w:noVBand="1"/>
      </w:tblPr>
      <w:tblGrid>
        <w:gridCol w:w="9016"/>
      </w:tblGrid>
      <w:tr w:rsidR="00660BFE" w:rsidRPr="000824E5" w14:paraId="4E095A79" w14:textId="77777777" w:rsidTr="008761F1">
        <w:tc>
          <w:tcPr>
            <w:tcW w:w="9016" w:type="dxa"/>
            <w:shd w:val="clear" w:color="auto" w:fill="F2F2F2" w:themeFill="background1" w:themeFillShade="F2"/>
          </w:tcPr>
          <w:p w14:paraId="3BFAB48F" w14:textId="77777777" w:rsidR="00660BFE" w:rsidRPr="000824E5" w:rsidRDefault="00660BFE" w:rsidP="008761F1">
            <w:pPr>
              <w:spacing w:before="120" w:after="120"/>
              <w:jc w:val="both"/>
              <w:rPr>
                <w:rFonts w:ascii="Times New Roman" w:eastAsia="Times New Roman" w:hAnsi="Times New Roman" w:cs="Times New Roman"/>
                <w:b/>
                <w:bCs/>
                <w:noProof/>
                <w:lang w:val="ro-RO"/>
              </w:rPr>
            </w:pPr>
            <w:r w:rsidRPr="000824E5">
              <w:rPr>
                <w:rFonts w:ascii="Times New Roman" w:hAnsi="Times New Roman"/>
                <w:b/>
                <w:i/>
                <w:noProof/>
                <w:u w:val="single"/>
                <w:lang w:val="ro-RO"/>
              </w:rPr>
              <w:t>Acțiuni emblematice</w:t>
            </w:r>
            <w:r w:rsidRPr="000824E5">
              <w:rPr>
                <w:rFonts w:ascii="Times New Roman" w:hAnsi="Times New Roman"/>
                <w:b/>
                <w:i/>
                <w:noProof/>
                <w:lang w:val="ro-RO"/>
              </w:rPr>
              <w:t xml:space="preserve"> – Comisia:</w:t>
            </w:r>
          </w:p>
          <w:p w14:paraId="1BEDA74C" w14:textId="77777777" w:rsidR="00660BFE" w:rsidRPr="000824E5" w:rsidRDefault="00660BFE" w:rsidP="008761F1">
            <w:pPr>
              <w:pStyle w:val="ListParagraph"/>
              <w:numPr>
                <w:ilvl w:val="0"/>
                <w:numId w:val="23"/>
              </w:numPr>
              <w:spacing w:after="60"/>
              <w:ind w:left="357" w:hanging="357"/>
              <w:contextualSpacing w:val="0"/>
              <w:jc w:val="both"/>
              <w:rPr>
                <w:rFonts w:ascii="Times New Roman" w:eastAsia="Times New Roman" w:hAnsi="Times New Roman" w:cs="Times New Roman"/>
                <w:i/>
                <w:iCs/>
                <w:noProof/>
                <w:lang w:val="ro-RO"/>
              </w:rPr>
            </w:pPr>
            <w:r w:rsidRPr="000824E5">
              <w:rPr>
                <w:rFonts w:ascii="Times New Roman" w:hAnsi="Times New Roman"/>
                <w:i/>
                <w:noProof/>
                <w:lang w:val="ro-RO"/>
              </w:rPr>
              <w:t xml:space="preserve">va </w:t>
            </w:r>
            <w:r w:rsidRPr="000824E5">
              <w:rPr>
                <w:rFonts w:ascii="Times New Roman" w:hAnsi="Times New Roman"/>
                <w:b/>
                <w:i/>
                <w:noProof/>
                <w:lang w:val="ro-RO"/>
              </w:rPr>
              <w:t>promova parteneriate structurate de gestionare în comun</w:t>
            </w:r>
            <w:r w:rsidRPr="000824E5">
              <w:rPr>
                <w:rFonts w:ascii="Times New Roman" w:hAnsi="Times New Roman"/>
                <w:i/>
                <w:noProof/>
                <w:lang w:val="ro-RO"/>
              </w:rPr>
              <w:t xml:space="preserve"> pentru zonele protejate, inclusiv cu participarea pescarilor și v</w:t>
            </w:r>
            <w:r w:rsidRPr="000824E5">
              <w:rPr>
                <w:rFonts w:ascii="Times New Roman" w:hAnsi="Times New Roman"/>
                <w:b/>
                <w:i/>
                <w:noProof/>
                <w:lang w:val="ro-RO"/>
              </w:rPr>
              <w:t>a sprijini statele membre și autoritățile locale</w:t>
            </w:r>
            <w:r w:rsidRPr="000824E5">
              <w:rPr>
                <w:rFonts w:ascii="Times New Roman" w:hAnsi="Times New Roman"/>
                <w:i/>
                <w:noProof/>
                <w:lang w:val="ro-RO"/>
              </w:rPr>
              <w:t xml:space="preserve"> în integrarea implicării părților interesate în planificarea, monitorizarea și revizuirea periodică a planurilor;</w:t>
            </w:r>
          </w:p>
          <w:p w14:paraId="0737BDD1" w14:textId="77777777" w:rsidR="00660BFE" w:rsidRPr="000824E5" w:rsidRDefault="00660BFE" w:rsidP="008761F1">
            <w:pPr>
              <w:pStyle w:val="ListParagraph"/>
              <w:numPr>
                <w:ilvl w:val="0"/>
                <w:numId w:val="23"/>
              </w:numPr>
              <w:spacing w:after="60"/>
              <w:ind w:left="357" w:hanging="357"/>
              <w:contextualSpacing w:val="0"/>
              <w:jc w:val="both"/>
              <w:rPr>
                <w:rFonts w:ascii="Times New Roman" w:eastAsia="Times New Roman" w:hAnsi="Times New Roman" w:cs="Times New Roman"/>
                <w:i/>
                <w:iCs/>
                <w:noProof/>
                <w:lang w:val="ro-RO"/>
              </w:rPr>
            </w:pPr>
            <w:r w:rsidRPr="000824E5">
              <w:rPr>
                <w:rFonts w:ascii="Times New Roman" w:hAnsi="Times New Roman"/>
                <w:b/>
                <w:i/>
                <w:noProof/>
                <w:lang w:val="ro-RO"/>
              </w:rPr>
              <w:t>în colaborare cu BEI</w:t>
            </w:r>
            <w:r w:rsidRPr="000824E5">
              <w:rPr>
                <w:rFonts w:ascii="Times New Roman" w:hAnsi="Times New Roman"/>
                <w:i/>
                <w:noProof/>
                <w:lang w:val="ro-RO"/>
              </w:rPr>
              <w:t xml:space="preserve">, va analiza posibilitatea de a realiza </w:t>
            </w:r>
            <w:r w:rsidRPr="000824E5">
              <w:rPr>
                <w:rFonts w:ascii="Times New Roman" w:hAnsi="Times New Roman"/>
                <w:b/>
                <w:i/>
                <w:noProof/>
                <w:lang w:val="ro-RO"/>
              </w:rPr>
              <w:t xml:space="preserve">o cartografiere a investițiilor la nivelul UE </w:t>
            </w:r>
            <w:r w:rsidRPr="000824E5">
              <w:rPr>
                <w:rFonts w:ascii="Times New Roman" w:hAnsi="Times New Roman"/>
                <w:i/>
                <w:noProof/>
                <w:lang w:val="ro-RO"/>
              </w:rPr>
              <w:t xml:space="preserve">pentru adaptarea zonelor costiere și de a utiliza </w:t>
            </w:r>
            <w:r w:rsidRPr="000824E5">
              <w:rPr>
                <w:rFonts w:ascii="Times New Roman" w:hAnsi="Times New Roman"/>
                <w:b/>
                <w:i/>
                <w:noProof/>
                <w:lang w:val="ro-RO"/>
              </w:rPr>
              <w:t xml:space="preserve">sprijinul consultativ tehnic al BEI </w:t>
            </w:r>
            <w:r w:rsidRPr="000824E5">
              <w:rPr>
                <w:rFonts w:ascii="Times New Roman" w:hAnsi="Times New Roman"/>
                <w:i/>
                <w:noProof/>
                <w:lang w:val="ro-RO"/>
              </w:rPr>
              <w:t xml:space="preserve">pentru a oferi asistență pentru consolidarea capacităților; </w:t>
            </w:r>
          </w:p>
          <w:p w14:paraId="0079BF0A" w14:textId="77777777" w:rsidR="00660BFE" w:rsidRPr="000824E5" w:rsidRDefault="00660BFE" w:rsidP="008761F1">
            <w:pPr>
              <w:pStyle w:val="ListParagraph"/>
              <w:numPr>
                <w:ilvl w:val="0"/>
                <w:numId w:val="23"/>
              </w:numPr>
              <w:spacing w:after="60"/>
              <w:ind w:left="357" w:hanging="357"/>
              <w:contextualSpacing w:val="0"/>
              <w:jc w:val="both"/>
              <w:rPr>
                <w:rFonts w:ascii="Times New Roman" w:eastAsia="Times New Roman" w:hAnsi="Times New Roman" w:cs="Times New Roman"/>
                <w:i/>
                <w:iCs/>
                <w:noProof/>
                <w:lang w:val="ro-RO"/>
              </w:rPr>
            </w:pPr>
            <w:r w:rsidRPr="000824E5">
              <w:rPr>
                <w:rFonts w:ascii="Times New Roman" w:hAnsi="Times New Roman"/>
                <w:i/>
                <w:noProof/>
                <w:lang w:val="ro-RO"/>
              </w:rPr>
              <w:t xml:space="preserve">va </w:t>
            </w:r>
            <w:r w:rsidRPr="000824E5">
              <w:rPr>
                <w:rFonts w:ascii="Times New Roman" w:hAnsi="Times New Roman"/>
                <w:b/>
                <w:i/>
                <w:noProof/>
                <w:lang w:val="ro-RO"/>
              </w:rPr>
              <w:t>încuraja cooperarea și parteneriatele strategice</w:t>
            </w:r>
            <w:r w:rsidRPr="000824E5">
              <w:rPr>
                <w:rFonts w:ascii="Times New Roman" w:hAnsi="Times New Roman"/>
                <w:i/>
                <w:noProof/>
                <w:lang w:val="ro-RO"/>
              </w:rPr>
              <w:t xml:space="preserve"> între autoritățile naționale și cele ale comunităților costiere; </w:t>
            </w:r>
          </w:p>
          <w:p w14:paraId="59A29A61" w14:textId="77777777" w:rsidR="00660BFE" w:rsidRPr="000824E5" w:rsidRDefault="00660BFE" w:rsidP="008761F1">
            <w:pPr>
              <w:pStyle w:val="ListParagraph"/>
              <w:numPr>
                <w:ilvl w:val="0"/>
                <w:numId w:val="23"/>
              </w:numPr>
              <w:spacing w:after="120"/>
              <w:ind w:left="357" w:hanging="357"/>
              <w:contextualSpacing w:val="0"/>
              <w:jc w:val="both"/>
              <w:rPr>
                <w:rFonts w:ascii="Times New Roman" w:eastAsia="Times New Roman" w:hAnsi="Times New Roman" w:cs="Times New Roman"/>
                <w:noProof/>
                <w:lang w:val="ro-RO"/>
              </w:rPr>
            </w:pPr>
            <w:r w:rsidRPr="000824E5">
              <w:rPr>
                <w:rFonts w:ascii="Times New Roman" w:hAnsi="Times New Roman"/>
                <w:i/>
                <w:noProof/>
                <w:lang w:val="ro-RO"/>
              </w:rPr>
              <w:t xml:space="preserve">va </w:t>
            </w:r>
            <w:r w:rsidRPr="000824E5">
              <w:rPr>
                <w:rFonts w:ascii="Times New Roman" w:hAnsi="Times New Roman"/>
                <w:b/>
                <w:i/>
                <w:noProof/>
                <w:lang w:val="ro-RO"/>
              </w:rPr>
              <w:t>extinde inițiativa CoastWAVE</w:t>
            </w:r>
            <w:r w:rsidRPr="000824E5">
              <w:rPr>
                <w:rFonts w:ascii="Times New Roman" w:hAnsi="Times New Roman"/>
                <w:i/>
                <w:noProof/>
                <w:lang w:val="ro-RO"/>
              </w:rPr>
              <w:t xml:space="preserve"> pentru a acoperi mai multe comunități prin evaluări locale ale pericolelor și sisteme de avertizare personalizate.</w:t>
            </w:r>
          </w:p>
        </w:tc>
      </w:tr>
    </w:tbl>
    <w:p w14:paraId="57E0B417" w14:textId="77777777" w:rsidR="00660BFE" w:rsidRPr="000824E5" w:rsidRDefault="00660BFE" w:rsidP="00660BFE">
      <w:pPr>
        <w:pStyle w:val="ListParagraph"/>
        <w:spacing w:after="120" w:line="240" w:lineRule="auto"/>
        <w:ind w:left="1080"/>
        <w:jc w:val="both"/>
        <w:rPr>
          <w:rFonts w:ascii="Times New Roman" w:hAnsi="Times New Roman" w:cs="Times New Roman"/>
          <w:b/>
          <w:bCs/>
          <w:noProof/>
          <w:sz w:val="24"/>
          <w:szCs w:val="24"/>
          <w:lang w:val="ro-RO"/>
        </w:rPr>
      </w:pPr>
      <w:bookmarkStart w:id="7" w:name="_Hlk231027313"/>
    </w:p>
    <w:p w14:paraId="6269B1EB" w14:textId="77777777" w:rsidR="00660BFE" w:rsidRPr="000824E5" w:rsidRDefault="00660BFE" w:rsidP="00660BFE">
      <w:pPr>
        <w:pStyle w:val="ListParagraph"/>
        <w:spacing w:after="120" w:line="240" w:lineRule="auto"/>
        <w:ind w:left="1080"/>
        <w:jc w:val="both"/>
        <w:rPr>
          <w:rFonts w:ascii="Times New Roman" w:hAnsi="Times New Roman" w:cs="Times New Roman"/>
          <w:b/>
          <w:bCs/>
          <w:noProof/>
          <w:sz w:val="24"/>
          <w:szCs w:val="24"/>
          <w:lang w:val="ro-RO"/>
        </w:rPr>
      </w:pPr>
    </w:p>
    <w:p w14:paraId="0BDB5CDD" w14:textId="77777777" w:rsidR="00660BFE" w:rsidRPr="000824E5" w:rsidRDefault="00660BFE" w:rsidP="00660BFE">
      <w:pPr>
        <w:pStyle w:val="ListParagraph"/>
        <w:numPr>
          <w:ilvl w:val="1"/>
          <w:numId w:val="1"/>
        </w:numPr>
        <w:spacing w:before="360" w:after="120" w:line="240" w:lineRule="auto"/>
        <w:ind w:left="1077"/>
        <w:jc w:val="both"/>
        <w:rPr>
          <w:rFonts w:ascii="Times New Roman" w:hAnsi="Times New Roman" w:cs="Times New Roman"/>
          <w:b/>
          <w:bCs/>
          <w:noProof/>
          <w:sz w:val="24"/>
          <w:szCs w:val="24"/>
          <w:lang w:val="ro-RO"/>
        </w:rPr>
      </w:pPr>
      <w:r w:rsidRPr="000824E5">
        <w:rPr>
          <w:rFonts w:ascii="Times New Roman" w:hAnsi="Times New Roman"/>
          <w:b/>
          <w:noProof/>
          <w:sz w:val="24"/>
          <w:lang w:val="ro-RO"/>
        </w:rPr>
        <w:t>Comunități costiere favorabile unei bune calități a vieții</w:t>
      </w:r>
      <w:bookmarkEnd w:id="7"/>
    </w:p>
    <w:p w14:paraId="7986519D"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Accesul la asistență medicală, educație, competențe, conectivitate în domeniul digital și în cel al transporturilor, precum și la locuințe la prețuri accesibile este esențial pentru menținerea atractivității și a calității vieții în comunitățile costiere, în special pentru tineri. Aceste servicii sunt, de asemenea, esențiale pentru asigurarea unui drept efectiv de a rămâne pe teritoriu</w:t>
      </w:r>
      <w:r w:rsidRPr="000824E5">
        <w:rPr>
          <w:rStyle w:val="FootnoteReference"/>
          <w:rFonts w:ascii="Times New Roman" w:hAnsi="Times New Roman" w:cs="Times New Roman"/>
          <w:noProof/>
          <w:sz w:val="24"/>
          <w:szCs w:val="24"/>
          <w:lang w:val="ro-RO"/>
        </w:rPr>
        <w:footnoteReference w:id="26"/>
      </w:r>
      <w:r w:rsidRPr="000824E5">
        <w:rPr>
          <w:noProof/>
          <w:lang w:val="ro-RO"/>
        </w:rPr>
        <w:t>.</w:t>
      </w:r>
      <w:r w:rsidRPr="000824E5">
        <w:rPr>
          <w:rFonts w:ascii="Times New Roman" w:hAnsi="Times New Roman"/>
          <w:noProof/>
          <w:sz w:val="24"/>
          <w:lang w:val="ro-RO"/>
        </w:rPr>
        <w:t xml:space="preserve"> Cu toate acestea, comunitățile costiere din întreaga UE se confruntă cu realități economice și provocări teritoriale foarte diferite, în special în zonele rurale și îndepărtate. </w:t>
      </w:r>
    </w:p>
    <w:p w14:paraId="30F5F13E"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b/>
          <w:noProof/>
          <w:sz w:val="24"/>
          <w:lang w:val="ro-RO"/>
        </w:rPr>
        <w:t>Viziunea pe termen lung pentru zonele rurale ale UE</w:t>
      </w:r>
      <w:r w:rsidRPr="000824E5">
        <w:rPr>
          <w:rStyle w:val="FootnoteReference"/>
          <w:rFonts w:ascii="Times New Roman" w:hAnsi="Times New Roman" w:cs="Times New Roman"/>
          <w:b/>
          <w:bCs/>
          <w:noProof/>
          <w:sz w:val="24"/>
          <w:szCs w:val="24"/>
          <w:lang w:val="ro-RO"/>
        </w:rPr>
        <w:footnoteReference w:id="27"/>
      </w:r>
      <w:r w:rsidRPr="000824E5">
        <w:rPr>
          <w:rFonts w:ascii="Times New Roman" w:hAnsi="Times New Roman"/>
          <w:noProof/>
          <w:sz w:val="24"/>
          <w:lang w:val="ro-RO"/>
        </w:rPr>
        <w:t xml:space="preserve"> oferă un cadru cuprinzător al UE pentru a răspunde acestor provocări, inclusiv nevoilor specifice ale zonelor rurale costiere care se confruntă cu constrângeri geografice, probleme de accesibilitate și declin demografic. Prima </w:t>
      </w:r>
      <w:r w:rsidRPr="000824E5">
        <w:rPr>
          <w:rFonts w:ascii="Times New Roman" w:hAnsi="Times New Roman"/>
          <w:b/>
          <w:noProof/>
          <w:sz w:val="24"/>
          <w:lang w:val="ro-RO"/>
        </w:rPr>
        <w:t>strategie a UE pentru combaterea sărăciei</w:t>
      </w:r>
      <w:r w:rsidRPr="000824E5">
        <w:rPr>
          <w:rFonts w:ascii="Times New Roman" w:hAnsi="Times New Roman"/>
          <w:noProof/>
          <w:sz w:val="24"/>
          <w:lang w:val="ro-RO"/>
        </w:rPr>
        <w:t xml:space="preserve">, adoptată la 6 mai 2026 și viitorul </w:t>
      </w:r>
      <w:r w:rsidRPr="000824E5">
        <w:rPr>
          <w:rFonts w:ascii="Times New Roman" w:hAnsi="Times New Roman"/>
          <w:b/>
          <w:noProof/>
          <w:sz w:val="24"/>
          <w:lang w:val="ro-RO"/>
        </w:rPr>
        <w:t>Plan de acțiune rurală al UE</w:t>
      </w:r>
      <w:r w:rsidRPr="000824E5">
        <w:rPr>
          <w:rFonts w:ascii="Times New Roman" w:hAnsi="Times New Roman"/>
          <w:noProof/>
          <w:sz w:val="24"/>
          <w:lang w:val="ro-RO"/>
        </w:rPr>
        <w:t xml:space="preserve">, care urmează să fie adoptat mai târziu în cursul acestui an, vor sprijini în continuare aceste eforturi. </w:t>
      </w:r>
    </w:p>
    <w:p w14:paraId="66349F14"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b/>
          <w:noProof/>
          <w:sz w:val="24"/>
          <w:lang w:val="ro-RO"/>
        </w:rPr>
        <w:t>Accesibilitatea locuințelor ca preț</w:t>
      </w:r>
      <w:r w:rsidRPr="000824E5">
        <w:rPr>
          <w:rFonts w:ascii="Times New Roman" w:hAnsi="Times New Roman"/>
          <w:noProof/>
          <w:sz w:val="24"/>
          <w:lang w:val="ro-RO"/>
        </w:rPr>
        <w:t xml:space="preserve"> este supusă unei presiuni deosebite în anumite cartiere, în special în orașe, dar și în alte zone turistice foarte frecventate</w:t>
      </w:r>
      <w:r w:rsidRPr="000824E5">
        <w:rPr>
          <w:rStyle w:val="FootnoteReference"/>
          <w:rFonts w:ascii="Times New Roman" w:hAnsi="Times New Roman" w:cs="Times New Roman"/>
          <w:noProof/>
          <w:sz w:val="24"/>
          <w:szCs w:val="24"/>
          <w:lang w:val="ro-RO"/>
        </w:rPr>
        <w:footnoteReference w:id="28"/>
      </w:r>
      <w:r w:rsidRPr="000824E5">
        <w:rPr>
          <w:rFonts w:ascii="Times New Roman" w:hAnsi="Times New Roman"/>
          <w:noProof/>
          <w:sz w:val="24"/>
          <w:lang w:val="ro-RO"/>
        </w:rPr>
        <w:t xml:space="preserve">. Cererea tot mai mare, alimentată de fluxurile turistice, de închirierile pe termen scurt, de locuințele secundare, de locuințele vacante, de cererea în scop de investiții sau de alte forme de utilizare a locuințelor în alt scop decât cel de reședință principală, riscă din ce în ce mai mult să disloce populațiile locale și să limiteze accesul lucrătorilor esențiali la locuințe. Extinderea fondului de locuințe sociale poate fi o opțiune de politică importantă pentru municipalitățile costiere. Viitoarea platformă paneuropeană de investiții în locuințe durabile și la prețuri accesibile va acționa în direcția mobilizării de fonduri pentru locuințe sociale și accesibile ca preț. În paralel, astfel cum s-a anunțat în Planul european privind locuințele la prețuri accesibile, Comisia va propune </w:t>
      </w:r>
      <w:r w:rsidRPr="000824E5">
        <w:rPr>
          <w:rFonts w:ascii="Times New Roman" w:hAnsi="Times New Roman"/>
          <w:b/>
          <w:noProof/>
          <w:sz w:val="24"/>
          <w:lang w:val="ro-RO"/>
        </w:rPr>
        <w:t>un act legislativ privind locuințele la prețuri accesibile</w:t>
      </w:r>
      <w:r w:rsidRPr="000824E5">
        <w:rPr>
          <w:rFonts w:ascii="Times New Roman" w:hAnsi="Times New Roman"/>
          <w:noProof/>
          <w:sz w:val="24"/>
          <w:lang w:val="ro-RO"/>
        </w:rPr>
        <w:t xml:space="preserve"> pentru a sprijini autoritățile publice să identifice zonele în care locuințele sunt supuse unor presiuni și, cu respectarea deplină a subsidiarității, pentru a le permite să ia măsuri proporționale menite să protejeze accesibilitatea locuințelor ca preț. În plus, </w:t>
      </w:r>
      <w:r w:rsidRPr="000824E5">
        <w:rPr>
          <w:rFonts w:ascii="Times New Roman" w:hAnsi="Times New Roman"/>
          <w:b/>
          <w:noProof/>
          <w:sz w:val="24"/>
          <w:lang w:val="ro-RO"/>
        </w:rPr>
        <w:t>Regulamentul privind serviciile de închiriere de locuințe pe termen scurt</w:t>
      </w:r>
      <w:r w:rsidRPr="000824E5">
        <w:rPr>
          <w:rStyle w:val="FootnoteReference"/>
          <w:rFonts w:ascii="Times New Roman" w:hAnsi="Times New Roman" w:cs="Times New Roman"/>
          <w:b/>
          <w:noProof/>
          <w:sz w:val="24"/>
          <w:szCs w:val="24"/>
          <w:lang w:val="ro-RO"/>
        </w:rPr>
        <w:footnoteReference w:id="29"/>
      </w:r>
      <w:r w:rsidRPr="000824E5">
        <w:rPr>
          <w:rFonts w:ascii="Times New Roman" w:hAnsi="Times New Roman"/>
          <w:noProof/>
          <w:sz w:val="24"/>
          <w:lang w:val="ro-RO"/>
        </w:rPr>
        <w:t>, care se aplică de la 20 mai 2026, va aduce mai multă transparență și va ajuta autoritățile publice să reglementeze piața în mod proporțional, impunând înregistrarea obligatorie a gazdelor și schimbul de date privind tranzacțiile efective între platformele digitale și autoritățile naționale.</w:t>
      </w:r>
      <w:r>
        <w:rPr>
          <w:rFonts w:ascii="Times New Roman" w:hAnsi="Times New Roman"/>
          <w:noProof/>
          <w:sz w:val="24"/>
        </w:rPr>
        <w:t xml:space="preserve"> </w:t>
      </w:r>
      <w:r w:rsidRPr="000824E5">
        <w:rPr>
          <w:rFonts w:ascii="Times New Roman" w:hAnsi="Times New Roman"/>
          <w:noProof/>
          <w:sz w:val="24"/>
          <w:lang w:val="ro-RO"/>
        </w:rPr>
        <w:t>Actualul CFM sprijină deja eforturile de remediere a deficitului de locuințe de calitate, accesibile ca preț, cu cel puțin 43 de miliarde EUR</w:t>
      </w:r>
      <w:r w:rsidRPr="000824E5">
        <w:rPr>
          <w:rStyle w:val="FootnoteReference"/>
          <w:rFonts w:ascii="Times New Roman" w:hAnsi="Times New Roman" w:cs="Times New Roman"/>
          <w:noProof/>
          <w:sz w:val="24"/>
          <w:szCs w:val="24"/>
          <w:lang w:val="ro-RO"/>
        </w:rPr>
        <w:footnoteReference w:id="30"/>
      </w:r>
      <w:r w:rsidRPr="000824E5">
        <w:rPr>
          <w:rFonts w:ascii="Times New Roman" w:hAnsi="Times New Roman"/>
          <w:noProof/>
          <w:sz w:val="24"/>
          <w:lang w:val="ro-RO"/>
        </w:rPr>
        <w:t xml:space="preserve"> prin intermediul fondurilor oferite în cadrul politicii de coeziune, prin InvestEU, LIFE, Programul privind piața unică și Orizont Europa, precum și prin NextGenerationEU, în timp ce evaluarea la jumătatea perioadei a politicii de coeziune a permis realocarea unei sume suplimentare de 3,3 miliarde EUR în cadrul FEDR către prioritatea privind locuințele sociale și locuințele la prețuri accesibile. Privind în perspectivă, Fondul social pentru climă va finanța investiții în eficiența energetică și renovarea clădirilor, precum și în încălzirea și răcirea curată. </w:t>
      </w:r>
      <w:r w:rsidRPr="000824E5">
        <w:rPr>
          <w:rFonts w:ascii="Times New Roman" w:hAnsi="Times New Roman"/>
          <w:b/>
          <w:noProof/>
          <w:sz w:val="24"/>
          <w:lang w:val="ro-RO"/>
        </w:rPr>
        <w:t>Comisia încurajează statele membre să intensifice investițiile în locuințe</w:t>
      </w:r>
      <w:r w:rsidRPr="000824E5">
        <w:rPr>
          <w:rFonts w:ascii="Times New Roman" w:hAnsi="Times New Roman"/>
          <w:noProof/>
          <w:sz w:val="24"/>
          <w:lang w:val="ro-RO"/>
        </w:rPr>
        <w:t xml:space="preserve"> și servicii conexe în comunitățile costiere afectate de presiuni locative, în special pentru grupurile cele mai vulnerabile. </w:t>
      </w:r>
    </w:p>
    <w:p w14:paraId="0BC7AE04"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Zonele costiere ale UE găzduiesc, de asemenea, un </w:t>
      </w:r>
      <w:r w:rsidRPr="000824E5">
        <w:rPr>
          <w:rFonts w:ascii="Times New Roman" w:hAnsi="Times New Roman"/>
          <w:b/>
          <w:noProof/>
          <w:sz w:val="24"/>
          <w:lang w:val="ro-RO"/>
        </w:rPr>
        <w:t>patrimoniu maritim</w:t>
      </w:r>
      <w:r w:rsidRPr="000824E5">
        <w:rPr>
          <w:rFonts w:ascii="Times New Roman" w:hAnsi="Times New Roman"/>
          <w:noProof/>
          <w:sz w:val="24"/>
          <w:lang w:val="ro-RO"/>
        </w:rPr>
        <w:t xml:space="preserve"> bogat, inclusiv situri marine care fac parte din patrimoniul mondial UNESCO</w:t>
      </w:r>
      <w:r w:rsidRPr="000824E5">
        <w:rPr>
          <w:rStyle w:val="FootnoteReference"/>
          <w:rFonts w:ascii="Times New Roman" w:hAnsi="Times New Roman" w:cs="Times New Roman"/>
          <w:noProof/>
          <w:sz w:val="24"/>
          <w:szCs w:val="24"/>
          <w:lang w:val="ro-RO"/>
        </w:rPr>
        <w:footnoteReference w:id="31"/>
      </w:r>
      <w:r w:rsidRPr="000824E5">
        <w:rPr>
          <w:rFonts w:ascii="Times New Roman" w:hAnsi="Times New Roman"/>
          <w:noProof/>
          <w:sz w:val="24"/>
          <w:lang w:val="ro-RO"/>
        </w:rPr>
        <w:t xml:space="preserve">, tradiții locale, cultură alimentară, practici și meșteșuguri care susțin identitatea comunității și valori intergeneraționale. Activități precum pescuitul la scară mică și artizanal, acvacultura, construcțiile navale și navigația sunt esențiale pentru țesutul social și cultural. Contribuția lor unică la identitatea locală ar trebui recunoscută la toate nivelurile de guvernanță. </w:t>
      </w:r>
    </w:p>
    <w:p w14:paraId="066B8A93" w14:textId="77777777" w:rsidR="00660BFE" w:rsidRPr="000824E5" w:rsidRDefault="00660BFE" w:rsidP="00660BFE">
      <w:pPr>
        <w:spacing w:after="120"/>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Inițiative precum </w:t>
      </w:r>
      <w:r w:rsidRPr="000824E5">
        <w:rPr>
          <w:rFonts w:ascii="Times New Roman" w:hAnsi="Times New Roman"/>
          <w:b/>
          <w:noProof/>
          <w:sz w:val="24"/>
          <w:lang w:val="ro-RO"/>
        </w:rPr>
        <w:t>Coaliția EU4Ocean pentru alfabetizarea în domeniul oceanelor</w:t>
      </w:r>
      <w:r w:rsidRPr="000824E5">
        <w:rPr>
          <w:rFonts w:ascii="Times New Roman" w:hAnsi="Times New Roman"/>
          <w:noProof/>
          <w:sz w:val="24"/>
          <w:lang w:val="ro-RO"/>
        </w:rPr>
        <w:t xml:space="preserve"> vor continua să sensibilizeze publicul cu privire la importanța culturală, socială și economică a oceanelor, evidențiind patrimoniul maritim al comunităților costiere, sprijinind în același timp transmiterea cunoștințelor între generații și gestionarea oceanelor. </w:t>
      </w:r>
      <w:r w:rsidRPr="000824E5">
        <w:rPr>
          <w:rFonts w:ascii="Times New Roman" w:hAnsi="Times New Roman"/>
          <w:b/>
          <w:noProof/>
          <w:sz w:val="24"/>
          <w:lang w:val="ro-RO"/>
        </w:rPr>
        <w:t>Mecanismul pentru noul Bauhaus european (NBE)</w:t>
      </w:r>
      <w:r w:rsidRPr="000824E5">
        <w:rPr>
          <w:rFonts w:ascii="Times New Roman" w:hAnsi="Times New Roman"/>
          <w:noProof/>
          <w:sz w:val="24"/>
          <w:lang w:val="ro-RO"/>
        </w:rPr>
        <w:t xml:space="preserve"> și </w:t>
      </w:r>
      <w:r w:rsidRPr="000824E5">
        <w:rPr>
          <w:rFonts w:ascii="Times New Roman" w:hAnsi="Times New Roman"/>
          <w:b/>
          <w:noProof/>
          <w:sz w:val="24"/>
          <w:lang w:val="ro-RO"/>
        </w:rPr>
        <w:t>Laboratorul comunităților oceanice, costiere și insulare din cadrul noului Bauhaus european</w:t>
      </w:r>
      <w:r w:rsidRPr="000824E5">
        <w:rPr>
          <w:rFonts w:ascii="Times New Roman" w:hAnsi="Times New Roman"/>
          <w:noProof/>
          <w:sz w:val="24"/>
          <w:lang w:val="ro-RO"/>
        </w:rPr>
        <w:t xml:space="preserve"> oferă, de asemenea, oportunități pentru proiecte costiere care combină durabilitatea, proiectarea, cultura și reziliența la schimbările climatice. </w:t>
      </w:r>
    </w:p>
    <w:p w14:paraId="66AFE8F1" w14:textId="77777777" w:rsidR="00660BFE" w:rsidRPr="000824E5" w:rsidRDefault="00660BFE" w:rsidP="00660BFE">
      <w:pPr>
        <w:spacing w:after="240" w:line="240" w:lineRule="auto"/>
        <w:jc w:val="both"/>
        <w:rPr>
          <w:rFonts w:ascii="Times New Roman" w:hAnsi="Times New Roman" w:cs="Times New Roman"/>
          <w:b/>
          <w:noProof/>
          <w:sz w:val="24"/>
          <w:szCs w:val="24"/>
          <w:lang w:val="ro-RO"/>
        </w:rPr>
      </w:pPr>
      <w:r w:rsidRPr="000824E5">
        <w:rPr>
          <w:rFonts w:ascii="Times New Roman" w:hAnsi="Times New Roman"/>
          <w:b/>
          <w:noProof/>
          <w:sz w:val="24"/>
          <w:lang w:val="ro-RO"/>
        </w:rPr>
        <w:t>Comisia încurajează statele membre și comunitățile locale să promoveze în continuare inițiativele privind patrimoniul albastru și maritim prin intermediul</w:t>
      </w:r>
      <w:r w:rsidRPr="000824E5">
        <w:rPr>
          <w:rFonts w:ascii="Times New Roman" w:hAnsi="Times New Roman"/>
          <w:noProof/>
          <w:sz w:val="24"/>
          <w:lang w:val="ro-RO"/>
        </w:rPr>
        <w:t xml:space="preserve"> DLRC și al grupurilor de acțiune locală în domeniul pescuitului (FLAG), precum și al altor programe și inițiative la nivel local și național.</w:t>
      </w:r>
    </w:p>
    <w:tbl>
      <w:tblPr>
        <w:tblStyle w:val="TableGrid"/>
        <w:tblW w:w="0" w:type="auto"/>
        <w:tblLook w:val="04A0" w:firstRow="1" w:lastRow="0" w:firstColumn="1" w:lastColumn="0" w:noHBand="0" w:noVBand="1"/>
      </w:tblPr>
      <w:tblGrid>
        <w:gridCol w:w="9016"/>
      </w:tblGrid>
      <w:tr w:rsidR="00660BFE" w:rsidRPr="000824E5" w14:paraId="078D9BCD" w14:textId="77777777" w:rsidTr="008761F1">
        <w:tc>
          <w:tcPr>
            <w:tcW w:w="9016" w:type="dxa"/>
            <w:shd w:val="clear" w:color="auto" w:fill="D9D9D9" w:themeFill="background1" w:themeFillShade="D9"/>
          </w:tcPr>
          <w:p w14:paraId="05884098" w14:textId="77777777" w:rsidR="00660BFE" w:rsidRPr="000824E5" w:rsidRDefault="00660BFE" w:rsidP="008761F1">
            <w:pPr>
              <w:spacing w:before="120" w:after="120"/>
              <w:jc w:val="both"/>
              <w:rPr>
                <w:rFonts w:ascii="Times New Roman" w:hAnsi="Times New Roman" w:cs="Times New Roman"/>
                <w:b/>
                <w:noProof/>
                <w:lang w:val="ro-RO"/>
              </w:rPr>
            </w:pPr>
            <w:r w:rsidRPr="000824E5">
              <w:rPr>
                <w:rFonts w:ascii="Times New Roman" w:hAnsi="Times New Roman"/>
                <w:b/>
                <w:i/>
                <w:noProof/>
                <w:u w:val="single"/>
                <w:lang w:val="ro-RO"/>
              </w:rPr>
              <w:t>Acțiuni emblematice</w:t>
            </w:r>
            <w:r w:rsidRPr="000824E5">
              <w:rPr>
                <w:rFonts w:ascii="Times New Roman" w:hAnsi="Times New Roman"/>
                <w:b/>
                <w:i/>
                <w:noProof/>
                <w:lang w:val="ro-RO"/>
              </w:rPr>
              <w:t xml:space="preserve"> – Comisia:</w:t>
            </w:r>
          </w:p>
          <w:p w14:paraId="5722AEEE" w14:textId="77777777" w:rsidR="00660BFE" w:rsidRPr="000824E5" w:rsidRDefault="00660BFE" w:rsidP="008761F1">
            <w:pPr>
              <w:pStyle w:val="ListParagraph"/>
              <w:numPr>
                <w:ilvl w:val="0"/>
                <w:numId w:val="26"/>
              </w:numPr>
              <w:spacing w:after="120"/>
              <w:ind w:left="357" w:hanging="357"/>
              <w:contextualSpacing w:val="0"/>
              <w:jc w:val="both"/>
              <w:rPr>
                <w:rFonts w:ascii="Times New Roman" w:hAnsi="Times New Roman" w:cs="Times New Roman"/>
                <w:b/>
                <w:noProof/>
                <w:lang w:val="ro-RO"/>
              </w:rPr>
            </w:pPr>
            <w:r w:rsidRPr="000824E5">
              <w:rPr>
                <w:rFonts w:ascii="Times New Roman" w:hAnsi="Times New Roman"/>
                <w:i/>
                <w:noProof/>
                <w:lang w:val="ro-RO"/>
              </w:rPr>
              <w:t xml:space="preserve">va propune un </w:t>
            </w:r>
            <w:r w:rsidRPr="000824E5">
              <w:rPr>
                <w:rFonts w:ascii="Times New Roman" w:hAnsi="Times New Roman"/>
                <w:b/>
                <w:i/>
                <w:noProof/>
                <w:lang w:val="ro-RO"/>
              </w:rPr>
              <w:t>act legislativ privind locuințele la prețuri accesibile</w:t>
            </w:r>
            <w:r w:rsidRPr="000824E5">
              <w:rPr>
                <w:rFonts w:ascii="Times New Roman" w:hAnsi="Times New Roman"/>
                <w:i/>
                <w:noProof/>
                <w:lang w:val="ro-RO"/>
              </w:rPr>
              <w:t xml:space="preserve"> pentru a sprijini autoritățile publice să identifice zonele în care locuințele sunt supuse unor presiuni și pentru a le permite, cu respectarea deplină a subsidiarității, să ia măsuri pentru a proteja și a promova accesibilitatea locuințelor ca preț în zonele respective;</w:t>
            </w:r>
          </w:p>
          <w:p w14:paraId="689DC4A3" w14:textId="77777777" w:rsidR="00660BFE" w:rsidRPr="000824E5" w:rsidRDefault="00660BFE" w:rsidP="008761F1">
            <w:pPr>
              <w:pStyle w:val="ListParagraph"/>
              <w:numPr>
                <w:ilvl w:val="0"/>
                <w:numId w:val="26"/>
              </w:numPr>
              <w:spacing w:after="120"/>
              <w:ind w:left="357" w:hanging="357"/>
              <w:contextualSpacing w:val="0"/>
              <w:jc w:val="both"/>
              <w:rPr>
                <w:rFonts w:ascii="Times New Roman" w:hAnsi="Times New Roman" w:cs="Times New Roman"/>
                <w:b/>
                <w:noProof/>
                <w:lang w:val="ro-RO"/>
              </w:rPr>
            </w:pPr>
            <w:r w:rsidRPr="000824E5">
              <w:rPr>
                <w:rFonts w:ascii="Times New Roman" w:hAnsi="Times New Roman"/>
                <w:i/>
                <w:noProof/>
                <w:lang w:val="ro-RO"/>
              </w:rPr>
              <w:t xml:space="preserve">prin intermediul </w:t>
            </w:r>
            <w:r w:rsidRPr="000824E5">
              <w:rPr>
                <w:rFonts w:ascii="Times New Roman" w:hAnsi="Times New Roman"/>
                <w:b/>
                <w:i/>
                <w:noProof/>
                <w:lang w:val="ro-RO"/>
              </w:rPr>
              <w:t>Mecanismului pentru noul Bauhaus european (NBE)</w:t>
            </w:r>
            <w:r w:rsidRPr="000824E5">
              <w:rPr>
                <w:rFonts w:ascii="Times New Roman" w:hAnsi="Times New Roman"/>
                <w:i/>
                <w:noProof/>
                <w:lang w:val="ro-RO"/>
              </w:rPr>
              <w:t xml:space="preserve"> și prin </w:t>
            </w:r>
            <w:r w:rsidRPr="000824E5">
              <w:rPr>
                <w:rFonts w:ascii="Times New Roman" w:hAnsi="Times New Roman"/>
                <w:b/>
                <w:i/>
                <w:noProof/>
                <w:lang w:val="ro-RO"/>
              </w:rPr>
              <w:t>lansarea Laboratorului comunităților oceanice, costiere și insulare din cadrul noului Bauhaus european</w:t>
            </w:r>
            <w:r w:rsidRPr="000824E5">
              <w:rPr>
                <w:rFonts w:ascii="Times New Roman" w:hAnsi="Times New Roman"/>
                <w:i/>
                <w:noProof/>
                <w:lang w:val="ro-RO"/>
              </w:rPr>
              <w:t>, va oferi oportunități pentru proiecte costiere care combină durabilitatea, proiectarea, cultura și reziliența la schimbările climatice.</w:t>
            </w:r>
          </w:p>
        </w:tc>
      </w:tr>
    </w:tbl>
    <w:p w14:paraId="5E9EC13E" w14:textId="77777777" w:rsidR="00660BFE" w:rsidRPr="000824E5" w:rsidRDefault="00660BFE" w:rsidP="00660BFE">
      <w:pPr>
        <w:pStyle w:val="ListParagraph"/>
        <w:spacing w:before="240" w:after="120" w:line="240" w:lineRule="auto"/>
        <w:ind w:left="357"/>
        <w:contextualSpacing w:val="0"/>
        <w:jc w:val="both"/>
        <w:rPr>
          <w:rFonts w:ascii="Times New Roman" w:hAnsi="Times New Roman" w:cs="Times New Roman"/>
          <w:noProof/>
          <w:sz w:val="24"/>
          <w:szCs w:val="24"/>
          <w:lang w:val="ro-RO"/>
        </w:rPr>
      </w:pPr>
    </w:p>
    <w:p w14:paraId="0B684317" w14:textId="33DC6F1D" w:rsidR="00660BFE" w:rsidRPr="000824E5" w:rsidRDefault="00660BFE" w:rsidP="00660BFE">
      <w:pPr>
        <w:pStyle w:val="ListParagraph"/>
        <w:numPr>
          <w:ilvl w:val="0"/>
          <w:numId w:val="1"/>
        </w:numPr>
        <w:spacing w:before="480" w:after="120" w:line="240" w:lineRule="auto"/>
        <w:ind w:left="357" w:hanging="357"/>
        <w:contextualSpacing w:val="0"/>
        <w:jc w:val="both"/>
        <w:rPr>
          <w:rFonts w:ascii="Times New Roman" w:hAnsi="Times New Roman" w:cs="Times New Roman"/>
          <w:noProof/>
          <w:sz w:val="24"/>
          <w:szCs w:val="24"/>
          <w:lang w:val="ro-RO"/>
        </w:rPr>
      </w:pPr>
      <w:r w:rsidRPr="000824E5">
        <w:rPr>
          <w:rFonts w:ascii="Times New Roman" w:hAnsi="Times New Roman"/>
          <w:b/>
          <w:noProof/>
          <w:sz w:val="24"/>
          <w:lang w:val="ro-RO"/>
        </w:rPr>
        <w:t xml:space="preserve">Punerea în aplicare a strategiei </w:t>
      </w:r>
    </w:p>
    <w:p w14:paraId="39E27B7C" w14:textId="77777777" w:rsidR="00660BFE" w:rsidRPr="000824E5" w:rsidRDefault="00660BFE" w:rsidP="00660BFE">
      <w:pPr>
        <w:pStyle w:val="ListParagraph"/>
        <w:numPr>
          <w:ilvl w:val="1"/>
          <w:numId w:val="1"/>
        </w:numPr>
        <w:spacing w:after="120" w:line="240" w:lineRule="auto"/>
        <w:jc w:val="both"/>
        <w:rPr>
          <w:rFonts w:ascii="Times New Roman" w:hAnsi="Times New Roman" w:cs="Times New Roman"/>
          <w:b/>
          <w:bCs/>
          <w:noProof/>
          <w:sz w:val="24"/>
          <w:szCs w:val="24"/>
          <w:lang w:val="ro-RO"/>
        </w:rPr>
      </w:pPr>
      <w:r w:rsidRPr="000824E5">
        <w:rPr>
          <w:rFonts w:ascii="Times New Roman" w:hAnsi="Times New Roman"/>
          <w:b/>
          <w:noProof/>
          <w:sz w:val="24"/>
          <w:lang w:val="ro-RO"/>
        </w:rPr>
        <w:t xml:space="preserve">Finanțare </w:t>
      </w:r>
    </w:p>
    <w:p w14:paraId="40A80B61"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Posibilitățile de acces la finanțare pentru economia albastră sunt în continuă creștere. Prin intermediul </w:t>
      </w:r>
      <w:r w:rsidRPr="000824E5">
        <w:rPr>
          <w:rFonts w:ascii="Times New Roman" w:hAnsi="Times New Roman"/>
          <w:b/>
          <w:noProof/>
          <w:sz w:val="24"/>
          <w:lang w:val="ro-RO"/>
        </w:rPr>
        <w:t>platformei BlueInvest</w:t>
      </w:r>
      <w:r w:rsidRPr="000824E5">
        <w:rPr>
          <w:rFonts w:ascii="Times New Roman" w:hAnsi="Times New Roman"/>
          <w:noProof/>
          <w:sz w:val="24"/>
          <w:lang w:val="ro-RO"/>
        </w:rPr>
        <w:t>, UE susține start-upurile și IMM-urile în vederea dezvoltării și extinderii tehnologiilor și serviciilor oceanice inovatoare, inclusiv în zonele costiere, oferind îndrumare, facilitând contactele cu investitorii și acordând sprijin pentru atragerea de fonduri. Instrumentul de investiții pentru economia albastră – sprijinit de FEAMPA și InvestEU și pus în aplicare de Fondul european de investiții (FEI) – urmărește să mobilizeze investiții de capital de până la 1 miliard EUR până în 2028. Totodată, Banca Europeană de Investiții (</w:t>
      </w:r>
      <w:r w:rsidRPr="000824E5">
        <w:rPr>
          <w:rFonts w:ascii="Times New Roman" w:hAnsi="Times New Roman"/>
          <w:b/>
          <w:noProof/>
          <w:sz w:val="24"/>
          <w:lang w:val="ro-RO"/>
        </w:rPr>
        <w:t>BEI) joacă, la rândul său, un rol esențial</w:t>
      </w:r>
      <w:r w:rsidRPr="000824E5">
        <w:rPr>
          <w:rFonts w:ascii="Times New Roman" w:hAnsi="Times New Roman"/>
          <w:noProof/>
          <w:sz w:val="24"/>
          <w:lang w:val="ro-RO"/>
        </w:rPr>
        <w:t xml:space="preserve">, derulând investiții anuale medii de aproximativ 2,6 miliarde EUR în proiecte privind economia albastră și protecția zonelor costiere. </w:t>
      </w:r>
    </w:p>
    <w:p w14:paraId="09C95F15"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b/>
          <w:noProof/>
          <w:sz w:val="24"/>
          <w:lang w:val="ro-RO"/>
        </w:rPr>
        <w:t>O colaborare mai strânsă și sinergii mai puternice cu băncile naționale de promovare și cu alte instituții financiare multilaterale</w:t>
      </w:r>
      <w:r w:rsidRPr="000824E5">
        <w:rPr>
          <w:rFonts w:ascii="Times New Roman" w:hAnsi="Times New Roman"/>
          <w:noProof/>
          <w:sz w:val="24"/>
          <w:lang w:val="ro-RO"/>
        </w:rPr>
        <w:t xml:space="preserve"> pot facilita într-o și mai mare măsură accesul întreprinderilor și comunităților costiere la finanțare, la servicii de consiliere tehnică și la sprijin pentru consolidarea capacităților.</w:t>
      </w:r>
      <w:r w:rsidRPr="000824E5">
        <w:rPr>
          <w:rFonts w:ascii="Times New Roman" w:hAnsi="Times New Roman"/>
          <w:b/>
          <w:noProof/>
          <w:sz w:val="24"/>
          <w:lang w:val="ro-RO"/>
        </w:rPr>
        <w:t xml:space="preserve"> Regulamentul UE privind taxonomia UE</w:t>
      </w:r>
      <w:r w:rsidRPr="000824E5">
        <w:rPr>
          <w:rFonts w:ascii="Times New Roman" w:hAnsi="Times New Roman"/>
          <w:noProof/>
          <w:sz w:val="24"/>
          <w:lang w:val="ro-RO"/>
        </w:rPr>
        <w:t xml:space="preserve"> contribuie, de asemenea, la direcționarea investițiilor către activități care contribuie la utilizarea durabilă și la protecția resurselor de apă și marine</w:t>
      </w:r>
      <w:r w:rsidRPr="000824E5">
        <w:rPr>
          <w:rStyle w:val="FootnoteReference"/>
          <w:rFonts w:ascii="Times New Roman" w:hAnsi="Times New Roman" w:cs="Times New Roman"/>
          <w:noProof/>
          <w:sz w:val="24"/>
          <w:szCs w:val="24"/>
          <w:lang w:val="ro-RO"/>
        </w:rPr>
        <w:footnoteReference w:id="32"/>
      </w:r>
      <w:r w:rsidRPr="000824E5">
        <w:rPr>
          <w:noProof/>
          <w:lang w:val="ro-RO"/>
        </w:rPr>
        <w:t>.</w:t>
      </w:r>
      <w:r w:rsidRPr="000824E5">
        <w:rPr>
          <w:rFonts w:ascii="Times New Roman" w:hAnsi="Times New Roman"/>
          <w:noProof/>
          <w:sz w:val="24"/>
          <w:lang w:val="ro-RO"/>
        </w:rPr>
        <w:t xml:space="preserve"> În plus, programele legislative</w:t>
      </w:r>
      <w:r w:rsidRPr="000824E5">
        <w:rPr>
          <w:rStyle w:val="FootnoteReference"/>
          <w:rFonts w:ascii="Times New Roman" w:hAnsi="Times New Roman" w:cs="Times New Roman"/>
          <w:noProof/>
          <w:sz w:val="24"/>
          <w:szCs w:val="24"/>
          <w:lang w:val="ro-RO"/>
        </w:rPr>
        <w:footnoteReference w:id="33"/>
      </w:r>
      <w:r w:rsidRPr="000824E5">
        <w:rPr>
          <w:rFonts w:ascii="Times New Roman" w:hAnsi="Times New Roman"/>
          <w:noProof/>
          <w:sz w:val="24"/>
          <w:lang w:val="ro-RO"/>
        </w:rPr>
        <w:t xml:space="preserve"> vor juca un rol central în deblocarea capitalului privat. Prin reducerea costului investițiilor de capital pe termen lung și prin recunoașterea efectului de reducere a riscurilor pe care îl au garanțiile UE sau garanțiile naționale în ceea ce privește cerințele de capital, aceste programe legislative pot încuraja investițiile.</w:t>
      </w:r>
    </w:p>
    <w:p w14:paraId="0D51701D"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b/>
          <w:noProof/>
          <w:sz w:val="24"/>
          <w:lang w:val="ro-RO"/>
        </w:rPr>
        <w:t xml:space="preserve">Politica de coeziune </w:t>
      </w:r>
      <w:r w:rsidRPr="000824E5">
        <w:rPr>
          <w:rFonts w:ascii="Times New Roman" w:hAnsi="Times New Roman"/>
          <w:noProof/>
          <w:sz w:val="24"/>
          <w:lang w:val="ro-RO"/>
        </w:rPr>
        <w:t xml:space="preserve">a UE, </w:t>
      </w:r>
      <w:r w:rsidRPr="000824E5">
        <w:rPr>
          <w:rFonts w:ascii="Times New Roman" w:hAnsi="Times New Roman"/>
          <w:b/>
          <w:noProof/>
          <w:sz w:val="24"/>
          <w:lang w:val="ro-RO"/>
        </w:rPr>
        <w:t>politica agricolă comună și politicile maritime</w:t>
      </w:r>
      <w:r w:rsidRPr="000824E5">
        <w:rPr>
          <w:rFonts w:ascii="Times New Roman" w:hAnsi="Times New Roman"/>
          <w:noProof/>
          <w:sz w:val="24"/>
          <w:lang w:val="ro-RO"/>
        </w:rPr>
        <w:t xml:space="preserve"> continuă să sprijine dezvoltarea durabilă în toate regiunile costiere, fiind completate de inițiative de consolidare a capacităților, cum ar fi TAIEX-REGIO Peer2Peer</w:t>
      </w:r>
      <w:r w:rsidRPr="000824E5">
        <w:rPr>
          <w:rStyle w:val="FootnoteReference"/>
          <w:rFonts w:ascii="Times New Roman" w:hAnsi="Times New Roman" w:cs="Times New Roman"/>
          <w:noProof/>
          <w:sz w:val="24"/>
          <w:szCs w:val="24"/>
          <w:lang w:val="ro-RO"/>
        </w:rPr>
        <w:footnoteReference w:id="34"/>
      </w:r>
      <w:r w:rsidRPr="000824E5">
        <w:rPr>
          <w:rFonts w:ascii="Times New Roman" w:hAnsi="Times New Roman"/>
          <w:noProof/>
          <w:sz w:val="24"/>
          <w:lang w:val="ro-RO"/>
        </w:rPr>
        <w:t xml:space="preserve"> și FAMENET pentru grupurile de acțiune locală.</w:t>
      </w:r>
    </w:p>
    <w:p w14:paraId="0846C6F4"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Privind în perspectivă, cadrul financiar multianual propus pentru perioada 2028-2034 oferă statelor membre și regiunilor noi oportunități de consolidare a comunităților costiere. Statele membre sunt încurajate </w:t>
      </w:r>
      <w:r w:rsidRPr="000824E5">
        <w:rPr>
          <w:rFonts w:ascii="Times New Roman" w:hAnsi="Times New Roman"/>
          <w:b/>
          <w:noProof/>
          <w:sz w:val="24"/>
          <w:lang w:val="ro-RO"/>
        </w:rPr>
        <w:t>să își alinieze planurile de parteneriat național și regional (PPNR) la obiectivele acestei strategii</w:t>
      </w:r>
      <w:r w:rsidRPr="000824E5">
        <w:rPr>
          <w:rFonts w:ascii="Times New Roman" w:hAnsi="Times New Roman"/>
          <w:noProof/>
          <w:sz w:val="24"/>
          <w:lang w:val="ro-RO"/>
        </w:rPr>
        <w:t xml:space="preserve"> și, în parteneriat cu autoritățile regionale și locale, să sprijine soluții bazate pe specificul teritorial, adaptate la nevoile locale. </w:t>
      </w:r>
      <w:r w:rsidRPr="000824E5">
        <w:rPr>
          <w:rFonts w:ascii="Times New Roman" w:hAnsi="Times New Roman"/>
          <w:b/>
          <w:noProof/>
          <w:sz w:val="24"/>
          <w:lang w:val="ro-RO"/>
        </w:rPr>
        <w:t>Fondul european pentru competitivitate (FEC)</w:t>
      </w:r>
      <w:r w:rsidRPr="000824E5">
        <w:rPr>
          <w:rStyle w:val="FootnoteReference"/>
          <w:rFonts w:ascii="Times New Roman" w:hAnsi="Times New Roman" w:cs="Times New Roman"/>
          <w:b/>
          <w:bCs/>
          <w:noProof/>
          <w:sz w:val="24"/>
          <w:szCs w:val="24"/>
          <w:lang w:val="ro-RO"/>
        </w:rPr>
        <w:footnoteReference w:id="35"/>
      </w:r>
      <w:r w:rsidRPr="000824E5">
        <w:rPr>
          <w:rFonts w:ascii="Times New Roman" w:hAnsi="Times New Roman"/>
          <w:noProof/>
          <w:sz w:val="24"/>
          <w:lang w:val="ro-RO"/>
        </w:rPr>
        <w:t xml:space="preserve"> propus ar putea sprijini, de asemenea, investițiile și inovarea în sectoarele economiei albastre durabile. </w:t>
      </w:r>
    </w:p>
    <w:p w14:paraId="1E4B3DE2"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În cadrul </w:t>
      </w:r>
      <w:r w:rsidRPr="000824E5">
        <w:rPr>
          <w:rFonts w:ascii="Times New Roman" w:hAnsi="Times New Roman"/>
          <w:b/>
          <w:noProof/>
          <w:sz w:val="24"/>
          <w:lang w:val="ro-RO"/>
        </w:rPr>
        <w:t>Parteneriatului pentru o economie albastră durabilă</w:t>
      </w:r>
      <w:r w:rsidRPr="000824E5">
        <w:rPr>
          <w:rStyle w:val="FootnoteReference"/>
          <w:rFonts w:ascii="Times New Roman" w:hAnsi="Times New Roman" w:cs="Times New Roman"/>
          <w:noProof/>
          <w:sz w:val="24"/>
          <w:szCs w:val="24"/>
          <w:lang w:val="ro-RO"/>
        </w:rPr>
        <w:footnoteReference w:id="36"/>
      </w:r>
      <w:r w:rsidRPr="000824E5">
        <w:rPr>
          <w:rFonts w:ascii="Times New Roman" w:hAnsi="Times New Roman"/>
          <w:noProof/>
          <w:sz w:val="24"/>
          <w:lang w:val="ro-RO"/>
        </w:rPr>
        <w:t xml:space="preserve"> din programul Orizont Europa, Comisia va aloca până în 2027 peste 450 de milioane EUR pentru peste 43 de proiecte de cercetare și inovare care sprijină o economie albastră neutră din punct de vedere climatic, durabilă și competitivă, inclusiv sprijin specific pentru comunități și întreprinderi costiere reziliente. Până la sfârșitul anului 2026, comunitățile locale și costiere vor fi, la rândul lor, implicate într-o cerere de sprijin tehnic pentru a contribui la pregătirea agendelor de tranziție în cadrul </w:t>
      </w:r>
      <w:r w:rsidRPr="000824E5">
        <w:rPr>
          <w:rFonts w:ascii="Times New Roman" w:hAnsi="Times New Roman"/>
          <w:b/>
          <w:noProof/>
          <w:sz w:val="24"/>
          <w:lang w:val="ro-RO"/>
        </w:rPr>
        <w:t>Misiunii „Refacerea oceanelor și a apelor noastre”</w:t>
      </w:r>
      <w:r w:rsidRPr="000824E5">
        <w:rPr>
          <w:rStyle w:val="FootnoteReference"/>
          <w:rFonts w:ascii="Times New Roman" w:hAnsi="Times New Roman" w:cs="Times New Roman"/>
          <w:noProof/>
          <w:sz w:val="24"/>
          <w:szCs w:val="24"/>
          <w:lang w:val="ro-RO"/>
        </w:rPr>
        <w:footnoteReference w:id="37"/>
      </w:r>
      <w:r w:rsidRPr="000824E5">
        <w:rPr>
          <w:rFonts w:ascii="Times New Roman" w:hAnsi="Times New Roman"/>
          <w:noProof/>
          <w:sz w:val="24"/>
          <w:lang w:val="ro-RO"/>
        </w:rPr>
        <w:t>, astfel încât proiectele și investițiile să reflecte nevoile locale.</w:t>
      </w:r>
    </w:p>
    <w:p w14:paraId="4791C644" w14:textId="77777777" w:rsidR="00660BFE" w:rsidRPr="000824E5" w:rsidRDefault="00660BFE" w:rsidP="00660BFE">
      <w:pPr>
        <w:pStyle w:val="ListParagraph"/>
        <w:numPr>
          <w:ilvl w:val="1"/>
          <w:numId w:val="1"/>
        </w:numPr>
        <w:spacing w:before="240" w:after="120" w:line="240" w:lineRule="auto"/>
        <w:ind w:left="1077"/>
        <w:jc w:val="both"/>
        <w:rPr>
          <w:rFonts w:ascii="Times New Roman" w:hAnsi="Times New Roman" w:cs="Times New Roman"/>
          <w:b/>
          <w:bCs/>
          <w:noProof/>
          <w:sz w:val="24"/>
          <w:szCs w:val="24"/>
          <w:lang w:val="ro-RO"/>
        </w:rPr>
      </w:pPr>
      <w:r w:rsidRPr="000824E5">
        <w:rPr>
          <w:rFonts w:ascii="Times New Roman" w:hAnsi="Times New Roman"/>
          <w:b/>
          <w:noProof/>
          <w:sz w:val="24"/>
          <w:lang w:val="ro-RO"/>
        </w:rPr>
        <w:t>Guvernanță</w:t>
      </w:r>
    </w:p>
    <w:p w14:paraId="3E6FFD43" w14:textId="77777777" w:rsidR="00660BFE" w:rsidRPr="000824E5" w:rsidRDefault="00660BFE" w:rsidP="00660BFE">
      <w:pPr>
        <w:spacing w:after="120" w:line="240" w:lineRule="auto"/>
        <w:jc w:val="both"/>
        <w:rPr>
          <w:rFonts w:ascii="Times New Roman" w:eastAsiaTheme="minorEastAsia" w:hAnsi="Times New Roman" w:cs="Times New Roman"/>
          <w:noProof/>
          <w:sz w:val="24"/>
          <w:szCs w:val="24"/>
          <w:lang w:val="ro-RO"/>
        </w:rPr>
      </w:pPr>
      <w:r w:rsidRPr="000824E5">
        <w:rPr>
          <w:rFonts w:ascii="Times New Roman" w:hAnsi="Times New Roman"/>
          <w:noProof/>
          <w:sz w:val="24"/>
          <w:lang w:val="ro-RO"/>
        </w:rPr>
        <w:t xml:space="preserve">Sprijinul eficace pentru comunitățile costiere depinde de o </w:t>
      </w:r>
      <w:r w:rsidRPr="000824E5">
        <w:rPr>
          <w:rFonts w:ascii="Times New Roman" w:hAnsi="Times New Roman"/>
          <w:b/>
          <w:noProof/>
          <w:sz w:val="24"/>
          <w:lang w:val="ro-RO"/>
        </w:rPr>
        <w:t>abordare solidă în materie de guvernanță pe mai multe niveluri</w:t>
      </w:r>
      <w:r w:rsidRPr="000824E5">
        <w:rPr>
          <w:rFonts w:ascii="Times New Roman" w:hAnsi="Times New Roman"/>
          <w:noProof/>
          <w:sz w:val="24"/>
          <w:lang w:val="ro-RO"/>
        </w:rPr>
        <w:t xml:space="preserve"> și de o colaborare strânsă între autoritățile locale, regionale, naționale și ale UE. Implicarea efectivă a actorilor locali și regionali în elaborarea și punerea în aplicare a politicilor este esențială pentru a reflecta nevoile locale și pentru a contribui la realizarea priorităților UE.</w:t>
      </w:r>
    </w:p>
    <w:p w14:paraId="6953D605" w14:textId="77777777" w:rsidR="00660BFE" w:rsidRPr="000824E5" w:rsidRDefault="00660BFE" w:rsidP="00660BFE">
      <w:pPr>
        <w:spacing w:after="120" w:line="240" w:lineRule="auto"/>
        <w:jc w:val="both"/>
        <w:rPr>
          <w:rFonts w:ascii="Times New Roman" w:eastAsiaTheme="minorEastAsia" w:hAnsi="Times New Roman" w:cs="Times New Roman"/>
          <w:noProof/>
          <w:color w:val="404040" w:themeColor="text1" w:themeTint="BF"/>
          <w:sz w:val="24"/>
          <w:szCs w:val="24"/>
          <w:lang w:val="ro-RO"/>
        </w:rPr>
      </w:pPr>
      <w:r w:rsidRPr="000824E5">
        <w:rPr>
          <w:rFonts w:ascii="Times New Roman" w:hAnsi="Times New Roman"/>
          <w:noProof/>
          <w:sz w:val="24"/>
          <w:lang w:val="ro-RO"/>
        </w:rPr>
        <w:t xml:space="preserve">UE a instituit structuri de cooperare teritorială și platforme de dialog care conectează comunitățile costiere cu autoritățile regionale și naționale, porturile, industria, mediul academic și societatea civilă, cum ar fi </w:t>
      </w:r>
      <w:r w:rsidRPr="000824E5">
        <w:rPr>
          <w:rFonts w:ascii="Times New Roman" w:hAnsi="Times New Roman"/>
          <w:b/>
          <w:noProof/>
          <w:sz w:val="24"/>
          <w:lang w:val="ro-RO"/>
        </w:rPr>
        <w:t>strategiile UE pentru bazinele maritime și strategiile macroregionale ale UE.</w:t>
      </w:r>
      <w:r w:rsidRPr="000824E5">
        <w:rPr>
          <w:rFonts w:ascii="Times New Roman" w:hAnsi="Times New Roman"/>
          <w:noProof/>
          <w:sz w:val="24"/>
          <w:lang w:val="ro-RO"/>
        </w:rPr>
        <w:t xml:space="preserve"> Aceste cadre contribuie la transpunerea priorităților UE în „soluții bazate pe specificul teritorial”, care consolidează durabilitatea mediului, diversificarea economică și lanțurile valorice regionale. </w:t>
      </w:r>
    </w:p>
    <w:p w14:paraId="5046601F" w14:textId="77777777" w:rsidR="00660BFE" w:rsidRPr="000824E5" w:rsidRDefault="00660BFE" w:rsidP="00660BFE">
      <w:pPr>
        <w:spacing w:after="120"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Până în 2027, Comisia și statele membre din zona Oceanului Atlantic vor lucra la actualizarea Strategiei maritime pentru zona Oceanului Atlantic, inclusiv la posibila elaborare a unui nou cadru macroregional pentru regiunea atlantică. În paralel, Comisia, împreună cu Uniunea pentru Mediterana și cu partenerii din estul Mării Mediterane, va elabora o nouă strategie pentru bazinul maritim, pentru a sprijini o economie albastră durabilă și competitivă în regiune.</w:t>
      </w:r>
    </w:p>
    <w:p w14:paraId="36E26B17"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Inițiative precum </w:t>
      </w:r>
      <w:r w:rsidRPr="000824E5">
        <w:rPr>
          <w:rFonts w:ascii="Times New Roman" w:hAnsi="Times New Roman"/>
          <w:b/>
          <w:noProof/>
          <w:sz w:val="24"/>
          <w:lang w:val="ro-RO"/>
        </w:rPr>
        <w:t>Ziua maritimă europeană</w:t>
      </w:r>
      <w:r w:rsidRPr="000824E5">
        <w:rPr>
          <w:rFonts w:ascii="Times New Roman" w:hAnsi="Times New Roman"/>
          <w:noProof/>
          <w:sz w:val="24"/>
          <w:lang w:val="ro-RO"/>
        </w:rPr>
        <w:t>, inclusiv campania anuală de evenimente locale „</w:t>
      </w:r>
      <w:r w:rsidRPr="000824E5">
        <w:rPr>
          <w:rFonts w:ascii="Times New Roman" w:hAnsi="Times New Roman"/>
          <w:b/>
          <w:noProof/>
          <w:sz w:val="24"/>
          <w:lang w:val="ro-RO"/>
        </w:rPr>
        <w:t>Ziua maritimă europeană în țara mea</w:t>
      </w:r>
      <w:r w:rsidRPr="000824E5">
        <w:rPr>
          <w:rFonts w:ascii="Times New Roman" w:hAnsi="Times New Roman"/>
          <w:noProof/>
          <w:sz w:val="24"/>
          <w:lang w:val="ro-RO"/>
        </w:rPr>
        <w:t xml:space="preserve">”, contribuie la conectarea comunităților locale la oportunitățile și politicile UE. </w:t>
      </w:r>
      <w:r w:rsidRPr="000824E5">
        <w:rPr>
          <w:rFonts w:ascii="Times New Roman" w:hAnsi="Times New Roman"/>
          <w:b/>
          <w:noProof/>
          <w:sz w:val="24"/>
          <w:lang w:val="ro-RO"/>
        </w:rPr>
        <w:t xml:space="preserve">Rețeaua „Orașe albastre” a Zilei maritime europene </w:t>
      </w:r>
      <w:r w:rsidRPr="000824E5">
        <w:rPr>
          <w:rFonts w:ascii="Times New Roman" w:hAnsi="Times New Roman"/>
          <w:noProof/>
          <w:sz w:val="24"/>
          <w:lang w:val="ro-RO"/>
        </w:rPr>
        <w:t xml:space="preserve">va consolida cooperarea dintre orașele costiere și portuare europene pentru a promova politici maritime durabile, inovarea și medii marine sănătoase. </w:t>
      </w:r>
    </w:p>
    <w:p w14:paraId="2733256D" w14:textId="77777777" w:rsidR="00660BFE" w:rsidRPr="000824E5" w:rsidRDefault="00660BFE" w:rsidP="00660BFE">
      <w:pPr>
        <w:spacing w:after="24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Totodată, colectarea de date socioeconomice și de mediu la nivel local privind comunitățile costiere continuă să prezinte lacune substanțiale. Pe baza definițiilor, clasificărilor și cadrelor armonizate existente pentru colectarea datelor statistice, Eurostat, împreună cu alte servicii ale Comisiei, va urmări să reducă aceste lacune, pentru a ajuta autoritățile locale și părțile interesate să orienteze mai bine măsurile, să stabilească prioritățile în materie de investiții și să consolideze reziliența.</w:t>
      </w:r>
    </w:p>
    <w:tbl>
      <w:tblPr>
        <w:tblStyle w:val="TableGrid"/>
        <w:tblW w:w="0" w:type="auto"/>
        <w:tblLook w:val="04A0" w:firstRow="1" w:lastRow="0" w:firstColumn="1" w:lastColumn="0" w:noHBand="0" w:noVBand="1"/>
      </w:tblPr>
      <w:tblGrid>
        <w:gridCol w:w="9016"/>
      </w:tblGrid>
      <w:tr w:rsidR="00660BFE" w:rsidRPr="000824E5" w14:paraId="082E03F8" w14:textId="77777777" w:rsidTr="008761F1">
        <w:trPr>
          <w:trHeight w:val="416"/>
        </w:trPr>
        <w:tc>
          <w:tcPr>
            <w:tcW w:w="9016" w:type="dxa"/>
            <w:shd w:val="clear" w:color="auto" w:fill="F2F2F2" w:themeFill="background1" w:themeFillShade="F2"/>
          </w:tcPr>
          <w:p w14:paraId="702F98CB" w14:textId="77777777" w:rsidR="00660BFE" w:rsidRPr="000824E5" w:rsidRDefault="00660BFE" w:rsidP="008761F1">
            <w:pPr>
              <w:spacing w:before="120" w:after="120"/>
              <w:jc w:val="both"/>
              <w:rPr>
                <w:rFonts w:ascii="Times New Roman" w:hAnsi="Times New Roman" w:cs="Times New Roman"/>
                <w:b/>
                <w:bCs/>
                <w:noProof/>
                <w:lang w:val="ro-RO"/>
              </w:rPr>
            </w:pPr>
            <w:r w:rsidRPr="000824E5">
              <w:rPr>
                <w:rFonts w:ascii="Times New Roman" w:hAnsi="Times New Roman"/>
                <w:b/>
                <w:noProof/>
                <w:u w:val="single"/>
                <w:lang w:val="ro-RO"/>
              </w:rPr>
              <w:t>Acțiune emblematică</w:t>
            </w:r>
            <w:r w:rsidRPr="000824E5">
              <w:rPr>
                <w:rFonts w:ascii="Times New Roman" w:hAnsi="Times New Roman"/>
                <w:b/>
                <w:noProof/>
                <w:lang w:val="ro-RO"/>
              </w:rPr>
              <w:t xml:space="preserve"> – Comisia: </w:t>
            </w:r>
          </w:p>
          <w:p w14:paraId="6D05878C" w14:textId="77777777" w:rsidR="00660BFE" w:rsidRPr="000824E5" w:rsidRDefault="00660BFE" w:rsidP="008761F1">
            <w:pPr>
              <w:pStyle w:val="ListParagraph"/>
              <w:numPr>
                <w:ilvl w:val="0"/>
                <w:numId w:val="24"/>
              </w:numPr>
              <w:spacing w:after="120"/>
              <w:ind w:left="357" w:hanging="357"/>
              <w:contextualSpacing w:val="0"/>
              <w:jc w:val="both"/>
              <w:rPr>
                <w:rFonts w:ascii="Times New Roman" w:hAnsi="Times New Roman" w:cs="Times New Roman"/>
                <w:i/>
                <w:iCs/>
                <w:noProof/>
                <w:lang w:val="ro-RO"/>
              </w:rPr>
            </w:pPr>
            <w:r w:rsidRPr="000824E5">
              <w:rPr>
                <w:rFonts w:ascii="Times New Roman" w:hAnsi="Times New Roman"/>
                <w:i/>
                <w:noProof/>
                <w:lang w:val="ro-RO"/>
              </w:rPr>
              <w:t xml:space="preserve">va actualiza </w:t>
            </w:r>
            <w:r w:rsidRPr="000824E5">
              <w:rPr>
                <w:rFonts w:ascii="Times New Roman" w:hAnsi="Times New Roman"/>
                <w:b/>
                <w:i/>
                <w:noProof/>
                <w:lang w:val="ro-RO"/>
              </w:rPr>
              <w:t>Strategia maritimă pentru zona Oceanului Atlantic</w:t>
            </w:r>
            <w:r w:rsidRPr="000824E5">
              <w:rPr>
                <w:rStyle w:val="FootnoteReference"/>
                <w:rFonts w:ascii="Times New Roman" w:eastAsia="Aptos" w:hAnsi="Times New Roman" w:cs="Times New Roman"/>
                <w:noProof/>
                <w:lang w:val="ro-RO"/>
              </w:rPr>
              <w:footnoteReference w:id="38"/>
            </w:r>
            <w:r w:rsidRPr="000824E5">
              <w:rPr>
                <w:rFonts w:ascii="Times New Roman" w:hAnsi="Times New Roman"/>
                <w:i/>
                <w:noProof/>
                <w:lang w:val="ro-RO"/>
              </w:rPr>
              <w:t xml:space="preserve"> împreună cu statele membre din zona Oceanului Atlantic, inclusiv analizând posibilitatea instituirii unui </w:t>
            </w:r>
            <w:r w:rsidRPr="000824E5">
              <w:rPr>
                <w:rFonts w:ascii="Times New Roman" w:hAnsi="Times New Roman"/>
                <w:b/>
                <w:i/>
                <w:noProof/>
                <w:lang w:val="ro-RO"/>
              </w:rPr>
              <w:t>nou cadru macroregional pentru zona Oceanului Atlantic</w:t>
            </w:r>
            <w:r w:rsidRPr="000824E5">
              <w:rPr>
                <w:rFonts w:ascii="Times New Roman" w:hAnsi="Times New Roman"/>
                <w:i/>
                <w:noProof/>
                <w:lang w:val="ro-RO"/>
              </w:rPr>
              <w:t xml:space="preserve">, și va prezenta, împreună cu Uniunea pentru Mediterana și cu partenerii din estul Mării Mediterane, o </w:t>
            </w:r>
            <w:r w:rsidRPr="000824E5">
              <w:rPr>
                <w:rFonts w:ascii="Times New Roman" w:hAnsi="Times New Roman"/>
                <w:b/>
                <w:i/>
                <w:noProof/>
                <w:lang w:val="ro-RO"/>
              </w:rPr>
              <w:t xml:space="preserve">nouă strategie pentru bazinul maritim din estul Mării Mediterane </w:t>
            </w:r>
            <w:r w:rsidRPr="000824E5">
              <w:rPr>
                <w:rFonts w:ascii="Times New Roman" w:hAnsi="Times New Roman"/>
                <w:i/>
                <w:noProof/>
                <w:lang w:val="ro-RO"/>
              </w:rPr>
              <w:t>pentru a sprijini o economie albastră durabilă și competitivă.</w:t>
            </w:r>
          </w:p>
        </w:tc>
      </w:tr>
    </w:tbl>
    <w:p w14:paraId="685AE92E" w14:textId="77777777" w:rsidR="00660BFE" w:rsidRPr="000824E5" w:rsidRDefault="00660BFE" w:rsidP="00660BFE">
      <w:pPr>
        <w:pStyle w:val="ListParagraph"/>
        <w:spacing w:after="0" w:line="240" w:lineRule="auto"/>
        <w:ind w:left="714"/>
        <w:jc w:val="both"/>
        <w:rPr>
          <w:rFonts w:ascii="Times New Roman" w:hAnsi="Times New Roman" w:cs="Times New Roman"/>
          <w:noProof/>
          <w:sz w:val="24"/>
          <w:szCs w:val="24"/>
          <w:lang w:val="ro-RO"/>
        </w:rPr>
      </w:pPr>
    </w:p>
    <w:p w14:paraId="02B06A5F" w14:textId="77777777" w:rsidR="00660BFE" w:rsidRPr="000824E5" w:rsidRDefault="00660BFE" w:rsidP="00660BFE">
      <w:pPr>
        <w:pStyle w:val="ListParagraph"/>
        <w:numPr>
          <w:ilvl w:val="0"/>
          <w:numId w:val="1"/>
        </w:numPr>
        <w:spacing w:before="600" w:after="120" w:line="240" w:lineRule="auto"/>
        <w:ind w:left="714" w:hanging="357"/>
        <w:jc w:val="both"/>
        <w:rPr>
          <w:rFonts w:ascii="Times New Roman" w:hAnsi="Times New Roman" w:cs="Times New Roman"/>
          <w:noProof/>
          <w:sz w:val="24"/>
          <w:szCs w:val="24"/>
          <w:lang w:val="ro-RO"/>
        </w:rPr>
      </w:pPr>
      <w:r w:rsidRPr="000824E5">
        <w:rPr>
          <w:rFonts w:ascii="Times New Roman" w:hAnsi="Times New Roman"/>
          <w:b/>
          <w:noProof/>
          <w:sz w:val="24"/>
          <w:lang w:val="ro-RO"/>
        </w:rPr>
        <w:t>Concluzii</w:t>
      </w:r>
    </w:p>
    <w:p w14:paraId="44ED7E20" w14:textId="77777777" w:rsidR="00660BFE" w:rsidRPr="000824E5" w:rsidRDefault="00660BFE" w:rsidP="00660BFE">
      <w:pPr>
        <w:spacing w:line="240" w:lineRule="auto"/>
        <w:jc w:val="both"/>
        <w:rPr>
          <w:rFonts w:ascii="Times New Roman" w:eastAsia="Times New Roman" w:hAnsi="Times New Roman" w:cs="Times New Roman"/>
          <w:noProof/>
          <w:sz w:val="24"/>
          <w:szCs w:val="24"/>
          <w:lang w:val="ro-RO"/>
        </w:rPr>
      </w:pPr>
      <w:r w:rsidRPr="000824E5">
        <w:rPr>
          <w:rFonts w:ascii="Times New Roman" w:hAnsi="Times New Roman"/>
          <w:noProof/>
          <w:sz w:val="24"/>
          <w:lang w:val="ro-RO"/>
        </w:rPr>
        <w:t xml:space="preserve">Comunitățile costiere din UE au un rol central în prosperitatea economică, reziliența la schimbările climatice și patrimoniul cultural ale UE. Strategia Comisiei pentru comunități costiere prospere, reziliente și favorabile unei bune calități a vieții prezintă principalele oportunități de </w:t>
      </w:r>
      <w:r w:rsidRPr="000824E5">
        <w:rPr>
          <w:rFonts w:ascii="Times New Roman" w:hAnsi="Times New Roman"/>
          <w:b/>
          <w:noProof/>
          <w:sz w:val="24"/>
          <w:lang w:val="ro-RO"/>
        </w:rPr>
        <w:t>consolidare</w:t>
      </w:r>
      <w:r w:rsidRPr="000824E5">
        <w:rPr>
          <w:rFonts w:ascii="Times New Roman" w:hAnsi="Times New Roman"/>
          <w:noProof/>
          <w:sz w:val="24"/>
          <w:lang w:val="ro-RO"/>
        </w:rPr>
        <w:t xml:space="preserve"> a acestor zone și de sprijinire a </w:t>
      </w:r>
      <w:r w:rsidRPr="000824E5">
        <w:rPr>
          <w:rFonts w:ascii="Times New Roman" w:hAnsi="Times New Roman"/>
          <w:b/>
          <w:noProof/>
          <w:sz w:val="24"/>
          <w:lang w:val="ro-RO"/>
        </w:rPr>
        <w:t>dezvoltării lor pe termen lung</w:t>
      </w:r>
      <w:r w:rsidRPr="000824E5">
        <w:rPr>
          <w:rFonts w:ascii="Times New Roman" w:hAnsi="Times New Roman"/>
          <w:noProof/>
          <w:sz w:val="24"/>
          <w:lang w:val="ro-RO"/>
        </w:rPr>
        <w:t xml:space="preserve">. Strategia pornește de la </w:t>
      </w:r>
      <w:r w:rsidRPr="000824E5">
        <w:rPr>
          <w:rFonts w:ascii="Times New Roman" w:hAnsi="Times New Roman"/>
          <w:b/>
          <w:noProof/>
          <w:sz w:val="24"/>
          <w:lang w:val="ro-RO"/>
        </w:rPr>
        <w:t>oameni</w:t>
      </w:r>
      <w:r w:rsidRPr="000824E5">
        <w:rPr>
          <w:rFonts w:ascii="Times New Roman" w:hAnsi="Times New Roman"/>
          <w:noProof/>
          <w:sz w:val="24"/>
          <w:lang w:val="ro-RO"/>
        </w:rPr>
        <w:t xml:space="preserve"> și oferă un </w:t>
      </w:r>
      <w:r w:rsidRPr="000824E5">
        <w:rPr>
          <w:rFonts w:ascii="Times New Roman" w:hAnsi="Times New Roman"/>
          <w:b/>
          <w:noProof/>
          <w:sz w:val="24"/>
          <w:lang w:val="ro-RO"/>
        </w:rPr>
        <w:t>cadru coerent pentru o mai bună coordonare a politicilor relevante ale UE</w:t>
      </w:r>
      <w:r w:rsidRPr="000824E5">
        <w:rPr>
          <w:rFonts w:ascii="Times New Roman" w:hAnsi="Times New Roman"/>
          <w:noProof/>
          <w:sz w:val="24"/>
          <w:lang w:val="ro-RO"/>
        </w:rPr>
        <w:t>. Totodată, aceasta valorifică sinergiile cu inițiativele existente, în special cu Strategia UE pentru insule și cu Strategia UE pentru regiunile ultraperiferice.</w:t>
      </w:r>
    </w:p>
    <w:p w14:paraId="660C73A2" w14:textId="77777777" w:rsidR="00660BFE" w:rsidRPr="000824E5" w:rsidRDefault="00660BFE" w:rsidP="00660BFE">
      <w:pPr>
        <w:spacing w:after="120" w:line="240" w:lineRule="auto"/>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Comisia va colabora cu statele membre pentru ca viitoarele politici și instrumente de finanțare să fie aliniate la nevoile specifice ale comunităților costiere și puse în aplicare în mod eficient. Comisia va convoca, împreună cu președinția Consiliului, o </w:t>
      </w:r>
      <w:r w:rsidRPr="000824E5">
        <w:rPr>
          <w:rFonts w:ascii="Times New Roman" w:hAnsi="Times New Roman"/>
          <w:b/>
          <w:noProof/>
          <w:sz w:val="24"/>
          <w:lang w:val="ro-RO"/>
        </w:rPr>
        <w:t>conferință la nivel înalt privind insulele și comunitățile costiere, la 26 iunie 2026,</w:t>
      </w:r>
      <w:r w:rsidRPr="000824E5">
        <w:rPr>
          <w:rFonts w:ascii="Times New Roman" w:hAnsi="Times New Roman"/>
          <w:noProof/>
          <w:sz w:val="24"/>
          <w:lang w:val="ro-RO"/>
        </w:rPr>
        <w:t xml:space="preserve"> pentru a demara punerea în aplicare a ambelor strategii.</w:t>
      </w:r>
    </w:p>
    <w:p w14:paraId="06BCEED0" w14:textId="77777777" w:rsidR="00660BFE" w:rsidRPr="000824E5" w:rsidRDefault="00660BFE" w:rsidP="00660BFE">
      <w:pPr>
        <w:jc w:val="both"/>
        <w:rPr>
          <w:rFonts w:ascii="Times New Roman" w:hAnsi="Times New Roman" w:cs="Times New Roman"/>
          <w:noProof/>
          <w:sz w:val="24"/>
          <w:szCs w:val="24"/>
          <w:lang w:val="ro-RO"/>
        </w:rPr>
      </w:pPr>
      <w:r w:rsidRPr="000824E5">
        <w:rPr>
          <w:rFonts w:ascii="Times New Roman" w:hAnsi="Times New Roman"/>
          <w:noProof/>
          <w:sz w:val="24"/>
          <w:lang w:val="ro-RO"/>
        </w:rPr>
        <w:t xml:space="preserve">Progresul de ansamblu va fi evaluat în mod transparent și periodic prin intermediul </w:t>
      </w:r>
      <w:r w:rsidRPr="000824E5">
        <w:rPr>
          <w:rFonts w:ascii="Times New Roman" w:hAnsi="Times New Roman"/>
          <w:b/>
          <w:noProof/>
          <w:sz w:val="24"/>
          <w:lang w:val="ro-RO"/>
        </w:rPr>
        <w:t>tabloului de bord al Pactului privind oceanul planetar</w:t>
      </w:r>
      <w:r w:rsidRPr="000824E5">
        <w:rPr>
          <w:rFonts w:ascii="Times New Roman" w:hAnsi="Times New Roman"/>
          <w:noProof/>
          <w:sz w:val="24"/>
          <w:lang w:val="ro-RO"/>
        </w:rPr>
        <w:t xml:space="preserve"> și al </w:t>
      </w:r>
      <w:r w:rsidRPr="000824E5">
        <w:rPr>
          <w:rFonts w:ascii="Times New Roman" w:hAnsi="Times New Roman"/>
          <w:b/>
          <w:noProof/>
          <w:sz w:val="24"/>
          <w:lang w:val="ro-RO"/>
        </w:rPr>
        <w:t>raportului privind starea Pactului privind oceanul planetar</w:t>
      </w:r>
      <w:r w:rsidRPr="000824E5">
        <w:rPr>
          <w:rFonts w:ascii="Times New Roman" w:hAnsi="Times New Roman"/>
          <w:noProof/>
          <w:sz w:val="24"/>
          <w:lang w:val="ro-RO"/>
        </w:rPr>
        <w:t>.</w:t>
      </w:r>
    </w:p>
    <w:sectPr w:rsidR="00660BFE" w:rsidRPr="000824E5" w:rsidSect="00E81CC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DBB67" w14:textId="77777777" w:rsidR="00BB4763" w:rsidRDefault="00BB4763" w:rsidP="00E81CCD">
      <w:pPr>
        <w:spacing w:after="0" w:line="240" w:lineRule="auto"/>
      </w:pPr>
      <w:r>
        <w:separator/>
      </w:r>
    </w:p>
  </w:endnote>
  <w:endnote w:type="continuationSeparator" w:id="0">
    <w:p w14:paraId="55582689" w14:textId="77777777" w:rsidR="00BB4763" w:rsidRDefault="00BB4763" w:rsidP="00E81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74AE8" w14:textId="4E3A483A" w:rsidR="00FA4376" w:rsidRPr="00FA4376" w:rsidRDefault="00FA4376" w:rsidP="00FA4376">
    <w:pPr>
      <w:pStyle w:val="FooterCoverPage"/>
      <w:rPr>
        <w:rFonts w:ascii="Arial" w:hAnsi="Arial" w:cs="Arial"/>
        <w:b/>
        <w:sz w:val="48"/>
      </w:rPr>
    </w:pPr>
    <w:r w:rsidRPr="00FA4376">
      <w:rPr>
        <w:rFonts w:ascii="Arial" w:hAnsi="Arial" w:cs="Arial"/>
        <w:b/>
        <w:sz w:val="48"/>
      </w:rPr>
      <w:t>RO</w:t>
    </w:r>
    <w:r w:rsidRPr="00FA4376">
      <w:rPr>
        <w:rFonts w:ascii="Arial" w:hAnsi="Arial" w:cs="Arial"/>
        <w:b/>
        <w:sz w:val="48"/>
      </w:rPr>
      <w:tab/>
    </w:r>
    <w:r w:rsidRPr="00FA4376">
      <w:rPr>
        <w:rFonts w:ascii="Arial" w:hAnsi="Arial" w:cs="Arial"/>
        <w:b/>
        <w:sz w:val="48"/>
      </w:rPr>
      <w:tab/>
    </w:r>
    <w:r w:rsidRPr="00FA4376">
      <w:tab/>
    </w:r>
    <w:r w:rsidRPr="00FA437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0EB78" w14:textId="4550AC46" w:rsidR="00FA4376" w:rsidRPr="00FA4376" w:rsidRDefault="00FA4376" w:rsidP="00FA4376">
    <w:pPr>
      <w:pStyle w:val="FooterCoverPage"/>
      <w:rPr>
        <w:rFonts w:ascii="Arial" w:hAnsi="Arial" w:cs="Arial"/>
        <w:b/>
        <w:sz w:val="48"/>
      </w:rPr>
    </w:pPr>
    <w:r w:rsidRPr="00FA4376">
      <w:rPr>
        <w:rFonts w:ascii="Arial" w:hAnsi="Arial" w:cs="Arial"/>
        <w:b/>
        <w:sz w:val="48"/>
      </w:rPr>
      <w:t>RO</w:t>
    </w:r>
    <w:r w:rsidRPr="00FA4376">
      <w:rPr>
        <w:rFonts w:ascii="Arial" w:hAnsi="Arial" w:cs="Arial"/>
        <w:b/>
        <w:sz w:val="48"/>
      </w:rPr>
      <w:tab/>
    </w:r>
    <w:r w:rsidRPr="00FA4376">
      <w:rPr>
        <w:rFonts w:ascii="Arial" w:hAnsi="Arial" w:cs="Arial"/>
        <w:b/>
        <w:sz w:val="48"/>
      </w:rPr>
      <w:tab/>
    </w:r>
    <w:r w:rsidRPr="00FA4376">
      <w:tab/>
    </w:r>
    <w:r w:rsidRPr="00FA437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95889" w14:textId="77777777" w:rsidR="00FA4376" w:rsidRPr="00FA4376" w:rsidRDefault="00FA4376" w:rsidP="00FA43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9EDDB" w14:textId="77777777" w:rsidR="00E81CCD" w:rsidRDefault="00E81C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549682"/>
      <w:docPartObj>
        <w:docPartGallery w:val="Page Numbers (Bottom of Page)"/>
        <w:docPartUnique/>
      </w:docPartObj>
    </w:sdtPr>
    <w:sdtEndPr>
      <w:rPr>
        <w:rFonts w:ascii="Times New Roman" w:hAnsi="Times New Roman" w:cs="Times New Roman"/>
        <w:noProof/>
        <w:sz w:val="18"/>
        <w:szCs w:val="18"/>
      </w:rPr>
    </w:sdtEndPr>
    <w:sdtContent>
      <w:p w14:paraId="5E5DAA03" w14:textId="77BCAC96" w:rsidR="00E836C2" w:rsidRPr="00E836C2" w:rsidRDefault="00E836C2">
        <w:pPr>
          <w:pStyle w:val="Footer"/>
          <w:jc w:val="center"/>
          <w:rPr>
            <w:rFonts w:ascii="Times New Roman" w:hAnsi="Times New Roman" w:cs="Times New Roman"/>
            <w:sz w:val="18"/>
            <w:szCs w:val="18"/>
          </w:rPr>
        </w:pPr>
        <w:r w:rsidRPr="00E836C2">
          <w:rPr>
            <w:rFonts w:ascii="Times New Roman" w:hAnsi="Times New Roman" w:cs="Times New Roman"/>
            <w:sz w:val="18"/>
            <w:szCs w:val="18"/>
          </w:rPr>
          <w:fldChar w:fldCharType="begin"/>
        </w:r>
        <w:r w:rsidRPr="00E836C2">
          <w:rPr>
            <w:rFonts w:ascii="Times New Roman" w:hAnsi="Times New Roman" w:cs="Times New Roman"/>
            <w:sz w:val="18"/>
            <w:szCs w:val="18"/>
          </w:rPr>
          <w:instrText xml:space="preserve"> PAGE   \* MERGEFORMAT </w:instrText>
        </w:r>
        <w:r w:rsidRPr="00E836C2">
          <w:rPr>
            <w:rFonts w:ascii="Times New Roman" w:hAnsi="Times New Roman" w:cs="Times New Roman"/>
            <w:sz w:val="18"/>
            <w:szCs w:val="18"/>
          </w:rPr>
          <w:fldChar w:fldCharType="separate"/>
        </w:r>
        <w:r w:rsidR="00FA4376">
          <w:rPr>
            <w:rFonts w:ascii="Times New Roman" w:hAnsi="Times New Roman" w:cs="Times New Roman"/>
            <w:noProof/>
            <w:sz w:val="18"/>
            <w:szCs w:val="18"/>
          </w:rPr>
          <w:t>1</w:t>
        </w:r>
        <w:r w:rsidRPr="00E836C2">
          <w:rPr>
            <w:rFonts w:ascii="Times New Roman" w:hAnsi="Times New Roman" w:cs="Times New Roman"/>
            <w:noProof/>
            <w:sz w:val="18"/>
            <w:szCs w:val="18"/>
          </w:rPr>
          <w:fldChar w:fldCharType="end"/>
        </w:r>
      </w:p>
    </w:sdtContent>
  </w:sdt>
  <w:p w14:paraId="07938ABF" w14:textId="77777777" w:rsidR="00E81CCD" w:rsidRDefault="00E81C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E9138" w14:textId="77777777" w:rsidR="00E81CCD" w:rsidRDefault="00E81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E5F93" w14:textId="77777777" w:rsidR="00BB4763" w:rsidRDefault="00BB4763" w:rsidP="00E81CCD">
      <w:pPr>
        <w:spacing w:after="0" w:line="240" w:lineRule="auto"/>
      </w:pPr>
      <w:r>
        <w:separator/>
      </w:r>
    </w:p>
  </w:footnote>
  <w:footnote w:type="continuationSeparator" w:id="0">
    <w:p w14:paraId="03FB7CCD" w14:textId="77777777" w:rsidR="00BB4763" w:rsidRDefault="00BB4763" w:rsidP="00E81CCD">
      <w:pPr>
        <w:spacing w:after="0" w:line="240" w:lineRule="auto"/>
      </w:pPr>
      <w:r>
        <w:continuationSeparator/>
      </w:r>
    </w:p>
  </w:footnote>
  <w:footnote w:id="1">
    <w:p w14:paraId="192256B0"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COM(2025) 281 final.</w:t>
      </w:r>
    </w:p>
  </w:footnote>
  <w:footnote w:id="2">
    <w:p w14:paraId="55646F75"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COM(2026) 520 final.</w:t>
      </w:r>
    </w:p>
  </w:footnote>
  <w:footnote w:id="3">
    <w:p w14:paraId="0914CD53"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Inclusiv </w:t>
      </w:r>
      <w:hyperlink r:id="rId1" w:history="1">
        <w:r w:rsidRPr="000824E5">
          <w:rPr>
            <w:rStyle w:val="Hyperlink"/>
            <w:rFonts w:ascii="Times New Roman" w:hAnsi="Times New Roman" w:cs="Times New Roman"/>
            <w:sz w:val="16"/>
            <w:szCs w:val="16"/>
            <w:lang w:val="ro-RO"/>
          </w:rPr>
          <w:t>cererea de contribuții</w:t>
        </w:r>
      </w:hyperlink>
      <w:r w:rsidRPr="000824E5">
        <w:rPr>
          <w:rFonts w:ascii="Times New Roman" w:hAnsi="Times New Roman" w:cs="Times New Roman"/>
          <w:sz w:val="16"/>
          <w:szCs w:val="16"/>
          <w:lang w:val="ro-RO"/>
        </w:rPr>
        <w:t xml:space="preserve">, atelierele și </w:t>
      </w:r>
      <w:hyperlink r:id="rId2" w:history="1">
        <w:r w:rsidRPr="000824E5">
          <w:rPr>
            <w:rStyle w:val="Hyperlink"/>
            <w:rFonts w:ascii="Times New Roman" w:hAnsi="Times New Roman" w:cs="Times New Roman"/>
            <w:sz w:val="16"/>
            <w:szCs w:val="16"/>
            <w:lang w:val="ro-RO"/>
          </w:rPr>
          <w:t>sesiunea</w:t>
        </w:r>
      </w:hyperlink>
      <w:r w:rsidRPr="000824E5">
        <w:rPr>
          <w:rFonts w:ascii="Times New Roman" w:hAnsi="Times New Roman" w:cs="Times New Roman"/>
          <w:sz w:val="16"/>
          <w:szCs w:val="16"/>
          <w:lang w:val="ro-RO"/>
        </w:rPr>
        <w:t xml:space="preserve"> din cadrul Zilelor oceanelor, precum și un </w:t>
      </w:r>
      <w:hyperlink r:id="rId3" w:history="1">
        <w:r w:rsidRPr="000824E5">
          <w:rPr>
            <w:rStyle w:val="Hyperlink"/>
            <w:rFonts w:ascii="Times New Roman" w:hAnsi="Times New Roman" w:cs="Times New Roman"/>
            <w:sz w:val="16"/>
            <w:szCs w:val="16"/>
            <w:lang w:val="ro-RO"/>
          </w:rPr>
          <w:t>studiu specific</w:t>
        </w:r>
      </w:hyperlink>
      <w:r w:rsidRPr="000824E5">
        <w:rPr>
          <w:rFonts w:ascii="Times New Roman" w:hAnsi="Times New Roman" w:cs="Times New Roman"/>
          <w:sz w:val="16"/>
          <w:szCs w:val="16"/>
          <w:lang w:val="ro-RO"/>
        </w:rPr>
        <w:t>.</w:t>
      </w:r>
    </w:p>
  </w:footnote>
  <w:footnote w:id="4">
    <w:p w14:paraId="7E159941"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Date din 2023 din </w:t>
      </w:r>
      <w:hyperlink r:id="rId4" w:history="1">
        <w:r w:rsidRPr="000824E5">
          <w:rPr>
            <w:rStyle w:val="Hyperlink"/>
            <w:rFonts w:ascii="Times New Roman" w:hAnsi="Times New Roman" w:cs="Times New Roman"/>
            <w:sz w:val="16"/>
            <w:szCs w:val="16"/>
            <w:lang w:val="ro-RO"/>
          </w:rPr>
          <w:t>Raportul privind economia albastră 2025</w:t>
        </w:r>
      </w:hyperlink>
      <w:r w:rsidRPr="000824E5">
        <w:rPr>
          <w:rFonts w:ascii="Times New Roman" w:hAnsi="Times New Roman" w:cs="Times New Roman"/>
          <w:sz w:val="16"/>
          <w:szCs w:val="16"/>
          <w:lang w:val="ro-RO"/>
        </w:rPr>
        <w:t xml:space="preserve"> și, respectiv, din </w:t>
      </w:r>
      <w:hyperlink r:id="rId5" w:history="1">
        <w:r w:rsidRPr="000824E5">
          <w:rPr>
            <w:rStyle w:val="Hyperlink"/>
            <w:rFonts w:ascii="Times New Roman" w:hAnsi="Times New Roman" w:cs="Times New Roman"/>
            <w:sz w:val="16"/>
            <w:szCs w:val="16"/>
            <w:lang w:val="ro-RO"/>
          </w:rPr>
          <w:t>The next wave of blue growth – Investor report 2026 (Următorul val de creștere al economiei albastre – Raport pentru investitori 2026)</w:t>
        </w:r>
      </w:hyperlink>
      <w:r w:rsidRPr="000824E5">
        <w:rPr>
          <w:rFonts w:ascii="Times New Roman" w:hAnsi="Times New Roman" w:cs="Times New Roman"/>
          <w:sz w:val="16"/>
          <w:szCs w:val="16"/>
          <w:lang w:val="ro-RO"/>
        </w:rPr>
        <w:t xml:space="preserve">. </w:t>
      </w:r>
    </w:p>
  </w:footnote>
  <w:footnote w:id="5">
    <w:p w14:paraId="1DA543FB"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6" w:history="1">
        <w:r w:rsidRPr="000824E5">
          <w:rPr>
            <w:rStyle w:val="Hyperlink"/>
            <w:rFonts w:ascii="Times New Roman" w:hAnsi="Times New Roman" w:cs="Times New Roman"/>
            <w:sz w:val="16"/>
            <w:szCs w:val="16"/>
            <w:lang w:val="ro-RO"/>
          </w:rPr>
          <w:t>Inforegio – Economia albastră durabilă</w:t>
        </w:r>
      </w:hyperlink>
      <w:r w:rsidRPr="000824E5">
        <w:rPr>
          <w:rFonts w:ascii="Times New Roman" w:hAnsi="Times New Roman" w:cs="Times New Roman"/>
          <w:sz w:val="16"/>
          <w:szCs w:val="16"/>
          <w:lang w:val="ro-RO"/>
        </w:rPr>
        <w:t>.</w:t>
      </w:r>
    </w:p>
  </w:footnote>
  <w:footnote w:id="6">
    <w:p w14:paraId="682DC747"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Respectiv COM(2026) 112 și COM(2026) 111.</w:t>
      </w:r>
    </w:p>
  </w:footnote>
  <w:footnote w:id="7">
    <w:p w14:paraId="3F42D97E"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SWD(2026) 120 final. </w:t>
      </w:r>
    </w:p>
  </w:footnote>
  <w:footnote w:id="8">
    <w:p w14:paraId="029E836E"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Sectorul turismului costier a asigurat locuri de muncă pentru peste 2,7 milioane de persoane și a generat o valoare adăugată brută de 93 de miliarde EUR (</w:t>
      </w:r>
      <w:hyperlink r:id="rId7" w:history="1">
        <w:r w:rsidRPr="000824E5">
          <w:rPr>
            <w:rStyle w:val="Hyperlink"/>
            <w:rFonts w:ascii="Times New Roman" w:hAnsi="Times New Roman" w:cs="Times New Roman"/>
            <w:sz w:val="16"/>
            <w:szCs w:val="16"/>
            <w:lang w:val="ro-RO"/>
          </w:rPr>
          <w:t>Observatorul economiei albastre al UE</w:t>
        </w:r>
      </w:hyperlink>
      <w:r w:rsidRPr="000824E5">
        <w:rPr>
          <w:rFonts w:ascii="Times New Roman" w:hAnsi="Times New Roman" w:cs="Times New Roman"/>
          <w:sz w:val="16"/>
          <w:szCs w:val="16"/>
          <w:lang w:val="ro-RO"/>
        </w:rPr>
        <w:t>). Date din 2023.</w:t>
      </w:r>
    </w:p>
  </w:footnote>
  <w:footnote w:id="9">
    <w:p w14:paraId="1624BF79"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8" w:history="1">
        <w:r w:rsidRPr="000824E5">
          <w:rPr>
            <w:rStyle w:val="Hyperlink"/>
            <w:rFonts w:ascii="Times New Roman" w:hAnsi="Times New Roman" w:cs="Times New Roman"/>
            <w:sz w:val="16"/>
            <w:szCs w:val="16"/>
            <w:lang w:val="ro-RO"/>
          </w:rPr>
          <w:t>OceanEye:</w:t>
        </w:r>
      </w:hyperlink>
      <w:hyperlink r:id="rId9" w:history="1">
        <w:r w:rsidRPr="000824E5">
          <w:rPr>
            <w:rStyle w:val="Hyperlink"/>
            <w:rFonts w:ascii="Times New Roman" w:hAnsi="Times New Roman" w:cs="Times New Roman"/>
            <w:sz w:val="16"/>
            <w:szCs w:val="16"/>
            <w:lang w:val="ro-RO"/>
          </w:rPr>
          <w:t xml:space="preserve"> Consolidarea observării și protecției oceanelor – Comisia Europeană</w:t>
        </w:r>
      </w:hyperlink>
      <w:r w:rsidRPr="000824E5">
        <w:rPr>
          <w:rFonts w:ascii="Times New Roman" w:hAnsi="Times New Roman" w:cs="Times New Roman"/>
          <w:sz w:val="16"/>
          <w:szCs w:val="16"/>
          <w:lang w:val="ro-RO"/>
        </w:rPr>
        <w:t>.</w:t>
      </w:r>
    </w:p>
  </w:footnote>
  <w:footnote w:id="10">
    <w:p w14:paraId="1AD23464"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10" w:history="1">
        <w:r w:rsidRPr="000824E5">
          <w:rPr>
            <w:rStyle w:val="Hyperlink"/>
            <w:rFonts w:ascii="Times New Roman" w:hAnsi="Times New Roman" w:cs="Times New Roman"/>
            <w:sz w:val="16"/>
            <w:szCs w:val="16"/>
            <w:lang w:val="ro-RO"/>
          </w:rPr>
          <w:t>Destinația Pământ</w:t>
        </w:r>
      </w:hyperlink>
      <w:r w:rsidRPr="000824E5">
        <w:rPr>
          <w:rFonts w:ascii="Times New Roman" w:hAnsi="Times New Roman" w:cs="Times New Roman"/>
          <w:sz w:val="16"/>
          <w:szCs w:val="16"/>
          <w:lang w:val="ro-RO"/>
        </w:rPr>
        <w:t>.</w:t>
      </w:r>
    </w:p>
  </w:footnote>
  <w:footnote w:id="11">
    <w:p w14:paraId="0D30A9FC"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COM/2025/374 final.</w:t>
      </w:r>
    </w:p>
  </w:footnote>
  <w:footnote w:id="12">
    <w:p w14:paraId="1EF5F13B"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Regulamentul (UE) 2018/841.</w:t>
      </w:r>
    </w:p>
  </w:footnote>
  <w:footnote w:id="13">
    <w:p w14:paraId="5C341F40"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COM(2026) 174 final. Al doilea raport care prezintă progresele înregistrate în punerea în aplicare a Directivei 2014/89/UE.</w:t>
      </w:r>
    </w:p>
  </w:footnote>
  <w:footnote w:id="14">
    <w:p w14:paraId="569FCAA4"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COM(2020) 741 final.</w:t>
      </w:r>
    </w:p>
  </w:footnote>
  <w:footnote w:id="15">
    <w:p w14:paraId="4B2DE11A"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11" w:history="1">
        <w:r w:rsidRPr="000824E5">
          <w:rPr>
            <w:rStyle w:val="Hyperlink"/>
            <w:rFonts w:ascii="Times New Roman" w:hAnsi="Times New Roman" w:cs="Times New Roman"/>
            <w:sz w:val="16"/>
            <w:szCs w:val="16"/>
            <w:lang w:val="ro-RO"/>
          </w:rPr>
          <w:t>DLRC în domeniul pescuitului și al comunităților costiere</w:t>
        </w:r>
      </w:hyperlink>
      <w:r w:rsidRPr="000824E5">
        <w:rPr>
          <w:rFonts w:ascii="Times New Roman" w:hAnsi="Times New Roman" w:cs="Times New Roman"/>
          <w:sz w:val="16"/>
          <w:szCs w:val="16"/>
          <w:lang w:val="ro-RO"/>
        </w:rPr>
        <w:t>: Realizări și învățăminte desprinse. FAMENET, 2025.</w:t>
      </w:r>
    </w:p>
  </w:footnote>
  <w:footnote w:id="16">
    <w:p w14:paraId="3A216F06"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12" w:history="1">
        <w:r w:rsidRPr="000824E5">
          <w:rPr>
            <w:rStyle w:val="Hyperlink"/>
            <w:rFonts w:ascii="Times New Roman" w:hAnsi="Times New Roman" w:cs="Times New Roman"/>
            <w:sz w:val="16"/>
            <w:szCs w:val="16"/>
            <w:lang w:val="ro-RO"/>
          </w:rPr>
          <w:t>European Climate Risk Assessment (Evaluarea europeană a riscurilor climatice) – Agenția Europeană de Mediu</w:t>
        </w:r>
      </w:hyperlink>
      <w:r w:rsidRPr="000824E5">
        <w:rPr>
          <w:rFonts w:ascii="Times New Roman" w:hAnsi="Times New Roman" w:cs="Times New Roman"/>
          <w:sz w:val="16"/>
          <w:szCs w:val="16"/>
          <w:lang w:val="ro-RO"/>
        </w:rPr>
        <w:t>.</w:t>
      </w:r>
    </w:p>
  </w:footnote>
  <w:footnote w:id="17">
    <w:p w14:paraId="2FAD0515"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13" w:history="1">
        <w:r w:rsidRPr="000824E5">
          <w:rPr>
            <w:rStyle w:val="Hyperlink"/>
            <w:rFonts w:ascii="Times New Roman" w:hAnsi="Times New Roman" w:cs="Times New Roman"/>
            <w:sz w:val="16"/>
            <w:szCs w:val="16"/>
            <w:lang w:val="ro-RO"/>
          </w:rPr>
          <w:t>JRC PESETA IV – Sarcina 6</w:t>
        </w:r>
      </w:hyperlink>
      <w:r w:rsidRPr="000824E5">
        <w:rPr>
          <w:rFonts w:ascii="Times New Roman" w:hAnsi="Times New Roman" w:cs="Times New Roman"/>
          <w:sz w:val="16"/>
          <w:szCs w:val="16"/>
          <w:lang w:val="ro-RO"/>
        </w:rPr>
        <w:t>.</w:t>
      </w:r>
    </w:p>
  </w:footnote>
  <w:footnote w:id="18">
    <w:p w14:paraId="1BA8D08C"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14" w:history="1">
        <w:r w:rsidRPr="000824E5">
          <w:rPr>
            <w:rStyle w:val="Hyperlink"/>
            <w:rFonts w:ascii="Times New Roman" w:hAnsi="Times New Roman" w:cs="Times New Roman"/>
            <w:sz w:val="16"/>
            <w:szCs w:val="16"/>
            <w:lang w:val="ro-RO"/>
          </w:rPr>
          <w:t>Raportul Programului Organizației Națiunilor Unite pentru Mediu (UNEP) din 2023 privind decalajul în materie de adaptare</w:t>
        </w:r>
      </w:hyperlink>
      <w:r w:rsidRPr="000824E5">
        <w:rPr>
          <w:rFonts w:ascii="Times New Roman" w:hAnsi="Times New Roman" w:cs="Times New Roman"/>
          <w:sz w:val="16"/>
          <w:szCs w:val="16"/>
          <w:lang w:val="ro-RO"/>
        </w:rPr>
        <w:t>.</w:t>
      </w:r>
    </w:p>
  </w:footnote>
  <w:footnote w:id="19">
    <w:p w14:paraId="36553D23"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COM(2021) 82 final, în care adaptarea locală este identificată ca fiind una dintre cele trei priorități transversale.</w:t>
      </w:r>
    </w:p>
  </w:footnote>
  <w:footnote w:id="20">
    <w:p w14:paraId="7F173CFB"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15" w:history="1">
        <w:r w:rsidRPr="000824E5">
          <w:rPr>
            <w:rStyle w:val="Hyperlink"/>
            <w:rFonts w:ascii="Times New Roman" w:hAnsi="Times New Roman" w:cs="Times New Roman"/>
            <w:sz w:val="16"/>
            <w:szCs w:val="16"/>
            <w:lang w:val="ro-RO"/>
          </w:rPr>
          <w:t>Misiunea UE „Adaptarea la schimbările climatice”</w:t>
        </w:r>
      </w:hyperlink>
      <w:r w:rsidRPr="000824E5">
        <w:rPr>
          <w:rFonts w:ascii="Times New Roman" w:hAnsi="Times New Roman" w:cs="Times New Roman"/>
          <w:sz w:val="16"/>
          <w:szCs w:val="16"/>
          <w:lang w:val="ro-RO"/>
        </w:rPr>
        <w:t xml:space="preserve"> și </w:t>
      </w:r>
      <w:hyperlink r:id="rId16" w:history="1">
        <w:r w:rsidRPr="000824E5">
          <w:rPr>
            <w:rStyle w:val="Hyperlink"/>
            <w:rFonts w:ascii="Times New Roman" w:hAnsi="Times New Roman" w:cs="Times New Roman"/>
            <w:sz w:val="16"/>
            <w:szCs w:val="16"/>
            <w:lang w:val="ro-RO"/>
          </w:rPr>
          <w:t>Misiunea UE</w:t>
        </w:r>
      </w:hyperlink>
      <w:r w:rsidRPr="000824E5">
        <w:rPr>
          <w:rFonts w:ascii="Times New Roman" w:hAnsi="Times New Roman" w:cs="Times New Roman"/>
          <w:sz w:val="16"/>
          <w:szCs w:val="16"/>
          <w:u w:val="single"/>
        </w:rPr>
        <w:t>:</w:t>
      </w:r>
      <w:hyperlink r:id="rId17" w:history="1">
        <w:r w:rsidRPr="000824E5">
          <w:rPr>
            <w:rStyle w:val="Hyperlink"/>
            <w:rFonts w:ascii="Times New Roman" w:hAnsi="Times New Roman" w:cs="Times New Roman"/>
            <w:sz w:val="16"/>
            <w:szCs w:val="16"/>
            <w:lang w:val="ro-RO"/>
          </w:rPr>
          <w:t xml:space="preserve"> Refacerea oceanelor și a apelor noastre</w:t>
        </w:r>
      </w:hyperlink>
      <w:r w:rsidRPr="000824E5">
        <w:rPr>
          <w:rFonts w:ascii="Times New Roman" w:hAnsi="Times New Roman" w:cs="Times New Roman"/>
          <w:sz w:val="16"/>
          <w:szCs w:val="16"/>
          <w:lang w:val="ro-RO"/>
        </w:rPr>
        <w:t xml:space="preserve">. </w:t>
      </w:r>
    </w:p>
  </w:footnote>
  <w:footnote w:id="21">
    <w:p w14:paraId="398B5E26"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18">
        <w:r w:rsidRPr="000824E5">
          <w:rPr>
            <w:rStyle w:val="Hyperlink"/>
            <w:rFonts w:ascii="Times New Roman" w:hAnsi="Times New Roman" w:cs="Times New Roman"/>
            <w:sz w:val="16"/>
            <w:szCs w:val="16"/>
            <w:lang w:val="ro-RO"/>
          </w:rPr>
          <w:t>JASPERS – Asistență comună în vederea sprijinirii proiectelor în regiunile europene</w:t>
        </w:r>
      </w:hyperlink>
      <w:r w:rsidRPr="000824E5">
        <w:rPr>
          <w:rFonts w:ascii="Times New Roman" w:hAnsi="Times New Roman" w:cs="Times New Roman"/>
          <w:sz w:val="16"/>
          <w:szCs w:val="16"/>
          <w:lang w:val="ro-RO"/>
        </w:rPr>
        <w:t>.</w:t>
      </w:r>
    </w:p>
  </w:footnote>
  <w:footnote w:id="22">
    <w:p w14:paraId="32A7A01D" w14:textId="77777777" w:rsidR="00660BFE" w:rsidRPr="000824E5" w:rsidRDefault="00660BFE" w:rsidP="00660BFE">
      <w:pPr>
        <w:pStyle w:val="FootnoteText"/>
        <w:widowControl w:val="0"/>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19" w:history="1">
        <w:r w:rsidRPr="000824E5">
          <w:rPr>
            <w:rStyle w:val="Hyperlink"/>
            <w:rFonts w:ascii="Times New Roman" w:hAnsi="Times New Roman" w:cs="Times New Roman"/>
            <w:sz w:val="16"/>
            <w:szCs w:val="16"/>
            <w:lang w:val="ro-RO"/>
          </w:rPr>
          <w:t>CoastWAVE 2.0 |</w:t>
        </w:r>
      </w:hyperlink>
      <w:hyperlink r:id="rId20" w:history="1">
        <w:r w:rsidRPr="000824E5">
          <w:rPr>
            <w:rStyle w:val="Hyperlink"/>
            <w:rFonts w:ascii="Times New Roman" w:hAnsi="Times New Roman" w:cs="Times New Roman"/>
            <w:sz w:val="16"/>
            <w:szCs w:val="16"/>
            <w:lang w:val="ro-RO"/>
          </w:rPr>
          <w:t xml:space="preserve"> UCP Knowledge Network (Rețeaua de cunoștințe privind mecanismul de protecție civilă al Uniunii)</w:t>
        </w:r>
      </w:hyperlink>
      <w:r w:rsidRPr="000824E5">
        <w:rPr>
          <w:rFonts w:ascii="Times New Roman" w:hAnsi="Times New Roman" w:cs="Times New Roman"/>
          <w:sz w:val="16"/>
          <w:szCs w:val="16"/>
          <w:lang w:val="ro-RO"/>
        </w:rPr>
        <w:t>.</w:t>
      </w:r>
    </w:p>
  </w:footnote>
  <w:footnote w:id="23">
    <w:p w14:paraId="63B636E0" w14:textId="77777777" w:rsidR="00660BFE" w:rsidRPr="000824E5" w:rsidRDefault="00660BFE" w:rsidP="00660BFE">
      <w:pPr>
        <w:pStyle w:val="FootnoteText"/>
        <w:widowControl w:val="0"/>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21" w:history="1">
        <w:r w:rsidRPr="000824E5">
          <w:rPr>
            <w:rStyle w:val="Hyperlink"/>
            <w:rFonts w:ascii="Times New Roman" w:hAnsi="Times New Roman" w:cs="Times New Roman"/>
            <w:sz w:val="16"/>
            <w:szCs w:val="16"/>
            <w:lang w:val="ro-RO"/>
          </w:rPr>
          <w:t>The EU’s Environment 2025 (Mediul în UE 2025)</w:t>
        </w:r>
        <w:r w:rsidRPr="000824E5">
          <w:rPr>
            <w:rStyle w:val="Hyperlink"/>
            <w:rFonts w:ascii="Times New Roman" w:hAnsi="Times New Roman" w:cs="Times New Roman"/>
            <w:sz w:val="16"/>
            <w:szCs w:val="16"/>
            <w:u w:val="none"/>
            <w:lang w:val="ro-RO"/>
          </w:rPr>
          <w:t>,</w:t>
        </w:r>
      </w:hyperlink>
      <w:r w:rsidRPr="000824E5">
        <w:rPr>
          <w:rFonts w:ascii="Times New Roman" w:hAnsi="Times New Roman" w:cs="Times New Roman"/>
          <w:sz w:val="16"/>
          <w:szCs w:val="16"/>
          <w:lang w:val="ro-RO"/>
        </w:rPr>
        <w:t xml:space="preserve"> AEM, 2025 și </w:t>
      </w:r>
      <w:hyperlink r:id="rId22" w:history="1">
        <w:r w:rsidRPr="000824E5">
          <w:rPr>
            <w:rStyle w:val="Hyperlink"/>
            <w:rFonts w:ascii="Times New Roman" w:hAnsi="Times New Roman" w:cs="Times New Roman"/>
            <w:sz w:val="16"/>
            <w:szCs w:val="16"/>
            <w:lang w:val="ro-RO"/>
          </w:rPr>
          <w:t>Copernicus Marine Ocean State Report (OSR) (Raportul Copernicus Marine privind starea oceanelor)</w:t>
        </w:r>
      </w:hyperlink>
      <w:r w:rsidRPr="000824E5">
        <w:rPr>
          <w:rFonts w:ascii="Times New Roman" w:hAnsi="Times New Roman" w:cs="Times New Roman"/>
          <w:sz w:val="16"/>
          <w:szCs w:val="16"/>
          <w:lang w:val="ro-RO"/>
        </w:rPr>
        <w:t>.</w:t>
      </w:r>
    </w:p>
  </w:footnote>
  <w:footnote w:id="24">
    <w:p w14:paraId="60640E02" w14:textId="77777777" w:rsidR="00660BFE" w:rsidRPr="000824E5" w:rsidRDefault="00660BFE" w:rsidP="00660BFE">
      <w:pPr>
        <w:pStyle w:val="FootnoteText"/>
        <w:widowControl w:val="0"/>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Directiva 79/409/CEE, Directiva 92/43/CEE a Consiliului, Directiva 2008/56/CE și Regulamentul (UE) 2024/1991.</w:t>
      </w:r>
    </w:p>
  </w:footnote>
  <w:footnote w:id="25">
    <w:p w14:paraId="797A4C5F"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23" w:history="1">
        <w:r w:rsidRPr="000824E5">
          <w:rPr>
            <w:rStyle w:val="Hyperlink"/>
            <w:rFonts w:ascii="Times New Roman" w:hAnsi="Times New Roman" w:cs="Times New Roman"/>
            <w:sz w:val="16"/>
            <w:szCs w:val="16"/>
            <w:lang w:val="ro-RO"/>
          </w:rPr>
          <w:t>Misiunea UE:</w:t>
        </w:r>
      </w:hyperlink>
      <w:hyperlink r:id="rId24" w:history="1">
        <w:r w:rsidRPr="000824E5">
          <w:rPr>
            <w:rStyle w:val="Hyperlink"/>
            <w:rFonts w:ascii="Times New Roman" w:hAnsi="Times New Roman" w:cs="Times New Roman"/>
            <w:sz w:val="16"/>
            <w:szCs w:val="16"/>
            <w:lang w:val="ro-RO"/>
          </w:rPr>
          <w:t xml:space="preserve"> Un pact al solului pentru Europa</w:t>
        </w:r>
      </w:hyperlink>
      <w:r w:rsidRPr="000824E5">
        <w:rPr>
          <w:rFonts w:ascii="Times New Roman" w:hAnsi="Times New Roman" w:cs="Times New Roman"/>
          <w:sz w:val="16"/>
          <w:szCs w:val="16"/>
          <w:lang w:val="ro-RO"/>
        </w:rPr>
        <w:t>.</w:t>
      </w:r>
    </w:p>
  </w:footnote>
  <w:footnote w:id="26">
    <w:p w14:paraId="63D0DD0F"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În conformitate cu viitoarea </w:t>
      </w:r>
      <w:hyperlink r:id="rId25" w:history="1">
        <w:r w:rsidRPr="000824E5">
          <w:rPr>
            <w:rStyle w:val="Hyperlink"/>
            <w:rFonts w:ascii="Times New Roman" w:hAnsi="Times New Roman" w:cs="Times New Roman"/>
            <w:sz w:val="16"/>
            <w:szCs w:val="16"/>
            <w:lang w:val="ro-RO"/>
          </w:rPr>
          <w:t>Strategie privind dreptul de a rămâne pe teritoriu.</w:t>
        </w:r>
      </w:hyperlink>
    </w:p>
  </w:footnote>
  <w:footnote w:id="27">
    <w:p w14:paraId="5EBD6EBA"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COM/2021/345 final.</w:t>
      </w:r>
    </w:p>
  </w:footnote>
  <w:footnote w:id="28">
    <w:p w14:paraId="244DAD17"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SWD(2025) 1053/2 – Understanding the housing crisis (Înțelegerea crizei locuințelor).</w:t>
      </w:r>
    </w:p>
  </w:footnote>
  <w:footnote w:id="29">
    <w:p w14:paraId="52F604D3"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Regulamentul (UE) 2024/1028. </w:t>
      </w:r>
    </w:p>
  </w:footnote>
  <w:footnote w:id="30">
    <w:p w14:paraId="4323F8B4"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Planul european privind locuințele la prețuri accesibile. COM(2025) 1025 final.</w:t>
      </w:r>
    </w:p>
  </w:footnote>
  <w:footnote w:id="31">
    <w:p w14:paraId="5608FA5D"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26" w:history="1">
        <w:r w:rsidRPr="000824E5">
          <w:rPr>
            <w:rStyle w:val="Hyperlink"/>
            <w:rFonts w:ascii="Times New Roman" w:hAnsi="Times New Roman" w:cs="Times New Roman"/>
            <w:sz w:val="16"/>
            <w:szCs w:val="16"/>
            <w:lang w:val="ro-RO"/>
          </w:rPr>
          <w:t>Centrul Patrimoniului Mondial – Programul marin al patrimoniului mondial</w:t>
        </w:r>
      </w:hyperlink>
      <w:r w:rsidRPr="000824E5">
        <w:rPr>
          <w:rFonts w:ascii="Times New Roman" w:hAnsi="Times New Roman" w:cs="Times New Roman"/>
          <w:sz w:val="16"/>
          <w:szCs w:val="16"/>
          <w:lang w:val="ro-RO"/>
        </w:rPr>
        <w:t xml:space="preserve">. </w:t>
      </w:r>
    </w:p>
  </w:footnote>
  <w:footnote w:id="32">
    <w:p w14:paraId="3179ADFC"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Regulamentul (UE) 2020/852.</w:t>
      </w:r>
    </w:p>
  </w:footnote>
  <w:footnote w:id="33">
    <w:p w14:paraId="24145B1D"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27" w:history="1">
        <w:r w:rsidRPr="000824E5">
          <w:rPr>
            <w:rStyle w:val="Hyperlink"/>
            <w:rFonts w:ascii="Times New Roman" w:hAnsi="Times New Roman" w:cs="Times New Roman"/>
            <w:sz w:val="16"/>
            <w:szCs w:val="16"/>
            <w:lang w:val="ro-RO"/>
          </w:rPr>
          <w:t>C(2025) 2731 final</w:t>
        </w:r>
      </w:hyperlink>
      <w:r w:rsidRPr="000824E5">
        <w:rPr>
          <w:rFonts w:ascii="Times New Roman" w:hAnsi="Times New Roman" w:cs="Times New Roman"/>
          <w:sz w:val="16"/>
          <w:szCs w:val="16"/>
          <w:lang w:val="ro-RO"/>
        </w:rPr>
        <w:t>.</w:t>
      </w:r>
    </w:p>
  </w:footnote>
  <w:footnote w:id="34">
    <w:p w14:paraId="3BF834B6"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28" w:history="1">
        <w:r w:rsidRPr="000824E5">
          <w:rPr>
            <w:rStyle w:val="Hyperlink"/>
            <w:rFonts w:ascii="Times New Roman" w:hAnsi="Times New Roman" w:cs="Times New Roman"/>
            <w:sz w:val="16"/>
            <w:szCs w:val="16"/>
            <w:lang w:val="ro-RO"/>
          </w:rPr>
          <w:t>Inforegio - TAIEX-REGIO Peer2Peer</w:t>
        </w:r>
      </w:hyperlink>
      <w:r w:rsidRPr="000824E5">
        <w:rPr>
          <w:rFonts w:ascii="Times New Roman" w:hAnsi="Times New Roman" w:cs="Times New Roman"/>
          <w:sz w:val="16"/>
          <w:szCs w:val="16"/>
          <w:lang w:val="ro-RO"/>
        </w:rPr>
        <w:t>.</w:t>
      </w:r>
    </w:p>
  </w:footnote>
  <w:footnote w:id="35">
    <w:p w14:paraId="3C0B0767" w14:textId="77777777" w:rsidR="00660BFE" w:rsidRPr="000824E5" w:rsidRDefault="00660BFE" w:rsidP="00660BFE">
      <w:pPr>
        <w:pStyle w:val="FootnoteText"/>
        <w:jc w:val="both"/>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COM(2025) 555 final.</w:t>
      </w:r>
    </w:p>
  </w:footnote>
  <w:footnote w:id="36">
    <w:p w14:paraId="0E27D9BB"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29" w:history="1">
        <w:r w:rsidRPr="000824E5">
          <w:rPr>
            <w:rStyle w:val="Hyperlink"/>
            <w:rFonts w:ascii="Times New Roman" w:hAnsi="Times New Roman" w:cs="Times New Roman"/>
            <w:sz w:val="16"/>
            <w:szCs w:val="16"/>
            <w:lang w:val="ro-RO"/>
          </w:rPr>
          <w:t>Parteneriatul pentru o economie albastră durabilă</w:t>
        </w:r>
      </w:hyperlink>
      <w:r w:rsidRPr="000824E5">
        <w:rPr>
          <w:rFonts w:ascii="Times New Roman" w:hAnsi="Times New Roman" w:cs="Times New Roman"/>
          <w:sz w:val="16"/>
          <w:szCs w:val="16"/>
          <w:lang w:val="ro-RO"/>
        </w:rPr>
        <w:t>.</w:t>
      </w:r>
    </w:p>
  </w:footnote>
  <w:footnote w:id="37">
    <w:p w14:paraId="29D89036" w14:textId="77777777" w:rsidR="00660BFE" w:rsidRPr="000824E5" w:rsidRDefault="00660BFE" w:rsidP="00660BFE">
      <w:pPr>
        <w:pStyle w:val="FootnoteText"/>
        <w:rPr>
          <w:rFonts w:ascii="Times New Roman" w:hAnsi="Times New Roman" w:cs="Times New Roman"/>
          <w:sz w:val="16"/>
          <w:szCs w:val="16"/>
          <w:lang w:val="ro-RO"/>
        </w:rPr>
      </w:pPr>
      <w:r w:rsidRPr="000824E5">
        <w:rPr>
          <w:rStyle w:val="FootnoteReference"/>
          <w:rFonts w:ascii="Times New Roman" w:hAnsi="Times New Roman" w:cs="Times New Roman"/>
          <w:sz w:val="16"/>
          <w:szCs w:val="16"/>
          <w:lang w:val="ro-RO"/>
        </w:rPr>
        <w:footnoteRef/>
      </w:r>
      <w:r w:rsidRPr="000824E5">
        <w:rPr>
          <w:rFonts w:ascii="Times New Roman" w:hAnsi="Times New Roman" w:cs="Times New Roman"/>
          <w:sz w:val="16"/>
          <w:szCs w:val="16"/>
          <w:lang w:val="ro-RO"/>
        </w:rPr>
        <w:t xml:space="preserve"> </w:t>
      </w:r>
      <w:hyperlink r:id="rId30" w:history="1">
        <w:r w:rsidRPr="000824E5">
          <w:rPr>
            <w:rStyle w:val="Hyperlink"/>
            <w:rFonts w:ascii="Times New Roman" w:hAnsi="Times New Roman" w:cs="Times New Roman"/>
            <w:sz w:val="16"/>
            <w:szCs w:val="16"/>
            <w:lang w:val="ro-RO"/>
          </w:rPr>
          <w:t>Programul de lucru Orizont Europa pentru perioada 2026–2027</w:t>
        </w:r>
      </w:hyperlink>
      <w:r w:rsidRPr="000824E5">
        <w:rPr>
          <w:rFonts w:ascii="Times New Roman" w:hAnsi="Times New Roman" w:cs="Times New Roman"/>
          <w:sz w:val="16"/>
          <w:szCs w:val="16"/>
          <w:lang w:val="ro-RO"/>
        </w:rPr>
        <w:t>.</w:t>
      </w:r>
    </w:p>
  </w:footnote>
  <w:footnote w:id="38">
    <w:p w14:paraId="742120B6" w14:textId="77777777" w:rsidR="00660BFE" w:rsidRPr="000824E5" w:rsidRDefault="00660BFE" w:rsidP="00660BFE">
      <w:pPr>
        <w:pStyle w:val="FootnoteText"/>
        <w:rPr>
          <w:rFonts w:ascii="Times New Roman" w:hAnsi="Times New Roman" w:cs="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EEAD7" w14:textId="77777777" w:rsidR="00FA4376" w:rsidRPr="00FA4376" w:rsidRDefault="00FA4376" w:rsidP="00FA437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4EB00" w14:textId="77777777" w:rsidR="00FA4376" w:rsidRPr="00FA4376" w:rsidRDefault="00FA4376" w:rsidP="00FA43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202FC" w14:textId="77777777" w:rsidR="00FA4376" w:rsidRPr="00FA4376" w:rsidRDefault="00FA4376" w:rsidP="00FA43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0646C" w14:textId="77777777" w:rsidR="00E81CCD" w:rsidRDefault="00E81C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3E152" w14:textId="77777777" w:rsidR="00E81CCD" w:rsidRDefault="00E81CC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898DD" w14:textId="77777777" w:rsidR="00E81CCD" w:rsidRDefault="00E81C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10EBAD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EE4E3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3D02BD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6294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10AB84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4080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9EA6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480A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0EAC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0E0D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4A3FF0"/>
    <w:multiLevelType w:val="hybridMultilevel"/>
    <w:tmpl w:val="344A56D8"/>
    <w:lvl w:ilvl="0" w:tplc="1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EBD2D8B"/>
    <w:multiLevelType w:val="hybridMultilevel"/>
    <w:tmpl w:val="2EB8BAF8"/>
    <w:lvl w:ilvl="0" w:tplc="18090005">
      <w:start w:val="1"/>
      <w:numFmt w:val="bullet"/>
      <w:lvlText w:val=""/>
      <w:lvlJc w:val="left"/>
      <w:pPr>
        <w:ind w:left="360" w:hanging="360"/>
      </w:pPr>
      <w:rPr>
        <w:rFonts w:ascii="Wingdings" w:hAnsi="Wingdings" w:hint="default"/>
      </w:rPr>
    </w:lvl>
    <w:lvl w:ilvl="1" w:tplc="54AA8FF8">
      <w:numFmt w:val="bullet"/>
      <w:lvlText w:val="•"/>
      <w:lvlJc w:val="left"/>
      <w:pPr>
        <w:ind w:left="1440" w:hanging="720"/>
      </w:pPr>
      <w:rPr>
        <w:rFonts w:ascii="Times New Roman" w:eastAsia="Times New Roman" w:hAnsi="Times New Roman" w:cs="Times New Roman"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3AC53C2"/>
    <w:multiLevelType w:val="hybridMultilevel"/>
    <w:tmpl w:val="91BE8828"/>
    <w:lvl w:ilvl="0" w:tplc="D5662CF8">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4B1C4E"/>
    <w:multiLevelType w:val="hybridMultilevel"/>
    <w:tmpl w:val="2A10107A"/>
    <w:lvl w:ilvl="0" w:tplc="6348441E">
      <w:start w:val="1"/>
      <w:numFmt w:val="bullet"/>
      <w:lvlText w:val=""/>
      <w:lvlJc w:val="left"/>
      <w:pPr>
        <w:ind w:left="1020" w:hanging="360"/>
      </w:pPr>
      <w:rPr>
        <w:rFonts w:ascii="Symbol" w:hAnsi="Symbol"/>
      </w:rPr>
    </w:lvl>
    <w:lvl w:ilvl="1" w:tplc="97204E84">
      <w:start w:val="1"/>
      <w:numFmt w:val="bullet"/>
      <w:lvlText w:val=""/>
      <w:lvlJc w:val="left"/>
      <w:pPr>
        <w:ind w:left="1020" w:hanging="360"/>
      </w:pPr>
      <w:rPr>
        <w:rFonts w:ascii="Symbol" w:hAnsi="Symbol"/>
      </w:rPr>
    </w:lvl>
    <w:lvl w:ilvl="2" w:tplc="860C194A">
      <w:start w:val="1"/>
      <w:numFmt w:val="bullet"/>
      <w:lvlText w:val=""/>
      <w:lvlJc w:val="left"/>
      <w:pPr>
        <w:ind w:left="1020" w:hanging="360"/>
      </w:pPr>
      <w:rPr>
        <w:rFonts w:ascii="Symbol" w:hAnsi="Symbol"/>
      </w:rPr>
    </w:lvl>
    <w:lvl w:ilvl="3" w:tplc="7410EA2E">
      <w:start w:val="1"/>
      <w:numFmt w:val="bullet"/>
      <w:lvlText w:val=""/>
      <w:lvlJc w:val="left"/>
      <w:pPr>
        <w:ind w:left="1020" w:hanging="360"/>
      </w:pPr>
      <w:rPr>
        <w:rFonts w:ascii="Symbol" w:hAnsi="Symbol"/>
      </w:rPr>
    </w:lvl>
    <w:lvl w:ilvl="4" w:tplc="6FF69516">
      <w:start w:val="1"/>
      <w:numFmt w:val="bullet"/>
      <w:lvlText w:val=""/>
      <w:lvlJc w:val="left"/>
      <w:pPr>
        <w:ind w:left="1020" w:hanging="360"/>
      </w:pPr>
      <w:rPr>
        <w:rFonts w:ascii="Symbol" w:hAnsi="Symbol"/>
      </w:rPr>
    </w:lvl>
    <w:lvl w:ilvl="5" w:tplc="E9CA6DD8">
      <w:start w:val="1"/>
      <w:numFmt w:val="bullet"/>
      <w:lvlText w:val=""/>
      <w:lvlJc w:val="left"/>
      <w:pPr>
        <w:ind w:left="1020" w:hanging="360"/>
      </w:pPr>
      <w:rPr>
        <w:rFonts w:ascii="Symbol" w:hAnsi="Symbol"/>
      </w:rPr>
    </w:lvl>
    <w:lvl w:ilvl="6" w:tplc="77AC7BE6">
      <w:start w:val="1"/>
      <w:numFmt w:val="bullet"/>
      <w:lvlText w:val=""/>
      <w:lvlJc w:val="left"/>
      <w:pPr>
        <w:ind w:left="1020" w:hanging="360"/>
      </w:pPr>
      <w:rPr>
        <w:rFonts w:ascii="Symbol" w:hAnsi="Symbol"/>
      </w:rPr>
    </w:lvl>
    <w:lvl w:ilvl="7" w:tplc="BD5AB896">
      <w:start w:val="1"/>
      <w:numFmt w:val="bullet"/>
      <w:lvlText w:val=""/>
      <w:lvlJc w:val="left"/>
      <w:pPr>
        <w:ind w:left="1020" w:hanging="360"/>
      </w:pPr>
      <w:rPr>
        <w:rFonts w:ascii="Symbol" w:hAnsi="Symbol"/>
      </w:rPr>
    </w:lvl>
    <w:lvl w:ilvl="8" w:tplc="CC36BBD4">
      <w:start w:val="1"/>
      <w:numFmt w:val="bullet"/>
      <w:lvlText w:val=""/>
      <w:lvlJc w:val="left"/>
      <w:pPr>
        <w:ind w:left="1020" w:hanging="360"/>
      </w:pPr>
      <w:rPr>
        <w:rFonts w:ascii="Symbol" w:hAnsi="Symbol"/>
      </w:rPr>
    </w:lvl>
  </w:abstractNum>
  <w:abstractNum w:abstractNumId="14" w15:restartNumberingAfterBreak="0">
    <w:nsid w:val="15DB195C"/>
    <w:multiLevelType w:val="hybridMultilevel"/>
    <w:tmpl w:val="0DDC30F0"/>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6E055C0"/>
    <w:multiLevelType w:val="hybridMultilevel"/>
    <w:tmpl w:val="B8B68FFA"/>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5B3628"/>
    <w:multiLevelType w:val="hybridMultilevel"/>
    <w:tmpl w:val="ACACF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C7D1552"/>
    <w:multiLevelType w:val="hybridMultilevel"/>
    <w:tmpl w:val="64348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452997"/>
    <w:multiLevelType w:val="hybridMultilevel"/>
    <w:tmpl w:val="95BA896E"/>
    <w:lvl w:ilvl="0" w:tplc="FFFFFFFF">
      <w:start w:val="1"/>
      <w:numFmt w:val="lowerRoman"/>
      <w:lvlText w:val="iii)"/>
      <w:lvlJc w:val="right"/>
      <w:pPr>
        <w:ind w:left="1080" w:hanging="72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2D7362"/>
    <w:multiLevelType w:val="hybridMultilevel"/>
    <w:tmpl w:val="7D4A1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1537CA"/>
    <w:multiLevelType w:val="multilevel"/>
    <w:tmpl w:val="44340D52"/>
    <w:lvl w:ilvl="0">
      <w:start w:val="1"/>
      <w:numFmt w:val="decimal"/>
      <w:lvlText w:val="%1."/>
      <w:lvlJc w:val="left"/>
      <w:pPr>
        <w:ind w:left="720" w:hanging="360"/>
      </w:pPr>
      <w:rPr>
        <w:rFonts w:hint="default"/>
        <w:b/>
        <w:bCs/>
      </w:rPr>
    </w:lvl>
    <w:lvl w:ilvl="1">
      <w:start w:val="1"/>
      <w:numFmt w:val="decima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4520501"/>
    <w:multiLevelType w:val="hybridMultilevel"/>
    <w:tmpl w:val="DEE803C2"/>
    <w:lvl w:ilvl="0" w:tplc="1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6293A47"/>
    <w:multiLevelType w:val="hybridMultilevel"/>
    <w:tmpl w:val="EDD0E6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92E7B82"/>
    <w:multiLevelType w:val="hybridMultilevel"/>
    <w:tmpl w:val="055846A6"/>
    <w:lvl w:ilvl="0" w:tplc="18090005">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6510BB4"/>
    <w:multiLevelType w:val="hybridMultilevel"/>
    <w:tmpl w:val="42343A28"/>
    <w:lvl w:ilvl="0" w:tplc="7D5A7A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6B7AF5"/>
    <w:multiLevelType w:val="hybridMultilevel"/>
    <w:tmpl w:val="A49A0F9C"/>
    <w:lvl w:ilvl="0" w:tplc="2B8034B0">
      <w:start w:val="1"/>
      <w:numFmt w:val="bullet"/>
      <w:lvlText w:val=""/>
      <w:lvlJc w:val="left"/>
      <w:pPr>
        <w:ind w:left="720" w:hanging="360"/>
      </w:pPr>
      <w:rPr>
        <w:rFonts w:ascii="Symbol" w:hAnsi="Symbol"/>
      </w:rPr>
    </w:lvl>
    <w:lvl w:ilvl="1" w:tplc="A14C8DB4">
      <w:start w:val="1"/>
      <w:numFmt w:val="bullet"/>
      <w:lvlText w:val=""/>
      <w:lvlJc w:val="left"/>
      <w:pPr>
        <w:ind w:left="720" w:hanging="360"/>
      </w:pPr>
      <w:rPr>
        <w:rFonts w:ascii="Symbol" w:hAnsi="Symbol"/>
      </w:rPr>
    </w:lvl>
    <w:lvl w:ilvl="2" w:tplc="9D02C8F2">
      <w:start w:val="1"/>
      <w:numFmt w:val="bullet"/>
      <w:lvlText w:val=""/>
      <w:lvlJc w:val="left"/>
      <w:pPr>
        <w:ind w:left="720" w:hanging="360"/>
      </w:pPr>
      <w:rPr>
        <w:rFonts w:ascii="Symbol" w:hAnsi="Symbol"/>
      </w:rPr>
    </w:lvl>
    <w:lvl w:ilvl="3" w:tplc="A6267D2E">
      <w:start w:val="1"/>
      <w:numFmt w:val="bullet"/>
      <w:lvlText w:val=""/>
      <w:lvlJc w:val="left"/>
      <w:pPr>
        <w:ind w:left="720" w:hanging="360"/>
      </w:pPr>
      <w:rPr>
        <w:rFonts w:ascii="Symbol" w:hAnsi="Symbol"/>
      </w:rPr>
    </w:lvl>
    <w:lvl w:ilvl="4" w:tplc="B3D0A454">
      <w:start w:val="1"/>
      <w:numFmt w:val="bullet"/>
      <w:lvlText w:val=""/>
      <w:lvlJc w:val="left"/>
      <w:pPr>
        <w:ind w:left="720" w:hanging="360"/>
      </w:pPr>
      <w:rPr>
        <w:rFonts w:ascii="Symbol" w:hAnsi="Symbol"/>
      </w:rPr>
    </w:lvl>
    <w:lvl w:ilvl="5" w:tplc="A4280F00">
      <w:start w:val="1"/>
      <w:numFmt w:val="bullet"/>
      <w:lvlText w:val=""/>
      <w:lvlJc w:val="left"/>
      <w:pPr>
        <w:ind w:left="720" w:hanging="360"/>
      </w:pPr>
      <w:rPr>
        <w:rFonts w:ascii="Symbol" w:hAnsi="Symbol"/>
      </w:rPr>
    </w:lvl>
    <w:lvl w:ilvl="6" w:tplc="DCE8525E">
      <w:start w:val="1"/>
      <w:numFmt w:val="bullet"/>
      <w:lvlText w:val=""/>
      <w:lvlJc w:val="left"/>
      <w:pPr>
        <w:ind w:left="720" w:hanging="360"/>
      </w:pPr>
      <w:rPr>
        <w:rFonts w:ascii="Symbol" w:hAnsi="Symbol"/>
      </w:rPr>
    </w:lvl>
    <w:lvl w:ilvl="7" w:tplc="4E8A5820">
      <w:start w:val="1"/>
      <w:numFmt w:val="bullet"/>
      <w:lvlText w:val=""/>
      <w:lvlJc w:val="left"/>
      <w:pPr>
        <w:ind w:left="720" w:hanging="360"/>
      </w:pPr>
      <w:rPr>
        <w:rFonts w:ascii="Symbol" w:hAnsi="Symbol"/>
      </w:rPr>
    </w:lvl>
    <w:lvl w:ilvl="8" w:tplc="17F8C6A8">
      <w:start w:val="1"/>
      <w:numFmt w:val="bullet"/>
      <w:lvlText w:val=""/>
      <w:lvlJc w:val="left"/>
      <w:pPr>
        <w:ind w:left="720" w:hanging="360"/>
      </w:pPr>
      <w:rPr>
        <w:rFonts w:ascii="Symbol" w:hAnsi="Symbol"/>
      </w:rPr>
    </w:lvl>
  </w:abstractNum>
  <w:abstractNum w:abstractNumId="26" w15:restartNumberingAfterBreak="0">
    <w:nsid w:val="7E247870"/>
    <w:multiLevelType w:val="hybridMultilevel"/>
    <w:tmpl w:val="5590D3E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0"/>
  </w:num>
  <w:num w:numId="2">
    <w:abstractNumId w:val="12"/>
  </w:num>
  <w:num w:numId="3">
    <w:abstractNumId w:val="18"/>
  </w:num>
  <w:num w:numId="4">
    <w:abstractNumId w:val="2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6"/>
  </w:num>
  <w:num w:numId="17">
    <w:abstractNumId w:val="19"/>
  </w:num>
  <w:num w:numId="18">
    <w:abstractNumId w:val="22"/>
  </w:num>
  <w:num w:numId="19">
    <w:abstractNumId w:val="26"/>
  </w:num>
  <w:num w:numId="20">
    <w:abstractNumId w:val="10"/>
  </w:num>
  <w:num w:numId="21">
    <w:abstractNumId w:val="13"/>
  </w:num>
  <w:num w:numId="22">
    <w:abstractNumId w:val="11"/>
  </w:num>
  <w:num w:numId="23">
    <w:abstractNumId w:val="23"/>
  </w:num>
  <w:num w:numId="24">
    <w:abstractNumId w:val="14"/>
  </w:num>
  <w:num w:numId="25">
    <w:abstractNumId w:val="15"/>
  </w:num>
  <w:num w:numId="26">
    <w:abstractNumId w:val="21"/>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472C94C-CE53-464A-A920-C89137473BAC"/>
    <w:docVar w:name="LW_COVERPAGE_TYPE" w:val="1"/>
    <w:docVar w:name="LW_CROSSREFERENCE" w:val="&lt;UNUSED&gt;"/>
    <w:docVar w:name="LW_DocType" w:val="NORMAL"/>
    <w:docVar w:name="LW_EMISSION" w:val="10.6.2026"/>
    <w:docVar w:name="LW_EMISSION_ISODATE" w:val="2026-06-1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UE privind comunit\u259?\u539?ile costiere reziliente, prospere \u537?i favorabile unei bune calit\u259?\u539?i a vie\u539?ii"/>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E81CCD"/>
    <w:rsid w:val="00003ADC"/>
    <w:rsid w:val="000111A1"/>
    <w:rsid w:val="00015A32"/>
    <w:rsid w:val="00027BF2"/>
    <w:rsid w:val="00043E35"/>
    <w:rsid w:val="00050DB5"/>
    <w:rsid w:val="000526B1"/>
    <w:rsid w:val="000617EA"/>
    <w:rsid w:val="00062F49"/>
    <w:rsid w:val="0006429E"/>
    <w:rsid w:val="00065F8D"/>
    <w:rsid w:val="00081886"/>
    <w:rsid w:val="00084160"/>
    <w:rsid w:val="000861C1"/>
    <w:rsid w:val="0009188D"/>
    <w:rsid w:val="000A7087"/>
    <w:rsid w:val="000B7E3A"/>
    <w:rsid w:val="000C1099"/>
    <w:rsid w:val="000C2914"/>
    <w:rsid w:val="000D4CC8"/>
    <w:rsid w:val="000E723A"/>
    <w:rsid w:val="00105845"/>
    <w:rsid w:val="001067D8"/>
    <w:rsid w:val="001105FC"/>
    <w:rsid w:val="001205CA"/>
    <w:rsid w:val="00124C32"/>
    <w:rsid w:val="00125D14"/>
    <w:rsid w:val="00154217"/>
    <w:rsid w:val="00182FEA"/>
    <w:rsid w:val="001C38CB"/>
    <w:rsid w:val="001D1E54"/>
    <w:rsid w:val="001D4043"/>
    <w:rsid w:val="001D4921"/>
    <w:rsid w:val="001E097C"/>
    <w:rsid w:val="001E332D"/>
    <w:rsid w:val="002009CE"/>
    <w:rsid w:val="00205ADC"/>
    <w:rsid w:val="00215E68"/>
    <w:rsid w:val="00223E01"/>
    <w:rsid w:val="00234128"/>
    <w:rsid w:val="0023555B"/>
    <w:rsid w:val="00235E54"/>
    <w:rsid w:val="002440C6"/>
    <w:rsid w:val="00263A78"/>
    <w:rsid w:val="00263E7A"/>
    <w:rsid w:val="00265676"/>
    <w:rsid w:val="00280985"/>
    <w:rsid w:val="002809C9"/>
    <w:rsid w:val="002912FB"/>
    <w:rsid w:val="00294F03"/>
    <w:rsid w:val="002A3924"/>
    <w:rsid w:val="002D6D9F"/>
    <w:rsid w:val="002F5351"/>
    <w:rsid w:val="0032062C"/>
    <w:rsid w:val="003222BE"/>
    <w:rsid w:val="003245A4"/>
    <w:rsid w:val="0033031B"/>
    <w:rsid w:val="00355CBF"/>
    <w:rsid w:val="00384156"/>
    <w:rsid w:val="00385E68"/>
    <w:rsid w:val="003A763D"/>
    <w:rsid w:val="003B086C"/>
    <w:rsid w:val="003B2AAD"/>
    <w:rsid w:val="003B2C3C"/>
    <w:rsid w:val="003C3BE5"/>
    <w:rsid w:val="003E018A"/>
    <w:rsid w:val="003E350D"/>
    <w:rsid w:val="00401504"/>
    <w:rsid w:val="00406FAC"/>
    <w:rsid w:val="004071AF"/>
    <w:rsid w:val="004126DF"/>
    <w:rsid w:val="0041325F"/>
    <w:rsid w:val="00421A14"/>
    <w:rsid w:val="00425E18"/>
    <w:rsid w:val="00437579"/>
    <w:rsid w:val="0044097F"/>
    <w:rsid w:val="00443A49"/>
    <w:rsid w:val="004565D6"/>
    <w:rsid w:val="00462C3B"/>
    <w:rsid w:val="00475166"/>
    <w:rsid w:val="004774A3"/>
    <w:rsid w:val="004826DD"/>
    <w:rsid w:val="004B5EBD"/>
    <w:rsid w:val="004B60A5"/>
    <w:rsid w:val="004C51AC"/>
    <w:rsid w:val="004D26B4"/>
    <w:rsid w:val="004F23D6"/>
    <w:rsid w:val="004F5AAC"/>
    <w:rsid w:val="004F7484"/>
    <w:rsid w:val="004F769D"/>
    <w:rsid w:val="0050220E"/>
    <w:rsid w:val="005108F3"/>
    <w:rsid w:val="0052540D"/>
    <w:rsid w:val="00531064"/>
    <w:rsid w:val="00535B29"/>
    <w:rsid w:val="00540000"/>
    <w:rsid w:val="00565237"/>
    <w:rsid w:val="00577850"/>
    <w:rsid w:val="00587984"/>
    <w:rsid w:val="00587A06"/>
    <w:rsid w:val="00590786"/>
    <w:rsid w:val="00597011"/>
    <w:rsid w:val="005A68DC"/>
    <w:rsid w:val="005A78B7"/>
    <w:rsid w:val="005B3AD6"/>
    <w:rsid w:val="005B3E73"/>
    <w:rsid w:val="005B51DB"/>
    <w:rsid w:val="005B56D7"/>
    <w:rsid w:val="005C1878"/>
    <w:rsid w:val="005D17F5"/>
    <w:rsid w:val="005D6ACC"/>
    <w:rsid w:val="005D6F6D"/>
    <w:rsid w:val="005D77EB"/>
    <w:rsid w:val="005E292E"/>
    <w:rsid w:val="005F46B9"/>
    <w:rsid w:val="006039A6"/>
    <w:rsid w:val="006332BE"/>
    <w:rsid w:val="006501F7"/>
    <w:rsid w:val="00660BFE"/>
    <w:rsid w:val="00670535"/>
    <w:rsid w:val="00683C07"/>
    <w:rsid w:val="006942AF"/>
    <w:rsid w:val="006E5728"/>
    <w:rsid w:val="006F570A"/>
    <w:rsid w:val="00707C4B"/>
    <w:rsid w:val="007125CC"/>
    <w:rsid w:val="00735F3F"/>
    <w:rsid w:val="007403C2"/>
    <w:rsid w:val="00743152"/>
    <w:rsid w:val="007511DA"/>
    <w:rsid w:val="00753D3D"/>
    <w:rsid w:val="00760B1C"/>
    <w:rsid w:val="007627CB"/>
    <w:rsid w:val="007642C7"/>
    <w:rsid w:val="00773F92"/>
    <w:rsid w:val="007837DF"/>
    <w:rsid w:val="00791D22"/>
    <w:rsid w:val="0079380A"/>
    <w:rsid w:val="00797C37"/>
    <w:rsid w:val="007A4D08"/>
    <w:rsid w:val="007B6B1D"/>
    <w:rsid w:val="007B722F"/>
    <w:rsid w:val="007C3CC0"/>
    <w:rsid w:val="007C7666"/>
    <w:rsid w:val="007E0E64"/>
    <w:rsid w:val="007F64FF"/>
    <w:rsid w:val="007F7FE2"/>
    <w:rsid w:val="0080724A"/>
    <w:rsid w:val="00821593"/>
    <w:rsid w:val="00827F40"/>
    <w:rsid w:val="0083356B"/>
    <w:rsid w:val="00834E33"/>
    <w:rsid w:val="00835BB8"/>
    <w:rsid w:val="00846622"/>
    <w:rsid w:val="00851F23"/>
    <w:rsid w:val="00865A3D"/>
    <w:rsid w:val="00875503"/>
    <w:rsid w:val="00880B1C"/>
    <w:rsid w:val="008916FD"/>
    <w:rsid w:val="0089327D"/>
    <w:rsid w:val="008D4278"/>
    <w:rsid w:val="008E6E81"/>
    <w:rsid w:val="00912915"/>
    <w:rsid w:val="00914276"/>
    <w:rsid w:val="0092141B"/>
    <w:rsid w:val="00921810"/>
    <w:rsid w:val="009253BD"/>
    <w:rsid w:val="0093481D"/>
    <w:rsid w:val="00944374"/>
    <w:rsid w:val="00952E77"/>
    <w:rsid w:val="00965785"/>
    <w:rsid w:val="00974BF0"/>
    <w:rsid w:val="00980511"/>
    <w:rsid w:val="00995A2B"/>
    <w:rsid w:val="00995B21"/>
    <w:rsid w:val="009A4720"/>
    <w:rsid w:val="009B097F"/>
    <w:rsid w:val="009D392B"/>
    <w:rsid w:val="009E23C2"/>
    <w:rsid w:val="009E4C5A"/>
    <w:rsid w:val="009E53F3"/>
    <w:rsid w:val="009F08B8"/>
    <w:rsid w:val="00A11391"/>
    <w:rsid w:val="00A16ED9"/>
    <w:rsid w:val="00A21766"/>
    <w:rsid w:val="00A25E70"/>
    <w:rsid w:val="00A40FA2"/>
    <w:rsid w:val="00A64A44"/>
    <w:rsid w:val="00A724F9"/>
    <w:rsid w:val="00A8003D"/>
    <w:rsid w:val="00A913E9"/>
    <w:rsid w:val="00A967A8"/>
    <w:rsid w:val="00A96AD9"/>
    <w:rsid w:val="00AA1A93"/>
    <w:rsid w:val="00AA390D"/>
    <w:rsid w:val="00AB17AB"/>
    <w:rsid w:val="00AC46A8"/>
    <w:rsid w:val="00AC48F6"/>
    <w:rsid w:val="00AD102F"/>
    <w:rsid w:val="00AD1FDA"/>
    <w:rsid w:val="00AD38E3"/>
    <w:rsid w:val="00AE0CED"/>
    <w:rsid w:val="00AF50D3"/>
    <w:rsid w:val="00AF76B5"/>
    <w:rsid w:val="00B01CD3"/>
    <w:rsid w:val="00B05961"/>
    <w:rsid w:val="00B107EF"/>
    <w:rsid w:val="00B14ECA"/>
    <w:rsid w:val="00B2022F"/>
    <w:rsid w:val="00B22A89"/>
    <w:rsid w:val="00B43540"/>
    <w:rsid w:val="00B63B8B"/>
    <w:rsid w:val="00B847D6"/>
    <w:rsid w:val="00B87AD0"/>
    <w:rsid w:val="00B91349"/>
    <w:rsid w:val="00BB4763"/>
    <w:rsid w:val="00BB6744"/>
    <w:rsid w:val="00BD648C"/>
    <w:rsid w:val="00BD6F6E"/>
    <w:rsid w:val="00BD7022"/>
    <w:rsid w:val="00BE1279"/>
    <w:rsid w:val="00BE2B94"/>
    <w:rsid w:val="00BE43F2"/>
    <w:rsid w:val="00BF26A9"/>
    <w:rsid w:val="00BF5E57"/>
    <w:rsid w:val="00BF6864"/>
    <w:rsid w:val="00C027D2"/>
    <w:rsid w:val="00C0513E"/>
    <w:rsid w:val="00C1094A"/>
    <w:rsid w:val="00C162C8"/>
    <w:rsid w:val="00C25051"/>
    <w:rsid w:val="00C53739"/>
    <w:rsid w:val="00C7761E"/>
    <w:rsid w:val="00C81B2F"/>
    <w:rsid w:val="00C9403E"/>
    <w:rsid w:val="00CC32A3"/>
    <w:rsid w:val="00CE6DEF"/>
    <w:rsid w:val="00CF198C"/>
    <w:rsid w:val="00CF1AFC"/>
    <w:rsid w:val="00D15260"/>
    <w:rsid w:val="00D20752"/>
    <w:rsid w:val="00D21481"/>
    <w:rsid w:val="00D22213"/>
    <w:rsid w:val="00D2356D"/>
    <w:rsid w:val="00D306F8"/>
    <w:rsid w:val="00D31886"/>
    <w:rsid w:val="00D33996"/>
    <w:rsid w:val="00D415EE"/>
    <w:rsid w:val="00D445DD"/>
    <w:rsid w:val="00D526DB"/>
    <w:rsid w:val="00D54F49"/>
    <w:rsid w:val="00D65FC6"/>
    <w:rsid w:val="00D846C0"/>
    <w:rsid w:val="00DA647B"/>
    <w:rsid w:val="00DB1701"/>
    <w:rsid w:val="00DB6320"/>
    <w:rsid w:val="00DB73ED"/>
    <w:rsid w:val="00DC54A6"/>
    <w:rsid w:val="00DE502D"/>
    <w:rsid w:val="00DF2B6E"/>
    <w:rsid w:val="00DF542B"/>
    <w:rsid w:val="00E01599"/>
    <w:rsid w:val="00E037AB"/>
    <w:rsid w:val="00E220F5"/>
    <w:rsid w:val="00E319BD"/>
    <w:rsid w:val="00E31C64"/>
    <w:rsid w:val="00E34314"/>
    <w:rsid w:val="00E4169B"/>
    <w:rsid w:val="00E57F28"/>
    <w:rsid w:val="00E636F5"/>
    <w:rsid w:val="00E67D84"/>
    <w:rsid w:val="00E81CCD"/>
    <w:rsid w:val="00E830F4"/>
    <w:rsid w:val="00E836C2"/>
    <w:rsid w:val="00E92891"/>
    <w:rsid w:val="00E92FE7"/>
    <w:rsid w:val="00E94BEB"/>
    <w:rsid w:val="00EA3436"/>
    <w:rsid w:val="00EA7AAE"/>
    <w:rsid w:val="00EB4214"/>
    <w:rsid w:val="00EE1240"/>
    <w:rsid w:val="00EE5494"/>
    <w:rsid w:val="00F161E3"/>
    <w:rsid w:val="00F222C7"/>
    <w:rsid w:val="00F2255E"/>
    <w:rsid w:val="00F30D19"/>
    <w:rsid w:val="00F45A69"/>
    <w:rsid w:val="00F510E0"/>
    <w:rsid w:val="00F56568"/>
    <w:rsid w:val="00F60A52"/>
    <w:rsid w:val="00F66FB5"/>
    <w:rsid w:val="00F67C71"/>
    <w:rsid w:val="00F73985"/>
    <w:rsid w:val="00F74110"/>
    <w:rsid w:val="00F812A0"/>
    <w:rsid w:val="00F8312E"/>
    <w:rsid w:val="00F852A9"/>
    <w:rsid w:val="00F86E63"/>
    <w:rsid w:val="00F9204E"/>
    <w:rsid w:val="00FA4376"/>
    <w:rsid w:val="00FA5FDC"/>
    <w:rsid w:val="00FA6102"/>
    <w:rsid w:val="00FD19DC"/>
    <w:rsid w:val="00FD315C"/>
    <w:rsid w:val="00FD3A76"/>
    <w:rsid w:val="00FE537C"/>
    <w:rsid w:val="00FF31AD"/>
    <w:rsid w:val="00FF4BAF"/>
    <w:rsid w:val="02872024"/>
    <w:rsid w:val="0309CD95"/>
    <w:rsid w:val="18C04C50"/>
    <w:rsid w:val="22592D45"/>
    <w:rsid w:val="2F8E8770"/>
    <w:rsid w:val="324BBA20"/>
    <w:rsid w:val="329B9499"/>
    <w:rsid w:val="3CA7F5AD"/>
    <w:rsid w:val="42CDE3D0"/>
    <w:rsid w:val="454A92F0"/>
    <w:rsid w:val="476050C8"/>
    <w:rsid w:val="541F992B"/>
    <w:rsid w:val="6806284F"/>
    <w:rsid w:val="75320B1D"/>
    <w:rsid w:val="76CD90A7"/>
    <w:rsid w:val="7BAF73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6576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81C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C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C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C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C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C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C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C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C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C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C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C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C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C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C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C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C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CCD"/>
    <w:rPr>
      <w:rFonts w:eastAsiaTheme="majorEastAsia" w:cstheme="majorBidi"/>
      <w:color w:val="272727" w:themeColor="text1" w:themeTint="D8"/>
    </w:rPr>
  </w:style>
  <w:style w:type="paragraph" w:styleId="Title">
    <w:name w:val="Title"/>
    <w:basedOn w:val="Normal"/>
    <w:next w:val="Normal"/>
    <w:link w:val="TitleChar"/>
    <w:uiPriority w:val="10"/>
    <w:qFormat/>
    <w:rsid w:val="00E81C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C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C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C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CCD"/>
    <w:pPr>
      <w:spacing w:before="160"/>
      <w:jc w:val="center"/>
    </w:pPr>
    <w:rPr>
      <w:i/>
      <w:iCs/>
      <w:color w:val="404040" w:themeColor="text1" w:themeTint="BF"/>
    </w:rPr>
  </w:style>
  <w:style w:type="character" w:customStyle="1" w:styleId="QuoteChar">
    <w:name w:val="Quote Char"/>
    <w:basedOn w:val="DefaultParagraphFont"/>
    <w:link w:val="Quote"/>
    <w:uiPriority w:val="29"/>
    <w:rsid w:val="00E81CCD"/>
    <w:rPr>
      <w:i/>
      <w:iCs/>
      <w:color w:val="404040" w:themeColor="text1" w:themeTint="BF"/>
    </w:rPr>
  </w:style>
  <w:style w:type="paragraph" w:styleId="ListParagraph">
    <w:name w:val="List Paragraph"/>
    <w:basedOn w:val="Normal"/>
    <w:uiPriority w:val="34"/>
    <w:qFormat/>
    <w:rsid w:val="00E81CCD"/>
    <w:pPr>
      <w:ind w:left="720"/>
      <w:contextualSpacing/>
    </w:pPr>
  </w:style>
  <w:style w:type="character" w:styleId="IntenseEmphasis">
    <w:name w:val="Intense Emphasis"/>
    <w:basedOn w:val="DefaultParagraphFont"/>
    <w:uiPriority w:val="21"/>
    <w:qFormat/>
    <w:rsid w:val="00E81CCD"/>
    <w:rPr>
      <w:i/>
      <w:iCs/>
      <w:color w:val="0F4761" w:themeColor="accent1" w:themeShade="BF"/>
    </w:rPr>
  </w:style>
  <w:style w:type="paragraph" w:styleId="IntenseQuote">
    <w:name w:val="Intense Quote"/>
    <w:basedOn w:val="Normal"/>
    <w:next w:val="Normal"/>
    <w:link w:val="IntenseQuoteChar"/>
    <w:uiPriority w:val="30"/>
    <w:qFormat/>
    <w:rsid w:val="00E81C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CCD"/>
    <w:rPr>
      <w:i/>
      <w:iCs/>
      <w:color w:val="0F4761" w:themeColor="accent1" w:themeShade="BF"/>
    </w:rPr>
  </w:style>
  <w:style w:type="character" w:styleId="IntenseReference">
    <w:name w:val="Intense Reference"/>
    <w:basedOn w:val="DefaultParagraphFont"/>
    <w:uiPriority w:val="32"/>
    <w:qFormat/>
    <w:rsid w:val="00E81CCD"/>
    <w:rPr>
      <w:b/>
      <w:bCs/>
      <w:smallCaps/>
      <w:color w:val="0F4761" w:themeColor="accent1" w:themeShade="BF"/>
      <w:spacing w:val="5"/>
    </w:rPr>
  </w:style>
  <w:style w:type="character" w:customStyle="1" w:styleId="Marker">
    <w:name w:val="Marker"/>
    <w:basedOn w:val="DefaultParagraphFont"/>
    <w:rsid w:val="00E81CCD"/>
    <w:rPr>
      <w:color w:val="0000FF"/>
      <w:shd w:val="clear" w:color="auto" w:fill="auto"/>
    </w:rPr>
  </w:style>
  <w:style w:type="paragraph" w:styleId="Header">
    <w:name w:val="header"/>
    <w:basedOn w:val="Normal"/>
    <w:link w:val="HeaderChar"/>
    <w:uiPriority w:val="99"/>
    <w:unhideWhenUsed/>
    <w:rsid w:val="00E81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CCD"/>
  </w:style>
  <w:style w:type="paragraph" w:styleId="Footer">
    <w:name w:val="footer"/>
    <w:basedOn w:val="Normal"/>
    <w:link w:val="FooterChar"/>
    <w:uiPriority w:val="99"/>
    <w:unhideWhenUsed/>
    <w:rsid w:val="00E81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CCD"/>
  </w:style>
  <w:style w:type="paragraph" w:customStyle="1" w:styleId="Pagedecouverture">
    <w:name w:val="Page de couverture"/>
    <w:basedOn w:val="Normal"/>
    <w:next w:val="Normal"/>
    <w:rsid w:val="00E81CC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81CC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81CCD"/>
    <w:rPr>
      <w:rFonts w:ascii="Times New Roman" w:hAnsi="Times New Roman" w:cs="Times New Roman"/>
      <w:sz w:val="24"/>
    </w:rPr>
  </w:style>
  <w:style w:type="paragraph" w:customStyle="1" w:styleId="FooterSensitivity">
    <w:name w:val="Footer Sensitivity"/>
    <w:basedOn w:val="Normal"/>
    <w:link w:val="FooterSensitivityChar"/>
    <w:rsid w:val="00E81CC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81CCD"/>
    <w:rPr>
      <w:rFonts w:ascii="Times New Roman" w:hAnsi="Times New Roman" w:cs="Times New Roman"/>
      <w:b/>
      <w:sz w:val="32"/>
    </w:rPr>
  </w:style>
  <w:style w:type="paragraph" w:customStyle="1" w:styleId="HeaderCoverPage">
    <w:name w:val="Header Cover Page"/>
    <w:basedOn w:val="Normal"/>
    <w:link w:val="HeaderCoverPageChar"/>
    <w:rsid w:val="00E81CC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81CCD"/>
    <w:rPr>
      <w:rFonts w:ascii="Times New Roman" w:hAnsi="Times New Roman" w:cs="Times New Roman"/>
      <w:sz w:val="24"/>
    </w:rPr>
  </w:style>
  <w:style w:type="paragraph" w:customStyle="1" w:styleId="HeaderSensitivity">
    <w:name w:val="Header Sensitivity"/>
    <w:basedOn w:val="Normal"/>
    <w:link w:val="HeaderSensitivityChar"/>
    <w:rsid w:val="00E81CC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81CCD"/>
    <w:rPr>
      <w:rFonts w:ascii="Times New Roman" w:hAnsi="Times New Roman" w:cs="Times New Roman"/>
      <w:b/>
      <w:sz w:val="32"/>
    </w:rPr>
  </w:style>
  <w:style w:type="paragraph" w:customStyle="1" w:styleId="HeaderSensitivityRight">
    <w:name w:val="Header Sensitivity Right"/>
    <w:basedOn w:val="Normal"/>
    <w:link w:val="HeaderSensitivityRightChar"/>
    <w:rsid w:val="00E81CC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81CCD"/>
    <w:rPr>
      <w:rFonts w:ascii="Times New Roman" w:hAnsi="Times New Roman" w:cs="Times New Roman"/>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E836C2"/>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836C2"/>
    <w:rPr>
      <w:sz w:val="20"/>
      <w:szCs w:val="20"/>
    </w:rPr>
  </w:style>
  <w:style w:type="character" w:styleId="FootnoteReference">
    <w:name w:val="footnote reference"/>
    <w:aliases w:val="Footnote Reference Number,E FNZ,-E Fußnotenzeichen,Footnote#,Footnote symbol,Footnote,Times 10 Point,Exposant 3 Point,Ref,de nota al pie,Footnote reference number,note TESI,SUPERS,EN Footnote Reference,BVI fnr,Appel note de bas de p"/>
    <w:basedOn w:val="DefaultParagraphFont"/>
    <w:link w:val="CharCharChar1"/>
    <w:uiPriority w:val="99"/>
    <w:unhideWhenUsed/>
    <w:qFormat/>
    <w:rsid w:val="00E836C2"/>
    <w:rPr>
      <w:vertAlign w:val="superscript"/>
    </w:rPr>
  </w:style>
  <w:style w:type="character" w:styleId="CommentReference">
    <w:name w:val="annotation reference"/>
    <w:basedOn w:val="DefaultParagraphFont"/>
    <w:uiPriority w:val="99"/>
    <w:semiHidden/>
    <w:unhideWhenUsed/>
    <w:rsid w:val="00E836C2"/>
    <w:rPr>
      <w:sz w:val="16"/>
      <w:szCs w:val="16"/>
    </w:rPr>
  </w:style>
  <w:style w:type="paragraph" w:styleId="CommentText">
    <w:name w:val="annotation text"/>
    <w:basedOn w:val="Normal"/>
    <w:link w:val="CommentTextChar"/>
    <w:uiPriority w:val="99"/>
    <w:unhideWhenUsed/>
    <w:rsid w:val="00E836C2"/>
    <w:pPr>
      <w:spacing w:line="240" w:lineRule="auto"/>
    </w:pPr>
    <w:rPr>
      <w:sz w:val="20"/>
      <w:szCs w:val="20"/>
    </w:rPr>
  </w:style>
  <w:style w:type="character" w:customStyle="1" w:styleId="CommentTextChar">
    <w:name w:val="Comment Text Char"/>
    <w:basedOn w:val="DefaultParagraphFont"/>
    <w:link w:val="CommentText"/>
    <w:uiPriority w:val="99"/>
    <w:rsid w:val="00E836C2"/>
    <w:rPr>
      <w:sz w:val="20"/>
      <w:szCs w:val="20"/>
    </w:rPr>
  </w:style>
  <w:style w:type="character" w:styleId="Hyperlink">
    <w:name w:val="Hyperlink"/>
    <w:aliases w:val="draft"/>
    <w:basedOn w:val="DefaultParagraphFont"/>
    <w:uiPriority w:val="99"/>
    <w:unhideWhenUsed/>
    <w:rsid w:val="00E836C2"/>
    <w:rPr>
      <w:color w:val="467886" w:themeColor="hyperlink"/>
      <w:u w:val="single"/>
    </w:rPr>
  </w:style>
  <w:style w:type="character" w:customStyle="1" w:styleId="UnresolvedMention1">
    <w:name w:val="Unresolved Mention1"/>
    <w:basedOn w:val="DefaultParagraphFont"/>
    <w:uiPriority w:val="99"/>
    <w:semiHidden/>
    <w:unhideWhenUsed/>
    <w:rsid w:val="00E836C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36C2"/>
    <w:rPr>
      <w:b/>
      <w:bCs/>
    </w:rPr>
  </w:style>
  <w:style w:type="character" w:customStyle="1" w:styleId="CommentSubjectChar">
    <w:name w:val="Comment Subject Char"/>
    <w:basedOn w:val="CommentTextChar"/>
    <w:link w:val="CommentSubject"/>
    <w:uiPriority w:val="99"/>
    <w:semiHidden/>
    <w:rsid w:val="00E836C2"/>
    <w:rPr>
      <w:b/>
      <w:bCs/>
      <w:sz w:val="20"/>
      <w:szCs w:val="20"/>
    </w:rPr>
  </w:style>
  <w:style w:type="paragraph" w:styleId="Caption">
    <w:name w:val="caption"/>
    <w:basedOn w:val="Normal"/>
    <w:next w:val="Normal"/>
    <w:uiPriority w:val="35"/>
    <w:semiHidden/>
    <w:unhideWhenUsed/>
    <w:qFormat/>
    <w:rsid w:val="00E836C2"/>
    <w:pPr>
      <w:spacing w:after="200" w:line="240" w:lineRule="auto"/>
    </w:pPr>
    <w:rPr>
      <w:i/>
      <w:iCs/>
      <w:color w:val="0E2841" w:themeColor="text2"/>
      <w:sz w:val="18"/>
      <w:szCs w:val="18"/>
    </w:rPr>
  </w:style>
  <w:style w:type="character" w:styleId="FollowedHyperlink">
    <w:name w:val="FollowedHyperlink"/>
    <w:basedOn w:val="DefaultParagraphFont"/>
    <w:uiPriority w:val="99"/>
    <w:semiHidden/>
    <w:unhideWhenUsed/>
    <w:rsid w:val="00E836C2"/>
    <w:rPr>
      <w:color w:val="96607D" w:themeColor="followedHyperlink"/>
      <w:u w:val="single"/>
    </w:rPr>
  </w:style>
  <w:style w:type="paragraph" w:styleId="Revision">
    <w:name w:val="Revision"/>
    <w:hidden/>
    <w:uiPriority w:val="99"/>
    <w:semiHidden/>
    <w:rsid w:val="00E836C2"/>
    <w:pPr>
      <w:spacing w:after="0" w:line="240" w:lineRule="auto"/>
    </w:pPr>
    <w:rPr>
      <w:sz w:val="24"/>
      <w:szCs w:val="24"/>
    </w:rPr>
  </w:style>
  <w:style w:type="paragraph" w:styleId="NormalWeb">
    <w:name w:val="Normal (Web)"/>
    <w:basedOn w:val="Normal"/>
    <w:uiPriority w:val="99"/>
    <w:semiHidden/>
    <w:unhideWhenUsed/>
    <w:rsid w:val="00E836C2"/>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Strong">
    <w:name w:val="Strong"/>
    <w:basedOn w:val="DefaultParagraphFont"/>
    <w:uiPriority w:val="22"/>
    <w:qFormat/>
    <w:rsid w:val="00E836C2"/>
    <w:rPr>
      <w:b/>
      <w:bCs/>
    </w:rPr>
  </w:style>
  <w:style w:type="character" w:customStyle="1" w:styleId="Mention1">
    <w:name w:val="Mention1"/>
    <w:basedOn w:val="DefaultParagraphFont"/>
    <w:uiPriority w:val="99"/>
    <w:unhideWhenUsed/>
    <w:rsid w:val="00E836C2"/>
    <w:rPr>
      <w:color w:val="2B579A"/>
      <w:shd w:val="clear" w:color="auto" w:fill="E1DFDD"/>
    </w:rPr>
  </w:style>
  <w:style w:type="paragraph" w:customStyle="1" w:styleId="CharCharChar1">
    <w:name w:val="Char Char Char1"/>
    <w:basedOn w:val="Normal"/>
    <w:link w:val="FootnoteReference"/>
    <w:uiPriority w:val="99"/>
    <w:rsid w:val="00E836C2"/>
    <w:pPr>
      <w:spacing w:line="240" w:lineRule="exact"/>
      <w:jc w:val="both"/>
    </w:pPr>
    <w:rPr>
      <w:vertAlign w:val="superscript"/>
    </w:rPr>
  </w:style>
  <w:style w:type="character" w:customStyle="1" w:styleId="normaltextrun">
    <w:name w:val="normaltextrun"/>
    <w:basedOn w:val="DefaultParagraphFont"/>
    <w:rsid w:val="00E836C2"/>
  </w:style>
  <w:style w:type="character" w:customStyle="1" w:styleId="eop">
    <w:name w:val="eop"/>
    <w:basedOn w:val="DefaultParagraphFont"/>
    <w:rsid w:val="00E836C2"/>
  </w:style>
  <w:style w:type="character" w:customStyle="1" w:styleId="superscript">
    <w:name w:val="superscript"/>
    <w:basedOn w:val="DefaultParagraphFont"/>
    <w:rsid w:val="00E836C2"/>
  </w:style>
  <w:style w:type="paragraph" w:customStyle="1" w:styleId="paragraph">
    <w:name w:val="paragraph"/>
    <w:basedOn w:val="Normal"/>
    <w:rsid w:val="00E836C2"/>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BalloonText">
    <w:name w:val="Balloon Text"/>
    <w:basedOn w:val="Normal"/>
    <w:link w:val="BalloonTextChar"/>
    <w:uiPriority w:val="99"/>
    <w:semiHidden/>
    <w:unhideWhenUsed/>
    <w:rsid w:val="00E836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6C2"/>
    <w:rPr>
      <w:rFonts w:ascii="Segoe UI" w:hAnsi="Segoe UI" w:cs="Segoe UI"/>
      <w:sz w:val="18"/>
      <w:szCs w:val="18"/>
    </w:rPr>
  </w:style>
  <w:style w:type="paragraph" w:styleId="Bibliography">
    <w:name w:val="Bibliography"/>
    <w:basedOn w:val="Normal"/>
    <w:next w:val="Normal"/>
    <w:uiPriority w:val="37"/>
    <w:semiHidden/>
    <w:unhideWhenUsed/>
    <w:rsid w:val="00E836C2"/>
    <w:pPr>
      <w:spacing w:line="278" w:lineRule="auto"/>
    </w:pPr>
    <w:rPr>
      <w:sz w:val="24"/>
      <w:szCs w:val="24"/>
    </w:rPr>
  </w:style>
  <w:style w:type="paragraph" w:styleId="BlockText">
    <w:name w:val="Block Text"/>
    <w:basedOn w:val="Normal"/>
    <w:uiPriority w:val="99"/>
    <w:semiHidden/>
    <w:unhideWhenUsed/>
    <w:rsid w:val="00E836C2"/>
    <w:pPr>
      <w:pBdr>
        <w:top w:val="single" w:sz="2" w:space="10" w:color="156082" w:themeColor="accent1"/>
        <w:left w:val="single" w:sz="2" w:space="10" w:color="156082" w:themeColor="accent1"/>
        <w:bottom w:val="single" w:sz="2" w:space="10" w:color="156082" w:themeColor="accent1"/>
        <w:right w:val="single" w:sz="2" w:space="10" w:color="156082" w:themeColor="accent1"/>
      </w:pBdr>
      <w:spacing w:line="278" w:lineRule="auto"/>
      <w:ind w:left="1152" w:right="1152"/>
    </w:pPr>
    <w:rPr>
      <w:rFonts w:eastAsiaTheme="minorEastAsia"/>
      <w:i/>
      <w:iCs/>
      <w:color w:val="156082" w:themeColor="accent1"/>
      <w:sz w:val="24"/>
      <w:szCs w:val="24"/>
    </w:rPr>
  </w:style>
  <w:style w:type="paragraph" w:styleId="BodyText">
    <w:name w:val="Body Text"/>
    <w:basedOn w:val="Normal"/>
    <w:link w:val="BodyTextChar"/>
    <w:uiPriority w:val="99"/>
    <w:semiHidden/>
    <w:unhideWhenUsed/>
    <w:rsid w:val="00E836C2"/>
    <w:pPr>
      <w:spacing w:after="120" w:line="278" w:lineRule="auto"/>
    </w:pPr>
    <w:rPr>
      <w:sz w:val="24"/>
      <w:szCs w:val="24"/>
    </w:rPr>
  </w:style>
  <w:style w:type="character" w:customStyle="1" w:styleId="BodyTextChar">
    <w:name w:val="Body Text Char"/>
    <w:basedOn w:val="DefaultParagraphFont"/>
    <w:link w:val="BodyText"/>
    <w:uiPriority w:val="99"/>
    <w:semiHidden/>
    <w:rsid w:val="00E836C2"/>
    <w:rPr>
      <w:sz w:val="24"/>
      <w:szCs w:val="24"/>
    </w:rPr>
  </w:style>
  <w:style w:type="paragraph" w:styleId="BodyText2">
    <w:name w:val="Body Text 2"/>
    <w:basedOn w:val="Normal"/>
    <w:link w:val="BodyText2Char"/>
    <w:uiPriority w:val="99"/>
    <w:semiHidden/>
    <w:unhideWhenUsed/>
    <w:rsid w:val="00E836C2"/>
    <w:pPr>
      <w:spacing w:after="120" w:line="480" w:lineRule="auto"/>
    </w:pPr>
    <w:rPr>
      <w:sz w:val="24"/>
      <w:szCs w:val="24"/>
    </w:rPr>
  </w:style>
  <w:style w:type="character" w:customStyle="1" w:styleId="BodyText2Char">
    <w:name w:val="Body Text 2 Char"/>
    <w:basedOn w:val="DefaultParagraphFont"/>
    <w:link w:val="BodyText2"/>
    <w:uiPriority w:val="99"/>
    <w:semiHidden/>
    <w:rsid w:val="00E836C2"/>
    <w:rPr>
      <w:sz w:val="24"/>
      <w:szCs w:val="24"/>
    </w:rPr>
  </w:style>
  <w:style w:type="paragraph" w:styleId="BodyText3">
    <w:name w:val="Body Text 3"/>
    <w:basedOn w:val="Normal"/>
    <w:link w:val="BodyText3Char"/>
    <w:uiPriority w:val="99"/>
    <w:semiHidden/>
    <w:unhideWhenUsed/>
    <w:rsid w:val="00E836C2"/>
    <w:pPr>
      <w:spacing w:after="120" w:line="278" w:lineRule="auto"/>
    </w:pPr>
    <w:rPr>
      <w:sz w:val="16"/>
      <w:szCs w:val="16"/>
    </w:rPr>
  </w:style>
  <w:style w:type="character" w:customStyle="1" w:styleId="BodyText3Char">
    <w:name w:val="Body Text 3 Char"/>
    <w:basedOn w:val="DefaultParagraphFont"/>
    <w:link w:val="BodyText3"/>
    <w:uiPriority w:val="99"/>
    <w:semiHidden/>
    <w:rsid w:val="00E836C2"/>
    <w:rPr>
      <w:sz w:val="16"/>
      <w:szCs w:val="16"/>
    </w:rPr>
  </w:style>
  <w:style w:type="paragraph" w:styleId="BodyTextFirstIndent">
    <w:name w:val="Body Text First Indent"/>
    <w:basedOn w:val="BodyText"/>
    <w:link w:val="BodyTextFirstIndentChar"/>
    <w:uiPriority w:val="99"/>
    <w:semiHidden/>
    <w:unhideWhenUsed/>
    <w:rsid w:val="00E836C2"/>
    <w:pPr>
      <w:spacing w:after="160"/>
      <w:ind w:firstLine="360"/>
    </w:pPr>
  </w:style>
  <w:style w:type="character" w:customStyle="1" w:styleId="BodyTextFirstIndentChar">
    <w:name w:val="Body Text First Indent Char"/>
    <w:basedOn w:val="BodyTextChar"/>
    <w:link w:val="BodyTextFirstIndent"/>
    <w:uiPriority w:val="99"/>
    <w:semiHidden/>
    <w:rsid w:val="00E836C2"/>
    <w:rPr>
      <w:sz w:val="24"/>
      <w:szCs w:val="24"/>
    </w:rPr>
  </w:style>
  <w:style w:type="paragraph" w:styleId="BodyTextIndent">
    <w:name w:val="Body Text Indent"/>
    <w:basedOn w:val="Normal"/>
    <w:link w:val="BodyTextIndentChar"/>
    <w:uiPriority w:val="99"/>
    <w:semiHidden/>
    <w:unhideWhenUsed/>
    <w:rsid w:val="00E836C2"/>
    <w:pPr>
      <w:spacing w:after="120" w:line="278" w:lineRule="auto"/>
      <w:ind w:left="360"/>
    </w:pPr>
    <w:rPr>
      <w:sz w:val="24"/>
      <w:szCs w:val="24"/>
    </w:rPr>
  </w:style>
  <w:style w:type="character" w:customStyle="1" w:styleId="BodyTextIndentChar">
    <w:name w:val="Body Text Indent Char"/>
    <w:basedOn w:val="DefaultParagraphFont"/>
    <w:link w:val="BodyTextIndent"/>
    <w:uiPriority w:val="99"/>
    <w:semiHidden/>
    <w:rsid w:val="00E836C2"/>
    <w:rPr>
      <w:sz w:val="24"/>
      <w:szCs w:val="24"/>
    </w:rPr>
  </w:style>
  <w:style w:type="paragraph" w:styleId="BodyTextFirstIndent2">
    <w:name w:val="Body Text First Indent 2"/>
    <w:basedOn w:val="BodyTextIndent"/>
    <w:link w:val="BodyTextFirstIndent2Char"/>
    <w:uiPriority w:val="99"/>
    <w:semiHidden/>
    <w:unhideWhenUsed/>
    <w:rsid w:val="00E836C2"/>
    <w:pPr>
      <w:spacing w:after="160"/>
      <w:ind w:firstLine="360"/>
    </w:pPr>
  </w:style>
  <w:style w:type="character" w:customStyle="1" w:styleId="BodyTextFirstIndent2Char">
    <w:name w:val="Body Text First Indent 2 Char"/>
    <w:basedOn w:val="BodyTextIndentChar"/>
    <w:link w:val="BodyTextFirstIndent2"/>
    <w:uiPriority w:val="99"/>
    <w:semiHidden/>
    <w:rsid w:val="00E836C2"/>
    <w:rPr>
      <w:sz w:val="24"/>
      <w:szCs w:val="24"/>
    </w:rPr>
  </w:style>
  <w:style w:type="paragraph" w:styleId="BodyTextIndent2">
    <w:name w:val="Body Text Indent 2"/>
    <w:basedOn w:val="Normal"/>
    <w:link w:val="BodyTextIndent2Char"/>
    <w:uiPriority w:val="99"/>
    <w:semiHidden/>
    <w:unhideWhenUsed/>
    <w:rsid w:val="00E836C2"/>
    <w:pPr>
      <w:spacing w:after="120" w:line="480" w:lineRule="auto"/>
      <w:ind w:left="360"/>
    </w:pPr>
    <w:rPr>
      <w:sz w:val="24"/>
      <w:szCs w:val="24"/>
    </w:rPr>
  </w:style>
  <w:style w:type="character" w:customStyle="1" w:styleId="BodyTextIndent2Char">
    <w:name w:val="Body Text Indent 2 Char"/>
    <w:basedOn w:val="DefaultParagraphFont"/>
    <w:link w:val="BodyTextIndent2"/>
    <w:uiPriority w:val="99"/>
    <w:semiHidden/>
    <w:rsid w:val="00E836C2"/>
    <w:rPr>
      <w:sz w:val="24"/>
      <w:szCs w:val="24"/>
    </w:rPr>
  </w:style>
  <w:style w:type="paragraph" w:styleId="BodyTextIndent3">
    <w:name w:val="Body Text Indent 3"/>
    <w:basedOn w:val="Normal"/>
    <w:link w:val="BodyTextIndent3Char"/>
    <w:uiPriority w:val="99"/>
    <w:semiHidden/>
    <w:unhideWhenUsed/>
    <w:rsid w:val="00E836C2"/>
    <w:pPr>
      <w:spacing w:after="120" w:line="278" w:lineRule="auto"/>
      <w:ind w:left="360"/>
    </w:pPr>
    <w:rPr>
      <w:sz w:val="16"/>
      <w:szCs w:val="16"/>
    </w:rPr>
  </w:style>
  <w:style w:type="character" w:customStyle="1" w:styleId="BodyTextIndent3Char">
    <w:name w:val="Body Text Indent 3 Char"/>
    <w:basedOn w:val="DefaultParagraphFont"/>
    <w:link w:val="BodyTextIndent3"/>
    <w:uiPriority w:val="99"/>
    <w:semiHidden/>
    <w:rsid w:val="00E836C2"/>
    <w:rPr>
      <w:sz w:val="16"/>
      <w:szCs w:val="16"/>
    </w:rPr>
  </w:style>
  <w:style w:type="paragraph" w:styleId="Closing">
    <w:name w:val="Closing"/>
    <w:basedOn w:val="Normal"/>
    <w:link w:val="ClosingChar"/>
    <w:uiPriority w:val="99"/>
    <w:semiHidden/>
    <w:unhideWhenUsed/>
    <w:rsid w:val="00E836C2"/>
    <w:pPr>
      <w:spacing w:after="0" w:line="240" w:lineRule="auto"/>
      <w:ind w:left="4320"/>
    </w:pPr>
    <w:rPr>
      <w:sz w:val="24"/>
      <w:szCs w:val="24"/>
    </w:rPr>
  </w:style>
  <w:style w:type="character" w:customStyle="1" w:styleId="ClosingChar">
    <w:name w:val="Closing Char"/>
    <w:basedOn w:val="DefaultParagraphFont"/>
    <w:link w:val="Closing"/>
    <w:uiPriority w:val="99"/>
    <w:semiHidden/>
    <w:rsid w:val="00E836C2"/>
    <w:rPr>
      <w:sz w:val="24"/>
      <w:szCs w:val="24"/>
    </w:rPr>
  </w:style>
  <w:style w:type="paragraph" w:styleId="Date">
    <w:name w:val="Date"/>
    <w:basedOn w:val="Normal"/>
    <w:next w:val="Normal"/>
    <w:link w:val="DateChar"/>
    <w:uiPriority w:val="99"/>
    <w:semiHidden/>
    <w:unhideWhenUsed/>
    <w:rsid w:val="00E836C2"/>
    <w:pPr>
      <w:spacing w:line="278" w:lineRule="auto"/>
    </w:pPr>
    <w:rPr>
      <w:sz w:val="24"/>
      <w:szCs w:val="24"/>
    </w:rPr>
  </w:style>
  <w:style w:type="character" w:customStyle="1" w:styleId="DateChar">
    <w:name w:val="Date Char"/>
    <w:basedOn w:val="DefaultParagraphFont"/>
    <w:link w:val="Date"/>
    <w:uiPriority w:val="99"/>
    <w:semiHidden/>
    <w:rsid w:val="00E836C2"/>
    <w:rPr>
      <w:sz w:val="24"/>
      <w:szCs w:val="24"/>
    </w:rPr>
  </w:style>
  <w:style w:type="paragraph" w:styleId="DocumentMap">
    <w:name w:val="Document Map"/>
    <w:basedOn w:val="Normal"/>
    <w:link w:val="DocumentMapChar"/>
    <w:uiPriority w:val="99"/>
    <w:semiHidden/>
    <w:unhideWhenUsed/>
    <w:rsid w:val="00E836C2"/>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836C2"/>
    <w:rPr>
      <w:rFonts w:ascii="Segoe UI" w:hAnsi="Segoe UI" w:cs="Segoe UI"/>
      <w:sz w:val="16"/>
      <w:szCs w:val="16"/>
    </w:rPr>
  </w:style>
  <w:style w:type="paragraph" w:styleId="E-mailSignature">
    <w:name w:val="E-mail Signature"/>
    <w:basedOn w:val="Normal"/>
    <w:link w:val="E-mailSignatureChar"/>
    <w:uiPriority w:val="99"/>
    <w:semiHidden/>
    <w:unhideWhenUsed/>
    <w:rsid w:val="00E836C2"/>
    <w:pPr>
      <w:spacing w:after="0" w:line="240" w:lineRule="auto"/>
    </w:pPr>
    <w:rPr>
      <w:sz w:val="24"/>
      <w:szCs w:val="24"/>
    </w:rPr>
  </w:style>
  <w:style w:type="character" w:customStyle="1" w:styleId="E-mailSignatureChar">
    <w:name w:val="E-mail Signature Char"/>
    <w:basedOn w:val="DefaultParagraphFont"/>
    <w:link w:val="E-mailSignature"/>
    <w:uiPriority w:val="99"/>
    <w:semiHidden/>
    <w:rsid w:val="00E836C2"/>
    <w:rPr>
      <w:sz w:val="24"/>
      <w:szCs w:val="24"/>
    </w:rPr>
  </w:style>
  <w:style w:type="paragraph" w:styleId="EndnoteText">
    <w:name w:val="endnote text"/>
    <w:basedOn w:val="Normal"/>
    <w:link w:val="EndnoteTextChar"/>
    <w:uiPriority w:val="99"/>
    <w:semiHidden/>
    <w:unhideWhenUsed/>
    <w:rsid w:val="00E836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6C2"/>
    <w:rPr>
      <w:sz w:val="20"/>
      <w:szCs w:val="20"/>
    </w:rPr>
  </w:style>
  <w:style w:type="paragraph" w:styleId="EnvelopeAddress">
    <w:name w:val="envelope address"/>
    <w:basedOn w:val="Normal"/>
    <w:uiPriority w:val="99"/>
    <w:semiHidden/>
    <w:unhideWhenUsed/>
    <w:rsid w:val="00E836C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836C2"/>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E836C2"/>
    <w:pPr>
      <w:spacing w:after="0" w:line="240" w:lineRule="auto"/>
    </w:pPr>
    <w:rPr>
      <w:i/>
      <w:iCs/>
      <w:sz w:val="24"/>
      <w:szCs w:val="24"/>
    </w:rPr>
  </w:style>
  <w:style w:type="character" w:customStyle="1" w:styleId="HTMLAddressChar">
    <w:name w:val="HTML Address Char"/>
    <w:basedOn w:val="DefaultParagraphFont"/>
    <w:link w:val="HTMLAddress"/>
    <w:uiPriority w:val="99"/>
    <w:semiHidden/>
    <w:rsid w:val="00E836C2"/>
    <w:rPr>
      <w:i/>
      <w:iCs/>
      <w:sz w:val="24"/>
      <w:szCs w:val="24"/>
    </w:rPr>
  </w:style>
  <w:style w:type="paragraph" w:styleId="HTMLPreformatted">
    <w:name w:val="HTML Preformatted"/>
    <w:basedOn w:val="Normal"/>
    <w:link w:val="HTMLPreformattedChar"/>
    <w:uiPriority w:val="99"/>
    <w:semiHidden/>
    <w:unhideWhenUsed/>
    <w:rsid w:val="00E836C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836C2"/>
    <w:rPr>
      <w:rFonts w:ascii="Consolas" w:hAnsi="Consolas"/>
      <w:sz w:val="20"/>
      <w:szCs w:val="20"/>
    </w:rPr>
  </w:style>
  <w:style w:type="paragraph" w:styleId="Index1">
    <w:name w:val="index 1"/>
    <w:basedOn w:val="Normal"/>
    <w:next w:val="Normal"/>
    <w:autoRedefine/>
    <w:uiPriority w:val="99"/>
    <w:semiHidden/>
    <w:unhideWhenUsed/>
    <w:rsid w:val="00E836C2"/>
    <w:pPr>
      <w:spacing w:after="0" w:line="240" w:lineRule="auto"/>
      <w:ind w:left="240" w:hanging="240"/>
    </w:pPr>
    <w:rPr>
      <w:sz w:val="24"/>
      <w:szCs w:val="24"/>
    </w:rPr>
  </w:style>
  <w:style w:type="paragraph" w:styleId="Index2">
    <w:name w:val="index 2"/>
    <w:basedOn w:val="Normal"/>
    <w:next w:val="Normal"/>
    <w:autoRedefine/>
    <w:uiPriority w:val="99"/>
    <w:semiHidden/>
    <w:unhideWhenUsed/>
    <w:rsid w:val="00E836C2"/>
    <w:pPr>
      <w:spacing w:after="0" w:line="240" w:lineRule="auto"/>
      <w:ind w:left="480" w:hanging="240"/>
    </w:pPr>
    <w:rPr>
      <w:sz w:val="24"/>
      <w:szCs w:val="24"/>
    </w:rPr>
  </w:style>
  <w:style w:type="paragraph" w:styleId="Index3">
    <w:name w:val="index 3"/>
    <w:basedOn w:val="Normal"/>
    <w:next w:val="Normal"/>
    <w:autoRedefine/>
    <w:uiPriority w:val="99"/>
    <w:semiHidden/>
    <w:unhideWhenUsed/>
    <w:rsid w:val="00E836C2"/>
    <w:pPr>
      <w:spacing w:after="0" w:line="240" w:lineRule="auto"/>
      <w:ind w:left="720" w:hanging="240"/>
    </w:pPr>
    <w:rPr>
      <w:sz w:val="24"/>
      <w:szCs w:val="24"/>
    </w:rPr>
  </w:style>
  <w:style w:type="paragraph" w:styleId="Index4">
    <w:name w:val="index 4"/>
    <w:basedOn w:val="Normal"/>
    <w:next w:val="Normal"/>
    <w:autoRedefine/>
    <w:uiPriority w:val="99"/>
    <w:semiHidden/>
    <w:unhideWhenUsed/>
    <w:rsid w:val="00E836C2"/>
    <w:pPr>
      <w:spacing w:after="0" w:line="240" w:lineRule="auto"/>
      <w:ind w:left="960" w:hanging="240"/>
    </w:pPr>
    <w:rPr>
      <w:sz w:val="24"/>
      <w:szCs w:val="24"/>
    </w:rPr>
  </w:style>
  <w:style w:type="paragraph" w:styleId="Index5">
    <w:name w:val="index 5"/>
    <w:basedOn w:val="Normal"/>
    <w:next w:val="Normal"/>
    <w:autoRedefine/>
    <w:uiPriority w:val="99"/>
    <w:semiHidden/>
    <w:unhideWhenUsed/>
    <w:rsid w:val="00E836C2"/>
    <w:pPr>
      <w:spacing w:after="0" w:line="240" w:lineRule="auto"/>
      <w:ind w:left="1200" w:hanging="240"/>
    </w:pPr>
    <w:rPr>
      <w:sz w:val="24"/>
      <w:szCs w:val="24"/>
    </w:rPr>
  </w:style>
  <w:style w:type="paragraph" w:styleId="Index6">
    <w:name w:val="index 6"/>
    <w:basedOn w:val="Normal"/>
    <w:next w:val="Normal"/>
    <w:autoRedefine/>
    <w:uiPriority w:val="99"/>
    <w:semiHidden/>
    <w:unhideWhenUsed/>
    <w:rsid w:val="00E836C2"/>
    <w:pPr>
      <w:spacing w:after="0" w:line="240" w:lineRule="auto"/>
      <w:ind w:left="1440" w:hanging="240"/>
    </w:pPr>
    <w:rPr>
      <w:sz w:val="24"/>
      <w:szCs w:val="24"/>
    </w:rPr>
  </w:style>
  <w:style w:type="paragraph" w:styleId="Index7">
    <w:name w:val="index 7"/>
    <w:basedOn w:val="Normal"/>
    <w:next w:val="Normal"/>
    <w:autoRedefine/>
    <w:uiPriority w:val="99"/>
    <w:semiHidden/>
    <w:unhideWhenUsed/>
    <w:rsid w:val="00E836C2"/>
    <w:pPr>
      <w:spacing w:after="0" w:line="240" w:lineRule="auto"/>
      <w:ind w:left="1680" w:hanging="240"/>
    </w:pPr>
    <w:rPr>
      <w:sz w:val="24"/>
      <w:szCs w:val="24"/>
    </w:rPr>
  </w:style>
  <w:style w:type="paragraph" w:styleId="Index8">
    <w:name w:val="index 8"/>
    <w:basedOn w:val="Normal"/>
    <w:next w:val="Normal"/>
    <w:autoRedefine/>
    <w:uiPriority w:val="99"/>
    <w:semiHidden/>
    <w:unhideWhenUsed/>
    <w:rsid w:val="00E836C2"/>
    <w:pPr>
      <w:spacing w:after="0" w:line="240" w:lineRule="auto"/>
      <w:ind w:left="1920" w:hanging="240"/>
    </w:pPr>
    <w:rPr>
      <w:sz w:val="24"/>
      <w:szCs w:val="24"/>
    </w:rPr>
  </w:style>
  <w:style w:type="paragraph" w:styleId="Index9">
    <w:name w:val="index 9"/>
    <w:basedOn w:val="Normal"/>
    <w:next w:val="Normal"/>
    <w:autoRedefine/>
    <w:uiPriority w:val="99"/>
    <w:semiHidden/>
    <w:unhideWhenUsed/>
    <w:rsid w:val="00E836C2"/>
    <w:pPr>
      <w:spacing w:after="0" w:line="240" w:lineRule="auto"/>
      <w:ind w:left="2160" w:hanging="240"/>
    </w:pPr>
    <w:rPr>
      <w:sz w:val="24"/>
      <w:szCs w:val="24"/>
    </w:rPr>
  </w:style>
  <w:style w:type="paragraph" w:styleId="IndexHeading">
    <w:name w:val="index heading"/>
    <w:basedOn w:val="Normal"/>
    <w:next w:val="Index1"/>
    <w:uiPriority w:val="99"/>
    <w:semiHidden/>
    <w:unhideWhenUsed/>
    <w:rsid w:val="00E836C2"/>
    <w:pPr>
      <w:spacing w:line="278" w:lineRule="auto"/>
    </w:pPr>
    <w:rPr>
      <w:rFonts w:asciiTheme="majorHAnsi" w:eastAsiaTheme="majorEastAsia" w:hAnsiTheme="majorHAnsi" w:cstheme="majorBidi"/>
      <w:b/>
      <w:bCs/>
      <w:sz w:val="24"/>
      <w:szCs w:val="24"/>
    </w:rPr>
  </w:style>
  <w:style w:type="paragraph" w:styleId="List">
    <w:name w:val="List"/>
    <w:basedOn w:val="Normal"/>
    <w:uiPriority w:val="99"/>
    <w:semiHidden/>
    <w:unhideWhenUsed/>
    <w:rsid w:val="00E836C2"/>
    <w:pPr>
      <w:spacing w:line="278" w:lineRule="auto"/>
      <w:ind w:left="360" w:hanging="360"/>
      <w:contextualSpacing/>
    </w:pPr>
    <w:rPr>
      <w:sz w:val="24"/>
      <w:szCs w:val="24"/>
    </w:rPr>
  </w:style>
  <w:style w:type="paragraph" w:styleId="List2">
    <w:name w:val="List 2"/>
    <w:basedOn w:val="Normal"/>
    <w:uiPriority w:val="99"/>
    <w:semiHidden/>
    <w:unhideWhenUsed/>
    <w:rsid w:val="00E836C2"/>
    <w:pPr>
      <w:spacing w:line="278" w:lineRule="auto"/>
      <w:ind w:left="720" w:hanging="360"/>
      <w:contextualSpacing/>
    </w:pPr>
    <w:rPr>
      <w:sz w:val="24"/>
      <w:szCs w:val="24"/>
    </w:rPr>
  </w:style>
  <w:style w:type="paragraph" w:styleId="List3">
    <w:name w:val="List 3"/>
    <w:basedOn w:val="Normal"/>
    <w:uiPriority w:val="99"/>
    <w:semiHidden/>
    <w:unhideWhenUsed/>
    <w:rsid w:val="00E836C2"/>
    <w:pPr>
      <w:spacing w:line="278" w:lineRule="auto"/>
      <w:ind w:left="1080" w:hanging="360"/>
      <w:contextualSpacing/>
    </w:pPr>
    <w:rPr>
      <w:sz w:val="24"/>
      <w:szCs w:val="24"/>
    </w:rPr>
  </w:style>
  <w:style w:type="paragraph" w:styleId="List4">
    <w:name w:val="List 4"/>
    <w:basedOn w:val="Normal"/>
    <w:uiPriority w:val="99"/>
    <w:semiHidden/>
    <w:unhideWhenUsed/>
    <w:rsid w:val="00E836C2"/>
    <w:pPr>
      <w:spacing w:line="278" w:lineRule="auto"/>
      <w:ind w:left="1440" w:hanging="360"/>
      <w:contextualSpacing/>
    </w:pPr>
    <w:rPr>
      <w:sz w:val="24"/>
      <w:szCs w:val="24"/>
    </w:rPr>
  </w:style>
  <w:style w:type="paragraph" w:styleId="List5">
    <w:name w:val="List 5"/>
    <w:basedOn w:val="Normal"/>
    <w:uiPriority w:val="99"/>
    <w:semiHidden/>
    <w:unhideWhenUsed/>
    <w:rsid w:val="00E836C2"/>
    <w:pPr>
      <w:spacing w:line="278" w:lineRule="auto"/>
      <w:ind w:left="1800" w:hanging="360"/>
      <w:contextualSpacing/>
    </w:pPr>
    <w:rPr>
      <w:sz w:val="24"/>
      <w:szCs w:val="24"/>
    </w:rPr>
  </w:style>
  <w:style w:type="paragraph" w:styleId="ListBullet">
    <w:name w:val="List Bullet"/>
    <w:basedOn w:val="Normal"/>
    <w:uiPriority w:val="99"/>
    <w:semiHidden/>
    <w:unhideWhenUsed/>
    <w:rsid w:val="00E836C2"/>
    <w:pPr>
      <w:numPr>
        <w:numId w:val="5"/>
      </w:numPr>
      <w:tabs>
        <w:tab w:val="clear" w:pos="360"/>
      </w:tabs>
      <w:spacing w:line="278" w:lineRule="auto"/>
      <w:ind w:left="0" w:firstLine="0"/>
      <w:contextualSpacing/>
    </w:pPr>
    <w:rPr>
      <w:sz w:val="24"/>
      <w:szCs w:val="24"/>
    </w:rPr>
  </w:style>
  <w:style w:type="paragraph" w:styleId="ListBullet2">
    <w:name w:val="List Bullet 2"/>
    <w:basedOn w:val="Normal"/>
    <w:uiPriority w:val="99"/>
    <w:semiHidden/>
    <w:unhideWhenUsed/>
    <w:rsid w:val="00E836C2"/>
    <w:pPr>
      <w:numPr>
        <w:numId w:val="6"/>
      </w:numPr>
      <w:tabs>
        <w:tab w:val="clear" w:pos="720"/>
      </w:tabs>
      <w:spacing w:line="278" w:lineRule="auto"/>
      <w:ind w:left="0" w:firstLine="0"/>
      <w:contextualSpacing/>
    </w:pPr>
    <w:rPr>
      <w:sz w:val="24"/>
      <w:szCs w:val="24"/>
    </w:rPr>
  </w:style>
  <w:style w:type="paragraph" w:styleId="ListBullet3">
    <w:name w:val="List Bullet 3"/>
    <w:basedOn w:val="Normal"/>
    <w:uiPriority w:val="99"/>
    <w:semiHidden/>
    <w:unhideWhenUsed/>
    <w:rsid w:val="00E836C2"/>
    <w:pPr>
      <w:numPr>
        <w:numId w:val="7"/>
      </w:numPr>
      <w:tabs>
        <w:tab w:val="clear" w:pos="1080"/>
      </w:tabs>
      <w:spacing w:line="278" w:lineRule="auto"/>
      <w:ind w:left="0" w:firstLine="0"/>
      <w:contextualSpacing/>
    </w:pPr>
    <w:rPr>
      <w:sz w:val="24"/>
      <w:szCs w:val="24"/>
    </w:rPr>
  </w:style>
  <w:style w:type="paragraph" w:styleId="ListBullet4">
    <w:name w:val="List Bullet 4"/>
    <w:basedOn w:val="Normal"/>
    <w:uiPriority w:val="99"/>
    <w:semiHidden/>
    <w:unhideWhenUsed/>
    <w:rsid w:val="00E836C2"/>
    <w:pPr>
      <w:numPr>
        <w:numId w:val="8"/>
      </w:numPr>
      <w:tabs>
        <w:tab w:val="clear" w:pos="1440"/>
      </w:tabs>
      <w:spacing w:line="278" w:lineRule="auto"/>
      <w:ind w:left="0" w:firstLine="0"/>
      <w:contextualSpacing/>
    </w:pPr>
    <w:rPr>
      <w:sz w:val="24"/>
      <w:szCs w:val="24"/>
    </w:rPr>
  </w:style>
  <w:style w:type="paragraph" w:styleId="ListBullet5">
    <w:name w:val="List Bullet 5"/>
    <w:basedOn w:val="Normal"/>
    <w:uiPriority w:val="99"/>
    <w:semiHidden/>
    <w:unhideWhenUsed/>
    <w:rsid w:val="00E836C2"/>
    <w:pPr>
      <w:numPr>
        <w:numId w:val="9"/>
      </w:numPr>
      <w:tabs>
        <w:tab w:val="clear" w:pos="1800"/>
      </w:tabs>
      <w:spacing w:line="278" w:lineRule="auto"/>
      <w:ind w:left="0" w:firstLine="0"/>
      <w:contextualSpacing/>
    </w:pPr>
    <w:rPr>
      <w:sz w:val="24"/>
      <w:szCs w:val="24"/>
    </w:rPr>
  </w:style>
  <w:style w:type="paragraph" w:styleId="ListContinue">
    <w:name w:val="List Continue"/>
    <w:basedOn w:val="Normal"/>
    <w:uiPriority w:val="99"/>
    <w:semiHidden/>
    <w:unhideWhenUsed/>
    <w:rsid w:val="00E836C2"/>
    <w:pPr>
      <w:spacing w:after="120" w:line="278" w:lineRule="auto"/>
      <w:ind w:left="360"/>
      <w:contextualSpacing/>
    </w:pPr>
    <w:rPr>
      <w:sz w:val="24"/>
      <w:szCs w:val="24"/>
    </w:rPr>
  </w:style>
  <w:style w:type="paragraph" w:styleId="ListContinue2">
    <w:name w:val="List Continue 2"/>
    <w:basedOn w:val="Normal"/>
    <w:uiPriority w:val="99"/>
    <w:semiHidden/>
    <w:unhideWhenUsed/>
    <w:rsid w:val="00E836C2"/>
    <w:pPr>
      <w:spacing w:after="120" w:line="278" w:lineRule="auto"/>
      <w:ind w:left="720"/>
      <w:contextualSpacing/>
    </w:pPr>
    <w:rPr>
      <w:sz w:val="24"/>
      <w:szCs w:val="24"/>
    </w:rPr>
  </w:style>
  <w:style w:type="paragraph" w:styleId="ListContinue3">
    <w:name w:val="List Continue 3"/>
    <w:basedOn w:val="Normal"/>
    <w:uiPriority w:val="99"/>
    <w:semiHidden/>
    <w:unhideWhenUsed/>
    <w:rsid w:val="00E836C2"/>
    <w:pPr>
      <w:spacing w:after="120" w:line="278" w:lineRule="auto"/>
      <w:ind w:left="1080"/>
      <w:contextualSpacing/>
    </w:pPr>
    <w:rPr>
      <w:sz w:val="24"/>
      <w:szCs w:val="24"/>
    </w:rPr>
  </w:style>
  <w:style w:type="paragraph" w:styleId="ListContinue4">
    <w:name w:val="List Continue 4"/>
    <w:basedOn w:val="Normal"/>
    <w:uiPriority w:val="99"/>
    <w:semiHidden/>
    <w:unhideWhenUsed/>
    <w:rsid w:val="00E836C2"/>
    <w:pPr>
      <w:spacing w:after="120" w:line="278" w:lineRule="auto"/>
      <w:ind w:left="1440"/>
      <w:contextualSpacing/>
    </w:pPr>
    <w:rPr>
      <w:sz w:val="24"/>
      <w:szCs w:val="24"/>
    </w:rPr>
  </w:style>
  <w:style w:type="paragraph" w:styleId="ListContinue5">
    <w:name w:val="List Continue 5"/>
    <w:basedOn w:val="Normal"/>
    <w:uiPriority w:val="99"/>
    <w:semiHidden/>
    <w:unhideWhenUsed/>
    <w:rsid w:val="00E836C2"/>
    <w:pPr>
      <w:spacing w:after="120" w:line="278" w:lineRule="auto"/>
      <w:ind w:left="1800"/>
      <w:contextualSpacing/>
    </w:pPr>
    <w:rPr>
      <w:sz w:val="24"/>
      <w:szCs w:val="24"/>
    </w:rPr>
  </w:style>
  <w:style w:type="paragraph" w:styleId="ListNumber">
    <w:name w:val="List Number"/>
    <w:basedOn w:val="Normal"/>
    <w:uiPriority w:val="99"/>
    <w:semiHidden/>
    <w:unhideWhenUsed/>
    <w:rsid w:val="00E836C2"/>
    <w:pPr>
      <w:numPr>
        <w:numId w:val="10"/>
      </w:numPr>
      <w:tabs>
        <w:tab w:val="clear" w:pos="360"/>
      </w:tabs>
      <w:spacing w:line="278" w:lineRule="auto"/>
      <w:ind w:left="0" w:firstLine="0"/>
      <w:contextualSpacing/>
    </w:pPr>
    <w:rPr>
      <w:sz w:val="24"/>
      <w:szCs w:val="24"/>
    </w:rPr>
  </w:style>
  <w:style w:type="paragraph" w:styleId="ListNumber2">
    <w:name w:val="List Number 2"/>
    <w:basedOn w:val="Normal"/>
    <w:uiPriority w:val="99"/>
    <w:semiHidden/>
    <w:unhideWhenUsed/>
    <w:rsid w:val="00E836C2"/>
    <w:pPr>
      <w:numPr>
        <w:numId w:val="11"/>
      </w:numPr>
      <w:tabs>
        <w:tab w:val="clear" w:pos="720"/>
      </w:tabs>
      <w:spacing w:line="278" w:lineRule="auto"/>
      <w:ind w:left="0" w:firstLine="0"/>
      <w:contextualSpacing/>
    </w:pPr>
    <w:rPr>
      <w:sz w:val="24"/>
      <w:szCs w:val="24"/>
    </w:rPr>
  </w:style>
  <w:style w:type="paragraph" w:styleId="ListNumber3">
    <w:name w:val="List Number 3"/>
    <w:basedOn w:val="Normal"/>
    <w:uiPriority w:val="99"/>
    <w:semiHidden/>
    <w:unhideWhenUsed/>
    <w:rsid w:val="00E836C2"/>
    <w:pPr>
      <w:numPr>
        <w:numId w:val="12"/>
      </w:numPr>
      <w:tabs>
        <w:tab w:val="clear" w:pos="1080"/>
      </w:tabs>
      <w:spacing w:line="278" w:lineRule="auto"/>
      <w:ind w:left="0" w:firstLine="0"/>
      <w:contextualSpacing/>
    </w:pPr>
    <w:rPr>
      <w:sz w:val="24"/>
      <w:szCs w:val="24"/>
    </w:rPr>
  </w:style>
  <w:style w:type="paragraph" w:styleId="ListNumber4">
    <w:name w:val="List Number 4"/>
    <w:basedOn w:val="Normal"/>
    <w:uiPriority w:val="99"/>
    <w:semiHidden/>
    <w:unhideWhenUsed/>
    <w:rsid w:val="00E836C2"/>
    <w:pPr>
      <w:numPr>
        <w:numId w:val="13"/>
      </w:numPr>
      <w:tabs>
        <w:tab w:val="clear" w:pos="1440"/>
      </w:tabs>
      <w:spacing w:line="278" w:lineRule="auto"/>
      <w:ind w:left="0" w:firstLine="0"/>
      <w:contextualSpacing/>
    </w:pPr>
    <w:rPr>
      <w:sz w:val="24"/>
      <w:szCs w:val="24"/>
    </w:rPr>
  </w:style>
  <w:style w:type="paragraph" w:styleId="ListNumber5">
    <w:name w:val="List Number 5"/>
    <w:basedOn w:val="Normal"/>
    <w:uiPriority w:val="99"/>
    <w:semiHidden/>
    <w:unhideWhenUsed/>
    <w:rsid w:val="00E836C2"/>
    <w:pPr>
      <w:numPr>
        <w:numId w:val="14"/>
      </w:numPr>
      <w:tabs>
        <w:tab w:val="clear" w:pos="1800"/>
      </w:tabs>
      <w:spacing w:line="278" w:lineRule="auto"/>
      <w:ind w:left="0" w:firstLine="0"/>
      <w:contextualSpacing/>
    </w:pPr>
    <w:rPr>
      <w:sz w:val="24"/>
      <w:szCs w:val="24"/>
    </w:rPr>
  </w:style>
  <w:style w:type="paragraph" w:styleId="MacroText">
    <w:name w:val="macro"/>
    <w:link w:val="MacroTextChar"/>
    <w:uiPriority w:val="99"/>
    <w:semiHidden/>
    <w:unhideWhenUsed/>
    <w:rsid w:val="00E836C2"/>
    <w:pPr>
      <w:tabs>
        <w:tab w:val="left" w:pos="480"/>
        <w:tab w:val="left" w:pos="960"/>
        <w:tab w:val="left" w:pos="1440"/>
        <w:tab w:val="left" w:pos="1920"/>
        <w:tab w:val="left" w:pos="2400"/>
        <w:tab w:val="left" w:pos="2880"/>
        <w:tab w:val="left" w:pos="3360"/>
        <w:tab w:val="left" w:pos="3840"/>
        <w:tab w:val="left" w:pos="4320"/>
      </w:tabs>
      <w:spacing w:after="0" w:line="278"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E836C2"/>
    <w:rPr>
      <w:rFonts w:ascii="Consolas" w:hAnsi="Consolas"/>
      <w:sz w:val="20"/>
      <w:szCs w:val="20"/>
    </w:rPr>
  </w:style>
  <w:style w:type="paragraph" w:styleId="MessageHeader">
    <w:name w:val="Message Header"/>
    <w:basedOn w:val="Normal"/>
    <w:link w:val="MessageHeaderChar"/>
    <w:uiPriority w:val="99"/>
    <w:semiHidden/>
    <w:unhideWhenUsed/>
    <w:rsid w:val="00E836C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836C2"/>
    <w:rPr>
      <w:rFonts w:asciiTheme="majorHAnsi" w:eastAsiaTheme="majorEastAsia" w:hAnsiTheme="majorHAnsi" w:cstheme="majorBidi"/>
      <w:sz w:val="24"/>
      <w:szCs w:val="24"/>
      <w:shd w:val="pct20" w:color="auto" w:fill="auto"/>
    </w:rPr>
  </w:style>
  <w:style w:type="paragraph" w:styleId="NoSpacing">
    <w:name w:val="No Spacing"/>
    <w:uiPriority w:val="1"/>
    <w:qFormat/>
    <w:rsid w:val="00E836C2"/>
    <w:pPr>
      <w:spacing w:after="0" w:line="240" w:lineRule="auto"/>
    </w:pPr>
    <w:rPr>
      <w:sz w:val="24"/>
      <w:szCs w:val="24"/>
    </w:rPr>
  </w:style>
  <w:style w:type="paragraph" w:styleId="NormalIndent">
    <w:name w:val="Normal Indent"/>
    <w:basedOn w:val="Normal"/>
    <w:uiPriority w:val="99"/>
    <w:semiHidden/>
    <w:unhideWhenUsed/>
    <w:rsid w:val="00E836C2"/>
    <w:pPr>
      <w:spacing w:line="278" w:lineRule="auto"/>
      <w:ind w:left="720"/>
    </w:pPr>
    <w:rPr>
      <w:sz w:val="24"/>
      <w:szCs w:val="24"/>
    </w:rPr>
  </w:style>
  <w:style w:type="paragraph" w:styleId="NoteHeading">
    <w:name w:val="Note Heading"/>
    <w:basedOn w:val="Normal"/>
    <w:next w:val="Normal"/>
    <w:link w:val="NoteHeadingChar"/>
    <w:uiPriority w:val="99"/>
    <w:semiHidden/>
    <w:unhideWhenUsed/>
    <w:rsid w:val="00E836C2"/>
    <w:pPr>
      <w:spacing w:after="0" w:line="240" w:lineRule="auto"/>
    </w:pPr>
    <w:rPr>
      <w:sz w:val="24"/>
      <w:szCs w:val="24"/>
    </w:rPr>
  </w:style>
  <w:style w:type="character" w:customStyle="1" w:styleId="NoteHeadingChar">
    <w:name w:val="Note Heading Char"/>
    <w:basedOn w:val="DefaultParagraphFont"/>
    <w:link w:val="NoteHeading"/>
    <w:uiPriority w:val="99"/>
    <w:semiHidden/>
    <w:rsid w:val="00E836C2"/>
    <w:rPr>
      <w:sz w:val="24"/>
      <w:szCs w:val="24"/>
    </w:rPr>
  </w:style>
  <w:style w:type="paragraph" w:styleId="PlainText">
    <w:name w:val="Plain Text"/>
    <w:basedOn w:val="Normal"/>
    <w:link w:val="PlainTextChar"/>
    <w:uiPriority w:val="99"/>
    <w:semiHidden/>
    <w:unhideWhenUsed/>
    <w:rsid w:val="00E836C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836C2"/>
    <w:rPr>
      <w:rFonts w:ascii="Consolas" w:hAnsi="Consolas"/>
      <w:sz w:val="21"/>
      <w:szCs w:val="21"/>
    </w:rPr>
  </w:style>
  <w:style w:type="paragraph" w:styleId="Salutation">
    <w:name w:val="Salutation"/>
    <w:basedOn w:val="Normal"/>
    <w:next w:val="Normal"/>
    <w:link w:val="SalutationChar"/>
    <w:uiPriority w:val="99"/>
    <w:semiHidden/>
    <w:unhideWhenUsed/>
    <w:rsid w:val="00E836C2"/>
    <w:pPr>
      <w:spacing w:line="278" w:lineRule="auto"/>
    </w:pPr>
    <w:rPr>
      <w:sz w:val="24"/>
      <w:szCs w:val="24"/>
    </w:rPr>
  </w:style>
  <w:style w:type="character" w:customStyle="1" w:styleId="SalutationChar">
    <w:name w:val="Salutation Char"/>
    <w:basedOn w:val="DefaultParagraphFont"/>
    <w:link w:val="Salutation"/>
    <w:uiPriority w:val="99"/>
    <w:semiHidden/>
    <w:rsid w:val="00E836C2"/>
    <w:rPr>
      <w:sz w:val="24"/>
      <w:szCs w:val="24"/>
    </w:rPr>
  </w:style>
  <w:style w:type="paragraph" w:styleId="Signature">
    <w:name w:val="Signature"/>
    <w:basedOn w:val="Normal"/>
    <w:link w:val="SignatureChar"/>
    <w:uiPriority w:val="99"/>
    <w:semiHidden/>
    <w:unhideWhenUsed/>
    <w:rsid w:val="00E836C2"/>
    <w:pPr>
      <w:spacing w:after="0" w:line="240" w:lineRule="auto"/>
      <w:ind w:left="4320"/>
    </w:pPr>
    <w:rPr>
      <w:sz w:val="24"/>
      <w:szCs w:val="24"/>
    </w:rPr>
  </w:style>
  <w:style w:type="character" w:customStyle="1" w:styleId="SignatureChar">
    <w:name w:val="Signature Char"/>
    <w:basedOn w:val="DefaultParagraphFont"/>
    <w:link w:val="Signature"/>
    <w:uiPriority w:val="99"/>
    <w:semiHidden/>
    <w:rsid w:val="00E836C2"/>
    <w:rPr>
      <w:sz w:val="24"/>
      <w:szCs w:val="24"/>
    </w:rPr>
  </w:style>
  <w:style w:type="paragraph" w:styleId="TableofAuthorities">
    <w:name w:val="table of authorities"/>
    <w:basedOn w:val="Normal"/>
    <w:next w:val="Normal"/>
    <w:uiPriority w:val="99"/>
    <w:semiHidden/>
    <w:unhideWhenUsed/>
    <w:rsid w:val="00E836C2"/>
    <w:pPr>
      <w:spacing w:after="0" w:line="278" w:lineRule="auto"/>
      <w:ind w:left="240" w:hanging="240"/>
    </w:pPr>
    <w:rPr>
      <w:sz w:val="24"/>
      <w:szCs w:val="24"/>
    </w:rPr>
  </w:style>
  <w:style w:type="paragraph" w:styleId="TableofFigures">
    <w:name w:val="table of figures"/>
    <w:basedOn w:val="Normal"/>
    <w:next w:val="Normal"/>
    <w:uiPriority w:val="99"/>
    <w:semiHidden/>
    <w:unhideWhenUsed/>
    <w:rsid w:val="00E836C2"/>
    <w:pPr>
      <w:spacing w:after="0" w:line="278" w:lineRule="auto"/>
    </w:pPr>
    <w:rPr>
      <w:sz w:val="24"/>
      <w:szCs w:val="24"/>
    </w:rPr>
  </w:style>
  <w:style w:type="paragraph" w:styleId="TOAHeading">
    <w:name w:val="toa heading"/>
    <w:basedOn w:val="Normal"/>
    <w:next w:val="Normal"/>
    <w:uiPriority w:val="99"/>
    <w:semiHidden/>
    <w:unhideWhenUsed/>
    <w:rsid w:val="00E836C2"/>
    <w:pPr>
      <w:spacing w:before="120" w:line="278" w:lineRule="auto"/>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836C2"/>
    <w:pPr>
      <w:spacing w:after="100" w:line="278" w:lineRule="auto"/>
    </w:pPr>
    <w:rPr>
      <w:sz w:val="24"/>
      <w:szCs w:val="24"/>
    </w:rPr>
  </w:style>
  <w:style w:type="paragraph" w:styleId="TOC2">
    <w:name w:val="toc 2"/>
    <w:basedOn w:val="Normal"/>
    <w:next w:val="Normal"/>
    <w:autoRedefine/>
    <w:uiPriority w:val="39"/>
    <w:semiHidden/>
    <w:unhideWhenUsed/>
    <w:rsid w:val="00E836C2"/>
    <w:pPr>
      <w:spacing w:after="100" w:line="278" w:lineRule="auto"/>
      <w:ind w:left="240"/>
    </w:pPr>
    <w:rPr>
      <w:sz w:val="24"/>
      <w:szCs w:val="24"/>
    </w:rPr>
  </w:style>
  <w:style w:type="paragraph" w:styleId="TOC3">
    <w:name w:val="toc 3"/>
    <w:basedOn w:val="Normal"/>
    <w:next w:val="Normal"/>
    <w:autoRedefine/>
    <w:uiPriority w:val="39"/>
    <w:semiHidden/>
    <w:unhideWhenUsed/>
    <w:rsid w:val="00E836C2"/>
    <w:pPr>
      <w:spacing w:after="100" w:line="278" w:lineRule="auto"/>
      <w:ind w:left="480"/>
    </w:pPr>
    <w:rPr>
      <w:sz w:val="24"/>
      <w:szCs w:val="24"/>
    </w:rPr>
  </w:style>
  <w:style w:type="paragraph" w:styleId="TOC4">
    <w:name w:val="toc 4"/>
    <w:basedOn w:val="Normal"/>
    <w:next w:val="Normal"/>
    <w:autoRedefine/>
    <w:uiPriority w:val="39"/>
    <w:semiHidden/>
    <w:unhideWhenUsed/>
    <w:rsid w:val="00E836C2"/>
    <w:pPr>
      <w:spacing w:after="100" w:line="278" w:lineRule="auto"/>
      <w:ind w:left="720"/>
    </w:pPr>
    <w:rPr>
      <w:sz w:val="24"/>
      <w:szCs w:val="24"/>
    </w:rPr>
  </w:style>
  <w:style w:type="paragraph" w:styleId="TOC5">
    <w:name w:val="toc 5"/>
    <w:basedOn w:val="Normal"/>
    <w:next w:val="Normal"/>
    <w:autoRedefine/>
    <w:uiPriority w:val="39"/>
    <w:semiHidden/>
    <w:unhideWhenUsed/>
    <w:rsid w:val="00E836C2"/>
    <w:pPr>
      <w:spacing w:after="100" w:line="278" w:lineRule="auto"/>
      <w:ind w:left="960"/>
    </w:pPr>
    <w:rPr>
      <w:sz w:val="24"/>
      <w:szCs w:val="24"/>
    </w:rPr>
  </w:style>
  <w:style w:type="paragraph" w:styleId="TOC6">
    <w:name w:val="toc 6"/>
    <w:basedOn w:val="Normal"/>
    <w:next w:val="Normal"/>
    <w:autoRedefine/>
    <w:uiPriority w:val="39"/>
    <w:semiHidden/>
    <w:unhideWhenUsed/>
    <w:rsid w:val="00E836C2"/>
    <w:pPr>
      <w:spacing w:after="100" w:line="278" w:lineRule="auto"/>
      <w:ind w:left="1200"/>
    </w:pPr>
    <w:rPr>
      <w:sz w:val="24"/>
      <w:szCs w:val="24"/>
    </w:rPr>
  </w:style>
  <w:style w:type="paragraph" w:styleId="TOC7">
    <w:name w:val="toc 7"/>
    <w:basedOn w:val="Normal"/>
    <w:next w:val="Normal"/>
    <w:autoRedefine/>
    <w:uiPriority w:val="39"/>
    <w:semiHidden/>
    <w:unhideWhenUsed/>
    <w:rsid w:val="00E836C2"/>
    <w:pPr>
      <w:spacing w:after="100" w:line="278" w:lineRule="auto"/>
      <w:ind w:left="1440"/>
    </w:pPr>
    <w:rPr>
      <w:sz w:val="24"/>
      <w:szCs w:val="24"/>
    </w:rPr>
  </w:style>
  <w:style w:type="paragraph" w:styleId="TOC8">
    <w:name w:val="toc 8"/>
    <w:basedOn w:val="Normal"/>
    <w:next w:val="Normal"/>
    <w:autoRedefine/>
    <w:uiPriority w:val="39"/>
    <w:semiHidden/>
    <w:unhideWhenUsed/>
    <w:rsid w:val="00E836C2"/>
    <w:pPr>
      <w:spacing w:after="100" w:line="278" w:lineRule="auto"/>
      <w:ind w:left="1680"/>
    </w:pPr>
    <w:rPr>
      <w:sz w:val="24"/>
      <w:szCs w:val="24"/>
    </w:rPr>
  </w:style>
  <w:style w:type="paragraph" w:styleId="TOC9">
    <w:name w:val="toc 9"/>
    <w:basedOn w:val="Normal"/>
    <w:next w:val="Normal"/>
    <w:autoRedefine/>
    <w:uiPriority w:val="39"/>
    <w:semiHidden/>
    <w:unhideWhenUsed/>
    <w:rsid w:val="00E836C2"/>
    <w:pPr>
      <w:spacing w:after="100" w:line="278" w:lineRule="auto"/>
      <w:ind w:left="1920"/>
    </w:pPr>
    <w:rPr>
      <w:sz w:val="24"/>
      <w:szCs w:val="24"/>
    </w:rPr>
  </w:style>
  <w:style w:type="paragraph" w:styleId="TOCHeading">
    <w:name w:val="TOC Heading"/>
    <w:basedOn w:val="Heading1"/>
    <w:next w:val="Normal"/>
    <w:uiPriority w:val="39"/>
    <w:semiHidden/>
    <w:unhideWhenUsed/>
    <w:qFormat/>
    <w:rsid w:val="00E836C2"/>
    <w:pPr>
      <w:spacing w:before="240" w:after="0" w:line="278" w:lineRule="auto"/>
      <w:outlineLvl w:val="9"/>
    </w:pPr>
    <w:rPr>
      <w:sz w:val="32"/>
      <w:szCs w:val="32"/>
    </w:rPr>
  </w:style>
  <w:style w:type="paragraph" w:customStyle="1" w:styleId="pf0">
    <w:name w:val="pf0"/>
    <w:basedOn w:val="Normal"/>
    <w:rsid w:val="00E836C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DefaultParagraphFont"/>
    <w:rsid w:val="00E836C2"/>
    <w:rPr>
      <w:rFonts w:ascii="Segoe UI" w:hAnsi="Segoe UI" w:cs="Segoe UI" w:hint="default"/>
      <w:sz w:val="18"/>
      <w:szCs w:val="18"/>
    </w:rPr>
  </w:style>
  <w:style w:type="table" w:styleId="TableGrid">
    <w:name w:val="Table Grid"/>
    <w:basedOn w:val="TableNormal"/>
    <w:uiPriority w:val="39"/>
    <w:rsid w:val="00E836C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690131">
      <w:bodyDiv w:val="1"/>
      <w:marLeft w:val="0"/>
      <w:marRight w:val="0"/>
      <w:marTop w:val="0"/>
      <w:marBottom w:val="0"/>
      <w:divBdr>
        <w:top w:val="none" w:sz="0" w:space="0" w:color="auto"/>
        <w:left w:val="none" w:sz="0" w:space="0" w:color="auto"/>
        <w:bottom w:val="none" w:sz="0" w:space="0" w:color="auto"/>
        <w:right w:val="none" w:sz="0" w:space="0" w:color="auto"/>
      </w:divBdr>
    </w:div>
    <w:div w:id="46808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news-and-media/news/oceaneye-reinforcing-ocean-observation-and-protection-2026-03-02_ro" TargetMode="External"/><Relationship Id="rId13" Type="http://schemas.openxmlformats.org/officeDocument/2006/relationships/hyperlink" Target="https://joint-research-centre.ec.europa.eu/document/download/8f22629d-b9bf-40ed-99b6-6385a95028ab_en?filename=pesetaiv_task_6_coastal_final_report.pdf" TargetMode="External"/><Relationship Id="rId18" Type="http://schemas.openxmlformats.org/officeDocument/2006/relationships/hyperlink" Target="https://jaspers.eib.org/" TargetMode="External"/><Relationship Id="rId26" Type="http://schemas.openxmlformats.org/officeDocument/2006/relationships/hyperlink" Target="https://whc.unesco.org/en/marine-programme/" TargetMode="External"/><Relationship Id="rId3" Type="http://schemas.openxmlformats.org/officeDocument/2006/relationships/hyperlink" Target="https://op.europa.eu/en/publication-detail/-/publication/ffd75d10-5327-11f1-b3e2-01aa75ed71a1/language-en" TargetMode="External"/><Relationship Id="rId21" Type="http://schemas.openxmlformats.org/officeDocument/2006/relationships/hyperlink" Target="https://www.eea.europa.eu/en/europe-environment-2025/main-report" TargetMode="External"/><Relationship Id="rId7" Type="http://schemas.openxmlformats.org/officeDocument/2006/relationships/hyperlink" Target="https://blue-economy-observatory.ec.europa.eu/eu-blue-economy-sectors/coastal-tourism_en" TargetMode="External"/><Relationship Id="rId12" Type="http://schemas.openxmlformats.org/officeDocument/2006/relationships/hyperlink" Target="https://www.eea.europa.eu/publications/european-climate-risk-assessment" TargetMode="External"/><Relationship Id="rId17" Type="http://schemas.openxmlformats.org/officeDocument/2006/relationships/hyperlink" Target="https://research-and-innovation.ec.europa.eu/funding/funding-opportunities/funding-programmes-and-open-calls/horizon-europe/eu-missions-horizon-europe/restore-our-ocean-and-waters_en" TargetMode="External"/><Relationship Id="rId25" Type="http://schemas.openxmlformats.org/officeDocument/2006/relationships/hyperlink" Target="https://ec.europa.eu/info/law/better-regulation/have-your-say/initiatives/18032-Strategia-privind-dreptul-de-a-ramane-pe-teritoriu-regiunea-ta-viitorul-tau_ro" TargetMode="External"/><Relationship Id="rId2" Type="http://schemas.openxmlformats.org/officeDocument/2006/relationships/hyperlink" Target="https://maritime-forum.ec.europa.eu/theme/governance/european-ocean-days_en" TargetMode="External"/><Relationship Id="rId16" Type="http://schemas.openxmlformats.org/officeDocument/2006/relationships/hyperlink" Target="https://research-and-innovation.ec.europa.eu/funding/funding-opportunities/funding-programmes-and-open-calls/horizon-europe/eu-missions-horizon-europe/restore-our-ocean-and-waters_en" TargetMode="External"/><Relationship Id="rId20" Type="http://schemas.openxmlformats.org/officeDocument/2006/relationships/hyperlink" Target="https://civil-protection-knowledge-network.europa.eu/projects/coastwave-20" TargetMode="External"/><Relationship Id="rId29" Type="http://schemas.openxmlformats.org/officeDocument/2006/relationships/hyperlink" Target="https://www.bluepartnership.eu/" TargetMode="External"/><Relationship Id="rId1" Type="http://schemas.openxmlformats.org/officeDocument/2006/relationships/hyperlink" Target="https://ec.europa.eu/info/law/better-regulation/have-your-say/initiatives/16853-Strategia-UE-pentru-comunitatile-costiere_ro" TargetMode="External"/><Relationship Id="rId6" Type="http://schemas.openxmlformats.org/officeDocument/2006/relationships/hyperlink" Target="https://ec.europa.eu/regional_policy/policy/communities-and-networks/s3-community-of-practice/thematic_sustainable_blue_economy_en" TargetMode="External"/><Relationship Id="rId11" Type="http://schemas.openxmlformats.org/officeDocument/2006/relationships/hyperlink" Target="https://webgate.ec.europa.eu/circabc-ewpp/d/d/workspace/SpacesStore/77d87c8e-d0a4-453a-aa86-68266b4f0848/download" TargetMode="External"/><Relationship Id="rId24" Type="http://schemas.openxmlformats.org/officeDocument/2006/relationships/hyperlink" Target="https://research-and-innovation.ec.europa.eu/funding/funding-opportunities/funding-programmes-and-open-calls/horizon-europe/eu-missions-horizon-europe/soil-deal-europe_en" TargetMode="External"/><Relationship Id="rId5" Type="http://schemas.openxmlformats.org/officeDocument/2006/relationships/hyperlink" Target="https://data.europa.eu/doi/10.2771/1823987" TargetMode="External"/><Relationship Id="rId15" Type="http://schemas.openxmlformats.org/officeDocument/2006/relationships/hyperlink" Target="https://mission-adaptation-portal.ec.europa.eu/index_en" TargetMode="External"/><Relationship Id="rId23" Type="http://schemas.openxmlformats.org/officeDocument/2006/relationships/hyperlink" Target="https://research-and-innovation.ec.europa.eu/funding/funding-opportunities/funding-programmes-and-open-calls/horizon-europe/eu-missions-horizon-europe/soil-deal-europe_en" TargetMode="External"/><Relationship Id="rId28" Type="http://schemas.openxmlformats.org/officeDocument/2006/relationships/hyperlink" Target="https://ec.europa.eu/regional_policy/policy/how/improving-investment/regio-peer-2-peer/taiex-regio-peer-2-peer_en" TargetMode="External"/><Relationship Id="rId10" Type="http://schemas.openxmlformats.org/officeDocument/2006/relationships/hyperlink" Target="https://destination-earth.eu/" TargetMode="External"/><Relationship Id="rId19" Type="http://schemas.openxmlformats.org/officeDocument/2006/relationships/hyperlink" Target="https://civil-protection-knowledge-network.europa.eu/projects/coastwave-20" TargetMode="External"/><Relationship Id="rId4" Type="http://schemas.openxmlformats.org/officeDocument/2006/relationships/hyperlink" Target="https://op.europa.eu/webpub/mare/eu-blue-economy-report-2025/blue-economic-sectors/coastal-tourism.html" TargetMode="External"/><Relationship Id="rId9" Type="http://schemas.openxmlformats.org/officeDocument/2006/relationships/hyperlink" Target="https://commission.europa.eu/news-and-media/news/oceaneye-reinforcing-ocean-observation-and-protection-2026-03-02_ro" TargetMode="External"/><Relationship Id="rId14" Type="http://schemas.openxmlformats.org/officeDocument/2006/relationships/hyperlink" Target="https://www.unep.org/resources/adaptation-gap-report-2023" TargetMode="External"/><Relationship Id="rId22" Type="http://schemas.openxmlformats.org/officeDocument/2006/relationships/hyperlink" Target="https://marine.copernicus.eu/access-data/ocean-state-report/ocean-state-report-9" TargetMode="External"/><Relationship Id="rId27" Type="http://schemas.openxmlformats.org/officeDocument/2006/relationships/hyperlink" Target="https://eur-lex.europa.eu/legal-content/RO/TXT/PDF/?uri=PI_COM:C(2025)7231" TargetMode="External"/><Relationship Id="rId30" Type="http://schemas.openxmlformats.org/officeDocument/2006/relationships/hyperlink" Target="https://ec.europa.eu/info/funding-tenders/opportunities/docs/2021-2027/horizon/wp-call/2026-2027/wp-12-missions_horizon-2026-2027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F9E4F-8571-4F51-867E-4130F22BC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6956</Words>
  <Characters>39650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46513</CharactersWithSpaces>
  <SharedDoc>false</SharedDoc>
  <HLinks>
    <vt:vector size="156" baseType="variant">
      <vt:variant>
        <vt:i4>5570562</vt:i4>
      </vt:variant>
      <vt:variant>
        <vt:i4>75</vt:i4>
      </vt:variant>
      <vt:variant>
        <vt:i4>0</vt:i4>
      </vt:variant>
      <vt:variant>
        <vt:i4>5</vt:i4>
      </vt:variant>
      <vt:variant>
        <vt:lpwstr>https://ec.europa.eu/info/funding-tenders/opportunities/docs/2021-2027/horizon/wp-call/2026-2027/wp-12-missions_horizon-2026-2027_en.pdf</vt:lpwstr>
      </vt:variant>
      <vt:variant>
        <vt:lpwstr/>
      </vt:variant>
      <vt:variant>
        <vt:i4>7340084</vt:i4>
      </vt:variant>
      <vt:variant>
        <vt:i4>72</vt:i4>
      </vt:variant>
      <vt:variant>
        <vt:i4>0</vt:i4>
      </vt:variant>
      <vt:variant>
        <vt:i4>5</vt:i4>
      </vt:variant>
      <vt:variant>
        <vt:lpwstr>https://www.bluepartnership.eu/</vt:lpwstr>
      </vt:variant>
      <vt:variant>
        <vt:lpwstr/>
      </vt:variant>
      <vt:variant>
        <vt:i4>2162789</vt:i4>
      </vt:variant>
      <vt:variant>
        <vt:i4>69</vt:i4>
      </vt:variant>
      <vt:variant>
        <vt:i4>0</vt:i4>
      </vt:variant>
      <vt:variant>
        <vt:i4>5</vt:i4>
      </vt:variant>
      <vt:variant>
        <vt:lpwstr>https://ec.europa.eu/regional_policy/policy/how/improving-investment/regio-peer-2-peer/taiex-regio-peer-2-peer_en</vt:lpwstr>
      </vt:variant>
      <vt:variant>
        <vt:lpwstr/>
      </vt:variant>
      <vt:variant>
        <vt:i4>2424841</vt:i4>
      </vt:variant>
      <vt:variant>
        <vt:i4>66</vt:i4>
      </vt:variant>
      <vt:variant>
        <vt:i4>0</vt:i4>
      </vt:variant>
      <vt:variant>
        <vt:i4>5</vt:i4>
      </vt:variant>
      <vt:variant>
        <vt:lpwstr>https://ec.europa.eu/finance/docs/law/251029-communication-crr-legislative-programmes_en.pdf</vt:lpwstr>
      </vt:variant>
      <vt:variant>
        <vt:lpwstr/>
      </vt:variant>
      <vt:variant>
        <vt:i4>7274623</vt:i4>
      </vt:variant>
      <vt:variant>
        <vt:i4>63</vt:i4>
      </vt:variant>
      <vt:variant>
        <vt:i4>0</vt:i4>
      </vt:variant>
      <vt:variant>
        <vt:i4>5</vt:i4>
      </vt:variant>
      <vt:variant>
        <vt:lpwstr>https://whc.unesco.org/en/marine-programme/</vt:lpwstr>
      </vt:variant>
      <vt:variant>
        <vt:lpwstr/>
      </vt:variant>
      <vt:variant>
        <vt:i4>786533</vt:i4>
      </vt:variant>
      <vt:variant>
        <vt:i4>60</vt:i4>
      </vt:variant>
      <vt:variant>
        <vt:i4>0</vt:i4>
      </vt:variant>
      <vt:variant>
        <vt:i4>5</vt:i4>
      </vt:variant>
      <vt:variant>
        <vt:lpwstr>https://ec.europa.eu/info/law/better-regulation/have-your-say/initiatives/18032-Right-to-Stay-Strategy-Your-Region-Your-Future_en</vt:lpwstr>
      </vt:variant>
      <vt:variant>
        <vt:lpwstr/>
      </vt:variant>
      <vt:variant>
        <vt:i4>4522035</vt:i4>
      </vt:variant>
      <vt:variant>
        <vt:i4>57</vt:i4>
      </vt:variant>
      <vt:variant>
        <vt:i4>0</vt:i4>
      </vt:variant>
      <vt:variant>
        <vt:i4>5</vt:i4>
      </vt:variant>
      <vt:variant>
        <vt:lpwstr>https://research-and-innovation.ec.europa.eu/funding/funding-opportunities/funding-programmes-and-open-calls/horizon-europe/eu-missions-horizon-europe/soil-deal-europe_en</vt:lpwstr>
      </vt:variant>
      <vt:variant>
        <vt:lpwstr/>
      </vt:variant>
      <vt:variant>
        <vt:i4>983129</vt:i4>
      </vt:variant>
      <vt:variant>
        <vt:i4>54</vt:i4>
      </vt:variant>
      <vt:variant>
        <vt:i4>0</vt:i4>
      </vt:variant>
      <vt:variant>
        <vt:i4>5</vt:i4>
      </vt:variant>
      <vt:variant>
        <vt:lpwstr>https://marine.copernicus.eu/access-data/ocean-state-report/ocean-state-report-9</vt:lpwstr>
      </vt:variant>
      <vt:variant>
        <vt:lpwstr/>
      </vt:variant>
      <vt:variant>
        <vt:i4>131075</vt:i4>
      </vt:variant>
      <vt:variant>
        <vt:i4>51</vt:i4>
      </vt:variant>
      <vt:variant>
        <vt:i4>0</vt:i4>
      </vt:variant>
      <vt:variant>
        <vt:i4>5</vt:i4>
      </vt:variant>
      <vt:variant>
        <vt:lpwstr>https://www.eea.europa.eu/en/europe-environment-2025/main-report</vt:lpwstr>
      </vt:variant>
      <vt:variant>
        <vt:lpwstr/>
      </vt:variant>
      <vt:variant>
        <vt:i4>3407988</vt:i4>
      </vt:variant>
      <vt:variant>
        <vt:i4>48</vt:i4>
      </vt:variant>
      <vt:variant>
        <vt:i4>0</vt:i4>
      </vt:variant>
      <vt:variant>
        <vt:i4>5</vt:i4>
      </vt:variant>
      <vt:variant>
        <vt:lpwstr>https://civil-protection-knowledge-network.europa.eu/projects/coastwave-20</vt:lpwstr>
      </vt:variant>
      <vt:variant>
        <vt:lpwstr/>
      </vt:variant>
      <vt:variant>
        <vt:i4>4587584</vt:i4>
      </vt:variant>
      <vt:variant>
        <vt:i4>45</vt:i4>
      </vt:variant>
      <vt:variant>
        <vt:i4>0</vt:i4>
      </vt:variant>
      <vt:variant>
        <vt:i4>5</vt:i4>
      </vt:variant>
      <vt:variant>
        <vt:lpwstr>https://jaspers.eib.org/</vt:lpwstr>
      </vt:variant>
      <vt:variant>
        <vt:lpwstr/>
      </vt:variant>
      <vt:variant>
        <vt:i4>1704042</vt:i4>
      </vt:variant>
      <vt:variant>
        <vt:i4>42</vt:i4>
      </vt:variant>
      <vt:variant>
        <vt:i4>0</vt:i4>
      </vt:variant>
      <vt:variant>
        <vt:i4>5</vt:i4>
      </vt:variant>
      <vt:variant>
        <vt:lpwstr>https://research-and-innovation.ec.europa.eu/funding/funding-opportunities/funding-programmes-and-open-calls/horizon-europe/eu-missions-horizon-europe/restore-our-ocean-and-waters_en</vt:lpwstr>
      </vt:variant>
      <vt:variant>
        <vt:lpwstr/>
      </vt:variant>
      <vt:variant>
        <vt:i4>3735618</vt:i4>
      </vt:variant>
      <vt:variant>
        <vt:i4>39</vt:i4>
      </vt:variant>
      <vt:variant>
        <vt:i4>0</vt:i4>
      </vt:variant>
      <vt:variant>
        <vt:i4>5</vt:i4>
      </vt:variant>
      <vt:variant>
        <vt:lpwstr>https://mission-adaptation-portal.ec.europa.eu/index_en</vt:lpwstr>
      </vt:variant>
      <vt:variant>
        <vt:lpwstr/>
      </vt:variant>
      <vt:variant>
        <vt:i4>4849689</vt:i4>
      </vt:variant>
      <vt:variant>
        <vt:i4>36</vt:i4>
      </vt:variant>
      <vt:variant>
        <vt:i4>0</vt:i4>
      </vt:variant>
      <vt:variant>
        <vt:i4>5</vt:i4>
      </vt:variant>
      <vt:variant>
        <vt:lpwstr>https://www.unep.org/resources/adaptation-gap-report-2023</vt:lpwstr>
      </vt:variant>
      <vt:variant>
        <vt:lpwstr/>
      </vt:variant>
      <vt:variant>
        <vt:i4>851998</vt:i4>
      </vt:variant>
      <vt:variant>
        <vt:i4>33</vt:i4>
      </vt:variant>
      <vt:variant>
        <vt:i4>0</vt:i4>
      </vt:variant>
      <vt:variant>
        <vt:i4>5</vt:i4>
      </vt:variant>
      <vt:variant>
        <vt:lpwstr>https://joint-research-centre.ec.europa.eu/document/download/8f22629d-b9bf-40ed-99b6-6385a95028ab_en?filename=pesetaiv_task_6_coastal_final_report.pdf</vt:lpwstr>
      </vt:variant>
      <vt:variant>
        <vt:lpwstr/>
      </vt:variant>
      <vt:variant>
        <vt:i4>3342457</vt:i4>
      </vt:variant>
      <vt:variant>
        <vt:i4>30</vt:i4>
      </vt:variant>
      <vt:variant>
        <vt:i4>0</vt:i4>
      </vt:variant>
      <vt:variant>
        <vt:i4>5</vt:i4>
      </vt:variant>
      <vt:variant>
        <vt:lpwstr>https://www.eea.europa.eu/publications/european-climate-risk-assessment</vt:lpwstr>
      </vt:variant>
      <vt:variant>
        <vt:lpwstr/>
      </vt:variant>
      <vt:variant>
        <vt:i4>5963870</vt:i4>
      </vt:variant>
      <vt:variant>
        <vt:i4>27</vt:i4>
      </vt:variant>
      <vt:variant>
        <vt:i4>0</vt:i4>
      </vt:variant>
      <vt:variant>
        <vt:i4>5</vt:i4>
      </vt:variant>
      <vt:variant>
        <vt:lpwstr>https://webgate.ec.europa.eu/circabc-ewpp/d/d/workspace/SpacesStore/77d87c8e-d0a4-453a-aa86-68266b4f0848/download</vt:lpwstr>
      </vt:variant>
      <vt:variant>
        <vt:lpwstr/>
      </vt:variant>
      <vt:variant>
        <vt:i4>1441858</vt:i4>
      </vt:variant>
      <vt:variant>
        <vt:i4>24</vt:i4>
      </vt:variant>
      <vt:variant>
        <vt:i4>0</vt:i4>
      </vt:variant>
      <vt:variant>
        <vt:i4>5</vt:i4>
      </vt:variant>
      <vt:variant>
        <vt:lpwstr>https://destination-earth.eu/</vt:lpwstr>
      </vt:variant>
      <vt:variant>
        <vt:lpwstr/>
      </vt:variant>
      <vt:variant>
        <vt:i4>3866627</vt:i4>
      </vt:variant>
      <vt:variant>
        <vt:i4>21</vt:i4>
      </vt:variant>
      <vt:variant>
        <vt:i4>0</vt:i4>
      </vt:variant>
      <vt:variant>
        <vt:i4>5</vt:i4>
      </vt:variant>
      <vt:variant>
        <vt:lpwstr>https://commission.europa.eu/news-and-media/news/oceaneye-reinforcing-ocean-observation-and-protection-2026-03-02_en</vt:lpwstr>
      </vt:variant>
      <vt:variant>
        <vt:lpwstr/>
      </vt:variant>
      <vt:variant>
        <vt:i4>2490394</vt:i4>
      </vt:variant>
      <vt:variant>
        <vt:i4>18</vt:i4>
      </vt:variant>
      <vt:variant>
        <vt:i4>0</vt:i4>
      </vt:variant>
      <vt:variant>
        <vt:i4>5</vt:i4>
      </vt:variant>
      <vt:variant>
        <vt:lpwstr>https://blue-economy-observatory.ec.europa.eu/eu-blue-economy-sectors/coastal-tourism_en</vt:lpwstr>
      </vt:variant>
      <vt:variant>
        <vt:lpwstr/>
      </vt:variant>
      <vt:variant>
        <vt:i4>131116</vt:i4>
      </vt:variant>
      <vt:variant>
        <vt:i4>15</vt:i4>
      </vt:variant>
      <vt:variant>
        <vt:i4>0</vt:i4>
      </vt:variant>
      <vt:variant>
        <vt:i4>5</vt:i4>
      </vt:variant>
      <vt:variant>
        <vt:lpwstr>https://ec.europa.eu/regional_policy/policy/communities-and-networks/s3-community-of-practice/thematic_sustainable_blue_economy_en</vt:lpwstr>
      </vt:variant>
      <vt:variant>
        <vt:lpwstr/>
      </vt:variant>
      <vt:variant>
        <vt:i4>3407910</vt:i4>
      </vt:variant>
      <vt:variant>
        <vt:i4>12</vt:i4>
      </vt:variant>
      <vt:variant>
        <vt:i4>0</vt:i4>
      </vt:variant>
      <vt:variant>
        <vt:i4>5</vt:i4>
      </vt:variant>
      <vt:variant>
        <vt:lpwstr>https://data.europa.eu/doi/10.2771/1823987</vt:lpwstr>
      </vt:variant>
      <vt:variant>
        <vt:lpwstr/>
      </vt:variant>
      <vt:variant>
        <vt:i4>3932196</vt:i4>
      </vt:variant>
      <vt:variant>
        <vt:i4>9</vt:i4>
      </vt:variant>
      <vt:variant>
        <vt:i4>0</vt:i4>
      </vt:variant>
      <vt:variant>
        <vt:i4>5</vt:i4>
      </vt:variant>
      <vt:variant>
        <vt:lpwstr>https://op.europa.eu/webpub/mare/eu-blue-economy-report-2025/blue-economic-sectors/coastal-tourism.html</vt:lpwstr>
      </vt:variant>
      <vt:variant>
        <vt:lpwstr/>
      </vt:variant>
      <vt:variant>
        <vt:i4>4849741</vt:i4>
      </vt:variant>
      <vt:variant>
        <vt:i4>6</vt:i4>
      </vt:variant>
      <vt:variant>
        <vt:i4>0</vt:i4>
      </vt:variant>
      <vt:variant>
        <vt:i4>5</vt:i4>
      </vt:variant>
      <vt:variant>
        <vt:lpwstr>https://op.europa.eu/en/publication-detail/-/publication/ffd75d10-5327-11f1-b3e2-01aa75ed71a1/language-en</vt:lpwstr>
      </vt:variant>
      <vt:variant>
        <vt:lpwstr/>
      </vt:variant>
      <vt:variant>
        <vt:i4>2097165</vt:i4>
      </vt:variant>
      <vt:variant>
        <vt:i4>3</vt:i4>
      </vt:variant>
      <vt:variant>
        <vt:i4>0</vt:i4>
      </vt:variant>
      <vt:variant>
        <vt:i4>5</vt:i4>
      </vt:variant>
      <vt:variant>
        <vt:lpwstr>https://maritime-forum.ec.europa.eu/theme/governance/european-ocean-days_en</vt:lpwstr>
      </vt:variant>
      <vt:variant>
        <vt:lpwstr/>
      </vt:variant>
      <vt:variant>
        <vt:i4>5701674</vt:i4>
      </vt:variant>
      <vt:variant>
        <vt:i4>0</vt:i4>
      </vt:variant>
      <vt:variant>
        <vt:i4>0</vt:i4>
      </vt:variant>
      <vt:variant>
        <vt:i4>5</vt:i4>
      </vt:variant>
      <vt:variant>
        <vt:lpwstr>https://ec.europa.eu/info/law/better-regulation/have-your-say/initiatives/16853-EU-coastal-communities-strategy_en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2026-06-22T13:05:00Z</dcterms:created>
  <dcterms:modified xsi:type="dcterms:W3CDTF">2026-06-25T07:41:00Z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2026-06-08T17:11:36Z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bce380aa-f2cb-40b5-8c7b-2415de70b862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