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F1767" w14:textId="37552200" w:rsidR="00D04BFD" w:rsidRDefault="00B07B1D" w:rsidP="00B07B1D">
      <w:pPr>
        <w:pStyle w:val="Pagedecouverture"/>
      </w:pPr>
      <w:bookmarkStart w:id="0" w:name="LW_BM_COVERPAGE"/>
      <w:r>
        <w:pict w14:anchorId="014ADD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771D4E2-D85B-471C-8A39-D07136833B71" style="width:455pt;height:314pt">
            <v:imagedata r:id="rId8" o:title=""/>
          </v:shape>
        </w:pict>
      </w:r>
    </w:p>
    <w:bookmarkEnd w:id="0"/>
    <w:p w14:paraId="10B8D909" w14:textId="77777777" w:rsidR="00D04BFD" w:rsidRDefault="00D04BFD" w:rsidP="00D04BFD">
      <w:pPr>
        <w:sectPr w:rsidR="00D04BFD" w:rsidSect="00B07B1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AFD7B37" w14:textId="64DCC2BB" w:rsidR="00D04BFD" w:rsidRPr="00D04BFD" w:rsidRDefault="00D04BFD" w:rsidP="00D04BFD">
      <w:pPr>
        <w:spacing w:after="240" w:line="240" w:lineRule="auto"/>
        <w:jc w:val="both"/>
        <w:rPr>
          <w:rFonts w:ascii="Times New Roman" w:hAnsi="Times New Roman" w:cs="Times New Roman"/>
        </w:rPr>
      </w:pPr>
      <w:r w:rsidRPr="00D04BFD">
        <w:rPr>
          <w:rFonts w:ascii="Times New Roman" w:hAnsi="Times New Roman" w:cs="Times New Roman"/>
          <w:b/>
          <w:bCs/>
        </w:rPr>
        <w:lastRenderedPageBreak/>
        <w:t xml:space="preserve">Child poverty </w:t>
      </w:r>
      <w:r w:rsidRPr="00D04BFD" w:rsidDel="00322F0E">
        <w:rPr>
          <w:rFonts w:ascii="Times New Roman" w:hAnsi="Times New Roman" w:cs="Times New Roman"/>
          <w:b/>
          <w:bCs/>
        </w:rPr>
        <w:t>in the EU</w:t>
      </w:r>
      <w:r w:rsidRPr="00D04BFD">
        <w:rPr>
          <w:rFonts w:ascii="Times New Roman" w:hAnsi="Times New Roman" w:cs="Times New Roman"/>
          <w:b/>
          <w:bCs/>
        </w:rPr>
        <w:t xml:space="preserve"> remains</w:t>
      </w:r>
      <w:r w:rsidRPr="00D04BFD" w:rsidDel="00322F0E">
        <w:rPr>
          <w:rFonts w:ascii="Times New Roman" w:hAnsi="Times New Roman" w:cs="Times New Roman"/>
          <w:b/>
          <w:bCs/>
        </w:rPr>
        <w:t xml:space="preserve"> persistently high</w:t>
      </w:r>
      <w:r w:rsidRPr="00D04BFD">
        <w:rPr>
          <w:rFonts w:ascii="Times New Roman" w:hAnsi="Times New Roman" w:cs="Times New Roman"/>
          <w:b/>
          <w:bCs/>
        </w:rPr>
        <w:t xml:space="preserve">. </w:t>
      </w:r>
      <w:r w:rsidRPr="00D04BFD" w:rsidDel="00583DBD">
        <w:rPr>
          <w:rFonts w:ascii="Times New Roman" w:hAnsi="Times New Roman" w:cs="Times New Roman"/>
        </w:rPr>
        <w:t>P</w:t>
      </w:r>
      <w:r w:rsidRPr="00D04BFD">
        <w:rPr>
          <w:rFonts w:ascii="Times New Roman" w:hAnsi="Times New Roman" w:cs="Times New Roman"/>
        </w:rPr>
        <w:t>rogress towards the 2030 objective of reducing the number of children at risk of poverty or social exclusion by at least 5 million has stalled. N</w:t>
      </w:r>
      <w:r w:rsidRPr="00D04BFD" w:rsidDel="005A6CC2">
        <w:rPr>
          <w:rFonts w:ascii="Times New Roman" w:hAnsi="Times New Roman" w:cs="Times New Roman"/>
        </w:rPr>
        <w:t>early</w:t>
      </w:r>
      <w:r w:rsidRPr="00D04BFD">
        <w:rPr>
          <w:rFonts w:ascii="Times New Roman" w:hAnsi="Times New Roman" w:cs="Times New Roman"/>
        </w:rPr>
        <w:t xml:space="preserve"> one in four children faces such risks (</w:t>
      </w:r>
      <w:r w:rsidRPr="00D04BFD">
        <w:rPr>
          <w:rStyle w:val="FootnoteReference"/>
          <w:rFonts w:ascii="Times New Roman" w:hAnsi="Times New Roman" w:cs="Times New Roman"/>
        </w:rPr>
        <w:footnoteReference w:id="1"/>
      </w:r>
      <w:r w:rsidRPr="00D04BFD">
        <w:rPr>
          <w:rFonts w:ascii="Times New Roman" w:hAnsi="Times New Roman" w:cs="Times New Roman"/>
        </w:rPr>
        <w:t>). At the same time, the rising cost of living continues to put pressure on family budgets. Child poverty is not only a question of disposable income; it also encompasses whether children’s basic needs, such as food or housing, are met, and whether they have access to essential services for their wellbeing and development (education, healthcare, extra-curricular activities).</w:t>
      </w:r>
    </w:p>
    <w:p w14:paraId="596CC672" w14:textId="77777777" w:rsidR="00D04BFD" w:rsidRPr="00D04BFD" w:rsidRDefault="00D04BFD" w:rsidP="00D04BFD">
      <w:pPr>
        <w:spacing w:after="240" w:line="240" w:lineRule="auto"/>
        <w:jc w:val="both"/>
        <w:rPr>
          <w:rFonts w:ascii="Times New Roman" w:hAnsi="Times New Roman" w:cs="Times New Roman"/>
        </w:rPr>
      </w:pPr>
      <w:r w:rsidRPr="00D04BFD">
        <w:rPr>
          <w:rFonts w:ascii="Times New Roman" w:hAnsi="Times New Roman" w:cs="Times New Roman"/>
          <w:b/>
          <w:bCs/>
        </w:rPr>
        <w:t>The consequences of growing up in poverty are severe and long-lasting – it nearly doubles the likelihood (</w:t>
      </w:r>
      <w:r w:rsidRPr="00D04BFD">
        <w:rPr>
          <w:rStyle w:val="FootnoteReference"/>
          <w:rFonts w:ascii="Times New Roman" w:hAnsi="Times New Roman" w:cs="Times New Roman"/>
          <w:b/>
          <w:bCs/>
        </w:rPr>
        <w:footnoteReference w:id="2"/>
      </w:r>
      <w:r w:rsidRPr="00D04BFD">
        <w:rPr>
          <w:rFonts w:ascii="Times New Roman" w:hAnsi="Times New Roman" w:cs="Times New Roman"/>
          <w:b/>
          <w:bCs/>
        </w:rPr>
        <w:t>) of poverty in adulthood</w:t>
      </w:r>
      <w:r w:rsidRPr="00D04BFD">
        <w:rPr>
          <w:rFonts w:ascii="Times New Roman" w:hAnsi="Times New Roman" w:cs="Times New Roman"/>
        </w:rPr>
        <w:t>. Children in poverty may face obstacles such as limited access to adequate nutrition (</w:t>
      </w:r>
      <w:r w:rsidRPr="00D04BFD">
        <w:rPr>
          <w:rStyle w:val="FootnoteReference"/>
          <w:rFonts w:ascii="Times New Roman" w:hAnsi="Times New Roman" w:cs="Times New Roman"/>
        </w:rPr>
        <w:footnoteReference w:id="3"/>
      </w:r>
      <w:r w:rsidRPr="00D04BFD">
        <w:rPr>
          <w:rFonts w:ascii="Times New Roman" w:hAnsi="Times New Roman" w:cs="Times New Roman"/>
        </w:rPr>
        <w:t>), healthcare, or adequate housing, as well as heightened exposure to violence and online risks. These disadvantages undermine children’s rights, overall wellbeing, educational attainment and participation in society, and curtail future life and employment prospects. Child poverty also has a territorial dimension - regional and territorial disparities persist, unveiling stark differences behind national averages.</w:t>
      </w:r>
    </w:p>
    <w:p w14:paraId="3D05D89C" w14:textId="77777777" w:rsidR="00D04BFD" w:rsidRPr="00D04BFD" w:rsidRDefault="00D04BFD" w:rsidP="00D04BFD">
      <w:pPr>
        <w:spacing w:after="240" w:line="240" w:lineRule="auto"/>
        <w:jc w:val="both"/>
        <w:rPr>
          <w:rFonts w:ascii="Times New Roman" w:hAnsi="Times New Roman" w:cs="Times New Roman"/>
          <w:b/>
          <w:bCs/>
        </w:rPr>
      </w:pPr>
      <w:r w:rsidRPr="00D04BFD">
        <w:rPr>
          <w:rFonts w:ascii="Times New Roman" w:hAnsi="Times New Roman" w:cs="Times New Roman"/>
          <w:b/>
          <w:bCs/>
        </w:rPr>
        <w:t>Bold actions and robust investments are needed without delay</w:t>
      </w:r>
      <w:r w:rsidRPr="00D04BFD">
        <w:rPr>
          <w:rFonts w:ascii="Times New Roman" w:hAnsi="Times New Roman" w:cs="Times New Roman"/>
        </w:rPr>
        <w:t>. The cost of inaction is high: child disadvantages and their lifelong effects are estimated to cost Europe 3.4% of GDP (</w:t>
      </w:r>
      <w:r w:rsidRPr="00D04BFD">
        <w:rPr>
          <w:rStyle w:val="FootnoteReference"/>
          <w:rFonts w:ascii="Times New Roman" w:hAnsi="Times New Roman" w:cs="Times New Roman"/>
        </w:rPr>
        <w:footnoteReference w:id="4"/>
      </w:r>
      <w:r w:rsidRPr="00D04BFD">
        <w:rPr>
          <w:rFonts w:ascii="Times New Roman" w:hAnsi="Times New Roman" w:cs="Times New Roman"/>
        </w:rPr>
        <w:t>) each year. In contrast, investing in children from the earliest age onward yields a high rate of positive returns (</w:t>
      </w:r>
      <w:r w:rsidRPr="00D04BFD">
        <w:rPr>
          <w:rStyle w:val="FootnoteReference"/>
          <w:rFonts w:ascii="Times New Roman" w:hAnsi="Times New Roman" w:cs="Times New Roman"/>
        </w:rPr>
        <w:footnoteReference w:id="5"/>
      </w:r>
      <w:r w:rsidRPr="00D04BFD">
        <w:rPr>
          <w:rFonts w:ascii="Times New Roman" w:hAnsi="Times New Roman" w:cs="Times New Roman"/>
        </w:rPr>
        <w:t>) for the children and their future development, and for our economy, social cohesion and democracy.</w:t>
      </w:r>
      <w:r w:rsidRPr="00D04BFD">
        <w:rPr>
          <w:rFonts w:ascii="Times New Roman" w:hAnsi="Times New Roman" w:cs="Times New Roman"/>
          <w:b/>
          <w:bCs/>
        </w:rPr>
        <w:t xml:space="preserve"> </w:t>
      </w:r>
      <w:r w:rsidRPr="00D04BFD">
        <w:rPr>
          <w:rFonts w:ascii="Times New Roman" w:hAnsi="Times New Roman" w:cs="Times New Roman"/>
        </w:rPr>
        <w:t>Given tight budgetary constraints, it is therefore essential to assess and, where needed, rebalance how social and public spending is allocated across age groups in order to reduce child poverty and promote intergenerational fairness.</w:t>
      </w:r>
    </w:p>
    <w:p w14:paraId="2453A04E" w14:textId="3844F838" w:rsidR="00D04BFD" w:rsidRPr="00F52F43" w:rsidRDefault="00D04BFD" w:rsidP="00F52F43">
      <w:pPr>
        <w:spacing w:after="240" w:line="240" w:lineRule="auto"/>
        <w:jc w:val="both"/>
        <w:rPr>
          <w:rFonts w:ascii="Times New Roman" w:hAnsi="Times New Roman" w:cs="Times New Roman"/>
        </w:rPr>
      </w:pPr>
      <w:r w:rsidRPr="00D04BFD">
        <w:rPr>
          <w:rFonts w:ascii="Times New Roman" w:hAnsi="Times New Roman" w:cs="Times New Roman"/>
          <w:b/>
          <w:bCs/>
        </w:rPr>
        <w:t>The</w:t>
      </w:r>
      <w:r w:rsidRPr="00D04BFD">
        <w:rPr>
          <w:rFonts w:ascii="Times New Roman" w:hAnsi="Times New Roman" w:cs="Times New Roman"/>
        </w:rPr>
        <w:t xml:space="preserve"> </w:t>
      </w:r>
      <w:r w:rsidRPr="00D04BFD">
        <w:rPr>
          <w:rFonts w:ascii="Times New Roman" w:hAnsi="Times New Roman" w:cs="Times New Roman"/>
          <w:b/>
          <w:bCs/>
        </w:rPr>
        <w:t>EU and Member States are implementing policies to combat child poverty</w:t>
      </w:r>
      <w:r w:rsidRPr="00D04BFD">
        <w:rPr>
          <w:rFonts w:ascii="Times New Roman" w:hAnsi="Times New Roman" w:cs="Times New Roman"/>
        </w:rPr>
        <w:t xml:space="preserve">, also supported by EU funding. A cornerstone policy tool is the </w:t>
      </w:r>
      <w:r w:rsidRPr="00D04BFD">
        <w:rPr>
          <w:rFonts w:ascii="Times New Roman" w:hAnsi="Times New Roman" w:cs="Times New Roman"/>
          <w:b/>
          <w:bCs/>
        </w:rPr>
        <w:t xml:space="preserve">European Child Guarantee </w:t>
      </w:r>
      <w:r w:rsidRPr="00D04BFD">
        <w:rPr>
          <w:rFonts w:ascii="Times New Roman" w:hAnsi="Times New Roman" w:cs="Times New Roman"/>
        </w:rPr>
        <w:t>(</w:t>
      </w:r>
      <w:r w:rsidRPr="00D04BFD">
        <w:rPr>
          <w:rStyle w:val="FootnoteReference"/>
          <w:rFonts w:ascii="Times New Roman" w:hAnsi="Times New Roman" w:cs="Times New Roman"/>
        </w:rPr>
        <w:footnoteReference w:id="6"/>
      </w:r>
      <w:r w:rsidRPr="00D04BFD">
        <w:rPr>
          <w:rFonts w:ascii="Times New Roman" w:hAnsi="Times New Roman" w:cs="Times New Roman"/>
        </w:rPr>
        <w:t xml:space="preserve">). The Guarantee has improved access to services for children at risk of poverty or social exclusion. Since its adoption, the Guarantee has </w:t>
      </w:r>
      <w:r w:rsidRPr="00D04BFD">
        <w:rPr>
          <w:rFonts w:ascii="Times New Roman" w:hAnsi="Times New Roman" w:cs="Times New Roman"/>
          <w:b/>
          <w:bCs/>
        </w:rPr>
        <w:t>delivered important gains</w:t>
      </w:r>
      <w:r w:rsidRPr="00D04BFD">
        <w:rPr>
          <w:rFonts w:ascii="Times New Roman" w:hAnsi="Times New Roman" w:cs="Times New Roman"/>
        </w:rPr>
        <w:t xml:space="preserve">: early childhood education and care (ECEC) participation among children in poverty has risen by 2 percentage points; at least seven Member States have expanded school meal programmes; and 850,000 more children, 80% of them at risk of poverty, have gained access to school-based activities. </w:t>
      </w:r>
      <w:r w:rsidRPr="00D04BFD">
        <w:rPr>
          <w:rFonts w:ascii="Times New Roman" w:eastAsia="Times New Roman" w:hAnsi="Times New Roman" w:cs="Times New Roman"/>
          <w:color w:val="000000" w:themeColor="text1"/>
        </w:rPr>
        <w:t>These gains need to be scaled up by dismantling remaining access barriers in each of these areas.</w:t>
      </w:r>
    </w:p>
    <w:p w14:paraId="37399CB0" w14:textId="2D237DCE" w:rsidR="00D04BFD" w:rsidRPr="00D04BFD" w:rsidRDefault="00D04BFD" w:rsidP="00D04BFD">
      <w:pPr>
        <w:spacing w:after="240" w:line="240" w:lineRule="auto"/>
        <w:jc w:val="both"/>
        <w:rPr>
          <w:rFonts w:ascii="Times New Roman" w:hAnsi="Times New Roman" w:cs="Times New Roman"/>
        </w:rPr>
      </w:pPr>
      <w:r w:rsidRPr="00D04BFD">
        <w:rPr>
          <w:rFonts w:ascii="Times New Roman" w:hAnsi="Times New Roman" w:cs="Times New Roman"/>
        </w:rPr>
        <w:t>Yet</w:t>
      </w:r>
      <w:r w:rsidRPr="00D04BFD">
        <w:rPr>
          <w:rFonts w:ascii="Times New Roman" w:hAnsi="Times New Roman" w:cs="Times New Roman"/>
          <w:bCs/>
        </w:rPr>
        <w:t>,</w:t>
      </w:r>
      <w:r w:rsidRPr="00D04BFD">
        <w:rPr>
          <w:rFonts w:ascii="Times New Roman" w:hAnsi="Times New Roman" w:cs="Times New Roman"/>
        </w:rPr>
        <w:t xml:space="preserve"> it cannot alone lead to exit from poverty. Many gaps</w:t>
      </w:r>
      <w:r w:rsidRPr="00D04BFD">
        <w:rPr>
          <w:rFonts w:ascii="Times New Roman" w:hAnsi="Times New Roman" w:cs="Times New Roman"/>
          <w:bCs/>
        </w:rPr>
        <w:t xml:space="preserve"> in implementation </w:t>
      </w:r>
      <w:r w:rsidRPr="00D04BFD">
        <w:rPr>
          <w:rFonts w:ascii="Times New Roman" w:hAnsi="Times New Roman" w:cs="Times New Roman"/>
        </w:rPr>
        <w:t>persist</w:t>
      </w:r>
      <w:r w:rsidRPr="00D04BFD">
        <w:rPr>
          <w:rFonts w:ascii="Times New Roman" w:hAnsi="Times New Roman" w:cs="Times New Roman"/>
          <w:bCs/>
        </w:rPr>
        <w:t xml:space="preserve">, </w:t>
      </w:r>
      <w:r w:rsidRPr="00D04BFD">
        <w:rPr>
          <w:rFonts w:ascii="Times New Roman" w:hAnsi="Times New Roman" w:cs="Times New Roman"/>
        </w:rPr>
        <w:t>especially</w:t>
      </w:r>
      <w:r w:rsidRPr="00D04BFD">
        <w:rPr>
          <w:rFonts w:ascii="Times New Roman" w:hAnsi="Times New Roman" w:cs="Times New Roman"/>
          <w:bCs/>
        </w:rPr>
        <w:t xml:space="preserve"> </w:t>
      </w:r>
      <w:r w:rsidRPr="00D04BFD">
        <w:rPr>
          <w:rFonts w:ascii="Times New Roman" w:hAnsi="Times New Roman" w:cs="Times New Roman"/>
        </w:rPr>
        <w:t xml:space="preserve">in the </w:t>
      </w:r>
      <w:r w:rsidRPr="00D04BFD">
        <w:rPr>
          <w:rFonts w:ascii="Times New Roman" w:hAnsi="Times New Roman" w:cs="Times New Roman"/>
          <w:b/>
          <w:bCs/>
        </w:rPr>
        <w:t>outreach</w:t>
      </w:r>
      <w:r w:rsidRPr="00D04BFD">
        <w:rPr>
          <w:rFonts w:ascii="Times New Roman" w:hAnsi="Times New Roman" w:cs="Times New Roman"/>
        </w:rPr>
        <w:t xml:space="preserve"> to the most vulnerable</w:t>
      </w:r>
      <w:r w:rsidRPr="00D04BFD">
        <w:rPr>
          <w:rFonts w:ascii="Times New Roman" w:hAnsi="Times New Roman" w:cs="Times New Roman"/>
          <w:bCs/>
        </w:rPr>
        <w:t xml:space="preserve"> </w:t>
      </w:r>
      <w:r w:rsidRPr="00D04BFD">
        <w:rPr>
          <w:rFonts w:ascii="Times New Roman" w:hAnsi="Times New Roman" w:cs="Times New Roman"/>
        </w:rPr>
        <w:t xml:space="preserve">and the </w:t>
      </w:r>
      <w:r w:rsidRPr="00D04BFD">
        <w:rPr>
          <w:rFonts w:ascii="Times New Roman" w:hAnsi="Times New Roman" w:cs="Times New Roman"/>
          <w:b/>
          <w:bCs/>
        </w:rPr>
        <w:t>integration of (individual) services into broader coherent and consistent support systems</w:t>
      </w:r>
      <w:r w:rsidRPr="00D04BFD">
        <w:rPr>
          <w:rFonts w:ascii="Times New Roman" w:hAnsi="Times New Roman" w:cs="Times New Roman"/>
        </w:rPr>
        <w:t xml:space="preserve"> which address the root causes of child poverty and are able to bring these children out of their vulnerable situation. Insufficient funding available for and invested in the Guarantee also limits the positive impact of these measures</w:t>
      </w:r>
      <w:r w:rsidRPr="00D04BFD">
        <w:rPr>
          <w:rFonts w:ascii="Times New Roman" w:hAnsi="Times New Roman" w:cs="Times New Roman"/>
          <w:bCs/>
        </w:rPr>
        <w:t xml:space="preserve">. </w:t>
      </w:r>
    </w:p>
    <w:p w14:paraId="383CE94D" w14:textId="77777777" w:rsidR="00D04BFD" w:rsidRPr="00D04BFD" w:rsidRDefault="00D04BFD" w:rsidP="00D04BFD">
      <w:pPr>
        <w:spacing w:after="240" w:line="240" w:lineRule="auto"/>
        <w:jc w:val="both"/>
        <w:rPr>
          <w:rFonts w:ascii="Times New Roman" w:hAnsi="Times New Roman" w:cs="Times New Roman"/>
        </w:rPr>
      </w:pPr>
      <w:r w:rsidRPr="00D04BFD">
        <w:rPr>
          <w:rFonts w:ascii="Times New Roman" w:hAnsi="Times New Roman" w:cs="Times New Roman"/>
          <w:b/>
          <w:bCs/>
        </w:rPr>
        <w:lastRenderedPageBreak/>
        <w:t xml:space="preserve">This Communication looks at the causes specific to child poverty, and the policy responses in place – what worked and what did not in the current policy setting, how can the European Child Guarantee be strengthened and what other policy measures can be taken at EU level to surpass the child poverty trap that persists today. </w:t>
      </w:r>
      <w:r w:rsidRPr="00D04BFD">
        <w:rPr>
          <w:rFonts w:ascii="Times New Roman" w:hAnsi="Times New Roman" w:cs="Times New Roman"/>
        </w:rPr>
        <w:t xml:space="preserve">To achieve this, the Communication builds on three pillars: </w:t>
      </w:r>
    </w:p>
    <w:p w14:paraId="13CEEEE4" w14:textId="77777777" w:rsidR="00D04BFD" w:rsidRPr="00D04BFD" w:rsidRDefault="00D04BFD" w:rsidP="00D04BFD">
      <w:pPr>
        <w:widowControl w:val="0"/>
        <w:spacing w:after="240" w:line="240" w:lineRule="auto"/>
        <w:jc w:val="both"/>
        <w:rPr>
          <w:rFonts w:ascii="Times New Roman" w:hAnsi="Times New Roman" w:cs="Times New Roman"/>
          <w:lang w:eastAsia="en-IE"/>
        </w:rPr>
      </w:pPr>
      <w:r w:rsidRPr="00D04BFD">
        <w:rPr>
          <w:rFonts w:ascii="Times New Roman" w:hAnsi="Times New Roman" w:cs="Times New Roman"/>
          <w:lang w:eastAsia="en-IE"/>
        </w:rPr>
        <w:t>The first pillar focuses on the support given to the</w:t>
      </w:r>
      <w:r w:rsidRPr="00D04BFD">
        <w:rPr>
          <w:rFonts w:ascii="Times New Roman" w:hAnsi="Times New Roman" w:cs="Times New Roman"/>
          <w:b/>
          <w:bCs/>
          <w:lang w:eastAsia="en-IE"/>
        </w:rPr>
        <w:t xml:space="preserve"> households in which children in need live.</w:t>
      </w:r>
      <w:r w:rsidRPr="00D04BFD">
        <w:rPr>
          <w:rFonts w:ascii="Times New Roman" w:hAnsi="Times New Roman" w:cs="Times New Roman"/>
          <w:lang w:eastAsia="en-IE"/>
        </w:rPr>
        <w:t xml:space="preserve"> Securing households’ access to adequate resources requires, first and foremost, removing barriers which hinder </w:t>
      </w:r>
      <w:r w:rsidRPr="00D04BFD">
        <w:rPr>
          <w:rFonts w:ascii="Times New Roman" w:hAnsi="Times New Roman" w:cs="Times New Roman"/>
          <w:b/>
          <w:bCs/>
          <w:lang w:eastAsia="en-IE"/>
        </w:rPr>
        <w:t>adult members</w:t>
      </w:r>
      <w:r w:rsidRPr="00D04BFD" w:rsidDel="008533F5">
        <w:rPr>
          <w:rFonts w:ascii="Times New Roman" w:hAnsi="Times New Roman" w:cs="Times New Roman"/>
          <w:b/>
          <w:bCs/>
          <w:lang w:eastAsia="en-IE"/>
        </w:rPr>
        <w:t xml:space="preserve"> of the households </w:t>
      </w:r>
      <w:r w:rsidRPr="00BC0EC4" w:rsidDel="008533F5">
        <w:rPr>
          <w:rFonts w:ascii="Times New Roman" w:hAnsi="Times New Roman" w:cs="Times New Roman"/>
          <w:lang w:eastAsia="en-IE"/>
        </w:rPr>
        <w:t>to</w:t>
      </w:r>
      <w:r w:rsidRPr="00D04BFD" w:rsidDel="008533F5">
        <w:rPr>
          <w:rFonts w:ascii="Times New Roman" w:hAnsi="Times New Roman" w:cs="Times New Roman"/>
          <w:lang w:eastAsia="en-IE"/>
        </w:rPr>
        <w:t xml:space="preserve"> access</w:t>
      </w:r>
      <w:r w:rsidRPr="00D04BFD">
        <w:rPr>
          <w:rFonts w:ascii="Times New Roman" w:hAnsi="Times New Roman" w:cs="Times New Roman"/>
          <w:lang w:eastAsia="en-IE"/>
        </w:rPr>
        <w:t xml:space="preserve"> quality jobs and quality services, as well as ensuring robust social safety nets that prevent deprivation when earnings fall short. </w:t>
      </w:r>
    </w:p>
    <w:p w14:paraId="04AF51FC" w14:textId="459E0700" w:rsidR="00D04BFD" w:rsidRPr="00D04BFD" w:rsidRDefault="00D04BFD" w:rsidP="00D04BFD">
      <w:pPr>
        <w:widowControl w:val="0"/>
        <w:spacing w:after="240" w:line="240" w:lineRule="auto"/>
        <w:jc w:val="both"/>
        <w:rPr>
          <w:rFonts w:ascii="Times New Roman" w:hAnsi="Times New Roman" w:cs="Times New Roman"/>
          <w:lang w:eastAsia="en-IE"/>
        </w:rPr>
      </w:pPr>
      <w:r w:rsidRPr="00D04BFD">
        <w:rPr>
          <w:rFonts w:ascii="Times New Roman" w:hAnsi="Times New Roman" w:cs="Times New Roman"/>
          <w:b/>
          <w:bCs/>
          <w:lang w:eastAsia="en-IE"/>
        </w:rPr>
        <w:t xml:space="preserve">The second pillar looks at the European Child Guarantee. This is the central tool implemented throughout the EU to provide access to services for children in need. </w:t>
      </w:r>
      <w:r w:rsidRPr="00D04BFD">
        <w:rPr>
          <w:rFonts w:ascii="Times New Roman" w:hAnsi="Times New Roman" w:cs="Times New Roman"/>
          <w:lang w:eastAsia="en-IE"/>
        </w:rPr>
        <w:t xml:space="preserve">Access to essential services gives </w:t>
      </w:r>
      <w:r w:rsidRPr="00D04BFD">
        <w:rPr>
          <w:rFonts w:ascii="Times New Roman" w:hAnsi="Times New Roman" w:cs="Times New Roman"/>
          <w:b/>
          <w:bCs/>
          <w:lang w:eastAsia="en-IE"/>
        </w:rPr>
        <w:t>children in need</w:t>
      </w:r>
      <w:r w:rsidRPr="00D04BFD">
        <w:rPr>
          <w:rFonts w:ascii="Times New Roman" w:hAnsi="Times New Roman" w:cs="Times New Roman"/>
          <w:lang w:eastAsia="en-IE"/>
        </w:rPr>
        <w:t xml:space="preserve"> a fair start in life, reducing the likelihood of poverty in adulthood. The European Child Guarantee has delivered progress in combating and preventing child poverty, but there is room for doing more and better. Its </w:t>
      </w:r>
      <w:r w:rsidRPr="00D04BFD">
        <w:rPr>
          <w:rFonts w:ascii="Times New Roman" w:hAnsi="Times New Roman" w:cs="Times New Roman"/>
          <w:b/>
          <w:bCs/>
          <w:lang w:eastAsia="en-IE"/>
        </w:rPr>
        <w:t>implementation</w:t>
      </w:r>
      <w:r w:rsidRPr="00D04BFD">
        <w:rPr>
          <w:rFonts w:ascii="Times New Roman" w:hAnsi="Times New Roman" w:cs="Times New Roman"/>
          <w:lang w:eastAsia="en-IE"/>
        </w:rPr>
        <w:t xml:space="preserve"> must be strengthened. Its scope must take into account emerging challenges, linked for example to mental health pressures facing children and online and offline threats to their security and wellbeing. </w:t>
      </w:r>
      <w:r w:rsidRPr="00D04BFD">
        <w:rPr>
          <w:rFonts w:ascii="Times New Roman" w:hAnsi="Times New Roman" w:cs="Times New Roman"/>
          <w:b/>
          <w:bCs/>
          <w:lang w:eastAsia="en-IE"/>
        </w:rPr>
        <w:t>Stronger outreach to children in need</w:t>
      </w:r>
      <w:r w:rsidRPr="00D04BFD">
        <w:rPr>
          <w:rFonts w:ascii="Times New Roman" w:hAnsi="Times New Roman" w:cs="Times New Roman"/>
          <w:lang w:eastAsia="en-IE"/>
        </w:rPr>
        <w:t xml:space="preserve">, accompanied by mentoring, is needed to ensure that no child falls through the cracks of fragmented systems. In addition, </w:t>
      </w:r>
      <w:r w:rsidRPr="00D04BFD">
        <w:rPr>
          <w:rFonts w:ascii="Times New Roman" w:hAnsi="Times New Roman" w:cs="Times New Roman"/>
          <w:b/>
          <w:bCs/>
          <w:lang w:eastAsia="en-IE"/>
        </w:rPr>
        <w:t>continuity of support from childhood into early adulthood</w:t>
      </w:r>
      <w:r w:rsidRPr="00D04BFD">
        <w:rPr>
          <w:rFonts w:ascii="Times New Roman" w:hAnsi="Times New Roman" w:cs="Times New Roman"/>
          <w:lang w:eastAsia="en-IE"/>
        </w:rPr>
        <w:t xml:space="preserve"> is essential to pave the way towards a secure transition into adult life. </w:t>
      </w:r>
    </w:p>
    <w:p w14:paraId="54E8EA04" w14:textId="5A7F698F" w:rsidR="00D04BFD" w:rsidRPr="00D04BFD" w:rsidRDefault="00D04BFD" w:rsidP="00D04BFD">
      <w:pPr>
        <w:widowControl w:val="0"/>
        <w:spacing w:after="240" w:line="240" w:lineRule="auto"/>
        <w:jc w:val="both"/>
        <w:rPr>
          <w:rFonts w:ascii="Times New Roman" w:hAnsi="Times New Roman" w:cs="Times New Roman"/>
          <w:lang w:eastAsia="en-IE"/>
        </w:rPr>
      </w:pPr>
      <w:r w:rsidRPr="00D04BFD">
        <w:rPr>
          <w:rFonts w:ascii="Times New Roman" w:hAnsi="Times New Roman" w:cs="Times New Roman"/>
          <w:b/>
          <w:bCs/>
          <w:lang w:eastAsia="en-IE"/>
        </w:rPr>
        <w:t xml:space="preserve">The third pillar of this Communication addresses governance, monitoring and funding, </w:t>
      </w:r>
      <w:r w:rsidRPr="00D04BFD" w:rsidDel="006B539D">
        <w:rPr>
          <w:rFonts w:ascii="Times New Roman" w:hAnsi="Times New Roman" w:cs="Times New Roman"/>
          <w:b/>
          <w:lang w:eastAsia="en-IE"/>
        </w:rPr>
        <w:t>cr</w:t>
      </w:r>
      <w:r w:rsidRPr="00D04BFD" w:rsidDel="00B85098">
        <w:rPr>
          <w:rFonts w:ascii="Times New Roman" w:hAnsi="Times New Roman" w:cs="Times New Roman"/>
          <w:b/>
          <w:lang w:eastAsia="en-IE"/>
        </w:rPr>
        <w:t>u</w:t>
      </w:r>
      <w:r w:rsidRPr="00D04BFD">
        <w:rPr>
          <w:rFonts w:ascii="Times New Roman" w:hAnsi="Times New Roman" w:cs="Times New Roman"/>
          <w:b/>
          <w:lang w:eastAsia="en-IE"/>
        </w:rPr>
        <w:t xml:space="preserve">cial to </w:t>
      </w:r>
      <w:r w:rsidRPr="00D04BFD">
        <w:rPr>
          <w:rFonts w:ascii="Times New Roman" w:hAnsi="Times New Roman" w:cs="Times New Roman"/>
          <w:b/>
          <w:bCs/>
          <w:lang w:eastAsia="en-IE"/>
        </w:rPr>
        <w:t>increase the impact of actions tackling child poverty across the EU.</w:t>
      </w:r>
      <w:r w:rsidRPr="00D04BFD">
        <w:rPr>
          <w:rFonts w:ascii="Times New Roman" w:hAnsi="Times New Roman" w:cs="Times New Roman"/>
          <w:lang w:eastAsia="en-IE"/>
        </w:rPr>
        <w:t xml:space="preserve"> Delivery needs to be stepped up decisively. The EU and the Member States must mobilise all available funding to ensure that the cost-of-living pressures do not drive more families with children into poverty, and that those in need today are urgently helped. These investments must be sustained over the long term;</w:t>
      </w:r>
      <w:r w:rsidRPr="00D04BFD" w:rsidDel="00BB7667">
        <w:rPr>
          <w:rFonts w:ascii="Times New Roman" w:hAnsi="Times New Roman" w:cs="Times New Roman"/>
          <w:lang w:eastAsia="en-IE"/>
        </w:rPr>
        <w:t xml:space="preserve"> </w:t>
      </w:r>
      <w:r w:rsidRPr="00D04BFD">
        <w:rPr>
          <w:rFonts w:ascii="Times New Roman" w:hAnsi="Times New Roman" w:cs="Times New Roman"/>
          <w:lang w:eastAsia="en-IE"/>
        </w:rPr>
        <w:t>one-off and siloed</w:t>
      </w:r>
      <w:r w:rsidRPr="00D04BFD" w:rsidDel="00B23534">
        <w:rPr>
          <w:rFonts w:ascii="Times New Roman" w:hAnsi="Times New Roman" w:cs="Times New Roman"/>
          <w:lang w:eastAsia="en-IE"/>
        </w:rPr>
        <w:t xml:space="preserve"> </w:t>
      </w:r>
      <w:r w:rsidRPr="00D04BFD">
        <w:rPr>
          <w:rFonts w:ascii="Times New Roman" w:hAnsi="Times New Roman" w:cs="Times New Roman"/>
          <w:lang w:eastAsia="en-IE"/>
        </w:rPr>
        <w:t>projects will not bring lasting impacts. This</w:t>
      </w:r>
      <w:r w:rsidRPr="00D04BFD" w:rsidDel="003B3A56">
        <w:rPr>
          <w:rFonts w:ascii="Times New Roman" w:hAnsi="Times New Roman" w:cs="Times New Roman"/>
          <w:lang w:eastAsia="en-IE"/>
        </w:rPr>
        <w:t xml:space="preserve"> </w:t>
      </w:r>
      <w:r w:rsidRPr="00D04BFD">
        <w:rPr>
          <w:rFonts w:ascii="Times New Roman" w:hAnsi="Times New Roman" w:cs="Times New Roman"/>
          <w:lang w:eastAsia="en-IE"/>
        </w:rPr>
        <w:t xml:space="preserve">calls for a </w:t>
      </w:r>
      <w:r w:rsidRPr="00D04BFD">
        <w:rPr>
          <w:rFonts w:ascii="Times New Roman" w:hAnsi="Times New Roman" w:cs="Times New Roman"/>
          <w:b/>
          <w:bCs/>
          <w:lang w:eastAsia="en-IE"/>
        </w:rPr>
        <w:t>stronger governance at all levels</w:t>
      </w:r>
      <w:r w:rsidRPr="00D04BFD">
        <w:rPr>
          <w:rFonts w:ascii="Times New Roman" w:hAnsi="Times New Roman" w:cs="Times New Roman"/>
          <w:lang w:eastAsia="en-IE"/>
        </w:rPr>
        <w:t xml:space="preserve"> and </w:t>
      </w:r>
      <w:r w:rsidRPr="00D04BFD">
        <w:rPr>
          <w:rFonts w:ascii="Times New Roman" w:hAnsi="Times New Roman" w:cs="Times New Roman"/>
          <w:b/>
          <w:bCs/>
          <w:lang w:eastAsia="en-IE"/>
        </w:rPr>
        <w:t>robust monitoring</w:t>
      </w:r>
      <w:r w:rsidRPr="00D04BFD">
        <w:rPr>
          <w:rFonts w:ascii="Times New Roman" w:hAnsi="Times New Roman" w:cs="Times New Roman"/>
          <w:lang w:eastAsia="en-IE"/>
        </w:rPr>
        <w:t xml:space="preserve"> to allow for timely policy reaction at the right place at the right time. </w:t>
      </w:r>
    </w:p>
    <w:p w14:paraId="1AD50DFF" w14:textId="77777777" w:rsidR="00D04BFD" w:rsidRDefault="00D04BFD" w:rsidP="00D04BFD">
      <w:pPr>
        <w:widowControl w:val="0"/>
        <w:spacing w:after="240" w:line="240" w:lineRule="auto"/>
        <w:jc w:val="both"/>
        <w:rPr>
          <w:rFonts w:ascii="Times New Roman" w:eastAsia="Times New Roman" w:hAnsi="Times New Roman" w:cs="Times New Roman"/>
          <w:lang w:eastAsia="en-GB"/>
        </w:rPr>
      </w:pPr>
      <w:r w:rsidRPr="00D04BFD">
        <w:rPr>
          <w:rFonts w:ascii="Times New Roman" w:hAnsi="Times New Roman" w:cs="Times New Roman"/>
          <w:lang w:eastAsia="en-IE"/>
        </w:rPr>
        <w:t>The Staff Working Document accompanying this Communication provides an analysis of the</w:t>
      </w:r>
      <w:r w:rsidRPr="00D04BFD">
        <w:rPr>
          <w:rFonts w:ascii="Times New Roman" w:eastAsia="Times New Roman" w:hAnsi="Times New Roman" w:cs="Times New Roman"/>
          <w:kern w:val="0"/>
          <w:lang w:eastAsia="en-GB"/>
          <w14:ligatures w14:val="none"/>
        </w:rPr>
        <w:t xml:space="preserve"> implementation of the European Child Guarantee </w:t>
      </w:r>
      <w:r w:rsidRPr="00D04BFD">
        <w:rPr>
          <w:rFonts w:ascii="Times New Roman" w:eastAsia="Times New Roman" w:hAnsi="Times New Roman" w:cs="Times New Roman"/>
          <w:lang w:eastAsia="en-GB"/>
        </w:rPr>
        <w:t xml:space="preserve">so far </w:t>
      </w:r>
      <w:r w:rsidRPr="00D04BFD">
        <w:rPr>
          <w:rFonts w:ascii="Times New Roman" w:eastAsia="Times New Roman" w:hAnsi="Times New Roman" w:cs="Times New Roman"/>
          <w:kern w:val="0"/>
          <w:lang w:eastAsia="en-GB"/>
          <w14:ligatures w14:val="none"/>
        </w:rPr>
        <w:t>(</w:t>
      </w:r>
      <w:r w:rsidRPr="00D04BFD">
        <w:rPr>
          <w:rStyle w:val="FootnoteReference"/>
          <w:rFonts w:ascii="Times New Roman" w:eastAsia="Times New Roman" w:hAnsi="Times New Roman" w:cs="Times New Roman"/>
          <w:kern w:val="0"/>
          <w:lang w:eastAsia="en-GB"/>
          <w14:ligatures w14:val="none"/>
        </w:rPr>
        <w:footnoteReference w:id="7"/>
      </w:r>
      <w:r w:rsidRPr="00D04BFD">
        <w:rPr>
          <w:rFonts w:ascii="Times New Roman" w:eastAsia="Times New Roman" w:hAnsi="Times New Roman" w:cs="Times New Roman"/>
          <w:kern w:val="0"/>
          <w:lang w:eastAsia="en-GB"/>
          <w14:ligatures w14:val="none"/>
        </w:rPr>
        <w:t>)</w:t>
      </w:r>
      <w:r w:rsidRPr="00D04BFD">
        <w:rPr>
          <w:rFonts w:ascii="Times New Roman" w:eastAsia="Times New Roman" w:hAnsi="Times New Roman" w:cs="Times New Roman"/>
          <w:lang w:eastAsia="en-GB"/>
        </w:rPr>
        <w:t>.</w:t>
      </w:r>
    </w:p>
    <w:p w14:paraId="32913897" w14:textId="5D8F5826" w:rsidR="00D04BFD" w:rsidRPr="00D04BFD" w:rsidRDefault="00D04BFD" w:rsidP="00D04BFD">
      <w:pPr>
        <w:pStyle w:val="Heading2"/>
      </w:pPr>
      <w:r w:rsidRPr="00D04BFD">
        <w:t xml:space="preserve">Preventing and Reducing Poverty Among Families </w:t>
      </w:r>
    </w:p>
    <w:p w14:paraId="31A96FF1" w14:textId="112BDA87"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Immediate actions are required to help vulnerable households meet the needs of their children</w:t>
      </w:r>
      <w:r w:rsidRPr="00D04BFD">
        <w:rPr>
          <w:rFonts w:ascii="Times New Roman" w:eastAsia="Times New Roman" w:hAnsi="Times New Roman" w:cs="Times New Roman"/>
          <w:color w:val="000000" w:themeColor="text1"/>
        </w:rPr>
        <w:t>. Broad affordability challenges, such as housing costs, are addressed in the EU Anti-Poverty Strategy (</w:t>
      </w:r>
      <w:r w:rsidRPr="00D04BFD">
        <w:rPr>
          <w:rStyle w:val="FootnoteReference"/>
          <w:rFonts w:ascii="Times New Roman" w:eastAsia="Times New Roman" w:hAnsi="Times New Roman" w:cs="Times New Roman"/>
          <w:color w:val="000000" w:themeColor="text1"/>
        </w:rPr>
        <w:footnoteReference w:id="8"/>
      </w:r>
      <w:r w:rsidRPr="00D04BFD">
        <w:rPr>
          <w:rFonts w:ascii="Times New Roman" w:eastAsia="Times New Roman" w:hAnsi="Times New Roman" w:cs="Times New Roman"/>
          <w:color w:val="000000" w:themeColor="text1"/>
        </w:rPr>
        <w:t>) and the proposal for a Council Recommendation on fighting housing exclusion (</w:t>
      </w:r>
      <w:r w:rsidRPr="00D04BFD">
        <w:rPr>
          <w:rStyle w:val="FootnoteReference"/>
          <w:rFonts w:ascii="Times New Roman" w:eastAsia="Times New Roman" w:hAnsi="Times New Roman" w:cs="Times New Roman"/>
          <w:color w:val="000000" w:themeColor="text1"/>
        </w:rPr>
        <w:footnoteReference w:id="9"/>
      </w:r>
      <w:r w:rsidRPr="00D04BFD">
        <w:rPr>
          <w:rFonts w:ascii="Times New Roman" w:eastAsia="Times New Roman" w:hAnsi="Times New Roman" w:cs="Times New Roman"/>
          <w:color w:val="000000" w:themeColor="text1"/>
        </w:rPr>
        <w:t>). This chapter looks at complementary additional measures.</w:t>
      </w:r>
    </w:p>
    <w:p w14:paraId="4C382F1E" w14:textId="77777777" w:rsidR="00D04BFD" w:rsidRPr="00D04BFD" w:rsidRDefault="00D04BFD" w:rsidP="00D04BFD">
      <w:pPr>
        <w:pStyle w:val="Heading3"/>
      </w:pPr>
      <w:r w:rsidRPr="00D04BFD">
        <w:t xml:space="preserve">Supporting parents’ access to employment </w:t>
      </w:r>
    </w:p>
    <w:p w14:paraId="22745F14" w14:textId="77777777"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Quality employment is the most effective pathway out of poverty.</w:t>
      </w:r>
      <w:r w:rsidRPr="00D04BFD">
        <w:rPr>
          <w:rFonts w:ascii="Times New Roman" w:eastAsia="Times New Roman" w:hAnsi="Times New Roman" w:cs="Times New Roman"/>
          <w:color w:val="000000" w:themeColor="text1"/>
        </w:rPr>
        <w:t xml:space="preserve"> Stable, well-paid jobs significantly reduce risks of poverty and precariousness: if employment rates were to reach the national targets (</w:t>
      </w:r>
      <w:r w:rsidRPr="00D04BFD">
        <w:rPr>
          <w:rStyle w:val="FootnoteReference"/>
          <w:rFonts w:ascii="Times New Roman" w:eastAsia="Times New Roman" w:hAnsi="Times New Roman" w:cs="Times New Roman"/>
          <w:color w:val="000000" w:themeColor="text1"/>
        </w:rPr>
        <w:footnoteReference w:id="10"/>
      </w:r>
      <w:r w:rsidRPr="00D04BFD">
        <w:rPr>
          <w:rFonts w:ascii="Times New Roman" w:eastAsia="Times New Roman" w:hAnsi="Times New Roman" w:cs="Times New Roman"/>
          <w:color w:val="000000" w:themeColor="text1"/>
        </w:rPr>
        <w:t xml:space="preserve">) set by Member States, around 1.7 million children </w:t>
      </w:r>
      <w:r w:rsidRPr="00D04BFD">
        <w:rPr>
          <w:rFonts w:ascii="Times New Roman" w:eastAsia="Times New Roman" w:hAnsi="Times New Roman" w:cs="Times New Roman"/>
        </w:rPr>
        <w:t>could be lifted out of poverty (</w:t>
      </w:r>
      <w:r w:rsidRPr="00D04BFD">
        <w:rPr>
          <w:rStyle w:val="FootnoteReference"/>
          <w:rFonts w:ascii="Times New Roman" w:eastAsia="Times New Roman" w:hAnsi="Times New Roman" w:cs="Times New Roman"/>
        </w:rPr>
        <w:footnoteReference w:id="11"/>
      </w:r>
      <w:r w:rsidRPr="00D04BFD">
        <w:rPr>
          <w:rFonts w:ascii="Times New Roman" w:eastAsia="Times New Roman" w:hAnsi="Times New Roman" w:cs="Times New Roman"/>
        </w:rPr>
        <w:t>)</w:t>
      </w:r>
      <w:r w:rsidRPr="00D04BFD">
        <w:rPr>
          <w:rFonts w:ascii="Times New Roman" w:eastAsia="Times New Roman" w:hAnsi="Times New Roman" w:cs="Times New Roman"/>
          <w:color w:val="000000" w:themeColor="text1"/>
        </w:rPr>
        <w:t xml:space="preserve">. Yet, for many low-income parents, particularly mothers, access to jobs is hindered by barriers linked to care </w:t>
      </w:r>
      <w:r w:rsidRPr="00D04BFD">
        <w:rPr>
          <w:rFonts w:ascii="Times New Roman" w:eastAsia="Times New Roman" w:hAnsi="Times New Roman" w:cs="Times New Roman"/>
          <w:color w:val="000000" w:themeColor="text1"/>
        </w:rPr>
        <w:lastRenderedPageBreak/>
        <w:t>responsibilities, limiting their ability to take up employment, work sufficient hours, or progress in their careers. While the EU Work-Life Balance Directive (</w:t>
      </w:r>
      <w:r w:rsidRPr="00D04BFD">
        <w:rPr>
          <w:rStyle w:val="FootnoteReference"/>
          <w:rFonts w:ascii="Times New Roman" w:eastAsia="Times New Roman" w:hAnsi="Times New Roman" w:cs="Times New Roman"/>
          <w:color w:val="000000" w:themeColor="text1"/>
        </w:rPr>
        <w:footnoteReference w:id="12"/>
      </w:r>
      <w:r w:rsidRPr="00D04BFD">
        <w:rPr>
          <w:rFonts w:ascii="Times New Roman" w:eastAsia="Times New Roman" w:hAnsi="Times New Roman" w:cs="Times New Roman"/>
          <w:color w:val="000000" w:themeColor="text1"/>
        </w:rPr>
        <w:t>)</w:t>
      </w:r>
      <w:r w:rsidRPr="00D04BFD">
        <w:rPr>
          <w:rFonts w:ascii="Times New Roman" w:hAnsi="Times New Roman" w:cs="Times New Roman"/>
        </w:rPr>
        <w:t xml:space="preserve"> </w:t>
      </w:r>
      <w:r w:rsidRPr="00D04BFD">
        <w:rPr>
          <w:rFonts w:ascii="Times New Roman" w:eastAsia="Times New Roman" w:hAnsi="Times New Roman" w:cs="Times New Roman"/>
          <w:color w:val="000000" w:themeColor="text1"/>
        </w:rPr>
        <w:t xml:space="preserve">has taken important steps to support parents in striking the balance between care and work responsibilities, significant gaps remain. </w:t>
      </w:r>
    </w:p>
    <w:p w14:paraId="65703930" w14:textId="0F94F573" w:rsidR="00D04BFD" w:rsidRPr="00D04BFD" w:rsidRDefault="00D04BFD" w:rsidP="00D04BFD">
      <w:pPr>
        <w:widowControl w:val="0"/>
        <w:spacing w:after="240" w:line="240" w:lineRule="auto"/>
        <w:jc w:val="both"/>
        <w:rPr>
          <w:rFonts w:ascii="Times New Roman" w:eastAsia="Times New Roman" w:hAnsi="Times New Roman" w:cs="Times New Roman"/>
          <w:b/>
          <w:bCs/>
        </w:rPr>
      </w:pPr>
      <w:r w:rsidRPr="00D04BFD">
        <w:rPr>
          <w:rFonts w:ascii="Times New Roman" w:eastAsia="Times New Roman" w:hAnsi="Times New Roman" w:cs="Times New Roman"/>
          <w:b/>
          <w:bCs/>
        </w:rPr>
        <w:t xml:space="preserve">One of the barriers to activation and higher employment of parents refers to the lack </w:t>
      </w:r>
      <w:r w:rsidR="00BC0EC4">
        <w:rPr>
          <w:rFonts w:ascii="Times New Roman" w:eastAsia="Times New Roman" w:hAnsi="Times New Roman" w:cs="Times New Roman"/>
          <w:b/>
          <w:bCs/>
        </w:rPr>
        <w:t xml:space="preserve">of </w:t>
      </w:r>
      <w:r w:rsidRPr="00D04BFD">
        <w:rPr>
          <w:rFonts w:ascii="Times New Roman" w:eastAsia="Times New Roman" w:hAnsi="Times New Roman" w:cs="Times New Roman"/>
          <w:b/>
          <w:bCs/>
        </w:rPr>
        <w:t xml:space="preserve">or insufficient access to early childhood education and care (ECEC). </w:t>
      </w:r>
      <w:r w:rsidRPr="00D04BFD">
        <w:rPr>
          <w:rFonts w:ascii="Times New Roman" w:eastAsia="Times New Roman" w:hAnsi="Times New Roman" w:cs="Times New Roman"/>
          <w:color w:val="000000" w:themeColor="text1"/>
        </w:rPr>
        <w:t>Today, 75% of mothers with young children still cite family and care obligations as the primary reason for not being able to participate in the labour market (</w:t>
      </w:r>
      <w:r w:rsidRPr="00D04BFD">
        <w:rPr>
          <w:rStyle w:val="FootnoteReference"/>
          <w:rFonts w:ascii="Times New Roman" w:eastAsia="Times New Roman" w:hAnsi="Times New Roman" w:cs="Times New Roman"/>
          <w:color w:val="000000" w:themeColor="text1"/>
        </w:rPr>
        <w:footnoteReference w:id="13"/>
      </w:r>
      <w:r w:rsidRPr="00D04BFD">
        <w:rPr>
          <w:rFonts w:ascii="Times New Roman" w:eastAsia="Times New Roman" w:hAnsi="Times New Roman" w:cs="Times New Roman"/>
          <w:color w:val="000000" w:themeColor="text1"/>
        </w:rPr>
        <w:t xml:space="preserve">). </w:t>
      </w:r>
      <w:r w:rsidRPr="00D04BFD">
        <w:rPr>
          <w:rFonts w:ascii="Times New Roman" w:eastAsia="Times New Roman" w:hAnsi="Times New Roman" w:cs="Times New Roman"/>
        </w:rPr>
        <w:t>Higher ECEC participation can increase parents’ employment by up to 10 percentage points (</w:t>
      </w:r>
      <w:r w:rsidRPr="00D04BFD">
        <w:rPr>
          <w:rStyle w:val="FootnoteReference"/>
          <w:rFonts w:ascii="Times New Roman" w:eastAsia="Times New Roman" w:hAnsi="Times New Roman" w:cs="Times New Roman"/>
        </w:rPr>
        <w:footnoteReference w:id="14"/>
      </w:r>
      <w:r w:rsidRPr="00D04BFD">
        <w:rPr>
          <w:rFonts w:ascii="Times New Roman" w:eastAsia="Times New Roman" w:hAnsi="Times New Roman" w:cs="Times New Roman"/>
        </w:rPr>
        <w:t xml:space="preserve">). There is evidence that in the longer run, children at risk of poverty or social exclusion who attend ECEC perform better academically, are in </w:t>
      </w:r>
      <w:r w:rsidRPr="00D04BFD">
        <w:rPr>
          <w:rFonts w:ascii="Times New Roman" w:hAnsi="Times New Roman" w:cs="Times New Roman"/>
        </w:rPr>
        <w:t>better health and have stronger employment prospects. The EU already promotes the expansion of ECEC</w:t>
      </w:r>
      <w:r w:rsidR="005024F4">
        <w:rPr>
          <w:rFonts w:ascii="Times New Roman" w:hAnsi="Times New Roman" w:cs="Times New Roman"/>
        </w:rPr>
        <w:t>,</w:t>
      </w:r>
      <w:r w:rsidRPr="00D04BFD">
        <w:rPr>
          <w:rFonts w:ascii="Times New Roman" w:hAnsi="Times New Roman" w:cs="Times New Roman"/>
        </w:rPr>
        <w:t xml:space="preserve"> and related targets have been set </w:t>
      </w:r>
      <w:r w:rsidRPr="00D04BFD">
        <w:rPr>
          <w:rFonts w:ascii="Times New Roman" w:eastAsia="Times New Roman" w:hAnsi="Times New Roman" w:cs="Times New Roman"/>
          <w:lang w:eastAsia="en-IE"/>
        </w:rPr>
        <w:t>(</w:t>
      </w:r>
      <w:r w:rsidRPr="00D04BFD">
        <w:rPr>
          <w:rStyle w:val="FootnoteReference"/>
          <w:rFonts w:ascii="Times New Roman" w:eastAsia="Times New Roman" w:hAnsi="Times New Roman" w:cs="Times New Roman"/>
          <w:lang w:eastAsia="en-IE"/>
        </w:rPr>
        <w:footnoteReference w:id="15"/>
      </w:r>
      <w:r w:rsidRPr="00D04BFD">
        <w:rPr>
          <w:rFonts w:ascii="Times New Roman" w:hAnsi="Times New Roman" w:cs="Times New Roman"/>
        </w:rPr>
        <w:t>).</w:t>
      </w:r>
    </w:p>
    <w:p w14:paraId="1D4EC5C0" w14:textId="77777777" w:rsidR="00D04BFD" w:rsidRPr="00D04BFD" w:rsidRDefault="00D04BFD" w:rsidP="00D04BFD">
      <w:pPr>
        <w:widowControl w:val="0"/>
        <w:spacing w:after="240" w:line="240" w:lineRule="auto"/>
        <w:jc w:val="both"/>
        <w:rPr>
          <w:rFonts w:ascii="Times New Roman" w:hAnsi="Times New Roman" w:cs="Times New Roman"/>
        </w:rPr>
      </w:pPr>
      <w:r w:rsidRPr="00F52F43" w:rsidDel="00246B0C">
        <w:rPr>
          <w:rFonts w:ascii="Times New Roman" w:hAnsi="Times New Roman" w:cs="Times New Roman"/>
          <w:b/>
        </w:rPr>
        <w:t xml:space="preserve">A key remaining </w:t>
      </w:r>
      <w:r w:rsidRPr="00F52F43" w:rsidDel="00EB526B">
        <w:rPr>
          <w:rFonts w:ascii="Times New Roman" w:hAnsi="Times New Roman" w:cs="Times New Roman"/>
          <w:b/>
        </w:rPr>
        <w:t xml:space="preserve">barrier </w:t>
      </w:r>
      <w:r w:rsidRPr="00F52F43" w:rsidDel="00373834">
        <w:rPr>
          <w:rFonts w:ascii="Times New Roman" w:hAnsi="Times New Roman" w:cs="Times New Roman"/>
          <w:b/>
        </w:rPr>
        <w:t xml:space="preserve">to </w:t>
      </w:r>
      <w:r w:rsidRPr="00D04BFD" w:rsidDel="00373834">
        <w:rPr>
          <w:rFonts w:ascii="Times New Roman" w:hAnsi="Times New Roman" w:cs="Times New Roman"/>
          <w:b/>
        </w:rPr>
        <w:t xml:space="preserve">higher </w:t>
      </w:r>
      <w:r w:rsidRPr="00D04BFD" w:rsidDel="00813EF3">
        <w:rPr>
          <w:rFonts w:ascii="Times New Roman" w:hAnsi="Times New Roman" w:cs="Times New Roman"/>
          <w:b/>
        </w:rPr>
        <w:t xml:space="preserve">employment </w:t>
      </w:r>
      <w:r w:rsidRPr="00D04BFD" w:rsidDel="00373834">
        <w:rPr>
          <w:rFonts w:ascii="Times New Roman" w:hAnsi="Times New Roman" w:cs="Times New Roman"/>
          <w:b/>
        </w:rPr>
        <w:t>participation of parents</w:t>
      </w:r>
      <w:r w:rsidRPr="00D04BFD" w:rsidDel="00246B0C">
        <w:rPr>
          <w:rFonts w:ascii="Times New Roman" w:hAnsi="Times New Roman" w:cs="Times New Roman"/>
          <w:b/>
        </w:rPr>
        <w:t xml:space="preserve"> is t</w:t>
      </w:r>
      <w:r w:rsidRPr="00D04BFD">
        <w:rPr>
          <w:rFonts w:ascii="Times New Roman" w:hAnsi="Times New Roman" w:cs="Times New Roman"/>
          <w:b/>
        </w:rPr>
        <w:t xml:space="preserve">he so-called ‘childcare gap’. </w:t>
      </w:r>
      <w:r w:rsidRPr="00D04BFD">
        <w:rPr>
          <w:rFonts w:ascii="Times New Roman" w:eastAsia="Times New Roman" w:hAnsi="Times New Roman" w:cs="Times New Roman"/>
          <w:lang w:eastAsia="en-IE"/>
        </w:rPr>
        <w:t>For ECEC to be effective, it needs to be accessible, affordable and of sufficient quality.</w:t>
      </w:r>
      <w:r w:rsidRPr="00D04BFD">
        <w:rPr>
          <w:rFonts w:ascii="Times New Roman" w:hAnsi="Times New Roman" w:cs="Times New Roman"/>
        </w:rPr>
        <w:t xml:space="preserve"> </w:t>
      </w:r>
      <w:r w:rsidRPr="00D04BFD">
        <w:rPr>
          <w:rFonts w:ascii="Times New Roman" w:eastAsia="Times New Roman" w:hAnsi="Times New Roman" w:cs="Times New Roman"/>
          <w:lang w:eastAsia="en-IE"/>
        </w:rPr>
        <w:t>In terms of accessibility</w:t>
      </w:r>
      <w:r w:rsidRPr="00D04BFD">
        <w:rPr>
          <w:rFonts w:ascii="Times New Roman" w:eastAsia="Times New Roman" w:hAnsi="Times New Roman" w:cs="Times New Roman"/>
          <w:i/>
          <w:iCs/>
          <w:lang w:eastAsia="en-IE"/>
        </w:rPr>
        <w:t>,</w:t>
      </w:r>
      <w:r w:rsidRPr="00D04BFD">
        <w:rPr>
          <w:rFonts w:ascii="Times New Roman" w:eastAsia="Times New Roman" w:hAnsi="Times New Roman" w:cs="Times New Roman"/>
          <w:lang w:eastAsia="en-IE"/>
        </w:rPr>
        <w:t xml:space="preserve"> not only do places need to be available, but other factors play a role as well – including the minimum age at which children can be enrolled in ECEC. </w:t>
      </w:r>
      <w:r w:rsidRPr="00D04BFD">
        <w:rPr>
          <w:rFonts w:ascii="Times New Roman" w:hAnsi="Times New Roman" w:cs="Times New Roman"/>
        </w:rPr>
        <w:t>The childcare gap refers to</w:t>
      </w:r>
      <w:r w:rsidRPr="00D04BFD">
        <w:rPr>
          <w:rFonts w:ascii="Times New Roman" w:hAnsi="Times New Roman" w:cs="Times New Roman"/>
          <w:b/>
        </w:rPr>
        <w:t xml:space="preserve"> </w:t>
      </w:r>
      <w:r w:rsidRPr="00D04BFD">
        <w:rPr>
          <w:rFonts w:ascii="Times New Roman" w:hAnsi="Times New Roman" w:cs="Times New Roman"/>
        </w:rPr>
        <w:t>the period between the end of family-related leave and the point at which children can effectively access ECEC or compulsory schooling. In some Member States, this gap can last several years, leaving families without reliable childcare and limiting parents’ ability to take up or remain in employment. Only a limited number of Member States (</w:t>
      </w:r>
      <w:r w:rsidRPr="00D04BFD">
        <w:rPr>
          <w:rFonts w:ascii="Times New Roman" w:eastAsia="Times New Roman" w:hAnsi="Times New Roman" w:cs="Times New Roman"/>
          <w:vertAlign w:val="superscript"/>
          <w:lang w:eastAsia="en-IE"/>
        </w:rPr>
        <w:footnoteReference w:id="16"/>
      </w:r>
      <w:r w:rsidRPr="00D04BFD">
        <w:rPr>
          <w:rFonts w:ascii="Times New Roman" w:hAnsi="Times New Roman" w:cs="Times New Roman"/>
        </w:rPr>
        <w:t xml:space="preserve">) ensure seamless coverage. Closing this gap, with a particular focus on the participation of vulnerable children, </w:t>
      </w:r>
      <w:r w:rsidRPr="00D04BFD">
        <w:rPr>
          <w:rFonts w:ascii="Times New Roman" w:eastAsia="Times New Roman" w:hAnsi="Times New Roman" w:cs="Times New Roman"/>
          <w:lang w:eastAsia="en-IE"/>
        </w:rPr>
        <w:t xml:space="preserve">and addressing territorial disparities, </w:t>
      </w:r>
      <w:r w:rsidRPr="00D04BFD">
        <w:rPr>
          <w:rFonts w:ascii="Times New Roman" w:hAnsi="Times New Roman" w:cs="Times New Roman"/>
        </w:rPr>
        <w:t xml:space="preserve">should therefore be a priority. </w:t>
      </w:r>
    </w:p>
    <w:p w14:paraId="72050C05" w14:textId="59FC694C" w:rsidR="00D04BFD" w:rsidRPr="00D04BFD" w:rsidRDefault="00D04BFD" w:rsidP="00D04BFD">
      <w:pPr>
        <w:widowControl w:val="0"/>
        <w:spacing w:after="240" w:line="240" w:lineRule="auto"/>
        <w:jc w:val="both"/>
        <w:rPr>
          <w:rFonts w:ascii="Times New Roman" w:eastAsia="Times New Roman" w:hAnsi="Times New Roman" w:cs="Times New Roman"/>
          <w:b/>
          <w:bCs/>
          <w:lang w:eastAsia="en-IE"/>
        </w:rPr>
      </w:pPr>
      <w:r w:rsidRPr="00D04BFD">
        <w:rPr>
          <w:rFonts w:ascii="Times New Roman" w:eastAsia="Times New Roman" w:hAnsi="Times New Roman" w:cs="Times New Roman"/>
          <w:lang w:eastAsia="en-IE"/>
        </w:rPr>
        <w:t xml:space="preserve">In this respect, as announced in the EU Anti-Poverty Strategy and in line with Article 154 (2) TFEU, the Commission will launch the first stage consultation of European social partners </w:t>
      </w:r>
      <w:r w:rsidRPr="00D04BFD">
        <w:rPr>
          <w:rFonts w:ascii="Times New Roman" w:hAnsi="Times New Roman" w:cs="Times New Roman"/>
        </w:rPr>
        <w:t>to obtain their views on the</w:t>
      </w:r>
      <w:r w:rsidRPr="00D04BFD">
        <w:rPr>
          <w:rFonts w:ascii="Times New Roman" w:hAnsi="Times New Roman" w:cs="Times New Roman"/>
          <w:b/>
          <w:bCs/>
        </w:rPr>
        <w:t xml:space="preserve"> possible direction of EU action to support the activation of persons excluded from the labour market,</w:t>
      </w:r>
      <w:r w:rsidRPr="00D04BFD">
        <w:rPr>
          <w:rFonts w:ascii="Times New Roman" w:eastAsia="Times New Roman" w:hAnsi="Times New Roman" w:cs="Times New Roman"/>
          <w:b/>
          <w:bCs/>
          <w:lang w:eastAsia="en-IE"/>
        </w:rPr>
        <w:t xml:space="preserve"> including through access to childcare. </w:t>
      </w:r>
    </w:p>
    <w:p w14:paraId="46AB21A3" w14:textId="77777777" w:rsidR="00D04BFD" w:rsidRPr="00D04BFD" w:rsidRDefault="00D04BFD" w:rsidP="00D04BFD">
      <w:pPr>
        <w:widowControl w:val="0"/>
        <w:spacing w:after="240" w:line="240" w:lineRule="auto"/>
        <w:jc w:val="both"/>
        <w:rPr>
          <w:rFonts w:ascii="Times New Roman" w:eastAsia="Times New Roman" w:hAnsi="Times New Roman" w:cs="Times New Roman"/>
          <w:lang w:eastAsia="en-IE"/>
        </w:rPr>
      </w:pPr>
      <w:r w:rsidRPr="00D04BFD">
        <w:rPr>
          <w:rFonts w:ascii="Times New Roman" w:eastAsia="Times New Roman" w:hAnsi="Times New Roman" w:cs="Times New Roman"/>
          <w:b/>
          <w:bCs/>
          <w:lang w:eastAsia="en-IE"/>
        </w:rPr>
        <w:t>Supporting parents’ employment goes however beyond ECEC.</w:t>
      </w:r>
      <w:r w:rsidRPr="00D04BFD">
        <w:rPr>
          <w:rFonts w:ascii="Times New Roman" w:eastAsia="Times New Roman" w:hAnsi="Times New Roman" w:cs="Times New Roman"/>
          <w:lang w:eastAsia="en-IE"/>
        </w:rPr>
        <w:t xml:space="preserve"> Member States should also implement measures to provide flexible, family-friendly work arrangements (e.g. remote work, predictable hours) and ensure that work pays, by tackling the specific disincentives parents face when entering, remaining or progressing in the labour market, including those related to the design and interaction of tax and benefits systems. </w:t>
      </w:r>
    </w:p>
    <w:p w14:paraId="2E3653F1" w14:textId="77777777" w:rsidR="00D04BFD" w:rsidRPr="00D04BFD" w:rsidRDefault="00D04BFD" w:rsidP="00D04BFD">
      <w:pPr>
        <w:pStyle w:val="Heading3"/>
      </w:pPr>
      <w:r w:rsidRPr="00D04BFD">
        <w:t>Robust safety nets for households with children at risk of poverty</w:t>
      </w:r>
    </w:p>
    <w:p w14:paraId="753F0356" w14:textId="0CDAB691" w:rsidR="00D04BFD" w:rsidRPr="00D04BFD" w:rsidRDefault="00D04BFD" w:rsidP="00D04BFD">
      <w:pPr>
        <w:widowControl w:val="0"/>
        <w:spacing w:after="240" w:line="240" w:lineRule="auto"/>
        <w:jc w:val="both"/>
        <w:rPr>
          <w:rFonts w:ascii="Times New Roman" w:hAnsi="Times New Roman" w:cs="Times New Roman"/>
          <w:kern w:val="0"/>
          <w14:ligatures w14:val="none"/>
        </w:rPr>
      </w:pPr>
      <w:r w:rsidRPr="00D04BFD">
        <w:rPr>
          <w:rFonts w:ascii="Times New Roman" w:hAnsi="Times New Roman" w:cs="Times New Roman"/>
          <w:b/>
        </w:rPr>
        <w:t>Combining employment support with strong safety nets is essential to lift households with children out of poverty and prevent them from deprivation.</w:t>
      </w:r>
      <w:r w:rsidRPr="00D04BFD">
        <w:rPr>
          <w:rFonts w:ascii="Times New Roman" w:hAnsi="Times New Roman" w:cs="Times New Roman"/>
        </w:rPr>
        <w:t xml:space="preserve"> Income and in-kind support play a key </w:t>
      </w:r>
      <w:r w:rsidRPr="00D04BFD">
        <w:rPr>
          <w:rFonts w:ascii="Times New Roman" w:hAnsi="Times New Roman" w:cs="Times New Roman"/>
        </w:rPr>
        <w:lastRenderedPageBreak/>
        <w:t>role to ensure families can meet their basic needs when earnings are insufficient or unstable. Among these, in-cash benefits play a critical role (such as child allowances, child tax credits or income top-ups for households with children). These benefits must be used in the benefit of children and should lead to an improvement in their welfare</w:t>
      </w:r>
      <w:r w:rsidRPr="00D04BFD">
        <w:rPr>
          <w:rFonts w:ascii="Times New Roman" w:eastAsia="Times New Roman" w:hAnsi="Times New Roman" w:cs="Times New Roman"/>
          <w:lang w:eastAsia="en-IE"/>
        </w:rPr>
        <w:t>,</w:t>
      </w:r>
      <w:r w:rsidR="00E36148">
        <w:rPr>
          <w:rFonts w:ascii="Times New Roman" w:eastAsia="Times New Roman" w:hAnsi="Times New Roman" w:cs="Times New Roman"/>
          <w:lang w:eastAsia="en-IE"/>
        </w:rPr>
        <w:t xml:space="preserve"> </w:t>
      </w:r>
      <w:r w:rsidRPr="00D04BFD">
        <w:rPr>
          <w:rFonts w:ascii="Times New Roman" w:eastAsia="Times New Roman" w:hAnsi="Times New Roman" w:cs="Times New Roman"/>
          <w:lang w:eastAsia="en-IE"/>
        </w:rPr>
        <w:t>and support parents’ integration into the labour market.</w:t>
      </w:r>
      <w:r w:rsidRPr="00D04BFD">
        <w:rPr>
          <w:rFonts w:ascii="Times New Roman" w:hAnsi="Times New Roman" w:cs="Times New Roman"/>
        </w:rPr>
        <w:t xml:space="preserve"> All Member States provide some form of child or family benefits. These transfers reduce child poverty by 10.6 percentage points on average in the EU, also helping to cover essential costs and mitigate the impact of economic shocks. Effective implementation and close monitoring by the Member States, also to avoid fraud and detect potential misuse of child benefits for other objectives than their aims is key, so to ensure the strongest positive impact.</w:t>
      </w:r>
    </w:p>
    <w:p w14:paraId="0D7002B1" w14:textId="77777777"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hAnsi="Times New Roman" w:cs="Times New Roman"/>
          <w:b/>
          <w:kern w:val="0"/>
          <w14:ligatures w14:val="none"/>
        </w:rPr>
        <w:t xml:space="preserve">The poverty-reducing impact of these </w:t>
      </w:r>
      <w:r w:rsidRPr="00F52F43">
        <w:rPr>
          <w:rFonts w:ascii="Times New Roman" w:hAnsi="Times New Roman" w:cs="Times New Roman"/>
          <w:b/>
        </w:rPr>
        <w:t xml:space="preserve">benefits </w:t>
      </w:r>
      <w:r w:rsidRPr="00D04BFD">
        <w:rPr>
          <w:rFonts w:ascii="Times New Roman" w:hAnsi="Times New Roman" w:cs="Times New Roman"/>
          <w:b/>
          <w:kern w:val="0"/>
          <w14:ligatures w14:val="none"/>
        </w:rPr>
        <w:t xml:space="preserve">varies </w:t>
      </w:r>
      <w:r w:rsidRPr="00D04BFD">
        <w:rPr>
          <w:rFonts w:ascii="Times New Roman" w:hAnsi="Times New Roman" w:cs="Times New Roman"/>
          <w:b/>
        </w:rPr>
        <w:t>significantly across Member States</w:t>
      </w:r>
      <w:r w:rsidRPr="00D04BFD">
        <w:rPr>
          <w:rFonts w:ascii="Times New Roman" w:hAnsi="Times New Roman" w:cs="Times New Roman"/>
        </w:rPr>
        <w:t xml:space="preserve">, ranging from 4 to 16 percentage points. This reflects differences in how benefits are targeted, their adequacy, and overall design. In 10 Member States, the poorest families with children receive less in absolute terms than wealthier households, often due to regressive benefit structures, or non-take-up, which can reach up to </w:t>
      </w:r>
      <w:r w:rsidRPr="00D04BFD">
        <w:rPr>
          <w:rFonts w:ascii="Times New Roman" w:hAnsi="Times New Roman" w:cs="Times New Roman"/>
          <w:kern w:val="0"/>
          <w14:ligatures w14:val="none"/>
        </w:rPr>
        <w:t>30% (</w:t>
      </w:r>
      <w:r w:rsidRPr="00D04BFD">
        <w:rPr>
          <w:rStyle w:val="FootnoteReference"/>
          <w:rFonts w:ascii="Times New Roman" w:hAnsi="Times New Roman" w:cs="Times New Roman"/>
          <w:kern w:val="0"/>
          <w14:ligatures w14:val="none"/>
        </w:rPr>
        <w:footnoteReference w:id="17"/>
      </w:r>
      <w:r w:rsidRPr="00D04BFD">
        <w:rPr>
          <w:rFonts w:ascii="Times New Roman" w:hAnsi="Times New Roman" w:cs="Times New Roman"/>
          <w:kern w:val="0"/>
          <w14:ligatures w14:val="none"/>
        </w:rPr>
        <w:t>).</w:t>
      </w:r>
      <w:r w:rsidRPr="00D04BFD">
        <w:rPr>
          <w:rFonts w:ascii="Times New Roman" w:hAnsi="Times New Roman" w:cs="Times New Roman"/>
        </w:rPr>
        <w:t xml:space="preserve"> Good practices include</w:t>
      </w:r>
      <w:r w:rsidRPr="00D04BFD">
        <w:rPr>
          <w:rFonts w:ascii="Times New Roman" w:hAnsi="Times New Roman" w:cs="Times New Roman"/>
          <w:kern w:val="0"/>
          <w14:ligatures w14:val="none"/>
        </w:rPr>
        <w:t xml:space="preserve"> a </w:t>
      </w:r>
      <w:r w:rsidRPr="00D04BFD">
        <w:rPr>
          <w:rFonts w:ascii="Times New Roman" w:hAnsi="Times New Roman" w:cs="Times New Roman"/>
        </w:rPr>
        <w:t>more integrated design of benefits, automatic granting of benefits to reduce administrative barriers, as well as dedicated vouchers for specific goods and services, to avoid misuse and guarantee that benefits directly address children’s needs. To enhance their impact, t</w:t>
      </w:r>
      <w:r w:rsidRPr="00D04BFD">
        <w:rPr>
          <w:rFonts w:ascii="Times New Roman" w:hAnsi="Times New Roman" w:cs="Times New Roman"/>
          <w:kern w:val="0"/>
          <w14:ligatures w14:val="none"/>
        </w:rPr>
        <w:t xml:space="preserve">he Commission will actively support Member States in reforming their </w:t>
      </w:r>
      <w:r w:rsidRPr="00D04BFD">
        <w:rPr>
          <w:rFonts w:ascii="Times New Roman" w:hAnsi="Times New Roman" w:cs="Times New Roman"/>
        </w:rPr>
        <w:t xml:space="preserve">child </w:t>
      </w:r>
      <w:r w:rsidRPr="00D04BFD">
        <w:rPr>
          <w:rFonts w:ascii="Times New Roman" w:hAnsi="Times New Roman" w:cs="Times New Roman"/>
          <w:kern w:val="0"/>
          <w14:ligatures w14:val="none"/>
        </w:rPr>
        <w:t>benefit systems</w:t>
      </w:r>
      <w:r w:rsidRPr="00D04BFD">
        <w:rPr>
          <w:rFonts w:ascii="Times New Roman" w:hAnsi="Times New Roman" w:cs="Times New Roman"/>
        </w:rPr>
        <w:t xml:space="preserve">. </w:t>
      </w:r>
    </w:p>
    <w:p w14:paraId="1D23EAF0" w14:textId="77777777" w:rsidR="00D04BFD" w:rsidRPr="00D04BFD" w:rsidRDefault="00D04BFD" w:rsidP="00F52F43">
      <w:pPr>
        <w:spacing w:after="240" w:line="240" w:lineRule="auto"/>
        <w:jc w:val="both"/>
        <w:rPr>
          <w:rFonts w:ascii="Times New Roman" w:hAnsi="Times New Roman" w:cs="Times New Roman"/>
        </w:rPr>
      </w:pPr>
      <w:r w:rsidRPr="00D04BFD">
        <w:rPr>
          <w:rFonts w:ascii="Times New Roman" w:hAnsi="Times New Roman" w:cs="Times New Roman"/>
        </w:rPr>
        <w:t xml:space="preserve">The Commission will adopt a </w:t>
      </w:r>
      <w:r w:rsidRPr="00D04BFD" w:rsidDel="00660838">
        <w:rPr>
          <w:rFonts w:ascii="Times New Roman" w:hAnsi="Times New Roman" w:cs="Times New Roman"/>
          <w:b/>
          <w:bCs/>
        </w:rPr>
        <w:t xml:space="preserve">Commission </w:t>
      </w:r>
      <w:r w:rsidRPr="00D04BFD">
        <w:rPr>
          <w:rFonts w:ascii="Times New Roman" w:hAnsi="Times New Roman" w:cs="Times New Roman"/>
          <w:b/>
          <w:bCs/>
        </w:rPr>
        <w:t>Recommendation on Guidance for enhancing the efficiency of child-related benefit systems in addressing child poverty</w:t>
      </w:r>
      <w:r w:rsidRPr="00D04BFD">
        <w:rPr>
          <w:rFonts w:ascii="Times New Roman" w:hAnsi="Times New Roman" w:cs="Times New Roman"/>
        </w:rPr>
        <w:t xml:space="preserve">, with a particular focus on their adequacy, coverage, use and take-up. Ways to ensure that benefits are used efficiently to meet the needs of the children they are intended for will also be addressed to maximise impact on their wellbeing. </w:t>
      </w:r>
    </w:p>
    <w:p w14:paraId="05F8BA3B" w14:textId="79C2CBB5" w:rsidR="00D04BFD" w:rsidRPr="00D04BFD" w:rsidRDefault="00D04BFD" w:rsidP="00D04BFD">
      <w:pPr>
        <w:widowControl w:val="0"/>
        <w:spacing w:after="240" w:line="240" w:lineRule="auto"/>
        <w:jc w:val="both"/>
        <w:rPr>
          <w:rFonts w:ascii="Times New Roman" w:hAnsi="Times New Roman" w:cs="Times New Roman"/>
          <w:kern w:val="0"/>
          <w14:ligatures w14:val="none"/>
        </w:rPr>
      </w:pPr>
      <w:r w:rsidRPr="00F52F43">
        <w:rPr>
          <w:rFonts w:ascii="Times New Roman" w:hAnsi="Times New Roman" w:cs="Times New Roman"/>
          <w:b/>
        </w:rPr>
        <w:t xml:space="preserve">Robust safety nets extend beyond income </w:t>
      </w:r>
      <w:r w:rsidRPr="00F52F43" w:rsidDel="00C77E4D">
        <w:rPr>
          <w:rFonts w:ascii="Times New Roman" w:hAnsi="Times New Roman" w:cs="Times New Roman"/>
          <w:b/>
        </w:rPr>
        <w:t>support</w:t>
      </w:r>
      <w:r w:rsidRPr="00F52F43">
        <w:rPr>
          <w:rFonts w:ascii="Times New Roman" w:hAnsi="Times New Roman" w:cs="Times New Roman"/>
        </w:rPr>
        <w:t xml:space="preserve">. Effective poverty prevention also requires broader family </w:t>
      </w:r>
      <w:r w:rsidRPr="00D04BFD">
        <w:rPr>
          <w:rFonts w:ascii="Times New Roman" w:hAnsi="Times New Roman" w:cs="Times New Roman"/>
        </w:rPr>
        <w:t xml:space="preserve">assistance, including debt counselling, peer-to-peer support and financial advisory services. To </w:t>
      </w:r>
      <w:r w:rsidRPr="00F52F43">
        <w:rPr>
          <w:rFonts w:ascii="Times New Roman" w:hAnsi="Times New Roman" w:cs="Times New Roman"/>
        </w:rPr>
        <w:t xml:space="preserve">ensure a stronger impact, Member States should provide key </w:t>
      </w:r>
      <w:r w:rsidRPr="00D04BFD">
        <w:rPr>
          <w:rFonts w:ascii="Times New Roman" w:hAnsi="Times New Roman" w:cs="Times New Roman"/>
        </w:rPr>
        <w:t xml:space="preserve">complementary services, such as parenting support, encompassing resources, guidance and assistance aimed at helping parents foster their children’s wellbeing and development. </w:t>
      </w:r>
    </w:p>
    <w:p w14:paraId="320D1006" w14:textId="77777777" w:rsidR="00D04BFD" w:rsidRPr="00D04BFD" w:rsidRDefault="00D04BFD" w:rsidP="00D04BFD">
      <w:pPr>
        <w:pStyle w:val="Heading2"/>
      </w:pPr>
      <w:r w:rsidRPr="00D04BFD">
        <w:t>Strengthening the impact of the European Child Guarantee</w:t>
      </w:r>
    </w:p>
    <w:p w14:paraId="3A2C7E90" w14:textId="623174F8"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 xml:space="preserve">The European Child Guarantee covers the core services that </w:t>
      </w:r>
      <w:r w:rsidRPr="00D04BFD" w:rsidDel="739F250A">
        <w:rPr>
          <w:rFonts w:ascii="Times New Roman" w:eastAsia="Times New Roman" w:hAnsi="Times New Roman" w:cs="Times New Roman"/>
          <w:b/>
          <w:bCs/>
          <w:color w:val="000000" w:themeColor="text1"/>
        </w:rPr>
        <w:t xml:space="preserve">any </w:t>
      </w:r>
      <w:r w:rsidRPr="00D04BFD">
        <w:rPr>
          <w:rFonts w:ascii="Times New Roman" w:eastAsia="Times New Roman" w:hAnsi="Times New Roman" w:cs="Times New Roman"/>
          <w:b/>
          <w:bCs/>
          <w:color w:val="000000" w:themeColor="text1"/>
        </w:rPr>
        <w:t>child need</w:t>
      </w:r>
      <w:r w:rsidRPr="00D04BFD" w:rsidDel="739F250A">
        <w:rPr>
          <w:rFonts w:ascii="Times New Roman" w:eastAsia="Times New Roman" w:hAnsi="Times New Roman" w:cs="Times New Roman"/>
          <w:b/>
          <w:bCs/>
          <w:color w:val="000000" w:themeColor="text1"/>
        </w:rPr>
        <w:t>s</w:t>
      </w:r>
      <w:r w:rsidRPr="00D04BFD">
        <w:rPr>
          <w:rFonts w:ascii="Times New Roman" w:eastAsia="Times New Roman" w:hAnsi="Times New Roman" w:cs="Times New Roman"/>
          <w:b/>
          <w:bCs/>
          <w:color w:val="000000" w:themeColor="text1"/>
        </w:rPr>
        <w:t xml:space="preserve"> to be able to grow, regardless of the vulnerability of their household – including housing, food, education, care. However, </w:t>
      </w:r>
      <w:r w:rsidRPr="00D04BFD">
        <w:rPr>
          <w:rFonts w:ascii="Times New Roman" w:eastAsia="Times New Roman" w:hAnsi="Times New Roman" w:cs="Times New Roman"/>
          <w:color w:val="000000" w:themeColor="text1"/>
        </w:rPr>
        <w:t xml:space="preserve">with new challenges emerging, the Guarantee alone, and in its current shape, </w:t>
      </w:r>
      <w:r w:rsidRPr="00F52F43">
        <w:rPr>
          <w:rFonts w:ascii="Times New Roman" w:hAnsi="Times New Roman" w:cs="Times New Roman"/>
          <w:color w:val="000000" w:themeColor="text1"/>
        </w:rPr>
        <w:t xml:space="preserve">cannot </w:t>
      </w:r>
      <w:r w:rsidRPr="00D04BFD">
        <w:rPr>
          <w:rFonts w:ascii="Times New Roman" w:eastAsia="Times New Roman" w:hAnsi="Times New Roman" w:cs="Times New Roman"/>
          <w:b/>
          <w:bCs/>
          <w:color w:val="000000" w:themeColor="text1"/>
        </w:rPr>
        <w:t xml:space="preserve">tackle all drivers of poverty and their implications. </w:t>
      </w:r>
      <w:r w:rsidRPr="00D04BFD">
        <w:rPr>
          <w:rFonts w:ascii="Times New Roman" w:eastAsia="Times New Roman" w:hAnsi="Times New Roman" w:cs="Times New Roman"/>
          <w:color w:val="000000" w:themeColor="text1"/>
        </w:rPr>
        <w:t>First, the services and measures included under the European Child Guarantee differ considerably in scope and implementation, with</w:t>
      </w:r>
      <w:r w:rsidRPr="00D04BFD">
        <w:rPr>
          <w:rFonts w:ascii="Times New Roman" w:eastAsia="Times New Roman" w:hAnsi="Times New Roman" w:cs="Times New Roman"/>
          <w:b/>
          <w:bCs/>
          <w:color w:val="000000" w:themeColor="text1"/>
        </w:rPr>
        <w:t xml:space="preserve"> </w:t>
      </w:r>
      <w:r w:rsidRPr="00D04BFD">
        <w:rPr>
          <w:rFonts w:ascii="Times New Roman" w:eastAsia="Times New Roman" w:hAnsi="Times New Roman" w:cs="Times New Roman"/>
          <w:color w:val="000000" w:themeColor="text1"/>
        </w:rPr>
        <w:t>some easier to implement than others. For example, ensuring access to healthy and nutritious school meals is a relatively straightforward measure, which often relies on an implementation framework based on procurement of food for schools. On the other hand, ensuring access to early childhood education and care</w:t>
      </w:r>
      <w:r w:rsidR="001F22A0">
        <w:rPr>
          <w:rFonts w:ascii="Times New Roman" w:eastAsia="Times New Roman" w:hAnsi="Times New Roman" w:cs="Times New Roman"/>
          <w:color w:val="000000" w:themeColor="text1"/>
        </w:rPr>
        <w:t>,</w:t>
      </w:r>
      <w:r w:rsidRPr="00D04BFD">
        <w:rPr>
          <w:rFonts w:ascii="Times New Roman" w:eastAsia="Times New Roman" w:hAnsi="Times New Roman" w:cs="Times New Roman"/>
          <w:color w:val="000000" w:themeColor="text1"/>
        </w:rPr>
        <w:t xml:space="preserve"> especially in the youngest age, requires for certain Member States significantly more complex reforms and larger investments. </w:t>
      </w:r>
    </w:p>
    <w:p w14:paraId="17C9F147" w14:textId="46FA4BCB"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color w:val="000000" w:themeColor="text1"/>
        </w:rPr>
        <w:t xml:space="preserve">Second, one-off interventions alone are unlikely to lead to a permanent change in the situation of the children in need, without policy measures connected and well-coordinated, and without </w:t>
      </w:r>
      <w:r w:rsidRPr="00D04BFD" w:rsidDel="00AE710F">
        <w:rPr>
          <w:rFonts w:ascii="Times New Roman" w:eastAsia="Times New Roman" w:hAnsi="Times New Roman" w:cs="Times New Roman"/>
          <w:color w:val="000000" w:themeColor="text1"/>
        </w:rPr>
        <w:t>ensuring a</w:t>
      </w:r>
      <w:r w:rsidRPr="00D04BFD">
        <w:rPr>
          <w:rFonts w:ascii="Times New Roman" w:eastAsia="Times New Roman" w:hAnsi="Times New Roman" w:cs="Times New Roman"/>
          <w:color w:val="000000" w:themeColor="text1"/>
        </w:rPr>
        <w:t xml:space="preserve"> sustainable implementation in time. A </w:t>
      </w:r>
      <w:r w:rsidRPr="00D04BFD">
        <w:rPr>
          <w:rFonts w:ascii="Times New Roman" w:eastAsia="Times New Roman" w:hAnsi="Times New Roman" w:cs="Times New Roman"/>
          <w:b/>
          <w:bCs/>
          <w:color w:val="000000" w:themeColor="text1"/>
        </w:rPr>
        <w:t>stronger, more integrated policy framework</w:t>
      </w:r>
      <w:r w:rsidRPr="00D04BFD">
        <w:rPr>
          <w:rFonts w:ascii="Times New Roman" w:eastAsia="Times New Roman" w:hAnsi="Times New Roman" w:cs="Times New Roman"/>
          <w:color w:val="000000" w:themeColor="text1"/>
        </w:rPr>
        <w:t xml:space="preserve">, where the evolution of every child </w:t>
      </w:r>
      <w:r w:rsidRPr="00D04BFD" w:rsidDel="5689C933">
        <w:rPr>
          <w:rFonts w:ascii="Times New Roman" w:eastAsia="Times New Roman" w:hAnsi="Times New Roman" w:cs="Times New Roman"/>
          <w:color w:val="000000" w:themeColor="text1"/>
        </w:rPr>
        <w:t>in need</w:t>
      </w:r>
      <w:r w:rsidRPr="00D04BFD">
        <w:rPr>
          <w:rFonts w:ascii="Times New Roman" w:eastAsia="Times New Roman" w:hAnsi="Times New Roman" w:cs="Times New Roman"/>
          <w:color w:val="000000" w:themeColor="text1"/>
        </w:rPr>
        <w:t xml:space="preserve"> who benefits from the Guarantee can be tracked, is essential to improve results and impact. Third, since the Guarantee was adopted in 2021, new challenges for children have emerged, such as mental health pressures or higher risk of abuses and exposure to violence online and offline, pointing to the need of a strengthened framework at EU level to address these concerns.  </w:t>
      </w:r>
    </w:p>
    <w:p w14:paraId="3939F474" w14:textId="7DCA757D"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color w:val="000000" w:themeColor="text1"/>
        </w:rPr>
        <w:t xml:space="preserve">Finally, the connection between the European Child Guarantee and broader policies is needed to ensure that teenagers and young adults, where possible, </w:t>
      </w:r>
      <w:r w:rsidRPr="00D04BFD" w:rsidDel="3ABD51CD">
        <w:rPr>
          <w:rFonts w:ascii="Times New Roman" w:eastAsia="Times New Roman" w:hAnsi="Times New Roman" w:cs="Times New Roman"/>
          <w:color w:val="000000" w:themeColor="text1"/>
        </w:rPr>
        <w:t>make a s</w:t>
      </w:r>
      <w:r w:rsidRPr="00D04BFD" w:rsidDel="0018581B">
        <w:rPr>
          <w:rFonts w:ascii="Times New Roman" w:eastAsia="Times New Roman" w:hAnsi="Times New Roman" w:cs="Times New Roman"/>
          <w:color w:val="000000" w:themeColor="text1"/>
        </w:rPr>
        <w:t>ucces</w:t>
      </w:r>
      <w:r w:rsidRPr="00D04BFD" w:rsidDel="00B53D54">
        <w:rPr>
          <w:rFonts w:ascii="Times New Roman" w:eastAsia="Times New Roman" w:hAnsi="Times New Roman" w:cs="Times New Roman"/>
          <w:color w:val="000000" w:themeColor="text1"/>
        </w:rPr>
        <w:t>s</w:t>
      </w:r>
      <w:r w:rsidRPr="00D04BFD" w:rsidDel="0018581B">
        <w:rPr>
          <w:rFonts w:ascii="Times New Roman" w:eastAsia="Times New Roman" w:hAnsi="Times New Roman" w:cs="Times New Roman"/>
          <w:color w:val="000000" w:themeColor="text1"/>
        </w:rPr>
        <w:t>ful</w:t>
      </w:r>
      <w:r w:rsidRPr="00D04BFD" w:rsidDel="3ABD51CD">
        <w:rPr>
          <w:rFonts w:ascii="Times New Roman" w:eastAsia="Times New Roman" w:hAnsi="Times New Roman" w:cs="Times New Roman"/>
          <w:color w:val="000000" w:themeColor="text1"/>
        </w:rPr>
        <w:t xml:space="preserve"> transition</w:t>
      </w:r>
      <w:r w:rsidRPr="00D04BFD">
        <w:rPr>
          <w:rFonts w:ascii="Times New Roman" w:eastAsia="Times New Roman" w:hAnsi="Times New Roman" w:cs="Times New Roman"/>
          <w:color w:val="000000" w:themeColor="text1"/>
        </w:rPr>
        <w:t xml:space="preserve"> to the labour market. The </w:t>
      </w:r>
      <w:r w:rsidRPr="00D04BFD">
        <w:rPr>
          <w:rFonts w:ascii="Times New Roman" w:eastAsia="Times New Roman" w:hAnsi="Times New Roman" w:cs="Times New Roman"/>
          <w:color w:val="000000" w:themeColor="text1"/>
        </w:rPr>
        <w:lastRenderedPageBreak/>
        <w:t xml:space="preserve">goal is to empower them to secure stable employment and build an autonomous, dignified life. Addressing this transition effectively is central to breaking the intergenerational transmission of poverty. These challenges demand actions extending beyond the scope of the European Child Guarantee, closely coordinated with it, to ensure child-centred protection and support, in due respect of children’s rights. </w:t>
      </w:r>
    </w:p>
    <w:p w14:paraId="7F63E0CD" w14:textId="77777777" w:rsidR="00D04BFD" w:rsidRPr="00D04BFD" w:rsidRDefault="00D04BFD" w:rsidP="00D04BFD">
      <w:pPr>
        <w:pStyle w:val="Heading3"/>
      </w:pPr>
      <w:r w:rsidRPr="00D04BFD">
        <w:t>Scaling up access to services</w:t>
      </w:r>
    </w:p>
    <w:p w14:paraId="35B4106F" w14:textId="3079BF2A"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color w:val="000000" w:themeColor="text1"/>
        </w:rPr>
        <w:t>The European Child Guarantee has been a catalyst for change, mobilised by Member States to improve access for children in need to key services and goods</w:t>
      </w:r>
      <w:r w:rsidRPr="00D04BFD">
        <w:rPr>
          <w:rFonts w:ascii="Times New Roman" w:eastAsia="Times New Roman" w:hAnsi="Times New Roman" w:cs="Times New Roman"/>
          <w:color w:val="000000" w:themeColor="text1"/>
        </w:rPr>
        <w:t xml:space="preserve">. </w:t>
      </w:r>
    </w:p>
    <w:p w14:paraId="5E48059A" w14:textId="41E22522"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color w:val="000000" w:themeColor="text1"/>
        </w:rPr>
        <w:t xml:space="preserve">As regards ECEC, children in poverty still face a 15-percentage-point enrolment gap compared to their peers. Bridging it requires Member States to invest in ECEC capacity and workforce qualifications and reach out to marginalised families. The Commission will support these efforts through a </w:t>
      </w:r>
      <w:r w:rsidRPr="00D04BFD">
        <w:rPr>
          <w:rFonts w:ascii="Times New Roman" w:eastAsia="Times New Roman" w:hAnsi="Times New Roman" w:cs="Times New Roman"/>
          <w:b/>
          <w:bCs/>
          <w:color w:val="000000" w:themeColor="text1"/>
        </w:rPr>
        <w:t>Horizon Europe call for innovative solutions in ECEC (</w:t>
      </w:r>
      <w:r w:rsidRPr="00D04BFD">
        <w:rPr>
          <w:rStyle w:val="FootnoteReference"/>
          <w:rFonts w:ascii="Times New Roman" w:eastAsia="Times New Roman" w:hAnsi="Times New Roman" w:cs="Times New Roman"/>
          <w:b/>
          <w:bCs/>
          <w:color w:val="000000" w:themeColor="text1"/>
        </w:rPr>
        <w:footnoteReference w:id="18"/>
      </w:r>
      <w:r w:rsidRPr="00D04BFD">
        <w:rPr>
          <w:rFonts w:ascii="Times New Roman" w:eastAsia="Times New Roman" w:hAnsi="Times New Roman" w:cs="Times New Roman"/>
          <w:b/>
          <w:bCs/>
          <w:color w:val="000000" w:themeColor="text1"/>
        </w:rPr>
        <w:t>) and present the Guidelines for curriculum and pedagogical development in ECEC</w:t>
      </w:r>
      <w:r w:rsidRPr="00D04BFD">
        <w:rPr>
          <w:rFonts w:ascii="Times New Roman" w:eastAsia="Times New Roman" w:hAnsi="Times New Roman" w:cs="Times New Roman"/>
          <w:color w:val="000000" w:themeColor="text1"/>
        </w:rPr>
        <w:t xml:space="preserve">. </w:t>
      </w:r>
    </w:p>
    <w:p w14:paraId="0C0BD292" w14:textId="7EDE704F"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color w:val="000000" w:themeColor="text1"/>
        </w:rPr>
        <w:t xml:space="preserve">While expansions of school meals have improved food security, over </w:t>
      </w:r>
      <w:r w:rsidRPr="00D04BFD">
        <w:rPr>
          <w:rFonts w:ascii="Times New Roman" w:eastAsia="Times New Roman" w:hAnsi="Times New Roman" w:cs="Times New Roman"/>
        </w:rPr>
        <w:t xml:space="preserve">1 million children </w:t>
      </w:r>
      <w:r w:rsidRPr="00D04BFD">
        <w:rPr>
          <w:rFonts w:ascii="Times New Roman" w:eastAsia="Times New Roman" w:hAnsi="Times New Roman" w:cs="Times New Roman"/>
          <w:color w:val="000000" w:themeColor="text1"/>
        </w:rPr>
        <w:t xml:space="preserve">in the EU still lack daily access to fresh fruit and vegetables. The Commission will promote provision of school meals for children in need, working together with the </w:t>
      </w:r>
      <w:r w:rsidRPr="00D04BFD">
        <w:rPr>
          <w:rFonts w:ascii="Times New Roman" w:eastAsia="Times New Roman" w:hAnsi="Times New Roman" w:cs="Times New Roman"/>
        </w:rPr>
        <w:t>School Meal Coalition</w:t>
      </w:r>
      <w:r w:rsidRPr="00D04BFD">
        <w:rPr>
          <w:rStyle w:val="FootnoteReference"/>
          <w:rFonts w:ascii="Times New Roman" w:hAnsi="Times New Roman" w:cs="Times New Roman"/>
        </w:rPr>
        <w:footnoteReference w:id="19"/>
      </w:r>
      <w:r w:rsidRPr="00D04BFD">
        <w:rPr>
          <w:rFonts w:ascii="Times New Roman" w:eastAsia="Times New Roman" w:hAnsi="Times New Roman" w:cs="Times New Roman"/>
          <w:color w:val="000000" w:themeColor="text1"/>
        </w:rPr>
        <w:t xml:space="preserve">, through mutual learning and technical assistance. It will also leverage the </w:t>
      </w:r>
      <w:r w:rsidRPr="00D04BFD">
        <w:rPr>
          <w:rFonts w:ascii="Times New Roman" w:eastAsia="Times New Roman" w:hAnsi="Times New Roman" w:cs="Times New Roman"/>
          <w:b/>
          <w:bCs/>
          <w:color w:val="000000" w:themeColor="text1"/>
        </w:rPr>
        <w:t>EU School Fruit, Vegetables and Milk Scheme</w:t>
      </w:r>
      <w:r w:rsidRPr="00D04BFD">
        <w:rPr>
          <w:rFonts w:ascii="Times New Roman" w:eastAsia="Times New Roman" w:hAnsi="Times New Roman" w:cs="Times New Roman"/>
          <w:color w:val="000000" w:themeColor="text1"/>
        </w:rPr>
        <w:t xml:space="preserve"> and the </w:t>
      </w:r>
      <w:r w:rsidRPr="00D04BFD">
        <w:rPr>
          <w:rFonts w:ascii="Times New Roman" w:eastAsia="Times New Roman" w:hAnsi="Times New Roman" w:cs="Times New Roman"/>
          <w:b/>
          <w:bCs/>
          <w:color w:val="000000" w:themeColor="text1"/>
        </w:rPr>
        <w:t>ESF+</w:t>
      </w:r>
      <w:r w:rsidRPr="00D04BFD">
        <w:rPr>
          <w:rFonts w:ascii="Times New Roman" w:eastAsia="Times New Roman" w:hAnsi="Times New Roman" w:cs="Times New Roman"/>
          <w:color w:val="000000" w:themeColor="text1"/>
        </w:rPr>
        <w:t xml:space="preserve"> to extend quality nutrition support, under the new Multiannual Financial Framework.  </w:t>
      </w:r>
    </w:p>
    <w:p w14:paraId="3C99D48D" w14:textId="447F656E"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Besides access to meals, healthy development also entails access to extra-curricular activities</w:t>
      </w:r>
      <w:r w:rsidRPr="00D04BFD">
        <w:rPr>
          <w:rFonts w:ascii="Times New Roman" w:eastAsia="Times New Roman" w:hAnsi="Times New Roman" w:cs="Times New Roman"/>
          <w:color w:val="000000" w:themeColor="text1"/>
        </w:rPr>
        <w:t xml:space="preserve">. As many as 22.7% of children in poverty remain excluded from regular extra-curricular activities (compared to just 2.9% of their advantaged peers), often due to costs, transport barriers, or cultural stereotypes. Addressing this issue requires targeted investments and partnerships, which the Commission aims to support with a dedicated </w:t>
      </w:r>
      <w:r w:rsidRPr="00D04BFD">
        <w:rPr>
          <w:rFonts w:ascii="Times New Roman" w:eastAsia="Times New Roman" w:hAnsi="Times New Roman" w:cs="Times New Roman"/>
          <w:b/>
          <w:color w:val="000000" w:themeColor="text1"/>
        </w:rPr>
        <w:t>ESF+ call</w:t>
      </w:r>
      <w:r w:rsidRPr="00D04BFD">
        <w:rPr>
          <w:rFonts w:ascii="Times New Roman" w:eastAsia="Times New Roman" w:hAnsi="Times New Roman" w:cs="Times New Roman"/>
          <w:color w:val="000000" w:themeColor="text1"/>
        </w:rPr>
        <w:t xml:space="preserve"> for projects using culture and sport as tools for social inclusion.</w:t>
      </w:r>
      <w:r w:rsidRPr="00D04BFD">
        <w:rPr>
          <w:rFonts w:ascii="Times New Roman" w:hAnsi="Times New Roman" w:cs="Times New Roman"/>
        </w:rPr>
        <w:t xml:space="preserve"> </w:t>
      </w:r>
      <w:r w:rsidRPr="00D04BFD">
        <w:rPr>
          <w:rFonts w:ascii="Times New Roman" w:eastAsia="Times New Roman" w:hAnsi="Times New Roman" w:cs="Times New Roman"/>
          <w:color w:val="000000" w:themeColor="text1"/>
        </w:rPr>
        <w:t xml:space="preserve">The </w:t>
      </w:r>
      <w:r w:rsidRPr="00D04BFD">
        <w:rPr>
          <w:rFonts w:ascii="Times New Roman" w:eastAsia="Times New Roman" w:hAnsi="Times New Roman" w:cs="Times New Roman"/>
          <w:b/>
          <w:color w:val="000000" w:themeColor="text1"/>
        </w:rPr>
        <w:t>update to the Council Recommendation on health enhancing physical activity</w:t>
      </w:r>
      <w:r w:rsidRPr="00D04BFD">
        <w:rPr>
          <w:rFonts w:ascii="Times New Roman" w:eastAsia="Times New Roman" w:hAnsi="Times New Roman" w:cs="Times New Roman"/>
          <w:color w:val="000000" w:themeColor="text1"/>
        </w:rPr>
        <w:t xml:space="preserve"> can also address the role of physical activity in social inclusion polices.</w:t>
      </w:r>
    </w:p>
    <w:p w14:paraId="747BF0D3" w14:textId="5273730D"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color w:val="000000" w:themeColor="text1"/>
        </w:rPr>
        <w:t>While individual services covered by the Guarantee continue to expand,</w:t>
      </w:r>
      <w:r w:rsidRPr="00D04BFD">
        <w:rPr>
          <w:rFonts w:ascii="Times New Roman" w:eastAsia="Times New Roman" w:hAnsi="Times New Roman" w:cs="Times New Roman"/>
          <w:b/>
          <w:bCs/>
          <w:color w:val="000000" w:themeColor="text1"/>
        </w:rPr>
        <w:t xml:space="preserve"> a more integrated response is needed to address barriers that hinder equality of opportunity for children, particularly in education</w:t>
      </w:r>
      <w:r w:rsidRPr="00D04BFD">
        <w:rPr>
          <w:rFonts w:ascii="Times New Roman" w:eastAsia="Times New Roman" w:hAnsi="Times New Roman" w:cs="Times New Roman"/>
          <w:color w:val="000000" w:themeColor="text1"/>
        </w:rPr>
        <w:t xml:space="preserve">. According to the latest PISA figures, </w:t>
      </w:r>
      <w:r w:rsidRPr="00D04BFD">
        <w:rPr>
          <w:rFonts w:ascii="Times New Roman" w:eastAsia="Times New Roman" w:hAnsi="Times New Roman" w:cs="Times New Roman"/>
        </w:rPr>
        <w:t>28.8% of disadvan</w:t>
      </w:r>
      <w:bookmarkStart w:id="1" w:name="_Hlt228303278"/>
      <w:bookmarkEnd w:id="1"/>
      <w:r w:rsidRPr="00D04BFD">
        <w:rPr>
          <w:rFonts w:ascii="Times New Roman" w:eastAsia="Times New Roman" w:hAnsi="Times New Roman" w:cs="Times New Roman"/>
        </w:rPr>
        <w:t>taged children (</w:t>
      </w:r>
      <w:r w:rsidRPr="00D04BFD">
        <w:rPr>
          <w:rStyle w:val="FootnoteReference"/>
          <w:rFonts w:ascii="Times New Roman" w:hAnsi="Times New Roman" w:cs="Times New Roman"/>
        </w:rPr>
        <w:footnoteReference w:id="20"/>
      </w:r>
      <w:r w:rsidRPr="00D04BFD">
        <w:rPr>
          <w:rFonts w:ascii="Times New Roman" w:eastAsia="Times New Roman" w:hAnsi="Times New Roman" w:cs="Times New Roman"/>
        </w:rPr>
        <w:t>)</w:t>
      </w:r>
      <w:r w:rsidRPr="00D04BFD">
        <w:rPr>
          <w:rFonts w:ascii="Times New Roman" w:eastAsia="Times New Roman" w:hAnsi="Times New Roman" w:cs="Times New Roman"/>
          <w:color w:val="000000" w:themeColor="text1"/>
        </w:rPr>
        <w:t xml:space="preserve"> underachieve in reading, maths and science, compared to just 4.7% of their more advantaged peers – a gap that has widened since the COVID pandemic. Scaling up access to ECEC, school meals and extracurricular activities has a proven positive impact on cognitive development, school engagement and academic achievement. Closing the achievement gap, however, demands a broader response that goes beyond service delivery. Member States should therefore implement comprehensive educational support to children in need, including homework assistance, targeted tutoring and individualised learning programmes, to ensure children in poverty receive help genuinely adapted to each child’s needs and circumstances. </w:t>
      </w:r>
    </w:p>
    <w:p w14:paraId="036A3064" w14:textId="09DC1E30" w:rsidR="00D04BFD" w:rsidRPr="00F52F43"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Equally urgent is an integrated response to mental health pressures, disproportionately affecting children in poverty</w:t>
      </w:r>
      <w:r w:rsidRPr="00D04BFD">
        <w:rPr>
          <w:rFonts w:ascii="Times New Roman" w:eastAsia="Times New Roman" w:hAnsi="Times New Roman" w:cs="Times New Roman"/>
          <w:color w:val="000000" w:themeColor="text1"/>
        </w:rPr>
        <w:t xml:space="preserve">. Since 2021, the share of children in poverty reporting ‘very good health’ has fallen by 5 percentage points, with mental health deteriorating fastest among the most vulnerable. Symptoms of depression and loneliness are rising. While an EU-wide inquiry will shed light on the impacts of social media and excessive screen times on these trends, </w:t>
      </w:r>
      <w:r w:rsidRPr="00D04BFD" w:rsidDel="00EB71D7">
        <w:rPr>
          <w:rFonts w:ascii="Times New Roman" w:eastAsia="Times New Roman" w:hAnsi="Times New Roman" w:cs="Times New Roman"/>
          <w:color w:val="000000" w:themeColor="text1"/>
        </w:rPr>
        <w:t xml:space="preserve">addressing </w:t>
      </w:r>
      <w:r w:rsidRPr="00D04BFD">
        <w:rPr>
          <w:rFonts w:ascii="Times New Roman" w:eastAsia="Times New Roman" w:hAnsi="Times New Roman" w:cs="Times New Roman"/>
          <w:color w:val="000000" w:themeColor="text1"/>
        </w:rPr>
        <w:t>them already demands action on multiple fronts: preventive care, early intervention and cross-sectoral collaboration.</w:t>
      </w:r>
      <w:r w:rsidR="00F52F43">
        <w:rPr>
          <w:rFonts w:ascii="Times New Roman" w:eastAsia="Times New Roman" w:hAnsi="Times New Roman" w:cs="Times New Roman"/>
          <w:color w:val="000000" w:themeColor="text1"/>
        </w:rPr>
        <w:t xml:space="preserve"> </w:t>
      </w:r>
      <w:r w:rsidR="002270DA">
        <w:rPr>
          <w:rFonts w:ascii="Times New Roman" w:eastAsia="Times New Roman" w:hAnsi="Times New Roman" w:cs="Times New Roman"/>
          <w:color w:val="000000" w:themeColor="text1"/>
        </w:rPr>
        <w:t xml:space="preserve">Member </w:t>
      </w:r>
      <w:r w:rsidRPr="00D04BFD">
        <w:rPr>
          <w:rFonts w:ascii="Times New Roman" w:eastAsia="Times New Roman" w:hAnsi="Times New Roman" w:cs="Times New Roman"/>
          <w:color w:val="000000" w:themeColor="text1"/>
        </w:rPr>
        <w:t xml:space="preserve">States should also address shortages of specialised mental health staff and out-of-pocket costs for families in </w:t>
      </w:r>
      <w:r w:rsidRPr="00D04BFD">
        <w:rPr>
          <w:rFonts w:ascii="Times New Roman" w:eastAsia="Times New Roman" w:hAnsi="Times New Roman" w:cs="Times New Roman"/>
          <w:color w:val="000000" w:themeColor="text1"/>
        </w:rPr>
        <w:lastRenderedPageBreak/>
        <w:t xml:space="preserve">need, and strengthen outreach through closer cooperation between schools, social workers and healthcare providers. To foster these efforts, the Commission supports UNICEF in piloting </w:t>
      </w:r>
      <w:r w:rsidRPr="00F52F43">
        <w:rPr>
          <w:rFonts w:ascii="Times New Roman" w:hAnsi="Times New Roman" w:cs="Times New Roman"/>
          <w:color w:val="000000" w:themeColor="text1"/>
        </w:rPr>
        <w:t>a</w:t>
      </w:r>
      <w:r w:rsidRPr="00D04BFD">
        <w:rPr>
          <w:rFonts w:ascii="Times New Roman" w:eastAsia="Times New Roman" w:hAnsi="Times New Roman" w:cs="Times New Roman"/>
          <w:b/>
          <w:bCs/>
          <w:color w:val="000000" w:themeColor="text1"/>
        </w:rPr>
        <w:t xml:space="preserve"> Toolkit for child and adolescent health and mental wellbeing promotion</w:t>
      </w:r>
      <w:r w:rsidRPr="00D04BFD">
        <w:rPr>
          <w:rFonts w:ascii="Times New Roman" w:eastAsia="Times New Roman" w:hAnsi="Times New Roman" w:cs="Times New Roman"/>
          <w:color w:val="000000" w:themeColor="text1"/>
        </w:rPr>
        <w:t xml:space="preserve">, with a specific emphasis on access of most vulnerable children. The Commission will assist Member States and local authorities in implementing the Toolkit through mutual learning and dedicated workshops. </w:t>
      </w:r>
    </w:p>
    <w:p w14:paraId="1BCF22A7" w14:textId="77777777" w:rsidR="00D04BFD" w:rsidRPr="00D04BFD" w:rsidRDefault="00D04BFD" w:rsidP="00F52F43">
      <w:pPr>
        <w:pStyle w:val="Heading3"/>
      </w:pPr>
      <w:r w:rsidRPr="00D04BFD">
        <w:t xml:space="preserve">Strengthening implementation to ensure well targeted and impactful support until early adulthood   </w:t>
      </w:r>
    </w:p>
    <w:p w14:paraId="74712E97" w14:textId="77777777"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hAnsi="Times New Roman" w:cs="Times New Roman"/>
        </w:rPr>
        <w:t xml:space="preserve">To </w:t>
      </w:r>
      <w:r w:rsidRPr="00D04BFD" w:rsidDel="00F54F22">
        <w:rPr>
          <w:rFonts w:ascii="Times New Roman" w:hAnsi="Times New Roman" w:cs="Times New Roman"/>
        </w:rPr>
        <w:t xml:space="preserve">ensure </w:t>
      </w:r>
      <w:r w:rsidRPr="00D04BFD">
        <w:rPr>
          <w:rFonts w:ascii="Times New Roman" w:hAnsi="Times New Roman" w:cs="Times New Roman"/>
        </w:rPr>
        <w:t xml:space="preserve">the European Child Guarantee </w:t>
      </w:r>
      <w:r w:rsidRPr="00D04BFD" w:rsidDel="00F54F22">
        <w:rPr>
          <w:rFonts w:ascii="Times New Roman" w:hAnsi="Times New Roman" w:cs="Times New Roman"/>
        </w:rPr>
        <w:t xml:space="preserve">translates into </w:t>
      </w:r>
      <w:r w:rsidRPr="00D04BFD">
        <w:rPr>
          <w:rFonts w:ascii="Times New Roman" w:hAnsi="Times New Roman" w:cs="Times New Roman"/>
        </w:rPr>
        <w:t xml:space="preserve">lasting change, </w:t>
      </w:r>
      <w:r w:rsidRPr="00D04BFD">
        <w:rPr>
          <w:rFonts w:ascii="Times New Roman" w:hAnsi="Times New Roman" w:cs="Times New Roman"/>
          <w:b/>
          <w:bCs/>
        </w:rPr>
        <w:t>its implementation must evolve from fragmented service delivery to a cohesive, child-centred system that wraps tailored support around every child in need, from early childhood through the critical transition to adulthood.</w:t>
      </w:r>
      <w:r w:rsidRPr="00D04BFD">
        <w:rPr>
          <w:rFonts w:ascii="Times New Roman" w:hAnsi="Times New Roman" w:cs="Times New Roman"/>
        </w:rPr>
        <w:t xml:space="preserve"> This requires three main shifts: first, individualised support and mentorship to address the unique barriers each child faces; second, new digital solutions to cut through bureaucratic silos and ensure children can easily benefit from support; and third, extended pathways into early adulthood, preventing vulnerable young people from falling through gaps between child and youth support schemes. </w:t>
      </w:r>
    </w:p>
    <w:p w14:paraId="35155376" w14:textId="12AFE282"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 xml:space="preserve">Children in need require integrated, individualised support. </w:t>
      </w:r>
      <w:r w:rsidRPr="00D04BFD">
        <w:rPr>
          <w:rFonts w:ascii="Times New Roman" w:eastAsia="Times New Roman" w:hAnsi="Times New Roman" w:cs="Times New Roman"/>
          <w:color w:val="000000" w:themeColor="text1"/>
        </w:rPr>
        <w:t>Input from</w:t>
      </w:r>
      <w:r w:rsidRPr="00D04BFD">
        <w:rPr>
          <w:rFonts w:ascii="Times New Roman" w:hAnsi="Times New Roman" w:cs="Times New Roman"/>
          <w:color w:val="000000" w:themeColor="text1"/>
        </w:rPr>
        <w:t xml:space="preserve"> children consulted under the </w:t>
      </w:r>
      <w:r w:rsidRPr="00D04BFD">
        <w:rPr>
          <w:rFonts w:ascii="Times New Roman" w:eastAsia="Times New Roman" w:hAnsi="Times New Roman" w:cs="Times New Roman"/>
        </w:rPr>
        <w:t>EU Children’s Parti</w:t>
      </w:r>
      <w:bookmarkStart w:id="2" w:name="_Hlt228303538"/>
      <w:bookmarkEnd w:id="2"/>
      <w:r w:rsidRPr="00D04BFD">
        <w:rPr>
          <w:rFonts w:ascii="Times New Roman" w:eastAsia="Times New Roman" w:hAnsi="Times New Roman" w:cs="Times New Roman"/>
        </w:rPr>
        <w:t>cipation Platform (</w:t>
      </w:r>
      <w:r w:rsidRPr="00D04BFD">
        <w:rPr>
          <w:rStyle w:val="FootnoteReference"/>
          <w:rFonts w:ascii="Times New Roman" w:hAnsi="Times New Roman" w:cs="Times New Roman"/>
        </w:rPr>
        <w:footnoteReference w:id="21"/>
      </w:r>
      <w:r w:rsidRPr="00D04BFD">
        <w:rPr>
          <w:rFonts w:ascii="Times New Roman" w:eastAsia="Times New Roman" w:hAnsi="Times New Roman" w:cs="Times New Roman"/>
        </w:rPr>
        <w:t>)</w:t>
      </w:r>
      <w:r w:rsidRPr="00D04BFD">
        <w:rPr>
          <w:rFonts w:ascii="Times New Roman" w:eastAsia="Times New Roman" w:hAnsi="Times New Roman" w:cs="Times New Roman"/>
          <w:color w:val="000000" w:themeColor="text1"/>
        </w:rPr>
        <w:t xml:space="preserve"> highlighted what makes a difference: having a trusted adult – a parent, a teacher, a social worker, or a community leader - who can provide stability, emotional support, encouragement and practical advice, and detect signs of distress. This is especially crucial when such stability is missing at home. To ensure each child in need can build a path out of poverty, mentorship programmes and counselling interventions should be expanded to guide children in need through challenging moments of their life. </w:t>
      </w:r>
    </w:p>
    <w:p w14:paraId="0E2FB268" w14:textId="4A1A3A2A"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F52F43">
        <w:rPr>
          <w:rFonts w:ascii="Times New Roman" w:hAnsi="Times New Roman" w:cs="Times New Roman"/>
          <w:b/>
        </w:rPr>
        <w:t>The Commission will support the expansion of mentorship programmes for vulnerable children</w:t>
      </w:r>
      <w:r w:rsidRPr="00D04BFD">
        <w:rPr>
          <w:rFonts w:ascii="Times New Roman" w:hAnsi="Times New Roman" w:cs="Times New Roman"/>
        </w:rPr>
        <w:t xml:space="preserve"> through closer links between schools, social workers and local community actors. This will also be an integral part of the upcoming </w:t>
      </w:r>
      <w:r w:rsidRPr="00D04BFD">
        <w:rPr>
          <w:rFonts w:ascii="Times New Roman" w:hAnsi="Times New Roman" w:cs="Times New Roman"/>
          <w:b/>
          <w:bCs/>
        </w:rPr>
        <w:t>Teachers’</w:t>
      </w:r>
      <w:r w:rsidRPr="00F52F43">
        <w:rPr>
          <w:rFonts w:ascii="Times New Roman" w:hAnsi="Times New Roman" w:cs="Times New Roman"/>
          <w:b/>
        </w:rPr>
        <w:t xml:space="preserve"> Agenda</w:t>
      </w:r>
      <w:r w:rsidRPr="00D04BFD">
        <w:rPr>
          <w:rFonts w:ascii="Times New Roman" w:hAnsi="Times New Roman" w:cs="Times New Roman"/>
        </w:rPr>
        <w:t xml:space="preserve">. In addition, the Commission will work jointly with the </w:t>
      </w:r>
      <w:r w:rsidR="001F22A0">
        <w:rPr>
          <w:rFonts w:ascii="Times New Roman" w:hAnsi="Times New Roman" w:cs="Times New Roman"/>
        </w:rPr>
        <w:t xml:space="preserve">European </w:t>
      </w:r>
      <w:r w:rsidRPr="00D04BFD">
        <w:rPr>
          <w:rFonts w:ascii="Times New Roman" w:hAnsi="Times New Roman" w:cs="Times New Roman"/>
        </w:rPr>
        <w:t xml:space="preserve">Committee of </w:t>
      </w:r>
      <w:r w:rsidR="001F22A0">
        <w:rPr>
          <w:rFonts w:ascii="Times New Roman" w:hAnsi="Times New Roman" w:cs="Times New Roman"/>
        </w:rPr>
        <w:t xml:space="preserve">the </w:t>
      </w:r>
      <w:r w:rsidRPr="00D04BFD">
        <w:rPr>
          <w:rFonts w:ascii="Times New Roman" w:hAnsi="Times New Roman" w:cs="Times New Roman"/>
        </w:rPr>
        <w:t>Regions, by means of a Joint Action Plan, to enable, among others,</w:t>
      </w:r>
      <w:r w:rsidRPr="00D04BFD" w:rsidDel="00510ED2">
        <w:rPr>
          <w:rFonts w:ascii="Times New Roman" w:hAnsi="Times New Roman" w:cs="Times New Roman"/>
        </w:rPr>
        <w:t xml:space="preserve"> </w:t>
      </w:r>
      <w:r w:rsidRPr="00D04BFD">
        <w:rPr>
          <w:rFonts w:ascii="Times New Roman" w:hAnsi="Times New Roman" w:cs="Times New Roman"/>
        </w:rPr>
        <w:t>the local authorities to ensure that each child in need receives such tailored counselling.</w:t>
      </w:r>
    </w:p>
    <w:p w14:paraId="1D33E5FE" w14:textId="77777777" w:rsidR="001F22A0"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Attention needs to be given to children facing intersecting forms of disadvantage</w:t>
      </w:r>
      <w:r w:rsidRPr="00D04BFD">
        <w:rPr>
          <w:rFonts w:ascii="Times New Roman" w:eastAsia="Times New Roman" w:hAnsi="Times New Roman" w:cs="Times New Roman"/>
          <w:color w:val="000000" w:themeColor="text1"/>
        </w:rPr>
        <w:t xml:space="preserve">. For </w:t>
      </w:r>
      <w:r w:rsidRPr="00D04BFD">
        <w:rPr>
          <w:rFonts w:ascii="Times New Roman" w:eastAsia="Times New Roman" w:hAnsi="Times New Roman" w:cs="Times New Roman"/>
          <w:b/>
          <w:bCs/>
          <w:color w:val="000000" w:themeColor="text1"/>
        </w:rPr>
        <w:t>children with disabilities</w:t>
      </w:r>
      <w:r w:rsidRPr="00D04BFD">
        <w:rPr>
          <w:rFonts w:ascii="Times New Roman" w:eastAsia="Times New Roman" w:hAnsi="Times New Roman" w:cs="Times New Roman"/>
          <w:color w:val="000000" w:themeColor="text1"/>
        </w:rPr>
        <w:t xml:space="preserve">, this aligns with the Communication on enhancing the strategy for the rights of persons with disabilities up to 2030. All categories of children in need will be considered, including those in alternative care. Regarding </w:t>
      </w:r>
      <w:r w:rsidRPr="00D04BFD">
        <w:rPr>
          <w:rFonts w:ascii="Times New Roman" w:eastAsia="Times New Roman" w:hAnsi="Times New Roman" w:cs="Times New Roman"/>
          <w:b/>
          <w:bCs/>
          <w:color w:val="000000" w:themeColor="text1"/>
        </w:rPr>
        <w:t>Roma children</w:t>
      </w:r>
      <w:r w:rsidRPr="00D04BFD">
        <w:rPr>
          <w:rFonts w:ascii="Times New Roman" w:eastAsia="Times New Roman" w:hAnsi="Times New Roman" w:cs="Times New Roman"/>
          <w:color w:val="000000" w:themeColor="text1"/>
        </w:rPr>
        <w:t xml:space="preserve">, for whom poverty, discrimination and segregation too often limit effective access to services, the Commission will prepare, together with stakeholders, a </w:t>
      </w:r>
      <w:r w:rsidRPr="00D04BFD">
        <w:rPr>
          <w:rFonts w:ascii="Times New Roman" w:eastAsia="Times New Roman" w:hAnsi="Times New Roman" w:cs="Times New Roman"/>
          <w:b/>
          <w:bCs/>
          <w:color w:val="000000" w:themeColor="text1"/>
        </w:rPr>
        <w:t>Guidance focused on integrated measures bringing together outreach, mediation, inclusive education, family support and community-based interventions</w:t>
      </w:r>
      <w:r w:rsidRPr="00D04BFD">
        <w:rPr>
          <w:rFonts w:ascii="Times New Roman" w:eastAsia="Times New Roman" w:hAnsi="Times New Roman" w:cs="Times New Roman"/>
          <w:color w:val="000000" w:themeColor="text1"/>
        </w:rPr>
        <w:t xml:space="preserve">. More than 700,000 children are in alternative care in the EU, with nearly 40% of these children, notably with disabilities, remaining in residential institutions. </w:t>
      </w:r>
      <w:r w:rsidRPr="00D04BFD">
        <w:rPr>
          <w:rFonts w:ascii="Times New Roman" w:eastAsia="Times New Roman" w:hAnsi="Times New Roman" w:cs="Times New Roman"/>
          <w:b/>
          <w:color w:val="000000" w:themeColor="text1"/>
        </w:rPr>
        <w:t>For</w:t>
      </w:r>
      <w:r w:rsidRPr="00D04BFD">
        <w:rPr>
          <w:rFonts w:ascii="Times New Roman" w:eastAsia="Times New Roman" w:hAnsi="Times New Roman" w:cs="Times New Roman"/>
          <w:color w:val="000000" w:themeColor="text1"/>
        </w:rPr>
        <w:t xml:space="preserve"> </w:t>
      </w:r>
      <w:r w:rsidRPr="00D04BFD">
        <w:rPr>
          <w:rFonts w:ascii="Times New Roman" w:eastAsia="Times New Roman" w:hAnsi="Times New Roman" w:cs="Times New Roman"/>
          <w:b/>
          <w:bCs/>
          <w:color w:val="000000" w:themeColor="text1"/>
        </w:rPr>
        <w:t>young people leaving alternative care, homeless children and families with children in precarious housing situations</w:t>
      </w:r>
      <w:r w:rsidRPr="00D04BFD">
        <w:rPr>
          <w:rFonts w:ascii="Times New Roman" w:eastAsia="Times New Roman" w:hAnsi="Times New Roman" w:cs="Times New Roman"/>
          <w:color w:val="000000" w:themeColor="text1"/>
        </w:rPr>
        <w:t xml:space="preserve">, the proposed </w:t>
      </w:r>
      <w:r w:rsidRPr="00D04BFD">
        <w:rPr>
          <w:rFonts w:ascii="Times New Roman" w:eastAsia="Times New Roman" w:hAnsi="Times New Roman" w:cs="Times New Roman"/>
          <w:b/>
          <w:bCs/>
          <w:color w:val="000000" w:themeColor="text1"/>
        </w:rPr>
        <w:t>Council recommendation on fighting housing exclusion</w:t>
      </w:r>
      <w:r w:rsidRPr="00D04BFD">
        <w:rPr>
          <w:rFonts w:ascii="Times New Roman" w:eastAsia="Times New Roman" w:hAnsi="Times New Roman" w:cs="Times New Roman"/>
          <w:color w:val="000000" w:themeColor="text1"/>
        </w:rPr>
        <w:t xml:space="preserve"> will </w:t>
      </w:r>
      <w:r w:rsidRPr="00D04BFD" w:rsidDel="007F346B">
        <w:rPr>
          <w:rFonts w:ascii="Times New Roman" w:eastAsia="Times New Roman" w:hAnsi="Times New Roman" w:cs="Times New Roman"/>
          <w:color w:val="000000" w:themeColor="text1"/>
        </w:rPr>
        <w:t xml:space="preserve">support </w:t>
      </w:r>
      <w:r w:rsidRPr="00D04BFD">
        <w:rPr>
          <w:rFonts w:ascii="Times New Roman" w:eastAsia="Times New Roman" w:hAnsi="Times New Roman" w:cs="Times New Roman"/>
          <w:color w:val="000000" w:themeColor="text1"/>
        </w:rPr>
        <w:t xml:space="preserve">preventive and integrated responses, including during the transition to adulthood. </w:t>
      </w:r>
    </w:p>
    <w:p w14:paraId="1CB2DDC1" w14:textId="6B364CF9"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hAnsi="Times New Roman" w:cs="Times New Roman"/>
          <w:b/>
        </w:rPr>
        <w:t>Children in need and their parents struggle too often to navigate the systems designed to help them</w:t>
      </w:r>
      <w:r w:rsidRPr="00D04BFD">
        <w:rPr>
          <w:rFonts w:ascii="Times New Roman" w:hAnsi="Times New Roman" w:cs="Times New Roman"/>
        </w:rPr>
        <w:t>. This</w:t>
      </w:r>
      <w:r w:rsidRPr="00D04BFD">
        <w:rPr>
          <w:rFonts w:ascii="Times New Roman" w:eastAsia="Times New Roman" w:hAnsi="Times New Roman" w:cs="Times New Roman"/>
          <w:color w:val="000000" w:themeColor="text1"/>
        </w:rPr>
        <w:t xml:space="preserve"> reflects fragmented delivery systems, with responsibilities spread across different authorities, levels of government and service providers, operating through separate procedures and access points. </w:t>
      </w:r>
      <w:r w:rsidRPr="00D04BFD">
        <w:rPr>
          <w:rFonts w:ascii="Times New Roman" w:eastAsia="Times New Roman" w:hAnsi="Times New Roman" w:cs="Times New Roman"/>
        </w:rPr>
        <w:t xml:space="preserve">In practice, families often need to </w:t>
      </w:r>
      <w:r w:rsidRPr="00D04BFD" w:rsidDel="00A455E0">
        <w:rPr>
          <w:rFonts w:ascii="Times New Roman" w:eastAsia="Times New Roman" w:hAnsi="Times New Roman" w:cs="Times New Roman"/>
        </w:rPr>
        <w:t xml:space="preserve">navigate </w:t>
      </w:r>
      <w:r w:rsidRPr="00D04BFD" w:rsidDel="00E36668">
        <w:rPr>
          <w:rFonts w:ascii="Times New Roman" w:eastAsia="Times New Roman" w:hAnsi="Times New Roman" w:cs="Times New Roman"/>
        </w:rPr>
        <w:t>multiple systems to understand</w:t>
      </w:r>
      <w:r w:rsidRPr="00D04BFD">
        <w:rPr>
          <w:rFonts w:ascii="Times New Roman" w:eastAsia="Times New Roman" w:hAnsi="Times New Roman" w:cs="Times New Roman"/>
        </w:rPr>
        <w:t xml:space="preserve"> their </w:t>
      </w:r>
      <w:r w:rsidRPr="00D04BFD">
        <w:rPr>
          <w:rFonts w:ascii="Times New Roman" w:eastAsia="Times New Roman" w:hAnsi="Times New Roman" w:cs="Times New Roman"/>
        </w:rPr>
        <w:lastRenderedPageBreak/>
        <w:t xml:space="preserve">entitlements, identify the competent authority and </w:t>
      </w:r>
      <w:r w:rsidRPr="00D04BFD" w:rsidDel="00A455E0">
        <w:rPr>
          <w:rFonts w:ascii="Times New Roman" w:eastAsia="Times New Roman" w:hAnsi="Times New Roman" w:cs="Times New Roman"/>
        </w:rPr>
        <w:t>activate access</w:t>
      </w:r>
      <w:r w:rsidRPr="00D04BFD">
        <w:rPr>
          <w:rFonts w:ascii="Times New Roman" w:eastAsia="Times New Roman" w:hAnsi="Times New Roman" w:cs="Times New Roman"/>
        </w:rPr>
        <w:t xml:space="preserve"> to the support (</w:t>
      </w:r>
      <w:r w:rsidRPr="00D04BFD">
        <w:rPr>
          <w:rStyle w:val="FootnoteReference"/>
          <w:rFonts w:ascii="Times New Roman" w:eastAsia="Times New Roman" w:hAnsi="Times New Roman" w:cs="Times New Roman"/>
          <w:color w:val="000000" w:themeColor="text1"/>
        </w:rPr>
        <w:footnoteReference w:id="22"/>
      </w:r>
      <w:r w:rsidRPr="00D04BFD">
        <w:rPr>
          <w:rFonts w:ascii="Times New Roman" w:eastAsia="Times New Roman" w:hAnsi="Times New Roman" w:cs="Times New Roman"/>
        </w:rPr>
        <w:t>).</w:t>
      </w:r>
    </w:p>
    <w:p w14:paraId="14F1F435" w14:textId="77777777"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b/>
          <w:bCs/>
        </w:rPr>
        <w:t>T</w:t>
      </w:r>
      <w:r w:rsidRPr="00D04BFD">
        <w:rPr>
          <w:rFonts w:ascii="Times New Roman" w:eastAsia="Times New Roman" w:hAnsi="Times New Roman" w:cs="Times New Roman"/>
          <w:b/>
          <w:bCs/>
          <w:color w:val="000000" w:themeColor="text1"/>
        </w:rPr>
        <w:t>he digital transformation of public services creates new opportunities</w:t>
      </w:r>
      <w:r w:rsidRPr="00D04BFD">
        <w:rPr>
          <w:rFonts w:ascii="Times New Roman" w:eastAsia="Times New Roman" w:hAnsi="Times New Roman" w:cs="Times New Roman"/>
          <w:color w:val="000000" w:themeColor="text1"/>
        </w:rPr>
        <w:t xml:space="preserve"> </w:t>
      </w:r>
      <w:r w:rsidRPr="00D04BFD">
        <w:rPr>
          <w:rFonts w:ascii="Times New Roman" w:eastAsia="Times New Roman" w:hAnsi="Times New Roman" w:cs="Times New Roman"/>
          <w:b/>
          <w:color w:val="000000" w:themeColor="text1"/>
        </w:rPr>
        <w:t>to address these challenges</w:t>
      </w:r>
      <w:r w:rsidRPr="00D04BFD">
        <w:rPr>
          <w:rFonts w:ascii="Times New Roman" w:eastAsia="Times New Roman" w:hAnsi="Times New Roman" w:cs="Times New Roman"/>
          <w:color w:val="000000" w:themeColor="text1"/>
        </w:rPr>
        <w:t xml:space="preserve">. </w:t>
      </w:r>
      <w:r w:rsidRPr="00D04BFD">
        <w:rPr>
          <w:rFonts w:ascii="Times New Roman" w:eastAsia="Times New Roman" w:hAnsi="Times New Roman" w:cs="Times New Roman"/>
        </w:rPr>
        <w:t xml:space="preserve">The European Digital Identity framework offers secure, interoperable and privacy-preserving tools </w:t>
      </w:r>
      <w:r w:rsidRPr="00D04BFD">
        <w:rPr>
          <w:rFonts w:ascii="Times New Roman" w:eastAsia="Times New Roman" w:hAnsi="Times New Roman" w:cs="Times New Roman"/>
          <w:b/>
          <w:bCs/>
        </w:rPr>
        <w:t>to facilitate</w:t>
      </w:r>
      <w:r w:rsidRPr="00D04BFD">
        <w:rPr>
          <w:rFonts w:ascii="Times New Roman" w:eastAsia="Times New Roman" w:hAnsi="Times New Roman" w:cs="Times New Roman"/>
          <w:b/>
        </w:rPr>
        <w:t xml:space="preserve"> </w:t>
      </w:r>
      <w:r w:rsidRPr="00D04BFD">
        <w:rPr>
          <w:rFonts w:ascii="Times New Roman" w:eastAsia="Times New Roman" w:hAnsi="Times New Roman" w:cs="Times New Roman"/>
          <w:b/>
          <w:bCs/>
        </w:rPr>
        <w:t>more efficient and impactful policy implementation</w:t>
      </w:r>
      <w:r w:rsidRPr="00D04BFD">
        <w:rPr>
          <w:rFonts w:ascii="Times New Roman" w:eastAsia="Times New Roman" w:hAnsi="Times New Roman" w:cs="Times New Roman"/>
        </w:rPr>
        <w:t>. These can allow relevant information to be verified and shared, while ensuring that accessible non-digital alternatives remain available where necessary. Digitalisation should be designed around the needs of children and families, with appropriate safeguards for children’s rights, personal data protection, non-discrimination, accessibility and the prevention of stigmatisation and digital exclusion. Some Member States have already taken steps to place innovative solutions around this matter.</w:t>
      </w:r>
    </w:p>
    <w:p w14:paraId="2132467C" w14:textId="15B2CF2A" w:rsidR="00D04BFD" w:rsidRPr="00D04BFD" w:rsidRDefault="00D04BFD" w:rsidP="00F52F43">
      <w:pPr>
        <w:widowControl w:val="0"/>
        <w:spacing w:after="240" w:line="240" w:lineRule="auto"/>
        <w:jc w:val="both"/>
        <w:rPr>
          <w:rFonts w:ascii="Times New Roman" w:hAnsi="Times New Roman" w:cs="Times New Roman"/>
          <w:color w:val="000000" w:themeColor="text1"/>
        </w:rPr>
      </w:pPr>
      <w:r w:rsidRPr="00D04BFD">
        <w:rPr>
          <w:rFonts w:ascii="Times New Roman" w:hAnsi="Times New Roman" w:cs="Times New Roman"/>
          <w:color w:val="000000" w:themeColor="text1"/>
        </w:rPr>
        <w:t xml:space="preserve">The Commission will put forward a pilot programme to test and </w:t>
      </w:r>
      <w:r w:rsidRPr="00D04BFD" w:rsidDel="009918CE">
        <w:rPr>
          <w:rFonts w:ascii="Times New Roman" w:hAnsi="Times New Roman" w:cs="Times New Roman"/>
          <w:color w:val="000000" w:themeColor="text1"/>
        </w:rPr>
        <w:t xml:space="preserve">develop </w:t>
      </w:r>
      <w:r w:rsidRPr="00D04BFD">
        <w:rPr>
          <w:rFonts w:ascii="Times New Roman" w:hAnsi="Times New Roman" w:cs="Times New Roman"/>
          <w:color w:val="000000" w:themeColor="text1"/>
        </w:rPr>
        <w:t xml:space="preserve">a new digital framework for a </w:t>
      </w:r>
      <w:r w:rsidRPr="00D04BFD">
        <w:rPr>
          <w:rFonts w:ascii="Times New Roman" w:hAnsi="Times New Roman" w:cs="Times New Roman"/>
          <w:b/>
          <w:bCs/>
          <w:color w:val="000000" w:themeColor="text1"/>
        </w:rPr>
        <w:t>European Child Guarantee Card</w:t>
      </w:r>
      <w:r w:rsidRPr="00F52F43">
        <w:rPr>
          <w:rFonts w:ascii="Times New Roman" w:hAnsi="Times New Roman" w:cs="Times New Roman"/>
          <w:color w:val="000000" w:themeColor="text1"/>
        </w:rPr>
        <w:t>.</w:t>
      </w:r>
      <w:r w:rsidRPr="00D04BFD">
        <w:rPr>
          <w:rFonts w:ascii="Times New Roman" w:hAnsi="Times New Roman" w:cs="Times New Roman"/>
          <w:b/>
          <w:bCs/>
          <w:color w:val="000000" w:themeColor="text1"/>
        </w:rPr>
        <w:t xml:space="preserve"> </w:t>
      </w:r>
      <w:r w:rsidRPr="00D04BFD">
        <w:rPr>
          <w:rFonts w:ascii="Times New Roman" w:hAnsi="Times New Roman" w:cs="Times New Roman"/>
          <w:color w:val="000000" w:themeColor="text1"/>
        </w:rPr>
        <w:t xml:space="preserve">The Card will have the objective to facilitate access to services and a coherent support for children in need, while maintaining the EU’s rigorous </w:t>
      </w:r>
      <w:r w:rsidRPr="00D04BFD">
        <w:rPr>
          <w:rFonts w:ascii="Times New Roman" w:eastAsia="Times New Roman" w:hAnsi="Times New Roman" w:cs="Times New Roman"/>
        </w:rPr>
        <w:t>safeguards for children’s rights, personal data protection, non-discrimination and accessibility</w:t>
      </w:r>
      <w:r w:rsidRPr="00D04BFD">
        <w:rPr>
          <w:rFonts w:ascii="Times New Roman" w:hAnsi="Times New Roman" w:cs="Times New Roman"/>
          <w:color w:val="000000" w:themeColor="text1"/>
        </w:rPr>
        <w:t xml:space="preserve"> standards. The pilot will build on the European Digital Identity Wallet, as a first step towards a practical tool to improve delivery and coordination between relevant different entitlements, </w:t>
      </w:r>
      <w:r w:rsidRPr="00D04BFD" w:rsidDel="00C44F61">
        <w:rPr>
          <w:rFonts w:ascii="Times New Roman" w:hAnsi="Times New Roman" w:cs="Times New Roman"/>
          <w:color w:val="000000" w:themeColor="text1"/>
        </w:rPr>
        <w:t>facilitate access and use</w:t>
      </w:r>
      <w:r w:rsidRPr="00D04BFD">
        <w:rPr>
          <w:rFonts w:ascii="Times New Roman" w:hAnsi="Times New Roman" w:cs="Times New Roman"/>
          <w:color w:val="000000" w:themeColor="text1"/>
        </w:rPr>
        <w:t xml:space="preserve"> of support </w:t>
      </w:r>
      <w:r w:rsidRPr="00D04BFD" w:rsidDel="00C44F61">
        <w:rPr>
          <w:rFonts w:ascii="Times New Roman" w:hAnsi="Times New Roman" w:cs="Times New Roman"/>
          <w:color w:val="000000" w:themeColor="text1"/>
        </w:rPr>
        <w:t xml:space="preserve">services </w:t>
      </w:r>
      <w:r w:rsidRPr="00D04BFD">
        <w:rPr>
          <w:rFonts w:ascii="Times New Roman" w:hAnsi="Times New Roman" w:cs="Times New Roman"/>
          <w:color w:val="000000" w:themeColor="text1"/>
        </w:rPr>
        <w:t>by children in need, increase visibility</w:t>
      </w:r>
      <w:r w:rsidRPr="00D04BFD" w:rsidDel="00C44F61">
        <w:rPr>
          <w:rFonts w:ascii="Times New Roman" w:hAnsi="Times New Roman" w:cs="Times New Roman"/>
          <w:color w:val="000000" w:themeColor="text1"/>
        </w:rPr>
        <w:t xml:space="preserve"> and improve </w:t>
      </w:r>
      <w:r w:rsidRPr="00D04BFD">
        <w:rPr>
          <w:rFonts w:ascii="Times New Roman" w:hAnsi="Times New Roman" w:cs="Times New Roman"/>
          <w:color w:val="000000" w:themeColor="text1"/>
        </w:rPr>
        <w:t xml:space="preserve">transparency and monitoring by the competent authorities. The pilot marks an important step in strengthening Europe’s innovation and simplification-friendly digital environment, with the goal of helping relevant authorities, service providers and local support professionals to design and test this type of digital solutions, ensuring </w:t>
      </w:r>
      <w:r w:rsidRPr="00D04BFD">
        <w:rPr>
          <w:rFonts w:ascii="Times New Roman" w:hAnsi="Times New Roman" w:cs="Times New Roman"/>
        </w:rPr>
        <w:t xml:space="preserve">that support reaches children in need in a timely, accessible, inclusive and non-stigmatising manner. </w:t>
      </w:r>
      <w:r w:rsidRPr="00D04BFD">
        <w:rPr>
          <w:rFonts w:ascii="Times New Roman" w:hAnsi="Times New Roman" w:cs="Times New Roman"/>
          <w:color w:val="000000" w:themeColor="text1"/>
        </w:rPr>
        <w:t xml:space="preserve">As part of the pilot, Member States </w:t>
      </w:r>
      <w:r w:rsidR="001F22A0">
        <w:rPr>
          <w:rFonts w:ascii="Times New Roman" w:hAnsi="Times New Roman" w:cs="Times New Roman"/>
          <w:color w:val="000000" w:themeColor="text1"/>
        </w:rPr>
        <w:t>that</w:t>
      </w:r>
      <w:r w:rsidRPr="00D04BFD">
        <w:rPr>
          <w:rFonts w:ascii="Times New Roman" w:hAnsi="Times New Roman" w:cs="Times New Roman"/>
          <w:color w:val="000000" w:themeColor="text1"/>
        </w:rPr>
        <w:t xml:space="preserve"> would test</w:t>
      </w:r>
      <w:r w:rsidR="00E36148">
        <w:rPr>
          <w:rFonts w:ascii="Times New Roman" w:hAnsi="Times New Roman" w:cs="Times New Roman"/>
          <w:color w:val="000000" w:themeColor="text1"/>
        </w:rPr>
        <w:t xml:space="preserve"> (</w:t>
      </w:r>
      <w:r w:rsidR="00E36148">
        <w:rPr>
          <w:rStyle w:val="FootnoteReference"/>
          <w:rFonts w:ascii="Times New Roman" w:hAnsi="Times New Roman" w:cs="Times New Roman"/>
          <w:color w:val="000000" w:themeColor="text1"/>
        </w:rPr>
        <w:footnoteReference w:id="23"/>
      </w:r>
      <w:r w:rsidR="00E36148">
        <w:rPr>
          <w:rFonts w:ascii="Times New Roman" w:hAnsi="Times New Roman" w:cs="Times New Roman"/>
          <w:color w:val="000000" w:themeColor="text1"/>
        </w:rPr>
        <w:t>)</w:t>
      </w:r>
      <w:r w:rsidRPr="00D04BFD">
        <w:rPr>
          <w:rFonts w:ascii="Times New Roman" w:hAnsi="Times New Roman" w:cs="Times New Roman"/>
          <w:color w:val="000000" w:themeColor="text1"/>
        </w:rPr>
        <w:t xml:space="preserve"> the design of these systems will benefit from enhanced support through technical assistance. </w:t>
      </w:r>
    </w:p>
    <w:p w14:paraId="20C6C37D" w14:textId="0F6F96D9"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hAnsi="Times New Roman" w:cs="Times New Roman"/>
          <w:b/>
          <w:bCs/>
        </w:rPr>
        <w:t xml:space="preserve">Comprehensive and individualised support, where needed, cannot stop with the end of childhood. </w:t>
      </w:r>
      <w:r w:rsidRPr="00D04BFD">
        <w:rPr>
          <w:rFonts w:ascii="Times New Roman" w:hAnsi="Times New Roman" w:cs="Times New Roman"/>
        </w:rPr>
        <w:t>Children growing up in poverty often face elevated risks at the threshold of adulthood: early school leaving, becoming NEETs (not in education, employment or training) and falling through the cracks of fragmented education, employment and social services. Such risks are reinforced by labour market structural developments and growing economic uncertainty, which make bridging the gap between child and youth support systems essential. In recent years, vulnerable youth have also increasingly been targeted by organised crime and terrorism, with almost one third of terrorist suspects in the EU under the age of 20 in 2024</w:t>
      </w:r>
      <w:r w:rsidR="00E36148">
        <w:rPr>
          <w:rFonts w:ascii="Times New Roman" w:hAnsi="Times New Roman" w:cs="Times New Roman"/>
        </w:rPr>
        <w:t xml:space="preserve"> (</w:t>
      </w:r>
      <w:r w:rsidRPr="00D04BFD">
        <w:rPr>
          <w:rStyle w:val="FootnoteReference"/>
          <w:rFonts w:ascii="Times New Roman" w:hAnsi="Times New Roman" w:cs="Times New Roman"/>
        </w:rPr>
        <w:footnoteReference w:id="24"/>
      </w:r>
      <w:r w:rsidR="00E36148">
        <w:rPr>
          <w:rFonts w:ascii="Times New Roman" w:hAnsi="Times New Roman" w:cs="Times New Roman"/>
        </w:rPr>
        <w:t>).</w:t>
      </w:r>
      <w:r w:rsidRPr="00D04BFD">
        <w:rPr>
          <w:rFonts w:ascii="Times New Roman" w:hAnsi="Times New Roman" w:cs="Times New Roman"/>
        </w:rPr>
        <w:t xml:space="preserve"> </w:t>
      </w:r>
    </w:p>
    <w:p w14:paraId="04464DFB" w14:textId="77777777"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hAnsi="Times New Roman" w:cs="Times New Roman"/>
        </w:rPr>
        <w:t>It is important to ensure that every child in need receives the necessary accompanying measures to transition into empowered adults, capable of earning their living and living a decent life. This requires earlier identification of those at risk, stronger coordination between services, and seamless referral mechanisms across education, employment and social protection services. At the EU level, programmes such as Erasmus+ contribute to supporting vulnerable young people by facilitating access to inclusive learning experiences. The Youth Guarantee provides support to NEETs accessing further education or the labour market.</w:t>
      </w:r>
    </w:p>
    <w:p w14:paraId="182A592C" w14:textId="7018470A"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hAnsi="Times New Roman" w:cs="Times New Roman"/>
          <w:b/>
          <w:bCs/>
        </w:rPr>
        <w:t xml:space="preserve">Stronger synergies between the European Child Guarantee and the Youth Guarantee will be drawn </w:t>
      </w:r>
      <w:r w:rsidRPr="00D04BFD">
        <w:rPr>
          <w:rFonts w:ascii="Times New Roman" w:hAnsi="Times New Roman" w:cs="Times New Roman"/>
        </w:rPr>
        <w:t>to ensure</w:t>
      </w:r>
      <w:r w:rsidRPr="00D04BFD">
        <w:rPr>
          <w:rFonts w:ascii="Times New Roman" w:hAnsi="Times New Roman" w:cs="Times New Roman"/>
          <w:b/>
          <w:bCs/>
        </w:rPr>
        <w:t xml:space="preserve"> </w:t>
      </w:r>
      <w:r w:rsidRPr="00D04BFD">
        <w:rPr>
          <w:rFonts w:ascii="Times New Roman" w:hAnsi="Times New Roman" w:cs="Times New Roman"/>
        </w:rPr>
        <w:t xml:space="preserve">a better continuity of support for children in need, from childhood to early adulthood, until </w:t>
      </w:r>
      <w:r w:rsidRPr="00D04BFD">
        <w:rPr>
          <w:rFonts w:ascii="Times New Roman" w:eastAsia="Times New Roman" w:hAnsi="Times New Roman" w:cs="Times New Roman"/>
          <w:color w:val="000000" w:themeColor="text1"/>
        </w:rPr>
        <w:t xml:space="preserve">they are settled in independent life. </w:t>
      </w:r>
      <w:r w:rsidRPr="00D04BFD">
        <w:rPr>
          <w:rFonts w:ascii="Times New Roman" w:hAnsi="Times New Roman" w:cs="Times New Roman"/>
        </w:rPr>
        <w:t xml:space="preserve">While the European Child Guarantee focuses on ensuring access to key services for children in need up to the age of 18, the Youth Guarantee aims to support young people aged 15–29, including NEETs, with a good quality offer of employment, education, </w:t>
      </w:r>
      <w:r w:rsidRPr="00D04BFD">
        <w:rPr>
          <w:rFonts w:ascii="Times New Roman" w:hAnsi="Times New Roman" w:cs="Times New Roman"/>
        </w:rPr>
        <w:lastRenderedPageBreak/>
        <w:t>traineeship or apprenticeship within a period of four months of becoming unemployed or leaving education. However, the reach of these instruments remains uneven: coverage gaps persist, in particular for young people facing multiple disadvantages, and administrative fragmentation between national services and across levels of governance continues to limit their effectiveness.</w:t>
      </w:r>
    </w:p>
    <w:p w14:paraId="2BABAF4C" w14:textId="77777777" w:rsidR="00D04BFD" w:rsidRPr="00D04BFD" w:rsidRDefault="00D04BFD" w:rsidP="00D04BFD">
      <w:pPr>
        <w:spacing w:after="240" w:line="240" w:lineRule="auto"/>
        <w:jc w:val="both"/>
        <w:rPr>
          <w:rFonts w:ascii="Times New Roman" w:hAnsi="Times New Roman" w:cs="Times New Roman"/>
        </w:rPr>
      </w:pPr>
      <w:r w:rsidRPr="00D04BFD">
        <w:rPr>
          <w:rFonts w:ascii="Times New Roman" w:hAnsi="Times New Roman" w:cs="Times New Roman"/>
        </w:rPr>
        <w:t xml:space="preserve">The Commission will develop a </w:t>
      </w:r>
      <w:r w:rsidRPr="00D04BFD">
        <w:rPr>
          <w:rFonts w:ascii="Times New Roman" w:hAnsi="Times New Roman" w:cs="Times New Roman"/>
          <w:b/>
          <w:bCs/>
        </w:rPr>
        <w:t>Toolkit to help Member States strengthen the links between the European Child Guarantee and the Youth Guarantee</w:t>
      </w:r>
      <w:r w:rsidRPr="00D04BFD">
        <w:rPr>
          <w:rFonts w:ascii="Times New Roman" w:hAnsi="Times New Roman" w:cs="Times New Roman"/>
        </w:rPr>
        <w:t>, with a view to ensuring individualised, continuous support from childhood into early adulthood. It will set out practical ways for Member States to use EU funding, mentoring, outreach and other support measures, and to develop integrated pathways for children and young people in need. These pathways should support their transition into education, training or employment, while reducing the risk of disengagement and falling into a NEET situation.</w:t>
      </w:r>
      <w:r w:rsidRPr="00D04BFD" w:rsidDel="0094300F">
        <w:rPr>
          <w:rFonts w:ascii="Times New Roman" w:hAnsi="Times New Roman" w:cs="Times New Roman"/>
        </w:rPr>
        <w:t xml:space="preserve"> </w:t>
      </w:r>
    </w:p>
    <w:p w14:paraId="7470C6EE" w14:textId="77777777" w:rsidR="00D04BFD" w:rsidRPr="00D04BFD" w:rsidRDefault="00D04BFD" w:rsidP="00D04BFD">
      <w:pPr>
        <w:widowControl w:val="0"/>
        <w:spacing w:after="240" w:line="240" w:lineRule="auto"/>
        <w:jc w:val="both"/>
        <w:rPr>
          <w:rFonts w:ascii="Times New Roman" w:hAnsi="Times New Roman" w:cs="Times New Roman"/>
          <w:color w:val="000000" w:themeColor="text1"/>
        </w:rPr>
      </w:pPr>
      <w:r w:rsidRPr="00D04BFD">
        <w:rPr>
          <w:rFonts w:ascii="Times New Roman" w:hAnsi="Times New Roman" w:cs="Times New Roman"/>
        </w:rPr>
        <w:t>In addition, to showcase this approach, t</w:t>
      </w:r>
      <w:r w:rsidRPr="00D04BFD">
        <w:rPr>
          <w:rFonts w:ascii="Times New Roman" w:eastAsia="Times New Roman" w:hAnsi="Times New Roman" w:cs="Times New Roman"/>
          <w:color w:val="000000" w:themeColor="text1"/>
        </w:rPr>
        <w:t xml:space="preserve">he Commission will further help Member States to </w:t>
      </w:r>
      <w:r w:rsidRPr="00D04BFD">
        <w:rPr>
          <w:rFonts w:ascii="Times New Roman" w:eastAsia="Times New Roman" w:hAnsi="Times New Roman" w:cs="Times New Roman"/>
          <w:b/>
          <w:bCs/>
          <w:color w:val="000000" w:themeColor="text1"/>
        </w:rPr>
        <w:t>address disadvantages experienced by young Roma people while entering the labour market within a dedicated ESF+ call for projects</w:t>
      </w:r>
      <w:r w:rsidRPr="00D04BFD">
        <w:rPr>
          <w:rFonts w:ascii="Times New Roman" w:eastAsia="Times New Roman" w:hAnsi="Times New Roman" w:cs="Times New Roman"/>
          <w:color w:val="000000" w:themeColor="text1"/>
        </w:rPr>
        <w:t>.</w:t>
      </w:r>
    </w:p>
    <w:p w14:paraId="258C8DE0" w14:textId="77777777" w:rsidR="00D04BFD" w:rsidRPr="00D04BFD" w:rsidRDefault="00D04BFD" w:rsidP="00D04BFD">
      <w:pPr>
        <w:pStyle w:val="Heading3"/>
      </w:pPr>
      <w:r w:rsidRPr="00D04BFD">
        <w:t>Protecting vulnerable children from increased threats to safety</w:t>
      </w:r>
    </w:p>
    <w:p w14:paraId="1C2B9621" w14:textId="6E6A3E78"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The safety of children, both online and offline, has come under increasing threat, disproportionately affecting vulnerable children</w:t>
      </w:r>
      <w:r w:rsidRPr="00D04BFD">
        <w:rPr>
          <w:rFonts w:ascii="Times New Roman" w:eastAsia="Times New Roman" w:hAnsi="Times New Roman" w:cs="Times New Roman"/>
          <w:color w:val="000000" w:themeColor="text1"/>
        </w:rPr>
        <w:t xml:space="preserve">. While comprehensively </w:t>
      </w:r>
      <w:r w:rsidRPr="00D04BFD" w:rsidDel="004A7D94">
        <w:rPr>
          <w:rFonts w:ascii="Times New Roman" w:eastAsia="Times New Roman" w:hAnsi="Times New Roman" w:cs="Times New Roman"/>
          <w:color w:val="000000" w:themeColor="text1"/>
        </w:rPr>
        <w:t xml:space="preserve">addressing </w:t>
      </w:r>
      <w:r w:rsidRPr="00D04BFD">
        <w:rPr>
          <w:rFonts w:ascii="Times New Roman" w:eastAsia="Times New Roman" w:hAnsi="Times New Roman" w:cs="Times New Roman"/>
          <w:color w:val="000000" w:themeColor="text1"/>
        </w:rPr>
        <w:t xml:space="preserve">such threat goes beyond the scope of the sole European Child Guarantee Council Recommendation, its implementation needs to be closely aligned with the ambitious initiatives which the Commission is putting forward to protect each child </w:t>
      </w:r>
      <w:r w:rsidRPr="00D04BFD" w:rsidDel="00EE35E5">
        <w:rPr>
          <w:rFonts w:ascii="Times New Roman" w:eastAsia="Times New Roman" w:hAnsi="Times New Roman" w:cs="Times New Roman"/>
          <w:color w:val="000000" w:themeColor="text1"/>
        </w:rPr>
        <w:t>in need</w:t>
      </w:r>
      <w:r w:rsidRPr="00D04BFD">
        <w:rPr>
          <w:rFonts w:ascii="Times New Roman" w:eastAsia="Times New Roman" w:hAnsi="Times New Roman" w:cs="Times New Roman"/>
          <w:color w:val="000000" w:themeColor="text1"/>
        </w:rPr>
        <w:t xml:space="preserve">. </w:t>
      </w:r>
      <w:r w:rsidRPr="00D04BFD" w:rsidDel="4C3544B3">
        <w:rPr>
          <w:rFonts w:ascii="Times New Roman" w:eastAsia="Times New Roman" w:hAnsi="Times New Roman" w:cs="Times New Roman"/>
          <w:color w:val="000000" w:themeColor="text1"/>
        </w:rPr>
        <w:t>It is necessary to</w:t>
      </w:r>
      <w:r w:rsidRPr="00D04BFD" w:rsidDel="00DE63B2">
        <w:rPr>
          <w:rFonts w:ascii="Times New Roman" w:eastAsia="Times New Roman" w:hAnsi="Times New Roman" w:cs="Times New Roman"/>
          <w:color w:val="000000" w:themeColor="text1"/>
        </w:rPr>
        <w:t xml:space="preserve"> address</w:t>
      </w:r>
      <w:r w:rsidRPr="00D04BFD" w:rsidDel="4C3544B3">
        <w:rPr>
          <w:rFonts w:ascii="Times New Roman" w:eastAsia="Times New Roman" w:hAnsi="Times New Roman" w:cs="Times New Roman"/>
          <w:color w:val="000000" w:themeColor="text1"/>
        </w:rPr>
        <w:t xml:space="preserve"> these threats</w:t>
      </w:r>
      <w:r w:rsidRPr="00D04BFD">
        <w:rPr>
          <w:rFonts w:ascii="Times New Roman" w:eastAsia="Times New Roman" w:hAnsi="Times New Roman" w:cs="Times New Roman"/>
          <w:color w:val="000000" w:themeColor="text1"/>
        </w:rPr>
        <w:t>.</w:t>
      </w:r>
    </w:p>
    <w:p w14:paraId="4F2B3BF7" w14:textId="6DC10C0C"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The digital world plays an increasingly central role in children’s lives</w:t>
      </w:r>
      <w:r w:rsidRPr="00D04BFD">
        <w:rPr>
          <w:rFonts w:ascii="Times New Roman" w:eastAsia="Times New Roman" w:hAnsi="Times New Roman" w:cs="Times New Roman"/>
          <w:color w:val="000000" w:themeColor="text1"/>
        </w:rPr>
        <w:t xml:space="preserve">. It shapes their learning, interactions and future opportunities. </w:t>
      </w:r>
      <w:r w:rsidRPr="00D04BFD">
        <w:rPr>
          <w:rFonts w:ascii="Times New Roman" w:hAnsi="Times New Roman" w:cs="Times New Roman"/>
        </w:rPr>
        <w:t xml:space="preserve">However, </w:t>
      </w:r>
      <w:r w:rsidRPr="00D04BFD">
        <w:rPr>
          <w:rFonts w:ascii="Times New Roman" w:eastAsia="Times New Roman" w:hAnsi="Times New Roman" w:cs="Times New Roman"/>
        </w:rPr>
        <w:t xml:space="preserve">children from disadvantaged backgrounds </w:t>
      </w:r>
      <w:r w:rsidRPr="00D04BFD">
        <w:rPr>
          <w:rFonts w:ascii="Times New Roman" w:hAnsi="Times New Roman" w:cs="Times New Roman"/>
        </w:rPr>
        <w:t xml:space="preserve">are more exposed to </w:t>
      </w:r>
      <w:r w:rsidRPr="00D04BFD">
        <w:rPr>
          <w:rFonts w:ascii="Times New Roman" w:eastAsia="Times New Roman" w:hAnsi="Times New Roman" w:cs="Times New Roman"/>
        </w:rPr>
        <w:t>a digital divide</w:t>
      </w:r>
      <w:r w:rsidR="00E36148">
        <w:rPr>
          <w:rFonts w:ascii="Times New Roman" w:eastAsia="Times New Roman" w:hAnsi="Times New Roman" w:cs="Times New Roman"/>
        </w:rPr>
        <w:t xml:space="preserve"> (</w:t>
      </w:r>
      <w:r w:rsidRPr="00D04BFD">
        <w:rPr>
          <w:rStyle w:val="FootnoteReference"/>
          <w:rFonts w:ascii="Times New Roman" w:eastAsia="Times New Roman" w:hAnsi="Times New Roman" w:cs="Times New Roman"/>
        </w:rPr>
        <w:footnoteReference w:id="25"/>
      </w:r>
      <w:r w:rsidR="00E36148">
        <w:rPr>
          <w:rFonts w:ascii="Times New Roman" w:eastAsia="Times New Roman" w:hAnsi="Times New Roman" w:cs="Times New Roman"/>
        </w:rPr>
        <w:t>)</w:t>
      </w:r>
      <w:r w:rsidRPr="00D04BFD">
        <w:rPr>
          <w:rFonts w:ascii="Times New Roman" w:eastAsia="Times New Roman" w:hAnsi="Times New Roman" w:cs="Times New Roman"/>
        </w:rPr>
        <w:t xml:space="preserve">: they are less likely to have the skills, resources, or support needed to navigate </w:t>
      </w:r>
      <w:r w:rsidRPr="00D04BFD">
        <w:rPr>
          <w:rFonts w:ascii="Times New Roman" w:eastAsia="Times New Roman" w:hAnsi="Times New Roman" w:cs="Times New Roman"/>
          <w:color w:val="000000" w:themeColor="text1"/>
        </w:rPr>
        <w:t xml:space="preserve">online environments safely and to benefit from their opportunities. They are also disproportionately exposed to online risks, including cyberbullying, harmful content and manipulative digital practices, radicalisation and child sexual abuse. </w:t>
      </w:r>
    </w:p>
    <w:p w14:paraId="48A8539D" w14:textId="5C55C757"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color w:val="000000" w:themeColor="text1"/>
        </w:rPr>
        <w:t xml:space="preserve">The Commission is already responding with a comprehensive toolbox for child safety. At its core </w:t>
      </w:r>
      <w:r w:rsidR="00D74768">
        <w:rPr>
          <w:rFonts w:ascii="Times New Roman" w:eastAsia="Times New Roman" w:hAnsi="Times New Roman" w:cs="Times New Roman"/>
          <w:color w:val="000000" w:themeColor="text1"/>
        </w:rPr>
        <w:t>are</w:t>
      </w:r>
      <w:r w:rsidR="001F22A0">
        <w:rPr>
          <w:rFonts w:ascii="Times New Roman" w:eastAsia="Times New Roman" w:hAnsi="Times New Roman" w:cs="Times New Roman"/>
          <w:color w:val="000000" w:themeColor="text1"/>
        </w:rPr>
        <w:t xml:space="preserve"> </w:t>
      </w:r>
      <w:r w:rsidRPr="00D04BFD">
        <w:rPr>
          <w:rFonts w:ascii="Times New Roman" w:eastAsia="Times New Roman" w:hAnsi="Times New Roman" w:cs="Times New Roman"/>
          <w:color w:val="000000" w:themeColor="text1"/>
        </w:rPr>
        <w:t xml:space="preserve">the </w:t>
      </w:r>
      <w:r w:rsidRPr="00D04BFD">
        <w:rPr>
          <w:rFonts w:ascii="Times New Roman" w:eastAsia="Times New Roman" w:hAnsi="Times New Roman" w:cs="Times New Roman"/>
          <w:b/>
          <w:bCs/>
          <w:color w:val="000000" w:themeColor="text1"/>
        </w:rPr>
        <w:t>Digital Services Act</w:t>
      </w:r>
      <w:r w:rsidRPr="00D04BFD">
        <w:rPr>
          <w:rFonts w:ascii="Times New Roman" w:eastAsia="Times New Roman" w:hAnsi="Times New Roman" w:cs="Times New Roman"/>
          <w:color w:val="000000" w:themeColor="text1"/>
        </w:rPr>
        <w:t xml:space="preserve"> and its guidelines on the protection of minors that require all platforms accessible to minors to ensure </w:t>
      </w:r>
      <w:r w:rsidR="00D74768">
        <w:rPr>
          <w:rFonts w:ascii="Times New Roman" w:eastAsia="Times New Roman" w:hAnsi="Times New Roman" w:cs="Times New Roman"/>
          <w:color w:val="000000" w:themeColor="text1"/>
        </w:rPr>
        <w:t xml:space="preserve">for </w:t>
      </w:r>
      <w:r w:rsidRPr="00D04BFD">
        <w:rPr>
          <w:rFonts w:ascii="Times New Roman" w:eastAsia="Times New Roman" w:hAnsi="Times New Roman" w:cs="Times New Roman"/>
          <w:color w:val="000000" w:themeColor="text1"/>
        </w:rPr>
        <w:t xml:space="preserve">them a high level of privacy, safety, and security. The implementation and enforcement of the Digital Services Act provide a key opportunity to improve the safety of children on online platforms, including through stronger measures to protect minors, risk assessment and mitigation measures and measures to comply with transparency and other obligations. </w:t>
      </w:r>
      <w:r w:rsidR="00E36148" w:rsidRPr="00E36148">
        <w:rPr>
          <w:rFonts w:ascii="Times New Roman" w:eastAsia="Times New Roman" w:hAnsi="Times New Roman" w:cs="Times New Roman"/>
          <w:color w:val="000000" w:themeColor="text1"/>
        </w:rPr>
        <w:t>Furthermore, the Commission has put forward proposals to strengthen the criminal law framework on child sexual abuse and to clarify the responsibilities of online service providers.</w:t>
      </w:r>
    </w:p>
    <w:p w14:paraId="7C9C828D" w14:textId="5B63578B"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color w:val="000000" w:themeColor="text1"/>
        </w:rPr>
        <w:t>This framework is complemented by the</w:t>
      </w:r>
      <w:r w:rsidRPr="00F52F43">
        <w:rPr>
          <w:rFonts w:ascii="Times New Roman" w:hAnsi="Times New Roman" w:cs="Times New Roman"/>
          <w:color w:val="000000" w:themeColor="text1"/>
        </w:rPr>
        <w:t xml:space="preserve"> </w:t>
      </w:r>
      <w:r w:rsidRPr="00D04BFD">
        <w:rPr>
          <w:rFonts w:ascii="Times New Roman" w:hAnsi="Times New Roman" w:cs="Times New Roman"/>
          <w:b/>
          <w:bCs/>
        </w:rPr>
        <w:t>Action Plan against Cyberbullying</w:t>
      </w:r>
      <w:r w:rsidRPr="00D04BFD">
        <w:rPr>
          <w:rFonts w:ascii="Times New Roman" w:hAnsi="Times New Roman" w:cs="Times New Roman"/>
        </w:rPr>
        <w:t>, focusing on children and young people, including vulnerable children.</w:t>
      </w:r>
      <w:r w:rsidRPr="00D04BFD">
        <w:rPr>
          <w:rFonts w:ascii="Times New Roman" w:eastAsia="Times New Roman" w:hAnsi="Times New Roman" w:cs="Times New Roman"/>
          <w:color w:val="000000" w:themeColor="text1"/>
        </w:rPr>
        <w:t xml:space="preserve"> While some Member States have begun rolling out programmes under the European Child Guarantee to improve digital literacy and access to digital tools for children in need, these efforts remain uneven and fall short of </w:t>
      </w:r>
      <w:r w:rsidRPr="00D04BFD">
        <w:rPr>
          <w:rFonts w:ascii="Times New Roman" w:eastAsia="Times New Roman" w:hAnsi="Times New Roman" w:cs="Times New Roman"/>
          <w:b/>
          <w:bCs/>
          <w:color w:val="000000" w:themeColor="text1"/>
        </w:rPr>
        <w:t>delivering the systemic change required</w:t>
      </w:r>
      <w:r w:rsidRPr="00D04BFD">
        <w:rPr>
          <w:rFonts w:ascii="Times New Roman" w:eastAsia="Times New Roman" w:hAnsi="Times New Roman" w:cs="Times New Roman"/>
          <w:color w:val="000000" w:themeColor="text1"/>
        </w:rPr>
        <w:t xml:space="preserve">. To provide a strong response, the Commission will put forward ambitious legal proposals. </w:t>
      </w:r>
    </w:p>
    <w:p w14:paraId="1B49573B" w14:textId="7CB6038E" w:rsidR="00D04BFD" w:rsidRPr="00D04BFD" w:rsidRDefault="00D04BFD" w:rsidP="00D04BFD">
      <w:pPr>
        <w:widowControl w:val="0"/>
        <w:spacing w:after="240" w:line="240" w:lineRule="auto"/>
        <w:jc w:val="both"/>
        <w:rPr>
          <w:rFonts w:ascii="Times New Roman" w:hAnsi="Times New Roman" w:cs="Times New Roman"/>
        </w:rPr>
      </w:pPr>
      <w:r w:rsidRPr="00F52F43">
        <w:rPr>
          <w:rFonts w:ascii="Times New Roman" w:hAnsi="Times New Roman" w:cs="Times New Roman"/>
        </w:rPr>
        <w:t xml:space="preserve">The </w:t>
      </w:r>
      <w:r w:rsidRPr="00D04BFD">
        <w:rPr>
          <w:rFonts w:ascii="Times New Roman" w:hAnsi="Times New Roman" w:cs="Times New Roman"/>
        </w:rPr>
        <w:t xml:space="preserve">forthcoming </w:t>
      </w:r>
      <w:r w:rsidRPr="00F52F43">
        <w:rPr>
          <w:rFonts w:ascii="Times New Roman" w:hAnsi="Times New Roman" w:cs="Times New Roman"/>
        </w:rPr>
        <w:t xml:space="preserve">Digital Fairness Act </w:t>
      </w:r>
      <w:r w:rsidRPr="00D04BFD">
        <w:rPr>
          <w:rFonts w:ascii="Times New Roman" w:hAnsi="Times New Roman" w:cs="Times New Roman"/>
        </w:rPr>
        <w:t>will contribute</w:t>
      </w:r>
      <w:r w:rsidRPr="00F52F43">
        <w:rPr>
          <w:rFonts w:ascii="Times New Roman" w:hAnsi="Times New Roman" w:cs="Times New Roman"/>
        </w:rPr>
        <w:t xml:space="preserve"> to </w:t>
      </w:r>
      <w:r w:rsidRPr="00D04BFD">
        <w:rPr>
          <w:rFonts w:ascii="Times New Roman" w:hAnsi="Times New Roman" w:cs="Times New Roman"/>
        </w:rPr>
        <w:t>the</w:t>
      </w:r>
      <w:r w:rsidRPr="00F52F43">
        <w:rPr>
          <w:rFonts w:ascii="Times New Roman" w:hAnsi="Times New Roman" w:cs="Times New Roman"/>
        </w:rPr>
        <w:t xml:space="preserve"> online protection of children</w:t>
      </w:r>
      <w:r w:rsidRPr="00D04BFD">
        <w:rPr>
          <w:rFonts w:ascii="Times New Roman" w:hAnsi="Times New Roman" w:cs="Times New Roman"/>
        </w:rPr>
        <w:t xml:space="preserve">, as it intends to address, from a consumer protection perspective, unfair commercial practices, including dark patterns, unfair influencer marketing, and addictive design features that encourage excessive screen time and spending. </w:t>
      </w:r>
    </w:p>
    <w:p w14:paraId="67A43D96" w14:textId="3102D947"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eastAsia="Times New Roman" w:hAnsi="Times New Roman" w:cs="Times New Roman"/>
          <w:b/>
          <w:bCs/>
          <w:color w:val="000000" w:themeColor="text1"/>
        </w:rPr>
        <w:t>The upcoming revision of the Audiovisual Media Services Directive</w:t>
      </w:r>
      <w:r w:rsidRPr="00D04BFD">
        <w:rPr>
          <w:rFonts w:ascii="Times New Roman" w:eastAsia="Times New Roman" w:hAnsi="Times New Roman" w:cs="Times New Roman"/>
          <w:color w:val="000000" w:themeColor="text1"/>
        </w:rPr>
        <w:t xml:space="preserve"> will also provide enhanced protections for younger viewers, when accessing audiovisual content online, alongside the Better </w:t>
      </w:r>
      <w:r w:rsidRPr="00D04BFD">
        <w:rPr>
          <w:rFonts w:ascii="Times New Roman" w:eastAsia="Times New Roman" w:hAnsi="Times New Roman" w:cs="Times New Roman"/>
          <w:color w:val="000000" w:themeColor="text1"/>
        </w:rPr>
        <w:lastRenderedPageBreak/>
        <w:t xml:space="preserve">Internet for Kids strategy, which aims to ensure a safer, age-appropriate and empowering digital environment for children across the European Union. Based on the recommendation of the </w:t>
      </w:r>
      <w:r w:rsidRPr="00D04BFD">
        <w:rPr>
          <w:rFonts w:ascii="Times New Roman" w:eastAsia="Times New Roman" w:hAnsi="Times New Roman" w:cs="Times New Roman"/>
          <w:b/>
          <w:bCs/>
        </w:rPr>
        <w:t>special panel on child safe</w:t>
      </w:r>
      <w:bookmarkStart w:id="3" w:name="_Hlt228303601"/>
      <w:bookmarkEnd w:id="3"/>
      <w:r w:rsidRPr="00D04BFD">
        <w:rPr>
          <w:rFonts w:ascii="Times New Roman" w:eastAsia="Times New Roman" w:hAnsi="Times New Roman" w:cs="Times New Roman"/>
          <w:b/>
          <w:bCs/>
        </w:rPr>
        <w:t xml:space="preserve">ty online and social media age restrictions in Europe </w:t>
      </w:r>
      <w:r w:rsidRPr="00D04BFD">
        <w:rPr>
          <w:rFonts w:ascii="Times New Roman" w:eastAsia="Times New Roman" w:hAnsi="Times New Roman" w:cs="Times New Roman"/>
        </w:rPr>
        <w:t>(</w:t>
      </w:r>
      <w:r w:rsidRPr="00D04BFD">
        <w:rPr>
          <w:rStyle w:val="FootnoteReference"/>
          <w:rFonts w:ascii="Times New Roman" w:hAnsi="Times New Roman" w:cs="Times New Roman"/>
        </w:rPr>
        <w:footnoteReference w:id="26"/>
      </w:r>
      <w:r w:rsidRPr="00D04BFD">
        <w:rPr>
          <w:rFonts w:ascii="Times New Roman" w:eastAsia="Times New Roman" w:hAnsi="Times New Roman" w:cs="Times New Roman"/>
        </w:rPr>
        <w:t>), additional initiatives might follow to ensure that Europe remains ahead when it comes to protecting and empowering children online</w:t>
      </w:r>
      <w:r w:rsidRPr="00F52F43">
        <w:rPr>
          <w:rFonts w:ascii="Times New Roman" w:hAnsi="Times New Roman" w:cs="Times New Roman"/>
        </w:rPr>
        <w:t xml:space="preserve">. </w:t>
      </w:r>
    </w:p>
    <w:p w14:paraId="22DB8474" w14:textId="34FB9204"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sidDel="00F6362C">
        <w:rPr>
          <w:rFonts w:ascii="Times New Roman" w:eastAsia="Times New Roman" w:hAnsi="Times New Roman" w:cs="Times New Roman"/>
          <w:b/>
          <w:bCs/>
          <w:color w:val="000000" w:themeColor="text1"/>
        </w:rPr>
        <w:t>Protecting</w:t>
      </w:r>
      <w:r w:rsidRPr="00D04BFD">
        <w:rPr>
          <w:rFonts w:ascii="Times New Roman" w:eastAsia="Times New Roman" w:hAnsi="Times New Roman" w:cs="Times New Roman"/>
          <w:b/>
          <w:bCs/>
          <w:color w:val="000000" w:themeColor="text1"/>
        </w:rPr>
        <w:t xml:space="preserve"> vulnerable children must also extend to the offline world, where poverty and social exclusion expose them to greater risks.</w:t>
      </w:r>
      <w:r w:rsidRPr="00D04BFD">
        <w:rPr>
          <w:rFonts w:ascii="Times New Roman" w:eastAsia="Times New Roman" w:hAnsi="Times New Roman" w:cs="Times New Roman"/>
          <w:color w:val="000000" w:themeColor="text1"/>
        </w:rPr>
        <w:t xml:space="preserve"> The European Child Guarantee and its strengthened implementation play a key preventive role by ensuring children in need can access key support services, such as social inclusion measures, educational assistance, and after-school activities, thereby reducing their vulnerability and their potential exposure to crime. In this context, the forthcoming </w:t>
      </w:r>
      <w:r w:rsidRPr="00D04BFD">
        <w:rPr>
          <w:rFonts w:ascii="Times New Roman" w:eastAsia="Times New Roman" w:hAnsi="Times New Roman" w:cs="Times New Roman"/>
          <w:b/>
          <w:bCs/>
          <w:color w:val="000000" w:themeColor="text1"/>
        </w:rPr>
        <w:t>Action Plan on the Protection of children against crime</w:t>
      </w:r>
      <w:r w:rsidRPr="00D04BFD">
        <w:rPr>
          <w:rFonts w:ascii="Times New Roman" w:eastAsia="Times New Roman" w:hAnsi="Times New Roman" w:cs="Times New Roman"/>
          <w:color w:val="000000" w:themeColor="text1"/>
        </w:rPr>
        <w:t xml:space="preserve"> will reinforce preventive approaches that address the root causes of children’s vulnerability to crime, both as victims and perpetrators, online and offline. Additionally, a dedicated toolkit will be developed to prevent radicalisation, focusing on early detection, strengthening protective factors, resilience through education and social integration (</w:t>
      </w:r>
      <w:r w:rsidRPr="00D04BFD">
        <w:rPr>
          <w:rStyle w:val="FootnoteReference"/>
          <w:rFonts w:ascii="Times New Roman" w:eastAsia="Times New Roman" w:hAnsi="Times New Roman" w:cs="Times New Roman"/>
          <w:color w:val="000000" w:themeColor="text1"/>
        </w:rPr>
        <w:footnoteReference w:id="27"/>
      </w:r>
      <w:r w:rsidRPr="00D04BFD">
        <w:rPr>
          <w:rFonts w:ascii="Times New Roman" w:eastAsia="Times New Roman" w:hAnsi="Times New Roman" w:cs="Times New Roman"/>
          <w:color w:val="000000" w:themeColor="text1"/>
        </w:rPr>
        <w:t>).</w:t>
      </w:r>
    </w:p>
    <w:p w14:paraId="5A750B43" w14:textId="77777777" w:rsidR="00D04BFD" w:rsidRPr="00D04BFD" w:rsidRDefault="00D04BFD" w:rsidP="00D04BFD">
      <w:pPr>
        <w:pStyle w:val="Heading2"/>
      </w:pPr>
      <w:r w:rsidRPr="00D04BFD">
        <w:t xml:space="preserve">Reinforcing funding and governance </w:t>
      </w:r>
    </w:p>
    <w:p w14:paraId="573E0139" w14:textId="321D6E02"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b/>
          <w:bCs/>
        </w:rPr>
        <w:t>Breaking the cycle of child poverty requires bolder strategic choices and coordinated action across all levels.</w:t>
      </w:r>
      <w:r w:rsidRPr="00D04BFD">
        <w:rPr>
          <w:rFonts w:ascii="Times New Roman" w:eastAsia="Times New Roman" w:hAnsi="Times New Roman" w:cs="Times New Roman"/>
        </w:rPr>
        <w:t xml:space="preserve"> Joint efforts are needed at European, national, regional and local levels, to design effective policies, invest financial resources efficiently and enhance the engagement of relevant stakeholders, including private actors and children themselves. </w:t>
      </w:r>
    </w:p>
    <w:p w14:paraId="00C1D987" w14:textId="77777777" w:rsidR="00D04BFD" w:rsidRPr="00D04BFD" w:rsidRDefault="00D04BFD" w:rsidP="00F52F43">
      <w:pPr>
        <w:pStyle w:val="Heading3"/>
      </w:pPr>
      <w:r w:rsidRPr="00D04BFD">
        <w:t>Adequate funding for impact</w:t>
      </w:r>
    </w:p>
    <w:p w14:paraId="27C2C026" w14:textId="0654EA12" w:rsidR="00D04BFD" w:rsidRPr="00D04BFD" w:rsidRDefault="00D04BFD" w:rsidP="00D04BFD">
      <w:pPr>
        <w:widowControl w:val="0"/>
        <w:spacing w:after="240" w:line="240" w:lineRule="auto"/>
        <w:jc w:val="both"/>
        <w:rPr>
          <w:rFonts w:ascii="Times New Roman" w:eastAsia="Times New Roman" w:hAnsi="Times New Roman" w:cs="Times New Roman"/>
          <w:color w:val="000000" w:themeColor="text1"/>
        </w:rPr>
      </w:pPr>
      <w:r w:rsidRPr="00D04BFD">
        <w:rPr>
          <w:rFonts w:ascii="Times New Roman" w:eastAsia="Times New Roman" w:hAnsi="Times New Roman" w:cs="Times New Roman"/>
          <w:b/>
          <w:bCs/>
          <w:color w:val="000000" w:themeColor="text1"/>
        </w:rPr>
        <w:t xml:space="preserve">More robust and sustained funding is needed to </w:t>
      </w:r>
      <w:r w:rsidRPr="00D04BFD" w:rsidDel="00062BF5">
        <w:rPr>
          <w:rFonts w:ascii="Times New Roman" w:eastAsia="Times New Roman" w:hAnsi="Times New Roman" w:cs="Times New Roman"/>
          <w:b/>
          <w:bCs/>
          <w:color w:val="000000" w:themeColor="text1"/>
        </w:rPr>
        <w:t xml:space="preserve">have a </w:t>
      </w:r>
      <w:r w:rsidRPr="00D04BFD" w:rsidDel="00CC36E5">
        <w:rPr>
          <w:rFonts w:ascii="Times New Roman" w:eastAsia="Times New Roman" w:hAnsi="Times New Roman" w:cs="Times New Roman"/>
          <w:b/>
          <w:bCs/>
          <w:color w:val="000000" w:themeColor="text1"/>
        </w:rPr>
        <w:t>lasting impact on</w:t>
      </w:r>
      <w:r w:rsidRPr="00D04BFD">
        <w:rPr>
          <w:rFonts w:ascii="Times New Roman" w:eastAsia="Times New Roman" w:hAnsi="Times New Roman" w:cs="Times New Roman"/>
          <w:b/>
          <w:bCs/>
          <w:color w:val="000000" w:themeColor="text1"/>
        </w:rPr>
        <w:t xml:space="preserve"> child poverty and break the cycle of poverty</w:t>
      </w:r>
      <w:r w:rsidRPr="00D04BFD">
        <w:rPr>
          <w:rFonts w:ascii="Times New Roman" w:eastAsia="Times New Roman" w:hAnsi="Times New Roman" w:cs="Times New Roman"/>
          <w:color w:val="000000" w:themeColor="text1"/>
        </w:rPr>
        <w:t xml:space="preserve">. Crucial investments have already been mobilised, but some of them only support short-term projects and are not adequately targeted to the most in need. Gaps in financing </w:t>
      </w:r>
      <w:r w:rsidRPr="00D04BFD">
        <w:rPr>
          <w:rFonts w:ascii="Times New Roman" w:eastAsia="Times New Roman" w:hAnsi="Times New Roman" w:cs="Times New Roman"/>
          <w:b/>
          <w:bCs/>
          <w:color w:val="000000" w:themeColor="text1"/>
        </w:rPr>
        <w:t>remain</w:t>
      </w:r>
      <w:r w:rsidRPr="00D04BFD">
        <w:rPr>
          <w:rFonts w:ascii="Times New Roman" w:eastAsia="Times New Roman" w:hAnsi="Times New Roman" w:cs="Times New Roman"/>
          <w:color w:val="000000" w:themeColor="text1"/>
        </w:rPr>
        <w:t xml:space="preserve">. Closing these gaps, by leveraging national and regional/local budgets, EU funding and all other available resources is essential. </w:t>
      </w:r>
    </w:p>
    <w:p w14:paraId="75523CCE" w14:textId="768526A6"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hAnsi="Times New Roman" w:cs="Times New Roman"/>
          <w:b/>
        </w:rPr>
        <w:t xml:space="preserve">Since the adoption of the Guarantee, </w:t>
      </w:r>
      <w:r w:rsidRPr="00D04BFD">
        <w:rPr>
          <w:rFonts w:ascii="Times New Roman" w:eastAsia="Times New Roman" w:hAnsi="Times New Roman" w:cs="Times New Roman"/>
          <w:b/>
          <w:bCs/>
        </w:rPr>
        <w:t>EU funding has played a pivotal role in its implementation</w:t>
      </w:r>
      <w:r w:rsidRPr="00D04BFD">
        <w:rPr>
          <w:rFonts w:ascii="Times New Roman" w:eastAsia="Times New Roman" w:hAnsi="Times New Roman" w:cs="Times New Roman"/>
        </w:rPr>
        <w:t>. Under the current 2021–2027 Multiannual Financial Framework, at least EUR 9.6 billion from the European Social Fund Plus has been earmarked to tackle child poverty</w:t>
      </w:r>
      <w:r w:rsidRPr="00D04BFD">
        <w:rPr>
          <w:rFonts w:ascii="Times New Roman" w:hAnsi="Times New Roman" w:cs="Times New Roman"/>
        </w:rPr>
        <w:t xml:space="preserve">. </w:t>
      </w:r>
      <w:r w:rsidRPr="00D04BFD">
        <w:rPr>
          <w:rFonts w:ascii="Times New Roman" w:eastAsia="Times New Roman" w:hAnsi="Times New Roman" w:cs="Times New Roman"/>
        </w:rPr>
        <w:t>By the end of 2024, the Recovery and Resilience Facility had enabled Member States to scale up investment in education and childcare, benefiting 2.7 millio</w:t>
      </w:r>
      <w:bookmarkStart w:id="4" w:name="_Hlt228303529"/>
      <w:r w:rsidRPr="00D04BFD">
        <w:rPr>
          <w:rFonts w:ascii="Times New Roman" w:eastAsia="Times New Roman" w:hAnsi="Times New Roman" w:cs="Times New Roman"/>
        </w:rPr>
        <w:t>n</w:t>
      </w:r>
      <w:bookmarkEnd w:id="4"/>
      <w:r w:rsidRPr="00D04BFD">
        <w:rPr>
          <w:rFonts w:ascii="Times New Roman" w:eastAsia="Times New Roman" w:hAnsi="Times New Roman" w:cs="Times New Roman"/>
        </w:rPr>
        <w:t xml:space="preserve"> pupils and students (</w:t>
      </w:r>
      <w:r w:rsidRPr="00D04BFD">
        <w:rPr>
          <w:rStyle w:val="FootnoteReference"/>
          <w:rFonts w:ascii="Times New Roman" w:hAnsi="Times New Roman" w:cs="Times New Roman"/>
        </w:rPr>
        <w:footnoteReference w:id="28"/>
      </w:r>
      <w:r w:rsidRPr="00D04BFD">
        <w:rPr>
          <w:rFonts w:ascii="Times New Roman" w:eastAsia="Times New Roman" w:hAnsi="Times New Roman" w:cs="Times New Roman"/>
        </w:rPr>
        <w:t xml:space="preserve">). The European Regional Development Fund has helped address critical infrastructure shortages, such as childcare and school facilities, school canteens, and housing, which are essential for delivering the Guarantee’s objectives. Erasmus+ has promoted mobility opportunities for disadvantaged children, while fostering inclusion through sport and culture. In addition, support from the Technical </w:t>
      </w:r>
      <w:bookmarkStart w:id="5" w:name="_Hlt228303434"/>
      <w:r w:rsidRPr="00D04BFD">
        <w:rPr>
          <w:rFonts w:ascii="Times New Roman" w:eastAsia="Times New Roman" w:hAnsi="Times New Roman" w:cs="Times New Roman"/>
        </w:rPr>
        <w:t>S</w:t>
      </w:r>
      <w:bookmarkEnd w:id="5"/>
      <w:r w:rsidRPr="00D04BFD">
        <w:rPr>
          <w:rFonts w:ascii="Times New Roman" w:eastAsia="Times New Roman" w:hAnsi="Times New Roman" w:cs="Times New Roman"/>
        </w:rPr>
        <w:t>upport Instrument (</w:t>
      </w:r>
      <w:r w:rsidRPr="00D04BFD">
        <w:rPr>
          <w:rStyle w:val="FootnoteReference"/>
          <w:rFonts w:ascii="Times New Roman" w:hAnsi="Times New Roman" w:cs="Times New Roman"/>
        </w:rPr>
        <w:footnoteReference w:id="29"/>
      </w:r>
      <w:r w:rsidRPr="00D04BFD">
        <w:rPr>
          <w:rFonts w:ascii="Times New Roman" w:eastAsia="Times New Roman" w:hAnsi="Times New Roman" w:cs="Times New Roman"/>
        </w:rPr>
        <w:t xml:space="preserve">) has helped design reforms in 13 countries. For instance, a multi-country project enhanced the capacity of authorities in Portugal, Italy and Spain to implement inclusive education policies with a focus on reducing regional disparities. More broadly, EU funding has enabled Member States and local authorities to test innovative approaches, support pilot initiatives, and expand successful measures which benefit children in need. </w:t>
      </w:r>
      <w:r w:rsidRPr="00D04BFD">
        <w:rPr>
          <w:rFonts w:ascii="Times New Roman" w:eastAsia="Times New Roman" w:hAnsi="Times New Roman" w:cs="Times New Roman"/>
          <w:color w:val="000000" w:themeColor="text1"/>
        </w:rPr>
        <w:t xml:space="preserve">The Commission will also encourage to make full use of investments programmed under the </w:t>
      </w:r>
      <w:r w:rsidRPr="00D04BFD">
        <w:rPr>
          <w:rFonts w:ascii="Times New Roman" w:eastAsia="Times New Roman" w:hAnsi="Times New Roman" w:cs="Times New Roman"/>
          <w:b/>
          <w:bCs/>
          <w:color w:val="000000" w:themeColor="text1"/>
        </w:rPr>
        <w:t>Recovery and Resilience Facility</w:t>
      </w:r>
      <w:r w:rsidRPr="00D04BFD">
        <w:rPr>
          <w:rFonts w:ascii="Times New Roman" w:eastAsia="Times New Roman" w:hAnsi="Times New Roman" w:cs="Times New Roman"/>
          <w:color w:val="000000" w:themeColor="text1"/>
        </w:rPr>
        <w:t>.</w:t>
      </w:r>
      <w:r w:rsidRPr="00F52F43">
        <w:rPr>
          <w:rFonts w:ascii="Times New Roman" w:hAnsi="Times New Roman" w:cs="Times New Roman"/>
          <w:color w:val="000000" w:themeColor="text1"/>
        </w:rPr>
        <w:t xml:space="preserve"> </w:t>
      </w:r>
    </w:p>
    <w:p w14:paraId="6EF3AFB8" w14:textId="77777777"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b/>
          <w:bCs/>
        </w:rPr>
        <w:lastRenderedPageBreak/>
        <w:t>Looking ahead, the Commission is committed to ensuring that EU funding continues to support the Guarantee.</w:t>
      </w:r>
      <w:r w:rsidRPr="00D04BFD">
        <w:rPr>
          <w:rFonts w:ascii="Times New Roman" w:eastAsia="Times New Roman" w:hAnsi="Times New Roman" w:cs="Times New Roman"/>
        </w:rPr>
        <w:t xml:space="preserve"> In its proposal for the 2028–2034 Multiannual Financial Framework, Member States are requested to </w:t>
      </w:r>
      <w:r w:rsidRPr="00D04BFD">
        <w:rPr>
          <w:rFonts w:ascii="Times New Roman" w:hAnsi="Times New Roman" w:cs="Times New Roman"/>
        </w:rPr>
        <w:t>concentrate on four key social objectives</w:t>
      </w:r>
      <w:r w:rsidRPr="00D04BFD">
        <w:rPr>
          <w:rFonts w:ascii="Times New Roman" w:eastAsia="Times New Roman" w:hAnsi="Times New Roman" w:cs="Times New Roman"/>
        </w:rPr>
        <w:t xml:space="preserve"> in their National and Regional Partnership Plans (</w:t>
      </w:r>
      <w:r w:rsidRPr="00D04BFD">
        <w:rPr>
          <w:rStyle w:val="FootnoteReference"/>
          <w:rFonts w:ascii="Times New Roman" w:hAnsi="Times New Roman" w:cs="Times New Roman"/>
        </w:rPr>
        <w:footnoteReference w:id="30"/>
      </w:r>
      <w:r w:rsidRPr="00D04BFD">
        <w:rPr>
          <w:rFonts w:ascii="Times New Roman" w:eastAsia="Times New Roman" w:hAnsi="Times New Roman" w:cs="Times New Roman"/>
        </w:rPr>
        <w:t>)</w:t>
      </w:r>
      <w:r w:rsidRPr="00D04BFD">
        <w:rPr>
          <w:rFonts w:ascii="Times New Roman" w:hAnsi="Times New Roman" w:cs="Times New Roman"/>
        </w:rPr>
        <w:t>. One of these is addressing child poverty and implementing the European Child Guarantee, which should be supported by targeted actions and structural reforms, particularly in Member States with high child poverty rates</w:t>
      </w:r>
      <w:r w:rsidRPr="00D04BFD">
        <w:rPr>
          <w:rFonts w:ascii="Times New Roman" w:eastAsia="Times New Roman" w:hAnsi="Times New Roman" w:cs="Times New Roman"/>
        </w:rPr>
        <w:t xml:space="preserve">. This gives national and regional authorities a </w:t>
      </w:r>
      <w:r w:rsidRPr="00D04BFD">
        <w:rPr>
          <w:rFonts w:ascii="Times New Roman" w:hAnsi="Times New Roman" w:cs="Times New Roman"/>
        </w:rPr>
        <w:t>sustained investment</w:t>
      </w:r>
      <w:r w:rsidRPr="00D04BFD">
        <w:rPr>
          <w:rFonts w:ascii="Times New Roman" w:eastAsia="Times New Roman" w:hAnsi="Times New Roman" w:cs="Times New Roman"/>
        </w:rPr>
        <w:t xml:space="preserve"> opportunity to reinforce their efforts. </w:t>
      </w:r>
    </w:p>
    <w:p w14:paraId="15A91843" w14:textId="6D28B686"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rPr>
        <w:t xml:space="preserve">To guide this process, the Commission will present a </w:t>
      </w:r>
      <w:r w:rsidRPr="00D04BFD">
        <w:rPr>
          <w:rFonts w:ascii="Times New Roman" w:eastAsia="Times New Roman" w:hAnsi="Times New Roman" w:cs="Times New Roman"/>
          <w:b/>
          <w:bCs/>
        </w:rPr>
        <w:t>compendium of good practices to support national, regional and local authorities in scaling up reforms and investments</w:t>
      </w:r>
      <w:r w:rsidRPr="00D04BFD">
        <w:rPr>
          <w:rFonts w:ascii="Times New Roman" w:eastAsia="Times New Roman" w:hAnsi="Times New Roman" w:cs="Times New Roman"/>
        </w:rPr>
        <w:t xml:space="preserve">. In addition, the Commission will leverage the European Semester to identify gaps and, where appropriate, put forward recommendations to better embed the fight against child poverty in the coordination of Member States’ economic and social policies. </w:t>
      </w:r>
    </w:p>
    <w:p w14:paraId="15150C4A" w14:textId="66CBD779"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b/>
          <w:bCs/>
        </w:rPr>
        <w:t>Other types of investments will also be mobilised.</w:t>
      </w:r>
      <w:r w:rsidRPr="00D04BFD">
        <w:rPr>
          <w:rFonts w:ascii="Times New Roman" w:eastAsia="Times New Roman" w:hAnsi="Times New Roman" w:cs="Times New Roman"/>
        </w:rPr>
        <w:t xml:space="preserve"> Under the EU Anti-Poverty Strategy, the Commission is stepping up cooperation with </w:t>
      </w:r>
      <w:r w:rsidRPr="00D04BFD">
        <w:rPr>
          <w:rFonts w:ascii="Times New Roman" w:eastAsia="Times New Roman" w:hAnsi="Times New Roman" w:cs="Times New Roman"/>
          <w:b/>
          <w:bCs/>
        </w:rPr>
        <w:t xml:space="preserve">international financial institutions </w:t>
      </w:r>
      <w:r w:rsidRPr="00D04BFD">
        <w:rPr>
          <w:rFonts w:ascii="Times New Roman" w:eastAsia="Times New Roman" w:hAnsi="Times New Roman" w:cs="Times New Roman"/>
        </w:rPr>
        <w:t>such as the European Investment Bank (EIB) and the Council of Europe Development Bank (CEB).</w:t>
      </w:r>
      <w:r w:rsidRPr="00F52F43">
        <w:rPr>
          <w:rFonts w:ascii="Times New Roman" w:hAnsi="Times New Roman" w:cs="Times New Roman"/>
          <w:i/>
        </w:rPr>
        <w:t xml:space="preserve"> </w:t>
      </w:r>
      <w:r w:rsidRPr="00D04BFD">
        <w:rPr>
          <w:rFonts w:ascii="Times New Roman" w:eastAsia="Times New Roman" w:hAnsi="Times New Roman" w:cs="Times New Roman"/>
        </w:rPr>
        <w:t>The Commission will continue to engage with the EIB Group on supporting investments</w:t>
      </w:r>
      <w:r w:rsidRPr="00F52F43">
        <w:rPr>
          <w:rFonts w:ascii="Times New Roman" w:hAnsi="Times New Roman" w:cs="Times New Roman"/>
        </w:rPr>
        <w:t xml:space="preserve"> reflecting </w:t>
      </w:r>
      <w:r w:rsidR="00D74768">
        <w:rPr>
          <w:rFonts w:ascii="Times New Roman" w:hAnsi="Times New Roman" w:cs="Times New Roman"/>
        </w:rPr>
        <w:t xml:space="preserve">the </w:t>
      </w:r>
      <w:r w:rsidRPr="00F52F43">
        <w:rPr>
          <w:rFonts w:ascii="Times New Roman" w:hAnsi="Times New Roman" w:cs="Times New Roman"/>
        </w:rPr>
        <w:t>scope of the EU Anti-Poverty Strategy as well as the European Child Guarantee</w:t>
      </w:r>
      <w:r w:rsidRPr="00D04BFD">
        <w:rPr>
          <w:rFonts w:ascii="Times New Roman" w:eastAsia="Times New Roman" w:hAnsi="Times New Roman" w:cs="Times New Roman"/>
        </w:rPr>
        <w:t>.</w:t>
      </w:r>
      <w:r w:rsidRPr="00D04BFD">
        <w:rPr>
          <w:rFonts w:ascii="Times New Roman" w:eastAsiaTheme="minorEastAsia" w:hAnsi="Times New Roman" w:cs="Times New Roman"/>
        </w:rPr>
        <w:t xml:space="preserve"> </w:t>
      </w:r>
      <w:r w:rsidRPr="00D04BFD">
        <w:rPr>
          <w:rFonts w:ascii="Times New Roman" w:eastAsia="Times New Roman" w:hAnsi="Times New Roman" w:cs="Times New Roman"/>
        </w:rPr>
        <w:t xml:space="preserve">Building on its current portfolio, the CEB can mobilise about EUR 1 billion annually in financing to support the implementation of the Guarantee, within its overall EUR 4 billion social investment envelope. A forthcoming </w:t>
      </w:r>
      <w:r w:rsidRPr="00F52F43">
        <w:rPr>
          <w:rFonts w:ascii="Times New Roman" w:hAnsi="Times New Roman" w:cs="Times New Roman"/>
          <w:b/>
        </w:rPr>
        <w:t>cooperation framework with the CEB</w:t>
      </w:r>
      <w:r w:rsidRPr="00D04BFD">
        <w:rPr>
          <w:rFonts w:ascii="Times New Roman" w:eastAsia="Times New Roman" w:hAnsi="Times New Roman" w:cs="Times New Roman"/>
        </w:rPr>
        <w:t xml:space="preserve"> on tackling poverty and social exclusion will place a strong emphasis on children in vulnerable situations, especially through investments in education and housing solutions. To further support the European Child Guarantee and Youth Guarantee, the Commission will engage</w:t>
      </w:r>
      <w:r w:rsidRPr="00D04BFD">
        <w:rPr>
          <w:rFonts w:ascii="Times New Roman" w:eastAsia="Times New Roman" w:hAnsi="Times New Roman" w:cs="Times New Roman"/>
          <w:b/>
          <w:bCs/>
        </w:rPr>
        <w:t xml:space="preserve"> </w:t>
      </w:r>
      <w:r w:rsidRPr="00D04BFD">
        <w:rPr>
          <w:rFonts w:ascii="Times New Roman" w:eastAsia="Times New Roman" w:hAnsi="Times New Roman" w:cs="Times New Roman"/>
        </w:rPr>
        <w:t>with the</w:t>
      </w:r>
      <w:r w:rsidRPr="00D04BFD">
        <w:rPr>
          <w:rFonts w:ascii="Times New Roman" w:eastAsia="Times New Roman" w:hAnsi="Times New Roman" w:cs="Times New Roman"/>
          <w:b/>
          <w:bCs/>
        </w:rPr>
        <w:t xml:space="preserve"> private sector </w:t>
      </w:r>
      <w:r w:rsidRPr="00D04BFD">
        <w:rPr>
          <w:rFonts w:ascii="Times New Roman" w:eastAsia="Times New Roman" w:hAnsi="Times New Roman" w:cs="Times New Roman"/>
        </w:rPr>
        <w:t>through</w:t>
      </w:r>
      <w:r w:rsidRPr="00D04BFD">
        <w:rPr>
          <w:rFonts w:ascii="Times New Roman" w:eastAsia="Times New Roman" w:hAnsi="Times New Roman" w:cs="Times New Roman"/>
          <w:b/>
          <w:bCs/>
        </w:rPr>
        <w:t xml:space="preserve"> </w:t>
      </w:r>
      <w:r w:rsidRPr="00D04BFD">
        <w:rPr>
          <w:rFonts w:ascii="Times New Roman" w:eastAsia="Times New Roman" w:hAnsi="Times New Roman" w:cs="Times New Roman"/>
        </w:rPr>
        <w:t>the Coalition against poverty, bringing together socially responsible businesses and philanthropic organisations.</w:t>
      </w:r>
    </w:p>
    <w:p w14:paraId="63851E6A" w14:textId="77777777" w:rsidR="00D04BFD" w:rsidRPr="00D04BFD" w:rsidRDefault="00D04BFD" w:rsidP="00F52F43">
      <w:pPr>
        <w:pStyle w:val="Heading3"/>
      </w:pPr>
      <w:r w:rsidRPr="00D04BFD">
        <w:t xml:space="preserve">Strengthened national governance frameworks </w:t>
      </w:r>
    </w:p>
    <w:p w14:paraId="04ECB6CE" w14:textId="77777777"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eastAsia="Times New Roman" w:hAnsi="Times New Roman" w:cs="Times New Roman"/>
          <w:b/>
        </w:rPr>
        <w:t>The European Child Guarantee has already established a solid governance framework, with national action plans and national coordinators in all Member States.</w:t>
      </w:r>
      <w:r w:rsidRPr="00D04BFD">
        <w:rPr>
          <w:rFonts w:ascii="Times New Roman" w:eastAsia="Times New Roman" w:hAnsi="Times New Roman" w:cs="Times New Roman"/>
        </w:rPr>
        <w:t xml:space="preserve"> A key added value of these plans lies in translating the Guarantee into concrete actions for children in need. However, given the remaining high incidence of child poverty and the growing threats to children’s wellbeing, </w:t>
      </w:r>
      <w:r w:rsidRPr="00D04BFD">
        <w:rPr>
          <w:rFonts w:ascii="Times New Roman" w:eastAsia="Times New Roman" w:hAnsi="Times New Roman" w:cs="Times New Roman"/>
          <w:b/>
        </w:rPr>
        <w:t xml:space="preserve">Member States should review their plans and </w:t>
      </w:r>
      <w:r w:rsidRPr="00D04BFD">
        <w:rPr>
          <w:rFonts w:ascii="Times New Roman" w:hAnsi="Times New Roman" w:cs="Times New Roman"/>
          <w:b/>
        </w:rPr>
        <w:t xml:space="preserve">step up their ambition </w:t>
      </w:r>
      <w:r w:rsidRPr="00D04BFD">
        <w:rPr>
          <w:rFonts w:ascii="Times New Roman" w:hAnsi="Times New Roman" w:cs="Times New Roman"/>
        </w:rPr>
        <w:t xml:space="preserve">to shield children from poverty, and better protect them from safety risks, in line with this Communication. Building on the </w:t>
      </w:r>
      <w:r w:rsidRPr="00D04BFD">
        <w:rPr>
          <w:rFonts w:ascii="Times New Roman" w:hAnsi="Times New Roman" w:cs="Times New Roman"/>
          <w:b/>
        </w:rPr>
        <w:t xml:space="preserve">principles for effective anti-poverty policies </w:t>
      </w:r>
      <w:r w:rsidRPr="00D04BFD">
        <w:rPr>
          <w:rFonts w:ascii="Times New Roman" w:hAnsi="Times New Roman" w:cs="Times New Roman"/>
        </w:rPr>
        <w:t>presented together with the EU Anti-Poverty Strategy</w:t>
      </w:r>
      <w:r w:rsidRPr="00D04BFD">
        <w:rPr>
          <w:rFonts w:ascii="Times New Roman" w:hAnsi="Times New Roman" w:cs="Times New Roman"/>
          <w:b/>
        </w:rPr>
        <w:t xml:space="preserve"> </w:t>
      </w:r>
      <w:r w:rsidRPr="00D04BFD">
        <w:rPr>
          <w:rFonts w:ascii="Times New Roman" w:hAnsi="Times New Roman" w:cs="Times New Roman"/>
        </w:rPr>
        <w:t>(</w:t>
      </w:r>
      <w:r w:rsidRPr="00D04BFD">
        <w:rPr>
          <w:rStyle w:val="FootnoteReference"/>
          <w:rFonts w:ascii="Times New Roman" w:hAnsi="Times New Roman" w:cs="Times New Roman"/>
        </w:rPr>
        <w:footnoteReference w:id="31"/>
      </w:r>
      <w:r w:rsidRPr="00D04BFD">
        <w:rPr>
          <w:rFonts w:ascii="Times New Roman" w:hAnsi="Times New Roman" w:cs="Times New Roman"/>
        </w:rPr>
        <w:t xml:space="preserve">), the revised plans should include clear, time-bound targets and dedicated funding, with a stronger focus on all categories of children in need, as well as reinforce outreach and improve the take-up of services. </w:t>
      </w:r>
    </w:p>
    <w:p w14:paraId="082DBEB4" w14:textId="77777777"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rPr>
        <w:t>Besides the implementation of the Guarantee,</w:t>
      </w:r>
      <w:r w:rsidRPr="00D04BFD">
        <w:rPr>
          <w:rFonts w:ascii="Times New Roman" w:eastAsia="Times New Roman" w:hAnsi="Times New Roman" w:cs="Times New Roman"/>
          <w:b/>
          <w:bCs/>
        </w:rPr>
        <w:t xml:space="preserve"> the national Child Guarantee coordinators should also play a central role in addressing the broader challenges of child poverty and child safety in an integrated manner</w:t>
      </w:r>
      <w:r w:rsidRPr="00D04BFD">
        <w:rPr>
          <w:rFonts w:ascii="Times New Roman" w:eastAsia="Times New Roman" w:hAnsi="Times New Roman" w:cs="Times New Roman"/>
        </w:rPr>
        <w:t>. This requires closer cooperation across ministries and government agencies, as well as enhanced collaboration with the Youth Guarantee coordinators and Anti-Poverty coordinators (</w:t>
      </w:r>
      <w:r w:rsidRPr="00D04BFD">
        <w:rPr>
          <w:rStyle w:val="FootnoteReference"/>
          <w:rFonts w:ascii="Times New Roman" w:eastAsia="Times New Roman" w:hAnsi="Times New Roman" w:cs="Times New Roman"/>
        </w:rPr>
        <w:footnoteReference w:id="32"/>
      </w:r>
      <w:r w:rsidRPr="00D04BFD">
        <w:rPr>
          <w:rFonts w:ascii="Times New Roman" w:eastAsia="Times New Roman" w:hAnsi="Times New Roman" w:cs="Times New Roman"/>
        </w:rPr>
        <w:t xml:space="preserve">). Some Member States have taken steps in this direction, for instance by establishing the national Child Guarantee coordinator within the Prime Minister’s office or creating interministerial structures. </w:t>
      </w:r>
      <w:r w:rsidRPr="00D04BFD">
        <w:rPr>
          <w:rFonts w:ascii="Times New Roman" w:eastAsia="Times New Roman" w:hAnsi="Times New Roman" w:cs="Times New Roman"/>
        </w:rPr>
        <w:lastRenderedPageBreak/>
        <w:t>To further support these efforts, the Commission will launch an</w:t>
      </w:r>
      <w:r w:rsidRPr="00D04BFD">
        <w:rPr>
          <w:rFonts w:ascii="Times New Roman" w:eastAsia="Times New Roman" w:hAnsi="Times New Roman" w:cs="Times New Roman"/>
          <w:b/>
          <w:bCs/>
        </w:rPr>
        <w:t xml:space="preserve"> ESF+ call for projects strengthening national governance frameworks</w:t>
      </w:r>
      <w:r w:rsidRPr="00D04BFD">
        <w:rPr>
          <w:rFonts w:ascii="Times New Roman" w:eastAsia="Times New Roman" w:hAnsi="Times New Roman" w:cs="Times New Roman"/>
        </w:rPr>
        <w:t xml:space="preserve"> and integrated policy responses. </w:t>
      </w:r>
    </w:p>
    <w:p w14:paraId="5DF9A5E7" w14:textId="2636B5A5"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b/>
          <w:bCs/>
        </w:rPr>
        <w:t>Regions and municipalities are often directly responsible for the delivery of services on the ground</w:t>
      </w:r>
      <w:r w:rsidRPr="00D04BFD">
        <w:rPr>
          <w:rFonts w:ascii="Times New Roman" w:eastAsia="Times New Roman" w:hAnsi="Times New Roman" w:cs="Times New Roman"/>
        </w:rPr>
        <w:t>, while civil society and social economy actors play a crucial role in reaching vulnerable children and filling gaps in benefit provision. Their involvement has already been fostered by some Member States, for instance, by setting up local Child Guarantee units at the municipal level. Member States should step up the involvement of local authorities and grassroot civil society organisations through dedicated local structures, making full use of available EU support (</w:t>
      </w:r>
      <w:r w:rsidRPr="00D04BFD">
        <w:rPr>
          <w:rStyle w:val="FootnoteReference"/>
          <w:rFonts w:ascii="Times New Roman" w:eastAsia="Times New Roman" w:hAnsi="Times New Roman" w:cs="Times New Roman"/>
        </w:rPr>
        <w:footnoteReference w:id="33"/>
      </w:r>
      <w:r w:rsidRPr="00D04BFD">
        <w:rPr>
          <w:rFonts w:ascii="Times New Roman" w:eastAsia="Times New Roman" w:hAnsi="Times New Roman" w:cs="Times New Roman"/>
        </w:rPr>
        <w:t xml:space="preserve">). The Commission and the </w:t>
      </w:r>
      <w:r w:rsidR="00D74768" w:rsidRPr="00D74768">
        <w:rPr>
          <w:rFonts w:ascii="Times New Roman" w:eastAsia="Times New Roman" w:hAnsi="Times New Roman" w:cs="Times New Roman"/>
          <w:b/>
          <w:bCs/>
        </w:rPr>
        <w:t xml:space="preserve">European </w:t>
      </w:r>
      <w:r w:rsidRPr="00F52F43">
        <w:rPr>
          <w:rFonts w:ascii="Times New Roman" w:hAnsi="Times New Roman" w:cs="Times New Roman"/>
          <w:b/>
        </w:rPr>
        <w:t>Committee of the Regions</w:t>
      </w:r>
      <w:r w:rsidRPr="00D04BFD">
        <w:rPr>
          <w:rFonts w:ascii="Times New Roman" w:eastAsia="Times New Roman" w:hAnsi="Times New Roman" w:cs="Times New Roman"/>
        </w:rPr>
        <w:t xml:space="preserve"> will conclude a </w:t>
      </w:r>
      <w:r w:rsidRPr="00D04BFD">
        <w:rPr>
          <w:rFonts w:ascii="Times New Roman" w:eastAsia="Times New Roman" w:hAnsi="Times New Roman" w:cs="Times New Roman"/>
          <w:b/>
          <w:bCs/>
        </w:rPr>
        <w:t>Joint Action Plan in 2026</w:t>
      </w:r>
      <w:r w:rsidRPr="00D04BFD">
        <w:rPr>
          <w:rFonts w:ascii="Times New Roman" w:eastAsia="Times New Roman" w:hAnsi="Times New Roman" w:cs="Times New Roman"/>
        </w:rPr>
        <w:t xml:space="preserve"> and will collaborate on the launch</w:t>
      </w:r>
      <w:r w:rsidRPr="00D04BFD">
        <w:rPr>
          <w:rFonts w:ascii="Times New Roman" w:hAnsi="Times New Roman" w:cs="Times New Roman"/>
        </w:rPr>
        <w:t xml:space="preserve"> </w:t>
      </w:r>
      <w:r w:rsidRPr="00D04BFD">
        <w:rPr>
          <w:rFonts w:ascii="Times New Roman" w:eastAsia="Times New Roman" w:hAnsi="Times New Roman" w:cs="Times New Roman"/>
        </w:rPr>
        <w:t xml:space="preserve">of </w:t>
      </w:r>
      <w:r w:rsidRPr="00D04BFD">
        <w:rPr>
          <w:rFonts w:ascii="Times New Roman" w:hAnsi="Times New Roman" w:cs="Times New Roman"/>
        </w:rPr>
        <w:t xml:space="preserve">an </w:t>
      </w:r>
      <w:r w:rsidRPr="00D04BFD">
        <w:rPr>
          <w:rFonts w:ascii="Times New Roman" w:hAnsi="Times New Roman" w:cs="Times New Roman"/>
          <w:b/>
          <w:bCs/>
        </w:rPr>
        <w:t xml:space="preserve">“EU Social Inclusion Award” </w:t>
      </w:r>
      <w:r w:rsidRPr="00D04BFD">
        <w:rPr>
          <w:rFonts w:ascii="Times New Roman" w:hAnsi="Times New Roman" w:cs="Times New Roman"/>
        </w:rPr>
        <w:t>for cities and municipalities. T</w:t>
      </w:r>
      <w:r w:rsidRPr="00D04BFD">
        <w:rPr>
          <w:rFonts w:ascii="Times New Roman" w:eastAsia="Times New Roman" w:hAnsi="Times New Roman" w:cs="Times New Roman"/>
        </w:rPr>
        <w:t xml:space="preserve">he first edition of the award will focus on empowering children and young people from disadvantaged areas. Moreover, by the end of 2026, </w:t>
      </w:r>
      <w:r w:rsidRPr="00F52F43">
        <w:rPr>
          <w:rFonts w:ascii="Times New Roman" w:hAnsi="Times New Roman" w:cs="Times New Roman"/>
        </w:rPr>
        <w:t>the Commission</w:t>
      </w:r>
      <w:r w:rsidRPr="00D04BFD">
        <w:rPr>
          <w:rFonts w:ascii="Times New Roman" w:eastAsia="Times New Roman" w:hAnsi="Times New Roman" w:cs="Times New Roman"/>
        </w:rPr>
        <w:t xml:space="preserve"> </w:t>
      </w:r>
      <w:r w:rsidRPr="00F52F43">
        <w:rPr>
          <w:rFonts w:ascii="Times New Roman" w:hAnsi="Times New Roman" w:cs="Times New Roman"/>
        </w:rPr>
        <w:t>and</w:t>
      </w:r>
      <w:r w:rsidRPr="00D04BFD">
        <w:rPr>
          <w:rFonts w:ascii="Times New Roman" w:eastAsia="Times New Roman" w:hAnsi="Times New Roman" w:cs="Times New Roman"/>
          <w:b/>
          <w:bCs/>
        </w:rPr>
        <w:t xml:space="preserve"> </w:t>
      </w:r>
      <w:r w:rsidRPr="00D74768">
        <w:rPr>
          <w:rFonts w:ascii="Times New Roman" w:eastAsia="Times New Roman" w:hAnsi="Times New Roman" w:cs="Times New Roman"/>
        </w:rPr>
        <w:t>the</w:t>
      </w:r>
      <w:r w:rsidRPr="00D04BFD">
        <w:rPr>
          <w:rFonts w:ascii="Times New Roman" w:eastAsia="Times New Roman" w:hAnsi="Times New Roman" w:cs="Times New Roman"/>
          <w:b/>
          <w:bCs/>
        </w:rPr>
        <w:t xml:space="preserve"> European Economic and Social Committee</w:t>
      </w:r>
      <w:r w:rsidRPr="00D04BFD">
        <w:rPr>
          <w:rFonts w:ascii="Times New Roman" w:eastAsia="Times New Roman" w:hAnsi="Times New Roman" w:cs="Times New Roman"/>
        </w:rPr>
        <w:t xml:space="preserve"> will conclude a cooperation agreement, building on existing framework for expert advisory support, and sharing best practices to address poverty, including child poverty. </w:t>
      </w:r>
    </w:p>
    <w:p w14:paraId="4D5E76B1" w14:textId="77777777"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b/>
          <w:bCs/>
        </w:rPr>
        <w:t>Strengthening the participation of children themselves is also important so that their voice is listened to</w:t>
      </w:r>
      <w:r w:rsidRPr="00D04BFD">
        <w:rPr>
          <w:rFonts w:ascii="Times New Roman" w:eastAsia="Times New Roman" w:hAnsi="Times New Roman" w:cs="Times New Roman"/>
        </w:rPr>
        <w:t xml:space="preserve">. Most Member States have involved children in the implementation of the Guarantee and should further reinforce dialogue with children and young adults, in line with the </w:t>
      </w:r>
      <w:r w:rsidRPr="00D04BFD">
        <w:rPr>
          <w:rFonts w:ascii="Times New Roman" w:hAnsi="Times New Roman" w:cs="Times New Roman"/>
        </w:rPr>
        <w:t xml:space="preserve">2026 </w:t>
      </w:r>
      <w:r w:rsidRPr="00D04BFD">
        <w:rPr>
          <w:rFonts w:ascii="Times New Roman" w:eastAsia="Times New Roman" w:hAnsi="Times New Roman" w:cs="Times New Roman"/>
        </w:rPr>
        <w:t xml:space="preserve">Council Conclusions on Investing in children. At the EU level, the Commission ran </w:t>
      </w:r>
      <w:r w:rsidRPr="00D04BFD">
        <w:rPr>
          <w:rFonts w:ascii="Times New Roman" w:hAnsi="Times New Roman" w:cs="Times New Roman"/>
        </w:rPr>
        <w:t xml:space="preserve">a consultation of 41,700 children under the </w:t>
      </w:r>
      <w:r w:rsidRPr="00D04BFD">
        <w:rPr>
          <w:rFonts w:ascii="Times New Roman" w:eastAsia="Times New Roman" w:hAnsi="Times New Roman" w:cs="Times New Roman"/>
        </w:rPr>
        <w:t>EU Children’s Participation Platform to inform the preparation of this Communication and will further embed dialogue with children on the Guarantee and the fight against child poverty in the activities of such Platform.</w:t>
      </w:r>
      <w:r w:rsidRPr="00D04BFD">
        <w:rPr>
          <w:rFonts w:ascii="Times New Roman" w:eastAsia="Times New Roman" w:hAnsi="Times New Roman" w:cs="Times New Roman"/>
          <w:b/>
          <w:bCs/>
        </w:rPr>
        <w:t xml:space="preserve"> </w:t>
      </w:r>
    </w:p>
    <w:p w14:paraId="3BFC5418" w14:textId="3EAA3CAD"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sidDel="00232DCA">
        <w:rPr>
          <w:rFonts w:ascii="Times New Roman" w:eastAsia="Times New Roman" w:hAnsi="Times New Roman" w:cs="Times New Roman"/>
          <w:b/>
          <w:bCs/>
        </w:rPr>
        <w:t xml:space="preserve">At EU level, the Commission will </w:t>
      </w:r>
      <w:r w:rsidRPr="00D04BFD" w:rsidDel="007C2091">
        <w:rPr>
          <w:rFonts w:ascii="Times New Roman" w:eastAsia="Times New Roman" w:hAnsi="Times New Roman" w:cs="Times New Roman"/>
          <w:b/>
          <w:bCs/>
        </w:rPr>
        <w:t xml:space="preserve">also </w:t>
      </w:r>
      <w:r w:rsidRPr="00D04BFD" w:rsidDel="00232DCA">
        <w:rPr>
          <w:rFonts w:ascii="Times New Roman" w:eastAsia="Times New Roman" w:hAnsi="Times New Roman" w:cs="Times New Roman"/>
          <w:b/>
          <w:bCs/>
        </w:rPr>
        <w:t>strengthen its</w:t>
      </w:r>
      <w:r w:rsidRPr="00D04BFD">
        <w:rPr>
          <w:rFonts w:ascii="Times New Roman" w:eastAsia="Times New Roman" w:hAnsi="Times New Roman" w:cs="Times New Roman"/>
          <w:b/>
          <w:bCs/>
        </w:rPr>
        <w:t xml:space="preserve"> partnerships with other EU institutions and stakeholders</w:t>
      </w:r>
      <w:r w:rsidRPr="00D04BFD">
        <w:rPr>
          <w:rFonts w:ascii="Times New Roman" w:eastAsia="Times New Roman" w:hAnsi="Times New Roman" w:cs="Times New Roman"/>
        </w:rPr>
        <w:t xml:space="preserve">. </w:t>
      </w:r>
      <w:r w:rsidRPr="00D04BFD" w:rsidDel="00232DCA">
        <w:rPr>
          <w:rFonts w:ascii="Times New Roman" w:eastAsia="Times New Roman" w:hAnsi="Times New Roman" w:cs="Times New Roman"/>
        </w:rPr>
        <w:t>It</w:t>
      </w:r>
      <w:r w:rsidRPr="00D04BFD">
        <w:rPr>
          <w:rFonts w:ascii="Times New Roman" w:eastAsia="Times New Roman" w:hAnsi="Times New Roman" w:cs="Times New Roman"/>
        </w:rPr>
        <w:t xml:space="preserve"> will actively collaborate with the European Parliament (in particular its Working Group on the European Child Guarantee and the Intergroup on Fighting Poverty, which provides an impactful political forum for addressing child poverty). The Social Protection Committee should ensure that fighting child poverty and exclusion is further reflected across Member States</w:t>
      </w:r>
      <w:r w:rsidR="00D74768">
        <w:rPr>
          <w:rFonts w:ascii="Times New Roman" w:eastAsia="Times New Roman" w:hAnsi="Times New Roman" w:cs="Times New Roman"/>
        </w:rPr>
        <w:t>’</w:t>
      </w:r>
      <w:r w:rsidRPr="00D04BFD">
        <w:rPr>
          <w:rFonts w:ascii="Times New Roman" w:eastAsia="Times New Roman" w:hAnsi="Times New Roman" w:cs="Times New Roman"/>
        </w:rPr>
        <w:t xml:space="preserve"> policies. The Commission will also further strengthen cooperation with international organisations (such as UNICEF, which has actively contributed to the rollout of the Guarantee in the EU and beyond) and continue to engage the civil society organisations in the delivery of the strengthened Guarantee. </w:t>
      </w:r>
    </w:p>
    <w:p w14:paraId="5A32F6DB" w14:textId="77777777" w:rsidR="00D04BFD" w:rsidRPr="00D04BFD" w:rsidRDefault="00D04BFD" w:rsidP="00D04BFD">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b/>
        </w:rPr>
        <w:t>Robust monitoring systems are essential to track progress, identify gaps and adjust policies accordingly</w:t>
      </w:r>
      <w:r w:rsidRPr="00D04BFD">
        <w:rPr>
          <w:rFonts w:ascii="Times New Roman" w:eastAsia="Times New Roman" w:hAnsi="Times New Roman" w:cs="Times New Roman"/>
        </w:rPr>
        <w:t>. At the EU level, the Social Protection Committee has established a common framework (</w:t>
      </w:r>
      <w:r w:rsidRPr="00D04BFD">
        <w:rPr>
          <w:rStyle w:val="FootnoteReference"/>
          <w:rFonts w:ascii="Times New Roman" w:hAnsi="Times New Roman" w:cs="Times New Roman"/>
        </w:rPr>
        <w:footnoteReference w:id="34"/>
      </w:r>
      <w:r w:rsidRPr="00D04BFD">
        <w:rPr>
          <w:rFonts w:ascii="Times New Roman" w:eastAsia="Times New Roman" w:hAnsi="Times New Roman" w:cs="Times New Roman"/>
        </w:rPr>
        <w:t>) to track implementation of the European Child Guarantee, with a commitment to continuously address emerging challenges and improve the measurement of results. It should be regularly revised and updated.</w:t>
      </w:r>
      <w:r w:rsidRPr="00D04BFD">
        <w:rPr>
          <w:rFonts w:ascii="Times New Roman" w:eastAsia="Times New Roman" w:hAnsi="Times New Roman" w:cs="Times New Roman"/>
          <w:color w:val="000000" w:themeColor="text1"/>
        </w:rPr>
        <w:t xml:space="preserve"> </w:t>
      </w:r>
      <w:r w:rsidRPr="00D04BFD">
        <w:rPr>
          <w:rFonts w:ascii="Times New Roman" w:eastAsia="Times New Roman" w:hAnsi="Times New Roman" w:cs="Times New Roman"/>
        </w:rPr>
        <w:t>EU-level monitoring should be complemented by comprehensive tracking at national, regional and local levels. Member States should strengthen their monitoring frameworks when reviewing their national action plans, providing a basis for further joint work within the Social Protection Committee.</w:t>
      </w:r>
    </w:p>
    <w:p w14:paraId="70351D1A" w14:textId="77777777" w:rsidR="00D04BFD" w:rsidRPr="00D04BFD" w:rsidRDefault="00D04BFD" w:rsidP="00D04BFD">
      <w:pPr>
        <w:pStyle w:val="Heading3"/>
      </w:pPr>
      <w:r w:rsidRPr="00D04BFD">
        <w:t>The Child Guarantee beyond the EU</w:t>
      </w:r>
    </w:p>
    <w:p w14:paraId="40AA5DB7" w14:textId="0D6157AE" w:rsidR="00D04BFD" w:rsidRPr="00D04BFD" w:rsidRDefault="00D04BFD" w:rsidP="00F52F43">
      <w:pPr>
        <w:widowControl w:val="0"/>
        <w:spacing w:after="240" w:line="240" w:lineRule="auto"/>
        <w:jc w:val="both"/>
        <w:rPr>
          <w:rFonts w:ascii="Times New Roman" w:eastAsia="Times New Roman" w:hAnsi="Times New Roman" w:cs="Times New Roman"/>
        </w:rPr>
      </w:pPr>
      <w:r w:rsidRPr="00D04BFD">
        <w:rPr>
          <w:rFonts w:ascii="Times New Roman" w:eastAsia="Times New Roman" w:hAnsi="Times New Roman" w:cs="Times New Roman"/>
          <w:b/>
          <w:bCs/>
          <w:color w:val="000000" w:themeColor="text1"/>
        </w:rPr>
        <w:t xml:space="preserve">The European Child Guarantee </w:t>
      </w:r>
      <w:r w:rsidRPr="00D04BFD">
        <w:rPr>
          <w:rFonts w:ascii="Times New Roman" w:eastAsia="Times New Roman" w:hAnsi="Times New Roman" w:cs="Times New Roman"/>
          <w:color w:val="000000" w:themeColor="text1"/>
        </w:rPr>
        <w:t>is</w:t>
      </w:r>
      <w:r w:rsidRPr="00D04BFD">
        <w:rPr>
          <w:rFonts w:ascii="Times New Roman" w:eastAsia="Times New Roman" w:hAnsi="Times New Roman" w:cs="Times New Roman"/>
          <w:b/>
          <w:bCs/>
          <w:color w:val="000000" w:themeColor="text1"/>
        </w:rPr>
        <w:t xml:space="preserve"> </w:t>
      </w:r>
      <w:r w:rsidRPr="00D04BFD">
        <w:rPr>
          <w:rFonts w:ascii="Times New Roman" w:eastAsia="Times New Roman" w:hAnsi="Times New Roman" w:cs="Times New Roman"/>
          <w:color w:val="000000" w:themeColor="text1"/>
        </w:rPr>
        <w:t xml:space="preserve">being rolled out in the candidate countries and potential candidates, all of which have nominated national contact points and are preparing their national action plans. The Commission supports these efforts through funding provided to UNICEF to assist in the development and implementation of these plans. The EU budget also supports specific projects, such as the rollout </w:t>
      </w:r>
      <w:r w:rsidRPr="00D04BFD">
        <w:rPr>
          <w:rFonts w:ascii="Times New Roman" w:eastAsia="Times New Roman" w:hAnsi="Times New Roman" w:cs="Times New Roman"/>
          <w:color w:val="000000" w:themeColor="text1"/>
        </w:rPr>
        <w:lastRenderedPageBreak/>
        <w:t>of the ‘Better care’ reform in Ukraine, aimed at improving the standards of child protection and alternative care systems. Beyond funding, t</w:t>
      </w:r>
      <w:r w:rsidRPr="00D04BFD">
        <w:rPr>
          <w:rFonts w:ascii="Times New Roman" w:eastAsia="Times New Roman" w:hAnsi="Times New Roman" w:cs="Times New Roman"/>
        </w:rPr>
        <w:t>he Commission will intensify cooperation with national Child Guarantee coordinators to further strengthen mutual learning and foster closer collaboration, also extending this engagement to candidate countries and potential candidates. The Guarantee has also been showcased globally as a promising tool to break the cycle of disadvantage and promote equal opportunities for disadvantaged children.</w:t>
      </w:r>
    </w:p>
    <w:p w14:paraId="62DA0547" w14:textId="77777777" w:rsidR="00D04BFD" w:rsidRPr="00D04BFD" w:rsidRDefault="00D04BFD" w:rsidP="00F52F43">
      <w:pPr>
        <w:pStyle w:val="Heading2"/>
        <w:numPr>
          <w:ilvl w:val="0"/>
          <w:numId w:val="0"/>
        </w:numPr>
      </w:pPr>
      <w:r w:rsidRPr="00D04BFD">
        <w:t xml:space="preserve">Conclusion </w:t>
      </w:r>
    </w:p>
    <w:p w14:paraId="61095FCA" w14:textId="32F7C103"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hAnsi="Times New Roman" w:cs="Times New Roman"/>
        </w:rPr>
        <w:t>The promise of a fairer, more inclusive Europe where each child grows free from the constraints of poverty must become a reality. By acting now with determination and solidarity, we can accelerate progress toward</w:t>
      </w:r>
      <w:r w:rsidR="00D74768">
        <w:rPr>
          <w:rFonts w:ascii="Times New Roman" w:hAnsi="Times New Roman" w:cs="Times New Roman"/>
        </w:rPr>
        <w:t>s</w:t>
      </w:r>
      <w:r w:rsidRPr="00D04BFD">
        <w:rPr>
          <w:rFonts w:ascii="Times New Roman" w:hAnsi="Times New Roman" w:cs="Times New Roman"/>
        </w:rPr>
        <w:t xml:space="preserve"> the 2030 target of lifting at least 5 million children out of poverty and help eradicate poverty by 2050. </w:t>
      </w:r>
    </w:p>
    <w:p w14:paraId="3FACB0E8" w14:textId="010A3175"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hAnsi="Times New Roman" w:cs="Times New Roman"/>
        </w:rPr>
        <w:t xml:space="preserve">The Commission stands firmly committed to these objectives and breaking the cycle of disadvantage. This is both a moral imperative and an investment in Europe’s future. With nearly one in four children at risk of poverty or social exclusion, bold and collective action is urgently needed to shield vulnerable families, strengthen the European Child Guarantee and ensure every child can thrive in a safe environment. </w:t>
      </w:r>
    </w:p>
    <w:p w14:paraId="5F0B9D08" w14:textId="77777777" w:rsidR="00D04BFD" w:rsidRPr="00D04BFD" w:rsidRDefault="00D04BFD" w:rsidP="00D04BFD">
      <w:pPr>
        <w:widowControl w:val="0"/>
        <w:spacing w:after="240" w:line="240" w:lineRule="auto"/>
        <w:jc w:val="both"/>
        <w:rPr>
          <w:rFonts w:ascii="Times New Roman" w:hAnsi="Times New Roman" w:cs="Times New Roman"/>
        </w:rPr>
      </w:pPr>
      <w:r w:rsidRPr="00D04BFD">
        <w:rPr>
          <w:rFonts w:ascii="Times New Roman" w:hAnsi="Times New Roman" w:cs="Times New Roman"/>
        </w:rPr>
        <w:t xml:space="preserve">All EU institutions, Member States, local authorities, civil society and private partners have a role to play and should join forces, scale up proven solutions, close implementation gaps and mobilise sustained funding to break the cycle of disadvantage. </w:t>
      </w:r>
    </w:p>
    <w:p w14:paraId="5B941332" w14:textId="77777777" w:rsidR="00D04BFD" w:rsidRPr="00D04BFD" w:rsidRDefault="00D04BFD" w:rsidP="00F52F43">
      <w:pPr>
        <w:spacing w:after="240" w:line="240" w:lineRule="auto"/>
        <w:rPr>
          <w:rFonts w:ascii="Times New Roman" w:hAnsi="Times New Roman" w:cs="Times New Roman"/>
        </w:rPr>
      </w:pPr>
      <w:r w:rsidRPr="00D04BFD">
        <w:rPr>
          <w:rFonts w:ascii="Times New Roman" w:hAnsi="Times New Roman" w:cs="Times New Roman"/>
        </w:rPr>
        <w:br w:type="page"/>
      </w:r>
    </w:p>
    <w:p w14:paraId="5AB15674" w14:textId="77777777" w:rsidR="00D04BFD" w:rsidRPr="00D04BFD" w:rsidRDefault="00D04BFD" w:rsidP="00D04BFD">
      <w:pPr>
        <w:spacing w:line="240" w:lineRule="auto"/>
        <w:jc w:val="both"/>
        <w:rPr>
          <w:rFonts w:ascii="Times New Roman" w:eastAsia="Aptos" w:hAnsi="Times New Roman" w:cs="Times New Roman"/>
          <w:b/>
          <w:bCs/>
        </w:rPr>
      </w:pPr>
      <w:r w:rsidRPr="00D04BFD">
        <w:rPr>
          <w:rFonts w:ascii="Times New Roman" w:eastAsia="Aptos" w:hAnsi="Times New Roman" w:cs="Times New Roman"/>
          <w:b/>
          <w:bCs/>
        </w:rPr>
        <w:lastRenderedPageBreak/>
        <w:t xml:space="preserve">Annex: List of new initiatives included in this Communication on breaking the cycle of child poverty – strengthening the European Child Guarantee </w:t>
      </w:r>
    </w:p>
    <w:p w14:paraId="604E928E" w14:textId="77777777" w:rsidR="00D04BFD" w:rsidRPr="00D04BFD" w:rsidRDefault="00D04BFD" w:rsidP="00D04BFD">
      <w:pPr>
        <w:spacing w:line="240" w:lineRule="auto"/>
        <w:jc w:val="both"/>
        <w:rPr>
          <w:rFonts w:ascii="Times New Roman" w:eastAsia="Aptos" w:hAnsi="Times New Roman" w:cs="Times New Roman"/>
          <w:b/>
          <w:bCs/>
        </w:rPr>
      </w:pPr>
    </w:p>
    <w:tbl>
      <w:tblPr>
        <w:tblStyle w:val="TableGrid"/>
        <w:tblW w:w="9209" w:type="dxa"/>
        <w:tblInd w:w="-3" w:type="dxa"/>
        <w:tblLook w:val="04A0" w:firstRow="1" w:lastRow="0" w:firstColumn="1" w:lastColumn="0" w:noHBand="0" w:noVBand="1"/>
      </w:tblPr>
      <w:tblGrid>
        <w:gridCol w:w="6799"/>
        <w:gridCol w:w="2410"/>
      </w:tblGrid>
      <w:tr w:rsidR="00D04BFD" w:rsidRPr="00F23B71" w14:paraId="0EA97803" w14:textId="77777777" w:rsidTr="0ACAD36F">
        <w:trPr>
          <w:trHeight w:val="300"/>
        </w:trPr>
        <w:tc>
          <w:tcPr>
            <w:tcW w:w="6799" w:type="dxa"/>
          </w:tcPr>
          <w:p w14:paraId="41593970" w14:textId="77777777" w:rsidR="00D04BFD" w:rsidRPr="00F23B71" w:rsidRDefault="00D04BFD">
            <w:pPr>
              <w:spacing w:line="271" w:lineRule="auto"/>
              <w:jc w:val="both"/>
              <w:rPr>
                <w:b/>
                <w:bCs/>
                <w:sz w:val="22"/>
                <w:szCs w:val="22"/>
              </w:rPr>
            </w:pPr>
            <w:r w:rsidRPr="00F23B71">
              <w:rPr>
                <w:b/>
                <w:bCs/>
                <w:sz w:val="22"/>
                <w:szCs w:val="22"/>
              </w:rPr>
              <w:t>Initiative</w:t>
            </w:r>
          </w:p>
        </w:tc>
        <w:tc>
          <w:tcPr>
            <w:tcW w:w="2410" w:type="dxa"/>
          </w:tcPr>
          <w:p w14:paraId="16FD4E17" w14:textId="77777777" w:rsidR="00D04BFD" w:rsidRPr="00F23B71" w:rsidRDefault="00D04BFD">
            <w:pPr>
              <w:spacing w:line="271" w:lineRule="auto"/>
              <w:jc w:val="both"/>
              <w:rPr>
                <w:b/>
                <w:bCs/>
                <w:sz w:val="22"/>
                <w:szCs w:val="22"/>
              </w:rPr>
            </w:pPr>
            <w:r w:rsidRPr="00F23B71">
              <w:rPr>
                <w:b/>
                <w:bCs/>
                <w:sz w:val="22"/>
                <w:szCs w:val="22"/>
              </w:rPr>
              <w:t xml:space="preserve">Date </w:t>
            </w:r>
          </w:p>
        </w:tc>
      </w:tr>
      <w:tr w:rsidR="00D04BFD" w:rsidRPr="00F23B71" w14:paraId="0E36EFB1" w14:textId="77777777">
        <w:trPr>
          <w:trHeight w:val="90"/>
        </w:trPr>
        <w:tc>
          <w:tcPr>
            <w:tcW w:w="9209" w:type="dxa"/>
            <w:gridSpan w:val="2"/>
            <w:shd w:val="clear" w:color="auto" w:fill="95DCF7" w:themeFill="accent4" w:themeFillTint="66"/>
          </w:tcPr>
          <w:p w14:paraId="166DD2A6" w14:textId="5A22BF94" w:rsidR="00D04BFD" w:rsidRPr="00F23B71" w:rsidRDefault="00D04BFD" w:rsidP="00D04BFD">
            <w:pPr>
              <w:pStyle w:val="ListParagraph"/>
              <w:numPr>
                <w:ilvl w:val="0"/>
                <w:numId w:val="1"/>
              </w:numPr>
              <w:contextualSpacing w:val="0"/>
              <w:rPr>
                <w:sz w:val="22"/>
                <w:szCs w:val="22"/>
              </w:rPr>
            </w:pPr>
            <w:r w:rsidRPr="00F23B71">
              <w:rPr>
                <w:sz w:val="22"/>
                <w:szCs w:val="22"/>
              </w:rPr>
              <w:t xml:space="preserve"> PREVENTING AND REDUCING POVERTY AMONG FAMILIES</w:t>
            </w:r>
          </w:p>
        </w:tc>
      </w:tr>
      <w:tr w:rsidR="00D04BFD" w:rsidRPr="00F23B71" w14:paraId="3A9AB0F8" w14:textId="77777777" w:rsidTr="0ACAD36F">
        <w:trPr>
          <w:trHeight w:val="300"/>
        </w:trPr>
        <w:tc>
          <w:tcPr>
            <w:tcW w:w="6799" w:type="dxa"/>
          </w:tcPr>
          <w:p w14:paraId="6C96146B" w14:textId="77777777" w:rsidR="00D04BFD" w:rsidRPr="00F23B71" w:rsidRDefault="00D04BFD">
            <w:pPr>
              <w:spacing w:line="271" w:lineRule="auto"/>
              <w:jc w:val="both"/>
              <w:rPr>
                <w:sz w:val="22"/>
                <w:szCs w:val="22"/>
                <w:highlight w:val="yellow"/>
              </w:rPr>
            </w:pPr>
            <w:r w:rsidRPr="00F23B71">
              <w:rPr>
                <w:sz w:val="22"/>
                <w:szCs w:val="22"/>
              </w:rPr>
              <w:t>Launch of the first-stage consultation of European social partners to obtain their views on the possible direction of EU action to support the activation of persons excluded from the labour market and equality between women and men with regard to labour market opportunities, including through childcare.</w:t>
            </w:r>
          </w:p>
        </w:tc>
        <w:tc>
          <w:tcPr>
            <w:tcW w:w="2410" w:type="dxa"/>
          </w:tcPr>
          <w:p w14:paraId="549A32C6" w14:textId="77777777" w:rsidR="00D04BFD" w:rsidRPr="00F23B71" w:rsidRDefault="00D04BFD">
            <w:pPr>
              <w:spacing w:line="271" w:lineRule="auto"/>
              <w:jc w:val="both"/>
              <w:rPr>
                <w:sz w:val="22"/>
                <w:szCs w:val="22"/>
              </w:rPr>
            </w:pPr>
            <w:r w:rsidRPr="00F23B71">
              <w:rPr>
                <w:sz w:val="22"/>
                <w:szCs w:val="22"/>
              </w:rPr>
              <w:t>2026</w:t>
            </w:r>
          </w:p>
        </w:tc>
      </w:tr>
      <w:tr w:rsidR="00D04BFD" w:rsidRPr="00F23B71" w14:paraId="24A895B2" w14:textId="77777777" w:rsidTr="0ACAD36F">
        <w:trPr>
          <w:trHeight w:val="300"/>
        </w:trPr>
        <w:tc>
          <w:tcPr>
            <w:tcW w:w="6799" w:type="dxa"/>
          </w:tcPr>
          <w:p w14:paraId="5B83E82B" w14:textId="021C68CF" w:rsidR="00D04BFD" w:rsidRPr="00F23B71" w:rsidRDefault="00D04BFD">
            <w:pPr>
              <w:spacing w:line="271" w:lineRule="auto"/>
              <w:jc w:val="both"/>
              <w:rPr>
                <w:sz w:val="22"/>
                <w:szCs w:val="22"/>
              </w:rPr>
            </w:pPr>
            <w:r w:rsidRPr="00F23B71">
              <w:rPr>
                <w:sz w:val="22"/>
                <w:szCs w:val="22"/>
              </w:rPr>
              <w:t>Commission Recommendation on enhancing efficiency of child-related benefit systems</w:t>
            </w:r>
          </w:p>
        </w:tc>
        <w:tc>
          <w:tcPr>
            <w:tcW w:w="2410" w:type="dxa"/>
          </w:tcPr>
          <w:p w14:paraId="6E6E9DCC" w14:textId="77777777" w:rsidR="00D04BFD" w:rsidRPr="00F23B71" w:rsidRDefault="00D04BFD">
            <w:pPr>
              <w:spacing w:line="271" w:lineRule="auto"/>
              <w:jc w:val="both"/>
              <w:rPr>
                <w:sz w:val="22"/>
                <w:szCs w:val="22"/>
              </w:rPr>
            </w:pPr>
            <w:r w:rsidRPr="00F23B71">
              <w:rPr>
                <w:sz w:val="22"/>
                <w:szCs w:val="22"/>
              </w:rPr>
              <w:t>2027</w:t>
            </w:r>
          </w:p>
        </w:tc>
      </w:tr>
      <w:tr w:rsidR="00D04BFD" w:rsidRPr="00F23B71" w14:paraId="3AEF88E3" w14:textId="77777777" w:rsidTr="0ACAD36F">
        <w:trPr>
          <w:trHeight w:val="300"/>
        </w:trPr>
        <w:tc>
          <w:tcPr>
            <w:tcW w:w="9209" w:type="dxa"/>
            <w:gridSpan w:val="2"/>
            <w:shd w:val="clear" w:color="auto" w:fill="95DCF7" w:themeFill="accent4" w:themeFillTint="66"/>
          </w:tcPr>
          <w:p w14:paraId="7283876E" w14:textId="77777777" w:rsidR="00D04BFD" w:rsidRPr="00F23B71" w:rsidRDefault="00D04BFD" w:rsidP="00D04BFD">
            <w:pPr>
              <w:pStyle w:val="ListParagraph"/>
              <w:numPr>
                <w:ilvl w:val="0"/>
                <w:numId w:val="1"/>
              </w:numPr>
              <w:contextualSpacing w:val="0"/>
              <w:rPr>
                <w:sz w:val="22"/>
                <w:szCs w:val="22"/>
              </w:rPr>
            </w:pPr>
            <w:r w:rsidRPr="00F23B71">
              <w:rPr>
                <w:sz w:val="22"/>
                <w:szCs w:val="22"/>
              </w:rPr>
              <w:t>STRENGTHENING THE IMPACT OF THE EUROPEAN CHILD GUARANTEE</w:t>
            </w:r>
          </w:p>
        </w:tc>
      </w:tr>
      <w:tr w:rsidR="00D04BFD" w:rsidRPr="00F23B71" w14:paraId="2679B7DE" w14:textId="77777777" w:rsidTr="0ACAD36F">
        <w:trPr>
          <w:trHeight w:val="300"/>
        </w:trPr>
        <w:tc>
          <w:tcPr>
            <w:tcW w:w="6799" w:type="dxa"/>
          </w:tcPr>
          <w:p w14:paraId="1263451C" w14:textId="77777777" w:rsidR="00D04BFD" w:rsidRPr="00F23B71" w:rsidRDefault="00D04BFD">
            <w:pPr>
              <w:spacing w:line="271" w:lineRule="auto"/>
              <w:jc w:val="both"/>
              <w:rPr>
                <w:sz w:val="22"/>
                <w:szCs w:val="22"/>
              </w:rPr>
            </w:pPr>
            <w:r w:rsidRPr="00F23B71">
              <w:rPr>
                <w:sz w:val="22"/>
                <w:szCs w:val="22"/>
              </w:rPr>
              <w:t>Horizon call for innovative solutions in ECEC</w:t>
            </w:r>
          </w:p>
        </w:tc>
        <w:tc>
          <w:tcPr>
            <w:tcW w:w="2410" w:type="dxa"/>
          </w:tcPr>
          <w:p w14:paraId="055EF215" w14:textId="77777777" w:rsidR="00D04BFD" w:rsidRPr="00F23B71" w:rsidRDefault="00D04BFD">
            <w:pPr>
              <w:spacing w:line="271" w:lineRule="auto"/>
              <w:jc w:val="both"/>
              <w:rPr>
                <w:sz w:val="22"/>
                <w:szCs w:val="22"/>
              </w:rPr>
            </w:pPr>
            <w:r w:rsidRPr="00F23B71">
              <w:rPr>
                <w:sz w:val="22"/>
                <w:szCs w:val="22"/>
              </w:rPr>
              <w:t>2026</w:t>
            </w:r>
          </w:p>
        </w:tc>
      </w:tr>
      <w:tr w:rsidR="00D04BFD" w:rsidRPr="00F23B71" w14:paraId="5B8524B6" w14:textId="77777777" w:rsidTr="0ACAD36F">
        <w:trPr>
          <w:trHeight w:val="300"/>
        </w:trPr>
        <w:tc>
          <w:tcPr>
            <w:tcW w:w="6799" w:type="dxa"/>
          </w:tcPr>
          <w:p w14:paraId="268F87E2" w14:textId="77777777" w:rsidR="00D04BFD" w:rsidRPr="00F23B71" w:rsidRDefault="00D04BFD">
            <w:pPr>
              <w:spacing w:line="271" w:lineRule="auto"/>
              <w:jc w:val="both"/>
              <w:rPr>
                <w:sz w:val="22"/>
                <w:szCs w:val="22"/>
              </w:rPr>
            </w:pPr>
            <w:r w:rsidRPr="00F23B71">
              <w:rPr>
                <w:sz w:val="22"/>
                <w:szCs w:val="22"/>
                <w:lang w:val="en-IE"/>
              </w:rPr>
              <w:t xml:space="preserve">Curriculum and pedagogical guidelines </w:t>
            </w:r>
          </w:p>
        </w:tc>
        <w:tc>
          <w:tcPr>
            <w:tcW w:w="2410" w:type="dxa"/>
          </w:tcPr>
          <w:p w14:paraId="6B5CA079" w14:textId="77777777" w:rsidR="00D04BFD" w:rsidRPr="00F23B71" w:rsidRDefault="00D04BFD">
            <w:pPr>
              <w:spacing w:line="271" w:lineRule="auto"/>
              <w:jc w:val="both"/>
              <w:rPr>
                <w:sz w:val="22"/>
                <w:szCs w:val="22"/>
              </w:rPr>
            </w:pPr>
            <w:r w:rsidRPr="00F23B71">
              <w:rPr>
                <w:sz w:val="22"/>
                <w:szCs w:val="22"/>
              </w:rPr>
              <w:t>2026</w:t>
            </w:r>
          </w:p>
        </w:tc>
      </w:tr>
      <w:tr w:rsidR="00D04BFD" w:rsidRPr="00F23B71" w14:paraId="7BA8427E" w14:textId="77777777" w:rsidTr="0ACAD36F">
        <w:trPr>
          <w:trHeight w:val="300"/>
        </w:trPr>
        <w:tc>
          <w:tcPr>
            <w:tcW w:w="6799" w:type="dxa"/>
          </w:tcPr>
          <w:p w14:paraId="1DDE438B" w14:textId="77777777" w:rsidR="00D04BFD" w:rsidRPr="00F23B71" w:rsidRDefault="00D04BFD">
            <w:pPr>
              <w:spacing w:line="271" w:lineRule="auto"/>
              <w:jc w:val="both"/>
              <w:rPr>
                <w:sz w:val="22"/>
                <w:szCs w:val="22"/>
              </w:rPr>
            </w:pPr>
            <w:r w:rsidRPr="00F23B71">
              <w:rPr>
                <w:sz w:val="22"/>
                <w:szCs w:val="22"/>
              </w:rPr>
              <w:t>ESF+ call for projects using culture and sport as tools for social inclusion</w:t>
            </w:r>
          </w:p>
        </w:tc>
        <w:tc>
          <w:tcPr>
            <w:tcW w:w="2410" w:type="dxa"/>
          </w:tcPr>
          <w:p w14:paraId="72D1F4C6" w14:textId="77777777" w:rsidR="00D04BFD" w:rsidRPr="00F23B71" w:rsidRDefault="00D04BFD">
            <w:pPr>
              <w:spacing w:line="271" w:lineRule="auto"/>
              <w:jc w:val="both"/>
              <w:rPr>
                <w:sz w:val="22"/>
                <w:szCs w:val="22"/>
              </w:rPr>
            </w:pPr>
            <w:r w:rsidRPr="00F23B71">
              <w:rPr>
                <w:sz w:val="22"/>
                <w:szCs w:val="22"/>
              </w:rPr>
              <w:t>2027</w:t>
            </w:r>
          </w:p>
        </w:tc>
      </w:tr>
      <w:tr w:rsidR="00D04BFD" w:rsidRPr="00F23B71" w14:paraId="791FA11F" w14:textId="77777777" w:rsidTr="0ACAD36F">
        <w:trPr>
          <w:trHeight w:val="300"/>
        </w:trPr>
        <w:tc>
          <w:tcPr>
            <w:tcW w:w="6799" w:type="dxa"/>
          </w:tcPr>
          <w:p w14:paraId="010BD1A4" w14:textId="77777777" w:rsidR="00D04BFD" w:rsidRPr="00F23B71" w:rsidRDefault="00D04BFD">
            <w:pPr>
              <w:spacing w:line="271" w:lineRule="auto"/>
              <w:jc w:val="both"/>
              <w:rPr>
                <w:sz w:val="22"/>
                <w:szCs w:val="22"/>
              </w:rPr>
            </w:pPr>
            <w:r w:rsidRPr="00F23B71">
              <w:rPr>
                <w:sz w:val="22"/>
                <w:szCs w:val="22"/>
              </w:rPr>
              <w:t>Toolkit with UNICEF for child and adolescent health and mental wellbeing promotion</w:t>
            </w:r>
          </w:p>
        </w:tc>
        <w:tc>
          <w:tcPr>
            <w:tcW w:w="2410" w:type="dxa"/>
          </w:tcPr>
          <w:p w14:paraId="3D76296A" w14:textId="46FAC30C" w:rsidR="00D04BFD" w:rsidRPr="00F23B71" w:rsidRDefault="00D04BFD">
            <w:pPr>
              <w:spacing w:line="271" w:lineRule="auto"/>
              <w:jc w:val="both"/>
              <w:rPr>
                <w:sz w:val="22"/>
                <w:szCs w:val="22"/>
              </w:rPr>
            </w:pPr>
            <w:r w:rsidRPr="00F23B71">
              <w:rPr>
                <w:sz w:val="22"/>
                <w:szCs w:val="22"/>
              </w:rPr>
              <w:t>2027</w:t>
            </w:r>
          </w:p>
        </w:tc>
      </w:tr>
      <w:tr w:rsidR="00D04BFD" w:rsidRPr="00F23B71" w14:paraId="70644300" w14:textId="77777777" w:rsidTr="0ACAD36F">
        <w:trPr>
          <w:trHeight w:val="300"/>
        </w:trPr>
        <w:tc>
          <w:tcPr>
            <w:tcW w:w="6799" w:type="dxa"/>
          </w:tcPr>
          <w:p w14:paraId="4D7510DB" w14:textId="77777777" w:rsidR="00D04BFD" w:rsidRPr="00F23B71" w:rsidRDefault="00D04BFD">
            <w:pPr>
              <w:spacing w:line="271" w:lineRule="auto"/>
              <w:jc w:val="both"/>
              <w:rPr>
                <w:sz w:val="22"/>
                <w:szCs w:val="22"/>
              </w:rPr>
            </w:pPr>
            <w:r w:rsidRPr="00F23B71">
              <w:rPr>
                <w:sz w:val="22"/>
                <w:szCs w:val="22"/>
              </w:rPr>
              <w:t>Development of mentorship programmes as part of the Teachers’ Agenda</w:t>
            </w:r>
          </w:p>
        </w:tc>
        <w:tc>
          <w:tcPr>
            <w:tcW w:w="2410" w:type="dxa"/>
          </w:tcPr>
          <w:p w14:paraId="1F147F4C" w14:textId="77777777" w:rsidR="00D04BFD" w:rsidRPr="00F23B71" w:rsidRDefault="00D04BFD">
            <w:pPr>
              <w:spacing w:line="271" w:lineRule="auto"/>
              <w:jc w:val="both"/>
              <w:rPr>
                <w:sz w:val="22"/>
                <w:szCs w:val="22"/>
              </w:rPr>
            </w:pPr>
            <w:r w:rsidRPr="00F23B71">
              <w:rPr>
                <w:sz w:val="22"/>
                <w:szCs w:val="22"/>
              </w:rPr>
              <w:t>2026</w:t>
            </w:r>
          </w:p>
        </w:tc>
      </w:tr>
      <w:tr w:rsidR="00D04BFD" w:rsidRPr="00F23B71" w14:paraId="4621B608" w14:textId="77777777" w:rsidTr="0ACAD36F">
        <w:trPr>
          <w:trHeight w:val="300"/>
        </w:trPr>
        <w:tc>
          <w:tcPr>
            <w:tcW w:w="6799" w:type="dxa"/>
          </w:tcPr>
          <w:p w14:paraId="516B4046" w14:textId="77777777" w:rsidR="00D04BFD" w:rsidRPr="00F23B71" w:rsidRDefault="00D04BFD">
            <w:pPr>
              <w:spacing w:line="271" w:lineRule="auto"/>
              <w:jc w:val="both"/>
              <w:rPr>
                <w:sz w:val="22"/>
                <w:szCs w:val="22"/>
              </w:rPr>
            </w:pPr>
            <w:r w:rsidRPr="00F23B71">
              <w:rPr>
                <w:sz w:val="22"/>
                <w:szCs w:val="22"/>
              </w:rPr>
              <w:t>Guidance supporting social inclusion of Roma children</w:t>
            </w:r>
          </w:p>
        </w:tc>
        <w:tc>
          <w:tcPr>
            <w:tcW w:w="2410" w:type="dxa"/>
          </w:tcPr>
          <w:p w14:paraId="1A8D9F37" w14:textId="77777777" w:rsidR="00D04BFD" w:rsidRPr="00F23B71" w:rsidRDefault="00D04BFD">
            <w:pPr>
              <w:spacing w:line="271" w:lineRule="auto"/>
              <w:jc w:val="both"/>
              <w:rPr>
                <w:sz w:val="22"/>
                <w:szCs w:val="22"/>
              </w:rPr>
            </w:pPr>
            <w:r w:rsidRPr="00F23B71">
              <w:rPr>
                <w:sz w:val="22"/>
                <w:szCs w:val="22"/>
              </w:rPr>
              <w:t>2027</w:t>
            </w:r>
          </w:p>
        </w:tc>
      </w:tr>
      <w:tr w:rsidR="00D04BFD" w:rsidRPr="00F23B71" w14:paraId="0782BE26" w14:textId="77777777" w:rsidTr="0ACAD36F">
        <w:trPr>
          <w:trHeight w:val="300"/>
        </w:trPr>
        <w:tc>
          <w:tcPr>
            <w:tcW w:w="6799" w:type="dxa"/>
          </w:tcPr>
          <w:p w14:paraId="16511B76" w14:textId="77777777" w:rsidR="00D04BFD" w:rsidRPr="00F23B71" w:rsidRDefault="00D04BFD">
            <w:pPr>
              <w:spacing w:line="271" w:lineRule="auto"/>
              <w:jc w:val="both"/>
              <w:rPr>
                <w:sz w:val="22"/>
                <w:szCs w:val="22"/>
              </w:rPr>
            </w:pPr>
            <w:r w:rsidRPr="00F23B71">
              <w:rPr>
                <w:sz w:val="22"/>
                <w:szCs w:val="22"/>
              </w:rPr>
              <w:t>Pilot the European Child Guarantee Card</w:t>
            </w:r>
          </w:p>
        </w:tc>
        <w:tc>
          <w:tcPr>
            <w:tcW w:w="2410" w:type="dxa"/>
          </w:tcPr>
          <w:p w14:paraId="40974D71" w14:textId="77777777" w:rsidR="00D04BFD" w:rsidRPr="00F23B71" w:rsidRDefault="00D04BFD">
            <w:pPr>
              <w:spacing w:line="271" w:lineRule="auto"/>
              <w:jc w:val="both"/>
              <w:rPr>
                <w:sz w:val="22"/>
                <w:szCs w:val="22"/>
              </w:rPr>
            </w:pPr>
            <w:r w:rsidRPr="00F23B71">
              <w:rPr>
                <w:sz w:val="22"/>
                <w:szCs w:val="22"/>
              </w:rPr>
              <w:t>2027</w:t>
            </w:r>
          </w:p>
        </w:tc>
      </w:tr>
      <w:tr w:rsidR="00D04BFD" w:rsidRPr="00F23B71" w14:paraId="7D397AE9" w14:textId="77777777" w:rsidTr="0ACAD36F">
        <w:trPr>
          <w:trHeight w:val="300"/>
        </w:trPr>
        <w:tc>
          <w:tcPr>
            <w:tcW w:w="6799" w:type="dxa"/>
          </w:tcPr>
          <w:p w14:paraId="3DC55FF7" w14:textId="77777777" w:rsidR="00D04BFD" w:rsidRPr="00F23B71" w:rsidRDefault="00D04BFD">
            <w:pPr>
              <w:spacing w:line="271" w:lineRule="auto"/>
              <w:jc w:val="both"/>
              <w:rPr>
                <w:sz w:val="22"/>
                <w:szCs w:val="22"/>
              </w:rPr>
            </w:pPr>
            <w:r w:rsidRPr="00F23B71">
              <w:rPr>
                <w:sz w:val="22"/>
                <w:szCs w:val="22"/>
              </w:rPr>
              <w:t>Toolkit on pathways to adulthood for children in need (linking the European Child Guarantee and the Youth Guarantee)</w:t>
            </w:r>
          </w:p>
        </w:tc>
        <w:tc>
          <w:tcPr>
            <w:tcW w:w="2410" w:type="dxa"/>
          </w:tcPr>
          <w:p w14:paraId="57FF6E5B" w14:textId="77777777" w:rsidR="00D04BFD" w:rsidRPr="00F23B71" w:rsidRDefault="00D04BFD">
            <w:pPr>
              <w:spacing w:line="271" w:lineRule="auto"/>
              <w:jc w:val="both"/>
              <w:rPr>
                <w:sz w:val="22"/>
                <w:szCs w:val="22"/>
              </w:rPr>
            </w:pPr>
            <w:r w:rsidRPr="00F23B71">
              <w:rPr>
                <w:sz w:val="22"/>
                <w:szCs w:val="22"/>
              </w:rPr>
              <w:t>2027</w:t>
            </w:r>
          </w:p>
        </w:tc>
      </w:tr>
      <w:tr w:rsidR="00D04BFD" w:rsidRPr="00F23B71" w14:paraId="60CBD3D5" w14:textId="77777777" w:rsidTr="0ACAD36F">
        <w:trPr>
          <w:trHeight w:val="300"/>
        </w:trPr>
        <w:tc>
          <w:tcPr>
            <w:tcW w:w="9209" w:type="dxa"/>
            <w:gridSpan w:val="2"/>
            <w:shd w:val="clear" w:color="auto" w:fill="95DCF7" w:themeFill="accent4" w:themeFillTint="66"/>
          </w:tcPr>
          <w:p w14:paraId="212D4564" w14:textId="77777777" w:rsidR="00D04BFD" w:rsidRPr="00F23B71" w:rsidRDefault="00D04BFD" w:rsidP="00D04BFD">
            <w:pPr>
              <w:pStyle w:val="ListParagraph"/>
              <w:numPr>
                <w:ilvl w:val="0"/>
                <w:numId w:val="1"/>
              </w:numPr>
              <w:contextualSpacing w:val="0"/>
              <w:rPr>
                <w:sz w:val="22"/>
                <w:szCs w:val="22"/>
              </w:rPr>
            </w:pPr>
            <w:r w:rsidRPr="00F23B71">
              <w:rPr>
                <w:sz w:val="22"/>
                <w:szCs w:val="22"/>
              </w:rPr>
              <w:t xml:space="preserve">REINFORCING FUNDING AND GOVERNANCE </w:t>
            </w:r>
          </w:p>
        </w:tc>
      </w:tr>
      <w:tr w:rsidR="00D04BFD" w:rsidRPr="00F23B71" w14:paraId="0CB614D9" w14:textId="77777777" w:rsidTr="005C07FF">
        <w:trPr>
          <w:trHeight w:val="300"/>
        </w:trPr>
        <w:tc>
          <w:tcPr>
            <w:tcW w:w="9209" w:type="dxa"/>
            <w:gridSpan w:val="2"/>
            <w:shd w:val="clear" w:color="auto" w:fill="92D050"/>
          </w:tcPr>
          <w:p w14:paraId="068A8FAA" w14:textId="77777777" w:rsidR="00D04BFD" w:rsidRPr="00F23B71" w:rsidRDefault="00D04BFD">
            <w:pPr>
              <w:spacing w:line="271" w:lineRule="auto"/>
              <w:jc w:val="both"/>
              <w:rPr>
                <w:sz w:val="22"/>
                <w:szCs w:val="22"/>
              </w:rPr>
            </w:pPr>
            <w:r w:rsidRPr="00F23B71">
              <w:rPr>
                <w:sz w:val="22"/>
                <w:szCs w:val="22"/>
              </w:rPr>
              <w:t>Adequate funding for impact</w:t>
            </w:r>
          </w:p>
        </w:tc>
      </w:tr>
      <w:tr w:rsidR="00D04BFD" w:rsidRPr="00F23B71" w14:paraId="15645FA5" w14:textId="77777777" w:rsidTr="0ACAD36F">
        <w:trPr>
          <w:trHeight w:val="300"/>
        </w:trPr>
        <w:tc>
          <w:tcPr>
            <w:tcW w:w="6799" w:type="dxa"/>
          </w:tcPr>
          <w:p w14:paraId="35129E83" w14:textId="77777777" w:rsidR="00D04BFD" w:rsidRPr="00F23B71" w:rsidRDefault="00D04BFD">
            <w:pPr>
              <w:spacing w:line="271" w:lineRule="auto"/>
              <w:jc w:val="both"/>
              <w:rPr>
                <w:sz w:val="22"/>
                <w:szCs w:val="22"/>
              </w:rPr>
            </w:pPr>
            <w:r w:rsidRPr="00F23B71">
              <w:rPr>
                <w:sz w:val="22"/>
                <w:szCs w:val="22"/>
              </w:rPr>
              <w:t>Support the Coalition Against Poverty in mobilising investments from private and philanthropic actors for children at risk of poverty or social exclusion</w:t>
            </w:r>
          </w:p>
        </w:tc>
        <w:tc>
          <w:tcPr>
            <w:tcW w:w="2410" w:type="dxa"/>
          </w:tcPr>
          <w:p w14:paraId="2657E7CD" w14:textId="77777777" w:rsidR="00D04BFD" w:rsidRPr="00F23B71" w:rsidRDefault="00D04BFD">
            <w:pPr>
              <w:spacing w:line="271" w:lineRule="auto"/>
              <w:jc w:val="both"/>
              <w:rPr>
                <w:sz w:val="22"/>
                <w:szCs w:val="22"/>
              </w:rPr>
            </w:pPr>
            <w:r w:rsidRPr="00F23B71">
              <w:rPr>
                <w:sz w:val="22"/>
                <w:szCs w:val="22"/>
              </w:rPr>
              <w:t>Launch in 2026</w:t>
            </w:r>
          </w:p>
        </w:tc>
      </w:tr>
      <w:tr w:rsidR="00D04BFD" w:rsidRPr="00F23B71" w14:paraId="31EE1DDE" w14:textId="77777777" w:rsidTr="0ACAD36F">
        <w:trPr>
          <w:trHeight w:val="300"/>
        </w:trPr>
        <w:tc>
          <w:tcPr>
            <w:tcW w:w="6799" w:type="dxa"/>
          </w:tcPr>
          <w:p w14:paraId="46B5EAF3" w14:textId="77777777" w:rsidR="00D04BFD" w:rsidRPr="00F23B71" w:rsidRDefault="00D04BFD">
            <w:pPr>
              <w:spacing w:line="271" w:lineRule="auto"/>
              <w:jc w:val="both"/>
              <w:rPr>
                <w:sz w:val="22"/>
                <w:szCs w:val="22"/>
              </w:rPr>
            </w:pPr>
            <w:r w:rsidRPr="00F23B71">
              <w:rPr>
                <w:sz w:val="22"/>
                <w:szCs w:val="22"/>
              </w:rPr>
              <w:t>Compendium of good practices to support national and local authorities’ investments in children</w:t>
            </w:r>
          </w:p>
        </w:tc>
        <w:tc>
          <w:tcPr>
            <w:tcW w:w="2410" w:type="dxa"/>
          </w:tcPr>
          <w:p w14:paraId="4C0333FC" w14:textId="77777777" w:rsidR="00D04BFD" w:rsidRPr="00F23B71" w:rsidRDefault="00D04BFD">
            <w:pPr>
              <w:spacing w:line="271" w:lineRule="auto"/>
              <w:jc w:val="both"/>
              <w:rPr>
                <w:sz w:val="22"/>
                <w:szCs w:val="22"/>
              </w:rPr>
            </w:pPr>
            <w:r w:rsidRPr="00F23B71">
              <w:rPr>
                <w:sz w:val="22"/>
                <w:szCs w:val="22"/>
              </w:rPr>
              <w:t>2027</w:t>
            </w:r>
          </w:p>
        </w:tc>
      </w:tr>
      <w:tr w:rsidR="00D04BFD" w:rsidRPr="00F23B71" w14:paraId="759B391D" w14:textId="77777777" w:rsidTr="0ACAD36F">
        <w:trPr>
          <w:trHeight w:val="300"/>
        </w:trPr>
        <w:tc>
          <w:tcPr>
            <w:tcW w:w="9209" w:type="dxa"/>
            <w:gridSpan w:val="2"/>
            <w:shd w:val="clear" w:color="auto" w:fill="92D050"/>
          </w:tcPr>
          <w:p w14:paraId="16FCA6E4" w14:textId="77777777" w:rsidR="00D04BFD" w:rsidRPr="00F23B71" w:rsidRDefault="00D04BFD">
            <w:pPr>
              <w:spacing w:line="271" w:lineRule="auto"/>
              <w:jc w:val="both"/>
              <w:rPr>
                <w:sz w:val="22"/>
                <w:szCs w:val="22"/>
              </w:rPr>
            </w:pPr>
            <w:r w:rsidRPr="00F23B71">
              <w:rPr>
                <w:sz w:val="22"/>
                <w:szCs w:val="22"/>
              </w:rPr>
              <w:t>Strengthened national governance frameworks</w:t>
            </w:r>
          </w:p>
        </w:tc>
      </w:tr>
      <w:tr w:rsidR="00D04BFD" w:rsidRPr="00F23B71" w14:paraId="3D187BAB" w14:textId="77777777" w:rsidTr="0ACAD36F">
        <w:trPr>
          <w:trHeight w:val="300"/>
        </w:trPr>
        <w:tc>
          <w:tcPr>
            <w:tcW w:w="6799" w:type="dxa"/>
          </w:tcPr>
          <w:p w14:paraId="5EEB07E4" w14:textId="77777777" w:rsidR="00D04BFD" w:rsidRPr="00F23B71" w:rsidRDefault="00D04BFD">
            <w:pPr>
              <w:spacing w:line="271" w:lineRule="auto"/>
              <w:jc w:val="both"/>
              <w:rPr>
                <w:sz w:val="22"/>
                <w:szCs w:val="22"/>
              </w:rPr>
            </w:pPr>
            <w:r w:rsidRPr="00F23B71">
              <w:rPr>
                <w:sz w:val="22"/>
                <w:szCs w:val="22"/>
              </w:rPr>
              <w:t>ESF+ call for strengthening European Child Guarantee national governance frameworks and supporting the access to the labour market for Roma NEETs</w:t>
            </w:r>
          </w:p>
        </w:tc>
        <w:tc>
          <w:tcPr>
            <w:tcW w:w="2410" w:type="dxa"/>
          </w:tcPr>
          <w:p w14:paraId="799AA77E" w14:textId="77777777" w:rsidR="00D04BFD" w:rsidRPr="00F23B71" w:rsidRDefault="00D04BFD">
            <w:pPr>
              <w:spacing w:line="271" w:lineRule="auto"/>
              <w:jc w:val="both"/>
              <w:rPr>
                <w:sz w:val="22"/>
                <w:szCs w:val="22"/>
              </w:rPr>
            </w:pPr>
            <w:r w:rsidRPr="00F23B71">
              <w:rPr>
                <w:sz w:val="22"/>
                <w:szCs w:val="22"/>
              </w:rPr>
              <w:t>2026</w:t>
            </w:r>
          </w:p>
        </w:tc>
      </w:tr>
      <w:tr w:rsidR="00D04BFD" w:rsidRPr="00F23B71" w14:paraId="25FCEDCC" w14:textId="77777777" w:rsidTr="0ACAD36F">
        <w:trPr>
          <w:trHeight w:val="300"/>
        </w:trPr>
        <w:tc>
          <w:tcPr>
            <w:tcW w:w="6799" w:type="dxa"/>
          </w:tcPr>
          <w:p w14:paraId="6F4D225D" w14:textId="7A143287" w:rsidR="00D04BFD" w:rsidRPr="00F23B71" w:rsidRDefault="00D04BFD" w:rsidP="00AC53C2">
            <w:pPr>
              <w:spacing w:line="271" w:lineRule="auto"/>
              <w:jc w:val="both"/>
              <w:rPr>
                <w:sz w:val="22"/>
                <w:szCs w:val="22"/>
              </w:rPr>
            </w:pPr>
            <w:r w:rsidRPr="00F23B71">
              <w:rPr>
                <w:sz w:val="22"/>
                <w:szCs w:val="22"/>
              </w:rPr>
              <w:t xml:space="preserve">Conclusion of a cooperation agreement with the European Economic and Social Committee and a Joint Action Plan with the </w:t>
            </w:r>
            <w:r w:rsidR="00D74768">
              <w:rPr>
                <w:sz w:val="22"/>
                <w:szCs w:val="22"/>
              </w:rPr>
              <w:t xml:space="preserve">European </w:t>
            </w:r>
            <w:r w:rsidRPr="00F23B71">
              <w:rPr>
                <w:sz w:val="22"/>
                <w:szCs w:val="22"/>
              </w:rPr>
              <w:t xml:space="preserve">Committee of </w:t>
            </w:r>
            <w:r w:rsidR="00D74768">
              <w:rPr>
                <w:sz w:val="22"/>
                <w:szCs w:val="22"/>
              </w:rPr>
              <w:t xml:space="preserve">the </w:t>
            </w:r>
            <w:r w:rsidRPr="00F23B71">
              <w:rPr>
                <w:sz w:val="22"/>
                <w:szCs w:val="22"/>
              </w:rPr>
              <w:t>Regions on actions supporting fight against child poverty</w:t>
            </w:r>
          </w:p>
        </w:tc>
        <w:tc>
          <w:tcPr>
            <w:tcW w:w="2410" w:type="dxa"/>
          </w:tcPr>
          <w:p w14:paraId="7D2C426B" w14:textId="77777777" w:rsidR="00D04BFD" w:rsidRPr="00F23B71" w:rsidRDefault="00D04BFD" w:rsidP="00AC53C2">
            <w:pPr>
              <w:spacing w:line="271" w:lineRule="auto"/>
              <w:jc w:val="both"/>
              <w:rPr>
                <w:sz w:val="22"/>
                <w:szCs w:val="22"/>
              </w:rPr>
            </w:pPr>
            <w:r w:rsidRPr="00F23B71">
              <w:rPr>
                <w:sz w:val="22"/>
                <w:szCs w:val="22"/>
              </w:rPr>
              <w:t>2026</w:t>
            </w:r>
          </w:p>
        </w:tc>
      </w:tr>
      <w:tr w:rsidR="00D04BFD" w:rsidRPr="00F23B71" w14:paraId="70CB936C" w14:textId="77777777" w:rsidTr="0ACAD36F">
        <w:trPr>
          <w:trHeight w:val="300"/>
        </w:trPr>
        <w:tc>
          <w:tcPr>
            <w:tcW w:w="6799" w:type="dxa"/>
          </w:tcPr>
          <w:p w14:paraId="733B6660" w14:textId="77777777" w:rsidR="00D04BFD" w:rsidRPr="00F23B71" w:rsidRDefault="00D04BFD" w:rsidP="00AC53C2">
            <w:pPr>
              <w:spacing w:line="271" w:lineRule="auto"/>
              <w:jc w:val="both"/>
              <w:rPr>
                <w:sz w:val="22"/>
                <w:szCs w:val="22"/>
              </w:rPr>
            </w:pPr>
            <w:r w:rsidRPr="00F23B71">
              <w:rPr>
                <w:sz w:val="22"/>
                <w:szCs w:val="22"/>
              </w:rPr>
              <w:t>First edition of the EU Social Inclusion Award on children and young people from disadvantaged areas</w:t>
            </w:r>
          </w:p>
        </w:tc>
        <w:tc>
          <w:tcPr>
            <w:tcW w:w="2410" w:type="dxa"/>
          </w:tcPr>
          <w:p w14:paraId="48D364B7" w14:textId="77777777" w:rsidR="00D04BFD" w:rsidRPr="00F23B71" w:rsidRDefault="00D04BFD" w:rsidP="00AC53C2">
            <w:pPr>
              <w:spacing w:line="271" w:lineRule="auto"/>
              <w:jc w:val="both"/>
              <w:rPr>
                <w:sz w:val="22"/>
                <w:szCs w:val="22"/>
              </w:rPr>
            </w:pPr>
            <w:r w:rsidRPr="00F23B71">
              <w:rPr>
                <w:sz w:val="22"/>
                <w:szCs w:val="22"/>
              </w:rPr>
              <w:t>Launch in 2027</w:t>
            </w:r>
          </w:p>
        </w:tc>
      </w:tr>
    </w:tbl>
    <w:p w14:paraId="4CE3995C" w14:textId="77777777" w:rsidR="00D04BFD" w:rsidRDefault="00D04BFD"/>
    <w:p w14:paraId="2525939E" w14:textId="39022E18" w:rsidR="00741B77" w:rsidRDefault="00741B77"/>
    <w:sectPr w:rsidR="00741B77" w:rsidSect="004B1BB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CB341" w14:textId="77777777" w:rsidR="00BD1631" w:rsidRDefault="00BD1631" w:rsidP="00D04BFD">
      <w:pPr>
        <w:spacing w:after="0" w:line="240" w:lineRule="auto"/>
      </w:pPr>
      <w:r>
        <w:separator/>
      </w:r>
    </w:p>
  </w:endnote>
  <w:endnote w:type="continuationSeparator" w:id="0">
    <w:p w14:paraId="0DA2E23D" w14:textId="77777777" w:rsidR="00BD1631" w:rsidRDefault="00BD1631" w:rsidP="00D04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FD049" w14:textId="616A3D85" w:rsidR="00B07B1D" w:rsidRPr="00B07B1D" w:rsidRDefault="00B07B1D" w:rsidP="00B07B1D">
    <w:pPr>
      <w:pStyle w:val="FooterCoverPage"/>
      <w:rPr>
        <w:rFonts w:ascii="Arial" w:hAnsi="Arial" w:cs="Arial"/>
        <w:b/>
        <w:sz w:val="48"/>
      </w:rPr>
    </w:pPr>
    <w:r w:rsidRPr="00B07B1D">
      <w:rPr>
        <w:rFonts w:ascii="Arial" w:hAnsi="Arial" w:cs="Arial"/>
        <w:b/>
        <w:sz w:val="48"/>
      </w:rPr>
      <w:t>EN</w:t>
    </w:r>
    <w:r w:rsidRPr="00B07B1D">
      <w:rPr>
        <w:rFonts w:ascii="Arial" w:hAnsi="Arial" w:cs="Arial"/>
        <w:b/>
        <w:sz w:val="48"/>
      </w:rPr>
      <w:tab/>
    </w:r>
    <w:r w:rsidRPr="00B07B1D">
      <w:rPr>
        <w:rFonts w:ascii="Arial" w:hAnsi="Arial" w:cs="Arial"/>
        <w:b/>
        <w:sz w:val="48"/>
      </w:rPr>
      <w:tab/>
    </w:r>
    <w:r w:rsidRPr="00B07B1D">
      <w:tab/>
    </w:r>
    <w:r w:rsidRPr="00B07B1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DA016" w14:textId="7BED5726" w:rsidR="00B07B1D" w:rsidRPr="00B07B1D" w:rsidRDefault="00B07B1D" w:rsidP="00B07B1D">
    <w:pPr>
      <w:pStyle w:val="FooterCoverPage"/>
      <w:rPr>
        <w:rFonts w:ascii="Arial" w:hAnsi="Arial" w:cs="Arial"/>
        <w:b/>
        <w:sz w:val="48"/>
      </w:rPr>
    </w:pPr>
    <w:r w:rsidRPr="00B07B1D">
      <w:rPr>
        <w:rFonts w:ascii="Arial" w:hAnsi="Arial" w:cs="Arial"/>
        <w:b/>
        <w:sz w:val="48"/>
      </w:rPr>
      <w:t>EN</w:t>
    </w:r>
    <w:r w:rsidRPr="00B07B1D">
      <w:rPr>
        <w:rFonts w:ascii="Arial" w:hAnsi="Arial" w:cs="Arial"/>
        <w:b/>
        <w:sz w:val="48"/>
      </w:rPr>
      <w:tab/>
    </w:r>
    <w:r w:rsidRPr="00B07B1D">
      <w:rPr>
        <w:rFonts w:ascii="Arial" w:hAnsi="Arial" w:cs="Arial"/>
        <w:b/>
        <w:sz w:val="48"/>
      </w:rPr>
      <w:tab/>
    </w:r>
    <w:r w:rsidRPr="00B07B1D">
      <w:tab/>
    </w:r>
    <w:r w:rsidRPr="00B07B1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1F9E" w14:textId="77777777" w:rsidR="00B07B1D" w:rsidRPr="00B07B1D" w:rsidRDefault="00B07B1D" w:rsidP="00B07B1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76AF" w14:textId="77777777" w:rsidR="00D04BFD" w:rsidRDefault="00D04B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039241"/>
      <w:docPartObj>
        <w:docPartGallery w:val="Page Numbers (Bottom of Page)"/>
        <w:docPartUnique/>
      </w:docPartObj>
    </w:sdtPr>
    <w:sdtEndPr>
      <w:rPr>
        <w:rFonts w:ascii="Times New Roman" w:hAnsi="Times New Roman" w:cs="Times New Roman"/>
        <w:noProof/>
      </w:rPr>
    </w:sdtEndPr>
    <w:sdtContent>
      <w:p w14:paraId="44E48ADE" w14:textId="247D5E6D" w:rsidR="004B1BB2" w:rsidRPr="003671F6" w:rsidRDefault="004B1BB2">
        <w:pPr>
          <w:pStyle w:val="Footer"/>
          <w:jc w:val="center"/>
          <w:rPr>
            <w:rFonts w:ascii="Times New Roman" w:hAnsi="Times New Roman" w:cs="Times New Roman"/>
          </w:rPr>
        </w:pPr>
        <w:r w:rsidRPr="003671F6">
          <w:rPr>
            <w:rFonts w:ascii="Times New Roman" w:hAnsi="Times New Roman" w:cs="Times New Roman"/>
          </w:rPr>
          <w:fldChar w:fldCharType="begin"/>
        </w:r>
        <w:r w:rsidRPr="003671F6">
          <w:rPr>
            <w:rFonts w:ascii="Times New Roman" w:hAnsi="Times New Roman" w:cs="Times New Roman"/>
          </w:rPr>
          <w:instrText xml:space="preserve"> PAGE   \* MERGEFORMAT </w:instrText>
        </w:r>
        <w:r w:rsidRPr="003671F6">
          <w:rPr>
            <w:rFonts w:ascii="Times New Roman" w:hAnsi="Times New Roman" w:cs="Times New Roman"/>
          </w:rPr>
          <w:fldChar w:fldCharType="separate"/>
        </w:r>
        <w:r w:rsidRPr="003671F6">
          <w:rPr>
            <w:rFonts w:ascii="Times New Roman" w:hAnsi="Times New Roman" w:cs="Times New Roman"/>
            <w:noProof/>
          </w:rPr>
          <w:t>2</w:t>
        </w:r>
        <w:r w:rsidRPr="003671F6">
          <w:rPr>
            <w:rFonts w:ascii="Times New Roman" w:hAnsi="Times New Roman" w:cs="Times New Roman"/>
            <w:noProof/>
          </w:rPr>
          <w:fldChar w:fldCharType="end"/>
        </w:r>
      </w:p>
    </w:sdtContent>
  </w:sdt>
  <w:p w14:paraId="2E11B5B9" w14:textId="77777777" w:rsidR="00D04BFD" w:rsidRDefault="00D04B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A2592" w14:textId="77777777" w:rsidR="00D04BFD" w:rsidRDefault="00D04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83F37" w14:textId="77777777" w:rsidR="00BD1631" w:rsidRDefault="00BD1631" w:rsidP="00D04BFD">
      <w:pPr>
        <w:spacing w:after="0" w:line="240" w:lineRule="auto"/>
      </w:pPr>
      <w:r>
        <w:separator/>
      </w:r>
    </w:p>
  </w:footnote>
  <w:footnote w:type="continuationSeparator" w:id="0">
    <w:p w14:paraId="5256C3CB" w14:textId="77777777" w:rsidR="00BD1631" w:rsidRDefault="00BD1631" w:rsidP="00D04BFD">
      <w:pPr>
        <w:spacing w:after="0" w:line="240" w:lineRule="auto"/>
      </w:pPr>
      <w:r>
        <w:continuationSeparator/>
      </w:r>
    </w:p>
  </w:footnote>
  <w:footnote w:id="1">
    <w:p w14:paraId="527F3377" w14:textId="1ED6AFD0" w:rsidR="00D04BFD" w:rsidRPr="00F73D69" w:rsidRDefault="00D04BFD" w:rsidP="00860B1C">
      <w:pPr>
        <w:pStyle w:val="FootnoteText"/>
        <w:spacing w:after="60"/>
        <w:ind w:left="284" w:hanging="284"/>
      </w:pPr>
      <w:r w:rsidRPr="00F73D69">
        <w:t>(</w:t>
      </w:r>
      <w:r w:rsidRPr="00F73D69">
        <w:rPr>
          <w:rStyle w:val="FootnoteReference"/>
        </w:rPr>
        <w:footnoteRef/>
      </w:r>
      <w:r w:rsidRPr="00F73D69">
        <w:t xml:space="preserve">) </w:t>
      </w:r>
      <w:hyperlink r:id="rId1" w:history="1">
        <w:r w:rsidRPr="00F73D69">
          <w:rPr>
            <w:rStyle w:val="Hyperlink"/>
          </w:rPr>
          <w:t>In 2025, 19.3 million children were at risk of poverty or social exclusion, representing 24.3% of children. Since 2019, the number of children facing such risk remained broadly stable</w:t>
        </w:r>
      </w:hyperlink>
      <w:r w:rsidRPr="00F73D69">
        <w:t xml:space="preserve">. </w:t>
      </w:r>
      <w:hyperlink r:id="rId2" w:history="1">
        <w:r w:rsidRPr="00F73D69">
          <w:rPr>
            <w:rStyle w:val="Hyperlink"/>
          </w:rPr>
          <w:t>The European Pillar of Social Rights Action Plan</w:t>
        </w:r>
      </w:hyperlink>
      <w:r w:rsidRPr="00F73D69">
        <w:t xml:space="preserve"> set the target to reduce </w:t>
      </w:r>
      <w:r w:rsidR="00BC0EC4">
        <w:t>by</w:t>
      </w:r>
      <w:r w:rsidRPr="00F73D69">
        <w:t xml:space="preserve"> at least 15 million the number of people at risk of poverty or social exclusion. </w:t>
      </w:r>
    </w:p>
  </w:footnote>
  <w:footnote w:id="2">
    <w:p w14:paraId="74E63C49" w14:textId="2A249602" w:rsidR="00D04BFD" w:rsidRPr="00F52F43" w:rsidRDefault="00D04BFD" w:rsidP="00860B1C">
      <w:pPr>
        <w:pStyle w:val="FootnoteText"/>
        <w:spacing w:after="60"/>
        <w:rPr>
          <w:b/>
        </w:rPr>
      </w:pPr>
      <w:r w:rsidRPr="00F73D69">
        <w:t>(</w:t>
      </w:r>
      <w:r w:rsidRPr="00F73D69">
        <w:rPr>
          <w:rStyle w:val="FootnoteReference"/>
        </w:rPr>
        <w:footnoteRef/>
      </w:r>
      <w:r w:rsidRPr="00F73D69">
        <w:t xml:space="preserve">) </w:t>
      </w:r>
      <w:hyperlink r:id="rId3" w:history="1">
        <w:r w:rsidRPr="00F73D69">
          <w:rPr>
            <w:rStyle w:val="Hyperlink"/>
          </w:rPr>
          <w:t>Intergenerational transmission of disadvantages - statistics</w:t>
        </w:r>
      </w:hyperlink>
      <w:r w:rsidRPr="00F73D69">
        <w:t>.</w:t>
      </w:r>
    </w:p>
  </w:footnote>
  <w:footnote w:id="3">
    <w:p w14:paraId="3FA3B77A" w14:textId="77777777" w:rsidR="00D04BFD" w:rsidRPr="00F73D69" w:rsidRDefault="00D04BFD" w:rsidP="00860B1C">
      <w:pPr>
        <w:pStyle w:val="FootnoteText"/>
        <w:spacing w:after="60"/>
        <w:ind w:left="284" w:hanging="284"/>
      </w:pPr>
      <w:r w:rsidRPr="00F73D69">
        <w:t>(</w:t>
      </w:r>
      <w:r w:rsidRPr="00F73D69">
        <w:rPr>
          <w:rStyle w:val="FootnoteReference"/>
        </w:rPr>
        <w:footnoteRef/>
      </w:r>
      <w:r w:rsidRPr="00F73D69">
        <w:t xml:space="preserve">) For example, </w:t>
      </w:r>
      <w:r w:rsidRPr="00F52F43">
        <w:t>food banks across the EU, once seen as emergency responders, are experiencing unprecedented demand, and becoming regular sources of support for an increasing number of working families. They report a surge in new users, including people who have never previously needed help and young adults.</w:t>
      </w:r>
      <w:r w:rsidRPr="00F73D69">
        <w:t xml:space="preserve"> </w:t>
      </w:r>
    </w:p>
  </w:footnote>
  <w:footnote w:id="4">
    <w:p w14:paraId="06C2A003" w14:textId="0D31C498" w:rsidR="00D04BFD" w:rsidRPr="00F73D69" w:rsidRDefault="00D04BFD" w:rsidP="00860B1C">
      <w:pPr>
        <w:pStyle w:val="FootnoteText"/>
        <w:spacing w:after="60"/>
      </w:pPr>
      <w:r w:rsidRPr="00F73D69">
        <w:t>(</w:t>
      </w:r>
      <w:r w:rsidRPr="00F73D69">
        <w:rPr>
          <w:rStyle w:val="FootnoteReference"/>
        </w:rPr>
        <w:footnoteRef/>
      </w:r>
      <w:r w:rsidRPr="00F73D69">
        <w:t>)</w:t>
      </w:r>
      <w:r w:rsidR="00860B1C">
        <w:t xml:space="preserve"> </w:t>
      </w:r>
      <w:hyperlink r:id="rId4" w:history="1">
        <w:r w:rsidRPr="00F73D69">
          <w:rPr>
            <w:rStyle w:val="Hyperlink"/>
          </w:rPr>
          <w:t>The economic costs of childhood socio</w:t>
        </w:r>
        <w:r w:rsidRPr="00F73D69">
          <w:rPr>
            <w:rStyle w:val="Hyperlink"/>
          </w:rPr>
          <w:noBreakHyphen/>
          <w:t>economic disadvantage in European OECD countries | OECD</w:t>
        </w:r>
      </w:hyperlink>
      <w:r w:rsidRPr="00F73D69">
        <w:t>.</w:t>
      </w:r>
    </w:p>
  </w:footnote>
  <w:footnote w:id="5">
    <w:p w14:paraId="73813AA6" w14:textId="77777777" w:rsidR="00D04BFD" w:rsidRPr="00F73D69" w:rsidRDefault="00D04BFD" w:rsidP="00860B1C">
      <w:pPr>
        <w:pStyle w:val="FootnoteText"/>
        <w:spacing w:after="60"/>
      </w:pPr>
      <w:r w:rsidRPr="00F73D69">
        <w:t>(</w:t>
      </w:r>
      <w:r w:rsidRPr="00F73D69">
        <w:rPr>
          <w:rStyle w:val="FootnoteReference"/>
        </w:rPr>
        <w:footnoteRef/>
      </w:r>
      <w:r w:rsidRPr="00F73D69">
        <w:t>) Staff Working Document accompanying this Communication – SWD (2026) 772.</w:t>
      </w:r>
    </w:p>
  </w:footnote>
  <w:footnote w:id="6">
    <w:p w14:paraId="3FB3EEE9" w14:textId="09A314A2" w:rsidR="00D04BFD" w:rsidRPr="00F52F43" w:rsidRDefault="00D04BFD" w:rsidP="00860B1C">
      <w:pPr>
        <w:pStyle w:val="FootnoteText"/>
        <w:spacing w:after="60"/>
        <w:ind w:left="284" w:hanging="284"/>
      </w:pPr>
      <w:r w:rsidRPr="00F73D69">
        <w:t>(</w:t>
      </w:r>
      <w:r w:rsidRPr="00F73D69">
        <w:rPr>
          <w:rStyle w:val="FootnoteReference"/>
        </w:rPr>
        <w:footnoteRef/>
      </w:r>
      <w:r w:rsidRPr="00F73D69">
        <w:t xml:space="preserve">) </w:t>
      </w:r>
      <w:r w:rsidRPr="00F52F43">
        <w:t xml:space="preserve">The objective of the </w:t>
      </w:r>
      <w:hyperlink r:id="rId5" w:history="1">
        <w:r w:rsidRPr="00F73D69">
          <w:rPr>
            <w:rStyle w:val="Hyperlink"/>
          </w:rPr>
          <w:t>European Child Guarantee</w:t>
        </w:r>
      </w:hyperlink>
      <w:r w:rsidRPr="00F52F43">
        <w:t xml:space="preserve"> is to prevent and combat social exclusion by guaranteeing effective access of children in </w:t>
      </w:r>
      <w:r w:rsidRPr="00F73D69">
        <w:rPr>
          <w:lang w:val="en-IE"/>
        </w:rPr>
        <w:t xml:space="preserve">need to a </w:t>
      </w:r>
      <w:r w:rsidRPr="00F52F43">
        <w:t xml:space="preserve">set of key services: free early childhood education and care; free education (including school-based activities and at least one healthy meal each school day); free healthcare; healthy nutrition; adequate housing. </w:t>
      </w:r>
    </w:p>
    <w:p w14:paraId="74E13D2E" w14:textId="77777777" w:rsidR="00D04BFD" w:rsidRPr="00EE2E46" w:rsidRDefault="00D04BFD" w:rsidP="00860B1C">
      <w:pPr>
        <w:pStyle w:val="FootnoteText"/>
        <w:spacing w:after="60"/>
      </w:pPr>
    </w:p>
  </w:footnote>
  <w:footnote w:id="7">
    <w:p w14:paraId="7FF4F40F" w14:textId="77777777" w:rsidR="00D04BFD" w:rsidRPr="00F52F43" w:rsidRDefault="00D04BFD" w:rsidP="00860B1C">
      <w:pPr>
        <w:pStyle w:val="FootnoteText"/>
        <w:spacing w:after="60"/>
      </w:pPr>
      <w:r w:rsidRPr="00EE2E46">
        <w:t>(</w:t>
      </w:r>
      <w:r w:rsidRPr="00EE2E46">
        <w:rPr>
          <w:rStyle w:val="FootnoteReference"/>
        </w:rPr>
        <w:footnoteRef/>
      </w:r>
      <w:r w:rsidRPr="00EE2E46">
        <w:t>) Staff Working Document accompanying this Communication – SWD (2026) 772.</w:t>
      </w:r>
    </w:p>
  </w:footnote>
  <w:footnote w:id="8">
    <w:p w14:paraId="7343E872" w14:textId="77777777" w:rsidR="00D04BFD" w:rsidRPr="00EE2E46" w:rsidRDefault="00D04BFD" w:rsidP="00860B1C">
      <w:pPr>
        <w:pStyle w:val="FootnoteText"/>
        <w:spacing w:after="60"/>
        <w:ind w:left="284" w:hanging="284"/>
      </w:pPr>
      <w:r w:rsidRPr="00EE2E46">
        <w:t>(</w:t>
      </w:r>
      <w:r w:rsidRPr="00EE2E46">
        <w:rPr>
          <w:rStyle w:val="FootnoteReference"/>
        </w:rPr>
        <w:footnoteRef/>
      </w:r>
      <w:r w:rsidRPr="00EE2E46">
        <w:t xml:space="preserve">)  </w:t>
      </w:r>
      <w:r w:rsidRPr="00F73D69">
        <w:t xml:space="preserve">Communication from the Commission to the European Parliament, the Council, the European Economic </w:t>
      </w:r>
      <w:r w:rsidRPr="00EE2E46">
        <w:t>a</w:t>
      </w:r>
      <w:r w:rsidRPr="00F73D69">
        <w:t xml:space="preserve">nd Social Committee and the Committee of the Regions </w:t>
      </w:r>
      <w:r w:rsidRPr="00EE2E46">
        <w:t>on the European Union's Anti-Poverty Strategy – COM (2026) 538</w:t>
      </w:r>
      <w:r>
        <w:t>.</w:t>
      </w:r>
    </w:p>
  </w:footnote>
  <w:footnote w:id="9">
    <w:p w14:paraId="0F394724" w14:textId="77777777" w:rsidR="00D04BFD" w:rsidRPr="00EE2E46" w:rsidRDefault="00D04BFD" w:rsidP="00860B1C">
      <w:pPr>
        <w:pStyle w:val="FootnoteText"/>
        <w:spacing w:after="60"/>
      </w:pPr>
      <w:r w:rsidRPr="00EE2E46">
        <w:t>(</w:t>
      </w:r>
      <w:r w:rsidRPr="00EE2E46">
        <w:rPr>
          <w:rStyle w:val="FootnoteReference"/>
        </w:rPr>
        <w:footnoteRef/>
      </w:r>
      <w:r w:rsidRPr="00EE2E46">
        <w:t xml:space="preserve">) Proposal for a </w:t>
      </w:r>
      <w:r w:rsidRPr="00F73D69">
        <w:t xml:space="preserve">Council Recommendation </w:t>
      </w:r>
      <w:r w:rsidRPr="00EE2E46">
        <w:t>on fighting housing exclusion – COM(2026) 540</w:t>
      </w:r>
      <w:r>
        <w:t>.</w:t>
      </w:r>
    </w:p>
  </w:footnote>
  <w:footnote w:id="10">
    <w:p w14:paraId="236AEEF2" w14:textId="377F6772" w:rsidR="00D04BFD" w:rsidRPr="00EE2E46" w:rsidRDefault="00D04BFD" w:rsidP="00860B1C">
      <w:pPr>
        <w:pStyle w:val="FootnoteText"/>
        <w:spacing w:after="60"/>
      </w:pPr>
      <w:r w:rsidRPr="00EE2E46">
        <w:t>(</w:t>
      </w:r>
      <w:r w:rsidRPr="00EE2E46">
        <w:rPr>
          <w:rStyle w:val="FootnoteReference"/>
        </w:rPr>
        <w:footnoteRef/>
      </w:r>
      <w:r w:rsidRPr="00EE2E46">
        <w:t xml:space="preserve">) </w:t>
      </w:r>
      <w:hyperlink r:id="rId6" w:history="1">
        <w:r w:rsidRPr="00F73D69">
          <w:rPr>
            <w:rStyle w:val="Hyperlink"/>
          </w:rPr>
          <w:t>EU 2030 national targets</w:t>
        </w:r>
      </w:hyperlink>
      <w:r w:rsidRPr="00F73D69">
        <w:t>.</w:t>
      </w:r>
    </w:p>
  </w:footnote>
  <w:footnote w:id="11">
    <w:p w14:paraId="585D7C99" w14:textId="13DD237A" w:rsidR="00D04BFD" w:rsidRPr="00EE2E46" w:rsidRDefault="00D04BFD" w:rsidP="00860B1C">
      <w:pPr>
        <w:pStyle w:val="FootnoteText"/>
        <w:spacing w:after="60"/>
      </w:pPr>
      <w:r w:rsidRPr="00EE2E46">
        <w:t>(</w:t>
      </w:r>
      <w:r w:rsidRPr="00EE2E46">
        <w:rPr>
          <w:rStyle w:val="FootnoteReference"/>
        </w:rPr>
        <w:footnoteRef/>
      </w:r>
      <w:r w:rsidRPr="00EE2E46">
        <w:t>)</w:t>
      </w:r>
      <w:r w:rsidR="00BC0EC4">
        <w:t xml:space="preserve"> </w:t>
      </w:r>
      <w:hyperlink r:id="rId7" w:history="1">
        <w:r w:rsidRPr="00F73D69">
          <w:rPr>
            <w:rStyle w:val="Hyperlink"/>
          </w:rPr>
          <w:t>JRC Publications Repository - Reducing AROPE in the EU: combining minimum income, minimum wages, and employment expansion</w:t>
        </w:r>
      </w:hyperlink>
      <w:r w:rsidRPr="00EE2E46">
        <w:rPr>
          <w:rFonts w:eastAsiaTheme="minorHAnsi"/>
        </w:rPr>
        <w:t>.</w:t>
      </w:r>
    </w:p>
  </w:footnote>
  <w:footnote w:id="12">
    <w:p w14:paraId="1581ECC0" w14:textId="39FBAD6C" w:rsidR="00D04BFD" w:rsidRPr="00EE2E46" w:rsidRDefault="00D04BFD" w:rsidP="00860B1C">
      <w:pPr>
        <w:pStyle w:val="FootnoteText"/>
        <w:spacing w:after="60"/>
      </w:pPr>
      <w:r w:rsidRPr="00EE2E46">
        <w:t>(</w:t>
      </w:r>
      <w:r w:rsidRPr="00EE2E46">
        <w:rPr>
          <w:rStyle w:val="FootnoteReference"/>
        </w:rPr>
        <w:footnoteRef/>
      </w:r>
      <w:r w:rsidRPr="00EE2E46">
        <w:t xml:space="preserve">) </w:t>
      </w:r>
      <w:hyperlink r:id="rId8" w:history="1">
        <w:r w:rsidRPr="00F73D69">
          <w:rPr>
            <w:rStyle w:val="Hyperlink"/>
          </w:rPr>
          <w:t>Directive (EU) 2019/1158 of the European Parliament and of the Council of 20 June 2019 on work-life balance for parents and carers</w:t>
        </w:r>
      </w:hyperlink>
      <w:r w:rsidRPr="00F73D69">
        <w:t>.</w:t>
      </w:r>
    </w:p>
  </w:footnote>
  <w:footnote w:id="13">
    <w:p w14:paraId="34643C32" w14:textId="6B3FBAB5" w:rsidR="00D04BFD" w:rsidRPr="00EE2E46" w:rsidRDefault="00D04BFD" w:rsidP="00860B1C">
      <w:pPr>
        <w:pStyle w:val="FootnoteText"/>
        <w:spacing w:after="60"/>
      </w:pPr>
      <w:r w:rsidRPr="00EE2E46">
        <w:t>(</w:t>
      </w:r>
      <w:r w:rsidRPr="00EE2E46">
        <w:rPr>
          <w:rStyle w:val="FootnoteReference"/>
        </w:rPr>
        <w:footnoteRef/>
      </w:r>
      <w:r w:rsidRPr="00EE2E46">
        <w:t xml:space="preserve">) </w:t>
      </w:r>
      <w:hyperlink r:id="rId9" w:history="1">
        <w:r w:rsidRPr="00F73D69">
          <w:rPr>
            <w:rStyle w:val="Hyperlink"/>
          </w:rPr>
          <w:t>Employment and social developments in Europe 2025 - Publications Office of the EU</w:t>
        </w:r>
      </w:hyperlink>
      <w:r w:rsidRPr="00EE2E46">
        <w:t>.</w:t>
      </w:r>
    </w:p>
  </w:footnote>
  <w:footnote w:id="14">
    <w:p w14:paraId="046617B8" w14:textId="390D6A6C" w:rsidR="00D04BFD" w:rsidRPr="00EE2E46" w:rsidRDefault="00D04BFD" w:rsidP="00860B1C">
      <w:pPr>
        <w:pStyle w:val="FootnoteText"/>
        <w:spacing w:after="60"/>
      </w:pPr>
      <w:r w:rsidRPr="00EE2E46">
        <w:t>(</w:t>
      </w:r>
      <w:r w:rsidRPr="00EE2E46">
        <w:rPr>
          <w:rStyle w:val="FootnoteReference"/>
        </w:rPr>
        <w:footnoteRef/>
      </w:r>
      <w:r w:rsidRPr="00EE2E46">
        <w:t xml:space="preserve">) </w:t>
      </w:r>
      <w:hyperlink r:id="rId10" w:history="1">
        <w:r w:rsidRPr="00F73D69">
          <w:rPr>
            <w:rStyle w:val="Hyperlink"/>
          </w:rPr>
          <w:t>JRC Publications Repository - The impact of alternative childcare policies on mothers' employment for selected EU countries</w:t>
        </w:r>
      </w:hyperlink>
      <w:r w:rsidRPr="00EE2E46">
        <w:t>.</w:t>
      </w:r>
    </w:p>
  </w:footnote>
  <w:footnote w:id="15">
    <w:p w14:paraId="5BA8A13E" w14:textId="34C31A76" w:rsidR="00D04BFD" w:rsidRPr="00EE2E46" w:rsidRDefault="00D04BFD" w:rsidP="00860B1C">
      <w:pPr>
        <w:pStyle w:val="FootnoteText"/>
        <w:spacing w:after="60"/>
        <w:ind w:left="284" w:hanging="284"/>
        <w:rPr>
          <w:color w:val="000000" w:themeColor="text1"/>
        </w:rPr>
      </w:pPr>
      <w:r w:rsidRPr="00EE2E46">
        <w:t>(</w:t>
      </w:r>
      <w:r w:rsidRPr="00EE2E46">
        <w:rPr>
          <w:rStyle w:val="FootnoteReference"/>
        </w:rPr>
        <w:footnoteRef/>
      </w:r>
      <w:r w:rsidRPr="00EE2E46">
        <w:t>) The target established in the European Education Area aims for at least 96 % of children aged between 3 and the compulsory primary school age to participate in ECEC by 2030. The 2022 Council Recommendation on the revised Barcelona targets for 2030 added that at least 45 % of children below the age of three should attend ECEC by 2030 (with derogations for Member States with particularly low participation rates) and that there should be no participation gap in ECEC between children at risk of poverty or social exclusion and the overall population of children.</w:t>
      </w:r>
    </w:p>
  </w:footnote>
  <w:footnote w:id="16">
    <w:p w14:paraId="6F3EB896" w14:textId="77777777" w:rsidR="00D04BFD" w:rsidRPr="00E36148" w:rsidRDefault="00D04BFD" w:rsidP="00860B1C">
      <w:pPr>
        <w:spacing w:after="60" w:line="240" w:lineRule="auto"/>
        <w:ind w:left="284" w:hanging="284"/>
        <w:jc w:val="both"/>
        <w:rPr>
          <w:sz w:val="20"/>
          <w:szCs w:val="20"/>
        </w:rPr>
      </w:pPr>
      <w:r w:rsidRPr="00BC0EC4">
        <w:rPr>
          <w:rFonts w:ascii="Times New Roman" w:eastAsia="Times New Roman" w:hAnsi="Times New Roman" w:cs="Times New Roman"/>
          <w:kern w:val="0"/>
          <w:sz w:val="20"/>
          <w:szCs w:val="20"/>
          <w:lang w:val="en-GB" w:eastAsia="en-IE"/>
          <w14:ligatures w14:val="none"/>
        </w:rPr>
        <w:t>(</w:t>
      </w:r>
      <w:r w:rsidRPr="00BC0EC4">
        <w:rPr>
          <w:rFonts w:ascii="Times New Roman" w:eastAsia="Times New Roman" w:hAnsi="Times New Roman" w:cs="Times New Roman"/>
          <w:kern w:val="0"/>
          <w:vertAlign w:val="superscript"/>
          <w:lang w:val="en-GB" w:eastAsia="en-IE"/>
          <w14:ligatures w14:val="none"/>
        </w:rPr>
        <w:footnoteRef/>
      </w:r>
      <w:r w:rsidRPr="00BC0EC4">
        <w:rPr>
          <w:rFonts w:ascii="Times New Roman" w:eastAsia="Times New Roman" w:hAnsi="Times New Roman" w:cs="Times New Roman"/>
          <w:kern w:val="0"/>
          <w:sz w:val="20"/>
          <w:szCs w:val="20"/>
          <w:lang w:val="en-GB" w:eastAsia="en-IE"/>
          <w14:ligatures w14:val="none"/>
        </w:rPr>
        <w:t>) Denmark, Estonia, Finland, Germany, Slovenia, and Sweden according to European Commission: European Education and Culture Executive Agency, Motiejūnaitė-Schulmeister, A., De Coster, I. and Noorani, S., Key data on early childhood education and care in Europe 2025 – Eurydice report, Birch, P.(editor), Publications Office of the European Union, 2025.</w:t>
      </w:r>
    </w:p>
  </w:footnote>
  <w:footnote w:id="17">
    <w:p w14:paraId="543C565D" w14:textId="1E612862" w:rsidR="00D04BFD" w:rsidRPr="00F52F43" w:rsidRDefault="00D04BFD" w:rsidP="00860B1C">
      <w:pPr>
        <w:pStyle w:val="FootnoteText"/>
        <w:spacing w:after="60"/>
      </w:pPr>
      <w:r w:rsidRPr="00EE2E46">
        <w:t>(</w:t>
      </w:r>
      <w:r w:rsidRPr="00EE2E46">
        <w:rPr>
          <w:rStyle w:val="FootnoteReference"/>
        </w:rPr>
        <w:footnoteRef/>
      </w:r>
      <w:r w:rsidRPr="00EE2E46">
        <w:t>)</w:t>
      </w:r>
      <w:r w:rsidR="001F22A0">
        <w:t xml:space="preserve"> </w:t>
      </w:r>
      <w:r w:rsidRPr="00EE2E46">
        <w:t>Staff Working Document accompanying this Communication – SWD (2026) 772</w:t>
      </w:r>
      <w:r w:rsidRPr="00F52F43">
        <w:t>.</w:t>
      </w:r>
    </w:p>
  </w:footnote>
  <w:footnote w:id="18">
    <w:p w14:paraId="29CA2200" w14:textId="10570CB9" w:rsidR="00D04BFD" w:rsidRPr="00EE2E46" w:rsidRDefault="00D04BFD" w:rsidP="00860B1C">
      <w:pPr>
        <w:pStyle w:val="FootnoteText"/>
        <w:spacing w:after="60"/>
      </w:pPr>
      <w:r w:rsidRPr="00EE2E46">
        <w:t>(</w:t>
      </w:r>
      <w:r w:rsidRPr="00EE2E46">
        <w:rPr>
          <w:rStyle w:val="FootnoteReference"/>
        </w:rPr>
        <w:footnoteRef/>
      </w:r>
      <w:r w:rsidRPr="00EE2E46">
        <w:t>)</w:t>
      </w:r>
      <w:r w:rsidR="001F22A0">
        <w:t xml:space="preserve"> </w:t>
      </w:r>
      <w:hyperlink r:id="rId11" w:history="1">
        <w:r w:rsidRPr="00EE2E46">
          <w:rPr>
            <w:rStyle w:val="Hyperlink"/>
          </w:rPr>
          <w:t>Horizon call “</w:t>
        </w:r>
        <w:r w:rsidRPr="00F73D69">
          <w:rPr>
            <w:rStyle w:val="Hyperlink"/>
          </w:rPr>
          <w:t>Tackling child poverty and ensuring disadvantaged children's access to Early Childhood Education and Care</w:t>
        </w:r>
      </w:hyperlink>
      <w:r w:rsidRPr="00F73D69">
        <w:t xml:space="preserve">”. </w:t>
      </w:r>
    </w:p>
  </w:footnote>
  <w:footnote w:id="19">
    <w:p w14:paraId="3E474303" w14:textId="5C2BFC7C" w:rsidR="00D04BFD" w:rsidRPr="00EE2E46" w:rsidRDefault="00D04BFD" w:rsidP="00860B1C">
      <w:pPr>
        <w:pStyle w:val="FootnoteText"/>
        <w:spacing w:after="60"/>
      </w:pPr>
      <w:r w:rsidRPr="00EE2E46">
        <w:t>(</w:t>
      </w:r>
      <w:r w:rsidRPr="00EE2E46">
        <w:rPr>
          <w:rStyle w:val="FootnoteReference"/>
        </w:rPr>
        <w:footnoteRef/>
      </w:r>
      <w:r w:rsidRPr="00EE2E46">
        <w:t xml:space="preserve">) </w:t>
      </w:r>
      <w:hyperlink r:id="rId12" w:history="1">
        <w:r w:rsidRPr="00EE2E46">
          <w:rPr>
            <w:rStyle w:val="Hyperlink"/>
          </w:rPr>
          <w:t>https://schoolmealscoalition.org/</w:t>
        </w:r>
      </w:hyperlink>
      <w:r w:rsidRPr="00EE2E46">
        <w:t>.</w:t>
      </w:r>
    </w:p>
  </w:footnote>
  <w:footnote w:id="20">
    <w:p w14:paraId="4EE2A919" w14:textId="712D316A" w:rsidR="00D04BFD" w:rsidRPr="00EE2E46" w:rsidRDefault="00D04BFD" w:rsidP="00860B1C">
      <w:pPr>
        <w:pStyle w:val="FootnoteText"/>
        <w:spacing w:after="60"/>
      </w:pPr>
      <w:r w:rsidRPr="00EE2E46">
        <w:t>(</w:t>
      </w:r>
      <w:r w:rsidRPr="00EE2E46">
        <w:rPr>
          <w:rStyle w:val="FootnoteReference"/>
        </w:rPr>
        <w:footnoteRef/>
      </w:r>
      <w:r w:rsidRPr="00EE2E46">
        <w:t xml:space="preserve">) </w:t>
      </w:r>
      <w:hyperlink r:id="rId13" w:history="1">
        <w:r w:rsidRPr="00F73D69">
          <w:rPr>
            <w:rStyle w:val="Hyperlink"/>
          </w:rPr>
          <w:t>ECG monitoring framework</w:t>
        </w:r>
      </w:hyperlink>
      <w:r w:rsidRPr="00F73D69">
        <w:t>.</w:t>
      </w:r>
    </w:p>
  </w:footnote>
  <w:footnote w:id="21">
    <w:p w14:paraId="687E0A35" w14:textId="551E7337" w:rsidR="00D04BFD" w:rsidRPr="00EE2E46" w:rsidRDefault="00D04BFD" w:rsidP="00860B1C">
      <w:pPr>
        <w:pStyle w:val="FootnoteText"/>
        <w:spacing w:after="60"/>
      </w:pPr>
      <w:r w:rsidRPr="00EE2E46">
        <w:t>(</w:t>
      </w:r>
      <w:r w:rsidRPr="00EE2E46">
        <w:rPr>
          <w:rStyle w:val="FootnoteReference"/>
        </w:rPr>
        <w:footnoteRef/>
      </w:r>
      <w:r w:rsidRPr="00EE2E46">
        <w:t xml:space="preserve">) </w:t>
      </w:r>
      <w:hyperlink r:id="rId14" w:history="1">
        <w:r w:rsidRPr="00F73D69">
          <w:rPr>
            <w:rStyle w:val="Hyperlink"/>
          </w:rPr>
          <w:t>Children's Voices on Poverty and Social Inclusion</w:t>
        </w:r>
      </w:hyperlink>
      <w:r w:rsidRPr="00F73D69">
        <w:t>.</w:t>
      </w:r>
    </w:p>
  </w:footnote>
  <w:footnote w:id="22">
    <w:p w14:paraId="465A8332" w14:textId="08706A42" w:rsidR="00D04BFD" w:rsidRPr="00EE2E46" w:rsidRDefault="00D04BFD" w:rsidP="00860B1C">
      <w:pPr>
        <w:pStyle w:val="FootnoteText"/>
        <w:spacing w:after="60"/>
      </w:pPr>
      <w:r w:rsidRPr="00EE2E46">
        <w:t>(</w:t>
      </w:r>
      <w:r w:rsidRPr="00EE2E46">
        <w:rPr>
          <w:rStyle w:val="FootnoteReference"/>
        </w:rPr>
        <w:footnoteRef/>
      </w:r>
      <w:r w:rsidRPr="00EE2E46">
        <w:t>) According to some estimates, as many as</w:t>
      </w:r>
      <w:r w:rsidRPr="00EE2E46">
        <w:rPr>
          <w:color w:val="000000" w:themeColor="text1"/>
        </w:rPr>
        <w:t xml:space="preserve"> one third of families and children (and even more in some other instances) do not take up essential support such as childcare, educational assistance, healthcare services and income support they are entitled to. Accompanying </w:t>
      </w:r>
      <w:r w:rsidRPr="00F73D69">
        <w:t>SWD (2026) 772</w:t>
      </w:r>
      <w:r w:rsidRPr="00EE2E46">
        <w:t>.</w:t>
      </w:r>
    </w:p>
  </w:footnote>
  <w:footnote w:id="23">
    <w:p w14:paraId="2C64794B" w14:textId="4AE973B0" w:rsidR="00E36148" w:rsidRPr="00E36148" w:rsidRDefault="00E36148" w:rsidP="00860B1C">
      <w:pPr>
        <w:pStyle w:val="FootnoteText"/>
        <w:spacing w:after="60"/>
      </w:pPr>
      <w:r>
        <w:t>(</w:t>
      </w:r>
      <w:r>
        <w:rPr>
          <w:rStyle w:val="FootnoteReference"/>
        </w:rPr>
        <w:footnoteRef/>
      </w:r>
      <w:r>
        <w:t>) Member States will test the card on a voluntary basis.</w:t>
      </w:r>
    </w:p>
  </w:footnote>
  <w:footnote w:id="24">
    <w:p w14:paraId="1967FD3E" w14:textId="78682FB2" w:rsidR="00D04BFD" w:rsidRPr="00EE2E46" w:rsidRDefault="00E36148" w:rsidP="00860B1C">
      <w:pPr>
        <w:pStyle w:val="FootnoteText"/>
        <w:spacing w:after="60"/>
      </w:pPr>
      <w:r>
        <w:t>(</w:t>
      </w:r>
      <w:r w:rsidR="00D04BFD" w:rsidRPr="00EE2E46">
        <w:rPr>
          <w:rStyle w:val="FootnoteReference"/>
        </w:rPr>
        <w:footnoteRef/>
      </w:r>
      <w:r>
        <w:t>)</w:t>
      </w:r>
      <w:r w:rsidR="00D04BFD" w:rsidRPr="00EE2E46">
        <w:t xml:space="preserve"> </w:t>
      </w:r>
      <w:hyperlink r:id="rId15" w:history="1">
        <w:r w:rsidR="00D04BFD" w:rsidRPr="00EE2E46">
          <w:rPr>
            <w:rStyle w:val="Hyperlink"/>
          </w:rPr>
          <w:t xml:space="preserve">Communication from the Commission to the European Parliament, the Council, the European Economic and Social Committee and the Committee of the Regions ProtectEU: Agenda to prevent and counter terrorism </w:t>
        </w:r>
        <w:r w:rsidR="00D04BFD">
          <w:rPr>
            <w:rStyle w:val="Hyperlink"/>
          </w:rPr>
          <w:t>-</w:t>
        </w:r>
        <w:r w:rsidR="00D04BFD" w:rsidRPr="00EE2E46">
          <w:rPr>
            <w:rStyle w:val="Hyperlink"/>
          </w:rPr>
          <w:t>COM/2026/101 final</w:t>
        </w:r>
      </w:hyperlink>
      <w:r w:rsidR="00D04BFD" w:rsidRPr="00EE2E46">
        <w:t>.</w:t>
      </w:r>
    </w:p>
  </w:footnote>
  <w:footnote w:id="25">
    <w:p w14:paraId="456AF277" w14:textId="0C34E41E" w:rsidR="00D04BFD" w:rsidRPr="00EE2E46" w:rsidRDefault="00E36148" w:rsidP="00860B1C">
      <w:pPr>
        <w:pStyle w:val="FootnoteText"/>
        <w:spacing w:after="60"/>
      </w:pPr>
      <w:r>
        <w:t>(</w:t>
      </w:r>
      <w:r w:rsidR="00D04BFD" w:rsidRPr="00EE2E46">
        <w:rPr>
          <w:rStyle w:val="FootnoteReference"/>
        </w:rPr>
        <w:footnoteRef/>
      </w:r>
      <w:r>
        <w:t>)</w:t>
      </w:r>
      <w:r w:rsidR="00D04BFD" w:rsidRPr="00EE2E46">
        <w:t xml:space="preserve"> </w:t>
      </w:r>
      <w:hyperlink r:id="rId16" w:history="1">
        <w:r w:rsidR="00D04BFD" w:rsidRPr="00F73D69">
          <w:rPr>
            <w:rStyle w:val="Hyperlink"/>
          </w:rPr>
          <w:t>How's Life for Children in the Digital Age? | OECD</w:t>
        </w:r>
      </w:hyperlink>
      <w:r w:rsidR="00D04BFD" w:rsidRPr="00F73D69">
        <w:t>.</w:t>
      </w:r>
    </w:p>
  </w:footnote>
  <w:footnote w:id="26">
    <w:p w14:paraId="04643526" w14:textId="77777777" w:rsidR="00D04BFD" w:rsidRPr="00EE2E46" w:rsidRDefault="00D04BFD" w:rsidP="00860B1C">
      <w:pPr>
        <w:pStyle w:val="FootnoteText"/>
        <w:spacing w:after="60"/>
      </w:pPr>
      <w:r w:rsidRPr="00EE2E46">
        <w:t>(</w:t>
      </w:r>
      <w:r w:rsidRPr="00EE2E46">
        <w:rPr>
          <w:rStyle w:val="FootnoteReference"/>
        </w:rPr>
        <w:footnoteRef/>
      </w:r>
      <w:r w:rsidRPr="00EE2E46">
        <w:t xml:space="preserve">) </w:t>
      </w:r>
      <w:hyperlink r:id="rId17" w:history="1">
        <w:r w:rsidRPr="00EE2E46">
          <w:rPr>
            <w:rStyle w:val="Hyperlink"/>
          </w:rPr>
          <w:t>Special panel on child safety online</w:t>
        </w:r>
      </w:hyperlink>
      <w:r w:rsidRPr="00EE2E46">
        <w:t>.</w:t>
      </w:r>
    </w:p>
  </w:footnote>
  <w:footnote w:id="27">
    <w:p w14:paraId="1357ADA0" w14:textId="578E0F2A" w:rsidR="00D04BFD" w:rsidRPr="00F52F43" w:rsidRDefault="00D04BFD" w:rsidP="00860B1C">
      <w:pPr>
        <w:pStyle w:val="FootnoteText"/>
        <w:spacing w:after="60"/>
      </w:pPr>
      <w:r w:rsidRPr="00EE2E46">
        <w:t>(</w:t>
      </w:r>
      <w:r w:rsidRPr="00EE2E46">
        <w:rPr>
          <w:rStyle w:val="FootnoteReference"/>
        </w:rPr>
        <w:footnoteRef/>
      </w:r>
      <w:r w:rsidRPr="00EE2E46">
        <w:t xml:space="preserve">) </w:t>
      </w:r>
      <w:hyperlink r:id="rId18" w:history="1">
        <w:r w:rsidRPr="00EE2E46">
          <w:rPr>
            <w:rStyle w:val="Hyperlink"/>
          </w:rPr>
          <w:t xml:space="preserve">Communication from the Commission to the European Parliament, the Council, the European Economic and Social Committee and the Committee of the Regions ProtectEU: Agenda to prevent and counter terrorism </w:t>
        </w:r>
        <w:r>
          <w:rPr>
            <w:rStyle w:val="Hyperlink"/>
          </w:rPr>
          <w:t>-</w:t>
        </w:r>
        <w:r w:rsidRPr="00EE2E46">
          <w:rPr>
            <w:rStyle w:val="Hyperlink"/>
          </w:rPr>
          <w:t>COM/2026/101 final</w:t>
        </w:r>
      </w:hyperlink>
      <w:r w:rsidRPr="00EE2E46">
        <w:t>.</w:t>
      </w:r>
    </w:p>
  </w:footnote>
  <w:footnote w:id="28">
    <w:p w14:paraId="25AC9D28" w14:textId="6E6EA7DF" w:rsidR="00D04BFD" w:rsidRPr="00F52F43" w:rsidRDefault="00D04BFD" w:rsidP="00860B1C">
      <w:pPr>
        <w:pStyle w:val="FootnoteText"/>
        <w:spacing w:after="60"/>
      </w:pPr>
      <w:r w:rsidRPr="00F73D69">
        <w:t>(</w:t>
      </w:r>
      <w:r w:rsidRPr="00EE2E46">
        <w:rPr>
          <w:rStyle w:val="FootnoteReference"/>
        </w:rPr>
        <w:footnoteRef/>
      </w:r>
      <w:r w:rsidRPr="00F73D69">
        <w:t>)</w:t>
      </w:r>
      <w:r w:rsidRPr="00EE2E46">
        <w:t xml:space="preserve"> </w:t>
      </w:r>
      <w:hyperlink r:id="rId19" w:history="1">
        <w:r w:rsidRPr="00EE2E46">
          <w:rPr>
            <w:rStyle w:val="Hyperlink"/>
          </w:rPr>
          <w:t>MFF Performance Results Reports - Performance Data Tables</w:t>
        </w:r>
      </w:hyperlink>
      <w:r w:rsidRPr="00EE2E46">
        <w:t xml:space="preserve">. </w:t>
      </w:r>
    </w:p>
  </w:footnote>
  <w:footnote w:id="29">
    <w:p w14:paraId="6A15CCB0" w14:textId="0F45FE2A" w:rsidR="00D04BFD" w:rsidRPr="00F52F43" w:rsidRDefault="00D04BFD" w:rsidP="00860B1C">
      <w:pPr>
        <w:pStyle w:val="FootnoteText"/>
        <w:spacing w:after="60"/>
      </w:pPr>
      <w:r w:rsidRPr="00F73D69">
        <w:t>(</w:t>
      </w:r>
      <w:r w:rsidRPr="00EE2E46">
        <w:rPr>
          <w:rStyle w:val="FootnoteReference"/>
        </w:rPr>
        <w:footnoteRef/>
      </w:r>
      <w:r w:rsidRPr="00F73D69">
        <w:t xml:space="preserve">) </w:t>
      </w:r>
      <w:hyperlink r:id="rId20" w:history="1">
        <w:r w:rsidRPr="00F73D69">
          <w:rPr>
            <w:rStyle w:val="Hyperlink"/>
          </w:rPr>
          <w:t>Technical Support Instrument</w:t>
        </w:r>
      </w:hyperlink>
      <w:r>
        <w:t xml:space="preserve">. </w:t>
      </w:r>
    </w:p>
  </w:footnote>
  <w:footnote w:id="30">
    <w:p w14:paraId="615A6EE0" w14:textId="4067829F" w:rsidR="00D04BFD" w:rsidRPr="00F52F43" w:rsidRDefault="00D04BFD" w:rsidP="00860B1C">
      <w:pPr>
        <w:pStyle w:val="FootnoteText"/>
        <w:spacing w:after="60"/>
        <w:ind w:left="284" w:hanging="284"/>
      </w:pPr>
      <w:r w:rsidRPr="003C65E2">
        <w:t>(</w:t>
      </w:r>
      <w:r w:rsidRPr="003C65E2">
        <w:rPr>
          <w:rStyle w:val="FootnoteReference"/>
        </w:rPr>
        <w:footnoteRef/>
      </w:r>
      <w:r w:rsidRPr="003C65E2">
        <w:t xml:space="preserve">) </w:t>
      </w:r>
      <w:hyperlink r:id="rId21" w:history="1">
        <w:r w:rsidRPr="00F73D69">
          <w:rPr>
            <w:rStyle w:val="Hyperlink"/>
          </w:rPr>
          <w:t xml:space="preserve">Proposal for a </w:t>
        </w:r>
        <w:r w:rsidRPr="00FE6263">
          <w:rPr>
            <w:rStyle w:val="Hyperlink"/>
          </w:rPr>
          <w:t xml:space="preserve">Regulation of the European Parliament and of the Council </w:t>
        </w:r>
        <w:r w:rsidRPr="00F73D69">
          <w:rPr>
            <w:rStyle w:val="Hyperlink"/>
          </w:rPr>
          <w:t>establishing the European Fund for economic, social and territorial cohesion, agriculture and rural, fisheries and maritime, prosperity and security for the period 2028-2034 and amending Regulation (EU) 2023/955 and Regulation (EU, Euratom) 2024/2509</w:t>
        </w:r>
        <w:r>
          <w:rPr>
            <w:rStyle w:val="Hyperlink"/>
          </w:rPr>
          <w:t>-</w:t>
        </w:r>
        <w:r w:rsidRPr="00FE6263">
          <w:rPr>
            <w:rStyle w:val="Hyperlink"/>
          </w:rPr>
          <w:t xml:space="preserve"> COM/2025/565.</w:t>
        </w:r>
      </w:hyperlink>
    </w:p>
  </w:footnote>
  <w:footnote w:id="31">
    <w:p w14:paraId="655C79A4" w14:textId="1772A550" w:rsidR="00D04BFD" w:rsidRPr="00EE2E46" w:rsidRDefault="00D04BFD" w:rsidP="00860B1C">
      <w:pPr>
        <w:pStyle w:val="FootnoteText"/>
        <w:spacing w:after="60"/>
        <w:ind w:left="284" w:hanging="284"/>
      </w:pPr>
      <w:r w:rsidRPr="00EE2E46">
        <w:t>(</w:t>
      </w:r>
      <w:r w:rsidRPr="00EE2E46">
        <w:rPr>
          <w:rStyle w:val="FootnoteReference"/>
        </w:rPr>
        <w:footnoteRef/>
      </w:r>
      <w:r w:rsidRPr="00EE2E46">
        <w:t>) Commission Staff Working Document on Principles for effective anti-poverty policies – Supporting national, regional and local authorities in their fight against child poverty – SWD (2026) 771</w:t>
      </w:r>
      <w:r>
        <w:t>.</w:t>
      </w:r>
    </w:p>
  </w:footnote>
  <w:footnote w:id="32">
    <w:p w14:paraId="27B3627E" w14:textId="243CBB2A" w:rsidR="00D04BFD" w:rsidRPr="00EE2E46" w:rsidRDefault="00D04BFD" w:rsidP="00860B1C">
      <w:pPr>
        <w:pStyle w:val="FootnoteText"/>
        <w:spacing w:after="60"/>
      </w:pPr>
      <w:r w:rsidRPr="00EE2E46">
        <w:t>(</w:t>
      </w:r>
      <w:r w:rsidRPr="00EE2E46">
        <w:rPr>
          <w:rStyle w:val="FootnoteReference"/>
        </w:rPr>
        <w:footnoteRef/>
      </w:r>
      <w:r w:rsidRPr="00EE2E46">
        <w:t xml:space="preserve">) </w:t>
      </w:r>
      <w:r w:rsidRPr="00261716">
        <w:t xml:space="preserve">Communication from the Commission to the European Parliament, the Council, the European Economic </w:t>
      </w:r>
      <w:r w:rsidRPr="00EE2E46">
        <w:t>a</w:t>
      </w:r>
      <w:r w:rsidRPr="00261716">
        <w:t xml:space="preserve">nd Social Committee and the Committee of the Regions </w:t>
      </w:r>
      <w:r w:rsidRPr="00EE2E46">
        <w:t>on the European Union's Anti-Poverty Strategy – COM (2026) 538</w:t>
      </w:r>
      <w:r>
        <w:t>.</w:t>
      </w:r>
    </w:p>
  </w:footnote>
  <w:footnote w:id="33">
    <w:p w14:paraId="64713BC6" w14:textId="1CEB0F68" w:rsidR="00D04BFD" w:rsidRPr="00EE2E46" w:rsidRDefault="00D04BFD" w:rsidP="00860B1C">
      <w:pPr>
        <w:pStyle w:val="FootnoteText"/>
        <w:spacing w:after="60"/>
        <w:ind w:left="284" w:hanging="284"/>
      </w:pPr>
      <w:r w:rsidRPr="00EE2E46">
        <w:t>(</w:t>
      </w:r>
      <w:r w:rsidRPr="00EE2E46">
        <w:rPr>
          <w:rStyle w:val="FootnoteReference"/>
        </w:rPr>
        <w:footnoteRef/>
      </w:r>
      <w:r w:rsidRPr="00EE2E46">
        <w:t xml:space="preserve">) EU programmes, initiatives and platforms, such as URBACT, the European Urban Initiative, the Rural Pact, and the upcoming EU Cities Platform, may support regions and municipalities in the implementation of the Guarantee and the fight against child poverty at the local level through technical assistance and mutual learning. Intergovernmental cooperation on urban matters is also in place through the Urban Agenda for the EU and its Thematic Partnerships that could support local actions. </w:t>
      </w:r>
    </w:p>
  </w:footnote>
  <w:footnote w:id="34">
    <w:p w14:paraId="670F0FE4" w14:textId="1CFA7152" w:rsidR="00D04BFD" w:rsidRPr="00BE4B66" w:rsidRDefault="00D04BFD" w:rsidP="00860B1C">
      <w:pPr>
        <w:pStyle w:val="FootnoteText"/>
        <w:spacing w:after="60"/>
        <w:rPr>
          <w:lang w:val="cs-CZ"/>
        </w:rPr>
      </w:pPr>
      <w:r w:rsidRPr="00EE2E46">
        <w:t>(</w:t>
      </w:r>
      <w:r w:rsidRPr="00EE2E46">
        <w:rPr>
          <w:rStyle w:val="FootnoteReference"/>
        </w:rPr>
        <w:footnoteRef/>
      </w:r>
      <w:r w:rsidRPr="00EE2E46">
        <w:t xml:space="preserve">) </w:t>
      </w:r>
      <w:hyperlink r:id="rId22" w:history="1">
        <w:r w:rsidRPr="00261716">
          <w:rPr>
            <w:rStyle w:val="Hyperlink"/>
          </w:rPr>
          <w:t>ECG monitoring framework</w:t>
        </w:r>
      </w:hyperlink>
      <w:r w:rsidRPr="0026171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AA45" w14:textId="77777777" w:rsidR="00B07B1D" w:rsidRPr="00B07B1D" w:rsidRDefault="00B07B1D" w:rsidP="00B07B1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9BF3" w14:textId="77777777" w:rsidR="00B07B1D" w:rsidRPr="00B07B1D" w:rsidRDefault="00B07B1D" w:rsidP="00B07B1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E5F6" w14:textId="77777777" w:rsidR="00B07B1D" w:rsidRPr="00B07B1D" w:rsidRDefault="00B07B1D" w:rsidP="00B07B1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A407" w14:textId="77777777" w:rsidR="00D04BFD" w:rsidRDefault="00D04B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7E98" w14:textId="77777777" w:rsidR="00D04BFD" w:rsidRDefault="00D04B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167DF" w14:textId="77777777" w:rsidR="00D04BFD" w:rsidRDefault="00D04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1253D"/>
    <w:multiLevelType w:val="hybridMultilevel"/>
    <w:tmpl w:val="04F6940E"/>
    <w:lvl w:ilvl="0" w:tplc="80D4B046">
      <w:start w:val="1"/>
      <w:numFmt w:val="decimal"/>
      <w:pStyle w:val="Heading2"/>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8E95AF1"/>
    <w:multiLevelType w:val="hybridMultilevel"/>
    <w:tmpl w:val="1E3EA7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1A220B8"/>
    <w:multiLevelType w:val="hybridMultilevel"/>
    <w:tmpl w:val="7518A7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14970834">
    <w:abstractNumId w:val="1"/>
  </w:num>
  <w:num w:numId="2" w16cid:durableId="419301654">
    <w:abstractNumId w:val="2"/>
  </w:num>
  <w:num w:numId="3" w16cid:durableId="1456756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F771D4E2-D85B-471C-8A39-D07136833B71"/>
    <w:docVar w:name="LW_COVERPAGE_TYPE" w:val="1"/>
    <w:docVar w:name="LW_CROSSREFERENCE" w:val="{SWD(2026) 772 final}"/>
    <w:docVar w:name="LW_DocType" w:val="NORMAL"/>
    <w:docVar w:name="LW_EMISSION" w:val="6.5.2026"/>
    <w:docVar w:name="LW_EMISSION_ISODATE" w:val="2026-05-0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Breaking the cycle of child poverty - strengthening the European Child Guarantee"/>
    <w:docVar w:name="LW_TYPE.DOC.CP" w:val="COMMUNICATION FROM THE COMMISSION TO THE EUROPEAN PARLIAMENT, THE COUNCIL, THE EUROPEAN ECONOMIC AND SOCIAL COMMITTEE AND THE COMMITTEE OF THE REGIONS"/>
    <w:docVar w:name="LW_TYPE.DOC.CP.USERTEXT" w:val="&lt;EMPTY&gt;"/>
  </w:docVars>
  <w:rsids>
    <w:rsidRoot w:val="00D04BFD"/>
    <w:rsid w:val="00000908"/>
    <w:rsid w:val="000069D9"/>
    <w:rsid w:val="00045347"/>
    <w:rsid w:val="000E2476"/>
    <w:rsid w:val="00121D75"/>
    <w:rsid w:val="00134A90"/>
    <w:rsid w:val="001F22A0"/>
    <w:rsid w:val="001F6F7E"/>
    <w:rsid w:val="00224998"/>
    <w:rsid w:val="002270DA"/>
    <w:rsid w:val="002467D0"/>
    <w:rsid w:val="00331BA2"/>
    <w:rsid w:val="00354317"/>
    <w:rsid w:val="003671F6"/>
    <w:rsid w:val="003B6588"/>
    <w:rsid w:val="003B7CFE"/>
    <w:rsid w:val="003E0C05"/>
    <w:rsid w:val="004827F2"/>
    <w:rsid w:val="00490EB2"/>
    <w:rsid w:val="004A42F3"/>
    <w:rsid w:val="004B1BB2"/>
    <w:rsid w:val="005024F4"/>
    <w:rsid w:val="00506432"/>
    <w:rsid w:val="005875BE"/>
    <w:rsid w:val="005B5F4A"/>
    <w:rsid w:val="00741B63"/>
    <w:rsid w:val="00741B77"/>
    <w:rsid w:val="00787224"/>
    <w:rsid w:val="007D2E61"/>
    <w:rsid w:val="00860B1C"/>
    <w:rsid w:val="0087304B"/>
    <w:rsid w:val="008D4C0C"/>
    <w:rsid w:val="008F0EB2"/>
    <w:rsid w:val="009312DB"/>
    <w:rsid w:val="00946612"/>
    <w:rsid w:val="009D12BC"/>
    <w:rsid w:val="00A95C82"/>
    <w:rsid w:val="00B07B1D"/>
    <w:rsid w:val="00B470FF"/>
    <w:rsid w:val="00B4793A"/>
    <w:rsid w:val="00BC0EC4"/>
    <w:rsid w:val="00BD1631"/>
    <w:rsid w:val="00D04BFD"/>
    <w:rsid w:val="00D74768"/>
    <w:rsid w:val="00D86E73"/>
    <w:rsid w:val="00D91D38"/>
    <w:rsid w:val="00DD4D6B"/>
    <w:rsid w:val="00E06F57"/>
    <w:rsid w:val="00E36148"/>
    <w:rsid w:val="00E41884"/>
    <w:rsid w:val="00F23B71"/>
    <w:rsid w:val="00F325EF"/>
    <w:rsid w:val="00F52F43"/>
    <w:rsid w:val="00F958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9FDCF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0" w:unhideWhenUsed="1" w:qFormat="1"/>
    <w:lsdException w:name="heading 3" w:semiHidden="1" w:uiPriority="1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ListParagraph"/>
    <w:next w:val="Normal"/>
    <w:link w:val="Heading2Char"/>
    <w:uiPriority w:val="10"/>
    <w:unhideWhenUsed/>
    <w:qFormat/>
    <w:rsid w:val="00D04BFD"/>
    <w:pPr>
      <w:widowControl w:val="0"/>
      <w:numPr>
        <w:numId w:val="3"/>
      </w:numPr>
      <w:spacing w:after="240" w:line="240" w:lineRule="auto"/>
      <w:jc w:val="both"/>
      <w:outlineLvl w:val="1"/>
    </w:pPr>
    <w:rPr>
      <w:rFonts w:ascii="Times New Roman" w:eastAsia="Times New Roman" w:hAnsi="Times New Roman" w:cs="Times New Roman"/>
      <w:b/>
      <w:smallCaps/>
      <w:kern w:val="0"/>
      <w:sz w:val="28"/>
      <w:szCs w:val="24"/>
      <w:lang w:val="en-GB" w:eastAsia="en-IE"/>
      <w14:ligatures w14:val="none"/>
    </w:rPr>
  </w:style>
  <w:style w:type="paragraph" w:styleId="Heading3">
    <w:name w:val="heading 3"/>
    <w:basedOn w:val="Normal"/>
    <w:next w:val="Normal"/>
    <w:link w:val="Heading3Char"/>
    <w:uiPriority w:val="10"/>
    <w:unhideWhenUsed/>
    <w:qFormat/>
    <w:rsid w:val="00D04BFD"/>
    <w:pPr>
      <w:keepNext/>
      <w:keepLines/>
      <w:spacing w:after="240" w:line="240" w:lineRule="auto"/>
      <w:outlineLvl w:val="2"/>
    </w:pPr>
    <w:rPr>
      <w:rFonts w:ascii="Times New Roman" w:eastAsiaTheme="majorEastAsia" w:hAnsi="Times New Roman" w:cs="Times New Roman"/>
      <w:b/>
      <w:bCs/>
      <w:i/>
      <w:iCs/>
      <w:sz w:val="24"/>
      <w:szCs w:val="24"/>
    </w:rPr>
  </w:style>
  <w:style w:type="paragraph" w:styleId="Heading4">
    <w:name w:val="heading 4"/>
    <w:basedOn w:val="Normal"/>
    <w:next w:val="Normal"/>
    <w:link w:val="Heading4Char"/>
    <w:uiPriority w:val="9"/>
    <w:semiHidden/>
    <w:unhideWhenUsed/>
    <w:qFormat/>
    <w:rsid w:val="00D04B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B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0"/>
    <w:rsid w:val="00D04BFD"/>
    <w:rPr>
      <w:rFonts w:ascii="Times New Roman" w:eastAsia="Times New Roman" w:hAnsi="Times New Roman" w:cs="Times New Roman"/>
      <w:b/>
      <w:smallCaps/>
      <w:kern w:val="0"/>
      <w:sz w:val="28"/>
      <w:szCs w:val="24"/>
      <w:lang w:val="en-GB" w:eastAsia="en-IE"/>
      <w14:ligatures w14:val="none"/>
    </w:rPr>
  </w:style>
  <w:style w:type="character" w:customStyle="1" w:styleId="Heading3Char">
    <w:name w:val="Heading 3 Char"/>
    <w:basedOn w:val="DefaultParagraphFont"/>
    <w:link w:val="Heading3"/>
    <w:uiPriority w:val="10"/>
    <w:rsid w:val="00D04BFD"/>
    <w:rPr>
      <w:rFonts w:ascii="Times New Roman" w:eastAsiaTheme="majorEastAsia" w:hAnsi="Times New Roman" w:cs="Times New Roman"/>
      <w:b/>
      <w:bCs/>
      <w:i/>
      <w:iCs/>
      <w:sz w:val="24"/>
      <w:szCs w:val="24"/>
    </w:rPr>
  </w:style>
  <w:style w:type="character" w:customStyle="1" w:styleId="Heading4Char">
    <w:name w:val="Heading 4 Char"/>
    <w:basedOn w:val="DefaultParagraphFont"/>
    <w:link w:val="Heading4"/>
    <w:uiPriority w:val="9"/>
    <w:semiHidden/>
    <w:rsid w:val="00D04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BFD"/>
    <w:rPr>
      <w:rFonts w:eastAsiaTheme="majorEastAsia" w:cstheme="majorBidi"/>
      <w:color w:val="272727" w:themeColor="text1" w:themeTint="D8"/>
    </w:rPr>
  </w:style>
  <w:style w:type="paragraph" w:styleId="Title">
    <w:name w:val="Title"/>
    <w:basedOn w:val="Normal"/>
    <w:next w:val="Normal"/>
    <w:link w:val="TitleChar"/>
    <w:uiPriority w:val="10"/>
    <w:qFormat/>
    <w:rsid w:val="00D04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BFD"/>
    <w:pPr>
      <w:spacing w:before="160"/>
      <w:jc w:val="center"/>
    </w:pPr>
    <w:rPr>
      <w:i/>
      <w:iCs/>
      <w:color w:val="404040" w:themeColor="text1" w:themeTint="BF"/>
    </w:rPr>
  </w:style>
  <w:style w:type="character" w:customStyle="1" w:styleId="QuoteChar">
    <w:name w:val="Quote Char"/>
    <w:basedOn w:val="DefaultParagraphFont"/>
    <w:link w:val="Quote"/>
    <w:uiPriority w:val="29"/>
    <w:rsid w:val="00D04BFD"/>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D04BFD"/>
    <w:pPr>
      <w:ind w:left="720"/>
      <w:contextualSpacing/>
    </w:pPr>
  </w:style>
  <w:style w:type="character" w:styleId="IntenseEmphasis">
    <w:name w:val="Intense Emphasis"/>
    <w:basedOn w:val="DefaultParagraphFont"/>
    <w:uiPriority w:val="21"/>
    <w:qFormat/>
    <w:rsid w:val="00D04BFD"/>
    <w:rPr>
      <w:i/>
      <w:iCs/>
      <w:color w:val="0F4761" w:themeColor="accent1" w:themeShade="BF"/>
    </w:rPr>
  </w:style>
  <w:style w:type="paragraph" w:styleId="IntenseQuote">
    <w:name w:val="Intense Quote"/>
    <w:basedOn w:val="Normal"/>
    <w:next w:val="Normal"/>
    <w:link w:val="IntenseQuoteChar"/>
    <w:uiPriority w:val="30"/>
    <w:qFormat/>
    <w:rsid w:val="00D04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BFD"/>
    <w:rPr>
      <w:i/>
      <w:iCs/>
      <w:color w:val="0F4761" w:themeColor="accent1" w:themeShade="BF"/>
    </w:rPr>
  </w:style>
  <w:style w:type="character" w:styleId="IntenseReference">
    <w:name w:val="Intense Reference"/>
    <w:basedOn w:val="DefaultParagraphFont"/>
    <w:uiPriority w:val="32"/>
    <w:qFormat/>
    <w:rsid w:val="00D04BFD"/>
    <w:rPr>
      <w:b/>
      <w:bCs/>
      <w:smallCaps/>
      <w:color w:val="0F4761" w:themeColor="accent1" w:themeShade="BF"/>
      <w:spacing w:val="5"/>
    </w:rPr>
  </w:style>
  <w:style w:type="character" w:customStyle="1" w:styleId="Marker">
    <w:name w:val="Marker"/>
    <w:basedOn w:val="DefaultParagraphFont"/>
    <w:rsid w:val="00D04BFD"/>
    <w:rPr>
      <w:color w:val="0000FF"/>
      <w:shd w:val="clear" w:color="auto" w:fill="auto"/>
    </w:rPr>
  </w:style>
  <w:style w:type="paragraph" w:styleId="Header">
    <w:name w:val="header"/>
    <w:basedOn w:val="Normal"/>
    <w:link w:val="HeaderChar"/>
    <w:uiPriority w:val="99"/>
    <w:unhideWhenUsed/>
    <w:rsid w:val="00D04B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BFD"/>
  </w:style>
  <w:style w:type="paragraph" w:styleId="Footer">
    <w:name w:val="footer"/>
    <w:basedOn w:val="Normal"/>
    <w:link w:val="FooterChar"/>
    <w:uiPriority w:val="99"/>
    <w:unhideWhenUsed/>
    <w:rsid w:val="00D04B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BFD"/>
  </w:style>
  <w:style w:type="paragraph" w:customStyle="1" w:styleId="Pagedecouverture">
    <w:name w:val="Page de couverture"/>
    <w:basedOn w:val="Normal"/>
    <w:next w:val="Normal"/>
    <w:rsid w:val="00D04BF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04BF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04BFD"/>
    <w:rPr>
      <w:rFonts w:ascii="Times New Roman" w:hAnsi="Times New Roman" w:cs="Times New Roman"/>
      <w:sz w:val="24"/>
    </w:rPr>
  </w:style>
  <w:style w:type="paragraph" w:customStyle="1" w:styleId="FooterSensitivity">
    <w:name w:val="Footer Sensitivity"/>
    <w:basedOn w:val="Normal"/>
    <w:link w:val="FooterSensitivityChar"/>
    <w:rsid w:val="00D04BF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04BFD"/>
    <w:rPr>
      <w:rFonts w:ascii="Times New Roman" w:hAnsi="Times New Roman" w:cs="Times New Roman"/>
      <w:b/>
      <w:sz w:val="32"/>
    </w:rPr>
  </w:style>
  <w:style w:type="paragraph" w:customStyle="1" w:styleId="HeaderCoverPage">
    <w:name w:val="Header Cover Page"/>
    <w:basedOn w:val="Normal"/>
    <w:link w:val="HeaderCoverPageChar"/>
    <w:rsid w:val="00D04BF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04BFD"/>
    <w:rPr>
      <w:rFonts w:ascii="Times New Roman" w:hAnsi="Times New Roman" w:cs="Times New Roman"/>
      <w:sz w:val="24"/>
    </w:rPr>
  </w:style>
  <w:style w:type="paragraph" w:customStyle="1" w:styleId="HeaderSensitivity">
    <w:name w:val="Header Sensitivity"/>
    <w:basedOn w:val="Normal"/>
    <w:link w:val="HeaderSensitivityChar"/>
    <w:rsid w:val="00D04BF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04BFD"/>
    <w:rPr>
      <w:rFonts w:ascii="Times New Roman" w:hAnsi="Times New Roman" w:cs="Times New Roman"/>
      <w:b/>
      <w:sz w:val="32"/>
    </w:rPr>
  </w:style>
  <w:style w:type="paragraph" w:customStyle="1" w:styleId="HeaderSensitivityRight">
    <w:name w:val="Header Sensitivity Right"/>
    <w:basedOn w:val="Normal"/>
    <w:link w:val="HeaderSensitivityRightChar"/>
    <w:rsid w:val="00D04BF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04BFD"/>
    <w:rPr>
      <w:rFonts w:ascii="Times New Roman" w:hAnsi="Times New Roman" w:cs="Times New Roman"/>
      <w:sz w:val="28"/>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Footnote"/>
    <w:link w:val="BVIfnrCarCarCarCarCharCharCharChar"/>
    <w:uiPriority w:val="99"/>
    <w:qFormat/>
    <w:rsid w:val="00D04BFD"/>
    <w:rPr>
      <w:vertAlign w:val="superscript"/>
    </w:r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o,C,EMPL6"/>
    <w:basedOn w:val="Normal"/>
    <w:link w:val="FootnoteTextChar"/>
    <w:uiPriority w:val="99"/>
    <w:qFormat/>
    <w:rsid w:val="00D04BFD"/>
    <w:pPr>
      <w:spacing w:after="120" w:line="240" w:lineRule="auto"/>
      <w:ind w:left="357" w:hanging="357"/>
      <w:jc w:val="both"/>
    </w:pPr>
    <w:rPr>
      <w:rFonts w:ascii="Times New Roman" w:eastAsia="Times New Roman" w:hAnsi="Times New Roman" w:cs="Times New Roman"/>
      <w:kern w:val="0"/>
      <w:sz w:val="20"/>
      <w:szCs w:val="20"/>
      <w:lang w:val="en-GB" w:eastAsia="en-IE"/>
      <w14:ligatures w14:val="none"/>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o Char,C Char,EMPL6 Char"/>
    <w:basedOn w:val="DefaultParagraphFont"/>
    <w:link w:val="FootnoteText"/>
    <w:uiPriority w:val="99"/>
    <w:qFormat/>
    <w:rsid w:val="00D04BFD"/>
    <w:rPr>
      <w:rFonts w:ascii="Times New Roman" w:eastAsia="Times New Roman" w:hAnsi="Times New Roman" w:cs="Times New Roman"/>
      <w:kern w:val="0"/>
      <w:sz w:val="20"/>
      <w:szCs w:val="20"/>
      <w:lang w:val="en-GB" w:eastAsia="en-IE"/>
      <w14:ligatures w14:val="none"/>
    </w:rPr>
  </w:style>
  <w:style w:type="table" w:styleId="TableGrid">
    <w:name w:val="Table Grid"/>
    <w:uiPriority w:val="39"/>
    <w:rsid w:val="00D04BFD"/>
    <w:pPr>
      <w:spacing w:after="0" w:line="240" w:lineRule="auto"/>
    </w:pPr>
    <w:rPr>
      <w:rFonts w:ascii="Times New Roman" w:eastAsia="Times New Roman" w:hAnsi="Times New Roman" w:cs="Times New Roman"/>
      <w:kern w:val="0"/>
      <w:sz w:val="24"/>
      <w:szCs w:val="20"/>
      <w:lang w:val="en-GB"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D04BFD"/>
    <w:rPr>
      <w:color w:val="0000FF"/>
      <w:u w:val="single"/>
    </w:rPr>
  </w:style>
  <w:style w:type="paragraph" w:customStyle="1" w:styleId="BVIfnrCarCarCarCarCharCharCharChar">
    <w:name w:val="BVI fnr Car Car Car Car Char Char Char Char"/>
    <w:basedOn w:val="Normal"/>
    <w:link w:val="FootnoteReference"/>
    <w:uiPriority w:val="99"/>
    <w:rsid w:val="00D04BFD"/>
    <w:pPr>
      <w:spacing w:before="200" w:line="240" w:lineRule="exact"/>
      <w:jc w:val="both"/>
    </w:pPr>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qFormat/>
    <w:rsid w:val="00D04BFD"/>
  </w:style>
  <w:style w:type="paragraph" w:styleId="Revision">
    <w:name w:val="Revision"/>
    <w:hidden/>
    <w:uiPriority w:val="99"/>
    <w:semiHidden/>
    <w:rsid w:val="00E36148"/>
    <w:pPr>
      <w:spacing w:after="0" w:line="240" w:lineRule="auto"/>
    </w:pPr>
  </w:style>
  <w:style w:type="character" w:styleId="FollowedHyperlink">
    <w:name w:val="FollowedHyperlink"/>
    <w:basedOn w:val="DefaultParagraphFont"/>
    <w:uiPriority w:val="99"/>
    <w:semiHidden/>
    <w:unhideWhenUsed/>
    <w:rsid w:val="005024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32019L1158" TargetMode="External"/><Relationship Id="rId13" Type="http://schemas.openxmlformats.org/officeDocument/2006/relationships/hyperlink" Target="https://webgate.ec.europa.eu/circabc-ewpp/ui/group/bab664d7-1188-47b2-9fa6-869902320ba2/library/d7064b47-8a07-47b6-8d9f-0dc08849f2b7/details" TargetMode="External"/><Relationship Id="rId18" Type="http://schemas.openxmlformats.org/officeDocument/2006/relationships/hyperlink" Target="https://eur-lex.europa.eu/legal-content/EN/ALL/?uri=COM%3A2026%3A101%3AFIN" TargetMode="External"/><Relationship Id="rId3" Type="http://schemas.openxmlformats.org/officeDocument/2006/relationships/hyperlink" Target="https://ec.europa.eu/eurostat/statistics-explained/index.php?title=Intergenerational_transmission_of_disadvantages_-_statistics" TargetMode="External"/><Relationship Id="rId21" Type="http://schemas.openxmlformats.org/officeDocument/2006/relationships/hyperlink" Target="https://eur-lex.europa.eu/legal-content/EN/TXT/?uri=celex:52025PC0565" TargetMode="External"/><Relationship Id="rId7" Type="http://schemas.openxmlformats.org/officeDocument/2006/relationships/hyperlink" Target="https://publications.jrc.ec.europa.eu/repository/handle/JRC146407" TargetMode="External"/><Relationship Id="rId12" Type="http://schemas.openxmlformats.org/officeDocument/2006/relationships/hyperlink" Target="https://schoolmealscoalition.org/" TargetMode="External"/><Relationship Id="rId17" Type="http://schemas.openxmlformats.org/officeDocument/2006/relationships/hyperlink" Target="https://digital-strategy.ec.europa.eu/en/policies/panel-child-safety-online" TargetMode="External"/><Relationship Id="rId2" Type="http://schemas.openxmlformats.org/officeDocument/2006/relationships/hyperlink" Target="https://employment-social-affairs.ec.europa.eu/policies-and-activities/european-pillar-social-rights-building-fairer-and-more-inclusive-european-union/european-pillar-social-rights-action-plan_en" TargetMode="External"/><Relationship Id="rId16" Type="http://schemas.openxmlformats.org/officeDocument/2006/relationships/hyperlink" Target="https://www.oecd.org/en/publications/how-s-life-for-children-in-the-digital-age_0854b900-en.html" TargetMode="External"/><Relationship Id="rId20" Type="http://schemas.openxmlformats.org/officeDocument/2006/relationships/hyperlink" Target="https://commission.europa.eu/funding-tenders/find-funding/eu-funding-programmes/technical-support-instrument_en" TargetMode="External"/><Relationship Id="rId1" Type="http://schemas.openxmlformats.org/officeDocument/2006/relationships/hyperlink" Target="https://ec.europa.eu/eurostat/databrowser/view/ilc_pecs01__custom_21296002/default/table" TargetMode="External"/><Relationship Id="rId6" Type="http://schemas.openxmlformats.org/officeDocument/2006/relationships/hyperlink" Target="https://employment-social-affairs.ec.europa.eu/policies-and-activities/european-pillar-social-rights-building-fairer-and-more-inclusive-european-union/european-pillar-social-rights-action-plan_en" TargetMode="External"/><Relationship Id="rId11" Type="http://schemas.openxmlformats.org/officeDocument/2006/relationships/hyperlink" Target="https://ec.europa.eu/info/funding-tenders/opportunities/portal/screen/opportunities/topic-details/HORIZON-CL2-2026-01-TRANSFO-03?isExactMatch=true&amp;status=31094501,31094502,31094503&amp;frameworkProgramme=43108390&amp;callIdentifier=HORIZON-CL2-2026-01&amp;order=DESC&amp;pageNumber=1&amp;pageSize=50&amp;sortBy=startDate" TargetMode="External"/><Relationship Id="rId5" Type="http://schemas.openxmlformats.org/officeDocument/2006/relationships/hyperlink" Target="https://eur-lex.europa.eu/legal-content/EN/TXT/?uri=CELEX%3A32021H1004&amp;qid=1706722122129" TargetMode="External"/><Relationship Id="rId15" Type="http://schemas.openxmlformats.org/officeDocument/2006/relationships/hyperlink" Target="https://eur-lex.europa.eu/legal-content/EN/ALL/?uri=COM%3A2026%3A101%3AFIN" TargetMode="External"/><Relationship Id="rId10" Type="http://schemas.openxmlformats.org/officeDocument/2006/relationships/hyperlink" Target="https://publications.jrc.ec.europa.eu/repository/handle/JRC130477" TargetMode="External"/><Relationship Id="rId19" Type="http://schemas.openxmlformats.org/officeDocument/2006/relationships/hyperlink" Target="https://commission.europa.eu/document/5ce5a9df-7f2f-4b96-8761-7f67c2642f94_en" TargetMode="External"/><Relationship Id="rId4" Type="http://schemas.openxmlformats.org/officeDocument/2006/relationships/hyperlink" Target="https://www.oecd.org/en/publications/the-economic-costs-of-childhood-socio-economic-disadvantage-in-european-oecd-countries_8c0c66b9-en.html" TargetMode="External"/><Relationship Id="rId9" Type="http://schemas.openxmlformats.org/officeDocument/2006/relationships/hyperlink" Target="https://op.europa.eu/en/publication-detail/-/publication/f159d66d-91da-11f0-97c8-01aa75ed71a1" TargetMode="External"/><Relationship Id="rId14" Type="http://schemas.openxmlformats.org/officeDocument/2006/relationships/hyperlink" Target="https://eu-for-children.europa.eu/poverty-social-inclusion_en" TargetMode="External"/><Relationship Id="rId22" Type="http://schemas.openxmlformats.org/officeDocument/2006/relationships/hyperlink" Target="https://webgate.ec.europa.eu/circabc-ewpp/ui/group/bab664d7-1188-47b2-9fa6-869902320ba2/library/d7064b47-8a07-47b6-8d9f-0dc08849f2b7/detai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C596E-0344-418E-88DD-2E8249487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6229</Words>
  <Characters>38062</Characters>
  <Application>Microsoft Office Word</Application>
  <DocSecurity>0</DocSecurity>
  <Lines>1903</Lines>
  <Paragraphs>984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2026-05-06T08:26:00Z</dcterms:created>
  <dcterms:modified xsi:type="dcterms:W3CDTF">2026-05-06T09:54:00Z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2026-05-04T23:14:21Z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c438fb84-3f98-40e3-924d-8bc47b285f17</vt:lpwstr>
  </property>
  <property fmtid="{D5CDD505-2E9C-101B-9397-08002B2CF9AE}" pid="10" name="MSIP_Label_6bd9ddd1-4d20-43f6-abfa-fc3c07406f94_ContentBits">
    <vt:lpwstr>0</vt:lpwstr>
  </property>
  <property fmtid="{D5CDD505-2E9C-101B-9397-08002B2CF9AE}" pid="11" name="MSIP_Label_6bd9ddd1-4d20-43f6-abfa-fc3c07406f94_Tag">
    <vt:lpwstr>10, 0, 1, 1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