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760EA2" w14:textId="2F88033A" w:rsidR="00C578AE" w:rsidRPr="007021D2" w:rsidRDefault="00FA62DE" w:rsidP="00FA62DE">
      <w:pPr>
        <w:pStyle w:val="Pagedecouverture"/>
        <w:rPr>
          <w:noProof/>
        </w:rPr>
      </w:pPr>
      <w:r>
        <w:rPr>
          <w:noProof/>
        </w:rPr>
        <w:pict w14:anchorId="448107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3BB7765-84D1-4E07-82CA-D995DEC97FAF" style="width:455.25pt;height:342.75pt">
            <v:imagedata r:id="rId8" o:title=""/>
          </v:shape>
        </w:pict>
      </w:r>
    </w:p>
    <w:p w14:paraId="411C459A" w14:textId="77777777" w:rsidR="00C578AE" w:rsidRPr="007021D2" w:rsidRDefault="00C578AE" w:rsidP="00C578AE">
      <w:pPr>
        <w:rPr>
          <w:noProof/>
        </w:rPr>
        <w:sectPr w:rsidR="00C578AE" w:rsidRPr="007021D2" w:rsidSect="00FA62DE">
          <w:footerReference w:type="even" r:id="rId9"/>
          <w:footerReference w:type="default" r:id="rId10"/>
          <w:pgSz w:w="11907" w:h="16839"/>
          <w:pgMar w:top="1134" w:right="1417" w:bottom="1134" w:left="1417" w:header="709" w:footer="709" w:gutter="0"/>
          <w:pgNumType w:start="0"/>
          <w:cols w:space="720"/>
          <w:docGrid w:linePitch="360"/>
        </w:sectPr>
      </w:pPr>
    </w:p>
    <w:p w14:paraId="74A6FC62" w14:textId="77777777" w:rsidR="005D782C" w:rsidRPr="007021D2" w:rsidRDefault="005D782C" w:rsidP="009511E1">
      <w:pPr>
        <w:pStyle w:val="Exposdesmotifstitre"/>
        <w:rPr>
          <w:noProof/>
          <w:color w:val="FF0000"/>
        </w:rPr>
      </w:pPr>
      <w:bookmarkStart w:id="0" w:name="_GoBack"/>
      <w:bookmarkEnd w:id="0"/>
    </w:p>
    <w:p w14:paraId="452D3AD4" w14:textId="77777777" w:rsidR="008A58AF" w:rsidRPr="007021D2" w:rsidRDefault="00C578AE">
      <w:pPr>
        <w:pStyle w:val="ManualHeading1"/>
        <w:rPr>
          <w:noProof/>
        </w:rPr>
      </w:pPr>
      <w:r w:rsidRPr="007021D2">
        <w:rPr>
          <w:noProof/>
        </w:rPr>
        <w:t>1.</w:t>
      </w:r>
      <w:r w:rsidRPr="007021D2">
        <w:rPr>
          <w:noProof/>
        </w:rPr>
        <w:tab/>
        <w:t>CONTEXTE DE LA PROPOSITION</w:t>
      </w:r>
    </w:p>
    <w:p w14:paraId="7336C156" w14:textId="77777777" w:rsidR="00C578AE" w:rsidRPr="007021D2" w:rsidRDefault="00C578AE">
      <w:pPr>
        <w:pStyle w:val="ManualHeading2"/>
        <w:rPr>
          <w:rFonts w:eastAsia="Arial Unicode MS"/>
          <w:noProof/>
        </w:rPr>
      </w:pPr>
      <w:r w:rsidRPr="007021D2">
        <w:rPr>
          <w:noProof/>
          <w:color w:val="000000"/>
          <w:u w:color="000000"/>
          <w:bdr w:val="nil"/>
        </w:rPr>
        <w:t>•</w:t>
      </w:r>
      <w:r w:rsidRPr="007021D2">
        <w:rPr>
          <w:noProof/>
        </w:rPr>
        <w:tab/>
        <w:t>Justification et objectifs de la proposition</w:t>
      </w:r>
    </w:p>
    <w:p w14:paraId="16A3F6C8" w14:textId="77777777" w:rsidR="00EE62F1" w:rsidRPr="007021D2" w:rsidRDefault="008F4F37" w:rsidP="008A4180">
      <w:pPr>
        <w:pStyle w:val="Text1"/>
        <w:ind w:left="0"/>
        <w:rPr>
          <w:noProof/>
        </w:rPr>
      </w:pPr>
      <w:r w:rsidRPr="007021D2">
        <w:rPr>
          <w:noProof/>
        </w:rPr>
        <w:t xml:space="preserve">Dans son discours sur l’état de l’Union du 10 septembre 2025, la présidente de la Commission, Ursula von der Leyen, </w:t>
      </w:r>
      <w:r w:rsidRPr="007021D2">
        <w:rPr>
          <w:b/>
          <w:noProof/>
        </w:rPr>
        <w:t>a placé le logement et la pauvreté au centre des préoccupations</w:t>
      </w:r>
      <w:r w:rsidRPr="007021D2">
        <w:rPr>
          <w:noProof/>
        </w:rPr>
        <w:t>, s’engageant à mettre en place un «</w:t>
      </w:r>
      <w:r w:rsidRPr="007021D2">
        <w:rPr>
          <w:b/>
          <w:noProof/>
        </w:rPr>
        <w:t>plan visant à contribuer à l’éradication de la pauvreté d’ici à 2050</w:t>
      </w:r>
      <w:r w:rsidRPr="007021D2">
        <w:rPr>
          <w:noProof/>
        </w:rPr>
        <w:t xml:space="preserve">» assorti d’une </w:t>
      </w:r>
      <w:r w:rsidRPr="007021D2">
        <w:rPr>
          <w:b/>
          <w:noProof/>
        </w:rPr>
        <w:t>stratégie européenne ambitieuse de lutte contre la pauvreté</w:t>
      </w:r>
      <w:r w:rsidRPr="007021D2">
        <w:rPr>
          <w:noProof/>
        </w:rPr>
        <w:t xml:space="preserve"> et à présenter le tout premier </w:t>
      </w:r>
      <w:r w:rsidRPr="007021D2">
        <w:rPr>
          <w:b/>
          <w:noProof/>
        </w:rPr>
        <w:t>plan européen pour des logements abordables</w:t>
      </w:r>
      <w:r w:rsidRPr="007021D2">
        <w:rPr>
          <w:noProof/>
        </w:rPr>
        <w:t>. La présidente a souligné que «</w:t>
      </w:r>
      <w:hyperlink r:id="rId11" w:history="1">
        <w:r w:rsidRPr="007021D2">
          <w:rPr>
            <w:rStyle w:val="Hyperlink"/>
            <w:noProof/>
          </w:rPr>
          <w:t>le socle européen des droits sociaux a fait du logement un droit en Europe</w:t>
        </w:r>
      </w:hyperlink>
      <w:r w:rsidRPr="007021D2">
        <w:rPr>
          <w:noProof/>
        </w:rPr>
        <w:t xml:space="preserve">», déclarant qu’il était temps de concrétiser cette promesse. Elle a qualifié la crise du logement de défi social et de question de dignité, plaidant en faveur d’une refonte en profondeur de la manière dont nous abordons cette question. </w:t>
      </w:r>
    </w:p>
    <w:p w14:paraId="2B3F17EC" w14:textId="4C4D0B33" w:rsidR="00AE4B7F" w:rsidRPr="007021D2" w:rsidRDefault="00AE4B7F" w:rsidP="00AE4B7F">
      <w:pPr>
        <w:pStyle w:val="Text1"/>
        <w:ind w:left="0"/>
        <w:rPr>
          <w:noProof/>
        </w:rPr>
      </w:pPr>
      <w:r w:rsidRPr="007021D2">
        <w:rPr>
          <w:noProof/>
        </w:rPr>
        <w:t xml:space="preserve">Le </w:t>
      </w:r>
      <w:r w:rsidRPr="007021D2">
        <w:rPr>
          <w:b/>
          <w:noProof/>
        </w:rPr>
        <w:t>principe 19 du socle européen des droits sociaux</w:t>
      </w:r>
      <w:r w:rsidRPr="007021D2">
        <w:rPr>
          <w:noProof/>
        </w:rPr>
        <w:t xml:space="preserve"> consacre le droit au logement et à l’aide aux sans-abri. Il préconise que les personnes dans le besoin bénéficient d’un accès au logement social ou d’une aide au logement de qualité et souligne que les personnes vulnérables ont droit à une assistance et une protection appropriées contre les expulsions forcées. Le principe souligne également qu’il convient de fournir aux sans-abri des hébergements et des services adéquats afin de promouvoir leur inclusion sociale. </w:t>
      </w:r>
    </w:p>
    <w:p w14:paraId="2E85743B" w14:textId="77777777" w:rsidR="004A59B3" w:rsidRPr="007021D2" w:rsidRDefault="004A59B3" w:rsidP="004A59B3">
      <w:pPr>
        <w:pStyle w:val="Text1"/>
        <w:ind w:left="0"/>
        <w:rPr>
          <w:bCs/>
          <w:noProof/>
        </w:rPr>
      </w:pPr>
      <w:r w:rsidRPr="007021D2">
        <w:rPr>
          <w:noProof/>
        </w:rPr>
        <w:t xml:space="preserve">La </w:t>
      </w:r>
      <w:r w:rsidRPr="007021D2">
        <w:rPr>
          <w:b/>
          <w:noProof/>
        </w:rPr>
        <w:t>charte des droits fondamentaux de l’Union européenne</w:t>
      </w:r>
      <w:r w:rsidRPr="007021D2">
        <w:rPr>
          <w:noProof/>
        </w:rPr>
        <w:t xml:space="preserve"> souligne qu’afin de lutter contre l’exclusion sociale et la pauvreté, l’Union reconnaît et respecte le droit à une aide sociale et à une aide au logement. L’objectif est d’assurer une existence digne à tous ceux qui ne disposent pas de ressources suffisantes, selon les règles établies par le droit de l’Union et les législations et pratiques nationales. </w:t>
      </w:r>
    </w:p>
    <w:p w14:paraId="50C8B773" w14:textId="77777777" w:rsidR="004A59B3" w:rsidRPr="007021D2" w:rsidRDefault="004A59B3" w:rsidP="004A59B3">
      <w:pPr>
        <w:pStyle w:val="Text1"/>
        <w:ind w:left="0"/>
        <w:rPr>
          <w:bCs/>
          <w:noProof/>
        </w:rPr>
      </w:pPr>
      <w:r w:rsidRPr="007021D2">
        <w:rPr>
          <w:noProof/>
        </w:rPr>
        <w:t xml:space="preserve">La </w:t>
      </w:r>
      <w:r w:rsidRPr="007021D2">
        <w:rPr>
          <w:b/>
          <w:noProof/>
        </w:rPr>
        <w:t>charte sociale européenne</w:t>
      </w:r>
      <w:r w:rsidRPr="007021D2">
        <w:rPr>
          <w:noProof/>
        </w:rPr>
        <w:t xml:space="preserve"> révisée reconnaît le droit de chacun d’avoir accès au logement d’un niveau suffisant et de prévenir et réduire l’état de sans-abri en vue de son élimination progressive. </w:t>
      </w:r>
    </w:p>
    <w:p w14:paraId="3F32A393" w14:textId="1A20FEBB" w:rsidR="00797766" w:rsidRPr="007021D2" w:rsidRDefault="00797766" w:rsidP="00797766">
      <w:pPr>
        <w:pStyle w:val="Text1"/>
        <w:ind w:left="0"/>
        <w:rPr>
          <w:noProof/>
        </w:rPr>
      </w:pPr>
      <w:r w:rsidRPr="007021D2">
        <w:rPr>
          <w:noProof/>
        </w:rPr>
        <w:t xml:space="preserve">Compte tenu de l’importance de ces droits et de la nécessité de les mettre effectivement en œuvre, la </w:t>
      </w:r>
      <w:r w:rsidRPr="007021D2">
        <w:rPr>
          <w:b/>
          <w:noProof/>
        </w:rPr>
        <w:t>déclaration de Lisbonne sur la plateforme européenne de lutte contre le sans-abrisme</w:t>
      </w:r>
      <w:r w:rsidRPr="007021D2">
        <w:rPr>
          <w:noProof/>
        </w:rPr>
        <w:t>, signée en juin</w:t>
      </w:r>
      <w:r w:rsidR="007021D2" w:rsidRPr="007021D2">
        <w:rPr>
          <w:noProof/>
        </w:rPr>
        <w:t> </w:t>
      </w:r>
      <w:r w:rsidRPr="007021D2">
        <w:rPr>
          <w:noProof/>
        </w:rPr>
        <w:t>2021 par les États membres, les institutions et organes consultatifs de l’Union, les partenaires sociaux et les ONG concernées, exprime l’engagement d’œuvrer à la fin du sans-abrisme d’ici à 2030, de sorte que i) personne ne doive dormir dans la rue faute d’un logement d’urgence accessible, sûr et approprié; ii) personne n’ait à vivre dans un hébergement d’urgence ou provisoire plus longtemps que nécessaire pour trouver une solution de logement permanent; iii) personne ne doive quitter une institution (par exemple, prison, hôpital, centre de soins) sans avoir reçu une offre de logement adéquat; iv) les expulsions soient évitées chaque fois que possible et que nul ne soit expulsé sans aide pour trouver une solution de logement appropriée, lorsqu’il en a besoin; v) personne ne subisse de discrimination du fait de l’absence de logement.</w:t>
      </w:r>
    </w:p>
    <w:p w14:paraId="14BA0E5B" w14:textId="77777777" w:rsidR="00797766" w:rsidRPr="007021D2" w:rsidRDefault="005A1EE8" w:rsidP="00797766">
      <w:pPr>
        <w:pStyle w:val="Text1"/>
        <w:ind w:left="0"/>
        <w:rPr>
          <w:noProof/>
        </w:rPr>
      </w:pPr>
      <w:r w:rsidRPr="007021D2">
        <w:rPr>
          <w:noProof/>
        </w:rPr>
        <w:t xml:space="preserve">Les </w:t>
      </w:r>
      <w:r w:rsidRPr="007021D2">
        <w:rPr>
          <w:b/>
          <w:noProof/>
        </w:rPr>
        <w:t>objectifs généraux de la proposition</w:t>
      </w:r>
      <w:r w:rsidRPr="007021D2">
        <w:rPr>
          <w:noProof/>
        </w:rPr>
        <w:t xml:space="preserve"> sont de promouvoir les efforts stratégiques visant à mettre en œuvre efficacement les orientations susmentionnées en matière d’accès au logement et d’aide au logement. </w:t>
      </w:r>
    </w:p>
    <w:p w14:paraId="40C56544" w14:textId="77777777" w:rsidR="004061B5" w:rsidRPr="007021D2" w:rsidRDefault="003B6E95" w:rsidP="004061B5">
      <w:pPr>
        <w:pBdr>
          <w:top w:val="nil"/>
          <w:left w:val="nil"/>
          <w:bottom w:val="nil"/>
          <w:right w:val="nil"/>
          <w:between w:val="nil"/>
          <w:bar w:val="nil"/>
        </w:pBdr>
        <w:spacing w:before="0" w:after="240"/>
        <w:rPr>
          <w:noProof/>
        </w:rPr>
      </w:pPr>
      <w:r w:rsidRPr="007021D2">
        <w:rPr>
          <w:noProof/>
        </w:rPr>
        <w:t xml:space="preserve">Le </w:t>
      </w:r>
      <w:r w:rsidRPr="007021D2">
        <w:rPr>
          <w:b/>
          <w:noProof/>
        </w:rPr>
        <w:t>plan européen pour des logements abordables</w:t>
      </w:r>
      <w:r w:rsidRPr="007021D2">
        <w:rPr>
          <w:noProof/>
        </w:rPr>
        <w:t xml:space="preserve">, le premier cadre de l’Union établi pour faire face à la crise du logement, repose sur quatre piliers pour lesquels des mesures sont nécessaires, notamment le soutien aux personnes concernées par l’exclusion de leur logement et le sans-abrisme. Il propose une recommandation du Conseil afin de soutenir les personnes vulnérables en situation de logement précaire, de prévenir le sans-abrisme et d’y remédier au </w:t>
      </w:r>
      <w:r w:rsidRPr="007021D2">
        <w:rPr>
          <w:noProof/>
        </w:rPr>
        <w:lastRenderedPageBreak/>
        <w:t xml:space="preserve">moyen de politiques fondées sur une approche centrée sur la personne, axée sur le logement et intégrée. </w:t>
      </w:r>
    </w:p>
    <w:p w14:paraId="6FCAC1FC" w14:textId="77777777" w:rsidR="00533100" w:rsidRPr="007021D2" w:rsidRDefault="005F4A72" w:rsidP="00FA27F5">
      <w:pPr>
        <w:rPr>
          <w:rFonts w:eastAsia="Arial Unicode MS"/>
          <w:noProof/>
        </w:rPr>
      </w:pPr>
      <w:r w:rsidRPr="007021D2">
        <w:rPr>
          <w:noProof/>
        </w:rPr>
        <w:t xml:space="preserve">Annoncée dans les orientations politiques 2024-2029, </w:t>
      </w:r>
      <w:r w:rsidRPr="007021D2">
        <w:rPr>
          <w:b/>
          <w:noProof/>
        </w:rPr>
        <w:t>la toute première stratégie européenne de lutte contre la pauvreté vise à contribuer à l’éradication de la pauvreté d’ici à 2050</w:t>
      </w:r>
      <w:r w:rsidRPr="007021D2">
        <w:rPr>
          <w:noProof/>
        </w:rPr>
        <w:t xml:space="preserve"> et a pour principal objectif d’apporter un soutien aux États membres en vue d’«aider les personnes à accéder aux protections et services essentiels dont elles ont besoin, tout en s’attaquant aux causes profondes de la pauvreté». La proposition de recommandation du Conseil présentée est adoptée en même temps que la </w:t>
      </w:r>
      <w:r w:rsidRPr="007021D2">
        <w:rPr>
          <w:b/>
          <w:noProof/>
        </w:rPr>
        <w:t>stratégie européenne de lutte contre la pauvreté</w:t>
      </w:r>
      <w:r w:rsidRPr="007021D2">
        <w:rPr>
          <w:noProof/>
        </w:rPr>
        <w:t xml:space="preserve"> et fait partie intégrante des efforts déployés par la Commission pour prévenir la pauvreté et lutter contre elle. En outre, dans le cadre de la stratégie européenne de lutte contre la pauvreté, la garantie européenne pour l’enfance renforcée remédie aux lacunes de la lutte contre la pauvreté des enfants, en veillant à ce que les enfants dans le besoin puissent accéder à des services essentiels, y compris un logement adéquat, pour soutenir leur développement.</w:t>
      </w:r>
    </w:p>
    <w:p w14:paraId="5080CA0C" w14:textId="77777777" w:rsidR="00585711" w:rsidRPr="007021D2" w:rsidRDefault="008F4F37" w:rsidP="0042488C">
      <w:pPr>
        <w:pStyle w:val="Text1"/>
        <w:ind w:left="0"/>
        <w:rPr>
          <w:noProof/>
        </w:rPr>
      </w:pPr>
      <w:r w:rsidRPr="007021D2">
        <w:rPr>
          <w:noProof/>
        </w:rPr>
        <w:t xml:space="preserve">Afin de </w:t>
      </w:r>
      <w:r w:rsidRPr="007021D2">
        <w:rPr>
          <w:b/>
          <w:noProof/>
        </w:rPr>
        <w:t>prévenir et de lutter contre l’exclusion en matière de logement et le sans-abrisme</w:t>
      </w:r>
      <w:r w:rsidRPr="007021D2">
        <w:rPr>
          <w:noProof/>
        </w:rPr>
        <w:t xml:space="preserve">, la proposition de recommandation du Conseil présentée servira d’outil pour </w:t>
      </w:r>
      <w:r w:rsidRPr="007021D2">
        <w:rPr>
          <w:b/>
          <w:noProof/>
        </w:rPr>
        <w:t>aider les États membres, les régions et les villes</w:t>
      </w:r>
      <w:r w:rsidRPr="007021D2">
        <w:rPr>
          <w:noProof/>
        </w:rPr>
        <w:t xml:space="preserve"> à réexaminer, à concevoir et à mettre en œuvre des cadres stratégiques globaux, fondés sur une approche centrée sur la personne, axée sur le logement et intégrée, afin de prévenir et de réduire l’exclusion en matière de logement et le sans-abrisme, dans les zones tant urbaines que rurales. Les zones rurales et isolées sont confrontées à des difficultés spécifiques en ce qui concerne l’accès à un logement abordable, notamment à de faibles valeurs immobilières, ce qui peut réduire les incitations à l’entretien et à l’investissement et entraîner l’inoccupation, la dégradation et l’abandon du parc immobilier. En outre, les logements ruraux sont souvent plus anciens et plus énergivores, ce qui augmente les besoins de rénovation, les coûts pour les résidents et contribue à la précarité énergétique. Si certains États membres ont récemment élaboré ou renforcé leurs cadres d’action stratégiques, il existe d’importantes variations dans les méthodes, les structures de gouvernance et les résultats, ce qui souligne la nécessité de fournir des orientations sur des mesures stratégiques éprouvées et fondées sur des données probantes. L’objectif stratégique est de soutenir les personnes vulnérables se trouvant ou risquant de se trouver dans une situation de logement précaire, ainsi que de prévenir et de lutter contre le sans-abrisme. </w:t>
      </w:r>
    </w:p>
    <w:p w14:paraId="77D3FE9B" w14:textId="77777777" w:rsidR="00CB5EEE" w:rsidRPr="007021D2" w:rsidRDefault="00327BDF" w:rsidP="002233E1">
      <w:pPr>
        <w:rPr>
          <w:noProof/>
        </w:rPr>
      </w:pPr>
      <w:r w:rsidRPr="007021D2">
        <w:rPr>
          <w:b/>
          <w:noProof/>
        </w:rPr>
        <w:t>L’exclusion en matière de logement</w:t>
      </w:r>
      <w:r w:rsidRPr="007021D2">
        <w:rPr>
          <w:noProof/>
        </w:rPr>
        <w:t xml:space="preserve"> désigne l’incapacité d’une personne ou d’un ménage à accéder à un logement décent et stable, qui réponde à des normes fondamentales de qualité, de sécurité juridique</w:t>
      </w:r>
      <w:r w:rsidRPr="007021D2">
        <w:rPr>
          <w:rStyle w:val="FootnoteReference"/>
          <w:noProof/>
        </w:rPr>
        <w:footnoteReference w:id="1"/>
      </w:r>
      <w:r w:rsidRPr="007021D2">
        <w:rPr>
          <w:noProof/>
        </w:rPr>
        <w:t xml:space="preserve"> et d’accessibilité financière, ou à le conserver. Le sans-abrisme est sa forme la plus visible et la plus extrême et comprend les personnes vivant dans la rue et dans des hébergements d’urgence et temporaires. Toutefois, l’exclusion en matière de logement est plus large et inclut les personnes qui ont un toit au-dessus de la tête mais vivent dans des conditions inadéquates et/ou précaires. On parle de logement précaire lorsque des personnes sont confrontées à des menaces d’expulsion arbitraire ou forcée, à des violences domestiques ou à des contrats de location précaires. On parle de logement inadéquat lorsque des personnes occupent des logements de qualité inférieure aux normes dépourvus d’équipements de base, que ce soit en raison d’un état de délabrement avancé, d’un surpeuplement extrême ou d’un manque d’adaptation aux besoins spécifiques de certaines personnes, telles que les personnes âgées, les personnes handicapées ou celles ayant besoin de soins de longue durée. Une autre </w:t>
      </w:r>
      <w:r w:rsidRPr="007021D2">
        <w:rPr>
          <w:noProof/>
        </w:rPr>
        <w:lastRenderedPageBreak/>
        <w:t>forme d’exclusion en matière de logement peut être le manque de logements disponibles pour les étudiants, ce qui peut les amener à renoncer à poursuivre leurs études.</w:t>
      </w:r>
    </w:p>
    <w:p w14:paraId="1ADB6EC1" w14:textId="77777777" w:rsidR="003C2783" w:rsidRPr="007021D2" w:rsidRDefault="008F4F37" w:rsidP="008F4F37">
      <w:pPr>
        <w:rPr>
          <w:noProof/>
        </w:rPr>
      </w:pPr>
      <w:r w:rsidRPr="007021D2">
        <w:rPr>
          <w:b/>
          <w:noProof/>
        </w:rPr>
        <w:t>Le sans-abrisme est la manifestation la plus grave de la pauvreté et de la marginalisation sociale</w:t>
      </w:r>
      <w:r w:rsidRPr="007021D2">
        <w:rPr>
          <w:noProof/>
        </w:rPr>
        <w:t>, avec une diminution significative de l’espérance de vie, de la santé, du bien-être et de la participation à la société, à la démocratie et au marché du travail, ainsi que de la capacité à accéder à des services économiques et sociaux essentiels. Il s’agit d’un défi social complexe et évolutif, dû à des facteurs structurels, tels que la pauvreté, le chômage, le fait de vivre dans des zones marginalisées, la disponibilité limitée de logements sociaux et abordables et l’insuffisance des prestations sociales. Certaines situations personnelles, telles que la dépendance, des problèmes de santé mentale ou physique, une rupture familiale ou la violence domestique, peuvent accroître la vulnérabilité ou servir de facteurs déclenchants. Si le fait de dormir dans la rue est la forme la plus visible du sans-abrisme («</w:t>
      </w:r>
      <w:r w:rsidRPr="007021D2">
        <w:rPr>
          <w:b/>
          <w:noProof/>
        </w:rPr>
        <w:t>être sans abri</w:t>
      </w:r>
      <w:r w:rsidRPr="007021D2">
        <w:rPr>
          <w:noProof/>
        </w:rPr>
        <w:t>»), il en existe également des formes moins évidentes, notamment le fait d’</w:t>
      </w:r>
      <w:r w:rsidRPr="007021D2">
        <w:rPr>
          <w:b/>
          <w:noProof/>
        </w:rPr>
        <w:t>être sans logement</w:t>
      </w:r>
      <w:r w:rsidRPr="007021D2">
        <w:rPr>
          <w:noProof/>
        </w:rPr>
        <w:t>, dans lesquelles les personnes vivent dans des logements d’urgence ou temporaires</w:t>
      </w:r>
      <w:r w:rsidRPr="007021D2">
        <w:rPr>
          <w:rStyle w:val="FootnoteReference"/>
          <w:noProof/>
        </w:rPr>
        <w:footnoteReference w:id="2"/>
      </w:r>
      <w:r w:rsidRPr="007021D2">
        <w:rPr>
          <w:noProof/>
        </w:rPr>
        <w:t xml:space="preserve">. </w:t>
      </w:r>
    </w:p>
    <w:p w14:paraId="6F34B20F" w14:textId="77777777" w:rsidR="003F4066" w:rsidRPr="007021D2" w:rsidRDefault="000B69AA" w:rsidP="003F4066">
      <w:pPr>
        <w:rPr>
          <w:noProof/>
        </w:rPr>
      </w:pPr>
      <w:r w:rsidRPr="007021D2">
        <w:rPr>
          <w:noProof/>
        </w:rPr>
        <w:t>Les différences entre les définitions juridiques et statistiques du sans-abrisme, ainsi que la disparité des types de suivi et des méthodes entre les États membres, compliquent la production de données cohérentes, fiables et comparables sur le sans-abrisme dans l’ensemble de l’Union. Les données nationales disponibles indiquent une tendance à la hausse dans plusieurs États membres, l’OCDE estimant qu’</w:t>
      </w:r>
      <w:r w:rsidRPr="007021D2">
        <w:rPr>
          <w:b/>
          <w:noProof/>
        </w:rPr>
        <w:t>environ un million de personnes sont en situation de sans-abrisme dans l’Union</w:t>
      </w:r>
      <w:r w:rsidRPr="007021D2">
        <w:rPr>
          <w:noProof/>
        </w:rPr>
        <w:t>.</w:t>
      </w:r>
      <w:r w:rsidRPr="007021D2">
        <w:rPr>
          <w:b/>
          <w:noProof/>
        </w:rPr>
        <w:t xml:space="preserve"> </w:t>
      </w:r>
      <w:r w:rsidRPr="007021D2">
        <w:rPr>
          <w:noProof/>
        </w:rPr>
        <w:t>Les caractéristiques sociodémographiques des personnes concernées par l’exclusion en matière de logement ou le sans-abrisme diffèrent en fonction des contextes nationaux, régionaux et locaux. Néanmoins, l’</w:t>
      </w:r>
      <w:r w:rsidRPr="007021D2">
        <w:rPr>
          <w:b/>
          <w:noProof/>
        </w:rPr>
        <w:t>OCDE</w:t>
      </w:r>
      <w:r w:rsidRPr="007021D2">
        <w:rPr>
          <w:rStyle w:val="FootnoteReference"/>
          <w:noProof/>
        </w:rPr>
        <w:footnoteReference w:id="3"/>
      </w:r>
      <w:r w:rsidRPr="007021D2">
        <w:rPr>
          <w:noProof/>
        </w:rPr>
        <w:t xml:space="preserve"> indique que certaines populations sont particulièrement touchées par le sans-abrisme, notamment </w:t>
      </w:r>
      <w:r w:rsidRPr="007021D2">
        <w:rPr>
          <w:b/>
          <w:noProof/>
        </w:rPr>
        <w:t>les jeunes, les familles avec enfants, les migrants, les adultes âgés et les personnes handicapées</w:t>
      </w:r>
      <w:r w:rsidRPr="007021D2">
        <w:rPr>
          <w:noProof/>
        </w:rPr>
        <w:t>.</w:t>
      </w:r>
    </w:p>
    <w:p w14:paraId="539FE262" w14:textId="77777777" w:rsidR="00604D02" w:rsidRPr="007021D2" w:rsidRDefault="003A7975" w:rsidP="008F4F37">
      <w:pPr>
        <w:rPr>
          <w:b/>
          <w:noProof/>
        </w:rPr>
      </w:pPr>
      <w:r w:rsidRPr="007021D2">
        <w:rPr>
          <w:noProof/>
        </w:rPr>
        <w:t xml:space="preserve">Selon le </w:t>
      </w:r>
      <w:r w:rsidRPr="007021D2">
        <w:rPr>
          <w:b/>
          <w:noProof/>
        </w:rPr>
        <w:t>module EU-SILC de 2023</w:t>
      </w:r>
      <w:r w:rsidRPr="007021D2">
        <w:rPr>
          <w:rStyle w:val="FootnoteReference"/>
          <w:b/>
          <w:bCs/>
          <w:noProof/>
        </w:rPr>
        <w:footnoteReference w:id="4"/>
      </w:r>
      <w:r w:rsidRPr="007021D2">
        <w:rPr>
          <w:b/>
          <w:noProof/>
        </w:rPr>
        <w:t xml:space="preserve"> intitulé «Transmission intergénérationnelle d’avantages et de désavantages, difficultés de logement»</w:t>
      </w:r>
      <w:r w:rsidRPr="007021D2">
        <w:rPr>
          <w:rStyle w:val="FootnoteReference"/>
          <w:noProof/>
        </w:rPr>
        <w:footnoteReference w:id="5"/>
      </w:r>
      <w:r w:rsidRPr="007021D2">
        <w:rPr>
          <w:noProof/>
        </w:rPr>
        <w:t xml:space="preserve">, environ 5 % des adultes dans l’Union déclarent avoir connu des difficultés de logement à un moment donné de leur vie, qu’il s’agisse de dormir dans la rue, de séjourner dans des foyers d’accueil d’urgence, de vivre dans des logements atypiques ou de vivre temporairement chez des proches ou des amis par manque d’alternatives. La part de l’ensemble des ménages exposés au risque de pauvreté ou d’exclusion sociale qui connaissent des difficultés de logement représente plus du double de la part des ménages qui n’y sont pas exposés (8,5 % contre 3,9 %). Les ménages ayant des enfants à charge (18,1 %) sont plus susceptibles d’avoir de la difficulté à louer un logement que ceux qui n’en ont pas (10,2 %). Les principales causes des difficultés de logement sont les problèmes familiaux et personnels (30 %), les problèmes financiers (25,9 %), la perte d’emploi ou l’incapacité à trouver un emploi (7,3 %), la fin d’un contrat de location (5,2 %) et les problèmes relationnels ou familiaux (14,1 %). Les problèmes de santé contribuent aux </w:t>
      </w:r>
      <w:r w:rsidRPr="007021D2">
        <w:rPr>
          <w:noProof/>
        </w:rPr>
        <w:lastRenderedPageBreak/>
        <w:t xml:space="preserve">difficultés de logement dans 1,1 % des cas. De plus, 26,5 % ont surmonté les difficultés de logement en trouvant un emploi, 20,4 % en s’installant dans un logement social ou privé subventionné et 14,1 % grâce à des relations ou à la famille. </w:t>
      </w:r>
    </w:p>
    <w:p w14:paraId="37BCAA09" w14:textId="77777777" w:rsidR="00CB1B6A" w:rsidRPr="007021D2" w:rsidRDefault="001D4FFE" w:rsidP="008820B1">
      <w:pPr>
        <w:rPr>
          <w:noProof/>
        </w:rPr>
      </w:pPr>
      <w:r w:rsidRPr="007021D2">
        <w:rPr>
          <w:noProof/>
        </w:rPr>
        <w:t xml:space="preserve">Le sans-abrisme est également un </w:t>
      </w:r>
      <w:r w:rsidRPr="007021D2">
        <w:rPr>
          <w:b/>
          <w:noProof/>
        </w:rPr>
        <w:t>défi systémique important qui a des répercussions budgétaires et sociales considérables</w:t>
      </w:r>
      <w:r w:rsidRPr="007021D2">
        <w:rPr>
          <w:noProof/>
        </w:rPr>
        <w:t xml:space="preserve"> pour les États membres. Les pratiques qui privilégient une action réactive, axée sur la gestion de crise (soins d’urgence, hébergements temporaires, supervision pénale) engendrent un cycle de services coûteux qui ne s’attaquent pas aux causes profondes du sans-abrisme. Au-delà de l’incidence immédiate sur les budgets des États, il existe des coûts sociétaux plus larges, notamment l’érosion du potentiel humain et l’affaiblissement de la cohésion communautaire, étant donné que l’exclusion en matière de logement entrave l’engagement économique et perpétue les cycles d’inégalités intergénérationnelles. </w:t>
      </w:r>
    </w:p>
    <w:p w14:paraId="5BD3EC57" w14:textId="77777777" w:rsidR="00EB1FE2" w:rsidRPr="007021D2" w:rsidRDefault="008263D9" w:rsidP="00AB5546">
      <w:pPr>
        <w:rPr>
          <w:rFonts w:eastAsia="Calibri"/>
          <w:noProof/>
        </w:rPr>
      </w:pPr>
      <w:r w:rsidRPr="007021D2">
        <w:rPr>
          <w:b/>
          <w:noProof/>
        </w:rPr>
        <w:t>Il faut donc changer de stratégie de lutte contre l’exclusion en matière de logement et le sans-abrisme, et passer de la gestion des situations d’urgence à des politiques fondées sur une approche centrée sur la personne, axée sur le logement et intégrée</w:t>
      </w:r>
      <w:r w:rsidRPr="007021D2">
        <w:rPr>
          <w:noProof/>
        </w:rPr>
        <w:t xml:space="preserve">. </w:t>
      </w:r>
      <w:bookmarkStart w:id="1" w:name="_Hlk220762610"/>
      <w:r w:rsidRPr="007021D2">
        <w:rPr>
          <w:noProof/>
        </w:rPr>
        <w:t xml:space="preserve">Les </w:t>
      </w:r>
      <w:r w:rsidRPr="007021D2">
        <w:rPr>
          <w:b/>
          <w:noProof/>
        </w:rPr>
        <w:t>politiques centrées sur la personne</w:t>
      </w:r>
      <w:r w:rsidRPr="007021D2">
        <w:rPr>
          <w:noProof/>
        </w:rPr>
        <w:t xml:space="preserve"> visent à répondre aux difficultés spécifiques auxquelles font face les personnes et les ménages en situation de logement précaire qui sont touchés ou menacés par l’exclusion en matière de logement et le sans-abrisme. </w:t>
      </w:r>
      <w:bookmarkEnd w:id="1"/>
      <w:r w:rsidRPr="007021D2">
        <w:rPr>
          <w:noProof/>
        </w:rPr>
        <w:t xml:space="preserve">Les </w:t>
      </w:r>
      <w:r w:rsidRPr="007021D2">
        <w:rPr>
          <w:b/>
          <w:noProof/>
        </w:rPr>
        <w:t>approches axées sur le logement</w:t>
      </w:r>
      <w:r w:rsidRPr="007021D2">
        <w:rPr>
          <w:noProof/>
        </w:rPr>
        <w:t xml:space="preserve">, telles que l’approche du «logement d’abord», aident les personnes en situation de logement précaire à conserver leur logement et visent à fournir le plus rapidement possible un logement stable, assorti de </w:t>
      </w:r>
      <w:r w:rsidRPr="007021D2">
        <w:rPr>
          <w:b/>
          <w:noProof/>
        </w:rPr>
        <w:t>services de soutien intégrés</w:t>
      </w:r>
      <w:r w:rsidRPr="007021D2">
        <w:rPr>
          <w:noProof/>
        </w:rPr>
        <w:t xml:space="preserve">, aux personnes touchées par l’exclusion en matière de logement et plus particulièrement le sans-abrisme. Les données disponibles montrent qu’il s’agit des politiques les plus efficaces et les plus rentables pour lutter contre le sans-abrisme. </w:t>
      </w:r>
    </w:p>
    <w:p w14:paraId="6C1EB3F9" w14:textId="77777777" w:rsidR="00AB5546" w:rsidRPr="007021D2" w:rsidRDefault="006571EC" w:rsidP="00AB5546">
      <w:pPr>
        <w:rPr>
          <w:noProof/>
        </w:rPr>
      </w:pPr>
      <w:r w:rsidRPr="007021D2">
        <w:rPr>
          <w:noProof/>
        </w:rPr>
        <w:t xml:space="preserve">Les approches axées sur le logement peuvent être entravées par le manque de logements abordables. Bien que l’augmentation de l’offre de logements abordables soit un objectif à moyen et à long terme, des améliorations à court terme pourraient être obtenues grâce à une attribution plus ciblée des logements sociaux et publics, ainsi qu’en aidant les personnes en situation de sans-abrisme à accéder aux logements existants et vacants sur le marché locatif au moyen d’une aide à la recherche de logement, de garanties ou de subventions locatives et d’un soutien financier pour le paiement des cautions, tout en prévoyant des mesures de protection et des incitations appropriées en faveur des propriétaires. L’augmentation de l’offre de logements abordables est un défi qui nécessite la participation de multiples parties prenantes à chaque étape du processus, à commencer par la conception de mesures spécifiques en matière de politique du logement afin de stimuler l’offre de logements sociaux et abordables d’une manière qui encourage également les investissements privés. L’offre de logement doit être intégrée à l’aide sociale, à l’aide au logement, aux services de soins de santé et de soins de longue durée, aux services d’intégration sur le marché du travail et à d’autres services essentiels afin de relever les défis multiples liés à l’exclusion en matière de logement et au sans-abrisme. </w:t>
      </w:r>
    </w:p>
    <w:p w14:paraId="70EB46A6" w14:textId="77777777" w:rsidR="002224A1" w:rsidRPr="007021D2" w:rsidRDefault="002224A1" w:rsidP="00ED7527">
      <w:pPr>
        <w:rPr>
          <w:noProof/>
        </w:rPr>
      </w:pPr>
      <w:r w:rsidRPr="007021D2">
        <w:rPr>
          <w:b/>
          <w:noProof/>
        </w:rPr>
        <w:t>La qualité est essentielle à la durabilité du logement, ainsi qu’à la dignité et au bien-être d’une personne</w:t>
      </w:r>
      <w:r w:rsidRPr="007021D2">
        <w:rPr>
          <w:noProof/>
        </w:rPr>
        <w:t xml:space="preserve">. Les normes minimales en matière de logement décent comprennent des conditions de sécurité visant à protéger les occupants contre des risques, tels que l’effondrement de la structure, les incendies, l’insalubrité et les menaces environnementales, ainsi que des aménagements en matière d’accessibilité, le cas échéant. La sécurité du logement nécessite des services essentiels adéquats (par exemple, l’électricité, le chauffage et l’eau courante) et une protection contre les intempéries, les problèmes de structure et d’autres dangers. Un logement de qualité implique également une bonne performance énergétique, afin </w:t>
      </w:r>
      <w:r w:rsidRPr="007021D2">
        <w:rPr>
          <w:noProof/>
        </w:rPr>
        <w:lastRenderedPageBreak/>
        <w:t xml:space="preserve">d’éviter que les ménages ne soient confrontés à la précarité énergétique, et un espace de vie suffisant par personne pour éviter le surpeuplement. </w:t>
      </w:r>
    </w:p>
    <w:p w14:paraId="0D023D6D" w14:textId="77777777" w:rsidR="0B2BA4A7" w:rsidRPr="007021D2" w:rsidRDefault="7190567F" w:rsidP="00ED7527">
      <w:pPr>
        <w:rPr>
          <w:rFonts w:eastAsia="Calibri"/>
          <w:noProof/>
        </w:rPr>
      </w:pPr>
      <w:r w:rsidRPr="007021D2">
        <w:rPr>
          <w:b/>
          <w:noProof/>
        </w:rPr>
        <w:t>Des cadres stratégiques de lutte contre le sans-abrisme</w:t>
      </w:r>
      <w:r w:rsidRPr="007021D2">
        <w:rPr>
          <w:noProof/>
        </w:rPr>
        <w:t xml:space="preserve"> existent actuellement dans dix-neuf États membres, à l’échelon national ou infranational. Ces stratégies accordent la priorité à la mise à disposition de logements sociaux et abordables, ainsi qu’à un accompagnement complet des personnes en situation de sans-abrisme. La prévention du sans-abrisme et le passage d’un hébergement d’urgence et temporaire à des solutions de logement à long terme, notamment le développement ou l’expansion d’approches telles que l’approche du «logement d’abord», sont au cœur des politiques menées dans plusieurs pays.</w:t>
      </w:r>
    </w:p>
    <w:p w14:paraId="29FB4076" w14:textId="77777777" w:rsidR="008F4F37" w:rsidRPr="007021D2" w:rsidRDefault="008F4F37" w:rsidP="00ED7527">
      <w:pPr>
        <w:rPr>
          <w:rFonts w:eastAsia="Calibri"/>
          <w:noProof/>
        </w:rPr>
      </w:pPr>
      <w:r w:rsidRPr="007021D2">
        <w:rPr>
          <w:b/>
          <w:noProof/>
        </w:rPr>
        <w:t>Pour lutter efficacement contre l’exclusion en matière de logement et le sans-abrisme, il faut donner la priorité à la prévention</w:t>
      </w:r>
      <w:r w:rsidRPr="007021D2">
        <w:rPr>
          <w:noProof/>
        </w:rPr>
        <w:t>, dont les ressources sont souvent insuffisantes. Bien que les approches préventives soient plus économiques que les approches réactives, elles sont souvent éclipsées par des réponses rapides et urgentes. Les services d’intervention précoce, notamment la médiation en cas d’arriérés de loyer, le conseil en matière de dette de loyers ou de dette hypothécaire, l’assistance juridique concernant les droits des locataires et des propriétaires, les systèmes d’alerte précoce et l’aide financière à court terme, sont fournis de manière incohérente et peuvent être difficiles d’accès. L’amélioration de ces services, un accompagnement personnalisé pour les personnes sortant d’un établissement et une aide financière suffisante pour favoriser le recours aux prestations sont essentiels pour briser le cercle vicieux qui conduit au sans-abrisme.</w:t>
      </w:r>
    </w:p>
    <w:p w14:paraId="26E4BBBF" w14:textId="77777777" w:rsidR="00BD7A63" w:rsidRPr="007021D2" w:rsidRDefault="007F6B16" w:rsidP="00BD7A63">
      <w:pPr>
        <w:rPr>
          <w:noProof/>
        </w:rPr>
      </w:pPr>
      <w:r w:rsidRPr="007021D2">
        <w:rPr>
          <w:noProof/>
        </w:rPr>
        <w:t xml:space="preserve">Les mesures préventives peuvent également porter sur les </w:t>
      </w:r>
      <w:r w:rsidRPr="007021D2">
        <w:rPr>
          <w:b/>
          <w:noProof/>
        </w:rPr>
        <w:t>expulsions</w:t>
      </w:r>
      <w:r w:rsidRPr="007021D2">
        <w:rPr>
          <w:noProof/>
        </w:rPr>
        <w:t xml:space="preserve"> arbitraires ou forcées. S’il est difficile d’obtenir des données complètes, fiables et comparables sur les expulsions, par exemple sur le nombre d’avis, de procédures ou d’ordonnances d’expulsion, et sur la question de savoir si les données portent sur toutes les expulsions ou uniquement sur celles menées par les services répressifs, l’OCDE estime qu’au moins 2,4 millions de procédures formelles d’expulsion sont engagées chaque année dans les pays de l’OCDE.</w:t>
      </w:r>
    </w:p>
    <w:p w14:paraId="0A1934E8" w14:textId="42B38575" w:rsidR="008D3E29" w:rsidRPr="007021D2" w:rsidRDefault="005D5924" w:rsidP="00BD7A63">
      <w:pPr>
        <w:rPr>
          <w:rFonts w:eastAsia="Calibri"/>
          <w:noProof/>
        </w:rPr>
      </w:pPr>
      <w:r w:rsidRPr="007021D2">
        <w:rPr>
          <w:noProof/>
        </w:rPr>
        <w:t xml:space="preserve">Des mesures d’atténuation et des mécanismes de coopération devraient être mis au point pour réduire les risques d’expulsion et de sans-abrisme. La convention européenne des droits de l’homme et la charte sociale européenne exigent que les pays garantissent une protection juridique aux personnes menacées d’expulsion. Il s’agit notamment de consulter les parties concernées afin de trouver d’autres solutions, d’établir des échéanciers pour garantir le paiement des loyers et des crédits immobiliers, de proposer un délai de préavis raisonnable en cas d’expulsion, d’interdire les expulsions nocturnes ou hivernales dans la mesure du possible, de prévoir des recours juridiques contre les expulsions illégales et l’octroi d’une aide, et de proposer une indemnisation en cas d’expulsion illégale. Lorsqu’une expulsion a lieu, elle doit respecter la dignité et les droits des personnes et devrait être accompagnée d’une solution de relogement. </w:t>
      </w:r>
    </w:p>
    <w:p w14:paraId="5C4B72A1" w14:textId="07691E17" w:rsidR="008F4F37" w:rsidRPr="007021D2" w:rsidRDefault="008F4F37" w:rsidP="00ED7527">
      <w:pPr>
        <w:rPr>
          <w:rFonts w:eastAsia="Calibri"/>
          <w:noProof/>
        </w:rPr>
      </w:pPr>
      <w:r w:rsidRPr="007021D2">
        <w:rPr>
          <w:b/>
          <w:noProof/>
        </w:rPr>
        <w:t>Une stratégie efficace de lutte contre l’exclusion en matière de logement et le sans-abrisme</w:t>
      </w:r>
      <w:r w:rsidRPr="007021D2">
        <w:rPr>
          <w:noProof/>
        </w:rPr>
        <w:t xml:space="preserve"> devrait donc prévoir l’augmentation de l’offre de logements sociaux et abordables afin d’apporter des solutions stables à moyen et à long terme, et inclure des mesures de prévention et de relogement en protégeant les personnes en situation de logement précaire contre l’expulsion, en intervenant rapidement en cas de loyers impayés, notamment en proposant des conseils financiers et en matière d’endettement, ainsi qu’en garantissant l’accès à des services sociaux, d’emploi, de santé et de soins adaptés.</w:t>
      </w:r>
    </w:p>
    <w:p w14:paraId="557979C1" w14:textId="77777777" w:rsidR="00C578AE" w:rsidRPr="007021D2" w:rsidRDefault="00C578AE">
      <w:pPr>
        <w:pStyle w:val="ManualHeading2"/>
        <w:rPr>
          <w:rFonts w:eastAsia="Arial Unicode MS"/>
          <w:noProof/>
          <w:color w:val="000000"/>
          <w:u w:color="000000"/>
          <w:bdr w:val="nil"/>
        </w:rPr>
      </w:pPr>
      <w:r w:rsidRPr="007021D2">
        <w:rPr>
          <w:noProof/>
          <w:color w:val="000000"/>
          <w:u w:color="000000"/>
          <w:bdr w:val="nil"/>
        </w:rPr>
        <w:t>•</w:t>
      </w:r>
      <w:r w:rsidRPr="007021D2">
        <w:rPr>
          <w:noProof/>
        </w:rPr>
        <w:tab/>
        <w:t>Cohérence avec les dispositions existantes dans le domaine d’action</w:t>
      </w:r>
    </w:p>
    <w:p w14:paraId="3040D734" w14:textId="77777777" w:rsidR="0051699B" w:rsidRPr="007021D2" w:rsidRDefault="00AB0D67" w:rsidP="00AB0D67">
      <w:pPr>
        <w:pBdr>
          <w:top w:val="nil"/>
          <w:left w:val="nil"/>
          <w:bottom w:val="nil"/>
          <w:right w:val="nil"/>
          <w:between w:val="nil"/>
          <w:bar w:val="nil"/>
        </w:pBdr>
        <w:spacing w:before="0" w:after="240"/>
        <w:rPr>
          <w:rFonts w:eastAsia="Arial Unicode MS"/>
          <w:noProof/>
        </w:rPr>
      </w:pPr>
      <w:r w:rsidRPr="007021D2">
        <w:rPr>
          <w:noProof/>
        </w:rPr>
        <w:t xml:space="preserve">La proposition contribue à la mise en œuvre du </w:t>
      </w:r>
      <w:r w:rsidRPr="007021D2">
        <w:rPr>
          <w:b/>
          <w:noProof/>
        </w:rPr>
        <w:t>principe 19 du socle européen des droits sociaux relatif au logement et à l’aide aux sans-abri</w:t>
      </w:r>
      <w:r w:rsidRPr="007021D2">
        <w:rPr>
          <w:noProof/>
        </w:rPr>
        <w:t>.</w:t>
      </w:r>
      <w:r w:rsidRPr="007021D2">
        <w:rPr>
          <w:b/>
          <w:noProof/>
        </w:rPr>
        <w:t xml:space="preserve"> </w:t>
      </w:r>
      <w:r w:rsidRPr="007021D2">
        <w:rPr>
          <w:noProof/>
        </w:rPr>
        <w:t xml:space="preserve">Ce principe reconnaît que les </w:t>
      </w:r>
      <w:r w:rsidRPr="007021D2">
        <w:rPr>
          <w:noProof/>
        </w:rPr>
        <w:lastRenderedPageBreak/>
        <w:t xml:space="preserve">personnes dans le besoin devraient avoir accès au logement social ou à une aide au logement de qualité, que les personnes vulnérables ont droit à une protection contre les expulsions forcées et que des hébergements et des services adéquats doivent être fournis aux sans-abri. </w:t>
      </w:r>
    </w:p>
    <w:p w14:paraId="428CA38F" w14:textId="68ED2CBB" w:rsidR="009A2B0D" w:rsidRPr="007021D2" w:rsidRDefault="00882C93" w:rsidP="00F422C3">
      <w:pPr>
        <w:pBdr>
          <w:top w:val="nil"/>
          <w:left w:val="nil"/>
          <w:bottom w:val="nil"/>
          <w:right w:val="nil"/>
          <w:between w:val="nil"/>
          <w:bar w:val="nil"/>
        </w:pBdr>
        <w:spacing w:before="0" w:after="240"/>
        <w:rPr>
          <w:noProof/>
        </w:rPr>
      </w:pPr>
      <w:r w:rsidRPr="007021D2">
        <w:rPr>
          <w:noProof/>
        </w:rPr>
        <w:t>Les conclusions de la présidence du 1</w:t>
      </w:r>
      <w:r w:rsidRPr="007021D2">
        <w:rPr>
          <w:noProof/>
          <w:vertAlign w:val="superscript"/>
        </w:rPr>
        <w:t>er</w:t>
      </w:r>
      <w:r w:rsidRPr="007021D2">
        <w:rPr>
          <w:noProof/>
        </w:rPr>
        <w:t> décembre 2025 sur le futur plan européen pour des logements abordables appellent à renforcer la coopération au niveau de l’Union en s’appuyant sur les travaux de la plateforme européenne sur la lutte contre le sans-abrisme et les politiques axées sur le logement, telles que le principe du «logement d’abord», et en renforçant encore ces travaux. Elles invitent également la Commission à examiner si une recommandation du Conseil peut contribuer à cette fin. En décembre</w:t>
      </w:r>
      <w:r w:rsidR="007021D2" w:rsidRPr="007021D2">
        <w:rPr>
          <w:noProof/>
        </w:rPr>
        <w:t> </w:t>
      </w:r>
      <w:r w:rsidRPr="007021D2">
        <w:rPr>
          <w:noProof/>
        </w:rPr>
        <w:t xml:space="preserve">2025, la Commission européenne a lancé le </w:t>
      </w:r>
      <w:r w:rsidRPr="007021D2">
        <w:rPr>
          <w:b/>
          <w:noProof/>
        </w:rPr>
        <w:t>plan européen pour des logements abordables</w:t>
      </w:r>
      <w:r w:rsidRPr="007021D2">
        <w:rPr>
          <w:noProof/>
        </w:rPr>
        <w:t xml:space="preserve">, le premier cadre de l’Union visant à s’attaquer à la crise du logement. Le plan s’articule autour de quatre piliers: i) augmenter l’offre de logements; ii) mobiliser l’investissement; iii) offrir une aide immédiate tout en lançant des réformes; et iv) protéger les personnes les plus touchées par l’exclusion en matière de logement. L’action nº 10 du plan, qui vise principalement à lutter contre le sans-abrisme et à soutenir les locataires et les ménages en situation de vulnérabilité, propose une recommandation du Conseil sur la lutte contre l’exclusion en matière de logement afin de soutenir les personnes vulnérables en situation de logement précaire, de prévenir le sans-abrisme et d’y remédier. </w:t>
      </w:r>
    </w:p>
    <w:p w14:paraId="286B6B3C" w14:textId="77777777" w:rsidR="00AB0D67" w:rsidRPr="007021D2" w:rsidRDefault="00A667D7" w:rsidP="00ED7527">
      <w:pPr>
        <w:rPr>
          <w:rFonts w:eastAsia="Calibri"/>
          <w:noProof/>
        </w:rPr>
      </w:pPr>
      <w:r w:rsidRPr="007021D2">
        <w:rPr>
          <w:noProof/>
        </w:rPr>
        <w:t xml:space="preserve">La </w:t>
      </w:r>
      <w:r w:rsidRPr="007021D2">
        <w:rPr>
          <w:b/>
          <w:noProof/>
        </w:rPr>
        <w:t>déclaration de Lisbonne sur la plateforme européenne de lutte contre le sans-abrisme</w:t>
      </w:r>
      <w:r w:rsidRPr="007021D2">
        <w:rPr>
          <w:noProof/>
        </w:rPr>
        <w:t xml:space="preserve"> a donné naissance à la </w:t>
      </w:r>
      <w:r w:rsidRPr="007021D2">
        <w:rPr>
          <w:b/>
          <w:noProof/>
        </w:rPr>
        <w:t>plateforme européenne sur la lutte contre le sans-abrisme</w:t>
      </w:r>
      <w:r w:rsidRPr="007021D2">
        <w:rPr>
          <w:noProof/>
        </w:rPr>
        <w:t xml:space="preserve"> (ci-après la «plateforme»), qui vise à promouvoir i) la collecte de données comparables et fiables ainsi que le suivi; ii) l’échange de connaissances; et iii) l’amélioration de l’accès au financement, ainsi que iv) l’intégration de la question de l’exclusion en matière de logement et du sans-abrisme dans toutes les politiques pertinentes de l’Union. La proposition présentée s’appuie sur les travaux effectués jusqu’à présent et sur les enseignements tirés dans le cadre de la plateforme.</w:t>
      </w:r>
    </w:p>
    <w:p w14:paraId="3BFD9ECF" w14:textId="77777777" w:rsidR="004843BA" w:rsidRPr="007021D2" w:rsidRDefault="00AB0D67" w:rsidP="004843BA">
      <w:pPr>
        <w:pStyle w:val="Text1"/>
        <w:ind w:left="0"/>
        <w:rPr>
          <w:noProof/>
        </w:rPr>
      </w:pPr>
      <w:r w:rsidRPr="007021D2">
        <w:rPr>
          <w:noProof/>
        </w:rPr>
        <w:t xml:space="preserve">La Commission a considérablement renforcé sa contribution aux politiques liées au logement, tout en respectant pleinement la compétence des États membres dans ce domaine. Si la plupart des compétences en matière de logement relèvent des autorités nationales, régionales et locales, la situation a évolué, passant d’un simple problème de logement à l’échelle local à une </w:t>
      </w:r>
      <w:r w:rsidRPr="007021D2">
        <w:rPr>
          <w:b/>
          <w:noProof/>
        </w:rPr>
        <w:t>crise systémique du logement</w:t>
      </w:r>
      <w:r w:rsidRPr="007021D2">
        <w:rPr>
          <w:noProof/>
        </w:rPr>
        <w:t xml:space="preserve">. La </w:t>
      </w:r>
      <w:r w:rsidRPr="007021D2">
        <w:rPr>
          <w:b/>
          <w:noProof/>
        </w:rPr>
        <w:t>recommandation du Conseil de 2023 relative à un revenu minimum adéquat pour garantir une inclusion active</w:t>
      </w:r>
      <w:r w:rsidRPr="007021D2">
        <w:rPr>
          <w:noProof/>
        </w:rPr>
        <w:t xml:space="preserve"> définit l’accès au logement comme l’un des services de soutien qui peuvent aider les personnes ne disposant pas de ressources suffisantes à s’intégrer dans la société et, le cas échéant, sur le marché du travail, ainsi qu’à accéder à d’autres services de soutien et à une aide au revenu.</w:t>
      </w:r>
    </w:p>
    <w:p w14:paraId="0BC24604" w14:textId="77777777" w:rsidR="00C578AE" w:rsidRPr="007021D2" w:rsidRDefault="00C578AE">
      <w:pPr>
        <w:pStyle w:val="ManualHeading2"/>
        <w:rPr>
          <w:rFonts w:eastAsia="Arial Unicode MS"/>
          <w:noProof/>
        </w:rPr>
      </w:pPr>
      <w:r w:rsidRPr="007021D2">
        <w:rPr>
          <w:noProof/>
          <w:color w:val="000000"/>
          <w:u w:color="000000"/>
          <w:bdr w:val="nil"/>
        </w:rPr>
        <w:t>•</w:t>
      </w:r>
      <w:r w:rsidRPr="007021D2">
        <w:rPr>
          <w:noProof/>
        </w:rPr>
        <w:tab/>
        <w:t>Cohérence avec les autres politiques de l’Union</w:t>
      </w:r>
    </w:p>
    <w:p w14:paraId="3704C0A0" w14:textId="77777777" w:rsidR="00C52196" w:rsidRPr="007021D2" w:rsidRDefault="001C56C6" w:rsidP="00353E62">
      <w:pPr>
        <w:pBdr>
          <w:top w:val="nil"/>
          <w:left w:val="nil"/>
          <w:bottom w:val="nil"/>
          <w:right w:val="nil"/>
          <w:between w:val="nil"/>
          <w:bar w:val="nil"/>
        </w:pBdr>
        <w:spacing w:before="0" w:after="240"/>
        <w:rPr>
          <w:rFonts w:eastAsia="Arial Unicode MS"/>
          <w:noProof/>
        </w:rPr>
      </w:pPr>
      <w:r w:rsidRPr="007021D2">
        <w:rPr>
          <w:noProof/>
        </w:rPr>
        <w:t xml:space="preserve">Adoptée en 2021, la </w:t>
      </w:r>
      <w:r w:rsidRPr="007021D2">
        <w:rPr>
          <w:b/>
          <w:noProof/>
        </w:rPr>
        <w:t>garantie européenne pour l’enfance</w:t>
      </w:r>
      <w:r w:rsidRPr="007021D2">
        <w:rPr>
          <w:noProof/>
        </w:rPr>
        <w:t xml:space="preserve"> vise à prévenir et à combattre l’exclusion sociale en recommandant aux États membres de garantir aux enfants dans le besoin l’accès effectif à un ensemble de services essentiels, y compris un logement adéquat. Elle recommande aux États membres de tenir compte des désavantages spécifiques subis par les enfants sans-abri ou les enfants confrontés à une privation grave de logement et de veiller à ce qu’ils aient accès, avec leurs familles, à un «hébergement adéquat» et à des services sociaux et de conseil pertinents. </w:t>
      </w:r>
    </w:p>
    <w:p w14:paraId="4C5E844E" w14:textId="77777777" w:rsidR="0035599E" w:rsidRPr="007021D2" w:rsidRDefault="00306004" w:rsidP="00353E62">
      <w:pPr>
        <w:pBdr>
          <w:top w:val="nil"/>
          <w:left w:val="nil"/>
          <w:bottom w:val="nil"/>
          <w:right w:val="nil"/>
          <w:between w:val="nil"/>
          <w:bar w:val="nil"/>
        </w:pBdr>
        <w:spacing w:before="0" w:after="240"/>
        <w:rPr>
          <w:rFonts w:eastAsia="Arial Unicode MS"/>
          <w:noProof/>
        </w:rPr>
      </w:pPr>
      <w:r w:rsidRPr="007021D2">
        <w:rPr>
          <w:noProof/>
        </w:rPr>
        <w:t xml:space="preserve">La </w:t>
      </w:r>
      <w:r w:rsidRPr="007021D2">
        <w:rPr>
          <w:b/>
          <w:noProof/>
        </w:rPr>
        <w:t>recommandation du Conseil sur l’accès à des soins de longue durée abordables et de haute qualité</w:t>
      </w:r>
      <w:r w:rsidRPr="007021D2">
        <w:rPr>
          <w:noProof/>
        </w:rPr>
        <w:t xml:space="preserve"> invite les États membres à étendre les services formels de soins de longue durée, en particulier les soins à domicile et les services de proximité. Un logement adapté à l’évolution des besoins des personnes en matière de soins est une condition préalable </w:t>
      </w:r>
      <w:r w:rsidRPr="007021D2">
        <w:rPr>
          <w:noProof/>
        </w:rPr>
        <w:lastRenderedPageBreak/>
        <w:t>fondamentale au vieillissement au sein de sa communauté, permettant la fourniture de soins à domicile.</w:t>
      </w:r>
    </w:p>
    <w:p w14:paraId="6106776E" w14:textId="77777777" w:rsidR="0022205D" w:rsidRPr="007021D2" w:rsidRDefault="0022205D" w:rsidP="00353E62">
      <w:pPr>
        <w:pBdr>
          <w:top w:val="nil"/>
          <w:left w:val="nil"/>
          <w:bottom w:val="nil"/>
          <w:right w:val="nil"/>
          <w:between w:val="nil"/>
          <w:bar w:val="nil"/>
        </w:pBdr>
        <w:spacing w:before="0" w:after="240"/>
        <w:rPr>
          <w:noProof/>
        </w:rPr>
      </w:pPr>
      <w:r w:rsidRPr="007021D2">
        <w:rPr>
          <w:noProof/>
        </w:rPr>
        <w:t xml:space="preserve">Le </w:t>
      </w:r>
      <w:r w:rsidRPr="007021D2">
        <w:rPr>
          <w:b/>
          <w:noProof/>
        </w:rPr>
        <w:t>plan d’action pour l’économie sociale</w:t>
      </w:r>
      <w:r w:rsidRPr="007021D2">
        <w:rPr>
          <w:noProof/>
        </w:rPr>
        <w:t xml:space="preserve"> de 2021 et la </w:t>
      </w:r>
      <w:r w:rsidRPr="007021D2">
        <w:rPr>
          <w:b/>
          <w:noProof/>
        </w:rPr>
        <w:t>recommandation correspondante du Conseil de 2023 relative à la mise en place des conditions-cadres de l’économie sociale</w:t>
      </w:r>
      <w:r w:rsidRPr="007021D2">
        <w:rPr>
          <w:noProof/>
        </w:rPr>
        <w:t xml:space="preserve"> visent à améliorer les conditions-cadres des organisations de l’économie sociale dans toute l’Europe. De nombreuses organisations de l’économie sociale s’emploient à promouvoir l’inclusion sociale des personnes marginalisées et défavorisées, notamment par l’intégration professionnelle et la fourniture de logements abordables et inclusifs et d’autres services sociaux pertinents (tels qu’un soutien juridique et pratique aux locataires). </w:t>
      </w:r>
    </w:p>
    <w:p w14:paraId="5020A1A8" w14:textId="77777777" w:rsidR="00EF2059" w:rsidRPr="007021D2" w:rsidRDefault="00E56715" w:rsidP="00BB5BCC">
      <w:pPr>
        <w:pBdr>
          <w:top w:val="nil"/>
          <w:left w:val="nil"/>
          <w:bottom w:val="nil"/>
          <w:right w:val="nil"/>
          <w:between w:val="nil"/>
          <w:bar w:val="nil"/>
        </w:pBdr>
        <w:spacing w:before="0" w:after="240"/>
        <w:rPr>
          <w:noProof/>
        </w:rPr>
      </w:pPr>
      <w:r w:rsidRPr="007021D2">
        <w:rPr>
          <w:noProof/>
        </w:rPr>
        <w:t xml:space="preserve">La </w:t>
      </w:r>
      <w:r w:rsidRPr="007021D2">
        <w:rPr>
          <w:b/>
          <w:noProof/>
        </w:rPr>
        <w:t>stratégie sur l’équité intergénérationnelle</w:t>
      </w:r>
      <w:r w:rsidRPr="007021D2">
        <w:rPr>
          <w:noProof/>
        </w:rPr>
        <w:t xml:space="preserve"> indique que l’accès à un logement abordable et durable, à des services publics de qualité, y compris des services sociaux et de soins, aux transports, à la connectivité numérique, à des infrastructures sociales ainsi qu’à des installations récréatives est fondamental pour que les personnes puissent rester, revenir dans leur communauté ou y construire leur avenir. </w:t>
      </w:r>
    </w:p>
    <w:p w14:paraId="0EE69D0D" w14:textId="77777777" w:rsidR="00504CF8" w:rsidRPr="007021D2" w:rsidRDefault="0078108A" w:rsidP="00504CF8">
      <w:pPr>
        <w:pBdr>
          <w:top w:val="nil"/>
          <w:left w:val="nil"/>
          <w:bottom w:val="nil"/>
          <w:right w:val="nil"/>
          <w:between w:val="nil"/>
          <w:bar w:val="nil"/>
        </w:pBdr>
        <w:spacing w:before="0" w:after="240"/>
        <w:rPr>
          <w:rFonts w:eastAsia="Arial Unicode MS"/>
          <w:noProof/>
        </w:rPr>
      </w:pPr>
      <w:r w:rsidRPr="007021D2">
        <w:rPr>
          <w:noProof/>
        </w:rPr>
        <w:t xml:space="preserve">La </w:t>
      </w:r>
      <w:r w:rsidRPr="007021D2">
        <w:rPr>
          <w:b/>
          <w:noProof/>
        </w:rPr>
        <w:t>communication de la Commission de 2023 sur une approche globale en matière de santé mentale</w:t>
      </w:r>
      <w:r w:rsidRPr="007021D2">
        <w:rPr>
          <w:noProof/>
        </w:rPr>
        <w:t xml:space="preserve"> considère les personnes en situation de sans-abrisme comme un groupe vulnérable nécessitant un soutien ciblé. La communication reconnaît également que l’exclusion en matière de logement renforce les problèmes de santé mentale et le handicap.</w:t>
      </w:r>
    </w:p>
    <w:p w14:paraId="4023A83B" w14:textId="77777777" w:rsidR="00303B70" w:rsidRPr="007021D2" w:rsidRDefault="00303B70" w:rsidP="00303B70">
      <w:pPr>
        <w:pBdr>
          <w:top w:val="nil"/>
          <w:left w:val="nil"/>
          <w:bottom w:val="nil"/>
          <w:right w:val="nil"/>
          <w:between w:val="nil"/>
          <w:bar w:val="nil"/>
        </w:pBdr>
        <w:spacing w:before="0" w:after="240"/>
        <w:rPr>
          <w:rFonts w:eastAsia="Arial Unicode MS"/>
          <w:noProof/>
        </w:rPr>
      </w:pPr>
      <w:r w:rsidRPr="007021D2">
        <w:rPr>
          <w:noProof/>
        </w:rPr>
        <w:t xml:space="preserve">Le </w:t>
      </w:r>
      <w:r w:rsidRPr="007021D2">
        <w:rPr>
          <w:b/>
          <w:noProof/>
        </w:rPr>
        <w:t>plan d’action en faveur de l’intégration et de l’inclusion pour la période 2021-2027</w:t>
      </w:r>
      <w:r w:rsidRPr="007021D2">
        <w:rPr>
          <w:noProof/>
        </w:rPr>
        <w:t xml:space="preserve"> fournit un cadre global pour soutenir à la fois les migrants et les citoyens de l’Union issus de l’immigration. Fondé sur le principe de «l’inclusion pour tous», il définit des mesures visant à renforcer l’action et à réunir les acteurs à tous les niveaux afin de faire progresser l’intégration et l’inclusion, en favorisant la cohésion sociale dans quatre domaines: l’éducation, l’emploi, la santé et le logement.</w:t>
      </w:r>
    </w:p>
    <w:p w14:paraId="32F9B53A" w14:textId="77777777" w:rsidR="005F505C" w:rsidRPr="007021D2" w:rsidRDefault="005F505C" w:rsidP="00303B70">
      <w:pPr>
        <w:pBdr>
          <w:top w:val="nil"/>
          <w:left w:val="nil"/>
          <w:bottom w:val="nil"/>
          <w:right w:val="nil"/>
          <w:between w:val="nil"/>
          <w:bar w:val="nil"/>
        </w:pBdr>
        <w:spacing w:before="0" w:after="240"/>
        <w:rPr>
          <w:rFonts w:eastAsia="Arial Unicode MS"/>
          <w:noProof/>
        </w:rPr>
      </w:pPr>
      <w:r w:rsidRPr="007021D2">
        <w:rPr>
          <w:noProof/>
        </w:rPr>
        <w:t xml:space="preserve">La </w:t>
      </w:r>
      <w:r w:rsidRPr="007021D2">
        <w:rPr>
          <w:b/>
          <w:noProof/>
        </w:rPr>
        <w:t>vision à long terme pour les zones rurales de l’Union</w:t>
      </w:r>
      <w:r w:rsidRPr="007021D2">
        <w:rPr>
          <w:rStyle w:val="FootnoteReference"/>
          <w:rFonts w:eastAsia="Arial Unicode MS"/>
          <w:noProof/>
        </w:rPr>
        <w:footnoteReference w:id="6"/>
      </w:r>
      <w:r w:rsidRPr="007021D2">
        <w:rPr>
          <w:noProof/>
        </w:rPr>
        <w:t xml:space="preserve"> définit un cadre global pour des zones rurales plus fortes, connectées, résilientes et prospères à l’horizon 2040. La prise en compte de l’accès aux services de base est l’un des objectifs de la vision à long terme pour les zones rurales, y compris le logement rural. Le plan d’action rural mis à jour, qui sera publié en 2026, prévoit d’inclure une action visant à traiter la question du logement en milieu rural.</w:t>
      </w:r>
    </w:p>
    <w:p w14:paraId="30AA4B16" w14:textId="5FAD8918" w:rsidR="006D6F50" w:rsidRPr="007021D2" w:rsidRDefault="00005BA0" w:rsidP="00763768">
      <w:pPr>
        <w:pBdr>
          <w:top w:val="nil"/>
          <w:left w:val="nil"/>
          <w:bottom w:val="nil"/>
          <w:right w:val="nil"/>
          <w:between w:val="nil"/>
          <w:bar w:val="nil"/>
        </w:pBdr>
        <w:spacing w:before="0" w:after="240"/>
        <w:rPr>
          <w:rFonts w:eastAsia="Arial Unicode MS"/>
          <w:noProof/>
        </w:rPr>
      </w:pPr>
      <w:r w:rsidRPr="007021D2">
        <w:rPr>
          <w:noProof/>
        </w:rPr>
        <w:t>Adoptée en janvier</w:t>
      </w:r>
      <w:r w:rsidR="007021D2" w:rsidRPr="007021D2">
        <w:rPr>
          <w:noProof/>
        </w:rPr>
        <w:t> </w:t>
      </w:r>
      <w:r w:rsidRPr="007021D2">
        <w:rPr>
          <w:noProof/>
        </w:rPr>
        <w:t xml:space="preserve">2026, la </w:t>
      </w:r>
      <w:r w:rsidRPr="007021D2">
        <w:rPr>
          <w:b/>
          <w:noProof/>
        </w:rPr>
        <w:t>stratégie européenne de lutte contre le racisme 2026-2030</w:t>
      </w:r>
      <w:r w:rsidRPr="007021D2">
        <w:rPr>
          <w:noProof/>
        </w:rPr>
        <w:t xml:space="preserve"> reconnaît que les personnes issues de minorités raciales et ethniques sont victimes de discriminations et se heurtent à des obstacles sur le marché du logement. Les communautés racialisées, y compris les Roms, font face à des inégalités en matière d’accès au logement et courent des risques disproportionnés de surpeuplement, de mauvaises conditions de vie, de sans-abrisme et de ségrégation. </w:t>
      </w:r>
    </w:p>
    <w:p w14:paraId="100F5CBE" w14:textId="548A4078" w:rsidR="00BE2C9A" w:rsidRPr="007021D2" w:rsidRDefault="00721226" w:rsidP="00763768">
      <w:pPr>
        <w:pBdr>
          <w:top w:val="nil"/>
          <w:left w:val="nil"/>
          <w:bottom w:val="nil"/>
          <w:right w:val="nil"/>
          <w:between w:val="nil"/>
          <w:bar w:val="nil"/>
        </w:pBdr>
        <w:spacing w:before="0" w:after="240"/>
        <w:rPr>
          <w:rFonts w:eastAsia="Arial Unicode MS"/>
          <w:noProof/>
        </w:rPr>
      </w:pPr>
      <w:r w:rsidRPr="007021D2">
        <w:rPr>
          <w:noProof/>
        </w:rPr>
        <w:t xml:space="preserve">La </w:t>
      </w:r>
      <w:r w:rsidRPr="007021D2">
        <w:rPr>
          <w:b/>
          <w:noProof/>
        </w:rPr>
        <w:t>stratégie en faveur de l’égalité de genre 2026-2030</w:t>
      </w:r>
      <w:r w:rsidRPr="007021D2">
        <w:rPr>
          <w:noProof/>
        </w:rPr>
        <w:t xml:space="preserve"> a été adoptée en mars</w:t>
      </w:r>
      <w:r w:rsidR="007021D2" w:rsidRPr="007021D2">
        <w:rPr>
          <w:noProof/>
        </w:rPr>
        <w:t> </w:t>
      </w:r>
      <w:r w:rsidRPr="007021D2">
        <w:rPr>
          <w:noProof/>
        </w:rPr>
        <w:t xml:space="preserve">2026 et a annoncé, conformément au plan européen pour des logements abordables, l’intention de la Commission de lutter contre l’exclusion en matière de logement en proposant une recommandation du Conseil. </w:t>
      </w:r>
    </w:p>
    <w:p w14:paraId="38659F05" w14:textId="77777777" w:rsidR="000E4099" w:rsidRPr="007021D2" w:rsidRDefault="00763768" w:rsidP="00460269">
      <w:pPr>
        <w:pBdr>
          <w:top w:val="nil"/>
          <w:left w:val="nil"/>
          <w:bottom w:val="nil"/>
          <w:right w:val="nil"/>
          <w:between w:val="nil"/>
          <w:bar w:val="nil"/>
        </w:pBdr>
        <w:spacing w:before="0" w:after="240"/>
        <w:rPr>
          <w:rFonts w:eastAsia="Arial Unicode MS"/>
          <w:noProof/>
        </w:rPr>
      </w:pPr>
      <w:r w:rsidRPr="007021D2">
        <w:rPr>
          <w:noProof/>
        </w:rPr>
        <w:t xml:space="preserve">Adoptée en 2021, la </w:t>
      </w:r>
      <w:r w:rsidRPr="007021D2">
        <w:rPr>
          <w:b/>
          <w:noProof/>
        </w:rPr>
        <w:t>stratégie en faveur des droits des personnes handicapées 2021-2030</w:t>
      </w:r>
      <w:r w:rsidRPr="007021D2">
        <w:rPr>
          <w:noProof/>
        </w:rPr>
        <w:t xml:space="preserve"> vise à aider les États membres à permettre une vie autonome et la désinstitutionnalisation en veillant à ce que les personnes handicapées puissent vivre dans un logement accessible et </w:t>
      </w:r>
      <w:r w:rsidRPr="007021D2">
        <w:rPr>
          <w:noProof/>
        </w:rPr>
        <w:lastRenderedPageBreak/>
        <w:t>assisté. Elle promeut l’insertion dans la communauté par rapport aux établissements spécialisés, réduisant ainsi les risques de sans-abrisme pour les personnes en transition sans soutien adéquat.</w:t>
      </w:r>
    </w:p>
    <w:p w14:paraId="2D924CEC" w14:textId="262D2486" w:rsidR="00116429" w:rsidRPr="007021D2" w:rsidRDefault="00763768" w:rsidP="00763768">
      <w:pPr>
        <w:pBdr>
          <w:top w:val="nil"/>
          <w:left w:val="nil"/>
          <w:bottom w:val="nil"/>
          <w:right w:val="nil"/>
          <w:between w:val="nil"/>
          <w:bar w:val="nil"/>
        </w:pBdr>
        <w:spacing w:before="0" w:after="240"/>
        <w:rPr>
          <w:rFonts w:eastAsia="Arial Unicode MS"/>
          <w:noProof/>
        </w:rPr>
      </w:pPr>
      <w:r w:rsidRPr="007021D2">
        <w:rPr>
          <w:noProof/>
        </w:rPr>
        <w:t>Adoptée en octobre</w:t>
      </w:r>
      <w:r w:rsidR="007021D2" w:rsidRPr="007021D2">
        <w:rPr>
          <w:noProof/>
        </w:rPr>
        <w:t> </w:t>
      </w:r>
      <w:r w:rsidRPr="007021D2">
        <w:rPr>
          <w:noProof/>
        </w:rPr>
        <w:t xml:space="preserve">2025, la </w:t>
      </w:r>
      <w:r w:rsidRPr="007021D2">
        <w:rPr>
          <w:b/>
          <w:noProof/>
        </w:rPr>
        <w:t>stratégie en faveur de l’égalité de traitement à l’égard des personnes LGBTIQ+ pour la période 2026-2030</w:t>
      </w:r>
      <w:r w:rsidRPr="007021D2">
        <w:rPr>
          <w:noProof/>
        </w:rPr>
        <w:t xml:space="preserve"> souligne que la discrimination et le manque d’acceptation sociale entraînent des taux élevés de pauvreté et de sans-abrisme chez les personnes LGBTIQ+. La troisième enquête sur les personnes LGBTIQ menée par l’Agence des droits fondamentaux de l’Union européenne révèle que 38 % des personnes LGBTIQ+ interrogées peinent à joindre les deux bouts, contre 22 % de la population générale, et que 13 % d’entre elles sont contraintes de séjourner temporairement chez des amis ou des proches. </w:t>
      </w:r>
    </w:p>
    <w:p w14:paraId="609DC5DC" w14:textId="77777777" w:rsidR="00B95FB2" w:rsidRPr="007021D2" w:rsidRDefault="00001104" w:rsidP="00763768">
      <w:pPr>
        <w:pBdr>
          <w:top w:val="nil"/>
          <w:left w:val="nil"/>
          <w:bottom w:val="nil"/>
          <w:right w:val="nil"/>
          <w:between w:val="nil"/>
          <w:bar w:val="nil"/>
        </w:pBdr>
        <w:spacing w:before="0" w:after="240"/>
        <w:rPr>
          <w:rFonts w:eastAsia="Arial Unicode MS"/>
          <w:noProof/>
        </w:rPr>
      </w:pPr>
      <w:r w:rsidRPr="007021D2">
        <w:rPr>
          <w:b/>
          <w:noProof/>
        </w:rPr>
        <w:t>La directive du Conseil de juin 2000 relative à la mise en œuvre du principe de l’égalité de traitement entre les personnes sans distinction de race ou d’origine ethnique</w:t>
      </w:r>
      <w:r w:rsidRPr="007021D2">
        <w:rPr>
          <w:noProof/>
        </w:rPr>
        <w:t xml:space="preserve"> met en œuvre le principe de l’égalité de traitement entre les personnes sans distinction de race ou d’origine ethnique, notamment en interdisant les discriminations en matière de logement.</w:t>
      </w:r>
    </w:p>
    <w:p w14:paraId="1FBC77BE" w14:textId="77777777" w:rsidR="002418DD" w:rsidRPr="007021D2" w:rsidRDefault="00D85E17" w:rsidP="002418DD">
      <w:pPr>
        <w:pBdr>
          <w:top w:val="nil"/>
          <w:left w:val="nil"/>
          <w:bottom w:val="nil"/>
          <w:right w:val="nil"/>
          <w:between w:val="nil"/>
          <w:bar w:val="nil"/>
        </w:pBdr>
        <w:spacing w:before="0" w:after="240"/>
        <w:rPr>
          <w:rFonts w:eastAsia="Arial Unicode MS"/>
          <w:noProof/>
        </w:rPr>
      </w:pPr>
      <w:r w:rsidRPr="007021D2">
        <w:rPr>
          <w:noProof/>
        </w:rPr>
        <w:t xml:space="preserve">Adoptée en octobre 2020, la </w:t>
      </w:r>
      <w:r w:rsidRPr="007021D2">
        <w:rPr>
          <w:b/>
          <w:noProof/>
        </w:rPr>
        <w:t>communication de la Commission au Parlement européen et au Conseil intitulée «Une Union de l’égalité: cadre stratégique de l’Union pour l’égalité, l’inclusion et la participation des Roms</w:t>
      </w:r>
      <w:r w:rsidRPr="007021D2">
        <w:rPr>
          <w:noProof/>
        </w:rPr>
        <w:t xml:space="preserve">» souligne les défis persistants auxquels sont confrontés les Roms en matière de logement, notamment l’existence de logements inadéquats et isolés. Elle vise à garantir l’égalité d’accès à des logements convenables, situés dans des zones exemptes de ségrégation, et aux services essentiels d’ici à 2030 et invite les États membres à adopter des stratégies nationales pour l’inclusion socio-économique des Roms marginalisés, en mettant l’accent sur l’éducation, l’emploi, la santé et le logement. La </w:t>
      </w:r>
      <w:r w:rsidRPr="007021D2">
        <w:rPr>
          <w:b/>
          <w:noProof/>
        </w:rPr>
        <w:t>recommandation du Conseil de 2021 sur l’égalité, l’inclusion et la participation des Roms</w:t>
      </w:r>
      <w:r w:rsidRPr="007021D2">
        <w:rPr>
          <w:noProof/>
        </w:rPr>
        <w:t xml:space="preserve"> invite les États membres à garantir aux Roms une égalité de traitement en ce qui concerne l’accès, entre autres, à des logements non soumis à la ségrégation résidentielle et à des services essentiels adéquats.</w:t>
      </w:r>
    </w:p>
    <w:p w14:paraId="1C4A804E" w14:textId="77777777" w:rsidR="002F5035" w:rsidRPr="007021D2" w:rsidRDefault="003C0DAB" w:rsidP="00F422C3">
      <w:pPr>
        <w:pBdr>
          <w:top w:val="nil"/>
          <w:left w:val="nil"/>
          <w:bottom w:val="nil"/>
          <w:right w:val="nil"/>
          <w:between w:val="nil"/>
          <w:bar w:val="nil"/>
        </w:pBdr>
        <w:spacing w:before="0" w:after="240"/>
        <w:rPr>
          <w:rFonts w:eastAsia="Arial Unicode MS"/>
          <w:noProof/>
        </w:rPr>
      </w:pPr>
      <w:r w:rsidRPr="007021D2">
        <w:rPr>
          <w:noProof/>
        </w:rPr>
        <w:t>L’UE propose divers mécanismes de financement qui peuvent être utilisés pour lutter contre l’exclusion en matière de logement et le sans-abrisme. En 2024, la Commission européenne a lancé un guide intitulé «</w:t>
      </w:r>
      <w:r w:rsidRPr="007021D2">
        <w:rPr>
          <w:b/>
          <w:noProof/>
        </w:rPr>
        <w:t>Social housing and beyond – Operational toolkit on the use of EU funds for investments in social housing and associated services</w:t>
      </w:r>
      <w:r w:rsidRPr="007021D2">
        <w:rPr>
          <w:noProof/>
        </w:rPr>
        <w:t xml:space="preserve">» (Logement social et au-delà – boîte à outils opérationnelle sur l’utilisation des Fonds de l’Union en vue d’investissements dans le logement social et des services connexes). Cette boîte à outils aide les décideurs politiques à optimiser l’utilisation des Fonds de l’Union [le Fonds social européen plus (FSE+), le Fonds européen de développement régional (FEDER) et la facilité pour la reprise et la résilience (FRR)] pour investir dans le logement social et des services connexes. À travers 20 études de cas, elle montre comment ces Fonds améliorent l’accès à un logement adéquat, en proposant des solutions sur mesure pour les groupes vulnérables. </w:t>
      </w:r>
    </w:p>
    <w:p w14:paraId="7128E05D" w14:textId="77777777" w:rsidR="00D72390" w:rsidRPr="007021D2" w:rsidRDefault="00551B41" w:rsidP="00D72390">
      <w:pPr>
        <w:spacing w:after="160" w:line="259" w:lineRule="auto"/>
        <w:rPr>
          <w:noProof/>
        </w:rPr>
      </w:pPr>
      <w:r w:rsidRPr="007021D2">
        <w:rPr>
          <w:noProof/>
        </w:rPr>
        <w:t xml:space="preserve">La </w:t>
      </w:r>
      <w:r w:rsidRPr="007021D2">
        <w:rPr>
          <w:b/>
          <w:noProof/>
        </w:rPr>
        <w:t>politique de cohésion</w:t>
      </w:r>
      <w:r w:rsidRPr="007021D2">
        <w:rPr>
          <w:noProof/>
        </w:rPr>
        <w:t xml:space="preserve">, principalement par l’intermédiaire du </w:t>
      </w:r>
      <w:r w:rsidRPr="007021D2">
        <w:rPr>
          <w:b/>
          <w:noProof/>
        </w:rPr>
        <w:t>FSE+</w:t>
      </w:r>
      <w:r w:rsidRPr="007021D2">
        <w:rPr>
          <w:noProof/>
        </w:rPr>
        <w:t xml:space="preserve"> et du </w:t>
      </w:r>
      <w:r w:rsidRPr="007021D2">
        <w:rPr>
          <w:b/>
          <w:noProof/>
        </w:rPr>
        <w:t>FEDER</w:t>
      </w:r>
      <w:r w:rsidRPr="007021D2">
        <w:rPr>
          <w:noProof/>
        </w:rPr>
        <w:t xml:space="preserve">, finance des initiatives visant à améliorer l’inclusion sociale et les conditions de logement, telles que les services sociaux aux sans-abri, la construction et la rénovation de logements abordables et la transformation de bâtiments inutilisés en logements sociaux et abordables. Le FSE+ peut financer la fourniture de services tels que l’aide sociale, les soins de santé et l’accompagnement professionnel, tandis que le FEDER peut financer la construction de nouveaux logements sociaux, des travaux de rénovation et les infrastructures nécessaires aux pôles de services «Logement d’abord». L’examen à mi-parcours [règlement (UE) 2025/1914] </w:t>
      </w:r>
      <w:r w:rsidRPr="007021D2">
        <w:rPr>
          <w:noProof/>
        </w:rPr>
        <w:lastRenderedPageBreak/>
        <w:t>a élargi les possibilités de financement pour des logements sociaux et abordables et a introduit des taux de cofinancement de l’UE plus élevés. Les États membres peuvent s’appuyer sur des instruments tels que les investissements territoriaux intégrés et le développement local participatif pour combiner des financements provenant de plusieurs objectifs stratégiques.</w:t>
      </w:r>
    </w:p>
    <w:p w14:paraId="48343A2F" w14:textId="77777777" w:rsidR="009D688B" w:rsidRPr="007021D2" w:rsidRDefault="009D688B" w:rsidP="009D688B">
      <w:pPr>
        <w:pBdr>
          <w:top w:val="nil"/>
          <w:left w:val="nil"/>
          <w:bottom w:val="nil"/>
          <w:right w:val="nil"/>
          <w:between w:val="nil"/>
          <w:bar w:val="nil"/>
        </w:pBdr>
        <w:spacing w:before="0" w:after="240"/>
        <w:rPr>
          <w:rFonts w:eastAsia="Arial Unicode MS"/>
          <w:b/>
          <w:noProof/>
        </w:rPr>
      </w:pPr>
      <w:r w:rsidRPr="007021D2">
        <w:rPr>
          <w:noProof/>
        </w:rPr>
        <w:t>L’</w:t>
      </w:r>
      <w:r w:rsidRPr="007021D2">
        <w:rPr>
          <w:b/>
          <w:noProof/>
        </w:rPr>
        <w:t>initiative urbaine européenne</w:t>
      </w:r>
      <w:r w:rsidRPr="007021D2">
        <w:rPr>
          <w:noProof/>
        </w:rPr>
        <w:t xml:space="preserve"> accorde des financements directs aux villes pour soutenir des «idées audacieuses et novatrices» visant à relever les défis urbains, ainsi que des approches innovantes en matière de solutions de logement, notamment pour les sans-abri.</w:t>
      </w:r>
    </w:p>
    <w:p w14:paraId="16A8F438" w14:textId="77777777" w:rsidR="00D00228" w:rsidRPr="007021D2" w:rsidRDefault="00D00228" w:rsidP="00D00228">
      <w:pPr>
        <w:pBdr>
          <w:top w:val="nil"/>
          <w:left w:val="nil"/>
          <w:bottom w:val="nil"/>
          <w:right w:val="nil"/>
          <w:between w:val="nil"/>
          <w:bar w:val="nil"/>
        </w:pBdr>
        <w:spacing w:before="0" w:after="240"/>
        <w:rPr>
          <w:rFonts w:eastAsia="Arial Unicode MS"/>
          <w:noProof/>
        </w:rPr>
      </w:pPr>
      <w:r w:rsidRPr="007021D2">
        <w:rPr>
          <w:noProof/>
        </w:rPr>
        <w:t xml:space="preserve">La </w:t>
      </w:r>
      <w:r w:rsidRPr="007021D2">
        <w:rPr>
          <w:b/>
          <w:noProof/>
        </w:rPr>
        <w:t>FRR</w:t>
      </w:r>
      <w:r w:rsidRPr="007021D2">
        <w:rPr>
          <w:noProof/>
        </w:rPr>
        <w:t xml:space="preserve"> a été utilisée par les États membres pour investir dans les infrastructures sociales, notamment le logement. Certains États membres ont abordé la question du sans-abrisme dans leurs plans pour la reprise et la résilience (PRR), en proposant des solutions axées sur le logement. D’autres ont prévu des investissements dans le logement de manière plus générale (par exemple, rénovation énergétique des logements, projets de logements abordables). Une partie des fonds qualifiés de «dépenses sociales» dans les PRR est affectée au logement social et aux infrastructures sociales connexes. Les plans nationaux comprennent souvent des formations, des soins de santé, des services aux personnes vulnérables et des mesures liées au logement susceptibles de réduire le risque de sans-abrisme. </w:t>
      </w:r>
    </w:p>
    <w:p w14:paraId="6AADC555" w14:textId="77777777" w:rsidR="00F21ECE" w:rsidRPr="007021D2" w:rsidRDefault="00F21ECE" w:rsidP="00F422C3">
      <w:pPr>
        <w:rPr>
          <w:rFonts w:eastAsia="Arial Unicode MS"/>
          <w:noProof/>
          <w:szCs w:val="24"/>
        </w:rPr>
      </w:pPr>
      <w:r w:rsidRPr="007021D2">
        <w:rPr>
          <w:noProof/>
        </w:rPr>
        <w:t xml:space="preserve">Le </w:t>
      </w:r>
      <w:r w:rsidRPr="007021D2">
        <w:rPr>
          <w:b/>
          <w:noProof/>
        </w:rPr>
        <w:t>Fonds social pour le climat</w:t>
      </w:r>
      <w:r w:rsidRPr="007021D2">
        <w:rPr>
          <w:noProof/>
        </w:rPr>
        <w:t xml:space="preserve"> apporte un soutien aux ménages vulnérables en remédiant aux conséquences sociales découlant du système d’échange de quotas d’émission. Dans leurs </w:t>
      </w:r>
      <w:r w:rsidRPr="007021D2">
        <w:rPr>
          <w:b/>
          <w:noProof/>
        </w:rPr>
        <w:t>plans sociaux pour le climat</w:t>
      </w:r>
      <w:r w:rsidRPr="007021D2">
        <w:rPr>
          <w:noProof/>
        </w:rPr>
        <w:t>, les États membres peuvent inclure des mesures et des investissements ayant une incidence durable afin de soutenir l’accès à des logements, y compris sociaux, abordables et économes en énergie.</w:t>
      </w:r>
    </w:p>
    <w:p w14:paraId="2778488A" w14:textId="77777777" w:rsidR="0023334A" w:rsidRPr="007021D2" w:rsidRDefault="000F77E4" w:rsidP="0023334A">
      <w:pPr>
        <w:pBdr>
          <w:top w:val="nil"/>
          <w:left w:val="nil"/>
          <w:bottom w:val="nil"/>
          <w:right w:val="nil"/>
          <w:between w:val="nil"/>
          <w:bar w:val="nil"/>
        </w:pBdr>
        <w:spacing w:before="0" w:after="240"/>
        <w:rPr>
          <w:rFonts w:eastAsia="Arial Unicode MS"/>
          <w:noProof/>
        </w:rPr>
      </w:pPr>
      <w:r w:rsidRPr="007021D2">
        <w:rPr>
          <w:noProof/>
        </w:rPr>
        <w:t xml:space="preserve">Le </w:t>
      </w:r>
      <w:r w:rsidRPr="007021D2">
        <w:rPr>
          <w:b/>
          <w:noProof/>
        </w:rPr>
        <w:t>volet «Investissements sociaux et compétences» d’InvestEU</w:t>
      </w:r>
      <w:r w:rsidRPr="007021D2">
        <w:rPr>
          <w:noProof/>
        </w:rPr>
        <w:t xml:space="preserve"> contribue à fournir un accès au logement social et abordable, à lutter contre l’exclusion sociale et à réduire la pauvreté. Il permet de réduire les risques liés au logement social abordable et peut contribuer à lutter contre l’exclusion en matière de logement en orientant les services de conseil et en soutenant la mise en place d’instruments financiers. Il s’agit notamment de garanties pour des projets menés par des partenaires chargés de la mise en œuvre, tels que la Banque européenne d’investissement, la Banque de développement du Conseil de l’Europe et les banques de développement nationales.</w:t>
      </w:r>
    </w:p>
    <w:p w14:paraId="4C8396DF" w14:textId="77777777" w:rsidR="00762BC9" w:rsidRPr="007021D2" w:rsidRDefault="000F77E4" w:rsidP="00F422C3">
      <w:pPr>
        <w:pBdr>
          <w:top w:val="nil"/>
          <w:left w:val="nil"/>
          <w:bottom w:val="nil"/>
          <w:right w:val="nil"/>
          <w:between w:val="nil"/>
          <w:bar w:val="nil"/>
        </w:pBdr>
        <w:spacing w:before="0" w:after="240"/>
        <w:rPr>
          <w:noProof/>
        </w:rPr>
      </w:pPr>
      <w:r w:rsidRPr="007021D2">
        <w:rPr>
          <w:noProof/>
        </w:rPr>
        <w:t xml:space="preserve">Le </w:t>
      </w:r>
      <w:r w:rsidRPr="007021D2">
        <w:rPr>
          <w:b/>
          <w:noProof/>
        </w:rPr>
        <w:t>nouveau Bauhaus européen</w:t>
      </w:r>
      <w:r w:rsidRPr="007021D2">
        <w:rPr>
          <w:noProof/>
        </w:rPr>
        <w:t xml:space="preserve"> a été lancé en 2021 par la Commission européenne en tant qu’initiative fédératrice à la croisée de la durabilité, de l’esthétique et de l’inclusion sociale. L’objectif est de transformer l’environnement bâti et la vie des citoyens afin de les rendre plus durables, plus inclusifs, plus esthétiques et plus centrés sur les personnes. Le nouveau Bauhaus européen fonctionne en mobilisant les citoyens dans leurs quartiers, en fournissant des outils et des orientations, en proposant des solutions sur mesure aux différentes communautés et en intégrant les points de vue des différentes parties prenantes dans les processus de conception et de mise en œuvre. Il donne la priorité aux personnes et à l’inclusion sociale, ainsi qu’à l’économie, afin de stimuler la compétitivité et l’autonomie stratégique de l’Union. </w:t>
      </w:r>
    </w:p>
    <w:p w14:paraId="6F3FC073" w14:textId="77777777" w:rsidR="002150E9" w:rsidRPr="007021D2" w:rsidRDefault="00B90F88" w:rsidP="002150E9">
      <w:pPr>
        <w:pBdr>
          <w:top w:val="nil"/>
          <w:left w:val="nil"/>
          <w:bottom w:val="nil"/>
          <w:right w:val="nil"/>
          <w:between w:val="nil"/>
          <w:bar w:val="nil"/>
        </w:pBdr>
        <w:spacing w:before="0" w:after="240"/>
        <w:rPr>
          <w:noProof/>
        </w:rPr>
      </w:pPr>
      <w:r w:rsidRPr="007021D2">
        <w:rPr>
          <w:noProof/>
        </w:rPr>
        <w:t xml:space="preserve">La </w:t>
      </w:r>
      <w:r w:rsidRPr="007021D2">
        <w:rPr>
          <w:b/>
          <w:noProof/>
        </w:rPr>
        <w:t>facilité du nouveau Bauhaus européen</w:t>
      </w:r>
      <w:r w:rsidRPr="007021D2">
        <w:rPr>
          <w:noProof/>
        </w:rPr>
        <w:t xml:space="preserve"> finance des projets qui visent à revitaliser les quartiers, à stimuler l’inclusion sociale et à permettre l’accès au logement abordable grâce à une conception innovante, circulaire et centrée sur l’humain, en reliant l’offre de logements à des objectifs sociaux et environnementaux plus larges. Le volet «recherche et innovation» de la facilité du nouveau Bauhaus européen soutient plusieurs projets sur le logement et le sans-abrisme, notamment les infrastructures et services sociaux.</w:t>
      </w:r>
    </w:p>
    <w:p w14:paraId="7BC6FB01" w14:textId="6E4AF2AF" w:rsidR="000F77E4" w:rsidRPr="007021D2" w:rsidRDefault="000F77E4" w:rsidP="00CD4F24">
      <w:pPr>
        <w:pBdr>
          <w:top w:val="nil"/>
          <w:left w:val="nil"/>
          <w:bottom w:val="nil"/>
          <w:right w:val="nil"/>
          <w:between w:val="nil"/>
          <w:bar w:val="nil"/>
        </w:pBdr>
        <w:spacing w:before="0" w:after="240"/>
        <w:rPr>
          <w:rFonts w:eastAsia="Arial Unicode MS"/>
          <w:noProof/>
        </w:rPr>
      </w:pPr>
      <w:r w:rsidRPr="007021D2">
        <w:rPr>
          <w:noProof/>
        </w:rPr>
        <w:lastRenderedPageBreak/>
        <w:t>L’</w:t>
      </w:r>
      <w:r w:rsidRPr="007021D2">
        <w:rPr>
          <w:b/>
          <w:noProof/>
        </w:rPr>
        <w:t>initiative en faveur du logement abordable</w:t>
      </w:r>
      <w:r w:rsidRPr="007021D2">
        <w:rPr>
          <w:noProof/>
        </w:rPr>
        <w:t xml:space="preserve">, qui fait partie de la </w:t>
      </w:r>
      <w:r w:rsidRPr="007021D2">
        <w:rPr>
          <w:b/>
          <w:noProof/>
        </w:rPr>
        <w:t>stratégie pour une vague de rénovations</w:t>
      </w:r>
      <w:r w:rsidRPr="007021D2">
        <w:rPr>
          <w:noProof/>
        </w:rPr>
        <w:t xml:space="preserve"> de l’Union et est une </w:t>
      </w:r>
      <w:r w:rsidRPr="007021D2">
        <w:rPr>
          <w:b/>
          <w:noProof/>
        </w:rPr>
        <w:t>initiative phare du nouveau Bauhaus européen</w:t>
      </w:r>
      <w:r w:rsidRPr="007021D2">
        <w:rPr>
          <w:noProof/>
        </w:rPr>
        <w:t>, vise à créer ou à rénover des quartiers sociaux et abordables. Le programme lutte contre la précarité énergétique, promeut l’inclusion, garantit l’accessibilité financière du logement et assure un accompagnement adapté (conseils financiers, mentorat, renforcement des capacités,</w:t>
      </w:r>
      <w:r w:rsidR="007021D2" w:rsidRPr="007021D2">
        <w:rPr>
          <w:noProof/>
        </w:rPr>
        <w:t> </w:t>
      </w:r>
      <w:r w:rsidRPr="007021D2">
        <w:rPr>
          <w:noProof/>
        </w:rPr>
        <w:t xml:space="preserve">etc.) qui permet de faire baisser les émissions..  Il peut contribuer à améliorer la qualité et l’accessibilité du logement pour les ménages à faibles revenus. </w:t>
      </w:r>
    </w:p>
    <w:p w14:paraId="1B983FB0" w14:textId="1D270DDF" w:rsidR="005E2B93" w:rsidRPr="007021D2" w:rsidRDefault="00EB32EC" w:rsidP="00000BDB">
      <w:pPr>
        <w:pBdr>
          <w:top w:val="nil"/>
          <w:left w:val="nil"/>
          <w:bottom w:val="nil"/>
          <w:right w:val="nil"/>
          <w:between w:val="nil"/>
          <w:bar w:val="nil"/>
        </w:pBdr>
        <w:spacing w:before="0" w:after="240"/>
        <w:rPr>
          <w:rFonts w:eastAsia="Times New Roman"/>
          <w:noProof/>
          <w:color w:val="000000" w:themeColor="text1"/>
          <w:szCs w:val="24"/>
        </w:rPr>
      </w:pPr>
      <w:r w:rsidRPr="007021D2">
        <w:rPr>
          <w:noProof/>
          <w:color w:val="000000" w:themeColor="text1"/>
        </w:rPr>
        <w:t xml:space="preserve">Soutenir les personnes et leur inclusion sociale, notamment en luttant contre la pauvreté et le sans-abrisme, figure parmi les objectifs de la </w:t>
      </w:r>
      <w:r w:rsidRPr="007021D2">
        <w:rPr>
          <w:b/>
          <w:noProof/>
          <w:color w:val="000000" w:themeColor="text1"/>
        </w:rPr>
        <w:t>proposition de la Commission relative au prochain budget à long terme de l’Union pour la période 2028-2034</w:t>
      </w:r>
      <w:r w:rsidRPr="007021D2">
        <w:rPr>
          <w:noProof/>
          <w:color w:val="000000" w:themeColor="text1"/>
        </w:rPr>
        <w:t xml:space="preserve"> (connu sous le nom de cadre financier pluriannuel ou CFP). Grâce à sa nouvelle approche intégrée, la proposition de CFP permettra aux États membres de financer des logements sociaux et abordables et de lutter contre le sans-abrisme, tout en menant les réformes nécessaires. </w:t>
      </w:r>
    </w:p>
    <w:p w14:paraId="3AD01330" w14:textId="77777777" w:rsidR="00C578AE" w:rsidRPr="007021D2" w:rsidRDefault="00C578AE" w:rsidP="00000BDB">
      <w:pPr>
        <w:pBdr>
          <w:top w:val="nil"/>
          <w:left w:val="nil"/>
          <w:bottom w:val="nil"/>
          <w:right w:val="nil"/>
          <w:between w:val="nil"/>
          <w:bar w:val="nil"/>
        </w:pBdr>
        <w:spacing w:before="0" w:after="240"/>
        <w:rPr>
          <w:noProof/>
        </w:rPr>
      </w:pPr>
      <w:r w:rsidRPr="007021D2">
        <w:rPr>
          <w:noProof/>
        </w:rPr>
        <w:t>2.</w:t>
      </w:r>
      <w:r w:rsidRPr="007021D2">
        <w:rPr>
          <w:noProof/>
        </w:rPr>
        <w:tab/>
        <w:t>BASE JURIDIQUE, SUBSIDIARITÉ ET PROPORTIONNALITÉ</w:t>
      </w:r>
    </w:p>
    <w:p w14:paraId="5B7CE084" w14:textId="77777777" w:rsidR="00C578AE" w:rsidRPr="007021D2" w:rsidRDefault="00C578AE">
      <w:pPr>
        <w:pStyle w:val="ManualHeading2"/>
        <w:rPr>
          <w:rFonts w:eastAsia="Arial Unicode MS"/>
          <w:noProof/>
          <w:u w:color="000000"/>
          <w:bdr w:val="nil"/>
        </w:rPr>
      </w:pPr>
      <w:r w:rsidRPr="007021D2">
        <w:rPr>
          <w:noProof/>
          <w:u w:color="000000"/>
          <w:bdr w:val="nil"/>
        </w:rPr>
        <w:t>•</w:t>
      </w:r>
      <w:r w:rsidRPr="007021D2">
        <w:rPr>
          <w:noProof/>
        </w:rPr>
        <w:tab/>
      </w:r>
      <w:r w:rsidRPr="007021D2">
        <w:rPr>
          <w:noProof/>
          <w:u w:color="000000"/>
          <w:bdr w:val="nil"/>
        </w:rPr>
        <w:t>Base juridique</w:t>
      </w:r>
    </w:p>
    <w:p w14:paraId="60BE1E1D" w14:textId="77777777" w:rsidR="009C5AB6" w:rsidRPr="007021D2" w:rsidRDefault="009C5AB6" w:rsidP="009C5AB6">
      <w:pPr>
        <w:pStyle w:val="Text1"/>
        <w:ind w:left="0"/>
        <w:rPr>
          <w:noProof/>
        </w:rPr>
      </w:pPr>
      <w:r w:rsidRPr="007021D2">
        <w:rPr>
          <w:noProof/>
        </w:rPr>
        <w:t xml:space="preserve">La recommandation proposée est fondée sur l’article 292 du traité sur le fonctionnement de l’Union européenne (TFUE) en tant que base juridique procédurale en liaison avec l’article 153, paragraphe 1, point j), du TFUE en tant que base juridique matérielle. </w:t>
      </w:r>
    </w:p>
    <w:p w14:paraId="78962988" w14:textId="77777777" w:rsidR="008D1A6E" w:rsidRPr="007021D2" w:rsidRDefault="009C5AB6" w:rsidP="008D1A6E">
      <w:pPr>
        <w:pStyle w:val="Text1"/>
        <w:ind w:left="0"/>
        <w:rPr>
          <w:noProof/>
        </w:rPr>
      </w:pPr>
      <w:r w:rsidRPr="007021D2">
        <w:rPr>
          <w:noProof/>
        </w:rPr>
        <w:t>L’article 153, paragraphe 1, point j), permet à l’Union de soutenir et de compléter les activités des États membres dans la lutte contre l’exclusion sociale. L’exclusion en matière de logement et le sans-abrisme sont considérés comme les formes les plus graves d’exclusion sociale dans l’Union. La proposition contribuera à la réalisation de cet objectif en luttant contre l’exclusion en matière de logement et le sans-abrisme tout en garantissant un accès effectif aux services de soutien et aux services essentiels et à des mesures permettant aux personnes de vivre dans la dignité.</w:t>
      </w:r>
    </w:p>
    <w:p w14:paraId="33C42EEF" w14:textId="77777777" w:rsidR="009C5AB6" w:rsidRPr="007021D2" w:rsidRDefault="00A74EF6" w:rsidP="009C5AB6">
      <w:pPr>
        <w:pStyle w:val="Text1"/>
        <w:ind w:left="0"/>
        <w:rPr>
          <w:noProof/>
        </w:rPr>
      </w:pPr>
      <w:r w:rsidRPr="007021D2">
        <w:rPr>
          <w:noProof/>
        </w:rPr>
        <w:t xml:space="preserve">L’article 153, paragraphe 1, point j), est limité par l’article 153, paragraphe 2, point a), qui autorise uniquement les mesures destinées à encourager la coopération entre les États membres, à l’exclusion de toute harmonisation des dispositions législatives et réglementaires. </w:t>
      </w:r>
    </w:p>
    <w:p w14:paraId="0849494A" w14:textId="77777777" w:rsidR="004058F1" w:rsidRPr="007021D2" w:rsidRDefault="009C5AB6" w:rsidP="004058F1">
      <w:pPr>
        <w:pStyle w:val="Text1"/>
        <w:ind w:left="0"/>
        <w:rPr>
          <w:noProof/>
        </w:rPr>
      </w:pPr>
      <w:r w:rsidRPr="007021D2">
        <w:rPr>
          <w:noProof/>
        </w:rPr>
        <w:t>En outre, en vertu de l’article 153, paragraphe 4, les dispositions adoptées en vertu de l’article 153, telles que la recommandation proposée: i) ne doivent pas porter atteinte à la faculté reconnue aux États membres de définir les principes fondamentaux de leur système de sécurité sociale; et ii) ne doivent pas en affecter sensiblement l’équilibre financier.</w:t>
      </w:r>
    </w:p>
    <w:p w14:paraId="7E8D53C7" w14:textId="77777777" w:rsidR="00C578AE" w:rsidRPr="007021D2" w:rsidRDefault="00C578AE" w:rsidP="004058F1">
      <w:pPr>
        <w:pStyle w:val="Text1"/>
        <w:ind w:left="0"/>
        <w:rPr>
          <w:rFonts w:eastAsia="Arial Unicode MS"/>
          <w:noProof/>
          <w:u w:color="000000"/>
          <w:bdr w:val="nil"/>
        </w:rPr>
      </w:pPr>
      <w:r w:rsidRPr="007021D2">
        <w:rPr>
          <w:noProof/>
          <w:u w:color="000000"/>
          <w:bdr w:val="nil"/>
        </w:rPr>
        <w:t>•</w:t>
      </w:r>
      <w:r w:rsidRPr="007021D2">
        <w:rPr>
          <w:noProof/>
        </w:rPr>
        <w:tab/>
      </w:r>
      <w:r w:rsidRPr="007021D2">
        <w:rPr>
          <w:b/>
          <w:noProof/>
          <w:u w:color="000000"/>
          <w:bdr w:val="nil"/>
        </w:rPr>
        <w:t>Subsidiarité (en cas de compétence non exclusive)</w:t>
      </w:r>
      <w:r w:rsidRPr="007021D2">
        <w:rPr>
          <w:noProof/>
          <w:u w:color="000000"/>
          <w:bdr w:val="nil"/>
        </w:rPr>
        <w:t xml:space="preserve"> </w:t>
      </w:r>
    </w:p>
    <w:p w14:paraId="0ED3E678" w14:textId="77777777" w:rsidR="00816551" w:rsidRPr="007021D2" w:rsidRDefault="00972E9D" w:rsidP="00816551">
      <w:pPr>
        <w:pBdr>
          <w:top w:val="nil"/>
          <w:left w:val="nil"/>
          <w:bottom w:val="nil"/>
          <w:right w:val="nil"/>
          <w:between w:val="nil"/>
          <w:bar w:val="nil"/>
        </w:pBdr>
        <w:spacing w:before="0" w:after="240"/>
        <w:rPr>
          <w:noProof/>
        </w:rPr>
      </w:pPr>
      <w:r w:rsidRPr="007021D2">
        <w:rPr>
          <w:noProof/>
        </w:rPr>
        <w:t xml:space="preserve">Si la responsabilité de la politique du logement incombe en premier lieu aux États membres, l’exclusion en matière de logement et le sans-abrisme sont des défis communs dans l’ensemble de l’Union, motivés par des tendances structurelles communes qui bénéficient de réponses coordonnées et intersectorielles et du partage des bonnes pratiques. Ces défis sont étroitement liés aux objectifs de l’Union dans les domaines de l’inclusion sociale, de l’emploi, de la santé, de l’égalité, du développement économique et de la cohésion territoriale. </w:t>
      </w:r>
    </w:p>
    <w:p w14:paraId="723D2FBB" w14:textId="77777777" w:rsidR="00FC1E37" w:rsidRPr="007021D2" w:rsidRDefault="00972E9D" w:rsidP="00972E9D">
      <w:pPr>
        <w:pBdr>
          <w:top w:val="nil"/>
          <w:left w:val="nil"/>
          <w:bottom w:val="nil"/>
          <w:right w:val="nil"/>
          <w:between w:val="nil"/>
          <w:bar w:val="nil"/>
        </w:pBdr>
        <w:spacing w:before="0" w:after="240"/>
        <w:rPr>
          <w:rFonts w:eastAsia="Arial Unicode MS"/>
          <w:noProof/>
          <w:color w:val="000000" w:themeColor="text1"/>
        </w:rPr>
      </w:pPr>
      <w:r w:rsidRPr="007021D2">
        <w:rPr>
          <w:noProof/>
        </w:rPr>
        <w:t xml:space="preserve">L’écart croissant entre le coût du logement et les revenus entrave la mobilité des étudiants et des travailleurs, limitant l’accès aux secteurs à forte productivité et provoquant des pénuries de main-d’œuvre dans des secteurs de services essentiels et peu rémunérés. Lorsque les coûts du logement croissent plus vite que les salaires, les travailleurs sont contraints de réduire leurs dépenses, d’augmenter leurs temps de trajet ou de déménager, ce qui réduit l’efficacité </w:t>
      </w:r>
      <w:r w:rsidRPr="007021D2">
        <w:rPr>
          <w:noProof/>
        </w:rPr>
        <w:lastRenderedPageBreak/>
        <w:t xml:space="preserve">économique et la productivité globales. L’inégalité d’accès à un logement adéquat creuse les inégalités des chances existantes et alimente l’exclusion sociale. </w:t>
      </w:r>
    </w:p>
    <w:p w14:paraId="305D043B" w14:textId="77777777" w:rsidR="00882838" w:rsidRPr="007021D2" w:rsidRDefault="00972E9D" w:rsidP="00882838">
      <w:pPr>
        <w:pBdr>
          <w:top w:val="nil"/>
          <w:left w:val="nil"/>
          <w:bottom w:val="nil"/>
          <w:right w:val="nil"/>
          <w:between w:val="nil"/>
          <w:bar w:val="nil"/>
        </w:pBdr>
        <w:spacing w:before="0" w:after="240"/>
        <w:rPr>
          <w:rFonts w:eastAsia="Arial Unicode MS"/>
          <w:noProof/>
          <w:color w:val="000000" w:themeColor="text1"/>
        </w:rPr>
      </w:pPr>
      <w:r w:rsidRPr="007021D2">
        <w:rPr>
          <w:noProof/>
          <w:color w:val="000000" w:themeColor="text1"/>
        </w:rPr>
        <w:t xml:space="preserve">Les États membres sont les mieux placés pour concevoir et mettre en œuvre des politiques adaptées à leur situation nationale. </w:t>
      </w:r>
      <w:r w:rsidRPr="007021D2">
        <w:rPr>
          <w:noProof/>
        </w:rPr>
        <w:t xml:space="preserve">Toutefois, une action au niveau de l’Union apporte une valeur ajoutée en fournissant des orientations stratégiques et des bonnes pratiques, en facilitant l’apprentissage mutuel, en promouvant des approches fondées sur des données probantes, en soutenant la comparabilité des données et en améliorant l’accès au financement. </w:t>
      </w:r>
      <w:r w:rsidRPr="007021D2">
        <w:rPr>
          <w:noProof/>
          <w:color w:val="000000" w:themeColor="text1"/>
        </w:rPr>
        <w:t>Cette action confirme l’engagement politique de l’Union de garantir l’égalité des chances et une vie digne pour tous et soutient la convergence sociale vers le haut des États membres.</w:t>
      </w:r>
    </w:p>
    <w:p w14:paraId="7B782977" w14:textId="77777777" w:rsidR="00B25110" w:rsidRPr="007021D2" w:rsidRDefault="00972E9D" w:rsidP="00972E9D">
      <w:pPr>
        <w:pBdr>
          <w:top w:val="nil"/>
          <w:left w:val="nil"/>
          <w:bottom w:val="nil"/>
          <w:right w:val="nil"/>
          <w:between w:val="nil"/>
          <w:bar w:val="nil"/>
        </w:pBdr>
        <w:spacing w:before="0" w:after="240"/>
        <w:rPr>
          <w:rFonts w:eastAsia="Arial Unicode MS"/>
          <w:noProof/>
        </w:rPr>
      </w:pPr>
      <w:r w:rsidRPr="007021D2">
        <w:rPr>
          <w:noProof/>
        </w:rPr>
        <w:t>Mettre fin à l’exclusion en matière de logement et au sans-abrisme contribuerait à la réalisation des objectifs de développement durable (ODD) des Nations unies inclus dans le programme de développement durable à l’horizon 2030, en particulier l’ODD 11.1 relatif à l’accès de tous à un logement et des services de base adéquats et sûrs, à un coût abordable. Cela favoriserait également la mise en œuvre des principes du socle européen des droits sociaux et des objectifs de la déclaration de Lisbonne sur la plateforme européenne de lutte contre le sans-abrisme. Les politiques et mesures énoncées dans la recommandation proposée compléteront et soutiendront également la mise en œuvre effective du plan européen pour des logements abordables, en mettant l’accent sur la protection des personnes les plus touchées par la crise du logement. La recommandation du Conseil proposée fournirait aux États membres un cadre de référence complet pour les guider dans la réalisation des objectifs susmentionnés.</w:t>
      </w:r>
    </w:p>
    <w:p w14:paraId="4BDBB8DC" w14:textId="77777777" w:rsidR="00C578AE" w:rsidRPr="007021D2" w:rsidRDefault="00C578AE">
      <w:pPr>
        <w:pStyle w:val="ManualHeading2"/>
        <w:rPr>
          <w:rFonts w:eastAsia="Arial Unicode MS"/>
          <w:noProof/>
          <w:u w:color="000000"/>
          <w:bdr w:val="nil"/>
        </w:rPr>
      </w:pPr>
      <w:r w:rsidRPr="007021D2">
        <w:rPr>
          <w:noProof/>
          <w:u w:color="000000"/>
          <w:bdr w:val="nil"/>
        </w:rPr>
        <w:t>•</w:t>
      </w:r>
      <w:r w:rsidRPr="007021D2">
        <w:rPr>
          <w:noProof/>
        </w:rPr>
        <w:tab/>
      </w:r>
      <w:r w:rsidRPr="007021D2">
        <w:rPr>
          <w:noProof/>
          <w:u w:color="000000"/>
          <w:bdr w:val="nil"/>
        </w:rPr>
        <w:t xml:space="preserve">Proportionnalité </w:t>
      </w:r>
    </w:p>
    <w:p w14:paraId="474FA8DD" w14:textId="77777777" w:rsidR="006A7D5F" w:rsidRPr="007021D2" w:rsidRDefault="001C7747" w:rsidP="006A7D5F">
      <w:pPr>
        <w:pBdr>
          <w:top w:val="nil"/>
          <w:left w:val="nil"/>
          <w:bottom w:val="nil"/>
          <w:right w:val="nil"/>
          <w:between w:val="nil"/>
          <w:bar w:val="nil"/>
        </w:pBdr>
        <w:spacing w:before="0" w:after="240"/>
        <w:rPr>
          <w:rFonts w:eastAsia="Arial Unicode MS"/>
          <w:noProof/>
          <w:color w:val="000000" w:themeColor="text1"/>
        </w:rPr>
      </w:pPr>
      <w:r w:rsidRPr="007021D2">
        <w:rPr>
          <w:noProof/>
          <w:color w:val="000000" w:themeColor="text1"/>
        </w:rPr>
        <w:t xml:space="preserve">Les mesures proposées dans la présente recommandation sont proportionnées aux objectifs poursuivis. La recommandation n’impose pas d’obligations contraignantes et n’harmonise pas les législations nationales. Elle fournit des orientations souples, recense les pratiques efficaces et encourage la mise en conformité progressive avec les principes convenus. Elle ne va donc pas au-delà de ce qui est nécessaire pour atteindre ses objectifs et est proportionnée aux défis à relever. </w:t>
      </w:r>
    </w:p>
    <w:p w14:paraId="560DF110" w14:textId="77777777" w:rsidR="006F00C1" w:rsidRPr="007021D2" w:rsidRDefault="006A7D5F" w:rsidP="006A7D5F">
      <w:pPr>
        <w:pBdr>
          <w:top w:val="nil"/>
          <w:left w:val="nil"/>
          <w:bottom w:val="nil"/>
          <w:right w:val="nil"/>
          <w:between w:val="nil"/>
          <w:bar w:val="nil"/>
        </w:pBdr>
        <w:spacing w:before="0" w:after="240"/>
        <w:rPr>
          <w:rFonts w:eastAsia="Arial Unicode MS"/>
          <w:noProof/>
          <w:color w:val="000000" w:themeColor="text1"/>
        </w:rPr>
      </w:pPr>
      <w:r w:rsidRPr="007021D2">
        <w:rPr>
          <w:noProof/>
          <w:color w:val="000000" w:themeColor="text1"/>
        </w:rPr>
        <w:t>La proposition soutient la poursuite du développement de la politique du logement pour les personnes en situation de logement précaire, l’accès aux soins et à d’autres services et filets de sécurité sociale existants dans les États membres et complète les efforts déployés par les États membres pour lutter contre l’exclusion sociale des personnes défavorisées. La recommandation proposée respecte les pratiques des États membres et la diversité de leurs systèmes de protection sociale. Elle reconnaît que des situations nationales, régionales ou locales différentes pourraient conduire à des mises en œuvre différentes de la recommandation et permet aux États membres d’utiliser celle-ci en tenant compte de leur contexte spécifique. Le principe de proportionnalité a en outre joué un rôle déterminant dans le choix de l’instrument.</w:t>
      </w:r>
    </w:p>
    <w:p w14:paraId="6FE5D74A" w14:textId="77777777" w:rsidR="00C578AE" w:rsidRPr="007021D2" w:rsidRDefault="00C578AE">
      <w:pPr>
        <w:pStyle w:val="ManualHeading2"/>
        <w:rPr>
          <w:rFonts w:eastAsia="Arial Unicode MS"/>
          <w:noProof/>
          <w:u w:color="000000"/>
          <w:bdr w:val="nil"/>
        </w:rPr>
      </w:pPr>
      <w:r w:rsidRPr="007021D2">
        <w:rPr>
          <w:noProof/>
          <w:u w:color="000000"/>
          <w:bdr w:val="nil"/>
        </w:rPr>
        <w:t>•</w:t>
      </w:r>
      <w:r w:rsidRPr="007021D2">
        <w:rPr>
          <w:noProof/>
        </w:rPr>
        <w:tab/>
      </w:r>
      <w:r w:rsidRPr="007021D2">
        <w:rPr>
          <w:noProof/>
          <w:u w:color="000000"/>
          <w:bdr w:val="nil"/>
        </w:rPr>
        <w:t>Choix de l’instrument</w:t>
      </w:r>
    </w:p>
    <w:p w14:paraId="5F8121F9" w14:textId="77777777" w:rsidR="001531DB" w:rsidRPr="007021D2" w:rsidRDefault="001531DB" w:rsidP="001531DB">
      <w:pPr>
        <w:pBdr>
          <w:top w:val="nil"/>
          <w:left w:val="nil"/>
          <w:bottom w:val="nil"/>
          <w:right w:val="nil"/>
          <w:between w:val="nil"/>
          <w:bar w:val="nil"/>
        </w:pBdr>
        <w:spacing w:before="0" w:after="240"/>
        <w:rPr>
          <w:rFonts w:eastAsia="Arial Unicode MS"/>
          <w:noProof/>
        </w:rPr>
      </w:pPr>
      <w:r w:rsidRPr="007021D2">
        <w:rPr>
          <w:noProof/>
        </w:rPr>
        <w:t xml:space="preserve">L’instrument est une proposition de recommandation du Conseil, ce qui respecte les principes de subsidiarité et de proportionnalité. Il repose sur le corpus existant de la législation de l’Union et s’inscrit dans le prolongement des instruments disponibles pour l’action de l’Union dans le domaine de la politique sociale. En tant qu’instrument juridique, la proposition souligne l’engagement des États membres à l’égard des mesures prévues dans l’instrument et </w:t>
      </w:r>
      <w:r w:rsidRPr="007021D2">
        <w:rPr>
          <w:noProof/>
        </w:rPr>
        <w:lastRenderedPageBreak/>
        <w:t xml:space="preserve">fournit une base politique solide pour la coopération à l’échelle européenne dans ce domaine, tout en respectant pleinement les prérogatives des États membres. </w:t>
      </w:r>
    </w:p>
    <w:p w14:paraId="78014377" w14:textId="77777777" w:rsidR="00C578AE" w:rsidRPr="007021D2" w:rsidRDefault="00C578AE">
      <w:pPr>
        <w:pStyle w:val="ManualHeading1"/>
        <w:rPr>
          <w:noProof/>
        </w:rPr>
      </w:pPr>
      <w:r w:rsidRPr="007021D2">
        <w:rPr>
          <w:noProof/>
        </w:rPr>
        <w:t>3.</w:t>
      </w:r>
      <w:r w:rsidRPr="007021D2">
        <w:rPr>
          <w:noProof/>
        </w:rPr>
        <w:tab/>
        <w:t>RÉSULTATS DES ÉVALUATIONS EX POST, DES CONSULTATIONS DES PARTIES INTÉRESSÉES ET DES ANALYSES D’IMPACT</w:t>
      </w:r>
    </w:p>
    <w:p w14:paraId="63862FA7" w14:textId="77777777" w:rsidR="00C578AE" w:rsidRPr="007021D2" w:rsidRDefault="00C578AE">
      <w:pPr>
        <w:pStyle w:val="ManualHeading2"/>
        <w:rPr>
          <w:rFonts w:eastAsia="Arial Unicode MS"/>
          <w:noProof/>
          <w:u w:color="000000"/>
          <w:bdr w:val="nil"/>
        </w:rPr>
      </w:pPr>
      <w:r w:rsidRPr="007021D2">
        <w:rPr>
          <w:noProof/>
          <w:u w:color="000000"/>
          <w:bdr w:val="nil"/>
        </w:rPr>
        <w:t>•</w:t>
      </w:r>
      <w:r w:rsidRPr="007021D2">
        <w:rPr>
          <w:noProof/>
        </w:rPr>
        <w:tab/>
      </w:r>
      <w:r w:rsidRPr="007021D2">
        <w:rPr>
          <w:noProof/>
          <w:u w:color="000000"/>
          <w:bdr w:val="nil"/>
        </w:rPr>
        <w:t>Évaluations ex post/bilans de qualité de la législation existante</w:t>
      </w:r>
    </w:p>
    <w:p w14:paraId="2DDF0A96" w14:textId="77777777" w:rsidR="00C578AE" w:rsidRPr="007021D2" w:rsidRDefault="0001056A">
      <w:pPr>
        <w:pBdr>
          <w:top w:val="nil"/>
          <w:left w:val="nil"/>
          <w:bottom w:val="nil"/>
          <w:right w:val="nil"/>
          <w:between w:val="nil"/>
          <w:bar w:val="nil"/>
        </w:pBdr>
        <w:spacing w:before="0" w:after="240"/>
        <w:rPr>
          <w:rFonts w:eastAsia="Arial Unicode MS"/>
          <w:noProof/>
        </w:rPr>
      </w:pPr>
      <w:r w:rsidRPr="007021D2">
        <w:rPr>
          <w:noProof/>
        </w:rPr>
        <w:t>s.o.</w:t>
      </w:r>
    </w:p>
    <w:p w14:paraId="60A5EC10" w14:textId="77777777" w:rsidR="00C578AE" w:rsidRPr="007021D2" w:rsidRDefault="00C578AE">
      <w:pPr>
        <w:pStyle w:val="ManualHeading2"/>
        <w:rPr>
          <w:rFonts w:eastAsia="Arial Unicode MS"/>
          <w:noProof/>
          <w:u w:color="000000"/>
          <w:bdr w:val="nil"/>
        </w:rPr>
      </w:pPr>
      <w:r w:rsidRPr="007021D2">
        <w:rPr>
          <w:noProof/>
          <w:u w:color="000000"/>
          <w:bdr w:val="nil"/>
        </w:rPr>
        <w:t>•</w:t>
      </w:r>
      <w:r w:rsidRPr="007021D2">
        <w:rPr>
          <w:noProof/>
        </w:rPr>
        <w:tab/>
      </w:r>
      <w:r w:rsidRPr="007021D2">
        <w:rPr>
          <w:noProof/>
          <w:u w:color="000000"/>
          <w:bdr w:val="nil"/>
        </w:rPr>
        <w:t>Consultation des parties intéressées</w:t>
      </w:r>
    </w:p>
    <w:p w14:paraId="585E1E44" w14:textId="77777777" w:rsidR="00ED7DBC" w:rsidRPr="007021D2" w:rsidRDefault="005E319F" w:rsidP="00842964">
      <w:pPr>
        <w:pBdr>
          <w:top w:val="nil"/>
          <w:left w:val="nil"/>
          <w:bottom w:val="nil"/>
          <w:right w:val="nil"/>
          <w:between w:val="nil"/>
          <w:bar w:val="nil"/>
        </w:pBdr>
        <w:spacing w:before="0" w:after="240"/>
        <w:rPr>
          <w:rFonts w:eastAsia="Arial Unicode MS"/>
          <w:noProof/>
        </w:rPr>
      </w:pPr>
      <w:r w:rsidRPr="007021D2">
        <w:rPr>
          <w:noProof/>
        </w:rPr>
        <w:t xml:space="preserve">Une consultation publique n’est pas requise pour ce type d’initiative. </w:t>
      </w:r>
    </w:p>
    <w:p w14:paraId="2DBC0B98" w14:textId="77777777" w:rsidR="00A35230" w:rsidRPr="007021D2" w:rsidRDefault="00A91635" w:rsidP="00842964">
      <w:pPr>
        <w:pBdr>
          <w:top w:val="nil"/>
          <w:left w:val="nil"/>
          <w:bottom w:val="nil"/>
          <w:right w:val="nil"/>
          <w:between w:val="nil"/>
          <w:bar w:val="nil"/>
        </w:pBdr>
        <w:spacing w:before="0" w:after="240"/>
        <w:rPr>
          <w:rFonts w:eastAsia="Arial Unicode MS"/>
          <w:noProof/>
        </w:rPr>
      </w:pPr>
      <w:r w:rsidRPr="007021D2">
        <w:rPr>
          <w:noProof/>
        </w:rPr>
        <w:t xml:space="preserve">Un appel à contributions a été organisé du 12 mars 2026 au 9 avril 2026. Les retours d’information ont mis en évidence, comme préoccupation transversale, la pénurie de logements sociaux et abordables, les contributeurs appelant à des investissements publics soutenus, à l’expansion des logements à but non lucratif et coopératifs et à un recours accru aux Fonds de l’Union. Les contributeurs soutiennent fermement les approches axées sur le logement, qu’ils considèrent comme le modèle fondé sur des données probantes à privilégier, tout en appelant à leur généralisation systémique à l’échelle nationale. Les répondants soulignent la nécessité d’approches centrées sur la personne et intégrées, reliant le logement aux services de santé, sociaux, d’emploi et d’éducation. La prévention, au moyen de systèmes d’alerte précoce, de mesures de protection contre les expulsions, d’une médiation en cas d’arriérés de loyers et d’un soutien en cas d’endettement, est considérée comme sous-financée et sous-développée. Les contributeurs appellent également à une collecte de données harmonisée à l’aide de la classification ETHOS et à un suivi renforcé au niveau de l’Union, notamment dans le cadre du Semestre européen. Les incidences disproportionnées sur les groupes vulnérables (Roms, personnes handicapées, personnes LGBTIQ+, femmes et mères célibataires, enfants, jeunes quittant les structures d’accueil, migrants et familles nombreuses) sont également mises en évidence. </w:t>
      </w:r>
    </w:p>
    <w:p w14:paraId="2215877C" w14:textId="7D013894" w:rsidR="005E319F" w:rsidRPr="007021D2" w:rsidRDefault="005E319F" w:rsidP="00842964">
      <w:pPr>
        <w:pBdr>
          <w:top w:val="nil"/>
          <w:left w:val="nil"/>
          <w:bottom w:val="nil"/>
          <w:right w:val="nil"/>
          <w:between w:val="nil"/>
          <w:bar w:val="nil"/>
        </w:pBdr>
        <w:spacing w:before="0" w:after="240"/>
        <w:rPr>
          <w:noProof/>
        </w:rPr>
      </w:pPr>
      <w:bookmarkStart w:id="2" w:name="_Hlk220931112"/>
      <w:r w:rsidRPr="007021D2">
        <w:rPr>
          <w:noProof/>
        </w:rPr>
        <w:t>Entre le 25 juillet et le 24 octobre 2025, la Commission a mené une consultation publique sur la stratégie européenne de lutte contre la pauvreté, qui a contribué à façonner le contenu de cette proposition. La présente proposition fait partie du train de mesures de la stratégie européenne de lutte contre la pauvreté. Des consultations ciblées avec les personnes en situation de pauvreté dans le cadre de l’élaboration de la stratégie européenne de lutte contre la pauvreté ont eu lieu en septembre et octobre</w:t>
      </w:r>
      <w:r w:rsidR="007021D2" w:rsidRPr="007021D2">
        <w:rPr>
          <w:noProof/>
        </w:rPr>
        <w:t> </w:t>
      </w:r>
      <w:r w:rsidRPr="007021D2">
        <w:rPr>
          <w:noProof/>
        </w:rPr>
        <w:t xml:space="preserve">2025. </w:t>
      </w:r>
    </w:p>
    <w:p w14:paraId="2EFB5B8B" w14:textId="77777777" w:rsidR="001D3E76" w:rsidRPr="007021D2" w:rsidRDefault="0088755E" w:rsidP="001D3E76">
      <w:pPr>
        <w:pBdr>
          <w:top w:val="nil"/>
          <w:left w:val="nil"/>
          <w:bottom w:val="nil"/>
          <w:right w:val="nil"/>
          <w:between w:val="nil"/>
          <w:bar w:val="nil"/>
        </w:pBdr>
        <w:spacing w:before="0" w:after="240"/>
        <w:rPr>
          <w:noProof/>
        </w:rPr>
      </w:pPr>
      <w:r w:rsidRPr="007021D2">
        <w:rPr>
          <w:noProof/>
        </w:rPr>
        <w:t>La présente proposition s’appuie également sur les résultats de la consultation publique menée par la Commission dans le cadre de l’élaboration du plan européen pour des logements abordables, qui a eu lieu entre le 11 juillet et le 17 octobre 2025. Cette consultation comprenait des questions destinées à recueillir l’avis des participants sur les moyens de garantir un logement abordable et accessible aux personnes en situation de vulnérabilité, exposées à la discrimination ou sans-abri. Cette consultation s’inscrivait dans le cadre du dialogue sur le logement abordable lancé par la Commission pour préparer le plan, et a donné lieu à plus de 13 000 réponses.</w:t>
      </w:r>
    </w:p>
    <w:p w14:paraId="7BF39F83" w14:textId="54EEC04F" w:rsidR="005E319F" w:rsidRPr="007021D2" w:rsidRDefault="005E319F" w:rsidP="005E319F">
      <w:pPr>
        <w:pBdr>
          <w:top w:val="nil"/>
          <w:left w:val="nil"/>
          <w:bottom w:val="nil"/>
          <w:right w:val="nil"/>
          <w:between w:val="nil"/>
          <w:bar w:val="nil"/>
        </w:pBdr>
        <w:spacing w:before="0" w:after="240"/>
        <w:rPr>
          <w:rFonts w:eastAsia="Arial Unicode MS"/>
          <w:noProof/>
        </w:rPr>
      </w:pPr>
      <w:r w:rsidRPr="007021D2">
        <w:rPr>
          <w:noProof/>
        </w:rPr>
        <w:t>La plateforme européenne sur la lutte contre le sans-abrisme a été consultée sur le contenu de cette proposition dans le cadre d’une consultation écrite en janvier</w:t>
      </w:r>
      <w:r w:rsidR="007021D2" w:rsidRPr="007021D2">
        <w:rPr>
          <w:noProof/>
        </w:rPr>
        <w:t> </w:t>
      </w:r>
      <w:r w:rsidRPr="007021D2">
        <w:rPr>
          <w:noProof/>
        </w:rPr>
        <w:t xml:space="preserve">2026. La plateforme comprend toutes les parties prenantes concernées qui sont chargées de la lutte contre le sans-abrisme: la Commission européenne, le Parlement européen, les États membres, le Comité des </w:t>
      </w:r>
      <w:r w:rsidRPr="007021D2">
        <w:rPr>
          <w:noProof/>
        </w:rPr>
        <w:lastRenderedPageBreak/>
        <w:t xml:space="preserve">régions, le Comité économique et social européen, les partenaires sociaux et les acteurs européens concernés. </w:t>
      </w:r>
    </w:p>
    <w:bookmarkEnd w:id="2"/>
    <w:p w14:paraId="4C3B5163" w14:textId="77777777" w:rsidR="00C578AE" w:rsidRPr="007021D2" w:rsidRDefault="00C578AE">
      <w:pPr>
        <w:pStyle w:val="ManualHeading2"/>
        <w:rPr>
          <w:rFonts w:eastAsia="Arial Unicode MS"/>
          <w:noProof/>
          <w:u w:color="000000"/>
          <w:bdr w:val="nil"/>
        </w:rPr>
      </w:pPr>
      <w:r w:rsidRPr="007021D2">
        <w:rPr>
          <w:noProof/>
          <w:u w:color="000000"/>
          <w:bdr w:val="nil"/>
        </w:rPr>
        <w:t>•</w:t>
      </w:r>
      <w:r w:rsidRPr="007021D2">
        <w:rPr>
          <w:noProof/>
        </w:rPr>
        <w:tab/>
      </w:r>
      <w:r w:rsidRPr="007021D2">
        <w:rPr>
          <w:noProof/>
          <w:u w:color="000000"/>
          <w:bdr w:val="nil"/>
        </w:rPr>
        <w:t>Obtention et utilisation d’expertise</w:t>
      </w:r>
    </w:p>
    <w:p w14:paraId="1AAE12EA" w14:textId="77777777" w:rsidR="0002616A" w:rsidRPr="007021D2" w:rsidRDefault="0002616A" w:rsidP="0002616A">
      <w:pPr>
        <w:pBdr>
          <w:top w:val="nil"/>
          <w:left w:val="nil"/>
          <w:bottom w:val="nil"/>
          <w:right w:val="nil"/>
          <w:between w:val="nil"/>
          <w:bar w:val="nil"/>
        </w:pBdr>
        <w:spacing w:before="0" w:after="240"/>
        <w:rPr>
          <w:b/>
          <w:bCs/>
          <w:noProof/>
        </w:rPr>
      </w:pPr>
      <w:r w:rsidRPr="007021D2">
        <w:rPr>
          <w:noProof/>
        </w:rPr>
        <w:t xml:space="preserve">Les données probantes qui sous-tendent cette initiative sont fondées sur les </w:t>
      </w:r>
      <w:r w:rsidRPr="007021D2">
        <w:rPr>
          <w:b/>
          <w:noProof/>
        </w:rPr>
        <w:t>travaux menés dans le cadre de la plateforme européenne sur la lutte contre le sans-abrisme depuis 2021</w:t>
      </w:r>
      <w:r w:rsidRPr="007021D2">
        <w:rPr>
          <w:noProof/>
        </w:rPr>
        <w:t>.</w:t>
      </w:r>
      <w:r w:rsidRPr="007021D2">
        <w:rPr>
          <w:b/>
          <w:noProof/>
        </w:rPr>
        <w:t xml:space="preserve"> </w:t>
      </w:r>
    </w:p>
    <w:p w14:paraId="23186D95" w14:textId="77777777" w:rsidR="001866C4" w:rsidRPr="007021D2" w:rsidRDefault="0002616A" w:rsidP="0002616A">
      <w:pPr>
        <w:pBdr>
          <w:top w:val="nil"/>
          <w:left w:val="nil"/>
          <w:bottom w:val="nil"/>
          <w:right w:val="nil"/>
          <w:between w:val="nil"/>
          <w:bar w:val="nil"/>
        </w:pBdr>
        <w:spacing w:before="0" w:after="240"/>
        <w:rPr>
          <w:noProof/>
        </w:rPr>
      </w:pPr>
      <w:r w:rsidRPr="007021D2">
        <w:rPr>
          <w:noProof/>
        </w:rPr>
        <w:t>Dans le cadre du volet «apprentissage mutuel» de la plateforme, plusieurs études</w:t>
      </w:r>
      <w:r w:rsidRPr="007021D2">
        <w:rPr>
          <w:rStyle w:val="FootnoteReference"/>
          <w:noProof/>
        </w:rPr>
        <w:footnoteReference w:id="7"/>
      </w:r>
      <w:r w:rsidRPr="007021D2">
        <w:rPr>
          <w:noProof/>
        </w:rPr>
        <w:t xml:space="preserve"> ont été commandées afin d’informer et de soutenir les États membres dans leurs efforts pour concevoir et mettre en œuvre des stratégies nationales de lutte contre l’exclusion en matière de logement et le sans-abrisme. Ces études indiquent que la lutte contre le sans-abrisme nécessite de passer des interventions d’urgence à des solutions axées sur le logement, en offrant une solution de logement immédiate et stable assortie d’un accompagnement sur mesure. Cette approche met fin à des cycles de services coûteux tels que les hébergements temporaires et met en avant le logement abordable comme une mesure préventive essentielle. </w:t>
      </w:r>
    </w:p>
    <w:p w14:paraId="7B30A70C" w14:textId="77777777" w:rsidR="0002616A" w:rsidRPr="007021D2" w:rsidRDefault="00FD4AC3" w:rsidP="0002616A">
      <w:pPr>
        <w:pBdr>
          <w:top w:val="nil"/>
          <w:left w:val="nil"/>
          <w:bottom w:val="nil"/>
          <w:right w:val="nil"/>
          <w:between w:val="nil"/>
          <w:bar w:val="nil"/>
        </w:pBdr>
        <w:spacing w:before="0" w:after="240"/>
        <w:rPr>
          <w:noProof/>
        </w:rPr>
      </w:pPr>
      <w:r w:rsidRPr="007021D2">
        <w:rPr>
          <w:noProof/>
        </w:rPr>
        <w:t>La boîte à outils de l’OCDE pour lutter contre le sans-abrisme</w:t>
      </w:r>
      <w:r w:rsidRPr="007021D2">
        <w:rPr>
          <w:rStyle w:val="FootnoteReference"/>
          <w:noProof/>
        </w:rPr>
        <w:footnoteReference w:id="8"/>
      </w:r>
      <w:r w:rsidRPr="007021D2">
        <w:rPr>
          <w:noProof/>
        </w:rPr>
        <w:t xml:space="preserve"> propose des stratégies visant à réduire le sans-abrisme au moyen de mesures préventives et réactives, afin de créer des solutions efficaces à long terme, et met l’accent sur les politiques fondées sur les données, le soutien intégré, la stabilité du logement, les approches sur mesure et la collaboration intersectorielle. Le cadre de suivi de l’OCDE</w:t>
      </w:r>
      <w:r w:rsidRPr="007021D2">
        <w:rPr>
          <w:rStyle w:val="FootnoteReference"/>
          <w:noProof/>
        </w:rPr>
        <w:footnoteReference w:id="9"/>
      </w:r>
      <w:r w:rsidRPr="007021D2">
        <w:rPr>
          <w:noProof/>
        </w:rPr>
        <w:t xml:space="preserve"> vise à améliorer la compréhension et l’évaluation du sans-abrisme en établissant des normes internationales cohérentes pour la collecte et l’analyse des données. Il souligne l’importance d’utiliser des indicateurs complets et comparables qui tiennent compte de la nature multidimensionnelle du sans-abrisme. </w:t>
      </w:r>
    </w:p>
    <w:p w14:paraId="148560DD" w14:textId="77777777" w:rsidR="001C6EBB" w:rsidRPr="007021D2" w:rsidRDefault="001C6EBB" w:rsidP="001C6EBB">
      <w:pPr>
        <w:rPr>
          <w:noProof/>
        </w:rPr>
      </w:pPr>
      <w:r w:rsidRPr="007021D2">
        <w:rPr>
          <w:noProof/>
        </w:rPr>
        <w:t>Le projet pilote «Recensement européen du sans-abrisme»</w:t>
      </w:r>
      <w:r w:rsidRPr="007021D2">
        <w:rPr>
          <w:rStyle w:val="FootnoteReference"/>
          <w:noProof/>
        </w:rPr>
        <w:footnoteReference w:id="10"/>
      </w:r>
      <w:r w:rsidRPr="007021D2">
        <w:rPr>
          <w:noProof/>
        </w:rPr>
        <w:t xml:space="preserve"> a mis au point et testé une méthode comparable de recensement et de profilage du sans-abrisme dans l’ensemble de l’Union. Le projet utilise une approche harmonisée fondée sur la définition d’ETHOS Light</w:t>
      </w:r>
      <w:r w:rsidRPr="007021D2">
        <w:rPr>
          <w:rStyle w:val="FootnoteReference"/>
          <w:noProof/>
        </w:rPr>
        <w:footnoteReference w:id="11"/>
      </w:r>
      <w:r w:rsidRPr="007021D2">
        <w:rPr>
          <w:noProof/>
        </w:rPr>
        <w:t>.</w:t>
      </w:r>
    </w:p>
    <w:p w14:paraId="5BE1A82B" w14:textId="77777777" w:rsidR="00BE49FF" w:rsidRPr="007021D2" w:rsidRDefault="0002616A" w:rsidP="00557312">
      <w:pPr>
        <w:rPr>
          <w:noProof/>
          <w:szCs w:val="24"/>
        </w:rPr>
      </w:pPr>
      <w:r w:rsidRPr="007021D2">
        <w:rPr>
          <w:noProof/>
        </w:rPr>
        <w:t>Pour une analyse approfondie du lien entre la pauvreté et l’exclusion en matière de logement, le rapport du réseau European Social Policy Analysis Network</w:t>
      </w:r>
      <w:r w:rsidRPr="007021D2">
        <w:rPr>
          <w:rStyle w:val="FootnoteReference"/>
          <w:noProof/>
        </w:rPr>
        <w:footnoteReference w:id="12"/>
      </w:r>
      <w:r w:rsidRPr="007021D2">
        <w:rPr>
          <w:noProof/>
        </w:rPr>
        <w:t xml:space="preserve"> propose une analyse comparative des liens entre les politiques de lutte contre le sans-abrisme et celles de lutte contre la pauvreté dans l’ensemble de l’Union. </w:t>
      </w:r>
    </w:p>
    <w:p w14:paraId="7AFD6810" w14:textId="77777777" w:rsidR="00C578AE" w:rsidRPr="007021D2" w:rsidRDefault="00C578AE">
      <w:pPr>
        <w:pStyle w:val="ManualHeading2"/>
        <w:rPr>
          <w:rFonts w:eastAsia="Arial Unicode MS"/>
          <w:noProof/>
          <w:u w:color="000000"/>
          <w:bdr w:val="nil"/>
        </w:rPr>
      </w:pPr>
      <w:r w:rsidRPr="007021D2">
        <w:rPr>
          <w:noProof/>
          <w:u w:color="000000"/>
          <w:bdr w:val="nil"/>
        </w:rPr>
        <w:lastRenderedPageBreak/>
        <w:t>•</w:t>
      </w:r>
      <w:r w:rsidRPr="007021D2">
        <w:rPr>
          <w:noProof/>
        </w:rPr>
        <w:tab/>
      </w:r>
      <w:r w:rsidRPr="007021D2">
        <w:rPr>
          <w:noProof/>
          <w:u w:color="000000"/>
          <w:bdr w:val="nil"/>
        </w:rPr>
        <w:t>Analyse d’impact</w:t>
      </w:r>
    </w:p>
    <w:p w14:paraId="668E23F9" w14:textId="77777777" w:rsidR="0096681E" w:rsidRPr="007021D2" w:rsidRDefault="004F5935" w:rsidP="0096681E">
      <w:pPr>
        <w:pBdr>
          <w:top w:val="nil"/>
          <w:left w:val="nil"/>
          <w:bottom w:val="nil"/>
          <w:right w:val="nil"/>
          <w:between w:val="nil"/>
          <w:bar w:val="nil"/>
        </w:pBdr>
        <w:spacing w:before="0" w:after="240"/>
        <w:rPr>
          <w:rFonts w:eastAsia="Arial Unicode MS"/>
          <w:noProof/>
        </w:rPr>
      </w:pPr>
      <w:r w:rsidRPr="007021D2">
        <w:rPr>
          <w:noProof/>
        </w:rPr>
        <w:t>Aucune analyse d’impact n’est prévue, étant donné que l’instrument choisi (à savoir, une recommandation du Conseil) n’est pas contraignant et que le choix de la mise en œuvre incombera aux États membres. La proposition de recommandation du Conseil est étayée par le document de travail des services de la Commission accompagnant la stratégie de lutte contre la pauvreté.</w:t>
      </w:r>
    </w:p>
    <w:p w14:paraId="7606F287" w14:textId="77777777" w:rsidR="00C578AE" w:rsidRPr="007021D2" w:rsidRDefault="0096681E">
      <w:pPr>
        <w:pBdr>
          <w:top w:val="nil"/>
          <w:left w:val="nil"/>
          <w:bottom w:val="nil"/>
          <w:right w:val="nil"/>
          <w:between w:val="nil"/>
          <w:bar w:val="nil"/>
        </w:pBdr>
        <w:spacing w:before="0" w:after="240"/>
        <w:rPr>
          <w:rFonts w:eastAsia="Arial Unicode MS"/>
          <w:noProof/>
        </w:rPr>
      </w:pPr>
      <w:r w:rsidRPr="007021D2">
        <w:rPr>
          <w:noProof/>
        </w:rPr>
        <w:t>L’incidence de la recommandation ne dépendra pas seulement de la manière dont les États membres mettront en œuvre les mesures. Les circonstances nationales, telles que la situation macroéconomique, la conception des systèmes de protection sociale et des services sociaux et le fonctionnement des systèmes de logement, sont également importantes et rendent difficile la distinction entre l’incidence spécifique de la proposition et celle des autres facteurs.</w:t>
      </w:r>
    </w:p>
    <w:p w14:paraId="0393148A" w14:textId="77777777" w:rsidR="00C578AE" w:rsidRPr="007021D2" w:rsidRDefault="00C578AE">
      <w:pPr>
        <w:pStyle w:val="ManualHeading2"/>
        <w:rPr>
          <w:rFonts w:eastAsia="Arial Unicode MS"/>
          <w:noProof/>
          <w:u w:color="000000"/>
          <w:bdr w:val="nil"/>
        </w:rPr>
      </w:pPr>
      <w:r w:rsidRPr="007021D2">
        <w:rPr>
          <w:noProof/>
          <w:u w:color="000000"/>
          <w:bdr w:val="nil"/>
        </w:rPr>
        <w:t>•</w:t>
      </w:r>
      <w:r w:rsidRPr="007021D2">
        <w:rPr>
          <w:noProof/>
        </w:rPr>
        <w:tab/>
      </w:r>
      <w:r w:rsidRPr="007021D2">
        <w:rPr>
          <w:noProof/>
          <w:u w:color="000000"/>
          <w:bdr w:val="nil"/>
        </w:rPr>
        <w:t>Droits fondamentaux</w:t>
      </w:r>
    </w:p>
    <w:p w14:paraId="3C87B066" w14:textId="77777777" w:rsidR="00196672" w:rsidRPr="007021D2" w:rsidRDefault="00196672" w:rsidP="00196672">
      <w:pPr>
        <w:pBdr>
          <w:top w:val="nil"/>
          <w:left w:val="nil"/>
          <w:bottom w:val="nil"/>
          <w:right w:val="nil"/>
          <w:between w:val="nil"/>
          <w:bar w:val="nil"/>
        </w:pBdr>
        <w:spacing w:before="0" w:after="240"/>
        <w:rPr>
          <w:rFonts w:eastAsia="Arial Unicode MS"/>
          <w:noProof/>
        </w:rPr>
      </w:pPr>
      <w:bookmarkStart w:id="5" w:name="_Hlk220930317"/>
      <w:r w:rsidRPr="007021D2">
        <w:rPr>
          <w:noProof/>
        </w:rPr>
        <w:t>La proposition contribuera à la préservation du droit de vivre dans la dignité (article 1</w:t>
      </w:r>
      <w:r w:rsidRPr="007021D2">
        <w:rPr>
          <w:noProof/>
          <w:vertAlign w:val="superscript"/>
        </w:rPr>
        <w:t>er</w:t>
      </w:r>
      <w:r w:rsidRPr="007021D2">
        <w:rPr>
          <w:noProof/>
        </w:rPr>
        <w:t xml:space="preserve"> de la charte des droits fondamentaux de l’Union européenne), aux prestations de sécurité sociale et aux services sociaux, à une aide sociale et à une aide au logement ainsi qu’à une existence digne pour tous ceux qui ne disposent pas de ressources suffisantes (article 34 de la charte). </w:t>
      </w:r>
    </w:p>
    <w:bookmarkEnd w:id="5"/>
    <w:p w14:paraId="3C8710B9" w14:textId="77777777" w:rsidR="00C578AE" w:rsidRPr="007021D2" w:rsidRDefault="00C578AE">
      <w:pPr>
        <w:pStyle w:val="ManualHeading1"/>
        <w:rPr>
          <w:noProof/>
        </w:rPr>
      </w:pPr>
      <w:r w:rsidRPr="007021D2">
        <w:rPr>
          <w:noProof/>
        </w:rPr>
        <w:t>4.</w:t>
      </w:r>
      <w:r w:rsidRPr="007021D2">
        <w:rPr>
          <w:noProof/>
        </w:rPr>
        <w:tab/>
        <w:t>INCIDENCE BUDGÉTAIRE</w:t>
      </w:r>
    </w:p>
    <w:p w14:paraId="2499509E" w14:textId="77777777" w:rsidR="00143377" w:rsidRPr="007021D2" w:rsidRDefault="002A4F74" w:rsidP="00143377">
      <w:pPr>
        <w:pBdr>
          <w:top w:val="nil"/>
          <w:left w:val="nil"/>
          <w:bottom w:val="nil"/>
          <w:right w:val="nil"/>
          <w:between w:val="nil"/>
          <w:bar w:val="nil"/>
        </w:pBdr>
        <w:spacing w:before="0" w:after="240"/>
        <w:rPr>
          <w:rFonts w:eastAsia="Arial Unicode MS"/>
          <w:noProof/>
        </w:rPr>
      </w:pPr>
      <w:bookmarkStart w:id="6" w:name="_Hlk220930254"/>
      <w:r w:rsidRPr="007021D2">
        <w:rPr>
          <w:noProof/>
        </w:rPr>
        <w:t xml:space="preserve">La recommandation n’a pas d’incidence budgétaire directe pour l’Union. Elle encourage les États membres à utiliser efficacement les ressources nationales existantes et les instruments de financement pertinents de l’Union, dont le FSE+, le FEDER, Erasmus+, InvestEU et la FRR, conformément à leurs règles et instruments respectifs au titre du prochain CFP. </w:t>
      </w:r>
    </w:p>
    <w:bookmarkEnd w:id="6"/>
    <w:p w14:paraId="28B674D9" w14:textId="77777777" w:rsidR="00C578AE" w:rsidRPr="007021D2" w:rsidRDefault="00C578AE">
      <w:pPr>
        <w:pStyle w:val="ManualHeading1"/>
        <w:rPr>
          <w:noProof/>
        </w:rPr>
      </w:pPr>
      <w:r w:rsidRPr="007021D2">
        <w:rPr>
          <w:noProof/>
        </w:rPr>
        <w:t>5.</w:t>
      </w:r>
      <w:r w:rsidRPr="007021D2">
        <w:rPr>
          <w:noProof/>
        </w:rPr>
        <w:tab/>
        <w:t>AUTRES ÉLÉMENTS</w:t>
      </w:r>
    </w:p>
    <w:p w14:paraId="7AAD6C30" w14:textId="77777777" w:rsidR="00C578AE" w:rsidRPr="007021D2" w:rsidRDefault="00C578AE">
      <w:pPr>
        <w:pStyle w:val="ManualHeading2"/>
        <w:rPr>
          <w:rFonts w:eastAsia="Arial Unicode MS"/>
          <w:noProof/>
          <w:u w:color="000000"/>
          <w:bdr w:val="nil"/>
        </w:rPr>
      </w:pPr>
      <w:r w:rsidRPr="007021D2">
        <w:rPr>
          <w:noProof/>
          <w:u w:color="000000"/>
          <w:bdr w:val="nil"/>
        </w:rPr>
        <w:t>•</w:t>
      </w:r>
      <w:r w:rsidRPr="007021D2">
        <w:rPr>
          <w:noProof/>
        </w:rPr>
        <w:tab/>
      </w:r>
      <w:r w:rsidRPr="007021D2">
        <w:rPr>
          <w:noProof/>
          <w:u w:color="000000"/>
          <w:bdr w:val="nil"/>
        </w:rPr>
        <w:t>Plans de mise en œuvre et modalités de suivi, d’évaluation et d’information</w:t>
      </w:r>
    </w:p>
    <w:p w14:paraId="6A1C78F4" w14:textId="7AE6B0D0" w:rsidR="00DF4092" w:rsidRPr="007021D2" w:rsidRDefault="008D0F94" w:rsidP="008D0F94">
      <w:pPr>
        <w:pBdr>
          <w:top w:val="nil"/>
          <w:left w:val="nil"/>
          <w:bottom w:val="nil"/>
          <w:right w:val="nil"/>
          <w:between w:val="nil"/>
          <w:bar w:val="nil"/>
        </w:pBdr>
        <w:spacing w:before="0" w:after="240"/>
        <w:rPr>
          <w:rFonts w:eastAsia="Arial Unicode MS"/>
          <w:noProof/>
        </w:rPr>
      </w:pPr>
      <w:bookmarkStart w:id="7" w:name="_Hlk220930174"/>
      <w:r w:rsidRPr="007021D2">
        <w:rPr>
          <w:noProof/>
        </w:rPr>
        <w:t xml:space="preserve">Les progrès accomplis dans la mise en œuvre de la recommandation proposée feront l’objet d’un suivi au moyen des cadres existants suivants au niveau de l’Union: </w:t>
      </w:r>
    </w:p>
    <w:p w14:paraId="61590ADF" w14:textId="77777777" w:rsidR="007F24D3" w:rsidRPr="007021D2" w:rsidRDefault="00512759" w:rsidP="002A697C">
      <w:pPr>
        <w:pStyle w:val="Tiret1"/>
        <w:numPr>
          <w:ilvl w:val="0"/>
          <w:numId w:val="8"/>
        </w:numPr>
        <w:rPr>
          <w:noProof/>
        </w:rPr>
      </w:pPr>
      <w:r w:rsidRPr="007021D2">
        <w:rPr>
          <w:noProof/>
        </w:rPr>
        <w:t>la plateforme européenne sur la lutte contre le sans-abrisme apportera la contribution de la communauté d’experts et des parties prenantes au sens large, notamment des organisations représentant les personnes en situation de sans-abrisme;</w:t>
      </w:r>
    </w:p>
    <w:p w14:paraId="3002EBDF" w14:textId="77777777" w:rsidR="00A658C6" w:rsidRPr="007021D2" w:rsidRDefault="00512759" w:rsidP="004723B1">
      <w:pPr>
        <w:pStyle w:val="Tiret1"/>
        <w:rPr>
          <w:noProof/>
        </w:rPr>
      </w:pPr>
      <w:r w:rsidRPr="007021D2">
        <w:rPr>
          <w:noProof/>
        </w:rPr>
        <w:t xml:space="preserve">le comité de la protection sociale fournira les orientations politiques nécessaires et les contributions des États membres; </w:t>
      </w:r>
    </w:p>
    <w:p w14:paraId="7B1FA233" w14:textId="77777777" w:rsidR="00A658C6" w:rsidRPr="007021D2" w:rsidRDefault="00512759" w:rsidP="004723B1">
      <w:pPr>
        <w:pStyle w:val="Tiret1"/>
        <w:rPr>
          <w:noProof/>
        </w:rPr>
      </w:pPr>
      <w:r w:rsidRPr="007021D2">
        <w:rPr>
          <w:noProof/>
        </w:rPr>
        <w:t xml:space="preserve">le Semestre européen comportera une analyse et une évaluation des politiques sociales et économiques liées à l’exclusion en matière de logement et au sans-abrisme. </w:t>
      </w:r>
    </w:p>
    <w:p w14:paraId="079E76B7" w14:textId="77777777" w:rsidR="00D85CF7" w:rsidRPr="007021D2" w:rsidRDefault="00026DCC" w:rsidP="0097585B">
      <w:pPr>
        <w:pBdr>
          <w:top w:val="nil"/>
          <w:left w:val="nil"/>
          <w:bottom w:val="nil"/>
          <w:right w:val="nil"/>
          <w:between w:val="nil"/>
          <w:bar w:val="nil"/>
        </w:pBdr>
        <w:spacing w:before="0" w:after="240"/>
        <w:rPr>
          <w:rFonts w:eastAsia="Arial Unicode MS"/>
          <w:noProof/>
        </w:rPr>
      </w:pPr>
      <w:r w:rsidRPr="007021D2">
        <w:rPr>
          <w:noProof/>
        </w:rPr>
        <w:t xml:space="preserve">Les progrès seront évalués sur la base des statistiques officielles d’Eurostat disponibles </w:t>
      </w:r>
      <w:r w:rsidRPr="007021D2">
        <w:rPr>
          <w:rStyle w:val="CommentReference"/>
          <w:noProof/>
          <w:sz w:val="24"/>
        </w:rPr>
        <w:t>et des données</w:t>
      </w:r>
      <w:r w:rsidRPr="007021D2">
        <w:rPr>
          <w:noProof/>
        </w:rPr>
        <w:t xml:space="preserve"> améliorées, complètes et comparables que la recommandation proposée vise à promouvoir. Il est recommandé aux États membres de faire rapport tous les cinq ans à la Commission sur les résultats de leurs activités nationales de suivi et sur les progrès accomplis dans la mise en œuvre de la recommandation.</w:t>
      </w:r>
    </w:p>
    <w:bookmarkEnd w:id="7"/>
    <w:p w14:paraId="653D0B71" w14:textId="77777777" w:rsidR="00C578AE" w:rsidRPr="007021D2" w:rsidRDefault="00C578AE">
      <w:pPr>
        <w:pStyle w:val="ManualHeading2"/>
        <w:rPr>
          <w:rFonts w:eastAsia="Arial Unicode MS"/>
          <w:noProof/>
          <w:u w:color="000000"/>
          <w:bdr w:val="nil"/>
        </w:rPr>
      </w:pPr>
      <w:r w:rsidRPr="007021D2">
        <w:rPr>
          <w:noProof/>
          <w:u w:color="000000"/>
          <w:bdr w:val="nil"/>
        </w:rPr>
        <w:t>•</w:t>
      </w:r>
      <w:r w:rsidRPr="007021D2">
        <w:rPr>
          <w:noProof/>
        </w:rPr>
        <w:tab/>
      </w:r>
      <w:r w:rsidRPr="007021D2">
        <w:rPr>
          <w:noProof/>
          <w:u w:color="000000"/>
          <w:bdr w:val="nil"/>
        </w:rPr>
        <w:t>Documents explicatifs (pour les directives)</w:t>
      </w:r>
    </w:p>
    <w:p w14:paraId="71ECDA65" w14:textId="77777777" w:rsidR="00C578AE" w:rsidRPr="007021D2" w:rsidRDefault="00A3082A">
      <w:pPr>
        <w:pBdr>
          <w:top w:val="nil"/>
          <w:left w:val="nil"/>
          <w:bottom w:val="nil"/>
          <w:right w:val="nil"/>
          <w:between w:val="nil"/>
          <w:bar w:val="nil"/>
        </w:pBdr>
        <w:spacing w:before="0" w:after="240"/>
        <w:rPr>
          <w:rFonts w:eastAsia="Arial Unicode MS"/>
          <w:noProof/>
        </w:rPr>
      </w:pPr>
      <w:r w:rsidRPr="007021D2">
        <w:rPr>
          <w:noProof/>
        </w:rPr>
        <w:t>s.o.</w:t>
      </w:r>
    </w:p>
    <w:p w14:paraId="2683478F" w14:textId="77777777" w:rsidR="00C578AE" w:rsidRPr="007021D2" w:rsidRDefault="00C578AE">
      <w:pPr>
        <w:pStyle w:val="ManualHeading2"/>
        <w:rPr>
          <w:rFonts w:eastAsia="Arial Unicode MS"/>
          <w:noProof/>
          <w:u w:color="000000"/>
          <w:bdr w:val="nil"/>
        </w:rPr>
      </w:pPr>
      <w:r w:rsidRPr="007021D2">
        <w:rPr>
          <w:noProof/>
          <w:u w:color="000000"/>
          <w:bdr w:val="nil"/>
        </w:rPr>
        <w:lastRenderedPageBreak/>
        <w:t>•</w:t>
      </w:r>
      <w:r w:rsidRPr="007021D2">
        <w:rPr>
          <w:noProof/>
        </w:rPr>
        <w:tab/>
      </w:r>
      <w:r w:rsidRPr="007021D2">
        <w:rPr>
          <w:noProof/>
          <w:u w:color="000000"/>
          <w:bdr w:val="nil"/>
        </w:rPr>
        <w:t>Explication détaillée de certaines dispositions de la proposition</w:t>
      </w:r>
    </w:p>
    <w:p w14:paraId="155CFDF6" w14:textId="77777777" w:rsidR="00F46AC7" w:rsidRPr="007021D2" w:rsidRDefault="00F46AC7" w:rsidP="00F46AC7">
      <w:pPr>
        <w:rPr>
          <w:noProof/>
        </w:rPr>
      </w:pPr>
      <w:r w:rsidRPr="007021D2">
        <w:rPr>
          <w:noProof/>
        </w:rPr>
        <w:t xml:space="preserve">Le point 1 indique les objectifs de la recommandation proposée. </w:t>
      </w:r>
    </w:p>
    <w:p w14:paraId="2B878502" w14:textId="77777777" w:rsidR="00F46AC7" w:rsidRPr="007021D2" w:rsidRDefault="00F46AC7" w:rsidP="00F46AC7">
      <w:pPr>
        <w:rPr>
          <w:noProof/>
        </w:rPr>
      </w:pPr>
      <w:r w:rsidRPr="007021D2">
        <w:rPr>
          <w:noProof/>
        </w:rPr>
        <w:t>Le point 2 contient les définitions à appliquer aux fins de la recommandation.</w:t>
      </w:r>
    </w:p>
    <w:p w14:paraId="090671E0" w14:textId="77777777" w:rsidR="00F97180" w:rsidRPr="007021D2" w:rsidRDefault="00A3315F" w:rsidP="00F422C3">
      <w:pPr>
        <w:rPr>
          <w:noProof/>
        </w:rPr>
      </w:pPr>
      <w:r w:rsidRPr="007021D2">
        <w:rPr>
          <w:noProof/>
        </w:rPr>
        <w:t>La section sur les recommandations transversales est au cœur de la recommandation et recommande aux États membres de réviser ou d’adopter des cadres nationaux pour lutter contre l’exclusion en matière de logement dans le cadre de politiques centrées sur la personne et axées sur le logement. Elle recommande en outre de fixer des objectifs clairs et assortis de délais précis pour garantir un hébergement d’urgence à toutes les personnes qui dorment dans la rue et pour transférer rapidement ces personnes d’un logement temporaire vers un logement sûr et de longue durée.</w:t>
      </w:r>
    </w:p>
    <w:p w14:paraId="574B512D" w14:textId="77777777" w:rsidR="00C67C87" w:rsidRPr="007021D2" w:rsidRDefault="001171F9" w:rsidP="00416159">
      <w:pPr>
        <w:rPr>
          <w:noProof/>
        </w:rPr>
      </w:pPr>
      <w:r w:rsidRPr="007021D2">
        <w:rPr>
          <w:noProof/>
        </w:rPr>
        <w:t>La section consacrée à l’identification des personnes exposées au risque d’exclusion en matière de logement porte sur la collecte de données, la définition de critères d’éligibilité pour l’ensemble des services concernés, la mise en place de systèmes d’alerte précoce permettant de recenser les ménages à risque ainsi que des actions de sensibilisation ciblées destinées aux groupes sous-représentés.</w:t>
      </w:r>
    </w:p>
    <w:p w14:paraId="7F760B07" w14:textId="77777777" w:rsidR="00416159" w:rsidRPr="007021D2" w:rsidRDefault="000E01BD" w:rsidP="00416159">
      <w:pPr>
        <w:rPr>
          <w:noProof/>
        </w:rPr>
      </w:pPr>
      <w:r w:rsidRPr="007021D2">
        <w:rPr>
          <w:noProof/>
        </w:rPr>
        <w:t>La section consacrée à la prévention de l’exclusion en matière de logement porte sur le maintien dans un logement adéquat, l’accès à l’information, l’évaluation adéquate des revenus, la protection contre les expulsions, la protection de l’enfance, les jeunes quittant une structure de prise en charge, les services d’intervention précoce pour les enfants et les jeunes, les personnes âgées et les sorties d’institutions.</w:t>
      </w:r>
    </w:p>
    <w:p w14:paraId="6E920A05" w14:textId="77777777" w:rsidR="00410BB1" w:rsidRPr="007021D2" w:rsidRDefault="00587BA5" w:rsidP="00410BB1">
      <w:pPr>
        <w:rPr>
          <w:noProof/>
        </w:rPr>
      </w:pPr>
      <w:r w:rsidRPr="007021D2">
        <w:rPr>
          <w:noProof/>
        </w:rPr>
        <w:t>La section consacrée au soutien aux personnes en situation de sans-abrisme porte sur les systèmes et services de soutien, la préservation de l’unité familiale, la coordination entre les services, l’activation du marché du travail, l’inclusion financière, l’accès au logement, la capacité d’hébergement en fonction des besoins, le soutien par les pairs et la lutte contre la discrimination.</w:t>
      </w:r>
    </w:p>
    <w:p w14:paraId="73975308" w14:textId="77777777" w:rsidR="00410BB1" w:rsidRPr="007021D2" w:rsidRDefault="004A12EE" w:rsidP="00410BB1">
      <w:pPr>
        <w:rPr>
          <w:noProof/>
        </w:rPr>
      </w:pPr>
      <w:r w:rsidRPr="007021D2">
        <w:rPr>
          <w:noProof/>
        </w:rPr>
        <w:t>La section consacrée à l’accès à des solutions de logement adéquates et sûres fait référence à des approches axées sur le logement, à des services de soutien centrés sur la personne, à l’offre de logements sociaux et abordables, à des aides financières et à des mesures incitatives favorisant l’accès au logement, à l’accompagnement des jeunes (y compris les étudiants) et au soutien aux politiques territorialisées et aux aménagements des logements.</w:t>
      </w:r>
    </w:p>
    <w:p w14:paraId="0F59456F" w14:textId="77777777" w:rsidR="00D51DF8" w:rsidRPr="007021D2" w:rsidRDefault="00A0531C" w:rsidP="00EE121A">
      <w:pPr>
        <w:rPr>
          <w:noProof/>
        </w:rPr>
      </w:pPr>
      <w:r w:rsidRPr="007021D2">
        <w:rPr>
          <w:noProof/>
        </w:rPr>
        <w:t>La section consacrée au suivi, à l’évaluation et à la gouvernance recommande aux États membres de mettre en œuvre des mécanismes de suivi et d’évaluation afin de garantir des réponses politiques efficaces. Elle recommande également aux États membres de mettre en place un cadre de gouvernance solide associant toutes les parties prenantes, en utilisant les financements de l’Union et en soutenant la plateforme européenne sur la lutte contre le sans-abrisme.</w:t>
      </w:r>
    </w:p>
    <w:p w14:paraId="6EC9599C" w14:textId="77777777" w:rsidR="00ED7527" w:rsidRPr="007021D2" w:rsidRDefault="00ED7527">
      <w:pPr>
        <w:spacing w:before="0" w:after="200" w:line="276" w:lineRule="auto"/>
        <w:jc w:val="left"/>
        <w:rPr>
          <w:noProof/>
        </w:rPr>
      </w:pPr>
      <w:r w:rsidRPr="007021D2">
        <w:rPr>
          <w:noProof/>
        </w:rPr>
        <w:br w:type="page"/>
      </w:r>
    </w:p>
    <w:p w14:paraId="24953F8A" w14:textId="34626A18" w:rsidR="00532C9D" w:rsidRPr="007021D2" w:rsidRDefault="007021D2" w:rsidP="007021D2">
      <w:pPr>
        <w:pStyle w:val="Rfrenceinterinstitutionnelle"/>
        <w:rPr>
          <w:noProof/>
        </w:rPr>
      </w:pPr>
      <w:r>
        <w:rPr>
          <w:noProof/>
        </w:rPr>
        <w:lastRenderedPageBreak/>
        <w:t>2026/0105 (NLE)</w:t>
      </w:r>
    </w:p>
    <w:p w14:paraId="3D7FAEE8" w14:textId="3DE88224" w:rsidR="00C578AE" w:rsidRPr="007021D2" w:rsidRDefault="007021D2" w:rsidP="007021D2">
      <w:pPr>
        <w:pStyle w:val="Statut"/>
        <w:rPr>
          <w:noProof/>
        </w:rPr>
      </w:pPr>
      <w:r w:rsidRPr="007021D2">
        <w:rPr>
          <w:noProof/>
        </w:rPr>
        <w:t>Proposition de</w:t>
      </w:r>
    </w:p>
    <w:p w14:paraId="6665D039" w14:textId="6980CA8A" w:rsidR="00C578AE" w:rsidRPr="007021D2" w:rsidRDefault="007021D2" w:rsidP="007021D2">
      <w:pPr>
        <w:pStyle w:val="Typedudocument"/>
        <w:rPr>
          <w:noProof/>
        </w:rPr>
      </w:pPr>
      <w:r w:rsidRPr="007021D2">
        <w:rPr>
          <w:noProof/>
        </w:rPr>
        <w:t>RECOMMANDATION DU CONSEIL</w:t>
      </w:r>
    </w:p>
    <w:p w14:paraId="6AF201A8" w14:textId="135FB379" w:rsidR="00C578AE" w:rsidRPr="007021D2" w:rsidRDefault="007021D2" w:rsidP="007021D2">
      <w:pPr>
        <w:pStyle w:val="Titreobjet"/>
        <w:rPr>
          <w:noProof/>
        </w:rPr>
      </w:pPr>
      <w:r w:rsidRPr="007021D2">
        <w:rPr>
          <w:noProof/>
        </w:rPr>
        <w:t>relative à la lutte contre l’exclusion en matière de logement</w:t>
      </w:r>
    </w:p>
    <w:p w14:paraId="613679E6" w14:textId="77777777" w:rsidR="00C578AE" w:rsidRPr="007021D2" w:rsidRDefault="00C578AE">
      <w:pPr>
        <w:pStyle w:val="Institutionquiagit"/>
        <w:rPr>
          <w:noProof/>
        </w:rPr>
      </w:pPr>
      <w:r w:rsidRPr="007021D2">
        <w:rPr>
          <w:noProof/>
        </w:rPr>
        <w:t>LE CONSEIL DE L’UNION EUROPÉENNE,</w:t>
      </w:r>
    </w:p>
    <w:p w14:paraId="01EF4DBE" w14:textId="77777777" w:rsidR="00C578AE" w:rsidRPr="007021D2" w:rsidRDefault="00C578AE">
      <w:pPr>
        <w:rPr>
          <w:noProof/>
        </w:rPr>
      </w:pPr>
      <w:r w:rsidRPr="007021D2">
        <w:rPr>
          <w:noProof/>
        </w:rPr>
        <w:t>vu le traité sur le fonctionnement de l’Union européenne, et notamment son article 292, en liaison avec l’article 153, paragraphe 1, point j),</w:t>
      </w:r>
    </w:p>
    <w:p w14:paraId="548615B0" w14:textId="77777777" w:rsidR="00C578AE" w:rsidRPr="007021D2" w:rsidRDefault="00C578AE">
      <w:pPr>
        <w:rPr>
          <w:noProof/>
        </w:rPr>
      </w:pPr>
      <w:r w:rsidRPr="007021D2">
        <w:rPr>
          <w:noProof/>
        </w:rPr>
        <w:t>vu la proposition de la Commission européenne,</w:t>
      </w:r>
    </w:p>
    <w:p w14:paraId="36FAEC76" w14:textId="77777777" w:rsidR="00120777" w:rsidRPr="007021D2" w:rsidRDefault="00120777">
      <w:pPr>
        <w:rPr>
          <w:noProof/>
        </w:rPr>
      </w:pPr>
    </w:p>
    <w:p w14:paraId="534E4E72" w14:textId="77777777" w:rsidR="00C578AE" w:rsidRPr="007021D2" w:rsidRDefault="00C578AE">
      <w:pPr>
        <w:rPr>
          <w:noProof/>
        </w:rPr>
      </w:pPr>
      <w:r w:rsidRPr="007021D2">
        <w:rPr>
          <w:noProof/>
        </w:rPr>
        <w:t>considérant ce qui suit:</w:t>
      </w:r>
    </w:p>
    <w:p w14:paraId="7E24549C" w14:textId="77777777" w:rsidR="000A7BDC" w:rsidRPr="007021D2" w:rsidRDefault="000A7BDC">
      <w:pPr>
        <w:rPr>
          <w:noProof/>
        </w:rPr>
      </w:pPr>
    </w:p>
    <w:p w14:paraId="52CEE5C6" w14:textId="77777777" w:rsidR="001E431A" w:rsidRPr="007021D2" w:rsidRDefault="00796E41" w:rsidP="00796E41">
      <w:pPr>
        <w:pStyle w:val="ManualConsidrant"/>
        <w:rPr>
          <w:noProof/>
          <w:color w:val="333333"/>
        </w:rPr>
      </w:pPr>
      <w:r w:rsidRPr="007021D2">
        <w:rPr>
          <w:noProof/>
        </w:rPr>
        <w:t>(1)</w:t>
      </w:r>
      <w:r w:rsidRPr="007021D2">
        <w:rPr>
          <w:noProof/>
        </w:rPr>
        <w:tab/>
        <w:t>En application de l’article 3, paragraphe 3, du traité sur l’Union européenne, l’Union combat l’exclusion sociale et les discriminations, et promeut la justice et la protection sociales. En vertu de l’article 151 du traité sur le fonctionnement de l’Union européenne (TFUE), l’Union et les États membres ont pour objectifs, entre autres, la promotion de l’emploi, l’amélioration des conditions de vie et de travail, une protection sociale adéquate et la lutte contre les exclusions.</w:t>
      </w:r>
      <w:r w:rsidRPr="007021D2">
        <w:rPr>
          <w:noProof/>
          <w:color w:val="333333"/>
          <w:shd w:val="clear" w:color="auto" w:fill="FFFFFF"/>
        </w:rPr>
        <w:t xml:space="preserve"> </w:t>
      </w:r>
    </w:p>
    <w:p w14:paraId="6651B591" w14:textId="77777777" w:rsidR="001E431A" w:rsidRPr="007021D2" w:rsidRDefault="00796E41" w:rsidP="00796E41">
      <w:pPr>
        <w:pStyle w:val="ManualConsidrant"/>
        <w:rPr>
          <w:noProof/>
        </w:rPr>
      </w:pPr>
      <w:r w:rsidRPr="007021D2">
        <w:rPr>
          <w:noProof/>
        </w:rPr>
        <w:t>(2)</w:t>
      </w:r>
      <w:r w:rsidRPr="007021D2">
        <w:rPr>
          <w:noProof/>
        </w:rPr>
        <w:tab/>
        <w:t xml:space="preserve">L’article 34 de la charte des droits fondamentaux de l’Union européenne prévoit la reconnaissance et le respect du droit à une aide sociale et à une aide au logement destinées à assurer une existence digne à tous ceux qui ne disposent pas de ressources suffisantes, selon les règles établies par le droit de l’Union et les législations et pratiques nationales. </w:t>
      </w:r>
    </w:p>
    <w:p w14:paraId="67AF774E" w14:textId="77777777" w:rsidR="001E431A" w:rsidRPr="007021D2" w:rsidRDefault="00796E41" w:rsidP="00796E41">
      <w:pPr>
        <w:pStyle w:val="ManualConsidrant"/>
        <w:rPr>
          <w:noProof/>
        </w:rPr>
      </w:pPr>
      <w:r w:rsidRPr="007021D2">
        <w:rPr>
          <w:noProof/>
        </w:rPr>
        <w:t>(3)</w:t>
      </w:r>
      <w:r w:rsidRPr="007021D2">
        <w:rPr>
          <w:noProof/>
        </w:rPr>
        <w:tab/>
        <w:t>L’article 31 de la charte sociale européenne (révisée)</w:t>
      </w:r>
      <w:r w:rsidRPr="007021D2">
        <w:rPr>
          <w:rStyle w:val="FootnoteReference"/>
          <w:noProof/>
        </w:rPr>
        <w:footnoteReference w:id="13"/>
      </w:r>
      <w:r w:rsidRPr="007021D2">
        <w:rPr>
          <w:noProof/>
        </w:rPr>
        <w:t xml:space="preserve"> confirme l’engagement de toutes les parties à favoriser l’accès au logement d’un niveau suffisant, à prévenir et à réduire l’état de sans-abri en vue de son élimination progressive et à rendre le coût du logement accessible aux personnes qui ne disposent pas de ressources suffisantes. </w:t>
      </w:r>
    </w:p>
    <w:p w14:paraId="5180E04C" w14:textId="7F1A074E" w:rsidR="001E431A" w:rsidRPr="007021D2" w:rsidRDefault="00796E41" w:rsidP="00796E41">
      <w:pPr>
        <w:pStyle w:val="ManualConsidrant"/>
        <w:rPr>
          <w:noProof/>
        </w:rPr>
      </w:pPr>
      <w:r w:rsidRPr="007021D2">
        <w:rPr>
          <w:noProof/>
        </w:rPr>
        <w:t>(4)</w:t>
      </w:r>
      <w:r w:rsidRPr="007021D2">
        <w:rPr>
          <w:noProof/>
        </w:rPr>
        <w:tab/>
        <w:t>En novembre 2017, le Parlement européen, le Conseil de l’Union européenne et la Commission ont proclamé le socle européen des droits sociaux</w:t>
      </w:r>
      <w:r w:rsidRPr="007021D2">
        <w:rPr>
          <w:rStyle w:val="FootnoteReference"/>
          <w:noProof/>
        </w:rPr>
        <w:footnoteReference w:id="14"/>
      </w:r>
      <w:r w:rsidRPr="007021D2">
        <w:rPr>
          <w:noProof/>
        </w:rPr>
        <w:t xml:space="preserve">. Son principe 19 prévoit le droit à l’accès au logement social, à une aide au logement de qualité et à une protection contre les expulsions forcées pour les personnes dans le besoin. Il ajoute que des hébergements et des services adéquats doivent être fournis aux sans-abri afin de promouvoir leur inclusion sociale. </w:t>
      </w:r>
    </w:p>
    <w:p w14:paraId="5829B234" w14:textId="77777777" w:rsidR="0047239E" w:rsidRPr="007021D2" w:rsidRDefault="00796E41" w:rsidP="00796E41">
      <w:pPr>
        <w:pStyle w:val="ManualConsidrant"/>
        <w:rPr>
          <w:noProof/>
        </w:rPr>
      </w:pPr>
      <w:r w:rsidRPr="007021D2">
        <w:rPr>
          <w:noProof/>
        </w:rPr>
        <w:t>(5)</w:t>
      </w:r>
      <w:r w:rsidRPr="007021D2">
        <w:rPr>
          <w:noProof/>
        </w:rPr>
        <w:tab/>
        <w:t>La recommandation (UE) 2021/1004 du Conseil établissant une garantie européenne pour l’enfance</w:t>
      </w:r>
      <w:r w:rsidRPr="007021D2">
        <w:rPr>
          <w:rStyle w:val="FootnoteReference"/>
          <w:noProof/>
        </w:rPr>
        <w:footnoteReference w:id="15"/>
      </w:r>
      <w:r w:rsidRPr="007021D2">
        <w:rPr>
          <w:noProof/>
        </w:rPr>
        <w:t xml:space="preserve"> invite les États membres à garantir, entre autres, l’accès effectif des enfants dans le besoin à un logement adéquat, en accordant une attention particulière à la prévention du sans-abrisme chez les enfants et les familles et à la lutte contre ce </w:t>
      </w:r>
      <w:r w:rsidRPr="007021D2">
        <w:rPr>
          <w:noProof/>
        </w:rPr>
        <w:lastRenderedPageBreak/>
        <w:t>phénomène. La recommandation du Conseil 2023/C41/01 relative à un revenu minimum adéquat pour garantir une inclusion active</w:t>
      </w:r>
      <w:r w:rsidRPr="007021D2">
        <w:rPr>
          <w:rStyle w:val="FootnoteReference"/>
          <w:noProof/>
        </w:rPr>
        <w:footnoteReference w:id="16"/>
      </w:r>
      <w:r w:rsidRPr="007021D2">
        <w:rPr>
          <w:noProof/>
        </w:rPr>
        <w:t xml:space="preserve"> préconise des stratégies globales combinant une aide au revenu adéquate, des marchés du travail inclusifs et un accès aux services de soutien, dont le logement, et aux services essentiels. La recommandation du Conseil C/2023/1344 relative à la mise en place des conditions-cadres de l’économie sociale</w:t>
      </w:r>
      <w:r w:rsidRPr="007021D2">
        <w:rPr>
          <w:rStyle w:val="FootnoteReference"/>
          <w:noProof/>
        </w:rPr>
        <w:footnoteReference w:id="17"/>
      </w:r>
      <w:r w:rsidRPr="007021D2">
        <w:rPr>
          <w:noProof/>
        </w:rPr>
        <w:t xml:space="preserve"> recommande aux États membres de reconnaître et de promouvoir le rôle que joue l’économie sociale en fournissant des services sociaux et de soins ainsi que des logements accessibles et de qualité, en prenant également en considération les groupes défavorisés, en étroite coopération avec les services sociaux accessibles au public. </w:t>
      </w:r>
    </w:p>
    <w:p w14:paraId="52A652A0" w14:textId="77777777" w:rsidR="00E83759" w:rsidRPr="007021D2" w:rsidRDefault="00796E41" w:rsidP="00796E41">
      <w:pPr>
        <w:pStyle w:val="ManualConsidrant"/>
        <w:rPr>
          <w:noProof/>
        </w:rPr>
      </w:pPr>
      <w:r w:rsidRPr="007021D2">
        <w:rPr>
          <w:noProof/>
        </w:rPr>
        <w:t>(6)</w:t>
      </w:r>
      <w:r w:rsidRPr="007021D2">
        <w:rPr>
          <w:noProof/>
        </w:rPr>
        <w:tab/>
        <w:t>La recommandation du Conseil 2021/C 93/01 sur l’égalité, l’inclusion et la participation des Roms</w:t>
      </w:r>
      <w:r w:rsidRPr="007021D2">
        <w:rPr>
          <w:rStyle w:val="FootnoteReference"/>
          <w:noProof/>
        </w:rPr>
        <w:footnoteReference w:id="18"/>
      </w:r>
      <w:r w:rsidRPr="007021D2">
        <w:rPr>
          <w:noProof/>
        </w:rPr>
        <w:t xml:space="preserve"> invite les États membres à garantir aux Roms une égalité de traitement en ce qui concerne l’accès, entre autres, à des logements non soumis à la ségrégation résidentielle et à des services essentiels adéquats</w:t>
      </w:r>
      <w:r w:rsidRPr="007021D2">
        <w:rPr>
          <w:rStyle w:val="FootnoteReference"/>
          <w:noProof/>
        </w:rPr>
        <w:footnoteReference w:id="19"/>
      </w:r>
      <w:r w:rsidRPr="007021D2">
        <w:rPr>
          <w:noProof/>
        </w:rPr>
        <w:t>. La stratégie en faveur de l’égalité de traitement à l’égard des personnes LGBTIQ+ pour la période 2026-2030 souligne que la discrimination et le manque d’acceptation sociale contribuent à des niveaux élevés de pauvreté et de sans-abrisme parmi les personnes LGBTIQ+. Dans sa communication intitulée «Renforcement de la stratégie en faveur des droits des personnes handicapées jusqu’en 2030», la Commission appelle à garantir l’accès des personnes handicapées à un logement abordable et accessible.</w:t>
      </w:r>
    </w:p>
    <w:p w14:paraId="51BCA6E1" w14:textId="59FEE16E" w:rsidR="00F678A4" w:rsidRPr="007021D2" w:rsidRDefault="00796E41" w:rsidP="00796E41">
      <w:pPr>
        <w:pStyle w:val="ManualConsidrant"/>
        <w:rPr>
          <w:noProof/>
        </w:rPr>
      </w:pPr>
      <w:r w:rsidRPr="007021D2">
        <w:rPr>
          <w:noProof/>
        </w:rPr>
        <w:t>(7)</w:t>
      </w:r>
      <w:r w:rsidRPr="007021D2">
        <w:rPr>
          <w:noProof/>
        </w:rPr>
        <w:tab/>
        <w:t>La recommandation du Conseil 2022/C 476/01 sur l’accès à des soins de longue durée abordables et de haute qualité</w:t>
      </w:r>
      <w:r w:rsidRPr="007021D2">
        <w:rPr>
          <w:rStyle w:val="FootnoteReference"/>
          <w:noProof/>
        </w:rPr>
        <w:footnoteReference w:id="20"/>
      </w:r>
      <w:r w:rsidRPr="007021D2">
        <w:rPr>
          <w:noProof/>
        </w:rPr>
        <w:t xml:space="preserve"> invite les États membres à étendre les services formels de soins de longue durée, en particulier les soins à domicile et les services de proximité. Un logement adapté à l’évolution des besoins des personnes en matière de soins est une condition préalable fondamentale au vieillissement au sein de sa communauté; il permet la fourniture de soins à domicile et contribue à éviter un recours inutile aux soins résidentiels. </w:t>
      </w:r>
    </w:p>
    <w:p w14:paraId="4D5AEF03" w14:textId="3FCF6157" w:rsidR="00673163" w:rsidRPr="007021D2" w:rsidRDefault="00796E41" w:rsidP="00796E41">
      <w:pPr>
        <w:pStyle w:val="ManualConsidrant"/>
        <w:rPr>
          <w:noProof/>
        </w:rPr>
      </w:pPr>
      <w:r w:rsidRPr="007021D2">
        <w:rPr>
          <w:noProof/>
        </w:rPr>
        <w:t>(8)</w:t>
      </w:r>
      <w:r w:rsidRPr="007021D2">
        <w:rPr>
          <w:noProof/>
        </w:rPr>
        <w:tab/>
        <w:t>L’article 16, paragraphe 2, de la directive 2014/92/UE du Parlement européen et du Conseil sur la comparabilité des frais liés aux comptes de paiement, le changement de compte de paiement et l’accès à un compte de paiement assorti de prestations de base</w:t>
      </w:r>
      <w:r w:rsidRPr="007021D2">
        <w:rPr>
          <w:rStyle w:val="FootnoteReference"/>
          <w:noProof/>
        </w:rPr>
        <w:footnoteReference w:id="21"/>
      </w:r>
      <w:r w:rsidRPr="007021D2">
        <w:rPr>
          <w:noProof/>
        </w:rPr>
        <w:t xml:space="preserve"> (la «directive sur les comptes de paiement») dispose que les États membres veillent à ce que les consommateurs résidant légalement dans l’Union, en ce compris les consommateurs qui n’ont pas d’adresse fixe, aient le droit d’ouvrir un compte de paiement assorti de prestations de base auprès d’établissements de crédit situés sur leur territoire et le droit de l’utiliser. Ce droit s’applique indépendamment du lieu de résidence du consommateur. </w:t>
      </w:r>
    </w:p>
    <w:p w14:paraId="349027CC" w14:textId="77777777" w:rsidR="001E431A" w:rsidRPr="007021D2" w:rsidRDefault="00796E41" w:rsidP="00796E41">
      <w:pPr>
        <w:pStyle w:val="ManualConsidrant"/>
        <w:rPr>
          <w:noProof/>
        </w:rPr>
      </w:pPr>
      <w:r w:rsidRPr="007021D2">
        <w:rPr>
          <w:noProof/>
        </w:rPr>
        <w:lastRenderedPageBreak/>
        <w:t>(9)</w:t>
      </w:r>
      <w:r w:rsidRPr="007021D2">
        <w:rPr>
          <w:noProof/>
        </w:rPr>
        <w:tab/>
        <w:t>La déclaration de Lisbonne sur la plateforme européenne de lutte contre le sans-abrisme</w:t>
      </w:r>
      <w:r w:rsidRPr="007021D2">
        <w:rPr>
          <w:rStyle w:val="FootnoteReference"/>
          <w:noProof/>
        </w:rPr>
        <w:footnoteReference w:id="22"/>
      </w:r>
      <w:r w:rsidRPr="007021D2">
        <w:rPr>
          <w:noProof/>
        </w:rPr>
        <w:t xml:space="preserve"> a été adoptée le 21 juin 2021 par les institutions de l’Union, les États membres, les partenaires sociaux et les organisations de la société civile. Elle engage tous ses signataires à œuvrer pour éliminer le sans-abrisme dans l’Union européenne d’ici à 2030 et à lancer une plateforme européenne sur la lutte contre le sans-abrisme afin de promouvoir la conception et la mise en œuvre d’approches centrées sur la personne, axées sur le logement et intégrées. </w:t>
      </w:r>
    </w:p>
    <w:p w14:paraId="1953918E" w14:textId="55A7F890" w:rsidR="001E431A" w:rsidRPr="007021D2" w:rsidRDefault="00796E41" w:rsidP="00796E41">
      <w:pPr>
        <w:pStyle w:val="ManualConsidrant"/>
        <w:rPr>
          <w:noProof/>
        </w:rPr>
      </w:pPr>
      <w:r w:rsidRPr="007021D2">
        <w:rPr>
          <w:noProof/>
        </w:rPr>
        <w:t>(10)</w:t>
      </w:r>
      <w:r w:rsidRPr="007021D2">
        <w:rPr>
          <w:noProof/>
        </w:rPr>
        <w:tab/>
        <w:t>Adoptée le 16 avril 2024 lors de la conférence de haut niveau sur le socle européen des droits sociaux, la «déclaration de La Hulpe»</w:t>
      </w:r>
      <w:r w:rsidRPr="007021D2">
        <w:rPr>
          <w:rStyle w:val="FootnoteReference"/>
          <w:noProof/>
        </w:rPr>
        <w:footnoteReference w:id="23"/>
      </w:r>
      <w:r w:rsidRPr="007021D2">
        <w:rPr>
          <w:noProof/>
        </w:rPr>
        <w:t xml:space="preserve"> reconnaît que le sans-abrisme reste un enjeu dans de nombreux États membres et appelle à poursuivre l’action en faveur de logements sociaux accessibles, efficaces, verts et abordables afin de répondre aux besoins de tous en matière de logement, d’éradiquer le sans-abrisme et de promouvoir une approche fondée sur le principe du «logement d’abord». La déclaration reconnaît également l’importance de la plateforme européenne sur la lutte contre le sans-abrisme. </w:t>
      </w:r>
    </w:p>
    <w:p w14:paraId="3603C343" w14:textId="62D3E52B" w:rsidR="00363634" w:rsidRPr="007021D2" w:rsidRDefault="00796E41" w:rsidP="00796E41">
      <w:pPr>
        <w:pStyle w:val="ManualConsidrant"/>
        <w:rPr>
          <w:noProof/>
        </w:rPr>
      </w:pPr>
      <w:r w:rsidRPr="007021D2">
        <w:rPr>
          <w:noProof/>
        </w:rPr>
        <w:t>(11)</w:t>
      </w:r>
      <w:r w:rsidRPr="007021D2">
        <w:rPr>
          <w:noProof/>
        </w:rPr>
        <w:tab/>
        <w:t>Dans sa résolution adoptée le 24 novembre 2020</w:t>
      </w:r>
      <w:r w:rsidRPr="007021D2">
        <w:rPr>
          <w:rStyle w:val="FootnoteReference"/>
          <w:noProof/>
        </w:rPr>
        <w:footnoteReference w:id="24"/>
      </w:r>
      <w:r w:rsidRPr="007021D2">
        <w:rPr>
          <w:noProof/>
        </w:rPr>
        <w:t>, le Parlement européen a souligné que l’accès au logement est un droit de l’homme fondamental et a appelé la Commission et les États membres à prendre des mesures plus fermes pour éliminer le sans-abrisme dans l’Union d’ici à 2030. Dans sa résolution adoptée le 10 mars 2026</w:t>
      </w:r>
      <w:r w:rsidRPr="007021D2">
        <w:rPr>
          <w:rStyle w:val="FootnoteReference"/>
          <w:noProof/>
        </w:rPr>
        <w:footnoteReference w:id="25"/>
      </w:r>
      <w:r w:rsidRPr="007021D2">
        <w:rPr>
          <w:noProof/>
        </w:rPr>
        <w:t xml:space="preserve">, le Parlement européen a souligné la nécessité d’une approche et de solutions européennes pour garantir la disponibilité de logements décents et abordables et a invité les États membres à élaborer et à mettre en œuvre des stratégies axées sur le logement afin de réduire le sans-abrisme. La résolution invite également la Commission à assurer le soutien aux politiques en matière de lutte contre le sans-abrisme et à suivre les progrès réalisés à cet égard. </w:t>
      </w:r>
    </w:p>
    <w:p w14:paraId="4966B08A" w14:textId="77777777" w:rsidR="00891B98" w:rsidRPr="007021D2" w:rsidRDefault="00796E41" w:rsidP="00796E41">
      <w:pPr>
        <w:pStyle w:val="ManualConsidrant"/>
        <w:rPr>
          <w:noProof/>
        </w:rPr>
      </w:pPr>
      <w:r w:rsidRPr="007021D2">
        <w:rPr>
          <w:noProof/>
        </w:rPr>
        <w:t>(12)</w:t>
      </w:r>
      <w:r w:rsidRPr="007021D2">
        <w:rPr>
          <w:noProof/>
        </w:rPr>
        <w:tab/>
        <w:t>Le règlement d’exécution (UE) 2017/543 de la Commission du 22 mars 2017</w:t>
      </w:r>
      <w:r w:rsidRPr="007021D2">
        <w:rPr>
          <w:rStyle w:val="FootnoteReference"/>
          <w:noProof/>
        </w:rPr>
        <w:footnoteReference w:id="26"/>
      </w:r>
      <w:r w:rsidRPr="007021D2">
        <w:rPr>
          <w:noProof/>
        </w:rPr>
        <w:t xml:space="preserve"> établissant les règles pour l’application du règlement (CE) nº 763/2008 du Parlement européen et du Conseil concernant les recensements de la population et du logement en ce qui concerne les spécifications techniques des thèmes et de leurs subdivisions définit les notions statistiques relatives au sans-abrisme. </w:t>
      </w:r>
      <w:r w:rsidRPr="007021D2">
        <w:rPr>
          <w:noProof/>
        </w:rPr>
        <w:tab/>
      </w:r>
    </w:p>
    <w:p w14:paraId="038F77C0" w14:textId="77777777" w:rsidR="001E431A" w:rsidRPr="007021D2" w:rsidRDefault="00BD74F3" w:rsidP="00CB4896">
      <w:pPr>
        <w:pStyle w:val="ManualConsidrant"/>
        <w:rPr>
          <w:noProof/>
        </w:rPr>
      </w:pPr>
      <w:r w:rsidRPr="007021D2">
        <w:rPr>
          <w:noProof/>
        </w:rPr>
        <w:t>(13)</w:t>
      </w:r>
      <w:r w:rsidRPr="007021D2">
        <w:rPr>
          <w:noProof/>
        </w:rPr>
        <w:tab/>
        <w:t>Dans son avis sur l’éradication du sans-abrisme dans l’Union européenne</w:t>
      </w:r>
      <w:r w:rsidRPr="007021D2">
        <w:rPr>
          <w:rStyle w:val="FootnoteReference"/>
          <w:noProof/>
        </w:rPr>
        <w:footnoteReference w:id="27"/>
      </w:r>
      <w:r w:rsidRPr="007021D2">
        <w:rPr>
          <w:noProof/>
        </w:rPr>
        <w:t>, adopté le 2 décembre 2021, le Comité européen des régions s’est félicité du lancement de la plateforme et a souligné quatre grands axes d’action à cet égard, à savoir faciliter l’apprentissage mutuel, promouvoir l’accès aux fonds, collecter des données et suivre l’avancement des politiques, et enfin identifier et contribuer à développer des innovations prometteuses.</w:t>
      </w:r>
    </w:p>
    <w:p w14:paraId="31F1BD85" w14:textId="77777777" w:rsidR="001E431A" w:rsidRPr="007021D2" w:rsidRDefault="00796E41" w:rsidP="00796E41">
      <w:pPr>
        <w:pStyle w:val="ManualConsidrant"/>
        <w:rPr>
          <w:noProof/>
        </w:rPr>
      </w:pPr>
      <w:r w:rsidRPr="007021D2">
        <w:rPr>
          <w:noProof/>
        </w:rPr>
        <w:lastRenderedPageBreak/>
        <w:t>(14)</w:t>
      </w:r>
      <w:r w:rsidRPr="007021D2">
        <w:rPr>
          <w:noProof/>
        </w:rPr>
        <w:tab/>
        <w:t>Dans son avis sur le thème «Vers un cadre européen pour les stratégies nationales relatives à la lutte contre le sans-abrisme fondées sur le principe du “logement avant tout”»</w:t>
      </w:r>
      <w:r w:rsidRPr="007021D2">
        <w:rPr>
          <w:rStyle w:val="FootnoteReference"/>
          <w:noProof/>
        </w:rPr>
        <w:footnoteReference w:id="28"/>
      </w:r>
      <w:r w:rsidRPr="007021D2">
        <w:rPr>
          <w:noProof/>
        </w:rPr>
        <w:t>, adopté le 13 décembre 2023, le Comité économique et social européen a préconisé la mise en chantier d’une stratégie européenne de lutte contre le sans-abrisme qui permettrait d’intégrer les politiques nationales en la matière dans le cadre du semestre européen. Il a également indiqué qu’une telle stratégie devrait être étayée par une recommandation du Conseil sur le sans-abrisme.</w:t>
      </w:r>
      <w:r w:rsidRPr="007021D2">
        <w:rPr>
          <w:noProof/>
        </w:rPr>
        <w:tab/>
      </w:r>
    </w:p>
    <w:p w14:paraId="220056B5" w14:textId="77777777" w:rsidR="008C32C0" w:rsidRPr="007021D2" w:rsidRDefault="00796E41" w:rsidP="00796E41">
      <w:pPr>
        <w:pStyle w:val="ManualConsidrant"/>
        <w:rPr>
          <w:noProof/>
        </w:rPr>
      </w:pPr>
      <w:r w:rsidRPr="007021D2">
        <w:rPr>
          <w:noProof/>
        </w:rPr>
        <w:t>(15)</w:t>
      </w:r>
      <w:r w:rsidRPr="007021D2">
        <w:rPr>
          <w:noProof/>
        </w:rPr>
        <w:tab/>
        <w:t>Le rapport conjoint sur l’emploi 2026</w:t>
      </w:r>
      <w:r w:rsidRPr="007021D2">
        <w:rPr>
          <w:rStyle w:val="FootnoteReference"/>
          <w:noProof/>
        </w:rPr>
        <w:footnoteReference w:id="29"/>
      </w:r>
      <w:r w:rsidRPr="007021D2">
        <w:rPr>
          <w:noProof/>
        </w:rPr>
        <w:t xml:space="preserve"> indique que les États membres devraient prendre des mesures pour soutenir l’accès à un logement de qualité et abordable, à un logement social ou à une aide au logement, le cas échéant, prévenir et combattre le sans-abrisme en tant que forme la plus extrême de pauvreté, lutter contre l’exclusion sociale au moyen d’approches stratégiques intégrées, centrées sur la personne et axées sur le logement et promouvoir la rénovation des logements résidentiels et sociaux. </w:t>
      </w:r>
    </w:p>
    <w:p w14:paraId="020B2ADC" w14:textId="77777777" w:rsidR="00632944" w:rsidRPr="007021D2" w:rsidRDefault="00A31C0A" w:rsidP="00796E41">
      <w:pPr>
        <w:pStyle w:val="ManualConsidrant"/>
        <w:rPr>
          <w:noProof/>
        </w:rPr>
      </w:pPr>
      <w:r w:rsidRPr="007021D2">
        <w:rPr>
          <w:noProof/>
        </w:rPr>
        <w:t>(16)</w:t>
      </w:r>
      <w:r w:rsidRPr="007021D2">
        <w:rPr>
          <w:noProof/>
        </w:rPr>
        <w:tab/>
        <w:t>Adopté le 16 décembre 2025, le plan européen pour des logements abordables</w:t>
      </w:r>
      <w:r w:rsidRPr="007021D2">
        <w:rPr>
          <w:rStyle w:val="FootnoteReference"/>
          <w:noProof/>
        </w:rPr>
        <w:footnoteReference w:id="30"/>
      </w:r>
      <w:r w:rsidRPr="007021D2">
        <w:rPr>
          <w:noProof/>
        </w:rPr>
        <w:t xml:space="preserve"> reconnaît que certains groupes sociaux sont particulièrement affectés par l’augmentation des coûts du logement et le manque de logements sociaux et abordables, et que le sans-abrisme est un défi persistant et complexe qu’il convient de relever au moyen de solutions axées sur le logement, telles que l’approche du «logement d’abord», accompagnée d’approches intégrées pour lutter contre la pauvreté et l’exclusion. </w:t>
      </w:r>
    </w:p>
    <w:p w14:paraId="0177E9E1" w14:textId="77777777" w:rsidR="00F057B5" w:rsidRPr="007021D2" w:rsidRDefault="00796E41" w:rsidP="00796E41">
      <w:pPr>
        <w:pStyle w:val="ManualConsidrant"/>
        <w:rPr>
          <w:noProof/>
        </w:rPr>
      </w:pPr>
      <w:r w:rsidRPr="007021D2">
        <w:rPr>
          <w:noProof/>
        </w:rPr>
        <w:t>(17)</w:t>
      </w:r>
      <w:r w:rsidRPr="007021D2">
        <w:rPr>
          <w:noProof/>
        </w:rPr>
        <w:tab/>
        <w:t xml:space="preserve">Le sans-abrisme reste la manifestation la plus extrême et la plus visible de la pauvreté et de l’exclusion sociale dans l’Union européenne. Il frappe des individus et des familles dans tous les États membres et porte atteinte aux principes de dignité, d’égalité et de justice sociale sur lesquels l’Union est fondée. </w:t>
      </w:r>
      <w:r w:rsidRPr="007021D2">
        <w:rPr>
          <w:rStyle w:val="normaltextrun"/>
          <w:noProof/>
        </w:rPr>
        <w:t>Malgré les efforts déployés jusqu’à présent</w:t>
      </w:r>
      <w:r w:rsidRPr="007021D2">
        <w:rPr>
          <w:noProof/>
        </w:rPr>
        <w:t>, le sans-abrisme est en augmentation dans plusieurs États membres et, selon les estimations, il touche plus d’un million de personnes</w:t>
      </w:r>
      <w:r w:rsidRPr="007021D2">
        <w:rPr>
          <w:rStyle w:val="FootnoteReference"/>
          <w:noProof/>
        </w:rPr>
        <w:footnoteReference w:id="31"/>
      </w:r>
      <w:r w:rsidRPr="007021D2">
        <w:rPr>
          <w:noProof/>
        </w:rPr>
        <w:t>.</w:t>
      </w:r>
    </w:p>
    <w:p w14:paraId="705419CE" w14:textId="77777777" w:rsidR="00DA674D" w:rsidRPr="007021D2" w:rsidRDefault="00796E41" w:rsidP="00796E41">
      <w:pPr>
        <w:pStyle w:val="ManualConsidrant"/>
        <w:rPr>
          <w:noProof/>
        </w:rPr>
      </w:pPr>
      <w:r w:rsidRPr="007021D2">
        <w:rPr>
          <w:noProof/>
        </w:rPr>
        <w:t>(18)</w:t>
      </w:r>
      <w:r w:rsidRPr="007021D2">
        <w:rPr>
          <w:noProof/>
        </w:rPr>
        <w:tab/>
        <w:t xml:space="preserve">L’exclusion en matière de logement désigne l’incapacité d’une personne ou d’un ménage à accéder à un logement décent et stable, qui réponde à des normes fondamentales de qualité, de sécurité juridique et d’accessibilité financière, ou à le conserver. Le sans-abrisme est sa forme la plus visible et la plus extrême et comprend les personnes dormant dans la rue et dans des hébergements d’urgence et temporaires pour sans-abri. Toutefois, l’exclusion en matière de logement est plus large et inclut les personnes qui ont un toit au-dessus de la tête mais vivent dans des conditions inadéquates et/ou précaires. On parle de logement précaire lorsque des personnes sont confrontées à des menaces d’expulsion, à des violences domestiques ou à des contrats de location précaires. On parle de logement inadéquat lorsque des personnes occupent des logements de qualité inférieure aux normes dépourvus d’équipements de base (telles que des toilettes intérieures à chasse d’eau, des douches ou des lavabos). Ces logements peuvent être en très mauvais état, faire l’objet d’un grave surpeuplement ou ne pas être adaptés aux personnes ayant des besoins particuliers (telles que les </w:t>
      </w:r>
      <w:r w:rsidRPr="007021D2">
        <w:rPr>
          <w:noProof/>
        </w:rPr>
        <w:lastRenderedPageBreak/>
        <w:t xml:space="preserve">personnes âgées, les personnes handicapées et celles ayant besoin de soins de longue durée). </w:t>
      </w:r>
    </w:p>
    <w:p w14:paraId="656EE618" w14:textId="77777777" w:rsidR="00FC7435" w:rsidRPr="007021D2" w:rsidRDefault="00796E41" w:rsidP="00796E41">
      <w:pPr>
        <w:pStyle w:val="ManualConsidrant"/>
        <w:rPr>
          <w:noProof/>
        </w:rPr>
      </w:pPr>
      <w:r w:rsidRPr="007021D2">
        <w:rPr>
          <w:noProof/>
        </w:rPr>
        <w:t>(19)</w:t>
      </w:r>
      <w:r w:rsidRPr="007021D2">
        <w:rPr>
          <w:noProof/>
        </w:rPr>
        <w:tab/>
        <w:t>Le logement est un déterminant social essentiel de la santé et de l’inclusion sociale; le manque de logement ou un logement de mauvaise qualité peut nuire à la santé, au bien-être, à l’emploi et aux perspectives d’éducation des individus et des communautés.</w:t>
      </w:r>
    </w:p>
    <w:p w14:paraId="6A7E13E3" w14:textId="77777777" w:rsidR="00EF6534" w:rsidRPr="007021D2" w:rsidRDefault="00796E41" w:rsidP="00796E41">
      <w:pPr>
        <w:pStyle w:val="ManualConsidrant"/>
        <w:rPr>
          <w:noProof/>
        </w:rPr>
      </w:pPr>
      <w:r w:rsidRPr="007021D2">
        <w:rPr>
          <w:noProof/>
        </w:rPr>
        <w:t>(20)</w:t>
      </w:r>
      <w:r w:rsidRPr="007021D2">
        <w:rPr>
          <w:noProof/>
        </w:rPr>
        <w:tab/>
        <w:t xml:space="preserve">L’exclusion en matière de logement et le sans-abrisme sont dus à une interaction complexe de facteurs structurels, institutionnels et personnels. Il s’agit notamment de la pauvreté, du chômage, du manque de logements sociaux et abordables, de la discrimination, de la mauvaise santé mentale et physique, de la toxicomanie et de la violence domestique. </w:t>
      </w:r>
    </w:p>
    <w:p w14:paraId="01CDDE42" w14:textId="77777777" w:rsidR="001E431A" w:rsidRPr="007021D2" w:rsidRDefault="00796E41" w:rsidP="00796E41">
      <w:pPr>
        <w:pStyle w:val="ManualConsidrant"/>
        <w:rPr>
          <w:noProof/>
        </w:rPr>
      </w:pPr>
      <w:r w:rsidRPr="007021D2">
        <w:rPr>
          <w:noProof/>
        </w:rPr>
        <w:t>(21)</w:t>
      </w:r>
      <w:r w:rsidRPr="007021D2">
        <w:rPr>
          <w:noProof/>
        </w:rPr>
        <w:tab/>
        <w:t>En 2024, près de 6 % des personnes âgées de seize ans ou plus dans l’Union qui cherchaient un logement au cours des cinq dernières années ont déclaré s’être senties discriminées au moins une fois. La proportion de personnes se sentant victimes de discrimination était deux fois plus élevée chez les personnes exposées au risque de pauvreté ou d’exclusion sociale (10 %) que chez celles qui ne l’étaient pas (5 %). En 2024, environ 17 % de la population de l’Union vivait dans un logement surpeuplé.</w:t>
      </w:r>
    </w:p>
    <w:p w14:paraId="51D447F1" w14:textId="3600E14F" w:rsidR="0045596F" w:rsidRPr="007021D2" w:rsidRDefault="00796E41" w:rsidP="00796E41">
      <w:pPr>
        <w:pStyle w:val="ManualConsidrant"/>
        <w:rPr>
          <w:noProof/>
        </w:rPr>
      </w:pPr>
      <w:r w:rsidRPr="007021D2">
        <w:rPr>
          <w:noProof/>
        </w:rPr>
        <w:t>(22)</w:t>
      </w:r>
      <w:r w:rsidRPr="007021D2">
        <w:rPr>
          <w:noProof/>
        </w:rPr>
        <w:tab/>
        <w:t>Le manque de logements sociaux et abordables constitue un obstacle majeur à la lutte contre l’exclusion en matière de logement et le sans-abrisme. Entre</w:t>
      </w:r>
      <w:r w:rsidR="007021D2" w:rsidRPr="007021D2">
        <w:rPr>
          <w:noProof/>
        </w:rPr>
        <w:t> 2013</w:t>
      </w:r>
      <w:r w:rsidRPr="007021D2">
        <w:rPr>
          <w:noProof/>
        </w:rPr>
        <w:t xml:space="preserve"> et</w:t>
      </w:r>
      <w:r w:rsidR="007021D2" w:rsidRPr="007021D2">
        <w:rPr>
          <w:noProof/>
        </w:rPr>
        <w:t> </w:t>
      </w:r>
      <w:r w:rsidRPr="007021D2">
        <w:rPr>
          <w:noProof/>
        </w:rPr>
        <w:t xml:space="preserve">2024, les prix des logements en valeur nominale ont augmenté de plus de 60 % dans l’ensemble de l’Union, ce qui représente une croissance plus rapide que le revenu des ménages, et certains États membres ont même enregistré des hausses moyennes de plus de 220 % des prix en valeur nominale. Dans le même temps, les loyers moyens ont augmenté d’environ 20 %, tandis que d’une manière générale, les nouveaux baux sont nettement plus chers que les anciens, en particulier dans les zones urbaines et touristiques. Les coûts du logement, notamment l’eau, l’électricité, le gaz et les autres combustibles, ont augmenté dans dix-sept États membres par rapport à la moyenne de l’Union, avec une hausse pouvant atteindre plus de 80 % au-dessus de la moyenne de l’Union dans certains États membres, tandis qu’ils ont diminué dans dix autres États membres. </w:t>
      </w:r>
    </w:p>
    <w:p w14:paraId="57D8CAB5" w14:textId="77777777" w:rsidR="00480528" w:rsidRPr="007021D2" w:rsidRDefault="00796E41" w:rsidP="00796E41">
      <w:pPr>
        <w:pStyle w:val="ManualConsidrant"/>
        <w:rPr>
          <w:noProof/>
        </w:rPr>
      </w:pPr>
      <w:r w:rsidRPr="007021D2">
        <w:rPr>
          <w:noProof/>
        </w:rPr>
        <w:t>(23)</w:t>
      </w:r>
      <w:r w:rsidRPr="007021D2">
        <w:rPr>
          <w:noProof/>
        </w:rPr>
        <w:tab/>
        <w:t>Les investissements dans l’offre de logements ont fortement diminué au cours des dix dernières années. L’offre n’a pas suivi la hausse de la demande en raison des coûts de construction élevés, des déficits d’innovation, des pénuries de main-d’œuvre qualifiée et des formalités administratives excessives. En particulier, les prix de la construction dans l’Union ont augmenté de 56 % entre 2010 et 2024, certains États membres enregistrant des hausses de plus de 170 %. Les permis de construire résidentiels (nombre de logements) ont diminué de 22 % entre 2021 et 2024, et le parc immobilier existant n’a pas été exploité à son plein potentiel, environ 20 % des logements dans l’Union restant vacants ou sous-occupés (y compris les résidences saisonnières ou secondaires et les logements achetés à des fins d’investissement et non utilisés comme résidence principale).</w:t>
      </w:r>
    </w:p>
    <w:p w14:paraId="32E570A6" w14:textId="3E97E882" w:rsidR="00317495" w:rsidRPr="007021D2" w:rsidRDefault="00796E41" w:rsidP="00796E41">
      <w:pPr>
        <w:pStyle w:val="ManualConsidrant"/>
        <w:rPr>
          <w:noProof/>
        </w:rPr>
      </w:pPr>
      <w:r w:rsidRPr="007021D2">
        <w:rPr>
          <w:noProof/>
        </w:rPr>
        <w:t>(24)</w:t>
      </w:r>
      <w:r w:rsidRPr="007021D2">
        <w:rPr>
          <w:noProof/>
        </w:rPr>
        <w:tab/>
        <w:t xml:space="preserve">Dans ce contexte, il est essentiel d’accroître l’offre de logements sociaux et abordables pour lutter contre l’exclusion en matière de logement. Il est notamment nécessaire de réaliser de nouveaux investissements pour soutenir la construction de nouveaux logements, les travaux de rénovation et, si possible, une utilisation plus efficace des logements existants sous-occupés et vacants (20 % des logements), notamment en encourageant la location de logements privés et la reconversion du parc immobilier (par exemple des immeubles de bureaux) existant. La révision des règles en matière d’aides d’État applicables aux services d’intérêt économique général dans le cadre du </w:t>
      </w:r>
      <w:r w:rsidRPr="007021D2">
        <w:rPr>
          <w:noProof/>
        </w:rPr>
        <w:lastRenderedPageBreak/>
        <w:t>plan européen pour des logements abordables et du règlement relatif à l’examen à mi-parcours des Fonds de la politique de cohésion de l’Union</w:t>
      </w:r>
      <w:r w:rsidRPr="007021D2">
        <w:rPr>
          <w:rStyle w:val="FootnoteReference"/>
          <w:noProof/>
        </w:rPr>
        <w:footnoteReference w:id="32"/>
      </w:r>
      <w:r w:rsidRPr="007021D2">
        <w:rPr>
          <w:noProof/>
        </w:rPr>
        <w:t xml:space="preserve"> contribue à l’élaboration d’un cadre propice aux investissements dans des logements sociaux et abordables (en mars</w:t>
      </w:r>
      <w:r w:rsidR="007021D2" w:rsidRPr="007021D2">
        <w:rPr>
          <w:noProof/>
        </w:rPr>
        <w:t> </w:t>
      </w:r>
      <w:r w:rsidRPr="007021D2">
        <w:rPr>
          <w:noProof/>
        </w:rPr>
        <w:t xml:space="preserve">2026, au moins 3,3 milliards d’EUR avaient été réaffectés par les États membres et les régions à des logements abordables et durables dans le cadre de l’examen à mi-parcours). Les flexibilités réglementaires à mi-parcours et la possibilité d’un taux de cofinancement majoré de l’Union pour les investissements dans le logement restent disponibles pour permettre une nouvelle reprogrammation jusqu’en 2029-2030. </w:t>
      </w:r>
    </w:p>
    <w:p w14:paraId="271F638D" w14:textId="77777777" w:rsidR="00C20F02" w:rsidRPr="007021D2" w:rsidRDefault="00796E41" w:rsidP="00796E41">
      <w:pPr>
        <w:pStyle w:val="ManualConsidrant"/>
        <w:rPr>
          <w:noProof/>
        </w:rPr>
      </w:pPr>
      <w:r w:rsidRPr="007021D2">
        <w:rPr>
          <w:noProof/>
        </w:rPr>
        <w:t>(25)</w:t>
      </w:r>
      <w:r w:rsidRPr="007021D2">
        <w:rPr>
          <w:noProof/>
        </w:rPr>
        <w:tab/>
        <w:t>Conformément aux principes du nouveau Bauhaus européen, l’accès à un logement adéquat, durable, abordable et de qualité devrait être considéré comme faisant partie d’un écosystème social et territorial plus large qui soutient l’inclusion, la vie en communauté, la mobilité de la main-d’œuvre, l’accès à l’éducation et à la formation, la santé, les soins de longue durée, l’autonomie et la cohésion sociale. Les politiques du logement sont plus efficaces et créent une valeur ajoutée sociale lorsqu’elles sont combinées à des mesures territorialisées, à des infrastructures et des services collectifs, et conçues pour favoriser des quartiers inclusifs et durables qui répondent aux besoins des habitants.</w:t>
      </w:r>
    </w:p>
    <w:p w14:paraId="7A3AEA7E" w14:textId="77777777" w:rsidR="00C20F02" w:rsidRPr="007021D2" w:rsidRDefault="00796E41" w:rsidP="00796E41">
      <w:pPr>
        <w:pStyle w:val="ManualConsidrant"/>
        <w:rPr>
          <w:noProof/>
        </w:rPr>
      </w:pPr>
      <w:r w:rsidRPr="007021D2">
        <w:rPr>
          <w:noProof/>
        </w:rPr>
        <w:t>(26)</w:t>
      </w:r>
      <w:r w:rsidRPr="007021D2">
        <w:rPr>
          <w:noProof/>
        </w:rPr>
        <w:tab/>
        <w:t>Afin d’accroître l’offre de logements à prix abordables, les États membres peuvent tirer parti de différents modèles de logement, dont le logement social et public, le logement locatif à prix coûtant et le logement à but lucratif limité, les coopératives de logement, les agences de location sociale et d’autres modèles à but non lucratif ou d’intérêt public. Ces modèles, souvent fournis par des organisations de l’économie sociale, peuvent contribuer au caractère abordable à long terme, réduire l’exposition à la spéculation et contribuer à mobiliser les logements, les terrains et les investissements existants. Des concepts innovants de cohabitation, notamment les cohabitations intergénérationnelles, le cologement et les aménagements de l’espace partagé, peuvent également contribuer à remédier à l’isolement social, à la sous-occupation des bâtiments et à la pénurie locale de logements. L’apprentissage mutuel peut aider à recenser les modèles qui ont fait leurs preuves et qui ont déjà été mis en œuvre dans d’autres États membres.</w:t>
      </w:r>
    </w:p>
    <w:p w14:paraId="4142CE8C" w14:textId="77777777" w:rsidR="00C20F02" w:rsidRPr="007021D2" w:rsidRDefault="00796E41" w:rsidP="00796E41">
      <w:pPr>
        <w:pStyle w:val="ManualConsidrant"/>
        <w:rPr>
          <w:noProof/>
        </w:rPr>
      </w:pPr>
      <w:r w:rsidRPr="007021D2">
        <w:rPr>
          <w:noProof/>
        </w:rPr>
        <w:t>(27)</w:t>
      </w:r>
      <w:r w:rsidRPr="007021D2">
        <w:rPr>
          <w:noProof/>
        </w:rPr>
        <w:tab/>
        <w:t>Le renforcement de l’offre de logements sociaux et abordables nécessite des cadres de gouvernance et d’investissement stables, notamment des partenariats public-privé, et une coopération entre les pouvoirs publics, les organisations de l’économie sociale, les fournisseurs de logements sociaux et abordables, les établissements d’enseignement, les employeurs, les institutions financières et d’autres parties prenantes. Le financement mixte, les fonds renouvelables, les garanties publiques, les baux à long terme sur des terrains publics et d’autres mécanismes de financement d’intérêt public peuvent contribuer à mobiliser des capitaux patients et à maintenir durablement les prix à des niveaux abordables. En outre, les États membres peuvent également promouvoir et soutenir des projets de logement «ascendants», innovants et inclusifs, dans le cadre desquels les futurs résidents planifient et financent collectivement leur projet de logement.</w:t>
      </w:r>
    </w:p>
    <w:p w14:paraId="3AFAA48E" w14:textId="77777777" w:rsidR="000C56F0" w:rsidRPr="007021D2" w:rsidRDefault="00796E41" w:rsidP="00796E41">
      <w:pPr>
        <w:pStyle w:val="ManualConsidrant"/>
        <w:rPr>
          <w:noProof/>
        </w:rPr>
      </w:pPr>
      <w:r w:rsidRPr="007021D2">
        <w:rPr>
          <w:noProof/>
        </w:rPr>
        <w:t>(28)</w:t>
      </w:r>
      <w:r w:rsidRPr="007021D2">
        <w:rPr>
          <w:noProof/>
        </w:rPr>
        <w:tab/>
        <w:t xml:space="preserve">L’exclusion en matière de logement et le sans-abrisme peuvent particulièrement toucher certaines populations, l’ampleur et la composition des personnes touchées variant considérablement en fonction du contexte national ou régional. Certaines </w:t>
      </w:r>
      <w:r w:rsidRPr="007021D2">
        <w:rPr>
          <w:noProof/>
        </w:rPr>
        <w:lastRenderedPageBreak/>
        <w:t>personnes et certains groupes peuvent se heurter à des difficultés particulières en matière d’accès au logement et courir un risque accru d’exclusion en matière de logement ou de sans-abrisme. Il s’agit notamment des jeunes (tels que les étudiants qui n’ont pas les moyens de se loger ou qui n’ont pas accès à des logements pour étudiants, ou ceux qui quittent le système de prise en charge institutionnelle ou alternative), les chômeurs, les familles vulnérables (notamment les parents isolés) avec enfants, les victimes et les survivants de violences sexistes, les personnes handicapées ou ayant besoin de soins de longue durée, les personnes âgées en situation de logement précaire, les personnes d’origine rom, les personnes issues de l’immigration, les personnes appartenant à des minorités raciales ou ethniques et les personnes LGBTIQ+.</w:t>
      </w:r>
    </w:p>
    <w:p w14:paraId="3C87B14E" w14:textId="77777777" w:rsidR="00F057B5" w:rsidRPr="007021D2" w:rsidRDefault="00796E41" w:rsidP="00796E41">
      <w:pPr>
        <w:pStyle w:val="ManualConsidrant"/>
        <w:rPr>
          <w:noProof/>
        </w:rPr>
      </w:pPr>
      <w:r w:rsidRPr="007021D2">
        <w:rPr>
          <w:noProof/>
        </w:rPr>
        <w:t>(29)</w:t>
      </w:r>
      <w:r w:rsidRPr="007021D2">
        <w:rPr>
          <w:noProof/>
        </w:rPr>
        <w:tab/>
        <w:t xml:space="preserve">La prévention de l’exclusion en matière de logement et du sans-abrisme, combinée à l’accès à un logement adéquat et sûr et à des services de soutien complets et centrés sur la personne, est l’approche la plus efficace pour mettre fin au sans-abrisme. Par conséquent, les États membres devraient être invités à mettre en place des politiques de prévention efficaces comprenant des mesures de prévention universelles, des interventions en amont ciblant les populations à haut risque, des mesures de prévention de crise pour les personnes et les ménages exposés à un risque imminent de sans-abrisme et des interventions de prévention au stade de l’urgence visant à garantir un accès rapide à un hébergement temporaire. </w:t>
      </w:r>
    </w:p>
    <w:p w14:paraId="3CA9CF62" w14:textId="77777777" w:rsidR="00F057B5" w:rsidRPr="007021D2" w:rsidRDefault="00796E41" w:rsidP="00796E41">
      <w:pPr>
        <w:pStyle w:val="ManualConsidrant"/>
        <w:rPr>
          <w:noProof/>
        </w:rPr>
      </w:pPr>
      <w:r w:rsidRPr="007021D2">
        <w:rPr>
          <w:noProof/>
        </w:rPr>
        <w:t>(30)</w:t>
      </w:r>
      <w:r w:rsidRPr="007021D2">
        <w:rPr>
          <w:noProof/>
        </w:rPr>
        <w:tab/>
        <w:t xml:space="preserve">Les outils d’intervention précoce tels que la médiation en cas d’arriérés de loyers et de remboursements d’emprunts immobiliers, les conseils en matière d’endettement, l’assistance juridique concernant les droits des locataires et des propriétaires, les systèmes d’alerte précoce et le soutien financier à court terme ne sont pas disponibles de manière cohérente dans tous les États membres, et il est essentiel de renforcer ces mécanismes afin de prévenir efficacement l’exclusion en matière de logement. </w:t>
      </w:r>
    </w:p>
    <w:p w14:paraId="5985B878" w14:textId="221B12BA" w:rsidR="00563C94" w:rsidRPr="007021D2" w:rsidRDefault="00796E41" w:rsidP="00796E41">
      <w:pPr>
        <w:pStyle w:val="ManualConsidrant"/>
        <w:rPr>
          <w:noProof/>
        </w:rPr>
      </w:pPr>
      <w:r w:rsidRPr="007021D2">
        <w:rPr>
          <w:noProof/>
        </w:rPr>
        <w:t>(31)</w:t>
      </w:r>
      <w:r w:rsidRPr="007021D2">
        <w:rPr>
          <w:noProof/>
        </w:rPr>
        <w:tab/>
        <w:t xml:space="preserve">La prévention des expulsions forcées et arbitraires et l’aide au relogement nécessitent un cadre juridique équitable qui garantisse la sécurité des locataires et les droits des propriétaires. La coopération avec les autorités locales, les services sociaux et les organismes de médiation, notamment les agences de location sociale, peut réduire l’instabilité du logement et faciliter les transitions. </w:t>
      </w:r>
    </w:p>
    <w:p w14:paraId="7A02B393" w14:textId="77777777" w:rsidR="00F057B5" w:rsidRPr="007021D2" w:rsidRDefault="00796E41" w:rsidP="00796E41">
      <w:pPr>
        <w:pStyle w:val="ManualConsidrant"/>
        <w:rPr>
          <w:noProof/>
        </w:rPr>
      </w:pPr>
      <w:r w:rsidRPr="007021D2">
        <w:rPr>
          <w:noProof/>
        </w:rPr>
        <w:t>(32)</w:t>
      </w:r>
      <w:r w:rsidRPr="007021D2">
        <w:rPr>
          <w:noProof/>
        </w:rPr>
        <w:tab/>
        <w:t xml:space="preserve">Les approches axées sur le logement, notamment le modèle du «logement d’abord», qui combinent un accès rapide à un logement permanent et des services de soutien personnalisés et intégrés, ont contribué durablement à prévenir et réduire l’exclusion en matière de logement et le sans-abrisme et à promouvoir l’intégration sociale et économique. </w:t>
      </w:r>
    </w:p>
    <w:p w14:paraId="54B00264" w14:textId="77777777" w:rsidR="001C56C6" w:rsidRPr="007021D2" w:rsidRDefault="00796E41" w:rsidP="00796E41">
      <w:pPr>
        <w:pStyle w:val="ManualConsidrant"/>
        <w:rPr>
          <w:noProof/>
          <w:sz w:val="22"/>
        </w:rPr>
      </w:pPr>
      <w:r w:rsidRPr="007021D2">
        <w:rPr>
          <w:noProof/>
        </w:rPr>
        <w:t>(33)</w:t>
      </w:r>
      <w:r w:rsidRPr="007021D2">
        <w:rPr>
          <w:noProof/>
        </w:rPr>
        <w:tab/>
        <w:t xml:space="preserve">Les formalités administratives requises pour bénéficier d’une aide, notamment l’obligation de fournir une preuve de résidence permanente, peuvent constituer des obstacles pour les personnes en situation de sans-abrisme ou victimes d’exclusion en matière de logement. La suppression ou l’adaptation de ces exigences, le cas échéant, peut favoriser le recours aux aides disponibles et contribuer à remédier aux causes profondes de l’exclusion en matière de logement. </w:t>
      </w:r>
    </w:p>
    <w:p w14:paraId="7F58970F" w14:textId="77777777" w:rsidR="001C56C6" w:rsidRPr="007021D2" w:rsidRDefault="00796E41" w:rsidP="00796E41">
      <w:pPr>
        <w:pStyle w:val="ManualConsidrant"/>
        <w:rPr>
          <w:noProof/>
        </w:rPr>
      </w:pPr>
      <w:r w:rsidRPr="007021D2">
        <w:rPr>
          <w:noProof/>
        </w:rPr>
        <w:t>(34)</w:t>
      </w:r>
      <w:r w:rsidRPr="007021D2">
        <w:rPr>
          <w:noProof/>
        </w:rPr>
        <w:tab/>
        <w:t xml:space="preserve">L’augmentation des coûts du logement et le manque de logements sociaux et abordables entravent la mobilité sur le marché du travail, car les personnes peuvent ne pas être en mesure de déménager dans des régions offrant des possibilités d’emploi. Cela peut avoir une incidence sur la compétitivité et la croissance économique. Il est essentiel d’agir sur l’accessibilité financière et la disponibilité des logements pour </w:t>
      </w:r>
      <w:r w:rsidRPr="007021D2">
        <w:rPr>
          <w:noProof/>
        </w:rPr>
        <w:lastRenderedPageBreak/>
        <w:t>soutenir la participation au marché du travail et garantir le fonctionnement efficace des marchés du travail.</w:t>
      </w:r>
    </w:p>
    <w:p w14:paraId="04A80766" w14:textId="77777777" w:rsidR="00891B98" w:rsidRPr="007021D2" w:rsidRDefault="00796E41" w:rsidP="00891B98">
      <w:pPr>
        <w:pStyle w:val="ManualConsidrant"/>
        <w:rPr>
          <w:noProof/>
        </w:rPr>
      </w:pPr>
      <w:r w:rsidRPr="007021D2">
        <w:rPr>
          <w:noProof/>
        </w:rPr>
        <w:t>(35)</w:t>
      </w:r>
      <w:r w:rsidRPr="007021D2">
        <w:rPr>
          <w:noProof/>
        </w:rPr>
        <w:tab/>
        <w:t xml:space="preserve">Les différences entre les définitions, les systèmes de suivi et les méthodes de collecte de données utilisés dans les États membres limitent la disponibilité de données comparables sur le sans-abrisme à l’échelle de l’Union. </w:t>
      </w:r>
    </w:p>
    <w:p w14:paraId="3D308BBA" w14:textId="03AA3447" w:rsidR="00D31666" w:rsidRPr="007021D2" w:rsidRDefault="00796E41" w:rsidP="00796E41">
      <w:pPr>
        <w:pStyle w:val="ManualConsidrant"/>
        <w:rPr>
          <w:noProof/>
        </w:rPr>
      </w:pPr>
      <w:r w:rsidRPr="007021D2">
        <w:rPr>
          <w:noProof/>
        </w:rPr>
        <w:t>(36)</w:t>
      </w:r>
      <w:r w:rsidRPr="007021D2">
        <w:rPr>
          <w:noProof/>
        </w:rPr>
        <w:tab/>
        <w:t xml:space="preserve">Disposer de données et statistiques fiables, complètes et périodiques sur l’exclusion en matière de logement et le sans-abrisme est essentiel pour élaborer, suivre et évaluer efficacement les politiques; cela permet d’analyser les progrès accomplis sans alourdir la charge administrative. </w:t>
      </w:r>
    </w:p>
    <w:p w14:paraId="0A6D36D7" w14:textId="77777777" w:rsidR="00F057B5" w:rsidRPr="007021D2" w:rsidRDefault="00796E41" w:rsidP="00796E41">
      <w:pPr>
        <w:pStyle w:val="ManualConsidrant"/>
        <w:rPr>
          <w:noProof/>
        </w:rPr>
      </w:pPr>
      <w:r w:rsidRPr="007021D2">
        <w:rPr>
          <w:noProof/>
        </w:rPr>
        <w:t>(37)</w:t>
      </w:r>
      <w:r w:rsidRPr="007021D2">
        <w:rPr>
          <w:noProof/>
        </w:rPr>
        <w:tab/>
        <w:t>La lutte contre l’exclusion en matière de logement et le sans-abrisme nécessite une coordination intersectorielle et une gouvernance à plusieurs niveaux associant l’Union européenne, les autorités nationales, régionales et locales, ainsi que la société civile, les organisations de l’économie sociale, les fournisseurs de logements et les personnes ayant vécu le sans-abrisme.</w:t>
      </w:r>
    </w:p>
    <w:p w14:paraId="1ADD8889" w14:textId="77777777" w:rsidR="00B01222" w:rsidRPr="007021D2" w:rsidRDefault="00796E41" w:rsidP="00796E41">
      <w:pPr>
        <w:pStyle w:val="ManualConsidrant"/>
        <w:rPr>
          <w:noProof/>
        </w:rPr>
      </w:pPr>
      <w:r w:rsidRPr="007021D2">
        <w:rPr>
          <w:noProof/>
        </w:rPr>
        <w:t>(38)</w:t>
      </w:r>
      <w:r w:rsidRPr="007021D2">
        <w:rPr>
          <w:noProof/>
        </w:rPr>
        <w:tab/>
        <w:t>Les partenariats avec des organisations venant en aide aux sans-abri et, plus largement, aux personnes confrontées à l’exclusion en matière de logement peuvent renforcer les initiatives publiques visant à proposer des services qui favorisent l’inclusion sociale et mettent en place des solutions de logement stables pour des groupes cibles spécifiques. En fournissant des services supplémentaires tels que l’intégration professionnelle, les organisations de l’économie sociale peuvent contribuer à assurer une transition vers une vie stable.</w:t>
      </w:r>
    </w:p>
    <w:p w14:paraId="3FCBAC9D" w14:textId="77777777" w:rsidR="00F057B5" w:rsidRPr="007021D2" w:rsidRDefault="00796E41" w:rsidP="00796E41">
      <w:pPr>
        <w:pStyle w:val="ManualConsidrant"/>
        <w:rPr>
          <w:noProof/>
        </w:rPr>
      </w:pPr>
      <w:r w:rsidRPr="007021D2">
        <w:rPr>
          <w:noProof/>
        </w:rPr>
        <w:t>(39)</w:t>
      </w:r>
      <w:r w:rsidRPr="007021D2">
        <w:rPr>
          <w:noProof/>
        </w:rPr>
        <w:tab/>
        <w:t xml:space="preserve">Pour être efficace, toute action visant à prévenir et à réduire l’exclusion en matière de logement nécessite un financement suffisant et stable, ainsi qu’une utilisation et une coordination efficaces des ressources financières disponibles au niveau de l’Union et à l’échelon national, régional et local, dans le respect des compétences et des cadres budgétaires des États membres. </w:t>
      </w:r>
    </w:p>
    <w:p w14:paraId="03A9C966" w14:textId="77777777" w:rsidR="00F057B5" w:rsidRPr="007021D2" w:rsidRDefault="00796E41" w:rsidP="00796E41">
      <w:pPr>
        <w:pStyle w:val="ManualConsidrant"/>
        <w:rPr>
          <w:noProof/>
        </w:rPr>
      </w:pPr>
      <w:r w:rsidRPr="007021D2">
        <w:rPr>
          <w:noProof/>
        </w:rPr>
        <w:t>(40)</w:t>
      </w:r>
      <w:r w:rsidRPr="007021D2">
        <w:rPr>
          <w:noProof/>
        </w:rPr>
        <w:tab/>
        <w:t xml:space="preserve">La plateforme européenne sur la lutte contre le sans-abrisme est le cadre de coopération établi à l’échelon de l’Union en matière de sans-abrisme et d’exclusion en matière de logement. Elle propose un forum collaboratif pour le renforcement des connaissances, l’apprentissage mutuel et la coopération entre les États membres et les parties prenantes, contribuant ainsi à l’élaboration de politiques fondées sur des données probantes et au renforcement des capacités de mise en œuvre. Il s’agit du cadre de gouvernance établi au niveau de l’Union en matière de sans-abrisme et d’exclusion en matière de logement. </w:t>
      </w:r>
    </w:p>
    <w:p w14:paraId="239FF0AC" w14:textId="77777777" w:rsidR="00316B78" w:rsidRPr="007021D2" w:rsidRDefault="00796E41" w:rsidP="00796E41">
      <w:pPr>
        <w:pStyle w:val="ManualConsidrant"/>
        <w:rPr>
          <w:noProof/>
        </w:rPr>
      </w:pPr>
      <w:r w:rsidRPr="007021D2">
        <w:rPr>
          <w:noProof/>
        </w:rPr>
        <w:t>(41)</w:t>
      </w:r>
      <w:r w:rsidRPr="007021D2">
        <w:rPr>
          <w:noProof/>
        </w:rPr>
        <w:tab/>
        <w:t>Les signataires de la déclaration de Lisbonne sur la plateforme européenne de lutte contre le sans-abrisme se sont engagés à œuvrer à la fin du sans-abrisme d’ici à 2030, de sorte que:</w:t>
      </w:r>
    </w:p>
    <w:p w14:paraId="49E0CD2D" w14:textId="77777777" w:rsidR="00316B78" w:rsidRPr="007021D2" w:rsidRDefault="00796E41" w:rsidP="00796E41">
      <w:pPr>
        <w:pStyle w:val="Point1"/>
        <w:rPr>
          <w:noProof/>
        </w:rPr>
      </w:pPr>
      <w:r w:rsidRPr="007021D2">
        <w:rPr>
          <w:noProof/>
        </w:rPr>
        <w:t>i)</w:t>
      </w:r>
      <w:r w:rsidRPr="007021D2">
        <w:rPr>
          <w:noProof/>
        </w:rPr>
        <w:tab/>
        <w:t>personne ne doive dormir dans la rue faute d’un logement d’urgence accessible, sûr et approprié;</w:t>
      </w:r>
    </w:p>
    <w:p w14:paraId="502C1741" w14:textId="77777777" w:rsidR="00316B78" w:rsidRPr="007021D2" w:rsidRDefault="00796E41" w:rsidP="00796E41">
      <w:pPr>
        <w:pStyle w:val="Point1"/>
        <w:rPr>
          <w:noProof/>
        </w:rPr>
      </w:pPr>
      <w:r w:rsidRPr="007021D2">
        <w:rPr>
          <w:noProof/>
        </w:rPr>
        <w:t>ii)</w:t>
      </w:r>
      <w:r w:rsidRPr="007021D2">
        <w:rPr>
          <w:noProof/>
        </w:rPr>
        <w:tab/>
        <w:t xml:space="preserve">personne n’ait à vivre dans un hébergement d’urgence ou provisoire plus longtemps que nécessaire pour trouver une solution de logement permanent; </w:t>
      </w:r>
    </w:p>
    <w:p w14:paraId="468505A2" w14:textId="77777777" w:rsidR="00316B78" w:rsidRPr="007021D2" w:rsidRDefault="00796E41" w:rsidP="00796E41">
      <w:pPr>
        <w:pStyle w:val="Point1"/>
        <w:rPr>
          <w:noProof/>
        </w:rPr>
      </w:pPr>
      <w:r w:rsidRPr="007021D2">
        <w:rPr>
          <w:noProof/>
        </w:rPr>
        <w:t>iii)</w:t>
      </w:r>
      <w:r w:rsidRPr="007021D2">
        <w:rPr>
          <w:noProof/>
        </w:rPr>
        <w:tab/>
        <w:t xml:space="preserve">personne ne doive quitter une institution (par exemple une prison, un hôpital ou un centre de soins) sans avoir reçu une offre de logement adéquat; </w:t>
      </w:r>
    </w:p>
    <w:p w14:paraId="7835FCB4" w14:textId="77777777" w:rsidR="00316B78" w:rsidRPr="007021D2" w:rsidRDefault="00796E41" w:rsidP="00796E41">
      <w:pPr>
        <w:pStyle w:val="Point1"/>
        <w:rPr>
          <w:noProof/>
        </w:rPr>
      </w:pPr>
      <w:r w:rsidRPr="007021D2">
        <w:rPr>
          <w:noProof/>
        </w:rPr>
        <w:t>iv)</w:t>
      </w:r>
      <w:r w:rsidRPr="007021D2">
        <w:rPr>
          <w:noProof/>
        </w:rPr>
        <w:tab/>
        <w:t>les expulsions soient évitées chaque fois que possible et que nul ne soit expulsé sans aide pour trouver une solution de logement appropriée, lorsqu’il en a besoin;</w:t>
      </w:r>
    </w:p>
    <w:p w14:paraId="4A2C71F6" w14:textId="33A43EF1" w:rsidR="00316B78" w:rsidRPr="007021D2" w:rsidRDefault="00796E41" w:rsidP="00796E41">
      <w:pPr>
        <w:pStyle w:val="Point1"/>
        <w:rPr>
          <w:noProof/>
        </w:rPr>
      </w:pPr>
      <w:r w:rsidRPr="007021D2">
        <w:rPr>
          <w:noProof/>
        </w:rPr>
        <w:lastRenderedPageBreak/>
        <w:t>v)</w:t>
      </w:r>
      <w:r w:rsidRPr="007021D2">
        <w:rPr>
          <w:noProof/>
        </w:rPr>
        <w:tab/>
        <w:t xml:space="preserve">personne ne subisse de discrimination du fait de l’absence de logement. </w:t>
      </w:r>
    </w:p>
    <w:p w14:paraId="261CCBDA" w14:textId="77777777" w:rsidR="00D244BF" w:rsidRPr="007021D2" w:rsidRDefault="00796E41" w:rsidP="00796E41">
      <w:pPr>
        <w:pStyle w:val="ManualConsidrant"/>
        <w:rPr>
          <w:noProof/>
        </w:rPr>
      </w:pPr>
      <w:r w:rsidRPr="007021D2">
        <w:rPr>
          <w:noProof/>
        </w:rPr>
        <w:t>(42)</w:t>
      </w:r>
      <w:r w:rsidRPr="007021D2">
        <w:rPr>
          <w:noProof/>
        </w:rPr>
        <w:tab/>
        <w:t xml:space="preserve">«ETHOS», la typologie européenne du sans-abrisme et de l’exclusion liée au logement, a été élaborée en tant que cadre visant à améliorer la compréhension et l’évaluation du sans-abrisme en Europe et à fournir un «langage» commun pour les échanges transnationaux sur le sans-abrisme. La classification ETHOS inclut toutes les situations de vie qui constituent des formes de sans-abrisme et d’exclusion en matière de logement, à savoir: </w:t>
      </w:r>
    </w:p>
    <w:p w14:paraId="39C529BC" w14:textId="77777777" w:rsidR="00D244BF" w:rsidRPr="007021D2" w:rsidRDefault="00D244BF" w:rsidP="002A697C">
      <w:pPr>
        <w:pStyle w:val="Tiret1"/>
        <w:numPr>
          <w:ilvl w:val="0"/>
          <w:numId w:val="10"/>
        </w:numPr>
        <w:ind w:left="1620"/>
        <w:rPr>
          <w:noProof/>
        </w:rPr>
      </w:pPr>
      <w:r w:rsidRPr="007021D2">
        <w:rPr>
          <w:noProof/>
        </w:rPr>
        <w:t>être sans abri (sans un abri de quelque nature que ce soit, dormir dans la rue);</w:t>
      </w:r>
    </w:p>
    <w:p w14:paraId="5BDEEC55" w14:textId="77777777" w:rsidR="00D244BF" w:rsidRPr="007021D2" w:rsidRDefault="00D244BF" w:rsidP="002A697C">
      <w:pPr>
        <w:pStyle w:val="Tiret1"/>
        <w:numPr>
          <w:ilvl w:val="0"/>
          <w:numId w:val="10"/>
        </w:numPr>
        <w:ind w:left="1620"/>
        <w:rPr>
          <w:noProof/>
        </w:rPr>
      </w:pPr>
      <w:r w:rsidRPr="007021D2">
        <w:rPr>
          <w:noProof/>
        </w:rPr>
        <w:t>être sans logement (disposer d’un endroit où dormir, mais de manière temporaire, dans des institutions ou des centres d’hébergement);</w:t>
      </w:r>
    </w:p>
    <w:p w14:paraId="121D6D52" w14:textId="77777777" w:rsidR="00753294" w:rsidRPr="007021D2" w:rsidRDefault="00D244BF" w:rsidP="002A697C">
      <w:pPr>
        <w:pStyle w:val="Tiret1"/>
        <w:numPr>
          <w:ilvl w:val="0"/>
          <w:numId w:val="10"/>
        </w:numPr>
        <w:ind w:left="1620"/>
        <w:rPr>
          <w:noProof/>
        </w:rPr>
      </w:pPr>
      <w:r w:rsidRPr="007021D2">
        <w:rPr>
          <w:noProof/>
        </w:rPr>
        <w:t>vivre dans un logement précaire (être menacé d’exclusion grave en raison d’un bail précaire, d’une expulsion, de violences domestiques, vivre temporairement chez des proches ou des amis);</w:t>
      </w:r>
    </w:p>
    <w:p w14:paraId="0DF7A09C" w14:textId="77777777" w:rsidR="00D244BF" w:rsidRPr="007021D2" w:rsidRDefault="00D244BF" w:rsidP="002A697C">
      <w:pPr>
        <w:pStyle w:val="Tiret1"/>
        <w:numPr>
          <w:ilvl w:val="0"/>
          <w:numId w:val="10"/>
        </w:numPr>
        <w:ind w:left="1620"/>
        <w:rPr>
          <w:noProof/>
        </w:rPr>
      </w:pPr>
      <w:r w:rsidRPr="007021D2">
        <w:rPr>
          <w:noProof/>
        </w:rPr>
        <w:t>vivre dans un logement inadéquat (dans des structures temporaires ou non conventionnelles, dans des logements indignes, dans des conditions de surpeuplement extrême),</w:t>
      </w:r>
    </w:p>
    <w:p w14:paraId="6FD92E87" w14:textId="77777777" w:rsidR="00CC4570" w:rsidRPr="007021D2" w:rsidRDefault="00CC4570" w:rsidP="004723B1">
      <w:pPr>
        <w:rPr>
          <w:noProof/>
        </w:rPr>
      </w:pPr>
    </w:p>
    <w:p w14:paraId="3078420C" w14:textId="77777777" w:rsidR="00FD6375" w:rsidRPr="007021D2" w:rsidRDefault="00C578AE" w:rsidP="00FD6375">
      <w:pPr>
        <w:pStyle w:val="Formuledadoption"/>
        <w:rPr>
          <w:noProof/>
        </w:rPr>
      </w:pPr>
      <w:r w:rsidRPr="007021D2">
        <w:rPr>
          <w:noProof/>
        </w:rPr>
        <w:t>A ADOPTÉ LA PRÉSENTE RECOMMANDATION:</w:t>
      </w:r>
    </w:p>
    <w:p w14:paraId="5A9786FC" w14:textId="3B150547" w:rsidR="00701068" w:rsidRPr="007021D2" w:rsidRDefault="002A69B8" w:rsidP="00701068">
      <w:pPr>
        <w:pStyle w:val="Titrearticle"/>
        <w:jc w:val="both"/>
        <w:rPr>
          <w:i w:val="0"/>
          <w:iCs/>
          <w:noProof/>
        </w:rPr>
      </w:pPr>
      <w:r w:rsidRPr="007021D2">
        <w:rPr>
          <w:i w:val="0"/>
          <w:noProof/>
        </w:rPr>
        <w:t>OBJET</w:t>
      </w:r>
    </w:p>
    <w:p w14:paraId="02225116" w14:textId="77777777" w:rsidR="00B23935" w:rsidRPr="007021D2" w:rsidRDefault="00FA001B" w:rsidP="00EF613A">
      <w:pPr>
        <w:pStyle w:val="Point0"/>
        <w:rPr>
          <w:noProof/>
        </w:rPr>
      </w:pPr>
      <w:r>
        <w:rPr>
          <w:noProof/>
        </w:rPr>
        <w:t>(1)</w:t>
      </w:r>
      <w:r>
        <w:rPr>
          <w:noProof/>
        </w:rPr>
        <w:tab/>
      </w:r>
      <w:r w:rsidRPr="007021D2">
        <w:rPr>
          <w:noProof/>
        </w:rPr>
        <w:t>La présente recommandation fournit des orientations sur la lutte contre l’exclusion sociale, qui visent en particulier:</w:t>
      </w:r>
    </w:p>
    <w:p w14:paraId="798D5CCE" w14:textId="77777777" w:rsidR="001865CC" w:rsidRPr="007021D2" w:rsidRDefault="00B23935" w:rsidP="00D6392D">
      <w:pPr>
        <w:pStyle w:val="Point0"/>
        <w:ind w:left="1440" w:hanging="720"/>
        <w:rPr>
          <w:noProof/>
        </w:rPr>
      </w:pPr>
      <w:r w:rsidRPr="007021D2">
        <w:rPr>
          <w:noProof/>
        </w:rPr>
        <w:t>a)</w:t>
      </w:r>
      <w:r w:rsidRPr="007021D2">
        <w:rPr>
          <w:noProof/>
        </w:rPr>
        <w:tab/>
        <w:t xml:space="preserve">à aider les États membres à prévenir et à combattre l’exclusion en matière de logement des personnes vulnérables se trouvant ou risquant de se trouver dans une situation de logement précaire et des sans-abri; </w:t>
      </w:r>
    </w:p>
    <w:p w14:paraId="3F2E444C" w14:textId="77777777" w:rsidR="008C122D" w:rsidRPr="007021D2" w:rsidRDefault="001865CC" w:rsidP="00F422C3">
      <w:pPr>
        <w:pStyle w:val="Point0"/>
        <w:ind w:left="1440" w:hanging="720"/>
        <w:rPr>
          <w:noProof/>
        </w:rPr>
      </w:pPr>
      <w:r w:rsidRPr="007021D2">
        <w:rPr>
          <w:noProof/>
        </w:rPr>
        <w:t xml:space="preserve">b) </w:t>
      </w:r>
      <w:r w:rsidRPr="007021D2">
        <w:rPr>
          <w:noProof/>
        </w:rPr>
        <w:tab/>
        <w:t>à promouvoir la conception, la mise en œuvre et l’amélioration de cadres stratégiques nationaux, régionaux et/ou locaux sur la base de politiques centrées sur la personne, axées sur le logement et intégrées.</w:t>
      </w:r>
    </w:p>
    <w:p w14:paraId="6CFEF2F2" w14:textId="77777777" w:rsidR="008F4693" w:rsidRPr="007021D2" w:rsidRDefault="008F4693" w:rsidP="004723B1">
      <w:pPr>
        <w:rPr>
          <w:noProof/>
        </w:rPr>
      </w:pPr>
    </w:p>
    <w:p w14:paraId="0BBB17DE" w14:textId="77777777" w:rsidR="008C122D" w:rsidRPr="007021D2" w:rsidRDefault="008C122D" w:rsidP="004723B1">
      <w:pPr>
        <w:rPr>
          <w:noProof/>
        </w:rPr>
      </w:pPr>
      <w:r w:rsidRPr="007021D2">
        <w:rPr>
          <w:noProof/>
        </w:rPr>
        <w:t>DÉFINITIONS</w:t>
      </w:r>
    </w:p>
    <w:p w14:paraId="238F4D22" w14:textId="77777777" w:rsidR="00AA2DB5" w:rsidRPr="007021D2" w:rsidRDefault="002D1E9C" w:rsidP="0037784D">
      <w:pPr>
        <w:pStyle w:val="Point0"/>
        <w:rPr>
          <w:noProof/>
        </w:rPr>
      </w:pPr>
      <w:r>
        <w:rPr>
          <w:noProof/>
        </w:rPr>
        <w:t>(2)</w:t>
      </w:r>
      <w:r>
        <w:rPr>
          <w:noProof/>
        </w:rPr>
        <w:tab/>
      </w:r>
      <w:r w:rsidRPr="007021D2">
        <w:rPr>
          <w:noProof/>
        </w:rPr>
        <w:t>Aux fins de la présente recommandation, on entend par:</w:t>
      </w:r>
    </w:p>
    <w:p w14:paraId="4B8ECEA4" w14:textId="77777777" w:rsidR="00BD74F3" w:rsidRPr="007021D2" w:rsidRDefault="00796E41">
      <w:pPr>
        <w:pStyle w:val="Point1"/>
        <w:rPr>
          <w:noProof/>
        </w:rPr>
      </w:pPr>
      <w:r w:rsidRPr="007021D2">
        <w:rPr>
          <w:noProof/>
        </w:rPr>
        <w:t>a)</w:t>
      </w:r>
      <w:r w:rsidRPr="007021D2">
        <w:rPr>
          <w:noProof/>
        </w:rPr>
        <w:tab/>
        <w:t>«exclusion en matière de logement»: les situations dans lesquelles des personnes ou des ménages n’ont pas accès à un logement adéquat et/ou sûr. Cela englobe notamment les personnes sans domicile (c’est-à-dire sans abri ou sans logement) et les personnes vivant involontairement dans des situations de logement précaire, par exemple dans des logements inadéquats ou précaires;</w:t>
      </w:r>
    </w:p>
    <w:p w14:paraId="409A59BF" w14:textId="77777777" w:rsidR="00325095" w:rsidRPr="007021D2" w:rsidRDefault="00796E41">
      <w:pPr>
        <w:pStyle w:val="Point1"/>
        <w:rPr>
          <w:noProof/>
        </w:rPr>
      </w:pPr>
      <w:r w:rsidRPr="007021D2">
        <w:rPr>
          <w:noProof/>
        </w:rPr>
        <w:t>b)</w:t>
      </w:r>
      <w:r w:rsidRPr="007021D2">
        <w:rPr>
          <w:noProof/>
        </w:rPr>
        <w:tab/>
        <w:t>«hébergement d’urgence»: un hébergement, tel qu’un abri de nuit, dont l’objectif premier est de répondre à un besoin urgent de mise à l’abri et d’accès aux équipements de première nécessité;</w:t>
      </w:r>
    </w:p>
    <w:p w14:paraId="7C71CB00" w14:textId="77777777" w:rsidR="00325095" w:rsidRPr="007021D2" w:rsidRDefault="00796E41">
      <w:pPr>
        <w:pStyle w:val="Point1"/>
        <w:rPr>
          <w:noProof/>
        </w:rPr>
      </w:pPr>
      <w:r w:rsidRPr="007021D2">
        <w:rPr>
          <w:noProof/>
        </w:rPr>
        <w:t>c)</w:t>
      </w:r>
      <w:r w:rsidRPr="007021D2">
        <w:rPr>
          <w:noProof/>
        </w:rPr>
        <w:tab/>
        <w:t xml:space="preserve">«hébergement temporaire»: un logement limité dans le temps qui est fourni pendant qu’une solution de logement permanent est recherchée; </w:t>
      </w:r>
    </w:p>
    <w:p w14:paraId="3485BE4E" w14:textId="77777777" w:rsidR="004D1A18" w:rsidRPr="007021D2" w:rsidRDefault="00796E41" w:rsidP="00275B3F">
      <w:pPr>
        <w:pStyle w:val="Point1"/>
        <w:ind w:left="1420" w:hanging="570"/>
        <w:rPr>
          <w:noProof/>
        </w:rPr>
      </w:pPr>
      <w:r w:rsidRPr="007021D2">
        <w:rPr>
          <w:noProof/>
        </w:rPr>
        <w:t>d)</w:t>
      </w:r>
      <w:r w:rsidRPr="007021D2">
        <w:rPr>
          <w:noProof/>
        </w:rPr>
        <w:tab/>
        <w:t xml:space="preserve">«approches axées sur le logement»: des modèles de mise en œuvre des politiques et des services qui donnent la priorité à la fourniture d’un accès </w:t>
      </w:r>
      <w:r w:rsidRPr="007021D2">
        <w:rPr>
          <w:noProof/>
        </w:rPr>
        <w:lastRenderedPageBreak/>
        <w:t xml:space="preserve">rapide à un logement adéquat, abordable et permanent, accompagnés, le cas échéant, de services de soutien centrés sur la personne et intégrés favorisant la stabilité de logement et l’inclusion sociale, telle que l’approche fondée sur le principe du «logement d’abord». </w:t>
      </w:r>
    </w:p>
    <w:p w14:paraId="09E28131" w14:textId="77777777" w:rsidR="008F4693" w:rsidRPr="007021D2" w:rsidRDefault="008F4693">
      <w:pPr>
        <w:rPr>
          <w:noProof/>
        </w:rPr>
      </w:pPr>
    </w:p>
    <w:p w14:paraId="5182F9E2" w14:textId="77777777" w:rsidR="007D6675" w:rsidRPr="007021D2" w:rsidRDefault="00AB7D32">
      <w:pPr>
        <w:rPr>
          <w:noProof/>
        </w:rPr>
      </w:pPr>
      <w:r w:rsidRPr="007021D2">
        <w:rPr>
          <w:noProof/>
        </w:rPr>
        <w:t>RECOMMANDATIONS TRANSVERSALES</w:t>
      </w:r>
    </w:p>
    <w:p w14:paraId="28B93F13" w14:textId="77777777" w:rsidR="006D6435" w:rsidRPr="007021D2" w:rsidRDefault="006D6435" w:rsidP="0037784D">
      <w:pPr>
        <w:pStyle w:val="Point0"/>
        <w:rPr>
          <w:noProof/>
        </w:rPr>
      </w:pPr>
      <w:r>
        <w:rPr>
          <w:noProof/>
        </w:rPr>
        <w:t>(3)</w:t>
      </w:r>
      <w:r>
        <w:rPr>
          <w:noProof/>
        </w:rPr>
        <w:tab/>
      </w:r>
      <w:r w:rsidRPr="007021D2">
        <w:rPr>
          <w:noProof/>
        </w:rPr>
        <w:t xml:space="preserve">Il est recommandé aux États membres: </w:t>
      </w:r>
    </w:p>
    <w:p w14:paraId="65B58BEC" w14:textId="77777777" w:rsidR="000F5594" w:rsidRPr="007021D2" w:rsidRDefault="008203C4" w:rsidP="007A0D1E">
      <w:pPr>
        <w:pStyle w:val="Point1"/>
        <w:rPr>
          <w:noProof/>
        </w:rPr>
      </w:pPr>
      <w:r>
        <w:rPr>
          <w:noProof/>
        </w:rPr>
        <w:t>(a)</w:t>
      </w:r>
      <w:r>
        <w:rPr>
          <w:noProof/>
        </w:rPr>
        <w:tab/>
      </w:r>
      <w:r w:rsidRPr="007021D2">
        <w:rPr>
          <w:noProof/>
        </w:rPr>
        <w:t>d’adopter des cadres stratégiques de lutte contre l’exclusion en matière de logement et le sans-abrisme, ou de réviser leurs cadres existants, sur la base de politiques centrées sur la personne, axées sur le logement et intégrées, conformément à la présente recommandation, en vue de renforcer les efforts visant à éliminer le sans-abrisme dans l’Union européenne. Cela devrait se faire avec le concours et la participation des autorités régionales et locales et dans le respect de la répartition des compétences au sein des États membres;</w:t>
      </w:r>
    </w:p>
    <w:p w14:paraId="00C5DCA4" w14:textId="77777777" w:rsidR="00FA6BF7" w:rsidRPr="007021D2" w:rsidRDefault="000E7DA0" w:rsidP="00600F3F">
      <w:pPr>
        <w:pStyle w:val="Point1"/>
        <w:rPr>
          <w:noProof/>
        </w:rPr>
      </w:pPr>
      <w:r>
        <w:rPr>
          <w:noProof/>
        </w:rPr>
        <w:t>(b)</w:t>
      </w:r>
      <w:r>
        <w:rPr>
          <w:noProof/>
        </w:rPr>
        <w:tab/>
      </w:r>
      <w:r w:rsidRPr="007021D2">
        <w:rPr>
          <w:noProof/>
        </w:rPr>
        <w:t xml:space="preserve">de définir, au regard des contextes nationaux, les situations de logement précaire, en tenant compte en particulier des risques de pauvreté ou d’exclusion sociale; </w:t>
      </w:r>
    </w:p>
    <w:p w14:paraId="41AE3560" w14:textId="77777777" w:rsidR="00EC63E7" w:rsidRPr="007021D2" w:rsidRDefault="004D69DB" w:rsidP="00600F3F">
      <w:pPr>
        <w:pStyle w:val="Point1"/>
        <w:rPr>
          <w:noProof/>
        </w:rPr>
      </w:pPr>
      <w:r>
        <w:rPr>
          <w:noProof/>
        </w:rPr>
        <w:t>(c)</w:t>
      </w:r>
      <w:r>
        <w:rPr>
          <w:noProof/>
        </w:rPr>
        <w:tab/>
      </w:r>
      <w:r w:rsidRPr="007021D2">
        <w:rPr>
          <w:noProof/>
        </w:rPr>
        <w:t>d’élaborer des mesures adaptées pour lutter contre l’exclusion en matière de logement et le sans-abrisme et d’adopter une approche centrée sur la personne en s’appuyant, le cas échéant, sur les principes du nouveau Bauhaus européen, notamment sur une conception participative, territorialisée et inclusive, avec la fourniture de services intégrés tels que l’assistance sociale, les soins de santé, les soins de longue durée et l’activation du marché du travail, combinés à une aide au logement;</w:t>
      </w:r>
    </w:p>
    <w:p w14:paraId="53428DC0" w14:textId="77777777" w:rsidR="000762ED" w:rsidRPr="007021D2" w:rsidRDefault="00DE6932" w:rsidP="00600F3F">
      <w:pPr>
        <w:pStyle w:val="Point1"/>
        <w:rPr>
          <w:noProof/>
        </w:rPr>
      </w:pPr>
      <w:r>
        <w:rPr>
          <w:noProof/>
        </w:rPr>
        <w:t>(d)</w:t>
      </w:r>
      <w:r>
        <w:rPr>
          <w:noProof/>
        </w:rPr>
        <w:tab/>
      </w:r>
      <w:r w:rsidRPr="007021D2">
        <w:rPr>
          <w:noProof/>
        </w:rPr>
        <w:t xml:space="preserve">de fixer des objectifs pertinents, assortis d’échéances, réalisables et mesurables, dont les objectifs suivants: </w:t>
      </w:r>
    </w:p>
    <w:p w14:paraId="3B44D6F1" w14:textId="77777777" w:rsidR="00DF4C1E" w:rsidRPr="007021D2" w:rsidRDefault="009F6432" w:rsidP="00F422C3">
      <w:pPr>
        <w:pStyle w:val="Text1"/>
        <w:ind w:left="1440"/>
        <w:rPr>
          <w:noProof/>
        </w:rPr>
      </w:pPr>
      <w:r w:rsidRPr="007021D2">
        <w:rPr>
          <w:noProof/>
        </w:rPr>
        <w:t>i/</w:t>
      </w:r>
      <w:r w:rsidRPr="007021D2">
        <w:rPr>
          <w:noProof/>
        </w:rPr>
        <w:tab/>
        <w:t>toutes les personnes vivant dans la rue (c’est-à-dire les sans-abri au sens strict</w:t>
      </w:r>
      <w:r w:rsidRPr="007021D2">
        <w:rPr>
          <w:rStyle w:val="FootnoteReference"/>
          <w:noProof/>
        </w:rPr>
        <w:footnoteReference w:id="33"/>
      </w:r>
      <w:r w:rsidRPr="007021D2">
        <w:rPr>
          <w:noProof/>
        </w:rPr>
        <w:t>, qui dorment dans la rue sans local d’habitation) se voient proposer un hébergement d’urgence;</w:t>
      </w:r>
    </w:p>
    <w:p w14:paraId="5AF6AD5F" w14:textId="0895CDB3" w:rsidR="00EB3EC4" w:rsidRPr="007021D2" w:rsidRDefault="009F6432" w:rsidP="00F422C3">
      <w:pPr>
        <w:pStyle w:val="Text1"/>
        <w:ind w:left="1440"/>
        <w:rPr>
          <w:noProof/>
        </w:rPr>
      </w:pPr>
      <w:r w:rsidRPr="007021D2">
        <w:rPr>
          <w:noProof/>
        </w:rPr>
        <w:t>ii/</w:t>
      </w:r>
      <w:r w:rsidRPr="007021D2">
        <w:rPr>
          <w:noProof/>
        </w:rPr>
        <w:tab/>
        <w:t xml:space="preserve">les personnes vivant dans des hébergements d’urgence ou temporaires (les «sans domicile fixe») reçoivent dès que possible un soutien efficace pour accéder à des solutions de logement sûres et de longue durée. </w:t>
      </w:r>
    </w:p>
    <w:p w14:paraId="4465FCD6" w14:textId="77777777" w:rsidR="008C122D" w:rsidRPr="007021D2" w:rsidRDefault="008C122D" w:rsidP="00F422C3">
      <w:pPr>
        <w:pStyle w:val="Text1"/>
        <w:ind w:left="1440"/>
        <w:rPr>
          <w:noProof/>
        </w:rPr>
      </w:pPr>
    </w:p>
    <w:p w14:paraId="17A18A17" w14:textId="77777777" w:rsidR="006D3FDD" w:rsidRPr="007021D2" w:rsidRDefault="006D3FDD" w:rsidP="00C45313">
      <w:pPr>
        <w:rPr>
          <w:noProof/>
        </w:rPr>
      </w:pPr>
    </w:p>
    <w:p w14:paraId="2B3B60DC" w14:textId="77777777" w:rsidR="00C45313" w:rsidRPr="007021D2" w:rsidRDefault="00C45313" w:rsidP="00C45313">
      <w:pPr>
        <w:rPr>
          <w:noProof/>
        </w:rPr>
      </w:pPr>
      <w:r w:rsidRPr="007021D2">
        <w:rPr>
          <w:noProof/>
        </w:rPr>
        <w:t>IDENTIFICATION DES PERSONNES TOUCHÉES OU MENACÉES PAR L’EXCLUSION EN MATIÈRE DE LOGEMENT</w:t>
      </w:r>
    </w:p>
    <w:p w14:paraId="1FFF9CDC" w14:textId="77777777" w:rsidR="00C45313" w:rsidRPr="007021D2" w:rsidRDefault="00C45313" w:rsidP="0037784D">
      <w:pPr>
        <w:pStyle w:val="Point0"/>
        <w:rPr>
          <w:noProof/>
        </w:rPr>
      </w:pPr>
      <w:r>
        <w:rPr>
          <w:noProof/>
        </w:rPr>
        <w:t>(4)</w:t>
      </w:r>
      <w:r>
        <w:rPr>
          <w:noProof/>
        </w:rPr>
        <w:tab/>
      </w:r>
      <w:r w:rsidRPr="007021D2">
        <w:rPr>
          <w:noProof/>
        </w:rPr>
        <w:t xml:space="preserve">Il est recommandé aux États membres: </w:t>
      </w:r>
    </w:p>
    <w:p w14:paraId="2C315B98" w14:textId="77777777" w:rsidR="00C45313" w:rsidRPr="007021D2" w:rsidRDefault="00806818" w:rsidP="007A0D1E">
      <w:pPr>
        <w:pStyle w:val="Point1"/>
        <w:rPr>
          <w:noProof/>
        </w:rPr>
      </w:pPr>
      <w:r>
        <w:rPr>
          <w:noProof/>
        </w:rPr>
        <w:t>(a)</w:t>
      </w:r>
      <w:r>
        <w:rPr>
          <w:noProof/>
        </w:rPr>
        <w:tab/>
      </w:r>
      <w:r w:rsidRPr="007021D2">
        <w:rPr>
          <w:noProof/>
        </w:rPr>
        <w:t xml:space="preserve">de renforcer la collecte de données concernant les groupes difficiles à atteindre, notamment les sans-abri, et, sans charge administrative excessive, de produire </w:t>
      </w:r>
      <w:r w:rsidRPr="007021D2">
        <w:rPr>
          <w:noProof/>
        </w:rPr>
        <w:lastRenderedPageBreak/>
        <w:t>des statistiques régulières, complètes, comparables et ventilées sur l’exclusion en matière de logement et le sans-abrisme à l’échelon national et local;</w:t>
      </w:r>
    </w:p>
    <w:p w14:paraId="7C93AE7B" w14:textId="006EDA34" w:rsidR="00C45313" w:rsidRPr="007021D2" w:rsidRDefault="00226E48" w:rsidP="00600F3F">
      <w:pPr>
        <w:pStyle w:val="Point1"/>
        <w:rPr>
          <w:noProof/>
        </w:rPr>
      </w:pPr>
      <w:r>
        <w:rPr>
          <w:noProof/>
        </w:rPr>
        <w:t>(b)</w:t>
      </w:r>
      <w:r>
        <w:rPr>
          <w:noProof/>
        </w:rPr>
        <w:tab/>
      </w:r>
      <w:r w:rsidRPr="007021D2">
        <w:rPr>
          <w:noProof/>
        </w:rPr>
        <w:t>d’harmoniser les critères d’identification des personnes touchées ou risquant d’être touchées par l’exclusion en matière de logement appliqués par les services concernés, tels que les services sociaux, de l’emploi, de l’éducation, de la justice et de la protection de l’enfance, et de mettre en place un partage d’informations rapide, efficace et en temps utile entre ces services;</w:t>
      </w:r>
    </w:p>
    <w:p w14:paraId="4899A3D6" w14:textId="64687D6D" w:rsidR="00C45313" w:rsidRPr="007021D2" w:rsidRDefault="003A0A56" w:rsidP="00600F3F">
      <w:pPr>
        <w:pStyle w:val="Point1"/>
        <w:rPr>
          <w:noProof/>
        </w:rPr>
      </w:pPr>
      <w:r>
        <w:rPr>
          <w:noProof/>
        </w:rPr>
        <w:t>(c)</w:t>
      </w:r>
      <w:r>
        <w:rPr>
          <w:noProof/>
        </w:rPr>
        <w:tab/>
      </w:r>
      <w:r w:rsidRPr="007021D2">
        <w:rPr>
          <w:noProof/>
        </w:rPr>
        <w:t xml:space="preserve">sur la base des données collectées et des critères harmonisés de détection de l’exclusion en matière de logement, de mettre en place des systèmes d’alerte précoce afin d’identifier les ménages exposés au risque d’exclusion en matière de logement, en garantissant des actions de sensibilisation et de prévention en temps utile; </w:t>
      </w:r>
      <w:bookmarkStart w:id="10" w:name="_Hlk227938618"/>
      <w:r w:rsidRPr="007021D2">
        <w:rPr>
          <w:noProof/>
        </w:rPr>
        <w:t>de quantifier et d’évaluer les besoins en matière de logement des sans-abri et des personnes se trouvant dans un logement précaire; d’élaborer des stratégies d’identification adaptées aux personnes souvent sous-comptabilisées ou invisibles.</w:t>
      </w:r>
      <w:bookmarkEnd w:id="10"/>
    </w:p>
    <w:p w14:paraId="492F2C06" w14:textId="77777777" w:rsidR="00600F3F" w:rsidRPr="007021D2" w:rsidRDefault="00600F3F" w:rsidP="00600F3F">
      <w:pPr>
        <w:pStyle w:val="Text1"/>
        <w:rPr>
          <w:noProof/>
        </w:rPr>
      </w:pPr>
    </w:p>
    <w:p w14:paraId="31B8AF82" w14:textId="77777777" w:rsidR="001E6681" w:rsidRPr="007021D2" w:rsidRDefault="008C122D" w:rsidP="00275B3F">
      <w:pPr>
        <w:pStyle w:val="Titrearticle"/>
        <w:spacing w:before="240"/>
        <w:jc w:val="both"/>
        <w:rPr>
          <w:noProof/>
        </w:rPr>
      </w:pPr>
      <w:r w:rsidRPr="007021D2">
        <w:rPr>
          <w:i w:val="0"/>
          <w:noProof/>
        </w:rPr>
        <w:t xml:space="preserve">PRÉVENTION DE L’EXCLUSION EN MATIÈRE DE LOGEMENT </w:t>
      </w:r>
    </w:p>
    <w:p w14:paraId="1531D317" w14:textId="77777777" w:rsidR="005B411C" w:rsidRPr="007021D2" w:rsidRDefault="00282B18" w:rsidP="0037784D">
      <w:pPr>
        <w:pStyle w:val="Point0"/>
        <w:rPr>
          <w:noProof/>
        </w:rPr>
      </w:pPr>
      <w:r>
        <w:rPr>
          <w:noProof/>
        </w:rPr>
        <w:t>(5)</w:t>
      </w:r>
      <w:r>
        <w:rPr>
          <w:noProof/>
        </w:rPr>
        <w:tab/>
      </w:r>
      <w:r w:rsidRPr="007021D2">
        <w:rPr>
          <w:noProof/>
        </w:rPr>
        <w:t xml:space="preserve">Il est recommandé aux États membres: </w:t>
      </w:r>
    </w:p>
    <w:p w14:paraId="337BCA0F" w14:textId="77777777" w:rsidR="008C122D" w:rsidRPr="007021D2" w:rsidRDefault="00BD181F" w:rsidP="007A0D1E">
      <w:pPr>
        <w:pStyle w:val="Point1"/>
        <w:rPr>
          <w:noProof/>
        </w:rPr>
      </w:pPr>
      <w:r>
        <w:rPr>
          <w:noProof/>
        </w:rPr>
        <w:t>(a)</w:t>
      </w:r>
      <w:r>
        <w:rPr>
          <w:noProof/>
        </w:rPr>
        <w:tab/>
      </w:r>
      <w:r w:rsidRPr="007021D2">
        <w:rPr>
          <w:noProof/>
        </w:rPr>
        <w:t>d’aider, dans leurs cadres stratégiques, les personnes exposées au risque d’exclusion en matière de logement à conserver un logement adéquat au moyen de mesures ciblées, notamment des conseils en matière d’endettement et de logement, des systèmes d’alerte précoce, une aide locative d’urgence, une médiation et d’autres mesures d’atténuation; de garantir la disponibilité de logements adaptés pour les personnes handicapées ou ayant besoin de soins de longue durée, tout en évitant de faire peser des charges disproportionnées sur la construction et la rénovation;</w:t>
      </w:r>
    </w:p>
    <w:p w14:paraId="2F037DD6" w14:textId="77777777" w:rsidR="008C122D" w:rsidRPr="007021D2" w:rsidRDefault="6D56711B" w:rsidP="00600F3F">
      <w:pPr>
        <w:pStyle w:val="Point1"/>
        <w:rPr>
          <w:noProof/>
        </w:rPr>
      </w:pPr>
      <w:r>
        <w:rPr>
          <w:noProof/>
        </w:rPr>
        <w:t>(b)</w:t>
      </w:r>
      <w:r>
        <w:rPr>
          <w:noProof/>
        </w:rPr>
        <w:tab/>
      </w:r>
      <w:r w:rsidRPr="007021D2">
        <w:rPr>
          <w:noProof/>
        </w:rPr>
        <w:t>de garantir un accès rapide et effectif à des informations sur les mesures disponibles en matière d’aide au logement, d’aide sociale et d’aide au revenu, et de mener des actions de sensibilisation afin de faire baisser le non-exercice des droits;</w:t>
      </w:r>
    </w:p>
    <w:p w14:paraId="33FF5329" w14:textId="77777777" w:rsidR="008C122D" w:rsidRPr="007021D2" w:rsidRDefault="00D82679" w:rsidP="00600F3F">
      <w:pPr>
        <w:pStyle w:val="Point1"/>
        <w:rPr>
          <w:noProof/>
        </w:rPr>
      </w:pPr>
      <w:r>
        <w:rPr>
          <w:noProof/>
        </w:rPr>
        <w:t>(c)</w:t>
      </w:r>
      <w:r>
        <w:rPr>
          <w:noProof/>
        </w:rPr>
        <w:tab/>
      </w:r>
      <w:r w:rsidRPr="007021D2">
        <w:rPr>
          <w:noProof/>
        </w:rPr>
        <w:t xml:space="preserve">d’évaluer régulièrement l’adéquation des aides au revenu, telles que les allocations liées au logement, le revenu minimum et les allocations familiales, par rapport aux coûts du logement, en mettant en place des mécanismes d’ajustement adaptés à l’évolution de ces coûts. Cette évaluation devrait également servir de base pour éviter la création de «pièges de la pauvreté», lorsque les aides sociales découragent la participation au marché du travail; </w:t>
      </w:r>
    </w:p>
    <w:p w14:paraId="65260C42" w14:textId="3F0F7167" w:rsidR="008C122D" w:rsidRPr="007021D2" w:rsidRDefault="00AE4812" w:rsidP="00600F3F">
      <w:pPr>
        <w:pStyle w:val="Point1"/>
        <w:rPr>
          <w:noProof/>
        </w:rPr>
      </w:pPr>
      <w:r>
        <w:rPr>
          <w:noProof/>
        </w:rPr>
        <w:t>(d)</w:t>
      </w:r>
      <w:r>
        <w:rPr>
          <w:noProof/>
        </w:rPr>
        <w:tab/>
      </w:r>
      <w:r w:rsidRPr="007021D2">
        <w:rPr>
          <w:noProof/>
        </w:rPr>
        <w:t xml:space="preserve">de renforcer la prévention des expulsions forcées et arbitraires et la protection contre celles-ci, en particulier en ce qui concerne les familles avec enfants, en accordant une attention particulière aux ménages monoparentaux. Les États membres devraient veiller à ce que les procédures soient transparentes et rapides, qu’elles soient conformes au principe de proportionnalité, de traitement équitable et au droit de former un recours effectif, tout en respectant les droits des propriétaires; </w:t>
      </w:r>
    </w:p>
    <w:p w14:paraId="7FB11AF0" w14:textId="77777777" w:rsidR="008C122D" w:rsidRPr="007021D2" w:rsidRDefault="00E05D79" w:rsidP="00600F3F">
      <w:pPr>
        <w:pStyle w:val="Point1"/>
        <w:rPr>
          <w:noProof/>
        </w:rPr>
      </w:pPr>
      <w:r>
        <w:rPr>
          <w:noProof/>
        </w:rPr>
        <w:t>(e)</w:t>
      </w:r>
      <w:r>
        <w:rPr>
          <w:noProof/>
        </w:rPr>
        <w:tab/>
      </w:r>
      <w:r w:rsidRPr="007021D2">
        <w:rPr>
          <w:noProof/>
        </w:rPr>
        <w:t xml:space="preserve">de veiller à ce qu’aucun enfant ne soit privé d’un logement adéquat, en lui garantissant, si nécessaire, une autre solution de logement appropriée dans les </w:t>
      </w:r>
      <w:r w:rsidRPr="007021D2">
        <w:rPr>
          <w:noProof/>
        </w:rPr>
        <w:lastRenderedPageBreak/>
        <w:t xml:space="preserve">meilleurs délais, tout en préservant l’unité familiale dans l’intérêt supérieur de l’enfant; </w:t>
      </w:r>
    </w:p>
    <w:p w14:paraId="486356A8" w14:textId="77777777" w:rsidR="008C122D" w:rsidRPr="007021D2" w:rsidRDefault="000A2C84" w:rsidP="00600F3F">
      <w:pPr>
        <w:pStyle w:val="Point1"/>
        <w:rPr>
          <w:noProof/>
        </w:rPr>
      </w:pPr>
      <w:r>
        <w:rPr>
          <w:noProof/>
        </w:rPr>
        <w:t>(f)</w:t>
      </w:r>
      <w:r>
        <w:rPr>
          <w:noProof/>
        </w:rPr>
        <w:tab/>
      </w:r>
      <w:r w:rsidRPr="007021D2">
        <w:rPr>
          <w:noProof/>
        </w:rPr>
        <w:t xml:space="preserve">de veiller à ce qu’aucun mineur ou jeune adulte ne quitte un établissement ou une famille d’accueil sans disposer d’un logement et de services de soutien adéquats. Il convient de faciliter l’accès à des aides financières ou à des mesures incitatives pour les personnes qui ne disposent pas de garants ou de fonds pour constituer des dépôts, par exemple par l’intermédiaire d’organisations de l’économie sociale facilitant l’accès aux microfinancements; </w:t>
      </w:r>
    </w:p>
    <w:p w14:paraId="26005369" w14:textId="77777777" w:rsidR="008C122D" w:rsidRPr="007021D2" w:rsidRDefault="009B797C" w:rsidP="00600F3F">
      <w:pPr>
        <w:pStyle w:val="Point1"/>
        <w:rPr>
          <w:noProof/>
        </w:rPr>
      </w:pPr>
      <w:r>
        <w:rPr>
          <w:noProof/>
        </w:rPr>
        <w:t>(g)</w:t>
      </w:r>
      <w:r>
        <w:rPr>
          <w:noProof/>
        </w:rPr>
        <w:tab/>
      </w:r>
      <w:r w:rsidRPr="007021D2">
        <w:rPr>
          <w:noProof/>
        </w:rPr>
        <w:t>de mettre en place des services de conseil préventif à un stade précoce dans les établissements d’enseignement, sur le lieu de travail ou au sein des structures d’accueil pour la jeunesse afin de contribuer à détecter les situations de détresse, de faciliter l’orientation vers les services compétents et de prévenir l’exclusion en matière de logement chez les enfants et les jeunes;</w:t>
      </w:r>
    </w:p>
    <w:p w14:paraId="758C9797" w14:textId="77777777" w:rsidR="008C122D" w:rsidRPr="007021D2" w:rsidRDefault="00F82707" w:rsidP="00600F3F">
      <w:pPr>
        <w:pStyle w:val="Point1"/>
        <w:rPr>
          <w:noProof/>
        </w:rPr>
      </w:pPr>
      <w:r>
        <w:rPr>
          <w:noProof/>
        </w:rPr>
        <w:t>(h)</w:t>
      </w:r>
      <w:r>
        <w:rPr>
          <w:noProof/>
        </w:rPr>
        <w:tab/>
      </w:r>
      <w:r w:rsidRPr="007021D2">
        <w:rPr>
          <w:noProof/>
        </w:rPr>
        <w:t>de mettre à la disposition des personnes âgées vivant dans un logement précaire des services d’accompagnement et une aide sociale afin de prévenir l’exclusion en matière de logement;</w:t>
      </w:r>
    </w:p>
    <w:p w14:paraId="2DA081C1" w14:textId="77777777" w:rsidR="00AC4234" w:rsidRPr="007021D2" w:rsidRDefault="00AC4234" w:rsidP="00600F3F">
      <w:pPr>
        <w:pStyle w:val="Point1"/>
        <w:rPr>
          <w:noProof/>
        </w:rPr>
      </w:pPr>
      <w:r>
        <w:rPr>
          <w:noProof/>
        </w:rPr>
        <w:t>(i)</w:t>
      </w:r>
      <w:r>
        <w:rPr>
          <w:noProof/>
        </w:rPr>
        <w:tab/>
      </w:r>
      <w:r w:rsidRPr="007021D2">
        <w:rPr>
          <w:noProof/>
        </w:rPr>
        <w:t>de garantir l’égalité de traitement des personnes exposées au risque de discrimination dans l’accès à un logement adéquat et aux services essentiels;</w:t>
      </w:r>
    </w:p>
    <w:p w14:paraId="019E935F" w14:textId="77777777" w:rsidR="008C122D" w:rsidRPr="007021D2" w:rsidRDefault="009C52E7" w:rsidP="00600F3F">
      <w:pPr>
        <w:pStyle w:val="Point1"/>
        <w:rPr>
          <w:noProof/>
        </w:rPr>
      </w:pPr>
      <w:r>
        <w:rPr>
          <w:noProof/>
        </w:rPr>
        <w:t>(j)</w:t>
      </w:r>
      <w:r>
        <w:rPr>
          <w:noProof/>
        </w:rPr>
        <w:tab/>
      </w:r>
      <w:r w:rsidRPr="007021D2">
        <w:rPr>
          <w:noProof/>
        </w:rPr>
        <w:t xml:space="preserve">de fournir en temps utile un accompagnement personnalisé aux personnes quittant une institution (telle qu’une prison, un hôpital ou un centre de soins) afin de leur garantir un logement de longue durée. </w:t>
      </w:r>
    </w:p>
    <w:p w14:paraId="3B885736" w14:textId="77777777" w:rsidR="00A67EC1" w:rsidRPr="007021D2" w:rsidRDefault="00A67EC1" w:rsidP="00F422C3">
      <w:pPr>
        <w:pStyle w:val="Point0"/>
        <w:ind w:left="709" w:hanging="709"/>
        <w:rPr>
          <w:noProof/>
        </w:rPr>
      </w:pPr>
    </w:p>
    <w:p w14:paraId="78869931" w14:textId="77777777" w:rsidR="008C122D" w:rsidRPr="007021D2" w:rsidRDefault="008C122D" w:rsidP="004723B1">
      <w:pPr>
        <w:rPr>
          <w:noProof/>
        </w:rPr>
      </w:pPr>
      <w:r w:rsidRPr="007021D2">
        <w:rPr>
          <w:noProof/>
        </w:rPr>
        <w:t xml:space="preserve">ACCOMPAGNEMENT DES PERSONNES EN SITUATION DE SANS-ABRISME </w:t>
      </w:r>
    </w:p>
    <w:p w14:paraId="5EAFEBA7" w14:textId="77777777" w:rsidR="005A474B" w:rsidRPr="007021D2" w:rsidRDefault="005A474B" w:rsidP="004723B1">
      <w:pPr>
        <w:rPr>
          <w:noProof/>
        </w:rPr>
      </w:pPr>
    </w:p>
    <w:p w14:paraId="1DF05371" w14:textId="77777777" w:rsidR="008C122D" w:rsidRPr="007021D2" w:rsidRDefault="00EB5471" w:rsidP="0037784D">
      <w:pPr>
        <w:pStyle w:val="Point0"/>
        <w:rPr>
          <w:noProof/>
        </w:rPr>
      </w:pPr>
      <w:r>
        <w:rPr>
          <w:noProof/>
        </w:rPr>
        <w:t>(6)</w:t>
      </w:r>
      <w:r>
        <w:rPr>
          <w:noProof/>
        </w:rPr>
        <w:tab/>
      </w:r>
      <w:r w:rsidRPr="007021D2">
        <w:rPr>
          <w:noProof/>
        </w:rPr>
        <w:t>Afin de réduire la durée pendant laquelle les personnes sont touchées par le sans-abrisme ou dépendent d’un hébergement d’urgence ou temporaire, il est recommandé aux États membres de mettre en place un soutien centré sur la personne, intégré et accessible en prévoyant:</w:t>
      </w:r>
    </w:p>
    <w:p w14:paraId="27BDCD80" w14:textId="77777777" w:rsidR="008C122D" w:rsidRPr="007021D2" w:rsidRDefault="00796E41" w:rsidP="00796E41">
      <w:pPr>
        <w:pStyle w:val="Point1"/>
        <w:rPr>
          <w:noProof/>
        </w:rPr>
      </w:pPr>
      <w:r w:rsidRPr="007021D2">
        <w:rPr>
          <w:noProof/>
        </w:rPr>
        <w:t>a)</w:t>
      </w:r>
      <w:r w:rsidRPr="007021D2">
        <w:rPr>
          <w:noProof/>
        </w:rPr>
        <w:tab/>
        <w:t xml:space="preserve">des systèmes de soutien accessibles et inclusifs, comprenant notamment une évaluation des besoins individuels, des plans d’accompagnement adaptés aux besoins et la prise en charge des cas les plus complexes, qui sont assurés par des équipes pluridisciplinaires de proximité et ancrées dans la communauté, composées de professionnels de la santé et des soins ainsi que de travailleurs sociaux; </w:t>
      </w:r>
    </w:p>
    <w:p w14:paraId="37816ADD" w14:textId="77777777" w:rsidR="004E1334" w:rsidRPr="007021D2" w:rsidRDefault="00796E41" w:rsidP="00796E41">
      <w:pPr>
        <w:pStyle w:val="Point1"/>
        <w:rPr>
          <w:noProof/>
        </w:rPr>
      </w:pPr>
      <w:r w:rsidRPr="007021D2">
        <w:rPr>
          <w:noProof/>
        </w:rPr>
        <w:t>b)</w:t>
      </w:r>
      <w:r w:rsidRPr="007021D2">
        <w:rPr>
          <w:noProof/>
        </w:rPr>
        <w:tab/>
        <w:t xml:space="preserve">des normes garantissant des services de soutien cohérents et de qualité, notamment un accompagnement spécifique des enfants; </w:t>
      </w:r>
    </w:p>
    <w:p w14:paraId="7AED5F12" w14:textId="77777777" w:rsidR="008C122D" w:rsidRPr="007021D2" w:rsidRDefault="004E1334" w:rsidP="00796E41">
      <w:pPr>
        <w:pStyle w:val="Point1"/>
        <w:rPr>
          <w:noProof/>
        </w:rPr>
      </w:pPr>
      <w:r w:rsidRPr="007021D2">
        <w:rPr>
          <w:noProof/>
        </w:rPr>
        <w:t>c)</w:t>
      </w:r>
      <w:r w:rsidRPr="007021D2">
        <w:rPr>
          <w:noProof/>
        </w:rPr>
        <w:tab/>
        <w:t>un système de guichet unique permettant d’orienter simplement et en temps utile les personnes vers les organismes de sécurité sociale compétents, les services d’aide sociale et les services sociaux et de santé facilement accessibles;</w:t>
      </w:r>
    </w:p>
    <w:p w14:paraId="7F653DFB" w14:textId="4904003A" w:rsidR="008C122D" w:rsidRPr="007021D2" w:rsidRDefault="00796E41" w:rsidP="00796E41">
      <w:pPr>
        <w:pStyle w:val="Point1"/>
        <w:rPr>
          <w:noProof/>
        </w:rPr>
      </w:pPr>
      <w:r w:rsidRPr="007021D2">
        <w:rPr>
          <w:noProof/>
        </w:rPr>
        <w:t>d)</w:t>
      </w:r>
      <w:r w:rsidRPr="007021D2">
        <w:rPr>
          <w:noProof/>
        </w:rPr>
        <w:tab/>
        <w:t xml:space="preserve">des dispositifs d’aide visant à prévenir les séparations familiales inutiles, dans l’intérêt supérieur de l’enfant, et à empêcher que des enfants ne se retrouvent sans abri ou dans des hébergements d’urgence, des hébergements temporaires ou d’autres formes de situation sans logement; </w:t>
      </w:r>
    </w:p>
    <w:p w14:paraId="6A07BD8B" w14:textId="77777777" w:rsidR="006E2640" w:rsidRPr="007021D2" w:rsidRDefault="00796E41" w:rsidP="00796E41">
      <w:pPr>
        <w:pStyle w:val="Point1"/>
        <w:rPr>
          <w:noProof/>
        </w:rPr>
      </w:pPr>
      <w:r w:rsidRPr="007021D2">
        <w:rPr>
          <w:noProof/>
        </w:rPr>
        <w:lastRenderedPageBreak/>
        <w:t>e)</w:t>
      </w:r>
      <w:r w:rsidRPr="007021D2">
        <w:rPr>
          <w:noProof/>
        </w:rPr>
        <w:tab/>
        <w:t xml:space="preserve">un soutien actif à l’emploi, notamment en facilitant l’inscription auprès des services de l’emploi et en mettant au point des parcours personnalisés vers l’emploi, un accompagnement social et un soutien au maintien dans l’emploi, ainsi qu’un soutien aux employeurs; </w:t>
      </w:r>
      <w:r w:rsidRPr="007021D2">
        <w:rPr>
          <w:noProof/>
        </w:rPr>
        <w:tab/>
      </w:r>
    </w:p>
    <w:p w14:paraId="45FF64F9" w14:textId="4E7E4BB1" w:rsidR="008C122D" w:rsidRPr="007021D2" w:rsidRDefault="006E2640" w:rsidP="00796E41">
      <w:pPr>
        <w:pStyle w:val="Point1"/>
        <w:rPr>
          <w:noProof/>
        </w:rPr>
      </w:pPr>
      <w:r w:rsidRPr="007021D2">
        <w:rPr>
          <w:noProof/>
        </w:rPr>
        <w:t>f)</w:t>
      </w:r>
      <w:r w:rsidRPr="007021D2">
        <w:rPr>
          <w:noProof/>
        </w:rPr>
        <w:tab/>
        <w:t>l’information des personnes en situation de sans-abrisme sur le droit que leur confère la législation de l’Union</w:t>
      </w:r>
      <w:r w:rsidRPr="007021D2">
        <w:rPr>
          <w:rStyle w:val="FootnoteReference"/>
          <w:noProof/>
        </w:rPr>
        <w:footnoteReference w:id="34"/>
      </w:r>
      <w:r w:rsidRPr="007021D2">
        <w:rPr>
          <w:noProof/>
        </w:rPr>
        <w:t xml:space="preserve"> d’ouvrir et d’utiliser un compte de paiement assorti de prestations de base auprès d’établissements de crédit situés sur leur territoire, qu’elles disposent ou non d’une adresse fixe; </w:t>
      </w:r>
    </w:p>
    <w:p w14:paraId="71D17860" w14:textId="77777777" w:rsidR="00051117" w:rsidRPr="007021D2" w:rsidRDefault="00796E41" w:rsidP="00796E41">
      <w:pPr>
        <w:pStyle w:val="Point1"/>
        <w:rPr>
          <w:noProof/>
        </w:rPr>
      </w:pPr>
      <w:r w:rsidRPr="007021D2">
        <w:rPr>
          <w:noProof/>
        </w:rPr>
        <w:t>g)</w:t>
      </w:r>
      <w:r w:rsidRPr="007021D2">
        <w:rPr>
          <w:noProof/>
        </w:rPr>
        <w:tab/>
        <w:t xml:space="preserve">l’élargissement de l’accès à des solutions de logement stable pour les sans-abri, en particulier les familles avec enfants, grâce à la coopération avec les fournisseurs de logements, les agences de location sociale et les mécanismes d’attribution inclusifs, et grâce à des modèles coopératifs et communautaires accompagnés de services de soutien appropriés; </w:t>
      </w:r>
    </w:p>
    <w:p w14:paraId="0C03E580" w14:textId="77777777" w:rsidR="0010722C" w:rsidRPr="007021D2" w:rsidRDefault="009D6B66" w:rsidP="00F422C3">
      <w:pPr>
        <w:pStyle w:val="Point0"/>
        <w:ind w:left="1417" w:hanging="566"/>
        <w:rPr>
          <w:noProof/>
        </w:rPr>
      </w:pPr>
      <w:r w:rsidRPr="007021D2">
        <w:rPr>
          <w:noProof/>
        </w:rPr>
        <w:t xml:space="preserve">h) </w:t>
      </w:r>
      <w:r w:rsidRPr="007021D2">
        <w:rPr>
          <w:noProof/>
        </w:rPr>
        <w:tab/>
        <w:t xml:space="preserve">des mesures pour faire en sorte que des hébergements d’urgence et temporaires, y compris des hébergements non mixtes, soient disponibles, sûrs, accessibles et suffisants pour répondre aux besoins de toutes les personnes en situation de sans-abrisme, notamment les victimes de violences domestiques et sexuelles, tout en soutenant leur transition vers un logement stable; </w:t>
      </w:r>
    </w:p>
    <w:p w14:paraId="0C882543" w14:textId="77777777" w:rsidR="06505AE6" w:rsidRPr="007021D2" w:rsidRDefault="0055310B" w:rsidP="00F422C3">
      <w:pPr>
        <w:pStyle w:val="Point0"/>
        <w:ind w:left="1417" w:hanging="566"/>
        <w:rPr>
          <w:noProof/>
        </w:rPr>
      </w:pPr>
      <w:r w:rsidRPr="007021D2">
        <w:rPr>
          <w:noProof/>
        </w:rPr>
        <w:t xml:space="preserve">i) </w:t>
      </w:r>
      <w:r w:rsidRPr="007021D2">
        <w:rPr>
          <w:noProof/>
        </w:rPr>
        <w:tab/>
        <w:t xml:space="preserve">la reconnaissance et le soutien du rôle des personnes ayant connu le sans-abrisme pour améliorer la confiance dans les mesures de soutien, l’accès à celles-ci et leur efficacité, de manière à faciliter l’accès à l’inclusion sociale et au logement; </w:t>
      </w:r>
    </w:p>
    <w:p w14:paraId="5E0A32EF" w14:textId="77777777" w:rsidR="00DB3968" w:rsidRPr="007021D2" w:rsidRDefault="00396A35" w:rsidP="00F422C3">
      <w:pPr>
        <w:pStyle w:val="Point0"/>
        <w:ind w:left="1417" w:hanging="566"/>
        <w:rPr>
          <w:noProof/>
        </w:rPr>
      </w:pPr>
      <w:r w:rsidRPr="007021D2">
        <w:rPr>
          <w:noProof/>
        </w:rPr>
        <w:t>j)</w:t>
      </w:r>
      <w:r w:rsidRPr="007021D2">
        <w:rPr>
          <w:noProof/>
        </w:rPr>
        <w:tab/>
        <w:t xml:space="preserve">des mesures visant à prévenir et à combattre la stigmatisation et les pratiques discriminatoires en matière d’accès au logement, telles que des critères transparents pour les listes d’attente de logements sociaux, des formations à la lutte contre les préjugés destinées aux professionnels du logement et des services de soutien des locataires victimes de discriminations. </w:t>
      </w:r>
    </w:p>
    <w:p w14:paraId="4850F27C" w14:textId="77777777" w:rsidR="005A474B" w:rsidRPr="007021D2" w:rsidRDefault="005A474B" w:rsidP="00F422C3">
      <w:pPr>
        <w:pStyle w:val="Point0"/>
        <w:ind w:left="1417" w:hanging="566"/>
        <w:rPr>
          <w:noProof/>
        </w:rPr>
      </w:pPr>
    </w:p>
    <w:p w14:paraId="64735BF5" w14:textId="77777777" w:rsidR="005A474B" w:rsidRPr="007021D2" w:rsidRDefault="000266A0" w:rsidP="00AC509C">
      <w:pPr>
        <w:spacing w:before="240" w:after="160" w:line="278" w:lineRule="auto"/>
        <w:rPr>
          <w:noProof/>
        </w:rPr>
      </w:pPr>
      <w:r w:rsidRPr="007021D2">
        <w:rPr>
          <w:noProof/>
        </w:rPr>
        <w:t xml:space="preserve">ACCÈS À DES SOLUTIONS DE LOGEMENT ADÉQUATES ET SÛRES </w:t>
      </w:r>
    </w:p>
    <w:p w14:paraId="389BA8D6" w14:textId="77777777" w:rsidR="00E94F3D" w:rsidRPr="007021D2" w:rsidRDefault="00043089" w:rsidP="0037784D">
      <w:pPr>
        <w:pStyle w:val="Point0"/>
        <w:rPr>
          <w:noProof/>
        </w:rPr>
      </w:pPr>
      <w:r>
        <w:rPr>
          <w:noProof/>
        </w:rPr>
        <w:t>(7)</w:t>
      </w:r>
      <w:r>
        <w:rPr>
          <w:noProof/>
        </w:rPr>
        <w:tab/>
      </w:r>
      <w:r w:rsidRPr="007021D2">
        <w:rPr>
          <w:noProof/>
        </w:rPr>
        <w:t>Il est recommandé aux États membres d’accroître l’offre de logements sociaux et abordables, afin de répondre aux besoins démographiques, aux pénuries locales et aux disparités territoriales, notamment:</w:t>
      </w:r>
    </w:p>
    <w:p w14:paraId="46A8E39F" w14:textId="77777777" w:rsidR="00390B18" w:rsidRPr="007021D2" w:rsidRDefault="00F93BD7" w:rsidP="007A0D1E">
      <w:pPr>
        <w:pStyle w:val="Point1"/>
        <w:rPr>
          <w:noProof/>
        </w:rPr>
      </w:pPr>
      <w:r>
        <w:rPr>
          <w:noProof/>
        </w:rPr>
        <w:t>(a)</w:t>
      </w:r>
      <w:r>
        <w:rPr>
          <w:noProof/>
        </w:rPr>
        <w:tab/>
      </w:r>
      <w:r w:rsidRPr="007021D2">
        <w:rPr>
          <w:noProof/>
        </w:rPr>
        <w:t>en favorisant des conditions de location à long terme pour les propriétaires privés et les locataires:</w:t>
      </w:r>
    </w:p>
    <w:p w14:paraId="58312859" w14:textId="77777777" w:rsidR="00F81B97" w:rsidRPr="007021D2" w:rsidRDefault="00A6476D" w:rsidP="007A0D1E">
      <w:pPr>
        <w:pStyle w:val="Tiret2"/>
        <w:numPr>
          <w:ilvl w:val="0"/>
          <w:numId w:val="16"/>
        </w:numPr>
        <w:rPr>
          <w:noProof/>
        </w:rPr>
      </w:pPr>
      <w:r w:rsidRPr="007021D2">
        <w:rPr>
          <w:noProof/>
        </w:rPr>
        <w:t>en garantissant un cadre juridique qui facilite le recours généralisé aux contrats de location de longue durée,</w:t>
      </w:r>
    </w:p>
    <w:p w14:paraId="70E5B326" w14:textId="458B4ACA" w:rsidR="0064779E" w:rsidRPr="007021D2" w:rsidRDefault="00EE20B1" w:rsidP="00600F3F">
      <w:pPr>
        <w:pStyle w:val="Tiret2"/>
        <w:rPr>
          <w:noProof/>
        </w:rPr>
      </w:pPr>
      <w:r w:rsidRPr="007021D2">
        <w:rPr>
          <w:noProof/>
        </w:rPr>
        <w:t>en autorisant, le cas échéant, le recours ciblé à des incitations fiscales et financières proportionnées pour encourager les propriétaires à proposer des solutions de logement à long terme, en particulier aux familles et aux jeunes,</w:t>
      </w:r>
    </w:p>
    <w:p w14:paraId="3716AA52" w14:textId="0CC81A09" w:rsidR="00DC1683" w:rsidRPr="007021D2" w:rsidRDefault="00F93BD7" w:rsidP="00600F3F">
      <w:pPr>
        <w:pStyle w:val="Tiret2"/>
        <w:rPr>
          <w:noProof/>
        </w:rPr>
      </w:pPr>
      <w:r w:rsidRPr="007021D2">
        <w:rPr>
          <w:noProof/>
        </w:rPr>
        <w:lastRenderedPageBreak/>
        <w:t>en réduisant l’insécurité juridique et la durée des procédures d’expulsion, et</w:t>
      </w:r>
    </w:p>
    <w:p w14:paraId="7B90ECD1" w14:textId="1B355E05" w:rsidR="00E94F3D" w:rsidRPr="007021D2" w:rsidRDefault="003F3B90" w:rsidP="00600F3F">
      <w:pPr>
        <w:pStyle w:val="Tiret2"/>
        <w:rPr>
          <w:noProof/>
        </w:rPr>
      </w:pPr>
      <w:r w:rsidRPr="007021D2">
        <w:rPr>
          <w:noProof/>
        </w:rPr>
        <w:t>en limitant l’utilisation du parc locatif de longue durée à des fins de location de courte durée lorsque cela est dûment justifié par la crise du logement;</w:t>
      </w:r>
    </w:p>
    <w:p w14:paraId="01DA16C0" w14:textId="77777777" w:rsidR="00B847B6" w:rsidRPr="007021D2" w:rsidRDefault="00B847B6" w:rsidP="00B847B6">
      <w:pPr>
        <w:pStyle w:val="Point1"/>
        <w:rPr>
          <w:noProof/>
        </w:rPr>
      </w:pPr>
      <w:r>
        <w:rPr>
          <w:noProof/>
        </w:rPr>
        <w:t>(b)</w:t>
      </w:r>
      <w:r>
        <w:rPr>
          <w:noProof/>
        </w:rPr>
        <w:tab/>
      </w:r>
      <w:r w:rsidRPr="007021D2">
        <w:rPr>
          <w:noProof/>
        </w:rPr>
        <w:t xml:space="preserve">en encourageant les investissements publics et privés dans la construction neuve, la rénovation ou la reconversion de bâtiments existants afin d’élargir le parc de logements sociaux et abordables; </w:t>
      </w:r>
    </w:p>
    <w:p w14:paraId="26A76AF0" w14:textId="77777777" w:rsidR="00E94F3D" w:rsidRPr="007021D2" w:rsidRDefault="00043089" w:rsidP="00600F3F">
      <w:pPr>
        <w:pStyle w:val="Point1"/>
        <w:rPr>
          <w:noProof/>
        </w:rPr>
      </w:pPr>
      <w:r>
        <w:rPr>
          <w:noProof/>
        </w:rPr>
        <w:t>(c)</w:t>
      </w:r>
      <w:r>
        <w:rPr>
          <w:noProof/>
        </w:rPr>
        <w:tab/>
      </w:r>
      <w:r w:rsidRPr="007021D2">
        <w:rPr>
          <w:noProof/>
        </w:rPr>
        <w:t>en favorisant et en soutenant les modèles de logements abordables, notamment les logements sociaux et publics, les coopératives d’habitation, les associations de logement à but lucratif limité, les fiducies foncières communautaires ainsi que d’autres agences de location sociale et d’autres modèles à but non lucratif ou à but lucratif limité;</w:t>
      </w:r>
    </w:p>
    <w:p w14:paraId="7FBE52F3" w14:textId="77777777" w:rsidR="00E94F3D" w:rsidRPr="007021D2" w:rsidRDefault="001D4D8D" w:rsidP="00600F3F">
      <w:pPr>
        <w:pStyle w:val="Point1"/>
        <w:rPr>
          <w:noProof/>
        </w:rPr>
      </w:pPr>
      <w:r>
        <w:rPr>
          <w:noProof/>
        </w:rPr>
        <w:t>(d)</w:t>
      </w:r>
      <w:r>
        <w:rPr>
          <w:noProof/>
        </w:rPr>
        <w:tab/>
      </w:r>
      <w:r w:rsidRPr="007021D2">
        <w:rPr>
          <w:noProof/>
        </w:rPr>
        <w:t xml:space="preserve">en encourageant et développant des concepts de cohabitation innovants, tels que les espaces de vie partagés, l’habitat groupé, le cologement et les formules de logement intergénérationnel, y compris, le cas échéant, avec des équipements communs et des services de soutien; et en facilitant la mise en place de modèles de logement temporaire et transitoire pour les étudiants et les jeunes, par exemple en mettant en relation les étudiants avec des résidents occupant des logements sous-utilisés; </w:t>
      </w:r>
    </w:p>
    <w:p w14:paraId="43813C59" w14:textId="77777777" w:rsidR="00E94F3D" w:rsidRPr="007021D2" w:rsidRDefault="00043089" w:rsidP="00600F3F">
      <w:pPr>
        <w:pStyle w:val="Point1"/>
        <w:rPr>
          <w:noProof/>
        </w:rPr>
      </w:pPr>
      <w:r>
        <w:rPr>
          <w:noProof/>
        </w:rPr>
        <w:t>(e)</w:t>
      </w:r>
      <w:r>
        <w:rPr>
          <w:noProof/>
        </w:rPr>
        <w:tab/>
      </w:r>
      <w:r w:rsidRPr="007021D2">
        <w:rPr>
          <w:noProof/>
        </w:rPr>
        <w:t>en simplifiant les procédures nationales, régionales et locales d’aménagement du territoire et d’octroi d’autorisations afin d’accélérer la construction de logements, tout en tendant à l’inclusion sociale et à la cohésion territoriale, et en réduisant les obstacles administratifs freinant les prestataires de services de construction pour favoriser la livraison en temps opportun de nouveaux logements sociaux et abordables là où c’est nécessaire, y compris en utilisant et en mobilisant des terrains publics, tout en veillant à ce qu’ils soient bien reliés aux services et activités socio-économiques essentiels;</w:t>
      </w:r>
    </w:p>
    <w:p w14:paraId="4FF4F6C7" w14:textId="77777777" w:rsidR="00E94F3D" w:rsidRPr="007021D2" w:rsidRDefault="009674BA" w:rsidP="00600F3F">
      <w:pPr>
        <w:pStyle w:val="Point1"/>
        <w:rPr>
          <w:noProof/>
        </w:rPr>
      </w:pPr>
      <w:r>
        <w:rPr>
          <w:noProof/>
        </w:rPr>
        <w:t>(f)</w:t>
      </w:r>
      <w:r>
        <w:rPr>
          <w:noProof/>
        </w:rPr>
        <w:tab/>
      </w:r>
      <w:r w:rsidRPr="007021D2">
        <w:rPr>
          <w:noProof/>
        </w:rPr>
        <w:t>en améliorant l’utilisation efficace du parc immobilier existant, notamment en facilitant la reconversion, la rénovation et la réutilisation des bâtiments existants et en mobilisant les logements vacants et les biens immobiliers publics, tout en limitant autant que possible les démolitions inutiles;</w:t>
      </w:r>
    </w:p>
    <w:p w14:paraId="03ABFEF9" w14:textId="700EE4AD" w:rsidR="00043089" w:rsidRPr="007021D2" w:rsidRDefault="00DE32F8" w:rsidP="00600F3F">
      <w:pPr>
        <w:pStyle w:val="Point1"/>
        <w:rPr>
          <w:noProof/>
        </w:rPr>
      </w:pPr>
      <w:r>
        <w:rPr>
          <w:noProof/>
        </w:rPr>
        <w:t>(g)</w:t>
      </w:r>
      <w:r>
        <w:rPr>
          <w:noProof/>
        </w:rPr>
        <w:tab/>
      </w:r>
      <w:r w:rsidRPr="007021D2">
        <w:rPr>
          <w:noProof/>
        </w:rPr>
        <w:t>en améliorant la disponibilité des abris et des logements de transition et l’accès à ceux-ci, jusqu’à ce que des solutions de logement permanent soient disponibles;</w:t>
      </w:r>
    </w:p>
    <w:p w14:paraId="3369514C" w14:textId="42017680" w:rsidR="003F3B90" w:rsidRPr="007021D2" w:rsidRDefault="003F3B90" w:rsidP="003F3B90">
      <w:pPr>
        <w:pStyle w:val="Point1"/>
        <w:rPr>
          <w:noProof/>
        </w:rPr>
      </w:pPr>
      <w:r>
        <w:rPr>
          <w:noProof/>
        </w:rPr>
        <w:t>(h)</w:t>
      </w:r>
      <w:r>
        <w:rPr>
          <w:noProof/>
        </w:rPr>
        <w:tab/>
      </w:r>
      <w:r w:rsidRPr="007021D2">
        <w:rPr>
          <w:noProof/>
        </w:rPr>
        <w:t>en consacrant une part déterminée des nouveaux programmes immobiliers aux logements sociaux et abordables, en fonction des besoins locaux en matière de logement.</w:t>
      </w:r>
    </w:p>
    <w:p w14:paraId="45C5F9DC" w14:textId="77777777" w:rsidR="00D57106" w:rsidRPr="007021D2" w:rsidRDefault="008C2A86" w:rsidP="0037784D">
      <w:pPr>
        <w:pStyle w:val="Point0"/>
        <w:rPr>
          <w:noProof/>
        </w:rPr>
      </w:pPr>
      <w:r>
        <w:rPr>
          <w:noProof/>
        </w:rPr>
        <w:t>(8)</w:t>
      </w:r>
      <w:r>
        <w:rPr>
          <w:noProof/>
        </w:rPr>
        <w:tab/>
      </w:r>
      <w:r w:rsidRPr="007021D2">
        <w:rPr>
          <w:noProof/>
        </w:rPr>
        <w:t xml:space="preserve">En complément des efforts visant à accroître l’offre de logements, il est recommandé aux États membres de mettre en place des cadres de financement et d’investissement adéquats, prévisibles et durables dans leurs stratégies nationales. Il est également recommandé aux États membres d’utiliser pleinement les financements et les outils disponibles de l’Union, notamment la future plateforme paneuropéenne d’investissement pour des logements abordables et durables annoncée dans le plan </w:t>
      </w:r>
      <w:r w:rsidRPr="007021D2">
        <w:rPr>
          <w:noProof/>
        </w:rPr>
        <w:lastRenderedPageBreak/>
        <w:t>européen pour des logements abordables</w:t>
      </w:r>
      <w:r w:rsidRPr="007021D2">
        <w:rPr>
          <w:rStyle w:val="FootnoteReference"/>
          <w:noProof/>
        </w:rPr>
        <w:footnoteReference w:id="35"/>
      </w:r>
      <w:r w:rsidRPr="007021D2">
        <w:rPr>
          <w:noProof/>
        </w:rPr>
        <w:t>. Ces mesures peuvent contribuer à optimiser l’utilisation des ressources nationales et de l’Union et à déployer des solutions de logement durables, inclusives et abordables, notamment:</w:t>
      </w:r>
    </w:p>
    <w:p w14:paraId="570F500D" w14:textId="43E4A248" w:rsidR="0016707F" w:rsidRPr="007021D2" w:rsidRDefault="00F60005" w:rsidP="001D62F0">
      <w:pPr>
        <w:pStyle w:val="Point1"/>
        <w:rPr>
          <w:noProof/>
        </w:rPr>
      </w:pPr>
      <w:r>
        <w:rPr>
          <w:noProof/>
        </w:rPr>
        <w:t>(a)</w:t>
      </w:r>
      <w:r>
        <w:rPr>
          <w:noProof/>
        </w:rPr>
        <w:tab/>
      </w:r>
      <w:r w:rsidRPr="007021D2">
        <w:rPr>
          <w:noProof/>
        </w:rPr>
        <w:t>en harmonisant et en coordonnant les ressources des politiques en matière de logement, d’inclusion sociale, d’emploi, d’éducation, de santé, de soins de longue durée, de régénération urbaine et de rénovation, afin de renforcer la cohérence et l’incidence de ces politiques;</w:t>
      </w:r>
    </w:p>
    <w:p w14:paraId="017EE87B" w14:textId="38CBC656" w:rsidR="0016707F" w:rsidRPr="007021D2" w:rsidRDefault="0016707F" w:rsidP="001D62F0">
      <w:pPr>
        <w:pStyle w:val="Point1"/>
        <w:rPr>
          <w:noProof/>
        </w:rPr>
      </w:pPr>
      <w:r>
        <w:rPr>
          <w:noProof/>
        </w:rPr>
        <w:t>(b)</w:t>
      </w:r>
      <w:r>
        <w:rPr>
          <w:noProof/>
        </w:rPr>
        <w:tab/>
      </w:r>
      <w:r w:rsidRPr="007021D2">
        <w:rPr>
          <w:noProof/>
        </w:rPr>
        <w:t xml:space="preserve">en veillant à ce que les actions bénéficiant d’un soutien public comportent, le cas échéant, des conditions claires en ce qui concerne le caractère abordable, l’accessibilité, la durabilité et l’attribution inclusive des logements, ainsi que des liens avec les services de proximité; </w:t>
      </w:r>
    </w:p>
    <w:p w14:paraId="7CA95D6B" w14:textId="77777777" w:rsidR="00192F41" w:rsidRPr="007021D2" w:rsidRDefault="00F60005" w:rsidP="001D62F0">
      <w:pPr>
        <w:pStyle w:val="Point1"/>
        <w:rPr>
          <w:noProof/>
        </w:rPr>
      </w:pPr>
      <w:r>
        <w:rPr>
          <w:noProof/>
        </w:rPr>
        <w:t>(c)</w:t>
      </w:r>
      <w:r>
        <w:rPr>
          <w:noProof/>
        </w:rPr>
        <w:tab/>
      </w:r>
      <w:r w:rsidRPr="007021D2">
        <w:rPr>
          <w:noProof/>
        </w:rPr>
        <w:t xml:space="preserve">en mettant en œuvre des modèles de financement innovants, tels que les fonds renouvelables, les financements mixtes et les garanties publiques, afin de soutenir le caractère abordable à long terme de l’offre de logements et de mobiliser des capitaux tant publics que privés pour des logements sociaux et abordables; </w:t>
      </w:r>
    </w:p>
    <w:p w14:paraId="0871CE8F" w14:textId="77777777" w:rsidR="00350FAC" w:rsidRPr="007021D2" w:rsidRDefault="00BE4FAC" w:rsidP="001D62F0">
      <w:pPr>
        <w:pStyle w:val="Point1"/>
        <w:rPr>
          <w:noProof/>
        </w:rPr>
      </w:pPr>
      <w:r>
        <w:rPr>
          <w:noProof/>
        </w:rPr>
        <w:t>(d)</w:t>
      </w:r>
      <w:r>
        <w:rPr>
          <w:noProof/>
        </w:rPr>
        <w:tab/>
      </w:r>
      <w:r w:rsidRPr="007021D2">
        <w:rPr>
          <w:noProof/>
        </w:rPr>
        <w:t xml:space="preserve">en décourageant les comportements spéculatifs sur le marché du logement, notamment par la mise en place de politiques fiscales efficaces et la transparence accrue du marché; </w:t>
      </w:r>
    </w:p>
    <w:p w14:paraId="110DE632" w14:textId="77777777" w:rsidR="0016707F" w:rsidRPr="007021D2" w:rsidRDefault="0016707F" w:rsidP="001D62F0">
      <w:pPr>
        <w:pStyle w:val="Point1"/>
        <w:rPr>
          <w:noProof/>
        </w:rPr>
      </w:pPr>
      <w:r>
        <w:rPr>
          <w:noProof/>
        </w:rPr>
        <w:t>(e)</w:t>
      </w:r>
      <w:r>
        <w:rPr>
          <w:noProof/>
        </w:rPr>
        <w:tab/>
      </w:r>
      <w:r w:rsidRPr="007021D2">
        <w:rPr>
          <w:noProof/>
        </w:rPr>
        <w:t>en soutenant l’élaboration de projets et en fournissant une assistance technique aux autorités locales et régionales, aux organisations de l’économie sociale et aux fournisseurs de logements à but non lucratif ou à but lucratif limité;</w:t>
      </w:r>
    </w:p>
    <w:p w14:paraId="5D44C003" w14:textId="77777777" w:rsidR="0011352D" w:rsidRPr="007021D2" w:rsidRDefault="0011352D" w:rsidP="001D62F0">
      <w:pPr>
        <w:pStyle w:val="Point1"/>
        <w:rPr>
          <w:noProof/>
        </w:rPr>
      </w:pPr>
      <w:r>
        <w:rPr>
          <w:noProof/>
        </w:rPr>
        <w:t>(f)</w:t>
      </w:r>
      <w:r>
        <w:rPr>
          <w:noProof/>
        </w:rPr>
        <w:tab/>
      </w:r>
      <w:r w:rsidRPr="007021D2">
        <w:rPr>
          <w:noProof/>
        </w:rPr>
        <w:t>en encourageant les partenariats public-privé, notamment avec les autorités locales, les établissements d’enseignement supérieur, les employeurs, les fournisseurs de logements et les organisations de l’économie sociale, afin de fournir des logements sociaux et abordables, y compris les projets de logements pour étudiants, pour stagiaires et à usage mixte;</w:t>
      </w:r>
    </w:p>
    <w:p w14:paraId="3187279B" w14:textId="77777777" w:rsidR="000C7595" w:rsidRPr="007021D2" w:rsidRDefault="00A710BF" w:rsidP="00A710BF">
      <w:pPr>
        <w:pStyle w:val="Point1"/>
        <w:rPr>
          <w:noProof/>
        </w:rPr>
      </w:pPr>
      <w:r>
        <w:rPr>
          <w:noProof/>
        </w:rPr>
        <w:t>(g)</w:t>
      </w:r>
      <w:r>
        <w:rPr>
          <w:noProof/>
        </w:rPr>
        <w:tab/>
      </w:r>
      <w:r w:rsidRPr="007021D2">
        <w:rPr>
          <w:noProof/>
        </w:rPr>
        <w:t>en renforçant les investissements destinés à soutenir la construction et la rénovation de logements sociaux et abordables, notamment en recourant à des instruments financiers et à des financements mixtes dans le cadre de la politique de cohésion actuelle, tout en utilisant les flexibilités offertes dans le cadre de son examen à mi-parcours</w:t>
      </w:r>
      <w:r w:rsidRPr="007021D2">
        <w:rPr>
          <w:rStyle w:val="FootnoteReference"/>
          <w:noProof/>
        </w:rPr>
        <w:footnoteReference w:id="36"/>
      </w:r>
      <w:r w:rsidRPr="007021D2">
        <w:rPr>
          <w:noProof/>
        </w:rPr>
        <w:t>, afin de réaffecter des fonds de l’Union au logement abordable; et en tirant parti des règles révisées en matière d’aides d’État pour les services d’intérêt économique général</w:t>
      </w:r>
      <w:r w:rsidRPr="007021D2">
        <w:rPr>
          <w:rStyle w:val="FootnoteReference"/>
          <w:noProof/>
        </w:rPr>
        <w:footnoteReference w:id="37"/>
      </w:r>
      <w:r w:rsidRPr="007021D2">
        <w:rPr>
          <w:noProof/>
        </w:rPr>
        <w:t>, qui prévoient des catégories spécifiques pour le logement social et le logement abordable.</w:t>
      </w:r>
    </w:p>
    <w:p w14:paraId="29072A18" w14:textId="77777777" w:rsidR="00E94F3D" w:rsidRPr="007021D2" w:rsidRDefault="006C01B9" w:rsidP="002A697C">
      <w:pPr>
        <w:pStyle w:val="Point0"/>
        <w:rPr>
          <w:noProof/>
        </w:rPr>
      </w:pPr>
      <w:r>
        <w:rPr>
          <w:noProof/>
        </w:rPr>
        <w:t>(9)</w:t>
      </w:r>
      <w:r>
        <w:rPr>
          <w:noProof/>
        </w:rPr>
        <w:tab/>
      </w:r>
      <w:r w:rsidRPr="007021D2">
        <w:rPr>
          <w:noProof/>
        </w:rPr>
        <w:t xml:space="preserve">Il est recommandé aux États membres d’aider les personnes touchées par l’exclusion en matière de logement à accéder à un logement stable et à le conserver en agissant pour: </w:t>
      </w:r>
    </w:p>
    <w:p w14:paraId="12E6AAD2" w14:textId="77777777" w:rsidR="00E94F3D" w:rsidRPr="007021D2" w:rsidRDefault="008448D9" w:rsidP="001D62F0">
      <w:pPr>
        <w:pStyle w:val="Point1"/>
        <w:rPr>
          <w:noProof/>
        </w:rPr>
      </w:pPr>
      <w:r>
        <w:rPr>
          <w:noProof/>
        </w:rPr>
        <w:lastRenderedPageBreak/>
        <w:t>(a)</w:t>
      </w:r>
      <w:r>
        <w:rPr>
          <w:noProof/>
        </w:rPr>
        <w:tab/>
      </w:r>
      <w:r w:rsidRPr="007021D2">
        <w:rPr>
          <w:noProof/>
        </w:rPr>
        <w:t>promouvoir l’accès à un logement permanent, conformément à une approche axée sur le logement, un financement durable et une coordination intersectorielle des mesures, y compris l’accès au marché du travail et à d’autres services;</w:t>
      </w:r>
    </w:p>
    <w:p w14:paraId="3633F46F" w14:textId="4D08FAB0" w:rsidR="00752CC3" w:rsidRPr="007021D2" w:rsidRDefault="008B1F84" w:rsidP="001D62F0">
      <w:pPr>
        <w:pStyle w:val="Point1"/>
        <w:rPr>
          <w:noProof/>
        </w:rPr>
      </w:pPr>
      <w:r>
        <w:rPr>
          <w:noProof/>
        </w:rPr>
        <w:t>(b)</w:t>
      </w:r>
      <w:r>
        <w:rPr>
          <w:noProof/>
        </w:rPr>
        <w:tab/>
      </w:r>
      <w:r w:rsidRPr="007021D2">
        <w:rPr>
          <w:noProof/>
        </w:rPr>
        <w:t>mettre en place des services de soutien intégrés adéquats et appropriés portant non seulement sur la transition vers un logement adéquat et sûr, mais aussi sur le maintien dans celui-ci. Ces services devraient inclure une aide à la recherche d’un logement, des programmes de reconversion et de perfectionnement, un accompagnement pour accéder à l’emploi et le conserver, une aide financière et juridique, une formation aux compétences de la vie courante ainsi qu’un suivi visant à empêcher que les personnes concernées ne se trouvent de nouveau en situation d’exclusion en matière de logement;</w:t>
      </w:r>
    </w:p>
    <w:p w14:paraId="02351E5E" w14:textId="77777777" w:rsidR="00752CC3" w:rsidRPr="007021D2" w:rsidRDefault="00F964C7" w:rsidP="001D62F0">
      <w:pPr>
        <w:pStyle w:val="Point1"/>
        <w:rPr>
          <w:noProof/>
        </w:rPr>
      </w:pPr>
      <w:r>
        <w:rPr>
          <w:noProof/>
        </w:rPr>
        <w:t>(c)</w:t>
      </w:r>
      <w:r>
        <w:rPr>
          <w:noProof/>
        </w:rPr>
        <w:tab/>
      </w:r>
      <w:r w:rsidRPr="007021D2">
        <w:rPr>
          <w:noProof/>
        </w:rPr>
        <w:t>accroître la disponibilité de solutions de logement adéquates pour les personnes touchées par l’exclusion en matière de logement, en particulier les parents avec enfants, et veiller à ce qu’elles soient prises en compte et prioritaires dans les mécanismes d’attribution des logements sociaux;</w:t>
      </w:r>
    </w:p>
    <w:p w14:paraId="4ADAC008" w14:textId="4537B9D0" w:rsidR="00FD1DD0" w:rsidRPr="007021D2" w:rsidRDefault="005D5583" w:rsidP="001D62F0">
      <w:pPr>
        <w:pStyle w:val="Point1"/>
        <w:rPr>
          <w:noProof/>
        </w:rPr>
      </w:pPr>
      <w:r>
        <w:rPr>
          <w:noProof/>
        </w:rPr>
        <w:t>(d)</w:t>
      </w:r>
      <w:r>
        <w:rPr>
          <w:noProof/>
        </w:rPr>
        <w:tab/>
      </w:r>
      <w:r w:rsidRPr="007021D2">
        <w:rPr>
          <w:noProof/>
        </w:rPr>
        <w:t>fournir un soutien financier adéquat, tel que des garanties locatives, des prêts à faible taux d’intérêt et des aides au logement, ainsi que des conseils accessibles sur la manière d’obtenir ce soutien et d’acquérir la culture financière nécessaire.</w:t>
      </w:r>
    </w:p>
    <w:p w14:paraId="4505E27A" w14:textId="77777777" w:rsidR="00C66376" w:rsidRPr="007021D2" w:rsidRDefault="0099240A" w:rsidP="001D62F0">
      <w:pPr>
        <w:pStyle w:val="Point0"/>
        <w:rPr>
          <w:noProof/>
        </w:rPr>
      </w:pPr>
      <w:r>
        <w:rPr>
          <w:noProof/>
        </w:rPr>
        <w:t>(10)</w:t>
      </w:r>
      <w:r>
        <w:rPr>
          <w:noProof/>
        </w:rPr>
        <w:tab/>
      </w:r>
      <w:r w:rsidRPr="007021D2">
        <w:rPr>
          <w:noProof/>
        </w:rPr>
        <w:t>Il est recommandé aux États membres de mettre en œuvre des mesures ciblées pour soutenir les jeunes à faibles revenus, dont les étudiants, qui sont touchés par l’exclusion en matière de logement, laquelle peut entraver leur accès à l’enseignement supérieur, à l’enseignement et à la formation professionnels, à des stages ou à des programmes d’apprentissage, ou les empêcher d’achever leurs études, leur formation ou leur apprentissage. Ces mesures pourraient notamment consister:</w:t>
      </w:r>
    </w:p>
    <w:p w14:paraId="0DCE3E8F" w14:textId="252AAE1D" w:rsidR="00A07E37" w:rsidRPr="007021D2" w:rsidRDefault="0001514C" w:rsidP="001D62F0">
      <w:pPr>
        <w:pStyle w:val="Point1"/>
        <w:rPr>
          <w:noProof/>
        </w:rPr>
      </w:pPr>
      <w:r>
        <w:rPr>
          <w:noProof/>
        </w:rPr>
        <w:t>(a)</w:t>
      </w:r>
      <w:r>
        <w:rPr>
          <w:noProof/>
        </w:rPr>
        <w:tab/>
      </w:r>
      <w:r w:rsidRPr="007021D2">
        <w:rPr>
          <w:noProof/>
        </w:rPr>
        <w:t xml:space="preserve">à mettre en place et à exploiter des réseaux efficaces associant les services d’aide à la jeunesse et les services sociaux généraux afin d’aider les jeunes à trouver des solutions de logement adaptées à leurs besoins familiaux, scolaires et professionnels; </w:t>
      </w:r>
    </w:p>
    <w:p w14:paraId="3C42BE6E" w14:textId="77777777" w:rsidR="006B753A" w:rsidRPr="007021D2" w:rsidRDefault="00BE68D5" w:rsidP="001D62F0">
      <w:pPr>
        <w:pStyle w:val="Point1"/>
        <w:rPr>
          <w:noProof/>
        </w:rPr>
      </w:pPr>
      <w:r>
        <w:rPr>
          <w:noProof/>
        </w:rPr>
        <w:t>(b)</w:t>
      </w:r>
      <w:r>
        <w:rPr>
          <w:noProof/>
        </w:rPr>
        <w:tab/>
      </w:r>
      <w:r w:rsidRPr="007021D2">
        <w:rPr>
          <w:noProof/>
        </w:rPr>
        <w:t>à accroître l’offre de logements pour étudiants abordables à proximité des établissements d’enseignement et de formation, y compris pour les étudiants participant à des programmes d’échange ou effectuant un stage à l’étranger;</w:t>
      </w:r>
    </w:p>
    <w:p w14:paraId="67904A90" w14:textId="77777777" w:rsidR="5EF9D2EA" w:rsidRPr="007021D2" w:rsidRDefault="0001514C" w:rsidP="001D62F0">
      <w:pPr>
        <w:pStyle w:val="Point1"/>
        <w:rPr>
          <w:noProof/>
        </w:rPr>
      </w:pPr>
      <w:r>
        <w:rPr>
          <w:noProof/>
        </w:rPr>
        <w:t>(c)</w:t>
      </w:r>
      <w:r>
        <w:rPr>
          <w:noProof/>
        </w:rPr>
        <w:tab/>
      </w:r>
      <w:r w:rsidRPr="007021D2">
        <w:rPr>
          <w:noProof/>
        </w:rPr>
        <w:t xml:space="preserve">à proposer des services d’orientation accessibles et une aide pratique aux personnes titulaires de droits locatifs afin de les conseiller et de les aider à exercer leurs droits et à accomplir les procédures administratives, notamment par l’intermédiaire de centres de conseil au sein des établissements d’enseignement; </w:t>
      </w:r>
    </w:p>
    <w:p w14:paraId="258976E4" w14:textId="77777777" w:rsidR="007A38D4" w:rsidRPr="007021D2" w:rsidRDefault="008154CB" w:rsidP="001D62F0">
      <w:pPr>
        <w:pStyle w:val="Point1"/>
        <w:rPr>
          <w:noProof/>
        </w:rPr>
      </w:pPr>
      <w:r>
        <w:rPr>
          <w:noProof/>
        </w:rPr>
        <w:t>(d)</w:t>
      </w:r>
      <w:r>
        <w:rPr>
          <w:noProof/>
        </w:rPr>
        <w:tab/>
      </w:r>
      <w:r w:rsidRPr="007021D2">
        <w:rPr>
          <w:noProof/>
        </w:rPr>
        <w:t>à mettre en place des incitations fiscales ou des prêts à faible taux d’intérêt pour aider les étudiants et les jeunes disposant de moyens financiers limités à trouver un logement.</w:t>
      </w:r>
    </w:p>
    <w:p w14:paraId="25A2D6FB" w14:textId="77777777" w:rsidR="00A84E1F" w:rsidRPr="007021D2" w:rsidRDefault="0051742C" w:rsidP="001D62F0">
      <w:pPr>
        <w:pStyle w:val="Point0"/>
        <w:rPr>
          <w:noProof/>
        </w:rPr>
      </w:pPr>
      <w:r>
        <w:rPr>
          <w:noProof/>
        </w:rPr>
        <w:t>(11)</w:t>
      </w:r>
      <w:r>
        <w:rPr>
          <w:noProof/>
        </w:rPr>
        <w:tab/>
      </w:r>
      <w:r w:rsidRPr="007021D2">
        <w:rPr>
          <w:noProof/>
        </w:rPr>
        <w:t xml:space="preserve">Il est recommandé aux États membres de combiner, dans leurs cadres stratégiques nationaux, des politiques centrées sur la personne avec des politiques territorialisées (telles que les politiques de planification et de régénération urbaines, de développement économique local et des transports) afin d’éviter les déséquilibres entre les possibilités d’emploi et l’offre de logements abordables, en particulier dans les zones où des emplois restent vacants. </w:t>
      </w:r>
    </w:p>
    <w:p w14:paraId="731E1FF7" w14:textId="77777777" w:rsidR="00A84E1F" w:rsidRPr="007021D2" w:rsidRDefault="00A84E1F" w:rsidP="001D62F0">
      <w:pPr>
        <w:pStyle w:val="Point0"/>
        <w:rPr>
          <w:noProof/>
        </w:rPr>
      </w:pPr>
      <w:r>
        <w:rPr>
          <w:noProof/>
        </w:rPr>
        <w:lastRenderedPageBreak/>
        <w:t>(12)</w:t>
      </w:r>
      <w:r>
        <w:rPr>
          <w:noProof/>
        </w:rPr>
        <w:tab/>
      </w:r>
      <w:r w:rsidRPr="007021D2">
        <w:rPr>
          <w:noProof/>
        </w:rPr>
        <w:t>Il est recommandé aux États membres de prendre des mesures visant à soutenir l’aménagement des logements pour les personnes handicapées et/ou les personnes âgées ayant besoin de soins de longue durée, en particulier celles exposées au risque de pauvreté. Ces mesures devraient leur permettre de rester chez elles le plus longtemps possible et d’éviter l’exclusion en matière de logement. Elles devraient être conçues de manière à éviter des charges de construction et de rénovation disproportionnées.</w:t>
      </w:r>
    </w:p>
    <w:p w14:paraId="65BD3D31" w14:textId="77777777" w:rsidR="008D7050" w:rsidRPr="007021D2" w:rsidRDefault="00397957" w:rsidP="00AC509C">
      <w:pPr>
        <w:spacing w:before="240" w:after="160"/>
        <w:ind w:left="720" w:hanging="720"/>
        <w:rPr>
          <w:noProof/>
        </w:rPr>
      </w:pPr>
      <w:r w:rsidRPr="007021D2">
        <w:rPr>
          <w:noProof/>
        </w:rPr>
        <w:t xml:space="preserve">SUIVI, ÉVALUATION ET GOUVERNANCE </w:t>
      </w:r>
      <w:r w:rsidRPr="007021D2">
        <w:rPr>
          <w:noProof/>
        </w:rPr>
        <w:tab/>
        <w:t xml:space="preserve"> </w:t>
      </w:r>
    </w:p>
    <w:p w14:paraId="27E16163" w14:textId="77777777" w:rsidR="00C0191B" w:rsidRPr="007021D2" w:rsidRDefault="006A74A8" w:rsidP="001D62F0">
      <w:pPr>
        <w:pStyle w:val="Point0"/>
        <w:rPr>
          <w:noProof/>
        </w:rPr>
      </w:pPr>
      <w:r>
        <w:rPr>
          <w:noProof/>
        </w:rPr>
        <w:t>(13)</w:t>
      </w:r>
      <w:r>
        <w:rPr>
          <w:noProof/>
        </w:rPr>
        <w:tab/>
      </w:r>
      <w:r w:rsidRPr="007021D2">
        <w:rPr>
          <w:noProof/>
        </w:rPr>
        <w:t xml:space="preserve">Il est recommandé aux États membres: </w:t>
      </w:r>
      <w:r w:rsidRPr="007021D2">
        <w:rPr>
          <w:noProof/>
        </w:rPr>
        <w:tab/>
      </w:r>
    </w:p>
    <w:p w14:paraId="0C61CB9D" w14:textId="77777777" w:rsidR="002A4C4C" w:rsidRPr="007021D2" w:rsidRDefault="00996482" w:rsidP="007A0D1E">
      <w:pPr>
        <w:pStyle w:val="Point1"/>
        <w:rPr>
          <w:noProof/>
        </w:rPr>
      </w:pPr>
      <w:r>
        <w:rPr>
          <w:noProof/>
        </w:rPr>
        <w:t>(a)</w:t>
      </w:r>
      <w:r>
        <w:rPr>
          <w:noProof/>
        </w:rPr>
        <w:tab/>
      </w:r>
      <w:r w:rsidRPr="007021D2">
        <w:rPr>
          <w:noProof/>
        </w:rPr>
        <w:t>de mettre en place des mécanismes ciblés de suivi et d’évaluation, fondés sur des indicateurs de résultat, afin d’évaluer l’efficacité de leurs stratégies de lutte contre l’exclusion en matière de logement et le sans-abrisme et de prévoir des ajustements des politiques si nécessaire, sans alourdir la charge administrative;</w:t>
      </w:r>
    </w:p>
    <w:p w14:paraId="1ECD05CD" w14:textId="77777777" w:rsidR="00036415" w:rsidRPr="007021D2" w:rsidRDefault="00A85832" w:rsidP="007A0D1E">
      <w:pPr>
        <w:pStyle w:val="Point1"/>
        <w:rPr>
          <w:noProof/>
        </w:rPr>
      </w:pPr>
      <w:r>
        <w:rPr>
          <w:noProof/>
        </w:rPr>
        <w:t>(b)</w:t>
      </w:r>
      <w:r>
        <w:rPr>
          <w:noProof/>
        </w:rPr>
        <w:tab/>
      </w:r>
      <w:r w:rsidRPr="007021D2">
        <w:rPr>
          <w:noProof/>
        </w:rPr>
        <w:t>de présenter tous les cinq ans à la Commission un rapport sur les résultats de leurs activités nationales de suivi et sur les progrès accomplis dans la mise en œuvre de la présente recommandation;</w:t>
      </w:r>
    </w:p>
    <w:p w14:paraId="3A64530E" w14:textId="77777777" w:rsidR="00262C69" w:rsidRPr="007021D2" w:rsidRDefault="00FA6494" w:rsidP="007A0D1E">
      <w:pPr>
        <w:pStyle w:val="Point1"/>
        <w:rPr>
          <w:noProof/>
        </w:rPr>
      </w:pPr>
      <w:r>
        <w:rPr>
          <w:noProof/>
        </w:rPr>
        <w:t>(c)</w:t>
      </w:r>
      <w:r>
        <w:rPr>
          <w:noProof/>
        </w:rPr>
        <w:tab/>
      </w:r>
      <w:r w:rsidRPr="007021D2">
        <w:rPr>
          <w:noProof/>
        </w:rPr>
        <w:t xml:space="preserve">d’assurer une gouvernance et une coordination efficaces à plusieurs niveaux associant les autorités nationales, régionales et locales, ainsi qu’une coopération avec les parties prenantes concernées, notamment les universités, les prestataires d’enseignement et de formation professionnels, les employeurs locaux, les organisations de la société civile et de l’économie sociale et les fournisseurs de logements; </w:t>
      </w:r>
    </w:p>
    <w:p w14:paraId="35D301CD" w14:textId="77777777" w:rsidR="001E776B" w:rsidRPr="007021D2" w:rsidRDefault="005D1F00" w:rsidP="007A0D1E">
      <w:pPr>
        <w:pStyle w:val="Point1"/>
        <w:rPr>
          <w:noProof/>
        </w:rPr>
      </w:pPr>
      <w:r>
        <w:rPr>
          <w:noProof/>
        </w:rPr>
        <w:t>(d)</w:t>
      </w:r>
      <w:r>
        <w:rPr>
          <w:noProof/>
        </w:rPr>
        <w:tab/>
      </w:r>
      <w:r w:rsidRPr="007021D2">
        <w:rPr>
          <w:noProof/>
        </w:rPr>
        <w:t xml:space="preserve">de simplifier les cadres juridiques et administratifs afin de réduire la charge administrative et de garantir un accès rapide et simplifié au logement ainsi qu’aux services d’aide sociale, de santé, d’éducation, d’emploi et de proximité; </w:t>
      </w:r>
    </w:p>
    <w:p w14:paraId="7AF8D469" w14:textId="71664E4C" w:rsidR="001A14DB" w:rsidRPr="007021D2" w:rsidRDefault="005D1F00" w:rsidP="007A0D1E">
      <w:pPr>
        <w:pStyle w:val="Point1"/>
        <w:rPr>
          <w:noProof/>
        </w:rPr>
      </w:pPr>
      <w:r>
        <w:rPr>
          <w:noProof/>
        </w:rPr>
        <w:t>(e)</w:t>
      </w:r>
      <w:r>
        <w:rPr>
          <w:noProof/>
        </w:rPr>
        <w:tab/>
      </w:r>
      <w:r w:rsidRPr="007021D2">
        <w:rPr>
          <w:noProof/>
        </w:rPr>
        <w:t xml:space="preserve">de renforcer la capacité et la qualité des services destinés à aider les personnes touchées par l’exclusion en matière de logement, notamment par le truchement de formations, d’une répartition claire des responsabilités et de ressources suffisantes pour le personnel chargé de fournir ces services; </w:t>
      </w:r>
    </w:p>
    <w:p w14:paraId="36F9B02A" w14:textId="77777777" w:rsidR="00E43826" w:rsidRPr="007021D2" w:rsidRDefault="00B0288F" w:rsidP="007A0D1E">
      <w:pPr>
        <w:pStyle w:val="Point1"/>
        <w:rPr>
          <w:noProof/>
        </w:rPr>
      </w:pPr>
      <w:r>
        <w:rPr>
          <w:noProof/>
        </w:rPr>
        <w:t>(f)</w:t>
      </w:r>
      <w:r>
        <w:rPr>
          <w:noProof/>
        </w:rPr>
        <w:tab/>
      </w:r>
      <w:r w:rsidRPr="007021D2">
        <w:rPr>
          <w:noProof/>
        </w:rPr>
        <w:t xml:space="preserve">lors de la conception, de la mise en œuvre et de l’évaluation des politiques visant à prévenir et à réduire l’exclusion en matière de logement et le sans-abrisme, de veiller à la participation effective de personnes ayant vécu l’exclusion en matière de logement et le sans-abrisme, d’organisations de la société civile, en particulier à l’échelon local, et d’organisations de l’économie sociale, y compris les banques alimentaires; </w:t>
      </w:r>
    </w:p>
    <w:p w14:paraId="23E80404" w14:textId="77777777" w:rsidR="00701068" w:rsidRPr="007021D2" w:rsidRDefault="00000AF8" w:rsidP="007A0D1E">
      <w:pPr>
        <w:pStyle w:val="Point1"/>
        <w:rPr>
          <w:noProof/>
        </w:rPr>
      </w:pPr>
      <w:r>
        <w:rPr>
          <w:noProof/>
        </w:rPr>
        <w:t>(g)</w:t>
      </w:r>
      <w:r>
        <w:rPr>
          <w:noProof/>
        </w:rPr>
        <w:tab/>
      </w:r>
      <w:r w:rsidRPr="007021D2">
        <w:rPr>
          <w:noProof/>
        </w:rPr>
        <w:t xml:space="preserve">de contribuer activement à la plateforme européenne sur la lutte contre le sans-abrisme, en tant que forum essentiel de coordination, d’échange et de coopération entre les parties prenantes, notamment par le partage de connaissances, la collecte de données probantes et l’accès facilité au financement, et en étroite synergie avec les axes de travail de l’alliance européenne pour le logement; </w:t>
      </w:r>
    </w:p>
    <w:p w14:paraId="16EECF3E" w14:textId="77777777" w:rsidR="00952544" w:rsidRPr="007021D2" w:rsidRDefault="001E5824" w:rsidP="007A0D1E">
      <w:pPr>
        <w:pStyle w:val="Point1"/>
        <w:rPr>
          <w:noProof/>
        </w:rPr>
      </w:pPr>
      <w:r>
        <w:rPr>
          <w:noProof/>
        </w:rPr>
        <w:t>(h)</w:t>
      </w:r>
      <w:r>
        <w:rPr>
          <w:noProof/>
        </w:rPr>
        <w:tab/>
      </w:r>
      <w:r w:rsidRPr="007021D2">
        <w:rPr>
          <w:noProof/>
        </w:rPr>
        <w:t xml:space="preserve">de poursuivre leur coopération avec les autres États membres, ainsi qu’avec les acteurs privés et publics à différents échelons régionaux, afin de favoriser le partage des connaissances, de promouvoir l’apprentissage mutuel et d’assurer une fourniture de services cohérente, l’échange de bonnes pratiques ainsi que la </w:t>
      </w:r>
      <w:r w:rsidRPr="007021D2">
        <w:rPr>
          <w:noProof/>
        </w:rPr>
        <w:lastRenderedPageBreak/>
        <w:t>conception et la mise en œuvre efficaces de politiques dans le domaine de l’exclusion en matière de logement;</w:t>
      </w:r>
    </w:p>
    <w:p w14:paraId="6291436E" w14:textId="77777777" w:rsidR="008A2BBE" w:rsidRPr="007021D2" w:rsidRDefault="00796E11" w:rsidP="007A0D1E">
      <w:pPr>
        <w:pStyle w:val="Point1"/>
        <w:rPr>
          <w:noProof/>
        </w:rPr>
      </w:pPr>
      <w:r>
        <w:rPr>
          <w:noProof/>
        </w:rPr>
        <w:t>(i)</w:t>
      </w:r>
      <w:r>
        <w:rPr>
          <w:noProof/>
        </w:rPr>
        <w:tab/>
      </w:r>
      <w:r w:rsidRPr="007021D2">
        <w:rPr>
          <w:noProof/>
        </w:rPr>
        <w:t xml:space="preserve">de renforcer la coopération avec les organes consultatifs de l’Union (le Comité des régions et le Comité économique et social européen), afin d’améliorer l’apprentissage mutuel, les évaluations par les pairs et les synergies des politiques relatives à l’exclusion en matière de logement; </w:t>
      </w:r>
    </w:p>
    <w:p w14:paraId="79D4BEDB" w14:textId="77777777" w:rsidR="004723B1" w:rsidRPr="007021D2" w:rsidRDefault="00A42B4B" w:rsidP="007A0D1E">
      <w:pPr>
        <w:pStyle w:val="Point1"/>
        <w:rPr>
          <w:noProof/>
        </w:rPr>
      </w:pPr>
      <w:r>
        <w:rPr>
          <w:noProof/>
        </w:rPr>
        <w:t>(j)</w:t>
      </w:r>
      <w:r>
        <w:rPr>
          <w:noProof/>
        </w:rPr>
        <w:tab/>
      </w:r>
      <w:r w:rsidRPr="007021D2">
        <w:rPr>
          <w:noProof/>
        </w:rPr>
        <w:t>d’encourager la participation des partenaires sociaux et des organisations de la société civile qui jouent un rôle essentiel dans la lutte contre l’exclusion en matière de logement afin de veiller à ce que les politiques de l’Union tiennent compte des réalités sur le terrain, y compris en s’assurant le concours des personnes ayant vécu l’exclusion en matière de logement.</w:t>
      </w:r>
    </w:p>
    <w:p w14:paraId="71AAC6F9" w14:textId="77777777" w:rsidR="00C80E8D" w:rsidRPr="007021D2" w:rsidRDefault="00C80E8D" w:rsidP="00600F3F">
      <w:pPr>
        <w:rPr>
          <w:noProof/>
        </w:rPr>
      </w:pPr>
    </w:p>
    <w:p w14:paraId="3FA0428E" w14:textId="7071B588" w:rsidR="00C578AE" w:rsidRPr="007021D2" w:rsidRDefault="007021D2" w:rsidP="00532385">
      <w:pPr>
        <w:pStyle w:val="Fait"/>
        <w:rPr>
          <w:noProof/>
        </w:rPr>
      </w:pPr>
      <w:r>
        <w:rPr>
          <w:noProof/>
        </w:rPr>
        <w:t>Fait à Bruxelles, le</w:t>
      </w:r>
    </w:p>
    <w:p w14:paraId="0226246C" w14:textId="77777777" w:rsidR="00C578AE" w:rsidRPr="007021D2" w:rsidRDefault="00C578AE" w:rsidP="00532385">
      <w:pPr>
        <w:pStyle w:val="Institutionquisigne"/>
        <w:rPr>
          <w:noProof/>
        </w:rPr>
      </w:pPr>
      <w:r w:rsidRPr="007021D2">
        <w:rPr>
          <w:noProof/>
        </w:rPr>
        <w:tab/>
        <w:t>Par le Conseil</w:t>
      </w:r>
    </w:p>
    <w:p w14:paraId="0C4FE6C1" w14:textId="77777777" w:rsidR="00FE2376" w:rsidRPr="007021D2" w:rsidRDefault="00C578AE" w:rsidP="00B23038">
      <w:pPr>
        <w:pStyle w:val="Personnequisigne"/>
        <w:rPr>
          <w:noProof/>
        </w:rPr>
      </w:pPr>
      <w:r w:rsidRPr="007021D2">
        <w:rPr>
          <w:noProof/>
        </w:rPr>
        <w:tab/>
        <w:t>Le président</w:t>
      </w:r>
    </w:p>
    <w:sectPr w:rsidR="00FE2376" w:rsidRPr="007021D2" w:rsidSect="00FA62DE">
      <w:headerReference w:type="even" r:id="rId12"/>
      <w:footerReference w:type="even" r:id="rId13"/>
      <w:footerReference w:type="default" r:id="rId14"/>
      <w:headerReference w:type="first" r:id="rId15"/>
      <w:footerReference w:type="first" r:id="rId16"/>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96A266" w14:textId="77777777" w:rsidR="00066DF5" w:rsidRDefault="00066DF5" w:rsidP="00C578AE">
      <w:pPr>
        <w:spacing w:before="0" w:after="0"/>
      </w:pPr>
      <w:r>
        <w:separator/>
      </w:r>
    </w:p>
  </w:endnote>
  <w:endnote w:type="continuationSeparator" w:id="0">
    <w:p w14:paraId="5CF175CA" w14:textId="77777777" w:rsidR="00066DF5" w:rsidRDefault="00066DF5" w:rsidP="00C578A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76E77A" w14:textId="1C51578A" w:rsidR="00FA62DE" w:rsidRPr="00FA62DE" w:rsidRDefault="00FA62DE" w:rsidP="00FA62DE">
    <w:pPr>
      <w:pStyle w:val="Footer"/>
      <w:rPr>
        <w:rFonts w:ascii="Arial" w:hAnsi="Arial" w:cs="Arial"/>
        <w:b/>
        <w:sz w:val="48"/>
      </w:rPr>
    </w:pPr>
    <w:r w:rsidRPr="00FA62DE">
      <w:rPr>
        <w:rFonts w:ascii="Arial" w:hAnsi="Arial" w:cs="Arial"/>
        <w:b/>
        <w:sz w:val="48"/>
      </w:rPr>
      <w:t>FR</w:t>
    </w:r>
    <w:r w:rsidRPr="00FA62DE">
      <w:rPr>
        <w:rFonts w:ascii="Arial" w:hAnsi="Arial" w:cs="Arial"/>
        <w:b/>
        <w:sz w:val="48"/>
      </w:rPr>
      <w:tab/>
    </w:r>
    <w:r w:rsidRPr="00FA62DE">
      <w:rPr>
        <w:rFonts w:ascii="Arial" w:hAnsi="Arial" w:cs="Arial"/>
        <w:b/>
        <w:sz w:val="48"/>
      </w:rPr>
      <w:tab/>
    </w:r>
    <w:r w:rsidRPr="00FA62DE">
      <w:tab/>
    </w:r>
    <w:r w:rsidRPr="00FA62DE">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19AE5C" w14:textId="5C9FB0DD" w:rsidR="00FA62DE" w:rsidRPr="00FA62DE" w:rsidRDefault="00FA62DE" w:rsidP="00FA62DE">
    <w:pPr>
      <w:pStyle w:val="Footer"/>
      <w:rPr>
        <w:rFonts w:ascii="Arial" w:hAnsi="Arial" w:cs="Arial"/>
        <w:b/>
        <w:sz w:val="48"/>
      </w:rPr>
    </w:pPr>
    <w:r w:rsidRPr="00FA62DE">
      <w:rPr>
        <w:rFonts w:ascii="Arial" w:hAnsi="Arial" w:cs="Arial"/>
        <w:b/>
        <w:sz w:val="48"/>
      </w:rPr>
      <w:t>FR</w:t>
    </w:r>
    <w:r w:rsidRPr="00FA62DE">
      <w:rPr>
        <w:rFonts w:ascii="Arial" w:hAnsi="Arial" w:cs="Arial"/>
        <w:b/>
        <w:sz w:val="48"/>
      </w:rPr>
      <w:tab/>
    </w:r>
    <w:r w:rsidRPr="00FA62DE">
      <w:rPr>
        <w:rFonts w:ascii="Arial" w:hAnsi="Arial" w:cs="Arial"/>
        <w:b/>
        <w:sz w:val="48"/>
      </w:rPr>
      <w:tab/>
    </w:r>
    <w:r w:rsidRPr="00FA62DE">
      <w:tab/>
    </w:r>
    <w:r w:rsidRPr="00FA62DE">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41614" w14:textId="77777777" w:rsidR="00FA62DE" w:rsidRDefault="00FA62D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96108D" w14:textId="3CA3F046" w:rsidR="00FA62DE" w:rsidRPr="00FA62DE" w:rsidRDefault="00FA62DE" w:rsidP="00FA62DE">
    <w:pPr>
      <w:pStyle w:val="Footer"/>
      <w:rPr>
        <w:rFonts w:ascii="Arial" w:hAnsi="Arial" w:cs="Arial"/>
        <w:b/>
        <w:sz w:val="48"/>
      </w:rPr>
    </w:pPr>
    <w:r w:rsidRPr="00FA62DE">
      <w:rPr>
        <w:rFonts w:ascii="Arial" w:hAnsi="Arial" w:cs="Arial"/>
        <w:b/>
        <w:sz w:val="48"/>
      </w:rPr>
      <w:t>FR</w:t>
    </w:r>
    <w:r w:rsidRPr="00FA62DE">
      <w:rPr>
        <w:rFonts w:ascii="Arial" w:hAnsi="Arial" w:cs="Arial"/>
        <w:b/>
        <w:sz w:val="48"/>
      </w:rPr>
      <w:tab/>
    </w:r>
    <w:r>
      <w:fldChar w:fldCharType="begin"/>
    </w:r>
    <w:r>
      <w:instrText xml:space="preserve"> PAGE  \* MERGEFORMAT </w:instrText>
    </w:r>
    <w:r>
      <w:fldChar w:fldCharType="separate"/>
    </w:r>
    <w:r w:rsidR="00532385">
      <w:rPr>
        <w:noProof/>
      </w:rPr>
      <w:t>33</w:t>
    </w:r>
    <w:r>
      <w:fldChar w:fldCharType="end"/>
    </w:r>
    <w:r>
      <w:tab/>
    </w:r>
    <w:r w:rsidRPr="00FA62DE">
      <w:tab/>
    </w:r>
    <w:r w:rsidRPr="00FA62DE">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17F613" w14:textId="77777777" w:rsidR="00FA62DE" w:rsidRDefault="00FA62DE" w:rsidP="00FA62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0BE7DD" w14:textId="77777777" w:rsidR="00066DF5" w:rsidRDefault="00066DF5" w:rsidP="00C578AE">
      <w:pPr>
        <w:spacing w:before="0" w:after="0"/>
      </w:pPr>
      <w:r>
        <w:separator/>
      </w:r>
    </w:p>
  </w:footnote>
  <w:footnote w:type="continuationSeparator" w:id="0">
    <w:p w14:paraId="376906E8" w14:textId="77777777" w:rsidR="00066DF5" w:rsidRDefault="00066DF5" w:rsidP="00C578AE">
      <w:pPr>
        <w:spacing w:before="0" w:after="0"/>
      </w:pPr>
      <w:r>
        <w:continuationSeparator/>
      </w:r>
    </w:p>
  </w:footnote>
  <w:footnote w:id="1">
    <w:p w14:paraId="5CAE49DF" w14:textId="7ECCD8DB" w:rsidR="003F718C" w:rsidRPr="007021D2" w:rsidRDefault="003F718C" w:rsidP="00ED7527">
      <w:pPr>
        <w:pStyle w:val="FootnoteText"/>
        <w:ind w:left="142" w:hanging="142"/>
        <w:rPr>
          <w:lang w:val="fr-BE"/>
        </w:rPr>
      </w:pPr>
      <w:r>
        <w:rPr>
          <w:rStyle w:val="FootnoteReference"/>
        </w:rPr>
        <w:footnoteRef/>
      </w:r>
      <w:r w:rsidRPr="007021D2">
        <w:rPr>
          <w:lang w:val="fr-BE"/>
        </w:rPr>
        <w:tab/>
        <w:t xml:space="preserve">Les normes de qualité en matière de logement fixent les exigences minimales pour qu’un logement soit considéré comme habitable, sûr et conforme à la législation. Ces normes, souvent appliquées au moyen de codes locaux du logement, exigent que les logements soient dotés de structures stables, équipés de sanitaires et conformes en matière de sécurité incendie. La sécurité juridique fait référence au droit au maintien dans les lieux. </w:t>
      </w:r>
    </w:p>
  </w:footnote>
  <w:footnote w:id="2">
    <w:p w14:paraId="2554E3C7" w14:textId="7CD6A98D" w:rsidR="00CB6B20" w:rsidRPr="007021D2" w:rsidRDefault="00CB6B20" w:rsidP="00AD7C37">
      <w:pPr>
        <w:spacing w:before="0" w:after="0"/>
        <w:ind w:left="142" w:hanging="142"/>
        <w:rPr>
          <w:sz w:val="20"/>
          <w:szCs w:val="20"/>
          <w:lang w:val="fr-BE"/>
        </w:rPr>
      </w:pPr>
      <w:r>
        <w:rPr>
          <w:rStyle w:val="FootnoteReference"/>
        </w:rPr>
        <w:footnoteRef/>
      </w:r>
      <w:r w:rsidRPr="007021D2">
        <w:rPr>
          <w:sz w:val="20"/>
          <w:lang w:val="fr-BE"/>
        </w:rPr>
        <w:tab/>
        <w:t xml:space="preserve">Ces catégories font partie d’«ETHOS», la typologie européenne du sans-abrisme et de l’exclusion liée au logement. Cette typologie a été élaborée en tant que cadre visant à améliorer la compréhension et l’évaluation du sans-abrisme en Europe et à fournir un «langage» commun pour les échanges transnationaux sur le sans-abrisme. La classification ETHOS inclut toutes les situations de vie qui constituent des formes de sans-abrisme et d’exclusion en matière de logement. </w:t>
      </w:r>
    </w:p>
  </w:footnote>
  <w:footnote w:id="3">
    <w:p w14:paraId="44B3151F" w14:textId="2F09DCF6" w:rsidR="006D1C2D" w:rsidRPr="00F422C3" w:rsidRDefault="006D1C2D" w:rsidP="00AA7C7F">
      <w:pPr>
        <w:pStyle w:val="FootnoteText"/>
        <w:ind w:left="142" w:hanging="142"/>
      </w:pPr>
      <w:r>
        <w:rPr>
          <w:rStyle w:val="FootnoteReference"/>
        </w:rPr>
        <w:footnoteRef/>
      </w:r>
      <w:r>
        <w:tab/>
      </w:r>
      <w:hyperlink r:id="rId1" w:history="1">
        <w:r>
          <w:rPr>
            <w:rStyle w:val="Hyperlink"/>
          </w:rPr>
          <w:t>OECD Affordable Housing Database |</w:t>
        </w:r>
      </w:hyperlink>
      <w:hyperlink r:id="rId2" w:history="1">
        <w:r>
          <w:rPr>
            <w:rStyle w:val="Hyperlink"/>
          </w:rPr>
          <w:t xml:space="preserve"> OECD</w:t>
        </w:r>
      </w:hyperlink>
      <w:r>
        <w:t>.</w:t>
      </w:r>
    </w:p>
  </w:footnote>
  <w:footnote w:id="4">
    <w:p w14:paraId="253E1936" w14:textId="36FF3F5C" w:rsidR="00FE3E15" w:rsidRPr="007021D2" w:rsidRDefault="00FE3E15" w:rsidP="00401D75">
      <w:pPr>
        <w:pStyle w:val="FootnoteText"/>
        <w:ind w:left="142" w:hanging="142"/>
        <w:rPr>
          <w:lang w:val="fr-BE"/>
        </w:rPr>
      </w:pPr>
      <w:r>
        <w:rPr>
          <w:rStyle w:val="FootnoteReference"/>
        </w:rPr>
        <w:footnoteRef/>
      </w:r>
      <w:r w:rsidRPr="007021D2">
        <w:rPr>
          <w:lang w:val="fr-BE"/>
        </w:rPr>
        <w:tab/>
        <w:t>EU-SILC est le sigle pour «European Union Statistics on Income and Living Conditions» (Statistiques de l’UE sur le revenu et les conditions de vie). Il s’agit d’une enquête annuelle harmonisée (depuis 2003) menée dans les États membres de l’Union et dans certains pays tiers afin de recueillir des microdonnées comparatives, multidimensionnelles, longitudinales et transversales concernant les revenus, la pauvreté, l’exclusion sociale et les conditions de logement.</w:t>
      </w:r>
    </w:p>
  </w:footnote>
  <w:footnote w:id="5">
    <w:p w14:paraId="5A59E304" w14:textId="7B9F42A9" w:rsidR="00FE3E15" w:rsidRPr="007021D2" w:rsidRDefault="00FE3E15" w:rsidP="00AA7C7F">
      <w:pPr>
        <w:pStyle w:val="FootnoteText"/>
        <w:ind w:left="142" w:hanging="142"/>
        <w:rPr>
          <w:lang w:val="fr-BE"/>
        </w:rPr>
      </w:pPr>
      <w:r>
        <w:rPr>
          <w:rStyle w:val="FootnoteReference"/>
        </w:rPr>
        <w:footnoteRef/>
      </w:r>
      <w:r w:rsidRPr="007021D2">
        <w:rPr>
          <w:lang w:val="fr-BE"/>
        </w:rPr>
        <w:tab/>
      </w:r>
      <w:hyperlink r:id="rId3" w:history="1">
        <w:r w:rsidRPr="007021D2">
          <w:rPr>
            <w:rStyle w:val="Hyperlink"/>
            <w:lang w:val="fr-BE"/>
          </w:rPr>
          <w:t>https://ec.europa.eu/eurostat/statistics-explained/SEPDF/cache/132338.pdf</w:t>
        </w:r>
      </w:hyperlink>
      <w:r w:rsidRPr="007021D2">
        <w:rPr>
          <w:lang w:val="fr-BE"/>
        </w:rPr>
        <w:t xml:space="preserve">. </w:t>
      </w:r>
    </w:p>
  </w:footnote>
  <w:footnote w:id="6">
    <w:p w14:paraId="4566E559" w14:textId="483364BD" w:rsidR="00DE3B8C" w:rsidRPr="007021D2" w:rsidRDefault="00DE3B8C" w:rsidP="00AA7C7F">
      <w:pPr>
        <w:pStyle w:val="FootnoteText"/>
        <w:ind w:left="142" w:hanging="142"/>
        <w:rPr>
          <w:lang w:val="fr-BE"/>
        </w:rPr>
      </w:pPr>
      <w:r>
        <w:rPr>
          <w:rStyle w:val="FootnoteReference"/>
        </w:rPr>
        <w:footnoteRef/>
      </w:r>
      <w:r w:rsidRPr="007021D2">
        <w:rPr>
          <w:lang w:val="fr-BE"/>
        </w:rPr>
        <w:tab/>
      </w:r>
      <w:hyperlink r:id="rId4" w:history="1">
        <w:r w:rsidRPr="007021D2">
          <w:rPr>
            <w:rStyle w:val="Hyperlink"/>
            <w:lang w:val="fr-BE"/>
          </w:rPr>
          <w:t>https://eur-lex.europa.eu/legal-content/FR/TXT/?uri=CELEX%3A52021DC0345</w:t>
        </w:r>
      </w:hyperlink>
      <w:r w:rsidRPr="007021D2">
        <w:rPr>
          <w:lang w:val="fr-BE"/>
        </w:rPr>
        <w:t xml:space="preserve">. </w:t>
      </w:r>
    </w:p>
  </w:footnote>
  <w:footnote w:id="7">
    <w:p w14:paraId="256993FB" w14:textId="564FDC12" w:rsidR="00AC17F8" w:rsidRPr="00F422C3" w:rsidRDefault="0002616A" w:rsidP="00AA7C7F">
      <w:pPr>
        <w:pStyle w:val="FootnoteText"/>
        <w:ind w:left="142" w:hanging="142"/>
      </w:pPr>
      <w:r>
        <w:rPr>
          <w:rStyle w:val="FootnoteReference"/>
        </w:rPr>
        <w:footnoteRef/>
      </w:r>
      <w:r>
        <w:tab/>
        <w:t>O’Sullivan, E., «Key Elements in Homelessness Strategies to End Homelessness by 2030» (Éléments clés des stratégies visant à mettre fin au sans-abrisme d’ici à 2030), School of Social Work and Social Policy, Trinity College Dublin, Irlande.</w:t>
      </w:r>
    </w:p>
    <w:p w14:paraId="5E5EB9AE" w14:textId="77777777" w:rsidR="00741198" w:rsidRDefault="00AC17F8" w:rsidP="00AD7C37">
      <w:pPr>
        <w:pStyle w:val="FootnoteText"/>
        <w:ind w:left="142" w:hanging="142"/>
      </w:pPr>
      <w:r>
        <w:t xml:space="preserve"> Mackie, P., «Preventive Measures against Homelessness and Housing Exclusion» (Mesures préventives contre le sans-abrisme et l’exclusion en matière de logement), School of Geography and</w:t>
      </w:r>
    </w:p>
    <w:p w14:paraId="73063C92" w14:textId="77777777" w:rsidR="009A20E4" w:rsidRPr="007021D2" w:rsidRDefault="009A20E4" w:rsidP="009F4E22">
      <w:pPr>
        <w:pStyle w:val="FootnoteText"/>
        <w:ind w:left="142" w:hanging="142"/>
        <w:rPr>
          <w:lang w:val="fr-BE"/>
        </w:rPr>
      </w:pPr>
      <w:r>
        <w:t xml:space="preserve">  </w:t>
      </w:r>
      <w:r w:rsidRPr="007021D2">
        <w:rPr>
          <w:lang w:val="fr-BE"/>
        </w:rPr>
        <w:t>Planning, Université de Cardiff, Pays de Galles, Royaume-Uni.</w:t>
      </w:r>
    </w:p>
    <w:p w14:paraId="514EB09D" w14:textId="77777777" w:rsidR="00741198" w:rsidRPr="007021D2" w:rsidRDefault="00741198" w:rsidP="00AD7C37">
      <w:pPr>
        <w:pStyle w:val="FootnoteText"/>
        <w:ind w:left="142" w:hanging="142"/>
        <w:rPr>
          <w:lang w:val="fr-BE"/>
        </w:rPr>
      </w:pPr>
      <w:r w:rsidRPr="007021D2">
        <w:rPr>
          <w:lang w:val="fr-BE"/>
        </w:rPr>
        <w:t xml:space="preserve"> Pleace, N., «Social and healthcare services for homeless people» (Services sociaux et de santé pour les sans-abri), Centre for Housing Policy, School for</w:t>
      </w:r>
    </w:p>
    <w:p w14:paraId="52DA4F60" w14:textId="77777777" w:rsidR="0002616A" w:rsidRPr="00F422C3" w:rsidRDefault="00A47748" w:rsidP="00AD7C37">
      <w:pPr>
        <w:pStyle w:val="FootnoteText"/>
        <w:ind w:left="142" w:hanging="142"/>
      </w:pPr>
      <w:r w:rsidRPr="007021D2">
        <w:rPr>
          <w:lang w:val="fr-BE"/>
        </w:rPr>
        <w:t xml:space="preserve">  </w:t>
      </w:r>
      <w:r>
        <w:t>Business and Society, Université de York, Royaume-Uni.</w:t>
      </w:r>
    </w:p>
  </w:footnote>
  <w:footnote w:id="8">
    <w:p w14:paraId="1C23F5A3" w14:textId="6303ABB2" w:rsidR="00FD4AC3" w:rsidRPr="007E00BC" w:rsidRDefault="00FD4AC3" w:rsidP="00AA7C7F">
      <w:pPr>
        <w:pStyle w:val="FootnoteText"/>
        <w:ind w:left="142" w:hanging="142"/>
        <w:rPr>
          <w:b/>
          <w:bCs/>
        </w:rPr>
      </w:pPr>
      <w:r>
        <w:rPr>
          <w:rStyle w:val="FootnoteReference"/>
        </w:rPr>
        <w:footnoteRef/>
      </w:r>
      <w:r>
        <w:tab/>
      </w:r>
      <w:hyperlink r:id="rId5" w:history="1">
        <w:r>
          <w:rPr>
            <w:rStyle w:val="Hyperlink"/>
            <w:color w:val="auto"/>
          </w:rPr>
          <w:t>OECD Toolkit to Combat Homelessness |</w:t>
        </w:r>
      </w:hyperlink>
      <w:hyperlink r:id="rId6" w:history="1">
        <w:r>
          <w:rPr>
            <w:rStyle w:val="Hyperlink"/>
            <w:color w:val="auto"/>
          </w:rPr>
          <w:t xml:space="preserve"> OECD</w:t>
        </w:r>
      </w:hyperlink>
      <w:r>
        <w:t xml:space="preserve">.   </w:t>
      </w:r>
    </w:p>
  </w:footnote>
  <w:footnote w:id="9">
    <w:p w14:paraId="2A9326F0" w14:textId="73479906" w:rsidR="0002616A" w:rsidRPr="00AD7C37" w:rsidRDefault="0002616A" w:rsidP="00AD7C37">
      <w:pPr>
        <w:pStyle w:val="FootnoteText"/>
        <w:ind w:left="142" w:hanging="142"/>
      </w:pPr>
      <w:r>
        <w:rPr>
          <w:rStyle w:val="FootnoteReference"/>
        </w:rPr>
        <w:footnoteRef/>
      </w:r>
      <w:r>
        <w:tab/>
      </w:r>
      <w:hyperlink r:id="rId7" w:history="1">
        <w:r>
          <w:rPr>
            <w:rStyle w:val="Hyperlink"/>
            <w:color w:val="auto"/>
          </w:rPr>
          <w:t>OECD Monitoring Framework to Measure</w:t>
        </w:r>
        <w:bookmarkStart w:id="3" w:name="_Hlt228794208"/>
        <w:bookmarkStart w:id="4" w:name="_Hlt228794209"/>
        <w:bookmarkEnd w:id="3"/>
        <w:bookmarkEnd w:id="4"/>
        <w:r>
          <w:rPr>
            <w:rStyle w:val="Hyperlink"/>
            <w:color w:val="auto"/>
          </w:rPr>
          <w:t xml:space="preserve"> Homelessness |</w:t>
        </w:r>
      </w:hyperlink>
      <w:hyperlink r:id="rId8" w:history="1">
        <w:r>
          <w:rPr>
            <w:rStyle w:val="Hyperlink"/>
            <w:color w:val="auto"/>
          </w:rPr>
          <w:t xml:space="preserve"> OECD</w:t>
        </w:r>
      </w:hyperlink>
      <w:r>
        <w:t>.</w:t>
      </w:r>
    </w:p>
  </w:footnote>
  <w:footnote w:id="10">
    <w:p w14:paraId="6A498BEB" w14:textId="04D177DA" w:rsidR="001C6EBB" w:rsidRPr="001C48C5" w:rsidRDefault="001C6EBB" w:rsidP="00AA7C7F">
      <w:pPr>
        <w:pStyle w:val="FootnoteText"/>
        <w:ind w:left="142" w:hanging="142"/>
      </w:pPr>
      <w:r>
        <w:rPr>
          <w:rStyle w:val="FootnoteReference"/>
        </w:rPr>
        <w:footnoteRef/>
      </w:r>
      <w:r>
        <w:tab/>
      </w:r>
      <w:hyperlink r:id="rId9" w:history="1">
        <w:r>
          <w:rPr>
            <w:rStyle w:val="Hyperlink"/>
          </w:rPr>
          <w:t>KU Leuven EU - Homelessness Counts</w:t>
        </w:r>
      </w:hyperlink>
      <w:r>
        <w:t>.</w:t>
      </w:r>
    </w:p>
  </w:footnote>
  <w:footnote w:id="11">
    <w:p w14:paraId="15201A41" w14:textId="6AE0BEEE" w:rsidR="001A7991" w:rsidRPr="007021D2" w:rsidRDefault="001A7991" w:rsidP="00AA7C7F">
      <w:pPr>
        <w:pStyle w:val="FootnoteText"/>
        <w:ind w:left="142" w:hanging="142"/>
        <w:rPr>
          <w:lang w:val="fr-BE"/>
        </w:rPr>
      </w:pPr>
      <w:r>
        <w:rPr>
          <w:rStyle w:val="FootnoteReference"/>
        </w:rPr>
        <w:footnoteRef/>
      </w:r>
      <w:r w:rsidRPr="007021D2">
        <w:rPr>
          <w:lang w:val="fr-BE"/>
        </w:rPr>
        <w:tab/>
        <w:t xml:space="preserve">Ethos Light est un cadre européen simplifié et harmonisé servant à évaluer le sans-abrisme et l’exclusion en matière de logement, conçu pour recenser les différentes formes de sans-abrisme. </w:t>
      </w:r>
    </w:p>
  </w:footnote>
  <w:footnote w:id="12">
    <w:p w14:paraId="1432AD59" w14:textId="75C5FD31" w:rsidR="0002616A" w:rsidRPr="007021D2" w:rsidRDefault="0002616A" w:rsidP="00AA7C7F">
      <w:pPr>
        <w:pStyle w:val="FootnoteText"/>
        <w:ind w:left="142" w:hanging="142"/>
        <w:rPr>
          <w:szCs w:val="24"/>
          <w:lang w:val="fr-BE"/>
        </w:rPr>
      </w:pPr>
      <w:r>
        <w:rPr>
          <w:rStyle w:val="FootnoteReference"/>
        </w:rPr>
        <w:footnoteRef/>
      </w:r>
      <w:r w:rsidRPr="007021D2">
        <w:rPr>
          <w:lang w:val="fr-BE"/>
        </w:rPr>
        <w:tab/>
        <w:t xml:space="preserve">Baptista, I., Perista, P. et Marlier, E. (2025), «The fight against homelessness and its links with anti-poverty policies across the European Union» (La lutte contre le sans-abrisme et ses liens avec les politiques de lutte contre la pauvreté dans l’ensemble de l’Union européenne), </w:t>
      </w:r>
      <w:r w:rsidRPr="007021D2">
        <w:rPr>
          <w:i/>
          <w:iCs/>
          <w:lang w:val="fr-BE"/>
        </w:rPr>
        <w:t>European Social Policy Analysis Network</w:t>
      </w:r>
      <w:r w:rsidRPr="007021D2">
        <w:rPr>
          <w:lang w:val="fr-BE"/>
        </w:rPr>
        <w:t xml:space="preserve"> (ESPAN), Luxembourg, Office des publications de l’Union européenne, </w:t>
      </w:r>
      <w:hyperlink r:id="rId10" w:anchor="#description" w:history="1">
        <w:r w:rsidRPr="007021D2">
          <w:rPr>
            <w:rStyle w:val="Hyperlink"/>
            <w:lang w:val="fr-BE"/>
          </w:rPr>
          <w:t>https://employment-social-affairs.ec.europa.eu/fight-against-homelessness-and-its-links-anti-poverty-policies-across-european-union_en#description</w:t>
        </w:r>
      </w:hyperlink>
      <w:r w:rsidRPr="007021D2">
        <w:rPr>
          <w:lang w:val="fr-BE"/>
        </w:rPr>
        <w:t xml:space="preserve">. </w:t>
      </w:r>
    </w:p>
  </w:footnote>
  <w:footnote w:id="13">
    <w:p w14:paraId="7730D89D" w14:textId="31271626" w:rsidR="001E431A" w:rsidRPr="007021D2" w:rsidRDefault="001E431A" w:rsidP="00AD7C37">
      <w:pPr>
        <w:pStyle w:val="FootnoteText"/>
        <w:ind w:left="142" w:hanging="142"/>
        <w:rPr>
          <w:lang w:val="fr-BE"/>
        </w:rPr>
      </w:pPr>
      <w:r>
        <w:rPr>
          <w:rStyle w:val="FootnoteReference"/>
        </w:rPr>
        <w:footnoteRef/>
      </w:r>
      <w:r w:rsidRPr="007021D2">
        <w:rPr>
          <w:lang w:val="fr-BE"/>
        </w:rPr>
        <w:tab/>
      </w:r>
      <w:hyperlink r:id="rId11" w:history="1">
        <w:r w:rsidRPr="007021D2">
          <w:rPr>
            <w:rStyle w:val="Hyperlink"/>
            <w:lang w:val="fr-BE"/>
          </w:rPr>
          <w:t>https://www.coe.int/fr/web/conventions/full-list?module=treaty-detail&amp;treatynum=163</w:t>
        </w:r>
      </w:hyperlink>
      <w:r w:rsidRPr="007021D2">
        <w:rPr>
          <w:lang w:val="fr-BE"/>
        </w:rPr>
        <w:t xml:space="preserve">. </w:t>
      </w:r>
    </w:p>
  </w:footnote>
  <w:footnote w:id="14">
    <w:p w14:paraId="27F30276" w14:textId="77777777" w:rsidR="00DD3345" w:rsidRPr="007021D2" w:rsidRDefault="00DD3345" w:rsidP="00AD7C37">
      <w:pPr>
        <w:pStyle w:val="FootnoteText"/>
        <w:ind w:left="142" w:hanging="142"/>
        <w:rPr>
          <w:lang w:val="fr-BE"/>
        </w:rPr>
      </w:pPr>
      <w:r>
        <w:rPr>
          <w:rStyle w:val="FootnoteReference"/>
        </w:rPr>
        <w:footnoteRef/>
      </w:r>
      <w:r w:rsidRPr="007021D2">
        <w:rPr>
          <w:lang w:val="fr-BE"/>
        </w:rPr>
        <w:tab/>
        <w:t xml:space="preserve"> </w:t>
      </w:r>
      <w:hyperlink r:id="rId12" w:history="1">
        <w:r w:rsidRPr="007021D2">
          <w:rPr>
            <w:rStyle w:val="Hyperlink"/>
            <w:lang w:val="fr-BE"/>
          </w:rPr>
          <w:t>Proclamation interinstitutionnelle sur le socle européen des droits sociaux</w:t>
        </w:r>
      </w:hyperlink>
      <w:r w:rsidRPr="007021D2">
        <w:rPr>
          <w:lang w:val="fr-BE"/>
        </w:rPr>
        <w:t xml:space="preserve">. </w:t>
      </w:r>
    </w:p>
  </w:footnote>
  <w:footnote w:id="15">
    <w:p w14:paraId="30B2336C" w14:textId="77777777" w:rsidR="001E431A" w:rsidRPr="007021D2" w:rsidRDefault="001E431A" w:rsidP="00AD7C37">
      <w:pPr>
        <w:pStyle w:val="FootnoteText"/>
        <w:ind w:left="142" w:hanging="142"/>
        <w:rPr>
          <w:lang w:val="fr-BE"/>
        </w:rPr>
      </w:pPr>
      <w:r>
        <w:rPr>
          <w:rStyle w:val="FootnoteReference"/>
        </w:rPr>
        <w:footnoteRef/>
      </w:r>
      <w:r w:rsidRPr="007021D2">
        <w:rPr>
          <w:lang w:val="fr-BE"/>
        </w:rPr>
        <w:tab/>
      </w:r>
      <w:hyperlink r:id="rId13" w:history="1">
        <w:r w:rsidRPr="007021D2">
          <w:rPr>
            <w:rStyle w:val="Hyperlink"/>
            <w:lang w:val="fr-BE"/>
          </w:rPr>
          <w:t>Recommandation (UE) 2021/1004 du Conseil du 14 juin 2021 établissant une garantie européenne pour l’enfance</w:t>
        </w:r>
      </w:hyperlink>
      <w:r w:rsidRPr="007021D2">
        <w:rPr>
          <w:lang w:val="fr-BE"/>
        </w:rPr>
        <w:t xml:space="preserve">. </w:t>
      </w:r>
    </w:p>
  </w:footnote>
  <w:footnote w:id="16">
    <w:p w14:paraId="3F6B85CF" w14:textId="77777777" w:rsidR="001E431A" w:rsidRPr="007021D2" w:rsidRDefault="001E431A" w:rsidP="00AD7C37">
      <w:pPr>
        <w:pStyle w:val="FootnoteText"/>
        <w:ind w:left="142" w:hanging="142"/>
        <w:rPr>
          <w:lang w:val="fr-BE"/>
        </w:rPr>
      </w:pPr>
      <w:r>
        <w:rPr>
          <w:rStyle w:val="FootnoteReference"/>
        </w:rPr>
        <w:footnoteRef/>
      </w:r>
      <w:r w:rsidRPr="007021D2">
        <w:rPr>
          <w:lang w:val="fr-BE"/>
        </w:rPr>
        <w:tab/>
      </w:r>
      <w:hyperlink r:id="rId14" w:history="1">
        <w:r w:rsidRPr="007021D2">
          <w:rPr>
            <w:rStyle w:val="Hyperlink"/>
            <w:lang w:val="fr-BE"/>
          </w:rPr>
          <w:t>Recommandation du Conseil 2023/C41/01 du 30 janvier 2023 relative à un revenu minimum adéquat pour garantir une inclusion active)</w:t>
        </w:r>
      </w:hyperlink>
      <w:r w:rsidRPr="007021D2">
        <w:rPr>
          <w:lang w:val="fr-BE"/>
        </w:rPr>
        <w:t xml:space="preserve">. </w:t>
      </w:r>
    </w:p>
  </w:footnote>
  <w:footnote w:id="17">
    <w:p w14:paraId="1AF92C4B" w14:textId="09DAA583" w:rsidR="002E6FA9" w:rsidRPr="007021D2" w:rsidRDefault="002E6FA9" w:rsidP="00401D75">
      <w:pPr>
        <w:pStyle w:val="FootnoteText"/>
        <w:ind w:left="142" w:hanging="142"/>
        <w:rPr>
          <w:color w:val="0000FF" w:themeColor="hyperlink"/>
          <w:u w:val="single"/>
          <w:lang w:val="fr-BE"/>
        </w:rPr>
      </w:pPr>
      <w:r>
        <w:rPr>
          <w:rStyle w:val="FootnoteReference"/>
        </w:rPr>
        <w:footnoteRef/>
      </w:r>
      <w:r w:rsidRPr="007021D2">
        <w:rPr>
          <w:lang w:val="fr-BE"/>
        </w:rPr>
        <w:tab/>
      </w:r>
      <w:hyperlink r:id="rId15" w:history="1">
        <w:r w:rsidRPr="007021D2">
          <w:rPr>
            <w:rStyle w:val="Hyperlink"/>
            <w:lang w:val="fr-BE"/>
          </w:rPr>
          <w:t>Recommandation du Conseil C/2023/1344 du 27 novembre 2023 relative à la mise en place des conditions-cadres de l’économie sociale</w:t>
        </w:r>
      </w:hyperlink>
      <w:r w:rsidRPr="007021D2">
        <w:rPr>
          <w:lang w:val="fr-BE"/>
        </w:rPr>
        <w:t xml:space="preserve">.  </w:t>
      </w:r>
    </w:p>
  </w:footnote>
  <w:footnote w:id="18">
    <w:p w14:paraId="642507C5" w14:textId="77777777" w:rsidR="00236F4C" w:rsidRPr="007021D2" w:rsidRDefault="00236F4C" w:rsidP="00AD7C37">
      <w:pPr>
        <w:pStyle w:val="FootnoteText"/>
        <w:ind w:left="142" w:hanging="142"/>
        <w:rPr>
          <w:lang w:val="fr-BE"/>
        </w:rPr>
      </w:pPr>
      <w:r>
        <w:rPr>
          <w:rStyle w:val="FootnoteReference"/>
        </w:rPr>
        <w:footnoteRef/>
      </w:r>
      <w:r w:rsidRPr="007021D2">
        <w:rPr>
          <w:lang w:val="fr-BE"/>
        </w:rPr>
        <w:tab/>
      </w:r>
      <w:hyperlink r:id="rId16" w:history="1">
        <w:r w:rsidRPr="007021D2">
          <w:rPr>
            <w:rStyle w:val="Hyperlink"/>
            <w:lang w:val="fr-BE"/>
          </w:rPr>
          <w:t>Recommandation du Conseil 2021/C 93/01 du 12 mars 2021 sur l’égalité, l’inclusion et la participation des Roms</w:t>
        </w:r>
      </w:hyperlink>
      <w:r w:rsidRPr="007021D2">
        <w:rPr>
          <w:lang w:val="fr-BE"/>
        </w:rPr>
        <w:t>.</w:t>
      </w:r>
    </w:p>
  </w:footnote>
  <w:footnote w:id="19">
    <w:p w14:paraId="7BA7F830" w14:textId="0578B0E5" w:rsidR="00DF4DB3" w:rsidRPr="007021D2" w:rsidRDefault="00DF4DB3" w:rsidP="00AD7C37">
      <w:pPr>
        <w:pStyle w:val="FootnoteText"/>
        <w:ind w:left="142" w:hanging="142"/>
        <w:rPr>
          <w:lang w:val="fr-BE"/>
        </w:rPr>
      </w:pPr>
      <w:r>
        <w:rPr>
          <w:rStyle w:val="FootnoteReference"/>
        </w:rPr>
        <w:footnoteRef/>
      </w:r>
      <w:r w:rsidRPr="007021D2">
        <w:rPr>
          <w:lang w:val="fr-BE"/>
        </w:rPr>
        <w:tab/>
        <w:t xml:space="preserve">Complétée par la </w:t>
      </w:r>
      <w:hyperlink r:id="rId17" w:history="1">
        <w:r w:rsidRPr="007021D2">
          <w:rPr>
            <w:rStyle w:val="Hyperlink"/>
            <w:lang w:val="fr-BE"/>
          </w:rPr>
          <w:t>communication de la Commission au Parlement européen et au Conseil —</w:t>
        </w:r>
      </w:hyperlink>
      <w:hyperlink r:id="rId18" w:history="1">
        <w:r w:rsidRPr="007021D2">
          <w:rPr>
            <w:rStyle w:val="Hyperlink"/>
            <w:lang w:val="fr-BE"/>
          </w:rPr>
          <w:t>Une Union de l’égalité:</w:t>
        </w:r>
      </w:hyperlink>
      <w:hyperlink r:id="rId19" w:history="1">
        <w:r w:rsidRPr="007021D2">
          <w:rPr>
            <w:rStyle w:val="Hyperlink"/>
            <w:lang w:val="fr-BE"/>
          </w:rPr>
          <w:t>cadre stratégique de l’UE pour l’égalité, l’inclusion et la participation des Roms, COM(2020) 620 final</w:t>
        </w:r>
      </w:hyperlink>
      <w:r w:rsidRPr="007021D2">
        <w:rPr>
          <w:lang w:val="fr-BE"/>
        </w:rPr>
        <w:t>.</w:t>
      </w:r>
    </w:p>
  </w:footnote>
  <w:footnote w:id="20">
    <w:p w14:paraId="75E951A7" w14:textId="77777777" w:rsidR="00560C1D" w:rsidRPr="007021D2" w:rsidRDefault="00560C1D" w:rsidP="00AD7C37">
      <w:pPr>
        <w:pStyle w:val="FootnoteText"/>
        <w:ind w:left="142" w:hanging="142"/>
        <w:rPr>
          <w:lang w:val="fr-BE"/>
        </w:rPr>
      </w:pPr>
      <w:r>
        <w:rPr>
          <w:rStyle w:val="FootnoteReference"/>
        </w:rPr>
        <w:footnoteRef/>
      </w:r>
      <w:r w:rsidRPr="007021D2">
        <w:rPr>
          <w:lang w:val="fr-BE"/>
        </w:rPr>
        <w:tab/>
        <w:t xml:space="preserve"> </w:t>
      </w:r>
      <w:hyperlink r:id="rId20" w:history="1">
        <w:r w:rsidRPr="007021D2">
          <w:rPr>
            <w:rStyle w:val="Hyperlink"/>
            <w:lang w:val="fr-BE"/>
          </w:rPr>
          <w:t>Recommandation du Conseil 2022/C 476/01 du 8 décembre 2022 sur l’accès à des soins de longue durée abordables et de haute qualité</w:t>
        </w:r>
      </w:hyperlink>
      <w:r w:rsidRPr="007021D2">
        <w:rPr>
          <w:lang w:val="fr-BE"/>
        </w:rPr>
        <w:t>.</w:t>
      </w:r>
    </w:p>
  </w:footnote>
  <w:footnote w:id="21">
    <w:p w14:paraId="12EE7C91" w14:textId="77777777" w:rsidR="006523E8" w:rsidRPr="007021D2" w:rsidRDefault="006523E8" w:rsidP="00AD7C37">
      <w:pPr>
        <w:pStyle w:val="FootnoteText"/>
        <w:ind w:left="142" w:hanging="142"/>
        <w:rPr>
          <w:lang w:val="fr-BE"/>
        </w:rPr>
      </w:pPr>
      <w:r>
        <w:rPr>
          <w:rStyle w:val="FootnoteReference"/>
        </w:rPr>
        <w:footnoteRef/>
      </w:r>
      <w:r w:rsidRPr="007021D2">
        <w:rPr>
          <w:lang w:val="fr-BE"/>
        </w:rPr>
        <w:tab/>
        <w:t xml:space="preserve"> </w:t>
      </w:r>
      <w:hyperlink r:id="rId21" w:history="1">
        <w:r w:rsidRPr="007021D2">
          <w:rPr>
            <w:rStyle w:val="Hyperlink"/>
            <w:lang w:val="fr-BE"/>
          </w:rPr>
          <w:t>Directive 2014/92/UE du Parlement européen et du Conseil du 23 juillet 2014 sur la comparabilité des frais liés aux comptes de paiement, le changement de compte de paiement et l’accès à un compte de paiement assorti de prestations de base</w:t>
        </w:r>
      </w:hyperlink>
      <w:r w:rsidRPr="007021D2">
        <w:rPr>
          <w:lang w:val="fr-BE"/>
        </w:rPr>
        <w:t>.</w:t>
      </w:r>
    </w:p>
  </w:footnote>
  <w:footnote w:id="22">
    <w:p w14:paraId="622D74C1" w14:textId="77777777" w:rsidR="006F75AA" w:rsidRPr="007021D2" w:rsidRDefault="006F75AA" w:rsidP="00AD7C37">
      <w:pPr>
        <w:pStyle w:val="FootnoteText"/>
        <w:ind w:left="142" w:hanging="142"/>
        <w:rPr>
          <w:lang w:val="fr-BE"/>
        </w:rPr>
      </w:pPr>
      <w:r>
        <w:rPr>
          <w:rStyle w:val="FootnoteReference"/>
        </w:rPr>
        <w:footnoteRef/>
      </w:r>
      <w:r w:rsidRPr="007021D2">
        <w:rPr>
          <w:lang w:val="fr-BE"/>
        </w:rPr>
        <w:tab/>
        <w:t xml:space="preserve"> Déclaration de Lisbonne sur la plateforme européenne de lutte contre le sans-abrisme (21 juin 2021, Lisbonne, Portugal).</w:t>
      </w:r>
    </w:p>
  </w:footnote>
  <w:footnote w:id="23">
    <w:p w14:paraId="04E50528" w14:textId="7A482D49" w:rsidR="00DE2B74" w:rsidRPr="007021D2" w:rsidRDefault="00427712" w:rsidP="00AA7C7F">
      <w:pPr>
        <w:pStyle w:val="FootnoteText"/>
        <w:ind w:left="142" w:hanging="142"/>
        <w:rPr>
          <w:lang w:val="fr-BE"/>
        </w:rPr>
      </w:pPr>
      <w:r>
        <w:rPr>
          <w:rStyle w:val="FootnoteReference"/>
        </w:rPr>
        <w:footnoteRef/>
      </w:r>
      <w:r w:rsidRPr="007021D2">
        <w:rPr>
          <w:lang w:val="fr-BE"/>
        </w:rPr>
        <w:tab/>
        <w:t>Déclaration de La Hulpe concernant l’avenir du socle européen des droits sociaux (16 avril 2024, La Hulpe,</w:t>
      </w:r>
    </w:p>
    <w:p w14:paraId="6103785E" w14:textId="77777777" w:rsidR="00427712" w:rsidRPr="007021D2" w:rsidRDefault="00DE2B74" w:rsidP="00AA7C7F">
      <w:pPr>
        <w:pStyle w:val="FootnoteText"/>
        <w:ind w:left="142" w:hanging="142"/>
        <w:rPr>
          <w:lang w:val="fr-BE"/>
        </w:rPr>
      </w:pPr>
      <w:r w:rsidRPr="007021D2">
        <w:rPr>
          <w:lang w:val="fr-BE"/>
        </w:rPr>
        <w:t xml:space="preserve">  Belgique).</w:t>
      </w:r>
    </w:p>
  </w:footnote>
  <w:footnote w:id="24">
    <w:p w14:paraId="5D2D87C3" w14:textId="42EB6787" w:rsidR="001E431A" w:rsidRPr="007021D2" w:rsidRDefault="001E431A" w:rsidP="00AA7C7F">
      <w:pPr>
        <w:pStyle w:val="FootnoteText"/>
        <w:ind w:left="142" w:hanging="142"/>
        <w:rPr>
          <w:lang w:val="fr-BE"/>
        </w:rPr>
      </w:pPr>
      <w:r>
        <w:rPr>
          <w:rStyle w:val="FootnoteReference"/>
        </w:rPr>
        <w:footnoteRef/>
      </w:r>
      <w:r w:rsidRPr="007021D2">
        <w:rPr>
          <w:lang w:val="fr-BE"/>
        </w:rPr>
        <w:tab/>
      </w:r>
      <w:hyperlink r:id="rId22" w:history="1">
        <w:r w:rsidRPr="007021D2">
          <w:rPr>
            <w:rStyle w:val="Hyperlink"/>
            <w:lang w:val="fr-BE"/>
          </w:rPr>
          <w:t>https://eur-lex.europa.eu/legal-content/FR/TXT/?uri=CELEX:52020IP0314</w:t>
        </w:r>
      </w:hyperlink>
      <w:r w:rsidRPr="007021D2">
        <w:rPr>
          <w:lang w:val="fr-BE"/>
        </w:rPr>
        <w:t xml:space="preserve">. </w:t>
      </w:r>
    </w:p>
  </w:footnote>
  <w:footnote w:id="25">
    <w:p w14:paraId="36BE26F9" w14:textId="5604A12B" w:rsidR="00AD7368" w:rsidRPr="007021D2" w:rsidRDefault="00AD7368" w:rsidP="00AA7C7F">
      <w:pPr>
        <w:pStyle w:val="FootnoteText"/>
        <w:ind w:left="142" w:hanging="142"/>
        <w:rPr>
          <w:lang w:val="fr-BE"/>
        </w:rPr>
      </w:pPr>
      <w:r>
        <w:rPr>
          <w:rStyle w:val="FootnoteReference"/>
        </w:rPr>
        <w:footnoteRef/>
      </w:r>
      <w:r w:rsidRPr="007021D2">
        <w:rPr>
          <w:lang w:val="fr-BE"/>
        </w:rPr>
        <w:tab/>
      </w:r>
      <w:hyperlink r:id="rId23" w:history="1">
        <w:r w:rsidRPr="007021D2">
          <w:rPr>
            <w:rStyle w:val="Hyperlink"/>
            <w:lang w:val="fr-BE"/>
          </w:rPr>
          <w:t>https://www.europarl.europa.eu/doceo/document/TA-10-2026-0064_FR.html</w:t>
        </w:r>
      </w:hyperlink>
      <w:r w:rsidRPr="007021D2">
        <w:rPr>
          <w:lang w:val="fr-BE"/>
        </w:rPr>
        <w:t xml:space="preserve">.  </w:t>
      </w:r>
    </w:p>
  </w:footnote>
  <w:footnote w:id="26">
    <w:p w14:paraId="26749925" w14:textId="515E8644" w:rsidR="005C3815" w:rsidRPr="007021D2" w:rsidRDefault="005C3815" w:rsidP="00AA7C7F">
      <w:pPr>
        <w:pStyle w:val="FootnoteText"/>
        <w:ind w:left="142" w:hanging="142"/>
        <w:rPr>
          <w:color w:val="0000FF" w:themeColor="hyperlink"/>
          <w:u w:val="single"/>
          <w:lang w:val="fr-BE"/>
        </w:rPr>
      </w:pPr>
      <w:r>
        <w:rPr>
          <w:rStyle w:val="FootnoteReference"/>
        </w:rPr>
        <w:footnoteRef/>
      </w:r>
      <w:r w:rsidRPr="007021D2">
        <w:rPr>
          <w:lang w:val="fr-BE"/>
        </w:rPr>
        <w:tab/>
      </w:r>
      <w:hyperlink r:id="rId24" w:history="1">
        <w:r w:rsidRPr="007021D2">
          <w:rPr>
            <w:rStyle w:val="Hyperlink"/>
            <w:lang w:val="fr-BE"/>
          </w:rPr>
          <w:t>Règlement d’exécution (UE) 2017/543 de la Commission du 22 mars 2017 établissant les règles pour l’application du règlement (CE) nº 763/2008 du Parlement européen et du Conseil concernant les recensements de la population et du logement en ce qui concerne les spécifications techniques des thèmes et de leurs subdivisions</w:t>
        </w:r>
      </w:hyperlink>
      <w:r w:rsidRPr="007021D2">
        <w:rPr>
          <w:lang w:val="fr-BE"/>
        </w:rPr>
        <w:t>.</w:t>
      </w:r>
    </w:p>
  </w:footnote>
  <w:footnote w:id="27">
    <w:p w14:paraId="14F59F7E" w14:textId="74AA1A82" w:rsidR="001E431A" w:rsidRPr="007021D2" w:rsidRDefault="0037784D" w:rsidP="00AA7C7F">
      <w:pPr>
        <w:pStyle w:val="FootnoteText"/>
        <w:ind w:left="142" w:hanging="142"/>
        <w:rPr>
          <w:color w:val="0000FF" w:themeColor="hyperlink"/>
          <w:u w:val="single"/>
          <w:lang w:val="fr-BE"/>
        </w:rPr>
      </w:pPr>
      <w:r>
        <w:rPr>
          <w:rStyle w:val="FootnoteReference"/>
        </w:rPr>
        <w:footnoteRef/>
      </w:r>
      <w:r w:rsidRPr="007021D2">
        <w:rPr>
          <w:lang w:val="fr-BE"/>
        </w:rPr>
        <w:tab/>
      </w:r>
      <w:hyperlink r:id="rId25" w:history="1">
        <w:r w:rsidRPr="007021D2">
          <w:rPr>
            <w:rStyle w:val="Hyperlink"/>
            <w:lang w:val="fr-BE"/>
          </w:rPr>
          <w:t>Avis du Comité européen des régions sur le thème «Éradiquer le sans-abrisme dans l’Union européenne:</w:t>
        </w:r>
      </w:hyperlink>
      <w:hyperlink r:id="rId26" w:history="1">
        <w:r w:rsidRPr="007021D2">
          <w:rPr>
            <w:rStyle w:val="Hyperlink"/>
            <w:lang w:val="fr-BE"/>
          </w:rPr>
          <w:t>la perspective locale et régionale</w:t>
        </w:r>
      </w:hyperlink>
      <w:r w:rsidRPr="007021D2">
        <w:rPr>
          <w:lang w:val="fr-BE"/>
        </w:rPr>
        <w:t>.</w:t>
      </w:r>
    </w:p>
  </w:footnote>
  <w:footnote w:id="28">
    <w:p w14:paraId="13491126" w14:textId="5D14A4E5" w:rsidR="001E431A" w:rsidRPr="007021D2" w:rsidRDefault="0037784D" w:rsidP="00AA7C7F">
      <w:pPr>
        <w:pStyle w:val="FootnoteText"/>
        <w:ind w:left="142" w:hanging="142"/>
        <w:rPr>
          <w:color w:val="0000FF" w:themeColor="hyperlink"/>
          <w:u w:val="single"/>
          <w:lang w:val="fr-BE"/>
        </w:rPr>
      </w:pPr>
      <w:r>
        <w:rPr>
          <w:rStyle w:val="FootnoteReference"/>
        </w:rPr>
        <w:footnoteRef/>
      </w:r>
      <w:r w:rsidRPr="007021D2">
        <w:rPr>
          <w:lang w:val="fr-BE"/>
        </w:rPr>
        <w:tab/>
      </w:r>
      <w:hyperlink r:id="rId27" w:history="1">
        <w:r w:rsidRPr="007021D2">
          <w:rPr>
            <w:rStyle w:val="Hyperlink"/>
            <w:lang w:val="fr-BE"/>
          </w:rPr>
          <w:t>Avis du Comité économique et social européen sur le thème «Vers un cadre européen pour les stratégies nationales relatives à la lutte contre le sans-abrisme fondées sur le principe du “logement avant tout”»</w:t>
        </w:r>
      </w:hyperlink>
      <w:r w:rsidRPr="007021D2">
        <w:rPr>
          <w:lang w:val="fr-BE"/>
        </w:rPr>
        <w:t xml:space="preserve">. </w:t>
      </w:r>
    </w:p>
  </w:footnote>
  <w:footnote w:id="29">
    <w:p w14:paraId="44F8BE1D" w14:textId="2DAF9B7B" w:rsidR="00B942D0" w:rsidRPr="007021D2" w:rsidRDefault="00B942D0" w:rsidP="00AA7C7F">
      <w:pPr>
        <w:pStyle w:val="FootnoteText"/>
        <w:ind w:left="142" w:hanging="142"/>
        <w:rPr>
          <w:color w:val="0000FF" w:themeColor="hyperlink"/>
          <w:u w:val="single"/>
          <w:lang w:val="fr-BE"/>
        </w:rPr>
      </w:pPr>
      <w:r>
        <w:rPr>
          <w:rStyle w:val="FootnoteReference"/>
        </w:rPr>
        <w:footnoteRef/>
      </w:r>
      <w:r w:rsidRPr="007021D2">
        <w:rPr>
          <w:lang w:val="fr-BE"/>
        </w:rPr>
        <w:tab/>
        <w:t>Commission européenne: direction générale de l’emploi, des affaires sociales et de l’inclusion, «</w:t>
      </w:r>
      <w:hyperlink r:id="rId28" w:history="1">
        <w:r w:rsidRPr="007021D2">
          <w:rPr>
            <w:rStyle w:val="Hyperlink"/>
            <w:lang w:val="fr-BE"/>
          </w:rPr>
          <w:t>Joint Employment Report 2026 – As adopted by the EPSCO Council on 9 March 2026</w:t>
        </w:r>
      </w:hyperlink>
      <w:r w:rsidRPr="007021D2">
        <w:rPr>
          <w:lang w:val="fr-BE"/>
        </w:rPr>
        <w:t>» (Rapport conjoint sur l’emploi 2026 — Tel qu’il a été adopté par le Conseil EPSCO le 9 mars 2026), Office des publications de l’Union européenne, 2026.</w:t>
      </w:r>
    </w:p>
  </w:footnote>
  <w:footnote w:id="30">
    <w:p w14:paraId="208E9D93" w14:textId="226BD2F7" w:rsidR="00F326F8" w:rsidRPr="007021D2" w:rsidRDefault="004723B1" w:rsidP="00AA7C7F">
      <w:pPr>
        <w:pStyle w:val="FootnoteText"/>
        <w:ind w:left="142" w:hanging="142"/>
        <w:rPr>
          <w:color w:val="0000FF" w:themeColor="hyperlink"/>
          <w:u w:val="single"/>
          <w:lang w:val="fr-BE"/>
        </w:rPr>
      </w:pPr>
      <w:r>
        <w:rPr>
          <w:rStyle w:val="FootnoteReference"/>
        </w:rPr>
        <w:footnoteRef/>
      </w:r>
      <w:r w:rsidRPr="007021D2">
        <w:rPr>
          <w:lang w:val="fr-BE"/>
        </w:rPr>
        <w:tab/>
      </w:r>
      <w:hyperlink r:id="rId29" w:history="1">
        <w:r w:rsidRPr="007021D2">
          <w:rPr>
            <w:rStyle w:val="Hyperlink"/>
            <w:lang w:val="fr-BE"/>
          </w:rPr>
          <w:t xml:space="preserve">Communication de la Commission au Parlement européen, au Conseil, au Comité économique et social européen et au </w:t>
        </w:r>
        <w:bookmarkStart w:id="8" w:name="_Hlt228804738"/>
        <w:bookmarkStart w:id="9" w:name="_Hlt228804739"/>
        <w:r w:rsidRPr="007021D2">
          <w:rPr>
            <w:rStyle w:val="Hyperlink"/>
            <w:lang w:val="fr-BE"/>
          </w:rPr>
          <w:t>Comité</w:t>
        </w:r>
        <w:bookmarkEnd w:id="8"/>
        <w:bookmarkEnd w:id="9"/>
        <w:r w:rsidRPr="007021D2">
          <w:rPr>
            <w:rStyle w:val="Hyperlink"/>
            <w:lang w:val="fr-BE"/>
          </w:rPr>
          <w:t xml:space="preserve"> des régions —</w:t>
        </w:r>
      </w:hyperlink>
      <w:hyperlink r:id="rId30" w:history="1">
        <w:r w:rsidRPr="007021D2">
          <w:rPr>
            <w:rStyle w:val="Hyperlink"/>
            <w:lang w:val="fr-BE"/>
          </w:rPr>
          <w:t>Plan européen pour des logements abordables, COM(2025) 1025 final</w:t>
        </w:r>
      </w:hyperlink>
      <w:r w:rsidRPr="007021D2">
        <w:rPr>
          <w:lang w:val="fr-BE"/>
        </w:rPr>
        <w:t>.</w:t>
      </w:r>
    </w:p>
  </w:footnote>
  <w:footnote w:id="31">
    <w:p w14:paraId="1A3FC6F4" w14:textId="24288665" w:rsidR="00B75119" w:rsidRPr="00B75119" w:rsidRDefault="00B75119" w:rsidP="00AA7C7F">
      <w:pPr>
        <w:pStyle w:val="FootnoteText"/>
        <w:ind w:left="142" w:hanging="142"/>
      </w:pPr>
      <w:r>
        <w:rPr>
          <w:rStyle w:val="FootnoteReference"/>
        </w:rPr>
        <w:footnoteRef/>
      </w:r>
      <w:r>
        <w:tab/>
      </w:r>
      <w:hyperlink r:id="rId31" w:history="1">
        <w:r>
          <w:rPr>
            <w:rStyle w:val="Hyperlink"/>
          </w:rPr>
          <w:t>OECD Affordable Housing Database</w:t>
        </w:r>
      </w:hyperlink>
      <w:r>
        <w:t>,</w:t>
      </w:r>
      <w:hyperlink r:id="rId32" w:history="1">
        <w:r>
          <w:rPr>
            <w:rStyle w:val="Hyperlink"/>
          </w:rPr>
          <w:t>OECD</w:t>
        </w:r>
      </w:hyperlink>
      <w:r>
        <w:t>.</w:t>
      </w:r>
    </w:p>
  </w:footnote>
  <w:footnote w:id="32">
    <w:p w14:paraId="301FAF4F" w14:textId="7940C936" w:rsidR="00463873" w:rsidRPr="007021D2" w:rsidRDefault="00463873" w:rsidP="00AA7C7F">
      <w:pPr>
        <w:pStyle w:val="FootnoteText"/>
        <w:ind w:left="142" w:hanging="142"/>
        <w:rPr>
          <w:color w:val="0000FF" w:themeColor="hyperlink"/>
          <w:u w:val="single"/>
          <w:lang w:val="fr-BE"/>
        </w:rPr>
      </w:pPr>
      <w:r>
        <w:rPr>
          <w:rStyle w:val="FootnoteReference"/>
        </w:rPr>
        <w:footnoteRef/>
      </w:r>
      <w:r w:rsidRPr="007021D2">
        <w:rPr>
          <w:lang w:val="fr-BE"/>
        </w:rPr>
        <w:tab/>
      </w:r>
      <w:hyperlink r:id="rId33" w:history="1">
        <w:r w:rsidRPr="007021D2">
          <w:rPr>
            <w:rStyle w:val="Hyperlink"/>
            <w:lang w:val="fr-BE"/>
          </w:rPr>
          <w:t>Règlement (UE) 2025/1914 du Parlement européen et du Conseil du 18 septembre 2025 modifiant les règlements (UE) 2021/1058 et (UE) 2021/1056 en ce qui concerne des mesures spécifiques visant à relever des défis stratégiques dans le cadre de l’examen à mi-parcours</w:t>
        </w:r>
      </w:hyperlink>
      <w:r w:rsidRPr="007021D2">
        <w:rPr>
          <w:lang w:val="fr-BE"/>
        </w:rPr>
        <w:t>.</w:t>
      </w:r>
    </w:p>
  </w:footnote>
  <w:footnote w:id="33">
    <w:p w14:paraId="516BBF8D" w14:textId="12CD32AD" w:rsidR="00891B98" w:rsidRPr="007021D2" w:rsidRDefault="00891B98" w:rsidP="00AA7C7F">
      <w:pPr>
        <w:pStyle w:val="FootnoteText"/>
        <w:ind w:left="142" w:hanging="142"/>
        <w:rPr>
          <w:color w:val="0000FF" w:themeColor="hyperlink"/>
          <w:u w:val="single"/>
          <w:lang w:val="fr-BE"/>
        </w:rPr>
      </w:pPr>
      <w:r>
        <w:rPr>
          <w:rStyle w:val="FootnoteReference"/>
        </w:rPr>
        <w:footnoteRef/>
      </w:r>
      <w:r w:rsidRPr="007021D2">
        <w:rPr>
          <w:lang w:val="fr-BE"/>
        </w:rPr>
        <w:tab/>
      </w:r>
      <w:hyperlink r:id="rId34" w:history="1">
        <w:r w:rsidRPr="007021D2">
          <w:rPr>
            <w:rStyle w:val="Hyperlink"/>
            <w:lang w:val="fr-BE"/>
          </w:rPr>
          <w:t>Règlement d’exécution (UE) 2017/543 de la Commission du 22 mars 2017 établissant les règles pour l’application du règlement (CE) nº 763/2008 du Parlement européen et du Conseil concernant les recensements de la population et du logement en ce qui concerne les spécifications techniques des thèmes et de leurs subdivisions</w:t>
        </w:r>
      </w:hyperlink>
      <w:r w:rsidRPr="007021D2">
        <w:rPr>
          <w:lang w:val="fr-BE"/>
        </w:rPr>
        <w:t>.</w:t>
      </w:r>
    </w:p>
  </w:footnote>
  <w:footnote w:id="34">
    <w:p w14:paraId="2DA05FB6" w14:textId="77777777" w:rsidR="00C82328" w:rsidRPr="007021D2" w:rsidRDefault="00C82328" w:rsidP="00F422C3">
      <w:pPr>
        <w:pStyle w:val="FootnoteText"/>
        <w:ind w:left="142" w:hanging="142"/>
        <w:rPr>
          <w:lang w:val="fr-BE"/>
        </w:rPr>
      </w:pPr>
      <w:r>
        <w:rPr>
          <w:rStyle w:val="FootnoteReference"/>
        </w:rPr>
        <w:footnoteRef/>
      </w:r>
      <w:r w:rsidRPr="007021D2">
        <w:rPr>
          <w:lang w:val="fr-BE"/>
        </w:rPr>
        <w:tab/>
        <w:t xml:space="preserve"> </w:t>
      </w:r>
      <w:hyperlink r:id="rId35" w:history="1">
        <w:r w:rsidRPr="007021D2">
          <w:rPr>
            <w:rStyle w:val="Hyperlink"/>
            <w:lang w:val="fr-BE"/>
          </w:rPr>
          <w:t>Directive 2014/92/UE du Parlement européen et du Conseil du 23 juillet 2014 sur la comparabilité des frais liés aux comptes de paiement, le changement de compte de paiement et l’accès à un compte de paiement assorti de prestations de base</w:t>
        </w:r>
      </w:hyperlink>
      <w:r w:rsidRPr="007021D2">
        <w:rPr>
          <w:lang w:val="fr-BE"/>
        </w:rPr>
        <w:t>.</w:t>
      </w:r>
    </w:p>
  </w:footnote>
  <w:footnote w:id="35">
    <w:p w14:paraId="138A7674" w14:textId="17704D16" w:rsidR="002335CB" w:rsidRPr="007021D2" w:rsidRDefault="002335CB" w:rsidP="00AA7C7F">
      <w:pPr>
        <w:pStyle w:val="FootnoteText"/>
        <w:ind w:left="142" w:hanging="142"/>
        <w:rPr>
          <w:color w:val="0000FF" w:themeColor="hyperlink"/>
          <w:u w:val="single"/>
          <w:lang w:val="fr-BE"/>
        </w:rPr>
      </w:pPr>
      <w:r>
        <w:rPr>
          <w:rStyle w:val="FootnoteReference"/>
        </w:rPr>
        <w:footnoteRef/>
      </w:r>
      <w:r w:rsidRPr="007021D2">
        <w:rPr>
          <w:lang w:val="fr-BE"/>
        </w:rPr>
        <w:tab/>
      </w:r>
      <w:hyperlink r:id="rId36" w:history="1">
        <w:r w:rsidRPr="007021D2">
          <w:rPr>
            <w:rStyle w:val="Hyperlink"/>
            <w:lang w:val="fr-BE"/>
          </w:rPr>
          <w:t>Communication de la Commission au Parlement européen, au Conseil, au Comité économique et social européen et au Comité des régions —</w:t>
        </w:r>
      </w:hyperlink>
      <w:hyperlink r:id="rId37" w:history="1">
        <w:r w:rsidRPr="007021D2">
          <w:rPr>
            <w:rStyle w:val="Hyperlink"/>
            <w:lang w:val="fr-BE"/>
          </w:rPr>
          <w:t>Plan européen pour des logements abordables, COM(2025) 1025 final</w:t>
        </w:r>
      </w:hyperlink>
      <w:r w:rsidRPr="007021D2">
        <w:rPr>
          <w:lang w:val="fr-BE"/>
        </w:rPr>
        <w:t>.</w:t>
      </w:r>
    </w:p>
  </w:footnote>
  <w:footnote w:id="36">
    <w:p w14:paraId="224E0B69" w14:textId="143814F9" w:rsidR="00A95F5E" w:rsidRPr="007021D2" w:rsidRDefault="00A95F5E" w:rsidP="00AA7C7F">
      <w:pPr>
        <w:pStyle w:val="FootnoteText"/>
        <w:ind w:left="142" w:hanging="142"/>
        <w:rPr>
          <w:color w:val="0000FF" w:themeColor="hyperlink"/>
          <w:u w:val="single"/>
          <w:lang w:val="fr-BE"/>
        </w:rPr>
      </w:pPr>
      <w:r>
        <w:rPr>
          <w:rStyle w:val="FootnoteReference"/>
        </w:rPr>
        <w:footnoteRef/>
      </w:r>
      <w:r w:rsidRPr="007021D2">
        <w:rPr>
          <w:lang w:val="fr-BE"/>
        </w:rPr>
        <w:tab/>
      </w:r>
      <w:hyperlink r:id="rId38" w:history="1">
        <w:r w:rsidRPr="007021D2">
          <w:rPr>
            <w:rStyle w:val="Hyperlink"/>
            <w:lang w:val="fr-BE"/>
          </w:rPr>
          <w:t>Règlement (UE) 2025/1914 du Parlement européen et du Conseil du 18 septembre 2025 modifiant les règlements (UE) 2021/1058 et (UE) 2021/1056 en ce qui concerne des mesures spécifiques visant à relever des défis stratégiques dans le cadre de l’examen à mi-parcours</w:t>
        </w:r>
      </w:hyperlink>
      <w:r w:rsidRPr="007021D2">
        <w:rPr>
          <w:lang w:val="fr-BE"/>
        </w:rPr>
        <w:t xml:space="preserve">. </w:t>
      </w:r>
    </w:p>
  </w:footnote>
  <w:footnote w:id="37">
    <w:p w14:paraId="3FAC6288" w14:textId="1E344F7F" w:rsidR="004B7380" w:rsidRPr="007021D2" w:rsidRDefault="004B7380" w:rsidP="00AA7C7F">
      <w:pPr>
        <w:pStyle w:val="FootnoteText"/>
        <w:ind w:left="142" w:hanging="142"/>
        <w:rPr>
          <w:color w:val="0000FF" w:themeColor="hyperlink"/>
          <w:u w:val="single"/>
          <w:lang w:val="fr-BE"/>
        </w:rPr>
      </w:pPr>
      <w:r>
        <w:rPr>
          <w:rStyle w:val="FootnoteReference"/>
        </w:rPr>
        <w:footnoteRef/>
      </w:r>
      <w:r w:rsidRPr="007021D2">
        <w:rPr>
          <w:lang w:val="fr-BE"/>
        </w:rPr>
        <w:tab/>
      </w:r>
      <w:hyperlink r:id="rId39" w:history="1">
        <w:r w:rsidRPr="007021D2">
          <w:rPr>
            <w:rStyle w:val="Hyperlink"/>
            <w:lang w:val="fr-BE"/>
          </w:rPr>
          <w:t>Décision (UE) 2025/2630 de la Commission du 16 décembre 2025 relative à l’application de l’article 106, paragraphe 2, du traité sur le fonctionnement de l’Union européenne aux aides d’État sous forme de compensations de service public octroyées à certaines entreprises chargées de la gestion de services d’intérêt économique général et abrogeant la décision 2012/21/UE</w:t>
        </w:r>
      </w:hyperlink>
      <w:r w:rsidRPr="007021D2">
        <w:rPr>
          <w:lang w:val="fr-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D489F8" w14:textId="77777777" w:rsidR="00FA62DE" w:rsidRDefault="00FA62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04DAB9" w14:textId="77777777" w:rsidR="00FA62DE" w:rsidRDefault="00FA62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925EB76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B5E47AA0"/>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4136220E"/>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C79AFE1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num>
  <w:num w:numId="9">
    <w:abstractNumId w:val="4"/>
    <w:lvlOverride w:ilvl="0">
      <w:startOverride w:val="9"/>
    </w:lvlOverride>
  </w:num>
  <w:num w:numId="10">
    <w:abstractNumId w:val="8"/>
    <w:lvlOverride w:ilvl="0">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lvlOverride w:ilvl="0">
      <w:startOverride w:val="1"/>
    </w:lvlOverride>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num>
  <w:num w:numId="19">
    <w:abstractNumId w:val="8"/>
  </w:num>
  <w:num w:numId="20">
    <w:abstractNumId w:val="17"/>
  </w:num>
  <w:num w:numId="21">
    <w:abstractNumId w:val="7"/>
  </w:num>
  <w:num w:numId="22">
    <w:abstractNumId w:val="9"/>
  </w:num>
  <w:num w:numId="23">
    <w:abstractNumId w:val="10"/>
  </w:num>
  <w:num w:numId="24">
    <w:abstractNumId w:val="5"/>
  </w:num>
  <w:num w:numId="25">
    <w:abstractNumId w:val="16"/>
  </w:num>
  <w:num w:numId="26">
    <w:abstractNumId w:val="4"/>
  </w:num>
  <w:num w:numId="27">
    <w:abstractNumId w:val="11"/>
  </w:num>
  <w:num w:numId="28">
    <w:abstractNumId w:val="13"/>
  </w:num>
  <w:num w:numId="29">
    <w:abstractNumId w:val="14"/>
  </w:num>
  <w:num w:numId="30">
    <w:abstractNumId w:val="6"/>
  </w:num>
  <w:num w:numId="31">
    <w:abstractNumId w:val="12"/>
  </w:num>
  <w:num w:numId="32">
    <w:abstractNumId w:val="1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03 16:16:1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E3BB7765-84D1-4E07-82CA-D995DEC97FAF"/>
    <w:docVar w:name="LW_COVERPAGE_TYPE" w:val="1"/>
    <w:docVar w:name="LW_CreatedUtc" w:val="2025-12-17T09:52:18.5367685Z"/>
    <w:docVar w:name="LW_CROSSREFERENCE" w:val="{SWD(2026) 770 final}"/>
    <w:docVar w:name="LW_DocType" w:val="COM"/>
    <w:docVar w:name="LW_EMISSION" w:val="6.5.2026"/>
    <w:docVar w:name="LW_EMISSION_ISODATE" w:val="2026-05-06"/>
    <w:docVar w:name="LW_EMISSION_LOCATION" w:val="BRX"/>
    <w:docVar w:name="LW_EMISSION_PREFIX" w:val="Bruxelles, le "/>
    <w:docVar w:name="LW_EMISSION_SUFFIX" w:val=" "/>
    <w:docVar w:name="LW_ID_DOCMODEL" w:val="SJ-022"/>
    <w:docVar w:name="LW_ID_DOCSIGNATURE" w:val="SJ-022"/>
    <w:docVar w:name="LW_ID_DOCSTRUCTURE" w:val="COM/PL/ORG"/>
    <w:docVar w:name="LW_ID_DOCTYPE" w:val="SJ-022"/>
    <w:docVar w:name="LW_ID_STATUT" w:val="SJ-022"/>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05"/>
    <w:docVar w:name="LW_REF.II.NEW.CP_YEAR" w:val="2026"/>
    <w:docVar w:name="LW_REF.INST.NEW" w:val="COM"/>
    <w:docVar w:name="LW_REF.INST.NEW_ADOPTED" w:val="final"/>
    <w:docVar w:name="LW_REF.INST.NEW_TEXT" w:val="(2026) 54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lutte contre l\u8217?exclusion en matière de logement"/>
    <w:docVar w:name="LW_TYPE.DOC.CP" w:val="RECOMMANDATION DU CONSEIL"/>
    <w:docVar w:name="LwApiVersions" w:val="LW4CoDe 1.24.5.0; LW 9.2, Build 20251112"/>
  </w:docVars>
  <w:rsids>
    <w:rsidRoot w:val="00C578AE"/>
    <w:rsid w:val="00000222"/>
    <w:rsid w:val="00000545"/>
    <w:rsid w:val="0000058D"/>
    <w:rsid w:val="00000615"/>
    <w:rsid w:val="00000726"/>
    <w:rsid w:val="000007E4"/>
    <w:rsid w:val="00000876"/>
    <w:rsid w:val="000009B7"/>
    <w:rsid w:val="000009BF"/>
    <w:rsid w:val="00000AF8"/>
    <w:rsid w:val="00000BDB"/>
    <w:rsid w:val="00000C25"/>
    <w:rsid w:val="00001104"/>
    <w:rsid w:val="00001130"/>
    <w:rsid w:val="000012C5"/>
    <w:rsid w:val="00001393"/>
    <w:rsid w:val="000014B3"/>
    <w:rsid w:val="000014CA"/>
    <w:rsid w:val="0000159D"/>
    <w:rsid w:val="00001851"/>
    <w:rsid w:val="00001E6E"/>
    <w:rsid w:val="00001FC1"/>
    <w:rsid w:val="0000232F"/>
    <w:rsid w:val="000024E6"/>
    <w:rsid w:val="00002740"/>
    <w:rsid w:val="000027C7"/>
    <w:rsid w:val="00002B5E"/>
    <w:rsid w:val="00002F7B"/>
    <w:rsid w:val="000031D2"/>
    <w:rsid w:val="0000392E"/>
    <w:rsid w:val="00003945"/>
    <w:rsid w:val="00003CCD"/>
    <w:rsid w:val="00003D71"/>
    <w:rsid w:val="00004027"/>
    <w:rsid w:val="00004283"/>
    <w:rsid w:val="00004487"/>
    <w:rsid w:val="00004511"/>
    <w:rsid w:val="000048E7"/>
    <w:rsid w:val="00004A8D"/>
    <w:rsid w:val="00004C15"/>
    <w:rsid w:val="00004D38"/>
    <w:rsid w:val="00004F3B"/>
    <w:rsid w:val="0000533B"/>
    <w:rsid w:val="00005B35"/>
    <w:rsid w:val="00005BA0"/>
    <w:rsid w:val="00005BC3"/>
    <w:rsid w:val="00005C77"/>
    <w:rsid w:val="00005D3E"/>
    <w:rsid w:val="00005EC9"/>
    <w:rsid w:val="0000602C"/>
    <w:rsid w:val="0000633A"/>
    <w:rsid w:val="00006472"/>
    <w:rsid w:val="000064C6"/>
    <w:rsid w:val="00006508"/>
    <w:rsid w:val="00006633"/>
    <w:rsid w:val="00006866"/>
    <w:rsid w:val="00006942"/>
    <w:rsid w:val="00006AAD"/>
    <w:rsid w:val="00006CAE"/>
    <w:rsid w:val="00006CC3"/>
    <w:rsid w:val="00006FD2"/>
    <w:rsid w:val="00006FD4"/>
    <w:rsid w:val="00007109"/>
    <w:rsid w:val="00007255"/>
    <w:rsid w:val="00007805"/>
    <w:rsid w:val="00007D32"/>
    <w:rsid w:val="0001002D"/>
    <w:rsid w:val="00010095"/>
    <w:rsid w:val="0001055A"/>
    <w:rsid w:val="0001056A"/>
    <w:rsid w:val="00010590"/>
    <w:rsid w:val="000106D5"/>
    <w:rsid w:val="00010811"/>
    <w:rsid w:val="00010CE3"/>
    <w:rsid w:val="00010CF0"/>
    <w:rsid w:val="00010EB1"/>
    <w:rsid w:val="00010FFB"/>
    <w:rsid w:val="00011583"/>
    <w:rsid w:val="0001164F"/>
    <w:rsid w:val="0001173F"/>
    <w:rsid w:val="000118D8"/>
    <w:rsid w:val="00011A64"/>
    <w:rsid w:val="00011A96"/>
    <w:rsid w:val="00011C05"/>
    <w:rsid w:val="00011DA2"/>
    <w:rsid w:val="000120AC"/>
    <w:rsid w:val="00012189"/>
    <w:rsid w:val="000122E1"/>
    <w:rsid w:val="000122EE"/>
    <w:rsid w:val="0001249D"/>
    <w:rsid w:val="000124A3"/>
    <w:rsid w:val="00012759"/>
    <w:rsid w:val="00012863"/>
    <w:rsid w:val="00012A9B"/>
    <w:rsid w:val="00012B49"/>
    <w:rsid w:val="00012CA7"/>
    <w:rsid w:val="00012E61"/>
    <w:rsid w:val="000130DE"/>
    <w:rsid w:val="00013597"/>
    <w:rsid w:val="000135BE"/>
    <w:rsid w:val="000137DA"/>
    <w:rsid w:val="0001384D"/>
    <w:rsid w:val="000138A6"/>
    <w:rsid w:val="00013AAA"/>
    <w:rsid w:val="00013B5C"/>
    <w:rsid w:val="00013D42"/>
    <w:rsid w:val="0001401D"/>
    <w:rsid w:val="00014139"/>
    <w:rsid w:val="00014196"/>
    <w:rsid w:val="00014337"/>
    <w:rsid w:val="00014369"/>
    <w:rsid w:val="0001478D"/>
    <w:rsid w:val="0001483B"/>
    <w:rsid w:val="0001485B"/>
    <w:rsid w:val="000148CC"/>
    <w:rsid w:val="00014B3F"/>
    <w:rsid w:val="00014B40"/>
    <w:rsid w:val="00014E75"/>
    <w:rsid w:val="00014E8A"/>
    <w:rsid w:val="00015035"/>
    <w:rsid w:val="0001514C"/>
    <w:rsid w:val="00015196"/>
    <w:rsid w:val="000151BD"/>
    <w:rsid w:val="00015211"/>
    <w:rsid w:val="000153CD"/>
    <w:rsid w:val="00015543"/>
    <w:rsid w:val="00015773"/>
    <w:rsid w:val="000157B0"/>
    <w:rsid w:val="00015A2B"/>
    <w:rsid w:val="00015A3E"/>
    <w:rsid w:val="00015BD0"/>
    <w:rsid w:val="00015BE7"/>
    <w:rsid w:val="00015CEC"/>
    <w:rsid w:val="00015D1D"/>
    <w:rsid w:val="00015D95"/>
    <w:rsid w:val="00016419"/>
    <w:rsid w:val="00016439"/>
    <w:rsid w:val="0001656E"/>
    <w:rsid w:val="000166BE"/>
    <w:rsid w:val="00016A77"/>
    <w:rsid w:val="00016D09"/>
    <w:rsid w:val="00016F59"/>
    <w:rsid w:val="00016FF2"/>
    <w:rsid w:val="0001709F"/>
    <w:rsid w:val="00017314"/>
    <w:rsid w:val="000176B8"/>
    <w:rsid w:val="000177F0"/>
    <w:rsid w:val="00017834"/>
    <w:rsid w:val="0001788B"/>
    <w:rsid w:val="00017C85"/>
    <w:rsid w:val="00017D13"/>
    <w:rsid w:val="00017D85"/>
    <w:rsid w:val="00017E5F"/>
    <w:rsid w:val="00020078"/>
    <w:rsid w:val="000200BA"/>
    <w:rsid w:val="000201AB"/>
    <w:rsid w:val="000202CA"/>
    <w:rsid w:val="00020583"/>
    <w:rsid w:val="00020619"/>
    <w:rsid w:val="000206C6"/>
    <w:rsid w:val="00020B30"/>
    <w:rsid w:val="00020E0B"/>
    <w:rsid w:val="00020E95"/>
    <w:rsid w:val="0002138D"/>
    <w:rsid w:val="0002146C"/>
    <w:rsid w:val="00021514"/>
    <w:rsid w:val="000216EA"/>
    <w:rsid w:val="0002193B"/>
    <w:rsid w:val="00021A37"/>
    <w:rsid w:val="00021B84"/>
    <w:rsid w:val="00021BAF"/>
    <w:rsid w:val="00021CAC"/>
    <w:rsid w:val="00022070"/>
    <w:rsid w:val="000220E0"/>
    <w:rsid w:val="000221CB"/>
    <w:rsid w:val="00022454"/>
    <w:rsid w:val="000224E0"/>
    <w:rsid w:val="00022963"/>
    <w:rsid w:val="00022C7F"/>
    <w:rsid w:val="00022D09"/>
    <w:rsid w:val="00022DD2"/>
    <w:rsid w:val="00022E33"/>
    <w:rsid w:val="00022E36"/>
    <w:rsid w:val="0002321C"/>
    <w:rsid w:val="00023229"/>
    <w:rsid w:val="000232E5"/>
    <w:rsid w:val="0002351C"/>
    <w:rsid w:val="0002384F"/>
    <w:rsid w:val="00023A07"/>
    <w:rsid w:val="00023A6C"/>
    <w:rsid w:val="00023B3C"/>
    <w:rsid w:val="00023B73"/>
    <w:rsid w:val="00023D93"/>
    <w:rsid w:val="00023E15"/>
    <w:rsid w:val="00023E3A"/>
    <w:rsid w:val="000242BC"/>
    <w:rsid w:val="000242DB"/>
    <w:rsid w:val="00024377"/>
    <w:rsid w:val="0002439E"/>
    <w:rsid w:val="00024621"/>
    <w:rsid w:val="0002462B"/>
    <w:rsid w:val="0002495B"/>
    <w:rsid w:val="00024E17"/>
    <w:rsid w:val="00025137"/>
    <w:rsid w:val="0002533F"/>
    <w:rsid w:val="000254D8"/>
    <w:rsid w:val="0002571F"/>
    <w:rsid w:val="00025A0B"/>
    <w:rsid w:val="00025B3F"/>
    <w:rsid w:val="00025BCB"/>
    <w:rsid w:val="00025C72"/>
    <w:rsid w:val="00025CC6"/>
    <w:rsid w:val="00025D41"/>
    <w:rsid w:val="00025F5A"/>
    <w:rsid w:val="00025F79"/>
    <w:rsid w:val="0002616A"/>
    <w:rsid w:val="0002623E"/>
    <w:rsid w:val="00026491"/>
    <w:rsid w:val="000266A0"/>
    <w:rsid w:val="000268EE"/>
    <w:rsid w:val="00026A96"/>
    <w:rsid w:val="00026B64"/>
    <w:rsid w:val="00026DCC"/>
    <w:rsid w:val="00027430"/>
    <w:rsid w:val="000274E6"/>
    <w:rsid w:val="000278C5"/>
    <w:rsid w:val="000279F6"/>
    <w:rsid w:val="00027CA7"/>
    <w:rsid w:val="00027F57"/>
    <w:rsid w:val="00030104"/>
    <w:rsid w:val="0003052D"/>
    <w:rsid w:val="0003054E"/>
    <w:rsid w:val="000305AB"/>
    <w:rsid w:val="000306C2"/>
    <w:rsid w:val="000306F0"/>
    <w:rsid w:val="00030A7B"/>
    <w:rsid w:val="0003144D"/>
    <w:rsid w:val="00031DBC"/>
    <w:rsid w:val="00031DD5"/>
    <w:rsid w:val="00031E3C"/>
    <w:rsid w:val="000321F8"/>
    <w:rsid w:val="00032263"/>
    <w:rsid w:val="000322F8"/>
    <w:rsid w:val="0003252F"/>
    <w:rsid w:val="00032589"/>
    <w:rsid w:val="00032639"/>
    <w:rsid w:val="00032E95"/>
    <w:rsid w:val="00033389"/>
    <w:rsid w:val="000335EE"/>
    <w:rsid w:val="00033888"/>
    <w:rsid w:val="00033913"/>
    <w:rsid w:val="00033F4E"/>
    <w:rsid w:val="00033F94"/>
    <w:rsid w:val="000340B4"/>
    <w:rsid w:val="000340F7"/>
    <w:rsid w:val="00034425"/>
    <w:rsid w:val="000344B9"/>
    <w:rsid w:val="000346DE"/>
    <w:rsid w:val="0003482A"/>
    <w:rsid w:val="0003484B"/>
    <w:rsid w:val="00034989"/>
    <w:rsid w:val="00034B36"/>
    <w:rsid w:val="00034B81"/>
    <w:rsid w:val="00034E39"/>
    <w:rsid w:val="000355E1"/>
    <w:rsid w:val="0003560F"/>
    <w:rsid w:val="00035830"/>
    <w:rsid w:val="00035917"/>
    <w:rsid w:val="00035961"/>
    <w:rsid w:val="00035963"/>
    <w:rsid w:val="00035A0F"/>
    <w:rsid w:val="00035A83"/>
    <w:rsid w:val="00035B0B"/>
    <w:rsid w:val="00035ED7"/>
    <w:rsid w:val="00035F51"/>
    <w:rsid w:val="00035FF4"/>
    <w:rsid w:val="00036415"/>
    <w:rsid w:val="000369E4"/>
    <w:rsid w:val="00036C18"/>
    <w:rsid w:val="00036FF4"/>
    <w:rsid w:val="00037273"/>
    <w:rsid w:val="000372CC"/>
    <w:rsid w:val="00037395"/>
    <w:rsid w:val="00037728"/>
    <w:rsid w:val="000378AF"/>
    <w:rsid w:val="00037B0E"/>
    <w:rsid w:val="00037B11"/>
    <w:rsid w:val="00037B81"/>
    <w:rsid w:val="00037DFC"/>
    <w:rsid w:val="00037E6E"/>
    <w:rsid w:val="00037EC6"/>
    <w:rsid w:val="00037FFD"/>
    <w:rsid w:val="00040042"/>
    <w:rsid w:val="000402C6"/>
    <w:rsid w:val="0004040E"/>
    <w:rsid w:val="0004047A"/>
    <w:rsid w:val="000405E3"/>
    <w:rsid w:val="00040773"/>
    <w:rsid w:val="0004081C"/>
    <w:rsid w:val="00040C82"/>
    <w:rsid w:val="00040D47"/>
    <w:rsid w:val="00040D94"/>
    <w:rsid w:val="00040EC2"/>
    <w:rsid w:val="00040EE9"/>
    <w:rsid w:val="000412AB"/>
    <w:rsid w:val="000412F1"/>
    <w:rsid w:val="000413A0"/>
    <w:rsid w:val="0004140F"/>
    <w:rsid w:val="000416EB"/>
    <w:rsid w:val="0004178D"/>
    <w:rsid w:val="00041948"/>
    <w:rsid w:val="000419FA"/>
    <w:rsid w:val="00041AE6"/>
    <w:rsid w:val="00041E5A"/>
    <w:rsid w:val="00041F19"/>
    <w:rsid w:val="00041F8C"/>
    <w:rsid w:val="00042085"/>
    <w:rsid w:val="00042104"/>
    <w:rsid w:val="00042441"/>
    <w:rsid w:val="00042445"/>
    <w:rsid w:val="000425D3"/>
    <w:rsid w:val="00042653"/>
    <w:rsid w:val="000428AF"/>
    <w:rsid w:val="000429E5"/>
    <w:rsid w:val="00042A43"/>
    <w:rsid w:val="00042CB0"/>
    <w:rsid w:val="00042E0F"/>
    <w:rsid w:val="00042E54"/>
    <w:rsid w:val="00042E66"/>
    <w:rsid w:val="00043089"/>
    <w:rsid w:val="00043347"/>
    <w:rsid w:val="0004334C"/>
    <w:rsid w:val="00043369"/>
    <w:rsid w:val="00043481"/>
    <w:rsid w:val="000436E4"/>
    <w:rsid w:val="0004388C"/>
    <w:rsid w:val="000438EC"/>
    <w:rsid w:val="00043B40"/>
    <w:rsid w:val="00043C3C"/>
    <w:rsid w:val="00043C8C"/>
    <w:rsid w:val="00043D7F"/>
    <w:rsid w:val="00044202"/>
    <w:rsid w:val="000445FA"/>
    <w:rsid w:val="00044650"/>
    <w:rsid w:val="00044701"/>
    <w:rsid w:val="0004495B"/>
    <w:rsid w:val="00044AF5"/>
    <w:rsid w:val="00044E52"/>
    <w:rsid w:val="00044E5A"/>
    <w:rsid w:val="00044E8D"/>
    <w:rsid w:val="00044F94"/>
    <w:rsid w:val="00045036"/>
    <w:rsid w:val="00045211"/>
    <w:rsid w:val="00045273"/>
    <w:rsid w:val="00045AF3"/>
    <w:rsid w:val="00045C0F"/>
    <w:rsid w:val="00045DE6"/>
    <w:rsid w:val="000460FE"/>
    <w:rsid w:val="0004640B"/>
    <w:rsid w:val="00046578"/>
    <w:rsid w:val="00046A5B"/>
    <w:rsid w:val="00046CFD"/>
    <w:rsid w:val="000470CF"/>
    <w:rsid w:val="000475EB"/>
    <w:rsid w:val="000479AD"/>
    <w:rsid w:val="00047B54"/>
    <w:rsid w:val="00047B79"/>
    <w:rsid w:val="00047DF3"/>
    <w:rsid w:val="00047F56"/>
    <w:rsid w:val="00047FC3"/>
    <w:rsid w:val="0005007C"/>
    <w:rsid w:val="0005008C"/>
    <w:rsid w:val="000502C5"/>
    <w:rsid w:val="0005042F"/>
    <w:rsid w:val="0005071A"/>
    <w:rsid w:val="00050968"/>
    <w:rsid w:val="00050B38"/>
    <w:rsid w:val="00050D47"/>
    <w:rsid w:val="00050F19"/>
    <w:rsid w:val="0005107D"/>
    <w:rsid w:val="00051117"/>
    <w:rsid w:val="0005116D"/>
    <w:rsid w:val="000511E4"/>
    <w:rsid w:val="0005139E"/>
    <w:rsid w:val="00051616"/>
    <w:rsid w:val="000519DA"/>
    <w:rsid w:val="00051AC9"/>
    <w:rsid w:val="00051C0E"/>
    <w:rsid w:val="000522B5"/>
    <w:rsid w:val="000526CF"/>
    <w:rsid w:val="000528B3"/>
    <w:rsid w:val="000529C4"/>
    <w:rsid w:val="00052B38"/>
    <w:rsid w:val="00052F93"/>
    <w:rsid w:val="0005322C"/>
    <w:rsid w:val="00053244"/>
    <w:rsid w:val="00053366"/>
    <w:rsid w:val="0005371D"/>
    <w:rsid w:val="0005382F"/>
    <w:rsid w:val="00053916"/>
    <w:rsid w:val="00053D66"/>
    <w:rsid w:val="00053E30"/>
    <w:rsid w:val="00053E85"/>
    <w:rsid w:val="00054036"/>
    <w:rsid w:val="00054127"/>
    <w:rsid w:val="000542D0"/>
    <w:rsid w:val="000547EB"/>
    <w:rsid w:val="00054A74"/>
    <w:rsid w:val="00054A9F"/>
    <w:rsid w:val="00054B64"/>
    <w:rsid w:val="00054EAC"/>
    <w:rsid w:val="00054EE9"/>
    <w:rsid w:val="00054F00"/>
    <w:rsid w:val="00054F4F"/>
    <w:rsid w:val="000553DF"/>
    <w:rsid w:val="0005553A"/>
    <w:rsid w:val="00055757"/>
    <w:rsid w:val="00055896"/>
    <w:rsid w:val="00055A57"/>
    <w:rsid w:val="00055B74"/>
    <w:rsid w:val="00055B9B"/>
    <w:rsid w:val="0005606E"/>
    <w:rsid w:val="00056089"/>
    <w:rsid w:val="00056093"/>
    <w:rsid w:val="00056463"/>
    <w:rsid w:val="00056711"/>
    <w:rsid w:val="00056713"/>
    <w:rsid w:val="000569AC"/>
    <w:rsid w:val="00056BB3"/>
    <w:rsid w:val="00056DF2"/>
    <w:rsid w:val="00056E08"/>
    <w:rsid w:val="00056F32"/>
    <w:rsid w:val="00057326"/>
    <w:rsid w:val="0005758A"/>
    <w:rsid w:val="00057673"/>
    <w:rsid w:val="000576F8"/>
    <w:rsid w:val="000577D6"/>
    <w:rsid w:val="00057DE2"/>
    <w:rsid w:val="00057E24"/>
    <w:rsid w:val="00057F3A"/>
    <w:rsid w:val="00060DE8"/>
    <w:rsid w:val="00060EF4"/>
    <w:rsid w:val="00060F65"/>
    <w:rsid w:val="00061173"/>
    <w:rsid w:val="000612DF"/>
    <w:rsid w:val="000614D7"/>
    <w:rsid w:val="0006174A"/>
    <w:rsid w:val="00061917"/>
    <w:rsid w:val="00061A14"/>
    <w:rsid w:val="00061BFF"/>
    <w:rsid w:val="00061D1F"/>
    <w:rsid w:val="00061DAC"/>
    <w:rsid w:val="00061E7B"/>
    <w:rsid w:val="000622C9"/>
    <w:rsid w:val="00062336"/>
    <w:rsid w:val="0006264F"/>
    <w:rsid w:val="00062A80"/>
    <w:rsid w:val="000631A7"/>
    <w:rsid w:val="000633CB"/>
    <w:rsid w:val="00063AF8"/>
    <w:rsid w:val="00063CFF"/>
    <w:rsid w:val="000646FB"/>
    <w:rsid w:val="00064801"/>
    <w:rsid w:val="00064E44"/>
    <w:rsid w:val="00064E94"/>
    <w:rsid w:val="00064F59"/>
    <w:rsid w:val="0006524D"/>
    <w:rsid w:val="000652BF"/>
    <w:rsid w:val="00065384"/>
    <w:rsid w:val="000658F3"/>
    <w:rsid w:val="00065AE3"/>
    <w:rsid w:val="00065BB9"/>
    <w:rsid w:val="000667B3"/>
    <w:rsid w:val="00066CDD"/>
    <w:rsid w:val="00066D2E"/>
    <w:rsid w:val="00066D66"/>
    <w:rsid w:val="00066DF5"/>
    <w:rsid w:val="000675C4"/>
    <w:rsid w:val="00067790"/>
    <w:rsid w:val="00067854"/>
    <w:rsid w:val="00067E70"/>
    <w:rsid w:val="00067E79"/>
    <w:rsid w:val="00070225"/>
    <w:rsid w:val="000703E2"/>
    <w:rsid w:val="0007055A"/>
    <w:rsid w:val="000706B0"/>
    <w:rsid w:val="00070972"/>
    <w:rsid w:val="000709E2"/>
    <w:rsid w:val="00070D68"/>
    <w:rsid w:val="00070DA7"/>
    <w:rsid w:val="00070E34"/>
    <w:rsid w:val="00070F80"/>
    <w:rsid w:val="0007116B"/>
    <w:rsid w:val="00071780"/>
    <w:rsid w:val="0007183D"/>
    <w:rsid w:val="00071842"/>
    <w:rsid w:val="00071C3F"/>
    <w:rsid w:val="00071EDA"/>
    <w:rsid w:val="000723B8"/>
    <w:rsid w:val="00072409"/>
    <w:rsid w:val="00072467"/>
    <w:rsid w:val="000724FD"/>
    <w:rsid w:val="0007278B"/>
    <w:rsid w:val="000729AD"/>
    <w:rsid w:val="00072BC3"/>
    <w:rsid w:val="0007302C"/>
    <w:rsid w:val="00073541"/>
    <w:rsid w:val="000735FC"/>
    <w:rsid w:val="00073669"/>
    <w:rsid w:val="000737DD"/>
    <w:rsid w:val="00073A52"/>
    <w:rsid w:val="00073DDE"/>
    <w:rsid w:val="00073E4C"/>
    <w:rsid w:val="00073FCA"/>
    <w:rsid w:val="0007454D"/>
    <w:rsid w:val="0007472B"/>
    <w:rsid w:val="000747EE"/>
    <w:rsid w:val="0007480F"/>
    <w:rsid w:val="000749A2"/>
    <w:rsid w:val="00074BE8"/>
    <w:rsid w:val="000750EA"/>
    <w:rsid w:val="0007537D"/>
    <w:rsid w:val="00075807"/>
    <w:rsid w:val="00075910"/>
    <w:rsid w:val="00075B82"/>
    <w:rsid w:val="00075BAA"/>
    <w:rsid w:val="00075D93"/>
    <w:rsid w:val="00075E3A"/>
    <w:rsid w:val="00075F50"/>
    <w:rsid w:val="0007609B"/>
    <w:rsid w:val="0007626F"/>
    <w:rsid w:val="000762ED"/>
    <w:rsid w:val="00076467"/>
    <w:rsid w:val="000764E1"/>
    <w:rsid w:val="0007653A"/>
    <w:rsid w:val="00076588"/>
    <w:rsid w:val="00076597"/>
    <w:rsid w:val="00076640"/>
    <w:rsid w:val="00076661"/>
    <w:rsid w:val="00076683"/>
    <w:rsid w:val="00076846"/>
    <w:rsid w:val="000768B2"/>
    <w:rsid w:val="00076A35"/>
    <w:rsid w:val="00076A9A"/>
    <w:rsid w:val="00076B20"/>
    <w:rsid w:val="00076BD6"/>
    <w:rsid w:val="00076ED8"/>
    <w:rsid w:val="00076EF8"/>
    <w:rsid w:val="00076F7F"/>
    <w:rsid w:val="0007734C"/>
    <w:rsid w:val="00077414"/>
    <w:rsid w:val="0007750B"/>
    <w:rsid w:val="000778DE"/>
    <w:rsid w:val="000779B7"/>
    <w:rsid w:val="00077A4F"/>
    <w:rsid w:val="00077B4F"/>
    <w:rsid w:val="00077BAA"/>
    <w:rsid w:val="00077BDF"/>
    <w:rsid w:val="00077D32"/>
    <w:rsid w:val="00080022"/>
    <w:rsid w:val="000803CC"/>
    <w:rsid w:val="00080543"/>
    <w:rsid w:val="000807B3"/>
    <w:rsid w:val="00080B2E"/>
    <w:rsid w:val="00080D1D"/>
    <w:rsid w:val="00080D2B"/>
    <w:rsid w:val="00080D7B"/>
    <w:rsid w:val="000811A1"/>
    <w:rsid w:val="0008122C"/>
    <w:rsid w:val="0008135E"/>
    <w:rsid w:val="0008145D"/>
    <w:rsid w:val="000814B5"/>
    <w:rsid w:val="0008189F"/>
    <w:rsid w:val="00081A9F"/>
    <w:rsid w:val="00081BB9"/>
    <w:rsid w:val="00081E69"/>
    <w:rsid w:val="0008205C"/>
    <w:rsid w:val="00082382"/>
    <w:rsid w:val="000823F0"/>
    <w:rsid w:val="00082431"/>
    <w:rsid w:val="0008243C"/>
    <w:rsid w:val="000829AB"/>
    <w:rsid w:val="00082D04"/>
    <w:rsid w:val="000831CF"/>
    <w:rsid w:val="00083787"/>
    <w:rsid w:val="000837BF"/>
    <w:rsid w:val="00083925"/>
    <w:rsid w:val="00083946"/>
    <w:rsid w:val="00083DB1"/>
    <w:rsid w:val="00084009"/>
    <w:rsid w:val="0008400C"/>
    <w:rsid w:val="00084234"/>
    <w:rsid w:val="000843A6"/>
    <w:rsid w:val="000844AA"/>
    <w:rsid w:val="000844C3"/>
    <w:rsid w:val="00084DD4"/>
    <w:rsid w:val="00084E53"/>
    <w:rsid w:val="0008527F"/>
    <w:rsid w:val="000852AA"/>
    <w:rsid w:val="00085349"/>
    <w:rsid w:val="000854FC"/>
    <w:rsid w:val="00085506"/>
    <w:rsid w:val="000856F1"/>
    <w:rsid w:val="00085804"/>
    <w:rsid w:val="00085867"/>
    <w:rsid w:val="000858AF"/>
    <w:rsid w:val="00085A36"/>
    <w:rsid w:val="00085A7D"/>
    <w:rsid w:val="00085AD4"/>
    <w:rsid w:val="00085B9B"/>
    <w:rsid w:val="00085D11"/>
    <w:rsid w:val="00085E8D"/>
    <w:rsid w:val="00085EBD"/>
    <w:rsid w:val="000860F7"/>
    <w:rsid w:val="00086431"/>
    <w:rsid w:val="0008673D"/>
    <w:rsid w:val="00086826"/>
    <w:rsid w:val="00086A21"/>
    <w:rsid w:val="00086E85"/>
    <w:rsid w:val="0008716A"/>
    <w:rsid w:val="00087208"/>
    <w:rsid w:val="00087252"/>
    <w:rsid w:val="000872C6"/>
    <w:rsid w:val="0008776E"/>
    <w:rsid w:val="00087DB3"/>
    <w:rsid w:val="00087EE9"/>
    <w:rsid w:val="000901D6"/>
    <w:rsid w:val="00090282"/>
    <w:rsid w:val="000902B4"/>
    <w:rsid w:val="0009035C"/>
    <w:rsid w:val="0009045C"/>
    <w:rsid w:val="00090470"/>
    <w:rsid w:val="00090A68"/>
    <w:rsid w:val="00090B69"/>
    <w:rsid w:val="00090B74"/>
    <w:rsid w:val="00090D99"/>
    <w:rsid w:val="00090DA4"/>
    <w:rsid w:val="00090DC6"/>
    <w:rsid w:val="00091023"/>
    <w:rsid w:val="00091026"/>
    <w:rsid w:val="0009106C"/>
    <w:rsid w:val="00091259"/>
    <w:rsid w:val="00091406"/>
    <w:rsid w:val="00091476"/>
    <w:rsid w:val="0009156D"/>
    <w:rsid w:val="000917EF"/>
    <w:rsid w:val="00091BC6"/>
    <w:rsid w:val="00091BE9"/>
    <w:rsid w:val="00091E41"/>
    <w:rsid w:val="00091F37"/>
    <w:rsid w:val="00092196"/>
    <w:rsid w:val="00092345"/>
    <w:rsid w:val="00092442"/>
    <w:rsid w:val="00092B9B"/>
    <w:rsid w:val="00092EC5"/>
    <w:rsid w:val="00093091"/>
    <w:rsid w:val="0009372E"/>
    <w:rsid w:val="000939D5"/>
    <w:rsid w:val="00093C81"/>
    <w:rsid w:val="00094119"/>
    <w:rsid w:val="000942CB"/>
    <w:rsid w:val="000942E6"/>
    <w:rsid w:val="00094611"/>
    <w:rsid w:val="000946A1"/>
    <w:rsid w:val="000946EB"/>
    <w:rsid w:val="0009472C"/>
    <w:rsid w:val="0009473A"/>
    <w:rsid w:val="000947E4"/>
    <w:rsid w:val="00094AB1"/>
    <w:rsid w:val="00094D29"/>
    <w:rsid w:val="00094E77"/>
    <w:rsid w:val="000950FB"/>
    <w:rsid w:val="0009514A"/>
    <w:rsid w:val="0009521E"/>
    <w:rsid w:val="0009534D"/>
    <w:rsid w:val="000958CD"/>
    <w:rsid w:val="00095994"/>
    <w:rsid w:val="00095D79"/>
    <w:rsid w:val="00095E3A"/>
    <w:rsid w:val="00095EC0"/>
    <w:rsid w:val="000962BD"/>
    <w:rsid w:val="000962DC"/>
    <w:rsid w:val="00096578"/>
    <w:rsid w:val="00096718"/>
    <w:rsid w:val="00096841"/>
    <w:rsid w:val="00096AFA"/>
    <w:rsid w:val="00096BDF"/>
    <w:rsid w:val="0009701B"/>
    <w:rsid w:val="000973AD"/>
    <w:rsid w:val="00097433"/>
    <w:rsid w:val="00097439"/>
    <w:rsid w:val="00097B0C"/>
    <w:rsid w:val="00097B25"/>
    <w:rsid w:val="00097CAA"/>
    <w:rsid w:val="00097D46"/>
    <w:rsid w:val="00097F2F"/>
    <w:rsid w:val="00097F82"/>
    <w:rsid w:val="000A00D4"/>
    <w:rsid w:val="000A00DF"/>
    <w:rsid w:val="000A00F6"/>
    <w:rsid w:val="000A01DE"/>
    <w:rsid w:val="000A0E52"/>
    <w:rsid w:val="000A0FB4"/>
    <w:rsid w:val="000A105C"/>
    <w:rsid w:val="000A1340"/>
    <w:rsid w:val="000A1CB2"/>
    <w:rsid w:val="000A1CE4"/>
    <w:rsid w:val="000A1D35"/>
    <w:rsid w:val="000A1DAA"/>
    <w:rsid w:val="000A20F1"/>
    <w:rsid w:val="000A2163"/>
    <w:rsid w:val="000A21F1"/>
    <w:rsid w:val="000A22C5"/>
    <w:rsid w:val="000A24FE"/>
    <w:rsid w:val="000A2B73"/>
    <w:rsid w:val="000A2C84"/>
    <w:rsid w:val="000A2D8E"/>
    <w:rsid w:val="000A2DAA"/>
    <w:rsid w:val="000A2EC4"/>
    <w:rsid w:val="000A33BB"/>
    <w:rsid w:val="000A372C"/>
    <w:rsid w:val="000A3A46"/>
    <w:rsid w:val="000A3E92"/>
    <w:rsid w:val="000A3FB0"/>
    <w:rsid w:val="000A414E"/>
    <w:rsid w:val="000A42EE"/>
    <w:rsid w:val="000A438E"/>
    <w:rsid w:val="000A44A1"/>
    <w:rsid w:val="000A45F0"/>
    <w:rsid w:val="000A4616"/>
    <w:rsid w:val="000A4C3E"/>
    <w:rsid w:val="000A4EDA"/>
    <w:rsid w:val="000A5212"/>
    <w:rsid w:val="000A526F"/>
    <w:rsid w:val="000A54B5"/>
    <w:rsid w:val="000A550C"/>
    <w:rsid w:val="000A5664"/>
    <w:rsid w:val="000A573C"/>
    <w:rsid w:val="000A5A69"/>
    <w:rsid w:val="000A60D4"/>
    <w:rsid w:val="000A6302"/>
    <w:rsid w:val="000A6344"/>
    <w:rsid w:val="000A671F"/>
    <w:rsid w:val="000A6E81"/>
    <w:rsid w:val="000A71E4"/>
    <w:rsid w:val="000A7378"/>
    <w:rsid w:val="000A7724"/>
    <w:rsid w:val="000A7BDC"/>
    <w:rsid w:val="000A7EB4"/>
    <w:rsid w:val="000A7FB4"/>
    <w:rsid w:val="000B0313"/>
    <w:rsid w:val="000B0899"/>
    <w:rsid w:val="000B0A39"/>
    <w:rsid w:val="000B0D23"/>
    <w:rsid w:val="000B0F0C"/>
    <w:rsid w:val="000B1559"/>
    <w:rsid w:val="000B1672"/>
    <w:rsid w:val="000B1788"/>
    <w:rsid w:val="000B1959"/>
    <w:rsid w:val="000B19E9"/>
    <w:rsid w:val="000B1CF2"/>
    <w:rsid w:val="000B1F93"/>
    <w:rsid w:val="000B25B7"/>
    <w:rsid w:val="000B266E"/>
    <w:rsid w:val="000B29DE"/>
    <w:rsid w:val="000B2D4D"/>
    <w:rsid w:val="000B2E31"/>
    <w:rsid w:val="000B2E82"/>
    <w:rsid w:val="000B2ED2"/>
    <w:rsid w:val="000B3315"/>
    <w:rsid w:val="000B353B"/>
    <w:rsid w:val="000B35EA"/>
    <w:rsid w:val="000B38BC"/>
    <w:rsid w:val="000B3C60"/>
    <w:rsid w:val="000B3D2A"/>
    <w:rsid w:val="000B3ED1"/>
    <w:rsid w:val="000B45F3"/>
    <w:rsid w:val="000B49BD"/>
    <w:rsid w:val="000B4A12"/>
    <w:rsid w:val="000B4A6B"/>
    <w:rsid w:val="000B4D18"/>
    <w:rsid w:val="000B4DB1"/>
    <w:rsid w:val="000B5193"/>
    <w:rsid w:val="000B52B8"/>
    <w:rsid w:val="000B530E"/>
    <w:rsid w:val="000B5571"/>
    <w:rsid w:val="000B587C"/>
    <w:rsid w:val="000B5C4D"/>
    <w:rsid w:val="000B5D10"/>
    <w:rsid w:val="000B5F0F"/>
    <w:rsid w:val="000B62B4"/>
    <w:rsid w:val="000B63D6"/>
    <w:rsid w:val="000B673E"/>
    <w:rsid w:val="000B69A2"/>
    <w:rsid w:val="000B69AA"/>
    <w:rsid w:val="000B69D9"/>
    <w:rsid w:val="000B6AE4"/>
    <w:rsid w:val="000B6B6A"/>
    <w:rsid w:val="000B6D0E"/>
    <w:rsid w:val="000B70E8"/>
    <w:rsid w:val="000B7390"/>
    <w:rsid w:val="000B766A"/>
    <w:rsid w:val="000B7781"/>
    <w:rsid w:val="000B7F2D"/>
    <w:rsid w:val="000C00F4"/>
    <w:rsid w:val="000C0113"/>
    <w:rsid w:val="000C013D"/>
    <w:rsid w:val="000C024A"/>
    <w:rsid w:val="000C03FD"/>
    <w:rsid w:val="000C04A4"/>
    <w:rsid w:val="000C0915"/>
    <w:rsid w:val="000C0929"/>
    <w:rsid w:val="000C09FE"/>
    <w:rsid w:val="000C0BB0"/>
    <w:rsid w:val="000C0DD2"/>
    <w:rsid w:val="000C0EA0"/>
    <w:rsid w:val="000C122A"/>
    <w:rsid w:val="000C1336"/>
    <w:rsid w:val="000C14BB"/>
    <w:rsid w:val="000C14BC"/>
    <w:rsid w:val="000C157C"/>
    <w:rsid w:val="000C15FA"/>
    <w:rsid w:val="000C1D48"/>
    <w:rsid w:val="000C1DC9"/>
    <w:rsid w:val="000C1F01"/>
    <w:rsid w:val="000C2059"/>
    <w:rsid w:val="000C2071"/>
    <w:rsid w:val="000C2293"/>
    <w:rsid w:val="000C2305"/>
    <w:rsid w:val="000C2362"/>
    <w:rsid w:val="000C2651"/>
    <w:rsid w:val="000C2CA4"/>
    <w:rsid w:val="000C2EC5"/>
    <w:rsid w:val="000C2FA5"/>
    <w:rsid w:val="000C302E"/>
    <w:rsid w:val="000C313A"/>
    <w:rsid w:val="000C327F"/>
    <w:rsid w:val="000C3560"/>
    <w:rsid w:val="000C3611"/>
    <w:rsid w:val="000C39FB"/>
    <w:rsid w:val="000C3B5C"/>
    <w:rsid w:val="000C3C08"/>
    <w:rsid w:val="000C3CC3"/>
    <w:rsid w:val="000C3E2D"/>
    <w:rsid w:val="000C3E5E"/>
    <w:rsid w:val="000C435F"/>
    <w:rsid w:val="000C46F5"/>
    <w:rsid w:val="000C4AEB"/>
    <w:rsid w:val="000C4CF6"/>
    <w:rsid w:val="000C4F0C"/>
    <w:rsid w:val="000C5306"/>
    <w:rsid w:val="000C53A2"/>
    <w:rsid w:val="000C53E6"/>
    <w:rsid w:val="000C5552"/>
    <w:rsid w:val="000C56F0"/>
    <w:rsid w:val="000C5972"/>
    <w:rsid w:val="000C5B56"/>
    <w:rsid w:val="000C5C73"/>
    <w:rsid w:val="000C5CF7"/>
    <w:rsid w:val="000C5F78"/>
    <w:rsid w:val="000C600D"/>
    <w:rsid w:val="000C6226"/>
    <w:rsid w:val="000C6313"/>
    <w:rsid w:val="000C63F7"/>
    <w:rsid w:val="000C644E"/>
    <w:rsid w:val="000C65D9"/>
    <w:rsid w:val="000C668E"/>
    <w:rsid w:val="000C6D9D"/>
    <w:rsid w:val="000C6F7A"/>
    <w:rsid w:val="000C6FBB"/>
    <w:rsid w:val="000C70A8"/>
    <w:rsid w:val="000C7210"/>
    <w:rsid w:val="000C7595"/>
    <w:rsid w:val="000C7720"/>
    <w:rsid w:val="000C7751"/>
    <w:rsid w:val="000C777D"/>
    <w:rsid w:val="000C7E54"/>
    <w:rsid w:val="000D0057"/>
    <w:rsid w:val="000D0129"/>
    <w:rsid w:val="000D0662"/>
    <w:rsid w:val="000D07CB"/>
    <w:rsid w:val="000D0BA7"/>
    <w:rsid w:val="000D0DE8"/>
    <w:rsid w:val="000D0E6B"/>
    <w:rsid w:val="000D17FE"/>
    <w:rsid w:val="000D1978"/>
    <w:rsid w:val="000D198E"/>
    <w:rsid w:val="000D1A43"/>
    <w:rsid w:val="000D1D12"/>
    <w:rsid w:val="000D226D"/>
    <w:rsid w:val="000D2683"/>
    <w:rsid w:val="000D2853"/>
    <w:rsid w:val="000D29AF"/>
    <w:rsid w:val="000D2AEF"/>
    <w:rsid w:val="000D2DD8"/>
    <w:rsid w:val="000D2F31"/>
    <w:rsid w:val="000D313A"/>
    <w:rsid w:val="000D329E"/>
    <w:rsid w:val="000D3B84"/>
    <w:rsid w:val="000D3EDD"/>
    <w:rsid w:val="000D4066"/>
    <w:rsid w:val="000D41B1"/>
    <w:rsid w:val="000D41C9"/>
    <w:rsid w:val="000D42EF"/>
    <w:rsid w:val="000D449E"/>
    <w:rsid w:val="000D4520"/>
    <w:rsid w:val="000D4832"/>
    <w:rsid w:val="000D4984"/>
    <w:rsid w:val="000D4A19"/>
    <w:rsid w:val="000D4BB7"/>
    <w:rsid w:val="000D4FBA"/>
    <w:rsid w:val="000D577B"/>
    <w:rsid w:val="000D5B84"/>
    <w:rsid w:val="000D6239"/>
    <w:rsid w:val="000D634E"/>
    <w:rsid w:val="000D63A3"/>
    <w:rsid w:val="000D64FA"/>
    <w:rsid w:val="000D657E"/>
    <w:rsid w:val="000D694D"/>
    <w:rsid w:val="000D6AD4"/>
    <w:rsid w:val="000D6C67"/>
    <w:rsid w:val="000D7813"/>
    <w:rsid w:val="000D79BC"/>
    <w:rsid w:val="000D7A4D"/>
    <w:rsid w:val="000D7B13"/>
    <w:rsid w:val="000D7EE5"/>
    <w:rsid w:val="000E0128"/>
    <w:rsid w:val="000E01BD"/>
    <w:rsid w:val="000E0203"/>
    <w:rsid w:val="000E0280"/>
    <w:rsid w:val="000E048C"/>
    <w:rsid w:val="000E060F"/>
    <w:rsid w:val="000E07D5"/>
    <w:rsid w:val="000E09FE"/>
    <w:rsid w:val="000E0ACA"/>
    <w:rsid w:val="000E0C3C"/>
    <w:rsid w:val="000E0D2D"/>
    <w:rsid w:val="000E10EB"/>
    <w:rsid w:val="000E132E"/>
    <w:rsid w:val="000E134E"/>
    <w:rsid w:val="000E140C"/>
    <w:rsid w:val="000E143E"/>
    <w:rsid w:val="000E17BC"/>
    <w:rsid w:val="000E1965"/>
    <w:rsid w:val="000E1967"/>
    <w:rsid w:val="000E1972"/>
    <w:rsid w:val="000E1B28"/>
    <w:rsid w:val="000E1BA7"/>
    <w:rsid w:val="000E1E84"/>
    <w:rsid w:val="000E1FE4"/>
    <w:rsid w:val="000E20E3"/>
    <w:rsid w:val="000E2158"/>
    <w:rsid w:val="000E223F"/>
    <w:rsid w:val="000E2356"/>
    <w:rsid w:val="000E2383"/>
    <w:rsid w:val="000E2724"/>
    <w:rsid w:val="000E2951"/>
    <w:rsid w:val="000E2A66"/>
    <w:rsid w:val="000E2D44"/>
    <w:rsid w:val="000E3285"/>
    <w:rsid w:val="000E3506"/>
    <w:rsid w:val="000E3606"/>
    <w:rsid w:val="000E36A6"/>
    <w:rsid w:val="000E3D7D"/>
    <w:rsid w:val="000E4099"/>
    <w:rsid w:val="000E4112"/>
    <w:rsid w:val="000E419E"/>
    <w:rsid w:val="000E41C6"/>
    <w:rsid w:val="000E4290"/>
    <w:rsid w:val="000E459E"/>
    <w:rsid w:val="000E466E"/>
    <w:rsid w:val="000E4CB0"/>
    <w:rsid w:val="000E4E77"/>
    <w:rsid w:val="000E4EC1"/>
    <w:rsid w:val="000E52AE"/>
    <w:rsid w:val="000E5819"/>
    <w:rsid w:val="000E5B18"/>
    <w:rsid w:val="000E5B83"/>
    <w:rsid w:val="000E5C78"/>
    <w:rsid w:val="000E6439"/>
    <w:rsid w:val="000E656A"/>
    <w:rsid w:val="000E66D1"/>
    <w:rsid w:val="000E66EF"/>
    <w:rsid w:val="000E66FD"/>
    <w:rsid w:val="000E6745"/>
    <w:rsid w:val="000E6883"/>
    <w:rsid w:val="000E696C"/>
    <w:rsid w:val="000E6AFC"/>
    <w:rsid w:val="000E6BED"/>
    <w:rsid w:val="000E6C8B"/>
    <w:rsid w:val="000E7055"/>
    <w:rsid w:val="000E713B"/>
    <w:rsid w:val="000E720F"/>
    <w:rsid w:val="000E73FD"/>
    <w:rsid w:val="000E7418"/>
    <w:rsid w:val="000E7495"/>
    <w:rsid w:val="000E7660"/>
    <w:rsid w:val="000E7810"/>
    <w:rsid w:val="000E7853"/>
    <w:rsid w:val="000E7948"/>
    <w:rsid w:val="000E7A8D"/>
    <w:rsid w:val="000E7DA0"/>
    <w:rsid w:val="000E7DB6"/>
    <w:rsid w:val="000F026E"/>
    <w:rsid w:val="000F0602"/>
    <w:rsid w:val="000F067E"/>
    <w:rsid w:val="000F07AC"/>
    <w:rsid w:val="000F0CB4"/>
    <w:rsid w:val="000F0D01"/>
    <w:rsid w:val="000F0F8B"/>
    <w:rsid w:val="000F0FE7"/>
    <w:rsid w:val="000F172A"/>
    <w:rsid w:val="000F1A6D"/>
    <w:rsid w:val="000F1D3F"/>
    <w:rsid w:val="000F1D42"/>
    <w:rsid w:val="000F1E19"/>
    <w:rsid w:val="000F2176"/>
    <w:rsid w:val="000F2288"/>
    <w:rsid w:val="000F26BE"/>
    <w:rsid w:val="000F26FE"/>
    <w:rsid w:val="000F278B"/>
    <w:rsid w:val="000F2915"/>
    <w:rsid w:val="000F2CCB"/>
    <w:rsid w:val="000F2CE0"/>
    <w:rsid w:val="000F2CF0"/>
    <w:rsid w:val="000F2E69"/>
    <w:rsid w:val="000F2EA2"/>
    <w:rsid w:val="000F339D"/>
    <w:rsid w:val="000F370E"/>
    <w:rsid w:val="000F3BA8"/>
    <w:rsid w:val="000F3C7C"/>
    <w:rsid w:val="000F3E17"/>
    <w:rsid w:val="000F3F54"/>
    <w:rsid w:val="000F4122"/>
    <w:rsid w:val="000F43F5"/>
    <w:rsid w:val="000F45EF"/>
    <w:rsid w:val="000F4C76"/>
    <w:rsid w:val="000F4F8A"/>
    <w:rsid w:val="000F50E2"/>
    <w:rsid w:val="000F524F"/>
    <w:rsid w:val="000F5353"/>
    <w:rsid w:val="000F555F"/>
    <w:rsid w:val="000F5594"/>
    <w:rsid w:val="000F55FA"/>
    <w:rsid w:val="000F566E"/>
    <w:rsid w:val="000F5903"/>
    <w:rsid w:val="000F5A3A"/>
    <w:rsid w:val="000F5C33"/>
    <w:rsid w:val="000F5D12"/>
    <w:rsid w:val="000F5D9F"/>
    <w:rsid w:val="000F5F63"/>
    <w:rsid w:val="000F6207"/>
    <w:rsid w:val="000F63B2"/>
    <w:rsid w:val="000F6487"/>
    <w:rsid w:val="000F65C5"/>
    <w:rsid w:val="000F668D"/>
    <w:rsid w:val="000F6905"/>
    <w:rsid w:val="000F6B11"/>
    <w:rsid w:val="000F6C7B"/>
    <w:rsid w:val="000F6FEF"/>
    <w:rsid w:val="000F701F"/>
    <w:rsid w:val="000F72AF"/>
    <w:rsid w:val="000F72C4"/>
    <w:rsid w:val="000F75EC"/>
    <w:rsid w:val="000F768E"/>
    <w:rsid w:val="000F77E4"/>
    <w:rsid w:val="000F77F7"/>
    <w:rsid w:val="000F7C68"/>
    <w:rsid w:val="000F7D23"/>
    <w:rsid w:val="000F7F84"/>
    <w:rsid w:val="00100259"/>
    <w:rsid w:val="001002CF"/>
    <w:rsid w:val="00100311"/>
    <w:rsid w:val="00100A01"/>
    <w:rsid w:val="00100E2F"/>
    <w:rsid w:val="00101013"/>
    <w:rsid w:val="00101846"/>
    <w:rsid w:val="001018C2"/>
    <w:rsid w:val="00101C78"/>
    <w:rsid w:val="00101CF8"/>
    <w:rsid w:val="00101DF5"/>
    <w:rsid w:val="00101EAC"/>
    <w:rsid w:val="00102505"/>
    <w:rsid w:val="001026F5"/>
    <w:rsid w:val="00102831"/>
    <w:rsid w:val="00102996"/>
    <w:rsid w:val="00102BC8"/>
    <w:rsid w:val="00102CDB"/>
    <w:rsid w:val="00102F92"/>
    <w:rsid w:val="00103245"/>
    <w:rsid w:val="0010326C"/>
    <w:rsid w:val="001033DF"/>
    <w:rsid w:val="00103604"/>
    <w:rsid w:val="0010370A"/>
    <w:rsid w:val="00103841"/>
    <w:rsid w:val="0010397D"/>
    <w:rsid w:val="00103A59"/>
    <w:rsid w:val="00103ABD"/>
    <w:rsid w:val="00103E87"/>
    <w:rsid w:val="00103F6B"/>
    <w:rsid w:val="00103FBB"/>
    <w:rsid w:val="001040CA"/>
    <w:rsid w:val="001040E3"/>
    <w:rsid w:val="001048B9"/>
    <w:rsid w:val="001048D3"/>
    <w:rsid w:val="00104FE4"/>
    <w:rsid w:val="00105085"/>
    <w:rsid w:val="00105310"/>
    <w:rsid w:val="001055C4"/>
    <w:rsid w:val="00105800"/>
    <w:rsid w:val="00105A5B"/>
    <w:rsid w:val="00105B1D"/>
    <w:rsid w:val="00105EE3"/>
    <w:rsid w:val="001061E8"/>
    <w:rsid w:val="001061F4"/>
    <w:rsid w:val="00106322"/>
    <w:rsid w:val="001065F5"/>
    <w:rsid w:val="0010663A"/>
    <w:rsid w:val="001066C2"/>
    <w:rsid w:val="001069EA"/>
    <w:rsid w:val="00106D31"/>
    <w:rsid w:val="00106DA2"/>
    <w:rsid w:val="00106E24"/>
    <w:rsid w:val="0010722C"/>
    <w:rsid w:val="001073B1"/>
    <w:rsid w:val="001074F4"/>
    <w:rsid w:val="0010759E"/>
    <w:rsid w:val="0010789F"/>
    <w:rsid w:val="001078C1"/>
    <w:rsid w:val="001079EE"/>
    <w:rsid w:val="00107C3D"/>
    <w:rsid w:val="00107EBE"/>
    <w:rsid w:val="001102C1"/>
    <w:rsid w:val="00110640"/>
    <w:rsid w:val="001109CB"/>
    <w:rsid w:val="00110C65"/>
    <w:rsid w:val="00110E79"/>
    <w:rsid w:val="001112A0"/>
    <w:rsid w:val="00111C44"/>
    <w:rsid w:val="00111F33"/>
    <w:rsid w:val="00112229"/>
    <w:rsid w:val="0011242E"/>
    <w:rsid w:val="0011289F"/>
    <w:rsid w:val="00112C08"/>
    <w:rsid w:val="00112D4F"/>
    <w:rsid w:val="00113149"/>
    <w:rsid w:val="0011317B"/>
    <w:rsid w:val="0011336C"/>
    <w:rsid w:val="0011352D"/>
    <w:rsid w:val="00113556"/>
    <w:rsid w:val="0011363F"/>
    <w:rsid w:val="00113776"/>
    <w:rsid w:val="00113876"/>
    <w:rsid w:val="00113BEC"/>
    <w:rsid w:val="00113BFA"/>
    <w:rsid w:val="00113CB1"/>
    <w:rsid w:val="00113F96"/>
    <w:rsid w:val="00114194"/>
    <w:rsid w:val="001143B3"/>
    <w:rsid w:val="0011457F"/>
    <w:rsid w:val="00114719"/>
    <w:rsid w:val="00114ABD"/>
    <w:rsid w:val="0011502C"/>
    <w:rsid w:val="00115136"/>
    <w:rsid w:val="001151F0"/>
    <w:rsid w:val="0011530B"/>
    <w:rsid w:val="001155E6"/>
    <w:rsid w:val="0011560D"/>
    <w:rsid w:val="001156DF"/>
    <w:rsid w:val="001157CF"/>
    <w:rsid w:val="0011584F"/>
    <w:rsid w:val="001158C9"/>
    <w:rsid w:val="00115B30"/>
    <w:rsid w:val="00115BFD"/>
    <w:rsid w:val="00115CBE"/>
    <w:rsid w:val="00115D4B"/>
    <w:rsid w:val="00115E7B"/>
    <w:rsid w:val="00115F0A"/>
    <w:rsid w:val="00115F33"/>
    <w:rsid w:val="00115FF1"/>
    <w:rsid w:val="001160C4"/>
    <w:rsid w:val="00116429"/>
    <w:rsid w:val="0011665C"/>
    <w:rsid w:val="001166DB"/>
    <w:rsid w:val="0011679A"/>
    <w:rsid w:val="001169DE"/>
    <w:rsid w:val="00116BD7"/>
    <w:rsid w:val="00116CB0"/>
    <w:rsid w:val="00116DF5"/>
    <w:rsid w:val="00116E75"/>
    <w:rsid w:val="001171B6"/>
    <w:rsid w:val="001171F9"/>
    <w:rsid w:val="001172C7"/>
    <w:rsid w:val="0011749B"/>
    <w:rsid w:val="00117660"/>
    <w:rsid w:val="00117863"/>
    <w:rsid w:val="00117868"/>
    <w:rsid w:val="00117A8A"/>
    <w:rsid w:val="00117B49"/>
    <w:rsid w:val="00117F31"/>
    <w:rsid w:val="00120100"/>
    <w:rsid w:val="001201BB"/>
    <w:rsid w:val="0012047C"/>
    <w:rsid w:val="001204D5"/>
    <w:rsid w:val="00120777"/>
    <w:rsid w:val="00120ABF"/>
    <w:rsid w:val="00120B45"/>
    <w:rsid w:val="00120B55"/>
    <w:rsid w:val="00120B9A"/>
    <w:rsid w:val="00120BED"/>
    <w:rsid w:val="00120C95"/>
    <w:rsid w:val="00120EDE"/>
    <w:rsid w:val="0012118B"/>
    <w:rsid w:val="001212AE"/>
    <w:rsid w:val="00121414"/>
    <w:rsid w:val="001218F8"/>
    <w:rsid w:val="0012200B"/>
    <w:rsid w:val="00122209"/>
    <w:rsid w:val="0012248E"/>
    <w:rsid w:val="001225FC"/>
    <w:rsid w:val="001226A4"/>
    <w:rsid w:val="001231D5"/>
    <w:rsid w:val="00123274"/>
    <w:rsid w:val="001233AC"/>
    <w:rsid w:val="001238EF"/>
    <w:rsid w:val="00123DB1"/>
    <w:rsid w:val="00123DB8"/>
    <w:rsid w:val="00123F32"/>
    <w:rsid w:val="001240A4"/>
    <w:rsid w:val="0012412F"/>
    <w:rsid w:val="00124407"/>
    <w:rsid w:val="0012460F"/>
    <w:rsid w:val="0012476C"/>
    <w:rsid w:val="00124829"/>
    <w:rsid w:val="0012487D"/>
    <w:rsid w:val="001248E1"/>
    <w:rsid w:val="00124E4A"/>
    <w:rsid w:val="00125285"/>
    <w:rsid w:val="001252D3"/>
    <w:rsid w:val="0012563A"/>
    <w:rsid w:val="0012572A"/>
    <w:rsid w:val="00125AE8"/>
    <w:rsid w:val="00125CD6"/>
    <w:rsid w:val="00125D8A"/>
    <w:rsid w:val="00125DDA"/>
    <w:rsid w:val="00125E67"/>
    <w:rsid w:val="00125FD6"/>
    <w:rsid w:val="00126075"/>
    <w:rsid w:val="00126098"/>
    <w:rsid w:val="00126126"/>
    <w:rsid w:val="00126224"/>
    <w:rsid w:val="001262D9"/>
    <w:rsid w:val="0012646D"/>
    <w:rsid w:val="00126494"/>
    <w:rsid w:val="0012670C"/>
    <w:rsid w:val="00126978"/>
    <w:rsid w:val="0012716A"/>
    <w:rsid w:val="001271D1"/>
    <w:rsid w:val="00127359"/>
    <w:rsid w:val="001275CC"/>
    <w:rsid w:val="0012768A"/>
    <w:rsid w:val="00127705"/>
    <w:rsid w:val="00127AD8"/>
    <w:rsid w:val="00127CEC"/>
    <w:rsid w:val="00127F1F"/>
    <w:rsid w:val="00130680"/>
    <w:rsid w:val="00130C84"/>
    <w:rsid w:val="00130CFF"/>
    <w:rsid w:val="00130E39"/>
    <w:rsid w:val="00130FA3"/>
    <w:rsid w:val="001313AA"/>
    <w:rsid w:val="001313FD"/>
    <w:rsid w:val="00131683"/>
    <w:rsid w:val="00131AD0"/>
    <w:rsid w:val="00131CD6"/>
    <w:rsid w:val="00131EE3"/>
    <w:rsid w:val="001321B1"/>
    <w:rsid w:val="001329D1"/>
    <w:rsid w:val="00132F5A"/>
    <w:rsid w:val="00133105"/>
    <w:rsid w:val="00133381"/>
    <w:rsid w:val="00133484"/>
    <w:rsid w:val="0013370A"/>
    <w:rsid w:val="00133749"/>
    <w:rsid w:val="0013376E"/>
    <w:rsid w:val="00133899"/>
    <w:rsid w:val="0013394A"/>
    <w:rsid w:val="00133D90"/>
    <w:rsid w:val="00133EA7"/>
    <w:rsid w:val="00134026"/>
    <w:rsid w:val="001344A9"/>
    <w:rsid w:val="001345ED"/>
    <w:rsid w:val="00134C4B"/>
    <w:rsid w:val="00134D23"/>
    <w:rsid w:val="00134D7E"/>
    <w:rsid w:val="00134E52"/>
    <w:rsid w:val="00135014"/>
    <w:rsid w:val="00135246"/>
    <w:rsid w:val="00135645"/>
    <w:rsid w:val="00135C93"/>
    <w:rsid w:val="00135F0D"/>
    <w:rsid w:val="00135F26"/>
    <w:rsid w:val="0013601C"/>
    <w:rsid w:val="00136B77"/>
    <w:rsid w:val="00136C83"/>
    <w:rsid w:val="00136E78"/>
    <w:rsid w:val="0013711C"/>
    <w:rsid w:val="001375DC"/>
    <w:rsid w:val="00137704"/>
    <w:rsid w:val="00137905"/>
    <w:rsid w:val="0013799D"/>
    <w:rsid w:val="00137ED6"/>
    <w:rsid w:val="0014018E"/>
    <w:rsid w:val="0014039C"/>
    <w:rsid w:val="00140988"/>
    <w:rsid w:val="00140C8C"/>
    <w:rsid w:val="00141353"/>
    <w:rsid w:val="0014140A"/>
    <w:rsid w:val="00141418"/>
    <w:rsid w:val="001415BA"/>
    <w:rsid w:val="00141639"/>
    <w:rsid w:val="001418AA"/>
    <w:rsid w:val="0014195C"/>
    <w:rsid w:val="00141CA7"/>
    <w:rsid w:val="00141FD4"/>
    <w:rsid w:val="00142011"/>
    <w:rsid w:val="0014205E"/>
    <w:rsid w:val="00142231"/>
    <w:rsid w:val="00142627"/>
    <w:rsid w:val="001426B6"/>
    <w:rsid w:val="001429F5"/>
    <w:rsid w:val="00142A7E"/>
    <w:rsid w:val="00142BC0"/>
    <w:rsid w:val="00142C5B"/>
    <w:rsid w:val="00142CBE"/>
    <w:rsid w:val="00142E88"/>
    <w:rsid w:val="00142EF3"/>
    <w:rsid w:val="001432ED"/>
    <w:rsid w:val="00143377"/>
    <w:rsid w:val="00143696"/>
    <w:rsid w:val="001438EA"/>
    <w:rsid w:val="0014391C"/>
    <w:rsid w:val="001439AD"/>
    <w:rsid w:val="00143B0D"/>
    <w:rsid w:val="00143C0C"/>
    <w:rsid w:val="00143E0E"/>
    <w:rsid w:val="00144354"/>
    <w:rsid w:val="00144369"/>
    <w:rsid w:val="001443F4"/>
    <w:rsid w:val="00144865"/>
    <w:rsid w:val="00144A40"/>
    <w:rsid w:val="00144AE1"/>
    <w:rsid w:val="00144B25"/>
    <w:rsid w:val="00144BE6"/>
    <w:rsid w:val="00144FBB"/>
    <w:rsid w:val="00145022"/>
    <w:rsid w:val="0014591B"/>
    <w:rsid w:val="00145A0D"/>
    <w:rsid w:val="00145A43"/>
    <w:rsid w:val="00145CD8"/>
    <w:rsid w:val="001463C3"/>
    <w:rsid w:val="00146468"/>
    <w:rsid w:val="001467AB"/>
    <w:rsid w:val="001468E4"/>
    <w:rsid w:val="00146909"/>
    <w:rsid w:val="001469C2"/>
    <w:rsid w:val="00147061"/>
    <w:rsid w:val="0014735F"/>
    <w:rsid w:val="001474D3"/>
    <w:rsid w:val="001475F4"/>
    <w:rsid w:val="001476CB"/>
    <w:rsid w:val="00147881"/>
    <w:rsid w:val="001478EA"/>
    <w:rsid w:val="00147964"/>
    <w:rsid w:val="00147D99"/>
    <w:rsid w:val="0015059D"/>
    <w:rsid w:val="001507EB"/>
    <w:rsid w:val="001508FB"/>
    <w:rsid w:val="00150B01"/>
    <w:rsid w:val="00150E36"/>
    <w:rsid w:val="00150F5F"/>
    <w:rsid w:val="00150FA3"/>
    <w:rsid w:val="001510B0"/>
    <w:rsid w:val="001514E7"/>
    <w:rsid w:val="0015185D"/>
    <w:rsid w:val="00151901"/>
    <w:rsid w:val="00151A79"/>
    <w:rsid w:val="00151B41"/>
    <w:rsid w:val="00151B64"/>
    <w:rsid w:val="00151D34"/>
    <w:rsid w:val="00151E6B"/>
    <w:rsid w:val="00151F03"/>
    <w:rsid w:val="00152191"/>
    <w:rsid w:val="0015275A"/>
    <w:rsid w:val="0015279D"/>
    <w:rsid w:val="00152E8F"/>
    <w:rsid w:val="00153066"/>
    <w:rsid w:val="001531DB"/>
    <w:rsid w:val="001534FB"/>
    <w:rsid w:val="001539C9"/>
    <w:rsid w:val="00154796"/>
    <w:rsid w:val="0015487C"/>
    <w:rsid w:val="00154C8D"/>
    <w:rsid w:val="00154D33"/>
    <w:rsid w:val="0015506B"/>
    <w:rsid w:val="0015507A"/>
    <w:rsid w:val="001553BC"/>
    <w:rsid w:val="001557B0"/>
    <w:rsid w:val="00155AED"/>
    <w:rsid w:val="00155BE3"/>
    <w:rsid w:val="00155FF2"/>
    <w:rsid w:val="00156019"/>
    <w:rsid w:val="00156105"/>
    <w:rsid w:val="001563FF"/>
    <w:rsid w:val="001566DF"/>
    <w:rsid w:val="00156739"/>
    <w:rsid w:val="00156749"/>
    <w:rsid w:val="00156760"/>
    <w:rsid w:val="0015698F"/>
    <w:rsid w:val="00156BEC"/>
    <w:rsid w:val="00156D65"/>
    <w:rsid w:val="00156F5A"/>
    <w:rsid w:val="00157066"/>
    <w:rsid w:val="0015707F"/>
    <w:rsid w:val="00157CF9"/>
    <w:rsid w:val="00157F55"/>
    <w:rsid w:val="00157F8A"/>
    <w:rsid w:val="00160086"/>
    <w:rsid w:val="00160581"/>
    <w:rsid w:val="001605AC"/>
    <w:rsid w:val="00160646"/>
    <w:rsid w:val="00160899"/>
    <w:rsid w:val="00160948"/>
    <w:rsid w:val="00160980"/>
    <w:rsid w:val="00160BF3"/>
    <w:rsid w:val="00160D76"/>
    <w:rsid w:val="00160E13"/>
    <w:rsid w:val="00160FA7"/>
    <w:rsid w:val="001610C2"/>
    <w:rsid w:val="001612D8"/>
    <w:rsid w:val="00161DBE"/>
    <w:rsid w:val="00161EB7"/>
    <w:rsid w:val="00161EEE"/>
    <w:rsid w:val="00161FC1"/>
    <w:rsid w:val="00162584"/>
    <w:rsid w:val="00162C62"/>
    <w:rsid w:val="00162D7B"/>
    <w:rsid w:val="00162EA8"/>
    <w:rsid w:val="001631A1"/>
    <w:rsid w:val="001632DF"/>
    <w:rsid w:val="00163385"/>
    <w:rsid w:val="001636EF"/>
    <w:rsid w:val="0016393E"/>
    <w:rsid w:val="00163959"/>
    <w:rsid w:val="00163B0D"/>
    <w:rsid w:val="00163E44"/>
    <w:rsid w:val="001640FB"/>
    <w:rsid w:val="001646AC"/>
    <w:rsid w:val="001647C9"/>
    <w:rsid w:val="001647E5"/>
    <w:rsid w:val="00164CBE"/>
    <w:rsid w:val="001653A3"/>
    <w:rsid w:val="001654E5"/>
    <w:rsid w:val="001654EF"/>
    <w:rsid w:val="0016557A"/>
    <w:rsid w:val="001655D5"/>
    <w:rsid w:val="00165766"/>
    <w:rsid w:val="00165AA4"/>
    <w:rsid w:val="00165D29"/>
    <w:rsid w:val="00165DF2"/>
    <w:rsid w:val="001665A2"/>
    <w:rsid w:val="00166897"/>
    <w:rsid w:val="001668D3"/>
    <w:rsid w:val="001668EF"/>
    <w:rsid w:val="00166C3B"/>
    <w:rsid w:val="00166DA7"/>
    <w:rsid w:val="00166E93"/>
    <w:rsid w:val="0016707F"/>
    <w:rsid w:val="001670A3"/>
    <w:rsid w:val="001673C0"/>
    <w:rsid w:val="00167423"/>
    <w:rsid w:val="001675CF"/>
    <w:rsid w:val="00167661"/>
    <w:rsid w:val="0016772B"/>
    <w:rsid w:val="001677A7"/>
    <w:rsid w:val="0016785A"/>
    <w:rsid w:val="00167918"/>
    <w:rsid w:val="00167AE6"/>
    <w:rsid w:val="00167CDE"/>
    <w:rsid w:val="00170038"/>
    <w:rsid w:val="001701E7"/>
    <w:rsid w:val="0017028C"/>
    <w:rsid w:val="001702C3"/>
    <w:rsid w:val="00170488"/>
    <w:rsid w:val="001706E0"/>
    <w:rsid w:val="00170767"/>
    <w:rsid w:val="00170853"/>
    <w:rsid w:val="00170952"/>
    <w:rsid w:val="00170BB6"/>
    <w:rsid w:val="00170CEA"/>
    <w:rsid w:val="00170D80"/>
    <w:rsid w:val="001711C1"/>
    <w:rsid w:val="00171320"/>
    <w:rsid w:val="001717A9"/>
    <w:rsid w:val="0017189A"/>
    <w:rsid w:val="001719A1"/>
    <w:rsid w:val="00171A4C"/>
    <w:rsid w:val="00171C19"/>
    <w:rsid w:val="00171EAC"/>
    <w:rsid w:val="001721E7"/>
    <w:rsid w:val="0017221F"/>
    <w:rsid w:val="0017251B"/>
    <w:rsid w:val="00172544"/>
    <w:rsid w:val="0017279E"/>
    <w:rsid w:val="00172A58"/>
    <w:rsid w:val="00172A6A"/>
    <w:rsid w:val="00172AE4"/>
    <w:rsid w:val="00172BBF"/>
    <w:rsid w:val="00172D8B"/>
    <w:rsid w:val="00173156"/>
    <w:rsid w:val="00173724"/>
    <w:rsid w:val="001739D7"/>
    <w:rsid w:val="00173A04"/>
    <w:rsid w:val="00173A28"/>
    <w:rsid w:val="00174237"/>
    <w:rsid w:val="00174294"/>
    <w:rsid w:val="001742A1"/>
    <w:rsid w:val="0017431E"/>
    <w:rsid w:val="00174D1C"/>
    <w:rsid w:val="00174F89"/>
    <w:rsid w:val="00175110"/>
    <w:rsid w:val="00175298"/>
    <w:rsid w:val="001753EF"/>
    <w:rsid w:val="001754DE"/>
    <w:rsid w:val="00175524"/>
    <w:rsid w:val="001756A5"/>
    <w:rsid w:val="0017597F"/>
    <w:rsid w:val="00175AC7"/>
    <w:rsid w:val="00176208"/>
    <w:rsid w:val="001763C2"/>
    <w:rsid w:val="0017651E"/>
    <w:rsid w:val="0017666C"/>
    <w:rsid w:val="0017721D"/>
    <w:rsid w:val="001772A2"/>
    <w:rsid w:val="001772C0"/>
    <w:rsid w:val="001774FC"/>
    <w:rsid w:val="00177586"/>
    <w:rsid w:val="00177759"/>
    <w:rsid w:val="00177935"/>
    <w:rsid w:val="001779DB"/>
    <w:rsid w:val="00177A8E"/>
    <w:rsid w:val="00177A9E"/>
    <w:rsid w:val="00177AB9"/>
    <w:rsid w:val="00177AF1"/>
    <w:rsid w:val="00177C13"/>
    <w:rsid w:val="00177ECC"/>
    <w:rsid w:val="00177EEC"/>
    <w:rsid w:val="00177F6F"/>
    <w:rsid w:val="00180290"/>
    <w:rsid w:val="001803D9"/>
    <w:rsid w:val="001805EA"/>
    <w:rsid w:val="00180789"/>
    <w:rsid w:val="0018086F"/>
    <w:rsid w:val="00180AC2"/>
    <w:rsid w:val="0018122A"/>
    <w:rsid w:val="00181541"/>
    <w:rsid w:val="00181542"/>
    <w:rsid w:val="00181607"/>
    <w:rsid w:val="00181818"/>
    <w:rsid w:val="00181C85"/>
    <w:rsid w:val="00181CB8"/>
    <w:rsid w:val="00181CF4"/>
    <w:rsid w:val="00181D10"/>
    <w:rsid w:val="00181D96"/>
    <w:rsid w:val="00182051"/>
    <w:rsid w:val="001820DC"/>
    <w:rsid w:val="0018214F"/>
    <w:rsid w:val="001821D3"/>
    <w:rsid w:val="0018233E"/>
    <w:rsid w:val="00182481"/>
    <w:rsid w:val="001824D8"/>
    <w:rsid w:val="00182DA5"/>
    <w:rsid w:val="00182EA1"/>
    <w:rsid w:val="0018357D"/>
    <w:rsid w:val="001837A4"/>
    <w:rsid w:val="00183C22"/>
    <w:rsid w:val="00183DDA"/>
    <w:rsid w:val="00183E43"/>
    <w:rsid w:val="0018415A"/>
    <w:rsid w:val="00184332"/>
    <w:rsid w:val="0018470F"/>
    <w:rsid w:val="00184829"/>
    <w:rsid w:val="00184CEB"/>
    <w:rsid w:val="00184E53"/>
    <w:rsid w:val="00184FE0"/>
    <w:rsid w:val="001850A7"/>
    <w:rsid w:val="00185224"/>
    <w:rsid w:val="00185396"/>
    <w:rsid w:val="00185687"/>
    <w:rsid w:val="00185763"/>
    <w:rsid w:val="00185860"/>
    <w:rsid w:val="001858DE"/>
    <w:rsid w:val="00185A03"/>
    <w:rsid w:val="00185B06"/>
    <w:rsid w:val="00185B6B"/>
    <w:rsid w:val="00185D99"/>
    <w:rsid w:val="00185FC3"/>
    <w:rsid w:val="001864C9"/>
    <w:rsid w:val="001865CC"/>
    <w:rsid w:val="001866C4"/>
    <w:rsid w:val="00186733"/>
    <w:rsid w:val="00186756"/>
    <w:rsid w:val="001868C6"/>
    <w:rsid w:val="00186C3E"/>
    <w:rsid w:val="00186F04"/>
    <w:rsid w:val="0018704C"/>
    <w:rsid w:val="001874E6"/>
    <w:rsid w:val="001874F9"/>
    <w:rsid w:val="0018754F"/>
    <w:rsid w:val="001876DA"/>
    <w:rsid w:val="00187B40"/>
    <w:rsid w:val="00187B51"/>
    <w:rsid w:val="00187B5B"/>
    <w:rsid w:val="00187DEF"/>
    <w:rsid w:val="0019003C"/>
    <w:rsid w:val="0019028C"/>
    <w:rsid w:val="001907F2"/>
    <w:rsid w:val="0019098B"/>
    <w:rsid w:val="001909A2"/>
    <w:rsid w:val="00190C2C"/>
    <w:rsid w:val="00190CC4"/>
    <w:rsid w:val="00190E94"/>
    <w:rsid w:val="0019108B"/>
    <w:rsid w:val="00191298"/>
    <w:rsid w:val="00191697"/>
    <w:rsid w:val="001923E2"/>
    <w:rsid w:val="00192645"/>
    <w:rsid w:val="0019264F"/>
    <w:rsid w:val="00192688"/>
    <w:rsid w:val="00192715"/>
    <w:rsid w:val="00192779"/>
    <w:rsid w:val="001927FC"/>
    <w:rsid w:val="00192A8E"/>
    <w:rsid w:val="00192D14"/>
    <w:rsid w:val="00192F41"/>
    <w:rsid w:val="0019305B"/>
    <w:rsid w:val="00193112"/>
    <w:rsid w:val="00193239"/>
    <w:rsid w:val="00193675"/>
    <w:rsid w:val="00193689"/>
    <w:rsid w:val="001937E1"/>
    <w:rsid w:val="00193882"/>
    <w:rsid w:val="00193EE1"/>
    <w:rsid w:val="00194094"/>
    <w:rsid w:val="0019415A"/>
    <w:rsid w:val="001943D5"/>
    <w:rsid w:val="001946E1"/>
    <w:rsid w:val="001948B5"/>
    <w:rsid w:val="00194930"/>
    <w:rsid w:val="00194CFA"/>
    <w:rsid w:val="0019588B"/>
    <w:rsid w:val="001959A7"/>
    <w:rsid w:val="00195EFE"/>
    <w:rsid w:val="00195F14"/>
    <w:rsid w:val="0019613F"/>
    <w:rsid w:val="00196230"/>
    <w:rsid w:val="00196256"/>
    <w:rsid w:val="00196596"/>
    <w:rsid w:val="0019662B"/>
    <w:rsid w:val="00196672"/>
    <w:rsid w:val="00196786"/>
    <w:rsid w:val="00197613"/>
    <w:rsid w:val="00197AA1"/>
    <w:rsid w:val="00197EB8"/>
    <w:rsid w:val="001A0372"/>
    <w:rsid w:val="001A038F"/>
    <w:rsid w:val="001A0459"/>
    <w:rsid w:val="001A045E"/>
    <w:rsid w:val="001A0565"/>
    <w:rsid w:val="001A0723"/>
    <w:rsid w:val="001A07D5"/>
    <w:rsid w:val="001A0DE7"/>
    <w:rsid w:val="001A11E8"/>
    <w:rsid w:val="001A12A8"/>
    <w:rsid w:val="001A14DB"/>
    <w:rsid w:val="001A1F73"/>
    <w:rsid w:val="001A2132"/>
    <w:rsid w:val="001A21E8"/>
    <w:rsid w:val="001A253D"/>
    <w:rsid w:val="001A26AA"/>
    <w:rsid w:val="001A279E"/>
    <w:rsid w:val="001A287A"/>
    <w:rsid w:val="001A28CC"/>
    <w:rsid w:val="001A2951"/>
    <w:rsid w:val="001A2F48"/>
    <w:rsid w:val="001A3138"/>
    <w:rsid w:val="001A3449"/>
    <w:rsid w:val="001A3484"/>
    <w:rsid w:val="001A3BA1"/>
    <w:rsid w:val="001A3CA8"/>
    <w:rsid w:val="001A3CEF"/>
    <w:rsid w:val="001A41F4"/>
    <w:rsid w:val="001A421B"/>
    <w:rsid w:val="001A434B"/>
    <w:rsid w:val="001A455F"/>
    <w:rsid w:val="001A46B2"/>
    <w:rsid w:val="001A47D7"/>
    <w:rsid w:val="001A4B2E"/>
    <w:rsid w:val="001A4BB6"/>
    <w:rsid w:val="001A4EDC"/>
    <w:rsid w:val="001A5095"/>
    <w:rsid w:val="001A526F"/>
    <w:rsid w:val="001A528F"/>
    <w:rsid w:val="001A5321"/>
    <w:rsid w:val="001A5356"/>
    <w:rsid w:val="001A58B5"/>
    <w:rsid w:val="001A59AF"/>
    <w:rsid w:val="001A5B78"/>
    <w:rsid w:val="001A5F36"/>
    <w:rsid w:val="001A5F88"/>
    <w:rsid w:val="001A6094"/>
    <w:rsid w:val="001A6133"/>
    <w:rsid w:val="001A61CC"/>
    <w:rsid w:val="001A664D"/>
    <w:rsid w:val="001A6B64"/>
    <w:rsid w:val="001A6DAB"/>
    <w:rsid w:val="001A7122"/>
    <w:rsid w:val="001A71F3"/>
    <w:rsid w:val="001A7201"/>
    <w:rsid w:val="001A72DF"/>
    <w:rsid w:val="001A735A"/>
    <w:rsid w:val="001A7541"/>
    <w:rsid w:val="001A759E"/>
    <w:rsid w:val="001A75D6"/>
    <w:rsid w:val="001A7795"/>
    <w:rsid w:val="001A7882"/>
    <w:rsid w:val="001A7893"/>
    <w:rsid w:val="001A7991"/>
    <w:rsid w:val="001A79A7"/>
    <w:rsid w:val="001A7B8E"/>
    <w:rsid w:val="001A7BE3"/>
    <w:rsid w:val="001A7D87"/>
    <w:rsid w:val="001B005B"/>
    <w:rsid w:val="001B0095"/>
    <w:rsid w:val="001B0431"/>
    <w:rsid w:val="001B07CD"/>
    <w:rsid w:val="001B0A70"/>
    <w:rsid w:val="001B1023"/>
    <w:rsid w:val="001B15D5"/>
    <w:rsid w:val="001B1635"/>
    <w:rsid w:val="001B1D72"/>
    <w:rsid w:val="001B1FCE"/>
    <w:rsid w:val="001B2254"/>
    <w:rsid w:val="001B2535"/>
    <w:rsid w:val="001B29B1"/>
    <w:rsid w:val="001B2A86"/>
    <w:rsid w:val="001B2B6A"/>
    <w:rsid w:val="001B2CA9"/>
    <w:rsid w:val="001B329A"/>
    <w:rsid w:val="001B3339"/>
    <w:rsid w:val="001B3483"/>
    <w:rsid w:val="001B3520"/>
    <w:rsid w:val="001B3574"/>
    <w:rsid w:val="001B3A78"/>
    <w:rsid w:val="001B3E65"/>
    <w:rsid w:val="001B3EF5"/>
    <w:rsid w:val="001B41B6"/>
    <w:rsid w:val="001B4275"/>
    <w:rsid w:val="001B42B3"/>
    <w:rsid w:val="001B4387"/>
    <w:rsid w:val="001B444A"/>
    <w:rsid w:val="001B4567"/>
    <w:rsid w:val="001B4884"/>
    <w:rsid w:val="001B488F"/>
    <w:rsid w:val="001B4960"/>
    <w:rsid w:val="001B4B70"/>
    <w:rsid w:val="001B4CC1"/>
    <w:rsid w:val="001B4D0D"/>
    <w:rsid w:val="001B4FF0"/>
    <w:rsid w:val="001B5004"/>
    <w:rsid w:val="001B5484"/>
    <w:rsid w:val="001B56E5"/>
    <w:rsid w:val="001B57CD"/>
    <w:rsid w:val="001B5CA2"/>
    <w:rsid w:val="001B5D0A"/>
    <w:rsid w:val="001B5ED4"/>
    <w:rsid w:val="001B6356"/>
    <w:rsid w:val="001B6591"/>
    <w:rsid w:val="001B665B"/>
    <w:rsid w:val="001B674D"/>
    <w:rsid w:val="001B6BF3"/>
    <w:rsid w:val="001B6CAA"/>
    <w:rsid w:val="001B6DF3"/>
    <w:rsid w:val="001B6F82"/>
    <w:rsid w:val="001B70B5"/>
    <w:rsid w:val="001B70E2"/>
    <w:rsid w:val="001B712A"/>
    <w:rsid w:val="001B71EE"/>
    <w:rsid w:val="001B75DA"/>
    <w:rsid w:val="001B7681"/>
    <w:rsid w:val="001B7848"/>
    <w:rsid w:val="001B7927"/>
    <w:rsid w:val="001B7954"/>
    <w:rsid w:val="001B79C6"/>
    <w:rsid w:val="001B7EE8"/>
    <w:rsid w:val="001B7F3E"/>
    <w:rsid w:val="001B7FC7"/>
    <w:rsid w:val="001C00A6"/>
    <w:rsid w:val="001C015C"/>
    <w:rsid w:val="001C07B6"/>
    <w:rsid w:val="001C0A14"/>
    <w:rsid w:val="001C0B05"/>
    <w:rsid w:val="001C0DB1"/>
    <w:rsid w:val="001C0F23"/>
    <w:rsid w:val="001C12C2"/>
    <w:rsid w:val="001C15AC"/>
    <w:rsid w:val="001C162A"/>
    <w:rsid w:val="001C2160"/>
    <w:rsid w:val="001C23D7"/>
    <w:rsid w:val="001C24A9"/>
    <w:rsid w:val="001C24C3"/>
    <w:rsid w:val="001C276F"/>
    <w:rsid w:val="001C2B02"/>
    <w:rsid w:val="001C2E1D"/>
    <w:rsid w:val="001C304E"/>
    <w:rsid w:val="001C30B9"/>
    <w:rsid w:val="001C3713"/>
    <w:rsid w:val="001C376C"/>
    <w:rsid w:val="001C37E3"/>
    <w:rsid w:val="001C384E"/>
    <w:rsid w:val="001C3958"/>
    <w:rsid w:val="001C3974"/>
    <w:rsid w:val="001C3B80"/>
    <w:rsid w:val="001C3CD6"/>
    <w:rsid w:val="001C3ECD"/>
    <w:rsid w:val="001C405E"/>
    <w:rsid w:val="001C41A7"/>
    <w:rsid w:val="001C4600"/>
    <w:rsid w:val="001C4654"/>
    <w:rsid w:val="001C4945"/>
    <w:rsid w:val="001C498E"/>
    <w:rsid w:val="001C4B30"/>
    <w:rsid w:val="001C4D6A"/>
    <w:rsid w:val="001C4DB7"/>
    <w:rsid w:val="001C4FE5"/>
    <w:rsid w:val="001C534B"/>
    <w:rsid w:val="001C56B1"/>
    <w:rsid w:val="001C56C6"/>
    <w:rsid w:val="001C575B"/>
    <w:rsid w:val="001C575F"/>
    <w:rsid w:val="001C5787"/>
    <w:rsid w:val="001C5F1C"/>
    <w:rsid w:val="001C6140"/>
    <w:rsid w:val="001C66F9"/>
    <w:rsid w:val="001C670F"/>
    <w:rsid w:val="001C6719"/>
    <w:rsid w:val="001C695D"/>
    <w:rsid w:val="001C698A"/>
    <w:rsid w:val="001C6A8A"/>
    <w:rsid w:val="001C6AA7"/>
    <w:rsid w:val="001C6AF0"/>
    <w:rsid w:val="001C6C38"/>
    <w:rsid w:val="001C6E53"/>
    <w:rsid w:val="001C6EBB"/>
    <w:rsid w:val="001C75D8"/>
    <w:rsid w:val="001C7747"/>
    <w:rsid w:val="001C7C47"/>
    <w:rsid w:val="001C7CD2"/>
    <w:rsid w:val="001D00ED"/>
    <w:rsid w:val="001D0212"/>
    <w:rsid w:val="001D03C3"/>
    <w:rsid w:val="001D0471"/>
    <w:rsid w:val="001D07B3"/>
    <w:rsid w:val="001D09A4"/>
    <w:rsid w:val="001D0D2C"/>
    <w:rsid w:val="001D1622"/>
    <w:rsid w:val="001D1917"/>
    <w:rsid w:val="001D1B6E"/>
    <w:rsid w:val="001D1E1F"/>
    <w:rsid w:val="001D1F75"/>
    <w:rsid w:val="001D21AD"/>
    <w:rsid w:val="001D2207"/>
    <w:rsid w:val="001D2621"/>
    <w:rsid w:val="001D26A8"/>
    <w:rsid w:val="001D274F"/>
    <w:rsid w:val="001D2771"/>
    <w:rsid w:val="001D27DC"/>
    <w:rsid w:val="001D2962"/>
    <w:rsid w:val="001D29F6"/>
    <w:rsid w:val="001D2C6B"/>
    <w:rsid w:val="001D2CD9"/>
    <w:rsid w:val="001D2CEA"/>
    <w:rsid w:val="001D2E54"/>
    <w:rsid w:val="001D2E9F"/>
    <w:rsid w:val="001D2EC7"/>
    <w:rsid w:val="001D31F9"/>
    <w:rsid w:val="001D3780"/>
    <w:rsid w:val="001D387A"/>
    <w:rsid w:val="001D3E76"/>
    <w:rsid w:val="001D44F5"/>
    <w:rsid w:val="001D4819"/>
    <w:rsid w:val="001D4906"/>
    <w:rsid w:val="001D49C0"/>
    <w:rsid w:val="001D4D8D"/>
    <w:rsid w:val="001D4F1E"/>
    <w:rsid w:val="001D4FFE"/>
    <w:rsid w:val="001D506A"/>
    <w:rsid w:val="001D54E5"/>
    <w:rsid w:val="001D5718"/>
    <w:rsid w:val="001D58AD"/>
    <w:rsid w:val="001D5C79"/>
    <w:rsid w:val="001D5CE0"/>
    <w:rsid w:val="001D5DD6"/>
    <w:rsid w:val="001D62F0"/>
    <w:rsid w:val="001D683D"/>
    <w:rsid w:val="001D6864"/>
    <w:rsid w:val="001D69F2"/>
    <w:rsid w:val="001D6B9F"/>
    <w:rsid w:val="001D6C00"/>
    <w:rsid w:val="001D7045"/>
    <w:rsid w:val="001D7267"/>
    <w:rsid w:val="001D73A7"/>
    <w:rsid w:val="001D7432"/>
    <w:rsid w:val="001D75D0"/>
    <w:rsid w:val="001D774F"/>
    <w:rsid w:val="001D784E"/>
    <w:rsid w:val="001D7A74"/>
    <w:rsid w:val="001D7CA7"/>
    <w:rsid w:val="001D7D97"/>
    <w:rsid w:val="001D7E60"/>
    <w:rsid w:val="001E011B"/>
    <w:rsid w:val="001E030C"/>
    <w:rsid w:val="001E0323"/>
    <w:rsid w:val="001E0A36"/>
    <w:rsid w:val="001E101C"/>
    <w:rsid w:val="001E153B"/>
    <w:rsid w:val="001E1694"/>
    <w:rsid w:val="001E179B"/>
    <w:rsid w:val="001E183B"/>
    <w:rsid w:val="001E191C"/>
    <w:rsid w:val="001E1A5C"/>
    <w:rsid w:val="001E1A88"/>
    <w:rsid w:val="001E1B03"/>
    <w:rsid w:val="001E1F5F"/>
    <w:rsid w:val="001E2291"/>
    <w:rsid w:val="001E2C31"/>
    <w:rsid w:val="001E2EA4"/>
    <w:rsid w:val="001E300D"/>
    <w:rsid w:val="001E303C"/>
    <w:rsid w:val="001E31D9"/>
    <w:rsid w:val="001E3727"/>
    <w:rsid w:val="001E3863"/>
    <w:rsid w:val="001E3E6E"/>
    <w:rsid w:val="001E41B2"/>
    <w:rsid w:val="001E42E5"/>
    <w:rsid w:val="001E431A"/>
    <w:rsid w:val="001E431C"/>
    <w:rsid w:val="001E4B8F"/>
    <w:rsid w:val="001E4D6A"/>
    <w:rsid w:val="001E4DE0"/>
    <w:rsid w:val="001E4E62"/>
    <w:rsid w:val="001E500A"/>
    <w:rsid w:val="001E501D"/>
    <w:rsid w:val="001E50C7"/>
    <w:rsid w:val="001E5472"/>
    <w:rsid w:val="001E560E"/>
    <w:rsid w:val="001E5824"/>
    <w:rsid w:val="001E5BA2"/>
    <w:rsid w:val="001E60E7"/>
    <w:rsid w:val="001E651B"/>
    <w:rsid w:val="001E65B0"/>
    <w:rsid w:val="001E6681"/>
    <w:rsid w:val="001E6776"/>
    <w:rsid w:val="001E6BA5"/>
    <w:rsid w:val="001E6C76"/>
    <w:rsid w:val="001E6C96"/>
    <w:rsid w:val="001E6CCB"/>
    <w:rsid w:val="001E6F94"/>
    <w:rsid w:val="001E717C"/>
    <w:rsid w:val="001E72D9"/>
    <w:rsid w:val="001E75C4"/>
    <w:rsid w:val="001E76BE"/>
    <w:rsid w:val="001E775F"/>
    <w:rsid w:val="001E776B"/>
    <w:rsid w:val="001E777C"/>
    <w:rsid w:val="001E779D"/>
    <w:rsid w:val="001E77A5"/>
    <w:rsid w:val="001E787D"/>
    <w:rsid w:val="001E7BAA"/>
    <w:rsid w:val="001E7DDF"/>
    <w:rsid w:val="001F02DC"/>
    <w:rsid w:val="001F03B8"/>
    <w:rsid w:val="001F04F7"/>
    <w:rsid w:val="001F050E"/>
    <w:rsid w:val="001F0C79"/>
    <w:rsid w:val="001F1202"/>
    <w:rsid w:val="001F1220"/>
    <w:rsid w:val="001F1301"/>
    <w:rsid w:val="001F1329"/>
    <w:rsid w:val="001F15C2"/>
    <w:rsid w:val="001F16B1"/>
    <w:rsid w:val="001F18CD"/>
    <w:rsid w:val="001F1E12"/>
    <w:rsid w:val="001F1F16"/>
    <w:rsid w:val="001F2208"/>
    <w:rsid w:val="001F27D0"/>
    <w:rsid w:val="001F28B0"/>
    <w:rsid w:val="001F2989"/>
    <w:rsid w:val="001F2AB6"/>
    <w:rsid w:val="001F2D0A"/>
    <w:rsid w:val="001F2DCF"/>
    <w:rsid w:val="001F2EB0"/>
    <w:rsid w:val="001F2ECE"/>
    <w:rsid w:val="001F2FA8"/>
    <w:rsid w:val="001F3053"/>
    <w:rsid w:val="001F308A"/>
    <w:rsid w:val="001F3189"/>
    <w:rsid w:val="001F3202"/>
    <w:rsid w:val="001F3340"/>
    <w:rsid w:val="001F3506"/>
    <w:rsid w:val="001F3799"/>
    <w:rsid w:val="001F387A"/>
    <w:rsid w:val="001F391F"/>
    <w:rsid w:val="001F3CC2"/>
    <w:rsid w:val="001F3CF2"/>
    <w:rsid w:val="001F3F3D"/>
    <w:rsid w:val="001F3FE5"/>
    <w:rsid w:val="001F407C"/>
    <w:rsid w:val="001F4160"/>
    <w:rsid w:val="001F41E6"/>
    <w:rsid w:val="001F4214"/>
    <w:rsid w:val="001F4346"/>
    <w:rsid w:val="001F43D1"/>
    <w:rsid w:val="001F47C1"/>
    <w:rsid w:val="001F4C29"/>
    <w:rsid w:val="001F4D2D"/>
    <w:rsid w:val="001F4D57"/>
    <w:rsid w:val="001F4DC2"/>
    <w:rsid w:val="001F4F7D"/>
    <w:rsid w:val="001F52E7"/>
    <w:rsid w:val="001F5597"/>
    <w:rsid w:val="001F55D8"/>
    <w:rsid w:val="001F55E4"/>
    <w:rsid w:val="001F565B"/>
    <w:rsid w:val="001F573D"/>
    <w:rsid w:val="001F579A"/>
    <w:rsid w:val="001F5855"/>
    <w:rsid w:val="001F5A14"/>
    <w:rsid w:val="001F5A45"/>
    <w:rsid w:val="001F5D5F"/>
    <w:rsid w:val="001F5E34"/>
    <w:rsid w:val="001F5E7D"/>
    <w:rsid w:val="001F61A0"/>
    <w:rsid w:val="001F62BB"/>
    <w:rsid w:val="001F62D4"/>
    <w:rsid w:val="001F6639"/>
    <w:rsid w:val="001F69D9"/>
    <w:rsid w:val="001F6B17"/>
    <w:rsid w:val="001F70B7"/>
    <w:rsid w:val="001F72F2"/>
    <w:rsid w:val="001F745A"/>
    <w:rsid w:val="001F7544"/>
    <w:rsid w:val="001F75F4"/>
    <w:rsid w:val="001F7768"/>
    <w:rsid w:val="001F78E6"/>
    <w:rsid w:val="001F7C16"/>
    <w:rsid w:val="001F7D18"/>
    <w:rsid w:val="001F7DED"/>
    <w:rsid w:val="001F7FCA"/>
    <w:rsid w:val="00200455"/>
    <w:rsid w:val="002009EE"/>
    <w:rsid w:val="00200C81"/>
    <w:rsid w:val="00200D8B"/>
    <w:rsid w:val="00200DA7"/>
    <w:rsid w:val="00200E68"/>
    <w:rsid w:val="00200F47"/>
    <w:rsid w:val="0020170C"/>
    <w:rsid w:val="00201864"/>
    <w:rsid w:val="00201AA3"/>
    <w:rsid w:val="00201C30"/>
    <w:rsid w:val="00201D77"/>
    <w:rsid w:val="0020232D"/>
    <w:rsid w:val="00202675"/>
    <w:rsid w:val="002027ED"/>
    <w:rsid w:val="00202D8D"/>
    <w:rsid w:val="00202D97"/>
    <w:rsid w:val="00203015"/>
    <w:rsid w:val="002032CD"/>
    <w:rsid w:val="00203363"/>
    <w:rsid w:val="00203386"/>
    <w:rsid w:val="00203807"/>
    <w:rsid w:val="00203AA8"/>
    <w:rsid w:val="00203EA2"/>
    <w:rsid w:val="00204099"/>
    <w:rsid w:val="00204136"/>
    <w:rsid w:val="002043B8"/>
    <w:rsid w:val="00204467"/>
    <w:rsid w:val="0020477C"/>
    <w:rsid w:val="002048B7"/>
    <w:rsid w:val="002051CF"/>
    <w:rsid w:val="00205252"/>
    <w:rsid w:val="00205334"/>
    <w:rsid w:val="00205342"/>
    <w:rsid w:val="002054A8"/>
    <w:rsid w:val="00205788"/>
    <w:rsid w:val="00205907"/>
    <w:rsid w:val="00205A9B"/>
    <w:rsid w:val="00205BA4"/>
    <w:rsid w:val="0020620C"/>
    <w:rsid w:val="002062E3"/>
    <w:rsid w:val="002063A8"/>
    <w:rsid w:val="0020699E"/>
    <w:rsid w:val="00206B16"/>
    <w:rsid w:val="00206C74"/>
    <w:rsid w:val="00206EA6"/>
    <w:rsid w:val="00206FA2"/>
    <w:rsid w:val="00207141"/>
    <w:rsid w:val="002075A9"/>
    <w:rsid w:val="0020771D"/>
    <w:rsid w:val="00207856"/>
    <w:rsid w:val="002079E5"/>
    <w:rsid w:val="00207F33"/>
    <w:rsid w:val="00210250"/>
    <w:rsid w:val="0021027B"/>
    <w:rsid w:val="002103B2"/>
    <w:rsid w:val="0021070E"/>
    <w:rsid w:val="002107DC"/>
    <w:rsid w:val="00210819"/>
    <w:rsid w:val="00210878"/>
    <w:rsid w:val="0021095E"/>
    <w:rsid w:val="002109AE"/>
    <w:rsid w:val="00210ABB"/>
    <w:rsid w:val="00210B00"/>
    <w:rsid w:val="00210B35"/>
    <w:rsid w:val="00210C8F"/>
    <w:rsid w:val="00210CC9"/>
    <w:rsid w:val="002110EC"/>
    <w:rsid w:val="002114B9"/>
    <w:rsid w:val="002115C1"/>
    <w:rsid w:val="0021187E"/>
    <w:rsid w:val="00211913"/>
    <w:rsid w:val="002119C6"/>
    <w:rsid w:val="00211D13"/>
    <w:rsid w:val="00211E0A"/>
    <w:rsid w:val="00211F5D"/>
    <w:rsid w:val="002123B7"/>
    <w:rsid w:val="00212827"/>
    <w:rsid w:val="00212893"/>
    <w:rsid w:val="0021296C"/>
    <w:rsid w:val="00212A69"/>
    <w:rsid w:val="00212C64"/>
    <w:rsid w:val="00212CC9"/>
    <w:rsid w:val="00212E38"/>
    <w:rsid w:val="002130D7"/>
    <w:rsid w:val="00213634"/>
    <w:rsid w:val="002137DB"/>
    <w:rsid w:val="00213882"/>
    <w:rsid w:val="00213CDB"/>
    <w:rsid w:val="0021419C"/>
    <w:rsid w:val="0021430D"/>
    <w:rsid w:val="00214311"/>
    <w:rsid w:val="0021468C"/>
    <w:rsid w:val="00214837"/>
    <w:rsid w:val="002148DF"/>
    <w:rsid w:val="00214A8C"/>
    <w:rsid w:val="00214B5A"/>
    <w:rsid w:val="00214D99"/>
    <w:rsid w:val="0021506E"/>
    <w:rsid w:val="002150C8"/>
    <w:rsid w:val="002150CB"/>
    <w:rsid w:val="002150E9"/>
    <w:rsid w:val="002151C3"/>
    <w:rsid w:val="00215971"/>
    <w:rsid w:val="00215A47"/>
    <w:rsid w:val="00215E22"/>
    <w:rsid w:val="00216045"/>
    <w:rsid w:val="00216090"/>
    <w:rsid w:val="002163BF"/>
    <w:rsid w:val="0021652F"/>
    <w:rsid w:val="002165A6"/>
    <w:rsid w:val="00216A24"/>
    <w:rsid w:val="00216A33"/>
    <w:rsid w:val="00216BED"/>
    <w:rsid w:val="00216C2B"/>
    <w:rsid w:val="00216D2A"/>
    <w:rsid w:val="00216E06"/>
    <w:rsid w:val="00216F56"/>
    <w:rsid w:val="00216F88"/>
    <w:rsid w:val="00216FC2"/>
    <w:rsid w:val="0021714D"/>
    <w:rsid w:val="00217196"/>
    <w:rsid w:val="002174B3"/>
    <w:rsid w:val="0021751E"/>
    <w:rsid w:val="00217523"/>
    <w:rsid w:val="00217616"/>
    <w:rsid w:val="00217918"/>
    <w:rsid w:val="00217DCE"/>
    <w:rsid w:val="00217DDB"/>
    <w:rsid w:val="00217E76"/>
    <w:rsid w:val="002200E5"/>
    <w:rsid w:val="002207B7"/>
    <w:rsid w:val="00220825"/>
    <w:rsid w:val="00220827"/>
    <w:rsid w:val="002209C2"/>
    <w:rsid w:val="00220CF8"/>
    <w:rsid w:val="0022101E"/>
    <w:rsid w:val="002211DB"/>
    <w:rsid w:val="00221279"/>
    <w:rsid w:val="002212BB"/>
    <w:rsid w:val="0022147C"/>
    <w:rsid w:val="00221ABA"/>
    <w:rsid w:val="00221BC5"/>
    <w:rsid w:val="00221BF0"/>
    <w:rsid w:val="00221D10"/>
    <w:rsid w:val="00221ECE"/>
    <w:rsid w:val="00221EE9"/>
    <w:rsid w:val="00221FB7"/>
    <w:rsid w:val="0022205D"/>
    <w:rsid w:val="0022232F"/>
    <w:rsid w:val="002224A1"/>
    <w:rsid w:val="00222525"/>
    <w:rsid w:val="00222AE6"/>
    <w:rsid w:val="002232A7"/>
    <w:rsid w:val="00223353"/>
    <w:rsid w:val="002233A7"/>
    <w:rsid w:val="002233E1"/>
    <w:rsid w:val="00223593"/>
    <w:rsid w:val="00223600"/>
    <w:rsid w:val="00223604"/>
    <w:rsid w:val="0022363A"/>
    <w:rsid w:val="00223C19"/>
    <w:rsid w:val="00223C27"/>
    <w:rsid w:val="002241C2"/>
    <w:rsid w:val="00224633"/>
    <w:rsid w:val="0022472D"/>
    <w:rsid w:val="00224859"/>
    <w:rsid w:val="00224BEF"/>
    <w:rsid w:val="00225171"/>
    <w:rsid w:val="002252EF"/>
    <w:rsid w:val="0022551D"/>
    <w:rsid w:val="00225737"/>
    <w:rsid w:val="0022575F"/>
    <w:rsid w:val="00225827"/>
    <w:rsid w:val="00225853"/>
    <w:rsid w:val="002258F3"/>
    <w:rsid w:val="00225DCF"/>
    <w:rsid w:val="00226041"/>
    <w:rsid w:val="0022604D"/>
    <w:rsid w:val="002261B6"/>
    <w:rsid w:val="002268E0"/>
    <w:rsid w:val="00226BD2"/>
    <w:rsid w:val="00226CCF"/>
    <w:rsid w:val="00226CD8"/>
    <w:rsid w:val="00226E48"/>
    <w:rsid w:val="00226EBC"/>
    <w:rsid w:val="00226EC6"/>
    <w:rsid w:val="0022731B"/>
    <w:rsid w:val="0022748F"/>
    <w:rsid w:val="0022766E"/>
    <w:rsid w:val="002276C8"/>
    <w:rsid w:val="00227983"/>
    <w:rsid w:val="002279EB"/>
    <w:rsid w:val="00227A33"/>
    <w:rsid w:val="00227AC6"/>
    <w:rsid w:val="00227B0A"/>
    <w:rsid w:val="00227EAB"/>
    <w:rsid w:val="002300F1"/>
    <w:rsid w:val="002301CA"/>
    <w:rsid w:val="002305F3"/>
    <w:rsid w:val="00230645"/>
    <w:rsid w:val="0023066A"/>
    <w:rsid w:val="00230899"/>
    <w:rsid w:val="00230C67"/>
    <w:rsid w:val="00230D6A"/>
    <w:rsid w:val="002312EE"/>
    <w:rsid w:val="002316EF"/>
    <w:rsid w:val="002318C1"/>
    <w:rsid w:val="002318D0"/>
    <w:rsid w:val="00231A91"/>
    <w:rsid w:val="00231BD1"/>
    <w:rsid w:val="00231F30"/>
    <w:rsid w:val="00231F9D"/>
    <w:rsid w:val="0023215D"/>
    <w:rsid w:val="0023242C"/>
    <w:rsid w:val="0023265E"/>
    <w:rsid w:val="00232733"/>
    <w:rsid w:val="00232824"/>
    <w:rsid w:val="002329BB"/>
    <w:rsid w:val="00232A8E"/>
    <w:rsid w:val="00233098"/>
    <w:rsid w:val="0023334A"/>
    <w:rsid w:val="002333D7"/>
    <w:rsid w:val="002334F8"/>
    <w:rsid w:val="002335CB"/>
    <w:rsid w:val="00233BEB"/>
    <w:rsid w:val="00233CAD"/>
    <w:rsid w:val="00233DA7"/>
    <w:rsid w:val="00233DC7"/>
    <w:rsid w:val="00233EC8"/>
    <w:rsid w:val="00233F5F"/>
    <w:rsid w:val="00234054"/>
    <w:rsid w:val="00234107"/>
    <w:rsid w:val="00234367"/>
    <w:rsid w:val="002343DC"/>
    <w:rsid w:val="00234480"/>
    <w:rsid w:val="00234749"/>
    <w:rsid w:val="00234890"/>
    <w:rsid w:val="002348C4"/>
    <w:rsid w:val="00234A3B"/>
    <w:rsid w:val="00234E6A"/>
    <w:rsid w:val="00234EA8"/>
    <w:rsid w:val="002354FC"/>
    <w:rsid w:val="00235539"/>
    <w:rsid w:val="002357AA"/>
    <w:rsid w:val="002358FC"/>
    <w:rsid w:val="002359AD"/>
    <w:rsid w:val="00235A9F"/>
    <w:rsid w:val="0023610A"/>
    <w:rsid w:val="002361D4"/>
    <w:rsid w:val="00236D58"/>
    <w:rsid w:val="00236D77"/>
    <w:rsid w:val="00236F4C"/>
    <w:rsid w:val="00237216"/>
    <w:rsid w:val="00237219"/>
    <w:rsid w:val="002373D4"/>
    <w:rsid w:val="00237520"/>
    <w:rsid w:val="0023776F"/>
    <w:rsid w:val="00237E21"/>
    <w:rsid w:val="00237E3B"/>
    <w:rsid w:val="00237EEA"/>
    <w:rsid w:val="00237F05"/>
    <w:rsid w:val="00237FC8"/>
    <w:rsid w:val="0024014E"/>
    <w:rsid w:val="0024018F"/>
    <w:rsid w:val="0024025D"/>
    <w:rsid w:val="00240485"/>
    <w:rsid w:val="002405C3"/>
    <w:rsid w:val="00240795"/>
    <w:rsid w:val="00240B78"/>
    <w:rsid w:val="00240C2E"/>
    <w:rsid w:val="00240FAE"/>
    <w:rsid w:val="00241831"/>
    <w:rsid w:val="002418DD"/>
    <w:rsid w:val="002419B0"/>
    <w:rsid w:val="00241CBE"/>
    <w:rsid w:val="00241D80"/>
    <w:rsid w:val="00242423"/>
    <w:rsid w:val="002424A7"/>
    <w:rsid w:val="002428BF"/>
    <w:rsid w:val="0024298B"/>
    <w:rsid w:val="00242CCA"/>
    <w:rsid w:val="00242D99"/>
    <w:rsid w:val="002430DD"/>
    <w:rsid w:val="0024327B"/>
    <w:rsid w:val="002433B9"/>
    <w:rsid w:val="0024357B"/>
    <w:rsid w:val="00243ABD"/>
    <w:rsid w:val="00243C45"/>
    <w:rsid w:val="00243C54"/>
    <w:rsid w:val="00243D0F"/>
    <w:rsid w:val="00243D17"/>
    <w:rsid w:val="00243DD1"/>
    <w:rsid w:val="00243E45"/>
    <w:rsid w:val="00244017"/>
    <w:rsid w:val="002440B0"/>
    <w:rsid w:val="00244310"/>
    <w:rsid w:val="00244415"/>
    <w:rsid w:val="00244479"/>
    <w:rsid w:val="00244CDC"/>
    <w:rsid w:val="0024534C"/>
    <w:rsid w:val="002459F2"/>
    <w:rsid w:val="00245A15"/>
    <w:rsid w:val="00245C70"/>
    <w:rsid w:val="00245E4B"/>
    <w:rsid w:val="002460B8"/>
    <w:rsid w:val="002460CC"/>
    <w:rsid w:val="00246192"/>
    <w:rsid w:val="00246279"/>
    <w:rsid w:val="002463F8"/>
    <w:rsid w:val="0024669B"/>
    <w:rsid w:val="00246885"/>
    <w:rsid w:val="002469E1"/>
    <w:rsid w:val="00246B56"/>
    <w:rsid w:val="00246BE8"/>
    <w:rsid w:val="00246E70"/>
    <w:rsid w:val="00246E83"/>
    <w:rsid w:val="0024722A"/>
    <w:rsid w:val="00247508"/>
    <w:rsid w:val="002476D2"/>
    <w:rsid w:val="002476F9"/>
    <w:rsid w:val="0024772C"/>
    <w:rsid w:val="00247779"/>
    <w:rsid w:val="002478A0"/>
    <w:rsid w:val="0024796A"/>
    <w:rsid w:val="00247A6D"/>
    <w:rsid w:val="00247DC5"/>
    <w:rsid w:val="00247E33"/>
    <w:rsid w:val="00250275"/>
    <w:rsid w:val="002503F9"/>
    <w:rsid w:val="002504B7"/>
    <w:rsid w:val="00250538"/>
    <w:rsid w:val="00250680"/>
    <w:rsid w:val="002507CF"/>
    <w:rsid w:val="00250CB1"/>
    <w:rsid w:val="00250CC6"/>
    <w:rsid w:val="0025121D"/>
    <w:rsid w:val="00251255"/>
    <w:rsid w:val="00251385"/>
    <w:rsid w:val="00251697"/>
    <w:rsid w:val="00251840"/>
    <w:rsid w:val="0025191F"/>
    <w:rsid w:val="00251A30"/>
    <w:rsid w:val="00251EA7"/>
    <w:rsid w:val="00251F02"/>
    <w:rsid w:val="00251F20"/>
    <w:rsid w:val="00251F83"/>
    <w:rsid w:val="002522C0"/>
    <w:rsid w:val="0025234D"/>
    <w:rsid w:val="002524F8"/>
    <w:rsid w:val="00252733"/>
    <w:rsid w:val="002528F0"/>
    <w:rsid w:val="00252AAA"/>
    <w:rsid w:val="00252AF9"/>
    <w:rsid w:val="00252BB7"/>
    <w:rsid w:val="00252C54"/>
    <w:rsid w:val="00252D66"/>
    <w:rsid w:val="002530EB"/>
    <w:rsid w:val="002531C9"/>
    <w:rsid w:val="002532F6"/>
    <w:rsid w:val="002537C9"/>
    <w:rsid w:val="00253969"/>
    <w:rsid w:val="00253990"/>
    <w:rsid w:val="00253A99"/>
    <w:rsid w:val="00253EAF"/>
    <w:rsid w:val="002543F9"/>
    <w:rsid w:val="0025453D"/>
    <w:rsid w:val="00254AD0"/>
    <w:rsid w:val="00254B66"/>
    <w:rsid w:val="0025520B"/>
    <w:rsid w:val="002554D5"/>
    <w:rsid w:val="0025577A"/>
    <w:rsid w:val="002558EA"/>
    <w:rsid w:val="00255A4F"/>
    <w:rsid w:val="00255B20"/>
    <w:rsid w:val="00255C06"/>
    <w:rsid w:val="00255D86"/>
    <w:rsid w:val="00255DDB"/>
    <w:rsid w:val="00255F4F"/>
    <w:rsid w:val="00256183"/>
    <w:rsid w:val="002563DE"/>
    <w:rsid w:val="00256952"/>
    <w:rsid w:val="00256AD4"/>
    <w:rsid w:val="00256B69"/>
    <w:rsid w:val="00256D8E"/>
    <w:rsid w:val="00256DC5"/>
    <w:rsid w:val="00256F6B"/>
    <w:rsid w:val="0025717C"/>
    <w:rsid w:val="002572A5"/>
    <w:rsid w:val="002572F3"/>
    <w:rsid w:val="002573A3"/>
    <w:rsid w:val="0025797E"/>
    <w:rsid w:val="002579C8"/>
    <w:rsid w:val="00257A4C"/>
    <w:rsid w:val="00257A6D"/>
    <w:rsid w:val="00257E1C"/>
    <w:rsid w:val="00257E9D"/>
    <w:rsid w:val="00257FB6"/>
    <w:rsid w:val="00260173"/>
    <w:rsid w:val="002601E8"/>
    <w:rsid w:val="00260414"/>
    <w:rsid w:val="00260698"/>
    <w:rsid w:val="002606D3"/>
    <w:rsid w:val="00260C36"/>
    <w:rsid w:val="00260D17"/>
    <w:rsid w:val="00260DE2"/>
    <w:rsid w:val="002610B3"/>
    <w:rsid w:val="00261138"/>
    <w:rsid w:val="0026134E"/>
    <w:rsid w:val="002614BD"/>
    <w:rsid w:val="002614EF"/>
    <w:rsid w:val="0026155E"/>
    <w:rsid w:val="00261582"/>
    <w:rsid w:val="00261599"/>
    <w:rsid w:val="00261653"/>
    <w:rsid w:val="0026168E"/>
    <w:rsid w:val="00261736"/>
    <w:rsid w:val="00261844"/>
    <w:rsid w:val="002618F5"/>
    <w:rsid w:val="002619A1"/>
    <w:rsid w:val="00261C2B"/>
    <w:rsid w:val="00261DFA"/>
    <w:rsid w:val="00262400"/>
    <w:rsid w:val="00262620"/>
    <w:rsid w:val="002628D5"/>
    <w:rsid w:val="002628F7"/>
    <w:rsid w:val="00262C69"/>
    <w:rsid w:val="00262F84"/>
    <w:rsid w:val="002630E5"/>
    <w:rsid w:val="00263127"/>
    <w:rsid w:val="0026328D"/>
    <w:rsid w:val="0026373D"/>
    <w:rsid w:val="00263A1E"/>
    <w:rsid w:val="00263B98"/>
    <w:rsid w:val="00263C61"/>
    <w:rsid w:val="00263D14"/>
    <w:rsid w:val="00263E81"/>
    <w:rsid w:val="002642DB"/>
    <w:rsid w:val="0026434A"/>
    <w:rsid w:val="00264367"/>
    <w:rsid w:val="002643BE"/>
    <w:rsid w:val="0026478E"/>
    <w:rsid w:val="00264837"/>
    <w:rsid w:val="00264AE0"/>
    <w:rsid w:val="00264C4A"/>
    <w:rsid w:val="00264D6E"/>
    <w:rsid w:val="00264F8D"/>
    <w:rsid w:val="0026507F"/>
    <w:rsid w:val="002653BD"/>
    <w:rsid w:val="002654EE"/>
    <w:rsid w:val="00265A11"/>
    <w:rsid w:val="00265A31"/>
    <w:rsid w:val="00265A33"/>
    <w:rsid w:val="00265B8D"/>
    <w:rsid w:val="00265DB8"/>
    <w:rsid w:val="00266213"/>
    <w:rsid w:val="002663AB"/>
    <w:rsid w:val="002667F3"/>
    <w:rsid w:val="00266921"/>
    <w:rsid w:val="00266A0D"/>
    <w:rsid w:val="00266B99"/>
    <w:rsid w:val="00266D97"/>
    <w:rsid w:val="00267286"/>
    <w:rsid w:val="00267304"/>
    <w:rsid w:val="00267A12"/>
    <w:rsid w:val="00270195"/>
    <w:rsid w:val="002701BE"/>
    <w:rsid w:val="002701D0"/>
    <w:rsid w:val="00270316"/>
    <w:rsid w:val="00270326"/>
    <w:rsid w:val="00270413"/>
    <w:rsid w:val="00270683"/>
    <w:rsid w:val="002707F8"/>
    <w:rsid w:val="00270B33"/>
    <w:rsid w:val="00270BC0"/>
    <w:rsid w:val="0027108D"/>
    <w:rsid w:val="002712F7"/>
    <w:rsid w:val="002714E6"/>
    <w:rsid w:val="002715E2"/>
    <w:rsid w:val="00271803"/>
    <w:rsid w:val="00271810"/>
    <w:rsid w:val="00271A80"/>
    <w:rsid w:val="00271B3A"/>
    <w:rsid w:val="002720B7"/>
    <w:rsid w:val="0027216D"/>
    <w:rsid w:val="00272530"/>
    <w:rsid w:val="002725DE"/>
    <w:rsid w:val="002726F8"/>
    <w:rsid w:val="002728E6"/>
    <w:rsid w:val="00272BB7"/>
    <w:rsid w:val="00272C8D"/>
    <w:rsid w:val="00273039"/>
    <w:rsid w:val="002730DE"/>
    <w:rsid w:val="00273143"/>
    <w:rsid w:val="00273235"/>
    <w:rsid w:val="00273439"/>
    <w:rsid w:val="00273489"/>
    <w:rsid w:val="00273570"/>
    <w:rsid w:val="00273594"/>
    <w:rsid w:val="002735BC"/>
    <w:rsid w:val="00273781"/>
    <w:rsid w:val="002737D1"/>
    <w:rsid w:val="00273B45"/>
    <w:rsid w:val="00273D4A"/>
    <w:rsid w:val="00273EC0"/>
    <w:rsid w:val="00273EC2"/>
    <w:rsid w:val="00273F26"/>
    <w:rsid w:val="00273FA1"/>
    <w:rsid w:val="00274022"/>
    <w:rsid w:val="0027422F"/>
    <w:rsid w:val="00274319"/>
    <w:rsid w:val="0027455B"/>
    <w:rsid w:val="00274B15"/>
    <w:rsid w:val="00274BE1"/>
    <w:rsid w:val="00274DE3"/>
    <w:rsid w:val="00274E42"/>
    <w:rsid w:val="00275244"/>
    <w:rsid w:val="002754DC"/>
    <w:rsid w:val="0027556E"/>
    <w:rsid w:val="002757B4"/>
    <w:rsid w:val="002758FE"/>
    <w:rsid w:val="00275B3F"/>
    <w:rsid w:val="00275DFF"/>
    <w:rsid w:val="00275EAE"/>
    <w:rsid w:val="00275F55"/>
    <w:rsid w:val="002760D9"/>
    <w:rsid w:val="00276204"/>
    <w:rsid w:val="00276468"/>
    <w:rsid w:val="0027672B"/>
    <w:rsid w:val="00276928"/>
    <w:rsid w:val="00276940"/>
    <w:rsid w:val="00276C0D"/>
    <w:rsid w:val="00276C76"/>
    <w:rsid w:val="00276DD9"/>
    <w:rsid w:val="002774E7"/>
    <w:rsid w:val="00277571"/>
    <w:rsid w:val="0027777F"/>
    <w:rsid w:val="002778FD"/>
    <w:rsid w:val="002779AD"/>
    <w:rsid w:val="00277C51"/>
    <w:rsid w:val="00277E8B"/>
    <w:rsid w:val="00280141"/>
    <w:rsid w:val="00280186"/>
    <w:rsid w:val="0028019D"/>
    <w:rsid w:val="002802A5"/>
    <w:rsid w:val="00280393"/>
    <w:rsid w:val="002807D2"/>
    <w:rsid w:val="00280E81"/>
    <w:rsid w:val="00280F55"/>
    <w:rsid w:val="00280FE5"/>
    <w:rsid w:val="00281075"/>
    <w:rsid w:val="002810B6"/>
    <w:rsid w:val="002813A9"/>
    <w:rsid w:val="0028161F"/>
    <w:rsid w:val="00281701"/>
    <w:rsid w:val="0028170B"/>
    <w:rsid w:val="002817C3"/>
    <w:rsid w:val="002818A4"/>
    <w:rsid w:val="002818C2"/>
    <w:rsid w:val="00281A99"/>
    <w:rsid w:val="00281AAB"/>
    <w:rsid w:val="00281ECA"/>
    <w:rsid w:val="00281ECE"/>
    <w:rsid w:val="0028203D"/>
    <w:rsid w:val="00282098"/>
    <w:rsid w:val="002825D1"/>
    <w:rsid w:val="0028285A"/>
    <w:rsid w:val="002829A0"/>
    <w:rsid w:val="002829A1"/>
    <w:rsid w:val="00282B18"/>
    <w:rsid w:val="00282C75"/>
    <w:rsid w:val="00282C88"/>
    <w:rsid w:val="00282F33"/>
    <w:rsid w:val="00283002"/>
    <w:rsid w:val="0028321D"/>
    <w:rsid w:val="002832B9"/>
    <w:rsid w:val="00283494"/>
    <w:rsid w:val="002834C1"/>
    <w:rsid w:val="00283502"/>
    <w:rsid w:val="0028369F"/>
    <w:rsid w:val="002836B9"/>
    <w:rsid w:val="00283841"/>
    <w:rsid w:val="00283E55"/>
    <w:rsid w:val="00284135"/>
    <w:rsid w:val="00284355"/>
    <w:rsid w:val="002843DA"/>
    <w:rsid w:val="002843E7"/>
    <w:rsid w:val="0028464C"/>
    <w:rsid w:val="00284879"/>
    <w:rsid w:val="002849BF"/>
    <w:rsid w:val="00284C99"/>
    <w:rsid w:val="00284D3A"/>
    <w:rsid w:val="002852C3"/>
    <w:rsid w:val="0028553C"/>
    <w:rsid w:val="00285AF2"/>
    <w:rsid w:val="00285BEE"/>
    <w:rsid w:val="00285C83"/>
    <w:rsid w:val="00285CFF"/>
    <w:rsid w:val="00285D34"/>
    <w:rsid w:val="00286039"/>
    <w:rsid w:val="0028603F"/>
    <w:rsid w:val="002860A6"/>
    <w:rsid w:val="002860CE"/>
    <w:rsid w:val="002860E2"/>
    <w:rsid w:val="00286371"/>
    <w:rsid w:val="002865D2"/>
    <w:rsid w:val="00286709"/>
    <w:rsid w:val="00286A2F"/>
    <w:rsid w:val="00286AE3"/>
    <w:rsid w:val="00286CE8"/>
    <w:rsid w:val="00286DC2"/>
    <w:rsid w:val="00286E0D"/>
    <w:rsid w:val="0028722A"/>
    <w:rsid w:val="0028722B"/>
    <w:rsid w:val="002873DD"/>
    <w:rsid w:val="002873F4"/>
    <w:rsid w:val="00287416"/>
    <w:rsid w:val="002876AF"/>
    <w:rsid w:val="00287823"/>
    <w:rsid w:val="00287A97"/>
    <w:rsid w:val="00287B2C"/>
    <w:rsid w:val="00287D52"/>
    <w:rsid w:val="00287E6C"/>
    <w:rsid w:val="002908E0"/>
    <w:rsid w:val="00290A9B"/>
    <w:rsid w:val="00290B44"/>
    <w:rsid w:val="00290C90"/>
    <w:rsid w:val="00290E14"/>
    <w:rsid w:val="00290FD7"/>
    <w:rsid w:val="00290FE8"/>
    <w:rsid w:val="0029130A"/>
    <w:rsid w:val="0029134F"/>
    <w:rsid w:val="002913F7"/>
    <w:rsid w:val="002915B3"/>
    <w:rsid w:val="00291696"/>
    <w:rsid w:val="00291996"/>
    <w:rsid w:val="00291A46"/>
    <w:rsid w:val="00291F4D"/>
    <w:rsid w:val="0029200A"/>
    <w:rsid w:val="00292496"/>
    <w:rsid w:val="002926E0"/>
    <w:rsid w:val="002926E6"/>
    <w:rsid w:val="00292819"/>
    <w:rsid w:val="0029284A"/>
    <w:rsid w:val="00292988"/>
    <w:rsid w:val="00292B91"/>
    <w:rsid w:val="00292D15"/>
    <w:rsid w:val="00292F8D"/>
    <w:rsid w:val="00293523"/>
    <w:rsid w:val="002937FB"/>
    <w:rsid w:val="002938E4"/>
    <w:rsid w:val="002939E2"/>
    <w:rsid w:val="00293A13"/>
    <w:rsid w:val="00293BCE"/>
    <w:rsid w:val="00293C05"/>
    <w:rsid w:val="00293F14"/>
    <w:rsid w:val="002940E4"/>
    <w:rsid w:val="00294273"/>
    <w:rsid w:val="00294447"/>
    <w:rsid w:val="002946F0"/>
    <w:rsid w:val="002946F3"/>
    <w:rsid w:val="002947EA"/>
    <w:rsid w:val="00294814"/>
    <w:rsid w:val="00294B4D"/>
    <w:rsid w:val="00294D9C"/>
    <w:rsid w:val="00294F6F"/>
    <w:rsid w:val="0029519A"/>
    <w:rsid w:val="00295239"/>
    <w:rsid w:val="0029533F"/>
    <w:rsid w:val="00295529"/>
    <w:rsid w:val="00295820"/>
    <w:rsid w:val="0029585B"/>
    <w:rsid w:val="00295A74"/>
    <w:rsid w:val="00295DFF"/>
    <w:rsid w:val="00295E57"/>
    <w:rsid w:val="00295E5E"/>
    <w:rsid w:val="0029663A"/>
    <w:rsid w:val="00296895"/>
    <w:rsid w:val="002968A7"/>
    <w:rsid w:val="002969D0"/>
    <w:rsid w:val="00296AC6"/>
    <w:rsid w:val="0029733C"/>
    <w:rsid w:val="002976F4"/>
    <w:rsid w:val="0029771C"/>
    <w:rsid w:val="002977B4"/>
    <w:rsid w:val="002978CB"/>
    <w:rsid w:val="002978FB"/>
    <w:rsid w:val="00297964"/>
    <w:rsid w:val="00297A43"/>
    <w:rsid w:val="00297B16"/>
    <w:rsid w:val="00297EF9"/>
    <w:rsid w:val="002A0042"/>
    <w:rsid w:val="002A0301"/>
    <w:rsid w:val="002A0CE7"/>
    <w:rsid w:val="002A10A8"/>
    <w:rsid w:val="002A11BA"/>
    <w:rsid w:val="002A1279"/>
    <w:rsid w:val="002A1731"/>
    <w:rsid w:val="002A1893"/>
    <w:rsid w:val="002A1951"/>
    <w:rsid w:val="002A1C2A"/>
    <w:rsid w:val="002A1D63"/>
    <w:rsid w:val="002A1DC3"/>
    <w:rsid w:val="002A1E87"/>
    <w:rsid w:val="002A21EE"/>
    <w:rsid w:val="002A244B"/>
    <w:rsid w:val="002A247A"/>
    <w:rsid w:val="002A2628"/>
    <w:rsid w:val="002A2879"/>
    <w:rsid w:val="002A2AF3"/>
    <w:rsid w:val="002A2BE0"/>
    <w:rsid w:val="002A2D7D"/>
    <w:rsid w:val="002A3015"/>
    <w:rsid w:val="002A30D4"/>
    <w:rsid w:val="002A3269"/>
    <w:rsid w:val="002A38B0"/>
    <w:rsid w:val="002A3ABE"/>
    <w:rsid w:val="002A3B09"/>
    <w:rsid w:val="002A3BCA"/>
    <w:rsid w:val="002A3D9B"/>
    <w:rsid w:val="002A3DC8"/>
    <w:rsid w:val="002A3F54"/>
    <w:rsid w:val="002A40D6"/>
    <w:rsid w:val="002A420C"/>
    <w:rsid w:val="002A420E"/>
    <w:rsid w:val="002A437D"/>
    <w:rsid w:val="002A43E5"/>
    <w:rsid w:val="002A45C8"/>
    <w:rsid w:val="002A4609"/>
    <w:rsid w:val="002A478D"/>
    <w:rsid w:val="002A4C4C"/>
    <w:rsid w:val="002A4C7C"/>
    <w:rsid w:val="002A4F74"/>
    <w:rsid w:val="002A5047"/>
    <w:rsid w:val="002A5153"/>
    <w:rsid w:val="002A523A"/>
    <w:rsid w:val="002A54BD"/>
    <w:rsid w:val="002A56F6"/>
    <w:rsid w:val="002A589D"/>
    <w:rsid w:val="002A59B1"/>
    <w:rsid w:val="002A5AF3"/>
    <w:rsid w:val="002A5D0E"/>
    <w:rsid w:val="002A5DD3"/>
    <w:rsid w:val="002A5DE3"/>
    <w:rsid w:val="002A5EEE"/>
    <w:rsid w:val="002A62B2"/>
    <w:rsid w:val="002A67AF"/>
    <w:rsid w:val="002A697C"/>
    <w:rsid w:val="002A699C"/>
    <w:rsid w:val="002A69B8"/>
    <w:rsid w:val="002A6EF2"/>
    <w:rsid w:val="002A6F29"/>
    <w:rsid w:val="002A71F2"/>
    <w:rsid w:val="002A7438"/>
    <w:rsid w:val="002A757D"/>
    <w:rsid w:val="002A787F"/>
    <w:rsid w:val="002A795E"/>
    <w:rsid w:val="002A7B77"/>
    <w:rsid w:val="002A7D73"/>
    <w:rsid w:val="002A7DEA"/>
    <w:rsid w:val="002A7FD0"/>
    <w:rsid w:val="002B007A"/>
    <w:rsid w:val="002B02C2"/>
    <w:rsid w:val="002B02F5"/>
    <w:rsid w:val="002B063B"/>
    <w:rsid w:val="002B0CC9"/>
    <w:rsid w:val="002B0E0D"/>
    <w:rsid w:val="002B103D"/>
    <w:rsid w:val="002B10B4"/>
    <w:rsid w:val="002B11D6"/>
    <w:rsid w:val="002B1238"/>
    <w:rsid w:val="002B1401"/>
    <w:rsid w:val="002B1688"/>
    <w:rsid w:val="002B1898"/>
    <w:rsid w:val="002B1A95"/>
    <w:rsid w:val="002B1CDF"/>
    <w:rsid w:val="002B1D57"/>
    <w:rsid w:val="002B1E73"/>
    <w:rsid w:val="002B1F10"/>
    <w:rsid w:val="002B274B"/>
    <w:rsid w:val="002B28AC"/>
    <w:rsid w:val="002B2958"/>
    <w:rsid w:val="002B2E34"/>
    <w:rsid w:val="002B3067"/>
    <w:rsid w:val="002B30AF"/>
    <w:rsid w:val="002B350B"/>
    <w:rsid w:val="002B357C"/>
    <w:rsid w:val="002B37E9"/>
    <w:rsid w:val="002B386E"/>
    <w:rsid w:val="002B38F1"/>
    <w:rsid w:val="002B3945"/>
    <w:rsid w:val="002B3ACF"/>
    <w:rsid w:val="002B3D01"/>
    <w:rsid w:val="002B3F5A"/>
    <w:rsid w:val="002B3FF4"/>
    <w:rsid w:val="002B4399"/>
    <w:rsid w:val="002B453E"/>
    <w:rsid w:val="002B45D8"/>
    <w:rsid w:val="002B4A0A"/>
    <w:rsid w:val="002B4A50"/>
    <w:rsid w:val="002B5332"/>
    <w:rsid w:val="002B5B2C"/>
    <w:rsid w:val="002B61D2"/>
    <w:rsid w:val="002B64CA"/>
    <w:rsid w:val="002B7082"/>
    <w:rsid w:val="002B77D0"/>
    <w:rsid w:val="002B7F5D"/>
    <w:rsid w:val="002C02E7"/>
    <w:rsid w:val="002C0679"/>
    <w:rsid w:val="002C080B"/>
    <w:rsid w:val="002C0B04"/>
    <w:rsid w:val="002C0DCA"/>
    <w:rsid w:val="002C0EFF"/>
    <w:rsid w:val="002C12CF"/>
    <w:rsid w:val="002C131F"/>
    <w:rsid w:val="002C13EA"/>
    <w:rsid w:val="002C165C"/>
    <w:rsid w:val="002C215F"/>
    <w:rsid w:val="002C2162"/>
    <w:rsid w:val="002C2224"/>
    <w:rsid w:val="002C22CC"/>
    <w:rsid w:val="002C230D"/>
    <w:rsid w:val="002C24C6"/>
    <w:rsid w:val="002C2682"/>
    <w:rsid w:val="002C274A"/>
    <w:rsid w:val="002C2894"/>
    <w:rsid w:val="002C293E"/>
    <w:rsid w:val="002C2AA3"/>
    <w:rsid w:val="002C2B0F"/>
    <w:rsid w:val="002C2BF1"/>
    <w:rsid w:val="002C2DE3"/>
    <w:rsid w:val="002C326E"/>
    <w:rsid w:val="002C32C1"/>
    <w:rsid w:val="002C33F9"/>
    <w:rsid w:val="002C3484"/>
    <w:rsid w:val="002C35A0"/>
    <w:rsid w:val="002C371A"/>
    <w:rsid w:val="002C37CE"/>
    <w:rsid w:val="002C39F6"/>
    <w:rsid w:val="002C3D92"/>
    <w:rsid w:val="002C3FD7"/>
    <w:rsid w:val="002C41C6"/>
    <w:rsid w:val="002C42D1"/>
    <w:rsid w:val="002C43B6"/>
    <w:rsid w:val="002C4948"/>
    <w:rsid w:val="002C4BA7"/>
    <w:rsid w:val="002C4D27"/>
    <w:rsid w:val="002C4F41"/>
    <w:rsid w:val="002C539B"/>
    <w:rsid w:val="002C5741"/>
    <w:rsid w:val="002C591C"/>
    <w:rsid w:val="002C5D01"/>
    <w:rsid w:val="002C5DAF"/>
    <w:rsid w:val="002C609F"/>
    <w:rsid w:val="002C60A9"/>
    <w:rsid w:val="002C636A"/>
    <w:rsid w:val="002C63B2"/>
    <w:rsid w:val="002C644E"/>
    <w:rsid w:val="002C66AC"/>
    <w:rsid w:val="002C6ABD"/>
    <w:rsid w:val="002C7317"/>
    <w:rsid w:val="002C756D"/>
    <w:rsid w:val="002C75C8"/>
    <w:rsid w:val="002C78BF"/>
    <w:rsid w:val="002C7959"/>
    <w:rsid w:val="002C7ED4"/>
    <w:rsid w:val="002D004B"/>
    <w:rsid w:val="002D0127"/>
    <w:rsid w:val="002D0623"/>
    <w:rsid w:val="002D071F"/>
    <w:rsid w:val="002D0806"/>
    <w:rsid w:val="002D08ED"/>
    <w:rsid w:val="002D090C"/>
    <w:rsid w:val="002D09DC"/>
    <w:rsid w:val="002D0A78"/>
    <w:rsid w:val="002D0B59"/>
    <w:rsid w:val="002D0BCB"/>
    <w:rsid w:val="002D0EFC"/>
    <w:rsid w:val="002D105C"/>
    <w:rsid w:val="002D13FF"/>
    <w:rsid w:val="002D1412"/>
    <w:rsid w:val="002D1425"/>
    <w:rsid w:val="002D14EF"/>
    <w:rsid w:val="002D1B0B"/>
    <w:rsid w:val="002D1D9F"/>
    <w:rsid w:val="002D1DB5"/>
    <w:rsid w:val="002D1E93"/>
    <w:rsid w:val="002D1E9C"/>
    <w:rsid w:val="002D23E8"/>
    <w:rsid w:val="002D2516"/>
    <w:rsid w:val="002D28C0"/>
    <w:rsid w:val="002D2BA3"/>
    <w:rsid w:val="002D2D14"/>
    <w:rsid w:val="002D2D93"/>
    <w:rsid w:val="002D3244"/>
    <w:rsid w:val="002D329F"/>
    <w:rsid w:val="002D346C"/>
    <w:rsid w:val="002D3482"/>
    <w:rsid w:val="002D348B"/>
    <w:rsid w:val="002D374C"/>
    <w:rsid w:val="002D38F9"/>
    <w:rsid w:val="002D3980"/>
    <w:rsid w:val="002D3D8D"/>
    <w:rsid w:val="002D3DE3"/>
    <w:rsid w:val="002D3F49"/>
    <w:rsid w:val="002D4091"/>
    <w:rsid w:val="002D43E1"/>
    <w:rsid w:val="002D475C"/>
    <w:rsid w:val="002D4828"/>
    <w:rsid w:val="002D4841"/>
    <w:rsid w:val="002D4AB6"/>
    <w:rsid w:val="002D4BCB"/>
    <w:rsid w:val="002D4F44"/>
    <w:rsid w:val="002D4F82"/>
    <w:rsid w:val="002D551D"/>
    <w:rsid w:val="002D5578"/>
    <w:rsid w:val="002D5691"/>
    <w:rsid w:val="002D5716"/>
    <w:rsid w:val="002D589C"/>
    <w:rsid w:val="002D593E"/>
    <w:rsid w:val="002D5A6E"/>
    <w:rsid w:val="002D5EF3"/>
    <w:rsid w:val="002D6013"/>
    <w:rsid w:val="002D613A"/>
    <w:rsid w:val="002D626F"/>
    <w:rsid w:val="002D62AB"/>
    <w:rsid w:val="002D63A1"/>
    <w:rsid w:val="002D63B3"/>
    <w:rsid w:val="002D6B2F"/>
    <w:rsid w:val="002D6B46"/>
    <w:rsid w:val="002D6B79"/>
    <w:rsid w:val="002D6C54"/>
    <w:rsid w:val="002D6C87"/>
    <w:rsid w:val="002D6D24"/>
    <w:rsid w:val="002D6F04"/>
    <w:rsid w:val="002D7191"/>
    <w:rsid w:val="002D759E"/>
    <w:rsid w:val="002D76E2"/>
    <w:rsid w:val="002D78AC"/>
    <w:rsid w:val="002D7A08"/>
    <w:rsid w:val="002D7B16"/>
    <w:rsid w:val="002D7BCC"/>
    <w:rsid w:val="002D7D6C"/>
    <w:rsid w:val="002E0472"/>
    <w:rsid w:val="002E0588"/>
    <w:rsid w:val="002E0785"/>
    <w:rsid w:val="002E0793"/>
    <w:rsid w:val="002E08AE"/>
    <w:rsid w:val="002E097F"/>
    <w:rsid w:val="002E0999"/>
    <w:rsid w:val="002E09A4"/>
    <w:rsid w:val="002E0A3F"/>
    <w:rsid w:val="002E0BE9"/>
    <w:rsid w:val="002E117C"/>
    <w:rsid w:val="002E13B0"/>
    <w:rsid w:val="002E140E"/>
    <w:rsid w:val="002E1513"/>
    <w:rsid w:val="002E15F9"/>
    <w:rsid w:val="002E1606"/>
    <w:rsid w:val="002E179B"/>
    <w:rsid w:val="002E1993"/>
    <w:rsid w:val="002E1A12"/>
    <w:rsid w:val="002E1ADF"/>
    <w:rsid w:val="002E1B23"/>
    <w:rsid w:val="002E1CC0"/>
    <w:rsid w:val="002E1DC6"/>
    <w:rsid w:val="002E1E1E"/>
    <w:rsid w:val="002E1F33"/>
    <w:rsid w:val="002E1FC3"/>
    <w:rsid w:val="002E1FD0"/>
    <w:rsid w:val="002E20CC"/>
    <w:rsid w:val="002E254B"/>
    <w:rsid w:val="002E2587"/>
    <w:rsid w:val="002E25AD"/>
    <w:rsid w:val="002E26F1"/>
    <w:rsid w:val="002E2986"/>
    <w:rsid w:val="002E2B0D"/>
    <w:rsid w:val="002E2F3D"/>
    <w:rsid w:val="002E301D"/>
    <w:rsid w:val="002E3067"/>
    <w:rsid w:val="002E34F5"/>
    <w:rsid w:val="002E35BC"/>
    <w:rsid w:val="002E3A40"/>
    <w:rsid w:val="002E3A4A"/>
    <w:rsid w:val="002E3AEE"/>
    <w:rsid w:val="002E3BE3"/>
    <w:rsid w:val="002E3C90"/>
    <w:rsid w:val="002E3DFD"/>
    <w:rsid w:val="002E41A6"/>
    <w:rsid w:val="002E41B2"/>
    <w:rsid w:val="002E41D6"/>
    <w:rsid w:val="002E477B"/>
    <w:rsid w:val="002E47D6"/>
    <w:rsid w:val="002E482B"/>
    <w:rsid w:val="002E4BB8"/>
    <w:rsid w:val="002E4C1D"/>
    <w:rsid w:val="002E4F24"/>
    <w:rsid w:val="002E4F55"/>
    <w:rsid w:val="002E5103"/>
    <w:rsid w:val="002E53AC"/>
    <w:rsid w:val="002E53C0"/>
    <w:rsid w:val="002E5621"/>
    <w:rsid w:val="002E584A"/>
    <w:rsid w:val="002E59B4"/>
    <w:rsid w:val="002E5AA1"/>
    <w:rsid w:val="002E5B8E"/>
    <w:rsid w:val="002E5C6F"/>
    <w:rsid w:val="002E5D90"/>
    <w:rsid w:val="002E5E18"/>
    <w:rsid w:val="002E5E34"/>
    <w:rsid w:val="002E5E97"/>
    <w:rsid w:val="002E5F6E"/>
    <w:rsid w:val="002E623F"/>
    <w:rsid w:val="002E66FC"/>
    <w:rsid w:val="002E67F2"/>
    <w:rsid w:val="002E684C"/>
    <w:rsid w:val="002E6A59"/>
    <w:rsid w:val="002E6BA4"/>
    <w:rsid w:val="002E6C9F"/>
    <w:rsid w:val="002E6FA9"/>
    <w:rsid w:val="002E704E"/>
    <w:rsid w:val="002E72B8"/>
    <w:rsid w:val="002E740B"/>
    <w:rsid w:val="002E7436"/>
    <w:rsid w:val="002E74C2"/>
    <w:rsid w:val="002E7543"/>
    <w:rsid w:val="002E763E"/>
    <w:rsid w:val="002E7767"/>
    <w:rsid w:val="002E78BB"/>
    <w:rsid w:val="002E795C"/>
    <w:rsid w:val="002E7AE2"/>
    <w:rsid w:val="002E7B87"/>
    <w:rsid w:val="002E7DE0"/>
    <w:rsid w:val="002E7E1D"/>
    <w:rsid w:val="002F0125"/>
    <w:rsid w:val="002F0184"/>
    <w:rsid w:val="002F0766"/>
    <w:rsid w:val="002F0AA7"/>
    <w:rsid w:val="002F0BE0"/>
    <w:rsid w:val="002F0F49"/>
    <w:rsid w:val="002F1778"/>
    <w:rsid w:val="002F180B"/>
    <w:rsid w:val="002F1A5C"/>
    <w:rsid w:val="002F1B7E"/>
    <w:rsid w:val="002F1D03"/>
    <w:rsid w:val="002F1F53"/>
    <w:rsid w:val="002F2154"/>
    <w:rsid w:val="002F2209"/>
    <w:rsid w:val="002F2377"/>
    <w:rsid w:val="002F23E6"/>
    <w:rsid w:val="002F2653"/>
    <w:rsid w:val="002F26BA"/>
    <w:rsid w:val="002F280F"/>
    <w:rsid w:val="002F289B"/>
    <w:rsid w:val="002F295A"/>
    <w:rsid w:val="002F29A2"/>
    <w:rsid w:val="002F2C32"/>
    <w:rsid w:val="002F2D66"/>
    <w:rsid w:val="002F2DA4"/>
    <w:rsid w:val="002F302D"/>
    <w:rsid w:val="002F3055"/>
    <w:rsid w:val="002F3412"/>
    <w:rsid w:val="002F356B"/>
    <w:rsid w:val="002F360F"/>
    <w:rsid w:val="002F39D4"/>
    <w:rsid w:val="002F3A21"/>
    <w:rsid w:val="002F3AF6"/>
    <w:rsid w:val="002F3B5E"/>
    <w:rsid w:val="002F3B8D"/>
    <w:rsid w:val="002F3E3E"/>
    <w:rsid w:val="002F431E"/>
    <w:rsid w:val="002F45A6"/>
    <w:rsid w:val="002F4759"/>
    <w:rsid w:val="002F4BFF"/>
    <w:rsid w:val="002F4E42"/>
    <w:rsid w:val="002F5035"/>
    <w:rsid w:val="002F53A7"/>
    <w:rsid w:val="002F5561"/>
    <w:rsid w:val="002F56E7"/>
    <w:rsid w:val="002F5963"/>
    <w:rsid w:val="002F5981"/>
    <w:rsid w:val="002F5A92"/>
    <w:rsid w:val="002F5AF7"/>
    <w:rsid w:val="002F628A"/>
    <w:rsid w:val="002F6775"/>
    <w:rsid w:val="002F6862"/>
    <w:rsid w:val="002F693E"/>
    <w:rsid w:val="002F69E8"/>
    <w:rsid w:val="002F6FAA"/>
    <w:rsid w:val="002F71CC"/>
    <w:rsid w:val="002F7261"/>
    <w:rsid w:val="002F729D"/>
    <w:rsid w:val="002F757A"/>
    <w:rsid w:val="002F75BC"/>
    <w:rsid w:val="002F788A"/>
    <w:rsid w:val="002F78B5"/>
    <w:rsid w:val="002F7AC2"/>
    <w:rsid w:val="002F7AFC"/>
    <w:rsid w:val="002F7CF1"/>
    <w:rsid w:val="002F7DAB"/>
    <w:rsid w:val="002F7E71"/>
    <w:rsid w:val="0030019D"/>
    <w:rsid w:val="00300210"/>
    <w:rsid w:val="00300238"/>
    <w:rsid w:val="00300272"/>
    <w:rsid w:val="00300287"/>
    <w:rsid w:val="003002C4"/>
    <w:rsid w:val="00300B37"/>
    <w:rsid w:val="00300B9E"/>
    <w:rsid w:val="00300BB5"/>
    <w:rsid w:val="00300BCB"/>
    <w:rsid w:val="00300DD2"/>
    <w:rsid w:val="00300E2D"/>
    <w:rsid w:val="0030109E"/>
    <w:rsid w:val="003010B8"/>
    <w:rsid w:val="0030124D"/>
    <w:rsid w:val="003012BC"/>
    <w:rsid w:val="00301453"/>
    <w:rsid w:val="003014F0"/>
    <w:rsid w:val="00301617"/>
    <w:rsid w:val="00301B23"/>
    <w:rsid w:val="00301C1D"/>
    <w:rsid w:val="00301F32"/>
    <w:rsid w:val="00301FF1"/>
    <w:rsid w:val="003020C7"/>
    <w:rsid w:val="003024CB"/>
    <w:rsid w:val="00302BDD"/>
    <w:rsid w:val="00302EB5"/>
    <w:rsid w:val="00303168"/>
    <w:rsid w:val="00303501"/>
    <w:rsid w:val="003035D4"/>
    <w:rsid w:val="003036C5"/>
    <w:rsid w:val="00303B70"/>
    <w:rsid w:val="003040E6"/>
    <w:rsid w:val="00304299"/>
    <w:rsid w:val="003042D4"/>
    <w:rsid w:val="003042E1"/>
    <w:rsid w:val="00304374"/>
    <w:rsid w:val="00304406"/>
    <w:rsid w:val="0030475C"/>
    <w:rsid w:val="003049A3"/>
    <w:rsid w:val="00304A46"/>
    <w:rsid w:val="00304CA8"/>
    <w:rsid w:val="00304EFA"/>
    <w:rsid w:val="00304F81"/>
    <w:rsid w:val="00305268"/>
    <w:rsid w:val="0030530C"/>
    <w:rsid w:val="0030534B"/>
    <w:rsid w:val="0030537A"/>
    <w:rsid w:val="003056DA"/>
    <w:rsid w:val="00305982"/>
    <w:rsid w:val="00305D82"/>
    <w:rsid w:val="00305DD5"/>
    <w:rsid w:val="00306004"/>
    <w:rsid w:val="003060AA"/>
    <w:rsid w:val="003066EC"/>
    <w:rsid w:val="00306946"/>
    <w:rsid w:val="003069AB"/>
    <w:rsid w:val="00306A04"/>
    <w:rsid w:val="00306A29"/>
    <w:rsid w:val="00306EB8"/>
    <w:rsid w:val="003071F7"/>
    <w:rsid w:val="00307342"/>
    <w:rsid w:val="0030744F"/>
    <w:rsid w:val="0030745F"/>
    <w:rsid w:val="003075EC"/>
    <w:rsid w:val="00307DBB"/>
    <w:rsid w:val="00307E0C"/>
    <w:rsid w:val="00310655"/>
    <w:rsid w:val="003106DD"/>
    <w:rsid w:val="003106F3"/>
    <w:rsid w:val="0031087E"/>
    <w:rsid w:val="00310C49"/>
    <w:rsid w:val="00310D05"/>
    <w:rsid w:val="00310F6F"/>
    <w:rsid w:val="003110E2"/>
    <w:rsid w:val="003113A2"/>
    <w:rsid w:val="003115C3"/>
    <w:rsid w:val="0031161A"/>
    <w:rsid w:val="00311A8B"/>
    <w:rsid w:val="00311AA4"/>
    <w:rsid w:val="00311F66"/>
    <w:rsid w:val="00311F96"/>
    <w:rsid w:val="00312023"/>
    <w:rsid w:val="00312441"/>
    <w:rsid w:val="00312478"/>
    <w:rsid w:val="00312597"/>
    <w:rsid w:val="00312857"/>
    <w:rsid w:val="003128C1"/>
    <w:rsid w:val="00312A6D"/>
    <w:rsid w:val="00312D12"/>
    <w:rsid w:val="00312D3D"/>
    <w:rsid w:val="00312F24"/>
    <w:rsid w:val="00312F35"/>
    <w:rsid w:val="0031315C"/>
    <w:rsid w:val="00313363"/>
    <w:rsid w:val="00313431"/>
    <w:rsid w:val="0031344E"/>
    <w:rsid w:val="0031361B"/>
    <w:rsid w:val="00313754"/>
    <w:rsid w:val="0031387F"/>
    <w:rsid w:val="00313FB5"/>
    <w:rsid w:val="003140A0"/>
    <w:rsid w:val="0031413C"/>
    <w:rsid w:val="003141EA"/>
    <w:rsid w:val="003143D1"/>
    <w:rsid w:val="0031478E"/>
    <w:rsid w:val="003149AC"/>
    <w:rsid w:val="00314B76"/>
    <w:rsid w:val="00314BF8"/>
    <w:rsid w:val="00314D02"/>
    <w:rsid w:val="00314D08"/>
    <w:rsid w:val="00314E49"/>
    <w:rsid w:val="00314F3E"/>
    <w:rsid w:val="00314F53"/>
    <w:rsid w:val="003150C5"/>
    <w:rsid w:val="00315110"/>
    <w:rsid w:val="0031549B"/>
    <w:rsid w:val="00315B52"/>
    <w:rsid w:val="00315C35"/>
    <w:rsid w:val="00315CE1"/>
    <w:rsid w:val="0031614E"/>
    <w:rsid w:val="00316B78"/>
    <w:rsid w:val="0031706A"/>
    <w:rsid w:val="003170CC"/>
    <w:rsid w:val="003172BE"/>
    <w:rsid w:val="00317336"/>
    <w:rsid w:val="00317495"/>
    <w:rsid w:val="0031790C"/>
    <w:rsid w:val="00317BF7"/>
    <w:rsid w:val="00317C55"/>
    <w:rsid w:val="0032022D"/>
    <w:rsid w:val="00320467"/>
    <w:rsid w:val="00320523"/>
    <w:rsid w:val="0032065A"/>
    <w:rsid w:val="003207D4"/>
    <w:rsid w:val="00320915"/>
    <w:rsid w:val="0032099C"/>
    <w:rsid w:val="00320ADD"/>
    <w:rsid w:val="00320B78"/>
    <w:rsid w:val="00320C02"/>
    <w:rsid w:val="00320C92"/>
    <w:rsid w:val="00320DAA"/>
    <w:rsid w:val="00320F50"/>
    <w:rsid w:val="0032115B"/>
    <w:rsid w:val="0032139E"/>
    <w:rsid w:val="00321434"/>
    <w:rsid w:val="00321744"/>
    <w:rsid w:val="003217CE"/>
    <w:rsid w:val="00321AC6"/>
    <w:rsid w:val="00321ACD"/>
    <w:rsid w:val="00321BD2"/>
    <w:rsid w:val="00321CF7"/>
    <w:rsid w:val="00322014"/>
    <w:rsid w:val="003220E7"/>
    <w:rsid w:val="003225EA"/>
    <w:rsid w:val="003225F7"/>
    <w:rsid w:val="00322619"/>
    <w:rsid w:val="003226F7"/>
    <w:rsid w:val="00322797"/>
    <w:rsid w:val="003231C0"/>
    <w:rsid w:val="0032321C"/>
    <w:rsid w:val="0032342E"/>
    <w:rsid w:val="0032361C"/>
    <w:rsid w:val="00323C02"/>
    <w:rsid w:val="00323DA6"/>
    <w:rsid w:val="00323DAE"/>
    <w:rsid w:val="00323E42"/>
    <w:rsid w:val="00324056"/>
    <w:rsid w:val="0032420E"/>
    <w:rsid w:val="003242C0"/>
    <w:rsid w:val="0032440E"/>
    <w:rsid w:val="00324715"/>
    <w:rsid w:val="003247D5"/>
    <w:rsid w:val="003249B9"/>
    <w:rsid w:val="00324A82"/>
    <w:rsid w:val="00324B2C"/>
    <w:rsid w:val="00324C3B"/>
    <w:rsid w:val="00324C45"/>
    <w:rsid w:val="00325095"/>
    <w:rsid w:val="003250C9"/>
    <w:rsid w:val="00325252"/>
    <w:rsid w:val="0032551B"/>
    <w:rsid w:val="00325628"/>
    <w:rsid w:val="003258F5"/>
    <w:rsid w:val="00325C5E"/>
    <w:rsid w:val="00325E58"/>
    <w:rsid w:val="00325F43"/>
    <w:rsid w:val="003261E0"/>
    <w:rsid w:val="0032622F"/>
    <w:rsid w:val="0032627B"/>
    <w:rsid w:val="003262A5"/>
    <w:rsid w:val="003262D9"/>
    <w:rsid w:val="003262E9"/>
    <w:rsid w:val="003264AA"/>
    <w:rsid w:val="0032662D"/>
    <w:rsid w:val="003266C2"/>
    <w:rsid w:val="00326807"/>
    <w:rsid w:val="00326D55"/>
    <w:rsid w:val="00326EAA"/>
    <w:rsid w:val="003275A9"/>
    <w:rsid w:val="003276FD"/>
    <w:rsid w:val="00327949"/>
    <w:rsid w:val="003279F1"/>
    <w:rsid w:val="00327BDF"/>
    <w:rsid w:val="00327C7B"/>
    <w:rsid w:val="00327D11"/>
    <w:rsid w:val="00327F49"/>
    <w:rsid w:val="0033009B"/>
    <w:rsid w:val="00330566"/>
    <w:rsid w:val="00330569"/>
    <w:rsid w:val="00330829"/>
    <w:rsid w:val="0033086D"/>
    <w:rsid w:val="00330D1A"/>
    <w:rsid w:val="003311E1"/>
    <w:rsid w:val="00331457"/>
    <w:rsid w:val="00331515"/>
    <w:rsid w:val="003315D2"/>
    <w:rsid w:val="00331665"/>
    <w:rsid w:val="00331673"/>
    <w:rsid w:val="00331936"/>
    <w:rsid w:val="00331F88"/>
    <w:rsid w:val="00332046"/>
    <w:rsid w:val="00332226"/>
    <w:rsid w:val="003323C0"/>
    <w:rsid w:val="0033253F"/>
    <w:rsid w:val="003328E6"/>
    <w:rsid w:val="00332A17"/>
    <w:rsid w:val="00332AFB"/>
    <w:rsid w:val="00332B39"/>
    <w:rsid w:val="00332C63"/>
    <w:rsid w:val="00332FE8"/>
    <w:rsid w:val="00333065"/>
    <w:rsid w:val="0033335D"/>
    <w:rsid w:val="003333D9"/>
    <w:rsid w:val="0033344A"/>
    <w:rsid w:val="00333495"/>
    <w:rsid w:val="003334C6"/>
    <w:rsid w:val="003336D3"/>
    <w:rsid w:val="003337FF"/>
    <w:rsid w:val="00333839"/>
    <w:rsid w:val="00333AD6"/>
    <w:rsid w:val="00333EF6"/>
    <w:rsid w:val="00333F87"/>
    <w:rsid w:val="0033417D"/>
    <w:rsid w:val="00334412"/>
    <w:rsid w:val="00334870"/>
    <w:rsid w:val="003349B4"/>
    <w:rsid w:val="00334A1F"/>
    <w:rsid w:val="00334F08"/>
    <w:rsid w:val="003350F0"/>
    <w:rsid w:val="00335124"/>
    <w:rsid w:val="0033520D"/>
    <w:rsid w:val="0033532B"/>
    <w:rsid w:val="003354E3"/>
    <w:rsid w:val="003356C8"/>
    <w:rsid w:val="0033579E"/>
    <w:rsid w:val="00335B93"/>
    <w:rsid w:val="00335BB2"/>
    <w:rsid w:val="00335C67"/>
    <w:rsid w:val="00335E53"/>
    <w:rsid w:val="003361FD"/>
    <w:rsid w:val="003364AB"/>
    <w:rsid w:val="003364F9"/>
    <w:rsid w:val="003365E1"/>
    <w:rsid w:val="0033661A"/>
    <w:rsid w:val="003367D1"/>
    <w:rsid w:val="00336812"/>
    <w:rsid w:val="0033681A"/>
    <w:rsid w:val="003370B2"/>
    <w:rsid w:val="0033766C"/>
    <w:rsid w:val="003376B7"/>
    <w:rsid w:val="00337E54"/>
    <w:rsid w:val="003400F4"/>
    <w:rsid w:val="0034051B"/>
    <w:rsid w:val="003406F1"/>
    <w:rsid w:val="003407EB"/>
    <w:rsid w:val="003407FB"/>
    <w:rsid w:val="00340818"/>
    <w:rsid w:val="00340B13"/>
    <w:rsid w:val="00340C16"/>
    <w:rsid w:val="00340CB7"/>
    <w:rsid w:val="00340E7D"/>
    <w:rsid w:val="003411DF"/>
    <w:rsid w:val="00341237"/>
    <w:rsid w:val="00341368"/>
    <w:rsid w:val="00341855"/>
    <w:rsid w:val="00341981"/>
    <w:rsid w:val="00341C5E"/>
    <w:rsid w:val="00341F8F"/>
    <w:rsid w:val="00341FE3"/>
    <w:rsid w:val="0034267C"/>
    <w:rsid w:val="0034281C"/>
    <w:rsid w:val="00342BC1"/>
    <w:rsid w:val="00342ED7"/>
    <w:rsid w:val="0034320F"/>
    <w:rsid w:val="00343215"/>
    <w:rsid w:val="003434FC"/>
    <w:rsid w:val="003437C4"/>
    <w:rsid w:val="003439EA"/>
    <w:rsid w:val="00343AF3"/>
    <w:rsid w:val="00344681"/>
    <w:rsid w:val="00344784"/>
    <w:rsid w:val="0034490A"/>
    <w:rsid w:val="00344957"/>
    <w:rsid w:val="00344C24"/>
    <w:rsid w:val="00344DE5"/>
    <w:rsid w:val="0034510D"/>
    <w:rsid w:val="00345862"/>
    <w:rsid w:val="0034598A"/>
    <w:rsid w:val="003459D9"/>
    <w:rsid w:val="00345BC0"/>
    <w:rsid w:val="00345F3B"/>
    <w:rsid w:val="00345FE2"/>
    <w:rsid w:val="003460B1"/>
    <w:rsid w:val="003461AE"/>
    <w:rsid w:val="0034633B"/>
    <w:rsid w:val="00346415"/>
    <w:rsid w:val="00346608"/>
    <w:rsid w:val="0034671A"/>
    <w:rsid w:val="00346BC6"/>
    <w:rsid w:val="00346C7D"/>
    <w:rsid w:val="00346E2E"/>
    <w:rsid w:val="003473F2"/>
    <w:rsid w:val="00347465"/>
    <w:rsid w:val="00347522"/>
    <w:rsid w:val="00347B83"/>
    <w:rsid w:val="00347C9C"/>
    <w:rsid w:val="0035002C"/>
    <w:rsid w:val="00350208"/>
    <w:rsid w:val="003502F3"/>
    <w:rsid w:val="00350F09"/>
    <w:rsid w:val="00350FAC"/>
    <w:rsid w:val="00351134"/>
    <w:rsid w:val="003513C8"/>
    <w:rsid w:val="003515CD"/>
    <w:rsid w:val="00351650"/>
    <w:rsid w:val="00351674"/>
    <w:rsid w:val="0035170F"/>
    <w:rsid w:val="00351D9C"/>
    <w:rsid w:val="00351F49"/>
    <w:rsid w:val="003523CF"/>
    <w:rsid w:val="00352F22"/>
    <w:rsid w:val="00352F62"/>
    <w:rsid w:val="00353118"/>
    <w:rsid w:val="003536B8"/>
    <w:rsid w:val="003538E9"/>
    <w:rsid w:val="00353A2B"/>
    <w:rsid w:val="00353AD4"/>
    <w:rsid w:val="00353BA4"/>
    <w:rsid w:val="00353E62"/>
    <w:rsid w:val="00354322"/>
    <w:rsid w:val="003543FF"/>
    <w:rsid w:val="0035457C"/>
    <w:rsid w:val="00354588"/>
    <w:rsid w:val="00354599"/>
    <w:rsid w:val="00354893"/>
    <w:rsid w:val="00354899"/>
    <w:rsid w:val="0035496F"/>
    <w:rsid w:val="00354C73"/>
    <w:rsid w:val="003551C7"/>
    <w:rsid w:val="003552E0"/>
    <w:rsid w:val="00355623"/>
    <w:rsid w:val="003557AD"/>
    <w:rsid w:val="00355866"/>
    <w:rsid w:val="0035587C"/>
    <w:rsid w:val="0035599E"/>
    <w:rsid w:val="00355FD0"/>
    <w:rsid w:val="003560A9"/>
    <w:rsid w:val="00356148"/>
    <w:rsid w:val="00356172"/>
    <w:rsid w:val="003561AD"/>
    <w:rsid w:val="003562FD"/>
    <w:rsid w:val="0035634D"/>
    <w:rsid w:val="00356652"/>
    <w:rsid w:val="00356711"/>
    <w:rsid w:val="00356A1A"/>
    <w:rsid w:val="00356D10"/>
    <w:rsid w:val="003570CC"/>
    <w:rsid w:val="00357660"/>
    <w:rsid w:val="00357E1C"/>
    <w:rsid w:val="003600C5"/>
    <w:rsid w:val="0036019B"/>
    <w:rsid w:val="003602C8"/>
    <w:rsid w:val="00360478"/>
    <w:rsid w:val="00360730"/>
    <w:rsid w:val="00360763"/>
    <w:rsid w:val="003608B7"/>
    <w:rsid w:val="00360A8B"/>
    <w:rsid w:val="00360D7D"/>
    <w:rsid w:val="003610EB"/>
    <w:rsid w:val="003613AE"/>
    <w:rsid w:val="00361436"/>
    <w:rsid w:val="00361475"/>
    <w:rsid w:val="00361674"/>
    <w:rsid w:val="00361955"/>
    <w:rsid w:val="00361A0C"/>
    <w:rsid w:val="00361D77"/>
    <w:rsid w:val="00361E23"/>
    <w:rsid w:val="00361E32"/>
    <w:rsid w:val="003621E7"/>
    <w:rsid w:val="0036233D"/>
    <w:rsid w:val="0036246D"/>
    <w:rsid w:val="0036280B"/>
    <w:rsid w:val="0036281C"/>
    <w:rsid w:val="003628F6"/>
    <w:rsid w:val="00362AA9"/>
    <w:rsid w:val="00362B2F"/>
    <w:rsid w:val="00362D6C"/>
    <w:rsid w:val="00362FB7"/>
    <w:rsid w:val="00363190"/>
    <w:rsid w:val="003631B0"/>
    <w:rsid w:val="003633FF"/>
    <w:rsid w:val="00363634"/>
    <w:rsid w:val="00363BB3"/>
    <w:rsid w:val="00363C33"/>
    <w:rsid w:val="00363D4D"/>
    <w:rsid w:val="0036428A"/>
    <w:rsid w:val="0036443F"/>
    <w:rsid w:val="003644FE"/>
    <w:rsid w:val="00364725"/>
    <w:rsid w:val="003648F7"/>
    <w:rsid w:val="003649F0"/>
    <w:rsid w:val="00364B62"/>
    <w:rsid w:val="003653AA"/>
    <w:rsid w:val="00365478"/>
    <w:rsid w:val="00365506"/>
    <w:rsid w:val="003655FD"/>
    <w:rsid w:val="00365660"/>
    <w:rsid w:val="003656A5"/>
    <w:rsid w:val="00365C95"/>
    <w:rsid w:val="00366729"/>
    <w:rsid w:val="00366B88"/>
    <w:rsid w:val="00366C8F"/>
    <w:rsid w:val="00366E12"/>
    <w:rsid w:val="00366E63"/>
    <w:rsid w:val="00366E86"/>
    <w:rsid w:val="00366F7E"/>
    <w:rsid w:val="003670B5"/>
    <w:rsid w:val="00367173"/>
    <w:rsid w:val="00367265"/>
    <w:rsid w:val="003672A3"/>
    <w:rsid w:val="0036746F"/>
    <w:rsid w:val="00367845"/>
    <w:rsid w:val="00367A8A"/>
    <w:rsid w:val="00370053"/>
    <w:rsid w:val="00370155"/>
    <w:rsid w:val="00370375"/>
    <w:rsid w:val="003706C6"/>
    <w:rsid w:val="0037074E"/>
    <w:rsid w:val="003707B3"/>
    <w:rsid w:val="00370E82"/>
    <w:rsid w:val="00370F42"/>
    <w:rsid w:val="00371141"/>
    <w:rsid w:val="00371188"/>
    <w:rsid w:val="00371400"/>
    <w:rsid w:val="00371412"/>
    <w:rsid w:val="0037151E"/>
    <w:rsid w:val="00371538"/>
    <w:rsid w:val="003716C7"/>
    <w:rsid w:val="00371725"/>
    <w:rsid w:val="003719F5"/>
    <w:rsid w:val="003720F4"/>
    <w:rsid w:val="00372605"/>
    <w:rsid w:val="00372614"/>
    <w:rsid w:val="00372695"/>
    <w:rsid w:val="00372E1C"/>
    <w:rsid w:val="00372E4A"/>
    <w:rsid w:val="003730A5"/>
    <w:rsid w:val="0037314C"/>
    <w:rsid w:val="003734EB"/>
    <w:rsid w:val="003735A9"/>
    <w:rsid w:val="003735BC"/>
    <w:rsid w:val="003735F9"/>
    <w:rsid w:val="003739C1"/>
    <w:rsid w:val="00373F54"/>
    <w:rsid w:val="00374217"/>
    <w:rsid w:val="0037424C"/>
    <w:rsid w:val="0037428F"/>
    <w:rsid w:val="003742EB"/>
    <w:rsid w:val="003744D1"/>
    <w:rsid w:val="00374607"/>
    <w:rsid w:val="003755FE"/>
    <w:rsid w:val="00375787"/>
    <w:rsid w:val="003757E9"/>
    <w:rsid w:val="0037584A"/>
    <w:rsid w:val="0037595D"/>
    <w:rsid w:val="00375A22"/>
    <w:rsid w:val="00375ED3"/>
    <w:rsid w:val="00375F8B"/>
    <w:rsid w:val="003761C3"/>
    <w:rsid w:val="00376381"/>
    <w:rsid w:val="003764C0"/>
    <w:rsid w:val="003767A8"/>
    <w:rsid w:val="00376816"/>
    <w:rsid w:val="003768FF"/>
    <w:rsid w:val="00376B17"/>
    <w:rsid w:val="00376B3F"/>
    <w:rsid w:val="00376C99"/>
    <w:rsid w:val="00376D0F"/>
    <w:rsid w:val="00376FA5"/>
    <w:rsid w:val="00376FBE"/>
    <w:rsid w:val="0037719C"/>
    <w:rsid w:val="00377322"/>
    <w:rsid w:val="0037784D"/>
    <w:rsid w:val="00377A74"/>
    <w:rsid w:val="00380025"/>
    <w:rsid w:val="003802B0"/>
    <w:rsid w:val="00380377"/>
    <w:rsid w:val="003803C5"/>
    <w:rsid w:val="00380488"/>
    <w:rsid w:val="00380539"/>
    <w:rsid w:val="00380739"/>
    <w:rsid w:val="00380793"/>
    <w:rsid w:val="003809DF"/>
    <w:rsid w:val="00380B8A"/>
    <w:rsid w:val="00380CDF"/>
    <w:rsid w:val="00380FF7"/>
    <w:rsid w:val="00381002"/>
    <w:rsid w:val="00381032"/>
    <w:rsid w:val="00381147"/>
    <w:rsid w:val="003815BB"/>
    <w:rsid w:val="003815F7"/>
    <w:rsid w:val="00381A13"/>
    <w:rsid w:val="00381BDD"/>
    <w:rsid w:val="00381DEA"/>
    <w:rsid w:val="00381F12"/>
    <w:rsid w:val="00381F4E"/>
    <w:rsid w:val="00382068"/>
    <w:rsid w:val="00382184"/>
    <w:rsid w:val="003821AA"/>
    <w:rsid w:val="0038228E"/>
    <w:rsid w:val="003823D5"/>
    <w:rsid w:val="00382B3F"/>
    <w:rsid w:val="00382CAC"/>
    <w:rsid w:val="00382DE5"/>
    <w:rsid w:val="00382EE5"/>
    <w:rsid w:val="0038324F"/>
    <w:rsid w:val="00383386"/>
    <w:rsid w:val="0038340A"/>
    <w:rsid w:val="0038369D"/>
    <w:rsid w:val="00383A13"/>
    <w:rsid w:val="00383A82"/>
    <w:rsid w:val="00383B1E"/>
    <w:rsid w:val="00383F23"/>
    <w:rsid w:val="00383F41"/>
    <w:rsid w:val="00384056"/>
    <w:rsid w:val="003842CB"/>
    <w:rsid w:val="0038475F"/>
    <w:rsid w:val="0038483F"/>
    <w:rsid w:val="0038489C"/>
    <w:rsid w:val="00384A94"/>
    <w:rsid w:val="00384DF9"/>
    <w:rsid w:val="00384E69"/>
    <w:rsid w:val="00384F4D"/>
    <w:rsid w:val="00385082"/>
    <w:rsid w:val="003850CF"/>
    <w:rsid w:val="0038534B"/>
    <w:rsid w:val="00385610"/>
    <w:rsid w:val="003858DE"/>
    <w:rsid w:val="00385E78"/>
    <w:rsid w:val="003865F5"/>
    <w:rsid w:val="003866A4"/>
    <w:rsid w:val="00386BBD"/>
    <w:rsid w:val="00386CFA"/>
    <w:rsid w:val="00386D1B"/>
    <w:rsid w:val="00386D3E"/>
    <w:rsid w:val="003870DD"/>
    <w:rsid w:val="003872E4"/>
    <w:rsid w:val="0038731F"/>
    <w:rsid w:val="003874DD"/>
    <w:rsid w:val="00387583"/>
    <w:rsid w:val="0038767D"/>
    <w:rsid w:val="0038769A"/>
    <w:rsid w:val="00387834"/>
    <w:rsid w:val="00387B3C"/>
    <w:rsid w:val="00387B5F"/>
    <w:rsid w:val="00387C61"/>
    <w:rsid w:val="003901FA"/>
    <w:rsid w:val="00390290"/>
    <w:rsid w:val="003902BA"/>
    <w:rsid w:val="0039039E"/>
    <w:rsid w:val="0039055E"/>
    <w:rsid w:val="00390689"/>
    <w:rsid w:val="003906B8"/>
    <w:rsid w:val="003907BD"/>
    <w:rsid w:val="00390913"/>
    <w:rsid w:val="00390B18"/>
    <w:rsid w:val="00390F07"/>
    <w:rsid w:val="00391222"/>
    <w:rsid w:val="0039131F"/>
    <w:rsid w:val="00391634"/>
    <w:rsid w:val="00391B7A"/>
    <w:rsid w:val="0039200F"/>
    <w:rsid w:val="003922B7"/>
    <w:rsid w:val="003925A2"/>
    <w:rsid w:val="0039282D"/>
    <w:rsid w:val="003929B6"/>
    <w:rsid w:val="00392B2A"/>
    <w:rsid w:val="00392E11"/>
    <w:rsid w:val="00392F91"/>
    <w:rsid w:val="003938AA"/>
    <w:rsid w:val="003938AC"/>
    <w:rsid w:val="00393E8A"/>
    <w:rsid w:val="00393EED"/>
    <w:rsid w:val="00394193"/>
    <w:rsid w:val="003941B8"/>
    <w:rsid w:val="00394248"/>
    <w:rsid w:val="003942B4"/>
    <w:rsid w:val="00394522"/>
    <w:rsid w:val="00394794"/>
    <w:rsid w:val="0039495E"/>
    <w:rsid w:val="00394A1E"/>
    <w:rsid w:val="00395140"/>
    <w:rsid w:val="003951F2"/>
    <w:rsid w:val="003952AC"/>
    <w:rsid w:val="003953ED"/>
    <w:rsid w:val="00395429"/>
    <w:rsid w:val="0039550D"/>
    <w:rsid w:val="00395575"/>
    <w:rsid w:val="003959D3"/>
    <w:rsid w:val="00395A55"/>
    <w:rsid w:val="00395A9D"/>
    <w:rsid w:val="00395C32"/>
    <w:rsid w:val="00395C8A"/>
    <w:rsid w:val="00395F42"/>
    <w:rsid w:val="003960B5"/>
    <w:rsid w:val="00396226"/>
    <w:rsid w:val="00396348"/>
    <w:rsid w:val="0039674C"/>
    <w:rsid w:val="00396778"/>
    <w:rsid w:val="0039686C"/>
    <w:rsid w:val="00396A35"/>
    <w:rsid w:val="00396B8C"/>
    <w:rsid w:val="00396C25"/>
    <w:rsid w:val="00396C5C"/>
    <w:rsid w:val="00396D1A"/>
    <w:rsid w:val="00397124"/>
    <w:rsid w:val="003973A6"/>
    <w:rsid w:val="0039742C"/>
    <w:rsid w:val="003974EF"/>
    <w:rsid w:val="003978F1"/>
    <w:rsid w:val="00397957"/>
    <w:rsid w:val="00397CED"/>
    <w:rsid w:val="00397D1B"/>
    <w:rsid w:val="003A018D"/>
    <w:rsid w:val="003A03B0"/>
    <w:rsid w:val="003A03B2"/>
    <w:rsid w:val="003A053A"/>
    <w:rsid w:val="003A06F2"/>
    <w:rsid w:val="003A072B"/>
    <w:rsid w:val="003A07F1"/>
    <w:rsid w:val="003A0807"/>
    <w:rsid w:val="003A08EF"/>
    <w:rsid w:val="003A0A56"/>
    <w:rsid w:val="003A0B09"/>
    <w:rsid w:val="003A0DE1"/>
    <w:rsid w:val="003A0EA7"/>
    <w:rsid w:val="003A101A"/>
    <w:rsid w:val="003A1023"/>
    <w:rsid w:val="003A148B"/>
    <w:rsid w:val="003A15DC"/>
    <w:rsid w:val="003A16B3"/>
    <w:rsid w:val="003A1AF5"/>
    <w:rsid w:val="003A1B50"/>
    <w:rsid w:val="003A1BE3"/>
    <w:rsid w:val="003A1CDC"/>
    <w:rsid w:val="003A1E57"/>
    <w:rsid w:val="003A20B1"/>
    <w:rsid w:val="003A20F6"/>
    <w:rsid w:val="003A22C6"/>
    <w:rsid w:val="003A23EE"/>
    <w:rsid w:val="003A25E5"/>
    <w:rsid w:val="003A2842"/>
    <w:rsid w:val="003A2A20"/>
    <w:rsid w:val="003A2CD7"/>
    <w:rsid w:val="003A2E1B"/>
    <w:rsid w:val="003A3132"/>
    <w:rsid w:val="003A31DB"/>
    <w:rsid w:val="003A3225"/>
    <w:rsid w:val="003A34E9"/>
    <w:rsid w:val="003A37EF"/>
    <w:rsid w:val="003A3843"/>
    <w:rsid w:val="003A38BB"/>
    <w:rsid w:val="003A3CAC"/>
    <w:rsid w:val="003A3D32"/>
    <w:rsid w:val="003A3F5E"/>
    <w:rsid w:val="003A40F9"/>
    <w:rsid w:val="003A4123"/>
    <w:rsid w:val="003A42AE"/>
    <w:rsid w:val="003A43C4"/>
    <w:rsid w:val="003A4449"/>
    <w:rsid w:val="003A4A16"/>
    <w:rsid w:val="003A4C98"/>
    <w:rsid w:val="003A5059"/>
    <w:rsid w:val="003A52A3"/>
    <w:rsid w:val="003A5473"/>
    <w:rsid w:val="003A54CA"/>
    <w:rsid w:val="003A58CF"/>
    <w:rsid w:val="003A5C7C"/>
    <w:rsid w:val="003A5EAE"/>
    <w:rsid w:val="003A5F3B"/>
    <w:rsid w:val="003A6010"/>
    <w:rsid w:val="003A60BF"/>
    <w:rsid w:val="003A671B"/>
    <w:rsid w:val="003A6B07"/>
    <w:rsid w:val="003A6D08"/>
    <w:rsid w:val="003A6E2C"/>
    <w:rsid w:val="003A6E2F"/>
    <w:rsid w:val="003A7576"/>
    <w:rsid w:val="003A7587"/>
    <w:rsid w:val="003A75E8"/>
    <w:rsid w:val="003A7975"/>
    <w:rsid w:val="003A7E66"/>
    <w:rsid w:val="003B006D"/>
    <w:rsid w:val="003B0287"/>
    <w:rsid w:val="003B0419"/>
    <w:rsid w:val="003B0643"/>
    <w:rsid w:val="003B064D"/>
    <w:rsid w:val="003B0927"/>
    <w:rsid w:val="003B097B"/>
    <w:rsid w:val="003B0991"/>
    <w:rsid w:val="003B0DA5"/>
    <w:rsid w:val="003B124A"/>
    <w:rsid w:val="003B1586"/>
    <w:rsid w:val="003B159C"/>
    <w:rsid w:val="003B1A97"/>
    <w:rsid w:val="003B1AE2"/>
    <w:rsid w:val="003B23ED"/>
    <w:rsid w:val="003B23F1"/>
    <w:rsid w:val="003B2419"/>
    <w:rsid w:val="003B242D"/>
    <w:rsid w:val="003B26CB"/>
    <w:rsid w:val="003B2731"/>
    <w:rsid w:val="003B28A6"/>
    <w:rsid w:val="003B29F6"/>
    <w:rsid w:val="003B2A67"/>
    <w:rsid w:val="003B2A93"/>
    <w:rsid w:val="003B2D84"/>
    <w:rsid w:val="003B2F7D"/>
    <w:rsid w:val="003B305C"/>
    <w:rsid w:val="003B314F"/>
    <w:rsid w:val="003B3515"/>
    <w:rsid w:val="003B3615"/>
    <w:rsid w:val="003B3A99"/>
    <w:rsid w:val="003B3AF1"/>
    <w:rsid w:val="003B3B68"/>
    <w:rsid w:val="003B3BF5"/>
    <w:rsid w:val="003B3C3A"/>
    <w:rsid w:val="003B3DF4"/>
    <w:rsid w:val="003B3FFA"/>
    <w:rsid w:val="003B408E"/>
    <w:rsid w:val="003B413B"/>
    <w:rsid w:val="003B448D"/>
    <w:rsid w:val="003B44B6"/>
    <w:rsid w:val="003B483D"/>
    <w:rsid w:val="003B4883"/>
    <w:rsid w:val="003B4E8B"/>
    <w:rsid w:val="003B4EE3"/>
    <w:rsid w:val="003B4F49"/>
    <w:rsid w:val="003B4FD1"/>
    <w:rsid w:val="003B500E"/>
    <w:rsid w:val="003B503A"/>
    <w:rsid w:val="003B50D3"/>
    <w:rsid w:val="003B524B"/>
    <w:rsid w:val="003B53FF"/>
    <w:rsid w:val="003B5429"/>
    <w:rsid w:val="003B57A2"/>
    <w:rsid w:val="003B5A0D"/>
    <w:rsid w:val="003B5AAD"/>
    <w:rsid w:val="003B5C17"/>
    <w:rsid w:val="003B5C96"/>
    <w:rsid w:val="003B6125"/>
    <w:rsid w:val="003B6159"/>
    <w:rsid w:val="003B6276"/>
    <w:rsid w:val="003B629A"/>
    <w:rsid w:val="003B6927"/>
    <w:rsid w:val="003B69DB"/>
    <w:rsid w:val="003B6E95"/>
    <w:rsid w:val="003B6EF7"/>
    <w:rsid w:val="003B70C7"/>
    <w:rsid w:val="003B720E"/>
    <w:rsid w:val="003B7251"/>
    <w:rsid w:val="003B7528"/>
    <w:rsid w:val="003B7850"/>
    <w:rsid w:val="003B7882"/>
    <w:rsid w:val="003B79A1"/>
    <w:rsid w:val="003B7AD3"/>
    <w:rsid w:val="003B7B3C"/>
    <w:rsid w:val="003B7C72"/>
    <w:rsid w:val="003B7D58"/>
    <w:rsid w:val="003B7D5E"/>
    <w:rsid w:val="003C00F5"/>
    <w:rsid w:val="003C02DB"/>
    <w:rsid w:val="003C02E6"/>
    <w:rsid w:val="003C0424"/>
    <w:rsid w:val="003C096F"/>
    <w:rsid w:val="003C0AF4"/>
    <w:rsid w:val="003C0DAB"/>
    <w:rsid w:val="003C0E91"/>
    <w:rsid w:val="003C0EF4"/>
    <w:rsid w:val="003C0F19"/>
    <w:rsid w:val="003C1062"/>
    <w:rsid w:val="003C1497"/>
    <w:rsid w:val="003C15AE"/>
    <w:rsid w:val="003C180D"/>
    <w:rsid w:val="003C1865"/>
    <w:rsid w:val="003C1977"/>
    <w:rsid w:val="003C1B2F"/>
    <w:rsid w:val="003C1BC8"/>
    <w:rsid w:val="003C1C8D"/>
    <w:rsid w:val="003C1E80"/>
    <w:rsid w:val="003C1FC7"/>
    <w:rsid w:val="003C2197"/>
    <w:rsid w:val="003C23CC"/>
    <w:rsid w:val="003C23ED"/>
    <w:rsid w:val="003C2453"/>
    <w:rsid w:val="003C2471"/>
    <w:rsid w:val="003C2712"/>
    <w:rsid w:val="003C2783"/>
    <w:rsid w:val="003C27AB"/>
    <w:rsid w:val="003C2A0B"/>
    <w:rsid w:val="003C2A9F"/>
    <w:rsid w:val="003C2B43"/>
    <w:rsid w:val="003C2C95"/>
    <w:rsid w:val="003C2DD6"/>
    <w:rsid w:val="003C30A0"/>
    <w:rsid w:val="003C31B2"/>
    <w:rsid w:val="003C33A5"/>
    <w:rsid w:val="003C35C7"/>
    <w:rsid w:val="003C3637"/>
    <w:rsid w:val="003C363E"/>
    <w:rsid w:val="003C3709"/>
    <w:rsid w:val="003C3AB6"/>
    <w:rsid w:val="003C4000"/>
    <w:rsid w:val="003C40AC"/>
    <w:rsid w:val="003C429B"/>
    <w:rsid w:val="003C468D"/>
    <w:rsid w:val="003C4750"/>
    <w:rsid w:val="003C4902"/>
    <w:rsid w:val="003C497A"/>
    <w:rsid w:val="003C4A29"/>
    <w:rsid w:val="003C4B01"/>
    <w:rsid w:val="003C4E7E"/>
    <w:rsid w:val="003C4EC4"/>
    <w:rsid w:val="003C5182"/>
    <w:rsid w:val="003C5367"/>
    <w:rsid w:val="003C57B8"/>
    <w:rsid w:val="003C5A52"/>
    <w:rsid w:val="003C5B5D"/>
    <w:rsid w:val="003C5CCE"/>
    <w:rsid w:val="003C61AE"/>
    <w:rsid w:val="003C6338"/>
    <w:rsid w:val="003C67D1"/>
    <w:rsid w:val="003C6877"/>
    <w:rsid w:val="003C69FF"/>
    <w:rsid w:val="003C6B6D"/>
    <w:rsid w:val="003C6C3C"/>
    <w:rsid w:val="003C6CF5"/>
    <w:rsid w:val="003C6DB7"/>
    <w:rsid w:val="003C6E5D"/>
    <w:rsid w:val="003C7385"/>
    <w:rsid w:val="003C740E"/>
    <w:rsid w:val="003C74E5"/>
    <w:rsid w:val="003C787D"/>
    <w:rsid w:val="003C7C59"/>
    <w:rsid w:val="003C7E3C"/>
    <w:rsid w:val="003C7EC8"/>
    <w:rsid w:val="003D0061"/>
    <w:rsid w:val="003D0251"/>
    <w:rsid w:val="003D0297"/>
    <w:rsid w:val="003D036D"/>
    <w:rsid w:val="003D0408"/>
    <w:rsid w:val="003D061F"/>
    <w:rsid w:val="003D07E5"/>
    <w:rsid w:val="003D0867"/>
    <w:rsid w:val="003D0A26"/>
    <w:rsid w:val="003D0A7F"/>
    <w:rsid w:val="003D0D94"/>
    <w:rsid w:val="003D0E5D"/>
    <w:rsid w:val="003D104A"/>
    <w:rsid w:val="003D10AF"/>
    <w:rsid w:val="003D1220"/>
    <w:rsid w:val="003D1268"/>
    <w:rsid w:val="003D12AB"/>
    <w:rsid w:val="003D12FA"/>
    <w:rsid w:val="003D1891"/>
    <w:rsid w:val="003D1913"/>
    <w:rsid w:val="003D1B9D"/>
    <w:rsid w:val="003D1DB4"/>
    <w:rsid w:val="003D1DCF"/>
    <w:rsid w:val="003D258F"/>
    <w:rsid w:val="003D26EA"/>
    <w:rsid w:val="003D2F15"/>
    <w:rsid w:val="003D31F9"/>
    <w:rsid w:val="003D326F"/>
    <w:rsid w:val="003D391A"/>
    <w:rsid w:val="003D3B5C"/>
    <w:rsid w:val="003D3ED7"/>
    <w:rsid w:val="003D41F4"/>
    <w:rsid w:val="003D429B"/>
    <w:rsid w:val="003D42F0"/>
    <w:rsid w:val="003D473D"/>
    <w:rsid w:val="003D47A3"/>
    <w:rsid w:val="003D4A64"/>
    <w:rsid w:val="003D4EBB"/>
    <w:rsid w:val="003D4F1B"/>
    <w:rsid w:val="003D4FD5"/>
    <w:rsid w:val="003D5161"/>
    <w:rsid w:val="003D5365"/>
    <w:rsid w:val="003D5BC2"/>
    <w:rsid w:val="003D5BE7"/>
    <w:rsid w:val="003D60C1"/>
    <w:rsid w:val="003D6110"/>
    <w:rsid w:val="003D61AD"/>
    <w:rsid w:val="003D6205"/>
    <w:rsid w:val="003D690C"/>
    <w:rsid w:val="003D75AC"/>
    <w:rsid w:val="003D7872"/>
    <w:rsid w:val="003D7962"/>
    <w:rsid w:val="003D7ADD"/>
    <w:rsid w:val="003E05FC"/>
    <w:rsid w:val="003E06D6"/>
    <w:rsid w:val="003E070C"/>
    <w:rsid w:val="003E0923"/>
    <w:rsid w:val="003E0954"/>
    <w:rsid w:val="003E0A3E"/>
    <w:rsid w:val="003E0D1C"/>
    <w:rsid w:val="003E1018"/>
    <w:rsid w:val="003E1111"/>
    <w:rsid w:val="003E11D2"/>
    <w:rsid w:val="003E12DE"/>
    <w:rsid w:val="003E1348"/>
    <w:rsid w:val="003E1437"/>
    <w:rsid w:val="003E1626"/>
    <w:rsid w:val="003E19CF"/>
    <w:rsid w:val="003E1E45"/>
    <w:rsid w:val="003E24F5"/>
    <w:rsid w:val="003E27DD"/>
    <w:rsid w:val="003E2869"/>
    <w:rsid w:val="003E2904"/>
    <w:rsid w:val="003E2AD6"/>
    <w:rsid w:val="003E2B1A"/>
    <w:rsid w:val="003E2B45"/>
    <w:rsid w:val="003E2B66"/>
    <w:rsid w:val="003E2C5C"/>
    <w:rsid w:val="003E2DC9"/>
    <w:rsid w:val="003E2E28"/>
    <w:rsid w:val="003E306F"/>
    <w:rsid w:val="003E3159"/>
    <w:rsid w:val="003E320E"/>
    <w:rsid w:val="003E38C0"/>
    <w:rsid w:val="003E3951"/>
    <w:rsid w:val="003E3B80"/>
    <w:rsid w:val="003E3BF8"/>
    <w:rsid w:val="003E3C5B"/>
    <w:rsid w:val="003E3DB2"/>
    <w:rsid w:val="003E4125"/>
    <w:rsid w:val="003E41AD"/>
    <w:rsid w:val="003E436E"/>
    <w:rsid w:val="003E47AC"/>
    <w:rsid w:val="003E4D21"/>
    <w:rsid w:val="003E4D42"/>
    <w:rsid w:val="003E4D5A"/>
    <w:rsid w:val="003E5A1D"/>
    <w:rsid w:val="003E5D0B"/>
    <w:rsid w:val="003E5F4A"/>
    <w:rsid w:val="003E5FDA"/>
    <w:rsid w:val="003E5FE5"/>
    <w:rsid w:val="003E6020"/>
    <w:rsid w:val="003E60B7"/>
    <w:rsid w:val="003E61C7"/>
    <w:rsid w:val="003E621E"/>
    <w:rsid w:val="003E652D"/>
    <w:rsid w:val="003E66EB"/>
    <w:rsid w:val="003E68F1"/>
    <w:rsid w:val="003E6A58"/>
    <w:rsid w:val="003E6B81"/>
    <w:rsid w:val="003E6C00"/>
    <w:rsid w:val="003E6F15"/>
    <w:rsid w:val="003E70E7"/>
    <w:rsid w:val="003E7484"/>
    <w:rsid w:val="003E75F6"/>
    <w:rsid w:val="003E76C7"/>
    <w:rsid w:val="003E77B2"/>
    <w:rsid w:val="003E7F13"/>
    <w:rsid w:val="003F0835"/>
    <w:rsid w:val="003F0860"/>
    <w:rsid w:val="003F10B2"/>
    <w:rsid w:val="003F12D7"/>
    <w:rsid w:val="003F141F"/>
    <w:rsid w:val="003F1EA1"/>
    <w:rsid w:val="003F1FA2"/>
    <w:rsid w:val="003F2093"/>
    <w:rsid w:val="003F2206"/>
    <w:rsid w:val="003F22CB"/>
    <w:rsid w:val="003F28A1"/>
    <w:rsid w:val="003F29DF"/>
    <w:rsid w:val="003F2B1C"/>
    <w:rsid w:val="003F2CC3"/>
    <w:rsid w:val="003F2D0C"/>
    <w:rsid w:val="003F2E48"/>
    <w:rsid w:val="003F31E5"/>
    <w:rsid w:val="003F33DF"/>
    <w:rsid w:val="003F3442"/>
    <w:rsid w:val="003F3583"/>
    <w:rsid w:val="003F3924"/>
    <w:rsid w:val="003F3B60"/>
    <w:rsid w:val="003F3B90"/>
    <w:rsid w:val="003F3C6A"/>
    <w:rsid w:val="003F3D25"/>
    <w:rsid w:val="003F3E86"/>
    <w:rsid w:val="003F4066"/>
    <w:rsid w:val="003F4079"/>
    <w:rsid w:val="003F43B5"/>
    <w:rsid w:val="003F43DE"/>
    <w:rsid w:val="003F4604"/>
    <w:rsid w:val="003F46A1"/>
    <w:rsid w:val="003F472E"/>
    <w:rsid w:val="003F499D"/>
    <w:rsid w:val="003F4A17"/>
    <w:rsid w:val="003F4B0E"/>
    <w:rsid w:val="003F4B7B"/>
    <w:rsid w:val="003F4C78"/>
    <w:rsid w:val="003F4DE6"/>
    <w:rsid w:val="003F4F2F"/>
    <w:rsid w:val="003F4FC2"/>
    <w:rsid w:val="003F503A"/>
    <w:rsid w:val="003F51FE"/>
    <w:rsid w:val="003F5239"/>
    <w:rsid w:val="003F53D2"/>
    <w:rsid w:val="003F53DD"/>
    <w:rsid w:val="003F56CC"/>
    <w:rsid w:val="003F5A0E"/>
    <w:rsid w:val="003F5F06"/>
    <w:rsid w:val="003F62C5"/>
    <w:rsid w:val="003F62E5"/>
    <w:rsid w:val="003F646A"/>
    <w:rsid w:val="003F6551"/>
    <w:rsid w:val="003F66BF"/>
    <w:rsid w:val="003F68F7"/>
    <w:rsid w:val="003F6BC3"/>
    <w:rsid w:val="003F6D2C"/>
    <w:rsid w:val="003F6F04"/>
    <w:rsid w:val="003F6F39"/>
    <w:rsid w:val="003F718C"/>
    <w:rsid w:val="003F7541"/>
    <w:rsid w:val="003F7559"/>
    <w:rsid w:val="003F7621"/>
    <w:rsid w:val="003F767A"/>
    <w:rsid w:val="003F793D"/>
    <w:rsid w:val="003F7A44"/>
    <w:rsid w:val="003F7AAF"/>
    <w:rsid w:val="003F7EC1"/>
    <w:rsid w:val="00400726"/>
    <w:rsid w:val="00400980"/>
    <w:rsid w:val="004009F9"/>
    <w:rsid w:val="00400A84"/>
    <w:rsid w:val="00400ACF"/>
    <w:rsid w:val="00400AF8"/>
    <w:rsid w:val="00400C3C"/>
    <w:rsid w:val="00400D6E"/>
    <w:rsid w:val="00400EDD"/>
    <w:rsid w:val="00400F2C"/>
    <w:rsid w:val="00400FC2"/>
    <w:rsid w:val="004010B5"/>
    <w:rsid w:val="0040140C"/>
    <w:rsid w:val="0040144B"/>
    <w:rsid w:val="004015E9"/>
    <w:rsid w:val="00401749"/>
    <w:rsid w:val="004018D8"/>
    <w:rsid w:val="004019A3"/>
    <w:rsid w:val="00401D75"/>
    <w:rsid w:val="00401E11"/>
    <w:rsid w:val="004023C1"/>
    <w:rsid w:val="004023C6"/>
    <w:rsid w:val="004025AB"/>
    <w:rsid w:val="00402B41"/>
    <w:rsid w:val="00402D95"/>
    <w:rsid w:val="00402FF5"/>
    <w:rsid w:val="004031BE"/>
    <w:rsid w:val="00403275"/>
    <w:rsid w:val="0040334B"/>
    <w:rsid w:val="0040369C"/>
    <w:rsid w:val="004039D4"/>
    <w:rsid w:val="00403A0E"/>
    <w:rsid w:val="00403ADB"/>
    <w:rsid w:val="00403D48"/>
    <w:rsid w:val="004040EF"/>
    <w:rsid w:val="00404195"/>
    <w:rsid w:val="004041E9"/>
    <w:rsid w:val="0040433F"/>
    <w:rsid w:val="0040474A"/>
    <w:rsid w:val="004047D7"/>
    <w:rsid w:val="00404854"/>
    <w:rsid w:val="00404CD0"/>
    <w:rsid w:val="0040502E"/>
    <w:rsid w:val="004050C6"/>
    <w:rsid w:val="004055C4"/>
    <w:rsid w:val="0040568A"/>
    <w:rsid w:val="004058F1"/>
    <w:rsid w:val="00405C3A"/>
    <w:rsid w:val="00406124"/>
    <w:rsid w:val="004061B5"/>
    <w:rsid w:val="0040628A"/>
    <w:rsid w:val="0040678C"/>
    <w:rsid w:val="00406956"/>
    <w:rsid w:val="004069B0"/>
    <w:rsid w:val="00406A25"/>
    <w:rsid w:val="00406ACF"/>
    <w:rsid w:val="00406C5B"/>
    <w:rsid w:val="00406C9D"/>
    <w:rsid w:val="00406CDF"/>
    <w:rsid w:val="00406D06"/>
    <w:rsid w:val="00406DF6"/>
    <w:rsid w:val="00406E6F"/>
    <w:rsid w:val="00407038"/>
    <w:rsid w:val="004070C6"/>
    <w:rsid w:val="00407138"/>
    <w:rsid w:val="00407149"/>
    <w:rsid w:val="0040771E"/>
    <w:rsid w:val="0040782F"/>
    <w:rsid w:val="00407906"/>
    <w:rsid w:val="00407B7C"/>
    <w:rsid w:val="00407F24"/>
    <w:rsid w:val="00410078"/>
    <w:rsid w:val="0041065D"/>
    <w:rsid w:val="00410676"/>
    <w:rsid w:val="00410878"/>
    <w:rsid w:val="0041087A"/>
    <w:rsid w:val="00410942"/>
    <w:rsid w:val="0041095C"/>
    <w:rsid w:val="0041098E"/>
    <w:rsid w:val="00410BB1"/>
    <w:rsid w:val="00410D84"/>
    <w:rsid w:val="00410E0D"/>
    <w:rsid w:val="00410FF7"/>
    <w:rsid w:val="004112E1"/>
    <w:rsid w:val="00411868"/>
    <w:rsid w:val="004118D2"/>
    <w:rsid w:val="0041195C"/>
    <w:rsid w:val="00411AF6"/>
    <w:rsid w:val="004120A4"/>
    <w:rsid w:val="004120CF"/>
    <w:rsid w:val="00412354"/>
    <w:rsid w:val="004125A6"/>
    <w:rsid w:val="0041262C"/>
    <w:rsid w:val="00412856"/>
    <w:rsid w:val="00412C51"/>
    <w:rsid w:val="00412DFC"/>
    <w:rsid w:val="00412F3A"/>
    <w:rsid w:val="00412FE7"/>
    <w:rsid w:val="0041322A"/>
    <w:rsid w:val="00413240"/>
    <w:rsid w:val="004134D3"/>
    <w:rsid w:val="00413683"/>
    <w:rsid w:val="0041380A"/>
    <w:rsid w:val="0041390C"/>
    <w:rsid w:val="00413913"/>
    <w:rsid w:val="0041394A"/>
    <w:rsid w:val="00413ADF"/>
    <w:rsid w:val="00413AE8"/>
    <w:rsid w:val="00413C5A"/>
    <w:rsid w:val="00413F3A"/>
    <w:rsid w:val="00413FB6"/>
    <w:rsid w:val="004142EB"/>
    <w:rsid w:val="004145A9"/>
    <w:rsid w:val="004145FC"/>
    <w:rsid w:val="0041499F"/>
    <w:rsid w:val="00414A1E"/>
    <w:rsid w:val="00414AE1"/>
    <w:rsid w:val="00414D1B"/>
    <w:rsid w:val="00414DFB"/>
    <w:rsid w:val="00415140"/>
    <w:rsid w:val="004155BC"/>
    <w:rsid w:val="00415750"/>
    <w:rsid w:val="0041586E"/>
    <w:rsid w:val="00415AC9"/>
    <w:rsid w:val="00415D51"/>
    <w:rsid w:val="00415EAB"/>
    <w:rsid w:val="00415FB8"/>
    <w:rsid w:val="00416015"/>
    <w:rsid w:val="0041611C"/>
    <w:rsid w:val="00416159"/>
    <w:rsid w:val="004163DE"/>
    <w:rsid w:val="004168B7"/>
    <w:rsid w:val="004169CD"/>
    <w:rsid w:val="00416AC5"/>
    <w:rsid w:val="00416C95"/>
    <w:rsid w:val="00416DD9"/>
    <w:rsid w:val="00416E84"/>
    <w:rsid w:val="004170F3"/>
    <w:rsid w:val="00417872"/>
    <w:rsid w:val="00417E21"/>
    <w:rsid w:val="00417E34"/>
    <w:rsid w:val="00417ED0"/>
    <w:rsid w:val="0042003C"/>
    <w:rsid w:val="0042021F"/>
    <w:rsid w:val="004202BE"/>
    <w:rsid w:val="004208F1"/>
    <w:rsid w:val="00420914"/>
    <w:rsid w:val="00420D5A"/>
    <w:rsid w:val="00420E19"/>
    <w:rsid w:val="00421054"/>
    <w:rsid w:val="004210B4"/>
    <w:rsid w:val="00421389"/>
    <w:rsid w:val="00421BFD"/>
    <w:rsid w:val="00421E70"/>
    <w:rsid w:val="0042205E"/>
    <w:rsid w:val="004220F5"/>
    <w:rsid w:val="00422389"/>
    <w:rsid w:val="00422509"/>
    <w:rsid w:val="00422667"/>
    <w:rsid w:val="004226E3"/>
    <w:rsid w:val="0042293B"/>
    <w:rsid w:val="00422C2A"/>
    <w:rsid w:val="00422C5E"/>
    <w:rsid w:val="00422C66"/>
    <w:rsid w:val="00422CA3"/>
    <w:rsid w:val="00422DDC"/>
    <w:rsid w:val="00423421"/>
    <w:rsid w:val="004237EE"/>
    <w:rsid w:val="004238C5"/>
    <w:rsid w:val="00423A7F"/>
    <w:rsid w:val="00423B05"/>
    <w:rsid w:val="00423CB1"/>
    <w:rsid w:val="0042420D"/>
    <w:rsid w:val="0042438A"/>
    <w:rsid w:val="004243CE"/>
    <w:rsid w:val="004246B8"/>
    <w:rsid w:val="0042488C"/>
    <w:rsid w:val="00424984"/>
    <w:rsid w:val="00424991"/>
    <w:rsid w:val="00424AD5"/>
    <w:rsid w:val="00424C90"/>
    <w:rsid w:val="00424CC1"/>
    <w:rsid w:val="0042505E"/>
    <w:rsid w:val="004253B1"/>
    <w:rsid w:val="004253C1"/>
    <w:rsid w:val="0042544D"/>
    <w:rsid w:val="004257B8"/>
    <w:rsid w:val="00425C7E"/>
    <w:rsid w:val="00425D58"/>
    <w:rsid w:val="004263F6"/>
    <w:rsid w:val="0042648E"/>
    <w:rsid w:val="0042653E"/>
    <w:rsid w:val="004265B6"/>
    <w:rsid w:val="00426684"/>
    <w:rsid w:val="004267FC"/>
    <w:rsid w:val="00426A55"/>
    <w:rsid w:val="00426B02"/>
    <w:rsid w:val="00426B68"/>
    <w:rsid w:val="00426C3A"/>
    <w:rsid w:val="00426C94"/>
    <w:rsid w:val="00426DB5"/>
    <w:rsid w:val="00426E13"/>
    <w:rsid w:val="00427165"/>
    <w:rsid w:val="00427223"/>
    <w:rsid w:val="00427405"/>
    <w:rsid w:val="00427419"/>
    <w:rsid w:val="004274C3"/>
    <w:rsid w:val="00427712"/>
    <w:rsid w:val="00427D79"/>
    <w:rsid w:val="00427FE7"/>
    <w:rsid w:val="004302F5"/>
    <w:rsid w:val="00430713"/>
    <w:rsid w:val="0043086D"/>
    <w:rsid w:val="0043086F"/>
    <w:rsid w:val="004308D0"/>
    <w:rsid w:val="0043092A"/>
    <w:rsid w:val="00430AD2"/>
    <w:rsid w:val="00430D74"/>
    <w:rsid w:val="00430EBD"/>
    <w:rsid w:val="00430F94"/>
    <w:rsid w:val="00430F9F"/>
    <w:rsid w:val="004313C6"/>
    <w:rsid w:val="00431766"/>
    <w:rsid w:val="0043188D"/>
    <w:rsid w:val="0043197F"/>
    <w:rsid w:val="00431A9E"/>
    <w:rsid w:val="00431C4A"/>
    <w:rsid w:val="00431CA1"/>
    <w:rsid w:val="00431DC0"/>
    <w:rsid w:val="00431ED7"/>
    <w:rsid w:val="00431F65"/>
    <w:rsid w:val="00431FEF"/>
    <w:rsid w:val="00432034"/>
    <w:rsid w:val="00432528"/>
    <w:rsid w:val="0043258A"/>
    <w:rsid w:val="00432CDF"/>
    <w:rsid w:val="00432F91"/>
    <w:rsid w:val="00432FEF"/>
    <w:rsid w:val="00433168"/>
    <w:rsid w:val="004332DF"/>
    <w:rsid w:val="004333D9"/>
    <w:rsid w:val="00433B40"/>
    <w:rsid w:val="00433B74"/>
    <w:rsid w:val="00433CD5"/>
    <w:rsid w:val="00433E39"/>
    <w:rsid w:val="00433E4B"/>
    <w:rsid w:val="00433E7B"/>
    <w:rsid w:val="004341F0"/>
    <w:rsid w:val="004344C8"/>
    <w:rsid w:val="004348D9"/>
    <w:rsid w:val="00434919"/>
    <w:rsid w:val="004349B6"/>
    <w:rsid w:val="00434F5F"/>
    <w:rsid w:val="00434F6B"/>
    <w:rsid w:val="004351CA"/>
    <w:rsid w:val="0043537B"/>
    <w:rsid w:val="004353A7"/>
    <w:rsid w:val="004355A4"/>
    <w:rsid w:val="004356A3"/>
    <w:rsid w:val="0043584D"/>
    <w:rsid w:val="00435941"/>
    <w:rsid w:val="00435F00"/>
    <w:rsid w:val="00435F04"/>
    <w:rsid w:val="004361F3"/>
    <w:rsid w:val="0043625F"/>
    <w:rsid w:val="004362C6"/>
    <w:rsid w:val="004362CF"/>
    <w:rsid w:val="00436452"/>
    <w:rsid w:val="00436470"/>
    <w:rsid w:val="00436528"/>
    <w:rsid w:val="00436619"/>
    <w:rsid w:val="004369B2"/>
    <w:rsid w:val="00436B2C"/>
    <w:rsid w:val="00436B87"/>
    <w:rsid w:val="00437213"/>
    <w:rsid w:val="00437E18"/>
    <w:rsid w:val="00437E7C"/>
    <w:rsid w:val="00437EEC"/>
    <w:rsid w:val="00437F9C"/>
    <w:rsid w:val="004400D1"/>
    <w:rsid w:val="0044013D"/>
    <w:rsid w:val="0044058F"/>
    <w:rsid w:val="004407EE"/>
    <w:rsid w:val="004409F5"/>
    <w:rsid w:val="00440AC7"/>
    <w:rsid w:val="00440D5D"/>
    <w:rsid w:val="00440E48"/>
    <w:rsid w:val="00440F39"/>
    <w:rsid w:val="0044112F"/>
    <w:rsid w:val="00441367"/>
    <w:rsid w:val="0044145C"/>
    <w:rsid w:val="004416B1"/>
    <w:rsid w:val="0044179E"/>
    <w:rsid w:val="00441B1E"/>
    <w:rsid w:val="00441FFE"/>
    <w:rsid w:val="004421D2"/>
    <w:rsid w:val="004425E1"/>
    <w:rsid w:val="00442695"/>
    <w:rsid w:val="004426DC"/>
    <w:rsid w:val="0044278B"/>
    <w:rsid w:val="0044286F"/>
    <w:rsid w:val="00442B29"/>
    <w:rsid w:val="00442D4E"/>
    <w:rsid w:val="00442E17"/>
    <w:rsid w:val="00442F5F"/>
    <w:rsid w:val="00442FC3"/>
    <w:rsid w:val="0044308E"/>
    <w:rsid w:val="0044369A"/>
    <w:rsid w:val="00443850"/>
    <w:rsid w:val="004438B8"/>
    <w:rsid w:val="00443A40"/>
    <w:rsid w:val="00443BFD"/>
    <w:rsid w:val="00443E9B"/>
    <w:rsid w:val="00444188"/>
    <w:rsid w:val="004449D8"/>
    <w:rsid w:val="00444A3B"/>
    <w:rsid w:val="00444B58"/>
    <w:rsid w:val="00444F00"/>
    <w:rsid w:val="00444F2D"/>
    <w:rsid w:val="0044508A"/>
    <w:rsid w:val="004450B9"/>
    <w:rsid w:val="004451CC"/>
    <w:rsid w:val="004451F9"/>
    <w:rsid w:val="0044522A"/>
    <w:rsid w:val="00445334"/>
    <w:rsid w:val="00445553"/>
    <w:rsid w:val="004458B6"/>
    <w:rsid w:val="00445ACE"/>
    <w:rsid w:val="00445AEE"/>
    <w:rsid w:val="00445FC0"/>
    <w:rsid w:val="00446059"/>
    <w:rsid w:val="004462D1"/>
    <w:rsid w:val="0044634E"/>
    <w:rsid w:val="00446468"/>
    <w:rsid w:val="0044666C"/>
    <w:rsid w:val="00446791"/>
    <w:rsid w:val="004469C7"/>
    <w:rsid w:val="0044723A"/>
    <w:rsid w:val="004472E5"/>
    <w:rsid w:val="00447307"/>
    <w:rsid w:val="004473C1"/>
    <w:rsid w:val="0044752E"/>
    <w:rsid w:val="0044769D"/>
    <w:rsid w:val="004479F1"/>
    <w:rsid w:val="00447F14"/>
    <w:rsid w:val="00450186"/>
    <w:rsid w:val="00450294"/>
    <w:rsid w:val="00450702"/>
    <w:rsid w:val="00450B94"/>
    <w:rsid w:val="00450DBB"/>
    <w:rsid w:val="00450E5D"/>
    <w:rsid w:val="00450E9A"/>
    <w:rsid w:val="0045118B"/>
    <w:rsid w:val="0045145D"/>
    <w:rsid w:val="00451514"/>
    <w:rsid w:val="0045152B"/>
    <w:rsid w:val="00451570"/>
    <w:rsid w:val="0045191F"/>
    <w:rsid w:val="00451E8B"/>
    <w:rsid w:val="00451F47"/>
    <w:rsid w:val="004520EC"/>
    <w:rsid w:val="00452112"/>
    <w:rsid w:val="0045230E"/>
    <w:rsid w:val="004523E8"/>
    <w:rsid w:val="004525DA"/>
    <w:rsid w:val="00452684"/>
    <w:rsid w:val="00452AB7"/>
    <w:rsid w:val="00452E75"/>
    <w:rsid w:val="00452F02"/>
    <w:rsid w:val="00453187"/>
    <w:rsid w:val="004532F3"/>
    <w:rsid w:val="00453776"/>
    <w:rsid w:val="00453957"/>
    <w:rsid w:val="0045397E"/>
    <w:rsid w:val="00453CA9"/>
    <w:rsid w:val="0045406E"/>
    <w:rsid w:val="0045421E"/>
    <w:rsid w:val="00454398"/>
    <w:rsid w:val="004544CF"/>
    <w:rsid w:val="0045478C"/>
    <w:rsid w:val="004548A6"/>
    <w:rsid w:val="00454A4A"/>
    <w:rsid w:val="00454D3C"/>
    <w:rsid w:val="00454D9B"/>
    <w:rsid w:val="00454E78"/>
    <w:rsid w:val="00454EB6"/>
    <w:rsid w:val="00454ED3"/>
    <w:rsid w:val="00454F2F"/>
    <w:rsid w:val="00455396"/>
    <w:rsid w:val="004553F4"/>
    <w:rsid w:val="004554D3"/>
    <w:rsid w:val="004556EC"/>
    <w:rsid w:val="004557E1"/>
    <w:rsid w:val="00455881"/>
    <w:rsid w:val="0045596F"/>
    <w:rsid w:val="00455A00"/>
    <w:rsid w:val="00455A6E"/>
    <w:rsid w:val="00455B61"/>
    <w:rsid w:val="00455BE1"/>
    <w:rsid w:val="00455C26"/>
    <w:rsid w:val="00455D6D"/>
    <w:rsid w:val="00455DF4"/>
    <w:rsid w:val="00455DFB"/>
    <w:rsid w:val="00455E61"/>
    <w:rsid w:val="004560E6"/>
    <w:rsid w:val="00456128"/>
    <w:rsid w:val="00456219"/>
    <w:rsid w:val="0045637E"/>
    <w:rsid w:val="00456F29"/>
    <w:rsid w:val="0045703C"/>
    <w:rsid w:val="004570AD"/>
    <w:rsid w:val="0045721B"/>
    <w:rsid w:val="0045732C"/>
    <w:rsid w:val="00457661"/>
    <w:rsid w:val="00457798"/>
    <w:rsid w:val="00457A50"/>
    <w:rsid w:val="00457BBE"/>
    <w:rsid w:val="00457BDA"/>
    <w:rsid w:val="00460060"/>
    <w:rsid w:val="00460073"/>
    <w:rsid w:val="00460269"/>
    <w:rsid w:val="004602FF"/>
    <w:rsid w:val="00460B60"/>
    <w:rsid w:val="00460D31"/>
    <w:rsid w:val="00461053"/>
    <w:rsid w:val="0046105D"/>
    <w:rsid w:val="004613FF"/>
    <w:rsid w:val="004618C4"/>
    <w:rsid w:val="004619CF"/>
    <w:rsid w:val="00461BFB"/>
    <w:rsid w:val="00461CA9"/>
    <w:rsid w:val="00461DAF"/>
    <w:rsid w:val="004620DA"/>
    <w:rsid w:val="00462260"/>
    <w:rsid w:val="0046228F"/>
    <w:rsid w:val="004627C4"/>
    <w:rsid w:val="004628B4"/>
    <w:rsid w:val="004629C6"/>
    <w:rsid w:val="00462B27"/>
    <w:rsid w:val="00462D0D"/>
    <w:rsid w:val="004631FD"/>
    <w:rsid w:val="0046350D"/>
    <w:rsid w:val="00463814"/>
    <w:rsid w:val="00463873"/>
    <w:rsid w:val="00463B60"/>
    <w:rsid w:val="00463EA6"/>
    <w:rsid w:val="00463F8D"/>
    <w:rsid w:val="004641C0"/>
    <w:rsid w:val="0046458E"/>
    <w:rsid w:val="00464664"/>
    <w:rsid w:val="004646A2"/>
    <w:rsid w:val="004647E0"/>
    <w:rsid w:val="00464B2B"/>
    <w:rsid w:val="00464B40"/>
    <w:rsid w:val="00464D56"/>
    <w:rsid w:val="0046503E"/>
    <w:rsid w:val="00465200"/>
    <w:rsid w:val="00465351"/>
    <w:rsid w:val="004654FB"/>
    <w:rsid w:val="00465890"/>
    <w:rsid w:val="00465B61"/>
    <w:rsid w:val="00465C39"/>
    <w:rsid w:val="00466218"/>
    <w:rsid w:val="004662E4"/>
    <w:rsid w:val="0046641A"/>
    <w:rsid w:val="004665BC"/>
    <w:rsid w:val="00466714"/>
    <w:rsid w:val="00466A27"/>
    <w:rsid w:val="00466A4A"/>
    <w:rsid w:val="00466BCD"/>
    <w:rsid w:val="00466BEE"/>
    <w:rsid w:val="00466CC0"/>
    <w:rsid w:val="00466DE2"/>
    <w:rsid w:val="00466FC4"/>
    <w:rsid w:val="0046731F"/>
    <w:rsid w:val="00467ADB"/>
    <w:rsid w:val="00467D54"/>
    <w:rsid w:val="00470041"/>
    <w:rsid w:val="00470106"/>
    <w:rsid w:val="0047025C"/>
    <w:rsid w:val="004703D6"/>
    <w:rsid w:val="004703FB"/>
    <w:rsid w:val="00470893"/>
    <w:rsid w:val="004708B8"/>
    <w:rsid w:val="00470CC1"/>
    <w:rsid w:val="00470CC5"/>
    <w:rsid w:val="00470D12"/>
    <w:rsid w:val="00470FDD"/>
    <w:rsid w:val="0047101C"/>
    <w:rsid w:val="00471059"/>
    <w:rsid w:val="004710F8"/>
    <w:rsid w:val="004711E2"/>
    <w:rsid w:val="0047130E"/>
    <w:rsid w:val="00471334"/>
    <w:rsid w:val="004713BC"/>
    <w:rsid w:val="004716F2"/>
    <w:rsid w:val="00471A13"/>
    <w:rsid w:val="00471AF7"/>
    <w:rsid w:val="00471F1D"/>
    <w:rsid w:val="00471FCD"/>
    <w:rsid w:val="00472010"/>
    <w:rsid w:val="00472184"/>
    <w:rsid w:val="0047230B"/>
    <w:rsid w:val="0047239E"/>
    <w:rsid w:val="004723B1"/>
    <w:rsid w:val="00472644"/>
    <w:rsid w:val="00472695"/>
    <w:rsid w:val="00472B20"/>
    <w:rsid w:val="00472CFB"/>
    <w:rsid w:val="00472E9A"/>
    <w:rsid w:val="0047311A"/>
    <w:rsid w:val="004732A9"/>
    <w:rsid w:val="004735E7"/>
    <w:rsid w:val="004737B6"/>
    <w:rsid w:val="00473E3F"/>
    <w:rsid w:val="00474029"/>
    <w:rsid w:val="004740CD"/>
    <w:rsid w:val="004741EC"/>
    <w:rsid w:val="004741F1"/>
    <w:rsid w:val="00474349"/>
    <w:rsid w:val="004743D0"/>
    <w:rsid w:val="00474776"/>
    <w:rsid w:val="004749C2"/>
    <w:rsid w:val="00474A17"/>
    <w:rsid w:val="00474BB0"/>
    <w:rsid w:val="00474D58"/>
    <w:rsid w:val="00474E13"/>
    <w:rsid w:val="00475041"/>
    <w:rsid w:val="004752AD"/>
    <w:rsid w:val="004752FB"/>
    <w:rsid w:val="0047558D"/>
    <w:rsid w:val="0047590A"/>
    <w:rsid w:val="00475A88"/>
    <w:rsid w:val="00475B04"/>
    <w:rsid w:val="00475CD8"/>
    <w:rsid w:val="00475D7D"/>
    <w:rsid w:val="00476327"/>
    <w:rsid w:val="00476655"/>
    <w:rsid w:val="004767A6"/>
    <w:rsid w:val="00476813"/>
    <w:rsid w:val="004768B0"/>
    <w:rsid w:val="004769CC"/>
    <w:rsid w:val="00476B61"/>
    <w:rsid w:val="00476F85"/>
    <w:rsid w:val="0047708D"/>
    <w:rsid w:val="004770FA"/>
    <w:rsid w:val="00477205"/>
    <w:rsid w:val="00477384"/>
    <w:rsid w:val="00477415"/>
    <w:rsid w:val="00477EC4"/>
    <w:rsid w:val="00477EF2"/>
    <w:rsid w:val="00480366"/>
    <w:rsid w:val="00480528"/>
    <w:rsid w:val="0048054D"/>
    <w:rsid w:val="0048098F"/>
    <w:rsid w:val="004809FA"/>
    <w:rsid w:val="00480E77"/>
    <w:rsid w:val="00480E92"/>
    <w:rsid w:val="00480FBE"/>
    <w:rsid w:val="004810A6"/>
    <w:rsid w:val="00481282"/>
    <w:rsid w:val="004814C8"/>
    <w:rsid w:val="00481612"/>
    <w:rsid w:val="00481688"/>
    <w:rsid w:val="004816BD"/>
    <w:rsid w:val="0048189E"/>
    <w:rsid w:val="00481B2F"/>
    <w:rsid w:val="00481D35"/>
    <w:rsid w:val="00481ED4"/>
    <w:rsid w:val="00482360"/>
    <w:rsid w:val="00482385"/>
    <w:rsid w:val="004824AC"/>
    <w:rsid w:val="00482695"/>
    <w:rsid w:val="004828A9"/>
    <w:rsid w:val="00482956"/>
    <w:rsid w:val="0048296A"/>
    <w:rsid w:val="00482D8D"/>
    <w:rsid w:val="00483287"/>
    <w:rsid w:val="00483377"/>
    <w:rsid w:val="004835AE"/>
    <w:rsid w:val="00483614"/>
    <w:rsid w:val="004836AA"/>
    <w:rsid w:val="00483871"/>
    <w:rsid w:val="00483AE0"/>
    <w:rsid w:val="00483B65"/>
    <w:rsid w:val="00483C10"/>
    <w:rsid w:val="004843BA"/>
    <w:rsid w:val="00484703"/>
    <w:rsid w:val="00484713"/>
    <w:rsid w:val="00484BB9"/>
    <w:rsid w:val="00484C5D"/>
    <w:rsid w:val="00484D3D"/>
    <w:rsid w:val="004851EA"/>
    <w:rsid w:val="004854A7"/>
    <w:rsid w:val="00485921"/>
    <w:rsid w:val="004859AB"/>
    <w:rsid w:val="00485F9A"/>
    <w:rsid w:val="00486573"/>
    <w:rsid w:val="004866F1"/>
    <w:rsid w:val="004869FD"/>
    <w:rsid w:val="00486C97"/>
    <w:rsid w:val="00486E65"/>
    <w:rsid w:val="004871E8"/>
    <w:rsid w:val="004873F3"/>
    <w:rsid w:val="00487651"/>
    <w:rsid w:val="0048783C"/>
    <w:rsid w:val="00487A96"/>
    <w:rsid w:val="00487BD7"/>
    <w:rsid w:val="00487C0B"/>
    <w:rsid w:val="00487D75"/>
    <w:rsid w:val="00487D9B"/>
    <w:rsid w:val="00487E47"/>
    <w:rsid w:val="00490235"/>
    <w:rsid w:val="0049046A"/>
    <w:rsid w:val="004904AB"/>
    <w:rsid w:val="00490659"/>
    <w:rsid w:val="004907F2"/>
    <w:rsid w:val="004907F9"/>
    <w:rsid w:val="00490942"/>
    <w:rsid w:val="00490A88"/>
    <w:rsid w:val="00490C1C"/>
    <w:rsid w:val="00490D68"/>
    <w:rsid w:val="00490EF1"/>
    <w:rsid w:val="0049137F"/>
    <w:rsid w:val="0049180D"/>
    <w:rsid w:val="00491A48"/>
    <w:rsid w:val="00491BB4"/>
    <w:rsid w:val="00491BB5"/>
    <w:rsid w:val="00491C63"/>
    <w:rsid w:val="00491CD3"/>
    <w:rsid w:val="00491D55"/>
    <w:rsid w:val="00491E24"/>
    <w:rsid w:val="00492146"/>
    <w:rsid w:val="004922A5"/>
    <w:rsid w:val="00492426"/>
    <w:rsid w:val="00492536"/>
    <w:rsid w:val="00492C57"/>
    <w:rsid w:val="00492DDF"/>
    <w:rsid w:val="00492F9D"/>
    <w:rsid w:val="004935F1"/>
    <w:rsid w:val="0049366D"/>
    <w:rsid w:val="004936D2"/>
    <w:rsid w:val="00493719"/>
    <w:rsid w:val="00493760"/>
    <w:rsid w:val="0049385C"/>
    <w:rsid w:val="0049391F"/>
    <w:rsid w:val="00493995"/>
    <w:rsid w:val="004939D7"/>
    <w:rsid w:val="00493D8B"/>
    <w:rsid w:val="00493DBF"/>
    <w:rsid w:val="0049438D"/>
    <w:rsid w:val="004943B0"/>
    <w:rsid w:val="004944CD"/>
    <w:rsid w:val="00494514"/>
    <w:rsid w:val="004946BA"/>
    <w:rsid w:val="00494745"/>
    <w:rsid w:val="00494991"/>
    <w:rsid w:val="00494992"/>
    <w:rsid w:val="00494C08"/>
    <w:rsid w:val="00494DAE"/>
    <w:rsid w:val="00494FAA"/>
    <w:rsid w:val="0049550D"/>
    <w:rsid w:val="00495614"/>
    <w:rsid w:val="00495913"/>
    <w:rsid w:val="00495948"/>
    <w:rsid w:val="00495DB0"/>
    <w:rsid w:val="00495E30"/>
    <w:rsid w:val="004960D8"/>
    <w:rsid w:val="00496375"/>
    <w:rsid w:val="00496574"/>
    <w:rsid w:val="00496666"/>
    <w:rsid w:val="0049685E"/>
    <w:rsid w:val="00496A4B"/>
    <w:rsid w:val="00496A69"/>
    <w:rsid w:val="00496B48"/>
    <w:rsid w:val="00496CC9"/>
    <w:rsid w:val="00496D3B"/>
    <w:rsid w:val="00497190"/>
    <w:rsid w:val="004971B3"/>
    <w:rsid w:val="0049750E"/>
    <w:rsid w:val="004977B0"/>
    <w:rsid w:val="0049796A"/>
    <w:rsid w:val="00497D4A"/>
    <w:rsid w:val="00497DCB"/>
    <w:rsid w:val="004A008A"/>
    <w:rsid w:val="004A00B6"/>
    <w:rsid w:val="004A0125"/>
    <w:rsid w:val="004A0147"/>
    <w:rsid w:val="004A0349"/>
    <w:rsid w:val="004A0470"/>
    <w:rsid w:val="004A04A2"/>
    <w:rsid w:val="004A052B"/>
    <w:rsid w:val="004A058B"/>
    <w:rsid w:val="004A0656"/>
    <w:rsid w:val="004A0657"/>
    <w:rsid w:val="004A0711"/>
    <w:rsid w:val="004A0960"/>
    <w:rsid w:val="004A0A0E"/>
    <w:rsid w:val="004A0C8D"/>
    <w:rsid w:val="004A0D02"/>
    <w:rsid w:val="004A0D12"/>
    <w:rsid w:val="004A12EE"/>
    <w:rsid w:val="004A155E"/>
    <w:rsid w:val="004A1666"/>
    <w:rsid w:val="004A1838"/>
    <w:rsid w:val="004A1BCF"/>
    <w:rsid w:val="004A1BDB"/>
    <w:rsid w:val="004A1DAE"/>
    <w:rsid w:val="004A1E39"/>
    <w:rsid w:val="004A2231"/>
    <w:rsid w:val="004A224F"/>
    <w:rsid w:val="004A24B5"/>
    <w:rsid w:val="004A260F"/>
    <w:rsid w:val="004A29E2"/>
    <w:rsid w:val="004A2BD2"/>
    <w:rsid w:val="004A2E7E"/>
    <w:rsid w:val="004A3076"/>
    <w:rsid w:val="004A30B2"/>
    <w:rsid w:val="004A332E"/>
    <w:rsid w:val="004A392A"/>
    <w:rsid w:val="004A3A9A"/>
    <w:rsid w:val="004A3C8A"/>
    <w:rsid w:val="004A3E8D"/>
    <w:rsid w:val="004A4130"/>
    <w:rsid w:val="004A4160"/>
    <w:rsid w:val="004A4390"/>
    <w:rsid w:val="004A4466"/>
    <w:rsid w:val="004A46B1"/>
    <w:rsid w:val="004A49D6"/>
    <w:rsid w:val="004A4B54"/>
    <w:rsid w:val="004A50C6"/>
    <w:rsid w:val="004A5216"/>
    <w:rsid w:val="004A54BA"/>
    <w:rsid w:val="004A55E0"/>
    <w:rsid w:val="004A5670"/>
    <w:rsid w:val="004A5956"/>
    <w:rsid w:val="004A59B3"/>
    <w:rsid w:val="004A59CD"/>
    <w:rsid w:val="004A5C09"/>
    <w:rsid w:val="004A61AC"/>
    <w:rsid w:val="004A6205"/>
    <w:rsid w:val="004A639D"/>
    <w:rsid w:val="004A63D6"/>
    <w:rsid w:val="004A64D1"/>
    <w:rsid w:val="004A667E"/>
    <w:rsid w:val="004A68A4"/>
    <w:rsid w:val="004A6B27"/>
    <w:rsid w:val="004A6BC9"/>
    <w:rsid w:val="004A6D59"/>
    <w:rsid w:val="004A72F2"/>
    <w:rsid w:val="004A73EC"/>
    <w:rsid w:val="004A7491"/>
    <w:rsid w:val="004A765E"/>
    <w:rsid w:val="004A7683"/>
    <w:rsid w:val="004A7695"/>
    <w:rsid w:val="004A78C6"/>
    <w:rsid w:val="004A7CE2"/>
    <w:rsid w:val="004B00B1"/>
    <w:rsid w:val="004B01E7"/>
    <w:rsid w:val="004B0326"/>
    <w:rsid w:val="004B0478"/>
    <w:rsid w:val="004B049A"/>
    <w:rsid w:val="004B0576"/>
    <w:rsid w:val="004B07BA"/>
    <w:rsid w:val="004B0A1F"/>
    <w:rsid w:val="004B0D42"/>
    <w:rsid w:val="004B1134"/>
    <w:rsid w:val="004B1178"/>
    <w:rsid w:val="004B144F"/>
    <w:rsid w:val="004B15F7"/>
    <w:rsid w:val="004B184D"/>
    <w:rsid w:val="004B1B67"/>
    <w:rsid w:val="004B20DD"/>
    <w:rsid w:val="004B24E7"/>
    <w:rsid w:val="004B2513"/>
    <w:rsid w:val="004B2642"/>
    <w:rsid w:val="004B2674"/>
    <w:rsid w:val="004B268B"/>
    <w:rsid w:val="004B27E3"/>
    <w:rsid w:val="004B2F10"/>
    <w:rsid w:val="004B3267"/>
    <w:rsid w:val="004B3476"/>
    <w:rsid w:val="004B35B7"/>
    <w:rsid w:val="004B3890"/>
    <w:rsid w:val="004B38E5"/>
    <w:rsid w:val="004B3A8F"/>
    <w:rsid w:val="004B3BE8"/>
    <w:rsid w:val="004B3BF2"/>
    <w:rsid w:val="004B3C66"/>
    <w:rsid w:val="004B3F46"/>
    <w:rsid w:val="004B3FA8"/>
    <w:rsid w:val="004B41D7"/>
    <w:rsid w:val="004B4241"/>
    <w:rsid w:val="004B4502"/>
    <w:rsid w:val="004B451B"/>
    <w:rsid w:val="004B4648"/>
    <w:rsid w:val="004B46E6"/>
    <w:rsid w:val="004B47E9"/>
    <w:rsid w:val="004B481F"/>
    <w:rsid w:val="004B4A9C"/>
    <w:rsid w:val="004B4DA6"/>
    <w:rsid w:val="004B4F8A"/>
    <w:rsid w:val="004B4FD8"/>
    <w:rsid w:val="004B519B"/>
    <w:rsid w:val="004B525D"/>
    <w:rsid w:val="004B52C8"/>
    <w:rsid w:val="004B54B4"/>
    <w:rsid w:val="004B5706"/>
    <w:rsid w:val="004B57E2"/>
    <w:rsid w:val="004B5904"/>
    <w:rsid w:val="004B5C20"/>
    <w:rsid w:val="004B5EEC"/>
    <w:rsid w:val="004B60F7"/>
    <w:rsid w:val="004B6781"/>
    <w:rsid w:val="004B6855"/>
    <w:rsid w:val="004B6B6F"/>
    <w:rsid w:val="004B6E35"/>
    <w:rsid w:val="004B7380"/>
    <w:rsid w:val="004B75A7"/>
    <w:rsid w:val="004B76AC"/>
    <w:rsid w:val="004B78BD"/>
    <w:rsid w:val="004B79B2"/>
    <w:rsid w:val="004B7B4A"/>
    <w:rsid w:val="004B7D04"/>
    <w:rsid w:val="004B7D14"/>
    <w:rsid w:val="004B7F7C"/>
    <w:rsid w:val="004C015E"/>
    <w:rsid w:val="004C0202"/>
    <w:rsid w:val="004C0676"/>
    <w:rsid w:val="004C06AA"/>
    <w:rsid w:val="004C0855"/>
    <w:rsid w:val="004C08C3"/>
    <w:rsid w:val="004C08DE"/>
    <w:rsid w:val="004C0B7C"/>
    <w:rsid w:val="004C1012"/>
    <w:rsid w:val="004C1838"/>
    <w:rsid w:val="004C1947"/>
    <w:rsid w:val="004C1986"/>
    <w:rsid w:val="004C1A73"/>
    <w:rsid w:val="004C1B02"/>
    <w:rsid w:val="004C1BCB"/>
    <w:rsid w:val="004C1BFF"/>
    <w:rsid w:val="004C1CEC"/>
    <w:rsid w:val="004C1EDF"/>
    <w:rsid w:val="004C2140"/>
    <w:rsid w:val="004C23A2"/>
    <w:rsid w:val="004C2CB8"/>
    <w:rsid w:val="004C362C"/>
    <w:rsid w:val="004C3BC4"/>
    <w:rsid w:val="004C3CC9"/>
    <w:rsid w:val="004C3DB5"/>
    <w:rsid w:val="004C4008"/>
    <w:rsid w:val="004C4083"/>
    <w:rsid w:val="004C4203"/>
    <w:rsid w:val="004C4277"/>
    <w:rsid w:val="004C4448"/>
    <w:rsid w:val="004C4994"/>
    <w:rsid w:val="004C4B55"/>
    <w:rsid w:val="004C4CF9"/>
    <w:rsid w:val="004C4D04"/>
    <w:rsid w:val="004C4F99"/>
    <w:rsid w:val="004C5136"/>
    <w:rsid w:val="004C516F"/>
    <w:rsid w:val="004C531E"/>
    <w:rsid w:val="004C5464"/>
    <w:rsid w:val="004C5675"/>
    <w:rsid w:val="004C58C6"/>
    <w:rsid w:val="004C5A40"/>
    <w:rsid w:val="004C5D46"/>
    <w:rsid w:val="004C5F0A"/>
    <w:rsid w:val="004C6043"/>
    <w:rsid w:val="004C6713"/>
    <w:rsid w:val="004C697D"/>
    <w:rsid w:val="004C6C89"/>
    <w:rsid w:val="004C6C9F"/>
    <w:rsid w:val="004C6F36"/>
    <w:rsid w:val="004C72E7"/>
    <w:rsid w:val="004C7334"/>
    <w:rsid w:val="004C7447"/>
    <w:rsid w:val="004C75C0"/>
    <w:rsid w:val="004C75CC"/>
    <w:rsid w:val="004C7716"/>
    <w:rsid w:val="004C793C"/>
    <w:rsid w:val="004C7A35"/>
    <w:rsid w:val="004C7B68"/>
    <w:rsid w:val="004C7D03"/>
    <w:rsid w:val="004C7D5D"/>
    <w:rsid w:val="004C7D73"/>
    <w:rsid w:val="004C7EA5"/>
    <w:rsid w:val="004D006F"/>
    <w:rsid w:val="004D048F"/>
    <w:rsid w:val="004D04F6"/>
    <w:rsid w:val="004D071F"/>
    <w:rsid w:val="004D073B"/>
    <w:rsid w:val="004D0744"/>
    <w:rsid w:val="004D0778"/>
    <w:rsid w:val="004D0855"/>
    <w:rsid w:val="004D0A08"/>
    <w:rsid w:val="004D0BA4"/>
    <w:rsid w:val="004D0C92"/>
    <w:rsid w:val="004D13EC"/>
    <w:rsid w:val="004D14DF"/>
    <w:rsid w:val="004D1534"/>
    <w:rsid w:val="004D1763"/>
    <w:rsid w:val="004D1A18"/>
    <w:rsid w:val="004D1A45"/>
    <w:rsid w:val="004D1BA7"/>
    <w:rsid w:val="004D1CC8"/>
    <w:rsid w:val="004D1DE4"/>
    <w:rsid w:val="004D2385"/>
    <w:rsid w:val="004D242B"/>
    <w:rsid w:val="004D25EF"/>
    <w:rsid w:val="004D295A"/>
    <w:rsid w:val="004D312B"/>
    <w:rsid w:val="004D3190"/>
    <w:rsid w:val="004D31E4"/>
    <w:rsid w:val="004D3493"/>
    <w:rsid w:val="004D36D2"/>
    <w:rsid w:val="004D372C"/>
    <w:rsid w:val="004D3CA9"/>
    <w:rsid w:val="004D3DB0"/>
    <w:rsid w:val="004D410E"/>
    <w:rsid w:val="004D43A0"/>
    <w:rsid w:val="004D4619"/>
    <w:rsid w:val="004D49E3"/>
    <w:rsid w:val="004D4D6F"/>
    <w:rsid w:val="004D4D82"/>
    <w:rsid w:val="004D4E91"/>
    <w:rsid w:val="004D4FB1"/>
    <w:rsid w:val="004D5A4A"/>
    <w:rsid w:val="004D5A5B"/>
    <w:rsid w:val="004D5B24"/>
    <w:rsid w:val="004D5D2C"/>
    <w:rsid w:val="004D61E2"/>
    <w:rsid w:val="004D6482"/>
    <w:rsid w:val="004D651D"/>
    <w:rsid w:val="004D68EF"/>
    <w:rsid w:val="004D69DB"/>
    <w:rsid w:val="004D6C87"/>
    <w:rsid w:val="004D6DBB"/>
    <w:rsid w:val="004D6F42"/>
    <w:rsid w:val="004D6FE6"/>
    <w:rsid w:val="004D705B"/>
    <w:rsid w:val="004D7268"/>
    <w:rsid w:val="004D75F2"/>
    <w:rsid w:val="004D767F"/>
    <w:rsid w:val="004D7866"/>
    <w:rsid w:val="004E01FC"/>
    <w:rsid w:val="004E08F8"/>
    <w:rsid w:val="004E0DA6"/>
    <w:rsid w:val="004E0F3D"/>
    <w:rsid w:val="004E0F5F"/>
    <w:rsid w:val="004E0FE1"/>
    <w:rsid w:val="004E11A7"/>
    <w:rsid w:val="004E11BA"/>
    <w:rsid w:val="004E1253"/>
    <w:rsid w:val="004E12AE"/>
    <w:rsid w:val="004E1334"/>
    <w:rsid w:val="004E167C"/>
    <w:rsid w:val="004E183D"/>
    <w:rsid w:val="004E1848"/>
    <w:rsid w:val="004E1C8E"/>
    <w:rsid w:val="004E1CDD"/>
    <w:rsid w:val="004E1D4D"/>
    <w:rsid w:val="004E1EF6"/>
    <w:rsid w:val="004E22B5"/>
    <w:rsid w:val="004E261B"/>
    <w:rsid w:val="004E2901"/>
    <w:rsid w:val="004E2E3C"/>
    <w:rsid w:val="004E2EB4"/>
    <w:rsid w:val="004E2F50"/>
    <w:rsid w:val="004E2FD8"/>
    <w:rsid w:val="004E2FDC"/>
    <w:rsid w:val="004E3383"/>
    <w:rsid w:val="004E345B"/>
    <w:rsid w:val="004E34A4"/>
    <w:rsid w:val="004E3664"/>
    <w:rsid w:val="004E36B2"/>
    <w:rsid w:val="004E36C5"/>
    <w:rsid w:val="004E3829"/>
    <w:rsid w:val="004E3943"/>
    <w:rsid w:val="004E3980"/>
    <w:rsid w:val="004E39CF"/>
    <w:rsid w:val="004E3A6F"/>
    <w:rsid w:val="004E437B"/>
    <w:rsid w:val="004E4526"/>
    <w:rsid w:val="004E45D6"/>
    <w:rsid w:val="004E466E"/>
    <w:rsid w:val="004E4792"/>
    <w:rsid w:val="004E4B85"/>
    <w:rsid w:val="004E4BDE"/>
    <w:rsid w:val="004E4C88"/>
    <w:rsid w:val="004E50D1"/>
    <w:rsid w:val="004E517C"/>
    <w:rsid w:val="004E5343"/>
    <w:rsid w:val="004E535E"/>
    <w:rsid w:val="004E541D"/>
    <w:rsid w:val="004E5A6B"/>
    <w:rsid w:val="004E5CB2"/>
    <w:rsid w:val="004E5DD5"/>
    <w:rsid w:val="004E6181"/>
    <w:rsid w:val="004E6252"/>
    <w:rsid w:val="004E62BB"/>
    <w:rsid w:val="004E644D"/>
    <w:rsid w:val="004E688C"/>
    <w:rsid w:val="004E68C8"/>
    <w:rsid w:val="004E6D0F"/>
    <w:rsid w:val="004E7248"/>
    <w:rsid w:val="004E7716"/>
    <w:rsid w:val="004E7B00"/>
    <w:rsid w:val="004F04C2"/>
    <w:rsid w:val="004F07D4"/>
    <w:rsid w:val="004F0E60"/>
    <w:rsid w:val="004F1046"/>
    <w:rsid w:val="004F10E3"/>
    <w:rsid w:val="004F12EF"/>
    <w:rsid w:val="004F171D"/>
    <w:rsid w:val="004F1777"/>
    <w:rsid w:val="004F18F1"/>
    <w:rsid w:val="004F1903"/>
    <w:rsid w:val="004F1A00"/>
    <w:rsid w:val="004F1CFA"/>
    <w:rsid w:val="004F1F07"/>
    <w:rsid w:val="004F2562"/>
    <w:rsid w:val="004F2C6B"/>
    <w:rsid w:val="004F2D59"/>
    <w:rsid w:val="004F2FF3"/>
    <w:rsid w:val="004F3192"/>
    <w:rsid w:val="004F31A8"/>
    <w:rsid w:val="004F31FE"/>
    <w:rsid w:val="004F34C0"/>
    <w:rsid w:val="004F3843"/>
    <w:rsid w:val="004F3A2C"/>
    <w:rsid w:val="004F3A44"/>
    <w:rsid w:val="004F3C7A"/>
    <w:rsid w:val="004F3C96"/>
    <w:rsid w:val="004F3E9C"/>
    <w:rsid w:val="004F40D2"/>
    <w:rsid w:val="004F4799"/>
    <w:rsid w:val="004F4848"/>
    <w:rsid w:val="004F496E"/>
    <w:rsid w:val="004F4A06"/>
    <w:rsid w:val="004F4AE7"/>
    <w:rsid w:val="004F4C8A"/>
    <w:rsid w:val="004F4CC1"/>
    <w:rsid w:val="004F4CEA"/>
    <w:rsid w:val="004F4D04"/>
    <w:rsid w:val="004F5152"/>
    <w:rsid w:val="004F516F"/>
    <w:rsid w:val="004F5313"/>
    <w:rsid w:val="004F53AA"/>
    <w:rsid w:val="004F54B9"/>
    <w:rsid w:val="004F5935"/>
    <w:rsid w:val="004F5AB3"/>
    <w:rsid w:val="004F5B2A"/>
    <w:rsid w:val="004F5E6E"/>
    <w:rsid w:val="004F5E9B"/>
    <w:rsid w:val="004F5F76"/>
    <w:rsid w:val="004F640E"/>
    <w:rsid w:val="004F658B"/>
    <w:rsid w:val="004F658C"/>
    <w:rsid w:val="004F665A"/>
    <w:rsid w:val="004F66A3"/>
    <w:rsid w:val="004F69D2"/>
    <w:rsid w:val="004F6C6B"/>
    <w:rsid w:val="004F6D44"/>
    <w:rsid w:val="004F6D4F"/>
    <w:rsid w:val="004F6F04"/>
    <w:rsid w:val="004F7096"/>
    <w:rsid w:val="004F72F2"/>
    <w:rsid w:val="004F73C3"/>
    <w:rsid w:val="004F748B"/>
    <w:rsid w:val="004F756C"/>
    <w:rsid w:val="004F75EE"/>
    <w:rsid w:val="004F75FE"/>
    <w:rsid w:val="004F79D9"/>
    <w:rsid w:val="004F7ACE"/>
    <w:rsid w:val="004F7F76"/>
    <w:rsid w:val="00500179"/>
    <w:rsid w:val="005007C8"/>
    <w:rsid w:val="005007D3"/>
    <w:rsid w:val="00500985"/>
    <w:rsid w:val="005009EB"/>
    <w:rsid w:val="00500A10"/>
    <w:rsid w:val="00500A12"/>
    <w:rsid w:val="00500B1A"/>
    <w:rsid w:val="00500D7D"/>
    <w:rsid w:val="00500E26"/>
    <w:rsid w:val="00501092"/>
    <w:rsid w:val="005010C6"/>
    <w:rsid w:val="00501289"/>
    <w:rsid w:val="005012FD"/>
    <w:rsid w:val="0050140F"/>
    <w:rsid w:val="005016F5"/>
    <w:rsid w:val="005017C9"/>
    <w:rsid w:val="005017F8"/>
    <w:rsid w:val="00501959"/>
    <w:rsid w:val="00501FB2"/>
    <w:rsid w:val="00502033"/>
    <w:rsid w:val="00502236"/>
    <w:rsid w:val="005026B2"/>
    <w:rsid w:val="005026CB"/>
    <w:rsid w:val="005026F6"/>
    <w:rsid w:val="005027A6"/>
    <w:rsid w:val="005027AC"/>
    <w:rsid w:val="00502901"/>
    <w:rsid w:val="00502A6F"/>
    <w:rsid w:val="00502AFE"/>
    <w:rsid w:val="00502B84"/>
    <w:rsid w:val="00502C89"/>
    <w:rsid w:val="00502D30"/>
    <w:rsid w:val="005030C3"/>
    <w:rsid w:val="005030D7"/>
    <w:rsid w:val="005032B5"/>
    <w:rsid w:val="0050342F"/>
    <w:rsid w:val="00503B50"/>
    <w:rsid w:val="00503EF7"/>
    <w:rsid w:val="0050458C"/>
    <w:rsid w:val="005045FC"/>
    <w:rsid w:val="005049B6"/>
    <w:rsid w:val="005049EA"/>
    <w:rsid w:val="00504C94"/>
    <w:rsid w:val="00504CF8"/>
    <w:rsid w:val="00504DAC"/>
    <w:rsid w:val="00504E75"/>
    <w:rsid w:val="00504EAB"/>
    <w:rsid w:val="00504EE8"/>
    <w:rsid w:val="00504F9D"/>
    <w:rsid w:val="0050509D"/>
    <w:rsid w:val="005050A2"/>
    <w:rsid w:val="005051A3"/>
    <w:rsid w:val="005051C3"/>
    <w:rsid w:val="00505536"/>
    <w:rsid w:val="005056E4"/>
    <w:rsid w:val="00505794"/>
    <w:rsid w:val="00505889"/>
    <w:rsid w:val="00505924"/>
    <w:rsid w:val="00505A22"/>
    <w:rsid w:val="00505AFD"/>
    <w:rsid w:val="00505D23"/>
    <w:rsid w:val="00505D40"/>
    <w:rsid w:val="00505E51"/>
    <w:rsid w:val="0050607F"/>
    <w:rsid w:val="005060FC"/>
    <w:rsid w:val="0050621C"/>
    <w:rsid w:val="005063E9"/>
    <w:rsid w:val="00506435"/>
    <w:rsid w:val="00506596"/>
    <w:rsid w:val="00506637"/>
    <w:rsid w:val="005066AE"/>
    <w:rsid w:val="00506853"/>
    <w:rsid w:val="00506F0F"/>
    <w:rsid w:val="00506F3C"/>
    <w:rsid w:val="00506FC4"/>
    <w:rsid w:val="005071F3"/>
    <w:rsid w:val="00507325"/>
    <w:rsid w:val="005073AA"/>
    <w:rsid w:val="005073E1"/>
    <w:rsid w:val="005075AA"/>
    <w:rsid w:val="00507688"/>
    <w:rsid w:val="00507A7E"/>
    <w:rsid w:val="00507AB9"/>
    <w:rsid w:val="00507D5D"/>
    <w:rsid w:val="00507FC7"/>
    <w:rsid w:val="00510105"/>
    <w:rsid w:val="00510190"/>
    <w:rsid w:val="005106B2"/>
    <w:rsid w:val="0051074B"/>
    <w:rsid w:val="005109B4"/>
    <w:rsid w:val="00510BB8"/>
    <w:rsid w:val="00510EAA"/>
    <w:rsid w:val="0051114F"/>
    <w:rsid w:val="005112F3"/>
    <w:rsid w:val="00511435"/>
    <w:rsid w:val="00511524"/>
    <w:rsid w:val="00511534"/>
    <w:rsid w:val="00511795"/>
    <w:rsid w:val="00511ACA"/>
    <w:rsid w:val="00511BFB"/>
    <w:rsid w:val="00511CFB"/>
    <w:rsid w:val="0051204E"/>
    <w:rsid w:val="005120D5"/>
    <w:rsid w:val="0051231F"/>
    <w:rsid w:val="005123A2"/>
    <w:rsid w:val="00512759"/>
    <w:rsid w:val="00512A7F"/>
    <w:rsid w:val="00512AE5"/>
    <w:rsid w:val="00512C00"/>
    <w:rsid w:val="00513544"/>
    <w:rsid w:val="005137FD"/>
    <w:rsid w:val="0051397A"/>
    <w:rsid w:val="00513E6D"/>
    <w:rsid w:val="00513FA0"/>
    <w:rsid w:val="00514374"/>
    <w:rsid w:val="00514554"/>
    <w:rsid w:val="00514766"/>
    <w:rsid w:val="00514851"/>
    <w:rsid w:val="00514930"/>
    <w:rsid w:val="00514AA1"/>
    <w:rsid w:val="00514B7B"/>
    <w:rsid w:val="00514C7C"/>
    <w:rsid w:val="00515197"/>
    <w:rsid w:val="005151ED"/>
    <w:rsid w:val="0051559A"/>
    <w:rsid w:val="00515797"/>
    <w:rsid w:val="005158ED"/>
    <w:rsid w:val="00515A90"/>
    <w:rsid w:val="00515D14"/>
    <w:rsid w:val="00515E1C"/>
    <w:rsid w:val="00516048"/>
    <w:rsid w:val="00516131"/>
    <w:rsid w:val="00516276"/>
    <w:rsid w:val="005165E5"/>
    <w:rsid w:val="0051678D"/>
    <w:rsid w:val="005167BF"/>
    <w:rsid w:val="005167E5"/>
    <w:rsid w:val="0051699B"/>
    <w:rsid w:val="00516A8E"/>
    <w:rsid w:val="00516AC9"/>
    <w:rsid w:val="00516B9F"/>
    <w:rsid w:val="00516DAC"/>
    <w:rsid w:val="00516F39"/>
    <w:rsid w:val="0051710E"/>
    <w:rsid w:val="00517225"/>
    <w:rsid w:val="005173C2"/>
    <w:rsid w:val="0051742C"/>
    <w:rsid w:val="0051750A"/>
    <w:rsid w:val="0051791B"/>
    <w:rsid w:val="00517991"/>
    <w:rsid w:val="00517B0E"/>
    <w:rsid w:val="00517BC2"/>
    <w:rsid w:val="00517F22"/>
    <w:rsid w:val="005201E9"/>
    <w:rsid w:val="005202A3"/>
    <w:rsid w:val="0052035D"/>
    <w:rsid w:val="005206D4"/>
    <w:rsid w:val="005207EC"/>
    <w:rsid w:val="0052099E"/>
    <w:rsid w:val="00520ADE"/>
    <w:rsid w:val="00520E94"/>
    <w:rsid w:val="005210B0"/>
    <w:rsid w:val="0052159B"/>
    <w:rsid w:val="005215FC"/>
    <w:rsid w:val="00521AD5"/>
    <w:rsid w:val="00521BE7"/>
    <w:rsid w:val="00521CA5"/>
    <w:rsid w:val="00521FC8"/>
    <w:rsid w:val="00522076"/>
    <w:rsid w:val="005220BF"/>
    <w:rsid w:val="005222E9"/>
    <w:rsid w:val="00522371"/>
    <w:rsid w:val="0052254D"/>
    <w:rsid w:val="0052256C"/>
    <w:rsid w:val="005226A0"/>
    <w:rsid w:val="0052288F"/>
    <w:rsid w:val="00522911"/>
    <w:rsid w:val="0052291B"/>
    <w:rsid w:val="00522F2F"/>
    <w:rsid w:val="00522F5A"/>
    <w:rsid w:val="00523038"/>
    <w:rsid w:val="00523040"/>
    <w:rsid w:val="0052316C"/>
    <w:rsid w:val="00523326"/>
    <w:rsid w:val="0052380F"/>
    <w:rsid w:val="00523BB1"/>
    <w:rsid w:val="00523BE8"/>
    <w:rsid w:val="00523E02"/>
    <w:rsid w:val="00523E81"/>
    <w:rsid w:val="005240F1"/>
    <w:rsid w:val="00524160"/>
    <w:rsid w:val="00524163"/>
    <w:rsid w:val="00524708"/>
    <w:rsid w:val="00524745"/>
    <w:rsid w:val="00524E4C"/>
    <w:rsid w:val="00524E74"/>
    <w:rsid w:val="0052506D"/>
    <w:rsid w:val="0052522A"/>
    <w:rsid w:val="005254B9"/>
    <w:rsid w:val="005254C6"/>
    <w:rsid w:val="0052553C"/>
    <w:rsid w:val="0052593F"/>
    <w:rsid w:val="00525B17"/>
    <w:rsid w:val="00525D72"/>
    <w:rsid w:val="00525F6E"/>
    <w:rsid w:val="005262D8"/>
    <w:rsid w:val="00526342"/>
    <w:rsid w:val="00526364"/>
    <w:rsid w:val="0052698C"/>
    <w:rsid w:val="00526A95"/>
    <w:rsid w:val="00526BA0"/>
    <w:rsid w:val="00526C5D"/>
    <w:rsid w:val="00526DA8"/>
    <w:rsid w:val="00526E3F"/>
    <w:rsid w:val="00526FC6"/>
    <w:rsid w:val="005270FE"/>
    <w:rsid w:val="00527335"/>
    <w:rsid w:val="00527452"/>
    <w:rsid w:val="00527573"/>
    <w:rsid w:val="00527595"/>
    <w:rsid w:val="00527824"/>
    <w:rsid w:val="00527A00"/>
    <w:rsid w:val="00527D07"/>
    <w:rsid w:val="00527D98"/>
    <w:rsid w:val="00530225"/>
    <w:rsid w:val="00530727"/>
    <w:rsid w:val="00530749"/>
    <w:rsid w:val="0053094C"/>
    <w:rsid w:val="00530D64"/>
    <w:rsid w:val="00530DFE"/>
    <w:rsid w:val="00530FA4"/>
    <w:rsid w:val="0053117F"/>
    <w:rsid w:val="00531804"/>
    <w:rsid w:val="00531874"/>
    <w:rsid w:val="00531A6D"/>
    <w:rsid w:val="00531CBF"/>
    <w:rsid w:val="00531D2F"/>
    <w:rsid w:val="00531E42"/>
    <w:rsid w:val="00531F82"/>
    <w:rsid w:val="005320E5"/>
    <w:rsid w:val="00532385"/>
    <w:rsid w:val="0053260E"/>
    <w:rsid w:val="005326A5"/>
    <w:rsid w:val="00532B0D"/>
    <w:rsid w:val="00532BEF"/>
    <w:rsid w:val="00532C9D"/>
    <w:rsid w:val="00533100"/>
    <w:rsid w:val="005331D4"/>
    <w:rsid w:val="005334C4"/>
    <w:rsid w:val="005334DE"/>
    <w:rsid w:val="005334E9"/>
    <w:rsid w:val="005335BB"/>
    <w:rsid w:val="00533672"/>
    <w:rsid w:val="00533785"/>
    <w:rsid w:val="00533849"/>
    <w:rsid w:val="005342D3"/>
    <w:rsid w:val="0053432E"/>
    <w:rsid w:val="00534502"/>
    <w:rsid w:val="00534550"/>
    <w:rsid w:val="00534B67"/>
    <w:rsid w:val="00534B82"/>
    <w:rsid w:val="00534C27"/>
    <w:rsid w:val="00535145"/>
    <w:rsid w:val="0053571C"/>
    <w:rsid w:val="0053572C"/>
    <w:rsid w:val="00535752"/>
    <w:rsid w:val="0053589A"/>
    <w:rsid w:val="00535B13"/>
    <w:rsid w:val="00535C70"/>
    <w:rsid w:val="00535F39"/>
    <w:rsid w:val="00535F8A"/>
    <w:rsid w:val="0053648F"/>
    <w:rsid w:val="005367F1"/>
    <w:rsid w:val="0053681C"/>
    <w:rsid w:val="00536931"/>
    <w:rsid w:val="0053694B"/>
    <w:rsid w:val="00536A28"/>
    <w:rsid w:val="00536A65"/>
    <w:rsid w:val="00536D11"/>
    <w:rsid w:val="00536DCA"/>
    <w:rsid w:val="00536FAB"/>
    <w:rsid w:val="00537368"/>
    <w:rsid w:val="005379EE"/>
    <w:rsid w:val="00537B25"/>
    <w:rsid w:val="00537BE1"/>
    <w:rsid w:val="00537CB8"/>
    <w:rsid w:val="0053A998"/>
    <w:rsid w:val="005405A8"/>
    <w:rsid w:val="005405C5"/>
    <w:rsid w:val="00540923"/>
    <w:rsid w:val="00540BBD"/>
    <w:rsid w:val="00540DD5"/>
    <w:rsid w:val="00540E58"/>
    <w:rsid w:val="0054110C"/>
    <w:rsid w:val="00541181"/>
    <w:rsid w:val="005412F9"/>
    <w:rsid w:val="00541306"/>
    <w:rsid w:val="005413D3"/>
    <w:rsid w:val="005414AB"/>
    <w:rsid w:val="0054150B"/>
    <w:rsid w:val="005417A6"/>
    <w:rsid w:val="00541B3B"/>
    <w:rsid w:val="00541C02"/>
    <w:rsid w:val="00541FF1"/>
    <w:rsid w:val="00542431"/>
    <w:rsid w:val="0054245D"/>
    <w:rsid w:val="005424A4"/>
    <w:rsid w:val="0054280A"/>
    <w:rsid w:val="00542EDC"/>
    <w:rsid w:val="00542F19"/>
    <w:rsid w:val="00542F86"/>
    <w:rsid w:val="00542FD6"/>
    <w:rsid w:val="00543143"/>
    <w:rsid w:val="005435DF"/>
    <w:rsid w:val="005436A5"/>
    <w:rsid w:val="0054391C"/>
    <w:rsid w:val="0054396C"/>
    <w:rsid w:val="00543A37"/>
    <w:rsid w:val="00543BEE"/>
    <w:rsid w:val="00543DB9"/>
    <w:rsid w:val="00543DC8"/>
    <w:rsid w:val="00543FCB"/>
    <w:rsid w:val="0054417F"/>
    <w:rsid w:val="00544317"/>
    <w:rsid w:val="0054434D"/>
    <w:rsid w:val="005444BF"/>
    <w:rsid w:val="00544526"/>
    <w:rsid w:val="00544580"/>
    <w:rsid w:val="00544634"/>
    <w:rsid w:val="005449E9"/>
    <w:rsid w:val="00544B72"/>
    <w:rsid w:val="00544C10"/>
    <w:rsid w:val="00544C12"/>
    <w:rsid w:val="00544C61"/>
    <w:rsid w:val="00544DB0"/>
    <w:rsid w:val="00545051"/>
    <w:rsid w:val="00545376"/>
    <w:rsid w:val="005453C5"/>
    <w:rsid w:val="00545429"/>
    <w:rsid w:val="0054548D"/>
    <w:rsid w:val="0054560B"/>
    <w:rsid w:val="00545665"/>
    <w:rsid w:val="005457FD"/>
    <w:rsid w:val="00545828"/>
    <w:rsid w:val="00545874"/>
    <w:rsid w:val="00545906"/>
    <w:rsid w:val="00545AF2"/>
    <w:rsid w:val="00545DB2"/>
    <w:rsid w:val="00545E60"/>
    <w:rsid w:val="00545F1A"/>
    <w:rsid w:val="00545F8E"/>
    <w:rsid w:val="00546046"/>
    <w:rsid w:val="005462BA"/>
    <w:rsid w:val="005463A0"/>
    <w:rsid w:val="005466C8"/>
    <w:rsid w:val="005467DB"/>
    <w:rsid w:val="00546C56"/>
    <w:rsid w:val="00546CAE"/>
    <w:rsid w:val="00546D41"/>
    <w:rsid w:val="00546DA0"/>
    <w:rsid w:val="00546E3E"/>
    <w:rsid w:val="00546E46"/>
    <w:rsid w:val="00546EE4"/>
    <w:rsid w:val="00546FBA"/>
    <w:rsid w:val="0054713B"/>
    <w:rsid w:val="00547187"/>
    <w:rsid w:val="005471C8"/>
    <w:rsid w:val="005473BD"/>
    <w:rsid w:val="0054782B"/>
    <w:rsid w:val="00547B22"/>
    <w:rsid w:val="00547EFC"/>
    <w:rsid w:val="00547FA9"/>
    <w:rsid w:val="0055003D"/>
    <w:rsid w:val="005500E9"/>
    <w:rsid w:val="0055017E"/>
    <w:rsid w:val="005501ED"/>
    <w:rsid w:val="00550272"/>
    <w:rsid w:val="00550285"/>
    <w:rsid w:val="005503C0"/>
    <w:rsid w:val="005504C6"/>
    <w:rsid w:val="00550799"/>
    <w:rsid w:val="00550981"/>
    <w:rsid w:val="00550D84"/>
    <w:rsid w:val="00550DC5"/>
    <w:rsid w:val="00550F12"/>
    <w:rsid w:val="00551269"/>
    <w:rsid w:val="00551328"/>
    <w:rsid w:val="0055164C"/>
    <w:rsid w:val="00551A0A"/>
    <w:rsid w:val="00551B41"/>
    <w:rsid w:val="00551C34"/>
    <w:rsid w:val="00551ED3"/>
    <w:rsid w:val="00551F46"/>
    <w:rsid w:val="00551F9E"/>
    <w:rsid w:val="005522CB"/>
    <w:rsid w:val="005522CD"/>
    <w:rsid w:val="00552487"/>
    <w:rsid w:val="0055250E"/>
    <w:rsid w:val="00552844"/>
    <w:rsid w:val="0055286C"/>
    <w:rsid w:val="00552874"/>
    <w:rsid w:val="0055291E"/>
    <w:rsid w:val="00552B0E"/>
    <w:rsid w:val="00552B2C"/>
    <w:rsid w:val="00552B33"/>
    <w:rsid w:val="00552FFF"/>
    <w:rsid w:val="0055310B"/>
    <w:rsid w:val="00553156"/>
    <w:rsid w:val="005531A5"/>
    <w:rsid w:val="0055329D"/>
    <w:rsid w:val="005534D6"/>
    <w:rsid w:val="00553755"/>
    <w:rsid w:val="00553A94"/>
    <w:rsid w:val="00553ACB"/>
    <w:rsid w:val="00553CF9"/>
    <w:rsid w:val="00553DC1"/>
    <w:rsid w:val="005541FE"/>
    <w:rsid w:val="0055421C"/>
    <w:rsid w:val="0055449F"/>
    <w:rsid w:val="005544D9"/>
    <w:rsid w:val="00554671"/>
    <w:rsid w:val="00554D39"/>
    <w:rsid w:val="00554DD7"/>
    <w:rsid w:val="00554EBC"/>
    <w:rsid w:val="005555C2"/>
    <w:rsid w:val="0055588A"/>
    <w:rsid w:val="00555ADB"/>
    <w:rsid w:val="00555C99"/>
    <w:rsid w:val="0055639E"/>
    <w:rsid w:val="005564AC"/>
    <w:rsid w:val="00556718"/>
    <w:rsid w:val="00556949"/>
    <w:rsid w:val="00556CAF"/>
    <w:rsid w:val="0055716E"/>
    <w:rsid w:val="00557312"/>
    <w:rsid w:val="0055740F"/>
    <w:rsid w:val="00557722"/>
    <w:rsid w:val="005577C5"/>
    <w:rsid w:val="005577E5"/>
    <w:rsid w:val="00557933"/>
    <w:rsid w:val="00557A5C"/>
    <w:rsid w:val="00560132"/>
    <w:rsid w:val="00560183"/>
    <w:rsid w:val="0056033E"/>
    <w:rsid w:val="005607BC"/>
    <w:rsid w:val="00560AC7"/>
    <w:rsid w:val="00560C1D"/>
    <w:rsid w:val="00560C93"/>
    <w:rsid w:val="00560D87"/>
    <w:rsid w:val="00560F99"/>
    <w:rsid w:val="005611CB"/>
    <w:rsid w:val="0056153A"/>
    <w:rsid w:val="005615F7"/>
    <w:rsid w:val="005619E8"/>
    <w:rsid w:val="005619FD"/>
    <w:rsid w:val="00561C20"/>
    <w:rsid w:val="00562105"/>
    <w:rsid w:val="00562664"/>
    <w:rsid w:val="0056297D"/>
    <w:rsid w:val="00562A7D"/>
    <w:rsid w:val="005634EB"/>
    <w:rsid w:val="0056362B"/>
    <w:rsid w:val="00563C94"/>
    <w:rsid w:val="00563CD4"/>
    <w:rsid w:val="00563ED5"/>
    <w:rsid w:val="00563F85"/>
    <w:rsid w:val="0056400F"/>
    <w:rsid w:val="00564101"/>
    <w:rsid w:val="005649E3"/>
    <w:rsid w:val="00564FDB"/>
    <w:rsid w:val="00565081"/>
    <w:rsid w:val="00565146"/>
    <w:rsid w:val="00565563"/>
    <w:rsid w:val="00565886"/>
    <w:rsid w:val="0056591A"/>
    <w:rsid w:val="00565AC5"/>
    <w:rsid w:val="00566339"/>
    <w:rsid w:val="00566777"/>
    <w:rsid w:val="00566B4D"/>
    <w:rsid w:val="00566BB6"/>
    <w:rsid w:val="00566CAD"/>
    <w:rsid w:val="005673A0"/>
    <w:rsid w:val="005673F7"/>
    <w:rsid w:val="005674A2"/>
    <w:rsid w:val="0056772B"/>
    <w:rsid w:val="00567E2C"/>
    <w:rsid w:val="00567FBA"/>
    <w:rsid w:val="005700DC"/>
    <w:rsid w:val="005701DB"/>
    <w:rsid w:val="00570293"/>
    <w:rsid w:val="00570409"/>
    <w:rsid w:val="005705F7"/>
    <w:rsid w:val="00570770"/>
    <w:rsid w:val="00570787"/>
    <w:rsid w:val="00570B11"/>
    <w:rsid w:val="00570C1C"/>
    <w:rsid w:val="00570D07"/>
    <w:rsid w:val="00570D83"/>
    <w:rsid w:val="005710A1"/>
    <w:rsid w:val="005710B5"/>
    <w:rsid w:val="0057110B"/>
    <w:rsid w:val="00571254"/>
    <w:rsid w:val="00571388"/>
    <w:rsid w:val="005715D8"/>
    <w:rsid w:val="005715F0"/>
    <w:rsid w:val="0057161E"/>
    <w:rsid w:val="00571802"/>
    <w:rsid w:val="00571878"/>
    <w:rsid w:val="00571D12"/>
    <w:rsid w:val="00571DD4"/>
    <w:rsid w:val="0057244B"/>
    <w:rsid w:val="00572976"/>
    <w:rsid w:val="00572E59"/>
    <w:rsid w:val="00573421"/>
    <w:rsid w:val="005734CE"/>
    <w:rsid w:val="00573AD0"/>
    <w:rsid w:val="00573BCB"/>
    <w:rsid w:val="00573BE2"/>
    <w:rsid w:val="00573CA8"/>
    <w:rsid w:val="00573FAB"/>
    <w:rsid w:val="00574669"/>
    <w:rsid w:val="00574768"/>
    <w:rsid w:val="005748EC"/>
    <w:rsid w:val="00574AAD"/>
    <w:rsid w:val="00574B93"/>
    <w:rsid w:val="00574CAE"/>
    <w:rsid w:val="00574D66"/>
    <w:rsid w:val="00574DF5"/>
    <w:rsid w:val="00574E81"/>
    <w:rsid w:val="00575041"/>
    <w:rsid w:val="00575154"/>
    <w:rsid w:val="00575511"/>
    <w:rsid w:val="00575650"/>
    <w:rsid w:val="00575DD0"/>
    <w:rsid w:val="00576783"/>
    <w:rsid w:val="005768AF"/>
    <w:rsid w:val="005768B9"/>
    <w:rsid w:val="0057696E"/>
    <w:rsid w:val="005770EA"/>
    <w:rsid w:val="00577351"/>
    <w:rsid w:val="005775CD"/>
    <w:rsid w:val="00577631"/>
    <w:rsid w:val="00577698"/>
    <w:rsid w:val="005777D4"/>
    <w:rsid w:val="005777E3"/>
    <w:rsid w:val="00577D06"/>
    <w:rsid w:val="00577D95"/>
    <w:rsid w:val="00577DD0"/>
    <w:rsid w:val="00580318"/>
    <w:rsid w:val="005805FA"/>
    <w:rsid w:val="00580886"/>
    <w:rsid w:val="00580901"/>
    <w:rsid w:val="00580910"/>
    <w:rsid w:val="00580AA7"/>
    <w:rsid w:val="00580D30"/>
    <w:rsid w:val="00580E20"/>
    <w:rsid w:val="00581080"/>
    <w:rsid w:val="005811F3"/>
    <w:rsid w:val="00581358"/>
    <w:rsid w:val="005813FE"/>
    <w:rsid w:val="005814B6"/>
    <w:rsid w:val="00581633"/>
    <w:rsid w:val="00581657"/>
    <w:rsid w:val="00581BBC"/>
    <w:rsid w:val="0058214F"/>
    <w:rsid w:val="00582419"/>
    <w:rsid w:val="00582681"/>
    <w:rsid w:val="005828EC"/>
    <w:rsid w:val="00582AC2"/>
    <w:rsid w:val="00582D80"/>
    <w:rsid w:val="00582DC7"/>
    <w:rsid w:val="00583366"/>
    <w:rsid w:val="00583499"/>
    <w:rsid w:val="0058349A"/>
    <w:rsid w:val="005836F0"/>
    <w:rsid w:val="0058387F"/>
    <w:rsid w:val="00583897"/>
    <w:rsid w:val="00583C5A"/>
    <w:rsid w:val="00583CFF"/>
    <w:rsid w:val="00583F68"/>
    <w:rsid w:val="00584188"/>
    <w:rsid w:val="005844AB"/>
    <w:rsid w:val="005844EF"/>
    <w:rsid w:val="00584653"/>
    <w:rsid w:val="00584715"/>
    <w:rsid w:val="00584879"/>
    <w:rsid w:val="0058497D"/>
    <w:rsid w:val="00584AB0"/>
    <w:rsid w:val="00584B93"/>
    <w:rsid w:val="00584E70"/>
    <w:rsid w:val="00585011"/>
    <w:rsid w:val="005850BB"/>
    <w:rsid w:val="0058532A"/>
    <w:rsid w:val="00585452"/>
    <w:rsid w:val="00585711"/>
    <w:rsid w:val="00585B33"/>
    <w:rsid w:val="005860F1"/>
    <w:rsid w:val="00586343"/>
    <w:rsid w:val="00586711"/>
    <w:rsid w:val="00586A74"/>
    <w:rsid w:val="00586BE8"/>
    <w:rsid w:val="00586C87"/>
    <w:rsid w:val="00586CB4"/>
    <w:rsid w:val="00586CB5"/>
    <w:rsid w:val="00586CF4"/>
    <w:rsid w:val="00586E13"/>
    <w:rsid w:val="00586FBC"/>
    <w:rsid w:val="00587079"/>
    <w:rsid w:val="00587488"/>
    <w:rsid w:val="0058749C"/>
    <w:rsid w:val="0058758A"/>
    <w:rsid w:val="005875BE"/>
    <w:rsid w:val="00587BA5"/>
    <w:rsid w:val="00587D20"/>
    <w:rsid w:val="0059014B"/>
    <w:rsid w:val="005901BE"/>
    <w:rsid w:val="005902F0"/>
    <w:rsid w:val="005904CA"/>
    <w:rsid w:val="00590586"/>
    <w:rsid w:val="00590621"/>
    <w:rsid w:val="0059068E"/>
    <w:rsid w:val="00590697"/>
    <w:rsid w:val="005908CA"/>
    <w:rsid w:val="00590997"/>
    <w:rsid w:val="00590A1F"/>
    <w:rsid w:val="00590A45"/>
    <w:rsid w:val="00590CCA"/>
    <w:rsid w:val="00590DEF"/>
    <w:rsid w:val="00590E8E"/>
    <w:rsid w:val="00590EEB"/>
    <w:rsid w:val="00590FC7"/>
    <w:rsid w:val="00590FCD"/>
    <w:rsid w:val="00590FEE"/>
    <w:rsid w:val="005911AB"/>
    <w:rsid w:val="0059123D"/>
    <w:rsid w:val="005914BA"/>
    <w:rsid w:val="00591578"/>
    <w:rsid w:val="00591587"/>
    <w:rsid w:val="00591685"/>
    <w:rsid w:val="0059171F"/>
    <w:rsid w:val="0059181F"/>
    <w:rsid w:val="00591A7D"/>
    <w:rsid w:val="0059210E"/>
    <w:rsid w:val="005922D8"/>
    <w:rsid w:val="005924CB"/>
    <w:rsid w:val="005925BF"/>
    <w:rsid w:val="005927F2"/>
    <w:rsid w:val="00592843"/>
    <w:rsid w:val="00592867"/>
    <w:rsid w:val="00592AE1"/>
    <w:rsid w:val="00592C0D"/>
    <w:rsid w:val="005930A4"/>
    <w:rsid w:val="005931B7"/>
    <w:rsid w:val="005932C9"/>
    <w:rsid w:val="00593694"/>
    <w:rsid w:val="00593A3F"/>
    <w:rsid w:val="00593F8E"/>
    <w:rsid w:val="0059414C"/>
    <w:rsid w:val="005946E3"/>
    <w:rsid w:val="00594818"/>
    <w:rsid w:val="00594AA9"/>
    <w:rsid w:val="00594FFE"/>
    <w:rsid w:val="005951AA"/>
    <w:rsid w:val="0059573E"/>
    <w:rsid w:val="0059582C"/>
    <w:rsid w:val="00595B45"/>
    <w:rsid w:val="00595DDD"/>
    <w:rsid w:val="00595EC4"/>
    <w:rsid w:val="00595FB9"/>
    <w:rsid w:val="005960C8"/>
    <w:rsid w:val="00596458"/>
    <w:rsid w:val="00596540"/>
    <w:rsid w:val="00596B54"/>
    <w:rsid w:val="00596E74"/>
    <w:rsid w:val="00596ED8"/>
    <w:rsid w:val="00596F9C"/>
    <w:rsid w:val="00597208"/>
    <w:rsid w:val="00597432"/>
    <w:rsid w:val="00597810"/>
    <w:rsid w:val="0059781B"/>
    <w:rsid w:val="00597954"/>
    <w:rsid w:val="00597AC5"/>
    <w:rsid w:val="00597DC7"/>
    <w:rsid w:val="00597ED2"/>
    <w:rsid w:val="005A067F"/>
    <w:rsid w:val="005A06A3"/>
    <w:rsid w:val="005A07AD"/>
    <w:rsid w:val="005A0C10"/>
    <w:rsid w:val="005A0FD0"/>
    <w:rsid w:val="005A1071"/>
    <w:rsid w:val="005A10E6"/>
    <w:rsid w:val="005A14DB"/>
    <w:rsid w:val="005A175B"/>
    <w:rsid w:val="005A18F3"/>
    <w:rsid w:val="005A1A70"/>
    <w:rsid w:val="005A1E80"/>
    <w:rsid w:val="005A1E9E"/>
    <w:rsid w:val="005A1EE8"/>
    <w:rsid w:val="005A2298"/>
    <w:rsid w:val="005A2384"/>
    <w:rsid w:val="005A2435"/>
    <w:rsid w:val="005A24D2"/>
    <w:rsid w:val="005A2880"/>
    <w:rsid w:val="005A2A4E"/>
    <w:rsid w:val="005A2BB5"/>
    <w:rsid w:val="005A2C87"/>
    <w:rsid w:val="005A370E"/>
    <w:rsid w:val="005A373F"/>
    <w:rsid w:val="005A3748"/>
    <w:rsid w:val="005A3870"/>
    <w:rsid w:val="005A3905"/>
    <w:rsid w:val="005A3983"/>
    <w:rsid w:val="005A3E61"/>
    <w:rsid w:val="005A40A7"/>
    <w:rsid w:val="005A463C"/>
    <w:rsid w:val="005A474B"/>
    <w:rsid w:val="005A4836"/>
    <w:rsid w:val="005A4D49"/>
    <w:rsid w:val="005A4D51"/>
    <w:rsid w:val="005A4D9F"/>
    <w:rsid w:val="005A52BF"/>
    <w:rsid w:val="005A562F"/>
    <w:rsid w:val="005A570D"/>
    <w:rsid w:val="005A577A"/>
    <w:rsid w:val="005A585C"/>
    <w:rsid w:val="005A5AB8"/>
    <w:rsid w:val="005A60B6"/>
    <w:rsid w:val="005A6228"/>
    <w:rsid w:val="005A6394"/>
    <w:rsid w:val="005A6C77"/>
    <w:rsid w:val="005A6E21"/>
    <w:rsid w:val="005A6E4C"/>
    <w:rsid w:val="005A6EBF"/>
    <w:rsid w:val="005A6FA2"/>
    <w:rsid w:val="005A716C"/>
    <w:rsid w:val="005A7594"/>
    <w:rsid w:val="005A76A3"/>
    <w:rsid w:val="005A76D1"/>
    <w:rsid w:val="005A786E"/>
    <w:rsid w:val="005A79DA"/>
    <w:rsid w:val="005A7A78"/>
    <w:rsid w:val="005A7B32"/>
    <w:rsid w:val="005A7BAE"/>
    <w:rsid w:val="005B05BB"/>
    <w:rsid w:val="005B093C"/>
    <w:rsid w:val="005B0B52"/>
    <w:rsid w:val="005B0BB8"/>
    <w:rsid w:val="005B0EFD"/>
    <w:rsid w:val="005B0EFF"/>
    <w:rsid w:val="005B0F30"/>
    <w:rsid w:val="005B1069"/>
    <w:rsid w:val="005B1231"/>
    <w:rsid w:val="005B1EB6"/>
    <w:rsid w:val="005B21A7"/>
    <w:rsid w:val="005B22F8"/>
    <w:rsid w:val="005B2BB0"/>
    <w:rsid w:val="005B2E10"/>
    <w:rsid w:val="005B30D4"/>
    <w:rsid w:val="005B35A7"/>
    <w:rsid w:val="005B3AAB"/>
    <w:rsid w:val="005B3B6B"/>
    <w:rsid w:val="005B3BF5"/>
    <w:rsid w:val="005B3C04"/>
    <w:rsid w:val="005B3C6A"/>
    <w:rsid w:val="005B3DBF"/>
    <w:rsid w:val="005B3E03"/>
    <w:rsid w:val="005B4002"/>
    <w:rsid w:val="005B411C"/>
    <w:rsid w:val="005B435D"/>
    <w:rsid w:val="005B43CC"/>
    <w:rsid w:val="005B4474"/>
    <w:rsid w:val="005B4543"/>
    <w:rsid w:val="005B45D9"/>
    <w:rsid w:val="005B47DC"/>
    <w:rsid w:val="005B4F15"/>
    <w:rsid w:val="005B4FEF"/>
    <w:rsid w:val="005B5378"/>
    <w:rsid w:val="005B5387"/>
    <w:rsid w:val="005B53CB"/>
    <w:rsid w:val="005B54E7"/>
    <w:rsid w:val="005B5806"/>
    <w:rsid w:val="005B5996"/>
    <w:rsid w:val="005B5ABE"/>
    <w:rsid w:val="005B5BD4"/>
    <w:rsid w:val="005B5EC0"/>
    <w:rsid w:val="005B5FA1"/>
    <w:rsid w:val="005B6032"/>
    <w:rsid w:val="005B61CC"/>
    <w:rsid w:val="005B6358"/>
    <w:rsid w:val="005B646D"/>
    <w:rsid w:val="005B65C3"/>
    <w:rsid w:val="005B668F"/>
    <w:rsid w:val="005B6810"/>
    <w:rsid w:val="005B69D8"/>
    <w:rsid w:val="005B6A77"/>
    <w:rsid w:val="005B6BDC"/>
    <w:rsid w:val="005B6CF2"/>
    <w:rsid w:val="005B6EE4"/>
    <w:rsid w:val="005B71B7"/>
    <w:rsid w:val="005B754F"/>
    <w:rsid w:val="005B7734"/>
    <w:rsid w:val="005B7799"/>
    <w:rsid w:val="005B7951"/>
    <w:rsid w:val="005B79F7"/>
    <w:rsid w:val="005C0211"/>
    <w:rsid w:val="005C0220"/>
    <w:rsid w:val="005C04C5"/>
    <w:rsid w:val="005C0514"/>
    <w:rsid w:val="005C0632"/>
    <w:rsid w:val="005C0850"/>
    <w:rsid w:val="005C085B"/>
    <w:rsid w:val="005C0A48"/>
    <w:rsid w:val="005C0B69"/>
    <w:rsid w:val="005C0D25"/>
    <w:rsid w:val="005C0D9E"/>
    <w:rsid w:val="005C0DCA"/>
    <w:rsid w:val="005C0E73"/>
    <w:rsid w:val="005C108C"/>
    <w:rsid w:val="005C108F"/>
    <w:rsid w:val="005C14C6"/>
    <w:rsid w:val="005C1642"/>
    <w:rsid w:val="005C1CA1"/>
    <w:rsid w:val="005C1CD3"/>
    <w:rsid w:val="005C1FDD"/>
    <w:rsid w:val="005C2008"/>
    <w:rsid w:val="005C207E"/>
    <w:rsid w:val="005C2244"/>
    <w:rsid w:val="005C22FB"/>
    <w:rsid w:val="005C2404"/>
    <w:rsid w:val="005C2849"/>
    <w:rsid w:val="005C2B50"/>
    <w:rsid w:val="005C2BCB"/>
    <w:rsid w:val="005C2C24"/>
    <w:rsid w:val="005C2CFE"/>
    <w:rsid w:val="005C2EC4"/>
    <w:rsid w:val="005C2FE8"/>
    <w:rsid w:val="005C36E5"/>
    <w:rsid w:val="005C37D0"/>
    <w:rsid w:val="005C3815"/>
    <w:rsid w:val="005C383B"/>
    <w:rsid w:val="005C3A3A"/>
    <w:rsid w:val="005C3B90"/>
    <w:rsid w:val="005C3DB3"/>
    <w:rsid w:val="005C4058"/>
    <w:rsid w:val="005C4201"/>
    <w:rsid w:val="005C420A"/>
    <w:rsid w:val="005C4391"/>
    <w:rsid w:val="005C443E"/>
    <w:rsid w:val="005C4526"/>
    <w:rsid w:val="005C4878"/>
    <w:rsid w:val="005C4936"/>
    <w:rsid w:val="005C5211"/>
    <w:rsid w:val="005C52D0"/>
    <w:rsid w:val="005C5A3C"/>
    <w:rsid w:val="005C5C87"/>
    <w:rsid w:val="005C5CAC"/>
    <w:rsid w:val="005C5E98"/>
    <w:rsid w:val="005C5EA0"/>
    <w:rsid w:val="005C5F5D"/>
    <w:rsid w:val="005C6175"/>
    <w:rsid w:val="005C618F"/>
    <w:rsid w:val="005C6525"/>
    <w:rsid w:val="005C6566"/>
    <w:rsid w:val="005C67A5"/>
    <w:rsid w:val="005C6999"/>
    <w:rsid w:val="005C6A6B"/>
    <w:rsid w:val="005C6B97"/>
    <w:rsid w:val="005C6DE5"/>
    <w:rsid w:val="005C6F1E"/>
    <w:rsid w:val="005C7014"/>
    <w:rsid w:val="005C70D5"/>
    <w:rsid w:val="005C70D7"/>
    <w:rsid w:val="005C787E"/>
    <w:rsid w:val="005C7B15"/>
    <w:rsid w:val="005C7CC2"/>
    <w:rsid w:val="005C7D29"/>
    <w:rsid w:val="005C7FED"/>
    <w:rsid w:val="005D0597"/>
    <w:rsid w:val="005D0850"/>
    <w:rsid w:val="005D0B8D"/>
    <w:rsid w:val="005D0F78"/>
    <w:rsid w:val="005D1446"/>
    <w:rsid w:val="005D190E"/>
    <w:rsid w:val="005D1913"/>
    <w:rsid w:val="005D194B"/>
    <w:rsid w:val="005D1A12"/>
    <w:rsid w:val="005D1A82"/>
    <w:rsid w:val="005D1AF2"/>
    <w:rsid w:val="005D1C97"/>
    <w:rsid w:val="005D1F00"/>
    <w:rsid w:val="005D1F90"/>
    <w:rsid w:val="005D2180"/>
    <w:rsid w:val="005D2854"/>
    <w:rsid w:val="005D291F"/>
    <w:rsid w:val="005D2AA0"/>
    <w:rsid w:val="005D2C05"/>
    <w:rsid w:val="005D2D8A"/>
    <w:rsid w:val="005D2DFF"/>
    <w:rsid w:val="005D3350"/>
    <w:rsid w:val="005D33B7"/>
    <w:rsid w:val="005D3734"/>
    <w:rsid w:val="005D37D3"/>
    <w:rsid w:val="005D38A4"/>
    <w:rsid w:val="005D3974"/>
    <w:rsid w:val="005D3AC0"/>
    <w:rsid w:val="005D3B0D"/>
    <w:rsid w:val="005D3EEC"/>
    <w:rsid w:val="005D3FDC"/>
    <w:rsid w:val="005D4063"/>
    <w:rsid w:val="005D45AB"/>
    <w:rsid w:val="005D4723"/>
    <w:rsid w:val="005D48CF"/>
    <w:rsid w:val="005D494D"/>
    <w:rsid w:val="005D4D6C"/>
    <w:rsid w:val="005D51D2"/>
    <w:rsid w:val="005D52FC"/>
    <w:rsid w:val="005D535F"/>
    <w:rsid w:val="005D540B"/>
    <w:rsid w:val="005D540E"/>
    <w:rsid w:val="005D54DC"/>
    <w:rsid w:val="005D5539"/>
    <w:rsid w:val="005D5583"/>
    <w:rsid w:val="005D5924"/>
    <w:rsid w:val="005D599C"/>
    <w:rsid w:val="005D5D91"/>
    <w:rsid w:val="005D5DC7"/>
    <w:rsid w:val="005D5FC9"/>
    <w:rsid w:val="005D6310"/>
    <w:rsid w:val="005D65A0"/>
    <w:rsid w:val="005D673A"/>
    <w:rsid w:val="005D685F"/>
    <w:rsid w:val="005D68B4"/>
    <w:rsid w:val="005D6C9E"/>
    <w:rsid w:val="005D6E3F"/>
    <w:rsid w:val="005D6FCC"/>
    <w:rsid w:val="005D7223"/>
    <w:rsid w:val="005D738F"/>
    <w:rsid w:val="005D778C"/>
    <w:rsid w:val="005D782C"/>
    <w:rsid w:val="005D7A0A"/>
    <w:rsid w:val="005D7A41"/>
    <w:rsid w:val="005D7B08"/>
    <w:rsid w:val="005D7DFC"/>
    <w:rsid w:val="005D7F5A"/>
    <w:rsid w:val="005D7F61"/>
    <w:rsid w:val="005E0267"/>
    <w:rsid w:val="005E0280"/>
    <w:rsid w:val="005E035D"/>
    <w:rsid w:val="005E045C"/>
    <w:rsid w:val="005E06A8"/>
    <w:rsid w:val="005E06D3"/>
    <w:rsid w:val="005E0795"/>
    <w:rsid w:val="005E0982"/>
    <w:rsid w:val="005E0F3A"/>
    <w:rsid w:val="005E0F98"/>
    <w:rsid w:val="005E0FF0"/>
    <w:rsid w:val="005E1137"/>
    <w:rsid w:val="005E1206"/>
    <w:rsid w:val="005E145D"/>
    <w:rsid w:val="005E15E1"/>
    <w:rsid w:val="005E15E8"/>
    <w:rsid w:val="005E163B"/>
    <w:rsid w:val="005E16B8"/>
    <w:rsid w:val="005E174C"/>
    <w:rsid w:val="005E1864"/>
    <w:rsid w:val="005E18DD"/>
    <w:rsid w:val="005E1A39"/>
    <w:rsid w:val="005E1BAB"/>
    <w:rsid w:val="005E1D97"/>
    <w:rsid w:val="005E1F3C"/>
    <w:rsid w:val="005E2054"/>
    <w:rsid w:val="005E2286"/>
    <w:rsid w:val="005E230C"/>
    <w:rsid w:val="005E2350"/>
    <w:rsid w:val="005E2405"/>
    <w:rsid w:val="005E241C"/>
    <w:rsid w:val="005E2B39"/>
    <w:rsid w:val="005E2B93"/>
    <w:rsid w:val="005E2CE5"/>
    <w:rsid w:val="005E2D6E"/>
    <w:rsid w:val="005E2DEF"/>
    <w:rsid w:val="005E319F"/>
    <w:rsid w:val="005E323D"/>
    <w:rsid w:val="005E3400"/>
    <w:rsid w:val="005E35F6"/>
    <w:rsid w:val="005E36B3"/>
    <w:rsid w:val="005E381D"/>
    <w:rsid w:val="005E3B00"/>
    <w:rsid w:val="005E3D29"/>
    <w:rsid w:val="005E3DB3"/>
    <w:rsid w:val="005E3E4B"/>
    <w:rsid w:val="005E41E5"/>
    <w:rsid w:val="005E4296"/>
    <w:rsid w:val="005E4299"/>
    <w:rsid w:val="005E4328"/>
    <w:rsid w:val="005E449F"/>
    <w:rsid w:val="005E492C"/>
    <w:rsid w:val="005E4A4C"/>
    <w:rsid w:val="005E4AC9"/>
    <w:rsid w:val="005E4DDD"/>
    <w:rsid w:val="005E5163"/>
    <w:rsid w:val="005E5248"/>
    <w:rsid w:val="005E549F"/>
    <w:rsid w:val="005E550E"/>
    <w:rsid w:val="005E565B"/>
    <w:rsid w:val="005E5688"/>
    <w:rsid w:val="005E591A"/>
    <w:rsid w:val="005E5C5E"/>
    <w:rsid w:val="005E5CC7"/>
    <w:rsid w:val="005E5EC5"/>
    <w:rsid w:val="005E61BB"/>
    <w:rsid w:val="005E63A6"/>
    <w:rsid w:val="005E67FB"/>
    <w:rsid w:val="005E6945"/>
    <w:rsid w:val="005E6D52"/>
    <w:rsid w:val="005E6DA8"/>
    <w:rsid w:val="005E6E12"/>
    <w:rsid w:val="005E71BD"/>
    <w:rsid w:val="005E72AA"/>
    <w:rsid w:val="005E74DA"/>
    <w:rsid w:val="005E752F"/>
    <w:rsid w:val="005E76DA"/>
    <w:rsid w:val="005E7C69"/>
    <w:rsid w:val="005E7D8D"/>
    <w:rsid w:val="005E7EF6"/>
    <w:rsid w:val="005F015E"/>
    <w:rsid w:val="005F0220"/>
    <w:rsid w:val="005F05A3"/>
    <w:rsid w:val="005F0700"/>
    <w:rsid w:val="005F0C3C"/>
    <w:rsid w:val="005F111D"/>
    <w:rsid w:val="005F1404"/>
    <w:rsid w:val="005F17CF"/>
    <w:rsid w:val="005F17EC"/>
    <w:rsid w:val="005F1BE1"/>
    <w:rsid w:val="005F1C2F"/>
    <w:rsid w:val="005F1C4F"/>
    <w:rsid w:val="005F1D9E"/>
    <w:rsid w:val="005F1DD3"/>
    <w:rsid w:val="005F1F0A"/>
    <w:rsid w:val="005F1F0F"/>
    <w:rsid w:val="005F2080"/>
    <w:rsid w:val="005F2402"/>
    <w:rsid w:val="005F241D"/>
    <w:rsid w:val="005F2449"/>
    <w:rsid w:val="005F25AC"/>
    <w:rsid w:val="005F25F8"/>
    <w:rsid w:val="005F276A"/>
    <w:rsid w:val="005F2C27"/>
    <w:rsid w:val="005F2C39"/>
    <w:rsid w:val="005F2C9C"/>
    <w:rsid w:val="005F3175"/>
    <w:rsid w:val="005F3267"/>
    <w:rsid w:val="005F3415"/>
    <w:rsid w:val="005F349F"/>
    <w:rsid w:val="005F34BC"/>
    <w:rsid w:val="005F36FC"/>
    <w:rsid w:val="005F3A24"/>
    <w:rsid w:val="005F3B08"/>
    <w:rsid w:val="005F3E88"/>
    <w:rsid w:val="005F3FCB"/>
    <w:rsid w:val="005F4234"/>
    <w:rsid w:val="005F425F"/>
    <w:rsid w:val="005F4638"/>
    <w:rsid w:val="005F4677"/>
    <w:rsid w:val="005F486A"/>
    <w:rsid w:val="005F4A72"/>
    <w:rsid w:val="005F4C59"/>
    <w:rsid w:val="005F4C72"/>
    <w:rsid w:val="005F4CDE"/>
    <w:rsid w:val="005F4DBC"/>
    <w:rsid w:val="005F5059"/>
    <w:rsid w:val="005F505C"/>
    <w:rsid w:val="005F5345"/>
    <w:rsid w:val="005F551F"/>
    <w:rsid w:val="005F5522"/>
    <w:rsid w:val="005F56D6"/>
    <w:rsid w:val="005F57FC"/>
    <w:rsid w:val="005F59BF"/>
    <w:rsid w:val="005F5CBA"/>
    <w:rsid w:val="005F5DDD"/>
    <w:rsid w:val="005F606C"/>
    <w:rsid w:val="005F626E"/>
    <w:rsid w:val="005F6560"/>
    <w:rsid w:val="005F673D"/>
    <w:rsid w:val="005F68E3"/>
    <w:rsid w:val="005F68FD"/>
    <w:rsid w:val="005F69B6"/>
    <w:rsid w:val="005F6A0D"/>
    <w:rsid w:val="005F6B6F"/>
    <w:rsid w:val="005F6FF2"/>
    <w:rsid w:val="005F71A3"/>
    <w:rsid w:val="005F71B3"/>
    <w:rsid w:val="005F72A5"/>
    <w:rsid w:val="005F782E"/>
    <w:rsid w:val="005F79F7"/>
    <w:rsid w:val="005F7D10"/>
    <w:rsid w:val="006004F3"/>
    <w:rsid w:val="006006DC"/>
    <w:rsid w:val="0060072A"/>
    <w:rsid w:val="00600A82"/>
    <w:rsid w:val="00600AD2"/>
    <w:rsid w:val="00600ED6"/>
    <w:rsid w:val="00600F3F"/>
    <w:rsid w:val="00601253"/>
    <w:rsid w:val="00601381"/>
    <w:rsid w:val="0060152E"/>
    <w:rsid w:val="006016A4"/>
    <w:rsid w:val="006018BC"/>
    <w:rsid w:val="006019FD"/>
    <w:rsid w:val="00601CF9"/>
    <w:rsid w:val="00601F7A"/>
    <w:rsid w:val="006020DA"/>
    <w:rsid w:val="0060250B"/>
    <w:rsid w:val="00602A59"/>
    <w:rsid w:val="00602C81"/>
    <w:rsid w:val="00602F0C"/>
    <w:rsid w:val="00602F83"/>
    <w:rsid w:val="00602FE0"/>
    <w:rsid w:val="00603158"/>
    <w:rsid w:val="00603371"/>
    <w:rsid w:val="0060369D"/>
    <w:rsid w:val="006037C2"/>
    <w:rsid w:val="006038A1"/>
    <w:rsid w:val="00603AC5"/>
    <w:rsid w:val="00603EF0"/>
    <w:rsid w:val="006040A8"/>
    <w:rsid w:val="0060417E"/>
    <w:rsid w:val="006041E5"/>
    <w:rsid w:val="00604274"/>
    <w:rsid w:val="006043EE"/>
    <w:rsid w:val="0060463B"/>
    <w:rsid w:val="00604687"/>
    <w:rsid w:val="0060476D"/>
    <w:rsid w:val="006049C8"/>
    <w:rsid w:val="00604BE2"/>
    <w:rsid w:val="00604D02"/>
    <w:rsid w:val="00604FA5"/>
    <w:rsid w:val="006050AC"/>
    <w:rsid w:val="00605200"/>
    <w:rsid w:val="00605499"/>
    <w:rsid w:val="006056E3"/>
    <w:rsid w:val="00605A7F"/>
    <w:rsid w:val="00605C34"/>
    <w:rsid w:val="0060601B"/>
    <w:rsid w:val="006062E5"/>
    <w:rsid w:val="00606599"/>
    <w:rsid w:val="00606DD7"/>
    <w:rsid w:val="00607423"/>
    <w:rsid w:val="00607716"/>
    <w:rsid w:val="00607857"/>
    <w:rsid w:val="00607880"/>
    <w:rsid w:val="006078F2"/>
    <w:rsid w:val="006078FB"/>
    <w:rsid w:val="00607BEF"/>
    <w:rsid w:val="00607D9F"/>
    <w:rsid w:val="00610185"/>
    <w:rsid w:val="006107DB"/>
    <w:rsid w:val="006108B4"/>
    <w:rsid w:val="00611019"/>
    <w:rsid w:val="0061144B"/>
    <w:rsid w:val="006116F2"/>
    <w:rsid w:val="006116FA"/>
    <w:rsid w:val="00611BEC"/>
    <w:rsid w:val="00612431"/>
    <w:rsid w:val="006128E5"/>
    <w:rsid w:val="0061293D"/>
    <w:rsid w:val="00612AE1"/>
    <w:rsid w:val="00612B57"/>
    <w:rsid w:val="00612C4E"/>
    <w:rsid w:val="00612E84"/>
    <w:rsid w:val="006130B9"/>
    <w:rsid w:val="0061329C"/>
    <w:rsid w:val="006132FD"/>
    <w:rsid w:val="00613666"/>
    <w:rsid w:val="006138D8"/>
    <w:rsid w:val="00613AD6"/>
    <w:rsid w:val="00613E99"/>
    <w:rsid w:val="006146C8"/>
    <w:rsid w:val="006149D2"/>
    <w:rsid w:val="00614C3B"/>
    <w:rsid w:val="00614C4D"/>
    <w:rsid w:val="00614C96"/>
    <w:rsid w:val="00614ECB"/>
    <w:rsid w:val="00615161"/>
    <w:rsid w:val="00615752"/>
    <w:rsid w:val="00615FC0"/>
    <w:rsid w:val="0061613C"/>
    <w:rsid w:val="00616368"/>
    <w:rsid w:val="0061636B"/>
    <w:rsid w:val="0061653B"/>
    <w:rsid w:val="00616671"/>
    <w:rsid w:val="00616AE0"/>
    <w:rsid w:val="00616D26"/>
    <w:rsid w:val="00616DA6"/>
    <w:rsid w:val="00616DCF"/>
    <w:rsid w:val="00616F21"/>
    <w:rsid w:val="00616F6C"/>
    <w:rsid w:val="00616F97"/>
    <w:rsid w:val="00617182"/>
    <w:rsid w:val="00617332"/>
    <w:rsid w:val="00617351"/>
    <w:rsid w:val="0061744A"/>
    <w:rsid w:val="00617840"/>
    <w:rsid w:val="0061784C"/>
    <w:rsid w:val="00617C7A"/>
    <w:rsid w:val="00617E7F"/>
    <w:rsid w:val="00617FBD"/>
    <w:rsid w:val="0062003B"/>
    <w:rsid w:val="0062033A"/>
    <w:rsid w:val="006203B9"/>
    <w:rsid w:val="00620468"/>
    <w:rsid w:val="0062066C"/>
    <w:rsid w:val="006206E2"/>
    <w:rsid w:val="00620702"/>
    <w:rsid w:val="006207C9"/>
    <w:rsid w:val="00620901"/>
    <w:rsid w:val="00620984"/>
    <w:rsid w:val="0062099D"/>
    <w:rsid w:val="00620B0C"/>
    <w:rsid w:val="00620BCD"/>
    <w:rsid w:val="00620CDE"/>
    <w:rsid w:val="00620D6A"/>
    <w:rsid w:val="00620ECB"/>
    <w:rsid w:val="00620ED0"/>
    <w:rsid w:val="00621218"/>
    <w:rsid w:val="00621301"/>
    <w:rsid w:val="00621521"/>
    <w:rsid w:val="00621776"/>
    <w:rsid w:val="00621F62"/>
    <w:rsid w:val="00622316"/>
    <w:rsid w:val="00622358"/>
    <w:rsid w:val="0062259C"/>
    <w:rsid w:val="00622808"/>
    <w:rsid w:val="0062284B"/>
    <w:rsid w:val="00622912"/>
    <w:rsid w:val="00622C36"/>
    <w:rsid w:val="00622CE6"/>
    <w:rsid w:val="00622D62"/>
    <w:rsid w:val="00622F78"/>
    <w:rsid w:val="006236A8"/>
    <w:rsid w:val="00623796"/>
    <w:rsid w:val="00623B61"/>
    <w:rsid w:val="00623BF9"/>
    <w:rsid w:val="00623DF4"/>
    <w:rsid w:val="00623EDA"/>
    <w:rsid w:val="00623F42"/>
    <w:rsid w:val="00623FC2"/>
    <w:rsid w:val="00624124"/>
    <w:rsid w:val="00624271"/>
    <w:rsid w:val="00624458"/>
    <w:rsid w:val="00624A61"/>
    <w:rsid w:val="00624AD8"/>
    <w:rsid w:val="00624B25"/>
    <w:rsid w:val="0062519F"/>
    <w:rsid w:val="00625D38"/>
    <w:rsid w:val="00625ECB"/>
    <w:rsid w:val="006260A5"/>
    <w:rsid w:val="006261AC"/>
    <w:rsid w:val="006262B1"/>
    <w:rsid w:val="00626369"/>
    <w:rsid w:val="006266BB"/>
    <w:rsid w:val="0062691F"/>
    <w:rsid w:val="00626AEE"/>
    <w:rsid w:val="00626CE5"/>
    <w:rsid w:val="00626D1A"/>
    <w:rsid w:val="00626D29"/>
    <w:rsid w:val="00626E72"/>
    <w:rsid w:val="00626E7B"/>
    <w:rsid w:val="00626FD7"/>
    <w:rsid w:val="00626FEF"/>
    <w:rsid w:val="006270C0"/>
    <w:rsid w:val="0062728A"/>
    <w:rsid w:val="006274AD"/>
    <w:rsid w:val="0062759B"/>
    <w:rsid w:val="00627657"/>
    <w:rsid w:val="0062772B"/>
    <w:rsid w:val="00627989"/>
    <w:rsid w:val="00627A21"/>
    <w:rsid w:val="00627ED4"/>
    <w:rsid w:val="00627FB8"/>
    <w:rsid w:val="00630214"/>
    <w:rsid w:val="006302B6"/>
    <w:rsid w:val="00630368"/>
    <w:rsid w:val="0063037A"/>
    <w:rsid w:val="00630661"/>
    <w:rsid w:val="006307EA"/>
    <w:rsid w:val="00630C1F"/>
    <w:rsid w:val="00630D5B"/>
    <w:rsid w:val="0063110C"/>
    <w:rsid w:val="0063121F"/>
    <w:rsid w:val="00631AF8"/>
    <w:rsid w:val="00631D8B"/>
    <w:rsid w:val="006321EC"/>
    <w:rsid w:val="00632308"/>
    <w:rsid w:val="00632856"/>
    <w:rsid w:val="00632873"/>
    <w:rsid w:val="00632944"/>
    <w:rsid w:val="0063295D"/>
    <w:rsid w:val="00632BAB"/>
    <w:rsid w:val="00632CF3"/>
    <w:rsid w:val="00632D05"/>
    <w:rsid w:val="00632F4E"/>
    <w:rsid w:val="00632F6F"/>
    <w:rsid w:val="0063303C"/>
    <w:rsid w:val="0063348A"/>
    <w:rsid w:val="006334F9"/>
    <w:rsid w:val="00633715"/>
    <w:rsid w:val="006339C1"/>
    <w:rsid w:val="00633B6D"/>
    <w:rsid w:val="00633C8F"/>
    <w:rsid w:val="00633D93"/>
    <w:rsid w:val="00633F1A"/>
    <w:rsid w:val="0063411F"/>
    <w:rsid w:val="00634224"/>
    <w:rsid w:val="00634360"/>
    <w:rsid w:val="00634619"/>
    <w:rsid w:val="00634CCF"/>
    <w:rsid w:val="00634CFF"/>
    <w:rsid w:val="00635036"/>
    <w:rsid w:val="00635439"/>
    <w:rsid w:val="0063557B"/>
    <w:rsid w:val="0063561B"/>
    <w:rsid w:val="00635723"/>
    <w:rsid w:val="00635762"/>
    <w:rsid w:val="006359C9"/>
    <w:rsid w:val="00635CAE"/>
    <w:rsid w:val="00635DD5"/>
    <w:rsid w:val="0063641E"/>
    <w:rsid w:val="006364B3"/>
    <w:rsid w:val="00636CBF"/>
    <w:rsid w:val="00636D08"/>
    <w:rsid w:val="00636D41"/>
    <w:rsid w:val="00636F68"/>
    <w:rsid w:val="006371CB"/>
    <w:rsid w:val="006374C2"/>
    <w:rsid w:val="006379D7"/>
    <w:rsid w:val="00637A9C"/>
    <w:rsid w:val="00637AA3"/>
    <w:rsid w:val="00637B06"/>
    <w:rsid w:val="00637B7F"/>
    <w:rsid w:val="00637C07"/>
    <w:rsid w:val="00637E72"/>
    <w:rsid w:val="00637FC6"/>
    <w:rsid w:val="00637FE4"/>
    <w:rsid w:val="00640160"/>
    <w:rsid w:val="0064040B"/>
    <w:rsid w:val="0064045B"/>
    <w:rsid w:val="0064069F"/>
    <w:rsid w:val="00640732"/>
    <w:rsid w:val="00640773"/>
    <w:rsid w:val="0064094D"/>
    <w:rsid w:val="0064099D"/>
    <w:rsid w:val="006409A0"/>
    <w:rsid w:val="00640A88"/>
    <w:rsid w:val="00640C7C"/>
    <w:rsid w:val="00641026"/>
    <w:rsid w:val="006411E1"/>
    <w:rsid w:val="00641A61"/>
    <w:rsid w:val="00641A93"/>
    <w:rsid w:val="00641AF0"/>
    <w:rsid w:val="00641E2C"/>
    <w:rsid w:val="00641FAE"/>
    <w:rsid w:val="006420AA"/>
    <w:rsid w:val="00642269"/>
    <w:rsid w:val="0064229A"/>
    <w:rsid w:val="0064249D"/>
    <w:rsid w:val="00642626"/>
    <w:rsid w:val="00642753"/>
    <w:rsid w:val="0064284A"/>
    <w:rsid w:val="006429A9"/>
    <w:rsid w:val="00642A30"/>
    <w:rsid w:val="00642B5C"/>
    <w:rsid w:val="00642C4E"/>
    <w:rsid w:val="00642D07"/>
    <w:rsid w:val="00642D0F"/>
    <w:rsid w:val="00642D3D"/>
    <w:rsid w:val="0064306A"/>
    <w:rsid w:val="0064312B"/>
    <w:rsid w:val="00643342"/>
    <w:rsid w:val="006434E7"/>
    <w:rsid w:val="00643687"/>
    <w:rsid w:val="006438A7"/>
    <w:rsid w:val="0064397B"/>
    <w:rsid w:val="00643AAB"/>
    <w:rsid w:val="00643B63"/>
    <w:rsid w:val="00643BCD"/>
    <w:rsid w:val="00643CFB"/>
    <w:rsid w:val="00643DF3"/>
    <w:rsid w:val="00644281"/>
    <w:rsid w:val="0064465D"/>
    <w:rsid w:val="00644BF5"/>
    <w:rsid w:val="00644C9F"/>
    <w:rsid w:val="006450CB"/>
    <w:rsid w:val="006452D7"/>
    <w:rsid w:val="00645428"/>
    <w:rsid w:val="006454C5"/>
    <w:rsid w:val="0064573B"/>
    <w:rsid w:val="00645763"/>
    <w:rsid w:val="006458EF"/>
    <w:rsid w:val="00645BA9"/>
    <w:rsid w:val="00645DC6"/>
    <w:rsid w:val="00646193"/>
    <w:rsid w:val="006461B5"/>
    <w:rsid w:val="00646704"/>
    <w:rsid w:val="006467D1"/>
    <w:rsid w:val="00646952"/>
    <w:rsid w:val="00646AE8"/>
    <w:rsid w:val="00646CD6"/>
    <w:rsid w:val="006473F2"/>
    <w:rsid w:val="0064747D"/>
    <w:rsid w:val="0064752F"/>
    <w:rsid w:val="0064758A"/>
    <w:rsid w:val="00647606"/>
    <w:rsid w:val="0064779E"/>
    <w:rsid w:val="0064790A"/>
    <w:rsid w:val="00647B7A"/>
    <w:rsid w:val="00647C14"/>
    <w:rsid w:val="006502AB"/>
    <w:rsid w:val="0065033A"/>
    <w:rsid w:val="006503B7"/>
    <w:rsid w:val="006504B6"/>
    <w:rsid w:val="0065056F"/>
    <w:rsid w:val="006506DD"/>
    <w:rsid w:val="0065075D"/>
    <w:rsid w:val="00650822"/>
    <w:rsid w:val="006509C5"/>
    <w:rsid w:val="00650AD7"/>
    <w:rsid w:val="00650B97"/>
    <w:rsid w:val="00650D4C"/>
    <w:rsid w:val="00650D7B"/>
    <w:rsid w:val="00650DEA"/>
    <w:rsid w:val="006511D3"/>
    <w:rsid w:val="0065125B"/>
    <w:rsid w:val="00651387"/>
    <w:rsid w:val="006514AE"/>
    <w:rsid w:val="00651662"/>
    <w:rsid w:val="006518E8"/>
    <w:rsid w:val="00651C84"/>
    <w:rsid w:val="00651DE7"/>
    <w:rsid w:val="00651FDB"/>
    <w:rsid w:val="00651FFA"/>
    <w:rsid w:val="00652012"/>
    <w:rsid w:val="0065204B"/>
    <w:rsid w:val="0065205E"/>
    <w:rsid w:val="006521E5"/>
    <w:rsid w:val="006521F5"/>
    <w:rsid w:val="006523E8"/>
    <w:rsid w:val="0065285F"/>
    <w:rsid w:val="00652CD4"/>
    <w:rsid w:val="00652D0D"/>
    <w:rsid w:val="00652D60"/>
    <w:rsid w:val="00652D6D"/>
    <w:rsid w:val="00652DD8"/>
    <w:rsid w:val="00652EFB"/>
    <w:rsid w:val="00652F61"/>
    <w:rsid w:val="00653009"/>
    <w:rsid w:val="00653046"/>
    <w:rsid w:val="00653245"/>
    <w:rsid w:val="00653279"/>
    <w:rsid w:val="0065335D"/>
    <w:rsid w:val="006534BB"/>
    <w:rsid w:val="006538D8"/>
    <w:rsid w:val="00653CCA"/>
    <w:rsid w:val="00653D7B"/>
    <w:rsid w:val="00653F33"/>
    <w:rsid w:val="00654020"/>
    <w:rsid w:val="00654158"/>
    <w:rsid w:val="006541FC"/>
    <w:rsid w:val="00654259"/>
    <w:rsid w:val="00654696"/>
    <w:rsid w:val="0065499E"/>
    <w:rsid w:val="00654ACA"/>
    <w:rsid w:val="00654E02"/>
    <w:rsid w:val="006554B9"/>
    <w:rsid w:val="006556B2"/>
    <w:rsid w:val="006559C0"/>
    <w:rsid w:val="00655AF6"/>
    <w:rsid w:val="00655D9E"/>
    <w:rsid w:val="00655EB6"/>
    <w:rsid w:val="006561EC"/>
    <w:rsid w:val="006566F6"/>
    <w:rsid w:val="00656929"/>
    <w:rsid w:val="00656967"/>
    <w:rsid w:val="00656D26"/>
    <w:rsid w:val="00656DB5"/>
    <w:rsid w:val="00656DD5"/>
    <w:rsid w:val="00657199"/>
    <w:rsid w:val="006571EC"/>
    <w:rsid w:val="0065741C"/>
    <w:rsid w:val="00657534"/>
    <w:rsid w:val="006576C3"/>
    <w:rsid w:val="00657715"/>
    <w:rsid w:val="006578AF"/>
    <w:rsid w:val="006579A4"/>
    <w:rsid w:val="00657B66"/>
    <w:rsid w:val="00657B9C"/>
    <w:rsid w:val="00657C19"/>
    <w:rsid w:val="00657CE0"/>
    <w:rsid w:val="0066005E"/>
    <w:rsid w:val="006600F4"/>
    <w:rsid w:val="00660223"/>
    <w:rsid w:val="00660343"/>
    <w:rsid w:val="00660345"/>
    <w:rsid w:val="00660374"/>
    <w:rsid w:val="006603BE"/>
    <w:rsid w:val="0066041A"/>
    <w:rsid w:val="00660635"/>
    <w:rsid w:val="006606D0"/>
    <w:rsid w:val="00660938"/>
    <w:rsid w:val="00660D7B"/>
    <w:rsid w:val="00660E2F"/>
    <w:rsid w:val="0066138C"/>
    <w:rsid w:val="00661576"/>
    <w:rsid w:val="006617E5"/>
    <w:rsid w:val="0066182F"/>
    <w:rsid w:val="00661A21"/>
    <w:rsid w:val="00661A32"/>
    <w:rsid w:val="00661F7D"/>
    <w:rsid w:val="006622FA"/>
    <w:rsid w:val="0066276A"/>
    <w:rsid w:val="00662B55"/>
    <w:rsid w:val="00662CCF"/>
    <w:rsid w:val="00662CD5"/>
    <w:rsid w:val="00662E25"/>
    <w:rsid w:val="00662E4D"/>
    <w:rsid w:val="006634C8"/>
    <w:rsid w:val="006636BA"/>
    <w:rsid w:val="006637A6"/>
    <w:rsid w:val="006638A7"/>
    <w:rsid w:val="00663E50"/>
    <w:rsid w:val="00663F35"/>
    <w:rsid w:val="00663F73"/>
    <w:rsid w:val="00663F94"/>
    <w:rsid w:val="00664442"/>
    <w:rsid w:val="0066448F"/>
    <w:rsid w:val="006644E3"/>
    <w:rsid w:val="0066451C"/>
    <w:rsid w:val="00664683"/>
    <w:rsid w:val="0066496B"/>
    <w:rsid w:val="00664BA9"/>
    <w:rsid w:val="00664CB0"/>
    <w:rsid w:val="00664EB4"/>
    <w:rsid w:val="00664EEE"/>
    <w:rsid w:val="0066520C"/>
    <w:rsid w:val="00665569"/>
    <w:rsid w:val="006658D4"/>
    <w:rsid w:val="00665C12"/>
    <w:rsid w:val="00665C84"/>
    <w:rsid w:val="00665CDF"/>
    <w:rsid w:val="00665F64"/>
    <w:rsid w:val="006660CF"/>
    <w:rsid w:val="006660DF"/>
    <w:rsid w:val="0066638F"/>
    <w:rsid w:val="00666782"/>
    <w:rsid w:val="00666804"/>
    <w:rsid w:val="00666863"/>
    <w:rsid w:val="00666C6E"/>
    <w:rsid w:val="00666E19"/>
    <w:rsid w:val="00666F1F"/>
    <w:rsid w:val="00667092"/>
    <w:rsid w:val="006677B2"/>
    <w:rsid w:val="00667B5A"/>
    <w:rsid w:val="00667C05"/>
    <w:rsid w:val="00667D51"/>
    <w:rsid w:val="00667DDC"/>
    <w:rsid w:val="00667DF4"/>
    <w:rsid w:val="00667E3A"/>
    <w:rsid w:val="00667F7C"/>
    <w:rsid w:val="00667F87"/>
    <w:rsid w:val="0067020D"/>
    <w:rsid w:val="0067035E"/>
    <w:rsid w:val="0067079C"/>
    <w:rsid w:val="0067081B"/>
    <w:rsid w:val="00670B16"/>
    <w:rsid w:val="00670D1C"/>
    <w:rsid w:val="00670D33"/>
    <w:rsid w:val="00670DF2"/>
    <w:rsid w:val="00670F3D"/>
    <w:rsid w:val="00671064"/>
    <w:rsid w:val="006710F5"/>
    <w:rsid w:val="006712F5"/>
    <w:rsid w:val="00671380"/>
    <w:rsid w:val="006715E2"/>
    <w:rsid w:val="006718D4"/>
    <w:rsid w:val="00671955"/>
    <w:rsid w:val="00671A08"/>
    <w:rsid w:val="00671BAC"/>
    <w:rsid w:val="00671D7B"/>
    <w:rsid w:val="0067225E"/>
    <w:rsid w:val="0067226F"/>
    <w:rsid w:val="00672521"/>
    <w:rsid w:val="006725F2"/>
    <w:rsid w:val="0067274B"/>
    <w:rsid w:val="00672869"/>
    <w:rsid w:val="00672A6D"/>
    <w:rsid w:val="00672AA8"/>
    <w:rsid w:val="00672EAB"/>
    <w:rsid w:val="00672F6B"/>
    <w:rsid w:val="00672FC5"/>
    <w:rsid w:val="0067313A"/>
    <w:rsid w:val="00673163"/>
    <w:rsid w:val="00673229"/>
    <w:rsid w:val="0067327F"/>
    <w:rsid w:val="006736A5"/>
    <w:rsid w:val="00673A5A"/>
    <w:rsid w:val="00673AD8"/>
    <w:rsid w:val="00673D70"/>
    <w:rsid w:val="00673EAE"/>
    <w:rsid w:val="0067416F"/>
    <w:rsid w:val="006747BD"/>
    <w:rsid w:val="006748A0"/>
    <w:rsid w:val="006748A7"/>
    <w:rsid w:val="00674D6A"/>
    <w:rsid w:val="0067511D"/>
    <w:rsid w:val="006751BA"/>
    <w:rsid w:val="006752A2"/>
    <w:rsid w:val="0067563F"/>
    <w:rsid w:val="006756B0"/>
    <w:rsid w:val="006756C7"/>
    <w:rsid w:val="006758BC"/>
    <w:rsid w:val="0067594D"/>
    <w:rsid w:val="006759DD"/>
    <w:rsid w:val="00675C2F"/>
    <w:rsid w:val="00675C70"/>
    <w:rsid w:val="00675EA2"/>
    <w:rsid w:val="00676105"/>
    <w:rsid w:val="00676114"/>
    <w:rsid w:val="006763BB"/>
    <w:rsid w:val="006764C6"/>
    <w:rsid w:val="006766E7"/>
    <w:rsid w:val="00676A34"/>
    <w:rsid w:val="00676A70"/>
    <w:rsid w:val="00676D9F"/>
    <w:rsid w:val="00676FA6"/>
    <w:rsid w:val="0067708D"/>
    <w:rsid w:val="00677838"/>
    <w:rsid w:val="00677ABD"/>
    <w:rsid w:val="00677BD0"/>
    <w:rsid w:val="00677EC5"/>
    <w:rsid w:val="00677EC7"/>
    <w:rsid w:val="00677F0B"/>
    <w:rsid w:val="0068002A"/>
    <w:rsid w:val="00680323"/>
    <w:rsid w:val="0068047B"/>
    <w:rsid w:val="006807E1"/>
    <w:rsid w:val="00680BD7"/>
    <w:rsid w:val="00681209"/>
    <w:rsid w:val="006812CF"/>
    <w:rsid w:val="006812FC"/>
    <w:rsid w:val="006815A9"/>
    <w:rsid w:val="00681791"/>
    <w:rsid w:val="00681869"/>
    <w:rsid w:val="00681B19"/>
    <w:rsid w:val="00681B80"/>
    <w:rsid w:val="00681C9D"/>
    <w:rsid w:val="00681D65"/>
    <w:rsid w:val="00682433"/>
    <w:rsid w:val="00682644"/>
    <w:rsid w:val="0068278D"/>
    <w:rsid w:val="00682823"/>
    <w:rsid w:val="00682995"/>
    <w:rsid w:val="006829E3"/>
    <w:rsid w:val="00682ADD"/>
    <w:rsid w:val="00682B54"/>
    <w:rsid w:val="00682E58"/>
    <w:rsid w:val="00683030"/>
    <w:rsid w:val="0068308F"/>
    <w:rsid w:val="00683127"/>
    <w:rsid w:val="0068314F"/>
    <w:rsid w:val="006831AB"/>
    <w:rsid w:val="006831B1"/>
    <w:rsid w:val="006831FA"/>
    <w:rsid w:val="0068321F"/>
    <w:rsid w:val="0068339B"/>
    <w:rsid w:val="006834D6"/>
    <w:rsid w:val="0068388F"/>
    <w:rsid w:val="00683AAF"/>
    <w:rsid w:val="00683B2A"/>
    <w:rsid w:val="00683D0E"/>
    <w:rsid w:val="00683F02"/>
    <w:rsid w:val="00683F6D"/>
    <w:rsid w:val="00684918"/>
    <w:rsid w:val="00684B38"/>
    <w:rsid w:val="00684C86"/>
    <w:rsid w:val="00684E34"/>
    <w:rsid w:val="00684E87"/>
    <w:rsid w:val="00684ECE"/>
    <w:rsid w:val="00684FEA"/>
    <w:rsid w:val="0068504C"/>
    <w:rsid w:val="0068515D"/>
    <w:rsid w:val="006851B6"/>
    <w:rsid w:val="006851F2"/>
    <w:rsid w:val="006857E7"/>
    <w:rsid w:val="00685899"/>
    <w:rsid w:val="00685B33"/>
    <w:rsid w:val="00685C64"/>
    <w:rsid w:val="00685D4A"/>
    <w:rsid w:val="00685E55"/>
    <w:rsid w:val="00686693"/>
    <w:rsid w:val="00686867"/>
    <w:rsid w:val="00686B67"/>
    <w:rsid w:val="00686C4F"/>
    <w:rsid w:val="00686CB0"/>
    <w:rsid w:val="00687492"/>
    <w:rsid w:val="00687AF5"/>
    <w:rsid w:val="00687CE1"/>
    <w:rsid w:val="00687E73"/>
    <w:rsid w:val="0069006A"/>
    <w:rsid w:val="006901C0"/>
    <w:rsid w:val="006901C5"/>
    <w:rsid w:val="00690359"/>
    <w:rsid w:val="00690437"/>
    <w:rsid w:val="0069043B"/>
    <w:rsid w:val="006904AC"/>
    <w:rsid w:val="00690A0C"/>
    <w:rsid w:val="00690B91"/>
    <w:rsid w:val="00690C78"/>
    <w:rsid w:val="00690E06"/>
    <w:rsid w:val="00690F22"/>
    <w:rsid w:val="00690F7D"/>
    <w:rsid w:val="006913D8"/>
    <w:rsid w:val="00691432"/>
    <w:rsid w:val="006919D4"/>
    <w:rsid w:val="00691D3E"/>
    <w:rsid w:val="00691DB4"/>
    <w:rsid w:val="00691DE9"/>
    <w:rsid w:val="00692194"/>
    <w:rsid w:val="00692390"/>
    <w:rsid w:val="00692443"/>
    <w:rsid w:val="0069253A"/>
    <w:rsid w:val="006928EF"/>
    <w:rsid w:val="006929C3"/>
    <w:rsid w:val="00692B1A"/>
    <w:rsid w:val="00692CC1"/>
    <w:rsid w:val="00692CC7"/>
    <w:rsid w:val="00692E3F"/>
    <w:rsid w:val="00693223"/>
    <w:rsid w:val="00693879"/>
    <w:rsid w:val="00693E29"/>
    <w:rsid w:val="00693E98"/>
    <w:rsid w:val="00693F8A"/>
    <w:rsid w:val="00693FB8"/>
    <w:rsid w:val="0069415E"/>
    <w:rsid w:val="006942FC"/>
    <w:rsid w:val="0069456B"/>
    <w:rsid w:val="0069469A"/>
    <w:rsid w:val="0069474B"/>
    <w:rsid w:val="0069485E"/>
    <w:rsid w:val="006948A1"/>
    <w:rsid w:val="006949C5"/>
    <w:rsid w:val="00694ADF"/>
    <w:rsid w:val="00694B7D"/>
    <w:rsid w:val="00694BE2"/>
    <w:rsid w:val="00694D99"/>
    <w:rsid w:val="006952E6"/>
    <w:rsid w:val="006955DA"/>
    <w:rsid w:val="00695689"/>
    <w:rsid w:val="0069571B"/>
    <w:rsid w:val="00695AE3"/>
    <w:rsid w:val="00695DFD"/>
    <w:rsid w:val="00695E45"/>
    <w:rsid w:val="006960B0"/>
    <w:rsid w:val="006960C4"/>
    <w:rsid w:val="006967BE"/>
    <w:rsid w:val="00696C9E"/>
    <w:rsid w:val="00696F9B"/>
    <w:rsid w:val="00697164"/>
    <w:rsid w:val="00697184"/>
    <w:rsid w:val="00697865"/>
    <w:rsid w:val="00697ABE"/>
    <w:rsid w:val="00697C57"/>
    <w:rsid w:val="00697C8A"/>
    <w:rsid w:val="00697D65"/>
    <w:rsid w:val="00697F0B"/>
    <w:rsid w:val="006A001E"/>
    <w:rsid w:val="006A0320"/>
    <w:rsid w:val="006A036A"/>
    <w:rsid w:val="006A038C"/>
    <w:rsid w:val="006A0895"/>
    <w:rsid w:val="006A0BB0"/>
    <w:rsid w:val="006A0DE6"/>
    <w:rsid w:val="006A1016"/>
    <w:rsid w:val="006A1235"/>
    <w:rsid w:val="006A128F"/>
    <w:rsid w:val="006A1563"/>
    <w:rsid w:val="006A1812"/>
    <w:rsid w:val="006A18D2"/>
    <w:rsid w:val="006A1937"/>
    <w:rsid w:val="006A1ABD"/>
    <w:rsid w:val="006A1C63"/>
    <w:rsid w:val="006A1E12"/>
    <w:rsid w:val="006A2083"/>
    <w:rsid w:val="006A245C"/>
    <w:rsid w:val="006A2601"/>
    <w:rsid w:val="006A261B"/>
    <w:rsid w:val="006A27C9"/>
    <w:rsid w:val="006A2986"/>
    <w:rsid w:val="006A2A2F"/>
    <w:rsid w:val="006A2B8D"/>
    <w:rsid w:val="006A2CBB"/>
    <w:rsid w:val="006A2DFA"/>
    <w:rsid w:val="006A2E28"/>
    <w:rsid w:val="006A3026"/>
    <w:rsid w:val="006A3493"/>
    <w:rsid w:val="006A36E8"/>
    <w:rsid w:val="006A3701"/>
    <w:rsid w:val="006A37DE"/>
    <w:rsid w:val="006A38EF"/>
    <w:rsid w:val="006A3A4C"/>
    <w:rsid w:val="006A3B33"/>
    <w:rsid w:val="006A3DCB"/>
    <w:rsid w:val="006A40F0"/>
    <w:rsid w:val="006A4101"/>
    <w:rsid w:val="006A4109"/>
    <w:rsid w:val="006A4DD2"/>
    <w:rsid w:val="006A4E4E"/>
    <w:rsid w:val="006A51FE"/>
    <w:rsid w:val="006A5A58"/>
    <w:rsid w:val="006A5A7D"/>
    <w:rsid w:val="006A5AC2"/>
    <w:rsid w:val="006A5B09"/>
    <w:rsid w:val="006A5C2C"/>
    <w:rsid w:val="006A5EC2"/>
    <w:rsid w:val="006A5F08"/>
    <w:rsid w:val="006A614B"/>
    <w:rsid w:val="006A6412"/>
    <w:rsid w:val="006A667B"/>
    <w:rsid w:val="006A66CD"/>
    <w:rsid w:val="006A67B4"/>
    <w:rsid w:val="006A689A"/>
    <w:rsid w:val="006A6932"/>
    <w:rsid w:val="006A6A1C"/>
    <w:rsid w:val="006A6B5E"/>
    <w:rsid w:val="006A7073"/>
    <w:rsid w:val="006A7284"/>
    <w:rsid w:val="006A733C"/>
    <w:rsid w:val="006A7349"/>
    <w:rsid w:val="006A73D5"/>
    <w:rsid w:val="006A746F"/>
    <w:rsid w:val="006A7492"/>
    <w:rsid w:val="006A74A8"/>
    <w:rsid w:val="006A77D1"/>
    <w:rsid w:val="006A7875"/>
    <w:rsid w:val="006A793D"/>
    <w:rsid w:val="006A7B5B"/>
    <w:rsid w:val="006A7C2A"/>
    <w:rsid w:val="006A7D5F"/>
    <w:rsid w:val="006A7D98"/>
    <w:rsid w:val="006A7DC6"/>
    <w:rsid w:val="006A7E12"/>
    <w:rsid w:val="006A7E4D"/>
    <w:rsid w:val="006A7ED1"/>
    <w:rsid w:val="006B0185"/>
    <w:rsid w:val="006B0277"/>
    <w:rsid w:val="006B02E9"/>
    <w:rsid w:val="006B0609"/>
    <w:rsid w:val="006B060F"/>
    <w:rsid w:val="006B0A53"/>
    <w:rsid w:val="006B0CFB"/>
    <w:rsid w:val="006B0D71"/>
    <w:rsid w:val="006B0D8A"/>
    <w:rsid w:val="006B126C"/>
    <w:rsid w:val="006B1320"/>
    <w:rsid w:val="006B14E8"/>
    <w:rsid w:val="006B1524"/>
    <w:rsid w:val="006B1B44"/>
    <w:rsid w:val="006B1C2E"/>
    <w:rsid w:val="006B1D0E"/>
    <w:rsid w:val="006B1D12"/>
    <w:rsid w:val="006B23B2"/>
    <w:rsid w:val="006B243C"/>
    <w:rsid w:val="006B2574"/>
    <w:rsid w:val="006B2767"/>
    <w:rsid w:val="006B2A89"/>
    <w:rsid w:val="006B2D3F"/>
    <w:rsid w:val="006B2D60"/>
    <w:rsid w:val="006B2FC1"/>
    <w:rsid w:val="006B36B9"/>
    <w:rsid w:val="006B3B3E"/>
    <w:rsid w:val="006B3D55"/>
    <w:rsid w:val="006B3EAA"/>
    <w:rsid w:val="006B458E"/>
    <w:rsid w:val="006B4664"/>
    <w:rsid w:val="006B469F"/>
    <w:rsid w:val="006B49BC"/>
    <w:rsid w:val="006B4A98"/>
    <w:rsid w:val="006B4C67"/>
    <w:rsid w:val="006B4C79"/>
    <w:rsid w:val="006B4E18"/>
    <w:rsid w:val="006B4FD7"/>
    <w:rsid w:val="006B51D9"/>
    <w:rsid w:val="006B5299"/>
    <w:rsid w:val="006B54C5"/>
    <w:rsid w:val="006B552D"/>
    <w:rsid w:val="006B555B"/>
    <w:rsid w:val="006B5AD9"/>
    <w:rsid w:val="006B5CC5"/>
    <w:rsid w:val="006B5DE8"/>
    <w:rsid w:val="006B5E52"/>
    <w:rsid w:val="006B60CE"/>
    <w:rsid w:val="006B6303"/>
    <w:rsid w:val="006B6379"/>
    <w:rsid w:val="006B6513"/>
    <w:rsid w:val="006B661A"/>
    <w:rsid w:val="006B699D"/>
    <w:rsid w:val="006B69B6"/>
    <w:rsid w:val="006B6AF9"/>
    <w:rsid w:val="006B6AFE"/>
    <w:rsid w:val="006B6B3D"/>
    <w:rsid w:val="006B70B9"/>
    <w:rsid w:val="006B71F3"/>
    <w:rsid w:val="006B73AF"/>
    <w:rsid w:val="006B753A"/>
    <w:rsid w:val="006B77FD"/>
    <w:rsid w:val="006B7819"/>
    <w:rsid w:val="006B791C"/>
    <w:rsid w:val="006B793D"/>
    <w:rsid w:val="006B79B6"/>
    <w:rsid w:val="006B7A5D"/>
    <w:rsid w:val="006B7B8E"/>
    <w:rsid w:val="006B7CB3"/>
    <w:rsid w:val="006B7F1A"/>
    <w:rsid w:val="006C000B"/>
    <w:rsid w:val="006C00D3"/>
    <w:rsid w:val="006C01B9"/>
    <w:rsid w:val="006C01D2"/>
    <w:rsid w:val="006C04D9"/>
    <w:rsid w:val="006C076C"/>
    <w:rsid w:val="006C08CC"/>
    <w:rsid w:val="006C0974"/>
    <w:rsid w:val="006C0A2F"/>
    <w:rsid w:val="006C0A33"/>
    <w:rsid w:val="006C0B8E"/>
    <w:rsid w:val="006C0B9C"/>
    <w:rsid w:val="006C0C9B"/>
    <w:rsid w:val="006C0F77"/>
    <w:rsid w:val="006C0F98"/>
    <w:rsid w:val="006C0F9A"/>
    <w:rsid w:val="006C0FA4"/>
    <w:rsid w:val="006C111C"/>
    <w:rsid w:val="006C1293"/>
    <w:rsid w:val="006C12CB"/>
    <w:rsid w:val="006C1576"/>
    <w:rsid w:val="006C18B0"/>
    <w:rsid w:val="006C18CE"/>
    <w:rsid w:val="006C1A37"/>
    <w:rsid w:val="006C1C1B"/>
    <w:rsid w:val="006C1DA9"/>
    <w:rsid w:val="006C1EE4"/>
    <w:rsid w:val="006C1F26"/>
    <w:rsid w:val="006C211B"/>
    <w:rsid w:val="006C2150"/>
    <w:rsid w:val="006C21C6"/>
    <w:rsid w:val="006C224D"/>
    <w:rsid w:val="006C2407"/>
    <w:rsid w:val="006C24BB"/>
    <w:rsid w:val="006C259D"/>
    <w:rsid w:val="006C2758"/>
    <w:rsid w:val="006C295F"/>
    <w:rsid w:val="006C2AC3"/>
    <w:rsid w:val="006C3E0F"/>
    <w:rsid w:val="006C3EFA"/>
    <w:rsid w:val="006C3F3B"/>
    <w:rsid w:val="006C3F46"/>
    <w:rsid w:val="006C41A1"/>
    <w:rsid w:val="006C43A9"/>
    <w:rsid w:val="006C4621"/>
    <w:rsid w:val="006C486D"/>
    <w:rsid w:val="006C4893"/>
    <w:rsid w:val="006C4925"/>
    <w:rsid w:val="006C4A15"/>
    <w:rsid w:val="006C4AB5"/>
    <w:rsid w:val="006C4C6C"/>
    <w:rsid w:val="006C4E50"/>
    <w:rsid w:val="006C5342"/>
    <w:rsid w:val="006C54DF"/>
    <w:rsid w:val="006C56A6"/>
    <w:rsid w:val="006C5829"/>
    <w:rsid w:val="006C5B08"/>
    <w:rsid w:val="006C5FC5"/>
    <w:rsid w:val="006C6134"/>
    <w:rsid w:val="006C61B6"/>
    <w:rsid w:val="006C653E"/>
    <w:rsid w:val="006C6669"/>
    <w:rsid w:val="006C6903"/>
    <w:rsid w:val="006C6A18"/>
    <w:rsid w:val="006C6E63"/>
    <w:rsid w:val="006C6EDB"/>
    <w:rsid w:val="006C6F89"/>
    <w:rsid w:val="006C7083"/>
    <w:rsid w:val="006C72BA"/>
    <w:rsid w:val="006C72EC"/>
    <w:rsid w:val="006C744D"/>
    <w:rsid w:val="006C78C5"/>
    <w:rsid w:val="006C79C3"/>
    <w:rsid w:val="006C7B0C"/>
    <w:rsid w:val="006C7BCD"/>
    <w:rsid w:val="006C7C62"/>
    <w:rsid w:val="006C7F9E"/>
    <w:rsid w:val="006D001B"/>
    <w:rsid w:val="006D0031"/>
    <w:rsid w:val="006D0082"/>
    <w:rsid w:val="006D0581"/>
    <w:rsid w:val="006D06AC"/>
    <w:rsid w:val="006D07F8"/>
    <w:rsid w:val="006D09D0"/>
    <w:rsid w:val="006D09E5"/>
    <w:rsid w:val="006D0B23"/>
    <w:rsid w:val="006D0BF3"/>
    <w:rsid w:val="006D0F97"/>
    <w:rsid w:val="006D103D"/>
    <w:rsid w:val="006D11CF"/>
    <w:rsid w:val="006D1459"/>
    <w:rsid w:val="006D163C"/>
    <w:rsid w:val="006D1A48"/>
    <w:rsid w:val="006D1B70"/>
    <w:rsid w:val="006D1C2D"/>
    <w:rsid w:val="006D20DC"/>
    <w:rsid w:val="006D2229"/>
    <w:rsid w:val="006D2288"/>
    <w:rsid w:val="006D2512"/>
    <w:rsid w:val="006D2B38"/>
    <w:rsid w:val="006D2C4E"/>
    <w:rsid w:val="006D2CE3"/>
    <w:rsid w:val="006D2D0E"/>
    <w:rsid w:val="006D2E7D"/>
    <w:rsid w:val="006D3793"/>
    <w:rsid w:val="006D3A45"/>
    <w:rsid w:val="006D3B35"/>
    <w:rsid w:val="006D3C3B"/>
    <w:rsid w:val="006D3C7F"/>
    <w:rsid w:val="006D3ED8"/>
    <w:rsid w:val="006D3FDD"/>
    <w:rsid w:val="006D41B7"/>
    <w:rsid w:val="006D4979"/>
    <w:rsid w:val="006D4A2E"/>
    <w:rsid w:val="006D4E23"/>
    <w:rsid w:val="006D5182"/>
    <w:rsid w:val="006D51B2"/>
    <w:rsid w:val="006D551D"/>
    <w:rsid w:val="006D567D"/>
    <w:rsid w:val="006D6044"/>
    <w:rsid w:val="006D60E7"/>
    <w:rsid w:val="006D6373"/>
    <w:rsid w:val="006D6435"/>
    <w:rsid w:val="006D6513"/>
    <w:rsid w:val="006D657B"/>
    <w:rsid w:val="006D6619"/>
    <w:rsid w:val="006D66AF"/>
    <w:rsid w:val="006D680B"/>
    <w:rsid w:val="006D6870"/>
    <w:rsid w:val="006D6A63"/>
    <w:rsid w:val="006D6AAC"/>
    <w:rsid w:val="006D6B78"/>
    <w:rsid w:val="006D6D81"/>
    <w:rsid w:val="006D6F35"/>
    <w:rsid w:val="006D6F4F"/>
    <w:rsid w:val="006D6F50"/>
    <w:rsid w:val="006D6F73"/>
    <w:rsid w:val="006D76F2"/>
    <w:rsid w:val="006D78B8"/>
    <w:rsid w:val="006D79E3"/>
    <w:rsid w:val="006D7EE9"/>
    <w:rsid w:val="006D7EF4"/>
    <w:rsid w:val="006E0009"/>
    <w:rsid w:val="006E00A8"/>
    <w:rsid w:val="006E04E8"/>
    <w:rsid w:val="006E0637"/>
    <w:rsid w:val="006E0763"/>
    <w:rsid w:val="006E084C"/>
    <w:rsid w:val="006E087B"/>
    <w:rsid w:val="006E0BA7"/>
    <w:rsid w:val="006E0FBC"/>
    <w:rsid w:val="006E1AA3"/>
    <w:rsid w:val="006E1ACD"/>
    <w:rsid w:val="006E1AFD"/>
    <w:rsid w:val="006E20A5"/>
    <w:rsid w:val="006E2141"/>
    <w:rsid w:val="006E238E"/>
    <w:rsid w:val="006E23FC"/>
    <w:rsid w:val="006E250C"/>
    <w:rsid w:val="006E2640"/>
    <w:rsid w:val="006E2FFE"/>
    <w:rsid w:val="006E315B"/>
    <w:rsid w:val="006E3860"/>
    <w:rsid w:val="006E38F9"/>
    <w:rsid w:val="006E3946"/>
    <w:rsid w:val="006E3A42"/>
    <w:rsid w:val="006E3AF1"/>
    <w:rsid w:val="006E3EDD"/>
    <w:rsid w:val="006E4114"/>
    <w:rsid w:val="006E479D"/>
    <w:rsid w:val="006E47E3"/>
    <w:rsid w:val="006E480D"/>
    <w:rsid w:val="006E49C3"/>
    <w:rsid w:val="006E4AFF"/>
    <w:rsid w:val="006E4B8F"/>
    <w:rsid w:val="006E4BEA"/>
    <w:rsid w:val="006E4D18"/>
    <w:rsid w:val="006E589E"/>
    <w:rsid w:val="006E59A2"/>
    <w:rsid w:val="006E60EA"/>
    <w:rsid w:val="006E6163"/>
    <w:rsid w:val="006E61B2"/>
    <w:rsid w:val="006E6225"/>
    <w:rsid w:val="006E63FA"/>
    <w:rsid w:val="006E65E0"/>
    <w:rsid w:val="006E6697"/>
    <w:rsid w:val="006E6870"/>
    <w:rsid w:val="006E6A84"/>
    <w:rsid w:val="006E7149"/>
    <w:rsid w:val="006E7157"/>
    <w:rsid w:val="006E716D"/>
    <w:rsid w:val="006E7227"/>
    <w:rsid w:val="006E7382"/>
    <w:rsid w:val="006E758E"/>
    <w:rsid w:val="006E77B1"/>
    <w:rsid w:val="006E7840"/>
    <w:rsid w:val="006E786D"/>
    <w:rsid w:val="006E789E"/>
    <w:rsid w:val="006E7902"/>
    <w:rsid w:val="006E7C0D"/>
    <w:rsid w:val="006E7D20"/>
    <w:rsid w:val="006E7E5F"/>
    <w:rsid w:val="006F00C1"/>
    <w:rsid w:val="006F00DE"/>
    <w:rsid w:val="006F00F1"/>
    <w:rsid w:val="006F023A"/>
    <w:rsid w:val="006F0ED9"/>
    <w:rsid w:val="006F0F0C"/>
    <w:rsid w:val="006F0F92"/>
    <w:rsid w:val="006F119B"/>
    <w:rsid w:val="006F11E4"/>
    <w:rsid w:val="006F12D8"/>
    <w:rsid w:val="006F14AD"/>
    <w:rsid w:val="006F150A"/>
    <w:rsid w:val="006F1651"/>
    <w:rsid w:val="006F16FD"/>
    <w:rsid w:val="006F1B45"/>
    <w:rsid w:val="006F1ECE"/>
    <w:rsid w:val="006F22E6"/>
    <w:rsid w:val="006F230E"/>
    <w:rsid w:val="006F2390"/>
    <w:rsid w:val="006F25FD"/>
    <w:rsid w:val="006F2638"/>
    <w:rsid w:val="006F267B"/>
    <w:rsid w:val="006F267E"/>
    <w:rsid w:val="006F2CDA"/>
    <w:rsid w:val="006F2D3D"/>
    <w:rsid w:val="006F2D44"/>
    <w:rsid w:val="006F2D68"/>
    <w:rsid w:val="006F2E2C"/>
    <w:rsid w:val="006F2F5C"/>
    <w:rsid w:val="006F312A"/>
    <w:rsid w:val="006F31EE"/>
    <w:rsid w:val="006F3340"/>
    <w:rsid w:val="006F3401"/>
    <w:rsid w:val="006F344E"/>
    <w:rsid w:val="006F3509"/>
    <w:rsid w:val="006F369C"/>
    <w:rsid w:val="006F3877"/>
    <w:rsid w:val="006F393A"/>
    <w:rsid w:val="006F3A3B"/>
    <w:rsid w:val="006F3A66"/>
    <w:rsid w:val="006F3D40"/>
    <w:rsid w:val="006F3E6D"/>
    <w:rsid w:val="006F3E7D"/>
    <w:rsid w:val="006F3FBD"/>
    <w:rsid w:val="006F405A"/>
    <w:rsid w:val="006F44A0"/>
    <w:rsid w:val="006F45F1"/>
    <w:rsid w:val="006F4771"/>
    <w:rsid w:val="006F4A69"/>
    <w:rsid w:val="006F4B84"/>
    <w:rsid w:val="006F4D04"/>
    <w:rsid w:val="006F4D53"/>
    <w:rsid w:val="006F4DD4"/>
    <w:rsid w:val="006F4EAF"/>
    <w:rsid w:val="006F50AC"/>
    <w:rsid w:val="006F5202"/>
    <w:rsid w:val="006F5240"/>
    <w:rsid w:val="006F5381"/>
    <w:rsid w:val="006F540C"/>
    <w:rsid w:val="006F546E"/>
    <w:rsid w:val="006F56EA"/>
    <w:rsid w:val="006F58B1"/>
    <w:rsid w:val="006F5903"/>
    <w:rsid w:val="006F5942"/>
    <w:rsid w:val="006F5965"/>
    <w:rsid w:val="006F5992"/>
    <w:rsid w:val="006F59DC"/>
    <w:rsid w:val="006F5C04"/>
    <w:rsid w:val="006F5C16"/>
    <w:rsid w:val="006F5C6A"/>
    <w:rsid w:val="006F5DD6"/>
    <w:rsid w:val="006F5F85"/>
    <w:rsid w:val="006F656D"/>
    <w:rsid w:val="006F6661"/>
    <w:rsid w:val="006F6CE1"/>
    <w:rsid w:val="006F70EB"/>
    <w:rsid w:val="006F71D6"/>
    <w:rsid w:val="006F7215"/>
    <w:rsid w:val="006F727F"/>
    <w:rsid w:val="006F72AD"/>
    <w:rsid w:val="006F72D8"/>
    <w:rsid w:val="006F7581"/>
    <w:rsid w:val="006F75AA"/>
    <w:rsid w:val="006F7709"/>
    <w:rsid w:val="006F77BB"/>
    <w:rsid w:val="006F7863"/>
    <w:rsid w:val="006F7892"/>
    <w:rsid w:val="006F7D84"/>
    <w:rsid w:val="006F7D96"/>
    <w:rsid w:val="006F7EFB"/>
    <w:rsid w:val="00700233"/>
    <w:rsid w:val="007002BE"/>
    <w:rsid w:val="007002DA"/>
    <w:rsid w:val="007005E7"/>
    <w:rsid w:val="007006AA"/>
    <w:rsid w:val="00700741"/>
    <w:rsid w:val="00700EDB"/>
    <w:rsid w:val="00700FC6"/>
    <w:rsid w:val="00701068"/>
    <w:rsid w:val="0070139D"/>
    <w:rsid w:val="007013F1"/>
    <w:rsid w:val="00701751"/>
    <w:rsid w:val="0070182C"/>
    <w:rsid w:val="00701A21"/>
    <w:rsid w:val="00701B56"/>
    <w:rsid w:val="00701C17"/>
    <w:rsid w:val="00701E55"/>
    <w:rsid w:val="00702157"/>
    <w:rsid w:val="007021D2"/>
    <w:rsid w:val="0070284D"/>
    <w:rsid w:val="00702975"/>
    <w:rsid w:val="00702A30"/>
    <w:rsid w:val="00703305"/>
    <w:rsid w:val="007034CB"/>
    <w:rsid w:val="0070357D"/>
    <w:rsid w:val="007035D7"/>
    <w:rsid w:val="0070360F"/>
    <w:rsid w:val="00703904"/>
    <w:rsid w:val="00703931"/>
    <w:rsid w:val="00703985"/>
    <w:rsid w:val="00703994"/>
    <w:rsid w:val="00703ABA"/>
    <w:rsid w:val="00703D5A"/>
    <w:rsid w:val="00704599"/>
    <w:rsid w:val="00704B6F"/>
    <w:rsid w:val="00704BB8"/>
    <w:rsid w:val="00704F9F"/>
    <w:rsid w:val="00705218"/>
    <w:rsid w:val="00705461"/>
    <w:rsid w:val="0070549B"/>
    <w:rsid w:val="00705547"/>
    <w:rsid w:val="0070599D"/>
    <w:rsid w:val="00705D72"/>
    <w:rsid w:val="00705EF8"/>
    <w:rsid w:val="007062DE"/>
    <w:rsid w:val="0070653E"/>
    <w:rsid w:val="00706732"/>
    <w:rsid w:val="00706AB5"/>
    <w:rsid w:val="00706B65"/>
    <w:rsid w:val="00706D75"/>
    <w:rsid w:val="00706E4C"/>
    <w:rsid w:val="00706E4D"/>
    <w:rsid w:val="00707196"/>
    <w:rsid w:val="007072B5"/>
    <w:rsid w:val="0070730C"/>
    <w:rsid w:val="007074B0"/>
    <w:rsid w:val="007074E2"/>
    <w:rsid w:val="007078FB"/>
    <w:rsid w:val="00707CD1"/>
    <w:rsid w:val="00707EF7"/>
    <w:rsid w:val="00710044"/>
    <w:rsid w:val="00710105"/>
    <w:rsid w:val="0071021C"/>
    <w:rsid w:val="007104D4"/>
    <w:rsid w:val="0071084E"/>
    <w:rsid w:val="007108DB"/>
    <w:rsid w:val="007109BD"/>
    <w:rsid w:val="007109C2"/>
    <w:rsid w:val="00710A36"/>
    <w:rsid w:val="00710B7A"/>
    <w:rsid w:val="00710D4F"/>
    <w:rsid w:val="00710DBE"/>
    <w:rsid w:val="00710E0E"/>
    <w:rsid w:val="00710F38"/>
    <w:rsid w:val="00710F63"/>
    <w:rsid w:val="00710F9D"/>
    <w:rsid w:val="00711030"/>
    <w:rsid w:val="007112F4"/>
    <w:rsid w:val="00711457"/>
    <w:rsid w:val="00711546"/>
    <w:rsid w:val="0071164F"/>
    <w:rsid w:val="0071173D"/>
    <w:rsid w:val="00711971"/>
    <w:rsid w:val="00712197"/>
    <w:rsid w:val="0071255B"/>
    <w:rsid w:val="00712696"/>
    <w:rsid w:val="007126C0"/>
    <w:rsid w:val="00712826"/>
    <w:rsid w:val="00712A48"/>
    <w:rsid w:val="00712AD2"/>
    <w:rsid w:val="00712CD2"/>
    <w:rsid w:val="00712E90"/>
    <w:rsid w:val="007132FA"/>
    <w:rsid w:val="0071341A"/>
    <w:rsid w:val="007135C0"/>
    <w:rsid w:val="00713B2E"/>
    <w:rsid w:val="00713D52"/>
    <w:rsid w:val="00713D62"/>
    <w:rsid w:val="00713E14"/>
    <w:rsid w:val="00713F53"/>
    <w:rsid w:val="00713FFE"/>
    <w:rsid w:val="00714183"/>
    <w:rsid w:val="007142EE"/>
    <w:rsid w:val="0071449E"/>
    <w:rsid w:val="007149A3"/>
    <w:rsid w:val="00714B2E"/>
    <w:rsid w:val="00714EEE"/>
    <w:rsid w:val="00714F11"/>
    <w:rsid w:val="007156A3"/>
    <w:rsid w:val="007160A7"/>
    <w:rsid w:val="0071615A"/>
    <w:rsid w:val="007161D0"/>
    <w:rsid w:val="00716368"/>
    <w:rsid w:val="00716574"/>
    <w:rsid w:val="007167DD"/>
    <w:rsid w:val="00716966"/>
    <w:rsid w:val="00716D8A"/>
    <w:rsid w:val="007172A1"/>
    <w:rsid w:val="00717333"/>
    <w:rsid w:val="00717681"/>
    <w:rsid w:val="007176C9"/>
    <w:rsid w:val="007176E1"/>
    <w:rsid w:val="00717790"/>
    <w:rsid w:val="007178D5"/>
    <w:rsid w:val="007179F3"/>
    <w:rsid w:val="00717A07"/>
    <w:rsid w:val="0072024A"/>
    <w:rsid w:val="0072026D"/>
    <w:rsid w:val="00720271"/>
    <w:rsid w:val="007202EA"/>
    <w:rsid w:val="00720336"/>
    <w:rsid w:val="007203F3"/>
    <w:rsid w:val="00720665"/>
    <w:rsid w:val="0072067F"/>
    <w:rsid w:val="007207E6"/>
    <w:rsid w:val="007207E9"/>
    <w:rsid w:val="00720857"/>
    <w:rsid w:val="007208AD"/>
    <w:rsid w:val="00720B84"/>
    <w:rsid w:val="00721149"/>
    <w:rsid w:val="00721226"/>
    <w:rsid w:val="007213A1"/>
    <w:rsid w:val="007219AE"/>
    <w:rsid w:val="00721D98"/>
    <w:rsid w:val="00721E27"/>
    <w:rsid w:val="007220ED"/>
    <w:rsid w:val="00722257"/>
    <w:rsid w:val="00722657"/>
    <w:rsid w:val="00722694"/>
    <w:rsid w:val="0072296E"/>
    <w:rsid w:val="00722AEA"/>
    <w:rsid w:val="00722B53"/>
    <w:rsid w:val="00722D08"/>
    <w:rsid w:val="00722EB5"/>
    <w:rsid w:val="0072303E"/>
    <w:rsid w:val="007230DD"/>
    <w:rsid w:val="0072355F"/>
    <w:rsid w:val="00723560"/>
    <w:rsid w:val="007237B7"/>
    <w:rsid w:val="00723954"/>
    <w:rsid w:val="00723FB1"/>
    <w:rsid w:val="00723FCF"/>
    <w:rsid w:val="007240A9"/>
    <w:rsid w:val="007240AD"/>
    <w:rsid w:val="007242CA"/>
    <w:rsid w:val="007242F9"/>
    <w:rsid w:val="0072436F"/>
    <w:rsid w:val="00724397"/>
    <w:rsid w:val="0072450E"/>
    <w:rsid w:val="00724594"/>
    <w:rsid w:val="00724736"/>
    <w:rsid w:val="00724737"/>
    <w:rsid w:val="0072488E"/>
    <w:rsid w:val="00724B0A"/>
    <w:rsid w:val="00724C42"/>
    <w:rsid w:val="00724CF3"/>
    <w:rsid w:val="00724DC2"/>
    <w:rsid w:val="00724F55"/>
    <w:rsid w:val="0072520C"/>
    <w:rsid w:val="007252CD"/>
    <w:rsid w:val="00725997"/>
    <w:rsid w:val="00725B24"/>
    <w:rsid w:val="00725C0D"/>
    <w:rsid w:val="00725C32"/>
    <w:rsid w:val="00725FB6"/>
    <w:rsid w:val="0072632B"/>
    <w:rsid w:val="00726363"/>
    <w:rsid w:val="0072636F"/>
    <w:rsid w:val="007265A8"/>
    <w:rsid w:val="0072664E"/>
    <w:rsid w:val="007266E9"/>
    <w:rsid w:val="00726969"/>
    <w:rsid w:val="00726B83"/>
    <w:rsid w:val="00726BBF"/>
    <w:rsid w:val="00726F59"/>
    <w:rsid w:val="007270DB"/>
    <w:rsid w:val="0072735C"/>
    <w:rsid w:val="00727382"/>
    <w:rsid w:val="00727677"/>
    <w:rsid w:val="00727EDA"/>
    <w:rsid w:val="00727F19"/>
    <w:rsid w:val="0073017D"/>
    <w:rsid w:val="0073018B"/>
    <w:rsid w:val="00730325"/>
    <w:rsid w:val="00730378"/>
    <w:rsid w:val="00730492"/>
    <w:rsid w:val="00730642"/>
    <w:rsid w:val="00730CB1"/>
    <w:rsid w:val="00730CCE"/>
    <w:rsid w:val="00730F94"/>
    <w:rsid w:val="007310A7"/>
    <w:rsid w:val="007310CB"/>
    <w:rsid w:val="0073122F"/>
    <w:rsid w:val="00731330"/>
    <w:rsid w:val="00731627"/>
    <w:rsid w:val="00731AE4"/>
    <w:rsid w:val="00731B6C"/>
    <w:rsid w:val="00731C2A"/>
    <w:rsid w:val="00731F02"/>
    <w:rsid w:val="00731F42"/>
    <w:rsid w:val="0073207A"/>
    <w:rsid w:val="00732174"/>
    <w:rsid w:val="007322F7"/>
    <w:rsid w:val="00732490"/>
    <w:rsid w:val="007324CB"/>
    <w:rsid w:val="00732652"/>
    <w:rsid w:val="007326CA"/>
    <w:rsid w:val="00732919"/>
    <w:rsid w:val="007329A7"/>
    <w:rsid w:val="00732C7E"/>
    <w:rsid w:val="00732D25"/>
    <w:rsid w:val="007331BD"/>
    <w:rsid w:val="0073335A"/>
    <w:rsid w:val="00733526"/>
    <w:rsid w:val="00733587"/>
    <w:rsid w:val="007338E7"/>
    <w:rsid w:val="00733AB2"/>
    <w:rsid w:val="00733D15"/>
    <w:rsid w:val="00733D26"/>
    <w:rsid w:val="00733F0C"/>
    <w:rsid w:val="00733F57"/>
    <w:rsid w:val="00733F6C"/>
    <w:rsid w:val="00734121"/>
    <w:rsid w:val="00734248"/>
    <w:rsid w:val="007343E8"/>
    <w:rsid w:val="0073445E"/>
    <w:rsid w:val="0073446E"/>
    <w:rsid w:val="007344BE"/>
    <w:rsid w:val="0073472A"/>
    <w:rsid w:val="00734D05"/>
    <w:rsid w:val="00734D29"/>
    <w:rsid w:val="00734DD7"/>
    <w:rsid w:val="00735ABA"/>
    <w:rsid w:val="00735D34"/>
    <w:rsid w:val="00736097"/>
    <w:rsid w:val="007360C0"/>
    <w:rsid w:val="00736792"/>
    <w:rsid w:val="00736824"/>
    <w:rsid w:val="007368A8"/>
    <w:rsid w:val="00736A47"/>
    <w:rsid w:val="00736A90"/>
    <w:rsid w:val="00736FBD"/>
    <w:rsid w:val="0073709F"/>
    <w:rsid w:val="0073714B"/>
    <w:rsid w:val="007373C2"/>
    <w:rsid w:val="0073761E"/>
    <w:rsid w:val="00737821"/>
    <w:rsid w:val="00737B8A"/>
    <w:rsid w:val="00737BC0"/>
    <w:rsid w:val="00737C26"/>
    <w:rsid w:val="00737DAB"/>
    <w:rsid w:val="00737F4D"/>
    <w:rsid w:val="00737FA7"/>
    <w:rsid w:val="00740340"/>
    <w:rsid w:val="00740494"/>
    <w:rsid w:val="007404DF"/>
    <w:rsid w:val="00740588"/>
    <w:rsid w:val="00740951"/>
    <w:rsid w:val="00741198"/>
    <w:rsid w:val="00741535"/>
    <w:rsid w:val="00741630"/>
    <w:rsid w:val="00741655"/>
    <w:rsid w:val="00741696"/>
    <w:rsid w:val="00741723"/>
    <w:rsid w:val="00742096"/>
    <w:rsid w:val="00742296"/>
    <w:rsid w:val="00742351"/>
    <w:rsid w:val="00742683"/>
    <w:rsid w:val="007427BB"/>
    <w:rsid w:val="007429E8"/>
    <w:rsid w:val="00742BA7"/>
    <w:rsid w:val="00742C30"/>
    <w:rsid w:val="007432E7"/>
    <w:rsid w:val="00743366"/>
    <w:rsid w:val="0074357A"/>
    <w:rsid w:val="00743666"/>
    <w:rsid w:val="00743A06"/>
    <w:rsid w:val="00743A38"/>
    <w:rsid w:val="00743DD3"/>
    <w:rsid w:val="00743F4E"/>
    <w:rsid w:val="0074437F"/>
    <w:rsid w:val="00744402"/>
    <w:rsid w:val="00744494"/>
    <w:rsid w:val="00744802"/>
    <w:rsid w:val="00744C1D"/>
    <w:rsid w:val="00744C25"/>
    <w:rsid w:val="0074527C"/>
    <w:rsid w:val="00745469"/>
    <w:rsid w:val="007455F3"/>
    <w:rsid w:val="007455FD"/>
    <w:rsid w:val="00745849"/>
    <w:rsid w:val="007458E1"/>
    <w:rsid w:val="00745B54"/>
    <w:rsid w:val="00745C5C"/>
    <w:rsid w:val="00745D05"/>
    <w:rsid w:val="00745E76"/>
    <w:rsid w:val="00745F0C"/>
    <w:rsid w:val="00745F29"/>
    <w:rsid w:val="00746189"/>
    <w:rsid w:val="0074680B"/>
    <w:rsid w:val="00746934"/>
    <w:rsid w:val="00746B0B"/>
    <w:rsid w:val="00746D57"/>
    <w:rsid w:val="00746F00"/>
    <w:rsid w:val="00747008"/>
    <w:rsid w:val="00747076"/>
    <w:rsid w:val="007474A6"/>
    <w:rsid w:val="007476D4"/>
    <w:rsid w:val="0074774C"/>
    <w:rsid w:val="007477D5"/>
    <w:rsid w:val="007477FD"/>
    <w:rsid w:val="00747A00"/>
    <w:rsid w:val="00747A29"/>
    <w:rsid w:val="00747B1F"/>
    <w:rsid w:val="00747DC4"/>
    <w:rsid w:val="00747FDF"/>
    <w:rsid w:val="007502AF"/>
    <w:rsid w:val="00750416"/>
    <w:rsid w:val="00750552"/>
    <w:rsid w:val="007507CC"/>
    <w:rsid w:val="00750F33"/>
    <w:rsid w:val="007510A7"/>
    <w:rsid w:val="00751108"/>
    <w:rsid w:val="007512F9"/>
    <w:rsid w:val="007515F1"/>
    <w:rsid w:val="00751747"/>
    <w:rsid w:val="0075178C"/>
    <w:rsid w:val="00751828"/>
    <w:rsid w:val="00751B63"/>
    <w:rsid w:val="00751D01"/>
    <w:rsid w:val="00751D5F"/>
    <w:rsid w:val="00751E57"/>
    <w:rsid w:val="00752052"/>
    <w:rsid w:val="007520E9"/>
    <w:rsid w:val="00752299"/>
    <w:rsid w:val="00752848"/>
    <w:rsid w:val="00752900"/>
    <w:rsid w:val="0075294B"/>
    <w:rsid w:val="00752A3E"/>
    <w:rsid w:val="00752CC3"/>
    <w:rsid w:val="00752CEC"/>
    <w:rsid w:val="00752DE1"/>
    <w:rsid w:val="00752E1C"/>
    <w:rsid w:val="00752FF1"/>
    <w:rsid w:val="00753168"/>
    <w:rsid w:val="007531BB"/>
    <w:rsid w:val="00753253"/>
    <w:rsid w:val="00753294"/>
    <w:rsid w:val="0075355C"/>
    <w:rsid w:val="00753778"/>
    <w:rsid w:val="0075394B"/>
    <w:rsid w:val="00753B3C"/>
    <w:rsid w:val="00753D64"/>
    <w:rsid w:val="00753D86"/>
    <w:rsid w:val="00753E3B"/>
    <w:rsid w:val="007542ED"/>
    <w:rsid w:val="00754304"/>
    <w:rsid w:val="00754545"/>
    <w:rsid w:val="00754844"/>
    <w:rsid w:val="00754864"/>
    <w:rsid w:val="00754AAC"/>
    <w:rsid w:val="00754BC8"/>
    <w:rsid w:val="00754D03"/>
    <w:rsid w:val="00754FD8"/>
    <w:rsid w:val="0075506E"/>
    <w:rsid w:val="00755559"/>
    <w:rsid w:val="0075570E"/>
    <w:rsid w:val="007557C0"/>
    <w:rsid w:val="0075585C"/>
    <w:rsid w:val="0075589C"/>
    <w:rsid w:val="007558E9"/>
    <w:rsid w:val="00755AB3"/>
    <w:rsid w:val="00755DE0"/>
    <w:rsid w:val="00755DFA"/>
    <w:rsid w:val="00755F3B"/>
    <w:rsid w:val="0075607B"/>
    <w:rsid w:val="00756252"/>
    <w:rsid w:val="007564BA"/>
    <w:rsid w:val="00756616"/>
    <w:rsid w:val="00756D50"/>
    <w:rsid w:val="00756D66"/>
    <w:rsid w:val="00756FEF"/>
    <w:rsid w:val="0075701C"/>
    <w:rsid w:val="00757221"/>
    <w:rsid w:val="00757275"/>
    <w:rsid w:val="00757DA2"/>
    <w:rsid w:val="00760414"/>
    <w:rsid w:val="0076053C"/>
    <w:rsid w:val="0076064B"/>
    <w:rsid w:val="00760878"/>
    <w:rsid w:val="007609C5"/>
    <w:rsid w:val="00760AE0"/>
    <w:rsid w:val="00760C3A"/>
    <w:rsid w:val="00760F1F"/>
    <w:rsid w:val="00761038"/>
    <w:rsid w:val="007610CA"/>
    <w:rsid w:val="0076113F"/>
    <w:rsid w:val="007612C5"/>
    <w:rsid w:val="0076148F"/>
    <w:rsid w:val="00761735"/>
    <w:rsid w:val="007617D8"/>
    <w:rsid w:val="0076191D"/>
    <w:rsid w:val="00761C2E"/>
    <w:rsid w:val="00761E7B"/>
    <w:rsid w:val="00761FA8"/>
    <w:rsid w:val="007621AE"/>
    <w:rsid w:val="0076223F"/>
    <w:rsid w:val="00762473"/>
    <w:rsid w:val="007626D3"/>
    <w:rsid w:val="007627B5"/>
    <w:rsid w:val="00762864"/>
    <w:rsid w:val="0076298A"/>
    <w:rsid w:val="00762BC9"/>
    <w:rsid w:val="00762CBF"/>
    <w:rsid w:val="00763187"/>
    <w:rsid w:val="0076332A"/>
    <w:rsid w:val="00763691"/>
    <w:rsid w:val="00763749"/>
    <w:rsid w:val="00763768"/>
    <w:rsid w:val="00763CE0"/>
    <w:rsid w:val="00763D44"/>
    <w:rsid w:val="00763E0F"/>
    <w:rsid w:val="00763E89"/>
    <w:rsid w:val="00764053"/>
    <w:rsid w:val="007641E4"/>
    <w:rsid w:val="00764312"/>
    <w:rsid w:val="00764414"/>
    <w:rsid w:val="00764439"/>
    <w:rsid w:val="00764707"/>
    <w:rsid w:val="0076473C"/>
    <w:rsid w:val="00764804"/>
    <w:rsid w:val="0076488B"/>
    <w:rsid w:val="00764939"/>
    <w:rsid w:val="007649D2"/>
    <w:rsid w:val="007649FE"/>
    <w:rsid w:val="00764AD9"/>
    <w:rsid w:val="00764BCB"/>
    <w:rsid w:val="00764C03"/>
    <w:rsid w:val="007651E8"/>
    <w:rsid w:val="00765513"/>
    <w:rsid w:val="007656DB"/>
    <w:rsid w:val="007656E2"/>
    <w:rsid w:val="0076578F"/>
    <w:rsid w:val="00765796"/>
    <w:rsid w:val="0076594B"/>
    <w:rsid w:val="00765A71"/>
    <w:rsid w:val="00765C02"/>
    <w:rsid w:val="00765C8E"/>
    <w:rsid w:val="00765D51"/>
    <w:rsid w:val="007660F6"/>
    <w:rsid w:val="007661BE"/>
    <w:rsid w:val="00766330"/>
    <w:rsid w:val="007664A2"/>
    <w:rsid w:val="00766D2A"/>
    <w:rsid w:val="00766E1F"/>
    <w:rsid w:val="00766F5B"/>
    <w:rsid w:val="007675FB"/>
    <w:rsid w:val="00767665"/>
    <w:rsid w:val="0076774D"/>
    <w:rsid w:val="007677A7"/>
    <w:rsid w:val="007679FC"/>
    <w:rsid w:val="00767B3E"/>
    <w:rsid w:val="00767C9D"/>
    <w:rsid w:val="00767FEE"/>
    <w:rsid w:val="007708C1"/>
    <w:rsid w:val="00770C6A"/>
    <w:rsid w:val="00770F3A"/>
    <w:rsid w:val="007710E7"/>
    <w:rsid w:val="0077118A"/>
    <w:rsid w:val="00771825"/>
    <w:rsid w:val="00771C78"/>
    <w:rsid w:val="00772265"/>
    <w:rsid w:val="007723C8"/>
    <w:rsid w:val="007725A7"/>
    <w:rsid w:val="0077264B"/>
    <w:rsid w:val="007727C1"/>
    <w:rsid w:val="0077293B"/>
    <w:rsid w:val="00772C96"/>
    <w:rsid w:val="00773031"/>
    <w:rsid w:val="0077319D"/>
    <w:rsid w:val="00773312"/>
    <w:rsid w:val="0077331C"/>
    <w:rsid w:val="00773331"/>
    <w:rsid w:val="0077358A"/>
    <w:rsid w:val="0077375A"/>
    <w:rsid w:val="00773BA1"/>
    <w:rsid w:val="00773F7E"/>
    <w:rsid w:val="007741E1"/>
    <w:rsid w:val="00774247"/>
    <w:rsid w:val="007744B8"/>
    <w:rsid w:val="00774729"/>
    <w:rsid w:val="0077477E"/>
    <w:rsid w:val="0077483E"/>
    <w:rsid w:val="00774862"/>
    <w:rsid w:val="007748C4"/>
    <w:rsid w:val="00774A68"/>
    <w:rsid w:val="00774BF2"/>
    <w:rsid w:val="00774D1D"/>
    <w:rsid w:val="00774E2B"/>
    <w:rsid w:val="00774E45"/>
    <w:rsid w:val="0077527E"/>
    <w:rsid w:val="0077544B"/>
    <w:rsid w:val="0077555A"/>
    <w:rsid w:val="00775723"/>
    <w:rsid w:val="00775951"/>
    <w:rsid w:val="0077595C"/>
    <w:rsid w:val="00775986"/>
    <w:rsid w:val="00775A35"/>
    <w:rsid w:val="00775C89"/>
    <w:rsid w:val="00775DC6"/>
    <w:rsid w:val="00776148"/>
    <w:rsid w:val="007761AA"/>
    <w:rsid w:val="00776253"/>
    <w:rsid w:val="0077678E"/>
    <w:rsid w:val="007767EE"/>
    <w:rsid w:val="00776B94"/>
    <w:rsid w:val="00776E63"/>
    <w:rsid w:val="00776EAE"/>
    <w:rsid w:val="0077712A"/>
    <w:rsid w:val="00777370"/>
    <w:rsid w:val="00777679"/>
    <w:rsid w:val="00777A95"/>
    <w:rsid w:val="00777BCA"/>
    <w:rsid w:val="00777CF4"/>
    <w:rsid w:val="00777EAB"/>
    <w:rsid w:val="0078008E"/>
    <w:rsid w:val="0078029B"/>
    <w:rsid w:val="007805CF"/>
    <w:rsid w:val="0078074B"/>
    <w:rsid w:val="0078076F"/>
    <w:rsid w:val="0078083D"/>
    <w:rsid w:val="0078094D"/>
    <w:rsid w:val="007809F1"/>
    <w:rsid w:val="00780B52"/>
    <w:rsid w:val="00780D58"/>
    <w:rsid w:val="0078107B"/>
    <w:rsid w:val="0078108A"/>
    <w:rsid w:val="007811C5"/>
    <w:rsid w:val="007812BD"/>
    <w:rsid w:val="007814F2"/>
    <w:rsid w:val="007817BA"/>
    <w:rsid w:val="00781C28"/>
    <w:rsid w:val="00781D23"/>
    <w:rsid w:val="00782128"/>
    <w:rsid w:val="007821FD"/>
    <w:rsid w:val="00782778"/>
    <w:rsid w:val="007827AB"/>
    <w:rsid w:val="0078282E"/>
    <w:rsid w:val="00782929"/>
    <w:rsid w:val="00782AD7"/>
    <w:rsid w:val="00782B73"/>
    <w:rsid w:val="00782C13"/>
    <w:rsid w:val="00782E43"/>
    <w:rsid w:val="00783110"/>
    <w:rsid w:val="00783570"/>
    <w:rsid w:val="007838C9"/>
    <w:rsid w:val="007839BD"/>
    <w:rsid w:val="00783AC9"/>
    <w:rsid w:val="00783D1D"/>
    <w:rsid w:val="0078445E"/>
    <w:rsid w:val="0078467E"/>
    <w:rsid w:val="00784806"/>
    <w:rsid w:val="0078482B"/>
    <w:rsid w:val="0078498F"/>
    <w:rsid w:val="00784C71"/>
    <w:rsid w:val="00784E0E"/>
    <w:rsid w:val="00785028"/>
    <w:rsid w:val="00785569"/>
    <w:rsid w:val="00785670"/>
    <w:rsid w:val="00785726"/>
    <w:rsid w:val="007859B0"/>
    <w:rsid w:val="007859B8"/>
    <w:rsid w:val="00785DBC"/>
    <w:rsid w:val="00785F50"/>
    <w:rsid w:val="00785FB2"/>
    <w:rsid w:val="00786295"/>
    <w:rsid w:val="00786349"/>
    <w:rsid w:val="0078679C"/>
    <w:rsid w:val="007868C4"/>
    <w:rsid w:val="00786931"/>
    <w:rsid w:val="00786986"/>
    <w:rsid w:val="00786994"/>
    <w:rsid w:val="00786A56"/>
    <w:rsid w:val="00786BEE"/>
    <w:rsid w:val="00786D32"/>
    <w:rsid w:val="00786D52"/>
    <w:rsid w:val="00786DD1"/>
    <w:rsid w:val="00786EDC"/>
    <w:rsid w:val="00786FFA"/>
    <w:rsid w:val="00787448"/>
    <w:rsid w:val="00787454"/>
    <w:rsid w:val="007877A8"/>
    <w:rsid w:val="00787897"/>
    <w:rsid w:val="00787A38"/>
    <w:rsid w:val="00787DD6"/>
    <w:rsid w:val="00787E93"/>
    <w:rsid w:val="00787EA4"/>
    <w:rsid w:val="00787F3D"/>
    <w:rsid w:val="007900A4"/>
    <w:rsid w:val="007902AB"/>
    <w:rsid w:val="0079036B"/>
    <w:rsid w:val="007903A3"/>
    <w:rsid w:val="007907AE"/>
    <w:rsid w:val="00790BFE"/>
    <w:rsid w:val="00791074"/>
    <w:rsid w:val="0079110A"/>
    <w:rsid w:val="007914B2"/>
    <w:rsid w:val="0079158A"/>
    <w:rsid w:val="00791909"/>
    <w:rsid w:val="00791AB4"/>
    <w:rsid w:val="00791C2D"/>
    <w:rsid w:val="00791F12"/>
    <w:rsid w:val="007925CA"/>
    <w:rsid w:val="007927C3"/>
    <w:rsid w:val="007927DC"/>
    <w:rsid w:val="007928DA"/>
    <w:rsid w:val="00792B4D"/>
    <w:rsid w:val="00792C07"/>
    <w:rsid w:val="00792C7D"/>
    <w:rsid w:val="00792DAF"/>
    <w:rsid w:val="00792FC0"/>
    <w:rsid w:val="00793005"/>
    <w:rsid w:val="007930A4"/>
    <w:rsid w:val="007930D7"/>
    <w:rsid w:val="007932EF"/>
    <w:rsid w:val="007932F7"/>
    <w:rsid w:val="007934C2"/>
    <w:rsid w:val="007935A8"/>
    <w:rsid w:val="0079360F"/>
    <w:rsid w:val="00793957"/>
    <w:rsid w:val="00793A40"/>
    <w:rsid w:val="00793B20"/>
    <w:rsid w:val="007940D7"/>
    <w:rsid w:val="0079496E"/>
    <w:rsid w:val="00794A3A"/>
    <w:rsid w:val="00794ADE"/>
    <w:rsid w:val="00794C8A"/>
    <w:rsid w:val="00794CFE"/>
    <w:rsid w:val="00794DBE"/>
    <w:rsid w:val="00794E24"/>
    <w:rsid w:val="00794F14"/>
    <w:rsid w:val="00794F53"/>
    <w:rsid w:val="007950FB"/>
    <w:rsid w:val="007951CD"/>
    <w:rsid w:val="00795274"/>
    <w:rsid w:val="00795568"/>
    <w:rsid w:val="0079567F"/>
    <w:rsid w:val="00795739"/>
    <w:rsid w:val="007957DB"/>
    <w:rsid w:val="00795A3C"/>
    <w:rsid w:val="00795A9E"/>
    <w:rsid w:val="00795ADA"/>
    <w:rsid w:val="00795C14"/>
    <w:rsid w:val="00795FA1"/>
    <w:rsid w:val="00796165"/>
    <w:rsid w:val="00796242"/>
    <w:rsid w:val="007962A5"/>
    <w:rsid w:val="00796667"/>
    <w:rsid w:val="0079688C"/>
    <w:rsid w:val="00796904"/>
    <w:rsid w:val="00796AB2"/>
    <w:rsid w:val="00796C26"/>
    <w:rsid w:val="00796DD4"/>
    <w:rsid w:val="00796E11"/>
    <w:rsid w:val="00796E41"/>
    <w:rsid w:val="0079750E"/>
    <w:rsid w:val="0079754D"/>
    <w:rsid w:val="00797766"/>
    <w:rsid w:val="007979C2"/>
    <w:rsid w:val="00797A3F"/>
    <w:rsid w:val="00797A71"/>
    <w:rsid w:val="00797AFA"/>
    <w:rsid w:val="00797D1E"/>
    <w:rsid w:val="007A01A9"/>
    <w:rsid w:val="007A0316"/>
    <w:rsid w:val="007A0352"/>
    <w:rsid w:val="007A05CD"/>
    <w:rsid w:val="007A0811"/>
    <w:rsid w:val="007A091C"/>
    <w:rsid w:val="007A0B9A"/>
    <w:rsid w:val="007A0C59"/>
    <w:rsid w:val="007A0D1E"/>
    <w:rsid w:val="007A0F4D"/>
    <w:rsid w:val="007A1082"/>
    <w:rsid w:val="007A10CF"/>
    <w:rsid w:val="007A11E3"/>
    <w:rsid w:val="007A1241"/>
    <w:rsid w:val="007A1405"/>
    <w:rsid w:val="007A1513"/>
    <w:rsid w:val="007A2203"/>
    <w:rsid w:val="007A232B"/>
    <w:rsid w:val="007A26CE"/>
    <w:rsid w:val="007A2971"/>
    <w:rsid w:val="007A2ECB"/>
    <w:rsid w:val="007A2F3B"/>
    <w:rsid w:val="007A3478"/>
    <w:rsid w:val="007A37BD"/>
    <w:rsid w:val="007A3892"/>
    <w:rsid w:val="007A38A2"/>
    <w:rsid w:val="007A38D4"/>
    <w:rsid w:val="007A39BF"/>
    <w:rsid w:val="007A40B7"/>
    <w:rsid w:val="007A446C"/>
    <w:rsid w:val="007A44FB"/>
    <w:rsid w:val="007A4720"/>
    <w:rsid w:val="007A48E1"/>
    <w:rsid w:val="007A48FD"/>
    <w:rsid w:val="007A4AA3"/>
    <w:rsid w:val="007A4E69"/>
    <w:rsid w:val="007A4E93"/>
    <w:rsid w:val="007A5009"/>
    <w:rsid w:val="007A510E"/>
    <w:rsid w:val="007A53C8"/>
    <w:rsid w:val="007A54D1"/>
    <w:rsid w:val="007A5782"/>
    <w:rsid w:val="007A581A"/>
    <w:rsid w:val="007A5AD8"/>
    <w:rsid w:val="007A5CEA"/>
    <w:rsid w:val="007A5D1F"/>
    <w:rsid w:val="007A630B"/>
    <w:rsid w:val="007A63C8"/>
    <w:rsid w:val="007A644E"/>
    <w:rsid w:val="007A6A44"/>
    <w:rsid w:val="007A6A8C"/>
    <w:rsid w:val="007A6B2F"/>
    <w:rsid w:val="007A6FB7"/>
    <w:rsid w:val="007A70F5"/>
    <w:rsid w:val="007A733D"/>
    <w:rsid w:val="007A753E"/>
    <w:rsid w:val="007A7A35"/>
    <w:rsid w:val="007A7B38"/>
    <w:rsid w:val="007A7D09"/>
    <w:rsid w:val="007A7D9F"/>
    <w:rsid w:val="007A7DAB"/>
    <w:rsid w:val="007B004B"/>
    <w:rsid w:val="007B02BF"/>
    <w:rsid w:val="007B040A"/>
    <w:rsid w:val="007B0783"/>
    <w:rsid w:val="007B08CD"/>
    <w:rsid w:val="007B08E6"/>
    <w:rsid w:val="007B09CA"/>
    <w:rsid w:val="007B0AAC"/>
    <w:rsid w:val="007B0B66"/>
    <w:rsid w:val="007B0C2E"/>
    <w:rsid w:val="007B0DE4"/>
    <w:rsid w:val="007B0F45"/>
    <w:rsid w:val="007B0F75"/>
    <w:rsid w:val="007B1096"/>
    <w:rsid w:val="007B15EA"/>
    <w:rsid w:val="007B1810"/>
    <w:rsid w:val="007B19DC"/>
    <w:rsid w:val="007B1B4F"/>
    <w:rsid w:val="007B1C8B"/>
    <w:rsid w:val="007B1DA4"/>
    <w:rsid w:val="007B220B"/>
    <w:rsid w:val="007B24B2"/>
    <w:rsid w:val="007B26B4"/>
    <w:rsid w:val="007B26E9"/>
    <w:rsid w:val="007B273F"/>
    <w:rsid w:val="007B2902"/>
    <w:rsid w:val="007B2A58"/>
    <w:rsid w:val="007B2AB3"/>
    <w:rsid w:val="007B2BA0"/>
    <w:rsid w:val="007B2CEB"/>
    <w:rsid w:val="007B2D63"/>
    <w:rsid w:val="007B334D"/>
    <w:rsid w:val="007B3433"/>
    <w:rsid w:val="007B3442"/>
    <w:rsid w:val="007B3493"/>
    <w:rsid w:val="007B3880"/>
    <w:rsid w:val="007B3961"/>
    <w:rsid w:val="007B3C59"/>
    <w:rsid w:val="007B3CC1"/>
    <w:rsid w:val="007B3D25"/>
    <w:rsid w:val="007B3DD2"/>
    <w:rsid w:val="007B3F9A"/>
    <w:rsid w:val="007B48A0"/>
    <w:rsid w:val="007B48D9"/>
    <w:rsid w:val="007B4966"/>
    <w:rsid w:val="007B4E3F"/>
    <w:rsid w:val="007B4F30"/>
    <w:rsid w:val="007B5309"/>
    <w:rsid w:val="007B542A"/>
    <w:rsid w:val="007B5499"/>
    <w:rsid w:val="007B5B10"/>
    <w:rsid w:val="007B5B3E"/>
    <w:rsid w:val="007B5B8E"/>
    <w:rsid w:val="007B5CBE"/>
    <w:rsid w:val="007B5E38"/>
    <w:rsid w:val="007B5E73"/>
    <w:rsid w:val="007B5EED"/>
    <w:rsid w:val="007B5F1A"/>
    <w:rsid w:val="007B66B8"/>
    <w:rsid w:val="007B6AEF"/>
    <w:rsid w:val="007B6BD7"/>
    <w:rsid w:val="007B6BDE"/>
    <w:rsid w:val="007B6BE3"/>
    <w:rsid w:val="007B6F5C"/>
    <w:rsid w:val="007B6FAB"/>
    <w:rsid w:val="007B7C76"/>
    <w:rsid w:val="007B7F21"/>
    <w:rsid w:val="007C0045"/>
    <w:rsid w:val="007C0318"/>
    <w:rsid w:val="007C04E2"/>
    <w:rsid w:val="007C08C4"/>
    <w:rsid w:val="007C0B68"/>
    <w:rsid w:val="007C0C21"/>
    <w:rsid w:val="007C0FBA"/>
    <w:rsid w:val="007C115D"/>
    <w:rsid w:val="007C12E6"/>
    <w:rsid w:val="007C13ED"/>
    <w:rsid w:val="007C1616"/>
    <w:rsid w:val="007C16AD"/>
    <w:rsid w:val="007C16FE"/>
    <w:rsid w:val="007C1751"/>
    <w:rsid w:val="007C1A61"/>
    <w:rsid w:val="007C2159"/>
    <w:rsid w:val="007C21EB"/>
    <w:rsid w:val="007C2444"/>
    <w:rsid w:val="007C25F4"/>
    <w:rsid w:val="007C2685"/>
    <w:rsid w:val="007C29E2"/>
    <w:rsid w:val="007C29E6"/>
    <w:rsid w:val="007C2A60"/>
    <w:rsid w:val="007C2B2F"/>
    <w:rsid w:val="007C2C58"/>
    <w:rsid w:val="007C2C9B"/>
    <w:rsid w:val="007C2D90"/>
    <w:rsid w:val="007C3076"/>
    <w:rsid w:val="007C33B8"/>
    <w:rsid w:val="007C33C4"/>
    <w:rsid w:val="007C34E2"/>
    <w:rsid w:val="007C35D4"/>
    <w:rsid w:val="007C36D1"/>
    <w:rsid w:val="007C3B93"/>
    <w:rsid w:val="007C3E92"/>
    <w:rsid w:val="007C4385"/>
    <w:rsid w:val="007C47FE"/>
    <w:rsid w:val="007C4BA8"/>
    <w:rsid w:val="007C4F45"/>
    <w:rsid w:val="007C5202"/>
    <w:rsid w:val="007C527B"/>
    <w:rsid w:val="007C543A"/>
    <w:rsid w:val="007C5529"/>
    <w:rsid w:val="007C557C"/>
    <w:rsid w:val="007C5968"/>
    <w:rsid w:val="007C59B9"/>
    <w:rsid w:val="007C5B08"/>
    <w:rsid w:val="007C5B82"/>
    <w:rsid w:val="007C5C1D"/>
    <w:rsid w:val="007C5C79"/>
    <w:rsid w:val="007C5C98"/>
    <w:rsid w:val="007C5E77"/>
    <w:rsid w:val="007C689A"/>
    <w:rsid w:val="007C68D0"/>
    <w:rsid w:val="007C6B27"/>
    <w:rsid w:val="007C7238"/>
    <w:rsid w:val="007C7502"/>
    <w:rsid w:val="007C7A13"/>
    <w:rsid w:val="007C7A4F"/>
    <w:rsid w:val="007C7B54"/>
    <w:rsid w:val="007C7DBD"/>
    <w:rsid w:val="007C7F13"/>
    <w:rsid w:val="007C7F79"/>
    <w:rsid w:val="007D0012"/>
    <w:rsid w:val="007D0101"/>
    <w:rsid w:val="007D01AA"/>
    <w:rsid w:val="007D02DE"/>
    <w:rsid w:val="007D0406"/>
    <w:rsid w:val="007D05B2"/>
    <w:rsid w:val="007D062B"/>
    <w:rsid w:val="007D07A1"/>
    <w:rsid w:val="007D0B04"/>
    <w:rsid w:val="007D0C81"/>
    <w:rsid w:val="007D0D25"/>
    <w:rsid w:val="007D0DFD"/>
    <w:rsid w:val="007D1047"/>
    <w:rsid w:val="007D1385"/>
    <w:rsid w:val="007D162B"/>
    <w:rsid w:val="007D1B23"/>
    <w:rsid w:val="007D1BEF"/>
    <w:rsid w:val="007D1BFC"/>
    <w:rsid w:val="007D1C61"/>
    <w:rsid w:val="007D1CAE"/>
    <w:rsid w:val="007D1E1F"/>
    <w:rsid w:val="007D1FBB"/>
    <w:rsid w:val="007D2020"/>
    <w:rsid w:val="007D22C7"/>
    <w:rsid w:val="007D256C"/>
    <w:rsid w:val="007D2582"/>
    <w:rsid w:val="007D25C2"/>
    <w:rsid w:val="007D2608"/>
    <w:rsid w:val="007D2852"/>
    <w:rsid w:val="007D2B0D"/>
    <w:rsid w:val="007D2BF7"/>
    <w:rsid w:val="007D30A6"/>
    <w:rsid w:val="007D3275"/>
    <w:rsid w:val="007D339E"/>
    <w:rsid w:val="007D34FC"/>
    <w:rsid w:val="007D36F2"/>
    <w:rsid w:val="007D3790"/>
    <w:rsid w:val="007D38F3"/>
    <w:rsid w:val="007D38F9"/>
    <w:rsid w:val="007D3B2F"/>
    <w:rsid w:val="007D3BD0"/>
    <w:rsid w:val="007D3BF2"/>
    <w:rsid w:val="007D3E9B"/>
    <w:rsid w:val="007D3F0F"/>
    <w:rsid w:val="007D4009"/>
    <w:rsid w:val="007D40C5"/>
    <w:rsid w:val="007D431B"/>
    <w:rsid w:val="007D4386"/>
    <w:rsid w:val="007D4747"/>
    <w:rsid w:val="007D4989"/>
    <w:rsid w:val="007D5110"/>
    <w:rsid w:val="007D5126"/>
    <w:rsid w:val="007D569A"/>
    <w:rsid w:val="007D5B62"/>
    <w:rsid w:val="007D5E7D"/>
    <w:rsid w:val="007D601F"/>
    <w:rsid w:val="007D6628"/>
    <w:rsid w:val="007D6675"/>
    <w:rsid w:val="007D68E3"/>
    <w:rsid w:val="007D69EF"/>
    <w:rsid w:val="007D6A68"/>
    <w:rsid w:val="007D731D"/>
    <w:rsid w:val="007D7400"/>
    <w:rsid w:val="007D752B"/>
    <w:rsid w:val="007D798F"/>
    <w:rsid w:val="007D7A5E"/>
    <w:rsid w:val="007D7B5C"/>
    <w:rsid w:val="007D7B95"/>
    <w:rsid w:val="007D7BC9"/>
    <w:rsid w:val="007D7BDD"/>
    <w:rsid w:val="007D7DF8"/>
    <w:rsid w:val="007D7E69"/>
    <w:rsid w:val="007E0049"/>
    <w:rsid w:val="007E0051"/>
    <w:rsid w:val="007E024D"/>
    <w:rsid w:val="007E03F1"/>
    <w:rsid w:val="007E05B0"/>
    <w:rsid w:val="007E079B"/>
    <w:rsid w:val="007E080F"/>
    <w:rsid w:val="007E0AA8"/>
    <w:rsid w:val="007E0C32"/>
    <w:rsid w:val="007E0F42"/>
    <w:rsid w:val="007E0F65"/>
    <w:rsid w:val="007E12E5"/>
    <w:rsid w:val="007E1301"/>
    <w:rsid w:val="007E1478"/>
    <w:rsid w:val="007E1623"/>
    <w:rsid w:val="007E18FA"/>
    <w:rsid w:val="007E1A48"/>
    <w:rsid w:val="007E1B77"/>
    <w:rsid w:val="007E1C1A"/>
    <w:rsid w:val="007E1C9B"/>
    <w:rsid w:val="007E1F28"/>
    <w:rsid w:val="007E1FD7"/>
    <w:rsid w:val="007E20AA"/>
    <w:rsid w:val="007E27C1"/>
    <w:rsid w:val="007E2848"/>
    <w:rsid w:val="007E28A8"/>
    <w:rsid w:val="007E296C"/>
    <w:rsid w:val="007E2B61"/>
    <w:rsid w:val="007E3074"/>
    <w:rsid w:val="007E30BA"/>
    <w:rsid w:val="007E3304"/>
    <w:rsid w:val="007E33F2"/>
    <w:rsid w:val="007E3889"/>
    <w:rsid w:val="007E3C33"/>
    <w:rsid w:val="007E3CF5"/>
    <w:rsid w:val="007E40D5"/>
    <w:rsid w:val="007E41CA"/>
    <w:rsid w:val="007E446F"/>
    <w:rsid w:val="007E44E1"/>
    <w:rsid w:val="007E46D1"/>
    <w:rsid w:val="007E472E"/>
    <w:rsid w:val="007E4B6C"/>
    <w:rsid w:val="007E4B82"/>
    <w:rsid w:val="007E4BE1"/>
    <w:rsid w:val="007E4DEB"/>
    <w:rsid w:val="007E4E2E"/>
    <w:rsid w:val="007E5060"/>
    <w:rsid w:val="007E51D8"/>
    <w:rsid w:val="007E52A8"/>
    <w:rsid w:val="007E5340"/>
    <w:rsid w:val="007E5379"/>
    <w:rsid w:val="007E57F8"/>
    <w:rsid w:val="007E5A05"/>
    <w:rsid w:val="007E5AA9"/>
    <w:rsid w:val="007E5B4D"/>
    <w:rsid w:val="007E5B6C"/>
    <w:rsid w:val="007E5B98"/>
    <w:rsid w:val="007E5E8B"/>
    <w:rsid w:val="007E6108"/>
    <w:rsid w:val="007E630D"/>
    <w:rsid w:val="007E66B9"/>
    <w:rsid w:val="007E6986"/>
    <w:rsid w:val="007E6A1C"/>
    <w:rsid w:val="007E6A44"/>
    <w:rsid w:val="007E6AB3"/>
    <w:rsid w:val="007E6BDE"/>
    <w:rsid w:val="007E6FB9"/>
    <w:rsid w:val="007E7134"/>
    <w:rsid w:val="007E739B"/>
    <w:rsid w:val="007E740B"/>
    <w:rsid w:val="007E7593"/>
    <w:rsid w:val="007E78C8"/>
    <w:rsid w:val="007E7A62"/>
    <w:rsid w:val="007E7B16"/>
    <w:rsid w:val="007E7DEB"/>
    <w:rsid w:val="007E7EB3"/>
    <w:rsid w:val="007F01E1"/>
    <w:rsid w:val="007F054A"/>
    <w:rsid w:val="007F0631"/>
    <w:rsid w:val="007F0A68"/>
    <w:rsid w:val="007F0A81"/>
    <w:rsid w:val="007F0C4C"/>
    <w:rsid w:val="007F0F32"/>
    <w:rsid w:val="007F1222"/>
    <w:rsid w:val="007F1594"/>
    <w:rsid w:val="007F15C1"/>
    <w:rsid w:val="007F1856"/>
    <w:rsid w:val="007F1A88"/>
    <w:rsid w:val="007F1BF4"/>
    <w:rsid w:val="007F1CF5"/>
    <w:rsid w:val="007F1EC7"/>
    <w:rsid w:val="007F24D3"/>
    <w:rsid w:val="007F26B2"/>
    <w:rsid w:val="007F2915"/>
    <w:rsid w:val="007F2A41"/>
    <w:rsid w:val="007F30CB"/>
    <w:rsid w:val="007F3266"/>
    <w:rsid w:val="007F3509"/>
    <w:rsid w:val="007F354E"/>
    <w:rsid w:val="007F3A32"/>
    <w:rsid w:val="007F3FEE"/>
    <w:rsid w:val="007F486B"/>
    <w:rsid w:val="007F4B7B"/>
    <w:rsid w:val="007F4E15"/>
    <w:rsid w:val="007F4E75"/>
    <w:rsid w:val="007F4FF7"/>
    <w:rsid w:val="007F5196"/>
    <w:rsid w:val="007F5534"/>
    <w:rsid w:val="007F555D"/>
    <w:rsid w:val="007F57E6"/>
    <w:rsid w:val="007F59AB"/>
    <w:rsid w:val="007F5F0C"/>
    <w:rsid w:val="007F61F9"/>
    <w:rsid w:val="007F627C"/>
    <w:rsid w:val="007F6459"/>
    <w:rsid w:val="007F6B16"/>
    <w:rsid w:val="007F6B3F"/>
    <w:rsid w:val="007F6F42"/>
    <w:rsid w:val="007F72E1"/>
    <w:rsid w:val="007F74D8"/>
    <w:rsid w:val="007F7807"/>
    <w:rsid w:val="007F7964"/>
    <w:rsid w:val="007F7C12"/>
    <w:rsid w:val="007F7CAE"/>
    <w:rsid w:val="007F7F98"/>
    <w:rsid w:val="008002B0"/>
    <w:rsid w:val="008003BF"/>
    <w:rsid w:val="0080051B"/>
    <w:rsid w:val="008007FB"/>
    <w:rsid w:val="00800B6D"/>
    <w:rsid w:val="00800B7E"/>
    <w:rsid w:val="00800C43"/>
    <w:rsid w:val="00800FF8"/>
    <w:rsid w:val="0080114B"/>
    <w:rsid w:val="00801255"/>
    <w:rsid w:val="008012F7"/>
    <w:rsid w:val="00801732"/>
    <w:rsid w:val="00801990"/>
    <w:rsid w:val="00801BBC"/>
    <w:rsid w:val="00801C36"/>
    <w:rsid w:val="008023B2"/>
    <w:rsid w:val="008024A5"/>
    <w:rsid w:val="00802612"/>
    <w:rsid w:val="008026B6"/>
    <w:rsid w:val="008026C4"/>
    <w:rsid w:val="008029DF"/>
    <w:rsid w:val="00802A73"/>
    <w:rsid w:val="00802B29"/>
    <w:rsid w:val="00802BFC"/>
    <w:rsid w:val="00802D5B"/>
    <w:rsid w:val="00802E3C"/>
    <w:rsid w:val="00802E49"/>
    <w:rsid w:val="008030CB"/>
    <w:rsid w:val="00803662"/>
    <w:rsid w:val="00803760"/>
    <w:rsid w:val="00803829"/>
    <w:rsid w:val="008038F4"/>
    <w:rsid w:val="00803A84"/>
    <w:rsid w:val="00803BA6"/>
    <w:rsid w:val="00803DFD"/>
    <w:rsid w:val="00803FD7"/>
    <w:rsid w:val="008040AB"/>
    <w:rsid w:val="008041E8"/>
    <w:rsid w:val="0080432A"/>
    <w:rsid w:val="0080459C"/>
    <w:rsid w:val="008045A6"/>
    <w:rsid w:val="00804A05"/>
    <w:rsid w:val="00804BDD"/>
    <w:rsid w:val="00804CB1"/>
    <w:rsid w:val="00805475"/>
    <w:rsid w:val="008054FF"/>
    <w:rsid w:val="008056A5"/>
    <w:rsid w:val="00805A91"/>
    <w:rsid w:val="00805B1B"/>
    <w:rsid w:val="00805D61"/>
    <w:rsid w:val="008060E8"/>
    <w:rsid w:val="0080638E"/>
    <w:rsid w:val="008063E6"/>
    <w:rsid w:val="00806818"/>
    <w:rsid w:val="00806920"/>
    <w:rsid w:val="00806A8B"/>
    <w:rsid w:val="00806B42"/>
    <w:rsid w:val="00806D4C"/>
    <w:rsid w:val="00806F10"/>
    <w:rsid w:val="00806F92"/>
    <w:rsid w:val="008071E0"/>
    <w:rsid w:val="0080726E"/>
    <w:rsid w:val="008073CD"/>
    <w:rsid w:val="0080749D"/>
    <w:rsid w:val="0080767D"/>
    <w:rsid w:val="00807995"/>
    <w:rsid w:val="00807E02"/>
    <w:rsid w:val="00807F85"/>
    <w:rsid w:val="0081031F"/>
    <w:rsid w:val="00810379"/>
    <w:rsid w:val="00810396"/>
    <w:rsid w:val="00810545"/>
    <w:rsid w:val="00810665"/>
    <w:rsid w:val="0081070D"/>
    <w:rsid w:val="008107AB"/>
    <w:rsid w:val="008108D7"/>
    <w:rsid w:val="008109A9"/>
    <w:rsid w:val="00810B13"/>
    <w:rsid w:val="00811157"/>
    <w:rsid w:val="00811334"/>
    <w:rsid w:val="00811336"/>
    <w:rsid w:val="0081196A"/>
    <w:rsid w:val="00811A9E"/>
    <w:rsid w:val="00811D37"/>
    <w:rsid w:val="00811E92"/>
    <w:rsid w:val="00811EC2"/>
    <w:rsid w:val="00811EF6"/>
    <w:rsid w:val="00811FD2"/>
    <w:rsid w:val="00812642"/>
    <w:rsid w:val="00812707"/>
    <w:rsid w:val="008127D8"/>
    <w:rsid w:val="00812984"/>
    <w:rsid w:val="00812AD6"/>
    <w:rsid w:val="00812B91"/>
    <w:rsid w:val="00812DEF"/>
    <w:rsid w:val="00812E18"/>
    <w:rsid w:val="0081301A"/>
    <w:rsid w:val="00813133"/>
    <w:rsid w:val="0081336C"/>
    <w:rsid w:val="0081375B"/>
    <w:rsid w:val="008137CF"/>
    <w:rsid w:val="00813CFE"/>
    <w:rsid w:val="00813E79"/>
    <w:rsid w:val="00813E9E"/>
    <w:rsid w:val="00813F10"/>
    <w:rsid w:val="00814063"/>
    <w:rsid w:val="00814190"/>
    <w:rsid w:val="0081423B"/>
    <w:rsid w:val="008142B2"/>
    <w:rsid w:val="00814378"/>
    <w:rsid w:val="00814500"/>
    <w:rsid w:val="008146EA"/>
    <w:rsid w:val="00814762"/>
    <w:rsid w:val="00814884"/>
    <w:rsid w:val="008149F5"/>
    <w:rsid w:val="00814BF5"/>
    <w:rsid w:val="00814D91"/>
    <w:rsid w:val="008153AE"/>
    <w:rsid w:val="008154CB"/>
    <w:rsid w:val="00815611"/>
    <w:rsid w:val="008156A3"/>
    <w:rsid w:val="00815BC6"/>
    <w:rsid w:val="00816542"/>
    <w:rsid w:val="00816551"/>
    <w:rsid w:val="00816681"/>
    <w:rsid w:val="008167BE"/>
    <w:rsid w:val="008168B7"/>
    <w:rsid w:val="008168E2"/>
    <w:rsid w:val="008169FF"/>
    <w:rsid w:val="00816AD2"/>
    <w:rsid w:val="00816AF3"/>
    <w:rsid w:val="00816D95"/>
    <w:rsid w:val="00816E85"/>
    <w:rsid w:val="00816FB0"/>
    <w:rsid w:val="008172C2"/>
    <w:rsid w:val="008172E7"/>
    <w:rsid w:val="00817473"/>
    <w:rsid w:val="00817581"/>
    <w:rsid w:val="00817603"/>
    <w:rsid w:val="0081772D"/>
    <w:rsid w:val="00817926"/>
    <w:rsid w:val="00817DD8"/>
    <w:rsid w:val="0082007B"/>
    <w:rsid w:val="00820126"/>
    <w:rsid w:val="0082013B"/>
    <w:rsid w:val="00820184"/>
    <w:rsid w:val="008202D0"/>
    <w:rsid w:val="008203C4"/>
    <w:rsid w:val="00820694"/>
    <w:rsid w:val="00820737"/>
    <w:rsid w:val="00820A0E"/>
    <w:rsid w:val="00820AE4"/>
    <w:rsid w:val="00820D8E"/>
    <w:rsid w:val="00821051"/>
    <w:rsid w:val="0082114D"/>
    <w:rsid w:val="008212CD"/>
    <w:rsid w:val="00821355"/>
    <w:rsid w:val="00821613"/>
    <w:rsid w:val="0082169A"/>
    <w:rsid w:val="00821E56"/>
    <w:rsid w:val="00821E76"/>
    <w:rsid w:val="00821E82"/>
    <w:rsid w:val="00821F73"/>
    <w:rsid w:val="00821F80"/>
    <w:rsid w:val="00822848"/>
    <w:rsid w:val="0082289C"/>
    <w:rsid w:val="00822975"/>
    <w:rsid w:val="00822BFA"/>
    <w:rsid w:val="00822D2E"/>
    <w:rsid w:val="00822E2F"/>
    <w:rsid w:val="00822F8A"/>
    <w:rsid w:val="00822F9D"/>
    <w:rsid w:val="0082319B"/>
    <w:rsid w:val="0082348A"/>
    <w:rsid w:val="008237EE"/>
    <w:rsid w:val="0082396E"/>
    <w:rsid w:val="00823E44"/>
    <w:rsid w:val="00823F30"/>
    <w:rsid w:val="00824126"/>
    <w:rsid w:val="008241BC"/>
    <w:rsid w:val="008243A2"/>
    <w:rsid w:val="008243D8"/>
    <w:rsid w:val="0082452A"/>
    <w:rsid w:val="00824873"/>
    <w:rsid w:val="00824AF7"/>
    <w:rsid w:val="00824CAD"/>
    <w:rsid w:val="00824DF1"/>
    <w:rsid w:val="00824EBE"/>
    <w:rsid w:val="0082510D"/>
    <w:rsid w:val="00825787"/>
    <w:rsid w:val="00825875"/>
    <w:rsid w:val="0082589A"/>
    <w:rsid w:val="00825ADD"/>
    <w:rsid w:val="00825E96"/>
    <w:rsid w:val="00826018"/>
    <w:rsid w:val="008260BA"/>
    <w:rsid w:val="008260DB"/>
    <w:rsid w:val="008261B1"/>
    <w:rsid w:val="008262D9"/>
    <w:rsid w:val="00826355"/>
    <w:rsid w:val="008263A8"/>
    <w:rsid w:val="008263D9"/>
    <w:rsid w:val="008263DE"/>
    <w:rsid w:val="008263FC"/>
    <w:rsid w:val="00826CF6"/>
    <w:rsid w:val="00826D37"/>
    <w:rsid w:val="00826E05"/>
    <w:rsid w:val="008271EC"/>
    <w:rsid w:val="00827200"/>
    <w:rsid w:val="0082736B"/>
    <w:rsid w:val="00827427"/>
    <w:rsid w:val="008277B7"/>
    <w:rsid w:val="0082789A"/>
    <w:rsid w:val="00827BE1"/>
    <w:rsid w:val="00827E67"/>
    <w:rsid w:val="00827ED3"/>
    <w:rsid w:val="008300EF"/>
    <w:rsid w:val="00830292"/>
    <w:rsid w:val="0083031E"/>
    <w:rsid w:val="008307D6"/>
    <w:rsid w:val="00830A50"/>
    <w:rsid w:val="00830B9C"/>
    <w:rsid w:val="00830BAA"/>
    <w:rsid w:val="00830C0B"/>
    <w:rsid w:val="00830F8A"/>
    <w:rsid w:val="00831104"/>
    <w:rsid w:val="0083110D"/>
    <w:rsid w:val="008311DD"/>
    <w:rsid w:val="00831572"/>
    <w:rsid w:val="0083163A"/>
    <w:rsid w:val="00831807"/>
    <w:rsid w:val="00831A30"/>
    <w:rsid w:val="0083211D"/>
    <w:rsid w:val="00832193"/>
    <w:rsid w:val="008322F6"/>
    <w:rsid w:val="0083248D"/>
    <w:rsid w:val="008326FC"/>
    <w:rsid w:val="0083289D"/>
    <w:rsid w:val="00832983"/>
    <w:rsid w:val="00832AE1"/>
    <w:rsid w:val="00832DA7"/>
    <w:rsid w:val="00833674"/>
    <w:rsid w:val="00833696"/>
    <w:rsid w:val="008338A3"/>
    <w:rsid w:val="00833969"/>
    <w:rsid w:val="00833FFB"/>
    <w:rsid w:val="00834194"/>
    <w:rsid w:val="008344A5"/>
    <w:rsid w:val="0083451B"/>
    <w:rsid w:val="00834554"/>
    <w:rsid w:val="00834609"/>
    <w:rsid w:val="00834625"/>
    <w:rsid w:val="0083472E"/>
    <w:rsid w:val="0083478E"/>
    <w:rsid w:val="008348CE"/>
    <w:rsid w:val="008349B4"/>
    <w:rsid w:val="00834A69"/>
    <w:rsid w:val="00834AB1"/>
    <w:rsid w:val="00834ED9"/>
    <w:rsid w:val="00834FAD"/>
    <w:rsid w:val="008353DF"/>
    <w:rsid w:val="008354BF"/>
    <w:rsid w:val="008356A1"/>
    <w:rsid w:val="0083571F"/>
    <w:rsid w:val="00835BDD"/>
    <w:rsid w:val="00835C26"/>
    <w:rsid w:val="00835F33"/>
    <w:rsid w:val="00835FCE"/>
    <w:rsid w:val="00836001"/>
    <w:rsid w:val="00836307"/>
    <w:rsid w:val="0083642E"/>
    <w:rsid w:val="008364D8"/>
    <w:rsid w:val="00836644"/>
    <w:rsid w:val="008368A9"/>
    <w:rsid w:val="00836B55"/>
    <w:rsid w:val="00836DD0"/>
    <w:rsid w:val="00836F50"/>
    <w:rsid w:val="00837700"/>
    <w:rsid w:val="0083780C"/>
    <w:rsid w:val="00837C31"/>
    <w:rsid w:val="00837F53"/>
    <w:rsid w:val="0084007E"/>
    <w:rsid w:val="008400C3"/>
    <w:rsid w:val="00840104"/>
    <w:rsid w:val="00840214"/>
    <w:rsid w:val="008406BE"/>
    <w:rsid w:val="0084079F"/>
    <w:rsid w:val="008407A4"/>
    <w:rsid w:val="00840B47"/>
    <w:rsid w:val="00840B7C"/>
    <w:rsid w:val="00840DD8"/>
    <w:rsid w:val="00841257"/>
    <w:rsid w:val="00841521"/>
    <w:rsid w:val="00841759"/>
    <w:rsid w:val="00841AD5"/>
    <w:rsid w:val="00841E52"/>
    <w:rsid w:val="008420C7"/>
    <w:rsid w:val="0084237A"/>
    <w:rsid w:val="00842540"/>
    <w:rsid w:val="0084254C"/>
    <w:rsid w:val="00842964"/>
    <w:rsid w:val="00843312"/>
    <w:rsid w:val="00843CDF"/>
    <w:rsid w:val="00843DBE"/>
    <w:rsid w:val="00843E04"/>
    <w:rsid w:val="00843E89"/>
    <w:rsid w:val="00843EC5"/>
    <w:rsid w:val="00844718"/>
    <w:rsid w:val="00844755"/>
    <w:rsid w:val="00844843"/>
    <w:rsid w:val="008448D9"/>
    <w:rsid w:val="00844AAB"/>
    <w:rsid w:val="0084509B"/>
    <w:rsid w:val="00845347"/>
    <w:rsid w:val="0084569F"/>
    <w:rsid w:val="00845923"/>
    <w:rsid w:val="00845951"/>
    <w:rsid w:val="00845F94"/>
    <w:rsid w:val="00845FB3"/>
    <w:rsid w:val="008463DA"/>
    <w:rsid w:val="00846939"/>
    <w:rsid w:val="008469C9"/>
    <w:rsid w:val="00846A34"/>
    <w:rsid w:val="00846BAD"/>
    <w:rsid w:val="00846CB2"/>
    <w:rsid w:val="00846DAD"/>
    <w:rsid w:val="00846EAA"/>
    <w:rsid w:val="008470DE"/>
    <w:rsid w:val="00847120"/>
    <w:rsid w:val="0084716D"/>
    <w:rsid w:val="008472D3"/>
    <w:rsid w:val="0084744C"/>
    <w:rsid w:val="008474CF"/>
    <w:rsid w:val="0084754C"/>
    <w:rsid w:val="0084760C"/>
    <w:rsid w:val="008479C5"/>
    <w:rsid w:val="00847B19"/>
    <w:rsid w:val="00847EFD"/>
    <w:rsid w:val="00850021"/>
    <w:rsid w:val="00850127"/>
    <w:rsid w:val="0085018A"/>
    <w:rsid w:val="00850197"/>
    <w:rsid w:val="00850329"/>
    <w:rsid w:val="00850358"/>
    <w:rsid w:val="0085073D"/>
    <w:rsid w:val="008507A1"/>
    <w:rsid w:val="00850A01"/>
    <w:rsid w:val="00850C75"/>
    <w:rsid w:val="00850D01"/>
    <w:rsid w:val="008510BD"/>
    <w:rsid w:val="0085115E"/>
    <w:rsid w:val="008512A1"/>
    <w:rsid w:val="008516FA"/>
    <w:rsid w:val="0085178A"/>
    <w:rsid w:val="00851D57"/>
    <w:rsid w:val="00851F78"/>
    <w:rsid w:val="0085234F"/>
    <w:rsid w:val="00852629"/>
    <w:rsid w:val="0085312B"/>
    <w:rsid w:val="00853629"/>
    <w:rsid w:val="008538B6"/>
    <w:rsid w:val="00853966"/>
    <w:rsid w:val="00853B12"/>
    <w:rsid w:val="00853BD1"/>
    <w:rsid w:val="00853BF4"/>
    <w:rsid w:val="00853C46"/>
    <w:rsid w:val="00853C61"/>
    <w:rsid w:val="00853DEE"/>
    <w:rsid w:val="00853E1E"/>
    <w:rsid w:val="00853F9A"/>
    <w:rsid w:val="008540E2"/>
    <w:rsid w:val="008542E5"/>
    <w:rsid w:val="008546EE"/>
    <w:rsid w:val="00854773"/>
    <w:rsid w:val="00854D04"/>
    <w:rsid w:val="00854F31"/>
    <w:rsid w:val="0085581E"/>
    <w:rsid w:val="0085582F"/>
    <w:rsid w:val="0085598F"/>
    <w:rsid w:val="00855A3A"/>
    <w:rsid w:val="00855DF7"/>
    <w:rsid w:val="00855FF0"/>
    <w:rsid w:val="00855FFA"/>
    <w:rsid w:val="008560AC"/>
    <w:rsid w:val="008560BD"/>
    <w:rsid w:val="008561D7"/>
    <w:rsid w:val="00856257"/>
    <w:rsid w:val="00856386"/>
    <w:rsid w:val="008564F2"/>
    <w:rsid w:val="00856616"/>
    <w:rsid w:val="0085667E"/>
    <w:rsid w:val="00856835"/>
    <w:rsid w:val="008568F2"/>
    <w:rsid w:val="00856900"/>
    <w:rsid w:val="00856C81"/>
    <w:rsid w:val="00856D81"/>
    <w:rsid w:val="00856F4A"/>
    <w:rsid w:val="008570DF"/>
    <w:rsid w:val="00857325"/>
    <w:rsid w:val="0085745B"/>
    <w:rsid w:val="0085755B"/>
    <w:rsid w:val="008575B9"/>
    <w:rsid w:val="00857640"/>
    <w:rsid w:val="008578F9"/>
    <w:rsid w:val="00857AD6"/>
    <w:rsid w:val="00857BF1"/>
    <w:rsid w:val="00857CA6"/>
    <w:rsid w:val="00857CDA"/>
    <w:rsid w:val="00857F6C"/>
    <w:rsid w:val="0086029E"/>
    <w:rsid w:val="00860352"/>
    <w:rsid w:val="0086062B"/>
    <w:rsid w:val="00860777"/>
    <w:rsid w:val="00860DC5"/>
    <w:rsid w:val="008610D2"/>
    <w:rsid w:val="00861115"/>
    <w:rsid w:val="0086121F"/>
    <w:rsid w:val="00861386"/>
    <w:rsid w:val="00861469"/>
    <w:rsid w:val="0086154C"/>
    <w:rsid w:val="0086172C"/>
    <w:rsid w:val="008617B3"/>
    <w:rsid w:val="008618F7"/>
    <w:rsid w:val="008619BE"/>
    <w:rsid w:val="00861B50"/>
    <w:rsid w:val="00861B88"/>
    <w:rsid w:val="00861CE9"/>
    <w:rsid w:val="008621D9"/>
    <w:rsid w:val="0086228D"/>
    <w:rsid w:val="00862437"/>
    <w:rsid w:val="00862471"/>
    <w:rsid w:val="008625F8"/>
    <w:rsid w:val="00862AAE"/>
    <w:rsid w:val="00862B28"/>
    <w:rsid w:val="00862C5E"/>
    <w:rsid w:val="00862DD6"/>
    <w:rsid w:val="00862EE1"/>
    <w:rsid w:val="008633ED"/>
    <w:rsid w:val="00863796"/>
    <w:rsid w:val="008638BC"/>
    <w:rsid w:val="00863A31"/>
    <w:rsid w:val="00863AE3"/>
    <w:rsid w:val="00863E9E"/>
    <w:rsid w:val="00863F62"/>
    <w:rsid w:val="00863F7C"/>
    <w:rsid w:val="0086407E"/>
    <w:rsid w:val="00864147"/>
    <w:rsid w:val="008643D0"/>
    <w:rsid w:val="0086460C"/>
    <w:rsid w:val="00864928"/>
    <w:rsid w:val="00864A8E"/>
    <w:rsid w:val="00864BC9"/>
    <w:rsid w:val="00865399"/>
    <w:rsid w:val="008655EC"/>
    <w:rsid w:val="00865933"/>
    <w:rsid w:val="00865A9E"/>
    <w:rsid w:val="00865CDA"/>
    <w:rsid w:val="00865DD4"/>
    <w:rsid w:val="00865E32"/>
    <w:rsid w:val="008662E6"/>
    <w:rsid w:val="00866445"/>
    <w:rsid w:val="008664EB"/>
    <w:rsid w:val="008665A2"/>
    <w:rsid w:val="00866665"/>
    <w:rsid w:val="00866684"/>
    <w:rsid w:val="008667EA"/>
    <w:rsid w:val="00866953"/>
    <w:rsid w:val="00866E0D"/>
    <w:rsid w:val="00866FA3"/>
    <w:rsid w:val="00866FBB"/>
    <w:rsid w:val="00867106"/>
    <w:rsid w:val="00867108"/>
    <w:rsid w:val="0086726E"/>
    <w:rsid w:val="0086735C"/>
    <w:rsid w:val="0086749F"/>
    <w:rsid w:val="00867888"/>
    <w:rsid w:val="00867BF4"/>
    <w:rsid w:val="00867BF7"/>
    <w:rsid w:val="00867D9B"/>
    <w:rsid w:val="00867DD7"/>
    <w:rsid w:val="00870258"/>
    <w:rsid w:val="008705FF"/>
    <w:rsid w:val="00870A7E"/>
    <w:rsid w:val="00870B3B"/>
    <w:rsid w:val="00870B95"/>
    <w:rsid w:val="00870C2F"/>
    <w:rsid w:val="00870D71"/>
    <w:rsid w:val="00870F5E"/>
    <w:rsid w:val="00871124"/>
    <w:rsid w:val="00871267"/>
    <w:rsid w:val="008712BB"/>
    <w:rsid w:val="0087130F"/>
    <w:rsid w:val="008714B6"/>
    <w:rsid w:val="008716C8"/>
    <w:rsid w:val="00871ACD"/>
    <w:rsid w:val="00871BE0"/>
    <w:rsid w:val="00871BFE"/>
    <w:rsid w:val="00871F17"/>
    <w:rsid w:val="00871F1E"/>
    <w:rsid w:val="00872035"/>
    <w:rsid w:val="00872123"/>
    <w:rsid w:val="008722F3"/>
    <w:rsid w:val="0087236E"/>
    <w:rsid w:val="00872486"/>
    <w:rsid w:val="00872488"/>
    <w:rsid w:val="008729FE"/>
    <w:rsid w:val="00872BCA"/>
    <w:rsid w:val="00872D50"/>
    <w:rsid w:val="00872DAE"/>
    <w:rsid w:val="00873326"/>
    <w:rsid w:val="00873438"/>
    <w:rsid w:val="008735BA"/>
    <w:rsid w:val="00873711"/>
    <w:rsid w:val="0087374F"/>
    <w:rsid w:val="00873859"/>
    <w:rsid w:val="00873AFF"/>
    <w:rsid w:val="00873B12"/>
    <w:rsid w:val="00873CAF"/>
    <w:rsid w:val="008740AA"/>
    <w:rsid w:val="00874115"/>
    <w:rsid w:val="00874341"/>
    <w:rsid w:val="00874449"/>
    <w:rsid w:val="008744E3"/>
    <w:rsid w:val="00874512"/>
    <w:rsid w:val="00874845"/>
    <w:rsid w:val="00874B88"/>
    <w:rsid w:val="00874C03"/>
    <w:rsid w:val="00874D22"/>
    <w:rsid w:val="00874E01"/>
    <w:rsid w:val="00874E0D"/>
    <w:rsid w:val="00874F25"/>
    <w:rsid w:val="00875164"/>
    <w:rsid w:val="0087524F"/>
    <w:rsid w:val="0087552D"/>
    <w:rsid w:val="0087560D"/>
    <w:rsid w:val="00875A61"/>
    <w:rsid w:val="00875B3A"/>
    <w:rsid w:val="00875CA9"/>
    <w:rsid w:val="00875E09"/>
    <w:rsid w:val="00875E36"/>
    <w:rsid w:val="00875E3D"/>
    <w:rsid w:val="00876031"/>
    <w:rsid w:val="0087606B"/>
    <w:rsid w:val="00876163"/>
    <w:rsid w:val="0087626E"/>
    <w:rsid w:val="008762D3"/>
    <w:rsid w:val="0087631F"/>
    <w:rsid w:val="00876448"/>
    <w:rsid w:val="00876A7D"/>
    <w:rsid w:val="00876AA3"/>
    <w:rsid w:val="00876F83"/>
    <w:rsid w:val="00877060"/>
    <w:rsid w:val="008773BC"/>
    <w:rsid w:val="0087741E"/>
    <w:rsid w:val="00877712"/>
    <w:rsid w:val="008779D3"/>
    <w:rsid w:val="00877B1A"/>
    <w:rsid w:val="00877CEC"/>
    <w:rsid w:val="00877E89"/>
    <w:rsid w:val="00877F16"/>
    <w:rsid w:val="00880065"/>
    <w:rsid w:val="00880079"/>
    <w:rsid w:val="0088027A"/>
    <w:rsid w:val="0088050D"/>
    <w:rsid w:val="008806E5"/>
    <w:rsid w:val="0088076A"/>
    <w:rsid w:val="00880924"/>
    <w:rsid w:val="0088096A"/>
    <w:rsid w:val="00880D2F"/>
    <w:rsid w:val="00880E41"/>
    <w:rsid w:val="0088118D"/>
    <w:rsid w:val="0088127D"/>
    <w:rsid w:val="0088135A"/>
    <w:rsid w:val="008815AA"/>
    <w:rsid w:val="008818A2"/>
    <w:rsid w:val="008819CB"/>
    <w:rsid w:val="00881B4C"/>
    <w:rsid w:val="00882094"/>
    <w:rsid w:val="00882098"/>
    <w:rsid w:val="008820B1"/>
    <w:rsid w:val="008821A3"/>
    <w:rsid w:val="00882292"/>
    <w:rsid w:val="0088253A"/>
    <w:rsid w:val="00882597"/>
    <w:rsid w:val="0088273B"/>
    <w:rsid w:val="0088280B"/>
    <w:rsid w:val="00882838"/>
    <w:rsid w:val="00882956"/>
    <w:rsid w:val="00882C93"/>
    <w:rsid w:val="00882D1D"/>
    <w:rsid w:val="00882D7F"/>
    <w:rsid w:val="008830A6"/>
    <w:rsid w:val="008831AF"/>
    <w:rsid w:val="00883238"/>
    <w:rsid w:val="00883395"/>
    <w:rsid w:val="008833DA"/>
    <w:rsid w:val="008834BA"/>
    <w:rsid w:val="00883555"/>
    <w:rsid w:val="00883657"/>
    <w:rsid w:val="008837E7"/>
    <w:rsid w:val="008838A7"/>
    <w:rsid w:val="00883E96"/>
    <w:rsid w:val="00883F4E"/>
    <w:rsid w:val="00883FF5"/>
    <w:rsid w:val="00883FF9"/>
    <w:rsid w:val="00884169"/>
    <w:rsid w:val="008841FA"/>
    <w:rsid w:val="00884242"/>
    <w:rsid w:val="00884305"/>
    <w:rsid w:val="00884799"/>
    <w:rsid w:val="00884F2E"/>
    <w:rsid w:val="00884F52"/>
    <w:rsid w:val="008850EC"/>
    <w:rsid w:val="008852DE"/>
    <w:rsid w:val="00885305"/>
    <w:rsid w:val="008854FF"/>
    <w:rsid w:val="00885B1D"/>
    <w:rsid w:val="00885BA6"/>
    <w:rsid w:val="00885C2F"/>
    <w:rsid w:val="00885F3C"/>
    <w:rsid w:val="0088611D"/>
    <w:rsid w:val="008865C5"/>
    <w:rsid w:val="0088668E"/>
    <w:rsid w:val="0088678A"/>
    <w:rsid w:val="0088689D"/>
    <w:rsid w:val="00886AE3"/>
    <w:rsid w:val="00886B51"/>
    <w:rsid w:val="00886B98"/>
    <w:rsid w:val="00886CE0"/>
    <w:rsid w:val="008871E2"/>
    <w:rsid w:val="00887347"/>
    <w:rsid w:val="008873D6"/>
    <w:rsid w:val="00887409"/>
    <w:rsid w:val="0088755E"/>
    <w:rsid w:val="00887598"/>
    <w:rsid w:val="0088774F"/>
    <w:rsid w:val="008877CC"/>
    <w:rsid w:val="00887862"/>
    <w:rsid w:val="00887C3E"/>
    <w:rsid w:val="00887C6D"/>
    <w:rsid w:val="00887FA3"/>
    <w:rsid w:val="00887FE0"/>
    <w:rsid w:val="00890207"/>
    <w:rsid w:val="00890B0D"/>
    <w:rsid w:val="00890E36"/>
    <w:rsid w:val="00890FDC"/>
    <w:rsid w:val="00891018"/>
    <w:rsid w:val="0089108D"/>
    <w:rsid w:val="008915BC"/>
    <w:rsid w:val="0089189D"/>
    <w:rsid w:val="008918CF"/>
    <w:rsid w:val="00891B8A"/>
    <w:rsid w:val="00891B98"/>
    <w:rsid w:val="00891C63"/>
    <w:rsid w:val="00891D1E"/>
    <w:rsid w:val="00891DFB"/>
    <w:rsid w:val="00892259"/>
    <w:rsid w:val="00892354"/>
    <w:rsid w:val="0089248E"/>
    <w:rsid w:val="008925F7"/>
    <w:rsid w:val="00892678"/>
    <w:rsid w:val="00892951"/>
    <w:rsid w:val="00893436"/>
    <w:rsid w:val="00893569"/>
    <w:rsid w:val="0089368B"/>
    <w:rsid w:val="008936F7"/>
    <w:rsid w:val="008937B0"/>
    <w:rsid w:val="00893854"/>
    <w:rsid w:val="008938C8"/>
    <w:rsid w:val="00893CBF"/>
    <w:rsid w:val="0089422C"/>
    <w:rsid w:val="008946E2"/>
    <w:rsid w:val="0089476D"/>
    <w:rsid w:val="00894AB4"/>
    <w:rsid w:val="00894B3B"/>
    <w:rsid w:val="00894EFA"/>
    <w:rsid w:val="00895259"/>
    <w:rsid w:val="00895448"/>
    <w:rsid w:val="008957B2"/>
    <w:rsid w:val="00895940"/>
    <w:rsid w:val="00895DA2"/>
    <w:rsid w:val="00895DC7"/>
    <w:rsid w:val="00895FBB"/>
    <w:rsid w:val="0089631A"/>
    <w:rsid w:val="008963A3"/>
    <w:rsid w:val="00896435"/>
    <w:rsid w:val="008969D1"/>
    <w:rsid w:val="00896A89"/>
    <w:rsid w:val="00896B54"/>
    <w:rsid w:val="00896CB2"/>
    <w:rsid w:val="00897261"/>
    <w:rsid w:val="008973D2"/>
    <w:rsid w:val="00897753"/>
    <w:rsid w:val="00897882"/>
    <w:rsid w:val="00897CAE"/>
    <w:rsid w:val="008A027B"/>
    <w:rsid w:val="008A0496"/>
    <w:rsid w:val="008A0746"/>
    <w:rsid w:val="008A0788"/>
    <w:rsid w:val="008A07E0"/>
    <w:rsid w:val="008A0829"/>
    <w:rsid w:val="008A083F"/>
    <w:rsid w:val="008A15FA"/>
    <w:rsid w:val="008A17E7"/>
    <w:rsid w:val="008A19F6"/>
    <w:rsid w:val="008A1A64"/>
    <w:rsid w:val="008A1AB7"/>
    <w:rsid w:val="008A1D90"/>
    <w:rsid w:val="008A22EA"/>
    <w:rsid w:val="008A23B5"/>
    <w:rsid w:val="008A2402"/>
    <w:rsid w:val="008A2428"/>
    <w:rsid w:val="008A2544"/>
    <w:rsid w:val="008A288F"/>
    <w:rsid w:val="008A2914"/>
    <w:rsid w:val="008A29AB"/>
    <w:rsid w:val="008A29B3"/>
    <w:rsid w:val="008A2ABC"/>
    <w:rsid w:val="008A2AE8"/>
    <w:rsid w:val="008A2BBE"/>
    <w:rsid w:val="008A2C15"/>
    <w:rsid w:val="008A2C51"/>
    <w:rsid w:val="008A2C63"/>
    <w:rsid w:val="008A2EAD"/>
    <w:rsid w:val="008A2F09"/>
    <w:rsid w:val="008A2F91"/>
    <w:rsid w:val="008A3131"/>
    <w:rsid w:val="008A32F7"/>
    <w:rsid w:val="008A38EF"/>
    <w:rsid w:val="008A4180"/>
    <w:rsid w:val="008A427D"/>
    <w:rsid w:val="008A4435"/>
    <w:rsid w:val="008A474A"/>
    <w:rsid w:val="008A47E9"/>
    <w:rsid w:val="008A48D8"/>
    <w:rsid w:val="008A4ADE"/>
    <w:rsid w:val="008A531E"/>
    <w:rsid w:val="008A534B"/>
    <w:rsid w:val="008A566B"/>
    <w:rsid w:val="008A58AF"/>
    <w:rsid w:val="008A5A40"/>
    <w:rsid w:val="008A630E"/>
    <w:rsid w:val="008A64CA"/>
    <w:rsid w:val="008A695E"/>
    <w:rsid w:val="008A6A78"/>
    <w:rsid w:val="008A6D70"/>
    <w:rsid w:val="008A6D77"/>
    <w:rsid w:val="008A6F27"/>
    <w:rsid w:val="008A7014"/>
    <w:rsid w:val="008A70C8"/>
    <w:rsid w:val="008A71BF"/>
    <w:rsid w:val="008A71E1"/>
    <w:rsid w:val="008A71E2"/>
    <w:rsid w:val="008A7344"/>
    <w:rsid w:val="008A7501"/>
    <w:rsid w:val="008A7737"/>
    <w:rsid w:val="008A7908"/>
    <w:rsid w:val="008A79F8"/>
    <w:rsid w:val="008A7B3C"/>
    <w:rsid w:val="008A7C53"/>
    <w:rsid w:val="008B0596"/>
    <w:rsid w:val="008B06AF"/>
    <w:rsid w:val="008B0761"/>
    <w:rsid w:val="008B081D"/>
    <w:rsid w:val="008B08EF"/>
    <w:rsid w:val="008B09AE"/>
    <w:rsid w:val="008B0AFB"/>
    <w:rsid w:val="008B0AFC"/>
    <w:rsid w:val="008B192D"/>
    <w:rsid w:val="008B1E01"/>
    <w:rsid w:val="008B1F53"/>
    <w:rsid w:val="008B1F84"/>
    <w:rsid w:val="008B28F9"/>
    <w:rsid w:val="008B2AEA"/>
    <w:rsid w:val="008B2BF8"/>
    <w:rsid w:val="008B2C8F"/>
    <w:rsid w:val="008B3062"/>
    <w:rsid w:val="008B3172"/>
    <w:rsid w:val="008B334F"/>
    <w:rsid w:val="008B35B1"/>
    <w:rsid w:val="008B35BE"/>
    <w:rsid w:val="008B35D2"/>
    <w:rsid w:val="008B3902"/>
    <w:rsid w:val="008B3B44"/>
    <w:rsid w:val="008B3DE4"/>
    <w:rsid w:val="008B3F2F"/>
    <w:rsid w:val="008B40BE"/>
    <w:rsid w:val="008B4336"/>
    <w:rsid w:val="008B4365"/>
    <w:rsid w:val="008B4394"/>
    <w:rsid w:val="008B4524"/>
    <w:rsid w:val="008B4819"/>
    <w:rsid w:val="008B4B9E"/>
    <w:rsid w:val="008B4BBF"/>
    <w:rsid w:val="008B4CC8"/>
    <w:rsid w:val="008B4D7B"/>
    <w:rsid w:val="008B551F"/>
    <w:rsid w:val="008B57BB"/>
    <w:rsid w:val="008B582B"/>
    <w:rsid w:val="008B59C5"/>
    <w:rsid w:val="008B5BB2"/>
    <w:rsid w:val="008B5CDB"/>
    <w:rsid w:val="008B6059"/>
    <w:rsid w:val="008B6B06"/>
    <w:rsid w:val="008B6BE5"/>
    <w:rsid w:val="008B6C2A"/>
    <w:rsid w:val="008B6D1A"/>
    <w:rsid w:val="008B6E0A"/>
    <w:rsid w:val="008B6E12"/>
    <w:rsid w:val="008B71AF"/>
    <w:rsid w:val="008B75F1"/>
    <w:rsid w:val="008C0692"/>
    <w:rsid w:val="008C08B6"/>
    <w:rsid w:val="008C0F67"/>
    <w:rsid w:val="008C0FCC"/>
    <w:rsid w:val="008C122D"/>
    <w:rsid w:val="008C19D8"/>
    <w:rsid w:val="008C1B20"/>
    <w:rsid w:val="008C1D32"/>
    <w:rsid w:val="008C1E5F"/>
    <w:rsid w:val="008C1E78"/>
    <w:rsid w:val="008C1F6B"/>
    <w:rsid w:val="008C21E2"/>
    <w:rsid w:val="008C22EB"/>
    <w:rsid w:val="008C243A"/>
    <w:rsid w:val="008C2488"/>
    <w:rsid w:val="008C24E9"/>
    <w:rsid w:val="008C2750"/>
    <w:rsid w:val="008C2A86"/>
    <w:rsid w:val="008C2C96"/>
    <w:rsid w:val="008C2D2A"/>
    <w:rsid w:val="008C3059"/>
    <w:rsid w:val="008C30C8"/>
    <w:rsid w:val="008C32C0"/>
    <w:rsid w:val="008C3341"/>
    <w:rsid w:val="008C351D"/>
    <w:rsid w:val="008C3840"/>
    <w:rsid w:val="008C38A8"/>
    <w:rsid w:val="008C3A78"/>
    <w:rsid w:val="008C3D0F"/>
    <w:rsid w:val="008C3F2E"/>
    <w:rsid w:val="008C41C2"/>
    <w:rsid w:val="008C425C"/>
    <w:rsid w:val="008C43F4"/>
    <w:rsid w:val="008C4541"/>
    <w:rsid w:val="008C4769"/>
    <w:rsid w:val="008C4993"/>
    <w:rsid w:val="008C49E8"/>
    <w:rsid w:val="008C4AB3"/>
    <w:rsid w:val="008C4BB5"/>
    <w:rsid w:val="008C4C0C"/>
    <w:rsid w:val="008C4C2C"/>
    <w:rsid w:val="008C4EB8"/>
    <w:rsid w:val="008C4FA1"/>
    <w:rsid w:val="008C5043"/>
    <w:rsid w:val="008C52C1"/>
    <w:rsid w:val="008C531A"/>
    <w:rsid w:val="008C5329"/>
    <w:rsid w:val="008C5397"/>
    <w:rsid w:val="008C53A0"/>
    <w:rsid w:val="008C53BF"/>
    <w:rsid w:val="008C5F37"/>
    <w:rsid w:val="008C649B"/>
    <w:rsid w:val="008C64C1"/>
    <w:rsid w:val="008C6705"/>
    <w:rsid w:val="008C6DCF"/>
    <w:rsid w:val="008C6E04"/>
    <w:rsid w:val="008C6EF6"/>
    <w:rsid w:val="008C70FF"/>
    <w:rsid w:val="008C7613"/>
    <w:rsid w:val="008C76CC"/>
    <w:rsid w:val="008C7902"/>
    <w:rsid w:val="008C7FC1"/>
    <w:rsid w:val="008D0024"/>
    <w:rsid w:val="008D0058"/>
    <w:rsid w:val="008D03DB"/>
    <w:rsid w:val="008D065C"/>
    <w:rsid w:val="008D0813"/>
    <w:rsid w:val="008D0C82"/>
    <w:rsid w:val="008D0E26"/>
    <w:rsid w:val="008D0EE9"/>
    <w:rsid w:val="008D0F94"/>
    <w:rsid w:val="008D1030"/>
    <w:rsid w:val="008D119C"/>
    <w:rsid w:val="008D1299"/>
    <w:rsid w:val="008D1620"/>
    <w:rsid w:val="008D17BB"/>
    <w:rsid w:val="008D1A6E"/>
    <w:rsid w:val="008D1DDD"/>
    <w:rsid w:val="008D1FB4"/>
    <w:rsid w:val="008D2122"/>
    <w:rsid w:val="008D237E"/>
    <w:rsid w:val="008D2A57"/>
    <w:rsid w:val="008D2CC9"/>
    <w:rsid w:val="008D3041"/>
    <w:rsid w:val="008D319F"/>
    <w:rsid w:val="008D333F"/>
    <w:rsid w:val="008D3398"/>
    <w:rsid w:val="008D3416"/>
    <w:rsid w:val="008D37B4"/>
    <w:rsid w:val="008D38CF"/>
    <w:rsid w:val="008D39FC"/>
    <w:rsid w:val="008D3C61"/>
    <w:rsid w:val="008D3E29"/>
    <w:rsid w:val="008D3E47"/>
    <w:rsid w:val="008D3ECF"/>
    <w:rsid w:val="008D400D"/>
    <w:rsid w:val="008D43FA"/>
    <w:rsid w:val="008D4517"/>
    <w:rsid w:val="008D4582"/>
    <w:rsid w:val="008D4789"/>
    <w:rsid w:val="008D4866"/>
    <w:rsid w:val="008D4C56"/>
    <w:rsid w:val="008D4D28"/>
    <w:rsid w:val="008D50ED"/>
    <w:rsid w:val="008D51B5"/>
    <w:rsid w:val="008D5E3B"/>
    <w:rsid w:val="008D5EEA"/>
    <w:rsid w:val="008D5F5D"/>
    <w:rsid w:val="008D6093"/>
    <w:rsid w:val="008D61B9"/>
    <w:rsid w:val="008D63A9"/>
    <w:rsid w:val="008D6570"/>
    <w:rsid w:val="008D6791"/>
    <w:rsid w:val="008D6831"/>
    <w:rsid w:val="008D6874"/>
    <w:rsid w:val="008D691A"/>
    <w:rsid w:val="008D6AE3"/>
    <w:rsid w:val="008D6C0D"/>
    <w:rsid w:val="008D6D0D"/>
    <w:rsid w:val="008D6E96"/>
    <w:rsid w:val="008D6F5D"/>
    <w:rsid w:val="008D7050"/>
    <w:rsid w:val="008D70AF"/>
    <w:rsid w:val="008D711B"/>
    <w:rsid w:val="008D72CE"/>
    <w:rsid w:val="008D7335"/>
    <w:rsid w:val="008D790D"/>
    <w:rsid w:val="008D7B8E"/>
    <w:rsid w:val="008D7BE2"/>
    <w:rsid w:val="008D7D95"/>
    <w:rsid w:val="008D7E57"/>
    <w:rsid w:val="008D7EB3"/>
    <w:rsid w:val="008E0447"/>
    <w:rsid w:val="008E0506"/>
    <w:rsid w:val="008E065E"/>
    <w:rsid w:val="008E06C4"/>
    <w:rsid w:val="008E06E1"/>
    <w:rsid w:val="008E0AE8"/>
    <w:rsid w:val="008E0CCF"/>
    <w:rsid w:val="008E0D6F"/>
    <w:rsid w:val="008E0F46"/>
    <w:rsid w:val="008E0FE0"/>
    <w:rsid w:val="008E11AC"/>
    <w:rsid w:val="008E156A"/>
    <w:rsid w:val="008E158A"/>
    <w:rsid w:val="008E166B"/>
    <w:rsid w:val="008E17FE"/>
    <w:rsid w:val="008E2663"/>
    <w:rsid w:val="008E2687"/>
    <w:rsid w:val="008E2709"/>
    <w:rsid w:val="008E2740"/>
    <w:rsid w:val="008E27F0"/>
    <w:rsid w:val="008E2CAA"/>
    <w:rsid w:val="008E2FA6"/>
    <w:rsid w:val="008E3009"/>
    <w:rsid w:val="008E3189"/>
    <w:rsid w:val="008E31D3"/>
    <w:rsid w:val="008E3368"/>
    <w:rsid w:val="008E3A31"/>
    <w:rsid w:val="008E3A4A"/>
    <w:rsid w:val="008E3DAB"/>
    <w:rsid w:val="008E3FCD"/>
    <w:rsid w:val="008E4061"/>
    <w:rsid w:val="008E40C5"/>
    <w:rsid w:val="008E421A"/>
    <w:rsid w:val="008E4298"/>
    <w:rsid w:val="008E4419"/>
    <w:rsid w:val="008E4462"/>
    <w:rsid w:val="008E45FA"/>
    <w:rsid w:val="008E47EB"/>
    <w:rsid w:val="008E4807"/>
    <w:rsid w:val="008E4A0A"/>
    <w:rsid w:val="008E4A85"/>
    <w:rsid w:val="008E4B7F"/>
    <w:rsid w:val="008E4D8E"/>
    <w:rsid w:val="008E5049"/>
    <w:rsid w:val="008E50D6"/>
    <w:rsid w:val="008E5108"/>
    <w:rsid w:val="008E5132"/>
    <w:rsid w:val="008E54EA"/>
    <w:rsid w:val="008E566B"/>
    <w:rsid w:val="008E569B"/>
    <w:rsid w:val="008E5891"/>
    <w:rsid w:val="008E59F2"/>
    <w:rsid w:val="008E5BED"/>
    <w:rsid w:val="008E5C4A"/>
    <w:rsid w:val="008E5CEE"/>
    <w:rsid w:val="008E5E22"/>
    <w:rsid w:val="008E5FE3"/>
    <w:rsid w:val="008E60F1"/>
    <w:rsid w:val="008E62AE"/>
    <w:rsid w:val="008E65E2"/>
    <w:rsid w:val="008E6820"/>
    <w:rsid w:val="008E6B4F"/>
    <w:rsid w:val="008E70A5"/>
    <w:rsid w:val="008E713A"/>
    <w:rsid w:val="008E72C1"/>
    <w:rsid w:val="008E7368"/>
    <w:rsid w:val="008E7610"/>
    <w:rsid w:val="008E76CD"/>
    <w:rsid w:val="008E775D"/>
    <w:rsid w:val="008E77B0"/>
    <w:rsid w:val="008E77EF"/>
    <w:rsid w:val="008E790B"/>
    <w:rsid w:val="008E79C9"/>
    <w:rsid w:val="008E7AE4"/>
    <w:rsid w:val="008E7B9C"/>
    <w:rsid w:val="008E7BB1"/>
    <w:rsid w:val="008E7D28"/>
    <w:rsid w:val="008F016D"/>
    <w:rsid w:val="008F019B"/>
    <w:rsid w:val="008F0317"/>
    <w:rsid w:val="008F06E6"/>
    <w:rsid w:val="008F07C3"/>
    <w:rsid w:val="008F0844"/>
    <w:rsid w:val="008F09A0"/>
    <w:rsid w:val="008F09E7"/>
    <w:rsid w:val="008F0DAB"/>
    <w:rsid w:val="008F0F9F"/>
    <w:rsid w:val="008F1075"/>
    <w:rsid w:val="008F1214"/>
    <w:rsid w:val="008F135C"/>
    <w:rsid w:val="008F137F"/>
    <w:rsid w:val="008F14C1"/>
    <w:rsid w:val="008F1572"/>
    <w:rsid w:val="008F163E"/>
    <w:rsid w:val="008F170E"/>
    <w:rsid w:val="008F172E"/>
    <w:rsid w:val="008F197C"/>
    <w:rsid w:val="008F1D8F"/>
    <w:rsid w:val="008F22BC"/>
    <w:rsid w:val="008F231E"/>
    <w:rsid w:val="008F2455"/>
    <w:rsid w:val="008F24E5"/>
    <w:rsid w:val="008F2515"/>
    <w:rsid w:val="008F253E"/>
    <w:rsid w:val="008F2754"/>
    <w:rsid w:val="008F28F2"/>
    <w:rsid w:val="008F2A4C"/>
    <w:rsid w:val="008F2B10"/>
    <w:rsid w:val="008F2EA4"/>
    <w:rsid w:val="008F2F6F"/>
    <w:rsid w:val="008F3024"/>
    <w:rsid w:val="008F306D"/>
    <w:rsid w:val="008F31BD"/>
    <w:rsid w:val="008F366B"/>
    <w:rsid w:val="008F3771"/>
    <w:rsid w:val="008F3A1E"/>
    <w:rsid w:val="008F410B"/>
    <w:rsid w:val="008F4244"/>
    <w:rsid w:val="008F4664"/>
    <w:rsid w:val="008F4693"/>
    <w:rsid w:val="008F4700"/>
    <w:rsid w:val="008F4709"/>
    <w:rsid w:val="008F486B"/>
    <w:rsid w:val="008F490D"/>
    <w:rsid w:val="008F4A9F"/>
    <w:rsid w:val="008F4DFE"/>
    <w:rsid w:val="008F4F37"/>
    <w:rsid w:val="008F50F9"/>
    <w:rsid w:val="008F5757"/>
    <w:rsid w:val="008F5C5D"/>
    <w:rsid w:val="008F5C8A"/>
    <w:rsid w:val="008F5E3A"/>
    <w:rsid w:val="008F5FC1"/>
    <w:rsid w:val="008F616A"/>
    <w:rsid w:val="008F6182"/>
    <w:rsid w:val="008F6276"/>
    <w:rsid w:val="008F675D"/>
    <w:rsid w:val="008F67DD"/>
    <w:rsid w:val="008F69F4"/>
    <w:rsid w:val="008F6C01"/>
    <w:rsid w:val="008F6C08"/>
    <w:rsid w:val="008F6C99"/>
    <w:rsid w:val="008F6F83"/>
    <w:rsid w:val="008F72CD"/>
    <w:rsid w:val="008F764E"/>
    <w:rsid w:val="008F7753"/>
    <w:rsid w:val="008F7EEA"/>
    <w:rsid w:val="008F7F98"/>
    <w:rsid w:val="00900503"/>
    <w:rsid w:val="009008BB"/>
    <w:rsid w:val="00900923"/>
    <w:rsid w:val="00900C1E"/>
    <w:rsid w:val="0090102C"/>
    <w:rsid w:val="0090107D"/>
    <w:rsid w:val="009010BE"/>
    <w:rsid w:val="0090144C"/>
    <w:rsid w:val="0090148C"/>
    <w:rsid w:val="00901671"/>
    <w:rsid w:val="0090173C"/>
    <w:rsid w:val="00901758"/>
    <w:rsid w:val="009018F7"/>
    <w:rsid w:val="00901CD6"/>
    <w:rsid w:val="00901D06"/>
    <w:rsid w:val="009024FE"/>
    <w:rsid w:val="00902627"/>
    <w:rsid w:val="0090267D"/>
    <w:rsid w:val="009028D4"/>
    <w:rsid w:val="00902A27"/>
    <w:rsid w:val="00902B6A"/>
    <w:rsid w:val="00902BD2"/>
    <w:rsid w:val="00902FDC"/>
    <w:rsid w:val="00903161"/>
    <w:rsid w:val="00903215"/>
    <w:rsid w:val="009033A9"/>
    <w:rsid w:val="009035F4"/>
    <w:rsid w:val="00903730"/>
    <w:rsid w:val="009038B4"/>
    <w:rsid w:val="009038CA"/>
    <w:rsid w:val="00903959"/>
    <w:rsid w:val="00903A19"/>
    <w:rsid w:val="00903D76"/>
    <w:rsid w:val="00903FC4"/>
    <w:rsid w:val="009041A9"/>
    <w:rsid w:val="009046D3"/>
    <w:rsid w:val="00904940"/>
    <w:rsid w:val="00904BA8"/>
    <w:rsid w:val="00904D48"/>
    <w:rsid w:val="00904F4D"/>
    <w:rsid w:val="00904F89"/>
    <w:rsid w:val="00905434"/>
    <w:rsid w:val="0090556D"/>
    <w:rsid w:val="009055E2"/>
    <w:rsid w:val="00905F27"/>
    <w:rsid w:val="009067A1"/>
    <w:rsid w:val="009068F2"/>
    <w:rsid w:val="00906D57"/>
    <w:rsid w:val="00906E72"/>
    <w:rsid w:val="00906E91"/>
    <w:rsid w:val="0090700F"/>
    <w:rsid w:val="009071F7"/>
    <w:rsid w:val="009074B2"/>
    <w:rsid w:val="00907A05"/>
    <w:rsid w:val="00907BB2"/>
    <w:rsid w:val="00907DF9"/>
    <w:rsid w:val="009101A5"/>
    <w:rsid w:val="00910515"/>
    <w:rsid w:val="00910913"/>
    <w:rsid w:val="0091093E"/>
    <w:rsid w:val="00910AB6"/>
    <w:rsid w:val="00910B8E"/>
    <w:rsid w:val="00910D3A"/>
    <w:rsid w:val="00910F8D"/>
    <w:rsid w:val="0091101D"/>
    <w:rsid w:val="009110DF"/>
    <w:rsid w:val="0091119B"/>
    <w:rsid w:val="00911239"/>
    <w:rsid w:val="00911304"/>
    <w:rsid w:val="00911635"/>
    <w:rsid w:val="009117BB"/>
    <w:rsid w:val="009118D6"/>
    <w:rsid w:val="00911A69"/>
    <w:rsid w:val="00911BEF"/>
    <w:rsid w:val="00911C25"/>
    <w:rsid w:val="00911E43"/>
    <w:rsid w:val="0091208F"/>
    <w:rsid w:val="009120DF"/>
    <w:rsid w:val="00912356"/>
    <w:rsid w:val="00912480"/>
    <w:rsid w:val="0091257F"/>
    <w:rsid w:val="009126DE"/>
    <w:rsid w:val="00912717"/>
    <w:rsid w:val="00912946"/>
    <w:rsid w:val="00912B52"/>
    <w:rsid w:val="00912BFC"/>
    <w:rsid w:val="00912D57"/>
    <w:rsid w:val="00912F0C"/>
    <w:rsid w:val="00912F35"/>
    <w:rsid w:val="00913089"/>
    <w:rsid w:val="00913178"/>
    <w:rsid w:val="009131FC"/>
    <w:rsid w:val="0091340F"/>
    <w:rsid w:val="0091353E"/>
    <w:rsid w:val="00913613"/>
    <w:rsid w:val="0091387D"/>
    <w:rsid w:val="009139D9"/>
    <w:rsid w:val="00913A56"/>
    <w:rsid w:val="00913F54"/>
    <w:rsid w:val="0091476A"/>
    <w:rsid w:val="00914B2F"/>
    <w:rsid w:val="00914BB0"/>
    <w:rsid w:val="00914EED"/>
    <w:rsid w:val="009153CD"/>
    <w:rsid w:val="0091542C"/>
    <w:rsid w:val="009154E7"/>
    <w:rsid w:val="00915743"/>
    <w:rsid w:val="009157F0"/>
    <w:rsid w:val="00915A58"/>
    <w:rsid w:val="009160D9"/>
    <w:rsid w:val="0091644D"/>
    <w:rsid w:val="009165AC"/>
    <w:rsid w:val="00916695"/>
    <w:rsid w:val="009167D1"/>
    <w:rsid w:val="00916A33"/>
    <w:rsid w:val="00916F87"/>
    <w:rsid w:val="009174CA"/>
    <w:rsid w:val="0091757F"/>
    <w:rsid w:val="009175AA"/>
    <w:rsid w:val="00917ABC"/>
    <w:rsid w:val="00917AE5"/>
    <w:rsid w:val="00917B15"/>
    <w:rsid w:val="00917C5F"/>
    <w:rsid w:val="00917C88"/>
    <w:rsid w:val="00917D27"/>
    <w:rsid w:val="00917EE9"/>
    <w:rsid w:val="00920546"/>
    <w:rsid w:val="00920AA3"/>
    <w:rsid w:val="00920C81"/>
    <w:rsid w:val="00920D14"/>
    <w:rsid w:val="00920D31"/>
    <w:rsid w:val="00921074"/>
    <w:rsid w:val="009211FF"/>
    <w:rsid w:val="00921560"/>
    <w:rsid w:val="009216E5"/>
    <w:rsid w:val="0092179B"/>
    <w:rsid w:val="00921ABA"/>
    <w:rsid w:val="00921B76"/>
    <w:rsid w:val="00921F0F"/>
    <w:rsid w:val="00922095"/>
    <w:rsid w:val="00922149"/>
    <w:rsid w:val="00922216"/>
    <w:rsid w:val="009226E8"/>
    <w:rsid w:val="00922A5C"/>
    <w:rsid w:val="00922FCF"/>
    <w:rsid w:val="009230AF"/>
    <w:rsid w:val="00923394"/>
    <w:rsid w:val="009237EC"/>
    <w:rsid w:val="009239AA"/>
    <w:rsid w:val="00923A10"/>
    <w:rsid w:val="00923BC6"/>
    <w:rsid w:val="00923D15"/>
    <w:rsid w:val="00923E77"/>
    <w:rsid w:val="00923EA8"/>
    <w:rsid w:val="00924021"/>
    <w:rsid w:val="00924234"/>
    <w:rsid w:val="009242B8"/>
    <w:rsid w:val="009243BC"/>
    <w:rsid w:val="009244B2"/>
    <w:rsid w:val="00924507"/>
    <w:rsid w:val="0092461A"/>
    <w:rsid w:val="0092476A"/>
    <w:rsid w:val="00924805"/>
    <w:rsid w:val="0092491F"/>
    <w:rsid w:val="0092535F"/>
    <w:rsid w:val="00925381"/>
    <w:rsid w:val="00925460"/>
    <w:rsid w:val="009255CE"/>
    <w:rsid w:val="00925845"/>
    <w:rsid w:val="0092585D"/>
    <w:rsid w:val="009258B4"/>
    <w:rsid w:val="00925944"/>
    <w:rsid w:val="00925A28"/>
    <w:rsid w:val="00925ADD"/>
    <w:rsid w:val="00925C04"/>
    <w:rsid w:val="00925E7A"/>
    <w:rsid w:val="00926005"/>
    <w:rsid w:val="0092603D"/>
    <w:rsid w:val="00926274"/>
    <w:rsid w:val="00926548"/>
    <w:rsid w:val="00926903"/>
    <w:rsid w:val="00926E12"/>
    <w:rsid w:val="00926E37"/>
    <w:rsid w:val="00926FAA"/>
    <w:rsid w:val="00926FE2"/>
    <w:rsid w:val="0092757E"/>
    <w:rsid w:val="009276EB"/>
    <w:rsid w:val="0092786A"/>
    <w:rsid w:val="009278DC"/>
    <w:rsid w:val="00927C97"/>
    <w:rsid w:val="00927CDE"/>
    <w:rsid w:val="00927D71"/>
    <w:rsid w:val="00927EC9"/>
    <w:rsid w:val="00927F56"/>
    <w:rsid w:val="00930251"/>
    <w:rsid w:val="00930281"/>
    <w:rsid w:val="009305D5"/>
    <w:rsid w:val="009307E5"/>
    <w:rsid w:val="00930A0C"/>
    <w:rsid w:val="00931734"/>
    <w:rsid w:val="0093186A"/>
    <w:rsid w:val="00931C10"/>
    <w:rsid w:val="0093216C"/>
    <w:rsid w:val="0093248E"/>
    <w:rsid w:val="00932650"/>
    <w:rsid w:val="00932726"/>
    <w:rsid w:val="00932926"/>
    <w:rsid w:val="00932935"/>
    <w:rsid w:val="00932EA0"/>
    <w:rsid w:val="00933464"/>
    <w:rsid w:val="009335A1"/>
    <w:rsid w:val="00933800"/>
    <w:rsid w:val="00933851"/>
    <w:rsid w:val="0093389D"/>
    <w:rsid w:val="009338C3"/>
    <w:rsid w:val="00933CC5"/>
    <w:rsid w:val="00933D4B"/>
    <w:rsid w:val="00933E02"/>
    <w:rsid w:val="00933F94"/>
    <w:rsid w:val="00933FF7"/>
    <w:rsid w:val="009340AC"/>
    <w:rsid w:val="009340D8"/>
    <w:rsid w:val="00934122"/>
    <w:rsid w:val="00934316"/>
    <w:rsid w:val="00934409"/>
    <w:rsid w:val="00934E12"/>
    <w:rsid w:val="0093519F"/>
    <w:rsid w:val="0093526C"/>
    <w:rsid w:val="009353B5"/>
    <w:rsid w:val="00935406"/>
    <w:rsid w:val="0093578B"/>
    <w:rsid w:val="009357B9"/>
    <w:rsid w:val="00935A75"/>
    <w:rsid w:val="00935B5E"/>
    <w:rsid w:val="00935BE8"/>
    <w:rsid w:val="00935DC0"/>
    <w:rsid w:val="0093618A"/>
    <w:rsid w:val="0093627F"/>
    <w:rsid w:val="009362A1"/>
    <w:rsid w:val="009362BB"/>
    <w:rsid w:val="0093633D"/>
    <w:rsid w:val="00936740"/>
    <w:rsid w:val="009367C7"/>
    <w:rsid w:val="0093694C"/>
    <w:rsid w:val="00936D4C"/>
    <w:rsid w:val="00936D79"/>
    <w:rsid w:val="00936DAB"/>
    <w:rsid w:val="009371F7"/>
    <w:rsid w:val="00937688"/>
    <w:rsid w:val="00937732"/>
    <w:rsid w:val="00937743"/>
    <w:rsid w:val="00937D21"/>
    <w:rsid w:val="00937F13"/>
    <w:rsid w:val="00940372"/>
    <w:rsid w:val="009404B8"/>
    <w:rsid w:val="00940765"/>
    <w:rsid w:val="0094079D"/>
    <w:rsid w:val="009407E2"/>
    <w:rsid w:val="00940A46"/>
    <w:rsid w:val="00940AFD"/>
    <w:rsid w:val="00941302"/>
    <w:rsid w:val="00941627"/>
    <w:rsid w:val="00941775"/>
    <w:rsid w:val="00941906"/>
    <w:rsid w:val="00941952"/>
    <w:rsid w:val="00941CE0"/>
    <w:rsid w:val="00941D66"/>
    <w:rsid w:val="0094224A"/>
    <w:rsid w:val="00942364"/>
    <w:rsid w:val="00942443"/>
    <w:rsid w:val="009424A3"/>
    <w:rsid w:val="00942870"/>
    <w:rsid w:val="00942A2B"/>
    <w:rsid w:val="00942A3D"/>
    <w:rsid w:val="00942BB0"/>
    <w:rsid w:val="00942C53"/>
    <w:rsid w:val="009431E5"/>
    <w:rsid w:val="0094323F"/>
    <w:rsid w:val="00943563"/>
    <w:rsid w:val="00943755"/>
    <w:rsid w:val="00943824"/>
    <w:rsid w:val="0094399B"/>
    <w:rsid w:val="00943BC5"/>
    <w:rsid w:val="00943C79"/>
    <w:rsid w:val="00943DDF"/>
    <w:rsid w:val="00944050"/>
    <w:rsid w:val="0094437A"/>
    <w:rsid w:val="00944653"/>
    <w:rsid w:val="009449B9"/>
    <w:rsid w:val="00944B93"/>
    <w:rsid w:val="00944D1D"/>
    <w:rsid w:val="00944F61"/>
    <w:rsid w:val="0094512C"/>
    <w:rsid w:val="00945138"/>
    <w:rsid w:val="0094543B"/>
    <w:rsid w:val="009455A0"/>
    <w:rsid w:val="00945768"/>
    <w:rsid w:val="00945780"/>
    <w:rsid w:val="009459E9"/>
    <w:rsid w:val="00945F0E"/>
    <w:rsid w:val="00946134"/>
    <w:rsid w:val="0094623E"/>
    <w:rsid w:val="0094638C"/>
    <w:rsid w:val="009463A7"/>
    <w:rsid w:val="009463B3"/>
    <w:rsid w:val="00946594"/>
    <w:rsid w:val="009466A9"/>
    <w:rsid w:val="0094671D"/>
    <w:rsid w:val="00946AAE"/>
    <w:rsid w:val="00946C07"/>
    <w:rsid w:val="00946CBB"/>
    <w:rsid w:val="00946F03"/>
    <w:rsid w:val="009470D3"/>
    <w:rsid w:val="00947115"/>
    <w:rsid w:val="009472B0"/>
    <w:rsid w:val="0094734F"/>
    <w:rsid w:val="00947447"/>
    <w:rsid w:val="00947903"/>
    <w:rsid w:val="00947A23"/>
    <w:rsid w:val="00947B95"/>
    <w:rsid w:val="00947CA6"/>
    <w:rsid w:val="00947CC6"/>
    <w:rsid w:val="009503E6"/>
    <w:rsid w:val="00950551"/>
    <w:rsid w:val="0095064B"/>
    <w:rsid w:val="009506D7"/>
    <w:rsid w:val="00950767"/>
    <w:rsid w:val="00950795"/>
    <w:rsid w:val="00950976"/>
    <w:rsid w:val="00950C6D"/>
    <w:rsid w:val="00950CB0"/>
    <w:rsid w:val="00950DE6"/>
    <w:rsid w:val="009510D3"/>
    <w:rsid w:val="009511E1"/>
    <w:rsid w:val="0095136C"/>
    <w:rsid w:val="00951389"/>
    <w:rsid w:val="009514A2"/>
    <w:rsid w:val="00951573"/>
    <w:rsid w:val="00951658"/>
    <w:rsid w:val="0095195E"/>
    <w:rsid w:val="0095196F"/>
    <w:rsid w:val="00951A6A"/>
    <w:rsid w:val="00951B6D"/>
    <w:rsid w:val="00951C2C"/>
    <w:rsid w:val="00951C7C"/>
    <w:rsid w:val="00951F25"/>
    <w:rsid w:val="00951F4C"/>
    <w:rsid w:val="00951FB5"/>
    <w:rsid w:val="00952073"/>
    <w:rsid w:val="009522E4"/>
    <w:rsid w:val="00952544"/>
    <w:rsid w:val="0095267A"/>
    <w:rsid w:val="009529C3"/>
    <w:rsid w:val="00952AFC"/>
    <w:rsid w:val="00952B4E"/>
    <w:rsid w:val="00952CBE"/>
    <w:rsid w:val="00952DC1"/>
    <w:rsid w:val="00952DF7"/>
    <w:rsid w:val="00952F4A"/>
    <w:rsid w:val="0095320A"/>
    <w:rsid w:val="00953594"/>
    <w:rsid w:val="009536A2"/>
    <w:rsid w:val="00953CE0"/>
    <w:rsid w:val="00953D6A"/>
    <w:rsid w:val="00954273"/>
    <w:rsid w:val="00954425"/>
    <w:rsid w:val="0095447B"/>
    <w:rsid w:val="009546EC"/>
    <w:rsid w:val="009548CD"/>
    <w:rsid w:val="00954906"/>
    <w:rsid w:val="00954951"/>
    <w:rsid w:val="00954AAE"/>
    <w:rsid w:val="00954B38"/>
    <w:rsid w:val="00954BE0"/>
    <w:rsid w:val="00954D8F"/>
    <w:rsid w:val="00955008"/>
    <w:rsid w:val="00955052"/>
    <w:rsid w:val="009551A7"/>
    <w:rsid w:val="00955212"/>
    <w:rsid w:val="0095567A"/>
    <w:rsid w:val="0095571C"/>
    <w:rsid w:val="0095579B"/>
    <w:rsid w:val="00955B98"/>
    <w:rsid w:val="00955E25"/>
    <w:rsid w:val="00955E33"/>
    <w:rsid w:val="00955EB7"/>
    <w:rsid w:val="00955F09"/>
    <w:rsid w:val="00955F54"/>
    <w:rsid w:val="00956397"/>
    <w:rsid w:val="00956451"/>
    <w:rsid w:val="009564D5"/>
    <w:rsid w:val="009566D0"/>
    <w:rsid w:val="00956703"/>
    <w:rsid w:val="009567AE"/>
    <w:rsid w:val="00956B75"/>
    <w:rsid w:val="00956B88"/>
    <w:rsid w:val="00956C1F"/>
    <w:rsid w:val="00957341"/>
    <w:rsid w:val="00957769"/>
    <w:rsid w:val="009577D9"/>
    <w:rsid w:val="00957ACE"/>
    <w:rsid w:val="00957C88"/>
    <w:rsid w:val="00957CF6"/>
    <w:rsid w:val="00960389"/>
    <w:rsid w:val="00960495"/>
    <w:rsid w:val="009606DC"/>
    <w:rsid w:val="00960709"/>
    <w:rsid w:val="00960995"/>
    <w:rsid w:val="00960BFF"/>
    <w:rsid w:val="00960C76"/>
    <w:rsid w:val="00960D90"/>
    <w:rsid w:val="009610D3"/>
    <w:rsid w:val="009612DA"/>
    <w:rsid w:val="009614FC"/>
    <w:rsid w:val="009616BC"/>
    <w:rsid w:val="00961ABF"/>
    <w:rsid w:val="00961AF3"/>
    <w:rsid w:val="00961D99"/>
    <w:rsid w:val="00962019"/>
    <w:rsid w:val="00962024"/>
    <w:rsid w:val="009621C3"/>
    <w:rsid w:val="009625B8"/>
    <w:rsid w:val="009625CE"/>
    <w:rsid w:val="00962733"/>
    <w:rsid w:val="00962CAB"/>
    <w:rsid w:val="00962DBA"/>
    <w:rsid w:val="0096300B"/>
    <w:rsid w:val="00963031"/>
    <w:rsid w:val="009632E5"/>
    <w:rsid w:val="00963993"/>
    <w:rsid w:val="00963F88"/>
    <w:rsid w:val="00964087"/>
    <w:rsid w:val="0096408C"/>
    <w:rsid w:val="009640D0"/>
    <w:rsid w:val="00964300"/>
    <w:rsid w:val="009643AA"/>
    <w:rsid w:val="0096454A"/>
    <w:rsid w:val="009645CE"/>
    <w:rsid w:val="0096479C"/>
    <w:rsid w:val="009647CB"/>
    <w:rsid w:val="00964E94"/>
    <w:rsid w:val="00964F34"/>
    <w:rsid w:val="00964F55"/>
    <w:rsid w:val="00965099"/>
    <w:rsid w:val="009654E1"/>
    <w:rsid w:val="00965622"/>
    <w:rsid w:val="00965805"/>
    <w:rsid w:val="00965AD2"/>
    <w:rsid w:val="00965C0C"/>
    <w:rsid w:val="00965CD0"/>
    <w:rsid w:val="00966303"/>
    <w:rsid w:val="0096654D"/>
    <w:rsid w:val="009665FA"/>
    <w:rsid w:val="00966814"/>
    <w:rsid w:val="0096681E"/>
    <w:rsid w:val="00966A51"/>
    <w:rsid w:val="00966BF8"/>
    <w:rsid w:val="009672E3"/>
    <w:rsid w:val="00967358"/>
    <w:rsid w:val="009674BA"/>
    <w:rsid w:val="009674E2"/>
    <w:rsid w:val="00967548"/>
    <w:rsid w:val="00967781"/>
    <w:rsid w:val="00967BDD"/>
    <w:rsid w:val="00967F31"/>
    <w:rsid w:val="009700D0"/>
    <w:rsid w:val="00970210"/>
    <w:rsid w:val="00970214"/>
    <w:rsid w:val="0097054B"/>
    <w:rsid w:val="00970573"/>
    <w:rsid w:val="00970595"/>
    <w:rsid w:val="0097070F"/>
    <w:rsid w:val="00970A3E"/>
    <w:rsid w:val="00970AF8"/>
    <w:rsid w:val="00970B98"/>
    <w:rsid w:val="0097106E"/>
    <w:rsid w:val="00971157"/>
    <w:rsid w:val="00971400"/>
    <w:rsid w:val="00971463"/>
    <w:rsid w:val="009714E1"/>
    <w:rsid w:val="00971588"/>
    <w:rsid w:val="009715D5"/>
    <w:rsid w:val="00971AD5"/>
    <w:rsid w:val="00971B75"/>
    <w:rsid w:val="00971CA0"/>
    <w:rsid w:val="00971CAF"/>
    <w:rsid w:val="00971EA7"/>
    <w:rsid w:val="00972396"/>
    <w:rsid w:val="00972729"/>
    <w:rsid w:val="009728C5"/>
    <w:rsid w:val="00972955"/>
    <w:rsid w:val="00972C26"/>
    <w:rsid w:val="00972CF4"/>
    <w:rsid w:val="00972E9D"/>
    <w:rsid w:val="00972F8C"/>
    <w:rsid w:val="0097343E"/>
    <w:rsid w:val="00973510"/>
    <w:rsid w:val="00973521"/>
    <w:rsid w:val="0097371C"/>
    <w:rsid w:val="00973856"/>
    <w:rsid w:val="00973BE5"/>
    <w:rsid w:val="00973D1F"/>
    <w:rsid w:val="00973FAA"/>
    <w:rsid w:val="009741A9"/>
    <w:rsid w:val="00974225"/>
    <w:rsid w:val="00974389"/>
    <w:rsid w:val="0097458A"/>
    <w:rsid w:val="009745B6"/>
    <w:rsid w:val="0097466B"/>
    <w:rsid w:val="00974735"/>
    <w:rsid w:val="00974B2D"/>
    <w:rsid w:val="00974BE9"/>
    <w:rsid w:val="00974D9E"/>
    <w:rsid w:val="00974E65"/>
    <w:rsid w:val="0097511B"/>
    <w:rsid w:val="009754B3"/>
    <w:rsid w:val="00975576"/>
    <w:rsid w:val="009756A2"/>
    <w:rsid w:val="009757B7"/>
    <w:rsid w:val="0097585B"/>
    <w:rsid w:val="009759D1"/>
    <w:rsid w:val="00975B46"/>
    <w:rsid w:val="00975B88"/>
    <w:rsid w:val="00975F87"/>
    <w:rsid w:val="0097606D"/>
    <w:rsid w:val="0097620E"/>
    <w:rsid w:val="009762E9"/>
    <w:rsid w:val="009766B8"/>
    <w:rsid w:val="00976711"/>
    <w:rsid w:val="009767F0"/>
    <w:rsid w:val="00976847"/>
    <w:rsid w:val="00976C64"/>
    <w:rsid w:val="0097716E"/>
    <w:rsid w:val="00977220"/>
    <w:rsid w:val="00977313"/>
    <w:rsid w:val="00977318"/>
    <w:rsid w:val="009775D8"/>
    <w:rsid w:val="009775F9"/>
    <w:rsid w:val="009775FC"/>
    <w:rsid w:val="00977646"/>
    <w:rsid w:val="0097775D"/>
    <w:rsid w:val="00977826"/>
    <w:rsid w:val="009778EF"/>
    <w:rsid w:val="00977A35"/>
    <w:rsid w:val="00977D69"/>
    <w:rsid w:val="00980178"/>
    <w:rsid w:val="00980297"/>
    <w:rsid w:val="0098031D"/>
    <w:rsid w:val="009804C8"/>
    <w:rsid w:val="009806B5"/>
    <w:rsid w:val="009807EC"/>
    <w:rsid w:val="00980BD9"/>
    <w:rsid w:val="00980D36"/>
    <w:rsid w:val="00980F99"/>
    <w:rsid w:val="00981100"/>
    <w:rsid w:val="009812AE"/>
    <w:rsid w:val="0098156C"/>
    <w:rsid w:val="00981A9A"/>
    <w:rsid w:val="00982432"/>
    <w:rsid w:val="009825DC"/>
    <w:rsid w:val="0098280B"/>
    <w:rsid w:val="00982B91"/>
    <w:rsid w:val="00982CD1"/>
    <w:rsid w:val="00982F43"/>
    <w:rsid w:val="009830AD"/>
    <w:rsid w:val="0098322E"/>
    <w:rsid w:val="00983563"/>
    <w:rsid w:val="009835D2"/>
    <w:rsid w:val="009836DF"/>
    <w:rsid w:val="009836E7"/>
    <w:rsid w:val="00983764"/>
    <w:rsid w:val="009838F7"/>
    <w:rsid w:val="00983A13"/>
    <w:rsid w:val="00983A64"/>
    <w:rsid w:val="00983C6C"/>
    <w:rsid w:val="00983ECB"/>
    <w:rsid w:val="00984038"/>
    <w:rsid w:val="00984155"/>
    <w:rsid w:val="009844B5"/>
    <w:rsid w:val="00984532"/>
    <w:rsid w:val="009845FF"/>
    <w:rsid w:val="009849B8"/>
    <w:rsid w:val="00984A4B"/>
    <w:rsid w:val="00984D35"/>
    <w:rsid w:val="00984E7E"/>
    <w:rsid w:val="00984F18"/>
    <w:rsid w:val="009851E2"/>
    <w:rsid w:val="00985205"/>
    <w:rsid w:val="0098551D"/>
    <w:rsid w:val="009855BE"/>
    <w:rsid w:val="00985791"/>
    <w:rsid w:val="00985858"/>
    <w:rsid w:val="00985AD9"/>
    <w:rsid w:val="00985CAF"/>
    <w:rsid w:val="00985E62"/>
    <w:rsid w:val="00985F18"/>
    <w:rsid w:val="0098601B"/>
    <w:rsid w:val="00986573"/>
    <w:rsid w:val="009865FA"/>
    <w:rsid w:val="009868BC"/>
    <w:rsid w:val="00986916"/>
    <w:rsid w:val="00986A21"/>
    <w:rsid w:val="00986C8E"/>
    <w:rsid w:val="00986D49"/>
    <w:rsid w:val="00986E0E"/>
    <w:rsid w:val="00986FE4"/>
    <w:rsid w:val="0098718E"/>
    <w:rsid w:val="0098734E"/>
    <w:rsid w:val="00987367"/>
    <w:rsid w:val="00987783"/>
    <w:rsid w:val="00987CF3"/>
    <w:rsid w:val="00987D0D"/>
    <w:rsid w:val="0099022F"/>
    <w:rsid w:val="00990518"/>
    <w:rsid w:val="00990704"/>
    <w:rsid w:val="00990769"/>
    <w:rsid w:val="00990AB2"/>
    <w:rsid w:val="00990B3F"/>
    <w:rsid w:val="00990DC5"/>
    <w:rsid w:val="00990F29"/>
    <w:rsid w:val="00990F7E"/>
    <w:rsid w:val="0099123B"/>
    <w:rsid w:val="00991320"/>
    <w:rsid w:val="0099141C"/>
    <w:rsid w:val="00991A35"/>
    <w:rsid w:val="00991A92"/>
    <w:rsid w:val="00991C12"/>
    <w:rsid w:val="00991C77"/>
    <w:rsid w:val="00991D06"/>
    <w:rsid w:val="00991E60"/>
    <w:rsid w:val="00991E96"/>
    <w:rsid w:val="00991EE4"/>
    <w:rsid w:val="0099234D"/>
    <w:rsid w:val="00992364"/>
    <w:rsid w:val="00992399"/>
    <w:rsid w:val="009923F1"/>
    <w:rsid w:val="0099240A"/>
    <w:rsid w:val="009925AC"/>
    <w:rsid w:val="009928DC"/>
    <w:rsid w:val="00992932"/>
    <w:rsid w:val="009935B9"/>
    <w:rsid w:val="00993AA3"/>
    <w:rsid w:val="00993EF5"/>
    <w:rsid w:val="009940F4"/>
    <w:rsid w:val="0099449A"/>
    <w:rsid w:val="00994CC3"/>
    <w:rsid w:val="00994D4D"/>
    <w:rsid w:val="00994FA5"/>
    <w:rsid w:val="0099518E"/>
    <w:rsid w:val="0099533E"/>
    <w:rsid w:val="00995389"/>
    <w:rsid w:val="0099583B"/>
    <w:rsid w:val="00995AC4"/>
    <w:rsid w:val="00995B33"/>
    <w:rsid w:val="00995B64"/>
    <w:rsid w:val="00995DDC"/>
    <w:rsid w:val="00995ECD"/>
    <w:rsid w:val="009960A5"/>
    <w:rsid w:val="0099618B"/>
    <w:rsid w:val="009961A7"/>
    <w:rsid w:val="00996482"/>
    <w:rsid w:val="009967D1"/>
    <w:rsid w:val="009967E7"/>
    <w:rsid w:val="009967F5"/>
    <w:rsid w:val="0099684E"/>
    <w:rsid w:val="009968DD"/>
    <w:rsid w:val="00996E4C"/>
    <w:rsid w:val="00996F45"/>
    <w:rsid w:val="0099715A"/>
    <w:rsid w:val="00997162"/>
    <w:rsid w:val="00997243"/>
    <w:rsid w:val="00997329"/>
    <w:rsid w:val="009974B3"/>
    <w:rsid w:val="00997A85"/>
    <w:rsid w:val="00997DEC"/>
    <w:rsid w:val="009A0332"/>
    <w:rsid w:val="009A04E5"/>
    <w:rsid w:val="009A05ED"/>
    <w:rsid w:val="009A0D29"/>
    <w:rsid w:val="009A0F6B"/>
    <w:rsid w:val="009A1223"/>
    <w:rsid w:val="009A130C"/>
    <w:rsid w:val="009A1383"/>
    <w:rsid w:val="009A142D"/>
    <w:rsid w:val="009A15B7"/>
    <w:rsid w:val="009A18E9"/>
    <w:rsid w:val="009A1A38"/>
    <w:rsid w:val="009A1B56"/>
    <w:rsid w:val="009A1BBA"/>
    <w:rsid w:val="009A1C48"/>
    <w:rsid w:val="009A1EDD"/>
    <w:rsid w:val="009A1F7C"/>
    <w:rsid w:val="009A2088"/>
    <w:rsid w:val="009A20A6"/>
    <w:rsid w:val="009A20E4"/>
    <w:rsid w:val="009A21E9"/>
    <w:rsid w:val="009A22FD"/>
    <w:rsid w:val="009A24C3"/>
    <w:rsid w:val="009A2A18"/>
    <w:rsid w:val="009A2A1E"/>
    <w:rsid w:val="009A2ACC"/>
    <w:rsid w:val="009A2B0D"/>
    <w:rsid w:val="009A2B4E"/>
    <w:rsid w:val="009A2F0B"/>
    <w:rsid w:val="009A3259"/>
    <w:rsid w:val="009A33F6"/>
    <w:rsid w:val="009A35CB"/>
    <w:rsid w:val="009A3E13"/>
    <w:rsid w:val="009A3E46"/>
    <w:rsid w:val="009A4151"/>
    <w:rsid w:val="009A4154"/>
    <w:rsid w:val="009A4448"/>
    <w:rsid w:val="009A4456"/>
    <w:rsid w:val="009A449F"/>
    <w:rsid w:val="009A4584"/>
    <w:rsid w:val="009A472C"/>
    <w:rsid w:val="009A490D"/>
    <w:rsid w:val="009A49BE"/>
    <w:rsid w:val="009A4CCB"/>
    <w:rsid w:val="009A4D06"/>
    <w:rsid w:val="009A51D6"/>
    <w:rsid w:val="009A546C"/>
    <w:rsid w:val="009A559A"/>
    <w:rsid w:val="009A58B1"/>
    <w:rsid w:val="009A5C45"/>
    <w:rsid w:val="009A5D56"/>
    <w:rsid w:val="009A5E3F"/>
    <w:rsid w:val="009A5E51"/>
    <w:rsid w:val="009A61B8"/>
    <w:rsid w:val="009A635E"/>
    <w:rsid w:val="009A637D"/>
    <w:rsid w:val="009A63B2"/>
    <w:rsid w:val="009A65B3"/>
    <w:rsid w:val="009A6606"/>
    <w:rsid w:val="009A6FAB"/>
    <w:rsid w:val="009A6FCE"/>
    <w:rsid w:val="009A73B3"/>
    <w:rsid w:val="009A7663"/>
    <w:rsid w:val="009A76BB"/>
    <w:rsid w:val="009A77E2"/>
    <w:rsid w:val="009A7BDC"/>
    <w:rsid w:val="009A7C86"/>
    <w:rsid w:val="009A7CC4"/>
    <w:rsid w:val="009A7EAB"/>
    <w:rsid w:val="009B03BF"/>
    <w:rsid w:val="009B0AC4"/>
    <w:rsid w:val="009B0D8A"/>
    <w:rsid w:val="009B0EEB"/>
    <w:rsid w:val="009B1145"/>
    <w:rsid w:val="009B14D3"/>
    <w:rsid w:val="009B16F8"/>
    <w:rsid w:val="009B1AC4"/>
    <w:rsid w:val="009B1EF5"/>
    <w:rsid w:val="009B228E"/>
    <w:rsid w:val="009B22B3"/>
    <w:rsid w:val="009B2300"/>
    <w:rsid w:val="009B23B8"/>
    <w:rsid w:val="009B26B8"/>
    <w:rsid w:val="009B29D1"/>
    <w:rsid w:val="009B2C76"/>
    <w:rsid w:val="009B2E5B"/>
    <w:rsid w:val="009B2F87"/>
    <w:rsid w:val="009B3069"/>
    <w:rsid w:val="009B3362"/>
    <w:rsid w:val="009B3564"/>
    <w:rsid w:val="009B35E5"/>
    <w:rsid w:val="009B37C2"/>
    <w:rsid w:val="009B3B57"/>
    <w:rsid w:val="009B3F1F"/>
    <w:rsid w:val="009B4226"/>
    <w:rsid w:val="009B42EA"/>
    <w:rsid w:val="009B44C3"/>
    <w:rsid w:val="009B4552"/>
    <w:rsid w:val="009B4789"/>
    <w:rsid w:val="009B48E6"/>
    <w:rsid w:val="009B4A2E"/>
    <w:rsid w:val="009B4BDD"/>
    <w:rsid w:val="009B4EC7"/>
    <w:rsid w:val="009B558C"/>
    <w:rsid w:val="009B559A"/>
    <w:rsid w:val="009B5A25"/>
    <w:rsid w:val="009B5ABB"/>
    <w:rsid w:val="009B5AD1"/>
    <w:rsid w:val="009B5AE1"/>
    <w:rsid w:val="009B5CEE"/>
    <w:rsid w:val="009B5D50"/>
    <w:rsid w:val="009B5DA4"/>
    <w:rsid w:val="009B5EA4"/>
    <w:rsid w:val="009B5FA8"/>
    <w:rsid w:val="009B6154"/>
    <w:rsid w:val="009B6D40"/>
    <w:rsid w:val="009B6D81"/>
    <w:rsid w:val="009B6E0D"/>
    <w:rsid w:val="009B7067"/>
    <w:rsid w:val="009B70F8"/>
    <w:rsid w:val="009B7414"/>
    <w:rsid w:val="009B776E"/>
    <w:rsid w:val="009B7922"/>
    <w:rsid w:val="009B797C"/>
    <w:rsid w:val="009B7AC6"/>
    <w:rsid w:val="009B7C4B"/>
    <w:rsid w:val="009B7D17"/>
    <w:rsid w:val="009C014C"/>
    <w:rsid w:val="009C070F"/>
    <w:rsid w:val="009C0D39"/>
    <w:rsid w:val="009C0DCF"/>
    <w:rsid w:val="009C0DFC"/>
    <w:rsid w:val="009C1766"/>
    <w:rsid w:val="009C19C1"/>
    <w:rsid w:val="009C1A75"/>
    <w:rsid w:val="009C1AF0"/>
    <w:rsid w:val="009C1B23"/>
    <w:rsid w:val="009C1CE2"/>
    <w:rsid w:val="009C1EF5"/>
    <w:rsid w:val="009C21F8"/>
    <w:rsid w:val="009C2458"/>
    <w:rsid w:val="009C2789"/>
    <w:rsid w:val="009C2797"/>
    <w:rsid w:val="009C2DFD"/>
    <w:rsid w:val="009C34B7"/>
    <w:rsid w:val="009C35E2"/>
    <w:rsid w:val="009C376A"/>
    <w:rsid w:val="009C3809"/>
    <w:rsid w:val="009C432E"/>
    <w:rsid w:val="009C443E"/>
    <w:rsid w:val="009C4502"/>
    <w:rsid w:val="009C49E8"/>
    <w:rsid w:val="009C4CC2"/>
    <w:rsid w:val="009C51BD"/>
    <w:rsid w:val="009C5280"/>
    <w:rsid w:val="009C52E7"/>
    <w:rsid w:val="009C571C"/>
    <w:rsid w:val="009C58EF"/>
    <w:rsid w:val="009C5AAE"/>
    <w:rsid w:val="009C5AB6"/>
    <w:rsid w:val="009C5C8E"/>
    <w:rsid w:val="009C5CE9"/>
    <w:rsid w:val="009C5FCE"/>
    <w:rsid w:val="009C5FDE"/>
    <w:rsid w:val="009C610C"/>
    <w:rsid w:val="009C63BA"/>
    <w:rsid w:val="009C68D1"/>
    <w:rsid w:val="009C6ABF"/>
    <w:rsid w:val="009C6C1A"/>
    <w:rsid w:val="009C6FCB"/>
    <w:rsid w:val="009C728B"/>
    <w:rsid w:val="009C7735"/>
    <w:rsid w:val="009C7794"/>
    <w:rsid w:val="009C77E0"/>
    <w:rsid w:val="009C7849"/>
    <w:rsid w:val="009C78BD"/>
    <w:rsid w:val="009C79D3"/>
    <w:rsid w:val="009C7FD1"/>
    <w:rsid w:val="009D0074"/>
    <w:rsid w:val="009D020C"/>
    <w:rsid w:val="009D041B"/>
    <w:rsid w:val="009D0476"/>
    <w:rsid w:val="009D047C"/>
    <w:rsid w:val="009D0513"/>
    <w:rsid w:val="009D0637"/>
    <w:rsid w:val="009D0687"/>
    <w:rsid w:val="009D077F"/>
    <w:rsid w:val="009D098D"/>
    <w:rsid w:val="009D0A3C"/>
    <w:rsid w:val="009D0C90"/>
    <w:rsid w:val="009D1047"/>
    <w:rsid w:val="009D12FF"/>
    <w:rsid w:val="009D1406"/>
    <w:rsid w:val="009D1698"/>
    <w:rsid w:val="009D1736"/>
    <w:rsid w:val="009D18AB"/>
    <w:rsid w:val="009D1A0E"/>
    <w:rsid w:val="009D1B4B"/>
    <w:rsid w:val="009D2277"/>
    <w:rsid w:val="009D247B"/>
    <w:rsid w:val="009D2507"/>
    <w:rsid w:val="009D26EE"/>
    <w:rsid w:val="009D27A3"/>
    <w:rsid w:val="009D285B"/>
    <w:rsid w:val="009D2A89"/>
    <w:rsid w:val="009D2DEF"/>
    <w:rsid w:val="009D2FB7"/>
    <w:rsid w:val="009D30FE"/>
    <w:rsid w:val="009D338E"/>
    <w:rsid w:val="009D35E6"/>
    <w:rsid w:val="009D364A"/>
    <w:rsid w:val="009D370B"/>
    <w:rsid w:val="009D37E9"/>
    <w:rsid w:val="009D38BD"/>
    <w:rsid w:val="009D3CAA"/>
    <w:rsid w:val="009D3EDE"/>
    <w:rsid w:val="009D3FD8"/>
    <w:rsid w:val="009D408C"/>
    <w:rsid w:val="009D42E6"/>
    <w:rsid w:val="009D46E0"/>
    <w:rsid w:val="009D47B9"/>
    <w:rsid w:val="009D492B"/>
    <w:rsid w:val="009D4CD1"/>
    <w:rsid w:val="009D4D90"/>
    <w:rsid w:val="009D4DE9"/>
    <w:rsid w:val="009D51C4"/>
    <w:rsid w:val="009D5280"/>
    <w:rsid w:val="009D52EF"/>
    <w:rsid w:val="009D5759"/>
    <w:rsid w:val="009D59E0"/>
    <w:rsid w:val="009D59F9"/>
    <w:rsid w:val="009D5A9D"/>
    <w:rsid w:val="009D5BB0"/>
    <w:rsid w:val="009D6031"/>
    <w:rsid w:val="009D6510"/>
    <w:rsid w:val="009D66EC"/>
    <w:rsid w:val="009D6777"/>
    <w:rsid w:val="009D688B"/>
    <w:rsid w:val="009D6A1B"/>
    <w:rsid w:val="009D6AB2"/>
    <w:rsid w:val="009D6B66"/>
    <w:rsid w:val="009D6C21"/>
    <w:rsid w:val="009D7585"/>
    <w:rsid w:val="009D7B6D"/>
    <w:rsid w:val="009D7BE8"/>
    <w:rsid w:val="009D7C9E"/>
    <w:rsid w:val="009D7DA0"/>
    <w:rsid w:val="009E00BA"/>
    <w:rsid w:val="009E020C"/>
    <w:rsid w:val="009E0221"/>
    <w:rsid w:val="009E02D1"/>
    <w:rsid w:val="009E04B3"/>
    <w:rsid w:val="009E09BD"/>
    <w:rsid w:val="009E0A3E"/>
    <w:rsid w:val="009E0DDD"/>
    <w:rsid w:val="009E0E04"/>
    <w:rsid w:val="009E0FE0"/>
    <w:rsid w:val="009E1156"/>
    <w:rsid w:val="009E160B"/>
    <w:rsid w:val="009E163D"/>
    <w:rsid w:val="009E18A7"/>
    <w:rsid w:val="009E1A78"/>
    <w:rsid w:val="009E1B0B"/>
    <w:rsid w:val="009E202A"/>
    <w:rsid w:val="009E216B"/>
    <w:rsid w:val="009E21E9"/>
    <w:rsid w:val="009E23E1"/>
    <w:rsid w:val="009E2484"/>
    <w:rsid w:val="009E2555"/>
    <w:rsid w:val="009E2610"/>
    <w:rsid w:val="009E28DD"/>
    <w:rsid w:val="009E2A75"/>
    <w:rsid w:val="009E2CB7"/>
    <w:rsid w:val="009E2CE2"/>
    <w:rsid w:val="009E2EA8"/>
    <w:rsid w:val="009E3432"/>
    <w:rsid w:val="009E3816"/>
    <w:rsid w:val="009E420C"/>
    <w:rsid w:val="009E4270"/>
    <w:rsid w:val="009E4381"/>
    <w:rsid w:val="009E4545"/>
    <w:rsid w:val="009E4677"/>
    <w:rsid w:val="009E4913"/>
    <w:rsid w:val="009E4950"/>
    <w:rsid w:val="009E4A6A"/>
    <w:rsid w:val="009E4AFC"/>
    <w:rsid w:val="009E4F72"/>
    <w:rsid w:val="009E553F"/>
    <w:rsid w:val="009E5595"/>
    <w:rsid w:val="009E574E"/>
    <w:rsid w:val="009E58EB"/>
    <w:rsid w:val="009E5968"/>
    <w:rsid w:val="009E5AB1"/>
    <w:rsid w:val="009E5AD4"/>
    <w:rsid w:val="009E5B40"/>
    <w:rsid w:val="009E5CF4"/>
    <w:rsid w:val="009E5D08"/>
    <w:rsid w:val="009E5D29"/>
    <w:rsid w:val="009E5D4A"/>
    <w:rsid w:val="009E5DFA"/>
    <w:rsid w:val="009E5F61"/>
    <w:rsid w:val="009E5F82"/>
    <w:rsid w:val="009E60F2"/>
    <w:rsid w:val="009E62DF"/>
    <w:rsid w:val="009E62FF"/>
    <w:rsid w:val="009E6311"/>
    <w:rsid w:val="009E63B4"/>
    <w:rsid w:val="009E65B1"/>
    <w:rsid w:val="009E65F2"/>
    <w:rsid w:val="009E6611"/>
    <w:rsid w:val="009E67F4"/>
    <w:rsid w:val="009E6802"/>
    <w:rsid w:val="009E6A59"/>
    <w:rsid w:val="009E6BF3"/>
    <w:rsid w:val="009E6C44"/>
    <w:rsid w:val="009E6DC7"/>
    <w:rsid w:val="009E701B"/>
    <w:rsid w:val="009E7567"/>
    <w:rsid w:val="009E7621"/>
    <w:rsid w:val="009E769D"/>
    <w:rsid w:val="009E7E23"/>
    <w:rsid w:val="009F0303"/>
    <w:rsid w:val="009F0597"/>
    <w:rsid w:val="009F068D"/>
    <w:rsid w:val="009F07B6"/>
    <w:rsid w:val="009F0A04"/>
    <w:rsid w:val="009F0D52"/>
    <w:rsid w:val="009F0DFD"/>
    <w:rsid w:val="009F0E51"/>
    <w:rsid w:val="009F1034"/>
    <w:rsid w:val="009F114C"/>
    <w:rsid w:val="009F1262"/>
    <w:rsid w:val="009F1431"/>
    <w:rsid w:val="009F1507"/>
    <w:rsid w:val="009F1596"/>
    <w:rsid w:val="009F15AC"/>
    <w:rsid w:val="009F1707"/>
    <w:rsid w:val="009F17FC"/>
    <w:rsid w:val="009F1853"/>
    <w:rsid w:val="009F1869"/>
    <w:rsid w:val="009F1CE8"/>
    <w:rsid w:val="009F1DDB"/>
    <w:rsid w:val="009F1EDF"/>
    <w:rsid w:val="009F2870"/>
    <w:rsid w:val="009F2F46"/>
    <w:rsid w:val="009F30FE"/>
    <w:rsid w:val="009F33A5"/>
    <w:rsid w:val="009F34BF"/>
    <w:rsid w:val="009F3769"/>
    <w:rsid w:val="009F37F0"/>
    <w:rsid w:val="009F3C27"/>
    <w:rsid w:val="009F3F23"/>
    <w:rsid w:val="009F3F5A"/>
    <w:rsid w:val="009F4292"/>
    <w:rsid w:val="009F45DA"/>
    <w:rsid w:val="009F483B"/>
    <w:rsid w:val="009F4A38"/>
    <w:rsid w:val="009F4BD6"/>
    <w:rsid w:val="009F4D02"/>
    <w:rsid w:val="009F4D1B"/>
    <w:rsid w:val="009F4E22"/>
    <w:rsid w:val="009F53E6"/>
    <w:rsid w:val="009F5623"/>
    <w:rsid w:val="009F56C7"/>
    <w:rsid w:val="009F5773"/>
    <w:rsid w:val="009F57A4"/>
    <w:rsid w:val="009F5BB3"/>
    <w:rsid w:val="009F5C44"/>
    <w:rsid w:val="009F5CC2"/>
    <w:rsid w:val="009F5E0F"/>
    <w:rsid w:val="009F5EEA"/>
    <w:rsid w:val="009F63D5"/>
    <w:rsid w:val="009F641F"/>
    <w:rsid w:val="009F6432"/>
    <w:rsid w:val="009F6916"/>
    <w:rsid w:val="009F697D"/>
    <w:rsid w:val="009F69B0"/>
    <w:rsid w:val="009F69E7"/>
    <w:rsid w:val="009F69F9"/>
    <w:rsid w:val="009F6B45"/>
    <w:rsid w:val="009F6D25"/>
    <w:rsid w:val="009F6D63"/>
    <w:rsid w:val="009F73DF"/>
    <w:rsid w:val="009F7692"/>
    <w:rsid w:val="009F76D1"/>
    <w:rsid w:val="009F78F2"/>
    <w:rsid w:val="009F78F5"/>
    <w:rsid w:val="009F7BDD"/>
    <w:rsid w:val="009F7D97"/>
    <w:rsid w:val="009F7DD9"/>
    <w:rsid w:val="009F7F37"/>
    <w:rsid w:val="00A00013"/>
    <w:rsid w:val="00A00141"/>
    <w:rsid w:val="00A00746"/>
    <w:rsid w:val="00A0097B"/>
    <w:rsid w:val="00A00A44"/>
    <w:rsid w:val="00A00A9D"/>
    <w:rsid w:val="00A00AE6"/>
    <w:rsid w:val="00A00CB4"/>
    <w:rsid w:val="00A00E1B"/>
    <w:rsid w:val="00A00F8E"/>
    <w:rsid w:val="00A01087"/>
    <w:rsid w:val="00A014AE"/>
    <w:rsid w:val="00A01500"/>
    <w:rsid w:val="00A01609"/>
    <w:rsid w:val="00A017CF"/>
    <w:rsid w:val="00A01ABF"/>
    <w:rsid w:val="00A01E0F"/>
    <w:rsid w:val="00A02351"/>
    <w:rsid w:val="00A02653"/>
    <w:rsid w:val="00A0274B"/>
    <w:rsid w:val="00A02819"/>
    <w:rsid w:val="00A02948"/>
    <w:rsid w:val="00A02E78"/>
    <w:rsid w:val="00A02F46"/>
    <w:rsid w:val="00A02FD1"/>
    <w:rsid w:val="00A02FE5"/>
    <w:rsid w:val="00A03090"/>
    <w:rsid w:val="00A030FD"/>
    <w:rsid w:val="00A03201"/>
    <w:rsid w:val="00A03205"/>
    <w:rsid w:val="00A0324C"/>
    <w:rsid w:val="00A033E6"/>
    <w:rsid w:val="00A03628"/>
    <w:rsid w:val="00A03A94"/>
    <w:rsid w:val="00A03B23"/>
    <w:rsid w:val="00A03C18"/>
    <w:rsid w:val="00A03DC8"/>
    <w:rsid w:val="00A03E39"/>
    <w:rsid w:val="00A03E5C"/>
    <w:rsid w:val="00A03F51"/>
    <w:rsid w:val="00A04200"/>
    <w:rsid w:val="00A042E1"/>
    <w:rsid w:val="00A043DF"/>
    <w:rsid w:val="00A0442B"/>
    <w:rsid w:val="00A0445E"/>
    <w:rsid w:val="00A044CF"/>
    <w:rsid w:val="00A04585"/>
    <w:rsid w:val="00A04DB3"/>
    <w:rsid w:val="00A051DA"/>
    <w:rsid w:val="00A05277"/>
    <w:rsid w:val="00A0531C"/>
    <w:rsid w:val="00A057FA"/>
    <w:rsid w:val="00A05A8A"/>
    <w:rsid w:val="00A05B0A"/>
    <w:rsid w:val="00A05D7D"/>
    <w:rsid w:val="00A05E3F"/>
    <w:rsid w:val="00A05F56"/>
    <w:rsid w:val="00A05FA6"/>
    <w:rsid w:val="00A06102"/>
    <w:rsid w:val="00A06462"/>
    <w:rsid w:val="00A06694"/>
    <w:rsid w:val="00A067EF"/>
    <w:rsid w:val="00A06B5E"/>
    <w:rsid w:val="00A06C6D"/>
    <w:rsid w:val="00A0755C"/>
    <w:rsid w:val="00A075F2"/>
    <w:rsid w:val="00A07735"/>
    <w:rsid w:val="00A07ACB"/>
    <w:rsid w:val="00A07B2B"/>
    <w:rsid w:val="00A07DCB"/>
    <w:rsid w:val="00A07E37"/>
    <w:rsid w:val="00A10092"/>
    <w:rsid w:val="00A10284"/>
    <w:rsid w:val="00A10334"/>
    <w:rsid w:val="00A10393"/>
    <w:rsid w:val="00A103BF"/>
    <w:rsid w:val="00A108E0"/>
    <w:rsid w:val="00A108F8"/>
    <w:rsid w:val="00A112C3"/>
    <w:rsid w:val="00A113A4"/>
    <w:rsid w:val="00A1157F"/>
    <w:rsid w:val="00A11597"/>
    <w:rsid w:val="00A11723"/>
    <w:rsid w:val="00A1174C"/>
    <w:rsid w:val="00A117C4"/>
    <w:rsid w:val="00A1196E"/>
    <w:rsid w:val="00A1197D"/>
    <w:rsid w:val="00A11B31"/>
    <w:rsid w:val="00A11DE2"/>
    <w:rsid w:val="00A1237F"/>
    <w:rsid w:val="00A1253D"/>
    <w:rsid w:val="00A1286E"/>
    <w:rsid w:val="00A1296D"/>
    <w:rsid w:val="00A12A31"/>
    <w:rsid w:val="00A12CF9"/>
    <w:rsid w:val="00A13096"/>
    <w:rsid w:val="00A1320A"/>
    <w:rsid w:val="00A1331D"/>
    <w:rsid w:val="00A1349B"/>
    <w:rsid w:val="00A13642"/>
    <w:rsid w:val="00A13682"/>
    <w:rsid w:val="00A138FC"/>
    <w:rsid w:val="00A13C5C"/>
    <w:rsid w:val="00A13C81"/>
    <w:rsid w:val="00A13F1F"/>
    <w:rsid w:val="00A13F67"/>
    <w:rsid w:val="00A13FB5"/>
    <w:rsid w:val="00A14133"/>
    <w:rsid w:val="00A14137"/>
    <w:rsid w:val="00A14376"/>
    <w:rsid w:val="00A146A7"/>
    <w:rsid w:val="00A146D4"/>
    <w:rsid w:val="00A1488D"/>
    <w:rsid w:val="00A14913"/>
    <w:rsid w:val="00A14A72"/>
    <w:rsid w:val="00A14D98"/>
    <w:rsid w:val="00A14E57"/>
    <w:rsid w:val="00A14E89"/>
    <w:rsid w:val="00A14F29"/>
    <w:rsid w:val="00A14F65"/>
    <w:rsid w:val="00A14FE8"/>
    <w:rsid w:val="00A15143"/>
    <w:rsid w:val="00A153CF"/>
    <w:rsid w:val="00A15590"/>
    <w:rsid w:val="00A156B5"/>
    <w:rsid w:val="00A15772"/>
    <w:rsid w:val="00A157EE"/>
    <w:rsid w:val="00A1594F"/>
    <w:rsid w:val="00A15BC2"/>
    <w:rsid w:val="00A15C43"/>
    <w:rsid w:val="00A15D89"/>
    <w:rsid w:val="00A15DC0"/>
    <w:rsid w:val="00A15F85"/>
    <w:rsid w:val="00A1616B"/>
    <w:rsid w:val="00A161A3"/>
    <w:rsid w:val="00A161BC"/>
    <w:rsid w:val="00A161C1"/>
    <w:rsid w:val="00A1651C"/>
    <w:rsid w:val="00A166C2"/>
    <w:rsid w:val="00A1698C"/>
    <w:rsid w:val="00A16E39"/>
    <w:rsid w:val="00A172B1"/>
    <w:rsid w:val="00A1752B"/>
    <w:rsid w:val="00A17643"/>
    <w:rsid w:val="00A1777C"/>
    <w:rsid w:val="00A178AA"/>
    <w:rsid w:val="00A178FD"/>
    <w:rsid w:val="00A17A75"/>
    <w:rsid w:val="00A17C27"/>
    <w:rsid w:val="00A17D17"/>
    <w:rsid w:val="00A17F9B"/>
    <w:rsid w:val="00A20554"/>
    <w:rsid w:val="00A205F1"/>
    <w:rsid w:val="00A20A6E"/>
    <w:rsid w:val="00A21392"/>
    <w:rsid w:val="00A21561"/>
    <w:rsid w:val="00A21750"/>
    <w:rsid w:val="00A21B99"/>
    <w:rsid w:val="00A21C62"/>
    <w:rsid w:val="00A21E0E"/>
    <w:rsid w:val="00A21FC6"/>
    <w:rsid w:val="00A2209D"/>
    <w:rsid w:val="00A220A7"/>
    <w:rsid w:val="00A224C6"/>
    <w:rsid w:val="00A22601"/>
    <w:rsid w:val="00A22656"/>
    <w:rsid w:val="00A227BB"/>
    <w:rsid w:val="00A2297D"/>
    <w:rsid w:val="00A22E7B"/>
    <w:rsid w:val="00A22E9F"/>
    <w:rsid w:val="00A22F4A"/>
    <w:rsid w:val="00A23056"/>
    <w:rsid w:val="00A230AA"/>
    <w:rsid w:val="00A2362B"/>
    <w:rsid w:val="00A239CE"/>
    <w:rsid w:val="00A23F36"/>
    <w:rsid w:val="00A23F84"/>
    <w:rsid w:val="00A23F8B"/>
    <w:rsid w:val="00A240F8"/>
    <w:rsid w:val="00A24359"/>
    <w:rsid w:val="00A24968"/>
    <w:rsid w:val="00A2497B"/>
    <w:rsid w:val="00A24B50"/>
    <w:rsid w:val="00A24EB7"/>
    <w:rsid w:val="00A24EC8"/>
    <w:rsid w:val="00A25112"/>
    <w:rsid w:val="00A25389"/>
    <w:rsid w:val="00A254CA"/>
    <w:rsid w:val="00A25519"/>
    <w:rsid w:val="00A2597C"/>
    <w:rsid w:val="00A25BAC"/>
    <w:rsid w:val="00A25C39"/>
    <w:rsid w:val="00A26311"/>
    <w:rsid w:val="00A26530"/>
    <w:rsid w:val="00A26567"/>
    <w:rsid w:val="00A265E2"/>
    <w:rsid w:val="00A26618"/>
    <w:rsid w:val="00A2669D"/>
    <w:rsid w:val="00A26BEA"/>
    <w:rsid w:val="00A26FB8"/>
    <w:rsid w:val="00A275B3"/>
    <w:rsid w:val="00A27A32"/>
    <w:rsid w:val="00A27B9C"/>
    <w:rsid w:val="00A27BFC"/>
    <w:rsid w:val="00A27E34"/>
    <w:rsid w:val="00A27EBF"/>
    <w:rsid w:val="00A30132"/>
    <w:rsid w:val="00A3029A"/>
    <w:rsid w:val="00A302C6"/>
    <w:rsid w:val="00A303AC"/>
    <w:rsid w:val="00A304E5"/>
    <w:rsid w:val="00A30551"/>
    <w:rsid w:val="00A30724"/>
    <w:rsid w:val="00A307FC"/>
    <w:rsid w:val="00A3082A"/>
    <w:rsid w:val="00A30878"/>
    <w:rsid w:val="00A3088F"/>
    <w:rsid w:val="00A308E5"/>
    <w:rsid w:val="00A30AC9"/>
    <w:rsid w:val="00A30B28"/>
    <w:rsid w:val="00A30B50"/>
    <w:rsid w:val="00A30BD8"/>
    <w:rsid w:val="00A31666"/>
    <w:rsid w:val="00A31699"/>
    <w:rsid w:val="00A317E9"/>
    <w:rsid w:val="00A318F6"/>
    <w:rsid w:val="00A31B1E"/>
    <w:rsid w:val="00A31BBB"/>
    <w:rsid w:val="00A31C0A"/>
    <w:rsid w:val="00A31F87"/>
    <w:rsid w:val="00A320EF"/>
    <w:rsid w:val="00A324AF"/>
    <w:rsid w:val="00A324C8"/>
    <w:rsid w:val="00A324DA"/>
    <w:rsid w:val="00A3259F"/>
    <w:rsid w:val="00A32659"/>
    <w:rsid w:val="00A328A9"/>
    <w:rsid w:val="00A32907"/>
    <w:rsid w:val="00A3290C"/>
    <w:rsid w:val="00A330F0"/>
    <w:rsid w:val="00A3315F"/>
    <w:rsid w:val="00A33692"/>
    <w:rsid w:val="00A33BFC"/>
    <w:rsid w:val="00A33F8C"/>
    <w:rsid w:val="00A34033"/>
    <w:rsid w:val="00A34427"/>
    <w:rsid w:val="00A34448"/>
    <w:rsid w:val="00A348C2"/>
    <w:rsid w:val="00A3495B"/>
    <w:rsid w:val="00A34CBB"/>
    <w:rsid w:val="00A35053"/>
    <w:rsid w:val="00A35230"/>
    <w:rsid w:val="00A3534B"/>
    <w:rsid w:val="00A35719"/>
    <w:rsid w:val="00A3595A"/>
    <w:rsid w:val="00A35999"/>
    <w:rsid w:val="00A35B2B"/>
    <w:rsid w:val="00A35FD4"/>
    <w:rsid w:val="00A36264"/>
    <w:rsid w:val="00A362E8"/>
    <w:rsid w:val="00A364B0"/>
    <w:rsid w:val="00A36653"/>
    <w:rsid w:val="00A36E9F"/>
    <w:rsid w:val="00A36EB9"/>
    <w:rsid w:val="00A3706A"/>
    <w:rsid w:val="00A370D5"/>
    <w:rsid w:val="00A3748A"/>
    <w:rsid w:val="00A375C4"/>
    <w:rsid w:val="00A375F1"/>
    <w:rsid w:val="00A37C74"/>
    <w:rsid w:val="00A37C8E"/>
    <w:rsid w:val="00A40101"/>
    <w:rsid w:val="00A40128"/>
    <w:rsid w:val="00A403FE"/>
    <w:rsid w:val="00A40699"/>
    <w:rsid w:val="00A406F0"/>
    <w:rsid w:val="00A40706"/>
    <w:rsid w:val="00A407F2"/>
    <w:rsid w:val="00A40A79"/>
    <w:rsid w:val="00A40EA3"/>
    <w:rsid w:val="00A4116C"/>
    <w:rsid w:val="00A41289"/>
    <w:rsid w:val="00A41343"/>
    <w:rsid w:val="00A416EA"/>
    <w:rsid w:val="00A41BAE"/>
    <w:rsid w:val="00A41BB9"/>
    <w:rsid w:val="00A41C12"/>
    <w:rsid w:val="00A41D1C"/>
    <w:rsid w:val="00A41F05"/>
    <w:rsid w:val="00A42016"/>
    <w:rsid w:val="00A4205B"/>
    <w:rsid w:val="00A420AA"/>
    <w:rsid w:val="00A42476"/>
    <w:rsid w:val="00A4252B"/>
    <w:rsid w:val="00A425B1"/>
    <w:rsid w:val="00A425FC"/>
    <w:rsid w:val="00A4261A"/>
    <w:rsid w:val="00A42B4B"/>
    <w:rsid w:val="00A42BCB"/>
    <w:rsid w:val="00A42C64"/>
    <w:rsid w:val="00A42CDC"/>
    <w:rsid w:val="00A42CEA"/>
    <w:rsid w:val="00A433FF"/>
    <w:rsid w:val="00A434BF"/>
    <w:rsid w:val="00A43583"/>
    <w:rsid w:val="00A435F2"/>
    <w:rsid w:val="00A43672"/>
    <w:rsid w:val="00A436DC"/>
    <w:rsid w:val="00A436DE"/>
    <w:rsid w:val="00A43701"/>
    <w:rsid w:val="00A43D2D"/>
    <w:rsid w:val="00A43F9C"/>
    <w:rsid w:val="00A4436E"/>
    <w:rsid w:val="00A4465D"/>
    <w:rsid w:val="00A4469D"/>
    <w:rsid w:val="00A44AE8"/>
    <w:rsid w:val="00A44D49"/>
    <w:rsid w:val="00A44EB0"/>
    <w:rsid w:val="00A44F6C"/>
    <w:rsid w:val="00A44F93"/>
    <w:rsid w:val="00A455F2"/>
    <w:rsid w:val="00A45613"/>
    <w:rsid w:val="00A458EE"/>
    <w:rsid w:val="00A45AFD"/>
    <w:rsid w:val="00A45BE5"/>
    <w:rsid w:val="00A45BFD"/>
    <w:rsid w:val="00A45D12"/>
    <w:rsid w:val="00A45E6A"/>
    <w:rsid w:val="00A45EAF"/>
    <w:rsid w:val="00A45F45"/>
    <w:rsid w:val="00A4609C"/>
    <w:rsid w:val="00A46104"/>
    <w:rsid w:val="00A463C1"/>
    <w:rsid w:val="00A468FC"/>
    <w:rsid w:val="00A46A9D"/>
    <w:rsid w:val="00A46AF1"/>
    <w:rsid w:val="00A46C89"/>
    <w:rsid w:val="00A46CF4"/>
    <w:rsid w:val="00A46D7D"/>
    <w:rsid w:val="00A46EEA"/>
    <w:rsid w:val="00A47007"/>
    <w:rsid w:val="00A47050"/>
    <w:rsid w:val="00A47106"/>
    <w:rsid w:val="00A47113"/>
    <w:rsid w:val="00A4728B"/>
    <w:rsid w:val="00A472D0"/>
    <w:rsid w:val="00A47382"/>
    <w:rsid w:val="00A47585"/>
    <w:rsid w:val="00A475E5"/>
    <w:rsid w:val="00A47646"/>
    <w:rsid w:val="00A47684"/>
    <w:rsid w:val="00A47748"/>
    <w:rsid w:val="00A477C6"/>
    <w:rsid w:val="00A47B0A"/>
    <w:rsid w:val="00A47BC0"/>
    <w:rsid w:val="00A47DD5"/>
    <w:rsid w:val="00A47ED1"/>
    <w:rsid w:val="00A50100"/>
    <w:rsid w:val="00A507A7"/>
    <w:rsid w:val="00A50836"/>
    <w:rsid w:val="00A50A67"/>
    <w:rsid w:val="00A50ACB"/>
    <w:rsid w:val="00A50BC9"/>
    <w:rsid w:val="00A50D11"/>
    <w:rsid w:val="00A50D2D"/>
    <w:rsid w:val="00A50E56"/>
    <w:rsid w:val="00A50E99"/>
    <w:rsid w:val="00A50ECC"/>
    <w:rsid w:val="00A50FD4"/>
    <w:rsid w:val="00A5131D"/>
    <w:rsid w:val="00A51417"/>
    <w:rsid w:val="00A514F7"/>
    <w:rsid w:val="00A51596"/>
    <w:rsid w:val="00A518DB"/>
    <w:rsid w:val="00A51ABC"/>
    <w:rsid w:val="00A51B3C"/>
    <w:rsid w:val="00A52097"/>
    <w:rsid w:val="00A52130"/>
    <w:rsid w:val="00A522A4"/>
    <w:rsid w:val="00A522F1"/>
    <w:rsid w:val="00A522F6"/>
    <w:rsid w:val="00A52736"/>
    <w:rsid w:val="00A52868"/>
    <w:rsid w:val="00A528B0"/>
    <w:rsid w:val="00A528B4"/>
    <w:rsid w:val="00A529BF"/>
    <w:rsid w:val="00A52CFA"/>
    <w:rsid w:val="00A53100"/>
    <w:rsid w:val="00A534EE"/>
    <w:rsid w:val="00A53502"/>
    <w:rsid w:val="00A53507"/>
    <w:rsid w:val="00A53ACE"/>
    <w:rsid w:val="00A53DB6"/>
    <w:rsid w:val="00A54127"/>
    <w:rsid w:val="00A541C4"/>
    <w:rsid w:val="00A5424F"/>
    <w:rsid w:val="00A545E2"/>
    <w:rsid w:val="00A546A4"/>
    <w:rsid w:val="00A54969"/>
    <w:rsid w:val="00A54AC3"/>
    <w:rsid w:val="00A54BF0"/>
    <w:rsid w:val="00A54DB0"/>
    <w:rsid w:val="00A54F47"/>
    <w:rsid w:val="00A55022"/>
    <w:rsid w:val="00A55109"/>
    <w:rsid w:val="00A55200"/>
    <w:rsid w:val="00A5532F"/>
    <w:rsid w:val="00A554CE"/>
    <w:rsid w:val="00A55505"/>
    <w:rsid w:val="00A55A20"/>
    <w:rsid w:val="00A55AA1"/>
    <w:rsid w:val="00A55BCE"/>
    <w:rsid w:val="00A55FAC"/>
    <w:rsid w:val="00A5608B"/>
    <w:rsid w:val="00A5664E"/>
    <w:rsid w:val="00A56815"/>
    <w:rsid w:val="00A56BD7"/>
    <w:rsid w:val="00A56C43"/>
    <w:rsid w:val="00A56D37"/>
    <w:rsid w:val="00A56D8D"/>
    <w:rsid w:val="00A56E38"/>
    <w:rsid w:val="00A56EBB"/>
    <w:rsid w:val="00A56FA5"/>
    <w:rsid w:val="00A57125"/>
    <w:rsid w:val="00A57281"/>
    <w:rsid w:val="00A5733F"/>
    <w:rsid w:val="00A57438"/>
    <w:rsid w:val="00A57515"/>
    <w:rsid w:val="00A57A9A"/>
    <w:rsid w:val="00A57E7B"/>
    <w:rsid w:val="00A60172"/>
    <w:rsid w:val="00A601C2"/>
    <w:rsid w:val="00A603DC"/>
    <w:rsid w:val="00A6057D"/>
    <w:rsid w:val="00A607CC"/>
    <w:rsid w:val="00A60AFD"/>
    <w:rsid w:val="00A60B52"/>
    <w:rsid w:val="00A60BA9"/>
    <w:rsid w:val="00A60BFF"/>
    <w:rsid w:val="00A60D00"/>
    <w:rsid w:val="00A60DC0"/>
    <w:rsid w:val="00A60E6D"/>
    <w:rsid w:val="00A60E88"/>
    <w:rsid w:val="00A60E9F"/>
    <w:rsid w:val="00A60F5E"/>
    <w:rsid w:val="00A61017"/>
    <w:rsid w:val="00A61206"/>
    <w:rsid w:val="00A6125D"/>
    <w:rsid w:val="00A61620"/>
    <w:rsid w:val="00A617D4"/>
    <w:rsid w:val="00A618F2"/>
    <w:rsid w:val="00A61BD2"/>
    <w:rsid w:val="00A61D51"/>
    <w:rsid w:val="00A61E45"/>
    <w:rsid w:val="00A62252"/>
    <w:rsid w:val="00A6227C"/>
    <w:rsid w:val="00A62487"/>
    <w:rsid w:val="00A6263B"/>
    <w:rsid w:val="00A626AA"/>
    <w:rsid w:val="00A62A09"/>
    <w:rsid w:val="00A62A4A"/>
    <w:rsid w:val="00A62B7A"/>
    <w:rsid w:val="00A62D2D"/>
    <w:rsid w:val="00A63225"/>
    <w:rsid w:val="00A632D5"/>
    <w:rsid w:val="00A638DE"/>
    <w:rsid w:val="00A638EF"/>
    <w:rsid w:val="00A6394F"/>
    <w:rsid w:val="00A63CDB"/>
    <w:rsid w:val="00A63E6E"/>
    <w:rsid w:val="00A641FA"/>
    <w:rsid w:val="00A64350"/>
    <w:rsid w:val="00A6476D"/>
    <w:rsid w:val="00A64999"/>
    <w:rsid w:val="00A649EE"/>
    <w:rsid w:val="00A65156"/>
    <w:rsid w:val="00A6544D"/>
    <w:rsid w:val="00A65615"/>
    <w:rsid w:val="00A65873"/>
    <w:rsid w:val="00A658C6"/>
    <w:rsid w:val="00A65B22"/>
    <w:rsid w:val="00A65D05"/>
    <w:rsid w:val="00A6627B"/>
    <w:rsid w:val="00A667D7"/>
    <w:rsid w:val="00A669FA"/>
    <w:rsid w:val="00A66A46"/>
    <w:rsid w:val="00A66D1D"/>
    <w:rsid w:val="00A67058"/>
    <w:rsid w:val="00A67073"/>
    <w:rsid w:val="00A6708D"/>
    <w:rsid w:val="00A67534"/>
    <w:rsid w:val="00A67636"/>
    <w:rsid w:val="00A6773B"/>
    <w:rsid w:val="00A6787C"/>
    <w:rsid w:val="00A678DA"/>
    <w:rsid w:val="00A67970"/>
    <w:rsid w:val="00A67B8D"/>
    <w:rsid w:val="00A67C0F"/>
    <w:rsid w:val="00A67CFA"/>
    <w:rsid w:val="00A67E56"/>
    <w:rsid w:val="00A67EC1"/>
    <w:rsid w:val="00A67FB3"/>
    <w:rsid w:val="00A67FD6"/>
    <w:rsid w:val="00A7002B"/>
    <w:rsid w:val="00A7015E"/>
    <w:rsid w:val="00A703F8"/>
    <w:rsid w:val="00A703FF"/>
    <w:rsid w:val="00A7066F"/>
    <w:rsid w:val="00A7073D"/>
    <w:rsid w:val="00A70B29"/>
    <w:rsid w:val="00A70C4D"/>
    <w:rsid w:val="00A70CD0"/>
    <w:rsid w:val="00A70E60"/>
    <w:rsid w:val="00A70F3D"/>
    <w:rsid w:val="00A70FBF"/>
    <w:rsid w:val="00A71097"/>
    <w:rsid w:val="00A710BF"/>
    <w:rsid w:val="00A715B4"/>
    <w:rsid w:val="00A716C5"/>
    <w:rsid w:val="00A7177F"/>
    <w:rsid w:val="00A718F9"/>
    <w:rsid w:val="00A71A68"/>
    <w:rsid w:val="00A71B45"/>
    <w:rsid w:val="00A71B7D"/>
    <w:rsid w:val="00A71F49"/>
    <w:rsid w:val="00A72022"/>
    <w:rsid w:val="00A72088"/>
    <w:rsid w:val="00A72327"/>
    <w:rsid w:val="00A72361"/>
    <w:rsid w:val="00A7249B"/>
    <w:rsid w:val="00A725ED"/>
    <w:rsid w:val="00A72890"/>
    <w:rsid w:val="00A72A2E"/>
    <w:rsid w:val="00A72D9A"/>
    <w:rsid w:val="00A72FD9"/>
    <w:rsid w:val="00A73097"/>
    <w:rsid w:val="00A7364C"/>
    <w:rsid w:val="00A7373C"/>
    <w:rsid w:val="00A737A6"/>
    <w:rsid w:val="00A737D4"/>
    <w:rsid w:val="00A73955"/>
    <w:rsid w:val="00A73A18"/>
    <w:rsid w:val="00A73B42"/>
    <w:rsid w:val="00A73D9A"/>
    <w:rsid w:val="00A74238"/>
    <w:rsid w:val="00A74308"/>
    <w:rsid w:val="00A744FB"/>
    <w:rsid w:val="00A7454C"/>
    <w:rsid w:val="00A745E5"/>
    <w:rsid w:val="00A74995"/>
    <w:rsid w:val="00A74DFC"/>
    <w:rsid w:val="00A74EF6"/>
    <w:rsid w:val="00A74FD4"/>
    <w:rsid w:val="00A75328"/>
    <w:rsid w:val="00A753C6"/>
    <w:rsid w:val="00A755BD"/>
    <w:rsid w:val="00A7578B"/>
    <w:rsid w:val="00A757D8"/>
    <w:rsid w:val="00A7588C"/>
    <w:rsid w:val="00A75C13"/>
    <w:rsid w:val="00A75E02"/>
    <w:rsid w:val="00A75E98"/>
    <w:rsid w:val="00A76268"/>
    <w:rsid w:val="00A762FC"/>
    <w:rsid w:val="00A763A7"/>
    <w:rsid w:val="00A76629"/>
    <w:rsid w:val="00A76955"/>
    <w:rsid w:val="00A76ACD"/>
    <w:rsid w:val="00A76C76"/>
    <w:rsid w:val="00A76FC2"/>
    <w:rsid w:val="00A76FC3"/>
    <w:rsid w:val="00A77077"/>
    <w:rsid w:val="00A77191"/>
    <w:rsid w:val="00A77310"/>
    <w:rsid w:val="00A7740A"/>
    <w:rsid w:val="00A7745F"/>
    <w:rsid w:val="00A77539"/>
    <w:rsid w:val="00A77AC2"/>
    <w:rsid w:val="00A77C56"/>
    <w:rsid w:val="00A77C8A"/>
    <w:rsid w:val="00A77D42"/>
    <w:rsid w:val="00A8040A"/>
    <w:rsid w:val="00A80485"/>
    <w:rsid w:val="00A80522"/>
    <w:rsid w:val="00A80533"/>
    <w:rsid w:val="00A8093A"/>
    <w:rsid w:val="00A8099C"/>
    <w:rsid w:val="00A8099E"/>
    <w:rsid w:val="00A80AF3"/>
    <w:rsid w:val="00A80C19"/>
    <w:rsid w:val="00A80EBE"/>
    <w:rsid w:val="00A80F49"/>
    <w:rsid w:val="00A814CF"/>
    <w:rsid w:val="00A81AA2"/>
    <w:rsid w:val="00A81C28"/>
    <w:rsid w:val="00A81CC2"/>
    <w:rsid w:val="00A81CF1"/>
    <w:rsid w:val="00A81D86"/>
    <w:rsid w:val="00A823BB"/>
    <w:rsid w:val="00A823F1"/>
    <w:rsid w:val="00A82562"/>
    <w:rsid w:val="00A82686"/>
    <w:rsid w:val="00A8290A"/>
    <w:rsid w:val="00A82D28"/>
    <w:rsid w:val="00A82E0D"/>
    <w:rsid w:val="00A82EB6"/>
    <w:rsid w:val="00A83190"/>
    <w:rsid w:val="00A831B7"/>
    <w:rsid w:val="00A836F4"/>
    <w:rsid w:val="00A838D1"/>
    <w:rsid w:val="00A838F2"/>
    <w:rsid w:val="00A840BE"/>
    <w:rsid w:val="00A84132"/>
    <w:rsid w:val="00A84414"/>
    <w:rsid w:val="00A84448"/>
    <w:rsid w:val="00A8464C"/>
    <w:rsid w:val="00A847C8"/>
    <w:rsid w:val="00A848A9"/>
    <w:rsid w:val="00A84ABA"/>
    <w:rsid w:val="00A84DCB"/>
    <w:rsid w:val="00A84E1F"/>
    <w:rsid w:val="00A853C2"/>
    <w:rsid w:val="00A85832"/>
    <w:rsid w:val="00A85844"/>
    <w:rsid w:val="00A85D81"/>
    <w:rsid w:val="00A85DF3"/>
    <w:rsid w:val="00A85E6B"/>
    <w:rsid w:val="00A85FD5"/>
    <w:rsid w:val="00A85FDD"/>
    <w:rsid w:val="00A86174"/>
    <w:rsid w:val="00A8654E"/>
    <w:rsid w:val="00A865B3"/>
    <w:rsid w:val="00A8660C"/>
    <w:rsid w:val="00A86814"/>
    <w:rsid w:val="00A8699B"/>
    <w:rsid w:val="00A86C2F"/>
    <w:rsid w:val="00A86C42"/>
    <w:rsid w:val="00A86DD3"/>
    <w:rsid w:val="00A8708E"/>
    <w:rsid w:val="00A872A3"/>
    <w:rsid w:val="00A87531"/>
    <w:rsid w:val="00A879EA"/>
    <w:rsid w:val="00A87AD5"/>
    <w:rsid w:val="00A87C1B"/>
    <w:rsid w:val="00A87C96"/>
    <w:rsid w:val="00A87DC0"/>
    <w:rsid w:val="00A87FE1"/>
    <w:rsid w:val="00A90171"/>
    <w:rsid w:val="00A901F8"/>
    <w:rsid w:val="00A90268"/>
    <w:rsid w:val="00A902DE"/>
    <w:rsid w:val="00A906BA"/>
    <w:rsid w:val="00A90A9B"/>
    <w:rsid w:val="00A90AD7"/>
    <w:rsid w:val="00A90CF1"/>
    <w:rsid w:val="00A90EB9"/>
    <w:rsid w:val="00A90F17"/>
    <w:rsid w:val="00A90F2A"/>
    <w:rsid w:val="00A90F51"/>
    <w:rsid w:val="00A912B7"/>
    <w:rsid w:val="00A913C9"/>
    <w:rsid w:val="00A913FD"/>
    <w:rsid w:val="00A914F3"/>
    <w:rsid w:val="00A915CF"/>
    <w:rsid w:val="00A91635"/>
    <w:rsid w:val="00A91804"/>
    <w:rsid w:val="00A91809"/>
    <w:rsid w:val="00A9190F"/>
    <w:rsid w:val="00A91D1A"/>
    <w:rsid w:val="00A91D2E"/>
    <w:rsid w:val="00A91F0F"/>
    <w:rsid w:val="00A91F7E"/>
    <w:rsid w:val="00A91F80"/>
    <w:rsid w:val="00A922F4"/>
    <w:rsid w:val="00A92808"/>
    <w:rsid w:val="00A92879"/>
    <w:rsid w:val="00A929E3"/>
    <w:rsid w:val="00A92C2F"/>
    <w:rsid w:val="00A92EBC"/>
    <w:rsid w:val="00A93284"/>
    <w:rsid w:val="00A932B7"/>
    <w:rsid w:val="00A93581"/>
    <w:rsid w:val="00A9364B"/>
    <w:rsid w:val="00A93799"/>
    <w:rsid w:val="00A938D1"/>
    <w:rsid w:val="00A93AA1"/>
    <w:rsid w:val="00A93AA7"/>
    <w:rsid w:val="00A93C5C"/>
    <w:rsid w:val="00A93CF4"/>
    <w:rsid w:val="00A93D93"/>
    <w:rsid w:val="00A93F78"/>
    <w:rsid w:val="00A93FC5"/>
    <w:rsid w:val="00A93FD4"/>
    <w:rsid w:val="00A940FE"/>
    <w:rsid w:val="00A9427B"/>
    <w:rsid w:val="00A944A1"/>
    <w:rsid w:val="00A94563"/>
    <w:rsid w:val="00A9491B"/>
    <w:rsid w:val="00A94962"/>
    <w:rsid w:val="00A949E2"/>
    <w:rsid w:val="00A94B5D"/>
    <w:rsid w:val="00A94C05"/>
    <w:rsid w:val="00A94CDD"/>
    <w:rsid w:val="00A94E95"/>
    <w:rsid w:val="00A94FD0"/>
    <w:rsid w:val="00A951BB"/>
    <w:rsid w:val="00A951E3"/>
    <w:rsid w:val="00A954F9"/>
    <w:rsid w:val="00A956CF"/>
    <w:rsid w:val="00A957B8"/>
    <w:rsid w:val="00A95CB7"/>
    <w:rsid w:val="00A95F47"/>
    <w:rsid w:val="00A95F5E"/>
    <w:rsid w:val="00A961E6"/>
    <w:rsid w:val="00A96495"/>
    <w:rsid w:val="00A96857"/>
    <w:rsid w:val="00A96980"/>
    <w:rsid w:val="00A969B2"/>
    <w:rsid w:val="00A96C84"/>
    <w:rsid w:val="00A9705E"/>
    <w:rsid w:val="00A971FB"/>
    <w:rsid w:val="00A974F1"/>
    <w:rsid w:val="00A97503"/>
    <w:rsid w:val="00A975CF"/>
    <w:rsid w:val="00A9768A"/>
    <w:rsid w:val="00A97842"/>
    <w:rsid w:val="00A978B9"/>
    <w:rsid w:val="00A97A3C"/>
    <w:rsid w:val="00AA01BF"/>
    <w:rsid w:val="00AA03D5"/>
    <w:rsid w:val="00AA0570"/>
    <w:rsid w:val="00AA06CC"/>
    <w:rsid w:val="00AA07AA"/>
    <w:rsid w:val="00AA0E22"/>
    <w:rsid w:val="00AA1081"/>
    <w:rsid w:val="00AA11BD"/>
    <w:rsid w:val="00AA1508"/>
    <w:rsid w:val="00AA164C"/>
    <w:rsid w:val="00AA1970"/>
    <w:rsid w:val="00AA19AC"/>
    <w:rsid w:val="00AA1BD2"/>
    <w:rsid w:val="00AA1ECB"/>
    <w:rsid w:val="00AA1EF3"/>
    <w:rsid w:val="00AA2088"/>
    <w:rsid w:val="00AA2252"/>
    <w:rsid w:val="00AA225A"/>
    <w:rsid w:val="00AA235E"/>
    <w:rsid w:val="00AA257F"/>
    <w:rsid w:val="00AA25F3"/>
    <w:rsid w:val="00AA2710"/>
    <w:rsid w:val="00AA2750"/>
    <w:rsid w:val="00AA2A1C"/>
    <w:rsid w:val="00AA2B75"/>
    <w:rsid w:val="00AA2DA0"/>
    <w:rsid w:val="00AA2DB5"/>
    <w:rsid w:val="00AA2EF9"/>
    <w:rsid w:val="00AA2F59"/>
    <w:rsid w:val="00AA3280"/>
    <w:rsid w:val="00AA3354"/>
    <w:rsid w:val="00AA38BA"/>
    <w:rsid w:val="00AA3ABC"/>
    <w:rsid w:val="00AA3B9D"/>
    <w:rsid w:val="00AA3BBF"/>
    <w:rsid w:val="00AA3E2E"/>
    <w:rsid w:val="00AA3F0B"/>
    <w:rsid w:val="00AA3FF2"/>
    <w:rsid w:val="00AA40E8"/>
    <w:rsid w:val="00AA412C"/>
    <w:rsid w:val="00AA4527"/>
    <w:rsid w:val="00AA458F"/>
    <w:rsid w:val="00AA4629"/>
    <w:rsid w:val="00AA46E7"/>
    <w:rsid w:val="00AA47C7"/>
    <w:rsid w:val="00AA4E25"/>
    <w:rsid w:val="00AA4F50"/>
    <w:rsid w:val="00AA4FBE"/>
    <w:rsid w:val="00AA517A"/>
    <w:rsid w:val="00AA536F"/>
    <w:rsid w:val="00AA567C"/>
    <w:rsid w:val="00AA5732"/>
    <w:rsid w:val="00AA5950"/>
    <w:rsid w:val="00AA5953"/>
    <w:rsid w:val="00AA5981"/>
    <w:rsid w:val="00AA5B3B"/>
    <w:rsid w:val="00AA6401"/>
    <w:rsid w:val="00AA64E0"/>
    <w:rsid w:val="00AA64E5"/>
    <w:rsid w:val="00AA65C0"/>
    <w:rsid w:val="00AA6618"/>
    <w:rsid w:val="00AA6645"/>
    <w:rsid w:val="00AA67EF"/>
    <w:rsid w:val="00AA683E"/>
    <w:rsid w:val="00AA68FF"/>
    <w:rsid w:val="00AA699D"/>
    <w:rsid w:val="00AA6A49"/>
    <w:rsid w:val="00AA6BBB"/>
    <w:rsid w:val="00AA6C28"/>
    <w:rsid w:val="00AA6ED9"/>
    <w:rsid w:val="00AA7653"/>
    <w:rsid w:val="00AA7768"/>
    <w:rsid w:val="00AA78D1"/>
    <w:rsid w:val="00AA78DF"/>
    <w:rsid w:val="00AA790D"/>
    <w:rsid w:val="00AA7A92"/>
    <w:rsid w:val="00AA7ADE"/>
    <w:rsid w:val="00AA7AF1"/>
    <w:rsid w:val="00AA7BA7"/>
    <w:rsid w:val="00AA7C7F"/>
    <w:rsid w:val="00AA7E27"/>
    <w:rsid w:val="00AA7E6B"/>
    <w:rsid w:val="00AA7F46"/>
    <w:rsid w:val="00AB016C"/>
    <w:rsid w:val="00AB0553"/>
    <w:rsid w:val="00AB05E9"/>
    <w:rsid w:val="00AB068E"/>
    <w:rsid w:val="00AB06EB"/>
    <w:rsid w:val="00AB07F8"/>
    <w:rsid w:val="00AB0872"/>
    <w:rsid w:val="00AB09DA"/>
    <w:rsid w:val="00AB0B5D"/>
    <w:rsid w:val="00AB0D67"/>
    <w:rsid w:val="00AB0DFF"/>
    <w:rsid w:val="00AB0EB3"/>
    <w:rsid w:val="00AB0F0F"/>
    <w:rsid w:val="00AB165A"/>
    <w:rsid w:val="00AB16EB"/>
    <w:rsid w:val="00AB1AB1"/>
    <w:rsid w:val="00AB1E38"/>
    <w:rsid w:val="00AB20EA"/>
    <w:rsid w:val="00AB2331"/>
    <w:rsid w:val="00AB258A"/>
    <w:rsid w:val="00AB2777"/>
    <w:rsid w:val="00AB2B7E"/>
    <w:rsid w:val="00AB2D42"/>
    <w:rsid w:val="00AB2D84"/>
    <w:rsid w:val="00AB3408"/>
    <w:rsid w:val="00AB347F"/>
    <w:rsid w:val="00AB3720"/>
    <w:rsid w:val="00AB37CC"/>
    <w:rsid w:val="00AB37EB"/>
    <w:rsid w:val="00AB3805"/>
    <w:rsid w:val="00AB3878"/>
    <w:rsid w:val="00AB3C5A"/>
    <w:rsid w:val="00AB3F34"/>
    <w:rsid w:val="00AB462D"/>
    <w:rsid w:val="00AB48B2"/>
    <w:rsid w:val="00AB4BFB"/>
    <w:rsid w:val="00AB4D2F"/>
    <w:rsid w:val="00AB4EE3"/>
    <w:rsid w:val="00AB4F2C"/>
    <w:rsid w:val="00AB4FCD"/>
    <w:rsid w:val="00AB515B"/>
    <w:rsid w:val="00AB518E"/>
    <w:rsid w:val="00AB51B7"/>
    <w:rsid w:val="00AB51CE"/>
    <w:rsid w:val="00AB54BF"/>
    <w:rsid w:val="00AB5546"/>
    <w:rsid w:val="00AB57D4"/>
    <w:rsid w:val="00AB59E6"/>
    <w:rsid w:val="00AB5CD5"/>
    <w:rsid w:val="00AB5EC1"/>
    <w:rsid w:val="00AB5F54"/>
    <w:rsid w:val="00AB60BE"/>
    <w:rsid w:val="00AB649B"/>
    <w:rsid w:val="00AB64FE"/>
    <w:rsid w:val="00AB655F"/>
    <w:rsid w:val="00AB6795"/>
    <w:rsid w:val="00AB6C0A"/>
    <w:rsid w:val="00AB6D4D"/>
    <w:rsid w:val="00AB6DA1"/>
    <w:rsid w:val="00AB6EA3"/>
    <w:rsid w:val="00AB702C"/>
    <w:rsid w:val="00AB724A"/>
    <w:rsid w:val="00AB753E"/>
    <w:rsid w:val="00AB7669"/>
    <w:rsid w:val="00AB795F"/>
    <w:rsid w:val="00AB7C13"/>
    <w:rsid w:val="00AB7C6E"/>
    <w:rsid w:val="00AB7D32"/>
    <w:rsid w:val="00AB7DC6"/>
    <w:rsid w:val="00AB7F87"/>
    <w:rsid w:val="00AC011E"/>
    <w:rsid w:val="00AC0398"/>
    <w:rsid w:val="00AC04B7"/>
    <w:rsid w:val="00AC06F6"/>
    <w:rsid w:val="00AC0A46"/>
    <w:rsid w:val="00AC0B51"/>
    <w:rsid w:val="00AC0BAD"/>
    <w:rsid w:val="00AC0BC6"/>
    <w:rsid w:val="00AC0E35"/>
    <w:rsid w:val="00AC0E40"/>
    <w:rsid w:val="00AC0EAD"/>
    <w:rsid w:val="00AC1728"/>
    <w:rsid w:val="00AC17F8"/>
    <w:rsid w:val="00AC188F"/>
    <w:rsid w:val="00AC191E"/>
    <w:rsid w:val="00AC1A37"/>
    <w:rsid w:val="00AC1AF3"/>
    <w:rsid w:val="00AC2321"/>
    <w:rsid w:val="00AC252D"/>
    <w:rsid w:val="00AC2E39"/>
    <w:rsid w:val="00AC2F0F"/>
    <w:rsid w:val="00AC2F8F"/>
    <w:rsid w:val="00AC327B"/>
    <w:rsid w:val="00AC347C"/>
    <w:rsid w:val="00AC382B"/>
    <w:rsid w:val="00AC3F02"/>
    <w:rsid w:val="00AC4120"/>
    <w:rsid w:val="00AC4234"/>
    <w:rsid w:val="00AC4260"/>
    <w:rsid w:val="00AC4266"/>
    <w:rsid w:val="00AC4746"/>
    <w:rsid w:val="00AC48FB"/>
    <w:rsid w:val="00AC4A71"/>
    <w:rsid w:val="00AC4C89"/>
    <w:rsid w:val="00AC4F35"/>
    <w:rsid w:val="00AC509C"/>
    <w:rsid w:val="00AC5137"/>
    <w:rsid w:val="00AC5540"/>
    <w:rsid w:val="00AC59F2"/>
    <w:rsid w:val="00AC5CC8"/>
    <w:rsid w:val="00AC5D04"/>
    <w:rsid w:val="00AC5E88"/>
    <w:rsid w:val="00AC5F2E"/>
    <w:rsid w:val="00AC61EC"/>
    <w:rsid w:val="00AC62FF"/>
    <w:rsid w:val="00AC69BD"/>
    <w:rsid w:val="00AC6B2F"/>
    <w:rsid w:val="00AC6BF2"/>
    <w:rsid w:val="00AC7042"/>
    <w:rsid w:val="00AC707A"/>
    <w:rsid w:val="00AC708A"/>
    <w:rsid w:val="00AC78D4"/>
    <w:rsid w:val="00AC79F8"/>
    <w:rsid w:val="00AC7A16"/>
    <w:rsid w:val="00AD00AB"/>
    <w:rsid w:val="00AD01A1"/>
    <w:rsid w:val="00AD02CE"/>
    <w:rsid w:val="00AD0344"/>
    <w:rsid w:val="00AD038D"/>
    <w:rsid w:val="00AD073D"/>
    <w:rsid w:val="00AD0743"/>
    <w:rsid w:val="00AD0900"/>
    <w:rsid w:val="00AD09A1"/>
    <w:rsid w:val="00AD0CB3"/>
    <w:rsid w:val="00AD0D34"/>
    <w:rsid w:val="00AD0EAD"/>
    <w:rsid w:val="00AD0F96"/>
    <w:rsid w:val="00AD12D8"/>
    <w:rsid w:val="00AD16D3"/>
    <w:rsid w:val="00AD1888"/>
    <w:rsid w:val="00AD195F"/>
    <w:rsid w:val="00AD207D"/>
    <w:rsid w:val="00AD2125"/>
    <w:rsid w:val="00AD21F1"/>
    <w:rsid w:val="00AD228E"/>
    <w:rsid w:val="00AD249C"/>
    <w:rsid w:val="00AD24BC"/>
    <w:rsid w:val="00AD2599"/>
    <w:rsid w:val="00AD2A17"/>
    <w:rsid w:val="00AD2A9B"/>
    <w:rsid w:val="00AD2AD2"/>
    <w:rsid w:val="00AD2C34"/>
    <w:rsid w:val="00AD2CBA"/>
    <w:rsid w:val="00AD2E98"/>
    <w:rsid w:val="00AD2FEC"/>
    <w:rsid w:val="00AD30B0"/>
    <w:rsid w:val="00AD30F9"/>
    <w:rsid w:val="00AD31D5"/>
    <w:rsid w:val="00AD335D"/>
    <w:rsid w:val="00AD38DD"/>
    <w:rsid w:val="00AD3B68"/>
    <w:rsid w:val="00AD3C36"/>
    <w:rsid w:val="00AD3C70"/>
    <w:rsid w:val="00AD3E5C"/>
    <w:rsid w:val="00AD3F9E"/>
    <w:rsid w:val="00AD40E7"/>
    <w:rsid w:val="00AD472F"/>
    <w:rsid w:val="00AD4CF5"/>
    <w:rsid w:val="00AD4D30"/>
    <w:rsid w:val="00AD5010"/>
    <w:rsid w:val="00AD506C"/>
    <w:rsid w:val="00AD5458"/>
    <w:rsid w:val="00AD54E2"/>
    <w:rsid w:val="00AD5B81"/>
    <w:rsid w:val="00AD60B1"/>
    <w:rsid w:val="00AD6107"/>
    <w:rsid w:val="00AD65AA"/>
    <w:rsid w:val="00AD6A3B"/>
    <w:rsid w:val="00AD6F32"/>
    <w:rsid w:val="00AD7158"/>
    <w:rsid w:val="00AD7311"/>
    <w:rsid w:val="00AD7368"/>
    <w:rsid w:val="00AD738C"/>
    <w:rsid w:val="00AD7472"/>
    <w:rsid w:val="00AD750F"/>
    <w:rsid w:val="00AD7865"/>
    <w:rsid w:val="00AD7AB0"/>
    <w:rsid w:val="00AD7AF3"/>
    <w:rsid w:val="00AD7C37"/>
    <w:rsid w:val="00AD7F50"/>
    <w:rsid w:val="00AD7F7D"/>
    <w:rsid w:val="00AD7FA3"/>
    <w:rsid w:val="00AE0127"/>
    <w:rsid w:val="00AE0186"/>
    <w:rsid w:val="00AE0497"/>
    <w:rsid w:val="00AE0A2A"/>
    <w:rsid w:val="00AE0B55"/>
    <w:rsid w:val="00AE0CDD"/>
    <w:rsid w:val="00AE10DE"/>
    <w:rsid w:val="00AE11D1"/>
    <w:rsid w:val="00AE135A"/>
    <w:rsid w:val="00AE1540"/>
    <w:rsid w:val="00AE1812"/>
    <w:rsid w:val="00AE1824"/>
    <w:rsid w:val="00AE1A30"/>
    <w:rsid w:val="00AE1B7E"/>
    <w:rsid w:val="00AE1B94"/>
    <w:rsid w:val="00AE1E9E"/>
    <w:rsid w:val="00AE27F2"/>
    <w:rsid w:val="00AE2BE3"/>
    <w:rsid w:val="00AE2EAC"/>
    <w:rsid w:val="00AE31DD"/>
    <w:rsid w:val="00AE3602"/>
    <w:rsid w:val="00AE3670"/>
    <w:rsid w:val="00AE387B"/>
    <w:rsid w:val="00AE39FE"/>
    <w:rsid w:val="00AE3E06"/>
    <w:rsid w:val="00AE3E35"/>
    <w:rsid w:val="00AE40C5"/>
    <w:rsid w:val="00AE40DF"/>
    <w:rsid w:val="00AE4161"/>
    <w:rsid w:val="00AE417C"/>
    <w:rsid w:val="00AE4381"/>
    <w:rsid w:val="00AE4812"/>
    <w:rsid w:val="00AE4AC3"/>
    <w:rsid w:val="00AE4ADC"/>
    <w:rsid w:val="00AE4B7F"/>
    <w:rsid w:val="00AE4EAB"/>
    <w:rsid w:val="00AE4EC2"/>
    <w:rsid w:val="00AE511B"/>
    <w:rsid w:val="00AE513D"/>
    <w:rsid w:val="00AE5159"/>
    <w:rsid w:val="00AE51D8"/>
    <w:rsid w:val="00AE520E"/>
    <w:rsid w:val="00AE56F2"/>
    <w:rsid w:val="00AE5737"/>
    <w:rsid w:val="00AE5777"/>
    <w:rsid w:val="00AE57CC"/>
    <w:rsid w:val="00AE59BF"/>
    <w:rsid w:val="00AE5A02"/>
    <w:rsid w:val="00AE5A99"/>
    <w:rsid w:val="00AE5B86"/>
    <w:rsid w:val="00AE5E47"/>
    <w:rsid w:val="00AE636A"/>
    <w:rsid w:val="00AE63D3"/>
    <w:rsid w:val="00AE64CC"/>
    <w:rsid w:val="00AE67C3"/>
    <w:rsid w:val="00AE6897"/>
    <w:rsid w:val="00AE69DF"/>
    <w:rsid w:val="00AE6B92"/>
    <w:rsid w:val="00AE6F4A"/>
    <w:rsid w:val="00AE70A3"/>
    <w:rsid w:val="00AE7317"/>
    <w:rsid w:val="00AE736C"/>
    <w:rsid w:val="00AE7550"/>
    <w:rsid w:val="00AE7756"/>
    <w:rsid w:val="00AE7DAD"/>
    <w:rsid w:val="00AF002D"/>
    <w:rsid w:val="00AF0428"/>
    <w:rsid w:val="00AF0F12"/>
    <w:rsid w:val="00AF1644"/>
    <w:rsid w:val="00AF1695"/>
    <w:rsid w:val="00AF1780"/>
    <w:rsid w:val="00AF178B"/>
    <w:rsid w:val="00AF2B0B"/>
    <w:rsid w:val="00AF2EA4"/>
    <w:rsid w:val="00AF2EB0"/>
    <w:rsid w:val="00AF319A"/>
    <w:rsid w:val="00AF32D3"/>
    <w:rsid w:val="00AF358B"/>
    <w:rsid w:val="00AF35A3"/>
    <w:rsid w:val="00AF38F6"/>
    <w:rsid w:val="00AF3BE7"/>
    <w:rsid w:val="00AF3E67"/>
    <w:rsid w:val="00AF40BC"/>
    <w:rsid w:val="00AF41A4"/>
    <w:rsid w:val="00AF41BA"/>
    <w:rsid w:val="00AF4492"/>
    <w:rsid w:val="00AF47CE"/>
    <w:rsid w:val="00AF4871"/>
    <w:rsid w:val="00AF4BC0"/>
    <w:rsid w:val="00AF4BDA"/>
    <w:rsid w:val="00AF4D5A"/>
    <w:rsid w:val="00AF5798"/>
    <w:rsid w:val="00AF57DE"/>
    <w:rsid w:val="00AF5B51"/>
    <w:rsid w:val="00AF5DCD"/>
    <w:rsid w:val="00AF5E97"/>
    <w:rsid w:val="00AF6085"/>
    <w:rsid w:val="00AF60DC"/>
    <w:rsid w:val="00AF6136"/>
    <w:rsid w:val="00AF618E"/>
    <w:rsid w:val="00AF64BB"/>
    <w:rsid w:val="00AF667E"/>
    <w:rsid w:val="00AF66C0"/>
    <w:rsid w:val="00AF6823"/>
    <w:rsid w:val="00AF6892"/>
    <w:rsid w:val="00AF6B96"/>
    <w:rsid w:val="00AF6BD9"/>
    <w:rsid w:val="00AF6CC5"/>
    <w:rsid w:val="00AF6D09"/>
    <w:rsid w:val="00AF6EAB"/>
    <w:rsid w:val="00AF6F09"/>
    <w:rsid w:val="00AF6FCE"/>
    <w:rsid w:val="00AF7321"/>
    <w:rsid w:val="00AF750C"/>
    <w:rsid w:val="00AF78DD"/>
    <w:rsid w:val="00AF794E"/>
    <w:rsid w:val="00AF79FF"/>
    <w:rsid w:val="00AF7A97"/>
    <w:rsid w:val="00AF7BDD"/>
    <w:rsid w:val="00B00007"/>
    <w:rsid w:val="00B0000C"/>
    <w:rsid w:val="00B0031E"/>
    <w:rsid w:val="00B0039C"/>
    <w:rsid w:val="00B0076F"/>
    <w:rsid w:val="00B0093B"/>
    <w:rsid w:val="00B00C86"/>
    <w:rsid w:val="00B011DF"/>
    <w:rsid w:val="00B01222"/>
    <w:rsid w:val="00B0142F"/>
    <w:rsid w:val="00B015CC"/>
    <w:rsid w:val="00B0170B"/>
    <w:rsid w:val="00B017D3"/>
    <w:rsid w:val="00B017E3"/>
    <w:rsid w:val="00B01C5E"/>
    <w:rsid w:val="00B01D24"/>
    <w:rsid w:val="00B01E02"/>
    <w:rsid w:val="00B01F61"/>
    <w:rsid w:val="00B01F66"/>
    <w:rsid w:val="00B024E1"/>
    <w:rsid w:val="00B0288F"/>
    <w:rsid w:val="00B029E6"/>
    <w:rsid w:val="00B02A45"/>
    <w:rsid w:val="00B02A65"/>
    <w:rsid w:val="00B02D81"/>
    <w:rsid w:val="00B02DFF"/>
    <w:rsid w:val="00B03102"/>
    <w:rsid w:val="00B031A2"/>
    <w:rsid w:val="00B03230"/>
    <w:rsid w:val="00B03268"/>
    <w:rsid w:val="00B032E9"/>
    <w:rsid w:val="00B034D8"/>
    <w:rsid w:val="00B03627"/>
    <w:rsid w:val="00B039E1"/>
    <w:rsid w:val="00B03B09"/>
    <w:rsid w:val="00B03B13"/>
    <w:rsid w:val="00B03BA3"/>
    <w:rsid w:val="00B03C6B"/>
    <w:rsid w:val="00B03D62"/>
    <w:rsid w:val="00B03DE0"/>
    <w:rsid w:val="00B03F19"/>
    <w:rsid w:val="00B040B1"/>
    <w:rsid w:val="00B040CD"/>
    <w:rsid w:val="00B044BF"/>
    <w:rsid w:val="00B04593"/>
    <w:rsid w:val="00B0460F"/>
    <w:rsid w:val="00B04850"/>
    <w:rsid w:val="00B04852"/>
    <w:rsid w:val="00B04867"/>
    <w:rsid w:val="00B04D8C"/>
    <w:rsid w:val="00B04F33"/>
    <w:rsid w:val="00B050CF"/>
    <w:rsid w:val="00B052C0"/>
    <w:rsid w:val="00B05394"/>
    <w:rsid w:val="00B0575B"/>
    <w:rsid w:val="00B05973"/>
    <w:rsid w:val="00B05C4F"/>
    <w:rsid w:val="00B05D56"/>
    <w:rsid w:val="00B05D5B"/>
    <w:rsid w:val="00B05E64"/>
    <w:rsid w:val="00B05FC2"/>
    <w:rsid w:val="00B0619C"/>
    <w:rsid w:val="00B0630E"/>
    <w:rsid w:val="00B065E4"/>
    <w:rsid w:val="00B06706"/>
    <w:rsid w:val="00B06BA7"/>
    <w:rsid w:val="00B06C86"/>
    <w:rsid w:val="00B06D9F"/>
    <w:rsid w:val="00B06FBB"/>
    <w:rsid w:val="00B0709F"/>
    <w:rsid w:val="00B071DA"/>
    <w:rsid w:val="00B072AB"/>
    <w:rsid w:val="00B073BF"/>
    <w:rsid w:val="00B079E5"/>
    <w:rsid w:val="00B07DBB"/>
    <w:rsid w:val="00B1008F"/>
    <w:rsid w:val="00B10370"/>
    <w:rsid w:val="00B1045A"/>
    <w:rsid w:val="00B104AE"/>
    <w:rsid w:val="00B1056A"/>
    <w:rsid w:val="00B10651"/>
    <w:rsid w:val="00B1077E"/>
    <w:rsid w:val="00B107A1"/>
    <w:rsid w:val="00B10870"/>
    <w:rsid w:val="00B10A1D"/>
    <w:rsid w:val="00B10BEA"/>
    <w:rsid w:val="00B11435"/>
    <w:rsid w:val="00B11439"/>
    <w:rsid w:val="00B1151B"/>
    <w:rsid w:val="00B11550"/>
    <w:rsid w:val="00B1188E"/>
    <w:rsid w:val="00B11990"/>
    <w:rsid w:val="00B11BA4"/>
    <w:rsid w:val="00B11D09"/>
    <w:rsid w:val="00B11EE6"/>
    <w:rsid w:val="00B11FA1"/>
    <w:rsid w:val="00B12287"/>
    <w:rsid w:val="00B123DF"/>
    <w:rsid w:val="00B12787"/>
    <w:rsid w:val="00B128C7"/>
    <w:rsid w:val="00B12A5B"/>
    <w:rsid w:val="00B12AD2"/>
    <w:rsid w:val="00B12ADC"/>
    <w:rsid w:val="00B12C30"/>
    <w:rsid w:val="00B12C9E"/>
    <w:rsid w:val="00B12CAA"/>
    <w:rsid w:val="00B12DC7"/>
    <w:rsid w:val="00B12EAF"/>
    <w:rsid w:val="00B12EB0"/>
    <w:rsid w:val="00B12FF1"/>
    <w:rsid w:val="00B1352D"/>
    <w:rsid w:val="00B13BF8"/>
    <w:rsid w:val="00B13BFD"/>
    <w:rsid w:val="00B13D9C"/>
    <w:rsid w:val="00B14131"/>
    <w:rsid w:val="00B1423D"/>
    <w:rsid w:val="00B1428F"/>
    <w:rsid w:val="00B145E9"/>
    <w:rsid w:val="00B14769"/>
    <w:rsid w:val="00B14C1B"/>
    <w:rsid w:val="00B14C5B"/>
    <w:rsid w:val="00B14C71"/>
    <w:rsid w:val="00B15181"/>
    <w:rsid w:val="00B152B7"/>
    <w:rsid w:val="00B1530A"/>
    <w:rsid w:val="00B1537F"/>
    <w:rsid w:val="00B1545E"/>
    <w:rsid w:val="00B15636"/>
    <w:rsid w:val="00B156E2"/>
    <w:rsid w:val="00B15739"/>
    <w:rsid w:val="00B15EDA"/>
    <w:rsid w:val="00B15FE4"/>
    <w:rsid w:val="00B16124"/>
    <w:rsid w:val="00B1632D"/>
    <w:rsid w:val="00B16334"/>
    <w:rsid w:val="00B163F5"/>
    <w:rsid w:val="00B16733"/>
    <w:rsid w:val="00B16BC2"/>
    <w:rsid w:val="00B16C4A"/>
    <w:rsid w:val="00B16C84"/>
    <w:rsid w:val="00B16FD2"/>
    <w:rsid w:val="00B1738A"/>
    <w:rsid w:val="00B1751C"/>
    <w:rsid w:val="00B1757C"/>
    <w:rsid w:val="00B17583"/>
    <w:rsid w:val="00B17682"/>
    <w:rsid w:val="00B1770D"/>
    <w:rsid w:val="00B1784A"/>
    <w:rsid w:val="00B17D2E"/>
    <w:rsid w:val="00B17D38"/>
    <w:rsid w:val="00B17D9E"/>
    <w:rsid w:val="00B17E31"/>
    <w:rsid w:val="00B17F6A"/>
    <w:rsid w:val="00B17FAB"/>
    <w:rsid w:val="00B200B8"/>
    <w:rsid w:val="00B20930"/>
    <w:rsid w:val="00B20B05"/>
    <w:rsid w:val="00B20B64"/>
    <w:rsid w:val="00B20BDD"/>
    <w:rsid w:val="00B20DAE"/>
    <w:rsid w:val="00B20F08"/>
    <w:rsid w:val="00B20F73"/>
    <w:rsid w:val="00B21014"/>
    <w:rsid w:val="00B210D5"/>
    <w:rsid w:val="00B210FB"/>
    <w:rsid w:val="00B21168"/>
    <w:rsid w:val="00B21273"/>
    <w:rsid w:val="00B2135B"/>
    <w:rsid w:val="00B213B7"/>
    <w:rsid w:val="00B21735"/>
    <w:rsid w:val="00B21805"/>
    <w:rsid w:val="00B218A2"/>
    <w:rsid w:val="00B218E8"/>
    <w:rsid w:val="00B21C97"/>
    <w:rsid w:val="00B21D0C"/>
    <w:rsid w:val="00B21DBF"/>
    <w:rsid w:val="00B2247A"/>
    <w:rsid w:val="00B2297B"/>
    <w:rsid w:val="00B2298A"/>
    <w:rsid w:val="00B2299E"/>
    <w:rsid w:val="00B22A40"/>
    <w:rsid w:val="00B22BCC"/>
    <w:rsid w:val="00B22DA6"/>
    <w:rsid w:val="00B23038"/>
    <w:rsid w:val="00B23093"/>
    <w:rsid w:val="00B231EC"/>
    <w:rsid w:val="00B2324D"/>
    <w:rsid w:val="00B23316"/>
    <w:rsid w:val="00B234C2"/>
    <w:rsid w:val="00B23520"/>
    <w:rsid w:val="00B236AD"/>
    <w:rsid w:val="00B236BD"/>
    <w:rsid w:val="00B23753"/>
    <w:rsid w:val="00B23935"/>
    <w:rsid w:val="00B23CC6"/>
    <w:rsid w:val="00B24153"/>
    <w:rsid w:val="00B2415C"/>
    <w:rsid w:val="00B24392"/>
    <w:rsid w:val="00B24505"/>
    <w:rsid w:val="00B2469F"/>
    <w:rsid w:val="00B249E8"/>
    <w:rsid w:val="00B24AEE"/>
    <w:rsid w:val="00B24BAF"/>
    <w:rsid w:val="00B24BE9"/>
    <w:rsid w:val="00B24CBC"/>
    <w:rsid w:val="00B24E19"/>
    <w:rsid w:val="00B24EF9"/>
    <w:rsid w:val="00B25059"/>
    <w:rsid w:val="00B250EC"/>
    <w:rsid w:val="00B25110"/>
    <w:rsid w:val="00B257B5"/>
    <w:rsid w:val="00B2591E"/>
    <w:rsid w:val="00B25A31"/>
    <w:rsid w:val="00B25BBA"/>
    <w:rsid w:val="00B26538"/>
    <w:rsid w:val="00B26730"/>
    <w:rsid w:val="00B26AA9"/>
    <w:rsid w:val="00B26C60"/>
    <w:rsid w:val="00B26C63"/>
    <w:rsid w:val="00B26DAD"/>
    <w:rsid w:val="00B27045"/>
    <w:rsid w:val="00B270E0"/>
    <w:rsid w:val="00B2710E"/>
    <w:rsid w:val="00B271C0"/>
    <w:rsid w:val="00B272F6"/>
    <w:rsid w:val="00B27357"/>
    <w:rsid w:val="00B2747B"/>
    <w:rsid w:val="00B278F8"/>
    <w:rsid w:val="00B27A2B"/>
    <w:rsid w:val="00B27B45"/>
    <w:rsid w:val="00B27C94"/>
    <w:rsid w:val="00B27DFA"/>
    <w:rsid w:val="00B30273"/>
    <w:rsid w:val="00B303B3"/>
    <w:rsid w:val="00B30637"/>
    <w:rsid w:val="00B308D0"/>
    <w:rsid w:val="00B30DBD"/>
    <w:rsid w:val="00B30F5E"/>
    <w:rsid w:val="00B30FE4"/>
    <w:rsid w:val="00B3108E"/>
    <w:rsid w:val="00B312C6"/>
    <w:rsid w:val="00B319ED"/>
    <w:rsid w:val="00B31A04"/>
    <w:rsid w:val="00B31A33"/>
    <w:rsid w:val="00B31DCA"/>
    <w:rsid w:val="00B31F57"/>
    <w:rsid w:val="00B3220C"/>
    <w:rsid w:val="00B322AB"/>
    <w:rsid w:val="00B32415"/>
    <w:rsid w:val="00B32543"/>
    <w:rsid w:val="00B3257B"/>
    <w:rsid w:val="00B32681"/>
    <w:rsid w:val="00B32C40"/>
    <w:rsid w:val="00B32E7C"/>
    <w:rsid w:val="00B32F43"/>
    <w:rsid w:val="00B331B2"/>
    <w:rsid w:val="00B331B8"/>
    <w:rsid w:val="00B3333B"/>
    <w:rsid w:val="00B33362"/>
    <w:rsid w:val="00B3395E"/>
    <w:rsid w:val="00B33AA3"/>
    <w:rsid w:val="00B33B5E"/>
    <w:rsid w:val="00B33BE9"/>
    <w:rsid w:val="00B33D87"/>
    <w:rsid w:val="00B33FDF"/>
    <w:rsid w:val="00B341AA"/>
    <w:rsid w:val="00B34363"/>
    <w:rsid w:val="00B34428"/>
    <w:rsid w:val="00B34457"/>
    <w:rsid w:val="00B344BB"/>
    <w:rsid w:val="00B345D8"/>
    <w:rsid w:val="00B34659"/>
    <w:rsid w:val="00B348DF"/>
    <w:rsid w:val="00B3492E"/>
    <w:rsid w:val="00B349AF"/>
    <w:rsid w:val="00B34C31"/>
    <w:rsid w:val="00B3511E"/>
    <w:rsid w:val="00B351C9"/>
    <w:rsid w:val="00B3522C"/>
    <w:rsid w:val="00B35923"/>
    <w:rsid w:val="00B35A20"/>
    <w:rsid w:val="00B35BDA"/>
    <w:rsid w:val="00B35ECF"/>
    <w:rsid w:val="00B35FA8"/>
    <w:rsid w:val="00B35FD7"/>
    <w:rsid w:val="00B36275"/>
    <w:rsid w:val="00B36769"/>
    <w:rsid w:val="00B36A60"/>
    <w:rsid w:val="00B36B50"/>
    <w:rsid w:val="00B36D0F"/>
    <w:rsid w:val="00B370DC"/>
    <w:rsid w:val="00B3710D"/>
    <w:rsid w:val="00B371D0"/>
    <w:rsid w:val="00B37257"/>
    <w:rsid w:val="00B37452"/>
    <w:rsid w:val="00B37533"/>
    <w:rsid w:val="00B3784D"/>
    <w:rsid w:val="00B3793D"/>
    <w:rsid w:val="00B379E4"/>
    <w:rsid w:val="00B37C2F"/>
    <w:rsid w:val="00B37D9C"/>
    <w:rsid w:val="00B37EFC"/>
    <w:rsid w:val="00B37F38"/>
    <w:rsid w:val="00B37FC8"/>
    <w:rsid w:val="00B40002"/>
    <w:rsid w:val="00B4004C"/>
    <w:rsid w:val="00B40118"/>
    <w:rsid w:val="00B404E8"/>
    <w:rsid w:val="00B4069B"/>
    <w:rsid w:val="00B406F8"/>
    <w:rsid w:val="00B406FF"/>
    <w:rsid w:val="00B40B70"/>
    <w:rsid w:val="00B40EA7"/>
    <w:rsid w:val="00B40F17"/>
    <w:rsid w:val="00B40F6F"/>
    <w:rsid w:val="00B41063"/>
    <w:rsid w:val="00B410F2"/>
    <w:rsid w:val="00B4156E"/>
    <w:rsid w:val="00B41762"/>
    <w:rsid w:val="00B41861"/>
    <w:rsid w:val="00B41955"/>
    <w:rsid w:val="00B419F3"/>
    <w:rsid w:val="00B41CAB"/>
    <w:rsid w:val="00B4201F"/>
    <w:rsid w:val="00B4203B"/>
    <w:rsid w:val="00B420D0"/>
    <w:rsid w:val="00B4273F"/>
    <w:rsid w:val="00B42E31"/>
    <w:rsid w:val="00B43199"/>
    <w:rsid w:val="00B43289"/>
    <w:rsid w:val="00B43373"/>
    <w:rsid w:val="00B43381"/>
    <w:rsid w:val="00B435BA"/>
    <w:rsid w:val="00B4367F"/>
    <w:rsid w:val="00B43786"/>
    <w:rsid w:val="00B438F1"/>
    <w:rsid w:val="00B43ED0"/>
    <w:rsid w:val="00B43F25"/>
    <w:rsid w:val="00B440B6"/>
    <w:rsid w:val="00B44230"/>
    <w:rsid w:val="00B4450F"/>
    <w:rsid w:val="00B44519"/>
    <w:rsid w:val="00B4464E"/>
    <w:rsid w:val="00B446BE"/>
    <w:rsid w:val="00B44969"/>
    <w:rsid w:val="00B44A74"/>
    <w:rsid w:val="00B44B91"/>
    <w:rsid w:val="00B44C3C"/>
    <w:rsid w:val="00B44CE2"/>
    <w:rsid w:val="00B45326"/>
    <w:rsid w:val="00B45373"/>
    <w:rsid w:val="00B453A5"/>
    <w:rsid w:val="00B453EC"/>
    <w:rsid w:val="00B454A9"/>
    <w:rsid w:val="00B4552A"/>
    <w:rsid w:val="00B45578"/>
    <w:rsid w:val="00B4564C"/>
    <w:rsid w:val="00B45796"/>
    <w:rsid w:val="00B459D8"/>
    <w:rsid w:val="00B45CEA"/>
    <w:rsid w:val="00B45D0A"/>
    <w:rsid w:val="00B4627F"/>
    <w:rsid w:val="00B463C5"/>
    <w:rsid w:val="00B4646B"/>
    <w:rsid w:val="00B464E7"/>
    <w:rsid w:val="00B465B4"/>
    <w:rsid w:val="00B46ECB"/>
    <w:rsid w:val="00B47159"/>
    <w:rsid w:val="00B47228"/>
    <w:rsid w:val="00B47395"/>
    <w:rsid w:val="00B474DC"/>
    <w:rsid w:val="00B4768D"/>
    <w:rsid w:val="00B47798"/>
    <w:rsid w:val="00B47870"/>
    <w:rsid w:val="00B47C72"/>
    <w:rsid w:val="00B47D8D"/>
    <w:rsid w:val="00B47DE3"/>
    <w:rsid w:val="00B501C5"/>
    <w:rsid w:val="00B50320"/>
    <w:rsid w:val="00B5095C"/>
    <w:rsid w:val="00B50B89"/>
    <w:rsid w:val="00B50CC3"/>
    <w:rsid w:val="00B50CFA"/>
    <w:rsid w:val="00B50EF6"/>
    <w:rsid w:val="00B50F30"/>
    <w:rsid w:val="00B51382"/>
    <w:rsid w:val="00B5147D"/>
    <w:rsid w:val="00B51542"/>
    <w:rsid w:val="00B51791"/>
    <w:rsid w:val="00B5180B"/>
    <w:rsid w:val="00B51A3E"/>
    <w:rsid w:val="00B51A4F"/>
    <w:rsid w:val="00B51AED"/>
    <w:rsid w:val="00B51BDE"/>
    <w:rsid w:val="00B51D8B"/>
    <w:rsid w:val="00B51EEE"/>
    <w:rsid w:val="00B51FB1"/>
    <w:rsid w:val="00B52074"/>
    <w:rsid w:val="00B520CC"/>
    <w:rsid w:val="00B5210C"/>
    <w:rsid w:val="00B521AC"/>
    <w:rsid w:val="00B522D5"/>
    <w:rsid w:val="00B5259F"/>
    <w:rsid w:val="00B526D5"/>
    <w:rsid w:val="00B527C1"/>
    <w:rsid w:val="00B528B0"/>
    <w:rsid w:val="00B52950"/>
    <w:rsid w:val="00B52E0A"/>
    <w:rsid w:val="00B531C7"/>
    <w:rsid w:val="00B531FD"/>
    <w:rsid w:val="00B5332E"/>
    <w:rsid w:val="00B53842"/>
    <w:rsid w:val="00B53AEB"/>
    <w:rsid w:val="00B53BEC"/>
    <w:rsid w:val="00B53BF1"/>
    <w:rsid w:val="00B53EEF"/>
    <w:rsid w:val="00B53F0C"/>
    <w:rsid w:val="00B53F87"/>
    <w:rsid w:val="00B540B7"/>
    <w:rsid w:val="00B540CD"/>
    <w:rsid w:val="00B541C3"/>
    <w:rsid w:val="00B542E4"/>
    <w:rsid w:val="00B543E8"/>
    <w:rsid w:val="00B543E9"/>
    <w:rsid w:val="00B5466A"/>
    <w:rsid w:val="00B54939"/>
    <w:rsid w:val="00B549B1"/>
    <w:rsid w:val="00B54EC4"/>
    <w:rsid w:val="00B55044"/>
    <w:rsid w:val="00B5512C"/>
    <w:rsid w:val="00B55302"/>
    <w:rsid w:val="00B553E4"/>
    <w:rsid w:val="00B556A1"/>
    <w:rsid w:val="00B55953"/>
    <w:rsid w:val="00B55956"/>
    <w:rsid w:val="00B55DBD"/>
    <w:rsid w:val="00B55EA2"/>
    <w:rsid w:val="00B55F6D"/>
    <w:rsid w:val="00B560D1"/>
    <w:rsid w:val="00B560E6"/>
    <w:rsid w:val="00B563D7"/>
    <w:rsid w:val="00B563F3"/>
    <w:rsid w:val="00B565FC"/>
    <w:rsid w:val="00B567C6"/>
    <w:rsid w:val="00B56B67"/>
    <w:rsid w:val="00B56D18"/>
    <w:rsid w:val="00B56D2A"/>
    <w:rsid w:val="00B56D52"/>
    <w:rsid w:val="00B56E57"/>
    <w:rsid w:val="00B57014"/>
    <w:rsid w:val="00B57023"/>
    <w:rsid w:val="00B57119"/>
    <w:rsid w:val="00B57199"/>
    <w:rsid w:val="00B571F5"/>
    <w:rsid w:val="00B572AD"/>
    <w:rsid w:val="00B5749C"/>
    <w:rsid w:val="00B57816"/>
    <w:rsid w:val="00B57C28"/>
    <w:rsid w:val="00B57D09"/>
    <w:rsid w:val="00B6036D"/>
    <w:rsid w:val="00B603B7"/>
    <w:rsid w:val="00B60491"/>
    <w:rsid w:val="00B6061C"/>
    <w:rsid w:val="00B60A44"/>
    <w:rsid w:val="00B60C74"/>
    <w:rsid w:val="00B60D9C"/>
    <w:rsid w:val="00B6101D"/>
    <w:rsid w:val="00B611CB"/>
    <w:rsid w:val="00B614BC"/>
    <w:rsid w:val="00B616D0"/>
    <w:rsid w:val="00B619BD"/>
    <w:rsid w:val="00B61D0C"/>
    <w:rsid w:val="00B61DC0"/>
    <w:rsid w:val="00B6202D"/>
    <w:rsid w:val="00B620A6"/>
    <w:rsid w:val="00B620C1"/>
    <w:rsid w:val="00B623B9"/>
    <w:rsid w:val="00B62511"/>
    <w:rsid w:val="00B6253A"/>
    <w:rsid w:val="00B627BE"/>
    <w:rsid w:val="00B627DF"/>
    <w:rsid w:val="00B6294E"/>
    <w:rsid w:val="00B62B5E"/>
    <w:rsid w:val="00B62B74"/>
    <w:rsid w:val="00B62BBF"/>
    <w:rsid w:val="00B62CAA"/>
    <w:rsid w:val="00B62DA0"/>
    <w:rsid w:val="00B62F45"/>
    <w:rsid w:val="00B63016"/>
    <w:rsid w:val="00B630F4"/>
    <w:rsid w:val="00B636DD"/>
    <w:rsid w:val="00B637C8"/>
    <w:rsid w:val="00B63854"/>
    <w:rsid w:val="00B6386C"/>
    <w:rsid w:val="00B63A5D"/>
    <w:rsid w:val="00B63DC6"/>
    <w:rsid w:val="00B63FF3"/>
    <w:rsid w:val="00B64245"/>
    <w:rsid w:val="00B64605"/>
    <w:rsid w:val="00B64B4C"/>
    <w:rsid w:val="00B64CDE"/>
    <w:rsid w:val="00B64D26"/>
    <w:rsid w:val="00B64E03"/>
    <w:rsid w:val="00B650D2"/>
    <w:rsid w:val="00B65113"/>
    <w:rsid w:val="00B65431"/>
    <w:rsid w:val="00B65CC3"/>
    <w:rsid w:val="00B65E3D"/>
    <w:rsid w:val="00B65EA4"/>
    <w:rsid w:val="00B65FAD"/>
    <w:rsid w:val="00B6602F"/>
    <w:rsid w:val="00B66077"/>
    <w:rsid w:val="00B660BE"/>
    <w:rsid w:val="00B6613A"/>
    <w:rsid w:val="00B665E2"/>
    <w:rsid w:val="00B6669C"/>
    <w:rsid w:val="00B666F3"/>
    <w:rsid w:val="00B66918"/>
    <w:rsid w:val="00B669EE"/>
    <w:rsid w:val="00B66A46"/>
    <w:rsid w:val="00B66ADD"/>
    <w:rsid w:val="00B66C88"/>
    <w:rsid w:val="00B66D89"/>
    <w:rsid w:val="00B66E82"/>
    <w:rsid w:val="00B66FCE"/>
    <w:rsid w:val="00B67001"/>
    <w:rsid w:val="00B67235"/>
    <w:rsid w:val="00B67407"/>
    <w:rsid w:val="00B67754"/>
    <w:rsid w:val="00B67C20"/>
    <w:rsid w:val="00B67DFC"/>
    <w:rsid w:val="00B67E8E"/>
    <w:rsid w:val="00B67EED"/>
    <w:rsid w:val="00B7043B"/>
    <w:rsid w:val="00B7095C"/>
    <w:rsid w:val="00B709DE"/>
    <w:rsid w:val="00B70D65"/>
    <w:rsid w:val="00B70E88"/>
    <w:rsid w:val="00B7152D"/>
    <w:rsid w:val="00B7169A"/>
    <w:rsid w:val="00B71740"/>
    <w:rsid w:val="00B71838"/>
    <w:rsid w:val="00B718B5"/>
    <w:rsid w:val="00B71C2F"/>
    <w:rsid w:val="00B71CCB"/>
    <w:rsid w:val="00B71D2C"/>
    <w:rsid w:val="00B71E61"/>
    <w:rsid w:val="00B72034"/>
    <w:rsid w:val="00B72123"/>
    <w:rsid w:val="00B72210"/>
    <w:rsid w:val="00B7234B"/>
    <w:rsid w:val="00B72366"/>
    <w:rsid w:val="00B725A1"/>
    <w:rsid w:val="00B7266A"/>
    <w:rsid w:val="00B727AF"/>
    <w:rsid w:val="00B727FF"/>
    <w:rsid w:val="00B732C7"/>
    <w:rsid w:val="00B733C9"/>
    <w:rsid w:val="00B73708"/>
    <w:rsid w:val="00B73891"/>
    <w:rsid w:val="00B73926"/>
    <w:rsid w:val="00B739BC"/>
    <w:rsid w:val="00B73C63"/>
    <w:rsid w:val="00B73DF3"/>
    <w:rsid w:val="00B73FA0"/>
    <w:rsid w:val="00B741A5"/>
    <w:rsid w:val="00B74840"/>
    <w:rsid w:val="00B748B1"/>
    <w:rsid w:val="00B7491C"/>
    <w:rsid w:val="00B7499E"/>
    <w:rsid w:val="00B74AA8"/>
    <w:rsid w:val="00B74B44"/>
    <w:rsid w:val="00B74B72"/>
    <w:rsid w:val="00B75119"/>
    <w:rsid w:val="00B75417"/>
    <w:rsid w:val="00B75465"/>
    <w:rsid w:val="00B7568A"/>
    <w:rsid w:val="00B758B3"/>
    <w:rsid w:val="00B75ADA"/>
    <w:rsid w:val="00B7658B"/>
    <w:rsid w:val="00B76734"/>
    <w:rsid w:val="00B767A6"/>
    <w:rsid w:val="00B76803"/>
    <w:rsid w:val="00B76983"/>
    <w:rsid w:val="00B76D0D"/>
    <w:rsid w:val="00B76D8E"/>
    <w:rsid w:val="00B76E17"/>
    <w:rsid w:val="00B76F72"/>
    <w:rsid w:val="00B76FD7"/>
    <w:rsid w:val="00B772BA"/>
    <w:rsid w:val="00B772DE"/>
    <w:rsid w:val="00B7757B"/>
    <w:rsid w:val="00B776B1"/>
    <w:rsid w:val="00B777DA"/>
    <w:rsid w:val="00B778CB"/>
    <w:rsid w:val="00B779E7"/>
    <w:rsid w:val="00B77E89"/>
    <w:rsid w:val="00B77F53"/>
    <w:rsid w:val="00B8000D"/>
    <w:rsid w:val="00B802B6"/>
    <w:rsid w:val="00B80538"/>
    <w:rsid w:val="00B8093A"/>
    <w:rsid w:val="00B80A0E"/>
    <w:rsid w:val="00B80A2E"/>
    <w:rsid w:val="00B80A94"/>
    <w:rsid w:val="00B810BE"/>
    <w:rsid w:val="00B81192"/>
    <w:rsid w:val="00B81390"/>
    <w:rsid w:val="00B8144E"/>
    <w:rsid w:val="00B81677"/>
    <w:rsid w:val="00B81BB4"/>
    <w:rsid w:val="00B81E9B"/>
    <w:rsid w:val="00B81FCD"/>
    <w:rsid w:val="00B82193"/>
    <w:rsid w:val="00B825C7"/>
    <w:rsid w:val="00B825E1"/>
    <w:rsid w:val="00B82A5C"/>
    <w:rsid w:val="00B82BCB"/>
    <w:rsid w:val="00B82C88"/>
    <w:rsid w:val="00B82FBF"/>
    <w:rsid w:val="00B8310B"/>
    <w:rsid w:val="00B83178"/>
    <w:rsid w:val="00B832CF"/>
    <w:rsid w:val="00B83363"/>
    <w:rsid w:val="00B8353F"/>
    <w:rsid w:val="00B836B5"/>
    <w:rsid w:val="00B836CB"/>
    <w:rsid w:val="00B83ACD"/>
    <w:rsid w:val="00B83B31"/>
    <w:rsid w:val="00B83C2F"/>
    <w:rsid w:val="00B83E8D"/>
    <w:rsid w:val="00B8404B"/>
    <w:rsid w:val="00B841C5"/>
    <w:rsid w:val="00B846DF"/>
    <w:rsid w:val="00B847B6"/>
    <w:rsid w:val="00B847FA"/>
    <w:rsid w:val="00B84981"/>
    <w:rsid w:val="00B84CE2"/>
    <w:rsid w:val="00B84CFD"/>
    <w:rsid w:val="00B84F46"/>
    <w:rsid w:val="00B84F6A"/>
    <w:rsid w:val="00B84FF8"/>
    <w:rsid w:val="00B85146"/>
    <w:rsid w:val="00B851A2"/>
    <w:rsid w:val="00B8524C"/>
    <w:rsid w:val="00B855F2"/>
    <w:rsid w:val="00B85895"/>
    <w:rsid w:val="00B8593D"/>
    <w:rsid w:val="00B85B85"/>
    <w:rsid w:val="00B85D9C"/>
    <w:rsid w:val="00B85E81"/>
    <w:rsid w:val="00B85F7D"/>
    <w:rsid w:val="00B86167"/>
    <w:rsid w:val="00B862D5"/>
    <w:rsid w:val="00B86310"/>
    <w:rsid w:val="00B86400"/>
    <w:rsid w:val="00B864C5"/>
    <w:rsid w:val="00B86584"/>
    <w:rsid w:val="00B865DD"/>
    <w:rsid w:val="00B8686F"/>
    <w:rsid w:val="00B86923"/>
    <w:rsid w:val="00B86950"/>
    <w:rsid w:val="00B869BF"/>
    <w:rsid w:val="00B86A92"/>
    <w:rsid w:val="00B86E06"/>
    <w:rsid w:val="00B86FB5"/>
    <w:rsid w:val="00B8797E"/>
    <w:rsid w:val="00B87F93"/>
    <w:rsid w:val="00B900A9"/>
    <w:rsid w:val="00B90192"/>
    <w:rsid w:val="00B9028E"/>
    <w:rsid w:val="00B9071A"/>
    <w:rsid w:val="00B90760"/>
    <w:rsid w:val="00B909C7"/>
    <w:rsid w:val="00B90C78"/>
    <w:rsid w:val="00B90F88"/>
    <w:rsid w:val="00B91288"/>
    <w:rsid w:val="00B912F8"/>
    <w:rsid w:val="00B9154D"/>
    <w:rsid w:val="00B91690"/>
    <w:rsid w:val="00B91903"/>
    <w:rsid w:val="00B91BEB"/>
    <w:rsid w:val="00B920D9"/>
    <w:rsid w:val="00B923AC"/>
    <w:rsid w:val="00B9245D"/>
    <w:rsid w:val="00B9270E"/>
    <w:rsid w:val="00B92859"/>
    <w:rsid w:val="00B92AD8"/>
    <w:rsid w:val="00B931AA"/>
    <w:rsid w:val="00B9322F"/>
    <w:rsid w:val="00B93455"/>
    <w:rsid w:val="00B934CD"/>
    <w:rsid w:val="00B93685"/>
    <w:rsid w:val="00B937D8"/>
    <w:rsid w:val="00B93998"/>
    <w:rsid w:val="00B93CB7"/>
    <w:rsid w:val="00B93F3C"/>
    <w:rsid w:val="00B93F9A"/>
    <w:rsid w:val="00B942D0"/>
    <w:rsid w:val="00B94489"/>
    <w:rsid w:val="00B944D1"/>
    <w:rsid w:val="00B94916"/>
    <w:rsid w:val="00B94ED4"/>
    <w:rsid w:val="00B94FB0"/>
    <w:rsid w:val="00B95028"/>
    <w:rsid w:val="00B95029"/>
    <w:rsid w:val="00B95039"/>
    <w:rsid w:val="00B95347"/>
    <w:rsid w:val="00B954C8"/>
    <w:rsid w:val="00B957CC"/>
    <w:rsid w:val="00B95AA0"/>
    <w:rsid w:val="00B95BEA"/>
    <w:rsid w:val="00B95D5F"/>
    <w:rsid w:val="00B95DBC"/>
    <w:rsid w:val="00B95FB2"/>
    <w:rsid w:val="00B96103"/>
    <w:rsid w:val="00B9612B"/>
    <w:rsid w:val="00B96234"/>
    <w:rsid w:val="00B964F3"/>
    <w:rsid w:val="00B96747"/>
    <w:rsid w:val="00B969B1"/>
    <w:rsid w:val="00B96E50"/>
    <w:rsid w:val="00B97090"/>
    <w:rsid w:val="00B97111"/>
    <w:rsid w:val="00B97125"/>
    <w:rsid w:val="00B97294"/>
    <w:rsid w:val="00B972DD"/>
    <w:rsid w:val="00B97459"/>
    <w:rsid w:val="00B975F1"/>
    <w:rsid w:val="00B978AD"/>
    <w:rsid w:val="00B978DB"/>
    <w:rsid w:val="00B978EF"/>
    <w:rsid w:val="00B978F5"/>
    <w:rsid w:val="00B9790D"/>
    <w:rsid w:val="00B97C79"/>
    <w:rsid w:val="00B97CA3"/>
    <w:rsid w:val="00B97D04"/>
    <w:rsid w:val="00B97D08"/>
    <w:rsid w:val="00B97D6D"/>
    <w:rsid w:val="00B97EE8"/>
    <w:rsid w:val="00BA0035"/>
    <w:rsid w:val="00BA022F"/>
    <w:rsid w:val="00BA043A"/>
    <w:rsid w:val="00BA08D9"/>
    <w:rsid w:val="00BA09C2"/>
    <w:rsid w:val="00BA0A22"/>
    <w:rsid w:val="00BA0BB9"/>
    <w:rsid w:val="00BA0DEF"/>
    <w:rsid w:val="00BA0F93"/>
    <w:rsid w:val="00BA1298"/>
    <w:rsid w:val="00BA1B84"/>
    <w:rsid w:val="00BA1C9A"/>
    <w:rsid w:val="00BA2131"/>
    <w:rsid w:val="00BA227B"/>
    <w:rsid w:val="00BA2937"/>
    <w:rsid w:val="00BA296F"/>
    <w:rsid w:val="00BA2F21"/>
    <w:rsid w:val="00BA2F51"/>
    <w:rsid w:val="00BA30F5"/>
    <w:rsid w:val="00BA31BE"/>
    <w:rsid w:val="00BA32D7"/>
    <w:rsid w:val="00BA3514"/>
    <w:rsid w:val="00BA37BC"/>
    <w:rsid w:val="00BA3982"/>
    <w:rsid w:val="00BA489F"/>
    <w:rsid w:val="00BA4BAA"/>
    <w:rsid w:val="00BA4EEF"/>
    <w:rsid w:val="00BA5095"/>
    <w:rsid w:val="00BA52B8"/>
    <w:rsid w:val="00BA5594"/>
    <w:rsid w:val="00BA5617"/>
    <w:rsid w:val="00BA577E"/>
    <w:rsid w:val="00BA5C67"/>
    <w:rsid w:val="00BA5CF6"/>
    <w:rsid w:val="00BA5D1F"/>
    <w:rsid w:val="00BA5E55"/>
    <w:rsid w:val="00BA5FB9"/>
    <w:rsid w:val="00BA60A6"/>
    <w:rsid w:val="00BA6249"/>
    <w:rsid w:val="00BA64A6"/>
    <w:rsid w:val="00BA6785"/>
    <w:rsid w:val="00BA6835"/>
    <w:rsid w:val="00BA69E6"/>
    <w:rsid w:val="00BA6DDE"/>
    <w:rsid w:val="00BA6F83"/>
    <w:rsid w:val="00BA6FA1"/>
    <w:rsid w:val="00BA712A"/>
    <w:rsid w:val="00BA7278"/>
    <w:rsid w:val="00BA7387"/>
    <w:rsid w:val="00BA7562"/>
    <w:rsid w:val="00BA75BA"/>
    <w:rsid w:val="00BA766F"/>
    <w:rsid w:val="00BA7865"/>
    <w:rsid w:val="00BA788A"/>
    <w:rsid w:val="00BA7BA5"/>
    <w:rsid w:val="00BA7D0C"/>
    <w:rsid w:val="00BA7DC0"/>
    <w:rsid w:val="00BA7DCB"/>
    <w:rsid w:val="00BA7F5A"/>
    <w:rsid w:val="00BB00FA"/>
    <w:rsid w:val="00BB0328"/>
    <w:rsid w:val="00BB0697"/>
    <w:rsid w:val="00BB0710"/>
    <w:rsid w:val="00BB0730"/>
    <w:rsid w:val="00BB0810"/>
    <w:rsid w:val="00BB092D"/>
    <w:rsid w:val="00BB0AED"/>
    <w:rsid w:val="00BB0C94"/>
    <w:rsid w:val="00BB0DE5"/>
    <w:rsid w:val="00BB0FE8"/>
    <w:rsid w:val="00BB105C"/>
    <w:rsid w:val="00BB10DF"/>
    <w:rsid w:val="00BB1191"/>
    <w:rsid w:val="00BB1224"/>
    <w:rsid w:val="00BB1379"/>
    <w:rsid w:val="00BB14B9"/>
    <w:rsid w:val="00BB15CD"/>
    <w:rsid w:val="00BB18DF"/>
    <w:rsid w:val="00BB1920"/>
    <w:rsid w:val="00BB1A09"/>
    <w:rsid w:val="00BB1CF5"/>
    <w:rsid w:val="00BB1F06"/>
    <w:rsid w:val="00BB1FB9"/>
    <w:rsid w:val="00BB2003"/>
    <w:rsid w:val="00BB2101"/>
    <w:rsid w:val="00BB213B"/>
    <w:rsid w:val="00BB2357"/>
    <w:rsid w:val="00BB267F"/>
    <w:rsid w:val="00BB2A07"/>
    <w:rsid w:val="00BB2D00"/>
    <w:rsid w:val="00BB2E09"/>
    <w:rsid w:val="00BB2EC2"/>
    <w:rsid w:val="00BB2F59"/>
    <w:rsid w:val="00BB32E6"/>
    <w:rsid w:val="00BB33D0"/>
    <w:rsid w:val="00BB3412"/>
    <w:rsid w:val="00BB349B"/>
    <w:rsid w:val="00BB34F7"/>
    <w:rsid w:val="00BB3663"/>
    <w:rsid w:val="00BB3691"/>
    <w:rsid w:val="00BB3692"/>
    <w:rsid w:val="00BB37D3"/>
    <w:rsid w:val="00BB3D3D"/>
    <w:rsid w:val="00BB3F2A"/>
    <w:rsid w:val="00BB400E"/>
    <w:rsid w:val="00BB426C"/>
    <w:rsid w:val="00BB43AA"/>
    <w:rsid w:val="00BB4504"/>
    <w:rsid w:val="00BB47E4"/>
    <w:rsid w:val="00BB480C"/>
    <w:rsid w:val="00BB484A"/>
    <w:rsid w:val="00BB4B17"/>
    <w:rsid w:val="00BB5048"/>
    <w:rsid w:val="00BB5179"/>
    <w:rsid w:val="00BB5208"/>
    <w:rsid w:val="00BB5329"/>
    <w:rsid w:val="00BB53B1"/>
    <w:rsid w:val="00BB54CD"/>
    <w:rsid w:val="00BB55CA"/>
    <w:rsid w:val="00BB57A2"/>
    <w:rsid w:val="00BB5ADC"/>
    <w:rsid w:val="00BB5BCC"/>
    <w:rsid w:val="00BB5E8D"/>
    <w:rsid w:val="00BB5F45"/>
    <w:rsid w:val="00BB6285"/>
    <w:rsid w:val="00BB65F1"/>
    <w:rsid w:val="00BB6B3C"/>
    <w:rsid w:val="00BB6B89"/>
    <w:rsid w:val="00BB6C15"/>
    <w:rsid w:val="00BB6D46"/>
    <w:rsid w:val="00BB6F65"/>
    <w:rsid w:val="00BB726F"/>
    <w:rsid w:val="00BB72D0"/>
    <w:rsid w:val="00BB737E"/>
    <w:rsid w:val="00BB73E4"/>
    <w:rsid w:val="00BB74E1"/>
    <w:rsid w:val="00BB77A9"/>
    <w:rsid w:val="00BB7862"/>
    <w:rsid w:val="00BB7D6C"/>
    <w:rsid w:val="00BC0216"/>
    <w:rsid w:val="00BC06FF"/>
    <w:rsid w:val="00BC08ED"/>
    <w:rsid w:val="00BC092C"/>
    <w:rsid w:val="00BC0964"/>
    <w:rsid w:val="00BC0A14"/>
    <w:rsid w:val="00BC0E00"/>
    <w:rsid w:val="00BC11AD"/>
    <w:rsid w:val="00BC11DC"/>
    <w:rsid w:val="00BC129F"/>
    <w:rsid w:val="00BC156A"/>
    <w:rsid w:val="00BC15E0"/>
    <w:rsid w:val="00BC17D9"/>
    <w:rsid w:val="00BC1847"/>
    <w:rsid w:val="00BC1967"/>
    <w:rsid w:val="00BC1AAC"/>
    <w:rsid w:val="00BC1B17"/>
    <w:rsid w:val="00BC1B7D"/>
    <w:rsid w:val="00BC1E7A"/>
    <w:rsid w:val="00BC219A"/>
    <w:rsid w:val="00BC222E"/>
    <w:rsid w:val="00BC22A6"/>
    <w:rsid w:val="00BC23B0"/>
    <w:rsid w:val="00BC24A0"/>
    <w:rsid w:val="00BC2669"/>
    <w:rsid w:val="00BC2882"/>
    <w:rsid w:val="00BC2980"/>
    <w:rsid w:val="00BC2BD9"/>
    <w:rsid w:val="00BC2D1F"/>
    <w:rsid w:val="00BC2DA2"/>
    <w:rsid w:val="00BC2DE6"/>
    <w:rsid w:val="00BC314C"/>
    <w:rsid w:val="00BC3285"/>
    <w:rsid w:val="00BC32C7"/>
    <w:rsid w:val="00BC3343"/>
    <w:rsid w:val="00BC3486"/>
    <w:rsid w:val="00BC354C"/>
    <w:rsid w:val="00BC3680"/>
    <w:rsid w:val="00BC3734"/>
    <w:rsid w:val="00BC384E"/>
    <w:rsid w:val="00BC38FC"/>
    <w:rsid w:val="00BC39BD"/>
    <w:rsid w:val="00BC3A5E"/>
    <w:rsid w:val="00BC3CF6"/>
    <w:rsid w:val="00BC3F28"/>
    <w:rsid w:val="00BC3FBC"/>
    <w:rsid w:val="00BC4177"/>
    <w:rsid w:val="00BC41C8"/>
    <w:rsid w:val="00BC41F6"/>
    <w:rsid w:val="00BC43D6"/>
    <w:rsid w:val="00BC4A76"/>
    <w:rsid w:val="00BC4A77"/>
    <w:rsid w:val="00BC4C06"/>
    <w:rsid w:val="00BC4D51"/>
    <w:rsid w:val="00BC510F"/>
    <w:rsid w:val="00BC5145"/>
    <w:rsid w:val="00BC516C"/>
    <w:rsid w:val="00BC52A3"/>
    <w:rsid w:val="00BC5465"/>
    <w:rsid w:val="00BC59E4"/>
    <w:rsid w:val="00BC5A1A"/>
    <w:rsid w:val="00BC5B51"/>
    <w:rsid w:val="00BC5C5E"/>
    <w:rsid w:val="00BC5C81"/>
    <w:rsid w:val="00BC5DB1"/>
    <w:rsid w:val="00BC605D"/>
    <w:rsid w:val="00BC60AA"/>
    <w:rsid w:val="00BC6453"/>
    <w:rsid w:val="00BC67E9"/>
    <w:rsid w:val="00BC69F0"/>
    <w:rsid w:val="00BC6A55"/>
    <w:rsid w:val="00BC6AA2"/>
    <w:rsid w:val="00BC6E49"/>
    <w:rsid w:val="00BC715D"/>
    <w:rsid w:val="00BC7509"/>
    <w:rsid w:val="00BC7585"/>
    <w:rsid w:val="00BC777E"/>
    <w:rsid w:val="00BC7960"/>
    <w:rsid w:val="00BC7D40"/>
    <w:rsid w:val="00BD0246"/>
    <w:rsid w:val="00BD0708"/>
    <w:rsid w:val="00BD071D"/>
    <w:rsid w:val="00BD0AEC"/>
    <w:rsid w:val="00BD0B7F"/>
    <w:rsid w:val="00BD0B8E"/>
    <w:rsid w:val="00BD0D0B"/>
    <w:rsid w:val="00BD107C"/>
    <w:rsid w:val="00BD12F4"/>
    <w:rsid w:val="00BD15EF"/>
    <w:rsid w:val="00BD17B7"/>
    <w:rsid w:val="00BD17EA"/>
    <w:rsid w:val="00BD181F"/>
    <w:rsid w:val="00BD19C0"/>
    <w:rsid w:val="00BD1A7B"/>
    <w:rsid w:val="00BD1D6F"/>
    <w:rsid w:val="00BD1DBC"/>
    <w:rsid w:val="00BD1F9A"/>
    <w:rsid w:val="00BD1FD7"/>
    <w:rsid w:val="00BD227D"/>
    <w:rsid w:val="00BD2308"/>
    <w:rsid w:val="00BD234C"/>
    <w:rsid w:val="00BD253C"/>
    <w:rsid w:val="00BD274E"/>
    <w:rsid w:val="00BD2753"/>
    <w:rsid w:val="00BD2ACD"/>
    <w:rsid w:val="00BD2B7C"/>
    <w:rsid w:val="00BD2BFD"/>
    <w:rsid w:val="00BD2DB6"/>
    <w:rsid w:val="00BD3680"/>
    <w:rsid w:val="00BD3C07"/>
    <w:rsid w:val="00BD3D75"/>
    <w:rsid w:val="00BD3DF2"/>
    <w:rsid w:val="00BD3E90"/>
    <w:rsid w:val="00BD3F4F"/>
    <w:rsid w:val="00BD403B"/>
    <w:rsid w:val="00BD42AA"/>
    <w:rsid w:val="00BD433A"/>
    <w:rsid w:val="00BD463B"/>
    <w:rsid w:val="00BD479D"/>
    <w:rsid w:val="00BD4A28"/>
    <w:rsid w:val="00BD4A64"/>
    <w:rsid w:val="00BD4B33"/>
    <w:rsid w:val="00BD4C5B"/>
    <w:rsid w:val="00BD4EF5"/>
    <w:rsid w:val="00BD53A9"/>
    <w:rsid w:val="00BD5518"/>
    <w:rsid w:val="00BD5A42"/>
    <w:rsid w:val="00BD5BCE"/>
    <w:rsid w:val="00BD5C1E"/>
    <w:rsid w:val="00BD5D86"/>
    <w:rsid w:val="00BD5DC9"/>
    <w:rsid w:val="00BD5E84"/>
    <w:rsid w:val="00BD6146"/>
    <w:rsid w:val="00BD622B"/>
    <w:rsid w:val="00BD66BD"/>
    <w:rsid w:val="00BD6755"/>
    <w:rsid w:val="00BD697F"/>
    <w:rsid w:val="00BD6A06"/>
    <w:rsid w:val="00BD6DC2"/>
    <w:rsid w:val="00BD6FB3"/>
    <w:rsid w:val="00BD7085"/>
    <w:rsid w:val="00BD74F3"/>
    <w:rsid w:val="00BD7612"/>
    <w:rsid w:val="00BD761C"/>
    <w:rsid w:val="00BD76A8"/>
    <w:rsid w:val="00BD776D"/>
    <w:rsid w:val="00BD79BD"/>
    <w:rsid w:val="00BD7A63"/>
    <w:rsid w:val="00BD7CB4"/>
    <w:rsid w:val="00BD7E2F"/>
    <w:rsid w:val="00BD7F05"/>
    <w:rsid w:val="00BD7FA4"/>
    <w:rsid w:val="00BE0000"/>
    <w:rsid w:val="00BE0128"/>
    <w:rsid w:val="00BE01B7"/>
    <w:rsid w:val="00BE01FD"/>
    <w:rsid w:val="00BE0657"/>
    <w:rsid w:val="00BE0925"/>
    <w:rsid w:val="00BE0941"/>
    <w:rsid w:val="00BE0951"/>
    <w:rsid w:val="00BE0BA0"/>
    <w:rsid w:val="00BE0BEC"/>
    <w:rsid w:val="00BE0C2C"/>
    <w:rsid w:val="00BE0D0A"/>
    <w:rsid w:val="00BE1162"/>
    <w:rsid w:val="00BE12A2"/>
    <w:rsid w:val="00BE1574"/>
    <w:rsid w:val="00BE16D2"/>
    <w:rsid w:val="00BE1D34"/>
    <w:rsid w:val="00BE1E98"/>
    <w:rsid w:val="00BE211B"/>
    <w:rsid w:val="00BE24A9"/>
    <w:rsid w:val="00BE2745"/>
    <w:rsid w:val="00BE2752"/>
    <w:rsid w:val="00BE294C"/>
    <w:rsid w:val="00BE2C05"/>
    <w:rsid w:val="00BE2C9A"/>
    <w:rsid w:val="00BE2D7D"/>
    <w:rsid w:val="00BE2ED2"/>
    <w:rsid w:val="00BE2F9A"/>
    <w:rsid w:val="00BE3587"/>
    <w:rsid w:val="00BE3788"/>
    <w:rsid w:val="00BE3994"/>
    <w:rsid w:val="00BE3A2A"/>
    <w:rsid w:val="00BE3AE0"/>
    <w:rsid w:val="00BE3D25"/>
    <w:rsid w:val="00BE3DF4"/>
    <w:rsid w:val="00BE3E80"/>
    <w:rsid w:val="00BE4191"/>
    <w:rsid w:val="00BE442A"/>
    <w:rsid w:val="00BE4574"/>
    <w:rsid w:val="00BE465C"/>
    <w:rsid w:val="00BE475D"/>
    <w:rsid w:val="00BE487F"/>
    <w:rsid w:val="00BE49BE"/>
    <w:rsid w:val="00BE49FF"/>
    <w:rsid w:val="00BE4A89"/>
    <w:rsid w:val="00BE4C53"/>
    <w:rsid w:val="00BE4D9E"/>
    <w:rsid w:val="00BE4F23"/>
    <w:rsid w:val="00BE4FAC"/>
    <w:rsid w:val="00BE4FB8"/>
    <w:rsid w:val="00BE514E"/>
    <w:rsid w:val="00BE51F9"/>
    <w:rsid w:val="00BE529E"/>
    <w:rsid w:val="00BE56BF"/>
    <w:rsid w:val="00BE578A"/>
    <w:rsid w:val="00BE59E2"/>
    <w:rsid w:val="00BE5CE1"/>
    <w:rsid w:val="00BE600D"/>
    <w:rsid w:val="00BE604F"/>
    <w:rsid w:val="00BE6099"/>
    <w:rsid w:val="00BE623F"/>
    <w:rsid w:val="00BE6747"/>
    <w:rsid w:val="00BE6748"/>
    <w:rsid w:val="00BE68D5"/>
    <w:rsid w:val="00BE6B0F"/>
    <w:rsid w:val="00BE6BE0"/>
    <w:rsid w:val="00BE6C4D"/>
    <w:rsid w:val="00BE6C58"/>
    <w:rsid w:val="00BE6CCE"/>
    <w:rsid w:val="00BE6D16"/>
    <w:rsid w:val="00BE6D66"/>
    <w:rsid w:val="00BE6D74"/>
    <w:rsid w:val="00BE797F"/>
    <w:rsid w:val="00BE7A29"/>
    <w:rsid w:val="00BE7C67"/>
    <w:rsid w:val="00BE7CAB"/>
    <w:rsid w:val="00BF005F"/>
    <w:rsid w:val="00BF0534"/>
    <w:rsid w:val="00BF107B"/>
    <w:rsid w:val="00BF1269"/>
    <w:rsid w:val="00BF12BE"/>
    <w:rsid w:val="00BF175F"/>
    <w:rsid w:val="00BF1A42"/>
    <w:rsid w:val="00BF1B09"/>
    <w:rsid w:val="00BF20CF"/>
    <w:rsid w:val="00BF219C"/>
    <w:rsid w:val="00BF2314"/>
    <w:rsid w:val="00BF23E8"/>
    <w:rsid w:val="00BF2420"/>
    <w:rsid w:val="00BF24D2"/>
    <w:rsid w:val="00BF25C5"/>
    <w:rsid w:val="00BF2603"/>
    <w:rsid w:val="00BF27EE"/>
    <w:rsid w:val="00BF327F"/>
    <w:rsid w:val="00BF3529"/>
    <w:rsid w:val="00BF35B6"/>
    <w:rsid w:val="00BF38C9"/>
    <w:rsid w:val="00BF39F8"/>
    <w:rsid w:val="00BF3AA4"/>
    <w:rsid w:val="00BF3BBE"/>
    <w:rsid w:val="00BF3EAF"/>
    <w:rsid w:val="00BF42F2"/>
    <w:rsid w:val="00BF43D7"/>
    <w:rsid w:val="00BF44A2"/>
    <w:rsid w:val="00BF46F9"/>
    <w:rsid w:val="00BF4C20"/>
    <w:rsid w:val="00BF4D92"/>
    <w:rsid w:val="00BF50B7"/>
    <w:rsid w:val="00BF516D"/>
    <w:rsid w:val="00BF53AD"/>
    <w:rsid w:val="00BF5410"/>
    <w:rsid w:val="00BF5922"/>
    <w:rsid w:val="00BF59BF"/>
    <w:rsid w:val="00BF5A64"/>
    <w:rsid w:val="00BF5FCB"/>
    <w:rsid w:val="00BF6239"/>
    <w:rsid w:val="00BF6263"/>
    <w:rsid w:val="00BF627C"/>
    <w:rsid w:val="00BF63ED"/>
    <w:rsid w:val="00BF69AF"/>
    <w:rsid w:val="00BF6A18"/>
    <w:rsid w:val="00BF6AEA"/>
    <w:rsid w:val="00BF6CEA"/>
    <w:rsid w:val="00BF700A"/>
    <w:rsid w:val="00BF7064"/>
    <w:rsid w:val="00BF72EE"/>
    <w:rsid w:val="00BF7387"/>
    <w:rsid w:val="00BF786C"/>
    <w:rsid w:val="00BF78BE"/>
    <w:rsid w:val="00BF7D3F"/>
    <w:rsid w:val="00BF7D7F"/>
    <w:rsid w:val="00C000B1"/>
    <w:rsid w:val="00C001ED"/>
    <w:rsid w:val="00C00205"/>
    <w:rsid w:val="00C00537"/>
    <w:rsid w:val="00C00791"/>
    <w:rsid w:val="00C00895"/>
    <w:rsid w:val="00C008C2"/>
    <w:rsid w:val="00C00906"/>
    <w:rsid w:val="00C00A91"/>
    <w:rsid w:val="00C00CB8"/>
    <w:rsid w:val="00C01162"/>
    <w:rsid w:val="00C01517"/>
    <w:rsid w:val="00C01677"/>
    <w:rsid w:val="00C01734"/>
    <w:rsid w:val="00C0191B"/>
    <w:rsid w:val="00C01BB4"/>
    <w:rsid w:val="00C01E50"/>
    <w:rsid w:val="00C022AA"/>
    <w:rsid w:val="00C02549"/>
    <w:rsid w:val="00C026C7"/>
    <w:rsid w:val="00C02BF5"/>
    <w:rsid w:val="00C02DDC"/>
    <w:rsid w:val="00C02F59"/>
    <w:rsid w:val="00C0305A"/>
    <w:rsid w:val="00C030C9"/>
    <w:rsid w:val="00C033E4"/>
    <w:rsid w:val="00C0341E"/>
    <w:rsid w:val="00C03587"/>
    <w:rsid w:val="00C03680"/>
    <w:rsid w:val="00C038F7"/>
    <w:rsid w:val="00C039EF"/>
    <w:rsid w:val="00C03E3F"/>
    <w:rsid w:val="00C03F4B"/>
    <w:rsid w:val="00C04153"/>
    <w:rsid w:val="00C04414"/>
    <w:rsid w:val="00C0461A"/>
    <w:rsid w:val="00C04696"/>
    <w:rsid w:val="00C04698"/>
    <w:rsid w:val="00C047B8"/>
    <w:rsid w:val="00C047DD"/>
    <w:rsid w:val="00C04E96"/>
    <w:rsid w:val="00C04F2D"/>
    <w:rsid w:val="00C0556C"/>
    <w:rsid w:val="00C06452"/>
    <w:rsid w:val="00C0665B"/>
    <w:rsid w:val="00C06672"/>
    <w:rsid w:val="00C06698"/>
    <w:rsid w:val="00C0672D"/>
    <w:rsid w:val="00C068BA"/>
    <w:rsid w:val="00C0729F"/>
    <w:rsid w:val="00C0743F"/>
    <w:rsid w:val="00C079C4"/>
    <w:rsid w:val="00C07B59"/>
    <w:rsid w:val="00C07BA8"/>
    <w:rsid w:val="00C07C43"/>
    <w:rsid w:val="00C07D1D"/>
    <w:rsid w:val="00C07E74"/>
    <w:rsid w:val="00C07F54"/>
    <w:rsid w:val="00C10318"/>
    <w:rsid w:val="00C1037E"/>
    <w:rsid w:val="00C105DB"/>
    <w:rsid w:val="00C10CDE"/>
    <w:rsid w:val="00C10DCD"/>
    <w:rsid w:val="00C110B1"/>
    <w:rsid w:val="00C110D2"/>
    <w:rsid w:val="00C110E8"/>
    <w:rsid w:val="00C11325"/>
    <w:rsid w:val="00C119DC"/>
    <w:rsid w:val="00C11B80"/>
    <w:rsid w:val="00C11E13"/>
    <w:rsid w:val="00C11FE4"/>
    <w:rsid w:val="00C12228"/>
    <w:rsid w:val="00C122B4"/>
    <w:rsid w:val="00C12301"/>
    <w:rsid w:val="00C1282F"/>
    <w:rsid w:val="00C1284F"/>
    <w:rsid w:val="00C12950"/>
    <w:rsid w:val="00C12B5A"/>
    <w:rsid w:val="00C12F77"/>
    <w:rsid w:val="00C130EF"/>
    <w:rsid w:val="00C13213"/>
    <w:rsid w:val="00C1325C"/>
    <w:rsid w:val="00C13443"/>
    <w:rsid w:val="00C1344A"/>
    <w:rsid w:val="00C134C3"/>
    <w:rsid w:val="00C13669"/>
    <w:rsid w:val="00C137D9"/>
    <w:rsid w:val="00C13973"/>
    <w:rsid w:val="00C13A9D"/>
    <w:rsid w:val="00C13BC4"/>
    <w:rsid w:val="00C13D49"/>
    <w:rsid w:val="00C13D52"/>
    <w:rsid w:val="00C145A9"/>
    <w:rsid w:val="00C14701"/>
    <w:rsid w:val="00C147BF"/>
    <w:rsid w:val="00C149C0"/>
    <w:rsid w:val="00C14BDD"/>
    <w:rsid w:val="00C14C1A"/>
    <w:rsid w:val="00C1507F"/>
    <w:rsid w:val="00C15504"/>
    <w:rsid w:val="00C15672"/>
    <w:rsid w:val="00C159C6"/>
    <w:rsid w:val="00C15A84"/>
    <w:rsid w:val="00C15D15"/>
    <w:rsid w:val="00C15D8C"/>
    <w:rsid w:val="00C15DB1"/>
    <w:rsid w:val="00C1620A"/>
    <w:rsid w:val="00C1637A"/>
    <w:rsid w:val="00C163A9"/>
    <w:rsid w:val="00C16758"/>
    <w:rsid w:val="00C16A47"/>
    <w:rsid w:val="00C16B61"/>
    <w:rsid w:val="00C16BAF"/>
    <w:rsid w:val="00C16DE6"/>
    <w:rsid w:val="00C1711C"/>
    <w:rsid w:val="00C176FC"/>
    <w:rsid w:val="00C17993"/>
    <w:rsid w:val="00C17ACA"/>
    <w:rsid w:val="00C17ACF"/>
    <w:rsid w:val="00C17B7D"/>
    <w:rsid w:val="00C17C8D"/>
    <w:rsid w:val="00C17C99"/>
    <w:rsid w:val="00C17D58"/>
    <w:rsid w:val="00C202DB"/>
    <w:rsid w:val="00C2078E"/>
    <w:rsid w:val="00C208E2"/>
    <w:rsid w:val="00C20AEC"/>
    <w:rsid w:val="00C20F02"/>
    <w:rsid w:val="00C21059"/>
    <w:rsid w:val="00C21195"/>
    <w:rsid w:val="00C2124C"/>
    <w:rsid w:val="00C21256"/>
    <w:rsid w:val="00C2161F"/>
    <w:rsid w:val="00C21BAB"/>
    <w:rsid w:val="00C21E53"/>
    <w:rsid w:val="00C220B9"/>
    <w:rsid w:val="00C221AC"/>
    <w:rsid w:val="00C2248E"/>
    <w:rsid w:val="00C224D9"/>
    <w:rsid w:val="00C22A2F"/>
    <w:rsid w:val="00C22AE5"/>
    <w:rsid w:val="00C22B4E"/>
    <w:rsid w:val="00C22B9D"/>
    <w:rsid w:val="00C22BF5"/>
    <w:rsid w:val="00C22C6D"/>
    <w:rsid w:val="00C22D55"/>
    <w:rsid w:val="00C23026"/>
    <w:rsid w:val="00C230CD"/>
    <w:rsid w:val="00C23158"/>
    <w:rsid w:val="00C2355C"/>
    <w:rsid w:val="00C235ED"/>
    <w:rsid w:val="00C23D93"/>
    <w:rsid w:val="00C240C5"/>
    <w:rsid w:val="00C245D3"/>
    <w:rsid w:val="00C245E1"/>
    <w:rsid w:val="00C24941"/>
    <w:rsid w:val="00C24AB7"/>
    <w:rsid w:val="00C24B58"/>
    <w:rsid w:val="00C24B99"/>
    <w:rsid w:val="00C24EFD"/>
    <w:rsid w:val="00C25296"/>
    <w:rsid w:val="00C2531C"/>
    <w:rsid w:val="00C255D0"/>
    <w:rsid w:val="00C25C55"/>
    <w:rsid w:val="00C25F58"/>
    <w:rsid w:val="00C260FC"/>
    <w:rsid w:val="00C2633F"/>
    <w:rsid w:val="00C266F2"/>
    <w:rsid w:val="00C267F2"/>
    <w:rsid w:val="00C26CC5"/>
    <w:rsid w:val="00C26DA6"/>
    <w:rsid w:val="00C2704D"/>
    <w:rsid w:val="00C27644"/>
    <w:rsid w:val="00C278FC"/>
    <w:rsid w:val="00C279B3"/>
    <w:rsid w:val="00C27A37"/>
    <w:rsid w:val="00C27D62"/>
    <w:rsid w:val="00C27DFE"/>
    <w:rsid w:val="00C303A8"/>
    <w:rsid w:val="00C303E3"/>
    <w:rsid w:val="00C30517"/>
    <w:rsid w:val="00C30613"/>
    <w:rsid w:val="00C30A45"/>
    <w:rsid w:val="00C30B31"/>
    <w:rsid w:val="00C30D11"/>
    <w:rsid w:val="00C30FA4"/>
    <w:rsid w:val="00C31005"/>
    <w:rsid w:val="00C311C1"/>
    <w:rsid w:val="00C312FC"/>
    <w:rsid w:val="00C316A1"/>
    <w:rsid w:val="00C31AEF"/>
    <w:rsid w:val="00C31C79"/>
    <w:rsid w:val="00C31C7B"/>
    <w:rsid w:val="00C3205F"/>
    <w:rsid w:val="00C32206"/>
    <w:rsid w:val="00C3235B"/>
    <w:rsid w:val="00C3242C"/>
    <w:rsid w:val="00C32765"/>
    <w:rsid w:val="00C3277F"/>
    <w:rsid w:val="00C32922"/>
    <w:rsid w:val="00C32B74"/>
    <w:rsid w:val="00C3312D"/>
    <w:rsid w:val="00C333F8"/>
    <w:rsid w:val="00C33B22"/>
    <w:rsid w:val="00C33D67"/>
    <w:rsid w:val="00C33F63"/>
    <w:rsid w:val="00C34037"/>
    <w:rsid w:val="00C34038"/>
    <w:rsid w:val="00C34115"/>
    <w:rsid w:val="00C34BD6"/>
    <w:rsid w:val="00C34C8D"/>
    <w:rsid w:val="00C34CFD"/>
    <w:rsid w:val="00C35014"/>
    <w:rsid w:val="00C35144"/>
    <w:rsid w:val="00C3523F"/>
    <w:rsid w:val="00C35340"/>
    <w:rsid w:val="00C35440"/>
    <w:rsid w:val="00C35958"/>
    <w:rsid w:val="00C35BA6"/>
    <w:rsid w:val="00C35D3D"/>
    <w:rsid w:val="00C35DB7"/>
    <w:rsid w:val="00C35E9A"/>
    <w:rsid w:val="00C35F5D"/>
    <w:rsid w:val="00C36001"/>
    <w:rsid w:val="00C3602E"/>
    <w:rsid w:val="00C364E0"/>
    <w:rsid w:val="00C36611"/>
    <w:rsid w:val="00C367B0"/>
    <w:rsid w:val="00C37265"/>
    <w:rsid w:val="00C37355"/>
    <w:rsid w:val="00C375ED"/>
    <w:rsid w:val="00C377BC"/>
    <w:rsid w:val="00C377C0"/>
    <w:rsid w:val="00C37973"/>
    <w:rsid w:val="00C37B06"/>
    <w:rsid w:val="00C37C35"/>
    <w:rsid w:val="00C37E54"/>
    <w:rsid w:val="00C40015"/>
    <w:rsid w:val="00C4021F"/>
    <w:rsid w:val="00C40250"/>
    <w:rsid w:val="00C403B5"/>
    <w:rsid w:val="00C403E4"/>
    <w:rsid w:val="00C40723"/>
    <w:rsid w:val="00C40964"/>
    <w:rsid w:val="00C40A6F"/>
    <w:rsid w:val="00C40FAB"/>
    <w:rsid w:val="00C4110E"/>
    <w:rsid w:val="00C415C3"/>
    <w:rsid w:val="00C4193D"/>
    <w:rsid w:val="00C419A0"/>
    <w:rsid w:val="00C41AC9"/>
    <w:rsid w:val="00C41C66"/>
    <w:rsid w:val="00C41CEA"/>
    <w:rsid w:val="00C42018"/>
    <w:rsid w:val="00C42271"/>
    <w:rsid w:val="00C42A69"/>
    <w:rsid w:val="00C42BA9"/>
    <w:rsid w:val="00C42E7B"/>
    <w:rsid w:val="00C430D0"/>
    <w:rsid w:val="00C43200"/>
    <w:rsid w:val="00C43E4A"/>
    <w:rsid w:val="00C43E74"/>
    <w:rsid w:val="00C43E75"/>
    <w:rsid w:val="00C44256"/>
    <w:rsid w:val="00C442DF"/>
    <w:rsid w:val="00C44451"/>
    <w:rsid w:val="00C44511"/>
    <w:rsid w:val="00C44570"/>
    <w:rsid w:val="00C446FA"/>
    <w:rsid w:val="00C44784"/>
    <w:rsid w:val="00C447E4"/>
    <w:rsid w:val="00C449DA"/>
    <w:rsid w:val="00C44B6D"/>
    <w:rsid w:val="00C44EE5"/>
    <w:rsid w:val="00C45219"/>
    <w:rsid w:val="00C4522A"/>
    <w:rsid w:val="00C45313"/>
    <w:rsid w:val="00C45590"/>
    <w:rsid w:val="00C456F0"/>
    <w:rsid w:val="00C45868"/>
    <w:rsid w:val="00C45995"/>
    <w:rsid w:val="00C45B85"/>
    <w:rsid w:val="00C45BBD"/>
    <w:rsid w:val="00C45BF3"/>
    <w:rsid w:val="00C45C6A"/>
    <w:rsid w:val="00C46412"/>
    <w:rsid w:val="00C466F4"/>
    <w:rsid w:val="00C467A5"/>
    <w:rsid w:val="00C4686D"/>
    <w:rsid w:val="00C46D6D"/>
    <w:rsid w:val="00C46DC8"/>
    <w:rsid w:val="00C46E58"/>
    <w:rsid w:val="00C47E3C"/>
    <w:rsid w:val="00C47F29"/>
    <w:rsid w:val="00C5015B"/>
    <w:rsid w:val="00C502F4"/>
    <w:rsid w:val="00C5048B"/>
    <w:rsid w:val="00C50BE4"/>
    <w:rsid w:val="00C50BEE"/>
    <w:rsid w:val="00C50E0E"/>
    <w:rsid w:val="00C50ED7"/>
    <w:rsid w:val="00C50FBA"/>
    <w:rsid w:val="00C5108A"/>
    <w:rsid w:val="00C51181"/>
    <w:rsid w:val="00C51329"/>
    <w:rsid w:val="00C51370"/>
    <w:rsid w:val="00C514CA"/>
    <w:rsid w:val="00C5152D"/>
    <w:rsid w:val="00C51959"/>
    <w:rsid w:val="00C51D79"/>
    <w:rsid w:val="00C5213C"/>
    <w:rsid w:val="00C52196"/>
    <w:rsid w:val="00C5219B"/>
    <w:rsid w:val="00C5269D"/>
    <w:rsid w:val="00C527BF"/>
    <w:rsid w:val="00C52931"/>
    <w:rsid w:val="00C52A1A"/>
    <w:rsid w:val="00C52BE9"/>
    <w:rsid w:val="00C53086"/>
    <w:rsid w:val="00C531EA"/>
    <w:rsid w:val="00C533D8"/>
    <w:rsid w:val="00C534A0"/>
    <w:rsid w:val="00C53619"/>
    <w:rsid w:val="00C537AB"/>
    <w:rsid w:val="00C53B53"/>
    <w:rsid w:val="00C53D90"/>
    <w:rsid w:val="00C54325"/>
    <w:rsid w:val="00C54391"/>
    <w:rsid w:val="00C54451"/>
    <w:rsid w:val="00C5478D"/>
    <w:rsid w:val="00C547B7"/>
    <w:rsid w:val="00C54979"/>
    <w:rsid w:val="00C54AFD"/>
    <w:rsid w:val="00C54D12"/>
    <w:rsid w:val="00C54F0D"/>
    <w:rsid w:val="00C5513E"/>
    <w:rsid w:val="00C552E2"/>
    <w:rsid w:val="00C55B76"/>
    <w:rsid w:val="00C55B99"/>
    <w:rsid w:val="00C55C24"/>
    <w:rsid w:val="00C56390"/>
    <w:rsid w:val="00C5663A"/>
    <w:rsid w:val="00C569BA"/>
    <w:rsid w:val="00C56B86"/>
    <w:rsid w:val="00C57017"/>
    <w:rsid w:val="00C574B7"/>
    <w:rsid w:val="00C578AE"/>
    <w:rsid w:val="00C57B10"/>
    <w:rsid w:val="00C57D3D"/>
    <w:rsid w:val="00C57DC2"/>
    <w:rsid w:val="00C57F39"/>
    <w:rsid w:val="00C57F5D"/>
    <w:rsid w:val="00C600E0"/>
    <w:rsid w:val="00C6013B"/>
    <w:rsid w:val="00C6036D"/>
    <w:rsid w:val="00C604D7"/>
    <w:rsid w:val="00C606A0"/>
    <w:rsid w:val="00C6093D"/>
    <w:rsid w:val="00C60B0A"/>
    <w:rsid w:val="00C60CC4"/>
    <w:rsid w:val="00C60FE4"/>
    <w:rsid w:val="00C61055"/>
    <w:rsid w:val="00C6111F"/>
    <w:rsid w:val="00C612D8"/>
    <w:rsid w:val="00C61503"/>
    <w:rsid w:val="00C6154F"/>
    <w:rsid w:val="00C618F2"/>
    <w:rsid w:val="00C61923"/>
    <w:rsid w:val="00C619DE"/>
    <w:rsid w:val="00C61BAF"/>
    <w:rsid w:val="00C61BC9"/>
    <w:rsid w:val="00C61D45"/>
    <w:rsid w:val="00C61E56"/>
    <w:rsid w:val="00C620AF"/>
    <w:rsid w:val="00C621DE"/>
    <w:rsid w:val="00C62294"/>
    <w:rsid w:val="00C622C0"/>
    <w:rsid w:val="00C624F9"/>
    <w:rsid w:val="00C62706"/>
    <w:rsid w:val="00C62772"/>
    <w:rsid w:val="00C629E3"/>
    <w:rsid w:val="00C62A18"/>
    <w:rsid w:val="00C62AFF"/>
    <w:rsid w:val="00C62D92"/>
    <w:rsid w:val="00C62DF5"/>
    <w:rsid w:val="00C63085"/>
    <w:rsid w:val="00C6328B"/>
    <w:rsid w:val="00C63385"/>
    <w:rsid w:val="00C633BE"/>
    <w:rsid w:val="00C633EF"/>
    <w:rsid w:val="00C63593"/>
    <w:rsid w:val="00C635AA"/>
    <w:rsid w:val="00C63A0E"/>
    <w:rsid w:val="00C63D63"/>
    <w:rsid w:val="00C6439E"/>
    <w:rsid w:val="00C643EC"/>
    <w:rsid w:val="00C64409"/>
    <w:rsid w:val="00C644F1"/>
    <w:rsid w:val="00C64794"/>
    <w:rsid w:val="00C649A1"/>
    <w:rsid w:val="00C64FF5"/>
    <w:rsid w:val="00C65141"/>
    <w:rsid w:val="00C6544D"/>
    <w:rsid w:val="00C6562A"/>
    <w:rsid w:val="00C656E1"/>
    <w:rsid w:val="00C65A6B"/>
    <w:rsid w:val="00C66028"/>
    <w:rsid w:val="00C660CA"/>
    <w:rsid w:val="00C66123"/>
    <w:rsid w:val="00C662BA"/>
    <w:rsid w:val="00C662CB"/>
    <w:rsid w:val="00C66376"/>
    <w:rsid w:val="00C663CB"/>
    <w:rsid w:val="00C6668F"/>
    <w:rsid w:val="00C667C2"/>
    <w:rsid w:val="00C66917"/>
    <w:rsid w:val="00C669C2"/>
    <w:rsid w:val="00C669CB"/>
    <w:rsid w:val="00C66B18"/>
    <w:rsid w:val="00C66BB2"/>
    <w:rsid w:val="00C66EE4"/>
    <w:rsid w:val="00C672BA"/>
    <w:rsid w:val="00C67342"/>
    <w:rsid w:val="00C676BE"/>
    <w:rsid w:val="00C67760"/>
    <w:rsid w:val="00C67772"/>
    <w:rsid w:val="00C67BA9"/>
    <w:rsid w:val="00C67C87"/>
    <w:rsid w:val="00C67E1F"/>
    <w:rsid w:val="00C67E22"/>
    <w:rsid w:val="00C67E9B"/>
    <w:rsid w:val="00C67FE9"/>
    <w:rsid w:val="00C700A2"/>
    <w:rsid w:val="00C70221"/>
    <w:rsid w:val="00C703AA"/>
    <w:rsid w:val="00C70444"/>
    <w:rsid w:val="00C70884"/>
    <w:rsid w:val="00C70C41"/>
    <w:rsid w:val="00C70C8A"/>
    <w:rsid w:val="00C71025"/>
    <w:rsid w:val="00C711A2"/>
    <w:rsid w:val="00C7123C"/>
    <w:rsid w:val="00C713EE"/>
    <w:rsid w:val="00C7161D"/>
    <w:rsid w:val="00C7167F"/>
    <w:rsid w:val="00C71870"/>
    <w:rsid w:val="00C71A28"/>
    <w:rsid w:val="00C71A65"/>
    <w:rsid w:val="00C720DA"/>
    <w:rsid w:val="00C7216C"/>
    <w:rsid w:val="00C721AF"/>
    <w:rsid w:val="00C72322"/>
    <w:rsid w:val="00C723B2"/>
    <w:rsid w:val="00C723D8"/>
    <w:rsid w:val="00C726B8"/>
    <w:rsid w:val="00C726E3"/>
    <w:rsid w:val="00C7280C"/>
    <w:rsid w:val="00C72CE6"/>
    <w:rsid w:val="00C72CED"/>
    <w:rsid w:val="00C73019"/>
    <w:rsid w:val="00C7304E"/>
    <w:rsid w:val="00C7320D"/>
    <w:rsid w:val="00C73385"/>
    <w:rsid w:val="00C735AB"/>
    <w:rsid w:val="00C7367D"/>
    <w:rsid w:val="00C73921"/>
    <w:rsid w:val="00C73AE8"/>
    <w:rsid w:val="00C73C3B"/>
    <w:rsid w:val="00C73CB3"/>
    <w:rsid w:val="00C73EED"/>
    <w:rsid w:val="00C73F3A"/>
    <w:rsid w:val="00C740C6"/>
    <w:rsid w:val="00C740EC"/>
    <w:rsid w:val="00C74284"/>
    <w:rsid w:val="00C7465B"/>
    <w:rsid w:val="00C7478E"/>
    <w:rsid w:val="00C7482F"/>
    <w:rsid w:val="00C74CD2"/>
    <w:rsid w:val="00C75369"/>
    <w:rsid w:val="00C753A5"/>
    <w:rsid w:val="00C75486"/>
    <w:rsid w:val="00C75554"/>
    <w:rsid w:val="00C75873"/>
    <w:rsid w:val="00C758FB"/>
    <w:rsid w:val="00C75AA2"/>
    <w:rsid w:val="00C75D57"/>
    <w:rsid w:val="00C75EDA"/>
    <w:rsid w:val="00C75F30"/>
    <w:rsid w:val="00C75F5D"/>
    <w:rsid w:val="00C76071"/>
    <w:rsid w:val="00C763E7"/>
    <w:rsid w:val="00C76981"/>
    <w:rsid w:val="00C76AAE"/>
    <w:rsid w:val="00C76AF3"/>
    <w:rsid w:val="00C76CFB"/>
    <w:rsid w:val="00C76E9B"/>
    <w:rsid w:val="00C77015"/>
    <w:rsid w:val="00C77135"/>
    <w:rsid w:val="00C779BD"/>
    <w:rsid w:val="00C77ABC"/>
    <w:rsid w:val="00C77B71"/>
    <w:rsid w:val="00C77BAB"/>
    <w:rsid w:val="00C77C53"/>
    <w:rsid w:val="00C8001B"/>
    <w:rsid w:val="00C800B0"/>
    <w:rsid w:val="00C802ED"/>
    <w:rsid w:val="00C80377"/>
    <w:rsid w:val="00C8055D"/>
    <w:rsid w:val="00C805EE"/>
    <w:rsid w:val="00C808B3"/>
    <w:rsid w:val="00C808CB"/>
    <w:rsid w:val="00C80D47"/>
    <w:rsid w:val="00C80DBC"/>
    <w:rsid w:val="00C80E8D"/>
    <w:rsid w:val="00C81036"/>
    <w:rsid w:val="00C8109B"/>
    <w:rsid w:val="00C812B6"/>
    <w:rsid w:val="00C81516"/>
    <w:rsid w:val="00C81607"/>
    <w:rsid w:val="00C819BD"/>
    <w:rsid w:val="00C81CAE"/>
    <w:rsid w:val="00C81E6D"/>
    <w:rsid w:val="00C81F40"/>
    <w:rsid w:val="00C82077"/>
    <w:rsid w:val="00C82119"/>
    <w:rsid w:val="00C82328"/>
    <w:rsid w:val="00C8270C"/>
    <w:rsid w:val="00C8296D"/>
    <w:rsid w:val="00C82B9B"/>
    <w:rsid w:val="00C82E14"/>
    <w:rsid w:val="00C8337D"/>
    <w:rsid w:val="00C833E9"/>
    <w:rsid w:val="00C83427"/>
    <w:rsid w:val="00C8342B"/>
    <w:rsid w:val="00C83572"/>
    <w:rsid w:val="00C8363B"/>
    <w:rsid w:val="00C836A3"/>
    <w:rsid w:val="00C83847"/>
    <w:rsid w:val="00C83B24"/>
    <w:rsid w:val="00C83CBC"/>
    <w:rsid w:val="00C83F6A"/>
    <w:rsid w:val="00C84109"/>
    <w:rsid w:val="00C8432B"/>
    <w:rsid w:val="00C844B1"/>
    <w:rsid w:val="00C847F7"/>
    <w:rsid w:val="00C84AC5"/>
    <w:rsid w:val="00C84DD6"/>
    <w:rsid w:val="00C8570E"/>
    <w:rsid w:val="00C85828"/>
    <w:rsid w:val="00C85891"/>
    <w:rsid w:val="00C8597D"/>
    <w:rsid w:val="00C85E07"/>
    <w:rsid w:val="00C86061"/>
    <w:rsid w:val="00C8608D"/>
    <w:rsid w:val="00C86329"/>
    <w:rsid w:val="00C8663D"/>
    <w:rsid w:val="00C86AE6"/>
    <w:rsid w:val="00C86C94"/>
    <w:rsid w:val="00C86D75"/>
    <w:rsid w:val="00C870AB"/>
    <w:rsid w:val="00C87409"/>
    <w:rsid w:val="00C8745B"/>
    <w:rsid w:val="00C87525"/>
    <w:rsid w:val="00C87535"/>
    <w:rsid w:val="00C876C8"/>
    <w:rsid w:val="00C879E3"/>
    <w:rsid w:val="00C87B94"/>
    <w:rsid w:val="00C87FE4"/>
    <w:rsid w:val="00C9006C"/>
    <w:rsid w:val="00C90259"/>
    <w:rsid w:val="00C90390"/>
    <w:rsid w:val="00C909B5"/>
    <w:rsid w:val="00C90BF2"/>
    <w:rsid w:val="00C91074"/>
    <w:rsid w:val="00C9130A"/>
    <w:rsid w:val="00C914FE"/>
    <w:rsid w:val="00C91506"/>
    <w:rsid w:val="00C918B1"/>
    <w:rsid w:val="00C91AEA"/>
    <w:rsid w:val="00C91E39"/>
    <w:rsid w:val="00C91E76"/>
    <w:rsid w:val="00C92047"/>
    <w:rsid w:val="00C92176"/>
    <w:rsid w:val="00C92277"/>
    <w:rsid w:val="00C924EF"/>
    <w:rsid w:val="00C9258A"/>
    <w:rsid w:val="00C9267F"/>
    <w:rsid w:val="00C92B41"/>
    <w:rsid w:val="00C92C0A"/>
    <w:rsid w:val="00C92C6A"/>
    <w:rsid w:val="00C92C6E"/>
    <w:rsid w:val="00C93159"/>
    <w:rsid w:val="00C9315E"/>
    <w:rsid w:val="00C931C1"/>
    <w:rsid w:val="00C937B9"/>
    <w:rsid w:val="00C93AFD"/>
    <w:rsid w:val="00C93C28"/>
    <w:rsid w:val="00C93DC3"/>
    <w:rsid w:val="00C940C3"/>
    <w:rsid w:val="00C9411B"/>
    <w:rsid w:val="00C941EE"/>
    <w:rsid w:val="00C9463B"/>
    <w:rsid w:val="00C94CE9"/>
    <w:rsid w:val="00C94E81"/>
    <w:rsid w:val="00C94F21"/>
    <w:rsid w:val="00C94FF7"/>
    <w:rsid w:val="00C950FD"/>
    <w:rsid w:val="00C95163"/>
    <w:rsid w:val="00C9518E"/>
    <w:rsid w:val="00C95224"/>
    <w:rsid w:val="00C95384"/>
    <w:rsid w:val="00C953EC"/>
    <w:rsid w:val="00C95E80"/>
    <w:rsid w:val="00C96016"/>
    <w:rsid w:val="00C96099"/>
    <w:rsid w:val="00C96393"/>
    <w:rsid w:val="00C96404"/>
    <w:rsid w:val="00C96428"/>
    <w:rsid w:val="00C9697B"/>
    <w:rsid w:val="00C96D5C"/>
    <w:rsid w:val="00C972D0"/>
    <w:rsid w:val="00C97401"/>
    <w:rsid w:val="00C975AE"/>
    <w:rsid w:val="00C9783D"/>
    <w:rsid w:val="00C97A3E"/>
    <w:rsid w:val="00C97AFB"/>
    <w:rsid w:val="00CA024F"/>
    <w:rsid w:val="00CA04DF"/>
    <w:rsid w:val="00CA055E"/>
    <w:rsid w:val="00CA0682"/>
    <w:rsid w:val="00CA075F"/>
    <w:rsid w:val="00CA0873"/>
    <w:rsid w:val="00CA0A7E"/>
    <w:rsid w:val="00CA0D9A"/>
    <w:rsid w:val="00CA10E8"/>
    <w:rsid w:val="00CA1340"/>
    <w:rsid w:val="00CA15AB"/>
    <w:rsid w:val="00CA1637"/>
    <w:rsid w:val="00CA167E"/>
    <w:rsid w:val="00CA169B"/>
    <w:rsid w:val="00CA185A"/>
    <w:rsid w:val="00CA185C"/>
    <w:rsid w:val="00CA18C0"/>
    <w:rsid w:val="00CA19E9"/>
    <w:rsid w:val="00CA1C5B"/>
    <w:rsid w:val="00CA1C74"/>
    <w:rsid w:val="00CA1F06"/>
    <w:rsid w:val="00CA2260"/>
    <w:rsid w:val="00CA2605"/>
    <w:rsid w:val="00CA282E"/>
    <w:rsid w:val="00CA29E0"/>
    <w:rsid w:val="00CA3071"/>
    <w:rsid w:val="00CA35EA"/>
    <w:rsid w:val="00CA3645"/>
    <w:rsid w:val="00CA3664"/>
    <w:rsid w:val="00CA3717"/>
    <w:rsid w:val="00CA3917"/>
    <w:rsid w:val="00CA3A10"/>
    <w:rsid w:val="00CA3A60"/>
    <w:rsid w:val="00CA3EED"/>
    <w:rsid w:val="00CA4069"/>
    <w:rsid w:val="00CA4084"/>
    <w:rsid w:val="00CA436E"/>
    <w:rsid w:val="00CA4607"/>
    <w:rsid w:val="00CA472E"/>
    <w:rsid w:val="00CA4734"/>
    <w:rsid w:val="00CA4923"/>
    <w:rsid w:val="00CA4AF4"/>
    <w:rsid w:val="00CA52C4"/>
    <w:rsid w:val="00CA539F"/>
    <w:rsid w:val="00CA57B7"/>
    <w:rsid w:val="00CA5AFE"/>
    <w:rsid w:val="00CA607C"/>
    <w:rsid w:val="00CA637A"/>
    <w:rsid w:val="00CA6456"/>
    <w:rsid w:val="00CA6690"/>
    <w:rsid w:val="00CA6D13"/>
    <w:rsid w:val="00CA7321"/>
    <w:rsid w:val="00CA7434"/>
    <w:rsid w:val="00CA7464"/>
    <w:rsid w:val="00CA7AFB"/>
    <w:rsid w:val="00CB01E5"/>
    <w:rsid w:val="00CB02E7"/>
    <w:rsid w:val="00CB03C4"/>
    <w:rsid w:val="00CB07FA"/>
    <w:rsid w:val="00CB0C1A"/>
    <w:rsid w:val="00CB1205"/>
    <w:rsid w:val="00CB16AA"/>
    <w:rsid w:val="00CB1798"/>
    <w:rsid w:val="00CB186E"/>
    <w:rsid w:val="00CB1959"/>
    <w:rsid w:val="00CB1B6A"/>
    <w:rsid w:val="00CB202C"/>
    <w:rsid w:val="00CB217F"/>
    <w:rsid w:val="00CB2368"/>
    <w:rsid w:val="00CB26D4"/>
    <w:rsid w:val="00CB279E"/>
    <w:rsid w:val="00CB27CD"/>
    <w:rsid w:val="00CB2A99"/>
    <w:rsid w:val="00CB2C37"/>
    <w:rsid w:val="00CB2D95"/>
    <w:rsid w:val="00CB2DFF"/>
    <w:rsid w:val="00CB2EA2"/>
    <w:rsid w:val="00CB354B"/>
    <w:rsid w:val="00CB35A3"/>
    <w:rsid w:val="00CB379E"/>
    <w:rsid w:val="00CB3CAB"/>
    <w:rsid w:val="00CB4550"/>
    <w:rsid w:val="00CB4571"/>
    <w:rsid w:val="00CB4896"/>
    <w:rsid w:val="00CB4B63"/>
    <w:rsid w:val="00CB4CFB"/>
    <w:rsid w:val="00CB4DBC"/>
    <w:rsid w:val="00CB4ED9"/>
    <w:rsid w:val="00CB50E2"/>
    <w:rsid w:val="00CB5111"/>
    <w:rsid w:val="00CB53DB"/>
    <w:rsid w:val="00CB5920"/>
    <w:rsid w:val="00CB5AE0"/>
    <w:rsid w:val="00CB5BA2"/>
    <w:rsid w:val="00CB5BC5"/>
    <w:rsid w:val="00CB5C3A"/>
    <w:rsid w:val="00CB5EEE"/>
    <w:rsid w:val="00CB5F1E"/>
    <w:rsid w:val="00CB5FD3"/>
    <w:rsid w:val="00CB6207"/>
    <w:rsid w:val="00CB63CE"/>
    <w:rsid w:val="00CB6640"/>
    <w:rsid w:val="00CB688F"/>
    <w:rsid w:val="00CB69B1"/>
    <w:rsid w:val="00CB6A6E"/>
    <w:rsid w:val="00CB6B20"/>
    <w:rsid w:val="00CB6ED6"/>
    <w:rsid w:val="00CB725D"/>
    <w:rsid w:val="00CB74C3"/>
    <w:rsid w:val="00CB74E9"/>
    <w:rsid w:val="00CB75E0"/>
    <w:rsid w:val="00CB7949"/>
    <w:rsid w:val="00CB7A00"/>
    <w:rsid w:val="00CB7B43"/>
    <w:rsid w:val="00CB7C66"/>
    <w:rsid w:val="00CB7DA6"/>
    <w:rsid w:val="00CB7FCB"/>
    <w:rsid w:val="00CC0289"/>
    <w:rsid w:val="00CC0322"/>
    <w:rsid w:val="00CC037F"/>
    <w:rsid w:val="00CC03D9"/>
    <w:rsid w:val="00CC06A3"/>
    <w:rsid w:val="00CC071A"/>
    <w:rsid w:val="00CC0FCD"/>
    <w:rsid w:val="00CC1204"/>
    <w:rsid w:val="00CC1308"/>
    <w:rsid w:val="00CC18EF"/>
    <w:rsid w:val="00CC1D7D"/>
    <w:rsid w:val="00CC1F75"/>
    <w:rsid w:val="00CC223B"/>
    <w:rsid w:val="00CC24CC"/>
    <w:rsid w:val="00CC277C"/>
    <w:rsid w:val="00CC283D"/>
    <w:rsid w:val="00CC2D92"/>
    <w:rsid w:val="00CC2F0E"/>
    <w:rsid w:val="00CC30B7"/>
    <w:rsid w:val="00CC324B"/>
    <w:rsid w:val="00CC3270"/>
    <w:rsid w:val="00CC3349"/>
    <w:rsid w:val="00CC3503"/>
    <w:rsid w:val="00CC35C8"/>
    <w:rsid w:val="00CC3632"/>
    <w:rsid w:val="00CC374F"/>
    <w:rsid w:val="00CC3E32"/>
    <w:rsid w:val="00CC3EE0"/>
    <w:rsid w:val="00CC3F87"/>
    <w:rsid w:val="00CC3F94"/>
    <w:rsid w:val="00CC3FFC"/>
    <w:rsid w:val="00CC423D"/>
    <w:rsid w:val="00CC4570"/>
    <w:rsid w:val="00CC4581"/>
    <w:rsid w:val="00CC4908"/>
    <w:rsid w:val="00CC4A7C"/>
    <w:rsid w:val="00CC4ADF"/>
    <w:rsid w:val="00CC4BDD"/>
    <w:rsid w:val="00CC4CA3"/>
    <w:rsid w:val="00CC4EFC"/>
    <w:rsid w:val="00CC4FBB"/>
    <w:rsid w:val="00CC5214"/>
    <w:rsid w:val="00CC52F0"/>
    <w:rsid w:val="00CC557E"/>
    <w:rsid w:val="00CC55B5"/>
    <w:rsid w:val="00CC56B9"/>
    <w:rsid w:val="00CC593A"/>
    <w:rsid w:val="00CC5C5B"/>
    <w:rsid w:val="00CC5CA9"/>
    <w:rsid w:val="00CC5ED3"/>
    <w:rsid w:val="00CC5EFF"/>
    <w:rsid w:val="00CC6279"/>
    <w:rsid w:val="00CC63DA"/>
    <w:rsid w:val="00CC6905"/>
    <w:rsid w:val="00CC6F43"/>
    <w:rsid w:val="00CC6FF4"/>
    <w:rsid w:val="00CC7320"/>
    <w:rsid w:val="00CC76AE"/>
    <w:rsid w:val="00CC7719"/>
    <w:rsid w:val="00CC79EC"/>
    <w:rsid w:val="00CC7AFB"/>
    <w:rsid w:val="00CC7D12"/>
    <w:rsid w:val="00CC7E3A"/>
    <w:rsid w:val="00CC7F73"/>
    <w:rsid w:val="00CD00D7"/>
    <w:rsid w:val="00CD010E"/>
    <w:rsid w:val="00CD027B"/>
    <w:rsid w:val="00CD03E7"/>
    <w:rsid w:val="00CD04CF"/>
    <w:rsid w:val="00CD0512"/>
    <w:rsid w:val="00CD05EA"/>
    <w:rsid w:val="00CD0AAF"/>
    <w:rsid w:val="00CD0AC6"/>
    <w:rsid w:val="00CD0BA9"/>
    <w:rsid w:val="00CD0BF5"/>
    <w:rsid w:val="00CD0C40"/>
    <w:rsid w:val="00CD12A1"/>
    <w:rsid w:val="00CD14B0"/>
    <w:rsid w:val="00CD16F0"/>
    <w:rsid w:val="00CD1720"/>
    <w:rsid w:val="00CD181D"/>
    <w:rsid w:val="00CD1CCE"/>
    <w:rsid w:val="00CD1D7F"/>
    <w:rsid w:val="00CD1EAC"/>
    <w:rsid w:val="00CD2055"/>
    <w:rsid w:val="00CD2113"/>
    <w:rsid w:val="00CD2143"/>
    <w:rsid w:val="00CD259B"/>
    <w:rsid w:val="00CD25A5"/>
    <w:rsid w:val="00CD2724"/>
    <w:rsid w:val="00CD2A64"/>
    <w:rsid w:val="00CD2A70"/>
    <w:rsid w:val="00CD2B37"/>
    <w:rsid w:val="00CD2B43"/>
    <w:rsid w:val="00CD2FC4"/>
    <w:rsid w:val="00CD3216"/>
    <w:rsid w:val="00CD345F"/>
    <w:rsid w:val="00CD35D1"/>
    <w:rsid w:val="00CD367F"/>
    <w:rsid w:val="00CD3953"/>
    <w:rsid w:val="00CD3A3D"/>
    <w:rsid w:val="00CD3ACD"/>
    <w:rsid w:val="00CD3B80"/>
    <w:rsid w:val="00CD3CD9"/>
    <w:rsid w:val="00CD3F05"/>
    <w:rsid w:val="00CD4099"/>
    <w:rsid w:val="00CD414C"/>
    <w:rsid w:val="00CD44B0"/>
    <w:rsid w:val="00CD4CC2"/>
    <w:rsid w:val="00CD4DF4"/>
    <w:rsid w:val="00CD4F02"/>
    <w:rsid w:val="00CD4F24"/>
    <w:rsid w:val="00CD4F54"/>
    <w:rsid w:val="00CD4FC7"/>
    <w:rsid w:val="00CD50A3"/>
    <w:rsid w:val="00CD50D0"/>
    <w:rsid w:val="00CD50FA"/>
    <w:rsid w:val="00CD5156"/>
    <w:rsid w:val="00CD5250"/>
    <w:rsid w:val="00CD5578"/>
    <w:rsid w:val="00CD5690"/>
    <w:rsid w:val="00CD59AE"/>
    <w:rsid w:val="00CD5D8C"/>
    <w:rsid w:val="00CD5E21"/>
    <w:rsid w:val="00CD5F62"/>
    <w:rsid w:val="00CD5F9E"/>
    <w:rsid w:val="00CD6488"/>
    <w:rsid w:val="00CD6723"/>
    <w:rsid w:val="00CD68D3"/>
    <w:rsid w:val="00CD6A3D"/>
    <w:rsid w:val="00CD6BA7"/>
    <w:rsid w:val="00CD6EE9"/>
    <w:rsid w:val="00CD7164"/>
    <w:rsid w:val="00CD71AF"/>
    <w:rsid w:val="00CD71F9"/>
    <w:rsid w:val="00CD7249"/>
    <w:rsid w:val="00CD7370"/>
    <w:rsid w:val="00CD7E6B"/>
    <w:rsid w:val="00CD7EDA"/>
    <w:rsid w:val="00CE0071"/>
    <w:rsid w:val="00CE00A5"/>
    <w:rsid w:val="00CE053B"/>
    <w:rsid w:val="00CE05BD"/>
    <w:rsid w:val="00CE08B4"/>
    <w:rsid w:val="00CE0B89"/>
    <w:rsid w:val="00CE0F9D"/>
    <w:rsid w:val="00CE1025"/>
    <w:rsid w:val="00CE145B"/>
    <w:rsid w:val="00CE1706"/>
    <w:rsid w:val="00CE1722"/>
    <w:rsid w:val="00CE19F0"/>
    <w:rsid w:val="00CE1C9F"/>
    <w:rsid w:val="00CE1E7D"/>
    <w:rsid w:val="00CE1E9F"/>
    <w:rsid w:val="00CE222C"/>
    <w:rsid w:val="00CE22D4"/>
    <w:rsid w:val="00CE2626"/>
    <w:rsid w:val="00CE2658"/>
    <w:rsid w:val="00CE2882"/>
    <w:rsid w:val="00CE2902"/>
    <w:rsid w:val="00CE2C05"/>
    <w:rsid w:val="00CE2EB7"/>
    <w:rsid w:val="00CE2F2C"/>
    <w:rsid w:val="00CE306A"/>
    <w:rsid w:val="00CE35FB"/>
    <w:rsid w:val="00CE3B34"/>
    <w:rsid w:val="00CE3BDA"/>
    <w:rsid w:val="00CE3F77"/>
    <w:rsid w:val="00CE40A8"/>
    <w:rsid w:val="00CE4105"/>
    <w:rsid w:val="00CE42C9"/>
    <w:rsid w:val="00CE475C"/>
    <w:rsid w:val="00CE4857"/>
    <w:rsid w:val="00CE48FF"/>
    <w:rsid w:val="00CE494E"/>
    <w:rsid w:val="00CE4BF4"/>
    <w:rsid w:val="00CE4CFC"/>
    <w:rsid w:val="00CE4D91"/>
    <w:rsid w:val="00CE4EF4"/>
    <w:rsid w:val="00CE50D1"/>
    <w:rsid w:val="00CE5163"/>
    <w:rsid w:val="00CE53DE"/>
    <w:rsid w:val="00CE54AF"/>
    <w:rsid w:val="00CE5631"/>
    <w:rsid w:val="00CE570A"/>
    <w:rsid w:val="00CE5979"/>
    <w:rsid w:val="00CE59AC"/>
    <w:rsid w:val="00CE5C2C"/>
    <w:rsid w:val="00CE60A1"/>
    <w:rsid w:val="00CE60D8"/>
    <w:rsid w:val="00CE62A4"/>
    <w:rsid w:val="00CE7581"/>
    <w:rsid w:val="00CE758C"/>
    <w:rsid w:val="00CE7A7D"/>
    <w:rsid w:val="00CE7ACE"/>
    <w:rsid w:val="00CE7B3A"/>
    <w:rsid w:val="00CE7B75"/>
    <w:rsid w:val="00CE7B7E"/>
    <w:rsid w:val="00CE7BCE"/>
    <w:rsid w:val="00CE7BE4"/>
    <w:rsid w:val="00CE7FC6"/>
    <w:rsid w:val="00CF03CF"/>
    <w:rsid w:val="00CF04A0"/>
    <w:rsid w:val="00CF052D"/>
    <w:rsid w:val="00CF05A2"/>
    <w:rsid w:val="00CF07BA"/>
    <w:rsid w:val="00CF0969"/>
    <w:rsid w:val="00CF0A45"/>
    <w:rsid w:val="00CF0E4E"/>
    <w:rsid w:val="00CF106F"/>
    <w:rsid w:val="00CF1194"/>
    <w:rsid w:val="00CF119C"/>
    <w:rsid w:val="00CF11BE"/>
    <w:rsid w:val="00CF11E4"/>
    <w:rsid w:val="00CF1200"/>
    <w:rsid w:val="00CF140B"/>
    <w:rsid w:val="00CF1565"/>
    <w:rsid w:val="00CF18E2"/>
    <w:rsid w:val="00CF1A4C"/>
    <w:rsid w:val="00CF1D33"/>
    <w:rsid w:val="00CF267F"/>
    <w:rsid w:val="00CF28DA"/>
    <w:rsid w:val="00CF2B14"/>
    <w:rsid w:val="00CF2B65"/>
    <w:rsid w:val="00CF31F6"/>
    <w:rsid w:val="00CF34E2"/>
    <w:rsid w:val="00CF36D8"/>
    <w:rsid w:val="00CF3880"/>
    <w:rsid w:val="00CF3BCD"/>
    <w:rsid w:val="00CF3CCD"/>
    <w:rsid w:val="00CF3CCF"/>
    <w:rsid w:val="00CF3D73"/>
    <w:rsid w:val="00CF3FC0"/>
    <w:rsid w:val="00CF40DD"/>
    <w:rsid w:val="00CF4137"/>
    <w:rsid w:val="00CF416C"/>
    <w:rsid w:val="00CF42B2"/>
    <w:rsid w:val="00CF42EA"/>
    <w:rsid w:val="00CF4886"/>
    <w:rsid w:val="00CF488A"/>
    <w:rsid w:val="00CF4BC6"/>
    <w:rsid w:val="00CF4BD5"/>
    <w:rsid w:val="00CF4CD3"/>
    <w:rsid w:val="00CF4DF9"/>
    <w:rsid w:val="00CF4F3F"/>
    <w:rsid w:val="00CF4FE7"/>
    <w:rsid w:val="00CF4FFA"/>
    <w:rsid w:val="00CF514D"/>
    <w:rsid w:val="00CF527E"/>
    <w:rsid w:val="00CF5305"/>
    <w:rsid w:val="00CF534D"/>
    <w:rsid w:val="00CF5DEA"/>
    <w:rsid w:val="00CF619D"/>
    <w:rsid w:val="00CF61DF"/>
    <w:rsid w:val="00CF6283"/>
    <w:rsid w:val="00CF6344"/>
    <w:rsid w:val="00CF68E7"/>
    <w:rsid w:val="00CF6A72"/>
    <w:rsid w:val="00CF6B87"/>
    <w:rsid w:val="00CF70F5"/>
    <w:rsid w:val="00CF71F2"/>
    <w:rsid w:val="00CF77D6"/>
    <w:rsid w:val="00CF7859"/>
    <w:rsid w:val="00CF78AE"/>
    <w:rsid w:val="00CF7B8D"/>
    <w:rsid w:val="00CF7E13"/>
    <w:rsid w:val="00D00011"/>
    <w:rsid w:val="00D00228"/>
    <w:rsid w:val="00D004BB"/>
    <w:rsid w:val="00D005EB"/>
    <w:rsid w:val="00D00841"/>
    <w:rsid w:val="00D00F4B"/>
    <w:rsid w:val="00D0139E"/>
    <w:rsid w:val="00D014A7"/>
    <w:rsid w:val="00D01844"/>
    <w:rsid w:val="00D019EE"/>
    <w:rsid w:val="00D01BB8"/>
    <w:rsid w:val="00D02013"/>
    <w:rsid w:val="00D0212C"/>
    <w:rsid w:val="00D0218F"/>
    <w:rsid w:val="00D02445"/>
    <w:rsid w:val="00D024F0"/>
    <w:rsid w:val="00D0299A"/>
    <w:rsid w:val="00D02EE4"/>
    <w:rsid w:val="00D030C1"/>
    <w:rsid w:val="00D03400"/>
    <w:rsid w:val="00D0346A"/>
    <w:rsid w:val="00D034D9"/>
    <w:rsid w:val="00D0350B"/>
    <w:rsid w:val="00D0351B"/>
    <w:rsid w:val="00D03606"/>
    <w:rsid w:val="00D03694"/>
    <w:rsid w:val="00D0371F"/>
    <w:rsid w:val="00D03EAE"/>
    <w:rsid w:val="00D03F49"/>
    <w:rsid w:val="00D03FD0"/>
    <w:rsid w:val="00D0485C"/>
    <w:rsid w:val="00D05267"/>
    <w:rsid w:val="00D058BA"/>
    <w:rsid w:val="00D05A6D"/>
    <w:rsid w:val="00D05D38"/>
    <w:rsid w:val="00D05DB2"/>
    <w:rsid w:val="00D06105"/>
    <w:rsid w:val="00D06236"/>
    <w:rsid w:val="00D0674A"/>
    <w:rsid w:val="00D0682D"/>
    <w:rsid w:val="00D06C1B"/>
    <w:rsid w:val="00D06E74"/>
    <w:rsid w:val="00D06F90"/>
    <w:rsid w:val="00D07150"/>
    <w:rsid w:val="00D071C5"/>
    <w:rsid w:val="00D07638"/>
    <w:rsid w:val="00D07963"/>
    <w:rsid w:val="00D0798B"/>
    <w:rsid w:val="00D07A91"/>
    <w:rsid w:val="00D07AAE"/>
    <w:rsid w:val="00D07B68"/>
    <w:rsid w:val="00D07E22"/>
    <w:rsid w:val="00D07E4D"/>
    <w:rsid w:val="00D102BD"/>
    <w:rsid w:val="00D102D4"/>
    <w:rsid w:val="00D102EA"/>
    <w:rsid w:val="00D10AE5"/>
    <w:rsid w:val="00D10BC5"/>
    <w:rsid w:val="00D10D00"/>
    <w:rsid w:val="00D11811"/>
    <w:rsid w:val="00D119E9"/>
    <w:rsid w:val="00D11C6F"/>
    <w:rsid w:val="00D12253"/>
    <w:rsid w:val="00D12291"/>
    <w:rsid w:val="00D12313"/>
    <w:rsid w:val="00D1259D"/>
    <w:rsid w:val="00D125B3"/>
    <w:rsid w:val="00D12605"/>
    <w:rsid w:val="00D12818"/>
    <w:rsid w:val="00D12868"/>
    <w:rsid w:val="00D129D4"/>
    <w:rsid w:val="00D12DAE"/>
    <w:rsid w:val="00D12DED"/>
    <w:rsid w:val="00D12EBE"/>
    <w:rsid w:val="00D12F86"/>
    <w:rsid w:val="00D13033"/>
    <w:rsid w:val="00D13509"/>
    <w:rsid w:val="00D1352B"/>
    <w:rsid w:val="00D135D2"/>
    <w:rsid w:val="00D13605"/>
    <w:rsid w:val="00D1360C"/>
    <w:rsid w:val="00D13681"/>
    <w:rsid w:val="00D13693"/>
    <w:rsid w:val="00D13B8C"/>
    <w:rsid w:val="00D13BD4"/>
    <w:rsid w:val="00D13D93"/>
    <w:rsid w:val="00D13E1E"/>
    <w:rsid w:val="00D13E53"/>
    <w:rsid w:val="00D13E6C"/>
    <w:rsid w:val="00D14125"/>
    <w:rsid w:val="00D14137"/>
    <w:rsid w:val="00D1429C"/>
    <w:rsid w:val="00D14422"/>
    <w:rsid w:val="00D144E9"/>
    <w:rsid w:val="00D14564"/>
    <w:rsid w:val="00D14DDE"/>
    <w:rsid w:val="00D15174"/>
    <w:rsid w:val="00D151A9"/>
    <w:rsid w:val="00D152EA"/>
    <w:rsid w:val="00D15460"/>
    <w:rsid w:val="00D155B1"/>
    <w:rsid w:val="00D15711"/>
    <w:rsid w:val="00D15BBA"/>
    <w:rsid w:val="00D15F3A"/>
    <w:rsid w:val="00D161A4"/>
    <w:rsid w:val="00D161A6"/>
    <w:rsid w:val="00D164C2"/>
    <w:rsid w:val="00D16A97"/>
    <w:rsid w:val="00D16CA2"/>
    <w:rsid w:val="00D16E4F"/>
    <w:rsid w:val="00D16FAD"/>
    <w:rsid w:val="00D17169"/>
    <w:rsid w:val="00D1738E"/>
    <w:rsid w:val="00D174F5"/>
    <w:rsid w:val="00D176B4"/>
    <w:rsid w:val="00D176EF"/>
    <w:rsid w:val="00D179DB"/>
    <w:rsid w:val="00D17A6F"/>
    <w:rsid w:val="00D17A9B"/>
    <w:rsid w:val="00D17D19"/>
    <w:rsid w:val="00D17D54"/>
    <w:rsid w:val="00D17E4C"/>
    <w:rsid w:val="00D20283"/>
    <w:rsid w:val="00D20381"/>
    <w:rsid w:val="00D203B8"/>
    <w:rsid w:val="00D20462"/>
    <w:rsid w:val="00D2071C"/>
    <w:rsid w:val="00D208B5"/>
    <w:rsid w:val="00D20A2D"/>
    <w:rsid w:val="00D20AE4"/>
    <w:rsid w:val="00D20CA0"/>
    <w:rsid w:val="00D20DF8"/>
    <w:rsid w:val="00D20F9E"/>
    <w:rsid w:val="00D2126C"/>
    <w:rsid w:val="00D21414"/>
    <w:rsid w:val="00D214BB"/>
    <w:rsid w:val="00D2172E"/>
    <w:rsid w:val="00D21917"/>
    <w:rsid w:val="00D21958"/>
    <w:rsid w:val="00D21A1F"/>
    <w:rsid w:val="00D21BCE"/>
    <w:rsid w:val="00D21C0A"/>
    <w:rsid w:val="00D21CEB"/>
    <w:rsid w:val="00D22314"/>
    <w:rsid w:val="00D22370"/>
    <w:rsid w:val="00D2247B"/>
    <w:rsid w:val="00D2269F"/>
    <w:rsid w:val="00D2270C"/>
    <w:rsid w:val="00D22713"/>
    <w:rsid w:val="00D2275E"/>
    <w:rsid w:val="00D2279F"/>
    <w:rsid w:val="00D22823"/>
    <w:rsid w:val="00D229D8"/>
    <w:rsid w:val="00D22A5A"/>
    <w:rsid w:val="00D22B4A"/>
    <w:rsid w:val="00D22D6A"/>
    <w:rsid w:val="00D22D6E"/>
    <w:rsid w:val="00D2320B"/>
    <w:rsid w:val="00D232C5"/>
    <w:rsid w:val="00D23386"/>
    <w:rsid w:val="00D2351A"/>
    <w:rsid w:val="00D2365E"/>
    <w:rsid w:val="00D23705"/>
    <w:rsid w:val="00D2374E"/>
    <w:rsid w:val="00D23757"/>
    <w:rsid w:val="00D23B94"/>
    <w:rsid w:val="00D23C36"/>
    <w:rsid w:val="00D24151"/>
    <w:rsid w:val="00D242B1"/>
    <w:rsid w:val="00D243BF"/>
    <w:rsid w:val="00D244BF"/>
    <w:rsid w:val="00D24727"/>
    <w:rsid w:val="00D248C2"/>
    <w:rsid w:val="00D24BB5"/>
    <w:rsid w:val="00D24C52"/>
    <w:rsid w:val="00D24C5E"/>
    <w:rsid w:val="00D24C60"/>
    <w:rsid w:val="00D24C9D"/>
    <w:rsid w:val="00D24D47"/>
    <w:rsid w:val="00D250DE"/>
    <w:rsid w:val="00D25434"/>
    <w:rsid w:val="00D25735"/>
    <w:rsid w:val="00D25B11"/>
    <w:rsid w:val="00D25B13"/>
    <w:rsid w:val="00D25BB9"/>
    <w:rsid w:val="00D25C5E"/>
    <w:rsid w:val="00D25D43"/>
    <w:rsid w:val="00D2607F"/>
    <w:rsid w:val="00D261FB"/>
    <w:rsid w:val="00D26280"/>
    <w:rsid w:val="00D269ED"/>
    <w:rsid w:val="00D26A64"/>
    <w:rsid w:val="00D26C33"/>
    <w:rsid w:val="00D26CCC"/>
    <w:rsid w:val="00D26D0C"/>
    <w:rsid w:val="00D26F0E"/>
    <w:rsid w:val="00D27045"/>
    <w:rsid w:val="00D27047"/>
    <w:rsid w:val="00D270F5"/>
    <w:rsid w:val="00D2747B"/>
    <w:rsid w:val="00D275BF"/>
    <w:rsid w:val="00D27628"/>
    <w:rsid w:val="00D2765E"/>
    <w:rsid w:val="00D276F5"/>
    <w:rsid w:val="00D27B4F"/>
    <w:rsid w:val="00D27E95"/>
    <w:rsid w:val="00D27EC2"/>
    <w:rsid w:val="00D27FE5"/>
    <w:rsid w:val="00D30289"/>
    <w:rsid w:val="00D304FB"/>
    <w:rsid w:val="00D30543"/>
    <w:rsid w:val="00D30917"/>
    <w:rsid w:val="00D309B6"/>
    <w:rsid w:val="00D30ED2"/>
    <w:rsid w:val="00D3113E"/>
    <w:rsid w:val="00D31386"/>
    <w:rsid w:val="00D314BD"/>
    <w:rsid w:val="00D31535"/>
    <w:rsid w:val="00D31666"/>
    <w:rsid w:val="00D31690"/>
    <w:rsid w:val="00D31713"/>
    <w:rsid w:val="00D317EC"/>
    <w:rsid w:val="00D31846"/>
    <w:rsid w:val="00D31CAA"/>
    <w:rsid w:val="00D320EC"/>
    <w:rsid w:val="00D32329"/>
    <w:rsid w:val="00D3237E"/>
    <w:rsid w:val="00D324F0"/>
    <w:rsid w:val="00D3272C"/>
    <w:rsid w:val="00D32A3B"/>
    <w:rsid w:val="00D32AA2"/>
    <w:rsid w:val="00D32CEE"/>
    <w:rsid w:val="00D32E17"/>
    <w:rsid w:val="00D32E4B"/>
    <w:rsid w:val="00D32EDB"/>
    <w:rsid w:val="00D32F4B"/>
    <w:rsid w:val="00D338B6"/>
    <w:rsid w:val="00D3390E"/>
    <w:rsid w:val="00D339A3"/>
    <w:rsid w:val="00D33E6E"/>
    <w:rsid w:val="00D33E9B"/>
    <w:rsid w:val="00D340DD"/>
    <w:rsid w:val="00D3412A"/>
    <w:rsid w:val="00D341BF"/>
    <w:rsid w:val="00D343F0"/>
    <w:rsid w:val="00D345D6"/>
    <w:rsid w:val="00D346CA"/>
    <w:rsid w:val="00D346D3"/>
    <w:rsid w:val="00D347A0"/>
    <w:rsid w:val="00D347CB"/>
    <w:rsid w:val="00D3490D"/>
    <w:rsid w:val="00D34B28"/>
    <w:rsid w:val="00D34CD6"/>
    <w:rsid w:val="00D34FDE"/>
    <w:rsid w:val="00D35031"/>
    <w:rsid w:val="00D350D4"/>
    <w:rsid w:val="00D35203"/>
    <w:rsid w:val="00D3543E"/>
    <w:rsid w:val="00D3577E"/>
    <w:rsid w:val="00D358AC"/>
    <w:rsid w:val="00D35A01"/>
    <w:rsid w:val="00D35A11"/>
    <w:rsid w:val="00D35CF3"/>
    <w:rsid w:val="00D35F8A"/>
    <w:rsid w:val="00D35FA9"/>
    <w:rsid w:val="00D3600B"/>
    <w:rsid w:val="00D3661A"/>
    <w:rsid w:val="00D36690"/>
    <w:rsid w:val="00D36743"/>
    <w:rsid w:val="00D36747"/>
    <w:rsid w:val="00D369A3"/>
    <w:rsid w:val="00D36F14"/>
    <w:rsid w:val="00D36FCC"/>
    <w:rsid w:val="00D370DF"/>
    <w:rsid w:val="00D37569"/>
    <w:rsid w:val="00D376DA"/>
    <w:rsid w:val="00D3788B"/>
    <w:rsid w:val="00D37CD8"/>
    <w:rsid w:val="00D37D70"/>
    <w:rsid w:val="00D4013C"/>
    <w:rsid w:val="00D40639"/>
    <w:rsid w:val="00D40A58"/>
    <w:rsid w:val="00D40B08"/>
    <w:rsid w:val="00D40E78"/>
    <w:rsid w:val="00D41132"/>
    <w:rsid w:val="00D41229"/>
    <w:rsid w:val="00D414C6"/>
    <w:rsid w:val="00D416C7"/>
    <w:rsid w:val="00D41846"/>
    <w:rsid w:val="00D41B88"/>
    <w:rsid w:val="00D41E20"/>
    <w:rsid w:val="00D41EE9"/>
    <w:rsid w:val="00D4210A"/>
    <w:rsid w:val="00D4212E"/>
    <w:rsid w:val="00D42247"/>
    <w:rsid w:val="00D42354"/>
    <w:rsid w:val="00D423BF"/>
    <w:rsid w:val="00D42802"/>
    <w:rsid w:val="00D42D37"/>
    <w:rsid w:val="00D42D96"/>
    <w:rsid w:val="00D43114"/>
    <w:rsid w:val="00D43369"/>
    <w:rsid w:val="00D433A5"/>
    <w:rsid w:val="00D434F7"/>
    <w:rsid w:val="00D434FB"/>
    <w:rsid w:val="00D43558"/>
    <w:rsid w:val="00D438B3"/>
    <w:rsid w:val="00D4393B"/>
    <w:rsid w:val="00D43FC6"/>
    <w:rsid w:val="00D4433E"/>
    <w:rsid w:val="00D44535"/>
    <w:rsid w:val="00D4462F"/>
    <w:rsid w:val="00D446D1"/>
    <w:rsid w:val="00D4483E"/>
    <w:rsid w:val="00D44996"/>
    <w:rsid w:val="00D449AD"/>
    <w:rsid w:val="00D44B0B"/>
    <w:rsid w:val="00D44D2E"/>
    <w:rsid w:val="00D44DAD"/>
    <w:rsid w:val="00D44F17"/>
    <w:rsid w:val="00D44FA4"/>
    <w:rsid w:val="00D450F9"/>
    <w:rsid w:val="00D453BB"/>
    <w:rsid w:val="00D4554D"/>
    <w:rsid w:val="00D457A5"/>
    <w:rsid w:val="00D457CA"/>
    <w:rsid w:val="00D45806"/>
    <w:rsid w:val="00D45894"/>
    <w:rsid w:val="00D45899"/>
    <w:rsid w:val="00D45CD3"/>
    <w:rsid w:val="00D45EA2"/>
    <w:rsid w:val="00D461B2"/>
    <w:rsid w:val="00D4645B"/>
    <w:rsid w:val="00D46520"/>
    <w:rsid w:val="00D46608"/>
    <w:rsid w:val="00D46806"/>
    <w:rsid w:val="00D46986"/>
    <w:rsid w:val="00D469EC"/>
    <w:rsid w:val="00D46B6E"/>
    <w:rsid w:val="00D46F11"/>
    <w:rsid w:val="00D47126"/>
    <w:rsid w:val="00D47181"/>
    <w:rsid w:val="00D47327"/>
    <w:rsid w:val="00D4779E"/>
    <w:rsid w:val="00D47922"/>
    <w:rsid w:val="00D47FDA"/>
    <w:rsid w:val="00D50015"/>
    <w:rsid w:val="00D5010D"/>
    <w:rsid w:val="00D5025F"/>
    <w:rsid w:val="00D50471"/>
    <w:rsid w:val="00D5050F"/>
    <w:rsid w:val="00D507A0"/>
    <w:rsid w:val="00D50931"/>
    <w:rsid w:val="00D509B9"/>
    <w:rsid w:val="00D50B06"/>
    <w:rsid w:val="00D50BE7"/>
    <w:rsid w:val="00D50FEE"/>
    <w:rsid w:val="00D5116E"/>
    <w:rsid w:val="00D51288"/>
    <w:rsid w:val="00D5133C"/>
    <w:rsid w:val="00D51573"/>
    <w:rsid w:val="00D51641"/>
    <w:rsid w:val="00D517B8"/>
    <w:rsid w:val="00D518C2"/>
    <w:rsid w:val="00D51906"/>
    <w:rsid w:val="00D51AAC"/>
    <w:rsid w:val="00D51DF8"/>
    <w:rsid w:val="00D51DFA"/>
    <w:rsid w:val="00D51ED1"/>
    <w:rsid w:val="00D51F64"/>
    <w:rsid w:val="00D51F65"/>
    <w:rsid w:val="00D5207D"/>
    <w:rsid w:val="00D5220C"/>
    <w:rsid w:val="00D5226A"/>
    <w:rsid w:val="00D522D8"/>
    <w:rsid w:val="00D5240D"/>
    <w:rsid w:val="00D52436"/>
    <w:rsid w:val="00D525F6"/>
    <w:rsid w:val="00D52AB3"/>
    <w:rsid w:val="00D52D9D"/>
    <w:rsid w:val="00D52DEA"/>
    <w:rsid w:val="00D532ED"/>
    <w:rsid w:val="00D533F5"/>
    <w:rsid w:val="00D537DE"/>
    <w:rsid w:val="00D53BD6"/>
    <w:rsid w:val="00D53C96"/>
    <w:rsid w:val="00D53E3A"/>
    <w:rsid w:val="00D541D5"/>
    <w:rsid w:val="00D54227"/>
    <w:rsid w:val="00D54294"/>
    <w:rsid w:val="00D542C0"/>
    <w:rsid w:val="00D54468"/>
    <w:rsid w:val="00D544DE"/>
    <w:rsid w:val="00D549A0"/>
    <w:rsid w:val="00D54A1D"/>
    <w:rsid w:val="00D54A7B"/>
    <w:rsid w:val="00D54B4A"/>
    <w:rsid w:val="00D54CAD"/>
    <w:rsid w:val="00D54D2D"/>
    <w:rsid w:val="00D55434"/>
    <w:rsid w:val="00D55672"/>
    <w:rsid w:val="00D55715"/>
    <w:rsid w:val="00D557F6"/>
    <w:rsid w:val="00D557FC"/>
    <w:rsid w:val="00D55C82"/>
    <w:rsid w:val="00D55EFC"/>
    <w:rsid w:val="00D5644C"/>
    <w:rsid w:val="00D56977"/>
    <w:rsid w:val="00D569C3"/>
    <w:rsid w:val="00D56A96"/>
    <w:rsid w:val="00D56B47"/>
    <w:rsid w:val="00D56B7D"/>
    <w:rsid w:val="00D56CF6"/>
    <w:rsid w:val="00D56E5D"/>
    <w:rsid w:val="00D56F31"/>
    <w:rsid w:val="00D56FC4"/>
    <w:rsid w:val="00D57031"/>
    <w:rsid w:val="00D57106"/>
    <w:rsid w:val="00D57624"/>
    <w:rsid w:val="00D5797B"/>
    <w:rsid w:val="00D57C17"/>
    <w:rsid w:val="00D57D16"/>
    <w:rsid w:val="00D602A4"/>
    <w:rsid w:val="00D6096D"/>
    <w:rsid w:val="00D60A01"/>
    <w:rsid w:val="00D60DB6"/>
    <w:rsid w:val="00D60EA9"/>
    <w:rsid w:val="00D60F0F"/>
    <w:rsid w:val="00D614A0"/>
    <w:rsid w:val="00D61527"/>
    <w:rsid w:val="00D617C2"/>
    <w:rsid w:val="00D61959"/>
    <w:rsid w:val="00D61BD1"/>
    <w:rsid w:val="00D61D62"/>
    <w:rsid w:val="00D61E21"/>
    <w:rsid w:val="00D6204C"/>
    <w:rsid w:val="00D620E4"/>
    <w:rsid w:val="00D62238"/>
    <w:rsid w:val="00D62364"/>
    <w:rsid w:val="00D62699"/>
    <w:rsid w:val="00D62867"/>
    <w:rsid w:val="00D628B2"/>
    <w:rsid w:val="00D62B6B"/>
    <w:rsid w:val="00D62C01"/>
    <w:rsid w:val="00D62C9F"/>
    <w:rsid w:val="00D62CEC"/>
    <w:rsid w:val="00D62F63"/>
    <w:rsid w:val="00D63175"/>
    <w:rsid w:val="00D6348F"/>
    <w:rsid w:val="00D635A6"/>
    <w:rsid w:val="00D637D4"/>
    <w:rsid w:val="00D6392D"/>
    <w:rsid w:val="00D63BF2"/>
    <w:rsid w:val="00D63C09"/>
    <w:rsid w:val="00D63DEB"/>
    <w:rsid w:val="00D63EAD"/>
    <w:rsid w:val="00D63EFA"/>
    <w:rsid w:val="00D64141"/>
    <w:rsid w:val="00D643A7"/>
    <w:rsid w:val="00D64671"/>
    <w:rsid w:val="00D647A3"/>
    <w:rsid w:val="00D64CAD"/>
    <w:rsid w:val="00D64D51"/>
    <w:rsid w:val="00D64EDA"/>
    <w:rsid w:val="00D65146"/>
    <w:rsid w:val="00D6515C"/>
    <w:rsid w:val="00D652AF"/>
    <w:rsid w:val="00D65616"/>
    <w:rsid w:val="00D65649"/>
    <w:rsid w:val="00D6607C"/>
    <w:rsid w:val="00D663BD"/>
    <w:rsid w:val="00D6678E"/>
    <w:rsid w:val="00D668B8"/>
    <w:rsid w:val="00D66BC8"/>
    <w:rsid w:val="00D66D99"/>
    <w:rsid w:val="00D66DEB"/>
    <w:rsid w:val="00D671AC"/>
    <w:rsid w:val="00D67442"/>
    <w:rsid w:val="00D6754C"/>
    <w:rsid w:val="00D67681"/>
    <w:rsid w:val="00D678AE"/>
    <w:rsid w:val="00D678FA"/>
    <w:rsid w:val="00D6794E"/>
    <w:rsid w:val="00D67962"/>
    <w:rsid w:val="00D67D68"/>
    <w:rsid w:val="00D67E7E"/>
    <w:rsid w:val="00D67F66"/>
    <w:rsid w:val="00D70064"/>
    <w:rsid w:val="00D700DB"/>
    <w:rsid w:val="00D70951"/>
    <w:rsid w:val="00D70A54"/>
    <w:rsid w:val="00D70D25"/>
    <w:rsid w:val="00D70E80"/>
    <w:rsid w:val="00D71273"/>
    <w:rsid w:val="00D713AA"/>
    <w:rsid w:val="00D714F5"/>
    <w:rsid w:val="00D71729"/>
    <w:rsid w:val="00D71858"/>
    <w:rsid w:val="00D71B2C"/>
    <w:rsid w:val="00D71C85"/>
    <w:rsid w:val="00D71E60"/>
    <w:rsid w:val="00D7203F"/>
    <w:rsid w:val="00D720A3"/>
    <w:rsid w:val="00D720BA"/>
    <w:rsid w:val="00D72109"/>
    <w:rsid w:val="00D72390"/>
    <w:rsid w:val="00D723FE"/>
    <w:rsid w:val="00D7266C"/>
    <w:rsid w:val="00D727A7"/>
    <w:rsid w:val="00D727C2"/>
    <w:rsid w:val="00D72970"/>
    <w:rsid w:val="00D72D40"/>
    <w:rsid w:val="00D72ECC"/>
    <w:rsid w:val="00D72EFB"/>
    <w:rsid w:val="00D72FC1"/>
    <w:rsid w:val="00D733CA"/>
    <w:rsid w:val="00D73446"/>
    <w:rsid w:val="00D7352D"/>
    <w:rsid w:val="00D7352E"/>
    <w:rsid w:val="00D73918"/>
    <w:rsid w:val="00D73CE3"/>
    <w:rsid w:val="00D73E1B"/>
    <w:rsid w:val="00D73EE7"/>
    <w:rsid w:val="00D73FEF"/>
    <w:rsid w:val="00D740ED"/>
    <w:rsid w:val="00D7424F"/>
    <w:rsid w:val="00D748E2"/>
    <w:rsid w:val="00D74951"/>
    <w:rsid w:val="00D74A52"/>
    <w:rsid w:val="00D74DB9"/>
    <w:rsid w:val="00D74FD5"/>
    <w:rsid w:val="00D75101"/>
    <w:rsid w:val="00D751A0"/>
    <w:rsid w:val="00D75654"/>
    <w:rsid w:val="00D75BFE"/>
    <w:rsid w:val="00D75D15"/>
    <w:rsid w:val="00D75E88"/>
    <w:rsid w:val="00D761B3"/>
    <w:rsid w:val="00D7639D"/>
    <w:rsid w:val="00D76625"/>
    <w:rsid w:val="00D7680D"/>
    <w:rsid w:val="00D76AEB"/>
    <w:rsid w:val="00D76B85"/>
    <w:rsid w:val="00D76CA5"/>
    <w:rsid w:val="00D76CEE"/>
    <w:rsid w:val="00D76D71"/>
    <w:rsid w:val="00D76F24"/>
    <w:rsid w:val="00D76F33"/>
    <w:rsid w:val="00D7765B"/>
    <w:rsid w:val="00D77680"/>
    <w:rsid w:val="00D77955"/>
    <w:rsid w:val="00D77969"/>
    <w:rsid w:val="00D77AF5"/>
    <w:rsid w:val="00D77C9C"/>
    <w:rsid w:val="00D77E8A"/>
    <w:rsid w:val="00D77F1C"/>
    <w:rsid w:val="00D803BF"/>
    <w:rsid w:val="00D806F4"/>
    <w:rsid w:val="00D807F0"/>
    <w:rsid w:val="00D80B8F"/>
    <w:rsid w:val="00D80CCB"/>
    <w:rsid w:val="00D80F3D"/>
    <w:rsid w:val="00D80F4F"/>
    <w:rsid w:val="00D81680"/>
    <w:rsid w:val="00D816A4"/>
    <w:rsid w:val="00D81711"/>
    <w:rsid w:val="00D8175E"/>
    <w:rsid w:val="00D81A63"/>
    <w:rsid w:val="00D81CE2"/>
    <w:rsid w:val="00D81D31"/>
    <w:rsid w:val="00D81FFB"/>
    <w:rsid w:val="00D8201A"/>
    <w:rsid w:val="00D823A0"/>
    <w:rsid w:val="00D82679"/>
    <w:rsid w:val="00D82AB5"/>
    <w:rsid w:val="00D82D30"/>
    <w:rsid w:val="00D82E0A"/>
    <w:rsid w:val="00D82F25"/>
    <w:rsid w:val="00D8312B"/>
    <w:rsid w:val="00D837D8"/>
    <w:rsid w:val="00D84070"/>
    <w:rsid w:val="00D84843"/>
    <w:rsid w:val="00D84C1E"/>
    <w:rsid w:val="00D84F77"/>
    <w:rsid w:val="00D850D9"/>
    <w:rsid w:val="00D85363"/>
    <w:rsid w:val="00D853C9"/>
    <w:rsid w:val="00D8555E"/>
    <w:rsid w:val="00D855A5"/>
    <w:rsid w:val="00D8594A"/>
    <w:rsid w:val="00D859CE"/>
    <w:rsid w:val="00D859D0"/>
    <w:rsid w:val="00D85AC0"/>
    <w:rsid w:val="00D85ADF"/>
    <w:rsid w:val="00D85CF7"/>
    <w:rsid w:val="00D85E17"/>
    <w:rsid w:val="00D85F95"/>
    <w:rsid w:val="00D861A8"/>
    <w:rsid w:val="00D86205"/>
    <w:rsid w:val="00D86245"/>
    <w:rsid w:val="00D8625C"/>
    <w:rsid w:val="00D86398"/>
    <w:rsid w:val="00D8645F"/>
    <w:rsid w:val="00D864CF"/>
    <w:rsid w:val="00D86551"/>
    <w:rsid w:val="00D8659A"/>
    <w:rsid w:val="00D865A7"/>
    <w:rsid w:val="00D86B02"/>
    <w:rsid w:val="00D86B34"/>
    <w:rsid w:val="00D86CAB"/>
    <w:rsid w:val="00D86CB9"/>
    <w:rsid w:val="00D86EF0"/>
    <w:rsid w:val="00D871BA"/>
    <w:rsid w:val="00D87502"/>
    <w:rsid w:val="00D8774A"/>
    <w:rsid w:val="00D8778D"/>
    <w:rsid w:val="00D877FA"/>
    <w:rsid w:val="00D87873"/>
    <w:rsid w:val="00D87924"/>
    <w:rsid w:val="00D879F8"/>
    <w:rsid w:val="00D87ADD"/>
    <w:rsid w:val="00D87B97"/>
    <w:rsid w:val="00D87BFD"/>
    <w:rsid w:val="00D87D04"/>
    <w:rsid w:val="00D87DF7"/>
    <w:rsid w:val="00D90073"/>
    <w:rsid w:val="00D90110"/>
    <w:rsid w:val="00D90146"/>
    <w:rsid w:val="00D903A0"/>
    <w:rsid w:val="00D9049A"/>
    <w:rsid w:val="00D90789"/>
    <w:rsid w:val="00D90931"/>
    <w:rsid w:val="00D90B06"/>
    <w:rsid w:val="00D90C01"/>
    <w:rsid w:val="00D90D38"/>
    <w:rsid w:val="00D90D39"/>
    <w:rsid w:val="00D90E3F"/>
    <w:rsid w:val="00D91226"/>
    <w:rsid w:val="00D912B3"/>
    <w:rsid w:val="00D9166C"/>
    <w:rsid w:val="00D91695"/>
    <w:rsid w:val="00D91828"/>
    <w:rsid w:val="00D9182D"/>
    <w:rsid w:val="00D9183E"/>
    <w:rsid w:val="00D91C0F"/>
    <w:rsid w:val="00D91E10"/>
    <w:rsid w:val="00D91E25"/>
    <w:rsid w:val="00D921B4"/>
    <w:rsid w:val="00D927BF"/>
    <w:rsid w:val="00D9298A"/>
    <w:rsid w:val="00D92B2A"/>
    <w:rsid w:val="00D92CE9"/>
    <w:rsid w:val="00D92D5C"/>
    <w:rsid w:val="00D92EAE"/>
    <w:rsid w:val="00D931AE"/>
    <w:rsid w:val="00D9350D"/>
    <w:rsid w:val="00D93A3A"/>
    <w:rsid w:val="00D93C27"/>
    <w:rsid w:val="00D93D69"/>
    <w:rsid w:val="00D9400C"/>
    <w:rsid w:val="00D9411C"/>
    <w:rsid w:val="00D94160"/>
    <w:rsid w:val="00D947B6"/>
    <w:rsid w:val="00D94864"/>
    <w:rsid w:val="00D94A04"/>
    <w:rsid w:val="00D94A5C"/>
    <w:rsid w:val="00D94AEF"/>
    <w:rsid w:val="00D94D2E"/>
    <w:rsid w:val="00D94ED6"/>
    <w:rsid w:val="00D94EFD"/>
    <w:rsid w:val="00D94FE4"/>
    <w:rsid w:val="00D9509C"/>
    <w:rsid w:val="00D95BF7"/>
    <w:rsid w:val="00D95DD0"/>
    <w:rsid w:val="00D95FDB"/>
    <w:rsid w:val="00D96219"/>
    <w:rsid w:val="00D9638C"/>
    <w:rsid w:val="00D9639E"/>
    <w:rsid w:val="00D9642F"/>
    <w:rsid w:val="00D96B58"/>
    <w:rsid w:val="00D96CC7"/>
    <w:rsid w:val="00D972EC"/>
    <w:rsid w:val="00D979B9"/>
    <w:rsid w:val="00D97D82"/>
    <w:rsid w:val="00D97DD9"/>
    <w:rsid w:val="00D97FFE"/>
    <w:rsid w:val="00DA0047"/>
    <w:rsid w:val="00DA0094"/>
    <w:rsid w:val="00DA0339"/>
    <w:rsid w:val="00DA0348"/>
    <w:rsid w:val="00DA03B6"/>
    <w:rsid w:val="00DA0577"/>
    <w:rsid w:val="00DA06F4"/>
    <w:rsid w:val="00DA07A7"/>
    <w:rsid w:val="00DA0ABD"/>
    <w:rsid w:val="00DA0BC0"/>
    <w:rsid w:val="00DA1224"/>
    <w:rsid w:val="00DA1277"/>
    <w:rsid w:val="00DA12CC"/>
    <w:rsid w:val="00DA152C"/>
    <w:rsid w:val="00DA1709"/>
    <w:rsid w:val="00DA18C1"/>
    <w:rsid w:val="00DA1A1B"/>
    <w:rsid w:val="00DA1F48"/>
    <w:rsid w:val="00DA2200"/>
    <w:rsid w:val="00DA2224"/>
    <w:rsid w:val="00DA26C9"/>
    <w:rsid w:val="00DA2B03"/>
    <w:rsid w:val="00DA2B2D"/>
    <w:rsid w:val="00DA2CD7"/>
    <w:rsid w:val="00DA3138"/>
    <w:rsid w:val="00DA3529"/>
    <w:rsid w:val="00DA3695"/>
    <w:rsid w:val="00DA36D0"/>
    <w:rsid w:val="00DA376F"/>
    <w:rsid w:val="00DA39A3"/>
    <w:rsid w:val="00DA3C36"/>
    <w:rsid w:val="00DA3D10"/>
    <w:rsid w:val="00DA4232"/>
    <w:rsid w:val="00DA4471"/>
    <w:rsid w:val="00DA44B4"/>
    <w:rsid w:val="00DA44B9"/>
    <w:rsid w:val="00DA456B"/>
    <w:rsid w:val="00DA479B"/>
    <w:rsid w:val="00DA491F"/>
    <w:rsid w:val="00DA49B7"/>
    <w:rsid w:val="00DA4C35"/>
    <w:rsid w:val="00DA4D1A"/>
    <w:rsid w:val="00DA5107"/>
    <w:rsid w:val="00DA517A"/>
    <w:rsid w:val="00DA5196"/>
    <w:rsid w:val="00DA51D0"/>
    <w:rsid w:val="00DA5576"/>
    <w:rsid w:val="00DA5581"/>
    <w:rsid w:val="00DA55FC"/>
    <w:rsid w:val="00DA5615"/>
    <w:rsid w:val="00DA57A3"/>
    <w:rsid w:val="00DA57F5"/>
    <w:rsid w:val="00DA58A6"/>
    <w:rsid w:val="00DA594B"/>
    <w:rsid w:val="00DA59EE"/>
    <w:rsid w:val="00DA5B68"/>
    <w:rsid w:val="00DA5C58"/>
    <w:rsid w:val="00DA5C6F"/>
    <w:rsid w:val="00DA5D05"/>
    <w:rsid w:val="00DA5D3B"/>
    <w:rsid w:val="00DA648A"/>
    <w:rsid w:val="00DA674D"/>
    <w:rsid w:val="00DA6C28"/>
    <w:rsid w:val="00DA706A"/>
    <w:rsid w:val="00DA70D5"/>
    <w:rsid w:val="00DA70E3"/>
    <w:rsid w:val="00DA72B8"/>
    <w:rsid w:val="00DA759C"/>
    <w:rsid w:val="00DA7C0A"/>
    <w:rsid w:val="00DA7DDE"/>
    <w:rsid w:val="00DA7E88"/>
    <w:rsid w:val="00DA7FD4"/>
    <w:rsid w:val="00DB0049"/>
    <w:rsid w:val="00DB0589"/>
    <w:rsid w:val="00DB06EF"/>
    <w:rsid w:val="00DB0910"/>
    <w:rsid w:val="00DB10D4"/>
    <w:rsid w:val="00DB12A6"/>
    <w:rsid w:val="00DB159A"/>
    <w:rsid w:val="00DB16F5"/>
    <w:rsid w:val="00DB18E1"/>
    <w:rsid w:val="00DB1966"/>
    <w:rsid w:val="00DB1CA8"/>
    <w:rsid w:val="00DB1CE8"/>
    <w:rsid w:val="00DB1D1B"/>
    <w:rsid w:val="00DB1E46"/>
    <w:rsid w:val="00DB1F0A"/>
    <w:rsid w:val="00DB253D"/>
    <w:rsid w:val="00DB25B9"/>
    <w:rsid w:val="00DB2ACC"/>
    <w:rsid w:val="00DB2C88"/>
    <w:rsid w:val="00DB2DBE"/>
    <w:rsid w:val="00DB30AB"/>
    <w:rsid w:val="00DB30E3"/>
    <w:rsid w:val="00DB3600"/>
    <w:rsid w:val="00DB36C6"/>
    <w:rsid w:val="00DB3722"/>
    <w:rsid w:val="00DB3968"/>
    <w:rsid w:val="00DB3ADE"/>
    <w:rsid w:val="00DB3CB2"/>
    <w:rsid w:val="00DB3D92"/>
    <w:rsid w:val="00DB3E04"/>
    <w:rsid w:val="00DB42BF"/>
    <w:rsid w:val="00DB42FD"/>
    <w:rsid w:val="00DB4369"/>
    <w:rsid w:val="00DB479A"/>
    <w:rsid w:val="00DB4929"/>
    <w:rsid w:val="00DB4A66"/>
    <w:rsid w:val="00DB4C0C"/>
    <w:rsid w:val="00DB4CEB"/>
    <w:rsid w:val="00DB5041"/>
    <w:rsid w:val="00DB50A1"/>
    <w:rsid w:val="00DB50DB"/>
    <w:rsid w:val="00DB5111"/>
    <w:rsid w:val="00DB5115"/>
    <w:rsid w:val="00DB52E6"/>
    <w:rsid w:val="00DB5526"/>
    <w:rsid w:val="00DB5634"/>
    <w:rsid w:val="00DB5805"/>
    <w:rsid w:val="00DB5A39"/>
    <w:rsid w:val="00DB5AF1"/>
    <w:rsid w:val="00DB5D46"/>
    <w:rsid w:val="00DB6142"/>
    <w:rsid w:val="00DB6299"/>
    <w:rsid w:val="00DB6488"/>
    <w:rsid w:val="00DB6852"/>
    <w:rsid w:val="00DB6B27"/>
    <w:rsid w:val="00DB6C26"/>
    <w:rsid w:val="00DB6D6C"/>
    <w:rsid w:val="00DB6E01"/>
    <w:rsid w:val="00DB6E54"/>
    <w:rsid w:val="00DB7182"/>
    <w:rsid w:val="00DB723A"/>
    <w:rsid w:val="00DB72F5"/>
    <w:rsid w:val="00DB7A2B"/>
    <w:rsid w:val="00DB7BA0"/>
    <w:rsid w:val="00DB7C23"/>
    <w:rsid w:val="00DB7CAF"/>
    <w:rsid w:val="00DB7E28"/>
    <w:rsid w:val="00DB7E29"/>
    <w:rsid w:val="00DB7F4C"/>
    <w:rsid w:val="00DB7FAE"/>
    <w:rsid w:val="00DC0159"/>
    <w:rsid w:val="00DC02FE"/>
    <w:rsid w:val="00DC0443"/>
    <w:rsid w:val="00DC05DD"/>
    <w:rsid w:val="00DC0B43"/>
    <w:rsid w:val="00DC0D49"/>
    <w:rsid w:val="00DC0F10"/>
    <w:rsid w:val="00DC0F22"/>
    <w:rsid w:val="00DC0FA4"/>
    <w:rsid w:val="00DC1052"/>
    <w:rsid w:val="00DC1640"/>
    <w:rsid w:val="00DC1683"/>
    <w:rsid w:val="00DC16D7"/>
    <w:rsid w:val="00DC17F9"/>
    <w:rsid w:val="00DC1FC9"/>
    <w:rsid w:val="00DC217C"/>
    <w:rsid w:val="00DC21F7"/>
    <w:rsid w:val="00DC2406"/>
    <w:rsid w:val="00DC24CD"/>
    <w:rsid w:val="00DC24E4"/>
    <w:rsid w:val="00DC264B"/>
    <w:rsid w:val="00DC2A7D"/>
    <w:rsid w:val="00DC2BB4"/>
    <w:rsid w:val="00DC2EA9"/>
    <w:rsid w:val="00DC3035"/>
    <w:rsid w:val="00DC31B7"/>
    <w:rsid w:val="00DC353C"/>
    <w:rsid w:val="00DC3578"/>
    <w:rsid w:val="00DC37F9"/>
    <w:rsid w:val="00DC3D42"/>
    <w:rsid w:val="00DC3DEE"/>
    <w:rsid w:val="00DC3F26"/>
    <w:rsid w:val="00DC4168"/>
    <w:rsid w:val="00DC431B"/>
    <w:rsid w:val="00DC4555"/>
    <w:rsid w:val="00DC45E8"/>
    <w:rsid w:val="00DC4649"/>
    <w:rsid w:val="00DC46FF"/>
    <w:rsid w:val="00DC47A4"/>
    <w:rsid w:val="00DC47C0"/>
    <w:rsid w:val="00DC4813"/>
    <w:rsid w:val="00DC4C95"/>
    <w:rsid w:val="00DC546F"/>
    <w:rsid w:val="00DC5B7C"/>
    <w:rsid w:val="00DC5C8A"/>
    <w:rsid w:val="00DC620B"/>
    <w:rsid w:val="00DC62F6"/>
    <w:rsid w:val="00DC635B"/>
    <w:rsid w:val="00DC6475"/>
    <w:rsid w:val="00DC6546"/>
    <w:rsid w:val="00DC69FB"/>
    <w:rsid w:val="00DC6B47"/>
    <w:rsid w:val="00DC6D1E"/>
    <w:rsid w:val="00DC6F20"/>
    <w:rsid w:val="00DC7057"/>
    <w:rsid w:val="00DC71DE"/>
    <w:rsid w:val="00DC738E"/>
    <w:rsid w:val="00DC75C8"/>
    <w:rsid w:val="00DC762C"/>
    <w:rsid w:val="00DC7763"/>
    <w:rsid w:val="00DC7970"/>
    <w:rsid w:val="00DC7B3B"/>
    <w:rsid w:val="00DC7BFB"/>
    <w:rsid w:val="00DC7FCD"/>
    <w:rsid w:val="00DD0169"/>
    <w:rsid w:val="00DD06D7"/>
    <w:rsid w:val="00DD0829"/>
    <w:rsid w:val="00DD09E5"/>
    <w:rsid w:val="00DD0DAE"/>
    <w:rsid w:val="00DD0F4C"/>
    <w:rsid w:val="00DD1031"/>
    <w:rsid w:val="00DD109E"/>
    <w:rsid w:val="00DD10FA"/>
    <w:rsid w:val="00DD112B"/>
    <w:rsid w:val="00DD126E"/>
    <w:rsid w:val="00DD22EF"/>
    <w:rsid w:val="00DD269B"/>
    <w:rsid w:val="00DD2849"/>
    <w:rsid w:val="00DD2AE6"/>
    <w:rsid w:val="00DD30DD"/>
    <w:rsid w:val="00DD319A"/>
    <w:rsid w:val="00DD3345"/>
    <w:rsid w:val="00DD3372"/>
    <w:rsid w:val="00DD33C9"/>
    <w:rsid w:val="00DD363E"/>
    <w:rsid w:val="00DD3686"/>
    <w:rsid w:val="00DD38A7"/>
    <w:rsid w:val="00DD3A5E"/>
    <w:rsid w:val="00DD3BC5"/>
    <w:rsid w:val="00DD3CA7"/>
    <w:rsid w:val="00DD3DAF"/>
    <w:rsid w:val="00DD439D"/>
    <w:rsid w:val="00DD4448"/>
    <w:rsid w:val="00DD4AD7"/>
    <w:rsid w:val="00DD4BE8"/>
    <w:rsid w:val="00DD4C5C"/>
    <w:rsid w:val="00DD4E7D"/>
    <w:rsid w:val="00DD4EF9"/>
    <w:rsid w:val="00DD5299"/>
    <w:rsid w:val="00DD541A"/>
    <w:rsid w:val="00DD553A"/>
    <w:rsid w:val="00DD55FA"/>
    <w:rsid w:val="00DD6185"/>
    <w:rsid w:val="00DD62CA"/>
    <w:rsid w:val="00DD62F0"/>
    <w:rsid w:val="00DD6379"/>
    <w:rsid w:val="00DD64E2"/>
    <w:rsid w:val="00DD65B0"/>
    <w:rsid w:val="00DD66A7"/>
    <w:rsid w:val="00DD68A7"/>
    <w:rsid w:val="00DD68EC"/>
    <w:rsid w:val="00DD6E2E"/>
    <w:rsid w:val="00DD7112"/>
    <w:rsid w:val="00DD71E8"/>
    <w:rsid w:val="00DD74F7"/>
    <w:rsid w:val="00DD7602"/>
    <w:rsid w:val="00DD7A16"/>
    <w:rsid w:val="00DD7DB5"/>
    <w:rsid w:val="00DD7F1A"/>
    <w:rsid w:val="00DE0037"/>
    <w:rsid w:val="00DE05CE"/>
    <w:rsid w:val="00DE08DC"/>
    <w:rsid w:val="00DE09D7"/>
    <w:rsid w:val="00DE0A9C"/>
    <w:rsid w:val="00DE0C45"/>
    <w:rsid w:val="00DE0D99"/>
    <w:rsid w:val="00DE1019"/>
    <w:rsid w:val="00DE1388"/>
    <w:rsid w:val="00DE144D"/>
    <w:rsid w:val="00DE158B"/>
    <w:rsid w:val="00DE15E6"/>
    <w:rsid w:val="00DE167F"/>
    <w:rsid w:val="00DE1CD1"/>
    <w:rsid w:val="00DE1CF4"/>
    <w:rsid w:val="00DE1D38"/>
    <w:rsid w:val="00DE1F05"/>
    <w:rsid w:val="00DE2009"/>
    <w:rsid w:val="00DE22E7"/>
    <w:rsid w:val="00DE238E"/>
    <w:rsid w:val="00DE25A5"/>
    <w:rsid w:val="00DE25B2"/>
    <w:rsid w:val="00DE29E2"/>
    <w:rsid w:val="00DE2B02"/>
    <w:rsid w:val="00DE2B0F"/>
    <w:rsid w:val="00DE2B74"/>
    <w:rsid w:val="00DE32F4"/>
    <w:rsid w:val="00DE32F8"/>
    <w:rsid w:val="00DE3352"/>
    <w:rsid w:val="00DE3436"/>
    <w:rsid w:val="00DE37BF"/>
    <w:rsid w:val="00DE381B"/>
    <w:rsid w:val="00DE392F"/>
    <w:rsid w:val="00DE3B8C"/>
    <w:rsid w:val="00DE3BE2"/>
    <w:rsid w:val="00DE3E2D"/>
    <w:rsid w:val="00DE3EAE"/>
    <w:rsid w:val="00DE421F"/>
    <w:rsid w:val="00DE42DC"/>
    <w:rsid w:val="00DE4305"/>
    <w:rsid w:val="00DE43F0"/>
    <w:rsid w:val="00DE45F7"/>
    <w:rsid w:val="00DE4982"/>
    <w:rsid w:val="00DE4C91"/>
    <w:rsid w:val="00DE521E"/>
    <w:rsid w:val="00DE5249"/>
    <w:rsid w:val="00DE578B"/>
    <w:rsid w:val="00DE57C4"/>
    <w:rsid w:val="00DE58D4"/>
    <w:rsid w:val="00DE5C45"/>
    <w:rsid w:val="00DE5CC3"/>
    <w:rsid w:val="00DE5CFF"/>
    <w:rsid w:val="00DE5F25"/>
    <w:rsid w:val="00DE6212"/>
    <w:rsid w:val="00DE6336"/>
    <w:rsid w:val="00DE63F3"/>
    <w:rsid w:val="00DE64EA"/>
    <w:rsid w:val="00DE65C3"/>
    <w:rsid w:val="00DE6801"/>
    <w:rsid w:val="00DE6932"/>
    <w:rsid w:val="00DE6AC6"/>
    <w:rsid w:val="00DE6CB1"/>
    <w:rsid w:val="00DE74C1"/>
    <w:rsid w:val="00DE76FD"/>
    <w:rsid w:val="00DE7906"/>
    <w:rsid w:val="00DE7917"/>
    <w:rsid w:val="00DE7957"/>
    <w:rsid w:val="00DE79DF"/>
    <w:rsid w:val="00DE7A1E"/>
    <w:rsid w:val="00DE7D0F"/>
    <w:rsid w:val="00DE7E48"/>
    <w:rsid w:val="00DE7E64"/>
    <w:rsid w:val="00DF0055"/>
    <w:rsid w:val="00DF01B0"/>
    <w:rsid w:val="00DF046A"/>
    <w:rsid w:val="00DF0777"/>
    <w:rsid w:val="00DF07BA"/>
    <w:rsid w:val="00DF0984"/>
    <w:rsid w:val="00DF0B5A"/>
    <w:rsid w:val="00DF0B86"/>
    <w:rsid w:val="00DF0D04"/>
    <w:rsid w:val="00DF0DB3"/>
    <w:rsid w:val="00DF0EAF"/>
    <w:rsid w:val="00DF1148"/>
    <w:rsid w:val="00DF13F4"/>
    <w:rsid w:val="00DF146A"/>
    <w:rsid w:val="00DF14D7"/>
    <w:rsid w:val="00DF1563"/>
    <w:rsid w:val="00DF1AAF"/>
    <w:rsid w:val="00DF1BA5"/>
    <w:rsid w:val="00DF1BEF"/>
    <w:rsid w:val="00DF1EB4"/>
    <w:rsid w:val="00DF23FE"/>
    <w:rsid w:val="00DF26B3"/>
    <w:rsid w:val="00DF2741"/>
    <w:rsid w:val="00DF29D4"/>
    <w:rsid w:val="00DF2B9F"/>
    <w:rsid w:val="00DF2C7A"/>
    <w:rsid w:val="00DF2F5E"/>
    <w:rsid w:val="00DF315D"/>
    <w:rsid w:val="00DF34B1"/>
    <w:rsid w:val="00DF3519"/>
    <w:rsid w:val="00DF3924"/>
    <w:rsid w:val="00DF39D5"/>
    <w:rsid w:val="00DF3AA8"/>
    <w:rsid w:val="00DF3B54"/>
    <w:rsid w:val="00DF3CDC"/>
    <w:rsid w:val="00DF4092"/>
    <w:rsid w:val="00DF41A2"/>
    <w:rsid w:val="00DF43EC"/>
    <w:rsid w:val="00DF4560"/>
    <w:rsid w:val="00DF4B3D"/>
    <w:rsid w:val="00DF4BC5"/>
    <w:rsid w:val="00DF4C1E"/>
    <w:rsid w:val="00DF4CD2"/>
    <w:rsid w:val="00DF4DB3"/>
    <w:rsid w:val="00DF4ECF"/>
    <w:rsid w:val="00DF5050"/>
    <w:rsid w:val="00DF5804"/>
    <w:rsid w:val="00DF5811"/>
    <w:rsid w:val="00DF585E"/>
    <w:rsid w:val="00DF5AF8"/>
    <w:rsid w:val="00DF5B0A"/>
    <w:rsid w:val="00DF5B57"/>
    <w:rsid w:val="00DF5B8F"/>
    <w:rsid w:val="00DF5DDD"/>
    <w:rsid w:val="00DF5F20"/>
    <w:rsid w:val="00DF6095"/>
    <w:rsid w:val="00DF65F7"/>
    <w:rsid w:val="00DF67C6"/>
    <w:rsid w:val="00DF746B"/>
    <w:rsid w:val="00DF7553"/>
    <w:rsid w:val="00DF7898"/>
    <w:rsid w:val="00DF7E12"/>
    <w:rsid w:val="00DF7F9F"/>
    <w:rsid w:val="00E00538"/>
    <w:rsid w:val="00E0059D"/>
    <w:rsid w:val="00E00692"/>
    <w:rsid w:val="00E00B7F"/>
    <w:rsid w:val="00E00D8B"/>
    <w:rsid w:val="00E00DBA"/>
    <w:rsid w:val="00E01067"/>
    <w:rsid w:val="00E01679"/>
    <w:rsid w:val="00E01959"/>
    <w:rsid w:val="00E0198E"/>
    <w:rsid w:val="00E019F2"/>
    <w:rsid w:val="00E01B13"/>
    <w:rsid w:val="00E01D64"/>
    <w:rsid w:val="00E01E4F"/>
    <w:rsid w:val="00E01F3C"/>
    <w:rsid w:val="00E0218D"/>
    <w:rsid w:val="00E02207"/>
    <w:rsid w:val="00E0222E"/>
    <w:rsid w:val="00E02993"/>
    <w:rsid w:val="00E029D0"/>
    <w:rsid w:val="00E02A0C"/>
    <w:rsid w:val="00E02A11"/>
    <w:rsid w:val="00E02D9F"/>
    <w:rsid w:val="00E02DCD"/>
    <w:rsid w:val="00E02DE4"/>
    <w:rsid w:val="00E02DF4"/>
    <w:rsid w:val="00E02EBF"/>
    <w:rsid w:val="00E0314A"/>
    <w:rsid w:val="00E03159"/>
    <w:rsid w:val="00E0328E"/>
    <w:rsid w:val="00E0338C"/>
    <w:rsid w:val="00E033AA"/>
    <w:rsid w:val="00E0371E"/>
    <w:rsid w:val="00E037D8"/>
    <w:rsid w:val="00E03807"/>
    <w:rsid w:val="00E03BEC"/>
    <w:rsid w:val="00E03E6E"/>
    <w:rsid w:val="00E03F18"/>
    <w:rsid w:val="00E04077"/>
    <w:rsid w:val="00E0421D"/>
    <w:rsid w:val="00E04244"/>
    <w:rsid w:val="00E04268"/>
    <w:rsid w:val="00E0432F"/>
    <w:rsid w:val="00E04400"/>
    <w:rsid w:val="00E0444E"/>
    <w:rsid w:val="00E0455C"/>
    <w:rsid w:val="00E04634"/>
    <w:rsid w:val="00E046F4"/>
    <w:rsid w:val="00E04737"/>
    <w:rsid w:val="00E049AF"/>
    <w:rsid w:val="00E04A28"/>
    <w:rsid w:val="00E04BA4"/>
    <w:rsid w:val="00E04C62"/>
    <w:rsid w:val="00E04E53"/>
    <w:rsid w:val="00E04F8E"/>
    <w:rsid w:val="00E04FD3"/>
    <w:rsid w:val="00E05082"/>
    <w:rsid w:val="00E050AC"/>
    <w:rsid w:val="00E051CE"/>
    <w:rsid w:val="00E052C7"/>
    <w:rsid w:val="00E05390"/>
    <w:rsid w:val="00E053E4"/>
    <w:rsid w:val="00E05429"/>
    <w:rsid w:val="00E05469"/>
    <w:rsid w:val="00E056A4"/>
    <w:rsid w:val="00E059C9"/>
    <w:rsid w:val="00E059EB"/>
    <w:rsid w:val="00E05B17"/>
    <w:rsid w:val="00E05D79"/>
    <w:rsid w:val="00E05D85"/>
    <w:rsid w:val="00E05DD9"/>
    <w:rsid w:val="00E05E71"/>
    <w:rsid w:val="00E05EF8"/>
    <w:rsid w:val="00E05F2D"/>
    <w:rsid w:val="00E06071"/>
    <w:rsid w:val="00E06075"/>
    <w:rsid w:val="00E0615F"/>
    <w:rsid w:val="00E06419"/>
    <w:rsid w:val="00E065C0"/>
    <w:rsid w:val="00E065CE"/>
    <w:rsid w:val="00E06918"/>
    <w:rsid w:val="00E06D4A"/>
    <w:rsid w:val="00E06F6F"/>
    <w:rsid w:val="00E06FC6"/>
    <w:rsid w:val="00E070D8"/>
    <w:rsid w:val="00E071DB"/>
    <w:rsid w:val="00E07368"/>
    <w:rsid w:val="00E0774F"/>
    <w:rsid w:val="00E078AC"/>
    <w:rsid w:val="00E07CB4"/>
    <w:rsid w:val="00E07CC1"/>
    <w:rsid w:val="00E07CC6"/>
    <w:rsid w:val="00E07FDC"/>
    <w:rsid w:val="00E1006C"/>
    <w:rsid w:val="00E101E1"/>
    <w:rsid w:val="00E103F7"/>
    <w:rsid w:val="00E10455"/>
    <w:rsid w:val="00E106C0"/>
    <w:rsid w:val="00E10C3F"/>
    <w:rsid w:val="00E10D5D"/>
    <w:rsid w:val="00E10EDC"/>
    <w:rsid w:val="00E11171"/>
    <w:rsid w:val="00E11177"/>
    <w:rsid w:val="00E1142A"/>
    <w:rsid w:val="00E11ACD"/>
    <w:rsid w:val="00E11C1A"/>
    <w:rsid w:val="00E11C65"/>
    <w:rsid w:val="00E11E5D"/>
    <w:rsid w:val="00E11ECD"/>
    <w:rsid w:val="00E12026"/>
    <w:rsid w:val="00E12129"/>
    <w:rsid w:val="00E123B5"/>
    <w:rsid w:val="00E1297A"/>
    <w:rsid w:val="00E12E27"/>
    <w:rsid w:val="00E12E4C"/>
    <w:rsid w:val="00E133B6"/>
    <w:rsid w:val="00E13611"/>
    <w:rsid w:val="00E13772"/>
    <w:rsid w:val="00E1394D"/>
    <w:rsid w:val="00E13D0A"/>
    <w:rsid w:val="00E13D0F"/>
    <w:rsid w:val="00E140F6"/>
    <w:rsid w:val="00E14242"/>
    <w:rsid w:val="00E14525"/>
    <w:rsid w:val="00E1461D"/>
    <w:rsid w:val="00E1465A"/>
    <w:rsid w:val="00E1492F"/>
    <w:rsid w:val="00E14953"/>
    <w:rsid w:val="00E149E9"/>
    <w:rsid w:val="00E14A84"/>
    <w:rsid w:val="00E14FF1"/>
    <w:rsid w:val="00E151B6"/>
    <w:rsid w:val="00E15480"/>
    <w:rsid w:val="00E155B5"/>
    <w:rsid w:val="00E156C9"/>
    <w:rsid w:val="00E156D2"/>
    <w:rsid w:val="00E1574C"/>
    <w:rsid w:val="00E158B5"/>
    <w:rsid w:val="00E15A62"/>
    <w:rsid w:val="00E15D03"/>
    <w:rsid w:val="00E15DBB"/>
    <w:rsid w:val="00E160BD"/>
    <w:rsid w:val="00E16373"/>
    <w:rsid w:val="00E1675C"/>
    <w:rsid w:val="00E167DA"/>
    <w:rsid w:val="00E16831"/>
    <w:rsid w:val="00E16CA2"/>
    <w:rsid w:val="00E16D99"/>
    <w:rsid w:val="00E17BB8"/>
    <w:rsid w:val="00E17EB9"/>
    <w:rsid w:val="00E17F7F"/>
    <w:rsid w:val="00E20155"/>
    <w:rsid w:val="00E205C9"/>
    <w:rsid w:val="00E20A3F"/>
    <w:rsid w:val="00E212F5"/>
    <w:rsid w:val="00E215A0"/>
    <w:rsid w:val="00E218B6"/>
    <w:rsid w:val="00E21AFD"/>
    <w:rsid w:val="00E21F6B"/>
    <w:rsid w:val="00E21FBB"/>
    <w:rsid w:val="00E2246C"/>
    <w:rsid w:val="00E22580"/>
    <w:rsid w:val="00E2263B"/>
    <w:rsid w:val="00E228E3"/>
    <w:rsid w:val="00E229C6"/>
    <w:rsid w:val="00E22A8E"/>
    <w:rsid w:val="00E22CA8"/>
    <w:rsid w:val="00E22DB0"/>
    <w:rsid w:val="00E22F52"/>
    <w:rsid w:val="00E22F76"/>
    <w:rsid w:val="00E22FA3"/>
    <w:rsid w:val="00E23137"/>
    <w:rsid w:val="00E23152"/>
    <w:rsid w:val="00E23312"/>
    <w:rsid w:val="00E233D4"/>
    <w:rsid w:val="00E233E4"/>
    <w:rsid w:val="00E2366C"/>
    <w:rsid w:val="00E23761"/>
    <w:rsid w:val="00E2393E"/>
    <w:rsid w:val="00E23FDA"/>
    <w:rsid w:val="00E240BA"/>
    <w:rsid w:val="00E240D7"/>
    <w:rsid w:val="00E24132"/>
    <w:rsid w:val="00E24524"/>
    <w:rsid w:val="00E24538"/>
    <w:rsid w:val="00E24743"/>
    <w:rsid w:val="00E248BF"/>
    <w:rsid w:val="00E248D9"/>
    <w:rsid w:val="00E24AF4"/>
    <w:rsid w:val="00E24BCA"/>
    <w:rsid w:val="00E24C56"/>
    <w:rsid w:val="00E251BC"/>
    <w:rsid w:val="00E2523F"/>
    <w:rsid w:val="00E25633"/>
    <w:rsid w:val="00E259C4"/>
    <w:rsid w:val="00E25AB7"/>
    <w:rsid w:val="00E26137"/>
    <w:rsid w:val="00E2653F"/>
    <w:rsid w:val="00E2656A"/>
    <w:rsid w:val="00E2673C"/>
    <w:rsid w:val="00E267AF"/>
    <w:rsid w:val="00E26A37"/>
    <w:rsid w:val="00E26B5B"/>
    <w:rsid w:val="00E26C7A"/>
    <w:rsid w:val="00E26D35"/>
    <w:rsid w:val="00E26F3C"/>
    <w:rsid w:val="00E270A2"/>
    <w:rsid w:val="00E272B7"/>
    <w:rsid w:val="00E274DD"/>
    <w:rsid w:val="00E277C2"/>
    <w:rsid w:val="00E277C6"/>
    <w:rsid w:val="00E27828"/>
    <w:rsid w:val="00E27D73"/>
    <w:rsid w:val="00E27E54"/>
    <w:rsid w:val="00E27F34"/>
    <w:rsid w:val="00E300F3"/>
    <w:rsid w:val="00E30836"/>
    <w:rsid w:val="00E309F6"/>
    <w:rsid w:val="00E30CE0"/>
    <w:rsid w:val="00E30D5E"/>
    <w:rsid w:val="00E30E14"/>
    <w:rsid w:val="00E310D8"/>
    <w:rsid w:val="00E31D83"/>
    <w:rsid w:val="00E31DFD"/>
    <w:rsid w:val="00E3207D"/>
    <w:rsid w:val="00E320E3"/>
    <w:rsid w:val="00E32100"/>
    <w:rsid w:val="00E3262D"/>
    <w:rsid w:val="00E3275A"/>
    <w:rsid w:val="00E328D7"/>
    <w:rsid w:val="00E3299E"/>
    <w:rsid w:val="00E32A70"/>
    <w:rsid w:val="00E32D64"/>
    <w:rsid w:val="00E32D8D"/>
    <w:rsid w:val="00E32DAD"/>
    <w:rsid w:val="00E3317C"/>
    <w:rsid w:val="00E3327A"/>
    <w:rsid w:val="00E333E1"/>
    <w:rsid w:val="00E334B7"/>
    <w:rsid w:val="00E3368D"/>
    <w:rsid w:val="00E336DA"/>
    <w:rsid w:val="00E33734"/>
    <w:rsid w:val="00E33758"/>
    <w:rsid w:val="00E33B74"/>
    <w:rsid w:val="00E34138"/>
    <w:rsid w:val="00E341BC"/>
    <w:rsid w:val="00E346A3"/>
    <w:rsid w:val="00E34B51"/>
    <w:rsid w:val="00E34B95"/>
    <w:rsid w:val="00E34FC5"/>
    <w:rsid w:val="00E35084"/>
    <w:rsid w:val="00E357AC"/>
    <w:rsid w:val="00E35B1E"/>
    <w:rsid w:val="00E35B72"/>
    <w:rsid w:val="00E35FF4"/>
    <w:rsid w:val="00E361D1"/>
    <w:rsid w:val="00E3648A"/>
    <w:rsid w:val="00E366FD"/>
    <w:rsid w:val="00E36824"/>
    <w:rsid w:val="00E36909"/>
    <w:rsid w:val="00E3692D"/>
    <w:rsid w:val="00E36A91"/>
    <w:rsid w:val="00E36F63"/>
    <w:rsid w:val="00E37258"/>
    <w:rsid w:val="00E37282"/>
    <w:rsid w:val="00E37450"/>
    <w:rsid w:val="00E377EB"/>
    <w:rsid w:val="00E37CD4"/>
    <w:rsid w:val="00E37EB8"/>
    <w:rsid w:val="00E37F71"/>
    <w:rsid w:val="00E37FE1"/>
    <w:rsid w:val="00E40247"/>
    <w:rsid w:val="00E404CF"/>
    <w:rsid w:val="00E40836"/>
    <w:rsid w:val="00E40C81"/>
    <w:rsid w:val="00E40F27"/>
    <w:rsid w:val="00E41103"/>
    <w:rsid w:val="00E415F8"/>
    <w:rsid w:val="00E41A0F"/>
    <w:rsid w:val="00E41A6A"/>
    <w:rsid w:val="00E41B69"/>
    <w:rsid w:val="00E41BC2"/>
    <w:rsid w:val="00E41EEA"/>
    <w:rsid w:val="00E41FAB"/>
    <w:rsid w:val="00E4210B"/>
    <w:rsid w:val="00E42138"/>
    <w:rsid w:val="00E42176"/>
    <w:rsid w:val="00E421D1"/>
    <w:rsid w:val="00E4226E"/>
    <w:rsid w:val="00E4228C"/>
    <w:rsid w:val="00E4255B"/>
    <w:rsid w:val="00E4265D"/>
    <w:rsid w:val="00E42C3E"/>
    <w:rsid w:val="00E42F73"/>
    <w:rsid w:val="00E43030"/>
    <w:rsid w:val="00E433EF"/>
    <w:rsid w:val="00E43487"/>
    <w:rsid w:val="00E43729"/>
    <w:rsid w:val="00E437B1"/>
    <w:rsid w:val="00E43826"/>
    <w:rsid w:val="00E43C11"/>
    <w:rsid w:val="00E4409B"/>
    <w:rsid w:val="00E4455D"/>
    <w:rsid w:val="00E445C5"/>
    <w:rsid w:val="00E44B92"/>
    <w:rsid w:val="00E44C64"/>
    <w:rsid w:val="00E44DDE"/>
    <w:rsid w:val="00E44E9F"/>
    <w:rsid w:val="00E4515B"/>
    <w:rsid w:val="00E455D5"/>
    <w:rsid w:val="00E45705"/>
    <w:rsid w:val="00E4570C"/>
    <w:rsid w:val="00E457C7"/>
    <w:rsid w:val="00E45BEC"/>
    <w:rsid w:val="00E46093"/>
    <w:rsid w:val="00E461D4"/>
    <w:rsid w:val="00E462BE"/>
    <w:rsid w:val="00E46550"/>
    <w:rsid w:val="00E4656B"/>
    <w:rsid w:val="00E46C3C"/>
    <w:rsid w:val="00E46C98"/>
    <w:rsid w:val="00E46CE2"/>
    <w:rsid w:val="00E46CF5"/>
    <w:rsid w:val="00E46CF7"/>
    <w:rsid w:val="00E46D0C"/>
    <w:rsid w:val="00E46DBA"/>
    <w:rsid w:val="00E471A8"/>
    <w:rsid w:val="00E471D8"/>
    <w:rsid w:val="00E47612"/>
    <w:rsid w:val="00E476C2"/>
    <w:rsid w:val="00E47AAD"/>
    <w:rsid w:val="00E47D88"/>
    <w:rsid w:val="00E47DFA"/>
    <w:rsid w:val="00E50150"/>
    <w:rsid w:val="00E50409"/>
    <w:rsid w:val="00E50504"/>
    <w:rsid w:val="00E50636"/>
    <w:rsid w:val="00E50809"/>
    <w:rsid w:val="00E50983"/>
    <w:rsid w:val="00E50DD8"/>
    <w:rsid w:val="00E50DE1"/>
    <w:rsid w:val="00E51000"/>
    <w:rsid w:val="00E51004"/>
    <w:rsid w:val="00E5110D"/>
    <w:rsid w:val="00E5128E"/>
    <w:rsid w:val="00E5128F"/>
    <w:rsid w:val="00E5158A"/>
    <w:rsid w:val="00E515E2"/>
    <w:rsid w:val="00E516DC"/>
    <w:rsid w:val="00E518C0"/>
    <w:rsid w:val="00E51BCF"/>
    <w:rsid w:val="00E51D3C"/>
    <w:rsid w:val="00E51E0E"/>
    <w:rsid w:val="00E51EAF"/>
    <w:rsid w:val="00E51F8D"/>
    <w:rsid w:val="00E52091"/>
    <w:rsid w:val="00E52210"/>
    <w:rsid w:val="00E5269F"/>
    <w:rsid w:val="00E52781"/>
    <w:rsid w:val="00E52811"/>
    <w:rsid w:val="00E52BEA"/>
    <w:rsid w:val="00E52D67"/>
    <w:rsid w:val="00E52E16"/>
    <w:rsid w:val="00E52FCD"/>
    <w:rsid w:val="00E530C5"/>
    <w:rsid w:val="00E532A3"/>
    <w:rsid w:val="00E53777"/>
    <w:rsid w:val="00E539CA"/>
    <w:rsid w:val="00E53A22"/>
    <w:rsid w:val="00E53B57"/>
    <w:rsid w:val="00E53BD8"/>
    <w:rsid w:val="00E54697"/>
    <w:rsid w:val="00E54845"/>
    <w:rsid w:val="00E54931"/>
    <w:rsid w:val="00E549FB"/>
    <w:rsid w:val="00E54B8D"/>
    <w:rsid w:val="00E54C5B"/>
    <w:rsid w:val="00E54CA1"/>
    <w:rsid w:val="00E54DD8"/>
    <w:rsid w:val="00E54DDA"/>
    <w:rsid w:val="00E5500A"/>
    <w:rsid w:val="00E5516D"/>
    <w:rsid w:val="00E555A3"/>
    <w:rsid w:val="00E55B24"/>
    <w:rsid w:val="00E55B4F"/>
    <w:rsid w:val="00E56102"/>
    <w:rsid w:val="00E562D5"/>
    <w:rsid w:val="00E562FF"/>
    <w:rsid w:val="00E563AD"/>
    <w:rsid w:val="00E563B5"/>
    <w:rsid w:val="00E56434"/>
    <w:rsid w:val="00E56462"/>
    <w:rsid w:val="00E56548"/>
    <w:rsid w:val="00E56672"/>
    <w:rsid w:val="00E566A9"/>
    <w:rsid w:val="00E56715"/>
    <w:rsid w:val="00E56D09"/>
    <w:rsid w:val="00E56F05"/>
    <w:rsid w:val="00E56F20"/>
    <w:rsid w:val="00E56FAD"/>
    <w:rsid w:val="00E57069"/>
    <w:rsid w:val="00E5706C"/>
    <w:rsid w:val="00E57471"/>
    <w:rsid w:val="00E5762B"/>
    <w:rsid w:val="00E57ABE"/>
    <w:rsid w:val="00E57DF9"/>
    <w:rsid w:val="00E57EE3"/>
    <w:rsid w:val="00E60034"/>
    <w:rsid w:val="00E60074"/>
    <w:rsid w:val="00E60184"/>
    <w:rsid w:val="00E60188"/>
    <w:rsid w:val="00E60551"/>
    <w:rsid w:val="00E60917"/>
    <w:rsid w:val="00E60A94"/>
    <w:rsid w:val="00E60EBC"/>
    <w:rsid w:val="00E61109"/>
    <w:rsid w:val="00E613E4"/>
    <w:rsid w:val="00E61412"/>
    <w:rsid w:val="00E61474"/>
    <w:rsid w:val="00E61523"/>
    <w:rsid w:val="00E6197B"/>
    <w:rsid w:val="00E61AE7"/>
    <w:rsid w:val="00E61FC9"/>
    <w:rsid w:val="00E62041"/>
    <w:rsid w:val="00E62201"/>
    <w:rsid w:val="00E62217"/>
    <w:rsid w:val="00E62AE7"/>
    <w:rsid w:val="00E62CF2"/>
    <w:rsid w:val="00E62EBE"/>
    <w:rsid w:val="00E62F04"/>
    <w:rsid w:val="00E62FF6"/>
    <w:rsid w:val="00E63036"/>
    <w:rsid w:val="00E6307C"/>
    <w:rsid w:val="00E63166"/>
    <w:rsid w:val="00E6340C"/>
    <w:rsid w:val="00E63933"/>
    <w:rsid w:val="00E63AC9"/>
    <w:rsid w:val="00E63B22"/>
    <w:rsid w:val="00E63BEB"/>
    <w:rsid w:val="00E63D05"/>
    <w:rsid w:val="00E63E7D"/>
    <w:rsid w:val="00E63EAE"/>
    <w:rsid w:val="00E640E3"/>
    <w:rsid w:val="00E643E1"/>
    <w:rsid w:val="00E6449C"/>
    <w:rsid w:val="00E6480A"/>
    <w:rsid w:val="00E648F5"/>
    <w:rsid w:val="00E64A4A"/>
    <w:rsid w:val="00E64C9F"/>
    <w:rsid w:val="00E64D2A"/>
    <w:rsid w:val="00E64DD4"/>
    <w:rsid w:val="00E64F81"/>
    <w:rsid w:val="00E65060"/>
    <w:rsid w:val="00E650DA"/>
    <w:rsid w:val="00E65148"/>
    <w:rsid w:val="00E652EA"/>
    <w:rsid w:val="00E65476"/>
    <w:rsid w:val="00E658A2"/>
    <w:rsid w:val="00E65AF6"/>
    <w:rsid w:val="00E65C9C"/>
    <w:rsid w:val="00E66081"/>
    <w:rsid w:val="00E66135"/>
    <w:rsid w:val="00E664ED"/>
    <w:rsid w:val="00E66A3B"/>
    <w:rsid w:val="00E66B13"/>
    <w:rsid w:val="00E66BBC"/>
    <w:rsid w:val="00E66D63"/>
    <w:rsid w:val="00E6705A"/>
    <w:rsid w:val="00E6726B"/>
    <w:rsid w:val="00E67535"/>
    <w:rsid w:val="00E67561"/>
    <w:rsid w:val="00E67D3B"/>
    <w:rsid w:val="00E67D41"/>
    <w:rsid w:val="00E70392"/>
    <w:rsid w:val="00E70666"/>
    <w:rsid w:val="00E70723"/>
    <w:rsid w:val="00E70CB4"/>
    <w:rsid w:val="00E70E48"/>
    <w:rsid w:val="00E70F58"/>
    <w:rsid w:val="00E71128"/>
    <w:rsid w:val="00E712C6"/>
    <w:rsid w:val="00E712FA"/>
    <w:rsid w:val="00E71514"/>
    <w:rsid w:val="00E716EA"/>
    <w:rsid w:val="00E71A58"/>
    <w:rsid w:val="00E71DD7"/>
    <w:rsid w:val="00E72100"/>
    <w:rsid w:val="00E72193"/>
    <w:rsid w:val="00E723C6"/>
    <w:rsid w:val="00E727D9"/>
    <w:rsid w:val="00E7281C"/>
    <w:rsid w:val="00E72C12"/>
    <w:rsid w:val="00E72D41"/>
    <w:rsid w:val="00E72DF6"/>
    <w:rsid w:val="00E72F57"/>
    <w:rsid w:val="00E73050"/>
    <w:rsid w:val="00E731BF"/>
    <w:rsid w:val="00E7320C"/>
    <w:rsid w:val="00E73269"/>
    <w:rsid w:val="00E73274"/>
    <w:rsid w:val="00E73379"/>
    <w:rsid w:val="00E73425"/>
    <w:rsid w:val="00E734E0"/>
    <w:rsid w:val="00E734E7"/>
    <w:rsid w:val="00E736CB"/>
    <w:rsid w:val="00E73766"/>
    <w:rsid w:val="00E73B4A"/>
    <w:rsid w:val="00E73BD1"/>
    <w:rsid w:val="00E73C9B"/>
    <w:rsid w:val="00E73D24"/>
    <w:rsid w:val="00E74046"/>
    <w:rsid w:val="00E7413E"/>
    <w:rsid w:val="00E7416B"/>
    <w:rsid w:val="00E741CB"/>
    <w:rsid w:val="00E743AF"/>
    <w:rsid w:val="00E74477"/>
    <w:rsid w:val="00E74841"/>
    <w:rsid w:val="00E74988"/>
    <w:rsid w:val="00E74A0F"/>
    <w:rsid w:val="00E74AC7"/>
    <w:rsid w:val="00E74D5D"/>
    <w:rsid w:val="00E7515A"/>
    <w:rsid w:val="00E752BA"/>
    <w:rsid w:val="00E7544B"/>
    <w:rsid w:val="00E7562E"/>
    <w:rsid w:val="00E757FC"/>
    <w:rsid w:val="00E7582B"/>
    <w:rsid w:val="00E75974"/>
    <w:rsid w:val="00E759DA"/>
    <w:rsid w:val="00E75AA0"/>
    <w:rsid w:val="00E75BFC"/>
    <w:rsid w:val="00E75C19"/>
    <w:rsid w:val="00E75FA7"/>
    <w:rsid w:val="00E76191"/>
    <w:rsid w:val="00E76B03"/>
    <w:rsid w:val="00E76C7E"/>
    <w:rsid w:val="00E7727B"/>
    <w:rsid w:val="00E775C2"/>
    <w:rsid w:val="00E77715"/>
    <w:rsid w:val="00E777E4"/>
    <w:rsid w:val="00E77DEF"/>
    <w:rsid w:val="00E8001C"/>
    <w:rsid w:val="00E8001D"/>
    <w:rsid w:val="00E80032"/>
    <w:rsid w:val="00E80091"/>
    <w:rsid w:val="00E800E4"/>
    <w:rsid w:val="00E80224"/>
    <w:rsid w:val="00E802E1"/>
    <w:rsid w:val="00E80582"/>
    <w:rsid w:val="00E8063D"/>
    <w:rsid w:val="00E80650"/>
    <w:rsid w:val="00E806DC"/>
    <w:rsid w:val="00E80802"/>
    <w:rsid w:val="00E80AE4"/>
    <w:rsid w:val="00E80BB6"/>
    <w:rsid w:val="00E80DA4"/>
    <w:rsid w:val="00E812DF"/>
    <w:rsid w:val="00E8164C"/>
    <w:rsid w:val="00E81754"/>
    <w:rsid w:val="00E8179D"/>
    <w:rsid w:val="00E81901"/>
    <w:rsid w:val="00E81A02"/>
    <w:rsid w:val="00E81AB7"/>
    <w:rsid w:val="00E81C83"/>
    <w:rsid w:val="00E81CFA"/>
    <w:rsid w:val="00E81F5C"/>
    <w:rsid w:val="00E82190"/>
    <w:rsid w:val="00E82378"/>
    <w:rsid w:val="00E82431"/>
    <w:rsid w:val="00E824AE"/>
    <w:rsid w:val="00E82525"/>
    <w:rsid w:val="00E825B9"/>
    <w:rsid w:val="00E8262C"/>
    <w:rsid w:val="00E82C8B"/>
    <w:rsid w:val="00E82E25"/>
    <w:rsid w:val="00E82F4F"/>
    <w:rsid w:val="00E83573"/>
    <w:rsid w:val="00E835C5"/>
    <w:rsid w:val="00E8365F"/>
    <w:rsid w:val="00E83671"/>
    <w:rsid w:val="00E83759"/>
    <w:rsid w:val="00E837EB"/>
    <w:rsid w:val="00E83A6D"/>
    <w:rsid w:val="00E83B31"/>
    <w:rsid w:val="00E83D39"/>
    <w:rsid w:val="00E83D5C"/>
    <w:rsid w:val="00E83E9C"/>
    <w:rsid w:val="00E83EAF"/>
    <w:rsid w:val="00E83F7D"/>
    <w:rsid w:val="00E8416A"/>
    <w:rsid w:val="00E8442C"/>
    <w:rsid w:val="00E8450C"/>
    <w:rsid w:val="00E847A5"/>
    <w:rsid w:val="00E847BF"/>
    <w:rsid w:val="00E84CA9"/>
    <w:rsid w:val="00E84EED"/>
    <w:rsid w:val="00E854BA"/>
    <w:rsid w:val="00E8565A"/>
    <w:rsid w:val="00E8613D"/>
    <w:rsid w:val="00E864CA"/>
    <w:rsid w:val="00E86560"/>
    <w:rsid w:val="00E86669"/>
    <w:rsid w:val="00E86681"/>
    <w:rsid w:val="00E86715"/>
    <w:rsid w:val="00E86763"/>
    <w:rsid w:val="00E86C69"/>
    <w:rsid w:val="00E86EE6"/>
    <w:rsid w:val="00E86F3B"/>
    <w:rsid w:val="00E86F68"/>
    <w:rsid w:val="00E8706F"/>
    <w:rsid w:val="00E8711F"/>
    <w:rsid w:val="00E8721E"/>
    <w:rsid w:val="00E87359"/>
    <w:rsid w:val="00E87785"/>
    <w:rsid w:val="00E8780F"/>
    <w:rsid w:val="00E8783C"/>
    <w:rsid w:val="00E87C96"/>
    <w:rsid w:val="00E87D80"/>
    <w:rsid w:val="00E87DCD"/>
    <w:rsid w:val="00E87FE7"/>
    <w:rsid w:val="00E90065"/>
    <w:rsid w:val="00E900DF"/>
    <w:rsid w:val="00E90139"/>
    <w:rsid w:val="00E90396"/>
    <w:rsid w:val="00E9062C"/>
    <w:rsid w:val="00E9068C"/>
    <w:rsid w:val="00E90ACF"/>
    <w:rsid w:val="00E90B55"/>
    <w:rsid w:val="00E911A1"/>
    <w:rsid w:val="00E912E7"/>
    <w:rsid w:val="00E91311"/>
    <w:rsid w:val="00E91635"/>
    <w:rsid w:val="00E916A2"/>
    <w:rsid w:val="00E917AA"/>
    <w:rsid w:val="00E91DAF"/>
    <w:rsid w:val="00E91E4B"/>
    <w:rsid w:val="00E922A4"/>
    <w:rsid w:val="00E9249D"/>
    <w:rsid w:val="00E924A8"/>
    <w:rsid w:val="00E925A4"/>
    <w:rsid w:val="00E926BB"/>
    <w:rsid w:val="00E92C23"/>
    <w:rsid w:val="00E92C57"/>
    <w:rsid w:val="00E930F4"/>
    <w:rsid w:val="00E93AC2"/>
    <w:rsid w:val="00E93B16"/>
    <w:rsid w:val="00E93C0F"/>
    <w:rsid w:val="00E93CFD"/>
    <w:rsid w:val="00E93D37"/>
    <w:rsid w:val="00E94032"/>
    <w:rsid w:val="00E942DA"/>
    <w:rsid w:val="00E943C0"/>
    <w:rsid w:val="00E94523"/>
    <w:rsid w:val="00E9455D"/>
    <w:rsid w:val="00E9465C"/>
    <w:rsid w:val="00E94BE4"/>
    <w:rsid w:val="00E94C42"/>
    <w:rsid w:val="00E94D1A"/>
    <w:rsid w:val="00E94D1B"/>
    <w:rsid w:val="00E94F3D"/>
    <w:rsid w:val="00E95119"/>
    <w:rsid w:val="00E95261"/>
    <w:rsid w:val="00E953A8"/>
    <w:rsid w:val="00E95426"/>
    <w:rsid w:val="00E9557C"/>
    <w:rsid w:val="00E95B30"/>
    <w:rsid w:val="00E95B3E"/>
    <w:rsid w:val="00E95C57"/>
    <w:rsid w:val="00E95C5E"/>
    <w:rsid w:val="00E95E8B"/>
    <w:rsid w:val="00E9601A"/>
    <w:rsid w:val="00E961C7"/>
    <w:rsid w:val="00E96F5E"/>
    <w:rsid w:val="00E96FF1"/>
    <w:rsid w:val="00E97018"/>
    <w:rsid w:val="00E970C9"/>
    <w:rsid w:val="00E97156"/>
    <w:rsid w:val="00E976B1"/>
    <w:rsid w:val="00E97883"/>
    <w:rsid w:val="00E9798C"/>
    <w:rsid w:val="00E979CD"/>
    <w:rsid w:val="00E97C5D"/>
    <w:rsid w:val="00E97D0A"/>
    <w:rsid w:val="00EA0357"/>
    <w:rsid w:val="00EA0A06"/>
    <w:rsid w:val="00EA0CB4"/>
    <w:rsid w:val="00EA10A5"/>
    <w:rsid w:val="00EA11F7"/>
    <w:rsid w:val="00EA1209"/>
    <w:rsid w:val="00EA12E2"/>
    <w:rsid w:val="00EA19A0"/>
    <w:rsid w:val="00EA1A6D"/>
    <w:rsid w:val="00EA1C81"/>
    <w:rsid w:val="00EA21B4"/>
    <w:rsid w:val="00EA21F8"/>
    <w:rsid w:val="00EA2B4F"/>
    <w:rsid w:val="00EA2E26"/>
    <w:rsid w:val="00EA2EF2"/>
    <w:rsid w:val="00EA3723"/>
    <w:rsid w:val="00EA37A5"/>
    <w:rsid w:val="00EA389F"/>
    <w:rsid w:val="00EA3A45"/>
    <w:rsid w:val="00EA3A4E"/>
    <w:rsid w:val="00EA3C6F"/>
    <w:rsid w:val="00EA3DA1"/>
    <w:rsid w:val="00EA3FFF"/>
    <w:rsid w:val="00EA4213"/>
    <w:rsid w:val="00EA4639"/>
    <w:rsid w:val="00EA46C4"/>
    <w:rsid w:val="00EA4817"/>
    <w:rsid w:val="00EA48A8"/>
    <w:rsid w:val="00EA48FB"/>
    <w:rsid w:val="00EA49AC"/>
    <w:rsid w:val="00EA4D61"/>
    <w:rsid w:val="00EA4F2E"/>
    <w:rsid w:val="00EA4F5C"/>
    <w:rsid w:val="00EA5062"/>
    <w:rsid w:val="00EA52E9"/>
    <w:rsid w:val="00EA5368"/>
    <w:rsid w:val="00EA5375"/>
    <w:rsid w:val="00EA542B"/>
    <w:rsid w:val="00EA54CB"/>
    <w:rsid w:val="00EA54D3"/>
    <w:rsid w:val="00EA5514"/>
    <w:rsid w:val="00EA55BF"/>
    <w:rsid w:val="00EA5AEC"/>
    <w:rsid w:val="00EA5B22"/>
    <w:rsid w:val="00EA5DEE"/>
    <w:rsid w:val="00EA5E10"/>
    <w:rsid w:val="00EA5E53"/>
    <w:rsid w:val="00EA5E6C"/>
    <w:rsid w:val="00EA5FD3"/>
    <w:rsid w:val="00EA60FD"/>
    <w:rsid w:val="00EA6151"/>
    <w:rsid w:val="00EA6EA6"/>
    <w:rsid w:val="00EA7213"/>
    <w:rsid w:val="00EA72EA"/>
    <w:rsid w:val="00EA7317"/>
    <w:rsid w:val="00EA758B"/>
    <w:rsid w:val="00EA7926"/>
    <w:rsid w:val="00EA7A37"/>
    <w:rsid w:val="00EA7C9B"/>
    <w:rsid w:val="00EA7DA2"/>
    <w:rsid w:val="00EA7EFB"/>
    <w:rsid w:val="00EB019C"/>
    <w:rsid w:val="00EB0382"/>
    <w:rsid w:val="00EB0D58"/>
    <w:rsid w:val="00EB0DD3"/>
    <w:rsid w:val="00EB15CD"/>
    <w:rsid w:val="00EB1696"/>
    <w:rsid w:val="00EB1766"/>
    <w:rsid w:val="00EB1B70"/>
    <w:rsid w:val="00EB1DA7"/>
    <w:rsid w:val="00EB1DD1"/>
    <w:rsid w:val="00EB1E05"/>
    <w:rsid w:val="00EB1F61"/>
    <w:rsid w:val="00EB1FE2"/>
    <w:rsid w:val="00EB1FFC"/>
    <w:rsid w:val="00EB2655"/>
    <w:rsid w:val="00EB28BF"/>
    <w:rsid w:val="00EB28E0"/>
    <w:rsid w:val="00EB2B7B"/>
    <w:rsid w:val="00EB2BB2"/>
    <w:rsid w:val="00EB2C66"/>
    <w:rsid w:val="00EB2CFB"/>
    <w:rsid w:val="00EB2D49"/>
    <w:rsid w:val="00EB2D71"/>
    <w:rsid w:val="00EB2F3A"/>
    <w:rsid w:val="00EB2FEF"/>
    <w:rsid w:val="00EB32EC"/>
    <w:rsid w:val="00EB3302"/>
    <w:rsid w:val="00EB344C"/>
    <w:rsid w:val="00EB34F9"/>
    <w:rsid w:val="00EB353B"/>
    <w:rsid w:val="00EB3C33"/>
    <w:rsid w:val="00EB3C72"/>
    <w:rsid w:val="00EB3D9B"/>
    <w:rsid w:val="00EB3E5A"/>
    <w:rsid w:val="00EB3EB7"/>
    <w:rsid w:val="00EB3EC4"/>
    <w:rsid w:val="00EB410A"/>
    <w:rsid w:val="00EB41AE"/>
    <w:rsid w:val="00EB4763"/>
    <w:rsid w:val="00EB48AB"/>
    <w:rsid w:val="00EB492C"/>
    <w:rsid w:val="00EB4C27"/>
    <w:rsid w:val="00EB4E5D"/>
    <w:rsid w:val="00EB4E98"/>
    <w:rsid w:val="00EB51A7"/>
    <w:rsid w:val="00EB5471"/>
    <w:rsid w:val="00EB5532"/>
    <w:rsid w:val="00EB5599"/>
    <w:rsid w:val="00EB56BC"/>
    <w:rsid w:val="00EB5B56"/>
    <w:rsid w:val="00EB5DA9"/>
    <w:rsid w:val="00EB5FAC"/>
    <w:rsid w:val="00EB62BB"/>
    <w:rsid w:val="00EB6356"/>
    <w:rsid w:val="00EB684E"/>
    <w:rsid w:val="00EB691A"/>
    <w:rsid w:val="00EB6AB0"/>
    <w:rsid w:val="00EB6D00"/>
    <w:rsid w:val="00EB6F12"/>
    <w:rsid w:val="00EB6F9E"/>
    <w:rsid w:val="00EB7070"/>
    <w:rsid w:val="00EB76E5"/>
    <w:rsid w:val="00EB783C"/>
    <w:rsid w:val="00EB78B6"/>
    <w:rsid w:val="00EB7AF5"/>
    <w:rsid w:val="00EB7CAC"/>
    <w:rsid w:val="00EC019E"/>
    <w:rsid w:val="00EC043B"/>
    <w:rsid w:val="00EC06D4"/>
    <w:rsid w:val="00EC07E0"/>
    <w:rsid w:val="00EC09A4"/>
    <w:rsid w:val="00EC0BC0"/>
    <w:rsid w:val="00EC0C07"/>
    <w:rsid w:val="00EC0C0A"/>
    <w:rsid w:val="00EC0CA5"/>
    <w:rsid w:val="00EC0D64"/>
    <w:rsid w:val="00EC0E8D"/>
    <w:rsid w:val="00EC0F27"/>
    <w:rsid w:val="00EC0F96"/>
    <w:rsid w:val="00EC1195"/>
    <w:rsid w:val="00EC1396"/>
    <w:rsid w:val="00EC1547"/>
    <w:rsid w:val="00EC159D"/>
    <w:rsid w:val="00EC1758"/>
    <w:rsid w:val="00EC17F0"/>
    <w:rsid w:val="00EC181F"/>
    <w:rsid w:val="00EC1827"/>
    <w:rsid w:val="00EC1949"/>
    <w:rsid w:val="00EC1D6A"/>
    <w:rsid w:val="00EC1F29"/>
    <w:rsid w:val="00EC202D"/>
    <w:rsid w:val="00EC20DD"/>
    <w:rsid w:val="00EC20FE"/>
    <w:rsid w:val="00EC22B6"/>
    <w:rsid w:val="00EC232A"/>
    <w:rsid w:val="00EC2506"/>
    <w:rsid w:val="00EC25B5"/>
    <w:rsid w:val="00EC27CA"/>
    <w:rsid w:val="00EC290A"/>
    <w:rsid w:val="00EC2C1E"/>
    <w:rsid w:val="00EC2C3A"/>
    <w:rsid w:val="00EC30ED"/>
    <w:rsid w:val="00EC313B"/>
    <w:rsid w:val="00EC31FC"/>
    <w:rsid w:val="00EC32D4"/>
    <w:rsid w:val="00EC3343"/>
    <w:rsid w:val="00EC33DF"/>
    <w:rsid w:val="00EC3488"/>
    <w:rsid w:val="00EC395E"/>
    <w:rsid w:val="00EC3EC7"/>
    <w:rsid w:val="00EC3F99"/>
    <w:rsid w:val="00EC4123"/>
    <w:rsid w:val="00EC4381"/>
    <w:rsid w:val="00EC43C0"/>
    <w:rsid w:val="00EC4503"/>
    <w:rsid w:val="00EC466E"/>
    <w:rsid w:val="00EC4A99"/>
    <w:rsid w:val="00EC4B14"/>
    <w:rsid w:val="00EC4C37"/>
    <w:rsid w:val="00EC4DED"/>
    <w:rsid w:val="00EC4F3C"/>
    <w:rsid w:val="00EC4F55"/>
    <w:rsid w:val="00EC507D"/>
    <w:rsid w:val="00EC525A"/>
    <w:rsid w:val="00EC5262"/>
    <w:rsid w:val="00EC532C"/>
    <w:rsid w:val="00EC5394"/>
    <w:rsid w:val="00EC5429"/>
    <w:rsid w:val="00EC579D"/>
    <w:rsid w:val="00EC6039"/>
    <w:rsid w:val="00EC62F0"/>
    <w:rsid w:val="00EC63E7"/>
    <w:rsid w:val="00EC646C"/>
    <w:rsid w:val="00EC6572"/>
    <w:rsid w:val="00EC65A9"/>
    <w:rsid w:val="00EC65BB"/>
    <w:rsid w:val="00EC6653"/>
    <w:rsid w:val="00EC6AF0"/>
    <w:rsid w:val="00EC6E4E"/>
    <w:rsid w:val="00EC6E50"/>
    <w:rsid w:val="00EC6E8A"/>
    <w:rsid w:val="00EC6EBA"/>
    <w:rsid w:val="00EC6FD6"/>
    <w:rsid w:val="00EC74B8"/>
    <w:rsid w:val="00EC7521"/>
    <w:rsid w:val="00EC76A1"/>
    <w:rsid w:val="00EC77FB"/>
    <w:rsid w:val="00EC79DA"/>
    <w:rsid w:val="00EC79E0"/>
    <w:rsid w:val="00EC7A5A"/>
    <w:rsid w:val="00EC7DDC"/>
    <w:rsid w:val="00ED016A"/>
    <w:rsid w:val="00ED0179"/>
    <w:rsid w:val="00ED01EF"/>
    <w:rsid w:val="00ED0435"/>
    <w:rsid w:val="00ED0497"/>
    <w:rsid w:val="00ED06A2"/>
    <w:rsid w:val="00ED0750"/>
    <w:rsid w:val="00ED095F"/>
    <w:rsid w:val="00ED0B34"/>
    <w:rsid w:val="00ED0C98"/>
    <w:rsid w:val="00ED0E21"/>
    <w:rsid w:val="00ED0F71"/>
    <w:rsid w:val="00ED0F7C"/>
    <w:rsid w:val="00ED100A"/>
    <w:rsid w:val="00ED1151"/>
    <w:rsid w:val="00ED1293"/>
    <w:rsid w:val="00ED1368"/>
    <w:rsid w:val="00ED13F9"/>
    <w:rsid w:val="00ED1416"/>
    <w:rsid w:val="00ED15A0"/>
    <w:rsid w:val="00ED1C94"/>
    <w:rsid w:val="00ED1E4D"/>
    <w:rsid w:val="00ED20F5"/>
    <w:rsid w:val="00ED219A"/>
    <w:rsid w:val="00ED234C"/>
    <w:rsid w:val="00ED2829"/>
    <w:rsid w:val="00ED2E4C"/>
    <w:rsid w:val="00ED3073"/>
    <w:rsid w:val="00ED325B"/>
    <w:rsid w:val="00ED33EC"/>
    <w:rsid w:val="00ED387A"/>
    <w:rsid w:val="00ED39FD"/>
    <w:rsid w:val="00ED3A56"/>
    <w:rsid w:val="00ED3CF4"/>
    <w:rsid w:val="00ED3D68"/>
    <w:rsid w:val="00ED407D"/>
    <w:rsid w:val="00ED4817"/>
    <w:rsid w:val="00ED490A"/>
    <w:rsid w:val="00ED4B32"/>
    <w:rsid w:val="00ED4C3B"/>
    <w:rsid w:val="00ED4E1F"/>
    <w:rsid w:val="00ED5776"/>
    <w:rsid w:val="00ED5897"/>
    <w:rsid w:val="00ED5995"/>
    <w:rsid w:val="00ED5999"/>
    <w:rsid w:val="00ED5AD5"/>
    <w:rsid w:val="00ED5D10"/>
    <w:rsid w:val="00ED652D"/>
    <w:rsid w:val="00ED6633"/>
    <w:rsid w:val="00ED67A8"/>
    <w:rsid w:val="00ED67D0"/>
    <w:rsid w:val="00ED69D6"/>
    <w:rsid w:val="00ED6DD3"/>
    <w:rsid w:val="00ED6F6E"/>
    <w:rsid w:val="00ED6FE5"/>
    <w:rsid w:val="00ED72A7"/>
    <w:rsid w:val="00ED744C"/>
    <w:rsid w:val="00ED74F0"/>
    <w:rsid w:val="00ED7505"/>
    <w:rsid w:val="00ED7527"/>
    <w:rsid w:val="00ED7BB9"/>
    <w:rsid w:val="00ED7C3A"/>
    <w:rsid w:val="00ED7C3B"/>
    <w:rsid w:val="00ED7C6F"/>
    <w:rsid w:val="00ED7DBC"/>
    <w:rsid w:val="00ED7EAA"/>
    <w:rsid w:val="00EE02F7"/>
    <w:rsid w:val="00EE0410"/>
    <w:rsid w:val="00EE04EF"/>
    <w:rsid w:val="00EE04FD"/>
    <w:rsid w:val="00EE056E"/>
    <w:rsid w:val="00EE0819"/>
    <w:rsid w:val="00EE0A28"/>
    <w:rsid w:val="00EE0BBB"/>
    <w:rsid w:val="00EE121A"/>
    <w:rsid w:val="00EE1376"/>
    <w:rsid w:val="00EE1444"/>
    <w:rsid w:val="00EE1459"/>
    <w:rsid w:val="00EE14D0"/>
    <w:rsid w:val="00EE1578"/>
    <w:rsid w:val="00EE1814"/>
    <w:rsid w:val="00EE1B51"/>
    <w:rsid w:val="00EE1B7F"/>
    <w:rsid w:val="00EE1E73"/>
    <w:rsid w:val="00EE1F21"/>
    <w:rsid w:val="00EE20B1"/>
    <w:rsid w:val="00EE20E0"/>
    <w:rsid w:val="00EE2185"/>
    <w:rsid w:val="00EE22BA"/>
    <w:rsid w:val="00EE24FD"/>
    <w:rsid w:val="00EE2592"/>
    <w:rsid w:val="00EE2640"/>
    <w:rsid w:val="00EE295F"/>
    <w:rsid w:val="00EE3217"/>
    <w:rsid w:val="00EE32A1"/>
    <w:rsid w:val="00EE33BF"/>
    <w:rsid w:val="00EE347E"/>
    <w:rsid w:val="00EE3601"/>
    <w:rsid w:val="00EE3811"/>
    <w:rsid w:val="00EE3858"/>
    <w:rsid w:val="00EE38B4"/>
    <w:rsid w:val="00EE392C"/>
    <w:rsid w:val="00EE3E4D"/>
    <w:rsid w:val="00EE3FEB"/>
    <w:rsid w:val="00EE416A"/>
    <w:rsid w:val="00EE43D6"/>
    <w:rsid w:val="00EE4B46"/>
    <w:rsid w:val="00EE4F06"/>
    <w:rsid w:val="00EE4F61"/>
    <w:rsid w:val="00EE50BB"/>
    <w:rsid w:val="00EE517B"/>
    <w:rsid w:val="00EE5183"/>
    <w:rsid w:val="00EE5349"/>
    <w:rsid w:val="00EE53E3"/>
    <w:rsid w:val="00EE54E2"/>
    <w:rsid w:val="00EE5508"/>
    <w:rsid w:val="00EE5575"/>
    <w:rsid w:val="00EE5580"/>
    <w:rsid w:val="00EE55EA"/>
    <w:rsid w:val="00EE56A4"/>
    <w:rsid w:val="00EE5AE5"/>
    <w:rsid w:val="00EE6173"/>
    <w:rsid w:val="00EE62F1"/>
    <w:rsid w:val="00EE6880"/>
    <w:rsid w:val="00EE6904"/>
    <w:rsid w:val="00EE6943"/>
    <w:rsid w:val="00EE6A90"/>
    <w:rsid w:val="00EE6F22"/>
    <w:rsid w:val="00EE732A"/>
    <w:rsid w:val="00EE73B2"/>
    <w:rsid w:val="00EE74E8"/>
    <w:rsid w:val="00EE770C"/>
    <w:rsid w:val="00EE7918"/>
    <w:rsid w:val="00EE7E20"/>
    <w:rsid w:val="00EE7E26"/>
    <w:rsid w:val="00EE7E51"/>
    <w:rsid w:val="00EE7F0A"/>
    <w:rsid w:val="00EF0143"/>
    <w:rsid w:val="00EF02CC"/>
    <w:rsid w:val="00EF0357"/>
    <w:rsid w:val="00EF0822"/>
    <w:rsid w:val="00EF0967"/>
    <w:rsid w:val="00EF0AA7"/>
    <w:rsid w:val="00EF0AF8"/>
    <w:rsid w:val="00EF0B93"/>
    <w:rsid w:val="00EF0DAF"/>
    <w:rsid w:val="00EF0DC9"/>
    <w:rsid w:val="00EF0F48"/>
    <w:rsid w:val="00EF173F"/>
    <w:rsid w:val="00EF1828"/>
    <w:rsid w:val="00EF190B"/>
    <w:rsid w:val="00EF1F78"/>
    <w:rsid w:val="00EF2059"/>
    <w:rsid w:val="00EF2322"/>
    <w:rsid w:val="00EF2561"/>
    <w:rsid w:val="00EF25D9"/>
    <w:rsid w:val="00EF2656"/>
    <w:rsid w:val="00EF26E3"/>
    <w:rsid w:val="00EF2871"/>
    <w:rsid w:val="00EF2879"/>
    <w:rsid w:val="00EF2958"/>
    <w:rsid w:val="00EF2B77"/>
    <w:rsid w:val="00EF347D"/>
    <w:rsid w:val="00EF3517"/>
    <w:rsid w:val="00EF36D7"/>
    <w:rsid w:val="00EF3710"/>
    <w:rsid w:val="00EF3765"/>
    <w:rsid w:val="00EF3815"/>
    <w:rsid w:val="00EF3CA6"/>
    <w:rsid w:val="00EF41A5"/>
    <w:rsid w:val="00EF4328"/>
    <w:rsid w:val="00EF4530"/>
    <w:rsid w:val="00EF45BF"/>
    <w:rsid w:val="00EF4691"/>
    <w:rsid w:val="00EF48D0"/>
    <w:rsid w:val="00EF4B43"/>
    <w:rsid w:val="00EF4C03"/>
    <w:rsid w:val="00EF4D7B"/>
    <w:rsid w:val="00EF4EB6"/>
    <w:rsid w:val="00EF503B"/>
    <w:rsid w:val="00EF51FC"/>
    <w:rsid w:val="00EF520A"/>
    <w:rsid w:val="00EF539F"/>
    <w:rsid w:val="00EF5439"/>
    <w:rsid w:val="00EF54E3"/>
    <w:rsid w:val="00EF567A"/>
    <w:rsid w:val="00EF57F0"/>
    <w:rsid w:val="00EF589A"/>
    <w:rsid w:val="00EF5B85"/>
    <w:rsid w:val="00EF5BAC"/>
    <w:rsid w:val="00EF5E14"/>
    <w:rsid w:val="00EF5E79"/>
    <w:rsid w:val="00EF613A"/>
    <w:rsid w:val="00EF6534"/>
    <w:rsid w:val="00EF66CA"/>
    <w:rsid w:val="00EF69D0"/>
    <w:rsid w:val="00EF6AA3"/>
    <w:rsid w:val="00EF6B2F"/>
    <w:rsid w:val="00EF6E29"/>
    <w:rsid w:val="00EF6E6A"/>
    <w:rsid w:val="00EF6E93"/>
    <w:rsid w:val="00EF702F"/>
    <w:rsid w:val="00EF71A9"/>
    <w:rsid w:val="00EF72F7"/>
    <w:rsid w:val="00EF736B"/>
    <w:rsid w:val="00EF7815"/>
    <w:rsid w:val="00EF7882"/>
    <w:rsid w:val="00EF7A7D"/>
    <w:rsid w:val="00EF7ADE"/>
    <w:rsid w:val="00EF7D44"/>
    <w:rsid w:val="00EF7E25"/>
    <w:rsid w:val="00EF7EC5"/>
    <w:rsid w:val="00F000C8"/>
    <w:rsid w:val="00F0014F"/>
    <w:rsid w:val="00F003F9"/>
    <w:rsid w:val="00F00447"/>
    <w:rsid w:val="00F004F7"/>
    <w:rsid w:val="00F00577"/>
    <w:rsid w:val="00F006CC"/>
    <w:rsid w:val="00F007F0"/>
    <w:rsid w:val="00F00C03"/>
    <w:rsid w:val="00F00CD9"/>
    <w:rsid w:val="00F00D83"/>
    <w:rsid w:val="00F00E8E"/>
    <w:rsid w:val="00F010E9"/>
    <w:rsid w:val="00F0127B"/>
    <w:rsid w:val="00F012FF"/>
    <w:rsid w:val="00F0133B"/>
    <w:rsid w:val="00F0135E"/>
    <w:rsid w:val="00F013E9"/>
    <w:rsid w:val="00F01509"/>
    <w:rsid w:val="00F0162A"/>
    <w:rsid w:val="00F016CE"/>
    <w:rsid w:val="00F01A7D"/>
    <w:rsid w:val="00F01B27"/>
    <w:rsid w:val="00F01CFA"/>
    <w:rsid w:val="00F01DB6"/>
    <w:rsid w:val="00F01F82"/>
    <w:rsid w:val="00F0219A"/>
    <w:rsid w:val="00F02329"/>
    <w:rsid w:val="00F0246C"/>
    <w:rsid w:val="00F025C3"/>
    <w:rsid w:val="00F02F20"/>
    <w:rsid w:val="00F03161"/>
    <w:rsid w:val="00F031F6"/>
    <w:rsid w:val="00F03213"/>
    <w:rsid w:val="00F032AF"/>
    <w:rsid w:val="00F036BE"/>
    <w:rsid w:val="00F03859"/>
    <w:rsid w:val="00F038BE"/>
    <w:rsid w:val="00F03979"/>
    <w:rsid w:val="00F03B21"/>
    <w:rsid w:val="00F03C2B"/>
    <w:rsid w:val="00F03D27"/>
    <w:rsid w:val="00F03D50"/>
    <w:rsid w:val="00F03F3A"/>
    <w:rsid w:val="00F03FA4"/>
    <w:rsid w:val="00F045CF"/>
    <w:rsid w:val="00F0473A"/>
    <w:rsid w:val="00F04902"/>
    <w:rsid w:val="00F04B05"/>
    <w:rsid w:val="00F04B97"/>
    <w:rsid w:val="00F057B5"/>
    <w:rsid w:val="00F0615C"/>
    <w:rsid w:val="00F0625F"/>
    <w:rsid w:val="00F0650A"/>
    <w:rsid w:val="00F065D7"/>
    <w:rsid w:val="00F0691F"/>
    <w:rsid w:val="00F06C2B"/>
    <w:rsid w:val="00F06CB1"/>
    <w:rsid w:val="00F06D31"/>
    <w:rsid w:val="00F06E98"/>
    <w:rsid w:val="00F070DB"/>
    <w:rsid w:val="00F0737F"/>
    <w:rsid w:val="00F07421"/>
    <w:rsid w:val="00F07860"/>
    <w:rsid w:val="00F078D3"/>
    <w:rsid w:val="00F07AC3"/>
    <w:rsid w:val="00F07BDB"/>
    <w:rsid w:val="00F07D05"/>
    <w:rsid w:val="00F10273"/>
    <w:rsid w:val="00F10489"/>
    <w:rsid w:val="00F1059B"/>
    <w:rsid w:val="00F10832"/>
    <w:rsid w:val="00F10CA6"/>
    <w:rsid w:val="00F10CCE"/>
    <w:rsid w:val="00F11046"/>
    <w:rsid w:val="00F112F4"/>
    <w:rsid w:val="00F114FD"/>
    <w:rsid w:val="00F11B84"/>
    <w:rsid w:val="00F11C71"/>
    <w:rsid w:val="00F11CBC"/>
    <w:rsid w:val="00F11D9B"/>
    <w:rsid w:val="00F12103"/>
    <w:rsid w:val="00F1219C"/>
    <w:rsid w:val="00F121AE"/>
    <w:rsid w:val="00F12225"/>
    <w:rsid w:val="00F1231B"/>
    <w:rsid w:val="00F124FB"/>
    <w:rsid w:val="00F12798"/>
    <w:rsid w:val="00F129BF"/>
    <w:rsid w:val="00F12AFE"/>
    <w:rsid w:val="00F12E58"/>
    <w:rsid w:val="00F12EDD"/>
    <w:rsid w:val="00F131A2"/>
    <w:rsid w:val="00F132C4"/>
    <w:rsid w:val="00F13595"/>
    <w:rsid w:val="00F139A2"/>
    <w:rsid w:val="00F13B4F"/>
    <w:rsid w:val="00F13E29"/>
    <w:rsid w:val="00F14327"/>
    <w:rsid w:val="00F14770"/>
    <w:rsid w:val="00F14830"/>
    <w:rsid w:val="00F14868"/>
    <w:rsid w:val="00F148AC"/>
    <w:rsid w:val="00F14A77"/>
    <w:rsid w:val="00F14EB1"/>
    <w:rsid w:val="00F14F64"/>
    <w:rsid w:val="00F14F7F"/>
    <w:rsid w:val="00F14FEA"/>
    <w:rsid w:val="00F15070"/>
    <w:rsid w:val="00F15166"/>
    <w:rsid w:val="00F1563B"/>
    <w:rsid w:val="00F1567D"/>
    <w:rsid w:val="00F15BE9"/>
    <w:rsid w:val="00F15C84"/>
    <w:rsid w:val="00F15CC9"/>
    <w:rsid w:val="00F15FF9"/>
    <w:rsid w:val="00F165BC"/>
    <w:rsid w:val="00F166B6"/>
    <w:rsid w:val="00F16879"/>
    <w:rsid w:val="00F16931"/>
    <w:rsid w:val="00F16962"/>
    <w:rsid w:val="00F16FDE"/>
    <w:rsid w:val="00F173C1"/>
    <w:rsid w:val="00F1778A"/>
    <w:rsid w:val="00F17A29"/>
    <w:rsid w:val="00F17AFC"/>
    <w:rsid w:val="00F17CD1"/>
    <w:rsid w:val="00F17F17"/>
    <w:rsid w:val="00F20297"/>
    <w:rsid w:val="00F204F9"/>
    <w:rsid w:val="00F2053B"/>
    <w:rsid w:val="00F20EEF"/>
    <w:rsid w:val="00F21281"/>
    <w:rsid w:val="00F215A3"/>
    <w:rsid w:val="00F215CD"/>
    <w:rsid w:val="00F215FD"/>
    <w:rsid w:val="00F21754"/>
    <w:rsid w:val="00F21A3A"/>
    <w:rsid w:val="00F21ABB"/>
    <w:rsid w:val="00F21C18"/>
    <w:rsid w:val="00F21ECE"/>
    <w:rsid w:val="00F2203A"/>
    <w:rsid w:val="00F2211A"/>
    <w:rsid w:val="00F22232"/>
    <w:rsid w:val="00F222EC"/>
    <w:rsid w:val="00F222FC"/>
    <w:rsid w:val="00F22457"/>
    <w:rsid w:val="00F22652"/>
    <w:rsid w:val="00F2271F"/>
    <w:rsid w:val="00F228D1"/>
    <w:rsid w:val="00F22A09"/>
    <w:rsid w:val="00F22B3F"/>
    <w:rsid w:val="00F22ECE"/>
    <w:rsid w:val="00F2322D"/>
    <w:rsid w:val="00F234B4"/>
    <w:rsid w:val="00F2380A"/>
    <w:rsid w:val="00F2382D"/>
    <w:rsid w:val="00F23A54"/>
    <w:rsid w:val="00F23ADB"/>
    <w:rsid w:val="00F23BBB"/>
    <w:rsid w:val="00F23D85"/>
    <w:rsid w:val="00F240DF"/>
    <w:rsid w:val="00F2444A"/>
    <w:rsid w:val="00F24583"/>
    <w:rsid w:val="00F2489A"/>
    <w:rsid w:val="00F2492C"/>
    <w:rsid w:val="00F2493E"/>
    <w:rsid w:val="00F2495B"/>
    <w:rsid w:val="00F25577"/>
    <w:rsid w:val="00F255AA"/>
    <w:rsid w:val="00F25AF1"/>
    <w:rsid w:val="00F25B16"/>
    <w:rsid w:val="00F25C0D"/>
    <w:rsid w:val="00F25D73"/>
    <w:rsid w:val="00F25F8A"/>
    <w:rsid w:val="00F26116"/>
    <w:rsid w:val="00F26273"/>
    <w:rsid w:val="00F2637E"/>
    <w:rsid w:val="00F2664D"/>
    <w:rsid w:val="00F26C46"/>
    <w:rsid w:val="00F26D3E"/>
    <w:rsid w:val="00F26D90"/>
    <w:rsid w:val="00F27240"/>
    <w:rsid w:val="00F272AB"/>
    <w:rsid w:val="00F272EA"/>
    <w:rsid w:val="00F27318"/>
    <w:rsid w:val="00F2739F"/>
    <w:rsid w:val="00F27442"/>
    <w:rsid w:val="00F2744C"/>
    <w:rsid w:val="00F301B5"/>
    <w:rsid w:val="00F302EC"/>
    <w:rsid w:val="00F303B5"/>
    <w:rsid w:val="00F306C2"/>
    <w:rsid w:val="00F3073A"/>
    <w:rsid w:val="00F30871"/>
    <w:rsid w:val="00F30A83"/>
    <w:rsid w:val="00F30C8B"/>
    <w:rsid w:val="00F30EA0"/>
    <w:rsid w:val="00F30ED6"/>
    <w:rsid w:val="00F3112A"/>
    <w:rsid w:val="00F31382"/>
    <w:rsid w:val="00F31422"/>
    <w:rsid w:val="00F319A9"/>
    <w:rsid w:val="00F31BD9"/>
    <w:rsid w:val="00F31BF3"/>
    <w:rsid w:val="00F31EB8"/>
    <w:rsid w:val="00F320C1"/>
    <w:rsid w:val="00F320E3"/>
    <w:rsid w:val="00F32211"/>
    <w:rsid w:val="00F323E5"/>
    <w:rsid w:val="00F3264F"/>
    <w:rsid w:val="00F326F8"/>
    <w:rsid w:val="00F328E2"/>
    <w:rsid w:val="00F32961"/>
    <w:rsid w:val="00F32988"/>
    <w:rsid w:val="00F32B05"/>
    <w:rsid w:val="00F32B39"/>
    <w:rsid w:val="00F32B6D"/>
    <w:rsid w:val="00F32C40"/>
    <w:rsid w:val="00F32DD3"/>
    <w:rsid w:val="00F32EE6"/>
    <w:rsid w:val="00F32FB6"/>
    <w:rsid w:val="00F33CFA"/>
    <w:rsid w:val="00F341ED"/>
    <w:rsid w:val="00F3433C"/>
    <w:rsid w:val="00F349B9"/>
    <w:rsid w:val="00F34A3E"/>
    <w:rsid w:val="00F34B33"/>
    <w:rsid w:val="00F34CAB"/>
    <w:rsid w:val="00F34E60"/>
    <w:rsid w:val="00F34F47"/>
    <w:rsid w:val="00F3565B"/>
    <w:rsid w:val="00F3582E"/>
    <w:rsid w:val="00F3588C"/>
    <w:rsid w:val="00F35905"/>
    <w:rsid w:val="00F35948"/>
    <w:rsid w:val="00F359A4"/>
    <w:rsid w:val="00F35B1A"/>
    <w:rsid w:val="00F35C0E"/>
    <w:rsid w:val="00F35D14"/>
    <w:rsid w:val="00F35D40"/>
    <w:rsid w:val="00F35E45"/>
    <w:rsid w:val="00F35E53"/>
    <w:rsid w:val="00F35E72"/>
    <w:rsid w:val="00F36000"/>
    <w:rsid w:val="00F36297"/>
    <w:rsid w:val="00F365CE"/>
    <w:rsid w:val="00F36782"/>
    <w:rsid w:val="00F3684F"/>
    <w:rsid w:val="00F369EF"/>
    <w:rsid w:val="00F36AD9"/>
    <w:rsid w:val="00F37013"/>
    <w:rsid w:val="00F370D1"/>
    <w:rsid w:val="00F37144"/>
    <w:rsid w:val="00F37211"/>
    <w:rsid w:val="00F37281"/>
    <w:rsid w:val="00F3730A"/>
    <w:rsid w:val="00F374AB"/>
    <w:rsid w:val="00F37E6A"/>
    <w:rsid w:val="00F40129"/>
    <w:rsid w:val="00F40167"/>
    <w:rsid w:val="00F401A5"/>
    <w:rsid w:val="00F40292"/>
    <w:rsid w:val="00F405FD"/>
    <w:rsid w:val="00F4079D"/>
    <w:rsid w:val="00F40876"/>
    <w:rsid w:val="00F40CA9"/>
    <w:rsid w:val="00F40E03"/>
    <w:rsid w:val="00F4121F"/>
    <w:rsid w:val="00F413A7"/>
    <w:rsid w:val="00F41421"/>
    <w:rsid w:val="00F41448"/>
    <w:rsid w:val="00F4144E"/>
    <w:rsid w:val="00F414EF"/>
    <w:rsid w:val="00F416BA"/>
    <w:rsid w:val="00F417D0"/>
    <w:rsid w:val="00F41867"/>
    <w:rsid w:val="00F4198D"/>
    <w:rsid w:val="00F41A10"/>
    <w:rsid w:val="00F41BAF"/>
    <w:rsid w:val="00F41CBD"/>
    <w:rsid w:val="00F41DB3"/>
    <w:rsid w:val="00F41E5C"/>
    <w:rsid w:val="00F41E66"/>
    <w:rsid w:val="00F41EEA"/>
    <w:rsid w:val="00F4203E"/>
    <w:rsid w:val="00F42140"/>
    <w:rsid w:val="00F422C3"/>
    <w:rsid w:val="00F423FB"/>
    <w:rsid w:val="00F4242B"/>
    <w:rsid w:val="00F426AE"/>
    <w:rsid w:val="00F42982"/>
    <w:rsid w:val="00F42A42"/>
    <w:rsid w:val="00F42A69"/>
    <w:rsid w:val="00F42AC2"/>
    <w:rsid w:val="00F42B93"/>
    <w:rsid w:val="00F42CC3"/>
    <w:rsid w:val="00F42D0F"/>
    <w:rsid w:val="00F43163"/>
    <w:rsid w:val="00F4347C"/>
    <w:rsid w:val="00F43586"/>
    <w:rsid w:val="00F435F3"/>
    <w:rsid w:val="00F43ABC"/>
    <w:rsid w:val="00F43BB4"/>
    <w:rsid w:val="00F43BFB"/>
    <w:rsid w:val="00F43D45"/>
    <w:rsid w:val="00F43DFF"/>
    <w:rsid w:val="00F44033"/>
    <w:rsid w:val="00F442EB"/>
    <w:rsid w:val="00F44306"/>
    <w:rsid w:val="00F44385"/>
    <w:rsid w:val="00F443AC"/>
    <w:rsid w:val="00F4477C"/>
    <w:rsid w:val="00F44A02"/>
    <w:rsid w:val="00F44A8A"/>
    <w:rsid w:val="00F44BBC"/>
    <w:rsid w:val="00F44F40"/>
    <w:rsid w:val="00F44FA3"/>
    <w:rsid w:val="00F4508F"/>
    <w:rsid w:val="00F45092"/>
    <w:rsid w:val="00F45284"/>
    <w:rsid w:val="00F45724"/>
    <w:rsid w:val="00F45998"/>
    <w:rsid w:val="00F45EC0"/>
    <w:rsid w:val="00F46334"/>
    <w:rsid w:val="00F46892"/>
    <w:rsid w:val="00F46AC7"/>
    <w:rsid w:val="00F46DC5"/>
    <w:rsid w:val="00F46F6F"/>
    <w:rsid w:val="00F472CA"/>
    <w:rsid w:val="00F47360"/>
    <w:rsid w:val="00F47470"/>
    <w:rsid w:val="00F47555"/>
    <w:rsid w:val="00F475E5"/>
    <w:rsid w:val="00F47724"/>
    <w:rsid w:val="00F4778C"/>
    <w:rsid w:val="00F47A0B"/>
    <w:rsid w:val="00F47A2B"/>
    <w:rsid w:val="00F47C1D"/>
    <w:rsid w:val="00F47DCF"/>
    <w:rsid w:val="00F47FBA"/>
    <w:rsid w:val="00F47FE4"/>
    <w:rsid w:val="00F5014C"/>
    <w:rsid w:val="00F5019A"/>
    <w:rsid w:val="00F501B3"/>
    <w:rsid w:val="00F502C9"/>
    <w:rsid w:val="00F5042D"/>
    <w:rsid w:val="00F5043F"/>
    <w:rsid w:val="00F50A8A"/>
    <w:rsid w:val="00F50FBC"/>
    <w:rsid w:val="00F51055"/>
    <w:rsid w:val="00F51535"/>
    <w:rsid w:val="00F51717"/>
    <w:rsid w:val="00F51A86"/>
    <w:rsid w:val="00F51AE3"/>
    <w:rsid w:val="00F51B1C"/>
    <w:rsid w:val="00F51B52"/>
    <w:rsid w:val="00F51CB1"/>
    <w:rsid w:val="00F51D5D"/>
    <w:rsid w:val="00F51F0F"/>
    <w:rsid w:val="00F52666"/>
    <w:rsid w:val="00F527C2"/>
    <w:rsid w:val="00F527E2"/>
    <w:rsid w:val="00F529C2"/>
    <w:rsid w:val="00F52D9F"/>
    <w:rsid w:val="00F5301B"/>
    <w:rsid w:val="00F532F7"/>
    <w:rsid w:val="00F53455"/>
    <w:rsid w:val="00F53473"/>
    <w:rsid w:val="00F53491"/>
    <w:rsid w:val="00F5397B"/>
    <w:rsid w:val="00F53996"/>
    <w:rsid w:val="00F53A21"/>
    <w:rsid w:val="00F53CD4"/>
    <w:rsid w:val="00F54023"/>
    <w:rsid w:val="00F543D8"/>
    <w:rsid w:val="00F54621"/>
    <w:rsid w:val="00F546A1"/>
    <w:rsid w:val="00F54852"/>
    <w:rsid w:val="00F54AE3"/>
    <w:rsid w:val="00F54C90"/>
    <w:rsid w:val="00F54F3D"/>
    <w:rsid w:val="00F552FD"/>
    <w:rsid w:val="00F5546C"/>
    <w:rsid w:val="00F55544"/>
    <w:rsid w:val="00F556B4"/>
    <w:rsid w:val="00F5571C"/>
    <w:rsid w:val="00F5576E"/>
    <w:rsid w:val="00F558BB"/>
    <w:rsid w:val="00F558C5"/>
    <w:rsid w:val="00F561A5"/>
    <w:rsid w:val="00F561CD"/>
    <w:rsid w:val="00F5644A"/>
    <w:rsid w:val="00F56A1C"/>
    <w:rsid w:val="00F56FA9"/>
    <w:rsid w:val="00F57216"/>
    <w:rsid w:val="00F57540"/>
    <w:rsid w:val="00F579D8"/>
    <w:rsid w:val="00F57C75"/>
    <w:rsid w:val="00F60005"/>
    <w:rsid w:val="00F60063"/>
    <w:rsid w:val="00F604C8"/>
    <w:rsid w:val="00F608D9"/>
    <w:rsid w:val="00F609AE"/>
    <w:rsid w:val="00F609D3"/>
    <w:rsid w:val="00F60A29"/>
    <w:rsid w:val="00F60D72"/>
    <w:rsid w:val="00F60F10"/>
    <w:rsid w:val="00F60F70"/>
    <w:rsid w:val="00F617A5"/>
    <w:rsid w:val="00F618BE"/>
    <w:rsid w:val="00F61ACF"/>
    <w:rsid w:val="00F61BD7"/>
    <w:rsid w:val="00F61DAA"/>
    <w:rsid w:val="00F61F14"/>
    <w:rsid w:val="00F624FB"/>
    <w:rsid w:val="00F62514"/>
    <w:rsid w:val="00F6256E"/>
    <w:rsid w:val="00F62649"/>
    <w:rsid w:val="00F6264B"/>
    <w:rsid w:val="00F62683"/>
    <w:rsid w:val="00F6290A"/>
    <w:rsid w:val="00F62A86"/>
    <w:rsid w:val="00F62BD1"/>
    <w:rsid w:val="00F62D41"/>
    <w:rsid w:val="00F62EE7"/>
    <w:rsid w:val="00F63094"/>
    <w:rsid w:val="00F632BE"/>
    <w:rsid w:val="00F63354"/>
    <w:rsid w:val="00F63376"/>
    <w:rsid w:val="00F634E5"/>
    <w:rsid w:val="00F637BC"/>
    <w:rsid w:val="00F637EC"/>
    <w:rsid w:val="00F6408D"/>
    <w:rsid w:val="00F6413C"/>
    <w:rsid w:val="00F64239"/>
    <w:rsid w:val="00F6428A"/>
    <w:rsid w:val="00F64397"/>
    <w:rsid w:val="00F643C4"/>
    <w:rsid w:val="00F644B9"/>
    <w:rsid w:val="00F64559"/>
    <w:rsid w:val="00F64C59"/>
    <w:rsid w:val="00F64C9A"/>
    <w:rsid w:val="00F64CD7"/>
    <w:rsid w:val="00F64D51"/>
    <w:rsid w:val="00F64E1C"/>
    <w:rsid w:val="00F65031"/>
    <w:rsid w:val="00F65094"/>
    <w:rsid w:val="00F651A9"/>
    <w:rsid w:val="00F653DC"/>
    <w:rsid w:val="00F65453"/>
    <w:rsid w:val="00F654BA"/>
    <w:rsid w:val="00F6550D"/>
    <w:rsid w:val="00F65718"/>
    <w:rsid w:val="00F6581A"/>
    <w:rsid w:val="00F65BC1"/>
    <w:rsid w:val="00F65D5C"/>
    <w:rsid w:val="00F65F75"/>
    <w:rsid w:val="00F660AC"/>
    <w:rsid w:val="00F66110"/>
    <w:rsid w:val="00F666A5"/>
    <w:rsid w:val="00F666C3"/>
    <w:rsid w:val="00F666CA"/>
    <w:rsid w:val="00F66940"/>
    <w:rsid w:val="00F66BA2"/>
    <w:rsid w:val="00F66DA4"/>
    <w:rsid w:val="00F66F12"/>
    <w:rsid w:val="00F67485"/>
    <w:rsid w:val="00F678A4"/>
    <w:rsid w:val="00F67A3E"/>
    <w:rsid w:val="00F67CD7"/>
    <w:rsid w:val="00F70430"/>
    <w:rsid w:val="00F70676"/>
    <w:rsid w:val="00F706AB"/>
    <w:rsid w:val="00F70D4B"/>
    <w:rsid w:val="00F70DA1"/>
    <w:rsid w:val="00F70EC2"/>
    <w:rsid w:val="00F70EC8"/>
    <w:rsid w:val="00F710B4"/>
    <w:rsid w:val="00F714E1"/>
    <w:rsid w:val="00F7158D"/>
    <w:rsid w:val="00F719F8"/>
    <w:rsid w:val="00F71B50"/>
    <w:rsid w:val="00F7223C"/>
    <w:rsid w:val="00F725E6"/>
    <w:rsid w:val="00F72970"/>
    <w:rsid w:val="00F72AEC"/>
    <w:rsid w:val="00F72B81"/>
    <w:rsid w:val="00F72DC4"/>
    <w:rsid w:val="00F730DD"/>
    <w:rsid w:val="00F730EB"/>
    <w:rsid w:val="00F73248"/>
    <w:rsid w:val="00F73398"/>
    <w:rsid w:val="00F73BFD"/>
    <w:rsid w:val="00F74061"/>
    <w:rsid w:val="00F7412A"/>
    <w:rsid w:val="00F743BE"/>
    <w:rsid w:val="00F7455D"/>
    <w:rsid w:val="00F74768"/>
    <w:rsid w:val="00F747EE"/>
    <w:rsid w:val="00F74EEC"/>
    <w:rsid w:val="00F750CD"/>
    <w:rsid w:val="00F75203"/>
    <w:rsid w:val="00F7537B"/>
    <w:rsid w:val="00F753EA"/>
    <w:rsid w:val="00F7543C"/>
    <w:rsid w:val="00F75517"/>
    <w:rsid w:val="00F757D4"/>
    <w:rsid w:val="00F758CA"/>
    <w:rsid w:val="00F75CA7"/>
    <w:rsid w:val="00F75D85"/>
    <w:rsid w:val="00F75E8D"/>
    <w:rsid w:val="00F75F47"/>
    <w:rsid w:val="00F76148"/>
    <w:rsid w:val="00F7614B"/>
    <w:rsid w:val="00F76196"/>
    <w:rsid w:val="00F76A7C"/>
    <w:rsid w:val="00F76B9D"/>
    <w:rsid w:val="00F76E0A"/>
    <w:rsid w:val="00F76E53"/>
    <w:rsid w:val="00F76E8A"/>
    <w:rsid w:val="00F771CE"/>
    <w:rsid w:val="00F77260"/>
    <w:rsid w:val="00F77779"/>
    <w:rsid w:val="00F77910"/>
    <w:rsid w:val="00F77A5F"/>
    <w:rsid w:val="00F77B12"/>
    <w:rsid w:val="00F77CC3"/>
    <w:rsid w:val="00F80051"/>
    <w:rsid w:val="00F80391"/>
    <w:rsid w:val="00F805AB"/>
    <w:rsid w:val="00F807D6"/>
    <w:rsid w:val="00F80912"/>
    <w:rsid w:val="00F80978"/>
    <w:rsid w:val="00F809B5"/>
    <w:rsid w:val="00F80B57"/>
    <w:rsid w:val="00F80E17"/>
    <w:rsid w:val="00F80E75"/>
    <w:rsid w:val="00F80E83"/>
    <w:rsid w:val="00F812B5"/>
    <w:rsid w:val="00F8135E"/>
    <w:rsid w:val="00F81687"/>
    <w:rsid w:val="00F8171F"/>
    <w:rsid w:val="00F81936"/>
    <w:rsid w:val="00F81B97"/>
    <w:rsid w:val="00F81BE0"/>
    <w:rsid w:val="00F81CD0"/>
    <w:rsid w:val="00F81DB1"/>
    <w:rsid w:val="00F821B4"/>
    <w:rsid w:val="00F823E7"/>
    <w:rsid w:val="00F82707"/>
    <w:rsid w:val="00F827AF"/>
    <w:rsid w:val="00F827C4"/>
    <w:rsid w:val="00F82A7B"/>
    <w:rsid w:val="00F82B86"/>
    <w:rsid w:val="00F82C4D"/>
    <w:rsid w:val="00F82C6A"/>
    <w:rsid w:val="00F82CEE"/>
    <w:rsid w:val="00F830DF"/>
    <w:rsid w:val="00F8316C"/>
    <w:rsid w:val="00F83266"/>
    <w:rsid w:val="00F83276"/>
    <w:rsid w:val="00F83311"/>
    <w:rsid w:val="00F83478"/>
    <w:rsid w:val="00F83522"/>
    <w:rsid w:val="00F835CA"/>
    <w:rsid w:val="00F83724"/>
    <w:rsid w:val="00F83797"/>
    <w:rsid w:val="00F83B7A"/>
    <w:rsid w:val="00F83DBA"/>
    <w:rsid w:val="00F841E4"/>
    <w:rsid w:val="00F843E6"/>
    <w:rsid w:val="00F848C1"/>
    <w:rsid w:val="00F848E7"/>
    <w:rsid w:val="00F84B5C"/>
    <w:rsid w:val="00F84C81"/>
    <w:rsid w:val="00F84CFB"/>
    <w:rsid w:val="00F850D0"/>
    <w:rsid w:val="00F851EE"/>
    <w:rsid w:val="00F85277"/>
    <w:rsid w:val="00F8534C"/>
    <w:rsid w:val="00F8540A"/>
    <w:rsid w:val="00F854BA"/>
    <w:rsid w:val="00F85530"/>
    <w:rsid w:val="00F8556C"/>
    <w:rsid w:val="00F858A3"/>
    <w:rsid w:val="00F85ABE"/>
    <w:rsid w:val="00F85AFD"/>
    <w:rsid w:val="00F85B4D"/>
    <w:rsid w:val="00F85FB0"/>
    <w:rsid w:val="00F8677E"/>
    <w:rsid w:val="00F8681D"/>
    <w:rsid w:val="00F868ED"/>
    <w:rsid w:val="00F86A59"/>
    <w:rsid w:val="00F86B29"/>
    <w:rsid w:val="00F86C70"/>
    <w:rsid w:val="00F86F14"/>
    <w:rsid w:val="00F87212"/>
    <w:rsid w:val="00F87307"/>
    <w:rsid w:val="00F87456"/>
    <w:rsid w:val="00F877E0"/>
    <w:rsid w:val="00F879C8"/>
    <w:rsid w:val="00F90101"/>
    <w:rsid w:val="00F901EA"/>
    <w:rsid w:val="00F90334"/>
    <w:rsid w:val="00F9053F"/>
    <w:rsid w:val="00F90544"/>
    <w:rsid w:val="00F905AD"/>
    <w:rsid w:val="00F9064D"/>
    <w:rsid w:val="00F906A0"/>
    <w:rsid w:val="00F90B6F"/>
    <w:rsid w:val="00F90CB3"/>
    <w:rsid w:val="00F90F74"/>
    <w:rsid w:val="00F91565"/>
    <w:rsid w:val="00F91A08"/>
    <w:rsid w:val="00F91B1A"/>
    <w:rsid w:val="00F91E10"/>
    <w:rsid w:val="00F920D0"/>
    <w:rsid w:val="00F922C3"/>
    <w:rsid w:val="00F922C6"/>
    <w:rsid w:val="00F923A0"/>
    <w:rsid w:val="00F9258C"/>
    <w:rsid w:val="00F92651"/>
    <w:rsid w:val="00F929C1"/>
    <w:rsid w:val="00F92B83"/>
    <w:rsid w:val="00F932CF"/>
    <w:rsid w:val="00F93399"/>
    <w:rsid w:val="00F9351D"/>
    <w:rsid w:val="00F93AE1"/>
    <w:rsid w:val="00F93B29"/>
    <w:rsid w:val="00F93BD7"/>
    <w:rsid w:val="00F93C43"/>
    <w:rsid w:val="00F93D7D"/>
    <w:rsid w:val="00F93DC9"/>
    <w:rsid w:val="00F944F1"/>
    <w:rsid w:val="00F9476C"/>
    <w:rsid w:val="00F94A70"/>
    <w:rsid w:val="00F94B01"/>
    <w:rsid w:val="00F94E34"/>
    <w:rsid w:val="00F94E43"/>
    <w:rsid w:val="00F952B8"/>
    <w:rsid w:val="00F95463"/>
    <w:rsid w:val="00F9566D"/>
    <w:rsid w:val="00F95892"/>
    <w:rsid w:val="00F95AD8"/>
    <w:rsid w:val="00F95B8B"/>
    <w:rsid w:val="00F962FE"/>
    <w:rsid w:val="00F96385"/>
    <w:rsid w:val="00F963AB"/>
    <w:rsid w:val="00F963F6"/>
    <w:rsid w:val="00F964C7"/>
    <w:rsid w:val="00F96F7F"/>
    <w:rsid w:val="00F970AA"/>
    <w:rsid w:val="00F97180"/>
    <w:rsid w:val="00F97845"/>
    <w:rsid w:val="00F978EE"/>
    <w:rsid w:val="00F979FF"/>
    <w:rsid w:val="00F97AA2"/>
    <w:rsid w:val="00F97C42"/>
    <w:rsid w:val="00F97CA4"/>
    <w:rsid w:val="00F97E9A"/>
    <w:rsid w:val="00FA001B"/>
    <w:rsid w:val="00FA0048"/>
    <w:rsid w:val="00FA037A"/>
    <w:rsid w:val="00FA0520"/>
    <w:rsid w:val="00FA0790"/>
    <w:rsid w:val="00FA0F29"/>
    <w:rsid w:val="00FA143C"/>
    <w:rsid w:val="00FA1550"/>
    <w:rsid w:val="00FA155D"/>
    <w:rsid w:val="00FA1586"/>
    <w:rsid w:val="00FA17BB"/>
    <w:rsid w:val="00FA1896"/>
    <w:rsid w:val="00FA1D16"/>
    <w:rsid w:val="00FA1D1D"/>
    <w:rsid w:val="00FA1D51"/>
    <w:rsid w:val="00FA2076"/>
    <w:rsid w:val="00FA22D7"/>
    <w:rsid w:val="00FA2367"/>
    <w:rsid w:val="00FA2388"/>
    <w:rsid w:val="00FA245E"/>
    <w:rsid w:val="00FA27F5"/>
    <w:rsid w:val="00FA2A90"/>
    <w:rsid w:val="00FA2E32"/>
    <w:rsid w:val="00FA3106"/>
    <w:rsid w:val="00FA3170"/>
    <w:rsid w:val="00FA3992"/>
    <w:rsid w:val="00FA3A33"/>
    <w:rsid w:val="00FA3B5B"/>
    <w:rsid w:val="00FA3C00"/>
    <w:rsid w:val="00FA3D38"/>
    <w:rsid w:val="00FA3D9B"/>
    <w:rsid w:val="00FA3DFB"/>
    <w:rsid w:val="00FA3F73"/>
    <w:rsid w:val="00FA44A8"/>
    <w:rsid w:val="00FA45C7"/>
    <w:rsid w:val="00FA4886"/>
    <w:rsid w:val="00FA4AA2"/>
    <w:rsid w:val="00FA4BBC"/>
    <w:rsid w:val="00FA52BD"/>
    <w:rsid w:val="00FA5477"/>
    <w:rsid w:val="00FA572A"/>
    <w:rsid w:val="00FA5CB0"/>
    <w:rsid w:val="00FA5D0C"/>
    <w:rsid w:val="00FA5D12"/>
    <w:rsid w:val="00FA5E12"/>
    <w:rsid w:val="00FA5F02"/>
    <w:rsid w:val="00FA60BD"/>
    <w:rsid w:val="00FA62DE"/>
    <w:rsid w:val="00FA6494"/>
    <w:rsid w:val="00FA6733"/>
    <w:rsid w:val="00FA67D7"/>
    <w:rsid w:val="00FA688A"/>
    <w:rsid w:val="00FA6BF7"/>
    <w:rsid w:val="00FA6C83"/>
    <w:rsid w:val="00FA6E2E"/>
    <w:rsid w:val="00FA70CF"/>
    <w:rsid w:val="00FA70FC"/>
    <w:rsid w:val="00FA723F"/>
    <w:rsid w:val="00FA728B"/>
    <w:rsid w:val="00FA769B"/>
    <w:rsid w:val="00FA780E"/>
    <w:rsid w:val="00FA7DB6"/>
    <w:rsid w:val="00FA7E4E"/>
    <w:rsid w:val="00FA7F50"/>
    <w:rsid w:val="00FA7F83"/>
    <w:rsid w:val="00FB012C"/>
    <w:rsid w:val="00FB0547"/>
    <w:rsid w:val="00FB0564"/>
    <w:rsid w:val="00FB0912"/>
    <w:rsid w:val="00FB1133"/>
    <w:rsid w:val="00FB146D"/>
    <w:rsid w:val="00FB1938"/>
    <w:rsid w:val="00FB1B94"/>
    <w:rsid w:val="00FB207A"/>
    <w:rsid w:val="00FB20A3"/>
    <w:rsid w:val="00FB248E"/>
    <w:rsid w:val="00FB287A"/>
    <w:rsid w:val="00FB28CC"/>
    <w:rsid w:val="00FB2990"/>
    <w:rsid w:val="00FB2ED4"/>
    <w:rsid w:val="00FB3277"/>
    <w:rsid w:val="00FB32AF"/>
    <w:rsid w:val="00FB33C0"/>
    <w:rsid w:val="00FB344A"/>
    <w:rsid w:val="00FB3781"/>
    <w:rsid w:val="00FB38C0"/>
    <w:rsid w:val="00FB3962"/>
    <w:rsid w:val="00FB3DA0"/>
    <w:rsid w:val="00FB3DF9"/>
    <w:rsid w:val="00FB3EB6"/>
    <w:rsid w:val="00FB3F18"/>
    <w:rsid w:val="00FB4047"/>
    <w:rsid w:val="00FB40ED"/>
    <w:rsid w:val="00FB4249"/>
    <w:rsid w:val="00FB4291"/>
    <w:rsid w:val="00FB447D"/>
    <w:rsid w:val="00FB46A4"/>
    <w:rsid w:val="00FB4862"/>
    <w:rsid w:val="00FB48F5"/>
    <w:rsid w:val="00FB49DE"/>
    <w:rsid w:val="00FB4CC9"/>
    <w:rsid w:val="00FB4DF9"/>
    <w:rsid w:val="00FB4F83"/>
    <w:rsid w:val="00FB4FF0"/>
    <w:rsid w:val="00FB5064"/>
    <w:rsid w:val="00FB51A7"/>
    <w:rsid w:val="00FB51F9"/>
    <w:rsid w:val="00FB5275"/>
    <w:rsid w:val="00FB53F4"/>
    <w:rsid w:val="00FB55D1"/>
    <w:rsid w:val="00FB5788"/>
    <w:rsid w:val="00FB58E5"/>
    <w:rsid w:val="00FB59F6"/>
    <w:rsid w:val="00FB5AC1"/>
    <w:rsid w:val="00FB5DC4"/>
    <w:rsid w:val="00FB5F36"/>
    <w:rsid w:val="00FB64C9"/>
    <w:rsid w:val="00FB6620"/>
    <w:rsid w:val="00FB74E1"/>
    <w:rsid w:val="00FB7548"/>
    <w:rsid w:val="00FB75DE"/>
    <w:rsid w:val="00FB7685"/>
    <w:rsid w:val="00FB7A3A"/>
    <w:rsid w:val="00FB7ED1"/>
    <w:rsid w:val="00FC007A"/>
    <w:rsid w:val="00FC024A"/>
    <w:rsid w:val="00FC0292"/>
    <w:rsid w:val="00FC031B"/>
    <w:rsid w:val="00FC0358"/>
    <w:rsid w:val="00FC037F"/>
    <w:rsid w:val="00FC0633"/>
    <w:rsid w:val="00FC0635"/>
    <w:rsid w:val="00FC093B"/>
    <w:rsid w:val="00FC09B8"/>
    <w:rsid w:val="00FC12BD"/>
    <w:rsid w:val="00FC1DA5"/>
    <w:rsid w:val="00FC1E37"/>
    <w:rsid w:val="00FC20EC"/>
    <w:rsid w:val="00FC2515"/>
    <w:rsid w:val="00FC27C8"/>
    <w:rsid w:val="00FC2BF6"/>
    <w:rsid w:val="00FC3317"/>
    <w:rsid w:val="00FC3322"/>
    <w:rsid w:val="00FC3534"/>
    <w:rsid w:val="00FC355A"/>
    <w:rsid w:val="00FC3638"/>
    <w:rsid w:val="00FC36C4"/>
    <w:rsid w:val="00FC38F8"/>
    <w:rsid w:val="00FC3A64"/>
    <w:rsid w:val="00FC3AB2"/>
    <w:rsid w:val="00FC3B15"/>
    <w:rsid w:val="00FC3C25"/>
    <w:rsid w:val="00FC3DBE"/>
    <w:rsid w:val="00FC42A5"/>
    <w:rsid w:val="00FC44A6"/>
    <w:rsid w:val="00FC456B"/>
    <w:rsid w:val="00FC45A2"/>
    <w:rsid w:val="00FC46EC"/>
    <w:rsid w:val="00FC4FE3"/>
    <w:rsid w:val="00FC5035"/>
    <w:rsid w:val="00FC510B"/>
    <w:rsid w:val="00FC539F"/>
    <w:rsid w:val="00FC5433"/>
    <w:rsid w:val="00FC5888"/>
    <w:rsid w:val="00FC59D6"/>
    <w:rsid w:val="00FC5A71"/>
    <w:rsid w:val="00FC5AB8"/>
    <w:rsid w:val="00FC5B5B"/>
    <w:rsid w:val="00FC5EEC"/>
    <w:rsid w:val="00FC639B"/>
    <w:rsid w:val="00FC6598"/>
    <w:rsid w:val="00FC65FA"/>
    <w:rsid w:val="00FC6738"/>
    <w:rsid w:val="00FC67EA"/>
    <w:rsid w:val="00FC6939"/>
    <w:rsid w:val="00FC6940"/>
    <w:rsid w:val="00FC6964"/>
    <w:rsid w:val="00FC70DD"/>
    <w:rsid w:val="00FC7344"/>
    <w:rsid w:val="00FC7435"/>
    <w:rsid w:val="00FC7525"/>
    <w:rsid w:val="00FC7B19"/>
    <w:rsid w:val="00FC7C74"/>
    <w:rsid w:val="00FC7D90"/>
    <w:rsid w:val="00FC7E31"/>
    <w:rsid w:val="00FC7E81"/>
    <w:rsid w:val="00FC7F2D"/>
    <w:rsid w:val="00FC7FDC"/>
    <w:rsid w:val="00FD0056"/>
    <w:rsid w:val="00FD00AD"/>
    <w:rsid w:val="00FD0354"/>
    <w:rsid w:val="00FD04C1"/>
    <w:rsid w:val="00FD07EF"/>
    <w:rsid w:val="00FD0918"/>
    <w:rsid w:val="00FD0D44"/>
    <w:rsid w:val="00FD11A8"/>
    <w:rsid w:val="00FD1286"/>
    <w:rsid w:val="00FD140A"/>
    <w:rsid w:val="00FD1886"/>
    <w:rsid w:val="00FD1DB0"/>
    <w:rsid w:val="00FD1DD0"/>
    <w:rsid w:val="00FD22A6"/>
    <w:rsid w:val="00FD2810"/>
    <w:rsid w:val="00FD2B8C"/>
    <w:rsid w:val="00FD2FF2"/>
    <w:rsid w:val="00FD30C8"/>
    <w:rsid w:val="00FD3341"/>
    <w:rsid w:val="00FD340B"/>
    <w:rsid w:val="00FD351D"/>
    <w:rsid w:val="00FD35DF"/>
    <w:rsid w:val="00FD36FA"/>
    <w:rsid w:val="00FD3A07"/>
    <w:rsid w:val="00FD3BD2"/>
    <w:rsid w:val="00FD3C93"/>
    <w:rsid w:val="00FD4308"/>
    <w:rsid w:val="00FD443F"/>
    <w:rsid w:val="00FD48D5"/>
    <w:rsid w:val="00FD48DF"/>
    <w:rsid w:val="00FD4AC3"/>
    <w:rsid w:val="00FD4CD5"/>
    <w:rsid w:val="00FD4CFF"/>
    <w:rsid w:val="00FD5138"/>
    <w:rsid w:val="00FD5193"/>
    <w:rsid w:val="00FD5514"/>
    <w:rsid w:val="00FD57A9"/>
    <w:rsid w:val="00FD57BC"/>
    <w:rsid w:val="00FD5A66"/>
    <w:rsid w:val="00FD5B2C"/>
    <w:rsid w:val="00FD5BCA"/>
    <w:rsid w:val="00FD5DA3"/>
    <w:rsid w:val="00FD60F0"/>
    <w:rsid w:val="00FD6375"/>
    <w:rsid w:val="00FD662E"/>
    <w:rsid w:val="00FD6671"/>
    <w:rsid w:val="00FD6680"/>
    <w:rsid w:val="00FD6C38"/>
    <w:rsid w:val="00FD6C82"/>
    <w:rsid w:val="00FD7126"/>
    <w:rsid w:val="00FD7186"/>
    <w:rsid w:val="00FD72C6"/>
    <w:rsid w:val="00FD74F8"/>
    <w:rsid w:val="00FD7664"/>
    <w:rsid w:val="00FD76BB"/>
    <w:rsid w:val="00FD77CF"/>
    <w:rsid w:val="00FD7AD2"/>
    <w:rsid w:val="00FD7BA0"/>
    <w:rsid w:val="00FD7D5D"/>
    <w:rsid w:val="00FD7D74"/>
    <w:rsid w:val="00FD7DA2"/>
    <w:rsid w:val="00FD7EBB"/>
    <w:rsid w:val="00FE00FD"/>
    <w:rsid w:val="00FE0139"/>
    <w:rsid w:val="00FE02CA"/>
    <w:rsid w:val="00FE03D5"/>
    <w:rsid w:val="00FE063A"/>
    <w:rsid w:val="00FE086A"/>
    <w:rsid w:val="00FE0887"/>
    <w:rsid w:val="00FE10AC"/>
    <w:rsid w:val="00FE12E5"/>
    <w:rsid w:val="00FE1470"/>
    <w:rsid w:val="00FE14C7"/>
    <w:rsid w:val="00FE188F"/>
    <w:rsid w:val="00FE1936"/>
    <w:rsid w:val="00FE1A5B"/>
    <w:rsid w:val="00FE1D46"/>
    <w:rsid w:val="00FE1E24"/>
    <w:rsid w:val="00FE20D5"/>
    <w:rsid w:val="00FE22BE"/>
    <w:rsid w:val="00FE2376"/>
    <w:rsid w:val="00FE24D5"/>
    <w:rsid w:val="00FE2641"/>
    <w:rsid w:val="00FE274B"/>
    <w:rsid w:val="00FE2B69"/>
    <w:rsid w:val="00FE2E64"/>
    <w:rsid w:val="00FE2E86"/>
    <w:rsid w:val="00FE308A"/>
    <w:rsid w:val="00FE3279"/>
    <w:rsid w:val="00FE34E2"/>
    <w:rsid w:val="00FE39DA"/>
    <w:rsid w:val="00FE39F2"/>
    <w:rsid w:val="00FE3A6A"/>
    <w:rsid w:val="00FE3E15"/>
    <w:rsid w:val="00FE3E54"/>
    <w:rsid w:val="00FE3F6B"/>
    <w:rsid w:val="00FE409A"/>
    <w:rsid w:val="00FE43C1"/>
    <w:rsid w:val="00FE4582"/>
    <w:rsid w:val="00FE4738"/>
    <w:rsid w:val="00FE4A00"/>
    <w:rsid w:val="00FE4C22"/>
    <w:rsid w:val="00FE4E40"/>
    <w:rsid w:val="00FE51D4"/>
    <w:rsid w:val="00FE53EC"/>
    <w:rsid w:val="00FE596D"/>
    <w:rsid w:val="00FE5A52"/>
    <w:rsid w:val="00FE5BC9"/>
    <w:rsid w:val="00FE6262"/>
    <w:rsid w:val="00FE674A"/>
    <w:rsid w:val="00FE682F"/>
    <w:rsid w:val="00FE6A2D"/>
    <w:rsid w:val="00FE6B74"/>
    <w:rsid w:val="00FE6D19"/>
    <w:rsid w:val="00FE7004"/>
    <w:rsid w:val="00FE727D"/>
    <w:rsid w:val="00FE732E"/>
    <w:rsid w:val="00FE7756"/>
    <w:rsid w:val="00FE778E"/>
    <w:rsid w:val="00FE7A05"/>
    <w:rsid w:val="00FE7E88"/>
    <w:rsid w:val="00FF012F"/>
    <w:rsid w:val="00FF0187"/>
    <w:rsid w:val="00FF04A6"/>
    <w:rsid w:val="00FF054F"/>
    <w:rsid w:val="00FF06BB"/>
    <w:rsid w:val="00FF0769"/>
    <w:rsid w:val="00FF07C9"/>
    <w:rsid w:val="00FF096C"/>
    <w:rsid w:val="00FF09DE"/>
    <w:rsid w:val="00FF0BFD"/>
    <w:rsid w:val="00FF0F82"/>
    <w:rsid w:val="00FF12E8"/>
    <w:rsid w:val="00FF134A"/>
    <w:rsid w:val="00FF14CB"/>
    <w:rsid w:val="00FF1624"/>
    <w:rsid w:val="00FF1740"/>
    <w:rsid w:val="00FF18D4"/>
    <w:rsid w:val="00FF18FE"/>
    <w:rsid w:val="00FF195B"/>
    <w:rsid w:val="00FF1984"/>
    <w:rsid w:val="00FF1A15"/>
    <w:rsid w:val="00FF1BA1"/>
    <w:rsid w:val="00FF1CA2"/>
    <w:rsid w:val="00FF1CA3"/>
    <w:rsid w:val="00FF1CFD"/>
    <w:rsid w:val="00FF1D93"/>
    <w:rsid w:val="00FF1E68"/>
    <w:rsid w:val="00FF2ACC"/>
    <w:rsid w:val="00FF2C49"/>
    <w:rsid w:val="00FF2D6C"/>
    <w:rsid w:val="00FF2DFF"/>
    <w:rsid w:val="00FF2FB0"/>
    <w:rsid w:val="00FF2FD2"/>
    <w:rsid w:val="00FF30D2"/>
    <w:rsid w:val="00FF3495"/>
    <w:rsid w:val="00FF39C2"/>
    <w:rsid w:val="00FF3C74"/>
    <w:rsid w:val="00FF3F2F"/>
    <w:rsid w:val="00FF3FE6"/>
    <w:rsid w:val="00FF40DC"/>
    <w:rsid w:val="00FF4308"/>
    <w:rsid w:val="00FF4342"/>
    <w:rsid w:val="00FF4559"/>
    <w:rsid w:val="00FF48D9"/>
    <w:rsid w:val="00FF4AF9"/>
    <w:rsid w:val="00FF4CD7"/>
    <w:rsid w:val="00FF4DDE"/>
    <w:rsid w:val="00FF5172"/>
    <w:rsid w:val="00FF544D"/>
    <w:rsid w:val="00FF54C4"/>
    <w:rsid w:val="00FF55D6"/>
    <w:rsid w:val="00FF565E"/>
    <w:rsid w:val="00FF56BA"/>
    <w:rsid w:val="00FF56BF"/>
    <w:rsid w:val="00FF5C30"/>
    <w:rsid w:val="00FF5C98"/>
    <w:rsid w:val="00FF5D89"/>
    <w:rsid w:val="00FF5E06"/>
    <w:rsid w:val="00FF6021"/>
    <w:rsid w:val="00FF636F"/>
    <w:rsid w:val="00FF6468"/>
    <w:rsid w:val="00FF6A4D"/>
    <w:rsid w:val="00FF6B04"/>
    <w:rsid w:val="00FF6B5F"/>
    <w:rsid w:val="00FF6BA3"/>
    <w:rsid w:val="00FF6BB3"/>
    <w:rsid w:val="00FF6C6E"/>
    <w:rsid w:val="00FF6CAC"/>
    <w:rsid w:val="00FF6CF6"/>
    <w:rsid w:val="00FF6E3A"/>
    <w:rsid w:val="00FF6E3D"/>
    <w:rsid w:val="00FF717B"/>
    <w:rsid w:val="00FF72A0"/>
    <w:rsid w:val="00FF758A"/>
    <w:rsid w:val="00FF761D"/>
    <w:rsid w:val="00FF7B31"/>
    <w:rsid w:val="00FF7BB0"/>
    <w:rsid w:val="00FF7BF7"/>
    <w:rsid w:val="00FF7E8E"/>
    <w:rsid w:val="00FF7EEE"/>
    <w:rsid w:val="01DAEAC1"/>
    <w:rsid w:val="024852C0"/>
    <w:rsid w:val="0254960C"/>
    <w:rsid w:val="026C0F9B"/>
    <w:rsid w:val="02E728CC"/>
    <w:rsid w:val="02F97FE6"/>
    <w:rsid w:val="04040D13"/>
    <w:rsid w:val="05131598"/>
    <w:rsid w:val="05395592"/>
    <w:rsid w:val="05F989AC"/>
    <w:rsid w:val="06505AE6"/>
    <w:rsid w:val="06C8E9C2"/>
    <w:rsid w:val="070F1E3E"/>
    <w:rsid w:val="070F8EB2"/>
    <w:rsid w:val="07347916"/>
    <w:rsid w:val="0738458D"/>
    <w:rsid w:val="080083EF"/>
    <w:rsid w:val="080252A8"/>
    <w:rsid w:val="084993AE"/>
    <w:rsid w:val="0864D516"/>
    <w:rsid w:val="0871778B"/>
    <w:rsid w:val="0890134F"/>
    <w:rsid w:val="08C3AA07"/>
    <w:rsid w:val="08D0E8BE"/>
    <w:rsid w:val="08DB0622"/>
    <w:rsid w:val="093B09D0"/>
    <w:rsid w:val="0972D3CE"/>
    <w:rsid w:val="098FBA91"/>
    <w:rsid w:val="0A14D204"/>
    <w:rsid w:val="0A4C9104"/>
    <w:rsid w:val="0B2BA4A7"/>
    <w:rsid w:val="0B6D104E"/>
    <w:rsid w:val="0B771C5E"/>
    <w:rsid w:val="0B87AA03"/>
    <w:rsid w:val="0BA99C79"/>
    <w:rsid w:val="0BEF6E0F"/>
    <w:rsid w:val="0C08251D"/>
    <w:rsid w:val="0CC8D366"/>
    <w:rsid w:val="0CD76004"/>
    <w:rsid w:val="0CDD2F7D"/>
    <w:rsid w:val="0D0C60A3"/>
    <w:rsid w:val="0DF5F25A"/>
    <w:rsid w:val="0E1CB21B"/>
    <w:rsid w:val="0E305811"/>
    <w:rsid w:val="0ED2BFB8"/>
    <w:rsid w:val="0F2DA189"/>
    <w:rsid w:val="0F6C3867"/>
    <w:rsid w:val="0FFD9566"/>
    <w:rsid w:val="0FFF4911"/>
    <w:rsid w:val="10096467"/>
    <w:rsid w:val="109F2C61"/>
    <w:rsid w:val="10B974D8"/>
    <w:rsid w:val="118A6538"/>
    <w:rsid w:val="118C12DF"/>
    <w:rsid w:val="11BDCBFB"/>
    <w:rsid w:val="1242E6CB"/>
    <w:rsid w:val="12A7D72B"/>
    <w:rsid w:val="12A9E827"/>
    <w:rsid w:val="12F3D5A7"/>
    <w:rsid w:val="13764CBC"/>
    <w:rsid w:val="1416440A"/>
    <w:rsid w:val="143CDAE8"/>
    <w:rsid w:val="153D7175"/>
    <w:rsid w:val="158C552F"/>
    <w:rsid w:val="158D14FA"/>
    <w:rsid w:val="15DA6A5B"/>
    <w:rsid w:val="15FBFF67"/>
    <w:rsid w:val="160608A3"/>
    <w:rsid w:val="17E5385D"/>
    <w:rsid w:val="183C3562"/>
    <w:rsid w:val="1850F4B9"/>
    <w:rsid w:val="18943478"/>
    <w:rsid w:val="199CD5B1"/>
    <w:rsid w:val="1A0D79B4"/>
    <w:rsid w:val="1A34BCBC"/>
    <w:rsid w:val="1A5262DF"/>
    <w:rsid w:val="1B0F146D"/>
    <w:rsid w:val="1BB6B02E"/>
    <w:rsid w:val="1C4B1D70"/>
    <w:rsid w:val="1CCCC9B9"/>
    <w:rsid w:val="1CE746C9"/>
    <w:rsid w:val="1D2E9D92"/>
    <w:rsid w:val="1D3E383C"/>
    <w:rsid w:val="1D46202C"/>
    <w:rsid w:val="1DFE7A3F"/>
    <w:rsid w:val="1E4839F2"/>
    <w:rsid w:val="1EF1F90B"/>
    <w:rsid w:val="1F045E78"/>
    <w:rsid w:val="1F314EFF"/>
    <w:rsid w:val="1F3F0533"/>
    <w:rsid w:val="1FA9BF8E"/>
    <w:rsid w:val="1FC4AAAA"/>
    <w:rsid w:val="2013DEBC"/>
    <w:rsid w:val="2060592D"/>
    <w:rsid w:val="208A3573"/>
    <w:rsid w:val="20D14A2A"/>
    <w:rsid w:val="212B41BC"/>
    <w:rsid w:val="213A632E"/>
    <w:rsid w:val="216E33F6"/>
    <w:rsid w:val="21B2CD41"/>
    <w:rsid w:val="21B442AA"/>
    <w:rsid w:val="21CB7D2F"/>
    <w:rsid w:val="224DA68B"/>
    <w:rsid w:val="22762C5D"/>
    <w:rsid w:val="22D09527"/>
    <w:rsid w:val="23A237D5"/>
    <w:rsid w:val="23B21CA5"/>
    <w:rsid w:val="23EAA191"/>
    <w:rsid w:val="246719CE"/>
    <w:rsid w:val="25A5A07B"/>
    <w:rsid w:val="2610CD1C"/>
    <w:rsid w:val="261EA27C"/>
    <w:rsid w:val="2648B101"/>
    <w:rsid w:val="26BC283D"/>
    <w:rsid w:val="26FCC3EB"/>
    <w:rsid w:val="270CBCCC"/>
    <w:rsid w:val="272A15E0"/>
    <w:rsid w:val="2773D5B5"/>
    <w:rsid w:val="27E3CF5F"/>
    <w:rsid w:val="2845974B"/>
    <w:rsid w:val="287A230E"/>
    <w:rsid w:val="2883E524"/>
    <w:rsid w:val="28C0E3E1"/>
    <w:rsid w:val="28D0D11D"/>
    <w:rsid w:val="28E96063"/>
    <w:rsid w:val="2975FE5A"/>
    <w:rsid w:val="29C66FD9"/>
    <w:rsid w:val="29FA5842"/>
    <w:rsid w:val="2A0B9E6E"/>
    <w:rsid w:val="2A60B705"/>
    <w:rsid w:val="2A8267B1"/>
    <w:rsid w:val="2ABD1305"/>
    <w:rsid w:val="2B32A0D5"/>
    <w:rsid w:val="2B512374"/>
    <w:rsid w:val="2B92C559"/>
    <w:rsid w:val="2BE04818"/>
    <w:rsid w:val="2CCB233B"/>
    <w:rsid w:val="2D00D271"/>
    <w:rsid w:val="2DE06364"/>
    <w:rsid w:val="2EC1377B"/>
    <w:rsid w:val="2F001ECC"/>
    <w:rsid w:val="2F5D788E"/>
    <w:rsid w:val="2F6DC7F7"/>
    <w:rsid w:val="2FAA04A8"/>
    <w:rsid w:val="300B501A"/>
    <w:rsid w:val="3049E89C"/>
    <w:rsid w:val="305D7507"/>
    <w:rsid w:val="306E0D16"/>
    <w:rsid w:val="30C8A5A2"/>
    <w:rsid w:val="312E4939"/>
    <w:rsid w:val="3147E54A"/>
    <w:rsid w:val="32653EF2"/>
    <w:rsid w:val="33027380"/>
    <w:rsid w:val="331231D0"/>
    <w:rsid w:val="3345764F"/>
    <w:rsid w:val="33BD6922"/>
    <w:rsid w:val="349AA5F1"/>
    <w:rsid w:val="34DBF41C"/>
    <w:rsid w:val="3503F4FE"/>
    <w:rsid w:val="3547C043"/>
    <w:rsid w:val="358D9F0D"/>
    <w:rsid w:val="3630BFD3"/>
    <w:rsid w:val="36EB5821"/>
    <w:rsid w:val="36EF5D87"/>
    <w:rsid w:val="37482BE0"/>
    <w:rsid w:val="378CD0BB"/>
    <w:rsid w:val="37982671"/>
    <w:rsid w:val="379D719E"/>
    <w:rsid w:val="37A49F83"/>
    <w:rsid w:val="387B0C51"/>
    <w:rsid w:val="3971C141"/>
    <w:rsid w:val="39ED5964"/>
    <w:rsid w:val="39F8522A"/>
    <w:rsid w:val="3A2DC0DA"/>
    <w:rsid w:val="3A4C4A8C"/>
    <w:rsid w:val="3A96D3E2"/>
    <w:rsid w:val="3A9AFEFE"/>
    <w:rsid w:val="3AD66BDC"/>
    <w:rsid w:val="3AD8450D"/>
    <w:rsid w:val="3AF99F6F"/>
    <w:rsid w:val="3B099573"/>
    <w:rsid w:val="3C226906"/>
    <w:rsid w:val="3C2C1201"/>
    <w:rsid w:val="3CBA3BBD"/>
    <w:rsid w:val="3D3AC047"/>
    <w:rsid w:val="3D5D37A5"/>
    <w:rsid w:val="3D9CF140"/>
    <w:rsid w:val="3DCA8208"/>
    <w:rsid w:val="3DE861CA"/>
    <w:rsid w:val="3ED76232"/>
    <w:rsid w:val="3F2D126E"/>
    <w:rsid w:val="3F3C6827"/>
    <w:rsid w:val="3F5611A5"/>
    <w:rsid w:val="3F800D25"/>
    <w:rsid w:val="3F81F7CB"/>
    <w:rsid w:val="3F8C9AEC"/>
    <w:rsid w:val="4007DFA0"/>
    <w:rsid w:val="40CB8951"/>
    <w:rsid w:val="4134C1B0"/>
    <w:rsid w:val="413E84BF"/>
    <w:rsid w:val="4162C4E1"/>
    <w:rsid w:val="4171A00D"/>
    <w:rsid w:val="41AAC6E3"/>
    <w:rsid w:val="41B82BA1"/>
    <w:rsid w:val="41BFD235"/>
    <w:rsid w:val="4266B427"/>
    <w:rsid w:val="42F5EA98"/>
    <w:rsid w:val="43354757"/>
    <w:rsid w:val="4356291F"/>
    <w:rsid w:val="436DB397"/>
    <w:rsid w:val="43D8932B"/>
    <w:rsid w:val="43F430C7"/>
    <w:rsid w:val="444703D6"/>
    <w:rsid w:val="44B790B0"/>
    <w:rsid w:val="44BB030C"/>
    <w:rsid w:val="44D34A18"/>
    <w:rsid w:val="45A56640"/>
    <w:rsid w:val="45CD0E6F"/>
    <w:rsid w:val="460686DF"/>
    <w:rsid w:val="4640382C"/>
    <w:rsid w:val="467A7D38"/>
    <w:rsid w:val="467AFA97"/>
    <w:rsid w:val="46B60161"/>
    <w:rsid w:val="46E8257D"/>
    <w:rsid w:val="475DDC67"/>
    <w:rsid w:val="476E3BFA"/>
    <w:rsid w:val="479FCB49"/>
    <w:rsid w:val="484D90B3"/>
    <w:rsid w:val="48C89BF9"/>
    <w:rsid w:val="48EAE2B0"/>
    <w:rsid w:val="48F8A62D"/>
    <w:rsid w:val="48FCE8B8"/>
    <w:rsid w:val="48FEAD2C"/>
    <w:rsid w:val="49002A29"/>
    <w:rsid w:val="494F7728"/>
    <w:rsid w:val="49A244CD"/>
    <w:rsid w:val="49ABB48F"/>
    <w:rsid w:val="49DF8FFC"/>
    <w:rsid w:val="4B36878C"/>
    <w:rsid w:val="4B7C4F46"/>
    <w:rsid w:val="4C44C5CA"/>
    <w:rsid w:val="4C470FFD"/>
    <w:rsid w:val="4C481B62"/>
    <w:rsid w:val="4D076A2B"/>
    <w:rsid w:val="4D0D1710"/>
    <w:rsid w:val="4D50C2D0"/>
    <w:rsid w:val="4D91A2ED"/>
    <w:rsid w:val="4DA0A502"/>
    <w:rsid w:val="4DB5652A"/>
    <w:rsid w:val="4DD43103"/>
    <w:rsid w:val="4E0882EB"/>
    <w:rsid w:val="4E59547D"/>
    <w:rsid w:val="507B9129"/>
    <w:rsid w:val="515A926D"/>
    <w:rsid w:val="51683981"/>
    <w:rsid w:val="51CB62A9"/>
    <w:rsid w:val="51F8F2DC"/>
    <w:rsid w:val="527EEB64"/>
    <w:rsid w:val="52B289CC"/>
    <w:rsid w:val="52E35EE7"/>
    <w:rsid w:val="52E78758"/>
    <w:rsid w:val="532F36B2"/>
    <w:rsid w:val="53EA30A6"/>
    <w:rsid w:val="53FE8D07"/>
    <w:rsid w:val="543515AF"/>
    <w:rsid w:val="544158AF"/>
    <w:rsid w:val="547A3B51"/>
    <w:rsid w:val="550B4536"/>
    <w:rsid w:val="560D9D87"/>
    <w:rsid w:val="5631CD16"/>
    <w:rsid w:val="5645B27C"/>
    <w:rsid w:val="567FB592"/>
    <w:rsid w:val="56AB8A31"/>
    <w:rsid w:val="56FEF3CD"/>
    <w:rsid w:val="5728F8DA"/>
    <w:rsid w:val="57352B66"/>
    <w:rsid w:val="57F73C1E"/>
    <w:rsid w:val="57FEF9A6"/>
    <w:rsid w:val="589A3A9D"/>
    <w:rsid w:val="58B814BE"/>
    <w:rsid w:val="58C355EF"/>
    <w:rsid w:val="58C48320"/>
    <w:rsid w:val="5908A26E"/>
    <w:rsid w:val="59577F31"/>
    <w:rsid w:val="5972ABBF"/>
    <w:rsid w:val="59D65E40"/>
    <w:rsid w:val="5A09FCCA"/>
    <w:rsid w:val="5B1A296D"/>
    <w:rsid w:val="5B40701D"/>
    <w:rsid w:val="5BA21617"/>
    <w:rsid w:val="5BF396EB"/>
    <w:rsid w:val="5C261489"/>
    <w:rsid w:val="5C5F19B1"/>
    <w:rsid w:val="5C6FFFE1"/>
    <w:rsid w:val="5C8ED697"/>
    <w:rsid w:val="5C96F78B"/>
    <w:rsid w:val="5CD67F64"/>
    <w:rsid w:val="5E0746B4"/>
    <w:rsid w:val="5EAB5EB4"/>
    <w:rsid w:val="5EF9D2EA"/>
    <w:rsid w:val="607F6A46"/>
    <w:rsid w:val="6150A4E5"/>
    <w:rsid w:val="615D5D73"/>
    <w:rsid w:val="61F5C596"/>
    <w:rsid w:val="6278A5F1"/>
    <w:rsid w:val="62BCB53F"/>
    <w:rsid w:val="62DA4A65"/>
    <w:rsid w:val="63372D6C"/>
    <w:rsid w:val="63894120"/>
    <w:rsid w:val="64936410"/>
    <w:rsid w:val="64A7A5D5"/>
    <w:rsid w:val="64E72161"/>
    <w:rsid w:val="650DDC3D"/>
    <w:rsid w:val="6535D508"/>
    <w:rsid w:val="65F51BFA"/>
    <w:rsid w:val="66022324"/>
    <w:rsid w:val="661B9A04"/>
    <w:rsid w:val="67EDD51E"/>
    <w:rsid w:val="688EE137"/>
    <w:rsid w:val="68AF2A47"/>
    <w:rsid w:val="69679238"/>
    <w:rsid w:val="69CF153C"/>
    <w:rsid w:val="69EC9DE8"/>
    <w:rsid w:val="6A525F88"/>
    <w:rsid w:val="6A78931F"/>
    <w:rsid w:val="6A935A6E"/>
    <w:rsid w:val="6AD8856C"/>
    <w:rsid w:val="6AECD452"/>
    <w:rsid w:val="6BB2F422"/>
    <w:rsid w:val="6BD62F7B"/>
    <w:rsid w:val="6BDC3BEB"/>
    <w:rsid w:val="6C0902DC"/>
    <w:rsid w:val="6C54679A"/>
    <w:rsid w:val="6CC960FD"/>
    <w:rsid w:val="6CFE22ED"/>
    <w:rsid w:val="6D212F28"/>
    <w:rsid w:val="6D48C1BB"/>
    <w:rsid w:val="6D56711B"/>
    <w:rsid w:val="6DA8B439"/>
    <w:rsid w:val="6E0CE313"/>
    <w:rsid w:val="6EB9654A"/>
    <w:rsid w:val="6F083AE8"/>
    <w:rsid w:val="6F84CEDB"/>
    <w:rsid w:val="706CE0DB"/>
    <w:rsid w:val="712BDE8C"/>
    <w:rsid w:val="718EC994"/>
    <w:rsid w:val="7190567F"/>
    <w:rsid w:val="71922808"/>
    <w:rsid w:val="721ECE94"/>
    <w:rsid w:val="72F986D9"/>
    <w:rsid w:val="7301EF69"/>
    <w:rsid w:val="73117089"/>
    <w:rsid w:val="73785996"/>
    <w:rsid w:val="73CCB1A1"/>
    <w:rsid w:val="7421896E"/>
    <w:rsid w:val="7444161B"/>
    <w:rsid w:val="745C0A97"/>
    <w:rsid w:val="7530EC34"/>
    <w:rsid w:val="75373CCC"/>
    <w:rsid w:val="759CB745"/>
    <w:rsid w:val="761B1080"/>
    <w:rsid w:val="761FB73B"/>
    <w:rsid w:val="762DBC29"/>
    <w:rsid w:val="7716791C"/>
    <w:rsid w:val="77249513"/>
    <w:rsid w:val="775CCC2E"/>
    <w:rsid w:val="776E91BF"/>
    <w:rsid w:val="780EBFD6"/>
    <w:rsid w:val="78293B82"/>
    <w:rsid w:val="795C2E97"/>
    <w:rsid w:val="795E14B4"/>
    <w:rsid w:val="7992F066"/>
    <w:rsid w:val="79CAAF31"/>
    <w:rsid w:val="79FE075E"/>
    <w:rsid w:val="7A9022CB"/>
    <w:rsid w:val="7ACB4400"/>
    <w:rsid w:val="7BA924F2"/>
    <w:rsid w:val="7D066DEA"/>
    <w:rsid w:val="7D2545B7"/>
    <w:rsid w:val="7D3727BB"/>
    <w:rsid w:val="7E2B94FA"/>
    <w:rsid w:val="7E2E05C3"/>
    <w:rsid w:val="7E4E040F"/>
    <w:rsid w:val="7E91785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27613B2"/>
  <w15:docId w15:val="{AFDFB524-EA0B-48E8-88C4-82178398B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FD36FA"/>
    <w:pPr>
      <w:numPr>
        <w:numId w:val="1"/>
      </w:numPr>
      <w:contextualSpacing/>
    </w:pPr>
  </w:style>
  <w:style w:type="paragraph" w:styleId="ListBullet2">
    <w:name w:val="List Bullet 2"/>
    <w:basedOn w:val="Normal"/>
    <w:uiPriority w:val="99"/>
    <w:semiHidden/>
    <w:unhideWhenUsed/>
    <w:rsid w:val="00FD36FA"/>
    <w:pPr>
      <w:numPr>
        <w:numId w:val="2"/>
      </w:numPr>
      <w:contextualSpacing/>
    </w:pPr>
  </w:style>
  <w:style w:type="paragraph" w:styleId="ListBullet3">
    <w:name w:val="List Bullet 3"/>
    <w:basedOn w:val="Normal"/>
    <w:uiPriority w:val="99"/>
    <w:semiHidden/>
    <w:unhideWhenUsed/>
    <w:rsid w:val="00FD36FA"/>
    <w:pPr>
      <w:numPr>
        <w:numId w:val="3"/>
      </w:numPr>
      <w:contextualSpacing/>
    </w:pPr>
  </w:style>
  <w:style w:type="paragraph" w:styleId="ListBullet4">
    <w:name w:val="List Bullet 4"/>
    <w:basedOn w:val="Normal"/>
    <w:uiPriority w:val="99"/>
    <w:semiHidden/>
    <w:unhideWhenUsed/>
    <w:rsid w:val="00FD36FA"/>
    <w:pPr>
      <w:numPr>
        <w:numId w:val="4"/>
      </w:numPr>
      <w:contextualSpacing/>
    </w:pPr>
  </w:style>
  <w:style w:type="character" w:styleId="Hyperlink">
    <w:name w:val="Hyperlink"/>
    <w:basedOn w:val="DefaultParagraphFont"/>
    <w:uiPriority w:val="99"/>
    <w:unhideWhenUsed/>
    <w:rsid w:val="001E431A"/>
    <w:rPr>
      <w:color w:val="0000FF" w:themeColor="hyperlink"/>
      <w:u w:val="single"/>
    </w:rPr>
  </w:style>
  <w:style w:type="paragraph" w:styleId="Revision">
    <w:name w:val="Revision"/>
    <w:hidden/>
    <w:uiPriority w:val="99"/>
    <w:semiHidden/>
    <w:rsid w:val="00066D66"/>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632944"/>
    <w:rPr>
      <w:sz w:val="16"/>
      <w:szCs w:val="16"/>
    </w:rPr>
  </w:style>
  <w:style w:type="paragraph" w:styleId="CommentText">
    <w:name w:val="annotation text"/>
    <w:basedOn w:val="Normal"/>
    <w:link w:val="CommentTextChar"/>
    <w:uiPriority w:val="99"/>
    <w:unhideWhenUsed/>
    <w:rsid w:val="00632944"/>
    <w:rPr>
      <w:sz w:val="20"/>
      <w:szCs w:val="20"/>
    </w:rPr>
  </w:style>
  <w:style w:type="character" w:customStyle="1" w:styleId="CommentTextChar">
    <w:name w:val="Comment Text Char"/>
    <w:basedOn w:val="DefaultParagraphFont"/>
    <w:link w:val="CommentText"/>
    <w:uiPriority w:val="99"/>
    <w:rsid w:val="00632944"/>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632944"/>
    <w:rPr>
      <w:b/>
      <w:bCs/>
    </w:rPr>
  </w:style>
  <w:style w:type="character" w:customStyle="1" w:styleId="CommentSubjectChar">
    <w:name w:val="Comment Subject Char"/>
    <w:basedOn w:val="CommentTextChar"/>
    <w:link w:val="CommentSubject"/>
    <w:uiPriority w:val="99"/>
    <w:semiHidden/>
    <w:rsid w:val="00632944"/>
    <w:rPr>
      <w:rFonts w:ascii="Times New Roman" w:hAnsi="Times New Roman" w:cs="Times New Roman"/>
      <w:b/>
      <w:bCs/>
      <w:sz w:val="20"/>
      <w:szCs w:val="20"/>
      <w:lang w:val="fr-FR"/>
    </w:rPr>
  </w:style>
  <w:style w:type="character" w:customStyle="1" w:styleId="UnresolvedMention">
    <w:name w:val="Unresolved Mention"/>
    <w:basedOn w:val="DefaultParagraphFont"/>
    <w:uiPriority w:val="99"/>
    <w:semiHidden/>
    <w:unhideWhenUsed/>
    <w:rsid w:val="00F326F8"/>
    <w:rPr>
      <w:color w:val="605E5C"/>
      <w:shd w:val="clear" w:color="auto" w:fill="E1DFDD"/>
    </w:rPr>
  </w:style>
  <w:style w:type="character" w:customStyle="1" w:styleId="normaltextrun">
    <w:name w:val="normaltextrun"/>
    <w:basedOn w:val="DefaultParagraphFont"/>
    <w:rsid w:val="00476327"/>
  </w:style>
  <w:style w:type="paragraph" w:styleId="ListParagraph">
    <w:name w:val="List Paragraph"/>
    <w:basedOn w:val="Normal"/>
    <w:uiPriority w:val="34"/>
    <w:qFormat/>
    <w:rsid w:val="00AA3E2E"/>
    <w:pPr>
      <w:ind w:left="720"/>
      <w:contextualSpacing/>
    </w:pPr>
  </w:style>
  <w:style w:type="character" w:styleId="FollowedHyperlink">
    <w:name w:val="FollowedHyperlink"/>
    <w:basedOn w:val="DefaultParagraphFont"/>
    <w:uiPriority w:val="99"/>
    <w:semiHidden/>
    <w:unhideWhenUsed/>
    <w:rsid w:val="006831FA"/>
    <w:rPr>
      <w:color w:val="800080" w:themeColor="followedHyperlink"/>
      <w:u w:val="single"/>
    </w:rPr>
  </w:style>
  <w:style w:type="character" w:customStyle="1" w:styleId="Mention">
    <w:name w:val="Mention"/>
    <w:basedOn w:val="DefaultParagraphFont"/>
    <w:uiPriority w:val="99"/>
    <w:unhideWhenUsed/>
    <w:rsid w:val="00156749"/>
    <w:rPr>
      <w:color w:val="2B579A"/>
      <w:shd w:val="clear" w:color="auto" w:fill="E1DFDD"/>
    </w:rPr>
  </w:style>
  <w:style w:type="paragraph" w:customStyle="1" w:styleId="Tableofcontents">
    <w:name w:val="Table of contents"/>
    <w:basedOn w:val="Normal"/>
    <w:link w:val="TableofcontentsChar"/>
    <w:qFormat/>
    <w:rsid w:val="00033389"/>
    <w:pPr>
      <w:keepNext/>
      <w:spacing w:before="240" w:after="240"/>
      <w:jc w:val="left"/>
    </w:pPr>
    <w:rPr>
      <w:rFonts w:ascii="Arial" w:eastAsia="Times New Roman" w:hAnsi="Arial" w:cs="Arial"/>
      <w:b/>
      <w:szCs w:val="24"/>
      <w:u w:val="single"/>
    </w:rPr>
  </w:style>
  <w:style w:type="character" w:customStyle="1" w:styleId="TableofcontentsChar">
    <w:name w:val="Table of contents Char"/>
    <w:link w:val="Tableofcontents"/>
    <w:rsid w:val="00033389"/>
    <w:rPr>
      <w:rFonts w:ascii="Arial" w:eastAsia="Times New Roman" w:hAnsi="Arial" w:cs="Arial"/>
      <w:b/>
      <w:sz w:val="24"/>
      <w:szCs w:val="24"/>
      <w:u w:val="single"/>
      <w:lang w:val="fr-FR"/>
    </w:rPr>
  </w:style>
  <w:style w:type="paragraph" w:styleId="NormalWeb">
    <w:name w:val="Normal (Web)"/>
    <w:basedOn w:val="Normal"/>
    <w:uiPriority w:val="99"/>
    <w:unhideWhenUsed/>
    <w:rsid w:val="004548A6"/>
    <w:pPr>
      <w:spacing w:before="100" w:beforeAutospacing="1" w:after="100" w:afterAutospacing="1"/>
      <w:jc w:val="left"/>
    </w:pPr>
    <w:rPr>
      <w:rFonts w:eastAsia="Times New Roman"/>
      <w:szCs w:val="24"/>
      <w:lang w:eastAsia="es-ES"/>
    </w:rPr>
  </w:style>
  <w:style w:type="character" w:styleId="Strong">
    <w:name w:val="Strong"/>
    <w:basedOn w:val="DefaultParagraphFont"/>
    <w:uiPriority w:val="22"/>
    <w:qFormat/>
    <w:rsid w:val="00D57106"/>
    <w:rPr>
      <w:b/>
      <w:bCs/>
    </w:rPr>
  </w:style>
  <w:style w:type="paragraph" w:styleId="EndnoteText">
    <w:name w:val="endnote text"/>
    <w:basedOn w:val="Normal"/>
    <w:link w:val="EndnoteTextChar"/>
    <w:uiPriority w:val="99"/>
    <w:semiHidden/>
    <w:unhideWhenUsed/>
    <w:rsid w:val="009A1B56"/>
    <w:pPr>
      <w:spacing w:before="0" w:after="0"/>
    </w:pPr>
    <w:rPr>
      <w:sz w:val="20"/>
      <w:szCs w:val="20"/>
    </w:rPr>
  </w:style>
  <w:style w:type="character" w:customStyle="1" w:styleId="EndnoteTextChar">
    <w:name w:val="Endnote Text Char"/>
    <w:basedOn w:val="DefaultParagraphFont"/>
    <w:link w:val="EndnoteText"/>
    <w:uiPriority w:val="99"/>
    <w:semiHidden/>
    <w:rsid w:val="009A1B56"/>
    <w:rPr>
      <w:rFonts w:ascii="Times New Roman" w:hAnsi="Times New Roman" w:cs="Times New Roman"/>
      <w:sz w:val="20"/>
      <w:szCs w:val="20"/>
      <w:lang w:val="fr-FR"/>
    </w:rPr>
  </w:style>
  <w:style w:type="character" w:styleId="EndnoteReference">
    <w:name w:val="endnote reference"/>
    <w:basedOn w:val="DefaultParagraphFont"/>
    <w:uiPriority w:val="99"/>
    <w:semiHidden/>
    <w:unhideWhenUsed/>
    <w:rsid w:val="009A1B56"/>
    <w:rPr>
      <w:vertAlign w:val="superscript"/>
    </w:rPr>
  </w:style>
  <w:style w:type="character" w:customStyle="1" w:styleId="HeaderChar">
    <w:name w:val="Header Char"/>
    <w:basedOn w:val="DefaultParagraphFont"/>
    <w:link w:val="Header"/>
    <w:uiPriority w:val="99"/>
    <w:rsid w:val="00FA62DE"/>
    <w:rPr>
      <w:rFonts w:ascii="Times New Roman" w:hAnsi="Times New Roman" w:cs="Times New Roman"/>
      <w:sz w:val="24"/>
      <w:lang w:val="fr-FR"/>
    </w:rPr>
  </w:style>
  <w:style w:type="character" w:customStyle="1" w:styleId="FooterChar">
    <w:name w:val="Footer Char"/>
    <w:basedOn w:val="DefaultParagraphFont"/>
    <w:link w:val="Footer"/>
    <w:uiPriority w:val="99"/>
    <w:rsid w:val="00FA62DE"/>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FA62D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A62DE"/>
    <w:pPr>
      <w:spacing w:before="0"/>
      <w:jc w:val="right"/>
    </w:pPr>
    <w:rPr>
      <w:sz w:val="28"/>
    </w:rPr>
  </w:style>
  <w:style w:type="paragraph" w:customStyle="1" w:styleId="FooterSensitivity">
    <w:name w:val="Footer Sensitivity"/>
    <w:basedOn w:val="Normal"/>
    <w:rsid w:val="00FA62D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8"/>
      </w:numPr>
    </w:pPr>
  </w:style>
  <w:style w:type="paragraph" w:customStyle="1" w:styleId="Tiret1">
    <w:name w:val="Tiret 1"/>
    <w:basedOn w:val="Point1"/>
    <w:pPr>
      <w:numPr>
        <w:numId w:val="19"/>
      </w:numPr>
    </w:pPr>
  </w:style>
  <w:style w:type="paragraph" w:customStyle="1" w:styleId="Tiret2">
    <w:name w:val="Tiret 2"/>
    <w:basedOn w:val="Point2"/>
    <w:pPr>
      <w:numPr>
        <w:numId w:val="20"/>
      </w:numPr>
    </w:pPr>
  </w:style>
  <w:style w:type="paragraph" w:customStyle="1" w:styleId="Tiret3">
    <w:name w:val="Tiret 3"/>
    <w:basedOn w:val="Point3"/>
    <w:pPr>
      <w:numPr>
        <w:numId w:val="21"/>
      </w:numPr>
    </w:pPr>
  </w:style>
  <w:style w:type="paragraph" w:customStyle="1" w:styleId="Tiret4">
    <w:name w:val="Tiret 4"/>
    <w:basedOn w:val="Point4"/>
    <w:pPr>
      <w:numPr>
        <w:numId w:val="22"/>
      </w:numPr>
    </w:pPr>
  </w:style>
  <w:style w:type="paragraph" w:customStyle="1" w:styleId="Tiret5">
    <w:name w:val="Tiret 5"/>
    <w:basedOn w:val="Point5"/>
    <w:pPr>
      <w:numPr>
        <w:numId w:val="2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4"/>
      </w:numPr>
    </w:pPr>
  </w:style>
  <w:style w:type="paragraph" w:customStyle="1" w:styleId="NumPar2">
    <w:name w:val="NumPar 2"/>
    <w:basedOn w:val="Normal"/>
    <w:next w:val="Text1"/>
    <w:pPr>
      <w:numPr>
        <w:ilvl w:val="1"/>
        <w:numId w:val="24"/>
      </w:numPr>
    </w:pPr>
  </w:style>
  <w:style w:type="paragraph" w:customStyle="1" w:styleId="NumPar3">
    <w:name w:val="NumPar 3"/>
    <w:basedOn w:val="Normal"/>
    <w:next w:val="Text1"/>
    <w:pPr>
      <w:numPr>
        <w:ilvl w:val="2"/>
        <w:numId w:val="24"/>
      </w:numPr>
    </w:pPr>
  </w:style>
  <w:style w:type="paragraph" w:customStyle="1" w:styleId="NumPar4">
    <w:name w:val="NumPar 4"/>
    <w:basedOn w:val="Normal"/>
    <w:next w:val="Text1"/>
    <w:pPr>
      <w:numPr>
        <w:ilvl w:val="3"/>
        <w:numId w:val="24"/>
      </w:numPr>
    </w:pPr>
  </w:style>
  <w:style w:type="paragraph" w:customStyle="1" w:styleId="NumPar5">
    <w:name w:val="NumPar 5"/>
    <w:basedOn w:val="Normal"/>
    <w:next w:val="Text2"/>
    <w:pPr>
      <w:numPr>
        <w:ilvl w:val="4"/>
        <w:numId w:val="24"/>
      </w:numPr>
    </w:pPr>
  </w:style>
  <w:style w:type="paragraph" w:customStyle="1" w:styleId="NumPar6">
    <w:name w:val="NumPar 6"/>
    <w:basedOn w:val="Normal"/>
    <w:next w:val="Text2"/>
    <w:pPr>
      <w:numPr>
        <w:ilvl w:val="5"/>
        <w:numId w:val="24"/>
      </w:numPr>
    </w:pPr>
  </w:style>
  <w:style w:type="paragraph" w:customStyle="1" w:styleId="NumPar7">
    <w:name w:val="NumPar 7"/>
    <w:basedOn w:val="Normal"/>
    <w:next w:val="Text2"/>
    <w:pPr>
      <w:numPr>
        <w:ilvl w:val="6"/>
        <w:numId w:val="2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6"/>
      </w:numPr>
    </w:pPr>
  </w:style>
  <w:style w:type="paragraph" w:customStyle="1" w:styleId="Point1number">
    <w:name w:val="Point 1 (number)"/>
    <w:basedOn w:val="Normal"/>
    <w:pPr>
      <w:numPr>
        <w:ilvl w:val="2"/>
        <w:numId w:val="26"/>
      </w:numPr>
    </w:pPr>
  </w:style>
  <w:style w:type="paragraph" w:customStyle="1" w:styleId="Point2number">
    <w:name w:val="Point 2 (number)"/>
    <w:basedOn w:val="Normal"/>
    <w:pPr>
      <w:numPr>
        <w:ilvl w:val="4"/>
        <w:numId w:val="26"/>
      </w:numPr>
    </w:pPr>
  </w:style>
  <w:style w:type="paragraph" w:customStyle="1" w:styleId="Point3number">
    <w:name w:val="Point 3 (number)"/>
    <w:basedOn w:val="Normal"/>
    <w:pPr>
      <w:numPr>
        <w:ilvl w:val="6"/>
        <w:numId w:val="26"/>
      </w:numPr>
    </w:pPr>
  </w:style>
  <w:style w:type="paragraph" w:customStyle="1" w:styleId="Point0letter">
    <w:name w:val="Point 0 (letter)"/>
    <w:basedOn w:val="Normal"/>
    <w:pPr>
      <w:numPr>
        <w:ilvl w:val="1"/>
        <w:numId w:val="26"/>
      </w:numPr>
    </w:pPr>
  </w:style>
  <w:style w:type="paragraph" w:customStyle="1" w:styleId="Point1letter">
    <w:name w:val="Point 1 (letter)"/>
    <w:basedOn w:val="Normal"/>
    <w:pPr>
      <w:numPr>
        <w:ilvl w:val="3"/>
        <w:numId w:val="26"/>
      </w:numPr>
    </w:pPr>
  </w:style>
  <w:style w:type="paragraph" w:customStyle="1" w:styleId="Point2letter">
    <w:name w:val="Point 2 (letter)"/>
    <w:basedOn w:val="Normal"/>
    <w:pPr>
      <w:numPr>
        <w:ilvl w:val="5"/>
        <w:numId w:val="26"/>
      </w:numPr>
    </w:pPr>
  </w:style>
  <w:style w:type="paragraph" w:customStyle="1" w:styleId="Point3letter">
    <w:name w:val="Point 3 (letter)"/>
    <w:basedOn w:val="Normal"/>
    <w:pPr>
      <w:numPr>
        <w:ilvl w:val="7"/>
        <w:numId w:val="26"/>
      </w:numPr>
    </w:pPr>
  </w:style>
  <w:style w:type="paragraph" w:customStyle="1" w:styleId="Point4letter">
    <w:name w:val="Point 4 (letter)"/>
    <w:basedOn w:val="Normal"/>
    <w:pPr>
      <w:numPr>
        <w:ilvl w:val="8"/>
        <w:numId w:val="26"/>
      </w:numPr>
    </w:pPr>
  </w:style>
  <w:style w:type="paragraph" w:customStyle="1" w:styleId="Bullet0">
    <w:name w:val="Bullet 0"/>
    <w:basedOn w:val="Normal"/>
    <w:pPr>
      <w:numPr>
        <w:numId w:val="27"/>
      </w:numPr>
    </w:pPr>
  </w:style>
  <w:style w:type="paragraph" w:customStyle="1" w:styleId="Bullet1">
    <w:name w:val="Bullet 1"/>
    <w:basedOn w:val="Normal"/>
    <w:pPr>
      <w:numPr>
        <w:numId w:val="28"/>
      </w:numPr>
    </w:pPr>
  </w:style>
  <w:style w:type="paragraph" w:customStyle="1" w:styleId="Bullet2">
    <w:name w:val="Bullet 2"/>
    <w:basedOn w:val="Normal"/>
    <w:pPr>
      <w:numPr>
        <w:numId w:val="29"/>
      </w:numPr>
    </w:pPr>
  </w:style>
  <w:style w:type="paragraph" w:customStyle="1" w:styleId="Bullet3">
    <w:name w:val="Bullet 3"/>
    <w:basedOn w:val="Normal"/>
    <w:pPr>
      <w:numPr>
        <w:numId w:val="30"/>
      </w:numPr>
    </w:pPr>
  </w:style>
  <w:style w:type="paragraph" w:customStyle="1" w:styleId="Bullet4">
    <w:name w:val="Bullet 4"/>
    <w:basedOn w:val="Normal"/>
    <w:pPr>
      <w:numPr>
        <w:numId w:val="3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FA62DE"/>
    <w:pPr>
      <w:tabs>
        <w:tab w:val="center" w:pos="4535"/>
        <w:tab w:val="right" w:pos="9071"/>
      </w:tabs>
      <w:spacing w:before="0"/>
    </w:pPr>
  </w:style>
  <w:style w:type="paragraph" w:customStyle="1" w:styleId="HeaderLandscape">
    <w:name w:val="HeaderLandscape"/>
    <w:basedOn w:val="Normal"/>
    <w:rsid w:val="00FA62DE"/>
    <w:pPr>
      <w:tabs>
        <w:tab w:val="center" w:pos="7285"/>
        <w:tab w:val="right" w:pos="14003"/>
      </w:tabs>
      <w:spacing w:before="0"/>
    </w:pPr>
  </w:style>
  <w:style w:type="paragraph" w:styleId="Footer">
    <w:name w:val="footer"/>
    <w:basedOn w:val="Normal"/>
    <w:link w:val="FooterChar"/>
    <w:uiPriority w:val="99"/>
    <w:unhideWhenUsed/>
    <w:rsid w:val="00FA62D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FA62D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6636">
      <w:bodyDiv w:val="1"/>
      <w:marLeft w:val="0"/>
      <w:marRight w:val="0"/>
      <w:marTop w:val="0"/>
      <w:marBottom w:val="0"/>
      <w:divBdr>
        <w:top w:val="none" w:sz="0" w:space="0" w:color="auto"/>
        <w:left w:val="none" w:sz="0" w:space="0" w:color="auto"/>
        <w:bottom w:val="none" w:sz="0" w:space="0" w:color="auto"/>
        <w:right w:val="none" w:sz="0" w:space="0" w:color="auto"/>
      </w:divBdr>
    </w:div>
    <w:div w:id="3748704">
      <w:bodyDiv w:val="1"/>
      <w:marLeft w:val="0"/>
      <w:marRight w:val="0"/>
      <w:marTop w:val="0"/>
      <w:marBottom w:val="0"/>
      <w:divBdr>
        <w:top w:val="none" w:sz="0" w:space="0" w:color="auto"/>
        <w:left w:val="none" w:sz="0" w:space="0" w:color="auto"/>
        <w:bottom w:val="none" w:sz="0" w:space="0" w:color="auto"/>
        <w:right w:val="none" w:sz="0" w:space="0" w:color="auto"/>
      </w:divBdr>
    </w:div>
    <w:div w:id="8719420">
      <w:bodyDiv w:val="1"/>
      <w:marLeft w:val="0"/>
      <w:marRight w:val="0"/>
      <w:marTop w:val="0"/>
      <w:marBottom w:val="0"/>
      <w:divBdr>
        <w:top w:val="none" w:sz="0" w:space="0" w:color="auto"/>
        <w:left w:val="none" w:sz="0" w:space="0" w:color="auto"/>
        <w:bottom w:val="none" w:sz="0" w:space="0" w:color="auto"/>
        <w:right w:val="none" w:sz="0" w:space="0" w:color="auto"/>
      </w:divBdr>
    </w:div>
    <w:div w:id="16346078">
      <w:bodyDiv w:val="1"/>
      <w:marLeft w:val="0"/>
      <w:marRight w:val="0"/>
      <w:marTop w:val="0"/>
      <w:marBottom w:val="0"/>
      <w:divBdr>
        <w:top w:val="none" w:sz="0" w:space="0" w:color="auto"/>
        <w:left w:val="none" w:sz="0" w:space="0" w:color="auto"/>
        <w:bottom w:val="none" w:sz="0" w:space="0" w:color="auto"/>
        <w:right w:val="none" w:sz="0" w:space="0" w:color="auto"/>
      </w:divBdr>
    </w:div>
    <w:div w:id="76248935">
      <w:bodyDiv w:val="1"/>
      <w:marLeft w:val="0"/>
      <w:marRight w:val="0"/>
      <w:marTop w:val="0"/>
      <w:marBottom w:val="0"/>
      <w:divBdr>
        <w:top w:val="none" w:sz="0" w:space="0" w:color="auto"/>
        <w:left w:val="none" w:sz="0" w:space="0" w:color="auto"/>
        <w:bottom w:val="none" w:sz="0" w:space="0" w:color="auto"/>
        <w:right w:val="none" w:sz="0" w:space="0" w:color="auto"/>
      </w:divBdr>
    </w:div>
    <w:div w:id="94059511">
      <w:bodyDiv w:val="1"/>
      <w:marLeft w:val="0"/>
      <w:marRight w:val="0"/>
      <w:marTop w:val="0"/>
      <w:marBottom w:val="0"/>
      <w:divBdr>
        <w:top w:val="none" w:sz="0" w:space="0" w:color="auto"/>
        <w:left w:val="none" w:sz="0" w:space="0" w:color="auto"/>
        <w:bottom w:val="none" w:sz="0" w:space="0" w:color="auto"/>
        <w:right w:val="none" w:sz="0" w:space="0" w:color="auto"/>
      </w:divBdr>
    </w:div>
    <w:div w:id="102960031">
      <w:bodyDiv w:val="1"/>
      <w:marLeft w:val="0"/>
      <w:marRight w:val="0"/>
      <w:marTop w:val="0"/>
      <w:marBottom w:val="0"/>
      <w:divBdr>
        <w:top w:val="none" w:sz="0" w:space="0" w:color="auto"/>
        <w:left w:val="none" w:sz="0" w:space="0" w:color="auto"/>
        <w:bottom w:val="none" w:sz="0" w:space="0" w:color="auto"/>
        <w:right w:val="none" w:sz="0" w:space="0" w:color="auto"/>
      </w:divBdr>
    </w:div>
    <w:div w:id="117653168">
      <w:bodyDiv w:val="1"/>
      <w:marLeft w:val="0"/>
      <w:marRight w:val="0"/>
      <w:marTop w:val="0"/>
      <w:marBottom w:val="0"/>
      <w:divBdr>
        <w:top w:val="none" w:sz="0" w:space="0" w:color="auto"/>
        <w:left w:val="none" w:sz="0" w:space="0" w:color="auto"/>
        <w:bottom w:val="none" w:sz="0" w:space="0" w:color="auto"/>
        <w:right w:val="none" w:sz="0" w:space="0" w:color="auto"/>
      </w:divBdr>
    </w:div>
    <w:div w:id="127556237">
      <w:bodyDiv w:val="1"/>
      <w:marLeft w:val="0"/>
      <w:marRight w:val="0"/>
      <w:marTop w:val="0"/>
      <w:marBottom w:val="0"/>
      <w:divBdr>
        <w:top w:val="none" w:sz="0" w:space="0" w:color="auto"/>
        <w:left w:val="none" w:sz="0" w:space="0" w:color="auto"/>
        <w:bottom w:val="none" w:sz="0" w:space="0" w:color="auto"/>
        <w:right w:val="none" w:sz="0" w:space="0" w:color="auto"/>
      </w:divBdr>
    </w:div>
    <w:div w:id="130681129">
      <w:bodyDiv w:val="1"/>
      <w:marLeft w:val="0"/>
      <w:marRight w:val="0"/>
      <w:marTop w:val="0"/>
      <w:marBottom w:val="0"/>
      <w:divBdr>
        <w:top w:val="none" w:sz="0" w:space="0" w:color="auto"/>
        <w:left w:val="none" w:sz="0" w:space="0" w:color="auto"/>
        <w:bottom w:val="none" w:sz="0" w:space="0" w:color="auto"/>
        <w:right w:val="none" w:sz="0" w:space="0" w:color="auto"/>
      </w:divBdr>
    </w:div>
    <w:div w:id="137694181">
      <w:bodyDiv w:val="1"/>
      <w:marLeft w:val="0"/>
      <w:marRight w:val="0"/>
      <w:marTop w:val="0"/>
      <w:marBottom w:val="0"/>
      <w:divBdr>
        <w:top w:val="none" w:sz="0" w:space="0" w:color="auto"/>
        <w:left w:val="none" w:sz="0" w:space="0" w:color="auto"/>
        <w:bottom w:val="none" w:sz="0" w:space="0" w:color="auto"/>
        <w:right w:val="none" w:sz="0" w:space="0" w:color="auto"/>
      </w:divBdr>
    </w:div>
    <w:div w:id="147407338">
      <w:bodyDiv w:val="1"/>
      <w:marLeft w:val="0"/>
      <w:marRight w:val="0"/>
      <w:marTop w:val="0"/>
      <w:marBottom w:val="0"/>
      <w:divBdr>
        <w:top w:val="none" w:sz="0" w:space="0" w:color="auto"/>
        <w:left w:val="none" w:sz="0" w:space="0" w:color="auto"/>
        <w:bottom w:val="none" w:sz="0" w:space="0" w:color="auto"/>
        <w:right w:val="none" w:sz="0" w:space="0" w:color="auto"/>
      </w:divBdr>
    </w:div>
    <w:div w:id="155192722">
      <w:bodyDiv w:val="1"/>
      <w:marLeft w:val="0"/>
      <w:marRight w:val="0"/>
      <w:marTop w:val="0"/>
      <w:marBottom w:val="0"/>
      <w:divBdr>
        <w:top w:val="none" w:sz="0" w:space="0" w:color="auto"/>
        <w:left w:val="none" w:sz="0" w:space="0" w:color="auto"/>
        <w:bottom w:val="none" w:sz="0" w:space="0" w:color="auto"/>
        <w:right w:val="none" w:sz="0" w:space="0" w:color="auto"/>
      </w:divBdr>
    </w:div>
    <w:div w:id="170724285">
      <w:bodyDiv w:val="1"/>
      <w:marLeft w:val="0"/>
      <w:marRight w:val="0"/>
      <w:marTop w:val="0"/>
      <w:marBottom w:val="0"/>
      <w:divBdr>
        <w:top w:val="none" w:sz="0" w:space="0" w:color="auto"/>
        <w:left w:val="none" w:sz="0" w:space="0" w:color="auto"/>
        <w:bottom w:val="none" w:sz="0" w:space="0" w:color="auto"/>
        <w:right w:val="none" w:sz="0" w:space="0" w:color="auto"/>
      </w:divBdr>
      <w:divsChild>
        <w:div w:id="95911128">
          <w:marLeft w:val="0"/>
          <w:marRight w:val="0"/>
          <w:marTop w:val="0"/>
          <w:marBottom w:val="0"/>
          <w:divBdr>
            <w:top w:val="none" w:sz="0" w:space="0" w:color="auto"/>
            <w:left w:val="none" w:sz="0" w:space="0" w:color="auto"/>
            <w:bottom w:val="none" w:sz="0" w:space="0" w:color="auto"/>
            <w:right w:val="none" w:sz="0" w:space="0" w:color="auto"/>
          </w:divBdr>
        </w:div>
      </w:divsChild>
    </w:div>
    <w:div w:id="176696675">
      <w:bodyDiv w:val="1"/>
      <w:marLeft w:val="0"/>
      <w:marRight w:val="0"/>
      <w:marTop w:val="0"/>
      <w:marBottom w:val="0"/>
      <w:divBdr>
        <w:top w:val="none" w:sz="0" w:space="0" w:color="auto"/>
        <w:left w:val="none" w:sz="0" w:space="0" w:color="auto"/>
        <w:bottom w:val="none" w:sz="0" w:space="0" w:color="auto"/>
        <w:right w:val="none" w:sz="0" w:space="0" w:color="auto"/>
      </w:divBdr>
    </w:div>
    <w:div w:id="195703837">
      <w:bodyDiv w:val="1"/>
      <w:marLeft w:val="0"/>
      <w:marRight w:val="0"/>
      <w:marTop w:val="0"/>
      <w:marBottom w:val="0"/>
      <w:divBdr>
        <w:top w:val="none" w:sz="0" w:space="0" w:color="auto"/>
        <w:left w:val="none" w:sz="0" w:space="0" w:color="auto"/>
        <w:bottom w:val="none" w:sz="0" w:space="0" w:color="auto"/>
        <w:right w:val="none" w:sz="0" w:space="0" w:color="auto"/>
      </w:divBdr>
      <w:divsChild>
        <w:div w:id="514223555">
          <w:marLeft w:val="0"/>
          <w:marRight w:val="0"/>
          <w:marTop w:val="0"/>
          <w:marBottom w:val="0"/>
          <w:divBdr>
            <w:top w:val="none" w:sz="0" w:space="0" w:color="auto"/>
            <w:left w:val="none" w:sz="0" w:space="0" w:color="auto"/>
            <w:bottom w:val="none" w:sz="0" w:space="0" w:color="auto"/>
            <w:right w:val="none" w:sz="0" w:space="0" w:color="auto"/>
          </w:divBdr>
        </w:div>
      </w:divsChild>
    </w:div>
    <w:div w:id="203173553">
      <w:bodyDiv w:val="1"/>
      <w:marLeft w:val="0"/>
      <w:marRight w:val="0"/>
      <w:marTop w:val="0"/>
      <w:marBottom w:val="0"/>
      <w:divBdr>
        <w:top w:val="none" w:sz="0" w:space="0" w:color="auto"/>
        <w:left w:val="none" w:sz="0" w:space="0" w:color="auto"/>
        <w:bottom w:val="none" w:sz="0" w:space="0" w:color="auto"/>
        <w:right w:val="none" w:sz="0" w:space="0" w:color="auto"/>
      </w:divBdr>
    </w:div>
    <w:div w:id="211311477">
      <w:bodyDiv w:val="1"/>
      <w:marLeft w:val="0"/>
      <w:marRight w:val="0"/>
      <w:marTop w:val="0"/>
      <w:marBottom w:val="0"/>
      <w:divBdr>
        <w:top w:val="none" w:sz="0" w:space="0" w:color="auto"/>
        <w:left w:val="none" w:sz="0" w:space="0" w:color="auto"/>
        <w:bottom w:val="none" w:sz="0" w:space="0" w:color="auto"/>
        <w:right w:val="none" w:sz="0" w:space="0" w:color="auto"/>
      </w:divBdr>
    </w:div>
    <w:div w:id="229581951">
      <w:bodyDiv w:val="1"/>
      <w:marLeft w:val="0"/>
      <w:marRight w:val="0"/>
      <w:marTop w:val="0"/>
      <w:marBottom w:val="0"/>
      <w:divBdr>
        <w:top w:val="none" w:sz="0" w:space="0" w:color="auto"/>
        <w:left w:val="none" w:sz="0" w:space="0" w:color="auto"/>
        <w:bottom w:val="none" w:sz="0" w:space="0" w:color="auto"/>
        <w:right w:val="none" w:sz="0" w:space="0" w:color="auto"/>
      </w:divBdr>
    </w:div>
    <w:div w:id="232669430">
      <w:bodyDiv w:val="1"/>
      <w:marLeft w:val="0"/>
      <w:marRight w:val="0"/>
      <w:marTop w:val="0"/>
      <w:marBottom w:val="0"/>
      <w:divBdr>
        <w:top w:val="none" w:sz="0" w:space="0" w:color="auto"/>
        <w:left w:val="none" w:sz="0" w:space="0" w:color="auto"/>
        <w:bottom w:val="none" w:sz="0" w:space="0" w:color="auto"/>
        <w:right w:val="none" w:sz="0" w:space="0" w:color="auto"/>
      </w:divBdr>
    </w:div>
    <w:div w:id="234047455">
      <w:bodyDiv w:val="1"/>
      <w:marLeft w:val="0"/>
      <w:marRight w:val="0"/>
      <w:marTop w:val="0"/>
      <w:marBottom w:val="0"/>
      <w:divBdr>
        <w:top w:val="none" w:sz="0" w:space="0" w:color="auto"/>
        <w:left w:val="none" w:sz="0" w:space="0" w:color="auto"/>
        <w:bottom w:val="none" w:sz="0" w:space="0" w:color="auto"/>
        <w:right w:val="none" w:sz="0" w:space="0" w:color="auto"/>
      </w:divBdr>
    </w:div>
    <w:div w:id="268389199">
      <w:bodyDiv w:val="1"/>
      <w:marLeft w:val="0"/>
      <w:marRight w:val="0"/>
      <w:marTop w:val="0"/>
      <w:marBottom w:val="0"/>
      <w:divBdr>
        <w:top w:val="none" w:sz="0" w:space="0" w:color="auto"/>
        <w:left w:val="none" w:sz="0" w:space="0" w:color="auto"/>
        <w:bottom w:val="none" w:sz="0" w:space="0" w:color="auto"/>
        <w:right w:val="none" w:sz="0" w:space="0" w:color="auto"/>
      </w:divBdr>
    </w:div>
    <w:div w:id="271133800">
      <w:bodyDiv w:val="1"/>
      <w:marLeft w:val="0"/>
      <w:marRight w:val="0"/>
      <w:marTop w:val="0"/>
      <w:marBottom w:val="0"/>
      <w:divBdr>
        <w:top w:val="none" w:sz="0" w:space="0" w:color="auto"/>
        <w:left w:val="none" w:sz="0" w:space="0" w:color="auto"/>
        <w:bottom w:val="none" w:sz="0" w:space="0" w:color="auto"/>
        <w:right w:val="none" w:sz="0" w:space="0" w:color="auto"/>
      </w:divBdr>
    </w:div>
    <w:div w:id="282923721">
      <w:bodyDiv w:val="1"/>
      <w:marLeft w:val="0"/>
      <w:marRight w:val="0"/>
      <w:marTop w:val="0"/>
      <w:marBottom w:val="0"/>
      <w:divBdr>
        <w:top w:val="none" w:sz="0" w:space="0" w:color="auto"/>
        <w:left w:val="none" w:sz="0" w:space="0" w:color="auto"/>
        <w:bottom w:val="none" w:sz="0" w:space="0" w:color="auto"/>
        <w:right w:val="none" w:sz="0" w:space="0" w:color="auto"/>
      </w:divBdr>
    </w:div>
    <w:div w:id="317659834">
      <w:bodyDiv w:val="1"/>
      <w:marLeft w:val="0"/>
      <w:marRight w:val="0"/>
      <w:marTop w:val="0"/>
      <w:marBottom w:val="0"/>
      <w:divBdr>
        <w:top w:val="none" w:sz="0" w:space="0" w:color="auto"/>
        <w:left w:val="none" w:sz="0" w:space="0" w:color="auto"/>
        <w:bottom w:val="none" w:sz="0" w:space="0" w:color="auto"/>
        <w:right w:val="none" w:sz="0" w:space="0" w:color="auto"/>
      </w:divBdr>
    </w:div>
    <w:div w:id="323632412">
      <w:bodyDiv w:val="1"/>
      <w:marLeft w:val="0"/>
      <w:marRight w:val="0"/>
      <w:marTop w:val="0"/>
      <w:marBottom w:val="0"/>
      <w:divBdr>
        <w:top w:val="none" w:sz="0" w:space="0" w:color="auto"/>
        <w:left w:val="none" w:sz="0" w:space="0" w:color="auto"/>
        <w:bottom w:val="none" w:sz="0" w:space="0" w:color="auto"/>
        <w:right w:val="none" w:sz="0" w:space="0" w:color="auto"/>
      </w:divBdr>
    </w:div>
    <w:div w:id="338434430">
      <w:bodyDiv w:val="1"/>
      <w:marLeft w:val="0"/>
      <w:marRight w:val="0"/>
      <w:marTop w:val="0"/>
      <w:marBottom w:val="0"/>
      <w:divBdr>
        <w:top w:val="none" w:sz="0" w:space="0" w:color="auto"/>
        <w:left w:val="none" w:sz="0" w:space="0" w:color="auto"/>
        <w:bottom w:val="none" w:sz="0" w:space="0" w:color="auto"/>
        <w:right w:val="none" w:sz="0" w:space="0" w:color="auto"/>
      </w:divBdr>
    </w:div>
    <w:div w:id="343745528">
      <w:bodyDiv w:val="1"/>
      <w:marLeft w:val="0"/>
      <w:marRight w:val="0"/>
      <w:marTop w:val="0"/>
      <w:marBottom w:val="0"/>
      <w:divBdr>
        <w:top w:val="none" w:sz="0" w:space="0" w:color="auto"/>
        <w:left w:val="none" w:sz="0" w:space="0" w:color="auto"/>
        <w:bottom w:val="none" w:sz="0" w:space="0" w:color="auto"/>
        <w:right w:val="none" w:sz="0" w:space="0" w:color="auto"/>
      </w:divBdr>
    </w:div>
    <w:div w:id="345600172">
      <w:bodyDiv w:val="1"/>
      <w:marLeft w:val="0"/>
      <w:marRight w:val="0"/>
      <w:marTop w:val="0"/>
      <w:marBottom w:val="0"/>
      <w:divBdr>
        <w:top w:val="none" w:sz="0" w:space="0" w:color="auto"/>
        <w:left w:val="none" w:sz="0" w:space="0" w:color="auto"/>
        <w:bottom w:val="none" w:sz="0" w:space="0" w:color="auto"/>
        <w:right w:val="none" w:sz="0" w:space="0" w:color="auto"/>
      </w:divBdr>
    </w:div>
    <w:div w:id="377169837">
      <w:bodyDiv w:val="1"/>
      <w:marLeft w:val="0"/>
      <w:marRight w:val="0"/>
      <w:marTop w:val="0"/>
      <w:marBottom w:val="0"/>
      <w:divBdr>
        <w:top w:val="none" w:sz="0" w:space="0" w:color="auto"/>
        <w:left w:val="none" w:sz="0" w:space="0" w:color="auto"/>
        <w:bottom w:val="none" w:sz="0" w:space="0" w:color="auto"/>
        <w:right w:val="none" w:sz="0" w:space="0" w:color="auto"/>
      </w:divBdr>
    </w:div>
    <w:div w:id="402990591">
      <w:bodyDiv w:val="1"/>
      <w:marLeft w:val="0"/>
      <w:marRight w:val="0"/>
      <w:marTop w:val="0"/>
      <w:marBottom w:val="0"/>
      <w:divBdr>
        <w:top w:val="none" w:sz="0" w:space="0" w:color="auto"/>
        <w:left w:val="none" w:sz="0" w:space="0" w:color="auto"/>
        <w:bottom w:val="none" w:sz="0" w:space="0" w:color="auto"/>
        <w:right w:val="none" w:sz="0" w:space="0" w:color="auto"/>
      </w:divBdr>
    </w:div>
    <w:div w:id="411703833">
      <w:bodyDiv w:val="1"/>
      <w:marLeft w:val="0"/>
      <w:marRight w:val="0"/>
      <w:marTop w:val="0"/>
      <w:marBottom w:val="0"/>
      <w:divBdr>
        <w:top w:val="none" w:sz="0" w:space="0" w:color="auto"/>
        <w:left w:val="none" w:sz="0" w:space="0" w:color="auto"/>
        <w:bottom w:val="none" w:sz="0" w:space="0" w:color="auto"/>
        <w:right w:val="none" w:sz="0" w:space="0" w:color="auto"/>
      </w:divBdr>
    </w:div>
    <w:div w:id="419764971">
      <w:bodyDiv w:val="1"/>
      <w:marLeft w:val="0"/>
      <w:marRight w:val="0"/>
      <w:marTop w:val="0"/>
      <w:marBottom w:val="0"/>
      <w:divBdr>
        <w:top w:val="none" w:sz="0" w:space="0" w:color="auto"/>
        <w:left w:val="none" w:sz="0" w:space="0" w:color="auto"/>
        <w:bottom w:val="none" w:sz="0" w:space="0" w:color="auto"/>
        <w:right w:val="none" w:sz="0" w:space="0" w:color="auto"/>
      </w:divBdr>
    </w:div>
    <w:div w:id="421218921">
      <w:bodyDiv w:val="1"/>
      <w:marLeft w:val="0"/>
      <w:marRight w:val="0"/>
      <w:marTop w:val="0"/>
      <w:marBottom w:val="0"/>
      <w:divBdr>
        <w:top w:val="none" w:sz="0" w:space="0" w:color="auto"/>
        <w:left w:val="none" w:sz="0" w:space="0" w:color="auto"/>
        <w:bottom w:val="none" w:sz="0" w:space="0" w:color="auto"/>
        <w:right w:val="none" w:sz="0" w:space="0" w:color="auto"/>
      </w:divBdr>
    </w:div>
    <w:div w:id="429395090">
      <w:bodyDiv w:val="1"/>
      <w:marLeft w:val="0"/>
      <w:marRight w:val="0"/>
      <w:marTop w:val="0"/>
      <w:marBottom w:val="0"/>
      <w:divBdr>
        <w:top w:val="none" w:sz="0" w:space="0" w:color="auto"/>
        <w:left w:val="none" w:sz="0" w:space="0" w:color="auto"/>
        <w:bottom w:val="none" w:sz="0" w:space="0" w:color="auto"/>
        <w:right w:val="none" w:sz="0" w:space="0" w:color="auto"/>
      </w:divBdr>
    </w:div>
    <w:div w:id="430273557">
      <w:bodyDiv w:val="1"/>
      <w:marLeft w:val="0"/>
      <w:marRight w:val="0"/>
      <w:marTop w:val="0"/>
      <w:marBottom w:val="0"/>
      <w:divBdr>
        <w:top w:val="none" w:sz="0" w:space="0" w:color="auto"/>
        <w:left w:val="none" w:sz="0" w:space="0" w:color="auto"/>
        <w:bottom w:val="none" w:sz="0" w:space="0" w:color="auto"/>
        <w:right w:val="none" w:sz="0" w:space="0" w:color="auto"/>
      </w:divBdr>
    </w:div>
    <w:div w:id="431128192">
      <w:bodyDiv w:val="1"/>
      <w:marLeft w:val="0"/>
      <w:marRight w:val="0"/>
      <w:marTop w:val="0"/>
      <w:marBottom w:val="0"/>
      <w:divBdr>
        <w:top w:val="none" w:sz="0" w:space="0" w:color="auto"/>
        <w:left w:val="none" w:sz="0" w:space="0" w:color="auto"/>
        <w:bottom w:val="none" w:sz="0" w:space="0" w:color="auto"/>
        <w:right w:val="none" w:sz="0" w:space="0" w:color="auto"/>
      </w:divBdr>
    </w:div>
    <w:div w:id="441414201">
      <w:bodyDiv w:val="1"/>
      <w:marLeft w:val="0"/>
      <w:marRight w:val="0"/>
      <w:marTop w:val="0"/>
      <w:marBottom w:val="0"/>
      <w:divBdr>
        <w:top w:val="none" w:sz="0" w:space="0" w:color="auto"/>
        <w:left w:val="none" w:sz="0" w:space="0" w:color="auto"/>
        <w:bottom w:val="none" w:sz="0" w:space="0" w:color="auto"/>
        <w:right w:val="none" w:sz="0" w:space="0" w:color="auto"/>
      </w:divBdr>
    </w:div>
    <w:div w:id="442303854">
      <w:bodyDiv w:val="1"/>
      <w:marLeft w:val="0"/>
      <w:marRight w:val="0"/>
      <w:marTop w:val="0"/>
      <w:marBottom w:val="0"/>
      <w:divBdr>
        <w:top w:val="none" w:sz="0" w:space="0" w:color="auto"/>
        <w:left w:val="none" w:sz="0" w:space="0" w:color="auto"/>
        <w:bottom w:val="none" w:sz="0" w:space="0" w:color="auto"/>
        <w:right w:val="none" w:sz="0" w:space="0" w:color="auto"/>
      </w:divBdr>
    </w:div>
    <w:div w:id="453523824">
      <w:bodyDiv w:val="1"/>
      <w:marLeft w:val="0"/>
      <w:marRight w:val="0"/>
      <w:marTop w:val="0"/>
      <w:marBottom w:val="0"/>
      <w:divBdr>
        <w:top w:val="none" w:sz="0" w:space="0" w:color="auto"/>
        <w:left w:val="none" w:sz="0" w:space="0" w:color="auto"/>
        <w:bottom w:val="none" w:sz="0" w:space="0" w:color="auto"/>
        <w:right w:val="none" w:sz="0" w:space="0" w:color="auto"/>
      </w:divBdr>
    </w:div>
    <w:div w:id="461270347">
      <w:bodyDiv w:val="1"/>
      <w:marLeft w:val="0"/>
      <w:marRight w:val="0"/>
      <w:marTop w:val="0"/>
      <w:marBottom w:val="0"/>
      <w:divBdr>
        <w:top w:val="none" w:sz="0" w:space="0" w:color="auto"/>
        <w:left w:val="none" w:sz="0" w:space="0" w:color="auto"/>
        <w:bottom w:val="none" w:sz="0" w:space="0" w:color="auto"/>
        <w:right w:val="none" w:sz="0" w:space="0" w:color="auto"/>
      </w:divBdr>
    </w:div>
    <w:div w:id="491992376">
      <w:bodyDiv w:val="1"/>
      <w:marLeft w:val="0"/>
      <w:marRight w:val="0"/>
      <w:marTop w:val="0"/>
      <w:marBottom w:val="0"/>
      <w:divBdr>
        <w:top w:val="none" w:sz="0" w:space="0" w:color="auto"/>
        <w:left w:val="none" w:sz="0" w:space="0" w:color="auto"/>
        <w:bottom w:val="none" w:sz="0" w:space="0" w:color="auto"/>
        <w:right w:val="none" w:sz="0" w:space="0" w:color="auto"/>
      </w:divBdr>
    </w:div>
    <w:div w:id="492453759">
      <w:bodyDiv w:val="1"/>
      <w:marLeft w:val="0"/>
      <w:marRight w:val="0"/>
      <w:marTop w:val="0"/>
      <w:marBottom w:val="0"/>
      <w:divBdr>
        <w:top w:val="none" w:sz="0" w:space="0" w:color="auto"/>
        <w:left w:val="none" w:sz="0" w:space="0" w:color="auto"/>
        <w:bottom w:val="none" w:sz="0" w:space="0" w:color="auto"/>
        <w:right w:val="none" w:sz="0" w:space="0" w:color="auto"/>
      </w:divBdr>
    </w:div>
    <w:div w:id="507060839">
      <w:bodyDiv w:val="1"/>
      <w:marLeft w:val="0"/>
      <w:marRight w:val="0"/>
      <w:marTop w:val="0"/>
      <w:marBottom w:val="0"/>
      <w:divBdr>
        <w:top w:val="none" w:sz="0" w:space="0" w:color="auto"/>
        <w:left w:val="none" w:sz="0" w:space="0" w:color="auto"/>
        <w:bottom w:val="none" w:sz="0" w:space="0" w:color="auto"/>
        <w:right w:val="none" w:sz="0" w:space="0" w:color="auto"/>
      </w:divBdr>
    </w:div>
    <w:div w:id="508716010">
      <w:bodyDiv w:val="1"/>
      <w:marLeft w:val="0"/>
      <w:marRight w:val="0"/>
      <w:marTop w:val="0"/>
      <w:marBottom w:val="0"/>
      <w:divBdr>
        <w:top w:val="none" w:sz="0" w:space="0" w:color="auto"/>
        <w:left w:val="none" w:sz="0" w:space="0" w:color="auto"/>
        <w:bottom w:val="none" w:sz="0" w:space="0" w:color="auto"/>
        <w:right w:val="none" w:sz="0" w:space="0" w:color="auto"/>
      </w:divBdr>
    </w:div>
    <w:div w:id="519897332">
      <w:bodyDiv w:val="1"/>
      <w:marLeft w:val="0"/>
      <w:marRight w:val="0"/>
      <w:marTop w:val="0"/>
      <w:marBottom w:val="0"/>
      <w:divBdr>
        <w:top w:val="none" w:sz="0" w:space="0" w:color="auto"/>
        <w:left w:val="none" w:sz="0" w:space="0" w:color="auto"/>
        <w:bottom w:val="none" w:sz="0" w:space="0" w:color="auto"/>
        <w:right w:val="none" w:sz="0" w:space="0" w:color="auto"/>
      </w:divBdr>
    </w:div>
    <w:div w:id="520048756">
      <w:bodyDiv w:val="1"/>
      <w:marLeft w:val="0"/>
      <w:marRight w:val="0"/>
      <w:marTop w:val="0"/>
      <w:marBottom w:val="0"/>
      <w:divBdr>
        <w:top w:val="none" w:sz="0" w:space="0" w:color="auto"/>
        <w:left w:val="none" w:sz="0" w:space="0" w:color="auto"/>
        <w:bottom w:val="none" w:sz="0" w:space="0" w:color="auto"/>
        <w:right w:val="none" w:sz="0" w:space="0" w:color="auto"/>
      </w:divBdr>
    </w:div>
    <w:div w:id="547494231">
      <w:bodyDiv w:val="1"/>
      <w:marLeft w:val="0"/>
      <w:marRight w:val="0"/>
      <w:marTop w:val="0"/>
      <w:marBottom w:val="0"/>
      <w:divBdr>
        <w:top w:val="none" w:sz="0" w:space="0" w:color="auto"/>
        <w:left w:val="none" w:sz="0" w:space="0" w:color="auto"/>
        <w:bottom w:val="none" w:sz="0" w:space="0" w:color="auto"/>
        <w:right w:val="none" w:sz="0" w:space="0" w:color="auto"/>
      </w:divBdr>
    </w:div>
    <w:div w:id="607589248">
      <w:bodyDiv w:val="1"/>
      <w:marLeft w:val="0"/>
      <w:marRight w:val="0"/>
      <w:marTop w:val="0"/>
      <w:marBottom w:val="0"/>
      <w:divBdr>
        <w:top w:val="none" w:sz="0" w:space="0" w:color="auto"/>
        <w:left w:val="none" w:sz="0" w:space="0" w:color="auto"/>
        <w:bottom w:val="none" w:sz="0" w:space="0" w:color="auto"/>
        <w:right w:val="none" w:sz="0" w:space="0" w:color="auto"/>
      </w:divBdr>
    </w:div>
    <w:div w:id="609700414">
      <w:bodyDiv w:val="1"/>
      <w:marLeft w:val="0"/>
      <w:marRight w:val="0"/>
      <w:marTop w:val="0"/>
      <w:marBottom w:val="0"/>
      <w:divBdr>
        <w:top w:val="none" w:sz="0" w:space="0" w:color="auto"/>
        <w:left w:val="none" w:sz="0" w:space="0" w:color="auto"/>
        <w:bottom w:val="none" w:sz="0" w:space="0" w:color="auto"/>
        <w:right w:val="none" w:sz="0" w:space="0" w:color="auto"/>
      </w:divBdr>
    </w:div>
    <w:div w:id="625891683">
      <w:bodyDiv w:val="1"/>
      <w:marLeft w:val="0"/>
      <w:marRight w:val="0"/>
      <w:marTop w:val="0"/>
      <w:marBottom w:val="0"/>
      <w:divBdr>
        <w:top w:val="none" w:sz="0" w:space="0" w:color="auto"/>
        <w:left w:val="none" w:sz="0" w:space="0" w:color="auto"/>
        <w:bottom w:val="none" w:sz="0" w:space="0" w:color="auto"/>
        <w:right w:val="none" w:sz="0" w:space="0" w:color="auto"/>
      </w:divBdr>
      <w:divsChild>
        <w:div w:id="1907957850">
          <w:marLeft w:val="0"/>
          <w:marRight w:val="0"/>
          <w:marTop w:val="0"/>
          <w:marBottom w:val="0"/>
          <w:divBdr>
            <w:top w:val="none" w:sz="0" w:space="0" w:color="auto"/>
            <w:left w:val="none" w:sz="0" w:space="0" w:color="auto"/>
            <w:bottom w:val="none" w:sz="0" w:space="0" w:color="auto"/>
            <w:right w:val="none" w:sz="0" w:space="0" w:color="auto"/>
          </w:divBdr>
        </w:div>
      </w:divsChild>
    </w:div>
    <w:div w:id="632716915">
      <w:bodyDiv w:val="1"/>
      <w:marLeft w:val="0"/>
      <w:marRight w:val="0"/>
      <w:marTop w:val="0"/>
      <w:marBottom w:val="0"/>
      <w:divBdr>
        <w:top w:val="none" w:sz="0" w:space="0" w:color="auto"/>
        <w:left w:val="none" w:sz="0" w:space="0" w:color="auto"/>
        <w:bottom w:val="none" w:sz="0" w:space="0" w:color="auto"/>
        <w:right w:val="none" w:sz="0" w:space="0" w:color="auto"/>
      </w:divBdr>
    </w:div>
    <w:div w:id="633100520">
      <w:bodyDiv w:val="1"/>
      <w:marLeft w:val="0"/>
      <w:marRight w:val="0"/>
      <w:marTop w:val="0"/>
      <w:marBottom w:val="0"/>
      <w:divBdr>
        <w:top w:val="none" w:sz="0" w:space="0" w:color="auto"/>
        <w:left w:val="none" w:sz="0" w:space="0" w:color="auto"/>
        <w:bottom w:val="none" w:sz="0" w:space="0" w:color="auto"/>
        <w:right w:val="none" w:sz="0" w:space="0" w:color="auto"/>
      </w:divBdr>
    </w:div>
    <w:div w:id="672807450">
      <w:bodyDiv w:val="1"/>
      <w:marLeft w:val="0"/>
      <w:marRight w:val="0"/>
      <w:marTop w:val="0"/>
      <w:marBottom w:val="0"/>
      <w:divBdr>
        <w:top w:val="none" w:sz="0" w:space="0" w:color="auto"/>
        <w:left w:val="none" w:sz="0" w:space="0" w:color="auto"/>
        <w:bottom w:val="none" w:sz="0" w:space="0" w:color="auto"/>
        <w:right w:val="none" w:sz="0" w:space="0" w:color="auto"/>
      </w:divBdr>
    </w:div>
    <w:div w:id="685063769">
      <w:bodyDiv w:val="1"/>
      <w:marLeft w:val="0"/>
      <w:marRight w:val="0"/>
      <w:marTop w:val="0"/>
      <w:marBottom w:val="0"/>
      <w:divBdr>
        <w:top w:val="none" w:sz="0" w:space="0" w:color="auto"/>
        <w:left w:val="none" w:sz="0" w:space="0" w:color="auto"/>
        <w:bottom w:val="none" w:sz="0" w:space="0" w:color="auto"/>
        <w:right w:val="none" w:sz="0" w:space="0" w:color="auto"/>
      </w:divBdr>
    </w:div>
    <w:div w:id="703286503">
      <w:bodyDiv w:val="1"/>
      <w:marLeft w:val="0"/>
      <w:marRight w:val="0"/>
      <w:marTop w:val="0"/>
      <w:marBottom w:val="0"/>
      <w:divBdr>
        <w:top w:val="none" w:sz="0" w:space="0" w:color="auto"/>
        <w:left w:val="none" w:sz="0" w:space="0" w:color="auto"/>
        <w:bottom w:val="none" w:sz="0" w:space="0" w:color="auto"/>
        <w:right w:val="none" w:sz="0" w:space="0" w:color="auto"/>
      </w:divBdr>
    </w:div>
    <w:div w:id="713970862">
      <w:bodyDiv w:val="1"/>
      <w:marLeft w:val="0"/>
      <w:marRight w:val="0"/>
      <w:marTop w:val="0"/>
      <w:marBottom w:val="0"/>
      <w:divBdr>
        <w:top w:val="none" w:sz="0" w:space="0" w:color="auto"/>
        <w:left w:val="none" w:sz="0" w:space="0" w:color="auto"/>
        <w:bottom w:val="none" w:sz="0" w:space="0" w:color="auto"/>
        <w:right w:val="none" w:sz="0" w:space="0" w:color="auto"/>
      </w:divBdr>
    </w:div>
    <w:div w:id="730735100">
      <w:bodyDiv w:val="1"/>
      <w:marLeft w:val="0"/>
      <w:marRight w:val="0"/>
      <w:marTop w:val="0"/>
      <w:marBottom w:val="0"/>
      <w:divBdr>
        <w:top w:val="none" w:sz="0" w:space="0" w:color="auto"/>
        <w:left w:val="none" w:sz="0" w:space="0" w:color="auto"/>
        <w:bottom w:val="none" w:sz="0" w:space="0" w:color="auto"/>
        <w:right w:val="none" w:sz="0" w:space="0" w:color="auto"/>
      </w:divBdr>
    </w:div>
    <w:div w:id="730811259">
      <w:bodyDiv w:val="1"/>
      <w:marLeft w:val="0"/>
      <w:marRight w:val="0"/>
      <w:marTop w:val="0"/>
      <w:marBottom w:val="0"/>
      <w:divBdr>
        <w:top w:val="none" w:sz="0" w:space="0" w:color="auto"/>
        <w:left w:val="none" w:sz="0" w:space="0" w:color="auto"/>
        <w:bottom w:val="none" w:sz="0" w:space="0" w:color="auto"/>
        <w:right w:val="none" w:sz="0" w:space="0" w:color="auto"/>
      </w:divBdr>
    </w:div>
    <w:div w:id="755833384">
      <w:bodyDiv w:val="1"/>
      <w:marLeft w:val="0"/>
      <w:marRight w:val="0"/>
      <w:marTop w:val="0"/>
      <w:marBottom w:val="0"/>
      <w:divBdr>
        <w:top w:val="none" w:sz="0" w:space="0" w:color="auto"/>
        <w:left w:val="none" w:sz="0" w:space="0" w:color="auto"/>
        <w:bottom w:val="none" w:sz="0" w:space="0" w:color="auto"/>
        <w:right w:val="none" w:sz="0" w:space="0" w:color="auto"/>
      </w:divBdr>
    </w:div>
    <w:div w:id="758478695">
      <w:bodyDiv w:val="1"/>
      <w:marLeft w:val="0"/>
      <w:marRight w:val="0"/>
      <w:marTop w:val="0"/>
      <w:marBottom w:val="0"/>
      <w:divBdr>
        <w:top w:val="none" w:sz="0" w:space="0" w:color="auto"/>
        <w:left w:val="none" w:sz="0" w:space="0" w:color="auto"/>
        <w:bottom w:val="none" w:sz="0" w:space="0" w:color="auto"/>
        <w:right w:val="none" w:sz="0" w:space="0" w:color="auto"/>
      </w:divBdr>
    </w:div>
    <w:div w:id="758990242">
      <w:bodyDiv w:val="1"/>
      <w:marLeft w:val="0"/>
      <w:marRight w:val="0"/>
      <w:marTop w:val="0"/>
      <w:marBottom w:val="0"/>
      <w:divBdr>
        <w:top w:val="none" w:sz="0" w:space="0" w:color="auto"/>
        <w:left w:val="none" w:sz="0" w:space="0" w:color="auto"/>
        <w:bottom w:val="none" w:sz="0" w:space="0" w:color="auto"/>
        <w:right w:val="none" w:sz="0" w:space="0" w:color="auto"/>
      </w:divBdr>
    </w:div>
    <w:div w:id="762577018">
      <w:bodyDiv w:val="1"/>
      <w:marLeft w:val="0"/>
      <w:marRight w:val="0"/>
      <w:marTop w:val="0"/>
      <w:marBottom w:val="0"/>
      <w:divBdr>
        <w:top w:val="none" w:sz="0" w:space="0" w:color="auto"/>
        <w:left w:val="none" w:sz="0" w:space="0" w:color="auto"/>
        <w:bottom w:val="none" w:sz="0" w:space="0" w:color="auto"/>
        <w:right w:val="none" w:sz="0" w:space="0" w:color="auto"/>
      </w:divBdr>
    </w:div>
    <w:div w:id="778069223">
      <w:bodyDiv w:val="1"/>
      <w:marLeft w:val="0"/>
      <w:marRight w:val="0"/>
      <w:marTop w:val="0"/>
      <w:marBottom w:val="0"/>
      <w:divBdr>
        <w:top w:val="none" w:sz="0" w:space="0" w:color="auto"/>
        <w:left w:val="none" w:sz="0" w:space="0" w:color="auto"/>
        <w:bottom w:val="none" w:sz="0" w:space="0" w:color="auto"/>
        <w:right w:val="none" w:sz="0" w:space="0" w:color="auto"/>
      </w:divBdr>
    </w:div>
    <w:div w:id="806700067">
      <w:bodyDiv w:val="1"/>
      <w:marLeft w:val="0"/>
      <w:marRight w:val="0"/>
      <w:marTop w:val="0"/>
      <w:marBottom w:val="0"/>
      <w:divBdr>
        <w:top w:val="none" w:sz="0" w:space="0" w:color="auto"/>
        <w:left w:val="none" w:sz="0" w:space="0" w:color="auto"/>
        <w:bottom w:val="none" w:sz="0" w:space="0" w:color="auto"/>
        <w:right w:val="none" w:sz="0" w:space="0" w:color="auto"/>
      </w:divBdr>
    </w:div>
    <w:div w:id="815879923">
      <w:bodyDiv w:val="1"/>
      <w:marLeft w:val="0"/>
      <w:marRight w:val="0"/>
      <w:marTop w:val="0"/>
      <w:marBottom w:val="0"/>
      <w:divBdr>
        <w:top w:val="none" w:sz="0" w:space="0" w:color="auto"/>
        <w:left w:val="none" w:sz="0" w:space="0" w:color="auto"/>
        <w:bottom w:val="none" w:sz="0" w:space="0" w:color="auto"/>
        <w:right w:val="none" w:sz="0" w:space="0" w:color="auto"/>
      </w:divBdr>
    </w:div>
    <w:div w:id="819075054">
      <w:bodyDiv w:val="1"/>
      <w:marLeft w:val="0"/>
      <w:marRight w:val="0"/>
      <w:marTop w:val="0"/>
      <w:marBottom w:val="0"/>
      <w:divBdr>
        <w:top w:val="none" w:sz="0" w:space="0" w:color="auto"/>
        <w:left w:val="none" w:sz="0" w:space="0" w:color="auto"/>
        <w:bottom w:val="none" w:sz="0" w:space="0" w:color="auto"/>
        <w:right w:val="none" w:sz="0" w:space="0" w:color="auto"/>
      </w:divBdr>
    </w:div>
    <w:div w:id="833570034">
      <w:bodyDiv w:val="1"/>
      <w:marLeft w:val="0"/>
      <w:marRight w:val="0"/>
      <w:marTop w:val="0"/>
      <w:marBottom w:val="0"/>
      <w:divBdr>
        <w:top w:val="none" w:sz="0" w:space="0" w:color="auto"/>
        <w:left w:val="none" w:sz="0" w:space="0" w:color="auto"/>
        <w:bottom w:val="none" w:sz="0" w:space="0" w:color="auto"/>
        <w:right w:val="none" w:sz="0" w:space="0" w:color="auto"/>
      </w:divBdr>
    </w:div>
    <w:div w:id="844130729">
      <w:bodyDiv w:val="1"/>
      <w:marLeft w:val="0"/>
      <w:marRight w:val="0"/>
      <w:marTop w:val="0"/>
      <w:marBottom w:val="0"/>
      <w:divBdr>
        <w:top w:val="none" w:sz="0" w:space="0" w:color="auto"/>
        <w:left w:val="none" w:sz="0" w:space="0" w:color="auto"/>
        <w:bottom w:val="none" w:sz="0" w:space="0" w:color="auto"/>
        <w:right w:val="none" w:sz="0" w:space="0" w:color="auto"/>
      </w:divBdr>
    </w:div>
    <w:div w:id="868684583">
      <w:bodyDiv w:val="1"/>
      <w:marLeft w:val="0"/>
      <w:marRight w:val="0"/>
      <w:marTop w:val="0"/>
      <w:marBottom w:val="0"/>
      <w:divBdr>
        <w:top w:val="none" w:sz="0" w:space="0" w:color="auto"/>
        <w:left w:val="none" w:sz="0" w:space="0" w:color="auto"/>
        <w:bottom w:val="none" w:sz="0" w:space="0" w:color="auto"/>
        <w:right w:val="none" w:sz="0" w:space="0" w:color="auto"/>
      </w:divBdr>
    </w:div>
    <w:div w:id="873466307">
      <w:bodyDiv w:val="1"/>
      <w:marLeft w:val="0"/>
      <w:marRight w:val="0"/>
      <w:marTop w:val="0"/>
      <w:marBottom w:val="0"/>
      <w:divBdr>
        <w:top w:val="none" w:sz="0" w:space="0" w:color="auto"/>
        <w:left w:val="none" w:sz="0" w:space="0" w:color="auto"/>
        <w:bottom w:val="none" w:sz="0" w:space="0" w:color="auto"/>
        <w:right w:val="none" w:sz="0" w:space="0" w:color="auto"/>
      </w:divBdr>
    </w:div>
    <w:div w:id="880242810">
      <w:bodyDiv w:val="1"/>
      <w:marLeft w:val="0"/>
      <w:marRight w:val="0"/>
      <w:marTop w:val="0"/>
      <w:marBottom w:val="0"/>
      <w:divBdr>
        <w:top w:val="none" w:sz="0" w:space="0" w:color="auto"/>
        <w:left w:val="none" w:sz="0" w:space="0" w:color="auto"/>
        <w:bottom w:val="none" w:sz="0" w:space="0" w:color="auto"/>
        <w:right w:val="none" w:sz="0" w:space="0" w:color="auto"/>
      </w:divBdr>
    </w:div>
    <w:div w:id="881137145">
      <w:bodyDiv w:val="1"/>
      <w:marLeft w:val="0"/>
      <w:marRight w:val="0"/>
      <w:marTop w:val="0"/>
      <w:marBottom w:val="0"/>
      <w:divBdr>
        <w:top w:val="none" w:sz="0" w:space="0" w:color="auto"/>
        <w:left w:val="none" w:sz="0" w:space="0" w:color="auto"/>
        <w:bottom w:val="none" w:sz="0" w:space="0" w:color="auto"/>
        <w:right w:val="none" w:sz="0" w:space="0" w:color="auto"/>
      </w:divBdr>
    </w:div>
    <w:div w:id="889804569">
      <w:bodyDiv w:val="1"/>
      <w:marLeft w:val="0"/>
      <w:marRight w:val="0"/>
      <w:marTop w:val="0"/>
      <w:marBottom w:val="0"/>
      <w:divBdr>
        <w:top w:val="none" w:sz="0" w:space="0" w:color="auto"/>
        <w:left w:val="none" w:sz="0" w:space="0" w:color="auto"/>
        <w:bottom w:val="none" w:sz="0" w:space="0" w:color="auto"/>
        <w:right w:val="none" w:sz="0" w:space="0" w:color="auto"/>
      </w:divBdr>
    </w:div>
    <w:div w:id="891842995">
      <w:bodyDiv w:val="1"/>
      <w:marLeft w:val="0"/>
      <w:marRight w:val="0"/>
      <w:marTop w:val="0"/>
      <w:marBottom w:val="0"/>
      <w:divBdr>
        <w:top w:val="none" w:sz="0" w:space="0" w:color="auto"/>
        <w:left w:val="none" w:sz="0" w:space="0" w:color="auto"/>
        <w:bottom w:val="none" w:sz="0" w:space="0" w:color="auto"/>
        <w:right w:val="none" w:sz="0" w:space="0" w:color="auto"/>
      </w:divBdr>
    </w:div>
    <w:div w:id="895361938">
      <w:bodyDiv w:val="1"/>
      <w:marLeft w:val="0"/>
      <w:marRight w:val="0"/>
      <w:marTop w:val="0"/>
      <w:marBottom w:val="0"/>
      <w:divBdr>
        <w:top w:val="none" w:sz="0" w:space="0" w:color="auto"/>
        <w:left w:val="none" w:sz="0" w:space="0" w:color="auto"/>
        <w:bottom w:val="none" w:sz="0" w:space="0" w:color="auto"/>
        <w:right w:val="none" w:sz="0" w:space="0" w:color="auto"/>
      </w:divBdr>
    </w:div>
    <w:div w:id="910627703">
      <w:bodyDiv w:val="1"/>
      <w:marLeft w:val="0"/>
      <w:marRight w:val="0"/>
      <w:marTop w:val="0"/>
      <w:marBottom w:val="0"/>
      <w:divBdr>
        <w:top w:val="none" w:sz="0" w:space="0" w:color="auto"/>
        <w:left w:val="none" w:sz="0" w:space="0" w:color="auto"/>
        <w:bottom w:val="none" w:sz="0" w:space="0" w:color="auto"/>
        <w:right w:val="none" w:sz="0" w:space="0" w:color="auto"/>
      </w:divBdr>
    </w:div>
    <w:div w:id="921764285">
      <w:bodyDiv w:val="1"/>
      <w:marLeft w:val="0"/>
      <w:marRight w:val="0"/>
      <w:marTop w:val="0"/>
      <w:marBottom w:val="0"/>
      <w:divBdr>
        <w:top w:val="none" w:sz="0" w:space="0" w:color="auto"/>
        <w:left w:val="none" w:sz="0" w:space="0" w:color="auto"/>
        <w:bottom w:val="none" w:sz="0" w:space="0" w:color="auto"/>
        <w:right w:val="none" w:sz="0" w:space="0" w:color="auto"/>
      </w:divBdr>
    </w:div>
    <w:div w:id="940407622">
      <w:bodyDiv w:val="1"/>
      <w:marLeft w:val="0"/>
      <w:marRight w:val="0"/>
      <w:marTop w:val="0"/>
      <w:marBottom w:val="0"/>
      <w:divBdr>
        <w:top w:val="none" w:sz="0" w:space="0" w:color="auto"/>
        <w:left w:val="none" w:sz="0" w:space="0" w:color="auto"/>
        <w:bottom w:val="none" w:sz="0" w:space="0" w:color="auto"/>
        <w:right w:val="none" w:sz="0" w:space="0" w:color="auto"/>
      </w:divBdr>
    </w:div>
    <w:div w:id="951084264">
      <w:bodyDiv w:val="1"/>
      <w:marLeft w:val="0"/>
      <w:marRight w:val="0"/>
      <w:marTop w:val="0"/>
      <w:marBottom w:val="0"/>
      <w:divBdr>
        <w:top w:val="none" w:sz="0" w:space="0" w:color="auto"/>
        <w:left w:val="none" w:sz="0" w:space="0" w:color="auto"/>
        <w:bottom w:val="none" w:sz="0" w:space="0" w:color="auto"/>
        <w:right w:val="none" w:sz="0" w:space="0" w:color="auto"/>
      </w:divBdr>
    </w:div>
    <w:div w:id="955865028">
      <w:bodyDiv w:val="1"/>
      <w:marLeft w:val="0"/>
      <w:marRight w:val="0"/>
      <w:marTop w:val="0"/>
      <w:marBottom w:val="0"/>
      <w:divBdr>
        <w:top w:val="none" w:sz="0" w:space="0" w:color="auto"/>
        <w:left w:val="none" w:sz="0" w:space="0" w:color="auto"/>
        <w:bottom w:val="none" w:sz="0" w:space="0" w:color="auto"/>
        <w:right w:val="none" w:sz="0" w:space="0" w:color="auto"/>
      </w:divBdr>
    </w:div>
    <w:div w:id="966936440">
      <w:bodyDiv w:val="1"/>
      <w:marLeft w:val="0"/>
      <w:marRight w:val="0"/>
      <w:marTop w:val="0"/>
      <w:marBottom w:val="0"/>
      <w:divBdr>
        <w:top w:val="none" w:sz="0" w:space="0" w:color="auto"/>
        <w:left w:val="none" w:sz="0" w:space="0" w:color="auto"/>
        <w:bottom w:val="none" w:sz="0" w:space="0" w:color="auto"/>
        <w:right w:val="none" w:sz="0" w:space="0" w:color="auto"/>
      </w:divBdr>
    </w:div>
    <w:div w:id="970742469">
      <w:bodyDiv w:val="1"/>
      <w:marLeft w:val="0"/>
      <w:marRight w:val="0"/>
      <w:marTop w:val="0"/>
      <w:marBottom w:val="0"/>
      <w:divBdr>
        <w:top w:val="none" w:sz="0" w:space="0" w:color="auto"/>
        <w:left w:val="none" w:sz="0" w:space="0" w:color="auto"/>
        <w:bottom w:val="none" w:sz="0" w:space="0" w:color="auto"/>
        <w:right w:val="none" w:sz="0" w:space="0" w:color="auto"/>
      </w:divBdr>
    </w:div>
    <w:div w:id="972637697">
      <w:bodyDiv w:val="1"/>
      <w:marLeft w:val="0"/>
      <w:marRight w:val="0"/>
      <w:marTop w:val="0"/>
      <w:marBottom w:val="0"/>
      <w:divBdr>
        <w:top w:val="none" w:sz="0" w:space="0" w:color="auto"/>
        <w:left w:val="none" w:sz="0" w:space="0" w:color="auto"/>
        <w:bottom w:val="none" w:sz="0" w:space="0" w:color="auto"/>
        <w:right w:val="none" w:sz="0" w:space="0" w:color="auto"/>
      </w:divBdr>
    </w:div>
    <w:div w:id="998120889">
      <w:bodyDiv w:val="1"/>
      <w:marLeft w:val="0"/>
      <w:marRight w:val="0"/>
      <w:marTop w:val="0"/>
      <w:marBottom w:val="0"/>
      <w:divBdr>
        <w:top w:val="none" w:sz="0" w:space="0" w:color="auto"/>
        <w:left w:val="none" w:sz="0" w:space="0" w:color="auto"/>
        <w:bottom w:val="none" w:sz="0" w:space="0" w:color="auto"/>
        <w:right w:val="none" w:sz="0" w:space="0" w:color="auto"/>
      </w:divBdr>
    </w:div>
    <w:div w:id="998775856">
      <w:bodyDiv w:val="1"/>
      <w:marLeft w:val="0"/>
      <w:marRight w:val="0"/>
      <w:marTop w:val="0"/>
      <w:marBottom w:val="0"/>
      <w:divBdr>
        <w:top w:val="none" w:sz="0" w:space="0" w:color="auto"/>
        <w:left w:val="none" w:sz="0" w:space="0" w:color="auto"/>
        <w:bottom w:val="none" w:sz="0" w:space="0" w:color="auto"/>
        <w:right w:val="none" w:sz="0" w:space="0" w:color="auto"/>
      </w:divBdr>
    </w:div>
    <w:div w:id="999187719">
      <w:bodyDiv w:val="1"/>
      <w:marLeft w:val="0"/>
      <w:marRight w:val="0"/>
      <w:marTop w:val="0"/>
      <w:marBottom w:val="0"/>
      <w:divBdr>
        <w:top w:val="none" w:sz="0" w:space="0" w:color="auto"/>
        <w:left w:val="none" w:sz="0" w:space="0" w:color="auto"/>
        <w:bottom w:val="none" w:sz="0" w:space="0" w:color="auto"/>
        <w:right w:val="none" w:sz="0" w:space="0" w:color="auto"/>
      </w:divBdr>
    </w:div>
    <w:div w:id="1010792328">
      <w:bodyDiv w:val="1"/>
      <w:marLeft w:val="0"/>
      <w:marRight w:val="0"/>
      <w:marTop w:val="0"/>
      <w:marBottom w:val="0"/>
      <w:divBdr>
        <w:top w:val="none" w:sz="0" w:space="0" w:color="auto"/>
        <w:left w:val="none" w:sz="0" w:space="0" w:color="auto"/>
        <w:bottom w:val="none" w:sz="0" w:space="0" w:color="auto"/>
        <w:right w:val="none" w:sz="0" w:space="0" w:color="auto"/>
      </w:divBdr>
    </w:div>
    <w:div w:id="1014187147">
      <w:bodyDiv w:val="1"/>
      <w:marLeft w:val="0"/>
      <w:marRight w:val="0"/>
      <w:marTop w:val="0"/>
      <w:marBottom w:val="0"/>
      <w:divBdr>
        <w:top w:val="none" w:sz="0" w:space="0" w:color="auto"/>
        <w:left w:val="none" w:sz="0" w:space="0" w:color="auto"/>
        <w:bottom w:val="none" w:sz="0" w:space="0" w:color="auto"/>
        <w:right w:val="none" w:sz="0" w:space="0" w:color="auto"/>
      </w:divBdr>
    </w:div>
    <w:div w:id="1019048019">
      <w:bodyDiv w:val="1"/>
      <w:marLeft w:val="0"/>
      <w:marRight w:val="0"/>
      <w:marTop w:val="0"/>
      <w:marBottom w:val="0"/>
      <w:divBdr>
        <w:top w:val="none" w:sz="0" w:space="0" w:color="auto"/>
        <w:left w:val="none" w:sz="0" w:space="0" w:color="auto"/>
        <w:bottom w:val="none" w:sz="0" w:space="0" w:color="auto"/>
        <w:right w:val="none" w:sz="0" w:space="0" w:color="auto"/>
      </w:divBdr>
    </w:div>
    <w:div w:id="1024091504">
      <w:bodyDiv w:val="1"/>
      <w:marLeft w:val="0"/>
      <w:marRight w:val="0"/>
      <w:marTop w:val="0"/>
      <w:marBottom w:val="0"/>
      <w:divBdr>
        <w:top w:val="none" w:sz="0" w:space="0" w:color="auto"/>
        <w:left w:val="none" w:sz="0" w:space="0" w:color="auto"/>
        <w:bottom w:val="none" w:sz="0" w:space="0" w:color="auto"/>
        <w:right w:val="none" w:sz="0" w:space="0" w:color="auto"/>
      </w:divBdr>
    </w:div>
    <w:div w:id="1030574304">
      <w:bodyDiv w:val="1"/>
      <w:marLeft w:val="0"/>
      <w:marRight w:val="0"/>
      <w:marTop w:val="0"/>
      <w:marBottom w:val="0"/>
      <w:divBdr>
        <w:top w:val="none" w:sz="0" w:space="0" w:color="auto"/>
        <w:left w:val="none" w:sz="0" w:space="0" w:color="auto"/>
        <w:bottom w:val="none" w:sz="0" w:space="0" w:color="auto"/>
        <w:right w:val="none" w:sz="0" w:space="0" w:color="auto"/>
      </w:divBdr>
    </w:div>
    <w:div w:id="1080979815">
      <w:bodyDiv w:val="1"/>
      <w:marLeft w:val="0"/>
      <w:marRight w:val="0"/>
      <w:marTop w:val="0"/>
      <w:marBottom w:val="0"/>
      <w:divBdr>
        <w:top w:val="none" w:sz="0" w:space="0" w:color="auto"/>
        <w:left w:val="none" w:sz="0" w:space="0" w:color="auto"/>
        <w:bottom w:val="none" w:sz="0" w:space="0" w:color="auto"/>
        <w:right w:val="none" w:sz="0" w:space="0" w:color="auto"/>
      </w:divBdr>
    </w:div>
    <w:div w:id="1111172748">
      <w:bodyDiv w:val="1"/>
      <w:marLeft w:val="0"/>
      <w:marRight w:val="0"/>
      <w:marTop w:val="0"/>
      <w:marBottom w:val="0"/>
      <w:divBdr>
        <w:top w:val="none" w:sz="0" w:space="0" w:color="auto"/>
        <w:left w:val="none" w:sz="0" w:space="0" w:color="auto"/>
        <w:bottom w:val="none" w:sz="0" w:space="0" w:color="auto"/>
        <w:right w:val="none" w:sz="0" w:space="0" w:color="auto"/>
      </w:divBdr>
    </w:div>
    <w:div w:id="1121608142">
      <w:bodyDiv w:val="1"/>
      <w:marLeft w:val="0"/>
      <w:marRight w:val="0"/>
      <w:marTop w:val="0"/>
      <w:marBottom w:val="0"/>
      <w:divBdr>
        <w:top w:val="none" w:sz="0" w:space="0" w:color="auto"/>
        <w:left w:val="none" w:sz="0" w:space="0" w:color="auto"/>
        <w:bottom w:val="none" w:sz="0" w:space="0" w:color="auto"/>
        <w:right w:val="none" w:sz="0" w:space="0" w:color="auto"/>
      </w:divBdr>
    </w:div>
    <w:div w:id="1134909840">
      <w:bodyDiv w:val="1"/>
      <w:marLeft w:val="0"/>
      <w:marRight w:val="0"/>
      <w:marTop w:val="0"/>
      <w:marBottom w:val="0"/>
      <w:divBdr>
        <w:top w:val="none" w:sz="0" w:space="0" w:color="auto"/>
        <w:left w:val="none" w:sz="0" w:space="0" w:color="auto"/>
        <w:bottom w:val="none" w:sz="0" w:space="0" w:color="auto"/>
        <w:right w:val="none" w:sz="0" w:space="0" w:color="auto"/>
      </w:divBdr>
    </w:div>
    <w:div w:id="1168404645">
      <w:bodyDiv w:val="1"/>
      <w:marLeft w:val="0"/>
      <w:marRight w:val="0"/>
      <w:marTop w:val="0"/>
      <w:marBottom w:val="0"/>
      <w:divBdr>
        <w:top w:val="none" w:sz="0" w:space="0" w:color="auto"/>
        <w:left w:val="none" w:sz="0" w:space="0" w:color="auto"/>
        <w:bottom w:val="none" w:sz="0" w:space="0" w:color="auto"/>
        <w:right w:val="none" w:sz="0" w:space="0" w:color="auto"/>
      </w:divBdr>
      <w:divsChild>
        <w:div w:id="661741560">
          <w:marLeft w:val="0"/>
          <w:marRight w:val="0"/>
          <w:marTop w:val="0"/>
          <w:marBottom w:val="0"/>
          <w:divBdr>
            <w:top w:val="none" w:sz="0" w:space="0" w:color="auto"/>
            <w:left w:val="none" w:sz="0" w:space="0" w:color="auto"/>
            <w:bottom w:val="none" w:sz="0" w:space="0" w:color="auto"/>
            <w:right w:val="none" w:sz="0" w:space="0" w:color="auto"/>
          </w:divBdr>
        </w:div>
      </w:divsChild>
    </w:div>
    <w:div w:id="1177382036">
      <w:bodyDiv w:val="1"/>
      <w:marLeft w:val="0"/>
      <w:marRight w:val="0"/>
      <w:marTop w:val="0"/>
      <w:marBottom w:val="0"/>
      <w:divBdr>
        <w:top w:val="none" w:sz="0" w:space="0" w:color="auto"/>
        <w:left w:val="none" w:sz="0" w:space="0" w:color="auto"/>
        <w:bottom w:val="none" w:sz="0" w:space="0" w:color="auto"/>
        <w:right w:val="none" w:sz="0" w:space="0" w:color="auto"/>
      </w:divBdr>
    </w:div>
    <w:div w:id="1185904160">
      <w:bodyDiv w:val="1"/>
      <w:marLeft w:val="0"/>
      <w:marRight w:val="0"/>
      <w:marTop w:val="0"/>
      <w:marBottom w:val="0"/>
      <w:divBdr>
        <w:top w:val="none" w:sz="0" w:space="0" w:color="auto"/>
        <w:left w:val="none" w:sz="0" w:space="0" w:color="auto"/>
        <w:bottom w:val="none" w:sz="0" w:space="0" w:color="auto"/>
        <w:right w:val="none" w:sz="0" w:space="0" w:color="auto"/>
      </w:divBdr>
    </w:div>
    <w:div w:id="1187058902">
      <w:bodyDiv w:val="1"/>
      <w:marLeft w:val="0"/>
      <w:marRight w:val="0"/>
      <w:marTop w:val="0"/>
      <w:marBottom w:val="0"/>
      <w:divBdr>
        <w:top w:val="none" w:sz="0" w:space="0" w:color="auto"/>
        <w:left w:val="none" w:sz="0" w:space="0" w:color="auto"/>
        <w:bottom w:val="none" w:sz="0" w:space="0" w:color="auto"/>
        <w:right w:val="none" w:sz="0" w:space="0" w:color="auto"/>
      </w:divBdr>
    </w:div>
    <w:div w:id="1197624186">
      <w:bodyDiv w:val="1"/>
      <w:marLeft w:val="0"/>
      <w:marRight w:val="0"/>
      <w:marTop w:val="0"/>
      <w:marBottom w:val="0"/>
      <w:divBdr>
        <w:top w:val="none" w:sz="0" w:space="0" w:color="auto"/>
        <w:left w:val="none" w:sz="0" w:space="0" w:color="auto"/>
        <w:bottom w:val="none" w:sz="0" w:space="0" w:color="auto"/>
        <w:right w:val="none" w:sz="0" w:space="0" w:color="auto"/>
      </w:divBdr>
    </w:div>
    <w:div w:id="1217428312">
      <w:bodyDiv w:val="1"/>
      <w:marLeft w:val="0"/>
      <w:marRight w:val="0"/>
      <w:marTop w:val="0"/>
      <w:marBottom w:val="0"/>
      <w:divBdr>
        <w:top w:val="none" w:sz="0" w:space="0" w:color="auto"/>
        <w:left w:val="none" w:sz="0" w:space="0" w:color="auto"/>
        <w:bottom w:val="none" w:sz="0" w:space="0" w:color="auto"/>
        <w:right w:val="none" w:sz="0" w:space="0" w:color="auto"/>
      </w:divBdr>
      <w:divsChild>
        <w:div w:id="799500287">
          <w:marLeft w:val="0"/>
          <w:marRight w:val="0"/>
          <w:marTop w:val="0"/>
          <w:marBottom w:val="0"/>
          <w:divBdr>
            <w:top w:val="none" w:sz="0" w:space="0" w:color="auto"/>
            <w:left w:val="none" w:sz="0" w:space="0" w:color="auto"/>
            <w:bottom w:val="none" w:sz="0" w:space="0" w:color="auto"/>
            <w:right w:val="none" w:sz="0" w:space="0" w:color="auto"/>
          </w:divBdr>
        </w:div>
      </w:divsChild>
    </w:div>
    <w:div w:id="1236672569">
      <w:bodyDiv w:val="1"/>
      <w:marLeft w:val="0"/>
      <w:marRight w:val="0"/>
      <w:marTop w:val="0"/>
      <w:marBottom w:val="0"/>
      <w:divBdr>
        <w:top w:val="none" w:sz="0" w:space="0" w:color="auto"/>
        <w:left w:val="none" w:sz="0" w:space="0" w:color="auto"/>
        <w:bottom w:val="none" w:sz="0" w:space="0" w:color="auto"/>
        <w:right w:val="none" w:sz="0" w:space="0" w:color="auto"/>
      </w:divBdr>
    </w:div>
    <w:div w:id="1243639214">
      <w:bodyDiv w:val="1"/>
      <w:marLeft w:val="0"/>
      <w:marRight w:val="0"/>
      <w:marTop w:val="0"/>
      <w:marBottom w:val="0"/>
      <w:divBdr>
        <w:top w:val="none" w:sz="0" w:space="0" w:color="auto"/>
        <w:left w:val="none" w:sz="0" w:space="0" w:color="auto"/>
        <w:bottom w:val="none" w:sz="0" w:space="0" w:color="auto"/>
        <w:right w:val="none" w:sz="0" w:space="0" w:color="auto"/>
      </w:divBdr>
    </w:div>
    <w:div w:id="1245841291">
      <w:bodyDiv w:val="1"/>
      <w:marLeft w:val="0"/>
      <w:marRight w:val="0"/>
      <w:marTop w:val="0"/>
      <w:marBottom w:val="0"/>
      <w:divBdr>
        <w:top w:val="none" w:sz="0" w:space="0" w:color="auto"/>
        <w:left w:val="none" w:sz="0" w:space="0" w:color="auto"/>
        <w:bottom w:val="none" w:sz="0" w:space="0" w:color="auto"/>
        <w:right w:val="none" w:sz="0" w:space="0" w:color="auto"/>
      </w:divBdr>
    </w:div>
    <w:div w:id="1246571994">
      <w:bodyDiv w:val="1"/>
      <w:marLeft w:val="0"/>
      <w:marRight w:val="0"/>
      <w:marTop w:val="0"/>
      <w:marBottom w:val="0"/>
      <w:divBdr>
        <w:top w:val="none" w:sz="0" w:space="0" w:color="auto"/>
        <w:left w:val="none" w:sz="0" w:space="0" w:color="auto"/>
        <w:bottom w:val="none" w:sz="0" w:space="0" w:color="auto"/>
        <w:right w:val="none" w:sz="0" w:space="0" w:color="auto"/>
      </w:divBdr>
    </w:div>
    <w:div w:id="1259370287">
      <w:bodyDiv w:val="1"/>
      <w:marLeft w:val="0"/>
      <w:marRight w:val="0"/>
      <w:marTop w:val="0"/>
      <w:marBottom w:val="0"/>
      <w:divBdr>
        <w:top w:val="none" w:sz="0" w:space="0" w:color="auto"/>
        <w:left w:val="none" w:sz="0" w:space="0" w:color="auto"/>
        <w:bottom w:val="none" w:sz="0" w:space="0" w:color="auto"/>
        <w:right w:val="none" w:sz="0" w:space="0" w:color="auto"/>
      </w:divBdr>
    </w:div>
    <w:div w:id="1276059284">
      <w:bodyDiv w:val="1"/>
      <w:marLeft w:val="0"/>
      <w:marRight w:val="0"/>
      <w:marTop w:val="0"/>
      <w:marBottom w:val="0"/>
      <w:divBdr>
        <w:top w:val="none" w:sz="0" w:space="0" w:color="auto"/>
        <w:left w:val="none" w:sz="0" w:space="0" w:color="auto"/>
        <w:bottom w:val="none" w:sz="0" w:space="0" w:color="auto"/>
        <w:right w:val="none" w:sz="0" w:space="0" w:color="auto"/>
      </w:divBdr>
    </w:div>
    <w:div w:id="1278831634">
      <w:bodyDiv w:val="1"/>
      <w:marLeft w:val="0"/>
      <w:marRight w:val="0"/>
      <w:marTop w:val="0"/>
      <w:marBottom w:val="0"/>
      <w:divBdr>
        <w:top w:val="none" w:sz="0" w:space="0" w:color="auto"/>
        <w:left w:val="none" w:sz="0" w:space="0" w:color="auto"/>
        <w:bottom w:val="none" w:sz="0" w:space="0" w:color="auto"/>
        <w:right w:val="none" w:sz="0" w:space="0" w:color="auto"/>
      </w:divBdr>
    </w:div>
    <w:div w:id="1295255188">
      <w:bodyDiv w:val="1"/>
      <w:marLeft w:val="0"/>
      <w:marRight w:val="0"/>
      <w:marTop w:val="0"/>
      <w:marBottom w:val="0"/>
      <w:divBdr>
        <w:top w:val="none" w:sz="0" w:space="0" w:color="auto"/>
        <w:left w:val="none" w:sz="0" w:space="0" w:color="auto"/>
        <w:bottom w:val="none" w:sz="0" w:space="0" w:color="auto"/>
        <w:right w:val="none" w:sz="0" w:space="0" w:color="auto"/>
      </w:divBdr>
    </w:div>
    <w:div w:id="1314022166">
      <w:bodyDiv w:val="1"/>
      <w:marLeft w:val="0"/>
      <w:marRight w:val="0"/>
      <w:marTop w:val="0"/>
      <w:marBottom w:val="0"/>
      <w:divBdr>
        <w:top w:val="none" w:sz="0" w:space="0" w:color="auto"/>
        <w:left w:val="none" w:sz="0" w:space="0" w:color="auto"/>
        <w:bottom w:val="none" w:sz="0" w:space="0" w:color="auto"/>
        <w:right w:val="none" w:sz="0" w:space="0" w:color="auto"/>
      </w:divBdr>
      <w:divsChild>
        <w:div w:id="1410271028">
          <w:marLeft w:val="0"/>
          <w:marRight w:val="0"/>
          <w:marTop w:val="0"/>
          <w:marBottom w:val="0"/>
          <w:divBdr>
            <w:top w:val="none" w:sz="0" w:space="0" w:color="auto"/>
            <w:left w:val="none" w:sz="0" w:space="0" w:color="auto"/>
            <w:bottom w:val="none" w:sz="0" w:space="0" w:color="auto"/>
            <w:right w:val="none" w:sz="0" w:space="0" w:color="auto"/>
          </w:divBdr>
          <w:divsChild>
            <w:div w:id="1665282247">
              <w:marLeft w:val="0"/>
              <w:marRight w:val="0"/>
              <w:marTop w:val="0"/>
              <w:marBottom w:val="0"/>
              <w:divBdr>
                <w:top w:val="none" w:sz="0" w:space="0" w:color="auto"/>
                <w:left w:val="none" w:sz="0" w:space="0" w:color="auto"/>
                <w:bottom w:val="none" w:sz="0" w:space="0" w:color="auto"/>
                <w:right w:val="none" w:sz="0" w:space="0" w:color="auto"/>
              </w:divBdr>
              <w:divsChild>
                <w:div w:id="1487210165">
                  <w:marLeft w:val="0"/>
                  <w:marRight w:val="0"/>
                  <w:marTop w:val="0"/>
                  <w:marBottom w:val="0"/>
                  <w:divBdr>
                    <w:top w:val="none" w:sz="0" w:space="0" w:color="auto"/>
                    <w:left w:val="none" w:sz="0" w:space="0" w:color="auto"/>
                    <w:bottom w:val="none" w:sz="0" w:space="0" w:color="auto"/>
                    <w:right w:val="none" w:sz="0" w:space="0" w:color="auto"/>
                  </w:divBdr>
                  <w:divsChild>
                    <w:div w:id="1356079138">
                      <w:marLeft w:val="0"/>
                      <w:marRight w:val="0"/>
                      <w:marTop w:val="0"/>
                      <w:marBottom w:val="0"/>
                      <w:divBdr>
                        <w:top w:val="none" w:sz="0" w:space="0" w:color="auto"/>
                        <w:left w:val="none" w:sz="0" w:space="0" w:color="auto"/>
                        <w:bottom w:val="none" w:sz="0" w:space="0" w:color="auto"/>
                        <w:right w:val="none" w:sz="0" w:space="0" w:color="auto"/>
                      </w:divBdr>
                      <w:divsChild>
                        <w:div w:id="808128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6855538">
      <w:bodyDiv w:val="1"/>
      <w:marLeft w:val="0"/>
      <w:marRight w:val="0"/>
      <w:marTop w:val="0"/>
      <w:marBottom w:val="0"/>
      <w:divBdr>
        <w:top w:val="none" w:sz="0" w:space="0" w:color="auto"/>
        <w:left w:val="none" w:sz="0" w:space="0" w:color="auto"/>
        <w:bottom w:val="none" w:sz="0" w:space="0" w:color="auto"/>
        <w:right w:val="none" w:sz="0" w:space="0" w:color="auto"/>
      </w:divBdr>
    </w:div>
    <w:div w:id="1404836200">
      <w:bodyDiv w:val="1"/>
      <w:marLeft w:val="0"/>
      <w:marRight w:val="0"/>
      <w:marTop w:val="0"/>
      <w:marBottom w:val="0"/>
      <w:divBdr>
        <w:top w:val="none" w:sz="0" w:space="0" w:color="auto"/>
        <w:left w:val="none" w:sz="0" w:space="0" w:color="auto"/>
        <w:bottom w:val="none" w:sz="0" w:space="0" w:color="auto"/>
        <w:right w:val="none" w:sz="0" w:space="0" w:color="auto"/>
      </w:divBdr>
    </w:div>
    <w:div w:id="1419248871">
      <w:bodyDiv w:val="1"/>
      <w:marLeft w:val="0"/>
      <w:marRight w:val="0"/>
      <w:marTop w:val="0"/>
      <w:marBottom w:val="0"/>
      <w:divBdr>
        <w:top w:val="none" w:sz="0" w:space="0" w:color="auto"/>
        <w:left w:val="none" w:sz="0" w:space="0" w:color="auto"/>
        <w:bottom w:val="none" w:sz="0" w:space="0" w:color="auto"/>
        <w:right w:val="none" w:sz="0" w:space="0" w:color="auto"/>
      </w:divBdr>
    </w:div>
    <w:div w:id="1422990540">
      <w:bodyDiv w:val="1"/>
      <w:marLeft w:val="0"/>
      <w:marRight w:val="0"/>
      <w:marTop w:val="0"/>
      <w:marBottom w:val="0"/>
      <w:divBdr>
        <w:top w:val="none" w:sz="0" w:space="0" w:color="auto"/>
        <w:left w:val="none" w:sz="0" w:space="0" w:color="auto"/>
        <w:bottom w:val="none" w:sz="0" w:space="0" w:color="auto"/>
        <w:right w:val="none" w:sz="0" w:space="0" w:color="auto"/>
      </w:divBdr>
    </w:div>
    <w:div w:id="1432319749">
      <w:bodyDiv w:val="1"/>
      <w:marLeft w:val="0"/>
      <w:marRight w:val="0"/>
      <w:marTop w:val="0"/>
      <w:marBottom w:val="0"/>
      <w:divBdr>
        <w:top w:val="none" w:sz="0" w:space="0" w:color="auto"/>
        <w:left w:val="none" w:sz="0" w:space="0" w:color="auto"/>
        <w:bottom w:val="none" w:sz="0" w:space="0" w:color="auto"/>
        <w:right w:val="none" w:sz="0" w:space="0" w:color="auto"/>
      </w:divBdr>
    </w:div>
    <w:div w:id="1437367200">
      <w:bodyDiv w:val="1"/>
      <w:marLeft w:val="0"/>
      <w:marRight w:val="0"/>
      <w:marTop w:val="0"/>
      <w:marBottom w:val="0"/>
      <w:divBdr>
        <w:top w:val="none" w:sz="0" w:space="0" w:color="auto"/>
        <w:left w:val="none" w:sz="0" w:space="0" w:color="auto"/>
        <w:bottom w:val="none" w:sz="0" w:space="0" w:color="auto"/>
        <w:right w:val="none" w:sz="0" w:space="0" w:color="auto"/>
      </w:divBdr>
    </w:div>
    <w:div w:id="1463157434">
      <w:bodyDiv w:val="1"/>
      <w:marLeft w:val="0"/>
      <w:marRight w:val="0"/>
      <w:marTop w:val="0"/>
      <w:marBottom w:val="0"/>
      <w:divBdr>
        <w:top w:val="none" w:sz="0" w:space="0" w:color="auto"/>
        <w:left w:val="none" w:sz="0" w:space="0" w:color="auto"/>
        <w:bottom w:val="none" w:sz="0" w:space="0" w:color="auto"/>
        <w:right w:val="none" w:sz="0" w:space="0" w:color="auto"/>
      </w:divBdr>
    </w:div>
    <w:div w:id="1471358866">
      <w:bodyDiv w:val="1"/>
      <w:marLeft w:val="0"/>
      <w:marRight w:val="0"/>
      <w:marTop w:val="0"/>
      <w:marBottom w:val="0"/>
      <w:divBdr>
        <w:top w:val="none" w:sz="0" w:space="0" w:color="auto"/>
        <w:left w:val="none" w:sz="0" w:space="0" w:color="auto"/>
        <w:bottom w:val="none" w:sz="0" w:space="0" w:color="auto"/>
        <w:right w:val="none" w:sz="0" w:space="0" w:color="auto"/>
      </w:divBdr>
    </w:div>
    <w:div w:id="1471626910">
      <w:bodyDiv w:val="1"/>
      <w:marLeft w:val="0"/>
      <w:marRight w:val="0"/>
      <w:marTop w:val="0"/>
      <w:marBottom w:val="0"/>
      <w:divBdr>
        <w:top w:val="none" w:sz="0" w:space="0" w:color="auto"/>
        <w:left w:val="none" w:sz="0" w:space="0" w:color="auto"/>
        <w:bottom w:val="none" w:sz="0" w:space="0" w:color="auto"/>
        <w:right w:val="none" w:sz="0" w:space="0" w:color="auto"/>
      </w:divBdr>
    </w:div>
    <w:div w:id="1475485907">
      <w:bodyDiv w:val="1"/>
      <w:marLeft w:val="0"/>
      <w:marRight w:val="0"/>
      <w:marTop w:val="0"/>
      <w:marBottom w:val="0"/>
      <w:divBdr>
        <w:top w:val="none" w:sz="0" w:space="0" w:color="auto"/>
        <w:left w:val="none" w:sz="0" w:space="0" w:color="auto"/>
        <w:bottom w:val="none" w:sz="0" w:space="0" w:color="auto"/>
        <w:right w:val="none" w:sz="0" w:space="0" w:color="auto"/>
      </w:divBdr>
    </w:div>
    <w:div w:id="1507481012">
      <w:bodyDiv w:val="1"/>
      <w:marLeft w:val="0"/>
      <w:marRight w:val="0"/>
      <w:marTop w:val="0"/>
      <w:marBottom w:val="0"/>
      <w:divBdr>
        <w:top w:val="none" w:sz="0" w:space="0" w:color="auto"/>
        <w:left w:val="none" w:sz="0" w:space="0" w:color="auto"/>
        <w:bottom w:val="none" w:sz="0" w:space="0" w:color="auto"/>
        <w:right w:val="none" w:sz="0" w:space="0" w:color="auto"/>
      </w:divBdr>
    </w:div>
    <w:div w:id="1529027536">
      <w:bodyDiv w:val="1"/>
      <w:marLeft w:val="0"/>
      <w:marRight w:val="0"/>
      <w:marTop w:val="0"/>
      <w:marBottom w:val="0"/>
      <w:divBdr>
        <w:top w:val="none" w:sz="0" w:space="0" w:color="auto"/>
        <w:left w:val="none" w:sz="0" w:space="0" w:color="auto"/>
        <w:bottom w:val="none" w:sz="0" w:space="0" w:color="auto"/>
        <w:right w:val="none" w:sz="0" w:space="0" w:color="auto"/>
      </w:divBdr>
    </w:div>
    <w:div w:id="1529563526">
      <w:bodyDiv w:val="1"/>
      <w:marLeft w:val="0"/>
      <w:marRight w:val="0"/>
      <w:marTop w:val="0"/>
      <w:marBottom w:val="0"/>
      <w:divBdr>
        <w:top w:val="none" w:sz="0" w:space="0" w:color="auto"/>
        <w:left w:val="none" w:sz="0" w:space="0" w:color="auto"/>
        <w:bottom w:val="none" w:sz="0" w:space="0" w:color="auto"/>
        <w:right w:val="none" w:sz="0" w:space="0" w:color="auto"/>
      </w:divBdr>
    </w:div>
    <w:div w:id="1538853160">
      <w:bodyDiv w:val="1"/>
      <w:marLeft w:val="0"/>
      <w:marRight w:val="0"/>
      <w:marTop w:val="0"/>
      <w:marBottom w:val="0"/>
      <w:divBdr>
        <w:top w:val="none" w:sz="0" w:space="0" w:color="auto"/>
        <w:left w:val="none" w:sz="0" w:space="0" w:color="auto"/>
        <w:bottom w:val="none" w:sz="0" w:space="0" w:color="auto"/>
        <w:right w:val="none" w:sz="0" w:space="0" w:color="auto"/>
      </w:divBdr>
    </w:div>
    <w:div w:id="1545095130">
      <w:bodyDiv w:val="1"/>
      <w:marLeft w:val="0"/>
      <w:marRight w:val="0"/>
      <w:marTop w:val="0"/>
      <w:marBottom w:val="0"/>
      <w:divBdr>
        <w:top w:val="none" w:sz="0" w:space="0" w:color="auto"/>
        <w:left w:val="none" w:sz="0" w:space="0" w:color="auto"/>
        <w:bottom w:val="none" w:sz="0" w:space="0" w:color="auto"/>
        <w:right w:val="none" w:sz="0" w:space="0" w:color="auto"/>
      </w:divBdr>
    </w:div>
    <w:div w:id="1555040393">
      <w:bodyDiv w:val="1"/>
      <w:marLeft w:val="0"/>
      <w:marRight w:val="0"/>
      <w:marTop w:val="0"/>
      <w:marBottom w:val="0"/>
      <w:divBdr>
        <w:top w:val="none" w:sz="0" w:space="0" w:color="auto"/>
        <w:left w:val="none" w:sz="0" w:space="0" w:color="auto"/>
        <w:bottom w:val="none" w:sz="0" w:space="0" w:color="auto"/>
        <w:right w:val="none" w:sz="0" w:space="0" w:color="auto"/>
      </w:divBdr>
    </w:div>
    <w:div w:id="1569728702">
      <w:bodyDiv w:val="1"/>
      <w:marLeft w:val="0"/>
      <w:marRight w:val="0"/>
      <w:marTop w:val="0"/>
      <w:marBottom w:val="0"/>
      <w:divBdr>
        <w:top w:val="none" w:sz="0" w:space="0" w:color="auto"/>
        <w:left w:val="none" w:sz="0" w:space="0" w:color="auto"/>
        <w:bottom w:val="none" w:sz="0" w:space="0" w:color="auto"/>
        <w:right w:val="none" w:sz="0" w:space="0" w:color="auto"/>
      </w:divBdr>
    </w:div>
    <w:div w:id="1582595096">
      <w:bodyDiv w:val="1"/>
      <w:marLeft w:val="0"/>
      <w:marRight w:val="0"/>
      <w:marTop w:val="0"/>
      <w:marBottom w:val="0"/>
      <w:divBdr>
        <w:top w:val="none" w:sz="0" w:space="0" w:color="auto"/>
        <w:left w:val="none" w:sz="0" w:space="0" w:color="auto"/>
        <w:bottom w:val="none" w:sz="0" w:space="0" w:color="auto"/>
        <w:right w:val="none" w:sz="0" w:space="0" w:color="auto"/>
      </w:divBdr>
    </w:div>
    <w:div w:id="1589389259">
      <w:bodyDiv w:val="1"/>
      <w:marLeft w:val="0"/>
      <w:marRight w:val="0"/>
      <w:marTop w:val="0"/>
      <w:marBottom w:val="0"/>
      <w:divBdr>
        <w:top w:val="none" w:sz="0" w:space="0" w:color="auto"/>
        <w:left w:val="none" w:sz="0" w:space="0" w:color="auto"/>
        <w:bottom w:val="none" w:sz="0" w:space="0" w:color="auto"/>
        <w:right w:val="none" w:sz="0" w:space="0" w:color="auto"/>
      </w:divBdr>
    </w:div>
    <w:div w:id="1609969047">
      <w:bodyDiv w:val="1"/>
      <w:marLeft w:val="0"/>
      <w:marRight w:val="0"/>
      <w:marTop w:val="0"/>
      <w:marBottom w:val="0"/>
      <w:divBdr>
        <w:top w:val="none" w:sz="0" w:space="0" w:color="auto"/>
        <w:left w:val="none" w:sz="0" w:space="0" w:color="auto"/>
        <w:bottom w:val="none" w:sz="0" w:space="0" w:color="auto"/>
        <w:right w:val="none" w:sz="0" w:space="0" w:color="auto"/>
      </w:divBdr>
    </w:div>
    <w:div w:id="1622878791">
      <w:bodyDiv w:val="1"/>
      <w:marLeft w:val="0"/>
      <w:marRight w:val="0"/>
      <w:marTop w:val="0"/>
      <w:marBottom w:val="0"/>
      <w:divBdr>
        <w:top w:val="none" w:sz="0" w:space="0" w:color="auto"/>
        <w:left w:val="none" w:sz="0" w:space="0" w:color="auto"/>
        <w:bottom w:val="none" w:sz="0" w:space="0" w:color="auto"/>
        <w:right w:val="none" w:sz="0" w:space="0" w:color="auto"/>
      </w:divBdr>
    </w:div>
    <w:div w:id="1650550664">
      <w:bodyDiv w:val="1"/>
      <w:marLeft w:val="0"/>
      <w:marRight w:val="0"/>
      <w:marTop w:val="0"/>
      <w:marBottom w:val="0"/>
      <w:divBdr>
        <w:top w:val="none" w:sz="0" w:space="0" w:color="auto"/>
        <w:left w:val="none" w:sz="0" w:space="0" w:color="auto"/>
        <w:bottom w:val="none" w:sz="0" w:space="0" w:color="auto"/>
        <w:right w:val="none" w:sz="0" w:space="0" w:color="auto"/>
      </w:divBdr>
    </w:div>
    <w:div w:id="1653295955">
      <w:bodyDiv w:val="1"/>
      <w:marLeft w:val="0"/>
      <w:marRight w:val="0"/>
      <w:marTop w:val="0"/>
      <w:marBottom w:val="0"/>
      <w:divBdr>
        <w:top w:val="none" w:sz="0" w:space="0" w:color="auto"/>
        <w:left w:val="none" w:sz="0" w:space="0" w:color="auto"/>
        <w:bottom w:val="none" w:sz="0" w:space="0" w:color="auto"/>
        <w:right w:val="none" w:sz="0" w:space="0" w:color="auto"/>
      </w:divBdr>
      <w:divsChild>
        <w:div w:id="1393039000">
          <w:marLeft w:val="0"/>
          <w:marRight w:val="0"/>
          <w:marTop w:val="0"/>
          <w:marBottom w:val="0"/>
          <w:divBdr>
            <w:top w:val="none" w:sz="0" w:space="0" w:color="auto"/>
            <w:left w:val="none" w:sz="0" w:space="0" w:color="auto"/>
            <w:bottom w:val="none" w:sz="0" w:space="0" w:color="auto"/>
            <w:right w:val="none" w:sz="0" w:space="0" w:color="auto"/>
          </w:divBdr>
          <w:divsChild>
            <w:div w:id="1043142586">
              <w:marLeft w:val="0"/>
              <w:marRight w:val="0"/>
              <w:marTop w:val="0"/>
              <w:marBottom w:val="0"/>
              <w:divBdr>
                <w:top w:val="none" w:sz="0" w:space="0" w:color="auto"/>
                <w:left w:val="none" w:sz="0" w:space="0" w:color="auto"/>
                <w:bottom w:val="none" w:sz="0" w:space="0" w:color="auto"/>
                <w:right w:val="none" w:sz="0" w:space="0" w:color="auto"/>
              </w:divBdr>
              <w:divsChild>
                <w:div w:id="299459829">
                  <w:marLeft w:val="0"/>
                  <w:marRight w:val="0"/>
                  <w:marTop w:val="0"/>
                  <w:marBottom w:val="0"/>
                  <w:divBdr>
                    <w:top w:val="none" w:sz="0" w:space="0" w:color="auto"/>
                    <w:left w:val="none" w:sz="0" w:space="0" w:color="auto"/>
                    <w:bottom w:val="none" w:sz="0" w:space="0" w:color="auto"/>
                    <w:right w:val="none" w:sz="0" w:space="0" w:color="auto"/>
                  </w:divBdr>
                  <w:divsChild>
                    <w:div w:id="353851445">
                      <w:marLeft w:val="0"/>
                      <w:marRight w:val="0"/>
                      <w:marTop w:val="0"/>
                      <w:marBottom w:val="0"/>
                      <w:divBdr>
                        <w:top w:val="none" w:sz="0" w:space="0" w:color="auto"/>
                        <w:left w:val="none" w:sz="0" w:space="0" w:color="auto"/>
                        <w:bottom w:val="none" w:sz="0" w:space="0" w:color="auto"/>
                        <w:right w:val="none" w:sz="0" w:space="0" w:color="auto"/>
                      </w:divBdr>
                      <w:divsChild>
                        <w:div w:id="392774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730235">
      <w:bodyDiv w:val="1"/>
      <w:marLeft w:val="0"/>
      <w:marRight w:val="0"/>
      <w:marTop w:val="0"/>
      <w:marBottom w:val="0"/>
      <w:divBdr>
        <w:top w:val="none" w:sz="0" w:space="0" w:color="auto"/>
        <w:left w:val="none" w:sz="0" w:space="0" w:color="auto"/>
        <w:bottom w:val="none" w:sz="0" w:space="0" w:color="auto"/>
        <w:right w:val="none" w:sz="0" w:space="0" w:color="auto"/>
      </w:divBdr>
    </w:div>
    <w:div w:id="1668482955">
      <w:bodyDiv w:val="1"/>
      <w:marLeft w:val="0"/>
      <w:marRight w:val="0"/>
      <w:marTop w:val="0"/>
      <w:marBottom w:val="0"/>
      <w:divBdr>
        <w:top w:val="none" w:sz="0" w:space="0" w:color="auto"/>
        <w:left w:val="none" w:sz="0" w:space="0" w:color="auto"/>
        <w:bottom w:val="none" w:sz="0" w:space="0" w:color="auto"/>
        <w:right w:val="none" w:sz="0" w:space="0" w:color="auto"/>
      </w:divBdr>
    </w:div>
    <w:div w:id="1669015035">
      <w:bodyDiv w:val="1"/>
      <w:marLeft w:val="0"/>
      <w:marRight w:val="0"/>
      <w:marTop w:val="0"/>
      <w:marBottom w:val="0"/>
      <w:divBdr>
        <w:top w:val="none" w:sz="0" w:space="0" w:color="auto"/>
        <w:left w:val="none" w:sz="0" w:space="0" w:color="auto"/>
        <w:bottom w:val="none" w:sz="0" w:space="0" w:color="auto"/>
        <w:right w:val="none" w:sz="0" w:space="0" w:color="auto"/>
      </w:divBdr>
    </w:div>
    <w:div w:id="1683437238">
      <w:bodyDiv w:val="1"/>
      <w:marLeft w:val="0"/>
      <w:marRight w:val="0"/>
      <w:marTop w:val="0"/>
      <w:marBottom w:val="0"/>
      <w:divBdr>
        <w:top w:val="none" w:sz="0" w:space="0" w:color="auto"/>
        <w:left w:val="none" w:sz="0" w:space="0" w:color="auto"/>
        <w:bottom w:val="none" w:sz="0" w:space="0" w:color="auto"/>
        <w:right w:val="none" w:sz="0" w:space="0" w:color="auto"/>
      </w:divBdr>
    </w:div>
    <w:div w:id="1698654843">
      <w:bodyDiv w:val="1"/>
      <w:marLeft w:val="0"/>
      <w:marRight w:val="0"/>
      <w:marTop w:val="0"/>
      <w:marBottom w:val="0"/>
      <w:divBdr>
        <w:top w:val="none" w:sz="0" w:space="0" w:color="auto"/>
        <w:left w:val="none" w:sz="0" w:space="0" w:color="auto"/>
        <w:bottom w:val="none" w:sz="0" w:space="0" w:color="auto"/>
        <w:right w:val="none" w:sz="0" w:space="0" w:color="auto"/>
      </w:divBdr>
    </w:div>
    <w:div w:id="1716544643">
      <w:bodyDiv w:val="1"/>
      <w:marLeft w:val="0"/>
      <w:marRight w:val="0"/>
      <w:marTop w:val="0"/>
      <w:marBottom w:val="0"/>
      <w:divBdr>
        <w:top w:val="none" w:sz="0" w:space="0" w:color="auto"/>
        <w:left w:val="none" w:sz="0" w:space="0" w:color="auto"/>
        <w:bottom w:val="none" w:sz="0" w:space="0" w:color="auto"/>
        <w:right w:val="none" w:sz="0" w:space="0" w:color="auto"/>
      </w:divBdr>
    </w:div>
    <w:div w:id="1749618860">
      <w:bodyDiv w:val="1"/>
      <w:marLeft w:val="0"/>
      <w:marRight w:val="0"/>
      <w:marTop w:val="0"/>
      <w:marBottom w:val="0"/>
      <w:divBdr>
        <w:top w:val="none" w:sz="0" w:space="0" w:color="auto"/>
        <w:left w:val="none" w:sz="0" w:space="0" w:color="auto"/>
        <w:bottom w:val="none" w:sz="0" w:space="0" w:color="auto"/>
        <w:right w:val="none" w:sz="0" w:space="0" w:color="auto"/>
      </w:divBdr>
    </w:div>
    <w:div w:id="1756199274">
      <w:bodyDiv w:val="1"/>
      <w:marLeft w:val="0"/>
      <w:marRight w:val="0"/>
      <w:marTop w:val="0"/>
      <w:marBottom w:val="0"/>
      <w:divBdr>
        <w:top w:val="none" w:sz="0" w:space="0" w:color="auto"/>
        <w:left w:val="none" w:sz="0" w:space="0" w:color="auto"/>
        <w:bottom w:val="none" w:sz="0" w:space="0" w:color="auto"/>
        <w:right w:val="none" w:sz="0" w:space="0" w:color="auto"/>
      </w:divBdr>
      <w:divsChild>
        <w:div w:id="150409703">
          <w:marLeft w:val="0"/>
          <w:marRight w:val="0"/>
          <w:marTop w:val="0"/>
          <w:marBottom w:val="0"/>
          <w:divBdr>
            <w:top w:val="none" w:sz="0" w:space="0" w:color="auto"/>
            <w:left w:val="none" w:sz="0" w:space="0" w:color="auto"/>
            <w:bottom w:val="none" w:sz="0" w:space="0" w:color="auto"/>
            <w:right w:val="none" w:sz="0" w:space="0" w:color="auto"/>
          </w:divBdr>
        </w:div>
      </w:divsChild>
    </w:div>
    <w:div w:id="1770077216">
      <w:bodyDiv w:val="1"/>
      <w:marLeft w:val="0"/>
      <w:marRight w:val="0"/>
      <w:marTop w:val="0"/>
      <w:marBottom w:val="0"/>
      <w:divBdr>
        <w:top w:val="none" w:sz="0" w:space="0" w:color="auto"/>
        <w:left w:val="none" w:sz="0" w:space="0" w:color="auto"/>
        <w:bottom w:val="none" w:sz="0" w:space="0" w:color="auto"/>
        <w:right w:val="none" w:sz="0" w:space="0" w:color="auto"/>
      </w:divBdr>
    </w:div>
    <w:div w:id="1781677999">
      <w:bodyDiv w:val="1"/>
      <w:marLeft w:val="0"/>
      <w:marRight w:val="0"/>
      <w:marTop w:val="0"/>
      <w:marBottom w:val="0"/>
      <w:divBdr>
        <w:top w:val="none" w:sz="0" w:space="0" w:color="auto"/>
        <w:left w:val="none" w:sz="0" w:space="0" w:color="auto"/>
        <w:bottom w:val="none" w:sz="0" w:space="0" w:color="auto"/>
        <w:right w:val="none" w:sz="0" w:space="0" w:color="auto"/>
      </w:divBdr>
    </w:div>
    <w:div w:id="1804813225">
      <w:bodyDiv w:val="1"/>
      <w:marLeft w:val="0"/>
      <w:marRight w:val="0"/>
      <w:marTop w:val="0"/>
      <w:marBottom w:val="0"/>
      <w:divBdr>
        <w:top w:val="none" w:sz="0" w:space="0" w:color="auto"/>
        <w:left w:val="none" w:sz="0" w:space="0" w:color="auto"/>
        <w:bottom w:val="none" w:sz="0" w:space="0" w:color="auto"/>
        <w:right w:val="none" w:sz="0" w:space="0" w:color="auto"/>
      </w:divBdr>
    </w:div>
    <w:div w:id="1816530827">
      <w:bodyDiv w:val="1"/>
      <w:marLeft w:val="0"/>
      <w:marRight w:val="0"/>
      <w:marTop w:val="0"/>
      <w:marBottom w:val="0"/>
      <w:divBdr>
        <w:top w:val="none" w:sz="0" w:space="0" w:color="auto"/>
        <w:left w:val="none" w:sz="0" w:space="0" w:color="auto"/>
        <w:bottom w:val="none" w:sz="0" w:space="0" w:color="auto"/>
        <w:right w:val="none" w:sz="0" w:space="0" w:color="auto"/>
      </w:divBdr>
    </w:div>
    <w:div w:id="1820609650">
      <w:bodyDiv w:val="1"/>
      <w:marLeft w:val="0"/>
      <w:marRight w:val="0"/>
      <w:marTop w:val="0"/>
      <w:marBottom w:val="0"/>
      <w:divBdr>
        <w:top w:val="none" w:sz="0" w:space="0" w:color="auto"/>
        <w:left w:val="none" w:sz="0" w:space="0" w:color="auto"/>
        <w:bottom w:val="none" w:sz="0" w:space="0" w:color="auto"/>
        <w:right w:val="none" w:sz="0" w:space="0" w:color="auto"/>
      </w:divBdr>
    </w:div>
    <w:div w:id="1827894724">
      <w:bodyDiv w:val="1"/>
      <w:marLeft w:val="0"/>
      <w:marRight w:val="0"/>
      <w:marTop w:val="0"/>
      <w:marBottom w:val="0"/>
      <w:divBdr>
        <w:top w:val="none" w:sz="0" w:space="0" w:color="auto"/>
        <w:left w:val="none" w:sz="0" w:space="0" w:color="auto"/>
        <w:bottom w:val="none" w:sz="0" w:space="0" w:color="auto"/>
        <w:right w:val="none" w:sz="0" w:space="0" w:color="auto"/>
      </w:divBdr>
    </w:div>
    <w:div w:id="1834947068">
      <w:bodyDiv w:val="1"/>
      <w:marLeft w:val="0"/>
      <w:marRight w:val="0"/>
      <w:marTop w:val="0"/>
      <w:marBottom w:val="0"/>
      <w:divBdr>
        <w:top w:val="none" w:sz="0" w:space="0" w:color="auto"/>
        <w:left w:val="none" w:sz="0" w:space="0" w:color="auto"/>
        <w:bottom w:val="none" w:sz="0" w:space="0" w:color="auto"/>
        <w:right w:val="none" w:sz="0" w:space="0" w:color="auto"/>
      </w:divBdr>
    </w:div>
    <w:div w:id="1842887761">
      <w:bodyDiv w:val="1"/>
      <w:marLeft w:val="0"/>
      <w:marRight w:val="0"/>
      <w:marTop w:val="0"/>
      <w:marBottom w:val="0"/>
      <w:divBdr>
        <w:top w:val="none" w:sz="0" w:space="0" w:color="auto"/>
        <w:left w:val="none" w:sz="0" w:space="0" w:color="auto"/>
        <w:bottom w:val="none" w:sz="0" w:space="0" w:color="auto"/>
        <w:right w:val="none" w:sz="0" w:space="0" w:color="auto"/>
      </w:divBdr>
    </w:div>
    <w:div w:id="1845706585">
      <w:bodyDiv w:val="1"/>
      <w:marLeft w:val="0"/>
      <w:marRight w:val="0"/>
      <w:marTop w:val="0"/>
      <w:marBottom w:val="0"/>
      <w:divBdr>
        <w:top w:val="none" w:sz="0" w:space="0" w:color="auto"/>
        <w:left w:val="none" w:sz="0" w:space="0" w:color="auto"/>
        <w:bottom w:val="none" w:sz="0" w:space="0" w:color="auto"/>
        <w:right w:val="none" w:sz="0" w:space="0" w:color="auto"/>
      </w:divBdr>
    </w:div>
    <w:div w:id="1862159031">
      <w:bodyDiv w:val="1"/>
      <w:marLeft w:val="0"/>
      <w:marRight w:val="0"/>
      <w:marTop w:val="0"/>
      <w:marBottom w:val="0"/>
      <w:divBdr>
        <w:top w:val="none" w:sz="0" w:space="0" w:color="auto"/>
        <w:left w:val="none" w:sz="0" w:space="0" w:color="auto"/>
        <w:bottom w:val="none" w:sz="0" w:space="0" w:color="auto"/>
        <w:right w:val="none" w:sz="0" w:space="0" w:color="auto"/>
      </w:divBdr>
    </w:div>
    <w:div w:id="1874271357">
      <w:bodyDiv w:val="1"/>
      <w:marLeft w:val="0"/>
      <w:marRight w:val="0"/>
      <w:marTop w:val="0"/>
      <w:marBottom w:val="0"/>
      <w:divBdr>
        <w:top w:val="none" w:sz="0" w:space="0" w:color="auto"/>
        <w:left w:val="none" w:sz="0" w:space="0" w:color="auto"/>
        <w:bottom w:val="none" w:sz="0" w:space="0" w:color="auto"/>
        <w:right w:val="none" w:sz="0" w:space="0" w:color="auto"/>
      </w:divBdr>
    </w:div>
    <w:div w:id="1915121893">
      <w:bodyDiv w:val="1"/>
      <w:marLeft w:val="0"/>
      <w:marRight w:val="0"/>
      <w:marTop w:val="0"/>
      <w:marBottom w:val="0"/>
      <w:divBdr>
        <w:top w:val="none" w:sz="0" w:space="0" w:color="auto"/>
        <w:left w:val="none" w:sz="0" w:space="0" w:color="auto"/>
        <w:bottom w:val="none" w:sz="0" w:space="0" w:color="auto"/>
        <w:right w:val="none" w:sz="0" w:space="0" w:color="auto"/>
      </w:divBdr>
    </w:div>
    <w:div w:id="1941600770">
      <w:bodyDiv w:val="1"/>
      <w:marLeft w:val="0"/>
      <w:marRight w:val="0"/>
      <w:marTop w:val="0"/>
      <w:marBottom w:val="0"/>
      <w:divBdr>
        <w:top w:val="none" w:sz="0" w:space="0" w:color="auto"/>
        <w:left w:val="none" w:sz="0" w:space="0" w:color="auto"/>
        <w:bottom w:val="none" w:sz="0" w:space="0" w:color="auto"/>
        <w:right w:val="none" w:sz="0" w:space="0" w:color="auto"/>
      </w:divBdr>
    </w:div>
    <w:div w:id="1952660797">
      <w:bodyDiv w:val="1"/>
      <w:marLeft w:val="0"/>
      <w:marRight w:val="0"/>
      <w:marTop w:val="0"/>
      <w:marBottom w:val="0"/>
      <w:divBdr>
        <w:top w:val="none" w:sz="0" w:space="0" w:color="auto"/>
        <w:left w:val="none" w:sz="0" w:space="0" w:color="auto"/>
        <w:bottom w:val="none" w:sz="0" w:space="0" w:color="auto"/>
        <w:right w:val="none" w:sz="0" w:space="0" w:color="auto"/>
      </w:divBdr>
    </w:div>
    <w:div w:id="1963877072">
      <w:bodyDiv w:val="1"/>
      <w:marLeft w:val="0"/>
      <w:marRight w:val="0"/>
      <w:marTop w:val="0"/>
      <w:marBottom w:val="0"/>
      <w:divBdr>
        <w:top w:val="none" w:sz="0" w:space="0" w:color="auto"/>
        <w:left w:val="none" w:sz="0" w:space="0" w:color="auto"/>
        <w:bottom w:val="none" w:sz="0" w:space="0" w:color="auto"/>
        <w:right w:val="none" w:sz="0" w:space="0" w:color="auto"/>
      </w:divBdr>
    </w:div>
    <w:div w:id="1968731652">
      <w:bodyDiv w:val="1"/>
      <w:marLeft w:val="0"/>
      <w:marRight w:val="0"/>
      <w:marTop w:val="0"/>
      <w:marBottom w:val="0"/>
      <w:divBdr>
        <w:top w:val="none" w:sz="0" w:space="0" w:color="auto"/>
        <w:left w:val="none" w:sz="0" w:space="0" w:color="auto"/>
        <w:bottom w:val="none" w:sz="0" w:space="0" w:color="auto"/>
        <w:right w:val="none" w:sz="0" w:space="0" w:color="auto"/>
      </w:divBdr>
    </w:div>
    <w:div w:id="2014214285">
      <w:bodyDiv w:val="1"/>
      <w:marLeft w:val="0"/>
      <w:marRight w:val="0"/>
      <w:marTop w:val="0"/>
      <w:marBottom w:val="0"/>
      <w:divBdr>
        <w:top w:val="none" w:sz="0" w:space="0" w:color="auto"/>
        <w:left w:val="none" w:sz="0" w:space="0" w:color="auto"/>
        <w:bottom w:val="none" w:sz="0" w:space="0" w:color="auto"/>
        <w:right w:val="none" w:sz="0" w:space="0" w:color="auto"/>
      </w:divBdr>
    </w:div>
    <w:div w:id="2015379823">
      <w:bodyDiv w:val="1"/>
      <w:marLeft w:val="0"/>
      <w:marRight w:val="0"/>
      <w:marTop w:val="0"/>
      <w:marBottom w:val="0"/>
      <w:divBdr>
        <w:top w:val="none" w:sz="0" w:space="0" w:color="auto"/>
        <w:left w:val="none" w:sz="0" w:space="0" w:color="auto"/>
        <w:bottom w:val="none" w:sz="0" w:space="0" w:color="auto"/>
        <w:right w:val="none" w:sz="0" w:space="0" w:color="auto"/>
      </w:divBdr>
    </w:div>
    <w:div w:id="2026592876">
      <w:bodyDiv w:val="1"/>
      <w:marLeft w:val="0"/>
      <w:marRight w:val="0"/>
      <w:marTop w:val="0"/>
      <w:marBottom w:val="0"/>
      <w:divBdr>
        <w:top w:val="none" w:sz="0" w:space="0" w:color="auto"/>
        <w:left w:val="none" w:sz="0" w:space="0" w:color="auto"/>
        <w:bottom w:val="none" w:sz="0" w:space="0" w:color="auto"/>
        <w:right w:val="none" w:sz="0" w:space="0" w:color="auto"/>
      </w:divBdr>
    </w:div>
    <w:div w:id="2122647019">
      <w:bodyDiv w:val="1"/>
      <w:marLeft w:val="0"/>
      <w:marRight w:val="0"/>
      <w:marTop w:val="0"/>
      <w:marBottom w:val="0"/>
      <w:divBdr>
        <w:top w:val="none" w:sz="0" w:space="0" w:color="auto"/>
        <w:left w:val="none" w:sz="0" w:space="0" w:color="auto"/>
        <w:bottom w:val="none" w:sz="0" w:space="0" w:color="auto"/>
        <w:right w:val="none" w:sz="0" w:space="0" w:color="auto"/>
      </w:divBdr>
    </w:div>
    <w:div w:id="2125725973">
      <w:bodyDiv w:val="1"/>
      <w:marLeft w:val="0"/>
      <w:marRight w:val="0"/>
      <w:marTop w:val="0"/>
      <w:marBottom w:val="0"/>
      <w:divBdr>
        <w:top w:val="none" w:sz="0" w:space="0" w:color="auto"/>
        <w:left w:val="none" w:sz="0" w:space="0" w:color="auto"/>
        <w:bottom w:val="none" w:sz="0" w:space="0" w:color="auto"/>
        <w:right w:val="none" w:sz="0" w:space="0" w:color="auto"/>
      </w:divBdr>
    </w:div>
    <w:div w:id="2132168232">
      <w:bodyDiv w:val="1"/>
      <w:marLeft w:val="0"/>
      <w:marRight w:val="0"/>
      <w:marTop w:val="0"/>
      <w:marBottom w:val="0"/>
      <w:divBdr>
        <w:top w:val="none" w:sz="0" w:space="0" w:color="auto"/>
        <w:left w:val="none" w:sz="0" w:space="0" w:color="auto"/>
        <w:bottom w:val="none" w:sz="0" w:space="0" w:color="auto"/>
        <w:right w:val="none" w:sz="0" w:space="0" w:color="auto"/>
      </w:divBdr>
    </w:div>
    <w:div w:id="2145811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ousing.ec.europa.eu/news/presidents-state-union-speech-addresses-housing-crisis-2025-09-10_en"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s://www.oecd.org/en/publications/oecd-monitoring-framework-to-measure-homelessness_3e98455b-en.html" TargetMode="External"/><Relationship Id="rId13" Type="http://schemas.openxmlformats.org/officeDocument/2006/relationships/hyperlink" Target="https://eur-lex.europa.eu/eli/reco/2021/1004/oj/fre" TargetMode="External"/><Relationship Id="rId18" Type="http://schemas.openxmlformats.org/officeDocument/2006/relationships/hyperlink" Target="https://eur-lex.europa.eu/legal-content/FR/TXT/?uri=celex:52020DC0620" TargetMode="External"/><Relationship Id="rId26" Type="http://schemas.openxmlformats.org/officeDocument/2006/relationships/hyperlink" Target="https://eur-lex.europa.eu/legal-content/FR/TXT/PDF/?uri=CELEX:52021IR3911" TargetMode="External"/><Relationship Id="rId39" Type="http://schemas.openxmlformats.org/officeDocument/2006/relationships/hyperlink" Target="https://eur-lex.europa.eu/eli/dec/2025/2630/oj/fre" TargetMode="External"/><Relationship Id="rId3" Type="http://schemas.openxmlformats.org/officeDocument/2006/relationships/hyperlink" Target="https://ec.europa.eu/eurostat/statistics-explained/SEPDF/cache/132338.pdf" TargetMode="External"/><Relationship Id="rId21" Type="http://schemas.openxmlformats.org/officeDocument/2006/relationships/hyperlink" Target="https://eur-lex.europa.eu/eli/dir/2014/92/oj/fre" TargetMode="External"/><Relationship Id="rId34" Type="http://schemas.openxmlformats.org/officeDocument/2006/relationships/hyperlink" Target="https://eur-lex.europa.eu/legal-content/FR/TXT/?uri=CELEX%3A32017R0543&amp;qid=1765103514589" TargetMode="External"/><Relationship Id="rId7" Type="http://schemas.openxmlformats.org/officeDocument/2006/relationships/hyperlink" Target="https://www.oecd.org/en/publications/oecd-monitoring-framework-to-measure-homelessness_3e98455b-en.html" TargetMode="External"/><Relationship Id="rId12" Type="http://schemas.openxmlformats.org/officeDocument/2006/relationships/hyperlink" Target="https://eur-lex.europa.eu/legal-content/fr/TXT/?uri=oj:JOC_2017_428_R_0009" TargetMode="External"/><Relationship Id="rId17" Type="http://schemas.openxmlformats.org/officeDocument/2006/relationships/hyperlink" Target="https://eur-lex.europa.eu/legal-content/FR/TXT/?uri=celex:52020DC0620" TargetMode="External"/><Relationship Id="rId25" Type="http://schemas.openxmlformats.org/officeDocument/2006/relationships/hyperlink" Target="https://eur-lex.europa.eu/legal-content/FR/TXT/PDF/?uri=CELEX:52021IR3911" TargetMode="External"/><Relationship Id="rId33" Type="http://schemas.openxmlformats.org/officeDocument/2006/relationships/hyperlink" Target="https://eur-lex.europa.eu/legal-content/FR/TXT/?uri=CELEX:32025R1914&amp;qid=1775501393036" TargetMode="External"/><Relationship Id="rId38" Type="http://schemas.openxmlformats.org/officeDocument/2006/relationships/hyperlink" Target="https://eur-lex.europa.eu/legal-content/FR/TXT/?uri=CELEX:32025R1914&amp;qid=1775501393036" TargetMode="External"/><Relationship Id="rId2" Type="http://schemas.openxmlformats.org/officeDocument/2006/relationships/hyperlink" Target="https://www.oecd.org/content/oecd/en/data/datasets/oecd-affordable-housing-database.html" TargetMode="External"/><Relationship Id="rId16" Type="http://schemas.openxmlformats.org/officeDocument/2006/relationships/hyperlink" Target="https://eur-lex.europa.eu/legal-content/FR/TXT/?uri=oj:JOC_2021_093_R_0001" TargetMode="External"/><Relationship Id="rId20" Type="http://schemas.openxmlformats.org/officeDocument/2006/relationships/hyperlink" Target="https://eur-lex.europa.eu/legal-content/FR/TXT/?uri=oj:JOC_2022_476_R_0001" TargetMode="External"/><Relationship Id="rId29" Type="http://schemas.openxmlformats.org/officeDocument/2006/relationships/hyperlink" Target="https://eur-lex.europa.eu/legal-content/FR/TXT/?uri=celex:52025DC1025" TargetMode="External"/><Relationship Id="rId1" Type="http://schemas.openxmlformats.org/officeDocument/2006/relationships/hyperlink" Target="https://www.oecd.org/content/oecd/en/data/datasets/oecd-affordable-housing-database.html" TargetMode="External"/><Relationship Id="rId6" Type="http://schemas.openxmlformats.org/officeDocument/2006/relationships/hyperlink" Target="https://www.oecd.org/en/publications/oecd-toolkit-to-combat-homelessness_0fec780e-en.html" TargetMode="External"/><Relationship Id="rId11" Type="http://schemas.openxmlformats.org/officeDocument/2006/relationships/hyperlink" Target="https://www.coe.int/fr/web/conventions/full-list?module=treaty-detail&amp;treatynum=163" TargetMode="External"/><Relationship Id="rId24" Type="http://schemas.openxmlformats.org/officeDocument/2006/relationships/hyperlink" Target="https://eur-lex.europa.eu/legal-content/FR/TXT/?uri=CELEX%3A32017R0543&amp;qid=1765103514589" TargetMode="External"/><Relationship Id="rId32" Type="http://schemas.openxmlformats.org/officeDocument/2006/relationships/hyperlink" Target="https://www.oecd.org/en/data/datasets/oecd-affordable-housing-database.html" TargetMode="External"/><Relationship Id="rId37" Type="http://schemas.openxmlformats.org/officeDocument/2006/relationships/hyperlink" Target="https://eur-lex.europa.eu/legal-content/FR/TXT/?uri=celex:52025DC1025" TargetMode="External"/><Relationship Id="rId5" Type="http://schemas.openxmlformats.org/officeDocument/2006/relationships/hyperlink" Target="https://www.oecd.org/en/publications/oecd-toolkit-to-combat-homelessness_0fec780e-en.html" TargetMode="External"/><Relationship Id="rId15" Type="http://schemas.openxmlformats.org/officeDocument/2006/relationships/hyperlink" Target="https://eur-lex.europa.eu/eli/C/2023/1344/oj" TargetMode="External"/><Relationship Id="rId23" Type="http://schemas.openxmlformats.org/officeDocument/2006/relationships/hyperlink" Target="https://www.europarl.europa.eu/doceo/document/TA-10-2026-0064_FR.html" TargetMode="External"/><Relationship Id="rId28" Type="http://schemas.openxmlformats.org/officeDocument/2006/relationships/hyperlink" Target="https://op.europa.eu/en/publication-detail/-/publication/428fd92f-1c2f-11f1-8c3a-01aa75ed71a1/language-en" TargetMode="External"/><Relationship Id="rId36" Type="http://schemas.openxmlformats.org/officeDocument/2006/relationships/hyperlink" Target="https://eur-lex.europa.eu/legal-content/FR/TXT/?uri=celex:52025DC1025" TargetMode="External"/><Relationship Id="rId10" Type="http://schemas.openxmlformats.org/officeDocument/2006/relationships/hyperlink" Target="https://employment-social-affairs.ec.europa.eu/fight-against-%20%20%20%20%20homelessness-and-its-links-anti-poverty-policies-across-european-union_en" TargetMode="External"/><Relationship Id="rId19" Type="http://schemas.openxmlformats.org/officeDocument/2006/relationships/hyperlink" Target="https://eur-lex.europa.eu/legal-content/FR/TXT/?uri=celex:52020DC0620" TargetMode="External"/><Relationship Id="rId31" Type="http://schemas.openxmlformats.org/officeDocument/2006/relationships/hyperlink" Target="https://www.oecd.org/en/data/datasets/oecd-affordable-housing-database.html" TargetMode="External"/><Relationship Id="rId4" Type="http://schemas.openxmlformats.org/officeDocument/2006/relationships/hyperlink" Target="https://eur-lex.europa.eu/legal-content/FR/TXT/?uri=CELEX%3A52021DC0345" TargetMode="External"/><Relationship Id="rId9" Type="http://schemas.openxmlformats.org/officeDocument/2006/relationships/hyperlink" Target="https://www.kuleuven.be/lucas/en/eu_homelessness_counts" TargetMode="External"/><Relationship Id="rId14" Type="http://schemas.openxmlformats.org/officeDocument/2006/relationships/hyperlink" Target="https://eur-lex.europa.eu/legal-content/FR/TXT/?uri=oj:JOC_2023_041_R_0001" TargetMode="External"/><Relationship Id="rId22" Type="http://schemas.openxmlformats.org/officeDocument/2006/relationships/hyperlink" Target="https://eur-lex.europa.eu/legal-content/FR/TXT/?uri=CELEX:52020IP0314" TargetMode="External"/><Relationship Id="rId27" Type="http://schemas.openxmlformats.org/officeDocument/2006/relationships/hyperlink" Target="https://eur-lex.europa.eu/legal-content/FR/TXT/?uri=CELEX%3A52023IE1741&amp;qid=1777895281331" TargetMode="External"/><Relationship Id="rId30" Type="http://schemas.openxmlformats.org/officeDocument/2006/relationships/hyperlink" Target="https://eur-lex.europa.eu/legal-content/FR/TXT/?uri=celex:52025DC1025" TargetMode="External"/><Relationship Id="rId35" Type="http://schemas.openxmlformats.org/officeDocument/2006/relationships/hyperlink" Target="https://eur-lex.europa.eu/eli/dir/2014/92/oj/fr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B4FA4B-FD26-4B62-8456-CA09F2C739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49</TotalTime>
  <Pages>14</Pages>
  <Words>15813</Words>
  <Characters>90135</Characters>
  <Application>Microsoft Office Word</Application>
  <DocSecurity>0</DocSecurity>
  <Lines>751</Lines>
  <Paragraphs>211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105737</CharactersWithSpaces>
  <SharedDoc>false</SharedDoc>
  <HLinks>
    <vt:vector size="264" baseType="variant">
      <vt:variant>
        <vt:i4>1376371</vt:i4>
      </vt:variant>
      <vt:variant>
        <vt:i4>0</vt:i4>
      </vt:variant>
      <vt:variant>
        <vt:i4>0</vt:i4>
      </vt:variant>
      <vt:variant>
        <vt:i4>5</vt:i4>
      </vt:variant>
      <vt:variant>
        <vt:lpwstr>https://housing.ec.europa.eu/news/presidents-state-union-speech-addresses-housing-crisis-2025-09-10_en</vt:lpwstr>
      </vt:variant>
      <vt:variant>
        <vt:lpwstr/>
      </vt:variant>
      <vt:variant>
        <vt:i4>7929971</vt:i4>
      </vt:variant>
      <vt:variant>
        <vt:i4>93</vt:i4>
      </vt:variant>
      <vt:variant>
        <vt:i4>0</vt:i4>
      </vt:variant>
      <vt:variant>
        <vt:i4>5</vt:i4>
      </vt:variant>
      <vt:variant>
        <vt:lpwstr>https://eur-lex.europa.eu/eli/dec/2025/2630/oj/eng</vt:lpwstr>
      </vt:variant>
      <vt:variant>
        <vt:lpwstr/>
      </vt:variant>
      <vt:variant>
        <vt:i4>3342391</vt:i4>
      </vt:variant>
      <vt:variant>
        <vt:i4>90</vt:i4>
      </vt:variant>
      <vt:variant>
        <vt:i4>0</vt:i4>
      </vt:variant>
      <vt:variant>
        <vt:i4>5</vt:i4>
      </vt:variant>
      <vt:variant>
        <vt:lpwstr>https://eur-lex.europa.eu/legal-content/en/TXT/?uri=CELEX:32025R1914&amp;qid=1775501393036</vt:lpwstr>
      </vt:variant>
      <vt:variant>
        <vt:lpwstr/>
      </vt:variant>
      <vt:variant>
        <vt:i4>196625</vt:i4>
      </vt:variant>
      <vt:variant>
        <vt:i4>87</vt:i4>
      </vt:variant>
      <vt:variant>
        <vt:i4>0</vt:i4>
      </vt:variant>
      <vt:variant>
        <vt:i4>5</vt:i4>
      </vt:variant>
      <vt:variant>
        <vt:lpwstr>https://eur-lex.europa.eu/legal-content/EN/TXT/?uri=celex:52025DC1025</vt:lpwstr>
      </vt:variant>
      <vt:variant>
        <vt:lpwstr/>
      </vt:variant>
      <vt:variant>
        <vt:i4>4980821</vt:i4>
      </vt:variant>
      <vt:variant>
        <vt:i4>81</vt:i4>
      </vt:variant>
      <vt:variant>
        <vt:i4>0</vt:i4>
      </vt:variant>
      <vt:variant>
        <vt:i4>5</vt:i4>
      </vt:variant>
      <vt:variant>
        <vt:lpwstr>https://eur-lex.europa.eu/eli/dir/2014/92/oj/eng</vt:lpwstr>
      </vt:variant>
      <vt:variant>
        <vt:lpwstr/>
      </vt:variant>
      <vt:variant>
        <vt:i4>4194312</vt:i4>
      </vt:variant>
      <vt:variant>
        <vt:i4>78</vt:i4>
      </vt:variant>
      <vt:variant>
        <vt:i4>0</vt:i4>
      </vt:variant>
      <vt:variant>
        <vt:i4>5</vt:i4>
      </vt:variant>
      <vt:variant>
        <vt:lpwstr>https://eur-lex.europa.eu/legal-content/EN/TXT/?uri=CELEX%3A32017R0543&amp;qid=1765103514589</vt:lpwstr>
      </vt:variant>
      <vt:variant>
        <vt:lpwstr/>
      </vt:variant>
      <vt:variant>
        <vt:i4>3342391</vt:i4>
      </vt:variant>
      <vt:variant>
        <vt:i4>75</vt:i4>
      </vt:variant>
      <vt:variant>
        <vt:i4>0</vt:i4>
      </vt:variant>
      <vt:variant>
        <vt:i4>5</vt:i4>
      </vt:variant>
      <vt:variant>
        <vt:lpwstr>https://eur-lex.europa.eu/legal-content/en/TXT/?uri=CELEX:32025R1914&amp;qid=1775501393036</vt:lpwstr>
      </vt:variant>
      <vt:variant>
        <vt:lpwstr/>
      </vt:variant>
      <vt:variant>
        <vt:i4>3735675</vt:i4>
      </vt:variant>
      <vt:variant>
        <vt:i4>72</vt:i4>
      </vt:variant>
      <vt:variant>
        <vt:i4>0</vt:i4>
      </vt:variant>
      <vt:variant>
        <vt:i4>5</vt:i4>
      </vt:variant>
      <vt:variant>
        <vt:lpwstr>https://www.oecd.org/en/data/datasets/oecd-affordable-housing-database.html</vt:lpwstr>
      </vt:variant>
      <vt:variant>
        <vt:lpwstr/>
      </vt:variant>
      <vt:variant>
        <vt:i4>196625</vt:i4>
      </vt:variant>
      <vt:variant>
        <vt:i4>69</vt:i4>
      </vt:variant>
      <vt:variant>
        <vt:i4>0</vt:i4>
      </vt:variant>
      <vt:variant>
        <vt:i4>5</vt:i4>
      </vt:variant>
      <vt:variant>
        <vt:lpwstr>https://eur-lex.europa.eu/legal-content/EN/TXT/?uri=celex:52025DC1025</vt:lpwstr>
      </vt:variant>
      <vt:variant>
        <vt:lpwstr/>
      </vt:variant>
      <vt:variant>
        <vt:i4>1310795</vt:i4>
      </vt:variant>
      <vt:variant>
        <vt:i4>66</vt:i4>
      </vt:variant>
      <vt:variant>
        <vt:i4>0</vt:i4>
      </vt:variant>
      <vt:variant>
        <vt:i4>5</vt:i4>
      </vt:variant>
      <vt:variant>
        <vt:lpwstr>https://op.europa.eu/en/publication-detail/-/publication/428fd92f-1c2f-11f1-8c3a-01aa75ed71a1/language-en</vt:lpwstr>
      </vt:variant>
      <vt:variant>
        <vt:lpwstr/>
      </vt:variant>
      <vt:variant>
        <vt:i4>851969</vt:i4>
      </vt:variant>
      <vt:variant>
        <vt:i4>63</vt:i4>
      </vt:variant>
      <vt:variant>
        <vt:i4>0</vt:i4>
      </vt:variant>
      <vt:variant>
        <vt:i4>5</vt:i4>
      </vt:variant>
      <vt:variant>
        <vt:lpwstr>https://eur-lex.europa.eu/legal-content/EN/TXT/?uri=CELEX%3A52023IE1741&amp;qid=1777895281331</vt:lpwstr>
      </vt:variant>
      <vt:variant>
        <vt:lpwstr/>
      </vt:variant>
      <vt:variant>
        <vt:i4>1638470</vt:i4>
      </vt:variant>
      <vt:variant>
        <vt:i4>60</vt:i4>
      </vt:variant>
      <vt:variant>
        <vt:i4>0</vt:i4>
      </vt:variant>
      <vt:variant>
        <vt:i4>5</vt:i4>
      </vt:variant>
      <vt:variant>
        <vt:lpwstr>https://eur-lex.europa.eu/legal-content/EN/TXT/PDF/?uri=CELEX:52021IR3911</vt:lpwstr>
      </vt:variant>
      <vt:variant>
        <vt:lpwstr/>
      </vt:variant>
      <vt:variant>
        <vt:i4>4194312</vt:i4>
      </vt:variant>
      <vt:variant>
        <vt:i4>57</vt:i4>
      </vt:variant>
      <vt:variant>
        <vt:i4>0</vt:i4>
      </vt:variant>
      <vt:variant>
        <vt:i4>5</vt:i4>
      </vt:variant>
      <vt:variant>
        <vt:lpwstr>https://eur-lex.europa.eu/legal-content/EN/TXT/?uri=CELEX%3A32017R0543&amp;qid=1765103514589</vt:lpwstr>
      </vt:variant>
      <vt:variant>
        <vt:lpwstr/>
      </vt:variant>
      <vt:variant>
        <vt:i4>6881307</vt:i4>
      </vt:variant>
      <vt:variant>
        <vt:i4>54</vt:i4>
      </vt:variant>
      <vt:variant>
        <vt:i4>0</vt:i4>
      </vt:variant>
      <vt:variant>
        <vt:i4>5</vt:i4>
      </vt:variant>
      <vt:variant>
        <vt:lpwstr>https://www.europarl.europa.eu/doceo/document/TA-10-2026-0064_EN.html</vt:lpwstr>
      </vt:variant>
      <vt:variant>
        <vt:lpwstr/>
      </vt:variant>
      <vt:variant>
        <vt:i4>7077947</vt:i4>
      </vt:variant>
      <vt:variant>
        <vt:i4>51</vt:i4>
      </vt:variant>
      <vt:variant>
        <vt:i4>0</vt:i4>
      </vt:variant>
      <vt:variant>
        <vt:i4>5</vt:i4>
      </vt:variant>
      <vt:variant>
        <vt:lpwstr>https://www.europarl.europa.eu/doceo/document/TA-9-2020-0314_EN.html?utm_source=chatgpt.com</vt:lpwstr>
      </vt:variant>
      <vt:variant>
        <vt:lpwstr/>
      </vt:variant>
      <vt:variant>
        <vt:i4>4980821</vt:i4>
      </vt:variant>
      <vt:variant>
        <vt:i4>48</vt:i4>
      </vt:variant>
      <vt:variant>
        <vt:i4>0</vt:i4>
      </vt:variant>
      <vt:variant>
        <vt:i4>5</vt:i4>
      </vt:variant>
      <vt:variant>
        <vt:lpwstr>https://eur-lex.europa.eu/eli/dir/2014/92/oj/eng</vt:lpwstr>
      </vt:variant>
      <vt:variant>
        <vt:lpwstr/>
      </vt:variant>
      <vt:variant>
        <vt:i4>5505042</vt:i4>
      </vt:variant>
      <vt:variant>
        <vt:i4>45</vt:i4>
      </vt:variant>
      <vt:variant>
        <vt:i4>0</vt:i4>
      </vt:variant>
      <vt:variant>
        <vt:i4>5</vt:i4>
      </vt:variant>
      <vt:variant>
        <vt:lpwstr>https://eur-lex.europa.eu/legal-content/EN/TXT/?uri=oj:JOC_2022_476_R_0001</vt:lpwstr>
      </vt:variant>
      <vt:variant>
        <vt:lpwstr/>
      </vt:variant>
      <vt:variant>
        <vt:i4>131090</vt:i4>
      </vt:variant>
      <vt:variant>
        <vt:i4>42</vt:i4>
      </vt:variant>
      <vt:variant>
        <vt:i4>0</vt:i4>
      </vt:variant>
      <vt:variant>
        <vt:i4>5</vt:i4>
      </vt:variant>
      <vt:variant>
        <vt:lpwstr>https://eur-lex.europa.eu/legal-content/EN/TXT/?uri=celex:52020DC0620</vt:lpwstr>
      </vt:variant>
      <vt:variant>
        <vt:lpwstr/>
      </vt:variant>
      <vt:variant>
        <vt:i4>5898256</vt:i4>
      </vt:variant>
      <vt:variant>
        <vt:i4>39</vt:i4>
      </vt:variant>
      <vt:variant>
        <vt:i4>0</vt:i4>
      </vt:variant>
      <vt:variant>
        <vt:i4>5</vt:i4>
      </vt:variant>
      <vt:variant>
        <vt:lpwstr>https://eur-lex.europa.eu/legal-content/EN/TXT/?uri=oj:JOC_2021_093_R_0001</vt:lpwstr>
      </vt:variant>
      <vt:variant>
        <vt:lpwstr/>
      </vt:variant>
      <vt:variant>
        <vt:i4>1966102</vt:i4>
      </vt:variant>
      <vt:variant>
        <vt:i4>36</vt:i4>
      </vt:variant>
      <vt:variant>
        <vt:i4>0</vt:i4>
      </vt:variant>
      <vt:variant>
        <vt:i4>5</vt:i4>
      </vt:variant>
      <vt:variant>
        <vt:lpwstr>https://eur-lex.europa.eu/eli/C/2023/1344/oj/eng</vt:lpwstr>
      </vt:variant>
      <vt:variant>
        <vt:lpwstr/>
      </vt:variant>
      <vt:variant>
        <vt:i4>5701648</vt:i4>
      </vt:variant>
      <vt:variant>
        <vt:i4>33</vt:i4>
      </vt:variant>
      <vt:variant>
        <vt:i4>0</vt:i4>
      </vt:variant>
      <vt:variant>
        <vt:i4>5</vt:i4>
      </vt:variant>
      <vt:variant>
        <vt:lpwstr>https://eur-lex.europa.eu/legal-content/EN/TXT/?uri=oj:JOC_2023_041_R_0001</vt:lpwstr>
      </vt:variant>
      <vt:variant>
        <vt:lpwstr/>
      </vt:variant>
      <vt:variant>
        <vt:i4>8323181</vt:i4>
      </vt:variant>
      <vt:variant>
        <vt:i4>27</vt:i4>
      </vt:variant>
      <vt:variant>
        <vt:i4>0</vt:i4>
      </vt:variant>
      <vt:variant>
        <vt:i4>5</vt:i4>
      </vt:variant>
      <vt:variant>
        <vt:lpwstr>https://eur-lex.europa.eu/eli/reco/2021/1004/oj/eng</vt:lpwstr>
      </vt:variant>
      <vt:variant>
        <vt:lpwstr/>
      </vt:variant>
      <vt:variant>
        <vt:i4>5898265</vt:i4>
      </vt:variant>
      <vt:variant>
        <vt:i4>21</vt:i4>
      </vt:variant>
      <vt:variant>
        <vt:i4>0</vt:i4>
      </vt:variant>
      <vt:variant>
        <vt:i4>5</vt:i4>
      </vt:variant>
      <vt:variant>
        <vt:lpwstr>https://eur-lex.europa.eu/legal-content/EN/TXT/?uri=oj:JOC_2017_428_R_0009</vt:lpwstr>
      </vt:variant>
      <vt:variant>
        <vt:lpwstr/>
      </vt:variant>
      <vt:variant>
        <vt:i4>7340085</vt:i4>
      </vt:variant>
      <vt:variant>
        <vt:i4>18</vt:i4>
      </vt:variant>
      <vt:variant>
        <vt:i4>0</vt:i4>
      </vt:variant>
      <vt:variant>
        <vt:i4>5</vt:i4>
      </vt:variant>
      <vt:variant>
        <vt:lpwstr>https://www.coe.int/en/web/conventions/full-list?module=treaty-detail&amp;treatynum=163</vt:lpwstr>
      </vt:variant>
      <vt:variant>
        <vt:lpwstr/>
      </vt:variant>
      <vt:variant>
        <vt:i4>4390961</vt:i4>
      </vt:variant>
      <vt:variant>
        <vt:i4>15</vt:i4>
      </vt:variant>
      <vt:variant>
        <vt:i4>0</vt:i4>
      </vt:variant>
      <vt:variant>
        <vt:i4>5</vt:i4>
      </vt:variant>
      <vt:variant>
        <vt:lpwstr>https://employment-social-affairs.ec.europa.eu/fight-against-     homelessness-and-its-links-anti-poverty-policies-across-european-union_en</vt:lpwstr>
      </vt:variant>
      <vt:variant>
        <vt:lpwstr>description</vt:lpwstr>
      </vt:variant>
      <vt:variant>
        <vt:i4>655366</vt:i4>
      </vt:variant>
      <vt:variant>
        <vt:i4>12</vt:i4>
      </vt:variant>
      <vt:variant>
        <vt:i4>0</vt:i4>
      </vt:variant>
      <vt:variant>
        <vt:i4>5</vt:i4>
      </vt:variant>
      <vt:variant>
        <vt:lpwstr>https://www.kuleuven.be/lucas/en/eu_homelessness_counts</vt:lpwstr>
      </vt:variant>
      <vt:variant>
        <vt:lpwstr/>
      </vt:variant>
      <vt:variant>
        <vt:i4>7208973</vt:i4>
      </vt:variant>
      <vt:variant>
        <vt:i4>9</vt:i4>
      </vt:variant>
      <vt:variant>
        <vt:i4>0</vt:i4>
      </vt:variant>
      <vt:variant>
        <vt:i4>5</vt:i4>
      </vt:variant>
      <vt:variant>
        <vt:lpwstr>https://www.oecd.org/en/publications/oecd-monitoring-framework-to-measure-homelessness_3e98455b-en.html</vt:lpwstr>
      </vt:variant>
      <vt:variant>
        <vt:lpwstr/>
      </vt:variant>
      <vt:variant>
        <vt:i4>4980857</vt:i4>
      </vt:variant>
      <vt:variant>
        <vt:i4>6</vt:i4>
      </vt:variant>
      <vt:variant>
        <vt:i4>0</vt:i4>
      </vt:variant>
      <vt:variant>
        <vt:i4>5</vt:i4>
      </vt:variant>
      <vt:variant>
        <vt:lpwstr>https://www.oecd.org/en/publications/oecd-toolkit-to-combat-homelessness_0fec780e-en.html</vt:lpwstr>
      </vt:variant>
      <vt:variant>
        <vt:lpwstr/>
      </vt:variant>
      <vt:variant>
        <vt:i4>589846</vt:i4>
      </vt:variant>
      <vt:variant>
        <vt:i4>3</vt:i4>
      </vt:variant>
      <vt:variant>
        <vt:i4>0</vt:i4>
      </vt:variant>
      <vt:variant>
        <vt:i4>5</vt:i4>
      </vt:variant>
      <vt:variant>
        <vt:lpwstr>https://ec.europa.eu/eurostat/statistics-explained/SEPDF/cache/132338.pdf</vt:lpwstr>
      </vt:variant>
      <vt:variant>
        <vt:lpwstr/>
      </vt:variant>
      <vt:variant>
        <vt:i4>5636124</vt:i4>
      </vt:variant>
      <vt:variant>
        <vt:i4>0</vt:i4>
      </vt:variant>
      <vt:variant>
        <vt:i4>0</vt:i4>
      </vt:variant>
      <vt:variant>
        <vt:i4>5</vt:i4>
      </vt:variant>
      <vt:variant>
        <vt:lpwstr>https://www.oecd.org/content/oecd/en/data/datasets/oecd-affordable-housing-database.html</vt:lpwstr>
      </vt:variant>
      <vt:variant>
        <vt:lpwstr/>
      </vt:variant>
      <vt:variant>
        <vt:i4>2752526</vt:i4>
      </vt:variant>
      <vt:variant>
        <vt:i4>39</vt:i4>
      </vt:variant>
      <vt:variant>
        <vt:i4>0</vt:i4>
      </vt:variant>
      <vt:variant>
        <vt:i4>5</vt:i4>
      </vt:variant>
      <vt:variant>
        <vt:lpwstr>mailto:Aristotelis.ALVANOS@ec.europa.eu</vt:lpwstr>
      </vt:variant>
      <vt:variant>
        <vt:lpwstr/>
      </vt:variant>
      <vt:variant>
        <vt:i4>917566</vt:i4>
      </vt:variant>
      <vt:variant>
        <vt:i4>36</vt:i4>
      </vt:variant>
      <vt:variant>
        <vt:i4>0</vt:i4>
      </vt:variant>
      <vt:variant>
        <vt:i4>5</vt:i4>
      </vt:variant>
      <vt:variant>
        <vt:lpwstr>mailto:Michele.CALANDRINO@ec.europa.eu</vt:lpwstr>
      </vt:variant>
      <vt:variant>
        <vt:lpwstr/>
      </vt:variant>
      <vt:variant>
        <vt:i4>2752526</vt:i4>
      </vt:variant>
      <vt:variant>
        <vt:i4>33</vt:i4>
      </vt:variant>
      <vt:variant>
        <vt:i4>0</vt:i4>
      </vt:variant>
      <vt:variant>
        <vt:i4>5</vt:i4>
      </vt:variant>
      <vt:variant>
        <vt:lpwstr>mailto:Aristotelis.ALVANOS@ec.europa.eu</vt:lpwstr>
      </vt:variant>
      <vt:variant>
        <vt:lpwstr/>
      </vt:variant>
      <vt:variant>
        <vt:i4>2752526</vt:i4>
      </vt:variant>
      <vt:variant>
        <vt:i4>30</vt:i4>
      </vt:variant>
      <vt:variant>
        <vt:i4>0</vt:i4>
      </vt:variant>
      <vt:variant>
        <vt:i4>5</vt:i4>
      </vt:variant>
      <vt:variant>
        <vt:lpwstr>mailto:Aristotelis.ALVANOS@ec.europa.eu</vt:lpwstr>
      </vt:variant>
      <vt:variant>
        <vt:lpwstr/>
      </vt:variant>
      <vt:variant>
        <vt:i4>917566</vt:i4>
      </vt:variant>
      <vt:variant>
        <vt:i4>27</vt:i4>
      </vt:variant>
      <vt:variant>
        <vt:i4>0</vt:i4>
      </vt:variant>
      <vt:variant>
        <vt:i4>5</vt:i4>
      </vt:variant>
      <vt:variant>
        <vt:lpwstr>mailto:Michele.CALANDRINO@ec.europa.eu</vt:lpwstr>
      </vt:variant>
      <vt:variant>
        <vt:lpwstr/>
      </vt:variant>
      <vt:variant>
        <vt:i4>2752526</vt:i4>
      </vt:variant>
      <vt:variant>
        <vt:i4>24</vt:i4>
      </vt:variant>
      <vt:variant>
        <vt:i4>0</vt:i4>
      </vt:variant>
      <vt:variant>
        <vt:i4>5</vt:i4>
      </vt:variant>
      <vt:variant>
        <vt:lpwstr>mailto:Aristotelis.ALVANOS@ec.europa.eu</vt:lpwstr>
      </vt:variant>
      <vt:variant>
        <vt:lpwstr/>
      </vt:variant>
      <vt:variant>
        <vt:i4>2752526</vt:i4>
      </vt:variant>
      <vt:variant>
        <vt:i4>21</vt:i4>
      </vt:variant>
      <vt:variant>
        <vt:i4>0</vt:i4>
      </vt:variant>
      <vt:variant>
        <vt:i4>5</vt:i4>
      </vt:variant>
      <vt:variant>
        <vt:lpwstr>mailto:Aristotelis.ALVANOS@ec.europa.eu</vt:lpwstr>
      </vt:variant>
      <vt:variant>
        <vt:lpwstr/>
      </vt:variant>
      <vt:variant>
        <vt:i4>917566</vt:i4>
      </vt:variant>
      <vt:variant>
        <vt:i4>18</vt:i4>
      </vt:variant>
      <vt:variant>
        <vt:i4>0</vt:i4>
      </vt:variant>
      <vt:variant>
        <vt:i4>5</vt:i4>
      </vt:variant>
      <vt:variant>
        <vt:lpwstr>mailto:Michele.CALANDRINO@ec.europa.eu</vt:lpwstr>
      </vt:variant>
      <vt:variant>
        <vt:lpwstr/>
      </vt:variant>
      <vt:variant>
        <vt:i4>917566</vt:i4>
      </vt:variant>
      <vt:variant>
        <vt:i4>15</vt:i4>
      </vt:variant>
      <vt:variant>
        <vt:i4>0</vt:i4>
      </vt:variant>
      <vt:variant>
        <vt:i4>5</vt:i4>
      </vt:variant>
      <vt:variant>
        <vt:lpwstr>mailto:Michele.CALANDRINO@ec.europa.eu</vt:lpwstr>
      </vt:variant>
      <vt:variant>
        <vt:lpwstr/>
      </vt:variant>
      <vt:variant>
        <vt:i4>917566</vt:i4>
      </vt:variant>
      <vt:variant>
        <vt:i4>12</vt:i4>
      </vt:variant>
      <vt:variant>
        <vt:i4>0</vt:i4>
      </vt:variant>
      <vt:variant>
        <vt:i4>5</vt:i4>
      </vt:variant>
      <vt:variant>
        <vt:lpwstr>mailto:Michele.CALANDRINO@ec.europa.eu</vt:lpwstr>
      </vt:variant>
      <vt:variant>
        <vt:lpwstr/>
      </vt:variant>
      <vt:variant>
        <vt:i4>1703985</vt:i4>
      </vt:variant>
      <vt:variant>
        <vt:i4>9</vt:i4>
      </vt:variant>
      <vt:variant>
        <vt:i4>0</vt:i4>
      </vt:variant>
      <vt:variant>
        <vt:i4>5</vt:i4>
      </vt:variant>
      <vt:variant>
        <vt:lpwstr>mailto:Triinu.VOLMER@ec.europa.eu</vt:lpwstr>
      </vt:variant>
      <vt:variant>
        <vt:lpwstr/>
      </vt:variant>
      <vt:variant>
        <vt:i4>917566</vt:i4>
      </vt:variant>
      <vt:variant>
        <vt:i4>6</vt:i4>
      </vt:variant>
      <vt:variant>
        <vt:i4>0</vt:i4>
      </vt:variant>
      <vt:variant>
        <vt:i4>5</vt:i4>
      </vt:variant>
      <vt:variant>
        <vt:lpwstr>mailto:Michele.CALANDRINO@ec.europa.eu</vt:lpwstr>
      </vt:variant>
      <vt:variant>
        <vt:lpwstr/>
      </vt:variant>
      <vt:variant>
        <vt:i4>1703985</vt:i4>
      </vt:variant>
      <vt:variant>
        <vt:i4>3</vt:i4>
      </vt:variant>
      <vt:variant>
        <vt:i4>0</vt:i4>
      </vt:variant>
      <vt:variant>
        <vt:i4>5</vt:i4>
      </vt:variant>
      <vt:variant>
        <vt:lpwstr>mailto:Triinu.VOLMER@ec.europa.eu</vt:lpwstr>
      </vt:variant>
      <vt:variant>
        <vt:lpwstr/>
      </vt:variant>
      <vt:variant>
        <vt:i4>1703985</vt:i4>
      </vt:variant>
      <vt:variant>
        <vt:i4>0</vt:i4>
      </vt:variant>
      <vt:variant>
        <vt:i4>0</vt:i4>
      </vt:variant>
      <vt:variant>
        <vt:i4>5</vt:i4>
      </vt:variant>
      <vt:variant>
        <vt:lpwstr>mailto:Triinu.VOLMER@ec.europa.eu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25</cp:revision>
  <dcterms:created xsi:type="dcterms:W3CDTF">2026-05-06T07:41:00Z</dcterms:created>
  <dcterms:modified xsi:type="dcterms:W3CDTF">2026-06-03T14:16:00Z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2026-05-05T15:01:01Z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80781b79-a9ed-4b08-9937-6e5d34ee5c91</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Category">
    <vt:lpwstr>COM/PL/ORG</vt:lpwstr>
  </property>
  <property fmtid="{D5CDD505-2E9C-101B-9397-08002B2CF9AE}" pid="12" name="Last edited using">
    <vt:lpwstr>LW 9.2, Build 20250828</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SJ-022</vt:lpwstr>
  </property>
  <property fmtid="{D5CDD505-2E9C-101B-9397-08002B2CF9AE}" pid="16" name="DQCStatus">
    <vt:lpwstr>Green (DQC version 03)</vt:lpwstr>
  </property>
</Properties>
</file>