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EAA44" w14:textId="237D6A61" w:rsidR="00F87E5B" w:rsidRPr="00066452" w:rsidRDefault="0046622A" w:rsidP="0046622A">
      <w:pPr>
        <w:pStyle w:val="Pagedecouverture"/>
      </w:pPr>
      <w:bookmarkStart w:id="0" w:name="LW_BM_COVERPAGE"/>
      <w:r>
        <w:pict w14:anchorId="7AADAC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017C0234-B6C6-4993-96A9-36E00EED96A3" style="width:455pt;height:314pt">
            <v:imagedata r:id="rId11" o:title=""/>
          </v:shape>
        </w:pict>
      </w:r>
    </w:p>
    <w:bookmarkEnd w:id="0"/>
    <w:p w14:paraId="1EE48820" w14:textId="77777777" w:rsidR="00F87E5B" w:rsidRPr="00066452" w:rsidRDefault="00F87E5B" w:rsidP="00860F83">
      <w:pPr>
        <w:spacing w:before="100" w:beforeAutospacing="1" w:after="100" w:afterAutospacing="1" w:line="240" w:lineRule="auto"/>
        <w:jc w:val="both"/>
        <w:sectPr w:rsidR="00F87E5B" w:rsidRPr="00066452" w:rsidSect="0046622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04B902F9" w14:textId="41F374D7" w:rsidR="00FB01BD" w:rsidRPr="002D57F2" w:rsidRDefault="00FB01BD" w:rsidP="00FB01BD">
      <w:pPr>
        <w:pStyle w:val="Heading1"/>
        <w:ind w:left="0"/>
        <w:rPr>
          <w:rFonts w:ascii="Arial" w:hAnsi="Arial" w:cs="Arial"/>
        </w:rPr>
      </w:pPr>
      <w:bookmarkStart w:id="1" w:name="_Toc228880165"/>
      <w:r w:rsidRPr="002D57F2">
        <w:rPr>
          <w:rFonts w:ascii="Arial" w:hAnsi="Arial" w:cs="Arial"/>
        </w:rPr>
        <w:lastRenderedPageBreak/>
        <w:t>INTRODUCTION</w:t>
      </w:r>
      <w:bookmarkEnd w:id="1"/>
    </w:p>
    <w:p w14:paraId="48B3B9BD"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b/>
          <w:bCs/>
          <w:sz w:val="24"/>
          <w:szCs w:val="24"/>
        </w:rPr>
        <w:t xml:space="preserve">Around 90 million people in the EU live with a </w:t>
      </w:r>
      <w:hyperlink r:id="rId18" w:history="1">
        <w:r w:rsidRPr="002D57F2">
          <w:rPr>
            <w:rStyle w:val="Hyperlink"/>
            <w:rFonts w:ascii="Arial" w:hAnsi="Arial" w:cs="Arial"/>
            <w:b/>
            <w:bCs/>
            <w:sz w:val="24"/>
            <w:szCs w:val="24"/>
          </w:rPr>
          <w:t>disability</w:t>
        </w:r>
      </w:hyperlink>
      <w:r w:rsidRPr="002D57F2">
        <w:rPr>
          <w:rFonts w:ascii="Arial" w:hAnsi="Arial" w:cs="Arial"/>
          <w:b/>
          <w:bCs/>
          <w:sz w:val="24"/>
          <w:szCs w:val="24"/>
        </w:rPr>
        <w:t> </w:t>
      </w:r>
      <w:r w:rsidRPr="002D57F2">
        <w:rPr>
          <w:rFonts w:ascii="Arial" w:hAnsi="Arial" w:cs="Arial"/>
          <w:sz w:val="24"/>
          <w:szCs w:val="24"/>
          <w:vertAlign w:val="superscript"/>
        </w:rPr>
        <w:t>(</w:t>
      </w:r>
      <w:r w:rsidRPr="002D57F2">
        <w:rPr>
          <w:rStyle w:val="FootnoteReference"/>
          <w:rFonts w:ascii="Arial" w:hAnsi="Arial" w:cs="Arial"/>
        </w:rPr>
        <w:footnoteReference w:id="1"/>
      </w:r>
      <w:r w:rsidRPr="002D57F2">
        <w:rPr>
          <w:rStyle w:val="normaltextrun"/>
          <w:rFonts w:ascii="Arial" w:hAnsi="Arial" w:cs="Arial"/>
          <w:sz w:val="24"/>
          <w:szCs w:val="24"/>
          <w:vertAlign w:val="superscript"/>
        </w:rPr>
        <w:t>)</w:t>
      </w:r>
      <w:r w:rsidRPr="002D57F2">
        <w:rPr>
          <w:rFonts w:ascii="Arial" w:hAnsi="Arial" w:cs="Arial"/>
          <w:sz w:val="24"/>
          <w:szCs w:val="24"/>
        </w:rPr>
        <w:t xml:space="preserve">. The wide diversity of situations experienced by persons with disabilities make them a heterogeneous group with differing needs. They are united by one simple fact: </w:t>
      </w:r>
      <w:r w:rsidRPr="002D57F2">
        <w:rPr>
          <w:rFonts w:ascii="Arial" w:hAnsi="Arial" w:cs="Arial"/>
          <w:b/>
          <w:bCs/>
          <w:sz w:val="24"/>
          <w:szCs w:val="24"/>
        </w:rPr>
        <w:t>they have the same human rights as everyone else.</w:t>
      </w:r>
      <w:r w:rsidRPr="002D57F2">
        <w:rPr>
          <w:rFonts w:ascii="Arial" w:hAnsi="Arial" w:cs="Arial"/>
          <w:sz w:val="24"/>
          <w:szCs w:val="24"/>
        </w:rPr>
        <w:t xml:space="preserve"> Disability arises from the interaction between impairments and attitudinal or environmental barriers that hinder their full and effective participation in society on an equal basis with others. Disability can be present at birth or arise later in life, including </w:t>
      </w:r>
      <w:proofErr w:type="gramStart"/>
      <w:r w:rsidRPr="002D57F2">
        <w:rPr>
          <w:rFonts w:ascii="Arial" w:hAnsi="Arial" w:cs="Arial"/>
          <w:sz w:val="24"/>
          <w:szCs w:val="24"/>
        </w:rPr>
        <w:t>as a result of</w:t>
      </w:r>
      <w:proofErr w:type="gramEnd"/>
      <w:r w:rsidRPr="002D57F2">
        <w:rPr>
          <w:rFonts w:ascii="Arial" w:hAnsi="Arial" w:cs="Arial"/>
          <w:sz w:val="24"/>
          <w:szCs w:val="24"/>
        </w:rPr>
        <w:t xml:space="preserve"> ageing. As such, disability affects societies as a whole: at different points in life, many people will experience circumstances in which barriers hamper their full participation in society. </w:t>
      </w:r>
      <w:r w:rsidRPr="002D57F2">
        <w:rPr>
          <w:rFonts w:ascii="Arial" w:hAnsi="Arial" w:cs="Arial"/>
          <w:b/>
          <w:bCs/>
          <w:sz w:val="24"/>
          <w:szCs w:val="24"/>
        </w:rPr>
        <w:t>Disability and the rights of persons with disabilities concern us all</w:t>
      </w:r>
      <w:r w:rsidRPr="002D57F2">
        <w:rPr>
          <w:rFonts w:ascii="Arial" w:hAnsi="Arial" w:cs="Arial"/>
          <w:sz w:val="24"/>
          <w:szCs w:val="24"/>
        </w:rPr>
        <w:t>.</w:t>
      </w:r>
    </w:p>
    <w:p w14:paraId="31E952BD"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Together with</w:t>
      </w:r>
      <w:r>
        <w:rPr>
          <w:rFonts w:ascii="Arial" w:hAnsi="Arial" w:cs="Arial"/>
          <w:sz w:val="24"/>
          <w:szCs w:val="24"/>
        </w:rPr>
        <w:t xml:space="preserve"> other</w:t>
      </w:r>
      <w:r w:rsidRPr="002D57F2">
        <w:rPr>
          <w:rFonts w:ascii="Arial" w:hAnsi="Arial" w:cs="Arial"/>
          <w:sz w:val="24"/>
          <w:szCs w:val="24"/>
        </w:rPr>
        <w:t xml:space="preserve"> </w:t>
      </w:r>
      <w:hyperlink r:id="rId19" w:history="1">
        <w:r w:rsidRPr="002D57F2">
          <w:rPr>
            <w:rStyle w:val="Hyperlink"/>
            <w:rFonts w:ascii="Arial" w:hAnsi="Arial" w:cs="Arial"/>
            <w:sz w:val="24"/>
            <w:szCs w:val="24"/>
          </w:rPr>
          <w:t>EU equality strategies</w:t>
        </w:r>
      </w:hyperlink>
      <w:r w:rsidRPr="002D57F2">
        <w:rPr>
          <w:rFonts w:ascii="Arial" w:hAnsi="Arial" w:cs="Arial"/>
          <w:sz w:val="24"/>
          <w:szCs w:val="24"/>
        </w:rPr>
        <w:t xml:space="preserve">, the </w:t>
      </w:r>
      <w:hyperlink r:id="rId20" w:history="1">
        <w:r w:rsidRPr="002D57F2">
          <w:rPr>
            <w:rStyle w:val="Hyperlink"/>
            <w:rFonts w:ascii="Arial" w:hAnsi="Arial" w:cs="Arial"/>
            <w:sz w:val="24"/>
            <w:szCs w:val="24"/>
          </w:rPr>
          <w:t>strategy for the rights of persons with disabilities 2021-2030</w:t>
        </w:r>
      </w:hyperlink>
      <w:r w:rsidRPr="002D57F2">
        <w:rPr>
          <w:rFonts w:ascii="Arial" w:hAnsi="Arial" w:cs="Arial"/>
          <w:sz w:val="24"/>
          <w:szCs w:val="24"/>
        </w:rPr>
        <w:t xml:space="preserve"> (‘the strategy’) contributes to creating a </w:t>
      </w:r>
      <w:r w:rsidRPr="002D57F2">
        <w:rPr>
          <w:rFonts w:ascii="Arial" w:hAnsi="Arial" w:cs="Arial"/>
          <w:b/>
          <w:bCs/>
          <w:sz w:val="24"/>
          <w:szCs w:val="24"/>
        </w:rPr>
        <w:t>Union of Equality,</w:t>
      </w:r>
      <w:r w:rsidRPr="002D57F2">
        <w:rPr>
          <w:rFonts w:ascii="Arial" w:hAnsi="Arial" w:cs="Arial"/>
          <w:sz w:val="24"/>
          <w:szCs w:val="24"/>
        </w:rPr>
        <w:t xml:space="preserve"> to fight discrimination and improve the lives of persons with disabilities in the EU and beyond. The strategy provides a framework for: (I) implementing EU rights and action; (II) removing barriers to empower persons with disabilities to live independently and participate in society and the economy on an equal basis with others; (III) engaging with stakeholders and delivering results.</w:t>
      </w:r>
    </w:p>
    <w:p w14:paraId="5F17F6A6"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These aims are in line with the </w:t>
      </w:r>
      <w:hyperlink r:id="rId21" w:history="1">
        <w:r w:rsidRPr="002D57F2">
          <w:rPr>
            <w:rStyle w:val="Hyperlink"/>
            <w:rFonts w:ascii="Arial" w:hAnsi="Arial" w:cs="Arial"/>
            <w:sz w:val="24"/>
            <w:szCs w:val="24"/>
          </w:rPr>
          <w:t>United Nations Convention on the Rights of Persons with Disabilities (UNCRPD)</w:t>
        </w:r>
      </w:hyperlink>
      <w:r w:rsidRPr="002D57F2">
        <w:rPr>
          <w:rFonts w:ascii="Arial" w:hAnsi="Arial" w:cs="Arial"/>
          <w:sz w:val="24"/>
          <w:szCs w:val="24"/>
        </w:rPr>
        <w:t xml:space="preserve"> and the </w:t>
      </w:r>
      <w:hyperlink r:id="rId22" w:history="1">
        <w:r w:rsidRPr="002D57F2">
          <w:rPr>
            <w:rStyle w:val="Hyperlink"/>
            <w:rFonts w:ascii="Arial" w:hAnsi="Arial" w:cs="Arial"/>
            <w:sz w:val="24"/>
            <w:szCs w:val="24"/>
          </w:rPr>
          <w:t>European Pillar of Social Rights</w:t>
        </w:r>
      </w:hyperlink>
      <w:r w:rsidRPr="002D57F2">
        <w:rPr>
          <w:rFonts w:ascii="Arial" w:hAnsi="Arial" w:cs="Arial"/>
        </w:rPr>
        <w:t xml:space="preserve">. </w:t>
      </w:r>
      <w:r w:rsidRPr="002D57F2">
        <w:rPr>
          <w:rFonts w:ascii="Arial" w:hAnsi="Arial" w:cs="Arial"/>
          <w:sz w:val="24"/>
          <w:szCs w:val="24"/>
        </w:rPr>
        <w:t xml:space="preserve">They also respond to the objectives of the </w:t>
      </w:r>
      <w:hyperlink r:id="rId23" w:history="1">
        <w:r w:rsidRPr="002D57F2">
          <w:rPr>
            <w:rStyle w:val="Hyperlink"/>
            <w:rFonts w:ascii="Arial" w:hAnsi="Arial" w:cs="Arial"/>
            <w:sz w:val="24"/>
            <w:szCs w:val="24"/>
          </w:rPr>
          <w:t>Competitiveness Compass</w:t>
        </w:r>
      </w:hyperlink>
      <w:r w:rsidRPr="002D57F2">
        <w:rPr>
          <w:rFonts w:ascii="Arial" w:hAnsi="Arial" w:cs="Arial"/>
          <w:sz w:val="24"/>
          <w:szCs w:val="24"/>
        </w:rPr>
        <w:t>, valorising the contribution of persons with disabilities to the economy and society as an asset to a more competitive EU </w:t>
      </w:r>
      <w:r w:rsidRPr="002D57F2">
        <w:rPr>
          <w:rFonts w:ascii="Arial" w:hAnsi="Arial" w:cs="Arial"/>
          <w:sz w:val="24"/>
          <w:szCs w:val="24"/>
          <w:vertAlign w:val="superscript"/>
        </w:rPr>
        <w:t>(</w:t>
      </w:r>
      <w:r w:rsidRPr="002D57F2">
        <w:rPr>
          <w:rStyle w:val="FootnoteReference"/>
          <w:rFonts w:ascii="Arial" w:hAnsi="Arial" w:cs="Arial"/>
        </w:rPr>
        <w:footnoteReference w:id="2"/>
      </w:r>
      <w:r w:rsidRPr="002D57F2">
        <w:rPr>
          <w:rStyle w:val="normaltextrun"/>
          <w:rFonts w:ascii="Arial" w:hAnsi="Arial" w:cs="Arial"/>
          <w:sz w:val="24"/>
          <w:szCs w:val="24"/>
          <w:vertAlign w:val="superscript"/>
        </w:rPr>
        <w:t>)</w:t>
      </w:r>
      <w:r w:rsidRPr="002D57F2">
        <w:rPr>
          <w:rFonts w:ascii="Arial" w:hAnsi="Arial" w:cs="Arial"/>
          <w:sz w:val="24"/>
          <w:szCs w:val="24"/>
        </w:rPr>
        <w:t>.</w:t>
      </w:r>
    </w:p>
    <w:p w14:paraId="355E1DEA" w14:textId="0D874A6C" w:rsidR="00FB01BD" w:rsidRPr="002D57F2" w:rsidRDefault="00FB01BD" w:rsidP="00FB01BD">
      <w:pPr>
        <w:pStyle w:val="Style2"/>
        <w:spacing w:line="288" w:lineRule="auto"/>
        <w:rPr>
          <w:rFonts w:ascii="Arial" w:hAnsi="Arial" w:cs="Arial"/>
          <w:b/>
          <w:bCs/>
          <w:sz w:val="24"/>
          <w:szCs w:val="24"/>
        </w:rPr>
      </w:pPr>
      <w:r w:rsidRPr="002D57F2">
        <w:rPr>
          <w:rFonts w:ascii="Arial" w:hAnsi="Arial" w:cs="Arial"/>
          <w:b/>
          <w:bCs/>
          <w:sz w:val="24"/>
          <w:szCs w:val="24"/>
        </w:rPr>
        <w:t>Halfway through the strategy’s implementation, the EU now needs to step up action</w:t>
      </w:r>
      <w:r w:rsidRPr="002D57F2">
        <w:rPr>
          <w:rFonts w:ascii="Arial" w:hAnsi="Arial" w:cs="Arial"/>
          <w:sz w:val="24"/>
          <w:szCs w:val="24"/>
        </w:rPr>
        <w:t>, ensure renewed engagement across all sectors in a mainstreaming approach, and recommit to the strategy’s core objectives of</w:t>
      </w:r>
      <w:r w:rsidRPr="002D57F2">
        <w:rPr>
          <w:rFonts w:ascii="Arial" w:hAnsi="Arial" w:cs="Arial"/>
          <w:b/>
          <w:bCs/>
          <w:sz w:val="24"/>
          <w:szCs w:val="24"/>
        </w:rPr>
        <w:t xml:space="preserve"> supporting self-determination, autonomy and participation. </w:t>
      </w:r>
      <w:r w:rsidRPr="002D57F2">
        <w:rPr>
          <w:rFonts w:ascii="Arial" w:hAnsi="Arial" w:cs="Arial"/>
          <w:sz w:val="24"/>
          <w:szCs w:val="24"/>
        </w:rPr>
        <w:t xml:space="preserve">While the overall objectives set in the </w:t>
      </w:r>
      <w:r w:rsidRPr="002D57F2">
        <w:rPr>
          <w:rFonts w:ascii="Arial" w:hAnsi="Arial" w:cs="Arial"/>
          <w:sz w:val="24"/>
          <w:szCs w:val="24"/>
        </w:rPr>
        <w:lastRenderedPageBreak/>
        <w:t xml:space="preserve">strategy have not changed, reinforced action is needed to reach them by 2030. The </w:t>
      </w:r>
      <w:hyperlink r:id="rId24" w:history="1">
        <w:r w:rsidRPr="002D57F2">
          <w:rPr>
            <w:rStyle w:val="Hyperlink"/>
            <w:rFonts w:ascii="Arial" w:hAnsi="Arial" w:cs="Arial"/>
            <w:sz w:val="24"/>
            <w:szCs w:val="24"/>
          </w:rPr>
          <w:t>consultations</w:t>
        </w:r>
      </w:hyperlink>
      <w:r w:rsidRPr="002D57F2">
        <w:rPr>
          <w:rFonts w:ascii="Arial" w:hAnsi="Arial" w:cs="Arial"/>
          <w:sz w:val="24"/>
          <w:szCs w:val="24"/>
        </w:rPr>
        <w:t xml:space="preserve"> carried out ahead of this Communication, the positions taken by other EU institutions </w:t>
      </w:r>
      <w:r w:rsidRPr="002D57F2">
        <w:rPr>
          <w:rFonts w:ascii="Arial" w:hAnsi="Arial" w:cs="Arial"/>
          <w:sz w:val="24"/>
          <w:szCs w:val="24"/>
          <w:vertAlign w:val="superscript"/>
        </w:rPr>
        <w:t>(</w:t>
      </w:r>
      <w:r w:rsidRPr="002D57F2">
        <w:rPr>
          <w:rStyle w:val="FootnoteReference"/>
          <w:rFonts w:ascii="Arial" w:hAnsi="Arial" w:cs="Arial"/>
        </w:rPr>
        <w:footnoteReference w:id="3"/>
      </w:r>
      <w:r w:rsidRPr="002D57F2">
        <w:rPr>
          <w:rStyle w:val="normaltextrun"/>
          <w:rFonts w:ascii="Arial" w:hAnsi="Arial" w:cs="Arial"/>
          <w:sz w:val="24"/>
          <w:szCs w:val="24"/>
          <w:vertAlign w:val="superscript"/>
        </w:rPr>
        <w:t>)</w:t>
      </w:r>
      <w:r w:rsidRPr="002D57F2">
        <w:rPr>
          <w:rFonts w:ascii="Arial" w:hAnsi="Arial" w:cs="Arial"/>
          <w:sz w:val="24"/>
          <w:szCs w:val="24"/>
        </w:rPr>
        <w:t xml:space="preserve"> and the </w:t>
      </w:r>
      <w:hyperlink r:id="rId25" w:history="1">
        <w:r w:rsidRPr="002D57F2">
          <w:rPr>
            <w:rStyle w:val="Hyperlink"/>
            <w:rFonts w:ascii="Arial" w:hAnsi="Arial" w:cs="Arial"/>
            <w:sz w:val="24"/>
            <w:szCs w:val="24"/>
          </w:rPr>
          <w:t>concluding observations</w:t>
        </w:r>
      </w:hyperlink>
      <w:r w:rsidRPr="002D57F2">
        <w:rPr>
          <w:rFonts w:ascii="Arial" w:hAnsi="Arial" w:cs="Arial"/>
          <w:sz w:val="24"/>
          <w:szCs w:val="24"/>
        </w:rPr>
        <w:t xml:space="preserve"> addressed to the EU by the relevant UN Committee in 2025 as well as an assessment of progress </w:t>
      </w:r>
      <w:r w:rsidRPr="002D57F2">
        <w:rPr>
          <w:rStyle w:val="normaltextrun"/>
          <w:rFonts w:ascii="Arial" w:hAnsi="Arial" w:cs="Arial"/>
          <w:sz w:val="24"/>
          <w:szCs w:val="24"/>
          <w:vertAlign w:val="superscript"/>
        </w:rPr>
        <w:t>(</w:t>
      </w:r>
      <w:r w:rsidRPr="002D57F2">
        <w:rPr>
          <w:rStyle w:val="FootnoteReference"/>
          <w:rFonts w:ascii="Arial" w:hAnsi="Arial" w:cs="Arial"/>
        </w:rPr>
        <w:footnoteReference w:id="4"/>
      </w:r>
      <w:r w:rsidRPr="002D57F2">
        <w:rPr>
          <w:rStyle w:val="normaltextrun"/>
          <w:rFonts w:ascii="Arial" w:hAnsi="Arial" w:cs="Arial"/>
          <w:sz w:val="24"/>
          <w:szCs w:val="24"/>
          <w:vertAlign w:val="superscript"/>
        </w:rPr>
        <w:t>)</w:t>
      </w:r>
      <w:r w:rsidRPr="002D57F2">
        <w:rPr>
          <w:rFonts w:ascii="Arial" w:hAnsi="Arial" w:cs="Arial"/>
          <w:sz w:val="24"/>
          <w:szCs w:val="24"/>
        </w:rPr>
        <w:t xml:space="preserve"> contribute to identify the areas where further efforts are needed.</w:t>
      </w:r>
    </w:p>
    <w:p w14:paraId="76AE6B27" w14:textId="77777777" w:rsidR="00FB01BD" w:rsidRPr="002D57F2" w:rsidRDefault="00FB01BD" w:rsidP="00FB01BD">
      <w:pPr>
        <w:pStyle w:val="Style2"/>
        <w:spacing w:line="288" w:lineRule="auto"/>
        <w:rPr>
          <w:rFonts w:ascii="Arial" w:hAnsi="Arial" w:cs="Arial"/>
          <w:b/>
          <w:bCs/>
          <w:sz w:val="24"/>
          <w:szCs w:val="24"/>
        </w:rPr>
      </w:pPr>
      <w:r w:rsidRPr="002D57F2">
        <w:rPr>
          <w:rFonts w:ascii="Arial" w:hAnsi="Arial" w:cs="Arial"/>
          <w:sz w:val="24"/>
          <w:szCs w:val="24"/>
        </w:rPr>
        <w:t>The Commission is therefore strengthening the strategy</w:t>
      </w:r>
      <w:r w:rsidRPr="002D57F2">
        <w:rPr>
          <w:rFonts w:ascii="Arial" w:hAnsi="Arial" w:cs="Arial"/>
          <w:b/>
          <w:bCs/>
          <w:sz w:val="24"/>
          <w:szCs w:val="24"/>
        </w:rPr>
        <w:t xml:space="preserve"> </w:t>
      </w:r>
      <w:proofErr w:type="gramStart"/>
      <w:r w:rsidRPr="002D57F2">
        <w:rPr>
          <w:rFonts w:ascii="Arial" w:hAnsi="Arial" w:cs="Arial"/>
          <w:sz w:val="24"/>
          <w:szCs w:val="24"/>
        </w:rPr>
        <w:t>in order</w:t>
      </w:r>
      <w:r w:rsidRPr="002D57F2">
        <w:rPr>
          <w:rFonts w:ascii="Arial" w:hAnsi="Arial" w:cs="Arial"/>
          <w:b/>
          <w:bCs/>
          <w:sz w:val="24"/>
          <w:szCs w:val="24"/>
        </w:rPr>
        <w:t xml:space="preserve"> </w:t>
      </w:r>
      <w:r w:rsidRPr="002D57F2">
        <w:rPr>
          <w:rFonts w:ascii="Arial" w:hAnsi="Arial" w:cs="Arial"/>
          <w:sz w:val="24"/>
          <w:szCs w:val="24"/>
        </w:rPr>
        <w:t>to</w:t>
      </w:r>
      <w:proofErr w:type="gramEnd"/>
      <w:r w:rsidRPr="002D57F2">
        <w:rPr>
          <w:rFonts w:ascii="Arial" w:hAnsi="Arial" w:cs="Arial"/>
          <w:sz w:val="24"/>
          <w:szCs w:val="24"/>
        </w:rPr>
        <w:t xml:space="preserve"> guide the EU and its Member States in their joint engagement </w:t>
      </w:r>
      <w:r w:rsidRPr="002D57F2">
        <w:rPr>
          <w:rFonts w:ascii="Arial" w:hAnsi="Arial" w:cs="Arial"/>
          <w:b/>
          <w:bCs/>
          <w:sz w:val="24"/>
          <w:szCs w:val="24"/>
        </w:rPr>
        <w:t>to enhance disability inclusion up to 2030.</w:t>
      </w:r>
    </w:p>
    <w:p w14:paraId="1C51AC82"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The planned actions include </w:t>
      </w:r>
      <w:r w:rsidRPr="002D57F2">
        <w:rPr>
          <w:rFonts w:ascii="Arial" w:hAnsi="Arial" w:cs="Arial"/>
          <w:b/>
          <w:bCs/>
          <w:sz w:val="24"/>
          <w:szCs w:val="24"/>
        </w:rPr>
        <w:t>flagship initiatives</w:t>
      </w:r>
      <w:r w:rsidRPr="002D57F2">
        <w:rPr>
          <w:rFonts w:ascii="Arial" w:hAnsi="Arial" w:cs="Arial"/>
          <w:sz w:val="24"/>
          <w:szCs w:val="24"/>
        </w:rPr>
        <w:t xml:space="preserve"> that will allow efforts to be centred around key topics. Stepping up </w:t>
      </w:r>
      <w:r w:rsidRPr="002D57F2">
        <w:rPr>
          <w:rFonts w:ascii="Arial" w:hAnsi="Arial" w:cs="Arial"/>
          <w:b/>
          <w:bCs/>
          <w:sz w:val="24"/>
          <w:szCs w:val="24"/>
        </w:rPr>
        <w:t>cooperation with Member States</w:t>
      </w:r>
      <w:r w:rsidRPr="002D57F2">
        <w:rPr>
          <w:rFonts w:ascii="Arial" w:hAnsi="Arial" w:cs="Arial"/>
          <w:sz w:val="24"/>
          <w:szCs w:val="24"/>
        </w:rPr>
        <w:t xml:space="preserve">, including </w:t>
      </w:r>
      <w:proofErr w:type="gramStart"/>
      <w:r w:rsidRPr="002D57F2">
        <w:rPr>
          <w:rFonts w:ascii="Arial" w:hAnsi="Arial" w:cs="Arial"/>
          <w:sz w:val="24"/>
          <w:szCs w:val="24"/>
        </w:rPr>
        <w:t>through the use of</w:t>
      </w:r>
      <w:proofErr w:type="gramEnd"/>
      <w:r w:rsidRPr="002D57F2">
        <w:rPr>
          <w:rFonts w:ascii="Arial" w:hAnsi="Arial" w:cs="Arial"/>
          <w:sz w:val="24"/>
          <w:szCs w:val="24"/>
        </w:rPr>
        <w:t xml:space="preserve"> EU funds, is part of this renewed commitment.</w:t>
      </w:r>
    </w:p>
    <w:p w14:paraId="0453BC17" w14:textId="77777777" w:rsidR="00FB01BD" w:rsidRPr="002D57F2" w:rsidRDefault="00FB01BD" w:rsidP="00FB01BD">
      <w:pPr>
        <w:spacing w:after="120" w:line="288" w:lineRule="auto"/>
        <w:rPr>
          <w:rFonts w:ascii="Arial" w:hAnsi="Arial" w:cs="Arial"/>
          <w:b/>
          <w:bCs/>
          <w:smallCaps/>
          <w:lang w:val="en-GB"/>
        </w:rPr>
      </w:pPr>
      <w:r w:rsidRPr="002D57F2">
        <w:rPr>
          <w:rFonts w:ascii="Arial" w:hAnsi="Arial" w:cs="Arial"/>
          <w:b/>
          <w:bCs/>
          <w:smallCaps/>
          <w:lang w:val="en-GB"/>
        </w:rPr>
        <w:br w:type="page"/>
      </w:r>
    </w:p>
    <w:p w14:paraId="1B636F10" w14:textId="77777777" w:rsidR="00FB01BD" w:rsidRPr="002D57F2" w:rsidRDefault="00FB01BD" w:rsidP="00FB01BD">
      <w:pPr>
        <w:pStyle w:val="Heading1"/>
        <w:numPr>
          <w:ilvl w:val="0"/>
          <w:numId w:val="14"/>
        </w:numPr>
        <w:ind w:left="284" w:hanging="284"/>
        <w:rPr>
          <w:rFonts w:ascii="Arial" w:hAnsi="Arial" w:cs="Arial"/>
        </w:rPr>
      </w:pPr>
      <w:bookmarkStart w:id="2" w:name="_Toc228880166"/>
      <w:r w:rsidRPr="002D57F2">
        <w:rPr>
          <w:rFonts w:ascii="Arial" w:hAnsi="Arial" w:cs="Arial"/>
        </w:rPr>
        <w:t>TURNING RIGHTS INTO REALITY</w:t>
      </w:r>
      <w:bookmarkEnd w:id="2"/>
    </w:p>
    <w:p w14:paraId="50A86ED6" w14:textId="77777777" w:rsidR="00FB01BD" w:rsidRPr="002D57F2" w:rsidRDefault="00FB01BD" w:rsidP="00FB01BD">
      <w:pPr>
        <w:pStyle w:val="Heading2"/>
        <w:spacing w:after="240"/>
        <w:ind w:left="425" w:hanging="425"/>
        <w:rPr>
          <w:rFonts w:ascii="Arial" w:hAnsi="Arial" w:cs="Arial"/>
        </w:rPr>
      </w:pPr>
      <w:bookmarkStart w:id="3" w:name="_Toc228880167"/>
      <w:r w:rsidRPr="002D57F2">
        <w:rPr>
          <w:rFonts w:ascii="Arial" w:hAnsi="Arial" w:cs="Arial"/>
        </w:rPr>
        <w:t>Accessibility – an enabler of rights, autonomy and equality</w:t>
      </w:r>
      <w:bookmarkEnd w:id="3"/>
    </w:p>
    <w:p w14:paraId="68B0E028" w14:textId="77777777" w:rsidR="00FB01BD" w:rsidRPr="002D57F2" w:rsidRDefault="00FB01BD" w:rsidP="00FB01BD">
      <w:pPr>
        <w:pStyle w:val="Style2"/>
        <w:spacing w:line="288" w:lineRule="auto"/>
        <w:rPr>
          <w:rStyle w:val="normaltextrun"/>
          <w:rFonts w:ascii="Arial" w:hAnsi="Arial" w:cs="Arial"/>
          <w:sz w:val="24"/>
          <w:szCs w:val="24"/>
        </w:rPr>
      </w:pPr>
      <w:r w:rsidRPr="002D57F2">
        <w:rPr>
          <w:rStyle w:val="normaltextrun"/>
          <w:rFonts w:ascii="Arial" w:hAnsi="Arial" w:cs="Arial"/>
          <w:sz w:val="24"/>
          <w:szCs w:val="24"/>
        </w:rPr>
        <w:t xml:space="preserve">Accessibility is crucial to enable persons with disabilities to </w:t>
      </w:r>
      <w:r w:rsidRPr="002D57F2">
        <w:rPr>
          <w:rStyle w:val="normaltextrun"/>
          <w:rFonts w:ascii="Arial" w:hAnsi="Arial" w:cs="Arial"/>
          <w:b/>
          <w:bCs/>
          <w:sz w:val="24"/>
          <w:szCs w:val="24"/>
        </w:rPr>
        <w:t>fully participate in all areas of life.</w:t>
      </w:r>
      <w:r w:rsidRPr="002D57F2">
        <w:rPr>
          <w:rStyle w:val="normaltextrun"/>
          <w:rFonts w:ascii="Arial" w:hAnsi="Arial" w:cs="Arial"/>
          <w:sz w:val="24"/>
          <w:szCs w:val="24"/>
        </w:rPr>
        <w:t xml:space="preserve"> Persons with disabilities continue to face barriers in the built environment, transport, access to services and information and communication, including digital spaces. </w:t>
      </w:r>
    </w:p>
    <w:p w14:paraId="64944542" w14:textId="77777777" w:rsidR="00FB01BD" w:rsidRPr="002D57F2" w:rsidRDefault="00FB01BD" w:rsidP="00FB01BD">
      <w:pPr>
        <w:pStyle w:val="Heading3"/>
        <w:rPr>
          <w:rFonts w:ascii="Arial" w:hAnsi="Arial" w:cs="Arial"/>
        </w:rPr>
      </w:pPr>
      <w:bookmarkStart w:id="4" w:name="_Toc228880168"/>
      <w:r w:rsidRPr="002D57F2">
        <w:rPr>
          <w:rFonts w:ascii="Arial" w:hAnsi="Arial" w:cs="Arial"/>
        </w:rPr>
        <w:t>Digital accessibility and assistive technologies</w:t>
      </w:r>
      <w:bookmarkEnd w:id="4"/>
    </w:p>
    <w:p w14:paraId="2731CFF1" w14:textId="77777777" w:rsidR="00FB01BD" w:rsidRPr="002D57F2" w:rsidRDefault="00FB01BD" w:rsidP="00FB01BD">
      <w:pPr>
        <w:pStyle w:val="Style2"/>
        <w:spacing w:line="288" w:lineRule="auto"/>
        <w:rPr>
          <w:rFonts w:ascii="Arial" w:hAnsi="Arial" w:cs="Arial"/>
          <w:b/>
          <w:bCs/>
          <w:sz w:val="24"/>
          <w:szCs w:val="24"/>
        </w:rPr>
      </w:pPr>
      <w:r w:rsidRPr="002D57F2">
        <w:rPr>
          <w:rFonts w:ascii="Arial" w:hAnsi="Arial" w:cs="Arial"/>
          <w:b/>
          <w:bCs/>
          <w:sz w:val="24"/>
          <w:szCs w:val="24"/>
        </w:rPr>
        <w:t>Effective implementation of key legislation</w:t>
      </w:r>
      <w:r w:rsidRPr="002D57F2">
        <w:rPr>
          <w:rFonts w:ascii="Arial" w:hAnsi="Arial" w:cs="Arial"/>
          <w:sz w:val="24"/>
          <w:szCs w:val="24"/>
        </w:rPr>
        <w:t xml:space="preserve"> on accessibility, including through the support of </w:t>
      </w:r>
      <w:hyperlink r:id="rId26" w:history="1">
        <w:r w:rsidRPr="002D57F2">
          <w:rPr>
            <w:rStyle w:val="Hyperlink"/>
            <w:rFonts w:ascii="Arial" w:hAnsi="Arial" w:cs="Arial"/>
            <w:sz w:val="24"/>
            <w:szCs w:val="24"/>
          </w:rPr>
          <w:t>AccessibleEU</w:t>
        </w:r>
      </w:hyperlink>
      <w:r w:rsidRPr="002D57F2">
        <w:rPr>
          <w:rFonts w:ascii="Arial" w:hAnsi="Arial" w:cs="Arial"/>
          <w:sz w:val="24"/>
          <w:szCs w:val="24"/>
        </w:rPr>
        <w:t>, will remain a key focus</w:t>
      </w:r>
      <w:r w:rsidRPr="002D57F2">
        <w:rPr>
          <w:rStyle w:val="normaltextrun"/>
          <w:rFonts w:ascii="Arial" w:hAnsi="Arial" w:cs="Arial"/>
          <w:sz w:val="24"/>
          <w:szCs w:val="24"/>
        </w:rPr>
        <w:t xml:space="preserve"> up to 2030. The Commission</w:t>
      </w:r>
      <w:r w:rsidRPr="002D57F2">
        <w:rPr>
          <w:rFonts w:ascii="Arial" w:hAnsi="Arial" w:cs="Arial"/>
          <w:sz w:val="24"/>
          <w:szCs w:val="24"/>
          <w:lang w:eastAsia="en-IE"/>
        </w:rPr>
        <w:t xml:space="preserve"> will</w:t>
      </w:r>
      <w:r w:rsidRPr="002D57F2">
        <w:rPr>
          <w:rFonts w:ascii="Arial" w:eastAsia="Times New Roman" w:hAnsi="Arial" w:cs="Arial"/>
          <w:sz w:val="24"/>
          <w:szCs w:val="24"/>
          <w:lang w:eastAsia="en-IE"/>
        </w:rPr>
        <w:t xml:space="preserve"> monitor implementation and application of the </w:t>
      </w:r>
      <w:hyperlink r:id="rId27" w:history="1">
        <w:r w:rsidRPr="002D57F2">
          <w:rPr>
            <w:rStyle w:val="Hyperlink"/>
            <w:rFonts w:ascii="Arial" w:eastAsia="Times New Roman" w:hAnsi="Arial" w:cs="Arial"/>
            <w:sz w:val="24"/>
            <w:szCs w:val="24"/>
            <w:lang w:eastAsia="en-IE"/>
          </w:rPr>
          <w:t>European Accessibility Act</w:t>
        </w:r>
      </w:hyperlink>
      <w:r w:rsidRPr="002D57F2">
        <w:rPr>
          <w:rFonts w:ascii="Arial" w:hAnsi="Arial" w:cs="Arial"/>
        </w:rPr>
        <w:t>,</w:t>
      </w:r>
      <w:r w:rsidRPr="002D57F2">
        <w:rPr>
          <w:rFonts w:ascii="Arial" w:hAnsi="Arial" w:cs="Arial"/>
          <w:sz w:val="24"/>
          <w:szCs w:val="24"/>
        </w:rPr>
        <w:t xml:space="preserve"> including through expert groups and committees, and follow up on the </w:t>
      </w:r>
      <w:hyperlink r:id="rId28" w:history="1">
        <w:r w:rsidRPr="002D57F2">
          <w:rPr>
            <w:rStyle w:val="Hyperlink"/>
            <w:rFonts w:ascii="Arial" w:hAnsi="Arial" w:cs="Arial"/>
            <w:sz w:val="24"/>
            <w:szCs w:val="24"/>
          </w:rPr>
          <w:t>standardisation request M587</w:t>
        </w:r>
      </w:hyperlink>
      <w:r w:rsidRPr="002D57F2">
        <w:rPr>
          <w:rFonts w:ascii="Arial" w:eastAsia="Times New Roman" w:hAnsi="Arial" w:cs="Arial"/>
          <w:sz w:val="24"/>
          <w:szCs w:val="24"/>
          <w:lang w:eastAsia="en-IE"/>
        </w:rPr>
        <w:t xml:space="preserve"> and technical specifications regarding accessibility requirements for products and services.</w:t>
      </w:r>
      <w:r w:rsidRPr="002D57F2">
        <w:rPr>
          <w:rFonts w:ascii="Arial" w:hAnsi="Arial" w:cs="Arial"/>
          <w:sz w:val="24"/>
          <w:szCs w:val="24"/>
        </w:rPr>
        <w:t xml:space="preserve"> </w:t>
      </w:r>
      <w:r w:rsidRPr="002D57F2">
        <w:rPr>
          <w:rFonts w:ascii="Arial" w:hAnsi="Arial" w:cs="Arial"/>
          <w:sz w:val="24"/>
          <w:szCs w:val="24"/>
          <w:lang w:eastAsia="en-IE"/>
        </w:rPr>
        <w:t xml:space="preserve">Accessibility aspects are also considered in the evaluation of the </w:t>
      </w:r>
      <w:hyperlink r:id="rId29" w:history="1">
        <w:r w:rsidRPr="002D57F2">
          <w:rPr>
            <w:rStyle w:val="Hyperlink"/>
            <w:rFonts w:ascii="Arial" w:hAnsi="Arial" w:cs="Arial"/>
            <w:sz w:val="24"/>
            <w:szCs w:val="24"/>
            <w:lang w:eastAsia="en-IE"/>
          </w:rPr>
          <w:t>Audiovisual Media Services Directive</w:t>
        </w:r>
      </w:hyperlink>
      <w:r w:rsidRPr="002D57F2">
        <w:rPr>
          <w:rFonts w:ascii="Arial" w:hAnsi="Arial" w:cs="Arial"/>
          <w:sz w:val="24"/>
          <w:szCs w:val="24"/>
        </w:rPr>
        <w:t>.</w:t>
      </w:r>
      <w:r w:rsidRPr="002D57F2">
        <w:rPr>
          <w:rFonts w:ascii="Arial" w:hAnsi="Arial" w:cs="Arial"/>
          <w:sz w:val="24"/>
          <w:szCs w:val="24"/>
          <w:lang w:eastAsia="en-IE"/>
        </w:rPr>
        <w:t xml:space="preserve"> Monitoring will continue of the application of relevant legislation such as the </w:t>
      </w:r>
      <w:hyperlink r:id="rId30" w:history="1">
        <w:r w:rsidRPr="002D57F2">
          <w:rPr>
            <w:rStyle w:val="Hyperlink"/>
            <w:rFonts w:ascii="Arial" w:hAnsi="Arial" w:cs="Arial"/>
            <w:sz w:val="24"/>
            <w:szCs w:val="24"/>
            <w:lang w:eastAsia="en-IE"/>
          </w:rPr>
          <w:t>Web Accessibility Directive</w:t>
        </w:r>
      </w:hyperlink>
      <w:r w:rsidRPr="002D57F2">
        <w:rPr>
          <w:rFonts w:ascii="Arial" w:hAnsi="Arial" w:cs="Arial"/>
          <w:sz w:val="24"/>
          <w:szCs w:val="24"/>
          <w:lang w:eastAsia="en-IE"/>
        </w:rPr>
        <w:t xml:space="preserve"> and the </w:t>
      </w:r>
      <w:hyperlink r:id="rId31" w:history="1">
        <w:r w:rsidRPr="002D57F2">
          <w:rPr>
            <w:rStyle w:val="Hyperlink"/>
            <w:rFonts w:ascii="Arial" w:hAnsi="Arial" w:cs="Arial"/>
            <w:sz w:val="24"/>
            <w:szCs w:val="24"/>
            <w:lang w:eastAsia="en-IE"/>
          </w:rPr>
          <w:t>European Electronic Communications Code</w:t>
        </w:r>
      </w:hyperlink>
      <w:r w:rsidRPr="002D57F2">
        <w:rPr>
          <w:rFonts w:ascii="Arial" w:hAnsi="Arial" w:cs="Arial"/>
          <w:sz w:val="24"/>
          <w:szCs w:val="24"/>
          <w:lang w:eastAsia="en-IE"/>
        </w:rPr>
        <w:t xml:space="preserve">, pending its </w:t>
      </w:r>
      <w:hyperlink r:id="rId32" w:history="1">
        <w:r w:rsidRPr="002D57F2">
          <w:rPr>
            <w:rStyle w:val="Hyperlink"/>
            <w:rFonts w:ascii="Arial" w:hAnsi="Arial" w:cs="Arial"/>
            <w:sz w:val="24"/>
            <w:szCs w:val="24"/>
            <w:lang w:eastAsia="en-IE"/>
          </w:rPr>
          <w:t>proposed revision</w:t>
        </w:r>
      </w:hyperlink>
      <w:r w:rsidRPr="002D57F2">
        <w:rPr>
          <w:rFonts w:ascii="Arial" w:hAnsi="Arial" w:cs="Arial"/>
          <w:sz w:val="24"/>
          <w:szCs w:val="24"/>
          <w:lang w:eastAsia="en-IE"/>
        </w:rPr>
        <w:t xml:space="preserve">. The Commission will support efforts to make internet platforms and digital services more accessible, including through the </w:t>
      </w:r>
      <w:r w:rsidRPr="002D57F2">
        <w:rPr>
          <w:rFonts w:ascii="Arial" w:hAnsi="Arial" w:cs="Arial"/>
          <w:b/>
          <w:bCs/>
          <w:sz w:val="24"/>
          <w:szCs w:val="24"/>
          <w:lang w:eastAsia="en-IE"/>
        </w:rPr>
        <w:t>codes of conduct</w:t>
      </w:r>
      <w:r w:rsidRPr="002D57F2">
        <w:rPr>
          <w:rFonts w:ascii="Arial" w:hAnsi="Arial" w:cs="Arial"/>
          <w:sz w:val="24"/>
          <w:szCs w:val="24"/>
          <w:lang w:eastAsia="en-IE"/>
        </w:rPr>
        <w:t xml:space="preserve"> under the </w:t>
      </w:r>
      <w:hyperlink r:id="rId33" w:history="1">
        <w:r w:rsidRPr="002D57F2">
          <w:rPr>
            <w:rStyle w:val="Hyperlink"/>
            <w:rFonts w:ascii="Arial" w:hAnsi="Arial" w:cs="Arial"/>
            <w:sz w:val="24"/>
            <w:szCs w:val="24"/>
            <w:lang w:eastAsia="en-IE"/>
          </w:rPr>
          <w:t>Digital Services Act</w:t>
        </w:r>
      </w:hyperlink>
      <w:r w:rsidRPr="002D57F2">
        <w:rPr>
          <w:rFonts w:ascii="Arial" w:hAnsi="Arial" w:cs="Arial"/>
          <w:sz w:val="24"/>
          <w:szCs w:val="24"/>
          <w:lang w:eastAsia="en-IE"/>
        </w:rPr>
        <w:t>.</w:t>
      </w:r>
      <w:r w:rsidRPr="002D57F2">
        <w:rPr>
          <w:rFonts w:ascii="Arial" w:hAnsi="Arial" w:cs="Arial"/>
          <w:sz w:val="24"/>
          <w:szCs w:val="24"/>
        </w:rPr>
        <w:t xml:space="preserve"> </w:t>
      </w:r>
    </w:p>
    <w:p w14:paraId="3D0317A9" w14:textId="77777777" w:rsidR="00FB01BD" w:rsidRPr="002D57F2" w:rsidRDefault="00FB01BD" w:rsidP="00FB01BD">
      <w:pPr>
        <w:pStyle w:val="Style2"/>
        <w:spacing w:line="288" w:lineRule="auto"/>
        <w:rPr>
          <w:rFonts w:ascii="Arial" w:hAnsi="Arial" w:cs="Arial"/>
          <w:sz w:val="24"/>
          <w:szCs w:val="24"/>
        </w:rPr>
      </w:pPr>
      <w:r w:rsidRPr="002D57F2">
        <w:rPr>
          <w:rStyle w:val="normaltextrun"/>
          <w:rFonts w:ascii="Arial" w:hAnsi="Arial" w:cs="Arial"/>
          <w:sz w:val="24"/>
          <w:szCs w:val="24"/>
        </w:rPr>
        <w:t>To maintain its role as a world leader on accessibility, notably in the digital realm,</w:t>
      </w:r>
      <w:r w:rsidRPr="002D57F2">
        <w:rPr>
          <w:rStyle w:val="normaltextrun"/>
          <w:rFonts w:ascii="Arial" w:hAnsi="Arial" w:cs="Arial"/>
          <w:b/>
          <w:bCs/>
          <w:sz w:val="24"/>
          <w:szCs w:val="24"/>
        </w:rPr>
        <w:t xml:space="preserve"> the EU needs to constantly adapt to new challenges</w:t>
      </w:r>
      <w:r w:rsidRPr="002D57F2">
        <w:rPr>
          <w:rStyle w:val="normaltextrun"/>
          <w:rFonts w:ascii="Arial" w:hAnsi="Arial" w:cs="Arial"/>
          <w:sz w:val="24"/>
          <w:szCs w:val="24"/>
        </w:rPr>
        <w:t xml:space="preserve">. This concerns </w:t>
      </w:r>
      <w:proofErr w:type="gramStart"/>
      <w:r w:rsidRPr="002D57F2">
        <w:rPr>
          <w:rStyle w:val="normaltextrun"/>
          <w:rFonts w:ascii="Arial" w:hAnsi="Arial" w:cs="Arial"/>
          <w:sz w:val="24"/>
          <w:szCs w:val="24"/>
        </w:rPr>
        <w:t>in particular the</w:t>
      </w:r>
      <w:proofErr w:type="gramEnd"/>
      <w:r w:rsidRPr="002D57F2">
        <w:rPr>
          <w:rStyle w:val="normaltextrun"/>
          <w:rFonts w:ascii="Arial" w:hAnsi="Arial" w:cs="Arial"/>
          <w:sz w:val="24"/>
          <w:szCs w:val="24"/>
        </w:rPr>
        <w:t xml:space="preserve"> use of Artificial Intelligence (AI), which has</w:t>
      </w:r>
      <w:r w:rsidRPr="002D57F2">
        <w:rPr>
          <w:rFonts w:ascii="Arial" w:hAnsi="Arial" w:cs="Arial"/>
          <w:sz w:val="24"/>
          <w:szCs w:val="24"/>
        </w:rPr>
        <w:t xml:space="preserve"> great potential to support persons with disabilities though requires cautious approaches in view of any discriminatory effects </w:t>
      </w:r>
      <w:r w:rsidRPr="002D57F2">
        <w:rPr>
          <w:rFonts w:ascii="Arial" w:hAnsi="Arial" w:cs="Arial"/>
          <w:sz w:val="24"/>
          <w:szCs w:val="24"/>
          <w:vertAlign w:val="superscript"/>
        </w:rPr>
        <w:t>(</w:t>
      </w:r>
      <w:r w:rsidRPr="002D57F2">
        <w:rPr>
          <w:rStyle w:val="FootnoteReference"/>
          <w:rFonts w:ascii="Arial" w:hAnsi="Arial" w:cs="Arial"/>
        </w:rPr>
        <w:footnoteReference w:id="5"/>
      </w:r>
      <w:r w:rsidRPr="002D57F2">
        <w:rPr>
          <w:rFonts w:ascii="Arial" w:hAnsi="Arial" w:cs="Arial"/>
          <w:sz w:val="24"/>
          <w:szCs w:val="24"/>
          <w:vertAlign w:val="superscript"/>
        </w:rPr>
        <w:t>)</w:t>
      </w:r>
      <w:r w:rsidRPr="002D57F2">
        <w:rPr>
          <w:rFonts w:ascii="Arial" w:hAnsi="Arial" w:cs="Arial"/>
          <w:sz w:val="24"/>
          <w:szCs w:val="24"/>
        </w:rPr>
        <w:t xml:space="preserve">. Emphasis on accessibility and protecting fundamental rights will be key to establish a </w:t>
      </w:r>
      <w:r w:rsidRPr="002D57F2">
        <w:rPr>
          <w:rFonts w:ascii="Arial" w:hAnsi="Arial" w:cs="Arial"/>
          <w:b/>
          <w:bCs/>
          <w:sz w:val="24"/>
          <w:szCs w:val="24"/>
        </w:rPr>
        <w:t>joint approach to deploying AI in the single market</w:t>
      </w:r>
      <w:r w:rsidRPr="002D57F2">
        <w:rPr>
          <w:rFonts w:ascii="Arial" w:hAnsi="Arial" w:cs="Arial"/>
          <w:sz w:val="24"/>
          <w:szCs w:val="24"/>
        </w:rPr>
        <w:t xml:space="preserve">. </w:t>
      </w:r>
      <w:r w:rsidRPr="002D57F2">
        <w:rPr>
          <w:rFonts w:ascii="Arial" w:eastAsia="Times New Roman" w:hAnsi="Arial" w:cs="Arial"/>
          <w:sz w:val="24"/>
          <w:szCs w:val="24"/>
          <w:lang w:eastAsia="en-IE"/>
        </w:rPr>
        <w:t xml:space="preserve">The Commission will issue and follow up on guidelines for the implementation of the </w:t>
      </w:r>
      <w:hyperlink r:id="rId34" w:history="1">
        <w:r w:rsidRPr="002D57F2">
          <w:rPr>
            <w:rStyle w:val="Hyperlink"/>
            <w:rFonts w:ascii="Arial" w:eastAsia="Times New Roman" w:hAnsi="Arial" w:cs="Arial"/>
            <w:sz w:val="24"/>
            <w:szCs w:val="24"/>
            <w:lang w:eastAsia="en-IE"/>
          </w:rPr>
          <w:t>Artificial Intelligence (AI) Act</w:t>
        </w:r>
      </w:hyperlink>
      <w:r w:rsidRPr="002D57F2">
        <w:rPr>
          <w:rFonts w:ascii="Arial" w:hAnsi="Arial" w:cs="Arial"/>
          <w:sz w:val="24"/>
          <w:szCs w:val="24"/>
        </w:rPr>
        <w:t xml:space="preserve"> e.g. on the </w:t>
      </w:r>
      <w:hyperlink r:id="rId35" w:history="1">
        <w:r w:rsidRPr="002D57F2">
          <w:rPr>
            <w:rStyle w:val="Hyperlink"/>
            <w:rFonts w:ascii="Arial" w:hAnsi="Arial" w:cs="Arial"/>
            <w:sz w:val="24"/>
            <w:szCs w:val="24"/>
          </w:rPr>
          <w:t>prohibited AI practice</w:t>
        </w:r>
      </w:hyperlink>
      <w:r w:rsidRPr="002D57F2">
        <w:rPr>
          <w:rFonts w:ascii="Arial" w:hAnsi="Arial" w:cs="Arial"/>
          <w:sz w:val="24"/>
          <w:szCs w:val="24"/>
        </w:rPr>
        <w:t xml:space="preserve"> that exploit the vulnerability of a person in a significantly harmful manner due, amongst other reasons, to disability as well as on the classification of high-risk AI systems.</w:t>
      </w:r>
    </w:p>
    <w:p w14:paraId="3AAF7055" w14:textId="77777777" w:rsidR="00FB01BD" w:rsidRPr="002D57F2" w:rsidRDefault="00FB01BD" w:rsidP="00FB01BD">
      <w:pPr>
        <w:pStyle w:val="Style2"/>
        <w:spacing w:line="288" w:lineRule="auto"/>
        <w:rPr>
          <w:rStyle w:val="normaltextrun"/>
          <w:rFonts w:ascii="Arial" w:hAnsi="Arial" w:cs="Arial"/>
          <w:sz w:val="24"/>
          <w:szCs w:val="24"/>
        </w:rPr>
      </w:pPr>
      <w:r w:rsidRPr="002D57F2">
        <w:rPr>
          <w:rFonts w:ascii="Arial" w:hAnsi="Arial" w:cs="Arial"/>
          <w:b/>
          <w:bCs/>
          <w:sz w:val="24"/>
          <w:szCs w:val="24"/>
        </w:rPr>
        <w:t xml:space="preserve"> </w:t>
      </w:r>
      <w:r w:rsidRPr="002D57F2">
        <w:rPr>
          <w:rFonts w:ascii="Arial" w:hAnsi="Arial" w:cs="Arial"/>
          <w:sz w:val="24"/>
          <w:szCs w:val="24"/>
        </w:rPr>
        <w:t xml:space="preserve">AI developments are particularly relevant </w:t>
      </w:r>
      <w:proofErr w:type="gramStart"/>
      <w:r w:rsidRPr="002D57F2">
        <w:rPr>
          <w:rFonts w:ascii="Arial" w:hAnsi="Arial" w:cs="Arial"/>
          <w:sz w:val="24"/>
          <w:szCs w:val="24"/>
        </w:rPr>
        <w:t>in the area of</w:t>
      </w:r>
      <w:proofErr w:type="gramEnd"/>
      <w:r w:rsidRPr="002D57F2">
        <w:rPr>
          <w:rFonts w:ascii="Arial" w:hAnsi="Arial" w:cs="Arial"/>
          <w:sz w:val="24"/>
          <w:szCs w:val="24"/>
        </w:rPr>
        <w:t xml:space="preserve"> </w:t>
      </w:r>
      <w:r w:rsidRPr="002D57F2">
        <w:rPr>
          <w:rFonts w:ascii="Arial" w:hAnsi="Arial" w:cs="Arial"/>
          <w:b/>
          <w:bCs/>
          <w:sz w:val="24"/>
          <w:szCs w:val="24"/>
        </w:rPr>
        <w:t>assistive technology</w:t>
      </w:r>
      <w:r w:rsidRPr="002D57F2">
        <w:rPr>
          <w:rFonts w:ascii="Arial" w:hAnsi="Arial" w:cs="Arial"/>
          <w:sz w:val="24"/>
          <w:szCs w:val="24"/>
        </w:rPr>
        <w:t>, which is key to ensure autonomy and quality of life, and becomes increasingly critical with ageing.</w:t>
      </w:r>
      <w:r w:rsidRPr="002D57F2">
        <w:rPr>
          <w:rFonts w:ascii="Arial" w:hAnsi="Arial" w:cs="Arial"/>
          <w:b/>
          <w:bCs/>
          <w:sz w:val="24"/>
          <w:szCs w:val="24"/>
        </w:rPr>
        <w:t xml:space="preserve"> </w:t>
      </w:r>
      <w:r w:rsidRPr="002D57F2">
        <w:rPr>
          <w:rFonts w:ascii="Arial" w:hAnsi="Arial" w:cs="Arial"/>
          <w:sz w:val="24"/>
          <w:szCs w:val="24"/>
        </w:rPr>
        <w:t xml:space="preserve"> From a business perspective, this sector presents challenges related to market entry and access to finance, likely to impact availability and affordability for users.</w:t>
      </w:r>
    </w:p>
    <w:p w14:paraId="777540B8" w14:textId="77777777" w:rsidR="00FB01BD" w:rsidRPr="002D57F2" w:rsidRDefault="00FB01BD" w:rsidP="00B540AD">
      <w:pPr>
        <w:pStyle w:val="Style2"/>
        <w:keepNext/>
        <w:keepLines/>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sz w:val="24"/>
          <w:szCs w:val="24"/>
        </w:rPr>
      </w:pPr>
      <w:r w:rsidRPr="002D57F2">
        <w:rPr>
          <w:rFonts w:ascii="Arial" w:hAnsi="Arial" w:cs="Arial"/>
          <w:b/>
          <w:bCs/>
          <w:sz w:val="24"/>
          <w:szCs w:val="24"/>
        </w:rPr>
        <w:t>FLAGSHIP INITIATIVE – Assistive technologies and AI: from lab to market</w:t>
      </w:r>
    </w:p>
    <w:p w14:paraId="6840DCDC" w14:textId="77777777" w:rsidR="00FB01BD" w:rsidRPr="002D57F2" w:rsidRDefault="00FB01BD" w:rsidP="00B540AD">
      <w:pPr>
        <w:pStyle w:val="Style2"/>
        <w:keepLines/>
        <w:pBdr>
          <w:top w:val="single" w:sz="4" w:space="3" w:color="auto"/>
          <w:left w:val="single" w:sz="4" w:space="4" w:color="auto"/>
          <w:bottom w:val="single" w:sz="4" w:space="1" w:color="auto"/>
          <w:right w:val="single" w:sz="4" w:space="4" w:color="auto"/>
        </w:pBdr>
        <w:shd w:val="clear" w:color="auto" w:fill="D9F2D0" w:themeFill="accent6" w:themeFillTint="33"/>
        <w:spacing w:line="288" w:lineRule="auto"/>
        <w:rPr>
          <w:rFonts w:ascii="Arial" w:hAnsi="Arial" w:cs="Arial"/>
          <w:b/>
          <w:bCs/>
          <w:color w:val="0E2841" w:themeColor="text2"/>
          <w:sz w:val="24"/>
          <w:szCs w:val="24"/>
        </w:rPr>
      </w:pPr>
      <w:r w:rsidRPr="002D57F2">
        <w:rPr>
          <w:rFonts w:ascii="Arial" w:hAnsi="Arial" w:cs="Arial"/>
          <w:sz w:val="24"/>
          <w:szCs w:val="24"/>
        </w:rPr>
        <w:t xml:space="preserve">The Commission will seek to promote better knowledge and strengthen the single market for assistive technologies and AI applications. The aim is to </w:t>
      </w:r>
      <w:r w:rsidRPr="002D57F2">
        <w:rPr>
          <w:rFonts w:ascii="Arial" w:hAnsi="Arial" w:cs="Arial"/>
          <w:sz w:val="24"/>
          <w:szCs w:val="24"/>
          <w:lang w:eastAsia="en-IE"/>
        </w:rPr>
        <w:t xml:space="preserve">identify and remove bottlenecks that prevent persons with disabilities from benefiting from accessible and affordable technologies. </w:t>
      </w:r>
      <w:r w:rsidRPr="002D57F2">
        <w:rPr>
          <w:rFonts w:ascii="Arial" w:hAnsi="Arial" w:cs="Arial"/>
          <w:b/>
          <w:bCs/>
          <w:sz w:val="24"/>
          <w:szCs w:val="24"/>
          <w:lang w:eastAsia="en-IE"/>
        </w:rPr>
        <w:t>The initiative includes:</w:t>
      </w:r>
      <w:r w:rsidRPr="002D57F2">
        <w:rPr>
          <w:rFonts w:ascii="Arial" w:hAnsi="Arial" w:cs="Arial"/>
          <w:sz w:val="24"/>
          <w:szCs w:val="24"/>
          <w:lang w:eastAsia="en-IE"/>
        </w:rPr>
        <w:t xml:space="preserve"> </w:t>
      </w:r>
      <w:r w:rsidRPr="002D57F2">
        <w:rPr>
          <w:rFonts w:ascii="Arial" w:hAnsi="Arial" w:cs="Arial"/>
          <w:sz w:val="24"/>
          <w:szCs w:val="24"/>
        </w:rPr>
        <w:t xml:space="preserve">(i) </w:t>
      </w:r>
      <w:r w:rsidRPr="002D57F2">
        <w:rPr>
          <w:rFonts w:ascii="Arial" w:hAnsi="Arial" w:cs="Arial"/>
          <w:sz w:val="24"/>
          <w:szCs w:val="24"/>
          <w:lang w:eastAsia="en-IE"/>
        </w:rPr>
        <w:t>an EU-level dialogue with assistive technology operators</w:t>
      </w:r>
      <w:r w:rsidRPr="002D57F2">
        <w:rPr>
          <w:rFonts w:ascii="Arial" w:hAnsi="Arial" w:cs="Arial"/>
        </w:rPr>
        <w:t>,</w:t>
      </w:r>
      <w:r w:rsidRPr="002D57F2">
        <w:rPr>
          <w:rFonts w:ascii="Arial" w:hAnsi="Arial" w:cs="Arial"/>
          <w:sz w:val="24"/>
          <w:szCs w:val="24"/>
        </w:rPr>
        <w:t xml:space="preserve"> involving users and public administrations, showcasing relevant EU business support initiatives such as the </w:t>
      </w:r>
      <w:hyperlink r:id="rId36" w:history="1">
        <w:r w:rsidRPr="002D57F2">
          <w:rPr>
            <w:rStyle w:val="Hyperlink"/>
            <w:rFonts w:ascii="Arial" w:hAnsi="Arial" w:cs="Arial"/>
            <w:sz w:val="24"/>
            <w:szCs w:val="24"/>
            <w:lang w:eastAsia="en-IE"/>
          </w:rPr>
          <w:t>Enterprise Europe Network</w:t>
        </w:r>
      </w:hyperlink>
      <w:r w:rsidRPr="002D57F2">
        <w:rPr>
          <w:rFonts w:ascii="Arial" w:hAnsi="Arial" w:cs="Arial"/>
          <w:sz w:val="24"/>
          <w:szCs w:val="24"/>
        </w:rPr>
        <w:t xml:space="preserve"> and identifying funding opportunities to facilitate ‘from lab to market’ transitions; and (ii) </w:t>
      </w:r>
      <w:r w:rsidRPr="002D57F2">
        <w:rPr>
          <w:rFonts w:ascii="Arial" w:hAnsi="Arial" w:cs="Arial"/>
          <w:sz w:val="24"/>
          <w:szCs w:val="24"/>
          <w:lang w:eastAsia="en-IE"/>
        </w:rPr>
        <w:t xml:space="preserve">a study to assess obstacles to accessing </w:t>
      </w:r>
      <w:r w:rsidRPr="002D57F2">
        <w:rPr>
          <w:rFonts w:ascii="Arial" w:hAnsi="Arial" w:cs="Arial"/>
          <w:sz w:val="24"/>
          <w:szCs w:val="24"/>
        </w:rPr>
        <w:t>assistive technologies and AI</w:t>
      </w:r>
      <w:r w:rsidRPr="002D57F2" w:rsidDel="00E56A21">
        <w:rPr>
          <w:rFonts w:ascii="Arial" w:hAnsi="Arial" w:cs="Arial"/>
          <w:sz w:val="24"/>
          <w:szCs w:val="24"/>
          <w:lang w:eastAsia="en-IE"/>
        </w:rPr>
        <w:t xml:space="preserve"> </w:t>
      </w:r>
      <w:r w:rsidRPr="002D57F2">
        <w:rPr>
          <w:rFonts w:ascii="Arial" w:hAnsi="Arial" w:cs="Arial"/>
          <w:sz w:val="24"/>
          <w:szCs w:val="24"/>
          <w:lang w:eastAsia="en-IE"/>
        </w:rPr>
        <w:t xml:space="preserve">for persons with disabilities and provide suggestions to address them. </w:t>
      </w:r>
    </w:p>
    <w:p w14:paraId="1B65D43E" w14:textId="77777777" w:rsidR="00FB01BD" w:rsidRPr="002D57F2" w:rsidRDefault="00FB01BD" w:rsidP="00FB01BD">
      <w:pPr>
        <w:pStyle w:val="Heading3"/>
        <w:rPr>
          <w:rFonts w:ascii="Arial" w:hAnsi="Arial" w:cs="Arial"/>
        </w:rPr>
      </w:pPr>
      <w:bookmarkStart w:id="5" w:name="_Toc228880169"/>
      <w:r w:rsidRPr="002D57F2">
        <w:rPr>
          <w:rFonts w:ascii="Arial" w:hAnsi="Arial" w:cs="Arial"/>
        </w:rPr>
        <w:t>Safe and accessible products and services</w:t>
      </w:r>
      <w:bookmarkEnd w:id="5"/>
    </w:p>
    <w:p w14:paraId="2C8C0CB7" w14:textId="77777777" w:rsidR="00FB01BD" w:rsidRPr="002D57F2" w:rsidRDefault="00FB01BD" w:rsidP="00FB01BD">
      <w:pPr>
        <w:pStyle w:val="Style2"/>
        <w:spacing w:line="288" w:lineRule="auto"/>
        <w:rPr>
          <w:rStyle w:val="normaltextrun"/>
          <w:rFonts w:ascii="Arial" w:hAnsi="Arial" w:cs="Arial"/>
          <w:sz w:val="24"/>
          <w:szCs w:val="24"/>
        </w:rPr>
      </w:pPr>
      <w:r w:rsidRPr="002D57F2">
        <w:rPr>
          <w:rStyle w:val="normaltextrun"/>
          <w:rFonts w:ascii="Arial" w:hAnsi="Arial" w:cs="Arial"/>
          <w:sz w:val="24"/>
          <w:szCs w:val="24"/>
        </w:rPr>
        <w:t xml:space="preserve">Persons with disabilities face </w:t>
      </w:r>
      <w:r w:rsidRPr="002D57F2">
        <w:rPr>
          <w:rStyle w:val="normaltextrun"/>
          <w:rFonts w:ascii="Arial" w:hAnsi="Arial" w:cs="Arial"/>
          <w:b/>
          <w:bCs/>
          <w:sz w:val="24"/>
          <w:szCs w:val="24"/>
        </w:rPr>
        <w:t>difficulties as consumers</w:t>
      </w:r>
      <w:r w:rsidRPr="002D57F2">
        <w:rPr>
          <w:rStyle w:val="normaltextrun"/>
          <w:rFonts w:ascii="Arial" w:hAnsi="Arial" w:cs="Arial"/>
          <w:sz w:val="24"/>
          <w:szCs w:val="24"/>
        </w:rPr>
        <w:t>, due to inaccessible interfaces and functionalities and to a lack of accessible labelling and product information. Furthermore, barriers in accessing essential services such as transport, due for instance to</w:t>
      </w:r>
      <w:r w:rsidRPr="002D57F2">
        <w:rPr>
          <w:rStyle w:val="normaltextrun"/>
          <w:rFonts w:ascii="Arial" w:hAnsi="Arial" w:cs="Arial"/>
          <w:b/>
          <w:bCs/>
          <w:sz w:val="24"/>
          <w:szCs w:val="24"/>
        </w:rPr>
        <w:t xml:space="preserve"> </w:t>
      </w:r>
      <w:r w:rsidRPr="002D57F2">
        <w:rPr>
          <w:rFonts w:ascii="Arial" w:eastAsia="Times New Roman" w:hAnsi="Arial" w:cs="Arial"/>
          <w:sz w:val="24"/>
          <w:szCs w:val="24"/>
          <w:lang w:eastAsia="en-IE"/>
        </w:rPr>
        <w:t xml:space="preserve">inaccessible vehicles and stations and to lack of real-time accessible information, </w:t>
      </w:r>
      <w:r w:rsidRPr="002D57F2">
        <w:rPr>
          <w:rStyle w:val="normaltextrun"/>
          <w:rFonts w:ascii="Arial" w:hAnsi="Arial" w:cs="Arial"/>
          <w:sz w:val="24"/>
          <w:szCs w:val="24"/>
        </w:rPr>
        <w:t>limit their opportunities to be independent and engage with their communities.</w:t>
      </w:r>
    </w:p>
    <w:p w14:paraId="13D0992E" w14:textId="3D756CE2" w:rsidR="00FB01BD" w:rsidRPr="002D57F2" w:rsidRDefault="00FB01BD" w:rsidP="00FB01BD">
      <w:pPr>
        <w:pStyle w:val="Style2"/>
        <w:spacing w:line="288" w:lineRule="auto"/>
        <w:rPr>
          <w:rFonts w:ascii="Arial" w:eastAsia="Times New Roman" w:hAnsi="Arial" w:cs="Arial"/>
          <w:sz w:val="24"/>
          <w:szCs w:val="24"/>
          <w:lang w:eastAsia="en-IE"/>
        </w:rPr>
      </w:pPr>
      <w:r w:rsidRPr="002D57F2">
        <w:rPr>
          <w:rFonts w:ascii="Arial" w:hAnsi="Arial" w:cs="Arial"/>
          <w:sz w:val="24"/>
          <w:szCs w:val="24"/>
        </w:rPr>
        <w:t>The Commission will promote</w:t>
      </w:r>
      <w:r w:rsidRPr="002D57F2">
        <w:rPr>
          <w:rFonts w:ascii="Arial" w:hAnsi="Arial" w:cs="Arial"/>
          <w:b/>
          <w:bCs/>
          <w:sz w:val="24"/>
          <w:szCs w:val="24"/>
        </w:rPr>
        <w:t xml:space="preserve"> accessible labelling in key sectors </w:t>
      </w:r>
      <w:r w:rsidRPr="002D57F2">
        <w:rPr>
          <w:rFonts w:ascii="Arial" w:hAnsi="Arial" w:cs="Arial"/>
          <w:b/>
          <w:bCs/>
          <w:sz w:val="24"/>
          <w:szCs w:val="24"/>
          <w:vertAlign w:val="superscript"/>
        </w:rPr>
        <w:t>(</w:t>
      </w:r>
      <w:r w:rsidRPr="002D57F2">
        <w:rPr>
          <w:rStyle w:val="FootnoteReference"/>
          <w:rFonts w:ascii="Arial" w:hAnsi="Arial" w:cs="Arial"/>
        </w:rPr>
        <w:footnoteReference w:id="6"/>
      </w:r>
      <w:r w:rsidRPr="002D57F2">
        <w:rPr>
          <w:rFonts w:ascii="Arial" w:hAnsi="Arial" w:cs="Arial"/>
          <w:b/>
          <w:bCs/>
          <w:sz w:val="24"/>
          <w:szCs w:val="24"/>
          <w:vertAlign w:val="superscript"/>
        </w:rPr>
        <w:t>)</w:t>
      </w:r>
      <w:r w:rsidRPr="002D57F2">
        <w:rPr>
          <w:rFonts w:ascii="Arial" w:hAnsi="Arial" w:cs="Arial"/>
          <w:sz w:val="24"/>
          <w:szCs w:val="24"/>
        </w:rPr>
        <w:t>. The implementation of the</w:t>
      </w:r>
      <w:r w:rsidRPr="002D57F2">
        <w:rPr>
          <w:rFonts w:ascii="Arial" w:eastAsia="Times New Roman" w:hAnsi="Arial" w:cs="Arial"/>
          <w:sz w:val="24"/>
          <w:szCs w:val="24"/>
          <w:lang w:eastAsia="en-IE"/>
        </w:rPr>
        <w:t xml:space="preserve"> </w:t>
      </w:r>
      <w:hyperlink r:id="rId37" w:history="1">
        <w:r w:rsidRPr="002D57F2">
          <w:rPr>
            <w:rStyle w:val="Hyperlink"/>
            <w:rFonts w:ascii="Arial" w:eastAsia="Times New Roman" w:hAnsi="Arial" w:cs="Arial"/>
            <w:sz w:val="24"/>
            <w:szCs w:val="24"/>
            <w:lang w:eastAsia="en-IE"/>
          </w:rPr>
          <w:t>General Product Safety Regulation</w:t>
        </w:r>
      </w:hyperlink>
      <w:r w:rsidRPr="002D57F2">
        <w:rPr>
          <w:rFonts w:ascii="Arial" w:hAnsi="Arial" w:cs="Arial"/>
          <w:sz w:val="24"/>
          <w:szCs w:val="24"/>
        </w:rPr>
        <w:t xml:space="preserve"> and of the </w:t>
      </w:r>
      <w:hyperlink r:id="rId38" w:history="1">
        <w:r w:rsidRPr="002D57F2">
          <w:rPr>
            <w:rStyle w:val="Hyperlink"/>
            <w:rFonts w:ascii="Arial" w:hAnsi="Arial" w:cs="Arial"/>
            <w:sz w:val="24"/>
            <w:szCs w:val="24"/>
          </w:rPr>
          <w:t xml:space="preserve">revised legislation on </w:t>
        </w:r>
        <w:r w:rsidRPr="002D57F2">
          <w:rPr>
            <w:rStyle w:val="Hyperlink"/>
            <w:rFonts w:ascii="Arial" w:eastAsia="Times New Roman" w:hAnsi="Arial" w:cs="Arial"/>
            <w:sz w:val="24"/>
            <w:szCs w:val="24"/>
            <w:lang w:eastAsia="en-IE"/>
          </w:rPr>
          <w:t>Alternative Dispute Resolution</w:t>
        </w:r>
      </w:hyperlink>
      <w:r w:rsidRPr="002D57F2">
        <w:rPr>
          <w:rFonts w:ascii="Arial" w:hAnsi="Arial" w:cs="Arial"/>
          <w:sz w:val="24"/>
          <w:szCs w:val="24"/>
        </w:rPr>
        <w:t xml:space="preserve"> will help enhance </w:t>
      </w:r>
      <w:r w:rsidRPr="002D57F2">
        <w:rPr>
          <w:rFonts w:ascii="Arial" w:hAnsi="Arial" w:cs="Arial"/>
          <w:b/>
          <w:bCs/>
          <w:sz w:val="24"/>
          <w:szCs w:val="24"/>
        </w:rPr>
        <w:t>accessibility and the</w:t>
      </w:r>
      <w:r w:rsidRPr="002D57F2">
        <w:rPr>
          <w:rFonts w:ascii="Arial" w:hAnsi="Arial" w:cs="Arial"/>
          <w:sz w:val="24"/>
          <w:szCs w:val="24"/>
        </w:rPr>
        <w:t xml:space="preserve"> </w:t>
      </w:r>
      <w:r w:rsidRPr="002D57F2">
        <w:rPr>
          <w:rFonts w:ascii="Arial" w:hAnsi="Arial" w:cs="Arial"/>
          <w:b/>
          <w:bCs/>
          <w:sz w:val="24"/>
          <w:szCs w:val="24"/>
        </w:rPr>
        <w:t xml:space="preserve">safety of consumers with disabilities. </w:t>
      </w:r>
      <w:r w:rsidRPr="002D57F2">
        <w:rPr>
          <w:rFonts w:ascii="Arial" w:hAnsi="Arial" w:cs="Arial"/>
          <w:sz w:val="24"/>
          <w:szCs w:val="24"/>
        </w:rPr>
        <w:t xml:space="preserve">Protecting consumers in vulnerable situations is an overarching priority of </w:t>
      </w:r>
      <w:r w:rsidRPr="002D57F2">
        <w:rPr>
          <w:rFonts w:ascii="Arial" w:eastAsia="Times New Roman" w:hAnsi="Arial" w:cs="Arial"/>
          <w:sz w:val="24"/>
          <w:szCs w:val="24"/>
          <w:lang w:eastAsia="en-IE"/>
        </w:rPr>
        <w:t xml:space="preserve">the </w:t>
      </w:r>
      <w:hyperlink r:id="rId39" w:history="1">
        <w:r w:rsidRPr="002D57F2">
          <w:rPr>
            <w:rStyle w:val="Hyperlink"/>
            <w:rFonts w:ascii="Arial" w:eastAsia="Times New Roman" w:hAnsi="Arial" w:cs="Arial"/>
            <w:sz w:val="24"/>
            <w:szCs w:val="24"/>
            <w:lang w:eastAsia="en-IE"/>
          </w:rPr>
          <w:t>2030 Consumer Agenda</w:t>
        </w:r>
      </w:hyperlink>
      <w:r w:rsidRPr="002D57F2">
        <w:rPr>
          <w:rFonts w:ascii="Arial" w:hAnsi="Arial" w:cs="Arial"/>
          <w:sz w:val="24"/>
          <w:szCs w:val="24"/>
        </w:rPr>
        <w:t>,</w:t>
      </w:r>
      <w:r w:rsidRPr="002D57F2">
        <w:rPr>
          <w:rFonts w:ascii="Arial" w:eastAsia="Times New Roman" w:hAnsi="Arial" w:cs="Arial"/>
          <w:sz w:val="24"/>
          <w:szCs w:val="24"/>
          <w:lang w:eastAsia="en-IE"/>
        </w:rPr>
        <w:t xml:space="preserve"> including in the digital environment. The Commission will coordinate the work of national consumer protection authorities and the </w:t>
      </w:r>
      <w:hyperlink r:id="rId40" w:history="1">
        <w:r w:rsidRPr="002D57F2">
          <w:rPr>
            <w:rStyle w:val="Hyperlink"/>
            <w:rFonts w:ascii="Arial" w:eastAsia="Times New Roman" w:hAnsi="Arial" w:cs="Arial"/>
            <w:sz w:val="24"/>
            <w:szCs w:val="24"/>
            <w:lang w:eastAsia="en-IE"/>
          </w:rPr>
          <w:t>European Consumer Centres Network</w:t>
        </w:r>
      </w:hyperlink>
      <w:r w:rsidRPr="002D57F2">
        <w:rPr>
          <w:rFonts w:ascii="Arial" w:hAnsi="Arial" w:cs="Arial"/>
        </w:rPr>
        <w:t>,</w:t>
      </w:r>
      <w:r w:rsidRPr="002D57F2">
        <w:rPr>
          <w:rFonts w:ascii="Arial" w:eastAsia="Times New Roman" w:hAnsi="Arial" w:cs="Arial"/>
          <w:sz w:val="24"/>
          <w:szCs w:val="24"/>
          <w:lang w:eastAsia="en-IE"/>
        </w:rPr>
        <w:t xml:space="preserve"> seeking to ensure that consumer vulnerabilities are not exploited and that the rights of persons with disabilities as consumers are respected under EU law.</w:t>
      </w:r>
    </w:p>
    <w:p w14:paraId="4491453D" w14:textId="63E9913C" w:rsidR="00312B17" w:rsidRDefault="00FB01BD" w:rsidP="00FB01BD">
      <w:pPr>
        <w:pStyle w:val="Style2"/>
        <w:spacing w:line="288" w:lineRule="auto"/>
        <w:rPr>
          <w:rFonts w:ascii="Arial" w:eastAsia="Times New Roman" w:hAnsi="Arial" w:cs="Arial"/>
          <w:sz w:val="24"/>
          <w:szCs w:val="24"/>
          <w:lang w:eastAsia="en-IE"/>
        </w:rPr>
      </w:pPr>
      <w:r w:rsidRPr="002D57F2">
        <w:rPr>
          <w:rFonts w:ascii="Arial" w:eastAsia="Times New Roman" w:hAnsi="Arial" w:cs="Arial"/>
          <w:sz w:val="24"/>
          <w:szCs w:val="24"/>
          <w:lang w:eastAsia="en-IE"/>
        </w:rPr>
        <w:t xml:space="preserve">According to a </w:t>
      </w:r>
      <w:hyperlink r:id="rId41" w:history="1">
        <w:r w:rsidR="007453BC" w:rsidRPr="002D57F2">
          <w:rPr>
            <w:rStyle w:val="Hyperlink"/>
            <w:rFonts w:ascii="Arial" w:eastAsia="Times New Roman" w:hAnsi="Arial" w:cs="Arial"/>
            <w:sz w:val="24"/>
            <w:szCs w:val="24"/>
            <w:lang w:eastAsia="en-IE"/>
          </w:rPr>
          <w:t>UN High Commissioner for Human Rights report on disability-inclusive infrastructure, transport and housing</w:t>
        </w:r>
      </w:hyperlink>
      <w:r w:rsidR="007453BC" w:rsidRPr="002D57F2">
        <w:rPr>
          <w:rFonts w:ascii="Arial" w:eastAsia="Times New Roman" w:hAnsi="Arial" w:cs="Arial"/>
          <w:sz w:val="24"/>
          <w:szCs w:val="24"/>
          <w:lang w:eastAsia="en-IE"/>
        </w:rPr>
        <w:t xml:space="preserve">, </w:t>
      </w:r>
      <w:r w:rsidRPr="002D57F2">
        <w:rPr>
          <w:rFonts w:ascii="Arial" w:eastAsia="Times New Roman" w:hAnsi="Arial" w:cs="Arial"/>
          <w:sz w:val="24"/>
          <w:szCs w:val="24"/>
          <w:lang w:eastAsia="en-IE"/>
        </w:rPr>
        <w:t xml:space="preserve">persons with disabilities can face up to 15 times greater </w:t>
      </w:r>
      <w:r w:rsidRPr="002D57F2">
        <w:rPr>
          <w:rFonts w:ascii="Arial" w:eastAsia="Times New Roman" w:hAnsi="Arial" w:cs="Arial"/>
          <w:b/>
          <w:bCs/>
          <w:sz w:val="24"/>
          <w:szCs w:val="24"/>
          <w:lang w:eastAsia="en-IE"/>
        </w:rPr>
        <w:t>restrictions in participation and mobility</w:t>
      </w:r>
      <w:r w:rsidRPr="002D57F2">
        <w:rPr>
          <w:rFonts w:ascii="Arial" w:eastAsia="Times New Roman" w:hAnsi="Arial" w:cs="Arial"/>
          <w:sz w:val="24"/>
          <w:szCs w:val="24"/>
          <w:lang w:eastAsia="en-IE"/>
        </w:rPr>
        <w:t xml:space="preserve"> compared to others. This highlights the need to step up action to improve accessibility, affordability and availability of transport systems for persons with disabilities, challenges which are particularly acute in rural and remote areas.</w:t>
      </w:r>
    </w:p>
    <w:p w14:paraId="12759B7E" w14:textId="77777777" w:rsidR="00312B17" w:rsidRDefault="00312B17">
      <w:pPr>
        <w:rPr>
          <w:rFonts w:ascii="Arial" w:eastAsia="Times New Roman" w:hAnsi="Arial" w:cs="Arial"/>
          <w:lang w:val="en-GB" w:eastAsia="en-IE"/>
        </w:rPr>
      </w:pPr>
      <w:r>
        <w:rPr>
          <w:rFonts w:ascii="Arial" w:eastAsia="Times New Roman" w:hAnsi="Arial" w:cs="Arial"/>
          <w:lang w:eastAsia="en-IE"/>
        </w:rPr>
        <w:br w:type="page"/>
      </w:r>
    </w:p>
    <w:p w14:paraId="141A1299" w14:textId="77777777" w:rsidR="00FB01BD" w:rsidRPr="002D57F2" w:rsidRDefault="00FB01BD" w:rsidP="00B540AD">
      <w:pPr>
        <w:pStyle w:val="Style2"/>
        <w:keepNext/>
        <w:keepLines/>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sz w:val="24"/>
          <w:szCs w:val="24"/>
        </w:rPr>
      </w:pPr>
      <w:r w:rsidRPr="002D57F2">
        <w:rPr>
          <w:rFonts w:ascii="Arial" w:hAnsi="Arial" w:cs="Arial"/>
          <w:b/>
          <w:bCs/>
          <w:sz w:val="24"/>
          <w:szCs w:val="24"/>
        </w:rPr>
        <w:t>FLAGSHIP INITIATIVE – Better access to transport for persons with disabilities</w:t>
      </w:r>
    </w:p>
    <w:p w14:paraId="47483E77"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Style w:val="normaltextrun"/>
          <w:rFonts w:ascii="Arial" w:hAnsi="Arial" w:cs="Arial"/>
          <w:b/>
          <w:bCs/>
          <w:sz w:val="24"/>
          <w:szCs w:val="24"/>
        </w:rPr>
      </w:pPr>
      <w:r w:rsidRPr="002D57F2">
        <w:rPr>
          <w:rFonts w:ascii="Arial" w:hAnsi="Arial" w:cs="Arial"/>
          <w:sz w:val="24"/>
          <w:szCs w:val="24"/>
        </w:rPr>
        <w:t>The Commission will promote accessibility across various means of transport. The initiative includes</w:t>
      </w:r>
      <w:r w:rsidRPr="002D57F2">
        <w:rPr>
          <w:rFonts w:ascii="Arial" w:hAnsi="Arial" w:cs="Arial"/>
          <w:b/>
          <w:bCs/>
          <w:sz w:val="24"/>
          <w:szCs w:val="24"/>
          <w:lang w:eastAsia="en-IE"/>
        </w:rPr>
        <w:t xml:space="preserve"> the following deliverables:</w:t>
      </w:r>
      <w:r w:rsidRPr="002D57F2">
        <w:rPr>
          <w:rFonts w:ascii="Arial" w:hAnsi="Arial" w:cs="Arial"/>
          <w:sz w:val="24"/>
          <w:szCs w:val="24"/>
          <w:lang w:eastAsia="en-IE"/>
        </w:rPr>
        <w:t xml:space="preserve"> (i) in rail transport: establishing common EU priorities and criteria for railway accessibility requirements by revising the </w:t>
      </w:r>
      <w:hyperlink r:id="rId42" w:history="1">
        <w:r w:rsidRPr="002D57F2">
          <w:rPr>
            <w:rStyle w:val="Hyperlink"/>
            <w:rFonts w:ascii="Arial" w:hAnsi="Arial" w:cs="Arial"/>
            <w:sz w:val="24"/>
            <w:szCs w:val="24"/>
            <w:lang w:eastAsia="en-IE"/>
          </w:rPr>
          <w:t>technical specifications for interoperability relating to persons with reduced mobility</w:t>
        </w:r>
      </w:hyperlink>
      <w:r w:rsidRPr="002D57F2">
        <w:rPr>
          <w:rFonts w:ascii="Arial" w:hAnsi="Arial" w:cs="Arial"/>
        </w:rPr>
        <w:t xml:space="preserve">. </w:t>
      </w:r>
      <w:r w:rsidRPr="002D57F2">
        <w:rPr>
          <w:rFonts w:ascii="Arial" w:hAnsi="Arial" w:cs="Arial"/>
          <w:sz w:val="24"/>
          <w:szCs w:val="24"/>
        </w:rPr>
        <w:t>In this context, the EU Agency for Railways will issue</w:t>
      </w:r>
      <w:r w:rsidRPr="002D57F2">
        <w:rPr>
          <w:rFonts w:ascii="Arial" w:hAnsi="Arial" w:cs="Arial"/>
          <w:sz w:val="24"/>
          <w:szCs w:val="24"/>
          <w:lang w:eastAsia="en-IE"/>
        </w:rPr>
        <w:t xml:space="preserve"> recommendations for the revision of the technical specifications e.g. to improve the train to platform step, to facilitate unassisted boarding and improve accessibility of night trains; (ii) in road transport: upgrading the sustainable urban mobility planning </w:t>
      </w:r>
      <w:hyperlink r:id="rId43" w:history="1">
        <w:r w:rsidRPr="002D57F2">
          <w:rPr>
            <w:rStyle w:val="Hyperlink"/>
            <w:rFonts w:ascii="Arial" w:hAnsi="Arial" w:cs="Arial"/>
            <w:sz w:val="24"/>
            <w:szCs w:val="24"/>
            <w:lang w:eastAsia="en-IE"/>
          </w:rPr>
          <w:t>reference material</w:t>
        </w:r>
      </w:hyperlink>
      <w:r w:rsidRPr="002D57F2">
        <w:rPr>
          <w:rFonts w:ascii="Arial" w:hAnsi="Arial" w:cs="Arial"/>
          <w:sz w:val="24"/>
          <w:szCs w:val="24"/>
          <w:lang w:eastAsia="en-IE"/>
        </w:rPr>
        <w:t xml:space="preserve"> on vulnerable groups and publishing guidance on road infrastructure safety features for vulnerable users. In addition, the </w:t>
      </w:r>
      <w:hyperlink r:id="rId44" w:history="1">
        <w:r w:rsidRPr="002D57F2">
          <w:rPr>
            <w:rStyle w:val="Hyperlink"/>
            <w:rFonts w:ascii="Arial" w:hAnsi="Arial" w:cs="Arial"/>
            <w:sz w:val="24"/>
            <w:szCs w:val="24"/>
            <w:lang w:eastAsia="en-IE"/>
          </w:rPr>
          <w:t>Alternative Fuels Infrastructure Regulation</w:t>
        </w:r>
      </w:hyperlink>
      <w:r w:rsidRPr="002D57F2">
        <w:rPr>
          <w:rFonts w:ascii="Arial" w:hAnsi="Arial" w:cs="Arial"/>
          <w:sz w:val="24"/>
          <w:szCs w:val="24"/>
          <w:lang w:eastAsia="en-IE"/>
        </w:rPr>
        <w:t xml:space="preserve"> and its forthcoming review will seek to integrate the European technical standards on accessibility of electric road vehicles charging stations; (iii) in waterborne transport: reviewing accessibility provisions as part of the evaluation of the </w:t>
      </w:r>
      <w:hyperlink r:id="rId45" w:history="1">
        <w:r w:rsidRPr="002D57F2">
          <w:rPr>
            <w:rStyle w:val="Hyperlink"/>
            <w:rFonts w:ascii="Arial" w:hAnsi="Arial" w:cs="Arial"/>
            <w:sz w:val="24"/>
            <w:szCs w:val="24"/>
            <w:lang w:eastAsia="en-IE"/>
          </w:rPr>
          <w:t>Directive on safety rules and standards for passenger ships</w:t>
        </w:r>
      </w:hyperlink>
      <w:r w:rsidRPr="002D57F2">
        <w:rPr>
          <w:rFonts w:ascii="Arial" w:hAnsi="Arial" w:cs="Arial"/>
          <w:sz w:val="24"/>
          <w:szCs w:val="24"/>
          <w:lang w:eastAsia="en-IE"/>
        </w:rPr>
        <w:t xml:space="preserve">; and (iv) in air transport: engaging with aviation stakeholders and disseminating good practices among operators to enhance the air travel experience for persons with disabilities e.g. through dialogues concerning the handling and carriage of assistance dogs and mobility aids. </w:t>
      </w:r>
    </w:p>
    <w:p w14:paraId="39912EA0"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lang w:eastAsia="en-IE"/>
        </w:rPr>
        <w:t xml:space="preserve">The Commission will also look into ways of improving participation of persons with disabilities in </w:t>
      </w:r>
      <w:r w:rsidRPr="002D57F2">
        <w:rPr>
          <w:rFonts w:ascii="Arial" w:hAnsi="Arial" w:cs="Arial"/>
          <w:b/>
          <w:bCs/>
          <w:sz w:val="24"/>
          <w:szCs w:val="24"/>
          <w:lang w:eastAsia="en-IE"/>
        </w:rPr>
        <w:t>standardisation</w:t>
      </w:r>
      <w:r w:rsidRPr="002D57F2">
        <w:rPr>
          <w:rFonts w:ascii="Arial" w:hAnsi="Arial" w:cs="Arial"/>
          <w:sz w:val="24"/>
          <w:szCs w:val="24"/>
          <w:lang w:eastAsia="en-IE"/>
        </w:rPr>
        <w:t xml:space="preserve"> processes and making standards more accessible and inclusive in the review of the </w:t>
      </w:r>
      <w:hyperlink r:id="rId46" w:history="1">
        <w:r w:rsidRPr="002D57F2">
          <w:rPr>
            <w:rStyle w:val="Hyperlink"/>
            <w:rFonts w:ascii="Arial" w:hAnsi="Arial" w:cs="Arial"/>
            <w:sz w:val="24"/>
            <w:szCs w:val="24"/>
            <w:lang w:eastAsia="en-IE"/>
          </w:rPr>
          <w:t>Standardisation Regulation</w:t>
        </w:r>
      </w:hyperlink>
      <w:r w:rsidRPr="002D57F2">
        <w:rPr>
          <w:rFonts w:ascii="Arial" w:hAnsi="Arial" w:cs="Arial"/>
          <w:sz w:val="24"/>
          <w:szCs w:val="24"/>
          <w:lang w:eastAsia="en-IE"/>
        </w:rPr>
        <w:t xml:space="preserve">. Furthermore, the revised </w:t>
      </w:r>
      <w:hyperlink r:id="rId47" w:history="1">
        <w:r w:rsidRPr="002D57F2">
          <w:rPr>
            <w:rStyle w:val="Hyperlink"/>
            <w:rFonts w:ascii="Arial" w:hAnsi="Arial" w:cs="Arial"/>
            <w:sz w:val="24"/>
            <w:szCs w:val="24"/>
            <w:lang w:eastAsia="en-IE"/>
          </w:rPr>
          <w:t>Public Procurement Directive</w:t>
        </w:r>
      </w:hyperlink>
      <w:r w:rsidRPr="002D57F2">
        <w:rPr>
          <w:rFonts w:ascii="Arial" w:hAnsi="Arial" w:cs="Arial"/>
          <w:sz w:val="24"/>
          <w:szCs w:val="24"/>
          <w:lang w:eastAsia="en-IE"/>
        </w:rPr>
        <w:t xml:space="preserve"> is expected to restate the obligation to </w:t>
      </w:r>
      <w:r w:rsidRPr="002D57F2">
        <w:rPr>
          <w:rFonts w:ascii="Arial" w:hAnsi="Arial" w:cs="Arial"/>
          <w:b/>
          <w:bCs/>
          <w:sz w:val="24"/>
          <w:szCs w:val="24"/>
          <w:lang w:eastAsia="en-IE"/>
        </w:rPr>
        <w:t>buy accessible goods and services.</w:t>
      </w:r>
      <w:r w:rsidRPr="002D57F2">
        <w:rPr>
          <w:rFonts w:ascii="Arial" w:hAnsi="Arial" w:cs="Arial"/>
          <w:sz w:val="24"/>
          <w:szCs w:val="24"/>
        </w:rPr>
        <w:t xml:space="preserve"> </w:t>
      </w:r>
    </w:p>
    <w:p w14:paraId="11B69056"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sz w:val="24"/>
          <w:szCs w:val="24"/>
          <w:lang w:eastAsia="en-IE"/>
        </w:rPr>
      </w:pPr>
      <w:r w:rsidRPr="002D57F2">
        <w:rPr>
          <w:rFonts w:ascii="Arial" w:hAnsi="Arial" w:cs="Arial"/>
          <w:b/>
          <w:bCs/>
          <w:sz w:val="24"/>
          <w:szCs w:val="24"/>
          <w:lang w:eastAsia="en-IE"/>
        </w:rPr>
        <w:t>The Commission calls on the EU Member States to:</w:t>
      </w:r>
    </w:p>
    <w:p w14:paraId="23CBEF69" w14:textId="77777777" w:rsidR="00FB01BD" w:rsidRPr="002D57F2" w:rsidRDefault="00FB01BD" w:rsidP="00B540AD">
      <w:pPr>
        <w:pStyle w:val="Point1"/>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before="0" w:after="0" w:line="288" w:lineRule="auto"/>
        <w:ind w:left="357" w:hanging="357"/>
        <w:jc w:val="left"/>
        <w:rPr>
          <w:rFonts w:ascii="Arial" w:hAnsi="Arial" w:cs="Arial"/>
          <w:szCs w:val="24"/>
        </w:rPr>
      </w:pPr>
      <w:r w:rsidRPr="002D57F2">
        <w:rPr>
          <w:rFonts w:ascii="Arial" w:hAnsi="Arial" w:cs="Arial"/>
          <w:szCs w:val="24"/>
        </w:rPr>
        <w:t xml:space="preserve">support improvement and implementation of accessibility in standards and technical specifications, including in public </w:t>
      </w:r>
      <w:proofErr w:type="gramStart"/>
      <w:r w:rsidRPr="002D57F2">
        <w:rPr>
          <w:rFonts w:ascii="Arial" w:hAnsi="Arial" w:cs="Arial"/>
          <w:szCs w:val="24"/>
        </w:rPr>
        <w:t>procurement;</w:t>
      </w:r>
      <w:proofErr w:type="gramEnd"/>
    </w:p>
    <w:p w14:paraId="61AC6383" w14:textId="77777777" w:rsidR="00FB01BD" w:rsidRPr="002D57F2" w:rsidRDefault="00FB01BD" w:rsidP="00B540AD">
      <w:pPr>
        <w:pStyle w:val="Point1"/>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before="0" w:after="0" w:line="288" w:lineRule="auto"/>
        <w:ind w:left="357" w:hanging="357"/>
        <w:jc w:val="left"/>
        <w:rPr>
          <w:rFonts w:ascii="Arial" w:hAnsi="Arial" w:cs="Arial"/>
          <w:szCs w:val="24"/>
        </w:rPr>
      </w:pPr>
      <w:r w:rsidRPr="002D57F2">
        <w:rPr>
          <w:rFonts w:ascii="Arial" w:hAnsi="Arial" w:cs="Arial"/>
          <w:szCs w:val="24"/>
        </w:rPr>
        <w:t>provide training on accessibility to relevant professionals in the areas of construction, transport, public procurement services and information and communication technologies.</w:t>
      </w:r>
    </w:p>
    <w:p w14:paraId="45D0A3BB" w14:textId="77777777" w:rsidR="00312B17" w:rsidRDefault="00312B17">
      <w:pPr>
        <w:rPr>
          <w:rFonts w:ascii="Arial" w:eastAsiaTheme="majorEastAsia" w:hAnsi="Arial" w:cs="Arial"/>
          <w:b/>
          <w:bCs/>
          <w:sz w:val="28"/>
          <w:szCs w:val="28"/>
          <w:lang w:val="en-GB"/>
        </w:rPr>
      </w:pPr>
      <w:bookmarkStart w:id="6" w:name="_Toc228880170"/>
      <w:r>
        <w:rPr>
          <w:rFonts w:ascii="Arial" w:hAnsi="Arial" w:cs="Arial"/>
        </w:rPr>
        <w:br w:type="page"/>
      </w:r>
    </w:p>
    <w:p w14:paraId="2D7286A9" w14:textId="1D28EB1E" w:rsidR="00FB01BD" w:rsidRPr="002D57F2" w:rsidRDefault="00FB01BD" w:rsidP="00FB01BD">
      <w:pPr>
        <w:pStyle w:val="Heading2"/>
        <w:spacing w:before="360" w:after="360"/>
        <w:ind w:left="425" w:hanging="425"/>
        <w:rPr>
          <w:rFonts w:ascii="Arial" w:hAnsi="Arial" w:cs="Arial"/>
        </w:rPr>
      </w:pPr>
      <w:r w:rsidRPr="002D57F2">
        <w:rPr>
          <w:rFonts w:ascii="Arial" w:hAnsi="Arial" w:cs="Arial"/>
        </w:rPr>
        <w:t>Enjoying EU rights</w:t>
      </w:r>
      <w:bookmarkEnd w:id="6"/>
    </w:p>
    <w:p w14:paraId="1DA4D4B8" w14:textId="77777777" w:rsidR="00FB01BD" w:rsidRPr="002D57F2" w:rsidRDefault="00FB01BD" w:rsidP="00FB01BD">
      <w:pPr>
        <w:pStyle w:val="Heading3"/>
        <w:rPr>
          <w:rFonts w:ascii="Arial" w:hAnsi="Arial" w:cs="Arial"/>
        </w:rPr>
      </w:pPr>
      <w:bookmarkStart w:id="7" w:name="_Toc228880171"/>
      <w:r w:rsidRPr="002D57F2">
        <w:rPr>
          <w:rFonts w:ascii="Arial" w:hAnsi="Arial" w:cs="Arial"/>
        </w:rPr>
        <w:t>Facilitating mobility within the EU</w:t>
      </w:r>
      <w:bookmarkEnd w:id="7"/>
    </w:p>
    <w:p w14:paraId="578149B8" w14:textId="269558A8" w:rsidR="00FB01BD" w:rsidRPr="002D57F2" w:rsidRDefault="007453BC" w:rsidP="00FB01BD">
      <w:pPr>
        <w:pStyle w:val="Style2"/>
        <w:spacing w:line="288" w:lineRule="auto"/>
        <w:rPr>
          <w:rFonts w:ascii="Arial" w:hAnsi="Arial" w:cs="Arial"/>
          <w:sz w:val="24"/>
          <w:szCs w:val="24"/>
        </w:rPr>
      </w:pPr>
      <w:r w:rsidRPr="009852CB">
        <w:rPr>
          <w:rFonts w:ascii="Arial" w:hAnsi="Arial" w:cs="Arial"/>
          <w:sz w:val="24"/>
          <w:szCs w:val="24"/>
          <w:lang w:eastAsia="en-IE"/>
        </w:rPr>
        <w:t xml:space="preserve">EU citizens, including persons with disabilities, enjoy all the benefits of EU citizenship, such as the </w:t>
      </w:r>
      <w:r w:rsidRPr="009852CB">
        <w:rPr>
          <w:rFonts w:ascii="Arial" w:hAnsi="Arial" w:cs="Arial"/>
          <w:b/>
          <w:bCs/>
          <w:sz w:val="24"/>
          <w:szCs w:val="24"/>
          <w:lang w:eastAsia="en-IE"/>
        </w:rPr>
        <w:t>right to move freely and to live anywhere in the EU</w:t>
      </w:r>
      <w:r w:rsidRPr="009852CB">
        <w:rPr>
          <w:rFonts w:ascii="Arial" w:hAnsi="Arial" w:cs="Arial"/>
          <w:sz w:val="24"/>
          <w:szCs w:val="24"/>
          <w:lang w:eastAsia="en-IE"/>
        </w:rPr>
        <w:t>. The transposition and implementation of the</w:t>
      </w:r>
      <w:r w:rsidRPr="009852CB">
        <w:rPr>
          <w:rStyle w:val="Hyperlink"/>
          <w:rFonts w:ascii="Arial" w:eastAsia="Times New Roman" w:hAnsi="Arial" w:cs="Arial"/>
        </w:rPr>
        <w:t xml:space="preserve"> </w:t>
      </w:r>
      <w:hyperlink r:id="rId48">
        <w:r w:rsidRPr="009852CB">
          <w:rPr>
            <w:rStyle w:val="Hyperlink"/>
            <w:rFonts w:ascii="Arial" w:eastAsia="Times New Roman" w:hAnsi="Arial" w:cs="Arial"/>
            <w:sz w:val="24"/>
            <w:szCs w:val="24"/>
          </w:rPr>
          <w:t>European disability and parking cards for persons with disabilities</w:t>
        </w:r>
      </w:hyperlink>
      <w:r w:rsidRPr="009852CB">
        <w:rPr>
          <w:rFonts w:ascii="Arial" w:hAnsi="Arial" w:cs="Arial"/>
          <w:sz w:val="24"/>
          <w:szCs w:val="24"/>
          <w:vertAlign w:val="superscript"/>
          <w:lang w:eastAsia="en-IE"/>
        </w:rPr>
        <w:t>(</w:t>
      </w:r>
      <w:r w:rsidRPr="009852CB">
        <w:rPr>
          <w:rFonts w:ascii="Arial" w:hAnsi="Arial" w:cs="Arial"/>
          <w:sz w:val="24"/>
          <w:szCs w:val="24"/>
          <w:vertAlign w:val="superscript"/>
          <w:lang w:eastAsia="en-IE"/>
        </w:rPr>
        <w:footnoteReference w:id="7"/>
      </w:r>
      <w:r w:rsidRPr="009852CB">
        <w:rPr>
          <w:rFonts w:ascii="Arial" w:hAnsi="Arial" w:cs="Arial"/>
          <w:sz w:val="24"/>
          <w:szCs w:val="24"/>
          <w:vertAlign w:val="superscript"/>
          <w:lang w:eastAsia="en-IE"/>
        </w:rPr>
        <w:t>)</w:t>
      </w:r>
      <w:r w:rsidRPr="009852CB">
        <w:rPr>
          <w:rFonts w:ascii="Arial" w:hAnsi="Arial" w:cs="Arial"/>
          <w:sz w:val="24"/>
          <w:szCs w:val="24"/>
          <w:lang w:eastAsia="en-IE"/>
        </w:rPr>
        <w:t xml:space="preserve">, supported by the dedicated expert group, will be instrumental to enhance the mobility and inclusion of persons with disabilities, including third country nationals legally residing in a Member State, within the EU. </w:t>
      </w:r>
      <w:r w:rsidR="00FB01BD" w:rsidRPr="009852CB">
        <w:rPr>
          <w:rFonts w:ascii="Arial" w:hAnsi="Arial" w:cs="Arial"/>
          <w:sz w:val="24"/>
          <w:szCs w:val="24"/>
          <w:lang w:eastAsia="en-IE"/>
        </w:rPr>
        <w:t xml:space="preserve">However, </w:t>
      </w:r>
      <w:r w:rsidR="00FB01BD" w:rsidRPr="009852CB">
        <w:rPr>
          <w:rFonts w:ascii="Arial" w:hAnsi="Arial" w:cs="Arial"/>
          <w:b/>
          <w:bCs/>
          <w:sz w:val="24"/>
          <w:szCs w:val="24"/>
          <w:lang w:eastAsia="en-IE"/>
        </w:rPr>
        <w:t>administrative barriers remain</w:t>
      </w:r>
      <w:r w:rsidR="00FB01BD" w:rsidRPr="009852CB">
        <w:rPr>
          <w:rFonts w:ascii="Arial" w:hAnsi="Arial" w:cs="Arial"/>
          <w:sz w:val="24"/>
          <w:szCs w:val="24"/>
          <w:lang w:eastAsia="en-IE"/>
        </w:rPr>
        <w:t>, including in terms of access to disability benefits when moving from one Member State to another. In this respect</w:t>
      </w:r>
      <w:r w:rsidR="00FB01BD" w:rsidRPr="002D57F2">
        <w:rPr>
          <w:rFonts w:ascii="Arial" w:hAnsi="Arial" w:cs="Arial"/>
          <w:sz w:val="24"/>
          <w:szCs w:val="24"/>
          <w:lang w:eastAsia="en-IE"/>
        </w:rPr>
        <w:t xml:space="preserve">, differences in how Member States define and assess disability point to the need to exchange information to promote a common understanding. The Commission will therefore encourage </w:t>
      </w:r>
      <w:r w:rsidR="00FB01BD" w:rsidRPr="002D57F2">
        <w:rPr>
          <w:rFonts w:ascii="Arial" w:hAnsi="Arial" w:cs="Arial"/>
          <w:b/>
          <w:bCs/>
          <w:sz w:val="24"/>
          <w:szCs w:val="24"/>
          <w:lang w:eastAsia="en-IE"/>
        </w:rPr>
        <w:t>mutual learning on disability assessment methods among the Member States</w:t>
      </w:r>
      <w:r w:rsidR="00FB01BD" w:rsidRPr="002D57F2">
        <w:rPr>
          <w:rFonts w:ascii="Arial" w:hAnsi="Arial" w:cs="Arial"/>
          <w:sz w:val="24"/>
          <w:szCs w:val="24"/>
          <w:lang w:eastAsia="en-IE"/>
        </w:rPr>
        <w:t xml:space="preserve">. </w:t>
      </w:r>
    </w:p>
    <w:p w14:paraId="15F5FE80"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sz w:val="24"/>
          <w:szCs w:val="24"/>
        </w:rPr>
      </w:pPr>
      <w:r w:rsidRPr="002D57F2">
        <w:rPr>
          <w:rFonts w:ascii="Arial" w:hAnsi="Arial" w:cs="Arial"/>
          <w:b/>
          <w:bCs/>
          <w:sz w:val="24"/>
          <w:szCs w:val="24"/>
        </w:rPr>
        <w:t>FLAGSHIP INITIATIVE – European disability and parking cards in your (digital) wallet</w:t>
      </w:r>
    </w:p>
    <w:p w14:paraId="19312222"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line="288" w:lineRule="auto"/>
        <w:rPr>
          <w:rFonts w:ascii="Arial" w:hAnsi="Arial" w:cs="Arial"/>
          <w:b/>
          <w:bCs/>
          <w:color w:val="0E2841" w:themeColor="text2"/>
          <w:sz w:val="24"/>
          <w:szCs w:val="24"/>
        </w:rPr>
      </w:pPr>
      <w:r w:rsidRPr="002D57F2">
        <w:rPr>
          <w:rFonts w:ascii="Arial" w:hAnsi="Arial" w:cs="Arial"/>
          <w:sz w:val="24"/>
          <w:szCs w:val="24"/>
        </w:rPr>
        <w:t>This initiative aims to ensure the cards become a reality in the EU, meaning all EU residents with disabilities should have them in their (digital) wallets.</w:t>
      </w:r>
      <w:r w:rsidRPr="002D57F2">
        <w:rPr>
          <w:rFonts w:ascii="Arial" w:hAnsi="Arial" w:cs="Arial"/>
          <w:sz w:val="24"/>
          <w:szCs w:val="24"/>
          <w:lang w:eastAsia="en-IE"/>
        </w:rPr>
        <w:t xml:space="preserve"> </w:t>
      </w:r>
      <w:r w:rsidRPr="002D57F2">
        <w:rPr>
          <w:rFonts w:ascii="Arial" w:hAnsi="Arial" w:cs="Arial"/>
          <w:b/>
          <w:bCs/>
          <w:sz w:val="24"/>
          <w:szCs w:val="24"/>
          <w:lang w:eastAsia="en-IE"/>
        </w:rPr>
        <w:t xml:space="preserve">This will require: </w:t>
      </w:r>
      <w:r w:rsidRPr="002D57F2">
        <w:rPr>
          <w:rFonts w:ascii="Arial" w:hAnsi="Arial" w:cs="Arial"/>
          <w:sz w:val="24"/>
          <w:szCs w:val="24"/>
          <w:lang w:eastAsia="en-IE"/>
        </w:rPr>
        <w:t>(i) QR codes for the physical versions of the cards, features to ensure security of the cards and prevent fraud, and interoperability requirements for readability across the Member States; (ii) accessible digital versions of the cards and related interoperability arrangements; (iii) communication efforts to raise awareness of the benefits of the cards; and (iv) assessment of remaining gaps related to the free movement of persons with disabilities.</w:t>
      </w:r>
    </w:p>
    <w:p w14:paraId="0CF73D95" w14:textId="77777777" w:rsidR="00FB01BD" w:rsidRPr="002D57F2" w:rsidRDefault="00FB01BD" w:rsidP="00FB01BD">
      <w:pPr>
        <w:pStyle w:val="Heading3"/>
        <w:rPr>
          <w:rFonts w:ascii="Arial" w:hAnsi="Arial" w:cs="Arial"/>
        </w:rPr>
      </w:pPr>
      <w:bookmarkStart w:id="8" w:name="_Toc228880172"/>
      <w:r w:rsidRPr="002D57F2">
        <w:rPr>
          <w:rFonts w:ascii="Arial" w:hAnsi="Arial" w:cs="Arial"/>
        </w:rPr>
        <w:t>Fostering participation in democratic processes</w:t>
      </w:r>
      <w:bookmarkEnd w:id="8"/>
    </w:p>
    <w:p w14:paraId="04023EB2" w14:textId="1EFBD44E" w:rsidR="00312B17" w:rsidRDefault="00FB01BD" w:rsidP="00FB01BD">
      <w:pPr>
        <w:pStyle w:val="Style2"/>
        <w:spacing w:line="288" w:lineRule="auto"/>
        <w:rPr>
          <w:rFonts w:ascii="Arial" w:hAnsi="Arial" w:cs="Arial"/>
          <w:sz w:val="24"/>
          <w:szCs w:val="24"/>
          <w:lang w:eastAsia="en-IE"/>
        </w:rPr>
      </w:pPr>
      <w:r w:rsidRPr="002D57F2">
        <w:rPr>
          <w:rFonts w:ascii="Arial" w:hAnsi="Arial" w:cs="Arial"/>
          <w:sz w:val="24"/>
          <w:szCs w:val="24"/>
          <w:lang w:eastAsia="en-IE"/>
        </w:rPr>
        <w:t xml:space="preserve">Persons with disabilities should be able to </w:t>
      </w:r>
      <w:r w:rsidRPr="002D57F2">
        <w:rPr>
          <w:rFonts w:ascii="Arial" w:hAnsi="Arial" w:cs="Arial"/>
          <w:b/>
          <w:bCs/>
          <w:sz w:val="24"/>
          <w:szCs w:val="24"/>
          <w:lang w:eastAsia="en-IE"/>
        </w:rPr>
        <w:t>participate in political processes, including elections, on an equal basis with others</w:t>
      </w:r>
      <w:r w:rsidRPr="002D57F2">
        <w:rPr>
          <w:rFonts w:ascii="Arial" w:hAnsi="Arial" w:cs="Arial"/>
          <w:sz w:val="24"/>
          <w:szCs w:val="24"/>
          <w:lang w:eastAsia="en-IE"/>
        </w:rPr>
        <w:t>. The difficulties they face in exercising their democratic rights include obtaining accessible paper ballots and election-related information, accessing e-government services, contesting elections and running for office.</w:t>
      </w:r>
    </w:p>
    <w:p w14:paraId="3E0C7B39" w14:textId="77777777" w:rsidR="00312B17" w:rsidRDefault="00312B17">
      <w:pPr>
        <w:rPr>
          <w:rFonts w:ascii="Arial" w:hAnsi="Arial" w:cs="Arial"/>
          <w:lang w:val="en-GB" w:eastAsia="en-IE"/>
        </w:rPr>
      </w:pPr>
      <w:r>
        <w:rPr>
          <w:rFonts w:ascii="Arial" w:hAnsi="Arial" w:cs="Arial"/>
          <w:lang w:eastAsia="en-IE"/>
        </w:rPr>
        <w:br w:type="page"/>
      </w:r>
    </w:p>
    <w:p w14:paraId="652BE3AA" w14:textId="77777777" w:rsidR="00FB01BD" w:rsidRPr="002D57F2" w:rsidRDefault="00FB01BD" w:rsidP="00B540AD">
      <w:pPr>
        <w:pStyle w:val="Style2"/>
        <w:keepNext/>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sz w:val="24"/>
          <w:szCs w:val="24"/>
        </w:rPr>
      </w:pPr>
      <w:r w:rsidRPr="002D57F2">
        <w:rPr>
          <w:rFonts w:ascii="Arial" w:hAnsi="Arial" w:cs="Arial"/>
          <w:b/>
          <w:bCs/>
          <w:sz w:val="24"/>
          <w:szCs w:val="24"/>
        </w:rPr>
        <w:t>FLAGSHIP INITIATIVE – Inclusive democracies across the EU</w:t>
      </w:r>
    </w:p>
    <w:p w14:paraId="5FC9E904" w14:textId="2DC8587B"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b/>
          <w:bCs/>
          <w:sz w:val="24"/>
          <w:szCs w:val="24"/>
        </w:rPr>
      </w:pPr>
      <w:r w:rsidRPr="002D57F2">
        <w:rPr>
          <w:rFonts w:ascii="Arial" w:hAnsi="Arial" w:cs="Arial"/>
          <w:sz w:val="24"/>
          <w:szCs w:val="24"/>
        </w:rPr>
        <w:t>The Commission will work with Member States in the framework of</w:t>
      </w:r>
      <w:r w:rsidRPr="002D57F2">
        <w:rPr>
          <w:rFonts w:ascii="Arial" w:hAnsi="Arial" w:cs="Arial"/>
          <w:sz w:val="24"/>
          <w:szCs w:val="24"/>
          <w:lang w:eastAsia="en-IE"/>
        </w:rPr>
        <w:t xml:space="preserve"> the European Cooperation Network on Elections towards the following </w:t>
      </w:r>
      <w:r w:rsidRPr="002D57F2">
        <w:rPr>
          <w:rFonts w:ascii="Arial" w:hAnsi="Arial" w:cs="Arial"/>
          <w:b/>
          <w:bCs/>
          <w:color w:val="000000" w:themeColor="text1"/>
          <w:sz w:val="24"/>
          <w:szCs w:val="24"/>
        </w:rPr>
        <w:t>deliverables:</w:t>
      </w:r>
      <w:r w:rsidRPr="002D57F2">
        <w:rPr>
          <w:rFonts w:ascii="Arial" w:hAnsi="Arial" w:cs="Arial"/>
          <w:color w:val="000000" w:themeColor="text1"/>
          <w:sz w:val="24"/>
          <w:szCs w:val="24"/>
        </w:rPr>
        <w:t xml:space="preserve"> </w:t>
      </w:r>
      <w:r w:rsidRPr="002D57F2">
        <w:rPr>
          <w:rFonts w:ascii="Arial" w:hAnsi="Arial" w:cs="Arial"/>
          <w:sz w:val="24"/>
          <w:szCs w:val="24"/>
          <w:lang w:eastAsia="en-IE"/>
        </w:rPr>
        <w:t>(i</w:t>
      </w:r>
      <w:r w:rsidRPr="002D57F2">
        <w:rPr>
          <w:rFonts w:ascii="Arial" w:hAnsi="Arial" w:cs="Arial"/>
          <w:color w:val="000000" w:themeColor="text1"/>
          <w:sz w:val="24"/>
          <w:szCs w:val="24"/>
        </w:rPr>
        <w:t>)</w:t>
      </w:r>
      <w:r w:rsidRPr="002D57F2">
        <w:rPr>
          <w:rFonts w:ascii="Arial" w:hAnsi="Arial" w:cs="Arial"/>
          <w:sz w:val="24"/>
          <w:szCs w:val="24"/>
          <w:lang w:eastAsia="en-IE"/>
        </w:rPr>
        <w:t xml:space="preserve"> updating the </w:t>
      </w:r>
      <w:hyperlink r:id="rId49">
        <w:r w:rsidRPr="002D57F2">
          <w:rPr>
            <w:rStyle w:val="Hyperlink"/>
            <w:rFonts w:ascii="Arial" w:hAnsi="Arial" w:cs="Arial"/>
            <w:sz w:val="24"/>
            <w:szCs w:val="24"/>
            <w:lang w:eastAsia="en-IE"/>
          </w:rPr>
          <w:t>Guide of good electoral practices in Member States addressing the participation of citizens with disabilities in the electoral process</w:t>
        </w:r>
      </w:hyperlink>
      <w:r w:rsidRPr="002D57F2">
        <w:rPr>
          <w:rFonts w:ascii="Arial" w:hAnsi="Arial" w:cs="Arial"/>
          <w:sz w:val="24"/>
          <w:szCs w:val="24"/>
          <w:lang w:eastAsia="en-IE"/>
        </w:rPr>
        <w:t xml:space="preserve">; (ii) promoting common references and standards for inclusive elections via the repository provided for in the </w:t>
      </w:r>
      <w:hyperlink r:id="rId50" w:history="1">
        <w:r w:rsidRPr="002D57F2">
          <w:rPr>
            <w:rStyle w:val="Hyperlink"/>
            <w:rFonts w:ascii="Arial" w:hAnsi="Arial" w:cs="Arial"/>
            <w:sz w:val="24"/>
            <w:szCs w:val="24"/>
            <w:lang w:eastAsia="en-IE"/>
          </w:rPr>
          <w:t>European Democracy Shield</w:t>
        </w:r>
      </w:hyperlink>
      <w:r w:rsidRPr="002D57F2">
        <w:rPr>
          <w:rFonts w:ascii="Arial" w:hAnsi="Arial" w:cs="Arial"/>
          <w:sz w:val="24"/>
          <w:szCs w:val="24"/>
          <w:lang w:eastAsia="en-IE"/>
        </w:rPr>
        <w:t>;</w:t>
      </w:r>
      <w:r w:rsidRPr="002D57F2">
        <w:rPr>
          <w:rFonts w:ascii="Arial" w:hAnsi="Arial" w:cs="Arial"/>
          <w:b/>
          <w:bCs/>
          <w:color w:val="0E2841" w:themeColor="text2"/>
          <w:sz w:val="24"/>
          <w:szCs w:val="24"/>
        </w:rPr>
        <w:t xml:space="preserve"> </w:t>
      </w:r>
      <w:r w:rsidRPr="002D57F2">
        <w:rPr>
          <w:rFonts w:ascii="Arial" w:hAnsi="Arial" w:cs="Arial"/>
          <w:color w:val="0E2841" w:themeColor="text2"/>
          <w:sz w:val="24"/>
          <w:szCs w:val="24"/>
        </w:rPr>
        <w:t xml:space="preserve">and </w:t>
      </w:r>
      <w:r w:rsidRPr="002D57F2">
        <w:rPr>
          <w:rFonts w:ascii="Arial" w:hAnsi="Arial" w:cs="Arial"/>
          <w:color w:val="000000" w:themeColor="text1"/>
          <w:sz w:val="24"/>
          <w:szCs w:val="24"/>
        </w:rPr>
        <w:t>(</w:t>
      </w:r>
      <w:r w:rsidRPr="002D57F2">
        <w:rPr>
          <w:rFonts w:ascii="Arial" w:hAnsi="Arial" w:cs="Arial"/>
          <w:sz w:val="24"/>
          <w:szCs w:val="24"/>
          <w:lang w:eastAsia="en-IE"/>
        </w:rPr>
        <w:t xml:space="preserve">iii) sharing good practices within the European Cooperation Network on Elections on disability-relevant elements of the </w:t>
      </w:r>
      <w:hyperlink r:id="rId51">
        <w:r w:rsidRPr="002D57F2">
          <w:rPr>
            <w:rStyle w:val="Hyperlink"/>
            <w:rFonts w:ascii="Arial" w:hAnsi="Arial" w:cs="Arial"/>
            <w:sz w:val="24"/>
            <w:szCs w:val="24"/>
            <w:lang w:eastAsia="en-IE"/>
          </w:rPr>
          <w:t>Commission Recommendation on inclusive and resilient electoral processes</w:t>
        </w:r>
      </w:hyperlink>
      <w:r w:rsidRPr="002D57F2">
        <w:rPr>
          <w:rFonts w:ascii="Arial" w:hAnsi="Arial" w:cs="Arial"/>
          <w:sz w:val="24"/>
          <w:szCs w:val="24"/>
          <w:lang w:eastAsia="en-IE"/>
        </w:rPr>
        <w:t xml:space="preserve"> and the </w:t>
      </w:r>
      <w:hyperlink r:id="rId52">
        <w:r w:rsidRPr="002D57F2">
          <w:rPr>
            <w:rStyle w:val="Hyperlink"/>
            <w:rFonts w:ascii="Arial" w:hAnsi="Arial" w:cs="Arial"/>
            <w:sz w:val="24"/>
            <w:szCs w:val="24"/>
            <w:lang w:eastAsia="en-IE"/>
          </w:rPr>
          <w:t>Commission report on 2024 elections to the European Parliament</w:t>
        </w:r>
      </w:hyperlink>
      <w:r w:rsidRPr="002D57F2">
        <w:rPr>
          <w:rFonts w:ascii="Arial" w:hAnsi="Arial" w:cs="Arial"/>
          <w:sz w:val="24"/>
          <w:szCs w:val="24"/>
          <w:lang w:eastAsia="en-IE"/>
        </w:rPr>
        <w:t>.</w:t>
      </w:r>
    </w:p>
    <w:p w14:paraId="5FFD2CBF" w14:textId="1A094DAB" w:rsidR="00FB01BD" w:rsidRPr="002D57F2" w:rsidRDefault="00FB01BD" w:rsidP="00FB01BD">
      <w:pPr>
        <w:pStyle w:val="Style2"/>
        <w:spacing w:line="288" w:lineRule="auto"/>
        <w:rPr>
          <w:rFonts w:ascii="Arial" w:hAnsi="Arial" w:cs="Arial"/>
          <w:sz w:val="24"/>
          <w:szCs w:val="24"/>
          <w:lang w:eastAsia="en-IE"/>
        </w:rPr>
      </w:pPr>
      <w:r w:rsidRPr="002D57F2">
        <w:rPr>
          <w:rFonts w:ascii="Arial" w:hAnsi="Arial" w:cs="Arial"/>
          <w:sz w:val="24"/>
          <w:szCs w:val="24"/>
          <w:lang w:eastAsia="en-IE"/>
        </w:rPr>
        <w:t xml:space="preserve">The Commission will continue its efforts including by working with stakeholders and through communication actions to promote the rights of persons with disabilities to vote and run for office in the </w:t>
      </w:r>
      <w:r w:rsidRPr="002D57F2">
        <w:rPr>
          <w:rFonts w:ascii="Arial" w:hAnsi="Arial" w:cs="Arial"/>
          <w:b/>
          <w:bCs/>
          <w:sz w:val="24"/>
          <w:szCs w:val="24"/>
          <w:lang w:eastAsia="en-IE"/>
        </w:rPr>
        <w:t>2029 European elections</w:t>
      </w:r>
      <w:r w:rsidRPr="002D57F2">
        <w:rPr>
          <w:rFonts w:ascii="Arial" w:hAnsi="Arial" w:cs="Arial"/>
          <w:sz w:val="24"/>
          <w:szCs w:val="24"/>
          <w:lang w:eastAsia="en-IE"/>
        </w:rPr>
        <w:t xml:space="preserve">. </w:t>
      </w:r>
    </w:p>
    <w:p w14:paraId="0EAA839E"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sz w:val="24"/>
          <w:szCs w:val="24"/>
          <w:lang w:eastAsia="en-IE"/>
        </w:rPr>
      </w:pPr>
      <w:r w:rsidRPr="002D57F2">
        <w:rPr>
          <w:rFonts w:ascii="Arial" w:hAnsi="Arial" w:cs="Arial"/>
          <w:b/>
          <w:bCs/>
          <w:sz w:val="24"/>
          <w:szCs w:val="24"/>
          <w:lang w:eastAsia="en-IE"/>
        </w:rPr>
        <w:t>The Commission calls on the EU Member States to:</w:t>
      </w:r>
    </w:p>
    <w:p w14:paraId="7F4BD46B" w14:textId="6AAE57B5" w:rsidR="00FB01BD" w:rsidRPr="00CC0C2C"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sz w:val="24"/>
          <w:szCs w:val="24"/>
        </w:rPr>
      </w:pPr>
      <w:r w:rsidRPr="002D57F2">
        <w:rPr>
          <w:rFonts w:ascii="Arial" w:hAnsi="Arial" w:cs="Arial"/>
          <w:sz w:val="24"/>
          <w:szCs w:val="24"/>
        </w:rPr>
        <w:t>promote participation of persons with disabilities in democratic processes, both as voters and candidates in elections, including by providing electoral communication and information in accessible formats and ensuring voting materials, procedures and facilities are accessible.</w:t>
      </w:r>
    </w:p>
    <w:p w14:paraId="5D71D552" w14:textId="77777777" w:rsidR="00CC0C2C" w:rsidRDefault="00CC0C2C">
      <w:pPr>
        <w:rPr>
          <w:rFonts w:ascii="Arial" w:eastAsiaTheme="majorEastAsia" w:hAnsi="Arial" w:cs="Arial"/>
          <w:b/>
          <w:sz w:val="28"/>
          <w:szCs w:val="28"/>
          <w:lang w:val="en-GB"/>
        </w:rPr>
      </w:pPr>
      <w:bookmarkStart w:id="9" w:name="_Toc228880173"/>
      <w:r>
        <w:rPr>
          <w:rFonts w:ascii="Arial" w:hAnsi="Arial" w:cs="Arial"/>
        </w:rPr>
        <w:br w:type="page"/>
      </w:r>
    </w:p>
    <w:p w14:paraId="1B20FCAB" w14:textId="68E2BCCC" w:rsidR="00FB01BD" w:rsidRPr="002D57F2" w:rsidRDefault="00FB01BD" w:rsidP="00623537">
      <w:pPr>
        <w:pStyle w:val="Heading1"/>
        <w:numPr>
          <w:ilvl w:val="0"/>
          <w:numId w:val="14"/>
        </w:numPr>
        <w:spacing w:before="720"/>
        <w:rPr>
          <w:rFonts w:ascii="Arial" w:hAnsi="Arial" w:cs="Arial"/>
        </w:rPr>
      </w:pPr>
      <w:r w:rsidRPr="002D57F2">
        <w:rPr>
          <w:rFonts w:ascii="Arial" w:hAnsi="Arial" w:cs="Arial"/>
        </w:rPr>
        <w:t>EMPOWERMENT AND INCLUSION</w:t>
      </w:r>
      <w:bookmarkEnd w:id="9"/>
    </w:p>
    <w:p w14:paraId="5B89DFE5" w14:textId="77777777" w:rsidR="00FB01BD" w:rsidRPr="002D57F2" w:rsidRDefault="00FB01BD" w:rsidP="00FB01BD">
      <w:pPr>
        <w:pStyle w:val="Heading2"/>
        <w:spacing w:after="240"/>
        <w:ind w:left="425" w:hanging="425"/>
        <w:rPr>
          <w:rFonts w:ascii="Arial" w:hAnsi="Arial" w:cs="Arial"/>
        </w:rPr>
      </w:pPr>
      <w:bookmarkStart w:id="10" w:name="_Toc228880174"/>
      <w:r w:rsidRPr="002D57F2">
        <w:rPr>
          <w:rFonts w:ascii="Arial" w:hAnsi="Arial" w:cs="Arial"/>
        </w:rPr>
        <w:t>Decent quality of life and living independently</w:t>
      </w:r>
      <w:bookmarkEnd w:id="10"/>
    </w:p>
    <w:p w14:paraId="535F41BC" w14:textId="77777777" w:rsidR="00FB01BD" w:rsidRPr="002D57F2" w:rsidRDefault="00FB01BD" w:rsidP="00FB01BD">
      <w:pPr>
        <w:pStyle w:val="Heading3"/>
        <w:rPr>
          <w:rFonts w:ascii="Arial" w:hAnsi="Arial" w:cs="Arial"/>
        </w:rPr>
      </w:pPr>
      <w:bookmarkStart w:id="11" w:name="_Toc228880175"/>
      <w:r w:rsidRPr="002D57F2">
        <w:rPr>
          <w:rStyle w:val="Heading3Char"/>
          <w:rFonts w:ascii="Arial" w:hAnsi="Arial" w:cs="Arial"/>
          <w:b/>
          <w:bCs/>
        </w:rPr>
        <w:t>Developing independent living and reinforcing community-based</w:t>
      </w:r>
      <w:r w:rsidRPr="002D57F2">
        <w:rPr>
          <w:rFonts w:ascii="Arial" w:hAnsi="Arial" w:cs="Arial"/>
        </w:rPr>
        <w:t xml:space="preserve"> services</w:t>
      </w:r>
      <w:bookmarkEnd w:id="11"/>
    </w:p>
    <w:p w14:paraId="0869B892" w14:textId="042BE721" w:rsidR="00312B17" w:rsidRDefault="00FB01BD" w:rsidP="00FB01BD">
      <w:pPr>
        <w:pStyle w:val="Style2"/>
        <w:spacing w:line="288" w:lineRule="auto"/>
        <w:rPr>
          <w:rFonts w:ascii="Arial" w:hAnsi="Arial" w:cs="Arial"/>
          <w:sz w:val="24"/>
          <w:szCs w:val="24"/>
          <w:lang w:eastAsia="en-IE"/>
        </w:rPr>
      </w:pPr>
      <w:r w:rsidRPr="002D57F2">
        <w:rPr>
          <w:rFonts w:ascii="Arial" w:hAnsi="Arial" w:cs="Arial"/>
          <w:sz w:val="24"/>
          <w:szCs w:val="24"/>
          <w:lang w:eastAsia="en-IE"/>
        </w:rPr>
        <w:t xml:space="preserve">The EU has promoted deinstitutionalisation through policy and funding for more than a decade, including through the </w:t>
      </w:r>
      <w:hyperlink r:id="rId53" w:history="1">
        <w:r w:rsidRPr="002D57F2">
          <w:rPr>
            <w:rStyle w:val="Hyperlink"/>
            <w:rFonts w:ascii="Arial" w:hAnsi="Arial" w:cs="Arial"/>
            <w:sz w:val="24"/>
            <w:szCs w:val="24"/>
            <w:lang w:eastAsia="en-IE"/>
          </w:rPr>
          <w:t>Guidance on independent living and inclusion in the community for persons with disabilities in the context of EU funding</w:t>
        </w:r>
      </w:hyperlink>
      <w:r w:rsidRPr="002D57F2">
        <w:rPr>
          <w:rFonts w:ascii="Arial" w:hAnsi="Arial" w:cs="Arial"/>
          <w:sz w:val="24"/>
          <w:szCs w:val="24"/>
          <w:lang w:eastAsia="en-IE"/>
        </w:rPr>
        <w:t xml:space="preserve">. However, based on a recent estimation by Eurofound, in </w:t>
      </w:r>
      <w:r w:rsidR="007453BC" w:rsidRPr="002D57F2">
        <w:rPr>
          <w:rFonts w:ascii="Arial" w:hAnsi="Arial" w:cs="Arial"/>
          <w:sz w:val="24"/>
          <w:szCs w:val="24"/>
          <w:lang w:eastAsia="en-IE"/>
        </w:rPr>
        <w:t xml:space="preserve">the </w:t>
      </w:r>
      <w:r w:rsidR="007453BC">
        <w:rPr>
          <w:rFonts w:ascii="Arial" w:hAnsi="Arial" w:cs="Arial"/>
          <w:sz w:val="24"/>
          <w:szCs w:val="24"/>
          <w:lang w:eastAsia="en-IE"/>
        </w:rPr>
        <w:t>10</w:t>
      </w:r>
      <w:r w:rsidR="007453BC" w:rsidRPr="002D57F2">
        <w:rPr>
          <w:rFonts w:ascii="Arial" w:hAnsi="Arial" w:cs="Arial"/>
          <w:sz w:val="24"/>
          <w:szCs w:val="24"/>
          <w:lang w:eastAsia="en-IE"/>
        </w:rPr>
        <w:t xml:space="preserve"> </w:t>
      </w:r>
      <w:r w:rsidRPr="002D57F2">
        <w:rPr>
          <w:rFonts w:ascii="Arial" w:hAnsi="Arial" w:cs="Arial"/>
          <w:sz w:val="24"/>
          <w:szCs w:val="24"/>
          <w:lang w:eastAsia="en-IE"/>
        </w:rPr>
        <w:t xml:space="preserve">years up to 2022-2023 </w:t>
      </w:r>
      <w:r w:rsidRPr="002D57F2">
        <w:rPr>
          <w:rFonts w:ascii="Arial" w:hAnsi="Arial" w:cs="Arial"/>
          <w:sz w:val="24"/>
          <w:szCs w:val="24"/>
        </w:rPr>
        <w:t>the number of children, adults with disabilities and older people in residential institutions have increased in the EU over this timespan, standing at 1.4 million</w:t>
      </w:r>
      <w:r w:rsidRPr="002D57F2">
        <w:rPr>
          <w:rFonts w:ascii="Arial" w:hAnsi="Arial" w:cs="Arial"/>
          <w:sz w:val="24"/>
          <w:szCs w:val="24"/>
          <w:lang w:eastAsia="en-IE"/>
        </w:rPr>
        <w:t xml:space="preserve"> </w:t>
      </w:r>
      <w:r w:rsidRPr="002D57F2">
        <w:rPr>
          <w:rFonts w:ascii="Arial" w:hAnsi="Arial" w:cs="Arial"/>
          <w:sz w:val="24"/>
          <w:szCs w:val="24"/>
          <w:vertAlign w:val="superscript"/>
          <w:lang w:eastAsia="en-IE"/>
        </w:rPr>
        <w:t>(</w:t>
      </w:r>
      <w:r w:rsidRPr="002D57F2">
        <w:rPr>
          <w:rStyle w:val="FootnoteReference"/>
          <w:rFonts w:ascii="Arial" w:hAnsi="Arial" w:cs="Arial"/>
        </w:rPr>
        <w:footnoteReference w:id="8"/>
      </w:r>
      <w:r w:rsidRPr="002D57F2">
        <w:rPr>
          <w:rFonts w:ascii="Arial" w:hAnsi="Arial" w:cs="Arial"/>
          <w:sz w:val="24"/>
          <w:szCs w:val="24"/>
          <w:vertAlign w:val="superscript"/>
          <w:lang w:eastAsia="en-IE"/>
        </w:rPr>
        <w:t>)</w:t>
      </w:r>
      <w:r w:rsidRPr="002D57F2">
        <w:rPr>
          <w:rFonts w:ascii="Arial" w:hAnsi="Arial" w:cs="Arial"/>
          <w:sz w:val="24"/>
          <w:szCs w:val="24"/>
          <w:lang w:eastAsia="en-IE"/>
        </w:rPr>
        <w:t>. Accessibility issues, a lack of adequate community-based services and legal capacity restrictions are among the reasons persons with disabilities are held back from living independently.</w:t>
      </w:r>
    </w:p>
    <w:p w14:paraId="5ADA6266"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sz w:val="24"/>
          <w:szCs w:val="24"/>
        </w:rPr>
      </w:pPr>
      <w:r w:rsidRPr="002D57F2">
        <w:rPr>
          <w:rFonts w:ascii="Arial" w:hAnsi="Arial" w:cs="Arial"/>
          <w:b/>
          <w:bCs/>
          <w:sz w:val="24"/>
          <w:szCs w:val="24"/>
        </w:rPr>
        <w:t>FLAGSHIP INITIATIVE – EU alliance for independent living</w:t>
      </w:r>
    </w:p>
    <w:p w14:paraId="06FDC716"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sz w:val="24"/>
          <w:szCs w:val="24"/>
          <w:lang w:eastAsia="en-IE"/>
        </w:rPr>
      </w:pPr>
      <w:r w:rsidRPr="002D57F2">
        <w:rPr>
          <w:rFonts w:ascii="Arial" w:hAnsi="Arial" w:cs="Arial"/>
          <w:sz w:val="24"/>
          <w:szCs w:val="24"/>
          <w:lang w:eastAsia="en-IE"/>
        </w:rPr>
        <w:t>The Commission</w:t>
      </w:r>
      <w:r w:rsidRPr="002D57F2">
        <w:rPr>
          <w:rFonts w:ascii="Arial" w:hAnsi="Arial" w:cs="Arial"/>
          <w:sz w:val="24"/>
          <w:szCs w:val="24"/>
        </w:rPr>
        <w:t xml:space="preserve"> </w:t>
      </w:r>
      <w:r w:rsidRPr="002D57F2">
        <w:rPr>
          <w:rFonts w:ascii="Arial" w:hAnsi="Arial" w:cs="Arial"/>
          <w:sz w:val="24"/>
          <w:szCs w:val="24"/>
          <w:lang w:eastAsia="en-IE"/>
        </w:rPr>
        <w:t xml:space="preserve">will encourage Member States and stakeholders to exchange information, promote data collection and dissemination and raise awareness of factors that contribute or hinder the deinstitutionalisation process. </w:t>
      </w:r>
      <w:r w:rsidRPr="002D57F2">
        <w:rPr>
          <w:rFonts w:ascii="Arial" w:hAnsi="Arial" w:cs="Arial"/>
          <w:b/>
          <w:bCs/>
          <w:sz w:val="24"/>
          <w:szCs w:val="24"/>
          <w:lang w:eastAsia="en-IE"/>
        </w:rPr>
        <w:t>The initiative will include:</w:t>
      </w:r>
      <w:r w:rsidRPr="002D57F2">
        <w:rPr>
          <w:rFonts w:ascii="Arial" w:hAnsi="Arial" w:cs="Arial"/>
          <w:sz w:val="24"/>
          <w:szCs w:val="24"/>
          <w:lang w:eastAsia="en-IE"/>
        </w:rPr>
        <w:t xml:space="preserve"> (i) setting up an alliance of policymakers and stakeholders to facilitate the creation of national and local centres for independent living, leveraging on EU funding; </w:t>
      </w:r>
      <w:r w:rsidRPr="002D57F2">
        <w:rPr>
          <w:rFonts w:ascii="Arial" w:hAnsi="Arial" w:cs="Arial"/>
          <w:sz w:val="24"/>
          <w:szCs w:val="24"/>
        </w:rPr>
        <w:t>(ii) monitoring the deinstitutionalisation process in Member States and providing a cost-benefit analysis; and (iii) conducting an independent living implementation dialogue.</w:t>
      </w:r>
    </w:p>
    <w:p w14:paraId="50CB5D46"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The Commission will also </w:t>
      </w:r>
      <w:r w:rsidRPr="002D57F2">
        <w:rPr>
          <w:rFonts w:ascii="Arial" w:hAnsi="Arial" w:cs="Arial"/>
          <w:sz w:val="24"/>
          <w:szCs w:val="24"/>
          <w:lang w:eastAsia="en-IE"/>
        </w:rPr>
        <w:t>encourage</w:t>
      </w:r>
      <w:r w:rsidRPr="002D57F2">
        <w:rPr>
          <w:rFonts w:ascii="Arial" w:hAnsi="Arial" w:cs="Arial"/>
          <w:b/>
          <w:bCs/>
          <w:sz w:val="24"/>
          <w:szCs w:val="24"/>
          <w:lang w:eastAsia="en-IE"/>
        </w:rPr>
        <w:t xml:space="preserve"> innovative solutions for independent living</w:t>
      </w:r>
      <w:r w:rsidRPr="002D57F2">
        <w:rPr>
          <w:rFonts w:ascii="Arial" w:hAnsi="Arial" w:cs="Arial"/>
          <w:sz w:val="24"/>
          <w:szCs w:val="24"/>
          <w:lang w:eastAsia="en-IE"/>
        </w:rPr>
        <w:t xml:space="preserve"> through EU funding, in particular through </w:t>
      </w:r>
      <w:hyperlink r:id="rId54" w:history="1">
        <w:r w:rsidRPr="002D57F2">
          <w:rPr>
            <w:rStyle w:val="Hyperlink"/>
            <w:rFonts w:ascii="Arial" w:hAnsi="Arial" w:cs="Arial"/>
            <w:sz w:val="24"/>
            <w:szCs w:val="24"/>
            <w:lang w:eastAsia="en-IE"/>
          </w:rPr>
          <w:t>Horizon Europe</w:t>
        </w:r>
      </w:hyperlink>
      <w:r w:rsidRPr="002D57F2">
        <w:rPr>
          <w:rFonts w:ascii="Arial" w:hAnsi="Arial" w:cs="Arial"/>
          <w:sz w:val="24"/>
          <w:szCs w:val="24"/>
          <w:lang w:eastAsia="en-IE"/>
        </w:rPr>
        <w:t xml:space="preserve"> and the cohesion policy funds</w:t>
      </w:r>
      <w:r w:rsidRPr="002D57F2">
        <w:rPr>
          <w:rFonts w:ascii="Arial" w:hAnsi="Arial" w:cs="Arial"/>
        </w:rPr>
        <w:t xml:space="preserve"> </w:t>
      </w:r>
      <w:r w:rsidRPr="002D57F2">
        <w:rPr>
          <w:rFonts w:ascii="Arial" w:hAnsi="Arial" w:cs="Arial"/>
          <w:sz w:val="24"/>
          <w:szCs w:val="24"/>
        </w:rPr>
        <w:t>and policy programmes, as well as their successors under the multi-annual financial framework after 2027.</w:t>
      </w:r>
    </w:p>
    <w:p w14:paraId="24C62ECF" w14:textId="6E42B051" w:rsidR="00FB01BD" w:rsidRPr="002D57F2" w:rsidRDefault="00FB01BD" w:rsidP="00FB01BD">
      <w:pPr>
        <w:pStyle w:val="Style2"/>
        <w:spacing w:line="288" w:lineRule="auto"/>
        <w:rPr>
          <w:rFonts w:ascii="Arial" w:hAnsi="Arial" w:cs="Arial"/>
          <w:b/>
          <w:bCs/>
          <w:sz w:val="24"/>
          <w:szCs w:val="24"/>
          <w:lang w:eastAsia="en-IE"/>
        </w:rPr>
      </w:pPr>
      <w:r w:rsidRPr="002D57F2">
        <w:rPr>
          <w:rFonts w:ascii="Arial" w:hAnsi="Arial" w:cs="Arial"/>
          <w:sz w:val="24"/>
          <w:szCs w:val="24"/>
        </w:rPr>
        <w:t xml:space="preserve">The Commission </w:t>
      </w:r>
      <w:r w:rsidRPr="002D57F2">
        <w:rPr>
          <w:rFonts w:ascii="Arial" w:hAnsi="Arial" w:cs="Arial"/>
          <w:sz w:val="24"/>
          <w:szCs w:val="24"/>
          <w:lang w:eastAsia="en-IE"/>
        </w:rPr>
        <w:t xml:space="preserve">will promote </w:t>
      </w:r>
      <w:r w:rsidRPr="002D57F2">
        <w:rPr>
          <w:rFonts w:ascii="Arial" w:hAnsi="Arial" w:cs="Arial"/>
          <w:b/>
          <w:bCs/>
          <w:sz w:val="24"/>
          <w:szCs w:val="24"/>
          <w:lang w:eastAsia="en-IE"/>
        </w:rPr>
        <w:t>accessible community-based</w:t>
      </w:r>
      <w:r w:rsidRPr="002D57F2">
        <w:rPr>
          <w:rFonts w:ascii="Arial" w:hAnsi="Arial" w:cs="Arial"/>
          <w:sz w:val="24"/>
          <w:szCs w:val="24"/>
          <w:lang w:eastAsia="en-IE"/>
        </w:rPr>
        <w:t xml:space="preserve"> </w:t>
      </w:r>
      <w:r w:rsidRPr="002D57F2">
        <w:rPr>
          <w:rFonts w:ascii="Arial" w:hAnsi="Arial" w:cs="Arial"/>
          <w:b/>
          <w:bCs/>
          <w:sz w:val="24"/>
          <w:szCs w:val="24"/>
          <w:lang w:eastAsia="en-IE"/>
        </w:rPr>
        <w:t xml:space="preserve">support for persons with disabilities </w:t>
      </w:r>
      <w:r w:rsidR="007453BC" w:rsidRPr="002D57F2">
        <w:rPr>
          <w:rFonts w:ascii="Arial" w:hAnsi="Arial" w:cs="Arial"/>
          <w:sz w:val="24"/>
          <w:szCs w:val="24"/>
        </w:rPr>
        <w:t xml:space="preserve">including under the </w:t>
      </w:r>
      <w:hyperlink r:id="rId55" w:history="1">
        <w:r w:rsidR="007453BC" w:rsidRPr="002D57F2">
          <w:rPr>
            <w:rStyle w:val="Hyperlink"/>
            <w:rFonts w:ascii="Arial" w:hAnsi="Arial" w:cs="Arial"/>
            <w:sz w:val="24"/>
            <w:szCs w:val="24"/>
          </w:rPr>
          <w:t>European Social Fund+</w:t>
        </w:r>
      </w:hyperlink>
      <w:r w:rsidR="007453BC" w:rsidRPr="002D57F2">
        <w:rPr>
          <w:rFonts w:ascii="Arial" w:hAnsi="Arial" w:cs="Arial"/>
          <w:b/>
          <w:bCs/>
          <w:sz w:val="24"/>
          <w:szCs w:val="24"/>
          <w:lang w:eastAsia="en-IE"/>
        </w:rPr>
        <w:t xml:space="preserve"> </w:t>
      </w:r>
      <w:r w:rsidRPr="002D57F2">
        <w:rPr>
          <w:rFonts w:ascii="Arial" w:hAnsi="Arial" w:cs="Arial"/>
          <w:sz w:val="24"/>
          <w:szCs w:val="24"/>
          <w:lang w:eastAsia="en-IE"/>
        </w:rPr>
        <w:t xml:space="preserve">and the </w:t>
      </w:r>
      <w:hyperlink r:id="rId56" w:history="1">
        <w:r w:rsidRPr="002D57F2">
          <w:rPr>
            <w:rStyle w:val="Hyperlink"/>
            <w:rFonts w:ascii="Arial" w:hAnsi="Arial" w:cs="Arial"/>
            <w:sz w:val="24"/>
            <w:szCs w:val="24"/>
            <w:lang w:eastAsia="en-IE"/>
          </w:rPr>
          <w:t>European Regional Development Fund</w:t>
        </w:r>
      </w:hyperlink>
      <w:r w:rsidRPr="002D57F2">
        <w:rPr>
          <w:rFonts w:ascii="Arial" w:hAnsi="Arial" w:cs="Arial"/>
          <w:sz w:val="24"/>
          <w:szCs w:val="24"/>
          <w:lang w:eastAsia="en-IE"/>
        </w:rPr>
        <w:t xml:space="preserve">. In the area of social services, the Commission will present the </w:t>
      </w:r>
      <w:r w:rsidRPr="002D57F2">
        <w:rPr>
          <w:rFonts w:ascii="Arial" w:hAnsi="Arial" w:cs="Arial"/>
          <w:b/>
          <w:bCs/>
          <w:sz w:val="24"/>
          <w:szCs w:val="24"/>
          <w:lang w:eastAsia="en-IE"/>
        </w:rPr>
        <w:t xml:space="preserve">framework for social services of excellence for persons with disabilities </w:t>
      </w:r>
      <w:r w:rsidRPr="002D57F2">
        <w:rPr>
          <w:rFonts w:ascii="Arial" w:hAnsi="Arial" w:cs="Arial"/>
          <w:sz w:val="24"/>
          <w:szCs w:val="24"/>
          <w:lang w:eastAsia="en-IE"/>
        </w:rPr>
        <w:t xml:space="preserve">announced under the strategy, ensuring synergies with the update of the </w:t>
      </w:r>
      <w:r w:rsidRPr="002D57F2">
        <w:rPr>
          <w:rFonts w:ascii="Arial" w:hAnsi="Arial" w:cs="Arial"/>
          <w:sz w:val="24"/>
          <w:szCs w:val="24"/>
        </w:rPr>
        <w:t>Social Protection Committee EU voluntary quality framework for social services.</w:t>
      </w:r>
    </w:p>
    <w:p w14:paraId="61FE6FA6" w14:textId="77777777" w:rsidR="00FB01BD" w:rsidRPr="002D57F2" w:rsidRDefault="00FB01BD" w:rsidP="00FB01BD">
      <w:pPr>
        <w:pStyle w:val="Heading3"/>
        <w:rPr>
          <w:rFonts w:ascii="Arial" w:hAnsi="Arial" w:cs="Arial"/>
        </w:rPr>
      </w:pPr>
      <w:bookmarkStart w:id="12" w:name="_Toc228880176"/>
      <w:r w:rsidRPr="002D57F2">
        <w:rPr>
          <w:rFonts w:ascii="Arial" w:hAnsi="Arial" w:cs="Arial"/>
        </w:rPr>
        <w:t>Improving access to sustainable quality jobs</w:t>
      </w:r>
      <w:bookmarkEnd w:id="12"/>
    </w:p>
    <w:p w14:paraId="790E12D6" w14:textId="1F48AE9F"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Improving inclusion in the labour market represents a significant opportunity to better harness the skills, talents and experiences of persons with disabilities, contributing to a more inclusive and competitive EU economy. </w:t>
      </w:r>
      <w:r w:rsidRPr="002D57F2">
        <w:rPr>
          <w:rFonts w:ascii="Arial" w:hAnsi="Arial" w:cs="Arial"/>
          <w:sz w:val="24"/>
          <w:szCs w:val="24"/>
          <w:lang w:eastAsia="en-IE"/>
        </w:rPr>
        <w:t xml:space="preserve">However, </w:t>
      </w:r>
      <w:r w:rsidRPr="002D57F2">
        <w:rPr>
          <w:rFonts w:ascii="Arial" w:hAnsi="Arial" w:cs="Arial"/>
          <w:b/>
          <w:bCs/>
          <w:sz w:val="24"/>
          <w:szCs w:val="24"/>
          <w:lang w:eastAsia="en-IE"/>
        </w:rPr>
        <w:t xml:space="preserve">only half of persons with disabilities in the EU </w:t>
      </w:r>
      <w:r w:rsidR="00D7733A">
        <w:rPr>
          <w:rFonts w:ascii="Arial" w:hAnsi="Arial" w:cs="Arial"/>
          <w:b/>
          <w:bCs/>
          <w:sz w:val="24"/>
          <w:szCs w:val="24"/>
          <w:lang w:eastAsia="en-IE"/>
        </w:rPr>
        <w:t>participate</w:t>
      </w:r>
      <w:r w:rsidRPr="002D57F2">
        <w:rPr>
          <w:rFonts w:ascii="Arial" w:hAnsi="Arial" w:cs="Arial"/>
          <w:b/>
          <w:bCs/>
          <w:sz w:val="24"/>
          <w:szCs w:val="24"/>
          <w:lang w:eastAsia="en-IE"/>
        </w:rPr>
        <w:t xml:space="preserve"> </w:t>
      </w:r>
      <w:r w:rsidR="00B21951">
        <w:rPr>
          <w:rFonts w:ascii="Arial" w:hAnsi="Arial" w:cs="Arial"/>
          <w:b/>
          <w:bCs/>
          <w:sz w:val="24"/>
          <w:szCs w:val="24"/>
          <w:lang w:eastAsia="en-IE"/>
        </w:rPr>
        <w:t>in the labour market</w:t>
      </w:r>
      <w:r w:rsidRPr="002D57F2">
        <w:rPr>
          <w:rFonts w:ascii="Arial" w:hAnsi="Arial" w:cs="Arial"/>
          <w:b/>
          <w:bCs/>
          <w:sz w:val="24"/>
          <w:szCs w:val="24"/>
          <w:lang w:eastAsia="en-IE"/>
        </w:rPr>
        <w:t xml:space="preserve"> </w:t>
      </w:r>
      <w:r w:rsidRPr="002D57F2">
        <w:rPr>
          <w:rFonts w:ascii="Arial" w:hAnsi="Arial" w:cs="Arial"/>
          <w:sz w:val="24"/>
          <w:szCs w:val="24"/>
          <w:lang w:eastAsia="en-IE"/>
        </w:rPr>
        <w:t>(</w:t>
      </w:r>
      <w:r w:rsidR="0057094A">
        <w:rPr>
          <w:rFonts w:ascii="Arial" w:hAnsi="Arial" w:cs="Arial"/>
          <w:sz w:val="24"/>
          <w:szCs w:val="24"/>
          <w:lang w:eastAsia="en-IE"/>
        </w:rPr>
        <w:t>5</w:t>
      </w:r>
      <w:r w:rsidR="00B21951">
        <w:rPr>
          <w:rFonts w:ascii="Arial" w:hAnsi="Arial" w:cs="Arial"/>
          <w:sz w:val="24"/>
          <w:szCs w:val="24"/>
          <w:lang w:eastAsia="en-IE"/>
        </w:rPr>
        <w:t>6.</w:t>
      </w:r>
      <w:r w:rsidR="0057094A">
        <w:rPr>
          <w:rFonts w:ascii="Arial" w:hAnsi="Arial" w:cs="Arial"/>
          <w:sz w:val="24"/>
          <w:szCs w:val="24"/>
          <w:lang w:eastAsia="en-IE"/>
        </w:rPr>
        <w:t>4</w:t>
      </w:r>
      <w:r w:rsidRPr="002D57F2">
        <w:rPr>
          <w:rFonts w:ascii="Arial" w:hAnsi="Arial" w:cs="Arial"/>
          <w:sz w:val="24"/>
          <w:szCs w:val="24"/>
          <w:lang w:eastAsia="en-IE"/>
        </w:rPr>
        <w:t>% in 202</w:t>
      </w:r>
      <w:r w:rsidR="00B21951">
        <w:rPr>
          <w:rFonts w:ascii="Arial" w:hAnsi="Arial" w:cs="Arial"/>
          <w:sz w:val="24"/>
          <w:szCs w:val="24"/>
          <w:lang w:eastAsia="en-IE"/>
        </w:rPr>
        <w:t>4</w:t>
      </w:r>
      <w:r w:rsidR="00B21951">
        <w:rPr>
          <w:rStyle w:val="FootnoteReference"/>
          <w:rFonts w:ascii="Arial" w:hAnsi="Arial" w:cs="Arial"/>
          <w:sz w:val="24"/>
          <w:szCs w:val="24"/>
          <w:lang w:eastAsia="en-IE"/>
        </w:rPr>
        <w:footnoteReference w:id="9"/>
      </w:r>
      <w:r w:rsidRPr="002D57F2">
        <w:rPr>
          <w:rFonts w:ascii="Arial" w:hAnsi="Arial" w:cs="Arial"/>
          <w:sz w:val="24"/>
          <w:szCs w:val="24"/>
          <w:lang w:eastAsia="en-IE"/>
        </w:rPr>
        <w:t>),</w:t>
      </w:r>
      <w:r w:rsidRPr="002D57F2">
        <w:rPr>
          <w:rFonts w:ascii="Arial" w:hAnsi="Arial" w:cs="Arial"/>
          <w:b/>
          <w:bCs/>
          <w:sz w:val="24"/>
          <w:szCs w:val="24"/>
          <w:lang w:eastAsia="en-IE"/>
        </w:rPr>
        <w:t xml:space="preserve"> </w:t>
      </w:r>
      <w:r w:rsidRPr="002D57F2">
        <w:rPr>
          <w:rFonts w:ascii="Arial" w:hAnsi="Arial" w:cs="Arial"/>
          <w:sz w:val="24"/>
          <w:szCs w:val="24"/>
          <w:lang w:eastAsia="en-IE"/>
        </w:rPr>
        <w:t>with the disability employment gap reaching 2</w:t>
      </w:r>
      <w:r w:rsidR="00B21951">
        <w:rPr>
          <w:rFonts w:ascii="Arial" w:hAnsi="Arial" w:cs="Arial"/>
          <w:sz w:val="24"/>
          <w:szCs w:val="24"/>
          <w:lang w:eastAsia="en-IE"/>
        </w:rPr>
        <w:t>4</w:t>
      </w:r>
      <w:r w:rsidR="0057094A">
        <w:rPr>
          <w:rFonts w:ascii="Arial" w:hAnsi="Arial" w:cs="Arial"/>
          <w:sz w:val="24"/>
          <w:szCs w:val="24"/>
          <w:lang w:eastAsia="en-IE"/>
        </w:rPr>
        <w:t xml:space="preserve"> percentage points</w:t>
      </w:r>
      <w:r w:rsidR="00B21951">
        <w:rPr>
          <w:rFonts w:ascii="Arial" w:hAnsi="Arial" w:cs="Arial"/>
          <w:sz w:val="24"/>
          <w:szCs w:val="24"/>
          <w:lang w:eastAsia="en-IE"/>
        </w:rPr>
        <w:t xml:space="preserve"> in 2024 </w:t>
      </w:r>
      <w:r w:rsidR="00B21951" w:rsidRPr="0031591A">
        <w:rPr>
          <w:rFonts w:cs="Times New Roman"/>
          <w:sz w:val="24"/>
          <w:szCs w:val="24"/>
          <w:lang w:eastAsia="en-IE"/>
        </w:rPr>
        <w:t>(</w:t>
      </w:r>
      <w:r w:rsidR="00B21951" w:rsidRPr="00B21951">
        <w:rPr>
          <w:rFonts w:ascii="Arial" w:hAnsi="Arial" w:cs="Arial"/>
          <w:sz w:val="24"/>
          <w:szCs w:val="24"/>
          <w:lang w:eastAsia="en-IE"/>
        </w:rPr>
        <w:t xml:space="preserve">23.1pps in </w:t>
      </w:r>
      <w:proofErr w:type="gramStart"/>
      <w:r w:rsidR="00B21951" w:rsidRPr="00B21951">
        <w:rPr>
          <w:rFonts w:ascii="Arial" w:hAnsi="Arial" w:cs="Arial"/>
          <w:sz w:val="24"/>
          <w:szCs w:val="24"/>
          <w:lang w:eastAsia="en-IE"/>
        </w:rPr>
        <w:t>2021)</w:t>
      </w:r>
      <w:r w:rsidRPr="002D57F2">
        <w:rPr>
          <w:rFonts w:ascii="Arial" w:hAnsi="Arial" w:cs="Arial"/>
          <w:sz w:val="24"/>
          <w:szCs w:val="24"/>
          <w:vertAlign w:val="superscript"/>
          <w:lang w:eastAsia="en-IE"/>
        </w:rPr>
        <w:t>(</w:t>
      </w:r>
      <w:proofErr w:type="gramEnd"/>
      <w:r w:rsidRPr="002D57F2">
        <w:rPr>
          <w:rStyle w:val="FootnoteReference"/>
          <w:rFonts w:ascii="Arial" w:hAnsi="Arial" w:cs="Arial"/>
        </w:rPr>
        <w:footnoteReference w:id="10"/>
      </w:r>
      <w:r w:rsidRPr="002D57F2">
        <w:rPr>
          <w:rFonts w:ascii="Arial" w:hAnsi="Arial" w:cs="Arial"/>
          <w:sz w:val="24"/>
          <w:szCs w:val="24"/>
          <w:vertAlign w:val="superscript"/>
          <w:lang w:eastAsia="en-IE"/>
        </w:rPr>
        <w:t>)</w:t>
      </w:r>
      <w:r w:rsidRPr="002D57F2">
        <w:rPr>
          <w:rFonts w:ascii="Arial" w:hAnsi="Arial" w:cs="Arial"/>
          <w:sz w:val="24"/>
          <w:szCs w:val="24"/>
          <w:lang w:eastAsia="en-IE"/>
        </w:rPr>
        <w:t xml:space="preserve">. Barriers to labour market participation include </w:t>
      </w:r>
      <w:r w:rsidRPr="002D57F2">
        <w:rPr>
          <w:rFonts w:ascii="Arial" w:hAnsi="Arial" w:cs="Arial"/>
          <w:sz w:val="24"/>
          <w:szCs w:val="24"/>
        </w:rPr>
        <w:t>accessibility issues, failure to implement reasonable accommodation </w:t>
      </w:r>
      <w:r w:rsidRPr="002D57F2">
        <w:rPr>
          <w:rFonts w:ascii="Arial" w:hAnsi="Arial" w:cs="Arial"/>
          <w:sz w:val="24"/>
          <w:szCs w:val="24"/>
          <w:vertAlign w:val="superscript"/>
          <w:lang w:eastAsia="en-IE"/>
        </w:rPr>
        <w:t>(</w:t>
      </w:r>
      <w:r w:rsidRPr="002D57F2">
        <w:rPr>
          <w:rStyle w:val="FootnoteReference"/>
          <w:rFonts w:ascii="Arial" w:hAnsi="Arial" w:cs="Arial"/>
        </w:rPr>
        <w:footnoteReference w:id="11"/>
      </w:r>
      <w:r w:rsidRPr="002D57F2">
        <w:rPr>
          <w:rFonts w:ascii="Arial" w:hAnsi="Arial" w:cs="Arial"/>
          <w:sz w:val="24"/>
          <w:szCs w:val="24"/>
          <w:vertAlign w:val="superscript"/>
          <w:lang w:eastAsia="en-IE"/>
        </w:rPr>
        <w:t>)</w:t>
      </w:r>
      <w:r w:rsidRPr="002D57F2">
        <w:rPr>
          <w:rFonts w:ascii="Arial" w:hAnsi="Arial" w:cs="Arial"/>
          <w:sz w:val="24"/>
          <w:szCs w:val="24"/>
        </w:rPr>
        <w:t xml:space="preserve">, social benefit traps and the persistence of stereotypes. </w:t>
      </w:r>
    </w:p>
    <w:p w14:paraId="2BF58C49"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lang w:eastAsia="en-IE"/>
        </w:rPr>
        <w:t xml:space="preserve">More efforts are needed to </w:t>
      </w:r>
      <w:r w:rsidRPr="002D57F2">
        <w:rPr>
          <w:rFonts w:ascii="Arial" w:hAnsi="Arial" w:cs="Arial"/>
          <w:b/>
          <w:bCs/>
          <w:sz w:val="24"/>
          <w:szCs w:val="24"/>
          <w:lang w:eastAsia="en-IE"/>
        </w:rPr>
        <w:t>combat discrimination and ensure that reasonable accommodation is provided at the workplace,</w:t>
      </w:r>
      <w:r w:rsidRPr="002D57F2">
        <w:rPr>
          <w:rFonts w:ascii="Arial" w:hAnsi="Arial" w:cs="Arial"/>
          <w:sz w:val="24"/>
          <w:szCs w:val="24"/>
          <w:lang w:eastAsia="en-IE"/>
        </w:rPr>
        <w:t xml:space="preserve"> in line with the EU legal requirement enshrined in the </w:t>
      </w:r>
      <w:hyperlink r:id="rId57" w:history="1">
        <w:r w:rsidRPr="002D57F2">
          <w:rPr>
            <w:rStyle w:val="Hyperlink"/>
            <w:rFonts w:ascii="Arial" w:hAnsi="Arial" w:cs="Arial"/>
            <w:sz w:val="24"/>
            <w:szCs w:val="24"/>
            <w:lang w:eastAsia="en-IE"/>
          </w:rPr>
          <w:t>Employment Equality Directive</w:t>
        </w:r>
      </w:hyperlink>
      <w:r w:rsidRPr="002D57F2">
        <w:rPr>
          <w:rFonts w:ascii="Arial" w:hAnsi="Arial" w:cs="Arial"/>
        </w:rPr>
        <w:t>.</w:t>
      </w:r>
      <w:r w:rsidRPr="002D57F2">
        <w:rPr>
          <w:rFonts w:ascii="Arial" w:hAnsi="Arial" w:cs="Arial"/>
          <w:sz w:val="24"/>
          <w:szCs w:val="24"/>
        </w:rPr>
        <w:t xml:space="preserve"> Young persons with disabilities struggle in their transition into adulthood due to a lack of adequate </w:t>
      </w:r>
      <w:r w:rsidRPr="002D57F2">
        <w:rPr>
          <w:rFonts w:ascii="Arial" w:hAnsi="Arial" w:cs="Arial"/>
          <w:b/>
          <w:bCs/>
          <w:sz w:val="24"/>
          <w:szCs w:val="24"/>
        </w:rPr>
        <w:t xml:space="preserve">pathways between education and employment, </w:t>
      </w:r>
      <w:r w:rsidRPr="002D57F2">
        <w:rPr>
          <w:rFonts w:ascii="Arial" w:hAnsi="Arial" w:cs="Arial"/>
          <w:sz w:val="24"/>
          <w:szCs w:val="24"/>
        </w:rPr>
        <w:t>hampering their</w:t>
      </w:r>
      <w:r w:rsidRPr="002D57F2">
        <w:rPr>
          <w:rFonts w:ascii="Arial" w:hAnsi="Arial" w:cs="Arial"/>
          <w:b/>
          <w:bCs/>
          <w:sz w:val="24"/>
          <w:szCs w:val="24"/>
        </w:rPr>
        <w:t xml:space="preserve"> </w:t>
      </w:r>
      <w:r w:rsidRPr="002D57F2">
        <w:rPr>
          <w:rFonts w:ascii="Arial" w:hAnsi="Arial" w:cs="Arial"/>
          <w:sz w:val="24"/>
          <w:szCs w:val="24"/>
        </w:rPr>
        <w:t xml:space="preserve">contribution to the labour market and to economic growth. </w:t>
      </w:r>
      <w:r w:rsidRPr="002D57F2">
        <w:rPr>
          <w:rFonts w:ascii="Arial" w:hAnsi="Arial" w:cs="Arial"/>
          <w:b/>
          <w:bCs/>
          <w:sz w:val="24"/>
          <w:szCs w:val="24"/>
        </w:rPr>
        <w:t>E</w:t>
      </w:r>
      <w:r w:rsidRPr="002D57F2">
        <w:rPr>
          <w:rFonts w:ascii="Arial" w:hAnsi="Arial" w:cs="Arial"/>
          <w:b/>
          <w:bCs/>
          <w:sz w:val="24"/>
          <w:szCs w:val="24"/>
          <w:lang w:eastAsia="en-IE"/>
        </w:rPr>
        <w:t>merging workplace challenges,</w:t>
      </w:r>
      <w:r w:rsidRPr="002D57F2">
        <w:rPr>
          <w:rFonts w:ascii="Arial" w:hAnsi="Arial" w:cs="Arial"/>
          <w:sz w:val="24"/>
          <w:szCs w:val="24"/>
          <w:lang w:eastAsia="en-IE"/>
        </w:rPr>
        <w:t xml:space="preserve"> such as the impact of the use of AI on workers and applicants with disabilities, are a cause of concern, as is intersectional discrimination, for instance against women with disabilities. At the same time, </w:t>
      </w:r>
      <w:r w:rsidRPr="002D57F2">
        <w:rPr>
          <w:rFonts w:ascii="Arial" w:hAnsi="Arial" w:cs="Arial"/>
          <w:b/>
          <w:bCs/>
          <w:sz w:val="24"/>
          <w:szCs w:val="24"/>
          <w:lang w:eastAsia="en-IE"/>
        </w:rPr>
        <w:t>digital tools</w:t>
      </w:r>
      <w:r w:rsidRPr="002D57F2">
        <w:rPr>
          <w:rFonts w:ascii="Arial" w:hAnsi="Arial" w:cs="Arial"/>
          <w:sz w:val="24"/>
          <w:szCs w:val="24"/>
          <w:lang w:eastAsia="en-IE"/>
        </w:rPr>
        <w:t xml:space="preserve"> and AI also present meaningful accessibility opportunities for workers with disabilities. </w:t>
      </w:r>
      <w:r w:rsidRPr="002D57F2">
        <w:rPr>
          <w:rFonts w:ascii="Arial" w:hAnsi="Arial" w:cs="Arial"/>
          <w:sz w:val="24"/>
          <w:szCs w:val="24"/>
        </w:rPr>
        <w:t xml:space="preserve">There is a need to further foster the </w:t>
      </w:r>
      <w:r w:rsidRPr="002D57F2">
        <w:rPr>
          <w:rFonts w:ascii="Arial" w:hAnsi="Arial" w:cs="Arial"/>
          <w:b/>
          <w:bCs/>
          <w:sz w:val="24"/>
          <w:szCs w:val="24"/>
        </w:rPr>
        <w:t>social economy</w:t>
      </w:r>
      <w:r w:rsidRPr="002D57F2">
        <w:rPr>
          <w:rFonts w:ascii="Arial" w:hAnsi="Arial" w:cs="Arial"/>
          <w:sz w:val="24"/>
          <w:szCs w:val="24"/>
        </w:rPr>
        <w:t xml:space="preserve">, a key driver to promote labour market access for persons with disabilities, as highlighted in the </w:t>
      </w:r>
      <w:hyperlink r:id="rId58" w:history="1">
        <w:r w:rsidRPr="002D57F2">
          <w:rPr>
            <w:rStyle w:val="Hyperlink"/>
            <w:rFonts w:ascii="Arial" w:hAnsi="Arial" w:cs="Arial"/>
            <w:sz w:val="24"/>
            <w:szCs w:val="24"/>
          </w:rPr>
          <w:t>Council recommendation on social economy framework conditions</w:t>
        </w:r>
      </w:hyperlink>
      <w:r w:rsidRPr="002D57F2">
        <w:rPr>
          <w:rFonts w:ascii="Arial" w:hAnsi="Arial" w:cs="Arial"/>
          <w:sz w:val="24"/>
          <w:szCs w:val="24"/>
        </w:rPr>
        <w:t xml:space="preserve">. </w:t>
      </w:r>
      <w:r w:rsidRPr="002D57F2">
        <w:rPr>
          <w:rFonts w:ascii="Arial" w:hAnsi="Arial" w:cs="Arial"/>
          <w:sz w:val="24"/>
          <w:szCs w:val="24"/>
          <w:lang w:eastAsia="en-IE"/>
        </w:rPr>
        <w:t xml:space="preserve">Working conditions and labour rights in </w:t>
      </w:r>
      <w:r w:rsidRPr="002D57F2">
        <w:rPr>
          <w:rFonts w:ascii="Arial" w:hAnsi="Arial" w:cs="Arial"/>
          <w:b/>
          <w:bCs/>
          <w:sz w:val="24"/>
          <w:szCs w:val="24"/>
          <w:lang w:eastAsia="en-IE"/>
        </w:rPr>
        <w:t>sheltered employment</w:t>
      </w:r>
      <w:r w:rsidRPr="002D57F2">
        <w:rPr>
          <w:rFonts w:ascii="Arial" w:hAnsi="Arial" w:cs="Arial"/>
          <w:sz w:val="24"/>
          <w:szCs w:val="24"/>
          <w:lang w:eastAsia="en-IE"/>
        </w:rPr>
        <w:t xml:space="preserve"> also continue to be a matter of concern.</w:t>
      </w:r>
    </w:p>
    <w:p w14:paraId="06139FC5" w14:textId="77777777" w:rsidR="00FB01BD" w:rsidRPr="002D57F2" w:rsidRDefault="00FB01BD" w:rsidP="00B540AD">
      <w:pPr>
        <w:pStyle w:val="Style2"/>
        <w:keepNext/>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sz w:val="24"/>
          <w:szCs w:val="24"/>
        </w:rPr>
      </w:pPr>
      <w:r w:rsidRPr="002D57F2">
        <w:rPr>
          <w:rFonts w:ascii="Arial" w:hAnsi="Arial" w:cs="Arial"/>
          <w:b/>
          <w:bCs/>
          <w:sz w:val="24"/>
          <w:szCs w:val="24"/>
        </w:rPr>
        <w:t>Improve implementation of the Disability Employment Package</w:t>
      </w:r>
    </w:p>
    <w:p w14:paraId="39E4F47A" w14:textId="5F0C49A8" w:rsidR="00FB01BD" w:rsidRPr="002D57F2" w:rsidRDefault="00FB01BD" w:rsidP="00B540AD">
      <w:pPr>
        <w:pStyle w:val="Style2"/>
        <w:keepLines/>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sz w:val="24"/>
          <w:szCs w:val="24"/>
          <w:lang w:eastAsia="en-IE"/>
        </w:rPr>
      </w:pPr>
      <w:r w:rsidRPr="002D57F2">
        <w:rPr>
          <w:rFonts w:ascii="Arial" w:hAnsi="Arial" w:cs="Arial"/>
          <w:sz w:val="24"/>
          <w:szCs w:val="24"/>
        </w:rPr>
        <w:t>The Commission will work for better access to the</w:t>
      </w:r>
      <w:r w:rsidRPr="002D57F2">
        <w:rPr>
          <w:rFonts w:ascii="Arial" w:hAnsi="Arial" w:cs="Arial"/>
          <w:b/>
          <w:bCs/>
          <w:sz w:val="24"/>
          <w:szCs w:val="24"/>
        </w:rPr>
        <w:t xml:space="preserve"> </w:t>
      </w:r>
      <w:r w:rsidRPr="002D57F2">
        <w:rPr>
          <w:rFonts w:ascii="Arial" w:hAnsi="Arial" w:cs="Arial"/>
          <w:sz w:val="24"/>
          <w:szCs w:val="24"/>
          <w:lang w:eastAsia="en-IE"/>
        </w:rPr>
        <w:t>labour market for persons with disabilities</w:t>
      </w:r>
      <w:r w:rsidRPr="002D57F2">
        <w:rPr>
          <w:rFonts w:ascii="Arial" w:hAnsi="Arial" w:cs="Arial"/>
          <w:sz w:val="24"/>
          <w:szCs w:val="24"/>
        </w:rPr>
        <w:t xml:space="preserve"> building on the</w:t>
      </w:r>
      <w:r w:rsidRPr="002D57F2">
        <w:rPr>
          <w:rFonts w:ascii="Arial" w:hAnsi="Arial" w:cs="Arial"/>
          <w:b/>
          <w:bCs/>
          <w:sz w:val="24"/>
          <w:szCs w:val="24"/>
        </w:rPr>
        <w:t xml:space="preserve"> </w:t>
      </w:r>
      <w:hyperlink r:id="rId59" w:history="1">
        <w:r w:rsidRPr="002D57F2">
          <w:rPr>
            <w:rStyle w:val="Hyperlink"/>
            <w:rFonts w:ascii="Arial" w:hAnsi="Arial" w:cs="Arial"/>
            <w:sz w:val="24"/>
            <w:szCs w:val="24"/>
            <w:lang w:eastAsia="en-IE"/>
          </w:rPr>
          <w:t>Disability Employment Package</w:t>
        </w:r>
      </w:hyperlink>
      <w:r w:rsidRPr="002D57F2">
        <w:rPr>
          <w:rFonts w:ascii="Arial" w:hAnsi="Arial" w:cs="Arial"/>
        </w:rPr>
        <w:t xml:space="preserve"> </w:t>
      </w:r>
      <w:r w:rsidRPr="002D57F2">
        <w:rPr>
          <w:rFonts w:ascii="Arial" w:hAnsi="Arial" w:cs="Arial"/>
          <w:sz w:val="24"/>
          <w:szCs w:val="24"/>
        </w:rPr>
        <w:t>and with the involvement of social partners</w:t>
      </w:r>
      <w:r w:rsidRPr="002D57F2">
        <w:rPr>
          <w:rFonts w:ascii="Arial" w:hAnsi="Arial" w:cs="Arial"/>
          <w:sz w:val="24"/>
          <w:szCs w:val="24"/>
          <w:lang w:eastAsia="en-IE"/>
        </w:rPr>
        <w:t xml:space="preserve">. </w:t>
      </w:r>
      <w:r w:rsidRPr="002D57F2">
        <w:rPr>
          <w:rFonts w:ascii="Arial" w:hAnsi="Arial" w:cs="Arial"/>
          <w:b/>
          <w:bCs/>
          <w:sz w:val="24"/>
          <w:szCs w:val="24"/>
          <w:lang w:eastAsia="en-IE"/>
        </w:rPr>
        <w:t>The follow-up will include:</w:t>
      </w:r>
      <w:r w:rsidRPr="002D57F2">
        <w:rPr>
          <w:rFonts w:ascii="Arial" w:hAnsi="Arial" w:cs="Arial"/>
          <w:sz w:val="24"/>
          <w:szCs w:val="24"/>
          <w:lang w:eastAsia="en-IE"/>
        </w:rPr>
        <w:t xml:space="preserve"> (i) sharing best practices and issuing further guidance, e.g. on AI and assistive technologies at the work place, transition from education to employment, employment of women with disabilities; (ii) assessing the extent to which reasonable accommodation is provided at the workplace, in line with the Employment Equality Directive</w:t>
      </w:r>
      <w:r>
        <w:rPr>
          <w:rFonts w:ascii="Arial" w:hAnsi="Arial" w:cs="Arial"/>
          <w:sz w:val="24"/>
          <w:szCs w:val="24"/>
          <w:lang w:eastAsia="en-IE"/>
        </w:rPr>
        <w:t xml:space="preserve"> </w:t>
      </w:r>
      <w:r w:rsidRPr="002D5582">
        <w:rPr>
          <w:rFonts w:ascii="Arial" w:hAnsi="Arial" w:cs="Arial"/>
          <w:sz w:val="24"/>
          <w:szCs w:val="24"/>
          <w:vertAlign w:val="superscript"/>
          <w:lang w:eastAsia="en-IE"/>
        </w:rPr>
        <w:t>(</w:t>
      </w:r>
      <w:r>
        <w:rPr>
          <w:rStyle w:val="FootnoteReference"/>
          <w:rFonts w:ascii="Arial" w:hAnsi="Arial" w:cs="Arial"/>
          <w:sz w:val="24"/>
          <w:szCs w:val="24"/>
          <w:lang w:eastAsia="en-IE"/>
        </w:rPr>
        <w:footnoteReference w:id="12"/>
      </w:r>
      <w:r w:rsidRPr="002D5582">
        <w:rPr>
          <w:rFonts w:ascii="Arial" w:hAnsi="Arial" w:cs="Arial"/>
          <w:sz w:val="24"/>
          <w:szCs w:val="24"/>
          <w:vertAlign w:val="superscript"/>
          <w:lang w:eastAsia="en-IE"/>
        </w:rPr>
        <w:t>)</w:t>
      </w:r>
      <w:r w:rsidRPr="002D57F2">
        <w:rPr>
          <w:rFonts w:ascii="Arial" w:hAnsi="Arial" w:cs="Arial"/>
          <w:sz w:val="24"/>
          <w:szCs w:val="24"/>
          <w:lang w:eastAsia="en-IE"/>
        </w:rPr>
        <w:t>; and (iii) publishing, together with the OECD, a cost-benefit analysis of boosting employment of persons with disabilities.</w:t>
      </w:r>
      <w:r w:rsidRPr="002D57F2">
        <w:rPr>
          <w:rFonts w:ascii="Arial" w:hAnsi="Arial" w:cs="Arial"/>
          <w:b/>
          <w:bCs/>
          <w:sz w:val="24"/>
          <w:szCs w:val="24"/>
        </w:rPr>
        <w:t xml:space="preserve"> </w:t>
      </w:r>
      <w:r w:rsidRPr="002D57F2">
        <w:rPr>
          <w:rFonts w:ascii="Arial" w:hAnsi="Arial" w:cs="Arial"/>
          <w:sz w:val="24"/>
          <w:szCs w:val="24"/>
        </w:rPr>
        <w:t>Moreover, the Commission will consult European social partners on the possible direction of EU action to support the activation of persons excluded from the labour marke</w:t>
      </w:r>
      <w:r w:rsidR="007453BC" w:rsidRPr="002D57F2">
        <w:rPr>
          <w:rFonts w:ascii="Arial" w:hAnsi="Arial" w:cs="Arial"/>
          <w:sz w:val="24"/>
          <w:szCs w:val="24"/>
        </w:rPr>
        <w:t>t.</w:t>
      </w:r>
    </w:p>
    <w:p w14:paraId="1F83B0BB" w14:textId="77777777" w:rsidR="00FB01BD" w:rsidRPr="002D57F2" w:rsidRDefault="00FB01BD" w:rsidP="00FB01BD">
      <w:pPr>
        <w:pStyle w:val="Style2"/>
        <w:spacing w:line="288" w:lineRule="auto"/>
        <w:rPr>
          <w:rFonts w:ascii="Arial" w:hAnsi="Arial" w:cs="Arial"/>
          <w:lang w:eastAsia="en-IE"/>
        </w:rPr>
      </w:pPr>
      <w:r w:rsidRPr="002D57F2">
        <w:rPr>
          <w:rFonts w:ascii="Arial" w:hAnsi="Arial" w:cs="Arial"/>
          <w:sz w:val="24"/>
          <w:szCs w:val="24"/>
          <w:lang w:eastAsia="en-IE"/>
        </w:rPr>
        <w:t xml:space="preserve">The Commission will work with the Council’s Social Protection and Employment Committees on the </w:t>
      </w:r>
      <w:r w:rsidRPr="002D57F2">
        <w:rPr>
          <w:rFonts w:ascii="Arial" w:hAnsi="Arial" w:cs="Arial"/>
          <w:b/>
          <w:bCs/>
          <w:sz w:val="24"/>
          <w:szCs w:val="24"/>
          <w:lang w:eastAsia="en-IE"/>
        </w:rPr>
        <w:t>setting of national targets for the employment of persons with disabilities</w:t>
      </w:r>
      <w:r w:rsidRPr="002D57F2">
        <w:rPr>
          <w:rFonts w:ascii="Arial" w:hAnsi="Arial" w:cs="Arial"/>
          <w:sz w:val="24"/>
          <w:szCs w:val="24"/>
          <w:lang w:eastAsia="en-IE"/>
        </w:rPr>
        <w:t>. The Commission will also promote the inclusion of persons with disabilities at the workplace through within the </w:t>
      </w:r>
      <w:hyperlink r:id="rId60" w:history="1">
        <w:r w:rsidRPr="002D57F2">
          <w:rPr>
            <w:rStyle w:val="Hyperlink"/>
            <w:rFonts w:ascii="Arial" w:hAnsi="Arial" w:cs="Arial"/>
          </w:rPr>
          <w:t>EU Platform of Diversity Charters</w:t>
        </w:r>
      </w:hyperlink>
      <w:r w:rsidRPr="002D57F2">
        <w:rPr>
          <w:rFonts w:ascii="Arial" w:hAnsi="Arial" w:cs="Arial"/>
          <w:sz w:val="24"/>
          <w:szCs w:val="24"/>
          <w:lang w:eastAsia="en-IE"/>
        </w:rPr>
        <w:t xml:space="preserve">. In relation to </w:t>
      </w:r>
      <w:r w:rsidRPr="002D57F2">
        <w:rPr>
          <w:rFonts w:ascii="Arial" w:hAnsi="Arial" w:cs="Arial"/>
          <w:b/>
          <w:bCs/>
          <w:sz w:val="24"/>
          <w:szCs w:val="24"/>
          <w:lang w:eastAsia="en-IE"/>
        </w:rPr>
        <w:t>working conditions</w:t>
      </w:r>
      <w:r w:rsidRPr="002D57F2">
        <w:rPr>
          <w:rFonts w:ascii="Arial" w:hAnsi="Arial" w:cs="Arial"/>
          <w:sz w:val="24"/>
          <w:szCs w:val="24"/>
          <w:lang w:eastAsia="en-IE"/>
        </w:rPr>
        <w:t xml:space="preserve">, the Commission will seek to consider the occupational safety and health risks faced by workers with disabilities in the forthcoming Quality Jobs Act proposal, following the first stage social partners consultation and pending the second stage consultation. </w:t>
      </w:r>
    </w:p>
    <w:p w14:paraId="1A1FC98E" w14:textId="77777777" w:rsidR="00FB01BD" w:rsidRPr="002D57F2" w:rsidRDefault="00FB01BD" w:rsidP="00FB01BD">
      <w:pPr>
        <w:pStyle w:val="Heading3"/>
        <w:rPr>
          <w:rFonts w:ascii="Arial" w:hAnsi="Arial" w:cs="Arial"/>
        </w:rPr>
      </w:pPr>
      <w:bookmarkStart w:id="13" w:name="_Toc228880177"/>
      <w:r w:rsidRPr="002D57F2">
        <w:rPr>
          <w:rFonts w:ascii="Arial" w:hAnsi="Arial" w:cs="Arial"/>
        </w:rPr>
        <w:t>Ensuring adequate social protection</w:t>
      </w:r>
      <w:bookmarkEnd w:id="13"/>
    </w:p>
    <w:p w14:paraId="50841B56" w14:textId="77777777" w:rsidR="00FB01BD" w:rsidRPr="002D57F2" w:rsidRDefault="00FB01BD" w:rsidP="00FB01BD">
      <w:pPr>
        <w:pStyle w:val="Style2"/>
        <w:spacing w:line="288" w:lineRule="auto"/>
        <w:rPr>
          <w:rFonts w:ascii="Arial" w:hAnsi="Arial" w:cs="Arial"/>
          <w:sz w:val="24"/>
          <w:szCs w:val="24"/>
          <w:lang w:eastAsia="en-IE"/>
        </w:rPr>
      </w:pPr>
      <w:r w:rsidRPr="002D57F2">
        <w:rPr>
          <w:rFonts w:ascii="Arial" w:hAnsi="Arial" w:cs="Arial"/>
          <w:sz w:val="24"/>
          <w:szCs w:val="24"/>
          <w:lang w:eastAsia="en-IE"/>
        </w:rPr>
        <w:t xml:space="preserve">The </w:t>
      </w:r>
      <w:r w:rsidRPr="002D57F2">
        <w:rPr>
          <w:rFonts w:ascii="Arial" w:hAnsi="Arial" w:cs="Arial"/>
          <w:b/>
          <w:bCs/>
          <w:sz w:val="24"/>
          <w:szCs w:val="24"/>
          <w:lang w:eastAsia="en-IE"/>
        </w:rPr>
        <w:t>risk of poverty and social exclusion</w:t>
      </w:r>
      <w:r w:rsidRPr="002D57F2">
        <w:rPr>
          <w:rFonts w:ascii="Arial" w:hAnsi="Arial" w:cs="Arial"/>
          <w:sz w:val="24"/>
          <w:szCs w:val="24"/>
          <w:lang w:eastAsia="en-IE"/>
        </w:rPr>
        <w:t xml:space="preserve"> has remained persistently high among persons with disabilities (28.8% versus 17.9% of persons without disabilities in 2024) </w:t>
      </w:r>
      <w:r w:rsidRPr="002D57F2">
        <w:rPr>
          <w:rFonts w:ascii="Arial" w:hAnsi="Arial" w:cs="Arial"/>
          <w:sz w:val="24"/>
          <w:szCs w:val="24"/>
          <w:vertAlign w:val="superscript"/>
          <w:lang w:eastAsia="en-IE"/>
        </w:rPr>
        <w:t>(</w:t>
      </w:r>
      <w:r w:rsidRPr="002D57F2">
        <w:rPr>
          <w:rStyle w:val="FootnoteReference"/>
          <w:rFonts w:ascii="Arial" w:hAnsi="Arial" w:cs="Arial"/>
        </w:rPr>
        <w:footnoteReference w:id="13"/>
      </w:r>
      <w:r w:rsidRPr="002D57F2">
        <w:rPr>
          <w:rFonts w:ascii="Arial" w:hAnsi="Arial" w:cs="Arial"/>
          <w:sz w:val="24"/>
          <w:szCs w:val="24"/>
          <w:vertAlign w:val="superscript"/>
          <w:lang w:eastAsia="en-IE"/>
        </w:rPr>
        <w:t>)</w:t>
      </w:r>
      <w:r w:rsidRPr="002D57F2">
        <w:rPr>
          <w:rFonts w:ascii="Arial" w:hAnsi="Arial" w:cs="Arial"/>
          <w:sz w:val="24"/>
          <w:szCs w:val="24"/>
          <w:lang w:eastAsia="en-IE"/>
        </w:rPr>
        <w:t>, a strong predictor of poorer quality of life. The rising cost of living in recent years has made households of persons with disabilities even more vulnerable.</w:t>
      </w:r>
    </w:p>
    <w:p w14:paraId="77198868"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Building on the </w:t>
      </w:r>
      <w:hyperlink r:id="rId61" w:history="1">
        <w:r w:rsidRPr="002D57F2">
          <w:rPr>
            <w:rStyle w:val="Hyperlink"/>
            <w:rFonts w:ascii="Arial" w:hAnsi="Arial" w:cs="Arial"/>
            <w:sz w:val="24"/>
            <w:szCs w:val="24"/>
            <w:lang w:eastAsia="en-IE"/>
          </w:rPr>
          <w:t>study on the social protection for people with disabilities in Europe</w:t>
        </w:r>
      </w:hyperlink>
      <w:r w:rsidRPr="002D57F2">
        <w:rPr>
          <w:rFonts w:ascii="Arial" w:hAnsi="Arial" w:cs="Arial"/>
        </w:rPr>
        <w:t>,</w:t>
      </w:r>
      <w:r w:rsidRPr="002D57F2">
        <w:rPr>
          <w:rFonts w:ascii="Arial" w:hAnsi="Arial" w:cs="Arial"/>
          <w:sz w:val="24"/>
          <w:szCs w:val="24"/>
        </w:rPr>
        <w:t xml:space="preserve"> the Commission will</w:t>
      </w:r>
      <w:r w:rsidRPr="002D57F2">
        <w:rPr>
          <w:rFonts w:ascii="Arial" w:hAnsi="Arial" w:cs="Arial"/>
          <w:b/>
          <w:bCs/>
          <w:sz w:val="24"/>
          <w:szCs w:val="24"/>
        </w:rPr>
        <w:t xml:space="preserve"> </w:t>
      </w:r>
      <w:r w:rsidRPr="002D57F2">
        <w:rPr>
          <w:rFonts w:ascii="Arial" w:hAnsi="Arial" w:cs="Arial"/>
          <w:sz w:val="24"/>
          <w:szCs w:val="24"/>
        </w:rPr>
        <w:t xml:space="preserve">carry out analytical work and collect data to </w:t>
      </w:r>
      <w:r w:rsidRPr="002D57F2">
        <w:rPr>
          <w:rFonts w:ascii="Arial" w:hAnsi="Arial" w:cs="Arial"/>
          <w:b/>
          <w:bCs/>
          <w:sz w:val="24"/>
          <w:szCs w:val="24"/>
        </w:rPr>
        <w:t>quantify the extra cost of living with a disability</w:t>
      </w:r>
      <w:r w:rsidRPr="002D57F2">
        <w:rPr>
          <w:rFonts w:ascii="Arial" w:hAnsi="Arial" w:cs="Arial"/>
          <w:sz w:val="24"/>
          <w:szCs w:val="24"/>
        </w:rPr>
        <w:t xml:space="preserve"> and encourage discussions among Member States,</w:t>
      </w:r>
      <w:r w:rsidRPr="002D57F2">
        <w:rPr>
          <w:rFonts w:ascii="Arial" w:hAnsi="Arial" w:cs="Arial"/>
          <w:sz w:val="24"/>
          <w:szCs w:val="24"/>
          <w:lang w:eastAsia="en-IE"/>
        </w:rPr>
        <w:t xml:space="preserve"> including in the Disability Platform, on how disability is identified and addressed in different social protection systems. </w:t>
      </w:r>
    </w:p>
    <w:p w14:paraId="2992F9A4" w14:textId="77777777" w:rsidR="00FB01BD" w:rsidRPr="002D57F2" w:rsidRDefault="00FB01BD" w:rsidP="00FB01BD">
      <w:pPr>
        <w:pStyle w:val="Heading3"/>
        <w:rPr>
          <w:rFonts w:ascii="Arial" w:hAnsi="Arial" w:cs="Arial"/>
        </w:rPr>
      </w:pPr>
      <w:bookmarkStart w:id="14" w:name="_Toc228880178"/>
      <w:r w:rsidRPr="002D57F2">
        <w:rPr>
          <w:rFonts w:ascii="Arial" w:hAnsi="Arial" w:cs="Arial"/>
        </w:rPr>
        <w:t>Affordable and accessible housing</w:t>
      </w:r>
      <w:bookmarkEnd w:id="14"/>
      <w:r w:rsidRPr="002D57F2">
        <w:rPr>
          <w:rFonts w:ascii="Arial" w:hAnsi="Arial" w:cs="Arial"/>
        </w:rPr>
        <w:t xml:space="preserve"> </w:t>
      </w:r>
    </w:p>
    <w:p w14:paraId="067FC5CC"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Persons with disabilities are at a </w:t>
      </w:r>
      <w:r w:rsidRPr="002D57F2">
        <w:rPr>
          <w:rFonts w:ascii="Arial" w:hAnsi="Arial" w:cs="Arial"/>
          <w:b/>
          <w:bCs/>
          <w:sz w:val="24"/>
          <w:szCs w:val="24"/>
        </w:rPr>
        <w:t>higher risk of housing problems and energy poverty</w:t>
      </w:r>
      <w:r w:rsidRPr="002D57F2">
        <w:rPr>
          <w:rFonts w:ascii="Arial" w:hAnsi="Arial" w:cs="Arial"/>
          <w:sz w:val="24"/>
          <w:szCs w:val="24"/>
        </w:rPr>
        <w:t xml:space="preserve"> than the rest of the population, due to insufficient accessibility and lower household income. They also have greater energy needs, due </w:t>
      </w:r>
      <w:proofErr w:type="gramStart"/>
      <w:r w:rsidRPr="002D57F2">
        <w:rPr>
          <w:rFonts w:ascii="Arial" w:hAnsi="Arial" w:cs="Arial"/>
          <w:sz w:val="24"/>
          <w:szCs w:val="24"/>
        </w:rPr>
        <w:t>in particular to</w:t>
      </w:r>
      <w:proofErr w:type="gramEnd"/>
      <w:r w:rsidRPr="002D57F2">
        <w:rPr>
          <w:rFonts w:ascii="Arial" w:hAnsi="Arial" w:cs="Arial"/>
          <w:sz w:val="24"/>
          <w:szCs w:val="24"/>
        </w:rPr>
        <w:t xml:space="preserve"> </w:t>
      </w:r>
      <w:r w:rsidRPr="002D57F2">
        <w:rPr>
          <w:rFonts w:ascii="Arial" w:hAnsi="Arial" w:cs="Arial"/>
          <w:b/>
          <w:bCs/>
          <w:sz w:val="24"/>
          <w:szCs w:val="24"/>
        </w:rPr>
        <w:t xml:space="preserve">critical dependence on electricity </w:t>
      </w:r>
      <w:r w:rsidRPr="002D57F2">
        <w:rPr>
          <w:rFonts w:ascii="Arial" w:hAnsi="Arial" w:cs="Arial"/>
          <w:sz w:val="24"/>
          <w:szCs w:val="24"/>
        </w:rPr>
        <w:t>for medical equipment, mobility and assistive devices and technologies </w:t>
      </w:r>
      <w:r w:rsidRPr="002D57F2">
        <w:rPr>
          <w:rFonts w:ascii="Arial" w:hAnsi="Arial" w:cs="Arial"/>
          <w:sz w:val="24"/>
          <w:szCs w:val="24"/>
          <w:vertAlign w:val="superscript"/>
          <w:lang w:eastAsia="en-IE"/>
        </w:rPr>
        <w:t>(</w:t>
      </w:r>
      <w:r w:rsidRPr="002D57F2">
        <w:rPr>
          <w:rStyle w:val="FootnoteReference"/>
          <w:rFonts w:ascii="Arial" w:hAnsi="Arial" w:cs="Arial"/>
        </w:rPr>
        <w:footnoteReference w:id="14"/>
      </w:r>
      <w:r w:rsidRPr="002D57F2">
        <w:rPr>
          <w:rFonts w:ascii="Arial" w:hAnsi="Arial" w:cs="Arial"/>
          <w:sz w:val="24"/>
          <w:szCs w:val="24"/>
          <w:vertAlign w:val="superscript"/>
          <w:lang w:eastAsia="en-IE"/>
        </w:rPr>
        <w:t>)</w:t>
      </w:r>
      <w:r w:rsidRPr="002D57F2">
        <w:rPr>
          <w:rFonts w:ascii="Arial" w:hAnsi="Arial" w:cs="Arial"/>
          <w:sz w:val="24"/>
          <w:szCs w:val="24"/>
        </w:rPr>
        <w:t>. Housing and energy policies should therefore integrate the needs of persons with disabilities to allow them a decent quality of life, in line with the objectives of ensuring a fair and clean energy transition and of fighting housing exclusion </w:t>
      </w:r>
      <w:r w:rsidRPr="002D57F2">
        <w:rPr>
          <w:rFonts w:ascii="Arial" w:hAnsi="Arial" w:cs="Arial"/>
          <w:sz w:val="24"/>
          <w:szCs w:val="24"/>
          <w:vertAlign w:val="superscript"/>
          <w:lang w:eastAsia="en-IE"/>
        </w:rPr>
        <w:t>(</w:t>
      </w:r>
      <w:r w:rsidRPr="002D57F2">
        <w:rPr>
          <w:rStyle w:val="FootnoteReference"/>
          <w:rFonts w:ascii="Arial" w:hAnsi="Arial" w:cs="Arial"/>
        </w:rPr>
        <w:footnoteReference w:id="15"/>
      </w:r>
      <w:r w:rsidRPr="002D57F2">
        <w:rPr>
          <w:rFonts w:ascii="Arial" w:hAnsi="Arial" w:cs="Arial"/>
          <w:sz w:val="24"/>
          <w:szCs w:val="24"/>
          <w:vertAlign w:val="superscript"/>
          <w:lang w:eastAsia="en-IE"/>
        </w:rPr>
        <w:t>)</w:t>
      </w:r>
      <w:r w:rsidRPr="002D57F2">
        <w:rPr>
          <w:rFonts w:ascii="Arial" w:hAnsi="Arial" w:cs="Arial"/>
          <w:sz w:val="24"/>
          <w:szCs w:val="24"/>
        </w:rPr>
        <w:t>.</w:t>
      </w:r>
    </w:p>
    <w:p w14:paraId="6ED3E5F1"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The Commission will consider accessibility aspects in its assessment of national building renovation plans under the </w:t>
      </w:r>
      <w:hyperlink r:id="rId62" w:history="1">
        <w:r w:rsidRPr="002D57F2">
          <w:rPr>
            <w:rStyle w:val="Hyperlink"/>
            <w:rFonts w:ascii="Arial" w:hAnsi="Arial" w:cs="Arial"/>
            <w:sz w:val="24"/>
            <w:szCs w:val="24"/>
          </w:rPr>
          <w:t>Directive on energy performance of buildings</w:t>
        </w:r>
      </w:hyperlink>
      <w:r w:rsidRPr="002D57F2">
        <w:rPr>
          <w:rFonts w:ascii="Arial" w:hAnsi="Arial" w:cs="Arial"/>
          <w:sz w:val="24"/>
          <w:szCs w:val="24"/>
        </w:rPr>
        <w:t xml:space="preserve"> and will </w:t>
      </w:r>
      <w:r w:rsidRPr="002D57F2">
        <w:rPr>
          <w:rFonts w:ascii="Arial" w:hAnsi="Arial" w:cs="Arial"/>
          <w:b/>
          <w:bCs/>
          <w:sz w:val="24"/>
          <w:szCs w:val="24"/>
        </w:rPr>
        <w:t>identify and disseminate good practices</w:t>
      </w:r>
      <w:r w:rsidRPr="002D57F2">
        <w:rPr>
          <w:rFonts w:ascii="Arial" w:hAnsi="Arial" w:cs="Arial"/>
          <w:sz w:val="24"/>
          <w:szCs w:val="24"/>
        </w:rPr>
        <w:t xml:space="preserve">. </w:t>
      </w:r>
    </w:p>
    <w:p w14:paraId="52294FA7"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In addition, it will issue a specific</w:t>
      </w:r>
      <w:r w:rsidRPr="002D57F2">
        <w:rPr>
          <w:rFonts w:ascii="Arial" w:hAnsi="Arial" w:cs="Arial"/>
          <w:b/>
          <w:bCs/>
          <w:sz w:val="24"/>
          <w:szCs w:val="24"/>
        </w:rPr>
        <w:t xml:space="preserve"> report </w:t>
      </w:r>
      <w:r w:rsidRPr="002D57F2">
        <w:rPr>
          <w:rFonts w:ascii="Arial" w:hAnsi="Arial" w:cs="Arial"/>
          <w:sz w:val="24"/>
          <w:szCs w:val="24"/>
        </w:rPr>
        <w:t>that will cast light</w:t>
      </w:r>
      <w:r w:rsidRPr="002D57F2">
        <w:rPr>
          <w:rFonts w:ascii="Arial" w:hAnsi="Arial" w:cs="Arial"/>
          <w:b/>
          <w:bCs/>
          <w:sz w:val="24"/>
          <w:szCs w:val="24"/>
        </w:rPr>
        <w:t xml:space="preserve"> </w:t>
      </w:r>
      <w:r w:rsidRPr="002D57F2">
        <w:rPr>
          <w:rFonts w:ascii="Arial" w:hAnsi="Arial" w:cs="Arial"/>
          <w:sz w:val="24"/>
          <w:szCs w:val="24"/>
        </w:rPr>
        <w:t xml:space="preserve">on the </w:t>
      </w:r>
      <w:r w:rsidRPr="002D57F2">
        <w:rPr>
          <w:rFonts w:ascii="Arial" w:hAnsi="Arial" w:cs="Arial"/>
          <w:b/>
          <w:bCs/>
          <w:sz w:val="24"/>
          <w:szCs w:val="24"/>
        </w:rPr>
        <w:t>housing conditions of persons with disabilities across the EU</w:t>
      </w:r>
      <w:r w:rsidRPr="002D57F2">
        <w:rPr>
          <w:rFonts w:ascii="Arial" w:hAnsi="Arial" w:cs="Arial"/>
          <w:sz w:val="24"/>
          <w:szCs w:val="24"/>
        </w:rPr>
        <w:t>. Lastly, the Commission will support a comprehensive framework for</w:t>
      </w:r>
      <w:r w:rsidRPr="002D57F2">
        <w:rPr>
          <w:rFonts w:ascii="Arial" w:hAnsi="Arial" w:cs="Arial"/>
          <w:b/>
          <w:bCs/>
          <w:sz w:val="24"/>
          <w:szCs w:val="24"/>
        </w:rPr>
        <w:t xml:space="preserve"> reforms, investments and interventions </w:t>
      </w:r>
      <w:r w:rsidRPr="002D57F2">
        <w:rPr>
          <w:rFonts w:ascii="Arial" w:hAnsi="Arial" w:cs="Arial"/>
          <w:sz w:val="24"/>
          <w:szCs w:val="24"/>
        </w:rPr>
        <w:t xml:space="preserve">in the areas of sustainable, accessible, social and affordable housing and built environment, in conjunction with the </w:t>
      </w:r>
      <w:hyperlink r:id="rId63" w:history="1">
        <w:r w:rsidRPr="002D57F2">
          <w:rPr>
            <w:rStyle w:val="Hyperlink"/>
            <w:rFonts w:ascii="Arial" w:hAnsi="Arial" w:cs="Arial"/>
            <w:sz w:val="24"/>
            <w:szCs w:val="24"/>
          </w:rPr>
          <w:t>New European Bauhaus</w:t>
        </w:r>
      </w:hyperlink>
      <w:r w:rsidRPr="002D57F2">
        <w:rPr>
          <w:rFonts w:ascii="Arial" w:hAnsi="Arial" w:cs="Arial"/>
          <w:sz w:val="24"/>
          <w:szCs w:val="24"/>
        </w:rPr>
        <w:t xml:space="preserve">, the </w:t>
      </w:r>
      <w:hyperlink r:id="rId64" w:history="1">
        <w:r w:rsidRPr="002D57F2">
          <w:rPr>
            <w:rStyle w:val="Hyperlink"/>
            <w:rFonts w:ascii="Arial" w:hAnsi="Arial" w:cs="Arial"/>
            <w:sz w:val="24"/>
            <w:szCs w:val="24"/>
          </w:rPr>
          <w:t>European Affordable Housing Plan</w:t>
        </w:r>
      </w:hyperlink>
      <w:r w:rsidRPr="002D57F2">
        <w:rPr>
          <w:rFonts w:ascii="Arial" w:hAnsi="Arial" w:cs="Arial"/>
        </w:rPr>
        <w:t>,</w:t>
      </w:r>
      <w:r w:rsidRPr="002D57F2">
        <w:rPr>
          <w:rFonts w:ascii="Arial" w:hAnsi="Arial" w:cs="Arial"/>
          <w:sz w:val="24"/>
          <w:szCs w:val="24"/>
        </w:rPr>
        <w:t xml:space="preserve"> the </w:t>
      </w:r>
      <w:hyperlink r:id="rId65" w:history="1">
        <w:r w:rsidRPr="002D57F2">
          <w:rPr>
            <w:rStyle w:val="Hyperlink"/>
            <w:rFonts w:ascii="Arial" w:hAnsi="Arial" w:cs="Arial"/>
            <w:sz w:val="24"/>
            <w:szCs w:val="24"/>
          </w:rPr>
          <w:t>Citizens Energy Package</w:t>
        </w:r>
      </w:hyperlink>
      <w:r w:rsidRPr="002D57F2">
        <w:rPr>
          <w:rFonts w:ascii="Arial" w:hAnsi="Arial" w:cs="Arial"/>
          <w:sz w:val="24"/>
          <w:szCs w:val="24"/>
        </w:rPr>
        <w:t xml:space="preserve"> and the </w:t>
      </w:r>
      <w:hyperlink r:id="rId66" w:history="1">
        <w:r w:rsidRPr="00E10AD5">
          <w:rPr>
            <w:rStyle w:val="Hyperlink"/>
            <w:rFonts w:ascii="Arial" w:hAnsi="Arial" w:cs="Arial"/>
            <w:sz w:val="24"/>
            <w:szCs w:val="24"/>
          </w:rPr>
          <w:t>anti-poverty strategy</w:t>
        </w:r>
      </w:hyperlink>
      <w:r w:rsidRPr="00E10AD5">
        <w:rPr>
          <w:rFonts w:ascii="Arial" w:hAnsi="Arial" w:cs="Arial"/>
          <w:sz w:val="24"/>
          <w:szCs w:val="24"/>
        </w:rPr>
        <w:t>,</w:t>
      </w:r>
      <w:r w:rsidRPr="002D57F2">
        <w:rPr>
          <w:rFonts w:ascii="Arial" w:hAnsi="Arial" w:cs="Arial"/>
          <w:sz w:val="24"/>
          <w:szCs w:val="24"/>
        </w:rPr>
        <w:t xml:space="preserve"> considering the direct and indirect impact on persons with disabilities and reflecting accessibility obligations.</w:t>
      </w:r>
    </w:p>
    <w:p w14:paraId="15E19250"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sz w:val="24"/>
          <w:szCs w:val="24"/>
          <w:lang w:eastAsia="en-IE"/>
        </w:rPr>
      </w:pPr>
      <w:r w:rsidRPr="002D57F2">
        <w:rPr>
          <w:rFonts w:ascii="Arial" w:hAnsi="Arial" w:cs="Arial"/>
          <w:b/>
          <w:bCs/>
          <w:sz w:val="24"/>
          <w:szCs w:val="24"/>
          <w:lang w:eastAsia="en-IE"/>
        </w:rPr>
        <w:t>The Commission calls on the EU Member States to:</w:t>
      </w:r>
    </w:p>
    <w:p w14:paraId="09B6B5F9" w14:textId="68520CA9"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sz w:val="24"/>
          <w:szCs w:val="24"/>
        </w:rPr>
      </w:pPr>
      <w:r w:rsidRPr="002D57F2">
        <w:rPr>
          <w:rFonts w:ascii="Arial" w:hAnsi="Arial" w:cs="Arial"/>
          <w:sz w:val="24"/>
          <w:szCs w:val="24"/>
        </w:rPr>
        <w:t xml:space="preserve">establish national targets to promote independent living, focussing in particular on developing accessible and affordable housing and community-based services, including personal assistance, centres for independent living, peer support and other types of individualised </w:t>
      </w:r>
      <w:r w:rsidRPr="009852CB">
        <w:rPr>
          <w:rFonts w:ascii="Arial" w:hAnsi="Arial" w:cs="Arial"/>
          <w:sz w:val="24"/>
          <w:szCs w:val="24"/>
        </w:rPr>
        <w:t>support</w:t>
      </w:r>
      <w:r w:rsidR="007453BC" w:rsidRPr="009852CB">
        <w:rPr>
          <w:rFonts w:ascii="Arial" w:hAnsi="Arial" w:cs="Arial"/>
          <w:sz w:val="24"/>
          <w:szCs w:val="24"/>
        </w:rPr>
        <w:t>, such as</w:t>
      </w:r>
      <w:r w:rsidR="007453BC" w:rsidRPr="002D57F2">
        <w:rPr>
          <w:rFonts w:ascii="Arial" w:hAnsi="Arial" w:cs="Arial"/>
          <w:sz w:val="24"/>
          <w:szCs w:val="24"/>
        </w:rPr>
        <w:t xml:space="preserve"> </w:t>
      </w:r>
      <w:r w:rsidRPr="002D57F2">
        <w:rPr>
          <w:rFonts w:ascii="Arial" w:hAnsi="Arial" w:cs="Arial"/>
          <w:sz w:val="24"/>
          <w:szCs w:val="24"/>
        </w:rPr>
        <w:t xml:space="preserve">supported decision-making, respecting individuals’ </w:t>
      </w:r>
      <w:proofErr w:type="gramStart"/>
      <w:r w:rsidRPr="002D57F2">
        <w:rPr>
          <w:rFonts w:ascii="Arial" w:hAnsi="Arial" w:cs="Arial"/>
          <w:sz w:val="24"/>
          <w:szCs w:val="24"/>
        </w:rPr>
        <w:t>will;</w:t>
      </w:r>
      <w:proofErr w:type="gramEnd"/>
    </w:p>
    <w:p w14:paraId="416FB9B2"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sz w:val="24"/>
          <w:szCs w:val="24"/>
        </w:rPr>
      </w:pPr>
      <w:r w:rsidRPr="002D57F2">
        <w:rPr>
          <w:rFonts w:ascii="Arial" w:hAnsi="Arial" w:cs="Arial"/>
          <w:sz w:val="24"/>
          <w:szCs w:val="24"/>
        </w:rPr>
        <w:t xml:space="preserve">adopt measures to achieve higher employment rates for persons with disabilities in the open labour market, including setting national employment targets and ensuring reasonable accommodation and </w:t>
      </w:r>
      <w:proofErr w:type="gramStart"/>
      <w:r w:rsidRPr="002D57F2">
        <w:rPr>
          <w:rFonts w:ascii="Arial" w:hAnsi="Arial" w:cs="Arial"/>
          <w:sz w:val="24"/>
          <w:szCs w:val="24"/>
        </w:rPr>
        <w:t>rehabilitation;</w:t>
      </w:r>
      <w:proofErr w:type="gramEnd"/>
    </w:p>
    <w:p w14:paraId="7633A9E4"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360" w:line="288" w:lineRule="auto"/>
        <w:ind w:left="357" w:hanging="357"/>
        <w:rPr>
          <w:rFonts w:ascii="Arial" w:hAnsi="Arial" w:cs="Arial"/>
          <w:sz w:val="24"/>
          <w:szCs w:val="24"/>
        </w:rPr>
      </w:pPr>
      <w:r w:rsidRPr="002D57F2">
        <w:rPr>
          <w:rFonts w:ascii="Arial" w:hAnsi="Arial" w:cs="Arial"/>
          <w:sz w:val="24"/>
          <w:szCs w:val="24"/>
        </w:rPr>
        <w:t>modernise social protection through reforms to tackle coverage and adequacy gaps for persons with disabilities, including by compensating the extra costs related to living with a disability, developing person-centred funding and tackling disincentives to work.</w:t>
      </w:r>
    </w:p>
    <w:p w14:paraId="370993ED" w14:textId="77777777" w:rsidR="00FB01BD" w:rsidRPr="002D57F2" w:rsidRDefault="00FB01BD" w:rsidP="00FB01BD">
      <w:pPr>
        <w:pStyle w:val="Heading2"/>
        <w:rPr>
          <w:rFonts w:ascii="Arial" w:hAnsi="Arial" w:cs="Arial"/>
        </w:rPr>
      </w:pPr>
      <w:bookmarkStart w:id="15" w:name="_Toc228880179"/>
      <w:r w:rsidRPr="002D57F2">
        <w:rPr>
          <w:rFonts w:ascii="Arial" w:hAnsi="Arial" w:cs="Arial"/>
        </w:rPr>
        <w:t>Equal access and non-discrimination</w:t>
      </w:r>
      <w:bookmarkEnd w:id="15"/>
      <w:r w:rsidRPr="002D57F2">
        <w:rPr>
          <w:rFonts w:ascii="Arial" w:hAnsi="Arial" w:cs="Arial"/>
        </w:rPr>
        <w:t xml:space="preserve"> </w:t>
      </w:r>
    </w:p>
    <w:p w14:paraId="057CCDEF" w14:textId="77777777" w:rsidR="00FB01BD" w:rsidRPr="002D57F2" w:rsidRDefault="00FB01BD" w:rsidP="00FB01BD">
      <w:pPr>
        <w:pStyle w:val="Heading3"/>
        <w:rPr>
          <w:rFonts w:ascii="Arial" w:hAnsi="Arial" w:cs="Arial"/>
        </w:rPr>
      </w:pPr>
      <w:bookmarkStart w:id="16" w:name="_Toc228880180"/>
      <w:r w:rsidRPr="002D57F2">
        <w:rPr>
          <w:rFonts w:ascii="Arial" w:hAnsi="Arial" w:cs="Arial"/>
        </w:rPr>
        <w:t>Inclusive education at all levels</w:t>
      </w:r>
      <w:bookmarkEnd w:id="16"/>
    </w:p>
    <w:p w14:paraId="1FF4ED58" w14:textId="73468A05"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Learners with disabilities continue to face </w:t>
      </w:r>
      <w:r w:rsidRPr="002D57F2">
        <w:rPr>
          <w:rFonts w:ascii="Arial" w:hAnsi="Arial" w:cs="Arial"/>
          <w:b/>
          <w:bCs/>
          <w:sz w:val="24"/>
          <w:szCs w:val="24"/>
        </w:rPr>
        <w:t>obstacles to accessing mainstream education</w:t>
      </w:r>
      <w:r w:rsidRPr="002D57F2">
        <w:rPr>
          <w:rFonts w:ascii="Arial" w:hAnsi="Arial" w:cs="Arial"/>
          <w:sz w:val="24"/>
          <w:szCs w:val="24"/>
        </w:rPr>
        <w:t>. In 2024, 44% of people aged 18 to 24 in the EU who had a severe disability left education or training early</w:t>
      </w:r>
      <w:r w:rsidR="007453BC" w:rsidRPr="002D57F2">
        <w:rPr>
          <w:rFonts w:ascii="Arial" w:hAnsi="Arial" w:cs="Arial"/>
          <w:sz w:val="24"/>
          <w:szCs w:val="24"/>
        </w:rPr>
        <w:t> </w:t>
      </w:r>
      <w:r w:rsidR="007453BC" w:rsidRPr="002D57F2">
        <w:rPr>
          <w:rFonts w:ascii="Arial" w:hAnsi="Arial" w:cs="Arial"/>
          <w:sz w:val="24"/>
          <w:szCs w:val="24"/>
          <w:vertAlign w:val="superscript"/>
        </w:rPr>
        <w:t>(</w:t>
      </w:r>
      <w:r w:rsidR="007453BC" w:rsidRPr="002D57F2">
        <w:rPr>
          <w:rStyle w:val="FootnoteReference"/>
          <w:rFonts w:ascii="Arial" w:hAnsi="Arial" w:cs="Arial"/>
          <w:sz w:val="24"/>
          <w:szCs w:val="24"/>
        </w:rPr>
        <w:footnoteReference w:id="16"/>
      </w:r>
      <w:r w:rsidR="007453BC" w:rsidRPr="002D57F2">
        <w:rPr>
          <w:rFonts w:ascii="Arial" w:hAnsi="Arial" w:cs="Arial"/>
          <w:sz w:val="24"/>
          <w:szCs w:val="24"/>
          <w:vertAlign w:val="superscript"/>
        </w:rPr>
        <w:t>)</w:t>
      </w:r>
      <w:r w:rsidR="007453BC" w:rsidRPr="002D57F2">
        <w:rPr>
          <w:rFonts w:ascii="Arial" w:hAnsi="Arial" w:cs="Arial"/>
          <w:sz w:val="24"/>
          <w:szCs w:val="24"/>
        </w:rPr>
        <w:t xml:space="preserve">. </w:t>
      </w:r>
      <w:r w:rsidRPr="002D57F2">
        <w:rPr>
          <w:rFonts w:ascii="Arial" w:hAnsi="Arial" w:cs="Arial"/>
          <w:b/>
          <w:bCs/>
          <w:sz w:val="24"/>
          <w:szCs w:val="24"/>
        </w:rPr>
        <w:t xml:space="preserve">Accessibility issues and a lack of adequate support and necessary adaptations </w:t>
      </w:r>
      <w:r w:rsidRPr="002D57F2">
        <w:rPr>
          <w:rFonts w:ascii="Arial" w:hAnsi="Arial" w:cs="Arial"/>
          <w:sz w:val="24"/>
          <w:szCs w:val="24"/>
        </w:rPr>
        <w:t xml:space="preserve">prevent children with disabilities from fully participating in mainstream schooling. More focused disability policies based on the </w:t>
      </w:r>
      <w:hyperlink r:id="rId67" w:anchor="Council-Recommendation" w:history="1">
        <w:r w:rsidRPr="002D57F2">
          <w:rPr>
            <w:rStyle w:val="Hyperlink"/>
            <w:rFonts w:ascii="Arial" w:hAnsi="Arial" w:cs="Arial"/>
            <w:sz w:val="24"/>
            <w:szCs w:val="24"/>
          </w:rPr>
          <w:t>pathways to school success</w:t>
        </w:r>
      </w:hyperlink>
      <w:r w:rsidRPr="002D57F2">
        <w:rPr>
          <w:rFonts w:ascii="Arial" w:hAnsi="Arial" w:cs="Arial"/>
          <w:sz w:val="24"/>
          <w:szCs w:val="24"/>
        </w:rPr>
        <w:t xml:space="preserve"> initiative and on the </w:t>
      </w:r>
      <w:hyperlink r:id="rId68" w:history="1">
        <w:r w:rsidRPr="002D57F2">
          <w:rPr>
            <w:rStyle w:val="Hyperlink"/>
            <w:rFonts w:ascii="Arial" w:hAnsi="Arial" w:cs="Arial"/>
            <w:sz w:val="24"/>
            <w:szCs w:val="24"/>
          </w:rPr>
          <w:t>roadmap for ensuring school success for all</w:t>
        </w:r>
      </w:hyperlink>
      <w:r w:rsidRPr="002D57F2">
        <w:rPr>
          <w:rFonts w:ascii="Arial" w:hAnsi="Arial" w:cs="Arial"/>
          <w:sz w:val="24"/>
          <w:szCs w:val="24"/>
        </w:rPr>
        <w:t xml:space="preserve"> could help identify barriers to achieving fully inclusive education and training systems and how to best remedy them. In line with the </w:t>
      </w:r>
      <w:hyperlink r:id="rId69" w:history="1">
        <w:r w:rsidRPr="002D57F2">
          <w:rPr>
            <w:rStyle w:val="Hyperlink"/>
            <w:rFonts w:ascii="Arial" w:hAnsi="Arial" w:cs="Arial"/>
            <w:sz w:val="24"/>
            <w:szCs w:val="24"/>
          </w:rPr>
          <w:t>Council Recommendation on human capital in the EU</w:t>
        </w:r>
      </w:hyperlink>
      <w:r w:rsidRPr="002D57F2">
        <w:rPr>
          <w:rFonts w:ascii="Arial" w:hAnsi="Arial" w:cs="Arial"/>
          <w:sz w:val="24"/>
          <w:szCs w:val="24"/>
        </w:rPr>
        <w:t xml:space="preserve">, special attention to vulnerable groups including persons with disabilities can also contribute to the horizontal objective of </w:t>
      </w:r>
      <w:r w:rsidRPr="002D57F2">
        <w:rPr>
          <w:rFonts w:ascii="Arial" w:hAnsi="Arial" w:cs="Arial"/>
          <w:b/>
          <w:bCs/>
        </w:rPr>
        <w:t>strengthen</w:t>
      </w:r>
      <w:r w:rsidRPr="002D57F2">
        <w:rPr>
          <w:rFonts w:ascii="Arial" w:hAnsi="Arial" w:cs="Arial"/>
          <w:b/>
          <w:bCs/>
          <w:sz w:val="24"/>
          <w:szCs w:val="24"/>
        </w:rPr>
        <w:t>ing</w:t>
      </w:r>
      <w:r w:rsidRPr="002D57F2">
        <w:rPr>
          <w:rFonts w:ascii="Arial" w:hAnsi="Arial" w:cs="Arial"/>
          <w:b/>
          <w:bCs/>
        </w:rPr>
        <w:t xml:space="preserve"> basic skills at all stages of education across the EU</w:t>
      </w:r>
      <w:r w:rsidRPr="002D57F2">
        <w:rPr>
          <w:rFonts w:ascii="Arial" w:hAnsi="Arial" w:cs="Arial"/>
          <w:sz w:val="24"/>
          <w:szCs w:val="24"/>
        </w:rPr>
        <w:t>.</w:t>
      </w:r>
    </w:p>
    <w:p w14:paraId="12420032"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sz w:val="24"/>
          <w:szCs w:val="24"/>
        </w:rPr>
      </w:pPr>
      <w:r w:rsidRPr="002D57F2">
        <w:rPr>
          <w:rFonts w:ascii="Arial" w:hAnsi="Arial" w:cs="Arial"/>
          <w:b/>
          <w:bCs/>
          <w:sz w:val="24"/>
          <w:szCs w:val="24"/>
        </w:rPr>
        <w:t>FLAGSHIP INITIATIVE – Disability-inclusive lifelong learning</w:t>
      </w:r>
    </w:p>
    <w:p w14:paraId="090E2CA0"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color w:val="000000" w:themeColor="text1"/>
          <w:sz w:val="24"/>
          <w:szCs w:val="24"/>
        </w:rPr>
      </w:pPr>
      <w:r w:rsidRPr="002D57F2">
        <w:rPr>
          <w:rFonts w:ascii="Arial" w:hAnsi="Arial" w:cs="Arial"/>
          <w:sz w:val="24"/>
          <w:szCs w:val="24"/>
        </w:rPr>
        <w:t xml:space="preserve">The Commission will further support Member States in </w:t>
      </w:r>
      <w:r w:rsidRPr="002D57F2">
        <w:rPr>
          <w:rFonts w:ascii="Arial" w:hAnsi="Arial" w:cs="Arial"/>
          <w:sz w:val="24"/>
          <w:szCs w:val="24"/>
          <w:lang w:eastAsia="en-IE"/>
        </w:rPr>
        <w:t xml:space="preserve">fostering accessible and inclusive education at all levels, through a life-cycle approach. </w:t>
      </w:r>
      <w:r w:rsidRPr="002D57F2">
        <w:rPr>
          <w:rFonts w:ascii="Arial" w:hAnsi="Arial" w:cs="Arial"/>
          <w:b/>
          <w:bCs/>
          <w:sz w:val="24"/>
          <w:szCs w:val="24"/>
          <w:lang w:eastAsia="en-IE"/>
        </w:rPr>
        <w:t xml:space="preserve">The initiative will include: </w:t>
      </w:r>
      <w:r w:rsidRPr="002D57F2">
        <w:rPr>
          <w:rFonts w:ascii="Arial" w:hAnsi="Arial" w:cs="Arial"/>
          <w:sz w:val="24"/>
          <w:szCs w:val="24"/>
          <w:lang w:eastAsia="en-IE"/>
        </w:rPr>
        <w:t xml:space="preserve">(i) guidance for </w:t>
      </w:r>
      <w:r w:rsidRPr="002D57F2">
        <w:rPr>
          <w:rFonts w:ascii="Arial" w:hAnsi="Arial" w:cs="Arial"/>
          <w:color w:val="000000" w:themeColor="text1"/>
          <w:sz w:val="24"/>
          <w:szCs w:val="24"/>
        </w:rPr>
        <w:t>curriculum and pedagogical development in early childhood education and care to support the acquisition of basic skills early on and to encourage detection of developmental delays and related interventions; (ii) guidance for policymakers</w:t>
      </w:r>
      <w:r>
        <w:rPr>
          <w:rFonts w:ascii="Arial" w:hAnsi="Arial" w:cs="Arial"/>
          <w:color w:val="000000" w:themeColor="text1"/>
          <w:sz w:val="24"/>
          <w:szCs w:val="24"/>
        </w:rPr>
        <w:t>,</w:t>
      </w:r>
      <w:r w:rsidRPr="002D57F2">
        <w:rPr>
          <w:rFonts w:ascii="Arial" w:hAnsi="Arial" w:cs="Arial"/>
          <w:color w:val="000000" w:themeColor="text1"/>
          <w:sz w:val="24"/>
          <w:szCs w:val="24"/>
        </w:rPr>
        <w:t xml:space="preserve"> as part of the 2026 Education Package</w:t>
      </w:r>
      <w:r>
        <w:rPr>
          <w:rFonts w:ascii="Arial" w:hAnsi="Arial" w:cs="Arial"/>
          <w:color w:val="000000" w:themeColor="text1"/>
          <w:sz w:val="24"/>
          <w:szCs w:val="24"/>
        </w:rPr>
        <w:t>,</w:t>
      </w:r>
      <w:r w:rsidRPr="002D57F2">
        <w:rPr>
          <w:rFonts w:ascii="Arial" w:hAnsi="Arial" w:cs="Arial"/>
          <w:color w:val="000000" w:themeColor="text1"/>
          <w:sz w:val="24"/>
          <w:szCs w:val="24"/>
        </w:rPr>
        <w:t xml:space="preserve"> addressing, amongst other, the needs of vulnerable groups at school, including pupils with disabilities; (iii) a policy initiative in 2027 to improve accessibility of higher education to a wider range of learners, including students with disabilities, and promote support services for students’ wellbeing; (iv) a report in 2028 on enhancing inclusive education, with a focus on students with disabilities and special educational needs and the provision of reasonable accommodation; and (v) prioritisation of mutual learning on disability-inclusive education in the context of</w:t>
      </w:r>
      <w:r w:rsidRPr="002D57F2">
        <w:rPr>
          <w:rFonts w:ascii="Arial" w:hAnsi="Arial" w:cs="Arial"/>
          <w:sz w:val="24"/>
          <w:szCs w:val="24"/>
        </w:rPr>
        <w:t xml:space="preserve"> the </w:t>
      </w:r>
      <w:hyperlink r:id="rId70" w:history="1">
        <w:r w:rsidRPr="002D57F2">
          <w:rPr>
            <w:rStyle w:val="Hyperlink"/>
            <w:rFonts w:ascii="Arial" w:hAnsi="Arial" w:cs="Arial"/>
            <w:sz w:val="24"/>
            <w:szCs w:val="24"/>
          </w:rPr>
          <w:t>European Education Area strategic framework</w:t>
        </w:r>
      </w:hyperlink>
      <w:r w:rsidRPr="002D57F2">
        <w:rPr>
          <w:rFonts w:ascii="Arial" w:hAnsi="Arial" w:cs="Arial"/>
        </w:rPr>
        <w:t xml:space="preserve"> </w:t>
      </w:r>
      <w:r w:rsidRPr="002D57F2">
        <w:rPr>
          <w:rFonts w:ascii="Arial" w:hAnsi="Arial" w:cs="Arial"/>
          <w:color w:val="000000" w:themeColor="text1"/>
          <w:sz w:val="24"/>
          <w:szCs w:val="24"/>
        </w:rPr>
        <w:t xml:space="preserve">in cooperation with the </w:t>
      </w:r>
      <w:hyperlink r:id="rId71" w:history="1">
        <w:r w:rsidRPr="002D57F2">
          <w:rPr>
            <w:rStyle w:val="Hyperlink"/>
            <w:rFonts w:ascii="Arial" w:hAnsi="Arial" w:cs="Arial"/>
            <w:sz w:val="24"/>
            <w:szCs w:val="24"/>
          </w:rPr>
          <w:t>European Agency for Special Needs and Inclusive Education</w:t>
        </w:r>
      </w:hyperlink>
      <w:r w:rsidRPr="002D57F2">
        <w:rPr>
          <w:rFonts w:ascii="Arial" w:hAnsi="Arial" w:cs="Arial"/>
          <w:sz w:val="24"/>
          <w:szCs w:val="24"/>
        </w:rPr>
        <w:t>.</w:t>
      </w:r>
    </w:p>
    <w:p w14:paraId="7FD29AE9" w14:textId="01F80569"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EU funds and in particular</w:t>
      </w:r>
      <w:r>
        <w:rPr>
          <w:rFonts w:ascii="Arial" w:hAnsi="Arial" w:cs="Arial"/>
          <w:sz w:val="24"/>
          <w:szCs w:val="24"/>
        </w:rPr>
        <w:t>, cohesion policy funds and</w:t>
      </w:r>
      <w:r w:rsidRPr="002D57F2">
        <w:rPr>
          <w:rFonts w:ascii="Arial" w:hAnsi="Arial" w:cs="Arial"/>
          <w:sz w:val="24"/>
          <w:szCs w:val="24"/>
        </w:rPr>
        <w:t xml:space="preserve"> the </w:t>
      </w:r>
      <w:r w:rsidRPr="002D57F2">
        <w:rPr>
          <w:rFonts w:ascii="Arial" w:hAnsi="Arial" w:cs="Arial"/>
          <w:b/>
          <w:bCs/>
          <w:sz w:val="24"/>
          <w:szCs w:val="24"/>
        </w:rPr>
        <w:t xml:space="preserve">Erasmus+ programme </w:t>
      </w:r>
      <w:r w:rsidRPr="002D57F2">
        <w:rPr>
          <w:rFonts w:ascii="Arial" w:hAnsi="Arial" w:cs="Arial"/>
          <w:sz w:val="24"/>
          <w:szCs w:val="24"/>
        </w:rPr>
        <w:t xml:space="preserve">will continue to support inclusive and accessible education (formal, non-formal and informal), including to increase the rate of participation in learning mobility among persons with disabilities. The </w:t>
      </w:r>
      <w:hyperlink r:id="rId72" w:history="1">
        <w:r w:rsidRPr="002D57F2">
          <w:rPr>
            <w:rStyle w:val="Hyperlink"/>
            <w:rFonts w:ascii="Arial" w:hAnsi="Arial" w:cs="Arial"/>
            <w:sz w:val="24"/>
            <w:szCs w:val="24"/>
          </w:rPr>
          <w:t>strengthened European Child Guarantee</w:t>
        </w:r>
      </w:hyperlink>
      <w:r w:rsidRPr="002D57F2">
        <w:rPr>
          <w:rFonts w:ascii="Arial" w:hAnsi="Arial" w:cs="Arial"/>
          <w:b/>
          <w:bCs/>
          <w:sz w:val="24"/>
          <w:szCs w:val="24"/>
        </w:rPr>
        <w:t xml:space="preserve"> </w:t>
      </w:r>
      <w:r w:rsidRPr="002D57F2">
        <w:rPr>
          <w:rFonts w:ascii="Arial" w:hAnsi="Arial" w:cs="Arial"/>
          <w:sz w:val="24"/>
          <w:szCs w:val="24"/>
        </w:rPr>
        <w:t>provide</w:t>
      </w:r>
      <w:r>
        <w:rPr>
          <w:rFonts w:ascii="Arial" w:hAnsi="Arial" w:cs="Arial"/>
          <w:sz w:val="24"/>
          <w:szCs w:val="24"/>
        </w:rPr>
        <w:t>s</w:t>
      </w:r>
      <w:r w:rsidRPr="002D57F2">
        <w:rPr>
          <w:rFonts w:ascii="Arial" w:hAnsi="Arial" w:cs="Arial"/>
          <w:sz w:val="24"/>
          <w:szCs w:val="24"/>
        </w:rPr>
        <w:t xml:space="preserve"> a framework for national reforms and investments to support children at risk, including children with disabilities, through high-quality inclusive education.</w:t>
      </w:r>
      <w:r w:rsidR="007453BC" w:rsidRPr="002D57F2">
        <w:rPr>
          <w:rFonts w:ascii="Arial" w:hAnsi="Arial" w:cs="Arial"/>
          <w:sz w:val="24"/>
          <w:szCs w:val="24"/>
        </w:rPr>
        <w:t xml:space="preserve"> </w:t>
      </w:r>
    </w:p>
    <w:p w14:paraId="4D8DE3F7" w14:textId="77777777" w:rsidR="00FB01BD" w:rsidRPr="002D57F2" w:rsidRDefault="00FB01BD" w:rsidP="00FB01BD">
      <w:pPr>
        <w:pStyle w:val="Style2"/>
        <w:spacing w:line="288" w:lineRule="auto"/>
        <w:rPr>
          <w:rFonts w:ascii="Arial" w:hAnsi="Arial" w:cs="Arial"/>
          <w:sz w:val="24"/>
          <w:szCs w:val="24"/>
          <w:lang w:eastAsia="en-IE"/>
        </w:rPr>
      </w:pPr>
      <w:r w:rsidRPr="002D57F2">
        <w:rPr>
          <w:rFonts w:ascii="Arial" w:hAnsi="Arial" w:cs="Arial"/>
          <w:sz w:val="24"/>
          <w:szCs w:val="24"/>
          <w:lang w:eastAsia="en-IE"/>
        </w:rPr>
        <w:t xml:space="preserve">As part of the </w:t>
      </w:r>
      <w:r w:rsidRPr="002D57F2">
        <w:rPr>
          <w:rFonts w:ascii="Arial" w:hAnsi="Arial" w:cs="Arial"/>
          <w:sz w:val="24"/>
          <w:szCs w:val="24"/>
        </w:rPr>
        <w:t xml:space="preserve">forthcoming </w:t>
      </w:r>
      <w:r w:rsidRPr="002D57F2">
        <w:rPr>
          <w:rFonts w:ascii="Arial" w:hAnsi="Arial" w:cs="Arial"/>
          <w:b/>
          <w:bCs/>
          <w:sz w:val="24"/>
          <w:szCs w:val="24"/>
        </w:rPr>
        <w:t>2030 Roadmap on the future of digital education and skills</w:t>
      </w:r>
      <w:r w:rsidRPr="002D57F2">
        <w:rPr>
          <w:rFonts w:ascii="Arial" w:hAnsi="Arial" w:cs="Arial"/>
          <w:sz w:val="24"/>
          <w:szCs w:val="24"/>
        </w:rPr>
        <w:t>, the Commission will strive to ensure that all pupils can benefit from the digital transformation in schools. To do so, the Commission will support Member States in developing shared digital infrastructure for education in line with EU values. This will include ethical and equality-sensitive use of AI and the deployment of safe European education technologies that can cater for the diverse accessibility needs of pupils.</w:t>
      </w:r>
    </w:p>
    <w:p w14:paraId="576F565E" w14:textId="77777777" w:rsidR="00FB01BD" w:rsidRPr="002D57F2" w:rsidRDefault="00FB01BD" w:rsidP="00FB01BD">
      <w:pPr>
        <w:pStyle w:val="Heading3"/>
        <w:rPr>
          <w:rFonts w:ascii="Arial" w:hAnsi="Arial" w:cs="Arial"/>
        </w:rPr>
      </w:pPr>
      <w:bookmarkStart w:id="17" w:name="_Toc228880181"/>
      <w:r w:rsidRPr="002D57F2">
        <w:rPr>
          <w:rFonts w:ascii="Arial" w:hAnsi="Arial" w:cs="Arial"/>
        </w:rPr>
        <w:t>Improving access to healthcare</w:t>
      </w:r>
      <w:bookmarkEnd w:id="17"/>
    </w:p>
    <w:p w14:paraId="6551339B"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Health policies should be designed and implemented with the needs of persons with disabilities in mind. In this respect, the </w:t>
      </w:r>
      <w:hyperlink r:id="rId73" w:history="1">
        <w:r w:rsidRPr="002D57F2">
          <w:rPr>
            <w:rStyle w:val="Hyperlink"/>
            <w:rFonts w:ascii="Arial" w:hAnsi="Arial" w:cs="Arial"/>
            <w:sz w:val="24"/>
            <w:szCs w:val="24"/>
          </w:rPr>
          <w:t>Guidelines on access to healthcare for persons with disabilities</w:t>
        </w:r>
      </w:hyperlink>
      <w:r w:rsidRPr="002D57F2">
        <w:rPr>
          <w:rFonts w:ascii="Arial" w:hAnsi="Arial" w:cs="Arial"/>
          <w:sz w:val="24"/>
          <w:szCs w:val="24"/>
          <w:lang w:eastAsia="en-IE"/>
        </w:rPr>
        <w:t xml:space="preserve"> will foster a shared understanding of </w:t>
      </w:r>
      <w:r w:rsidRPr="002D57F2">
        <w:rPr>
          <w:rFonts w:ascii="Arial" w:hAnsi="Arial" w:cs="Arial"/>
          <w:b/>
          <w:bCs/>
          <w:sz w:val="24"/>
          <w:szCs w:val="24"/>
          <w:lang w:eastAsia="en-IE"/>
        </w:rPr>
        <w:t>challenges in access to healthcare for persons with disabilities</w:t>
      </w:r>
      <w:r w:rsidRPr="002D57F2">
        <w:rPr>
          <w:rFonts w:ascii="Arial" w:hAnsi="Arial" w:cs="Arial"/>
          <w:sz w:val="24"/>
          <w:szCs w:val="24"/>
          <w:lang w:eastAsia="en-IE"/>
        </w:rPr>
        <w:t xml:space="preserve"> and encourage good practices likely to drive changes at national level.</w:t>
      </w:r>
    </w:p>
    <w:p w14:paraId="7735AAE1" w14:textId="58F3F239"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lang w:eastAsia="en-IE"/>
        </w:rPr>
        <w:t xml:space="preserve"> </w:t>
      </w:r>
      <w:r w:rsidRPr="002D57F2">
        <w:rPr>
          <w:rFonts w:ascii="Arial" w:hAnsi="Arial" w:cs="Arial"/>
          <w:sz w:val="24"/>
          <w:szCs w:val="24"/>
        </w:rPr>
        <w:t>Many individuals with cancer, rare diseases, or chronic conditions also experience disabilities.</w:t>
      </w:r>
      <w:r w:rsidRPr="002D57F2">
        <w:rPr>
          <w:rFonts w:ascii="Arial" w:hAnsi="Arial" w:cs="Arial"/>
          <w:sz w:val="24"/>
          <w:szCs w:val="24"/>
          <w:lang w:eastAsia="en-IE"/>
        </w:rPr>
        <w:t xml:space="preserve"> Different partnership initiatives and research projects focus on </w:t>
      </w:r>
      <w:r w:rsidRPr="002D57F2">
        <w:rPr>
          <w:rFonts w:ascii="Arial" w:hAnsi="Arial" w:cs="Arial"/>
          <w:b/>
          <w:bCs/>
          <w:sz w:val="24"/>
          <w:szCs w:val="24"/>
          <w:lang w:eastAsia="en-IE"/>
        </w:rPr>
        <w:t>rare diseases</w:t>
      </w:r>
      <w:r w:rsidRPr="002D57F2">
        <w:rPr>
          <w:rFonts w:ascii="Arial" w:hAnsi="Arial" w:cs="Arial"/>
          <w:sz w:val="24"/>
          <w:szCs w:val="24"/>
          <w:lang w:eastAsia="en-IE"/>
        </w:rPr>
        <w:t xml:space="preserve">, and the revised </w:t>
      </w:r>
      <w:hyperlink r:id="rId74" w:history="1">
        <w:r w:rsidRPr="002D57F2">
          <w:rPr>
            <w:rStyle w:val="Hyperlink"/>
            <w:rFonts w:ascii="Arial" w:hAnsi="Arial" w:cs="Arial"/>
            <w:sz w:val="24"/>
            <w:szCs w:val="24"/>
            <w:lang w:eastAsia="en-IE"/>
          </w:rPr>
          <w:t>Pharma Package</w:t>
        </w:r>
      </w:hyperlink>
      <w:r w:rsidRPr="002D57F2">
        <w:rPr>
          <w:rFonts w:ascii="Arial" w:hAnsi="Arial" w:cs="Arial"/>
          <w:sz w:val="24"/>
          <w:szCs w:val="24"/>
          <w:lang w:eastAsia="en-IE"/>
        </w:rPr>
        <w:t xml:space="preserve"> will help make orphan drugs against rare diseases more accessible. </w:t>
      </w:r>
      <w:r w:rsidRPr="008C6089">
        <w:rPr>
          <w:rFonts w:ascii="Arial" w:hAnsi="Arial" w:cs="Arial"/>
          <w:sz w:val="24"/>
          <w:szCs w:val="24"/>
          <w:lang w:eastAsia="en-IE"/>
        </w:rPr>
        <w:t xml:space="preserve">Moreover, the revision of the Medical Device and In Vitro Diagnostics </w:t>
      </w:r>
      <w:hyperlink r:id="rId75" w:history="1">
        <w:r w:rsidRPr="008C6089">
          <w:rPr>
            <w:rStyle w:val="Hyperlink"/>
            <w:rFonts w:ascii="Arial" w:hAnsi="Arial" w:cs="Arial"/>
            <w:sz w:val="24"/>
            <w:szCs w:val="24"/>
            <w:lang w:eastAsia="en-IE"/>
          </w:rPr>
          <w:t>Regulations</w:t>
        </w:r>
      </w:hyperlink>
      <w:r w:rsidRPr="008C6089">
        <w:rPr>
          <w:rFonts w:ascii="Arial" w:hAnsi="Arial" w:cs="Arial"/>
          <w:sz w:val="24"/>
          <w:szCs w:val="24"/>
          <w:lang w:eastAsia="en-IE"/>
        </w:rPr>
        <w:t xml:space="preserve">, together with the </w:t>
      </w:r>
      <w:hyperlink r:id="rId76" w:history="1">
        <w:r w:rsidRPr="008C6089">
          <w:rPr>
            <w:rStyle w:val="Hyperlink"/>
            <w:rFonts w:ascii="Arial" w:hAnsi="Arial" w:cs="Arial"/>
            <w:sz w:val="24"/>
            <w:szCs w:val="24"/>
            <w:lang w:eastAsia="en-IE"/>
          </w:rPr>
          <w:t>proposal on the Biotech Act</w:t>
        </w:r>
      </w:hyperlink>
      <w:r w:rsidRPr="008C6089">
        <w:rPr>
          <w:rFonts w:ascii="Arial" w:hAnsi="Arial" w:cs="Arial"/>
          <w:sz w:val="24"/>
          <w:szCs w:val="24"/>
          <w:lang w:eastAsia="en-IE"/>
        </w:rPr>
        <w:t xml:space="preserve">, will also foster research and innovation in the field of rare diseases. </w:t>
      </w:r>
      <w:r w:rsidRPr="002D57F2">
        <w:rPr>
          <w:rFonts w:ascii="Arial" w:hAnsi="Arial" w:cs="Arial"/>
          <w:sz w:val="24"/>
          <w:szCs w:val="24"/>
        </w:rPr>
        <w:t xml:space="preserve">Various </w:t>
      </w:r>
      <w:r w:rsidRPr="002D57F2">
        <w:rPr>
          <w:rFonts w:ascii="Arial" w:hAnsi="Arial" w:cs="Arial"/>
          <w:b/>
          <w:bCs/>
          <w:sz w:val="24"/>
          <w:szCs w:val="24"/>
        </w:rPr>
        <w:t>joint actions</w:t>
      </w:r>
      <w:r w:rsidRPr="002D57F2">
        <w:rPr>
          <w:rFonts w:ascii="Arial" w:hAnsi="Arial" w:cs="Arial"/>
          <w:sz w:val="24"/>
          <w:szCs w:val="24"/>
        </w:rPr>
        <w:t xml:space="preserve"> under the </w:t>
      </w:r>
      <w:hyperlink r:id="rId77" w:history="1">
        <w:r w:rsidRPr="002D57F2">
          <w:rPr>
            <w:rStyle w:val="Hyperlink"/>
            <w:rFonts w:ascii="Arial" w:hAnsi="Arial" w:cs="Arial"/>
            <w:sz w:val="24"/>
            <w:szCs w:val="24"/>
          </w:rPr>
          <w:t>EU4Health Programme</w:t>
        </w:r>
      </w:hyperlink>
      <w:r w:rsidRPr="002D57F2">
        <w:rPr>
          <w:rFonts w:ascii="Arial" w:hAnsi="Arial" w:cs="Arial"/>
          <w:sz w:val="24"/>
          <w:szCs w:val="24"/>
        </w:rPr>
        <w:t xml:space="preserve"> </w:t>
      </w:r>
      <w:r w:rsidRPr="002D57F2">
        <w:rPr>
          <w:rFonts w:ascii="Arial" w:hAnsi="Arial" w:cs="Arial"/>
          <w:sz w:val="24"/>
          <w:szCs w:val="24"/>
          <w:lang w:eastAsia="en-IE"/>
        </w:rPr>
        <w:t xml:space="preserve">seek to: </w:t>
      </w:r>
      <w:r w:rsidRPr="002D57F2">
        <w:rPr>
          <w:rFonts w:ascii="Arial" w:hAnsi="Arial" w:cs="Arial"/>
          <w:sz w:val="24"/>
          <w:szCs w:val="24"/>
        </w:rPr>
        <w:t xml:space="preserve">increase awareness of human rights-based approaches in dealing with mental health issues, in line with the Commission’s </w:t>
      </w:r>
      <w:hyperlink r:id="rId78" w:history="1">
        <w:r w:rsidRPr="002D57F2">
          <w:rPr>
            <w:rStyle w:val="Hyperlink"/>
            <w:rFonts w:ascii="Arial" w:hAnsi="Arial" w:cs="Arial"/>
            <w:sz w:val="24"/>
            <w:szCs w:val="24"/>
          </w:rPr>
          <w:t>comprehensive approach to mental health</w:t>
        </w:r>
      </w:hyperlink>
      <w:r w:rsidRPr="002D57F2">
        <w:rPr>
          <w:rFonts w:ascii="Arial" w:hAnsi="Arial" w:cs="Arial"/>
          <w:sz w:val="24"/>
          <w:szCs w:val="24"/>
        </w:rPr>
        <w:t xml:space="preserve">; address dementia in a holistic way; </w:t>
      </w:r>
      <w:r w:rsidRPr="002D57F2">
        <w:rPr>
          <w:rFonts w:ascii="Arial" w:hAnsi="Arial" w:cs="Arial"/>
          <w:sz w:val="24"/>
          <w:szCs w:val="24"/>
          <w:lang w:eastAsia="en-IE"/>
        </w:rPr>
        <w:t>tackle inequalities in cancer prevention, detection and care</w:t>
      </w:r>
      <w:r w:rsidR="007453BC">
        <w:rPr>
          <w:rFonts w:ascii="Arial" w:hAnsi="Arial" w:cs="Arial"/>
          <w:sz w:val="24"/>
          <w:szCs w:val="24"/>
          <w:lang w:eastAsia="en-IE"/>
        </w:rPr>
        <w:t xml:space="preserve"> </w:t>
      </w:r>
      <w:r w:rsidR="007453BC" w:rsidRPr="008C6089">
        <w:rPr>
          <w:rFonts w:ascii="Arial" w:hAnsi="Arial" w:cs="Arial"/>
          <w:sz w:val="24"/>
          <w:szCs w:val="24"/>
          <w:vertAlign w:val="superscript"/>
          <w:lang w:eastAsia="en-IE"/>
        </w:rPr>
        <w:t>(</w:t>
      </w:r>
      <w:r w:rsidR="007453BC">
        <w:rPr>
          <w:rStyle w:val="FootnoteReference"/>
          <w:rFonts w:ascii="Arial" w:hAnsi="Arial" w:cs="Arial"/>
          <w:sz w:val="24"/>
          <w:szCs w:val="24"/>
          <w:lang w:eastAsia="en-IE"/>
        </w:rPr>
        <w:footnoteReference w:id="17"/>
      </w:r>
      <w:r w:rsidR="007453BC" w:rsidRPr="008C6089">
        <w:rPr>
          <w:rFonts w:ascii="Arial" w:hAnsi="Arial" w:cs="Arial"/>
          <w:sz w:val="24"/>
          <w:szCs w:val="24"/>
          <w:vertAlign w:val="superscript"/>
          <w:lang w:eastAsia="en-IE"/>
        </w:rPr>
        <w:t>)</w:t>
      </w:r>
      <w:r w:rsidR="007453BC" w:rsidRPr="002D57F2">
        <w:rPr>
          <w:rFonts w:ascii="Arial" w:hAnsi="Arial" w:cs="Arial"/>
          <w:sz w:val="24"/>
          <w:szCs w:val="24"/>
        </w:rPr>
        <w:t xml:space="preserve">. </w:t>
      </w:r>
      <w:r w:rsidRPr="002D57F2">
        <w:rPr>
          <w:rFonts w:ascii="Arial" w:hAnsi="Arial" w:cs="Arial"/>
          <w:sz w:val="24"/>
          <w:szCs w:val="24"/>
        </w:rPr>
        <w:t xml:space="preserve"> A</w:t>
      </w:r>
      <w:r w:rsidRPr="002D57F2">
        <w:rPr>
          <w:rFonts w:ascii="Arial" w:hAnsi="Arial" w:cs="Arial"/>
          <w:b/>
          <w:bCs/>
          <w:sz w:val="24"/>
          <w:szCs w:val="24"/>
        </w:rPr>
        <w:t xml:space="preserve"> study</w:t>
      </w:r>
      <w:r w:rsidRPr="002D57F2">
        <w:rPr>
          <w:rFonts w:ascii="Arial" w:hAnsi="Arial" w:cs="Arial"/>
          <w:sz w:val="24"/>
          <w:szCs w:val="24"/>
        </w:rPr>
        <w:t xml:space="preserve"> launched by the Commission</w:t>
      </w:r>
      <w:r w:rsidRPr="002D57F2">
        <w:rPr>
          <w:rFonts w:ascii="Arial" w:hAnsi="Arial" w:cs="Arial"/>
          <w:b/>
          <w:bCs/>
          <w:sz w:val="24"/>
          <w:szCs w:val="24"/>
        </w:rPr>
        <w:t xml:space="preserve"> </w:t>
      </w:r>
      <w:r w:rsidRPr="002D57F2">
        <w:rPr>
          <w:rFonts w:ascii="Arial" w:hAnsi="Arial" w:cs="Arial"/>
          <w:sz w:val="24"/>
          <w:szCs w:val="24"/>
        </w:rPr>
        <w:t>on the</w:t>
      </w:r>
      <w:r w:rsidRPr="002D57F2">
        <w:rPr>
          <w:rFonts w:ascii="Arial" w:hAnsi="Arial" w:cs="Arial"/>
          <w:b/>
          <w:bCs/>
          <w:sz w:val="24"/>
          <w:szCs w:val="24"/>
        </w:rPr>
        <w:t xml:space="preserve"> quality of life of cancer patients and survivors</w:t>
      </w:r>
      <w:r w:rsidRPr="002D57F2">
        <w:rPr>
          <w:rFonts w:ascii="Arial" w:hAnsi="Arial" w:cs="Arial"/>
          <w:sz w:val="24"/>
          <w:szCs w:val="24"/>
        </w:rPr>
        <w:t xml:space="preserve"> will develop indicators to assess policies implemented across EU countries to monitor and improve quality of life, likely to encompass policies relevant for disabilities acquired following to cancer.</w:t>
      </w:r>
    </w:p>
    <w:p w14:paraId="60E97751" w14:textId="77777777" w:rsidR="00FB01BD" w:rsidRPr="002D57F2" w:rsidRDefault="00FB01BD" w:rsidP="00FB01BD">
      <w:pPr>
        <w:pStyle w:val="Heading3"/>
        <w:rPr>
          <w:rFonts w:ascii="Arial" w:hAnsi="Arial" w:cs="Arial"/>
        </w:rPr>
      </w:pPr>
      <w:bookmarkStart w:id="18" w:name="_Toc228880182"/>
      <w:r w:rsidRPr="002D57F2">
        <w:rPr>
          <w:rFonts w:ascii="Arial" w:hAnsi="Arial" w:cs="Arial"/>
        </w:rPr>
        <w:t>Disability at the intersection: boosting voice and choice</w:t>
      </w:r>
      <w:bookmarkEnd w:id="18"/>
    </w:p>
    <w:p w14:paraId="779348BF"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Women, older and younger persons with disabilities as well as children, LGBTIQ+ people and people from racial or ethnic minorities with disabilities experience </w:t>
      </w:r>
      <w:r w:rsidRPr="002D57F2">
        <w:rPr>
          <w:rFonts w:ascii="Arial" w:hAnsi="Arial" w:cs="Arial"/>
          <w:b/>
          <w:bCs/>
          <w:sz w:val="24"/>
          <w:szCs w:val="24"/>
        </w:rPr>
        <w:t>intersecting forms of discrimination</w:t>
      </w:r>
      <w:r w:rsidRPr="002D57F2">
        <w:rPr>
          <w:rFonts w:ascii="Arial" w:hAnsi="Arial" w:cs="Arial"/>
          <w:sz w:val="24"/>
          <w:szCs w:val="24"/>
        </w:rPr>
        <w:t xml:space="preserve"> and are at a higher risk of exclusion and inequality in many areas</w:t>
      </w:r>
      <w:r w:rsidRPr="002D57F2">
        <w:rPr>
          <w:rFonts w:ascii="Arial" w:hAnsi="Arial" w:cs="Arial"/>
          <w:sz w:val="24"/>
          <w:szCs w:val="24"/>
          <w:vertAlign w:val="superscript"/>
        </w:rPr>
        <w:t>(</w:t>
      </w:r>
      <w:r w:rsidRPr="002D57F2">
        <w:rPr>
          <w:rStyle w:val="FootnoteReference"/>
          <w:rFonts w:ascii="Arial" w:hAnsi="Arial" w:cs="Arial"/>
          <w:sz w:val="24"/>
          <w:szCs w:val="24"/>
        </w:rPr>
        <w:footnoteReference w:id="18"/>
      </w:r>
      <w:r w:rsidRPr="002D57F2">
        <w:rPr>
          <w:rFonts w:ascii="Arial" w:hAnsi="Arial" w:cs="Arial"/>
          <w:sz w:val="24"/>
          <w:szCs w:val="24"/>
          <w:vertAlign w:val="superscript"/>
        </w:rPr>
        <w:t>)</w:t>
      </w:r>
      <w:r w:rsidRPr="002D57F2">
        <w:rPr>
          <w:rFonts w:ascii="Arial" w:hAnsi="Arial" w:cs="Arial"/>
          <w:sz w:val="24"/>
          <w:szCs w:val="24"/>
        </w:rPr>
        <w:t xml:space="preserve">.The needs of women and girls with disabilities will be carefully considered in the implementation of the </w:t>
      </w:r>
      <w:hyperlink r:id="rId79" w:history="1">
        <w:r w:rsidRPr="002D57F2">
          <w:rPr>
            <w:rStyle w:val="Hyperlink"/>
            <w:rFonts w:ascii="Arial" w:hAnsi="Arial" w:cs="Arial"/>
            <w:sz w:val="24"/>
            <w:szCs w:val="24"/>
          </w:rPr>
          <w:t>gender equality strategy 2026-2030</w:t>
        </w:r>
      </w:hyperlink>
      <w:r w:rsidRPr="002D57F2">
        <w:rPr>
          <w:rFonts w:ascii="Arial" w:hAnsi="Arial" w:cs="Arial"/>
          <w:sz w:val="24"/>
          <w:szCs w:val="24"/>
        </w:rPr>
        <w:t xml:space="preserve">, in particular in relation to supporting Member States in improving </w:t>
      </w:r>
      <w:r w:rsidRPr="002D57F2">
        <w:rPr>
          <w:rFonts w:ascii="Arial" w:hAnsi="Arial" w:cs="Arial"/>
          <w:b/>
          <w:bCs/>
          <w:sz w:val="24"/>
          <w:szCs w:val="24"/>
        </w:rPr>
        <w:t>access to physical and mental healthcare and sexual and reproductive health and rights.</w:t>
      </w:r>
      <w:r w:rsidRPr="002D57F2">
        <w:rPr>
          <w:rFonts w:ascii="Arial" w:hAnsi="Arial" w:cs="Arial"/>
          <w:sz w:val="24"/>
          <w:szCs w:val="24"/>
        </w:rPr>
        <w:t xml:space="preserve"> In this respect, an initiative in cooperation with the World Health Organisation will explore ways to improve the quality and accessibility of women’s healthcare, including for those with disabilities. Moreover, the Commission will launch a </w:t>
      </w:r>
      <w:r w:rsidRPr="002D57F2">
        <w:rPr>
          <w:rFonts w:ascii="Arial" w:hAnsi="Arial" w:cs="Arial"/>
          <w:b/>
          <w:bCs/>
          <w:sz w:val="24"/>
          <w:szCs w:val="24"/>
        </w:rPr>
        <w:t>study on violence against women with disabilities in the EU</w:t>
      </w:r>
      <w:r w:rsidRPr="002D57F2">
        <w:rPr>
          <w:rFonts w:ascii="Arial" w:hAnsi="Arial" w:cs="Arial"/>
          <w:sz w:val="24"/>
          <w:szCs w:val="24"/>
        </w:rPr>
        <w:t>. The Commission will pay close attention to the needs of persons with disabilities in the implementation of the relevant strategies, such as the </w:t>
      </w:r>
      <w:hyperlink r:id="rId80" w:tgtFrame="_blank" w:history="1">
        <w:r w:rsidRPr="002D57F2">
          <w:rPr>
            <w:rStyle w:val="Hyperlink"/>
            <w:rFonts w:ascii="Arial" w:hAnsi="Arial" w:cs="Arial"/>
            <w:sz w:val="24"/>
            <w:szCs w:val="24"/>
          </w:rPr>
          <w:t>LGBTIQ+</w:t>
        </w:r>
      </w:hyperlink>
      <w:r w:rsidRPr="002D57F2">
        <w:rPr>
          <w:rFonts w:ascii="Arial" w:hAnsi="Arial" w:cs="Arial"/>
          <w:sz w:val="24"/>
          <w:szCs w:val="24"/>
        </w:rPr>
        <w:t> and </w:t>
      </w:r>
      <w:hyperlink r:id="rId81" w:tgtFrame="_blank" w:history="1">
        <w:r w:rsidRPr="002D57F2">
          <w:rPr>
            <w:rStyle w:val="Hyperlink"/>
            <w:rFonts w:ascii="Arial" w:hAnsi="Arial" w:cs="Arial"/>
            <w:sz w:val="24"/>
            <w:szCs w:val="24"/>
          </w:rPr>
          <w:t>anti-racism</w:t>
        </w:r>
      </w:hyperlink>
      <w:r w:rsidRPr="002D57F2">
        <w:rPr>
          <w:rStyle w:val="Hyperlink"/>
          <w:rFonts w:ascii="Arial" w:hAnsi="Arial" w:cs="Arial"/>
          <w:sz w:val="24"/>
          <w:szCs w:val="24"/>
        </w:rPr>
        <w:t> </w:t>
      </w:r>
      <w:r w:rsidRPr="002D57F2">
        <w:rPr>
          <w:rFonts w:ascii="Arial" w:hAnsi="Arial" w:cs="Arial"/>
          <w:sz w:val="24"/>
          <w:szCs w:val="24"/>
        </w:rPr>
        <w:t>strategies 2026-2030.</w:t>
      </w:r>
    </w:p>
    <w:p w14:paraId="685ABDEC" w14:textId="77777777" w:rsidR="00FB01BD" w:rsidRPr="002D57F2" w:rsidRDefault="00FB01BD" w:rsidP="00FB01BD">
      <w:pPr>
        <w:pStyle w:val="Heading3"/>
        <w:rPr>
          <w:rFonts w:ascii="Arial" w:hAnsi="Arial" w:cs="Arial"/>
        </w:rPr>
      </w:pPr>
      <w:bookmarkStart w:id="19" w:name="_Toc228880183"/>
      <w:r w:rsidRPr="002D57F2">
        <w:rPr>
          <w:rFonts w:ascii="Arial" w:hAnsi="Arial" w:cs="Arial"/>
        </w:rPr>
        <w:t>Ensuring equal access to justice, legal protection and safety</w:t>
      </w:r>
      <w:bookmarkEnd w:id="19"/>
      <w:r w:rsidRPr="002D57F2">
        <w:rPr>
          <w:rFonts w:ascii="Arial" w:hAnsi="Arial" w:cs="Arial"/>
        </w:rPr>
        <w:t xml:space="preserve">  </w:t>
      </w:r>
    </w:p>
    <w:p w14:paraId="7C34EE5B" w14:textId="7A7B9D3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To give persons with disabilities equal access to justice it is essential to</w:t>
      </w:r>
      <w:r w:rsidRPr="002D57F2">
        <w:rPr>
          <w:rFonts w:ascii="Arial" w:hAnsi="Arial" w:cs="Arial"/>
          <w:b/>
          <w:bCs/>
          <w:sz w:val="24"/>
          <w:szCs w:val="24"/>
        </w:rPr>
        <w:t xml:space="preserve"> remove practical and legal barriers</w:t>
      </w:r>
      <w:r w:rsidRPr="002D57F2">
        <w:rPr>
          <w:rFonts w:ascii="Arial" w:hAnsi="Arial" w:cs="Arial"/>
          <w:sz w:val="24"/>
          <w:szCs w:val="24"/>
        </w:rPr>
        <w:t xml:space="preserve">, linked for instance to accessibility or legal capacity, </w:t>
      </w:r>
      <w:r w:rsidRPr="002D57F2">
        <w:rPr>
          <w:rFonts w:ascii="Arial" w:hAnsi="Arial" w:cs="Arial"/>
          <w:b/>
          <w:bCs/>
          <w:sz w:val="24"/>
          <w:szCs w:val="24"/>
        </w:rPr>
        <w:t>and to ensure reasonable accommodation.</w:t>
      </w:r>
      <w:r w:rsidRPr="002D57F2">
        <w:rPr>
          <w:rFonts w:ascii="Arial" w:hAnsi="Arial" w:cs="Arial"/>
          <w:sz w:val="24"/>
          <w:szCs w:val="24"/>
        </w:rPr>
        <w:t xml:space="preserve"> In this context, access to justice </w:t>
      </w:r>
      <w:r>
        <w:rPr>
          <w:rFonts w:ascii="Arial" w:hAnsi="Arial" w:cs="Arial"/>
          <w:sz w:val="24"/>
          <w:szCs w:val="24"/>
        </w:rPr>
        <w:t>encompasses</w:t>
      </w:r>
      <w:r w:rsidRPr="002D57F2">
        <w:rPr>
          <w:rFonts w:ascii="Arial" w:hAnsi="Arial" w:cs="Arial"/>
          <w:sz w:val="24"/>
          <w:szCs w:val="24"/>
        </w:rPr>
        <w:t xml:space="preserve"> being able to participate in judicial proceedings </w:t>
      </w:r>
      <w:r>
        <w:rPr>
          <w:rFonts w:ascii="Arial" w:hAnsi="Arial" w:cs="Arial"/>
          <w:sz w:val="24"/>
          <w:szCs w:val="24"/>
        </w:rPr>
        <w:t xml:space="preserve">as well as contributing </w:t>
      </w:r>
      <w:r w:rsidR="00CC0C2C" w:rsidRPr="002D57F2">
        <w:rPr>
          <w:rFonts w:ascii="Arial" w:hAnsi="Arial" w:cs="Arial"/>
          <w:sz w:val="24"/>
          <w:szCs w:val="24"/>
        </w:rPr>
        <w:t>to</w:t>
      </w:r>
      <w:r w:rsidRPr="002D57F2">
        <w:rPr>
          <w:rFonts w:ascii="Arial" w:hAnsi="Arial" w:cs="Arial"/>
          <w:sz w:val="24"/>
          <w:szCs w:val="24"/>
        </w:rPr>
        <w:t xml:space="preserve"> the justice system</w:t>
      </w:r>
      <w:r>
        <w:rPr>
          <w:rFonts w:ascii="Arial" w:hAnsi="Arial" w:cs="Arial"/>
          <w:sz w:val="24"/>
          <w:szCs w:val="24"/>
        </w:rPr>
        <w:t xml:space="preserve"> in a professional role</w:t>
      </w:r>
      <w:r w:rsidRPr="002D57F2">
        <w:rPr>
          <w:rFonts w:ascii="Arial" w:hAnsi="Arial" w:cs="Arial"/>
          <w:sz w:val="24"/>
          <w:szCs w:val="24"/>
        </w:rPr>
        <w:t>. Protecting persons with disabilities, especially those in vulnerable situations, from violence, hatred, exploitation and abuse, both online and offline, remains a priority.</w:t>
      </w:r>
    </w:p>
    <w:p w14:paraId="15A92148" w14:textId="77777777" w:rsidR="00FB01BD" w:rsidRPr="002D57F2" w:rsidRDefault="00FB01BD" w:rsidP="00FB01BD">
      <w:pPr>
        <w:pStyle w:val="Style2"/>
        <w:spacing w:line="288" w:lineRule="auto"/>
        <w:rPr>
          <w:rFonts w:ascii="Arial" w:hAnsi="Arial" w:cs="Arial"/>
          <w:b/>
          <w:bCs/>
          <w:sz w:val="24"/>
          <w:szCs w:val="24"/>
        </w:rPr>
      </w:pPr>
      <w:r w:rsidRPr="002D57F2">
        <w:rPr>
          <w:rFonts w:ascii="Arial" w:hAnsi="Arial" w:cs="Arial"/>
          <w:b/>
          <w:bCs/>
          <w:sz w:val="24"/>
          <w:szCs w:val="24"/>
        </w:rPr>
        <w:t>Victims with disabilities</w:t>
      </w:r>
      <w:r w:rsidRPr="002D57F2">
        <w:rPr>
          <w:rFonts w:ascii="Arial" w:hAnsi="Arial" w:cs="Arial"/>
          <w:sz w:val="24"/>
          <w:szCs w:val="24"/>
        </w:rPr>
        <w:t xml:space="preserve"> will be further protected and supported through the </w:t>
      </w:r>
      <w:hyperlink r:id="rId82">
        <w:r w:rsidRPr="002D57F2">
          <w:rPr>
            <w:rStyle w:val="Hyperlink"/>
            <w:rFonts w:ascii="Arial" w:hAnsi="Arial" w:cs="Arial"/>
            <w:sz w:val="24"/>
            <w:szCs w:val="24"/>
          </w:rPr>
          <w:t>revised Victims’ Rights Directive</w:t>
        </w:r>
      </w:hyperlink>
      <w:r w:rsidRPr="002D57F2">
        <w:rPr>
          <w:rStyle w:val="CommentReference"/>
          <w:rFonts w:ascii="Arial" w:hAnsi="Arial" w:cs="Arial"/>
          <w:kern w:val="0"/>
          <w:sz w:val="24"/>
          <w:szCs w:val="24"/>
          <w14:ligatures w14:val="none"/>
        </w:rPr>
        <w:t xml:space="preserve">, </w:t>
      </w:r>
      <w:r w:rsidRPr="002D57F2">
        <w:rPr>
          <w:rFonts w:ascii="Arial" w:hAnsi="Arial" w:cs="Arial"/>
          <w:sz w:val="24"/>
          <w:szCs w:val="24"/>
        </w:rPr>
        <w:t xml:space="preserve">which includes new provisions on procedural accommodation, and through the upcoming </w:t>
      </w:r>
      <w:r w:rsidRPr="002D57F2">
        <w:rPr>
          <w:rFonts w:ascii="Arial" w:hAnsi="Arial" w:cs="Arial"/>
          <w:b/>
          <w:bCs/>
          <w:sz w:val="24"/>
          <w:szCs w:val="24"/>
        </w:rPr>
        <w:t>EU strategy on victims’ rights.</w:t>
      </w:r>
    </w:p>
    <w:p w14:paraId="146E8354"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 Victims of gender-based violence will be supported under the </w:t>
      </w:r>
      <w:hyperlink r:id="rId83" w:history="1">
        <w:r w:rsidRPr="002D57F2">
          <w:rPr>
            <w:rStyle w:val="Hyperlink"/>
            <w:rFonts w:ascii="Arial" w:hAnsi="Arial" w:cs="Arial"/>
            <w:sz w:val="24"/>
            <w:szCs w:val="24"/>
          </w:rPr>
          <w:t>Directive on combating violence against women and domestic violence</w:t>
        </w:r>
      </w:hyperlink>
      <w:r w:rsidRPr="002D57F2">
        <w:rPr>
          <w:rFonts w:ascii="Arial" w:hAnsi="Arial" w:cs="Arial"/>
          <w:sz w:val="24"/>
          <w:szCs w:val="24"/>
        </w:rPr>
        <w:t xml:space="preserve">, which includes specific provisions and protection for women and girls with disabilities. The Commission will also facilitate the development of </w:t>
      </w:r>
      <w:r w:rsidRPr="002D57F2">
        <w:rPr>
          <w:rFonts w:ascii="Arial" w:hAnsi="Arial" w:cs="Arial"/>
          <w:b/>
          <w:bCs/>
          <w:sz w:val="24"/>
          <w:szCs w:val="24"/>
        </w:rPr>
        <w:t>guidelines on procedural accommodation</w:t>
      </w:r>
      <w:r w:rsidRPr="002D57F2">
        <w:rPr>
          <w:rFonts w:ascii="Arial" w:hAnsi="Arial" w:cs="Arial"/>
          <w:sz w:val="24"/>
          <w:szCs w:val="24"/>
        </w:rPr>
        <w:t xml:space="preserve"> for all victims with disabilities.</w:t>
      </w:r>
    </w:p>
    <w:p w14:paraId="6EB0DB85" w14:textId="7E064CE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The </w:t>
      </w:r>
      <w:hyperlink r:id="rId84">
        <w:r w:rsidRPr="002D57F2">
          <w:rPr>
            <w:rStyle w:val="Hyperlink"/>
            <w:rFonts w:ascii="Arial" w:hAnsi="Arial" w:cs="Arial"/>
            <w:sz w:val="24"/>
            <w:szCs w:val="24"/>
          </w:rPr>
          <w:t>Justice Programme</w:t>
        </w:r>
      </w:hyperlink>
      <w:r w:rsidRPr="002D57F2">
        <w:rPr>
          <w:rFonts w:ascii="Arial" w:hAnsi="Arial" w:cs="Arial"/>
          <w:sz w:val="24"/>
          <w:szCs w:val="24"/>
        </w:rPr>
        <w:t xml:space="preserve"> promotes </w:t>
      </w:r>
      <w:r w:rsidRPr="002D57F2">
        <w:rPr>
          <w:rFonts w:ascii="Arial" w:hAnsi="Arial" w:cs="Arial"/>
          <w:b/>
          <w:bCs/>
          <w:sz w:val="24"/>
          <w:szCs w:val="24"/>
        </w:rPr>
        <w:t>judicial training on the UNCRPD and disability</w:t>
      </w:r>
      <w:r w:rsidRPr="002D57F2">
        <w:rPr>
          <w:rFonts w:ascii="Arial" w:hAnsi="Arial" w:cs="Arial"/>
          <w:sz w:val="24"/>
          <w:szCs w:val="24"/>
        </w:rPr>
        <w:t xml:space="preserve"> in line with the priorities of the </w:t>
      </w:r>
      <w:hyperlink r:id="rId85">
        <w:r w:rsidRPr="002D57F2">
          <w:rPr>
            <w:rStyle w:val="Hyperlink"/>
            <w:rFonts w:ascii="Arial" w:hAnsi="Arial" w:cs="Arial"/>
            <w:sz w:val="24"/>
            <w:szCs w:val="24"/>
          </w:rPr>
          <w:t>judicial training strategy.</w:t>
        </w:r>
      </w:hyperlink>
      <w:r w:rsidRPr="002D57F2">
        <w:rPr>
          <w:rFonts w:ascii="Arial" w:hAnsi="Arial" w:cs="Arial"/>
          <w:sz w:val="24"/>
          <w:szCs w:val="24"/>
        </w:rPr>
        <w:t xml:space="preserve"> In the context of the </w:t>
      </w:r>
      <w:hyperlink r:id="rId86">
        <w:r w:rsidRPr="002D57F2">
          <w:rPr>
            <w:rStyle w:val="Hyperlink"/>
            <w:rFonts w:ascii="Arial" w:hAnsi="Arial" w:cs="Arial"/>
            <w:sz w:val="24"/>
            <w:szCs w:val="24"/>
          </w:rPr>
          <w:t>European Investigation Order Directive</w:t>
        </w:r>
      </w:hyperlink>
      <w:r w:rsidRPr="002D57F2">
        <w:rPr>
          <w:rFonts w:ascii="Arial" w:hAnsi="Arial" w:cs="Arial"/>
        </w:rPr>
        <w:t xml:space="preserve"> </w:t>
      </w:r>
      <w:r w:rsidRPr="002D57F2">
        <w:rPr>
          <w:rFonts w:ascii="Arial" w:hAnsi="Arial" w:cs="Arial"/>
          <w:sz w:val="24"/>
          <w:szCs w:val="24"/>
        </w:rPr>
        <w:t>review, the Commission will seek to enable remote participation in criminal court hearings, including of persons with disabilities, from another Member State via accessible videoconference technology, ensuring the necessary procedural safeguards. The Commission will also increase the frequency of reporting on disability issues</w:t>
      </w:r>
      <w:r w:rsidRPr="002D57F2">
        <w:rPr>
          <w:rFonts w:ascii="Arial" w:hAnsi="Arial" w:cs="Arial"/>
          <w:b/>
          <w:bCs/>
          <w:sz w:val="24"/>
          <w:szCs w:val="24"/>
        </w:rPr>
        <w:t xml:space="preserve"> </w:t>
      </w:r>
      <w:r w:rsidRPr="002D57F2">
        <w:rPr>
          <w:rFonts w:ascii="Arial" w:hAnsi="Arial" w:cs="Arial"/>
          <w:sz w:val="24"/>
          <w:szCs w:val="24"/>
        </w:rPr>
        <w:t xml:space="preserve">in the </w:t>
      </w:r>
      <w:hyperlink r:id="rId87" w:history="1">
        <w:r w:rsidRPr="002D57F2">
          <w:rPr>
            <w:rStyle w:val="Hyperlink"/>
            <w:rFonts w:ascii="Arial" w:hAnsi="Arial" w:cs="Arial"/>
            <w:sz w:val="24"/>
            <w:szCs w:val="24"/>
          </w:rPr>
          <w:t>EU Justice Scoreboard</w:t>
        </w:r>
      </w:hyperlink>
      <w:r w:rsidRPr="002D57F2">
        <w:rPr>
          <w:rFonts w:ascii="Arial" w:eastAsia="Times New Roman" w:hAnsi="Arial" w:cs="Arial"/>
          <w:sz w:val="24"/>
          <w:szCs w:val="24"/>
        </w:rPr>
        <w:t>.</w:t>
      </w:r>
    </w:p>
    <w:p w14:paraId="11E26B64" w14:textId="0C669F7F"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The Commission will support Member States’ implementation of the </w:t>
      </w:r>
      <w:r w:rsidRPr="002D57F2">
        <w:rPr>
          <w:rFonts w:ascii="Arial" w:hAnsi="Arial" w:cs="Arial"/>
          <w:b/>
          <w:bCs/>
          <w:sz w:val="24"/>
          <w:szCs w:val="24"/>
        </w:rPr>
        <w:t>upcoming Regulation on cross-border protection of vulnerable adults,</w:t>
      </w:r>
      <w:r w:rsidRPr="002D57F2">
        <w:rPr>
          <w:rFonts w:ascii="Arial" w:hAnsi="Arial" w:cs="Arial"/>
          <w:sz w:val="24"/>
          <w:szCs w:val="24"/>
        </w:rPr>
        <w:t xml:space="preserve"> </w:t>
      </w:r>
      <w:r>
        <w:rPr>
          <w:rFonts w:ascii="Arial" w:hAnsi="Arial" w:cs="Arial"/>
          <w:sz w:val="24"/>
          <w:szCs w:val="24"/>
        </w:rPr>
        <w:t xml:space="preserve">promoting application in full </w:t>
      </w:r>
      <w:r w:rsidRPr="002D57F2">
        <w:rPr>
          <w:rFonts w:ascii="Arial" w:hAnsi="Arial" w:cs="Arial"/>
          <w:sz w:val="24"/>
          <w:szCs w:val="24"/>
        </w:rPr>
        <w:t xml:space="preserve">compliance with the UNCRPD. </w:t>
      </w:r>
      <w:r>
        <w:rPr>
          <w:rFonts w:ascii="Arial" w:hAnsi="Arial" w:cs="Arial"/>
          <w:b/>
          <w:bCs/>
          <w:sz w:val="24"/>
          <w:szCs w:val="24"/>
        </w:rPr>
        <w:t>T</w:t>
      </w:r>
      <w:r w:rsidRPr="002D57F2">
        <w:rPr>
          <w:rFonts w:ascii="Arial" w:hAnsi="Arial" w:cs="Arial"/>
          <w:b/>
          <w:bCs/>
          <w:sz w:val="24"/>
          <w:szCs w:val="24"/>
        </w:rPr>
        <w:t xml:space="preserve">he Commission </w:t>
      </w:r>
      <w:r>
        <w:rPr>
          <w:rFonts w:ascii="Arial" w:hAnsi="Arial" w:cs="Arial"/>
          <w:b/>
          <w:bCs/>
          <w:sz w:val="24"/>
          <w:szCs w:val="24"/>
        </w:rPr>
        <w:t xml:space="preserve">also </w:t>
      </w:r>
      <w:r w:rsidRPr="002D57F2">
        <w:rPr>
          <w:rFonts w:ascii="Arial" w:hAnsi="Arial" w:cs="Arial"/>
          <w:b/>
          <w:bCs/>
          <w:sz w:val="24"/>
          <w:szCs w:val="24"/>
        </w:rPr>
        <w:t>will publish a study</w:t>
      </w:r>
      <w:r w:rsidRPr="002D57F2">
        <w:rPr>
          <w:rFonts w:ascii="Arial" w:hAnsi="Arial" w:cs="Arial"/>
          <w:sz w:val="24"/>
          <w:szCs w:val="24"/>
        </w:rPr>
        <w:t xml:space="preserve"> on decision-making regimes and legal capacity legislation in the Member States, </w:t>
      </w:r>
      <w:r w:rsidRPr="002D57F2">
        <w:rPr>
          <w:rFonts w:ascii="Arial" w:hAnsi="Arial" w:cs="Arial"/>
          <w:b/>
          <w:bCs/>
          <w:sz w:val="24"/>
          <w:szCs w:val="24"/>
        </w:rPr>
        <w:t>showcasing supported decision-making approaches</w:t>
      </w:r>
      <w:r w:rsidRPr="002D57F2">
        <w:rPr>
          <w:rFonts w:ascii="Arial" w:hAnsi="Arial" w:cs="Arial"/>
          <w:sz w:val="24"/>
          <w:szCs w:val="24"/>
        </w:rPr>
        <w:t xml:space="preserve"> to encourage self-determination of persons with intellectual, mental and psycho-social disabilities.</w:t>
      </w:r>
    </w:p>
    <w:p w14:paraId="363E885C" w14:textId="2EC606F9"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Moreover, the Commission will consider legislation based on the existing areas of crime covered by </w:t>
      </w:r>
      <w:hyperlink r:id="rId88">
        <w:r w:rsidRPr="002D57F2">
          <w:rPr>
            <w:rStyle w:val="Hyperlink"/>
            <w:rFonts w:ascii="Arial" w:hAnsi="Arial" w:cs="Arial"/>
            <w:sz w:val="24"/>
            <w:szCs w:val="24"/>
          </w:rPr>
          <w:t>Article 83(1) of TFEU</w:t>
        </w:r>
      </w:hyperlink>
      <w:r w:rsidRPr="002D57F2">
        <w:rPr>
          <w:rFonts w:ascii="Arial" w:hAnsi="Arial" w:cs="Arial"/>
          <w:sz w:val="24"/>
          <w:szCs w:val="24"/>
        </w:rPr>
        <w:t xml:space="preserve"> to </w:t>
      </w:r>
      <w:r w:rsidRPr="002D57F2">
        <w:rPr>
          <w:rFonts w:ascii="Arial" w:hAnsi="Arial" w:cs="Arial"/>
          <w:b/>
          <w:bCs/>
          <w:sz w:val="24"/>
          <w:szCs w:val="24"/>
        </w:rPr>
        <w:t>harmonise the definition of hate offences committed online</w:t>
      </w:r>
      <w:r w:rsidRPr="002D57F2">
        <w:rPr>
          <w:rFonts w:ascii="Arial" w:hAnsi="Arial" w:cs="Arial"/>
          <w:sz w:val="24"/>
          <w:szCs w:val="24"/>
        </w:rPr>
        <w:t>,</w:t>
      </w:r>
      <w:r w:rsidRPr="002D57F2">
        <w:rPr>
          <w:rFonts w:ascii="Arial" w:hAnsi="Arial" w:cs="Arial"/>
          <w:b/>
          <w:bCs/>
          <w:sz w:val="24"/>
          <w:szCs w:val="24"/>
        </w:rPr>
        <w:t xml:space="preserve"> </w:t>
      </w:r>
      <w:r w:rsidRPr="002D57F2">
        <w:rPr>
          <w:rFonts w:ascii="Arial" w:hAnsi="Arial" w:cs="Arial"/>
          <w:sz w:val="24"/>
          <w:szCs w:val="24"/>
        </w:rPr>
        <w:t xml:space="preserve">and possibly include public incitement to violence or hatred online on grounds not currently covered by EU law, such as disability. Disability will also be mainstreamed in the forthcoming action plan on the protection of children against crime and strategy on combating trafficking in human beings, as well as in the </w:t>
      </w:r>
      <w:hyperlink r:id="rId89">
        <w:r w:rsidRPr="002D57F2">
          <w:rPr>
            <w:rStyle w:val="Hyperlink"/>
            <w:rFonts w:ascii="Arial" w:hAnsi="Arial" w:cs="Arial"/>
            <w:sz w:val="24"/>
            <w:szCs w:val="24"/>
          </w:rPr>
          <w:t>pact on asylum and migration.</w:t>
        </w:r>
      </w:hyperlink>
    </w:p>
    <w:p w14:paraId="180211A2" w14:textId="77777777" w:rsidR="00FB01BD" w:rsidRPr="002D57F2" w:rsidRDefault="00FB01BD" w:rsidP="00FB01BD">
      <w:pPr>
        <w:pStyle w:val="Heading3"/>
        <w:rPr>
          <w:rFonts w:ascii="Arial" w:hAnsi="Arial" w:cs="Arial"/>
        </w:rPr>
      </w:pPr>
      <w:bookmarkStart w:id="20" w:name="_Toc228880184"/>
      <w:r w:rsidRPr="002D57F2">
        <w:rPr>
          <w:rFonts w:ascii="Arial" w:hAnsi="Arial" w:cs="Arial"/>
        </w:rPr>
        <w:t>Preparedness and emergency management</w:t>
      </w:r>
      <w:bookmarkEnd w:id="20"/>
    </w:p>
    <w:p w14:paraId="226B3005"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b/>
          <w:bCs/>
          <w:sz w:val="24"/>
          <w:szCs w:val="24"/>
        </w:rPr>
        <w:t>Persons with disabilities are disproportionally affected by disasters</w:t>
      </w:r>
      <w:r w:rsidRPr="002D57F2">
        <w:rPr>
          <w:rFonts w:ascii="Arial" w:hAnsi="Arial" w:cs="Arial"/>
          <w:sz w:val="24"/>
          <w:szCs w:val="24"/>
        </w:rPr>
        <w:t xml:space="preserve"> and experience increased vulnerability during an emergency. In such situations, many have limited access to early warnings and alerts, to suitable transport and to the medical equipment they or their caretakers need. In addition, first responders are not always trained and equipped to meet their specific needs. </w:t>
      </w:r>
    </w:p>
    <w:p w14:paraId="051E0431"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The Commission will seek to make the EU safer and more resilient to threats by enhancing its ability to anticipate, prevent, prepare for and manage crises. To achieve this, it will promote a </w:t>
      </w:r>
      <w:r w:rsidRPr="002D57F2">
        <w:rPr>
          <w:rFonts w:ascii="Arial" w:hAnsi="Arial" w:cs="Arial"/>
          <w:b/>
          <w:bCs/>
          <w:sz w:val="24"/>
          <w:szCs w:val="24"/>
        </w:rPr>
        <w:t>stronger and more inclusive culture of preparedness</w:t>
      </w:r>
      <w:r w:rsidRPr="002D57F2">
        <w:rPr>
          <w:rFonts w:ascii="Arial" w:hAnsi="Arial" w:cs="Arial"/>
          <w:sz w:val="24"/>
          <w:szCs w:val="24"/>
        </w:rPr>
        <w:t xml:space="preserve"> in line with the </w:t>
      </w:r>
      <w:hyperlink r:id="rId90">
        <w:r w:rsidRPr="002D57F2">
          <w:rPr>
            <w:rStyle w:val="Hyperlink"/>
            <w:rFonts w:ascii="Arial" w:hAnsi="Arial" w:cs="Arial"/>
            <w:sz w:val="24"/>
            <w:szCs w:val="24"/>
          </w:rPr>
          <w:t>Preparedness Union Strategy</w:t>
        </w:r>
      </w:hyperlink>
      <w:r w:rsidRPr="002D57F2">
        <w:rPr>
          <w:rFonts w:ascii="Arial" w:hAnsi="Arial" w:cs="Arial"/>
        </w:rPr>
        <w:t>,</w:t>
      </w:r>
      <w:r w:rsidRPr="002D57F2">
        <w:rPr>
          <w:rFonts w:ascii="Arial" w:hAnsi="Arial" w:cs="Arial"/>
          <w:sz w:val="24"/>
          <w:szCs w:val="24"/>
        </w:rPr>
        <w:t xml:space="preserve"> and making use of the </w:t>
      </w:r>
      <w:hyperlink r:id="rId91">
        <w:r w:rsidRPr="002D57F2">
          <w:rPr>
            <w:rStyle w:val="Hyperlink"/>
            <w:rFonts w:ascii="Arial" w:hAnsi="Arial" w:cs="Arial"/>
            <w:sz w:val="24"/>
            <w:szCs w:val="24"/>
          </w:rPr>
          <w:t>Union Civil Protection Mechanism</w:t>
        </w:r>
      </w:hyperlink>
      <w:r w:rsidRPr="002D57F2">
        <w:rPr>
          <w:rFonts w:ascii="Arial" w:hAnsi="Arial" w:cs="Arial"/>
          <w:sz w:val="24"/>
          <w:szCs w:val="24"/>
        </w:rPr>
        <w:t xml:space="preserve"> (UCPM)</w:t>
      </w:r>
      <w:hyperlink r:id="rId92" w:history="1"/>
      <w:r w:rsidRPr="002D57F2">
        <w:rPr>
          <w:rFonts w:ascii="Arial" w:hAnsi="Arial" w:cs="Arial"/>
          <w:sz w:val="24"/>
          <w:szCs w:val="24"/>
        </w:rPr>
        <w:t>.</w:t>
      </w:r>
    </w:p>
    <w:p w14:paraId="6B936D24"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sz w:val="24"/>
          <w:szCs w:val="24"/>
        </w:rPr>
      </w:pPr>
      <w:r w:rsidRPr="002D57F2">
        <w:rPr>
          <w:rFonts w:ascii="Arial" w:hAnsi="Arial" w:cs="Arial"/>
          <w:b/>
          <w:bCs/>
          <w:sz w:val="24"/>
          <w:szCs w:val="24"/>
        </w:rPr>
        <w:t>FLAGSHIP INITIATIVE – Prepared for anything, prepared for everyone</w:t>
      </w:r>
    </w:p>
    <w:p w14:paraId="11CEF7C4" w14:textId="2A752222"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120" w:after="360" w:line="288" w:lineRule="auto"/>
        <w:rPr>
          <w:rFonts w:ascii="Arial" w:hAnsi="Arial" w:cs="Arial"/>
          <w:b/>
          <w:bCs/>
          <w:sz w:val="24"/>
          <w:szCs w:val="24"/>
        </w:rPr>
      </w:pPr>
      <w:r w:rsidRPr="002D57F2">
        <w:rPr>
          <w:rFonts w:ascii="Arial" w:hAnsi="Arial" w:cs="Arial"/>
          <w:sz w:val="24"/>
          <w:szCs w:val="24"/>
        </w:rPr>
        <w:t xml:space="preserve">The Commission will seek to make preparedness and crisis management more </w:t>
      </w:r>
      <w:r w:rsidR="00CC0C2C" w:rsidRPr="002D57F2">
        <w:rPr>
          <w:rFonts w:ascii="Arial" w:hAnsi="Arial" w:cs="Arial"/>
          <w:sz w:val="24"/>
          <w:szCs w:val="24"/>
        </w:rPr>
        <w:t>disability inclusive</w:t>
      </w:r>
      <w:r w:rsidRPr="002D57F2">
        <w:rPr>
          <w:rFonts w:ascii="Arial" w:hAnsi="Arial" w:cs="Arial"/>
          <w:sz w:val="24"/>
          <w:szCs w:val="24"/>
        </w:rPr>
        <w:t xml:space="preserve">. </w:t>
      </w:r>
      <w:r w:rsidRPr="002D57F2">
        <w:rPr>
          <w:rFonts w:ascii="Arial" w:hAnsi="Arial" w:cs="Arial"/>
          <w:b/>
          <w:bCs/>
          <w:sz w:val="24"/>
          <w:szCs w:val="24"/>
        </w:rPr>
        <w:t xml:space="preserve">The initiative will include: </w:t>
      </w:r>
      <w:r w:rsidRPr="002D57F2">
        <w:rPr>
          <w:rFonts w:ascii="Arial" w:hAnsi="Arial" w:cs="Arial"/>
          <w:sz w:val="24"/>
          <w:szCs w:val="24"/>
        </w:rPr>
        <w:t>(i) gaps analysis and stakeholder mapping of the situation of persons with disabilities in terms of disaster response and preparedness; (ii) guidelines for first responders, including emergency number 112 </w:t>
      </w:r>
      <w:r w:rsidRPr="002D57F2">
        <w:rPr>
          <w:rFonts w:ascii="Arial" w:hAnsi="Arial" w:cs="Arial"/>
          <w:sz w:val="24"/>
          <w:szCs w:val="24"/>
          <w:vertAlign w:val="superscript"/>
        </w:rPr>
        <w:t>(</w:t>
      </w:r>
      <w:r w:rsidRPr="002D57F2">
        <w:rPr>
          <w:rStyle w:val="FootnoteReference"/>
          <w:rFonts w:ascii="Arial" w:hAnsi="Arial" w:cs="Arial"/>
        </w:rPr>
        <w:footnoteReference w:id="19"/>
      </w:r>
      <w:r w:rsidRPr="002D57F2">
        <w:rPr>
          <w:rFonts w:ascii="Arial" w:hAnsi="Arial" w:cs="Arial"/>
          <w:sz w:val="24"/>
          <w:szCs w:val="24"/>
          <w:vertAlign w:val="superscript"/>
        </w:rPr>
        <w:t>)</w:t>
      </w:r>
      <w:r w:rsidRPr="002D57F2">
        <w:rPr>
          <w:rFonts w:ascii="Arial" w:hAnsi="Arial" w:cs="Arial"/>
          <w:sz w:val="24"/>
          <w:szCs w:val="24"/>
        </w:rPr>
        <w:t xml:space="preserve"> operators, and for persons with disabilities and their carers on how to act in an emergency; (iii) training curricula for first responders on how to recognise a type of disability and determine the appropriate course of action; and (iv) awarding a civil protection medal </w:t>
      </w:r>
      <w:r w:rsidRPr="002D57F2">
        <w:rPr>
          <w:rFonts w:ascii="Arial" w:hAnsi="Arial" w:cs="Arial"/>
          <w:sz w:val="24"/>
          <w:szCs w:val="24"/>
          <w:vertAlign w:val="superscript"/>
        </w:rPr>
        <w:t>(</w:t>
      </w:r>
      <w:r w:rsidRPr="002D57F2">
        <w:rPr>
          <w:rStyle w:val="FootnoteReference"/>
          <w:rFonts w:ascii="Arial" w:hAnsi="Arial" w:cs="Arial"/>
        </w:rPr>
        <w:footnoteReference w:id="20"/>
      </w:r>
      <w:r w:rsidRPr="002D57F2">
        <w:rPr>
          <w:rFonts w:ascii="Arial" w:hAnsi="Arial" w:cs="Arial"/>
          <w:sz w:val="24"/>
          <w:szCs w:val="24"/>
          <w:vertAlign w:val="superscript"/>
        </w:rPr>
        <w:t>)</w:t>
      </w:r>
      <w:r w:rsidRPr="002D57F2">
        <w:rPr>
          <w:rFonts w:ascii="Arial" w:hAnsi="Arial" w:cs="Arial"/>
          <w:sz w:val="24"/>
          <w:szCs w:val="24"/>
        </w:rPr>
        <w:t>at the Civil Protection Forum</w:t>
      </w:r>
      <w:r w:rsidRPr="002D57F2" w:rsidDel="00ED492A">
        <w:rPr>
          <w:rFonts w:ascii="Arial" w:hAnsi="Arial" w:cs="Arial"/>
          <w:sz w:val="24"/>
          <w:szCs w:val="24"/>
        </w:rPr>
        <w:t xml:space="preserve"> </w:t>
      </w:r>
      <w:r w:rsidRPr="002D57F2">
        <w:rPr>
          <w:rFonts w:ascii="Arial" w:hAnsi="Arial" w:cs="Arial"/>
          <w:sz w:val="24"/>
          <w:szCs w:val="24"/>
        </w:rPr>
        <w:t>for ‘extraordinary contribution to the UCPM in the field of disability inclusion’ in 2026.</w:t>
      </w:r>
    </w:p>
    <w:p w14:paraId="76181F15" w14:textId="2E927B8E" w:rsidR="007453BC" w:rsidRPr="002D57F2" w:rsidRDefault="007453BC" w:rsidP="007453BC">
      <w:pPr>
        <w:pStyle w:val="Heading3"/>
        <w:rPr>
          <w:rFonts w:ascii="Arial" w:hAnsi="Arial" w:cs="Arial"/>
        </w:rPr>
      </w:pPr>
      <w:bookmarkStart w:id="21" w:name="_Toc228880185"/>
      <w:r w:rsidRPr="009852CB">
        <w:rPr>
          <w:rFonts w:ascii="Arial" w:hAnsi="Arial" w:cs="Arial"/>
        </w:rPr>
        <w:t>Participation in cultural life, sport, travel</w:t>
      </w:r>
      <w:r>
        <w:rPr>
          <w:rFonts w:ascii="Arial" w:hAnsi="Arial" w:cs="Arial"/>
        </w:rPr>
        <w:t xml:space="preserve"> and leisure</w:t>
      </w:r>
      <w:bookmarkEnd w:id="21"/>
    </w:p>
    <w:p w14:paraId="48DF5EEB"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b/>
          <w:bCs/>
          <w:sz w:val="24"/>
          <w:szCs w:val="24"/>
        </w:rPr>
        <w:t>Strong inequalities</w:t>
      </w:r>
      <w:r w:rsidRPr="002D57F2">
        <w:rPr>
          <w:rFonts w:ascii="Arial" w:hAnsi="Arial" w:cs="Arial"/>
          <w:sz w:val="24"/>
          <w:szCs w:val="24"/>
        </w:rPr>
        <w:t xml:space="preserve"> in access to and participation in culture affect persons with disabilities, </w:t>
      </w:r>
      <w:r w:rsidRPr="002D57F2">
        <w:rPr>
          <w:rFonts w:ascii="Arial" w:hAnsi="Arial" w:cs="Arial"/>
          <w:b/>
          <w:bCs/>
          <w:sz w:val="24"/>
          <w:szCs w:val="24"/>
        </w:rPr>
        <w:t>as artists, cultural workers and audiences</w:t>
      </w:r>
      <w:r w:rsidRPr="002D57F2">
        <w:rPr>
          <w:rFonts w:ascii="Arial" w:hAnsi="Arial" w:cs="Arial"/>
          <w:sz w:val="24"/>
          <w:szCs w:val="24"/>
        </w:rPr>
        <w:t xml:space="preserve">. For persons with disabilities participating in cultural and sport events, travel and leisure is often difficult because venues and services are not accessible, as well as due to persisting stereotypes and additional costs. This hampers their personal development and prevents their inclusion in society. The </w:t>
      </w:r>
      <w:hyperlink r:id="rId93" w:history="1">
        <w:r w:rsidRPr="002D57F2">
          <w:rPr>
            <w:rStyle w:val="Hyperlink"/>
            <w:rFonts w:ascii="Arial" w:hAnsi="Arial" w:cs="Arial"/>
            <w:sz w:val="24"/>
            <w:szCs w:val="24"/>
          </w:rPr>
          <w:t>Culture Compass for Europe</w:t>
        </w:r>
      </w:hyperlink>
      <w:r w:rsidRPr="002D57F2">
        <w:rPr>
          <w:rFonts w:ascii="Arial" w:hAnsi="Arial" w:cs="Arial"/>
          <w:b/>
          <w:bCs/>
          <w:sz w:val="24"/>
          <w:szCs w:val="24"/>
        </w:rPr>
        <w:t xml:space="preserve"> </w:t>
      </w:r>
      <w:r w:rsidRPr="002D57F2">
        <w:rPr>
          <w:rFonts w:ascii="Arial" w:hAnsi="Arial" w:cs="Arial"/>
          <w:sz w:val="24"/>
          <w:szCs w:val="24"/>
        </w:rPr>
        <w:t xml:space="preserve">has identified </w:t>
      </w:r>
      <w:r w:rsidRPr="002D57F2">
        <w:rPr>
          <w:rFonts w:ascii="Arial" w:hAnsi="Arial" w:cs="Arial"/>
          <w:b/>
          <w:bCs/>
          <w:sz w:val="24"/>
          <w:szCs w:val="24"/>
        </w:rPr>
        <w:t>barriers linked to disability</w:t>
      </w:r>
      <w:r w:rsidRPr="002D57F2">
        <w:rPr>
          <w:rFonts w:ascii="Arial" w:hAnsi="Arial" w:cs="Arial"/>
          <w:sz w:val="24"/>
          <w:szCs w:val="24"/>
        </w:rPr>
        <w:t xml:space="preserve"> as one of the factors that affect participation in culture, calling for inclusive cultural policies, sustained investment and inclusive and accessible design of cultural infrastructure and programmes.</w:t>
      </w:r>
    </w:p>
    <w:p w14:paraId="3C49315E" w14:textId="0505136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By 2028 the Commission will draw up a</w:t>
      </w:r>
      <w:r w:rsidRPr="002D57F2">
        <w:rPr>
          <w:rFonts w:ascii="Arial" w:hAnsi="Arial" w:cs="Arial"/>
          <w:b/>
          <w:bCs/>
          <w:sz w:val="24"/>
          <w:szCs w:val="24"/>
        </w:rPr>
        <w:t xml:space="preserve"> </w:t>
      </w:r>
      <w:r w:rsidRPr="009852CB">
        <w:rPr>
          <w:rFonts w:ascii="Arial" w:hAnsi="Arial" w:cs="Arial"/>
          <w:sz w:val="24"/>
          <w:szCs w:val="24"/>
        </w:rPr>
        <w:t xml:space="preserve">report to support Member </w:t>
      </w:r>
      <w:r w:rsidR="00CC0C2C" w:rsidRPr="009852CB">
        <w:rPr>
          <w:rFonts w:ascii="Arial" w:hAnsi="Arial" w:cs="Arial"/>
          <w:sz w:val="24"/>
          <w:szCs w:val="24"/>
        </w:rPr>
        <w:t>States in</w:t>
      </w:r>
      <w:r>
        <w:rPr>
          <w:rFonts w:ascii="Arial" w:hAnsi="Arial" w:cs="Arial"/>
          <w:sz w:val="24"/>
          <w:szCs w:val="24"/>
        </w:rPr>
        <w:t xml:space="preserve"> increasing </w:t>
      </w:r>
      <w:r w:rsidRPr="009852CB">
        <w:rPr>
          <w:rFonts w:ascii="Arial" w:hAnsi="Arial" w:cs="Arial"/>
          <w:sz w:val="24"/>
          <w:szCs w:val="24"/>
        </w:rPr>
        <w:t>the</w:t>
      </w:r>
      <w:r>
        <w:rPr>
          <w:rFonts w:ascii="Arial" w:hAnsi="Arial" w:cs="Arial"/>
          <w:b/>
          <w:bCs/>
          <w:sz w:val="24"/>
          <w:szCs w:val="24"/>
        </w:rPr>
        <w:t xml:space="preserve"> participation of</w:t>
      </w:r>
      <w:r w:rsidRPr="002D57F2">
        <w:rPr>
          <w:rFonts w:ascii="Arial" w:hAnsi="Arial" w:cs="Arial"/>
          <w:b/>
          <w:bCs/>
          <w:sz w:val="24"/>
          <w:szCs w:val="24"/>
        </w:rPr>
        <w:t xml:space="preserve"> persons with disabilities in cultur</w:t>
      </w:r>
      <w:r>
        <w:rPr>
          <w:rFonts w:ascii="Arial" w:hAnsi="Arial" w:cs="Arial"/>
          <w:b/>
          <w:bCs/>
          <w:sz w:val="24"/>
          <w:szCs w:val="24"/>
        </w:rPr>
        <w:t>e</w:t>
      </w:r>
      <w:r w:rsidRPr="002D57F2">
        <w:rPr>
          <w:rFonts w:ascii="Arial" w:hAnsi="Arial" w:cs="Arial"/>
          <w:sz w:val="24"/>
          <w:szCs w:val="24"/>
        </w:rPr>
        <w:t xml:space="preserve">. Organisations representing persons with disabilities will be consulted on the </w:t>
      </w:r>
      <w:r w:rsidRPr="002D57F2">
        <w:rPr>
          <w:rFonts w:ascii="Arial" w:hAnsi="Arial" w:cs="Arial"/>
          <w:b/>
          <w:bCs/>
          <w:sz w:val="24"/>
          <w:szCs w:val="24"/>
        </w:rPr>
        <w:t>forthcoming EU Artists Charter</w:t>
      </w:r>
      <w:r w:rsidRPr="002D57F2">
        <w:rPr>
          <w:rFonts w:ascii="Arial" w:hAnsi="Arial" w:cs="Arial"/>
          <w:sz w:val="24"/>
          <w:szCs w:val="24"/>
        </w:rPr>
        <w:t xml:space="preserve">. </w:t>
      </w:r>
      <w:r w:rsidRPr="00BA4DE7">
        <w:rPr>
          <w:rFonts w:ascii="Arial" w:hAnsi="Arial" w:cs="Arial"/>
          <w:sz w:val="24"/>
          <w:szCs w:val="24"/>
        </w:rPr>
        <w:t xml:space="preserve">The Commission will also support, through the </w:t>
      </w:r>
      <w:hyperlink r:id="rId94" w:history="1">
        <w:r w:rsidRPr="00BA4DE7">
          <w:rPr>
            <w:rStyle w:val="Hyperlink"/>
            <w:rFonts w:ascii="Arial" w:hAnsi="Arial" w:cs="Arial"/>
            <w:sz w:val="24"/>
            <w:szCs w:val="24"/>
          </w:rPr>
          <w:t>DiscoverEU Inclusion Action</w:t>
        </w:r>
      </w:hyperlink>
      <w:r w:rsidRPr="00BA4DE7">
        <w:rPr>
          <w:rFonts w:ascii="Arial" w:hAnsi="Arial" w:cs="Arial"/>
          <w:sz w:val="24"/>
          <w:szCs w:val="24"/>
        </w:rPr>
        <w:t xml:space="preserve">, young people with fewer opportunities, </w:t>
      </w:r>
      <w:r w:rsidRPr="009852CB">
        <w:rPr>
          <w:rFonts w:ascii="Arial" w:hAnsi="Arial" w:cs="Arial"/>
          <w:sz w:val="24"/>
          <w:szCs w:val="24"/>
        </w:rPr>
        <w:t xml:space="preserve">including </w:t>
      </w:r>
      <w:r w:rsidR="007453BC" w:rsidRPr="009852CB">
        <w:rPr>
          <w:rFonts w:ascii="Arial" w:hAnsi="Arial" w:cs="Arial"/>
          <w:sz w:val="24"/>
          <w:szCs w:val="24"/>
        </w:rPr>
        <w:t xml:space="preserve">young persons </w:t>
      </w:r>
      <w:r w:rsidR="007453BC" w:rsidRPr="00BA4DE7">
        <w:rPr>
          <w:rFonts w:ascii="Arial" w:hAnsi="Arial" w:cs="Arial"/>
          <w:sz w:val="24"/>
          <w:szCs w:val="24"/>
        </w:rPr>
        <w:t>with disabilities</w:t>
      </w:r>
      <w:r w:rsidRPr="00BA4DE7">
        <w:rPr>
          <w:rFonts w:ascii="Arial" w:hAnsi="Arial" w:cs="Arial"/>
          <w:sz w:val="24"/>
          <w:szCs w:val="24"/>
        </w:rPr>
        <w:t xml:space="preserve">. The Commission will further promote inclusion and accessibility in sport, including through the </w:t>
      </w:r>
      <w:hyperlink r:id="rId95" w:history="1">
        <w:r w:rsidRPr="00BA4DE7">
          <w:rPr>
            <w:rStyle w:val="Hyperlink"/>
            <w:rFonts w:ascii="Arial" w:hAnsi="Arial" w:cs="Arial"/>
            <w:sz w:val="24"/>
            <w:szCs w:val="24"/>
          </w:rPr>
          <w:t>#BeActive EU Sport Awards</w:t>
        </w:r>
      </w:hyperlink>
      <w:r w:rsidRPr="00BA4DE7">
        <w:rPr>
          <w:rFonts w:ascii="Arial" w:hAnsi="Arial" w:cs="Arial"/>
          <w:sz w:val="24"/>
          <w:szCs w:val="24"/>
        </w:rPr>
        <w:t xml:space="preserve"> “Inclusion” category and the </w:t>
      </w:r>
      <w:hyperlink r:id="rId96" w:history="1">
        <w:r w:rsidRPr="00BA4DE7">
          <w:rPr>
            <w:rStyle w:val="Hyperlink"/>
            <w:rFonts w:ascii="Arial" w:hAnsi="Arial" w:cs="Arial"/>
            <w:sz w:val="24"/>
            <w:szCs w:val="24"/>
          </w:rPr>
          <w:t>European Week of Sports campaign</w:t>
        </w:r>
      </w:hyperlink>
      <w:r w:rsidRPr="00BA4DE7">
        <w:rPr>
          <w:rFonts w:ascii="Arial" w:hAnsi="Arial" w:cs="Arial"/>
          <w:sz w:val="24"/>
          <w:szCs w:val="24"/>
        </w:rPr>
        <w:t>.</w:t>
      </w:r>
    </w:p>
    <w:p w14:paraId="5EF7AE60" w14:textId="77777777" w:rsidR="00FB01BD" w:rsidRPr="002D57F2" w:rsidRDefault="00FB01BD" w:rsidP="00B540AD">
      <w:pPr>
        <w:pStyle w:val="Style2"/>
        <w:keepNext/>
        <w:keepLines/>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sz w:val="24"/>
          <w:szCs w:val="24"/>
        </w:rPr>
      </w:pPr>
      <w:r w:rsidRPr="002D57F2">
        <w:rPr>
          <w:rFonts w:ascii="Arial" w:hAnsi="Arial" w:cs="Arial"/>
          <w:b/>
          <w:bCs/>
          <w:sz w:val="24"/>
          <w:szCs w:val="24"/>
          <w:lang w:eastAsia="en-IE"/>
        </w:rPr>
        <w:t>The Commission calls on the EU Member States to:</w:t>
      </w:r>
    </w:p>
    <w:p w14:paraId="5EE980CD" w14:textId="77777777" w:rsidR="00FB01BD" w:rsidRPr="002D57F2" w:rsidRDefault="00FB01BD" w:rsidP="00B540AD">
      <w:pPr>
        <w:pStyle w:val="Style2"/>
        <w:keepNext/>
        <w:keepLines/>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sz w:val="24"/>
          <w:szCs w:val="24"/>
        </w:rPr>
      </w:pPr>
      <w:r w:rsidRPr="002D57F2">
        <w:rPr>
          <w:rFonts w:ascii="Arial" w:hAnsi="Arial" w:cs="Arial"/>
          <w:sz w:val="24"/>
          <w:szCs w:val="24"/>
        </w:rPr>
        <w:t xml:space="preserve">promote the inclusion of children, adolescents and young persons with disabilities in mainstream education, by removing barriers in the school environment, making available accessible and adapted learning materials and adopting individualised teaching </w:t>
      </w:r>
      <w:proofErr w:type="gramStart"/>
      <w:r w:rsidRPr="002D57F2">
        <w:rPr>
          <w:rFonts w:ascii="Arial" w:hAnsi="Arial" w:cs="Arial"/>
          <w:sz w:val="24"/>
          <w:szCs w:val="24"/>
        </w:rPr>
        <w:t>approaches;</w:t>
      </w:r>
      <w:proofErr w:type="gramEnd"/>
    </w:p>
    <w:p w14:paraId="3EFF0FD7" w14:textId="04917A30" w:rsidR="00FB01BD" w:rsidRPr="002D57F2" w:rsidRDefault="00FB01BD" w:rsidP="00B540AD">
      <w:pPr>
        <w:pStyle w:val="Style2"/>
        <w:keepNext/>
        <w:keepLines/>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sz w:val="24"/>
          <w:szCs w:val="24"/>
        </w:rPr>
      </w:pPr>
      <w:r w:rsidRPr="002D57F2">
        <w:rPr>
          <w:rFonts w:ascii="Arial" w:hAnsi="Arial" w:cs="Arial"/>
          <w:sz w:val="24"/>
          <w:szCs w:val="24"/>
        </w:rPr>
        <w:t xml:space="preserve">improve access to healthcare, including through training of professionals based on </w:t>
      </w:r>
      <w:r w:rsidR="007453BC" w:rsidRPr="002D57F2">
        <w:rPr>
          <w:rFonts w:ascii="Arial" w:hAnsi="Arial" w:cs="Arial"/>
          <w:sz w:val="24"/>
          <w:szCs w:val="24"/>
        </w:rPr>
        <w:t xml:space="preserve">the </w:t>
      </w:r>
      <w:r w:rsidR="007453BC" w:rsidRPr="007453BC">
        <w:rPr>
          <w:rFonts w:ascii="Arial" w:hAnsi="Arial" w:cs="Arial"/>
          <w:sz w:val="24"/>
          <w:szCs w:val="24"/>
        </w:rPr>
        <w:t>UN Convention on the Rights of Persons with Disabilities</w:t>
      </w:r>
      <w:r w:rsidR="007453BC" w:rsidRPr="002D57F2">
        <w:rPr>
          <w:rFonts w:ascii="Arial" w:hAnsi="Arial" w:cs="Arial"/>
          <w:sz w:val="24"/>
          <w:szCs w:val="24"/>
        </w:rPr>
        <w:t xml:space="preserve"> </w:t>
      </w:r>
      <w:r w:rsidRPr="002D57F2">
        <w:rPr>
          <w:rFonts w:ascii="Arial" w:hAnsi="Arial" w:cs="Arial"/>
          <w:sz w:val="24"/>
          <w:szCs w:val="24"/>
        </w:rPr>
        <w:t xml:space="preserve">orientations and removing administrative and practical </w:t>
      </w:r>
      <w:proofErr w:type="gramStart"/>
      <w:r w:rsidRPr="002D57F2">
        <w:rPr>
          <w:rFonts w:ascii="Arial" w:hAnsi="Arial" w:cs="Arial"/>
          <w:sz w:val="24"/>
          <w:szCs w:val="24"/>
        </w:rPr>
        <w:t>barriers;</w:t>
      </w:r>
      <w:proofErr w:type="gramEnd"/>
    </w:p>
    <w:p w14:paraId="5A0F7D00" w14:textId="5C093929" w:rsidR="00FB01BD" w:rsidRPr="002D57F2" w:rsidRDefault="00FB01BD" w:rsidP="00B540AD">
      <w:pPr>
        <w:pStyle w:val="Style2"/>
        <w:keepNext/>
        <w:keepLines/>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line="288" w:lineRule="auto"/>
        <w:ind w:left="360"/>
        <w:rPr>
          <w:rFonts w:ascii="Arial" w:hAnsi="Arial" w:cs="Arial"/>
          <w:sz w:val="24"/>
          <w:szCs w:val="24"/>
        </w:rPr>
      </w:pPr>
      <w:r w:rsidRPr="002D57F2">
        <w:rPr>
          <w:rFonts w:ascii="Arial" w:hAnsi="Arial" w:cs="Arial"/>
          <w:sz w:val="24"/>
          <w:szCs w:val="24"/>
        </w:rPr>
        <w:t xml:space="preserve">strengthen capacity-building in the justice sector in line with </w:t>
      </w:r>
      <w:r w:rsidR="007453BC" w:rsidRPr="002D57F2">
        <w:rPr>
          <w:rFonts w:ascii="Arial" w:hAnsi="Arial" w:cs="Arial"/>
          <w:sz w:val="24"/>
          <w:szCs w:val="24"/>
        </w:rPr>
        <w:t>the</w:t>
      </w:r>
      <w:r w:rsidR="007453BC">
        <w:rPr>
          <w:rFonts w:ascii="Arial" w:hAnsi="Arial" w:cs="Arial"/>
          <w:sz w:val="24"/>
          <w:szCs w:val="24"/>
        </w:rPr>
        <w:t xml:space="preserve"> </w:t>
      </w:r>
      <w:r w:rsidR="007453BC" w:rsidRPr="007453BC">
        <w:rPr>
          <w:rFonts w:ascii="Arial" w:hAnsi="Arial" w:cs="Arial"/>
          <w:sz w:val="24"/>
          <w:szCs w:val="24"/>
        </w:rPr>
        <w:t>UN Convention on the Rights of Persons with Disabilitie</w:t>
      </w:r>
      <w:r w:rsidR="007453BC">
        <w:rPr>
          <w:rFonts w:ascii="Arial" w:hAnsi="Arial" w:cs="Arial"/>
          <w:sz w:val="24"/>
          <w:szCs w:val="24"/>
        </w:rPr>
        <w:t>s</w:t>
      </w:r>
      <w:r w:rsidR="007453BC" w:rsidRPr="002D57F2">
        <w:rPr>
          <w:rFonts w:ascii="Arial" w:hAnsi="Arial" w:cs="Arial"/>
          <w:sz w:val="24"/>
          <w:szCs w:val="24"/>
        </w:rPr>
        <w:t xml:space="preserve"> requirements </w:t>
      </w:r>
      <w:r w:rsidRPr="002D57F2">
        <w:rPr>
          <w:rFonts w:ascii="Arial" w:hAnsi="Arial" w:cs="Arial"/>
          <w:sz w:val="24"/>
          <w:szCs w:val="24"/>
        </w:rPr>
        <w:t xml:space="preserve">and ensure that victims with disabilities have access to justice and appropriate protection measures, including accessible complaint and redress </w:t>
      </w:r>
      <w:proofErr w:type="gramStart"/>
      <w:r w:rsidRPr="002D57F2">
        <w:rPr>
          <w:rFonts w:ascii="Arial" w:hAnsi="Arial" w:cs="Arial"/>
          <w:sz w:val="24"/>
          <w:szCs w:val="24"/>
        </w:rPr>
        <w:t>mechanisms;</w:t>
      </w:r>
      <w:proofErr w:type="gramEnd"/>
    </w:p>
    <w:p w14:paraId="1F3B574C" w14:textId="77777777" w:rsidR="00FB01BD" w:rsidRPr="002D57F2" w:rsidRDefault="00FB01BD" w:rsidP="00FB01BD">
      <w:pPr>
        <w:rPr>
          <w:rFonts w:ascii="Arial" w:eastAsiaTheme="majorEastAsia" w:hAnsi="Arial" w:cs="Arial"/>
          <w:b/>
          <w:sz w:val="28"/>
          <w:szCs w:val="28"/>
          <w:lang w:val="en-GB"/>
        </w:rPr>
      </w:pPr>
      <w:r w:rsidRPr="002D57F2">
        <w:rPr>
          <w:rFonts w:ascii="Arial" w:hAnsi="Arial" w:cs="Arial"/>
          <w:lang w:val="en-GB"/>
        </w:rPr>
        <w:br w:type="page"/>
      </w:r>
    </w:p>
    <w:p w14:paraId="4290C079" w14:textId="77777777" w:rsidR="00FB01BD" w:rsidRPr="002D57F2" w:rsidRDefault="00FB01BD" w:rsidP="00FB01BD">
      <w:pPr>
        <w:pStyle w:val="Heading1"/>
        <w:numPr>
          <w:ilvl w:val="0"/>
          <w:numId w:val="17"/>
        </w:numPr>
        <w:rPr>
          <w:rFonts w:ascii="Arial" w:hAnsi="Arial" w:cs="Arial"/>
        </w:rPr>
      </w:pPr>
      <w:bookmarkStart w:id="22" w:name="_Toc228880186"/>
      <w:r w:rsidRPr="002D57F2">
        <w:rPr>
          <w:rFonts w:ascii="Arial" w:hAnsi="Arial" w:cs="Arial"/>
        </w:rPr>
        <w:t>ENGAGING AND DELIVERING</w:t>
      </w:r>
      <w:bookmarkEnd w:id="22"/>
    </w:p>
    <w:p w14:paraId="4634AED5" w14:textId="77777777" w:rsidR="00FB01BD" w:rsidRPr="002D57F2" w:rsidRDefault="00FB01BD" w:rsidP="00FB01BD">
      <w:pPr>
        <w:pStyle w:val="Heading2"/>
        <w:rPr>
          <w:rFonts w:ascii="Arial" w:hAnsi="Arial" w:cs="Arial"/>
        </w:rPr>
      </w:pPr>
      <w:bookmarkStart w:id="23" w:name="_Toc228880187"/>
      <w:r w:rsidRPr="002D57F2">
        <w:rPr>
          <w:rFonts w:ascii="Arial" w:hAnsi="Arial" w:cs="Arial"/>
        </w:rPr>
        <w:t>Promoting the rights of persons with disabilities globally</w:t>
      </w:r>
      <w:bookmarkEnd w:id="23"/>
      <w:r w:rsidRPr="002D57F2">
        <w:rPr>
          <w:rFonts w:ascii="Arial" w:hAnsi="Arial" w:cs="Arial"/>
        </w:rPr>
        <w:t xml:space="preserve"> </w:t>
      </w:r>
    </w:p>
    <w:p w14:paraId="6E240927" w14:textId="77777777" w:rsidR="00FB01BD" w:rsidRPr="002D57F2" w:rsidRDefault="00FB01BD" w:rsidP="00FB01BD">
      <w:pPr>
        <w:pStyle w:val="Heading3"/>
        <w:rPr>
          <w:rFonts w:ascii="Arial" w:hAnsi="Arial" w:cs="Arial"/>
        </w:rPr>
      </w:pPr>
      <w:bookmarkStart w:id="24" w:name="_Toc228880188"/>
      <w:r w:rsidRPr="002D57F2">
        <w:rPr>
          <w:rFonts w:ascii="Arial" w:hAnsi="Arial" w:cs="Arial"/>
        </w:rPr>
        <w:t>External action</w:t>
      </w:r>
      <w:bookmarkEnd w:id="24"/>
    </w:p>
    <w:p w14:paraId="77800CF5"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Over one billion people, or </w:t>
      </w:r>
      <w:r w:rsidRPr="002D57F2">
        <w:rPr>
          <w:rFonts w:ascii="Arial" w:hAnsi="Arial" w:cs="Arial"/>
          <w:b/>
          <w:bCs/>
          <w:sz w:val="24"/>
          <w:szCs w:val="24"/>
        </w:rPr>
        <w:t>16% of the world’s population, have a form of disability </w:t>
      </w:r>
      <w:r w:rsidRPr="002D57F2">
        <w:rPr>
          <w:rFonts w:ascii="Arial" w:hAnsi="Arial" w:cs="Arial"/>
          <w:sz w:val="24"/>
          <w:szCs w:val="24"/>
          <w:vertAlign w:val="superscript"/>
        </w:rPr>
        <w:t>(</w:t>
      </w:r>
      <w:r w:rsidRPr="002D57F2">
        <w:rPr>
          <w:rStyle w:val="FootnoteReference"/>
          <w:rFonts w:ascii="Arial" w:hAnsi="Arial" w:cs="Arial"/>
        </w:rPr>
        <w:footnoteReference w:id="21"/>
      </w:r>
      <w:r w:rsidRPr="002D57F2">
        <w:rPr>
          <w:rFonts w:ascii="Arial" w:hAnsi="Arial" w:cs="Arial"/>
          <w:sz w:val="24"/>
          <w:szCs w:val="24"/>
          <w:vertAlign w:val="superscript"/>
        </w:rPr>
        <w:t>)</w:t>
      </w:r>
      <w:r w:rsidRPr="002D57F2">
        <w:rPr>
          <w:rFonts w:ascii="Arial" w:hAnsi="Arial" w:cs="Arial"/>
          <w:sz w:val="24"/>
          <w:szCs w:val="24"/>
        </w:rPr>
        <w:t>, and this is set to increase due to the global ageing trend. Conflict-related injuries and the rising prevalence of non-communicable diseases also have an impact on disability incidence across the world.</w:t>
      </w:r>
    </w:p>
    <w:p w14:paraId="067E1383"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Further to the </w:t>
      </w:r>
      <w:hyperlink r:id="rId97" w:history="1">
        <w:r w:rsidRPr="002D57F2">
          <w:rPr>
            <w:rStyle w:val="Hyperlink"/>
            <w:rFonts w:ascii="Arial" w:hAnsi="Arial" w:cs="Arial"/>
            <w:sz w:val="24"/>
            <w:szCs w:val="24"/>
          </w:rPr>
          <w:t>commitments</w:t>
        </w:r>
      </w:hyperlink>
      <w:r w:rsidRPr="002D57F2">
        <w:rPr>
          <w:rFonts w:ascii="Arial" w:hAnsi="Arial" w:cs="Arial"/>
          <w:sz w:val="24"/>
          <w:szCs w:val="24"/>
        </w:rPr>
        <w:t xml:space="preserve"> undertaken at the </w:t>
      </w:r>
      <w:r w:rsidRPr="002D57F2">
        <w:rPr>
          <w:rFonts w:ascii="Arial" w:hAnsi="Arial" w:cs="Arial"/>
          <w:b/>
          <w:bCs/>
          <w:sz w:val="24"/>
          <w:szCs w:val="24"/>
        </w:rPr>
        <w:t>2025 Global Disability Summit</w:t>
      </w:r>
      <w:r w:rsidRPr="002D57F2">
        <w:rPr>
          <w:rFonts w:ascii="Arial" w:hAnsi="Arial" w:cs="Arial"/>
          <w:sz w:val="24"/>
          <w:szCs w:val="24"/>
        </w:rPr>
        <w:t xml:space="preserve">, disability will be high on the agenda of EU’s high-level policy dialogues with third countries. This will include </w:t>
      </w:r>
      <w:r w:rsidRPr="002D57F2">
        <w:rPr>
          <w:rFonts w:ascii="Arial" w:hAnsi="Arial" w:cs="Arial"/>
          <w:b/>
          <w:bCs/>
          <w:sz w:val="24"/>
          <w:szCs w:val="24"/>
        </w:rPr>
        <w:t>sharing relevant EU initiatives as good practices</w:t>
      </w:r>
      <w:r w:rsidRPr="002D57F2">
        <w:rPr>
          <w:rFonts w:ascii="Arial" w:hAnsi="Arial" w:cs="Arial"/>
          <w:sz w:val="24"/>
          <w:szCs w:val="24"/>
        </w:rPr>
        <w:t xml:space="preserve"> in implementing the UNCRPD and promoting its ratification and implementation around the world, as well as promoting the </w:t>
      </w:r>
      <w:hyperlink r:id="rId98" w:history="1">
        <w:r w:rsidRPr="002D57F2">
          <w:rPr>
            <w:rStyle w:val="Hyperlink"/>
            <w:rFonts w:ascii="Arial" w:hAnsi="Arial" w:cs="Arial"/>
            <w:sz w:val="24"/>
            <w:szCs w:val="24"/>
          </w:rPr>
          <w:t>EU guidelines on non-discrimination in external action</w:t>
        </w:r>
      </w:hyperlink>
      <w:r w:rsidRPr="002D57F2">
        <w:rPr>
          <w:rFonts w:ascii="Arial" w:hAnsi="Arial" w:cs="Arial"/>
          <w:sz w:val="24"/>
          <w:szCs w:val="24"/>
        </w:rPr>
        <w:t xml:space="preserve">. The Commission will also continue to </w:t>
      </w:r>
      <w:r w:rsidRPr="002D57F2">
        <w:rPr>
          <w:rFonts w:ascii="Arial" w:hAnsi="Arial" w:cs="Arial"/>
          <w:b/>
          <w:bCs/>
          <w:sz w:val="24"/>
          <w:szCs w:val="24"/>
        </w:rPr>
        <w:t>cooperate with the UNCRPD Committee</w:t>
      </w:r>
      <w:r w:rsidRPr="002D57F2">
        <w:rPr>
          <w:rFonts w:ascii="Arial" w:hAnsi="Arial" w:cs="Arial"/>
          <w:sz w:val="24"/>
          <w:szCs w:val="24"/>
        </w:rPr>
        <w:t xml:space="preserve"> including by supporting membership of EU experts in the Committee. The planned review of the </w:t>
      </w:r>
      <w:hyperlink r:id="rId99" w:history="1">
        <w:r w:rsidRPr="002D57F2">
          <w:rPr>
            <w:rStyle w:val="Hyperlink"/>
            <w:rFonts w:ascii="Arial" w:hAnsi="Arial" w:cs="Arial"/>
            <w:sz w:val="24"/>
            <w:szCs w:val="24"/>
          </w:rPr>
          <w:t>EU action plan on human rights and democracy 2020-2027</w:t>
        </w:r>
      </w:hyperlink>
      <w:r w:rsidRPr="002D57F2">
        <w:rPr>
          <w:rFonts w:ascii="Arial" w:hAnsi="Arial" w:cs="Arial"/>
          <w:sz w:val="24"/>
          <w:szCs w:val="24"/>
        </w:rPr>
        <w:t xml:space="preserve"> will place a</w:t>
      </w:r>
      <w:r w:rsidRPr="002D57F2">
        <w:rPr>
          <w:rFonts w:ascii="Arial" w:hAnsi="Arial" w:cs="Arial"/>
          <w:b/>
          <w:bCs/>
          <w:sz w:val="24"/>
          <w:szCs w:val="24"/>
        </w:rPr>
        <w:t xml:space="preserve"> stronger emphasis on disability.</w:t>
      </w:r>
      <w:r w:rsidRPr="002D57F2">
        <w:rPr>
          <w:rFonts w:ascii="Arial" w:hAnsi="Arial" w:cs="Arial"/>
          <w:sz w:val="24"/>
          <w:szCs w:val="24"/>
        </w:rPr>
        <w:t xml:space="preserve"> </w:t>
      </w:r>
    </w:p>
    <w:p w14:paraId="2DBF297C" w14:textId="746EE5CD"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The Commission will enhance </w:t>
      </w:r>
      <w:r w:rsidRPr="009852CB">
        <w:rPr>
          <w:rFonts w:ascii="Arial" w:hAnsi="Arial" w:cs="Arial"/>
          <w:sz w:val="24"/>
          <w:szCs w:val="24"/>
        </w:rPr>
        <w:t>disability inclusion</w:t>
      </w:r>
      <w:r w:rsidR="00731959" w:rsidRPr="009852CB">
        <w:rPr>
          <w:rFonts w:ascii="Arial" w:hAnsi="Arial" w:cs="Arial"/>
          <w:sz w:val="24"/>
          <w:szCs w:val="24"/>
        </w:rPr>
        <w:t xml:space="preserve">  in</w:t>
      </w:r>
      <w:r w:rsidR="00731959" w:rsidRPr="009852CB" w:rsidDel="00191845">
        <w:rPr>
          <w:rFonts w:ascii="Arial" w:hAnsi="Arial" w:cs="Arial"/>
          <w:sz w:val="24"/>
          <w:szCs w:val="24"/>
        </w:rPr>
        <w:t xml:space="preserve"> </w:t>
      </w:r>
      <w:hyperlink r:id="rId100" w:history="1">
        <w:r w:rsidR="00731959" w:rsidRPr="009852CB">
          <w:rPr>
            <w:rStyle w:val="Hyperlink"/>
            <w:rFonts w:ascii="Arial" w:hAnsi="Arial" w:cs="Arial"/>
            <w:sz w:val="24"/>
            <w:szCs w:val="24"/>
          </w:rPr>
          <w:t>global gateway</w:t>
        </w:r>
      </w:hyperlink>
      <w:r w:rsidR="00731959" w:rsidRPr="009852CB">
        <w:rPr>
          <w:rFonts w:ascii="Arial" w:hAnsi="Arial" w:cs="Arial"/>
          <w:sz w:val="24"/>
          <w:szCs w:val="24"/>
        </w:rPr>
        <w:t xml:space="preserve"> </w:t>
      </w:r>
      <w:r w:rsidR="00731959" w:rsidRPr="009852CB">
        <w:rPr>
          <w:rFonts w:ascii="Arial" w:hAnsi="Arial" w:cs="Arial"/>
          <w:b/>
          <w:bCs/>
          <w:sz w:val="24"/>
          <w:szCs w:val="24"/>
        </w:rPr>
        <w:t xml:space="preserve">investments </w:t>
      </w:r>
      <w:r w:rsidR="00731959" w:rsidRPr="009852CB">
        <w:rPr>
          <w:rFonts w:ascii="Arial" w:hAnsi="Arial" w:cs="Arial"/>
          <w:sz w:val="24"/>
          <w:szCs w:val="24"/>
        </w:rPr>
        <w:t>and promote accessibility</w:t>
      </w:r>
      <w:r w:rsidR="00731959" w:rsidRPr="009852CB">
        <w:rPr>
          <w:rFonts w:ascii="Arial" w:hAnsi="Arial" w:cs="Arial"/>
          <w:b/>
          <w:bCs/>
          <w:sz w:val="24"/>
          <w:szCs w:val="24"/>
        </w:rPr>
        <w:t xml:space="preserve"> </w:t>
      </w:r>
      <w:r w:rsidR="00731959" w:rsidRPr="009852CB">
        <w:rPr>
          <w:rFonts w:ascii="Arial" w:hAnsi="Arial" w:cs="Arial"/>
          <w:sz w:val="24"/>
          <w:szCs w:val="24"/>
        </w:rPr>
        <w:t xml:space="preserve">in infrastructure programmes, including </w:t>
      </w:r>
      <w:r w:rsidRPr="009852CB">
        <w:rPr>
          <w:rFonts w:ascii="Arial" w:hAnsi="Arial" w:cs="Arial"/>
          <w:sz w:val="24"/>
          <w:szCs w:val="24"/>
        </w:rPr>
        <w:t>in post-conflict reconstruction and recovery. The Commission will seek to ensure</w:t>
      </w:r>
      <w:r w:rsidRPr="002D57F2">
        <w:rPr>
          <w:rFonts w:ascii="Arial" w:hAnsi="Arial" w:cs="Arial"/>
          <w:sz w:val="24"/>
          <w:szCs w:val="24"/>
        </w:rPr>
        <w:t xml:space="preserve"> that EU-funded external action does not contribute to institutionalisation of persons with disabilities</w:t>
      </w:r>
      <w:r w:rsidRPr="002D57F2">
        <w:rPr>
          <w:rFonts w:ascii="Arial" w:hAnsi="Arial" w:cs="Arial"/>
        </w:rPr>
        <w:t xml:space="preserve"> </w:t>
      </w:r>
      <w:r w:rsidRPr="002D57F2">
        <w:rPr>
          <w:rFonts w:ascii="Arial" w:hAnsi="Arial" w:cs="Arial"/>
          <w:sz w:val="24"/>
          <w:szCs w:val="24"/>
        </w:rPr>
        <w:t>and fosters, instead, human-rights based transition to family and community-based support and independent living,</w:t>
      </w:r>
    </w:p>
    <w:p w14:paraId="19A749EC" w14:textId="1DBA838E" w:rsidR="00FB01BD" w:rsidRPr="002D57F2" w:rsidRDefault="00FB01BD" w:rsidP="00FB01BD">
      <w:pPr>
        <w:pStyle w:val="Style2"/>
        <w:spacing w:line="288" w:lineRule="auto"/>
        <w:rPr>
          <w:rFonts w:ascii="Arial" w:hAnsi="Arial" w:cs="Arial"/>
          <w:lang w:eastAsia="en-IE"/>
        </w:rPr>
      </w:pPr>
      <w:r w:rsidRPr="002D57F2">
        <w:rPr>
          <w:rFonts w:ascii="Arial" w:hAnsi="Arial" w:cs="Arial"/>
          <w:sz w:val="24"/>
          <w:szCs w:val="24"/>
        </w:rPr>
        <w:t xml:space="preserve">Reporting will continue on disability mainstreaming and targeted actions, using the </w:t>
      </w:r>
      <w:hyperlink r:id="rId101" w:history="1">
        <w:r w:rsidRPr="002D57F2">
          <w:rPr>
            <w:rStyle w:val="Hyperlink"/>
            <w:rFonts w:ascii="Arial" w:hAnsi="Arial" w:cs="Arial"/>
            <w:sz w:val="24"/>
            <w:szCs w:val="24"/>
          </w:rPr>
          <w:t>OECD Development Assistance Committee disability marker</w:t>
        </w:r>
      </w:hyperlink>
      <w:r w:rsidRPr="002D57F2">
        <w:rPr>
          <w:rFonts w:ascii="Arial" w:hAnsi="Arial" w:cs="Arial"/>
          <w:sz w:val="24"/>
          <w:szCs w:val="24"/>
        </w:rPr>
        <w:t xml:space="preserve"> to </w:t>
      </w:r>
      <w:r w:rsidRPr="002D57F2">
        <w:rPr>
          <w:rFonts w:ascii="Arial" w:hAnsi="Arial" w:cs="Arial"/>
          <w:b/>
          <w:bCs/>
          <w:sz w:val="24"/>
          <w:szCs w:val="24"/>
        </w:rPr>
        <w:t xml:space="preserve">track disability-inclusive </w:t>
      </w:r>
      <w:r w:rsidR="00D41833" w:rsidRPr="002D57F2">
        <w:rPr>
          <w:rFonts w:ascii="Arial" w:hAnsi="Arial" w:cs="Arial"/>
          <w:b/>
          <w:bCs/>
          <w:sz w:val="24"/>
          <w:szCs w:val="24"/>
        </w:rPr>
        <w:t xml:space="preserve">funded </w:t>
      </w:r>
      <w:r w:rsidRPr="002D57F2">
        <w:rPr>
          <w:rFonts w:ascii="Arial" w:hAnsi="Arial" w:cs="Arial"/>
          <w:b/>
          <w:bCs/>
          <w:sz w:val="24"/>
          <w:szCs w:val="24"/>
        </w:rPr>
        <w:t xml:space="preserve">operations. </w:t>
      </w:r>
    </w:p>
    <w:p w14:paraId="41CBAE56" w14:textId="77777777" w:rsidR="00FB01BD" w:rsidRPr="002D57F2" w:rsidRDefault="00FB01BD" w:rsidP="00FB01BD">
      <w:pPr>
        <w:pStyle w:val="Heading3"/>
        <w:rPr>
          <w:rFonts w:ascii="Arial" w:hAnsi="Arial" w:cs="Arial"/>
        </w:rPr>
      </w:pPr>
      <w:bookmarkStart w:id="25" w:name="_Toc228880189"/>
      <w:r w:rsidRPr="002D57F2">
        <w:rPr>
          <w:rFonts w:ascii="Arial" w:hAnsi="Arial" w:cs="Arial"/>
        </w:rPr>
        <w:t>Humanitarian aid</w:t>
      </w:r>
      <w:bookmarkEnd w:id="25"/>
    </w:p>
    <w:p w14:paraId="3DEBFDA6" w14:textId="70E20F9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The </w:t>
      </w:r>
      <w:r w:rsidRPr="002D57F2">
        <w:rPr>
          <w:rFonts w:ascii="Arial" w:hAnsi="Arial" w:cs="Arial"/>
          <w:b/>
          <w:bCs/>
          <w:sz w:val="24"/>
          <w:szCs w:val="24"/>
        </w:rPr>
        <w:t>vulnerability and marginalisation</w:t>
      </w:r>
      <w:r w:rsidRPr="002D57F2">
        <w:rPr>
          <w:rFonts w:ascii="Arial" w:hAnsi="Arial" w:cs="Arial"/>
          <w:sz w:val="24"/>
          <w:szCs w:val="24"/>
        </w:rPr>
        <w:t xml:space="preserve"> of persons with disabilities is </w:t>
      </w:r>
      <w:r w:rsidRPr="002D57F2">
        <w:rPr>
          <w:rFonts w:ascii="Arial" w:hAnsi="Arial" w:cs="Arial"/>
          <w:b/>
          <w:bCs/>
          <w:sz w:val="24"/>
          <w:szCs w:val="24"/>
        </w:rPr>
        <w:t>exacerbated in humanitarian crises</w:t>
      </w:r>
      <w:r w:rsidRPr="002D57F2">
        <w:rPr>
          <w:rFonts w:ascii="Arial" w:hAnsi="Arial" w:cs="Arial"/>
          <w:sz w:val="24"/>
          <w:szCs w:val="24"/>
        </w:rPr>
        <w:t xml:space="preserve">. Persons with disabilities are more likely to be excluded from both preparedness and crisis response measures, and their needs are not sufficiently </w:t>
      </w:r>
      <w:proofErr w:type="gramStart"/>
      <w:r w:rsidRPr="002D57F2">
        <w:rPr>
          <w:rFonts w:ascii="Arial" w:hAnsi="Arial" w:cs="Arial"/>
          <w:sz w:val="24"/>
          <w:szCs w:val="24"/>
        </w:rPr>
        <w:t>taken into account</w:t>
      </w:r>
      <w:proofErr w:type="gramEnd"/>
      <w:r w:rsidRPr="002D57F2">
        <w:rPr>
          <w:rFonts w:ascii="Arial" w:hAnsi="Arial" w:cs="Arial"/>
          <w:sz w:val="24"/>
          <w:szCs w:val="24"/>
        </w:rPr>
        <w:t xml:space="preserve"> in how aid is designed and delivered. Building on the evaluation of the</w:t>
      </w:r>
      <w:r w:rsidRPr="002D57F2">
        <w:rPr>
          <w:rFonts w:ascii="Arial" w:hAnsi="Arial" w:cs="Arial"/>
          <w:b/>
          <w:bCs/>
          <w:sz w:val="24"/>
          <w:szCs w:val="24"/>
        </w:rPr>
        <w:t xml:space="preserve"> </w:t>
      </w:r>
      <w:hyperlink r:id="rId102" w:history="1">
        <w:r w:rsidRPr="002D57F2">
          <w:rPr>
            <w:rStyle w:val="Hyperlink"/>
            <w:rFonts w:ascii="Arial" w:hAnsi="Arial" w:cs="Arial"/>
            <w:sz w:val="24"/>
            <w:szCs w:val="24"/>
          </w:rPr>
          <w:t>operational guidance on the inclusion of persons with disabilities in EU-funded humanitarian aid operations</w:t>
        </w:r>
      </w:hyperlink>
      <w:r w:rsidRPr="002D57F2">
        <w:rPr>
          <w:rFonts w:ascii="Arial" w:hAnsi="Arial" w:cs="Arial"/>
          <w:sz w:val="24"/>
          <w:szCs w:val="24"/>
        </w:rPr>
        <w:t xml:space="preserve">, the Commission will </w:t>
      </w:r>
      <w:r w:rsidRPr="002D57F2">
        <w:rPr>
          <w:rFonts w:ascii="Arial" w:hAnsi="Arial" w:cs="Arial"/>
          <w:b/>
          <w:bCs/>
          <w:sz w:val="24"/>
          <w:szCs w:val="24"/>
        </w:rPr>
        <w:t>strengthen disability inclusion in all EU-funded humanitarian operations</w:t>
      </w:r>
      <w:r w:rsidRPr="002D57F2">
        <w:rPr>
          <w:rFonts w:ascii="Arial" w:hAnsi="Arial" w:cs="Arial"/>
          <w:sz w:val="24"/>
          <w:szCs w:val="24"/>
        </w:rPr>
        <w:t xml:space="preserve"> and support partners and staff in this respect. The commitment to disability inclusion will also be reaffirmed through the </w:t>
      </w:r>
      <w:r w:rsidRPr="002D57F2">
        <w:rPr>
          <w:rFonts w:ascii="Arial" w:hAnsi="Arial" w:cs="Arial"/>
          <w:b/>
          <w:bCs/>
          <w:sz w:val="24"/>
          <w:szCs w:val="24"/>
        </w:rPr>
        <w:t>upcoming Communication on EU humanitarian action in a shifting global order</w:t>
      </w:r>
      <w:r w:rsidRPr="002D57F2">
        <w:rPr>
          <w:rFonts w:ascii="Arial" w:hAnsi="Arial" w:cs="Arial"/>
          <w:sz w:val="24"/>
          <w:szCs w:val="24"/>
        </w:rPr>
        <w:t xml:space="preserve">, to ensure that persons with disabilities are meaningfully engaged and their needs duly considered in humanitarian diplomacy </w:t>
      </w:r>
      <w:r w:rsidR="009852CB" w:rsidRPr="002D57F2">
        <w:rPr>
          <w:rFonts w:ascii="Arial" w:hAnsi="Arial" w:cs="Arial"/>
          <w:sz w:val="24"/>
          <w:szCs w:val="24"/>
        </w:rPr>
        <w:t>initiatives and</w:t>
      </w:r>
      <w:r w:rsidRPr="002D57F2">
        <w:rPr>
          <w:rFonts w:ascii="Arial" w:hAnsi="Arial" w:cs="Arial"/>
          <w:sz w:val="24"/>
          <w:szCs w:val="24"/>
        </w:rPr>
        <w:t xml:space="preserve"> promote inclusive humanitarian action in the current global context.</w:t>
      </w:r>
    </w:p>
    <w:p w14:paraId="216E8C11" w14:textId="77777777" w:rsidR="00FB01BD" w:rsidRPr="002D57F2" w:rsidRDefault="00FB01BD" w:rsidP="00FB01BD">
      <w:pPr>
        <w:pStyle w:val="Heading3"/>
        <w:rPr>
          <w:rFonts w:ascii="Arial" w:hAnsi="Arial" w:cs="Arial"/>
        </w:rPr>
      </w:pPr>
      <w:bookmarkStart w:id="26" w:name="_Toc228880190"/>
      <w:r w:rsidRPr="002D57F2">
        <w:rPr>
          <w:rFonts w:ascii="Arial" w:hAnsi="Arial" w:cs="Arial"/>
        </w:rPr>
        <w:t>EU enlargement</w:t>
      </w:r>
      <w:bookmarkEnd w:id="26"/>
    </w:p>
    <w:p w14:paraId="29003BF3" w14:textId="77777777" w:rsidR="00FB01BD" w:rsidRPr="002D57F2" w:rsidDel="00473386"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Candidate and potential candidate countries for EU accession need to gradually align their legislation with the EU acquis and relevant international and European standards in the field of fundamental rights and non-discrimination, </w:t>
      </w:r>
      <w:r w:rsidRPr="002D57F2">
        <w:rPr>
          <w:rFonts w:ascii="Arial" w:hAnsi="Arial" w:cs="Arial"/>
        </w:rPr>
        <w:t>in line with the</w:t>
      </w:r>
      <w:r w:rsidRPr="002D57F2">
        <w:rPr>
          <w:rFonts w:ascii="Arial" w:hAnsi="Arial" w:cs="Arial"/>
          <w:sz w:val="24"/>
          <w:szCs w:val="24"/>
        </w:rPr>
        <w:t xml:space="preserve"> “fundamentals first” approach of the EU revised enlargement methodology, as well as </w:t>
      </w:r>
      <w:proofErr w:type="gramStart"/>
      <w:r w:rsidRPr="002D57F2">
        <w:rPr>
          <w:rFonts w:ascii="Arial" w:hAnsi="Arial" w:cs="Arial"/>
          <w:sz w:val="24"/>
          <w:szCs w:val="24"/>
        </w:rPr>
        <w:t>in the area of</w:t>
      </w:r>
      <w:proofErr w:type="gramEnd"/>
      <w:r w:rsidRPr="002D57F2">
        <w:rPr>
          <w:rFonts w:ascii="Arial" w:hAnsi="Arial" w:cs="Arial"/>
          <w:sz w:val="24"/>
          <w:szCs w:val="24"/>
        </w:rPr>
        <w:t xml:space="preserve"> accessibility and inclusion. The Commission will</w:t>
      </w:r>
      <w:r w:rsidRPr="002D57F2">
        <w:rPr>
          <w:rFonts w:ascii="Arial" w:hAnsi="Arial" w:cs="Arial"/>
          <w:b/>
          <w:bCs/>
          <w:sz w:val="24"/>
          <w:szCs w:val="24"/>
        </w:rPr>
        <w:t xml:space="preserve"> support partner countries and </w:t>
      </w:r>
      <w:r w:rsidRPr="002D57F2">
        <w:rPr>
          <w:rFonts w:ascii="Arial" w:eastAsia="Times New Roman" w:hAnsi="Arial" w:cs="Arial"/>
          <w:b/>
          <w:bCs/>
          <w:sz w:val="24"/>
          <w:szCs w:val="24"/>
        </w:rPr>
        <w:t xml:space="preserve">assess their progress </w:t>
      </w:r>
      <w:r w:rsidRPr="002D57F2">
        <w:rPr>
          <w:rFonts w:ascii="Arial" w:eastAsia="Times New Roman" w:hAnsi="Arial" w:cs="Arial"/>
          <w:sz w:val="24"/>
          <w:szCs w:val="24"/>
        </w:rPr>
        <w:t>in the alignment and effective implementation of relevant policies</w:t>
      </w:r>
      <w:r w:rsidRPr="002D57F2">
        <w:rPr>
          <w:rFonts w:ascii="Arial" w:hAnsi="Arial" w:cs="Arial"/>
          <w:sz w:val="24"/>
          <w:szCs w:val="24"/>
        </w:rPr>
        <w:t xml:space="preserve">, including through the annual </w:t>
      </w:r>
      <w:hyperlink r:id="rId103" w:history="1">
        <w:r w:rsidRPr="002D57F2">
          <w:rPr>
            <w:rStyle w:val="Hyperlink"/>
            <w:rFonts w:ascii="Arial" w:hAnsi="Arial" w:cs="Arial"/>
            <w:sz w:val="24"/>
            <w:szCs w:val="24"/>
          </w:rPr>
          <w:t>Enlargement Package</w:t>
        </w:r>
      </w:hyperlink>
      <w:r w:rsidRPr="002D57F2">
        <w:rPr>
          <w:rFonts w:ascii="Arial" w:hAnsi="Arial" w:cs="Arial"/>
          <w:sz w:val="24"/>
          <w:szCs w:val="24"/>
        </w:rPr>
        <w:t>.</w:t>
      </w:r>
    </w:p>
    <w:p w14:paraId="09088F9B"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Attention to the needs of persons with disabilities must be particularly prominent in relation to </w:t>
      </w:r>
      <w:r w:rsidRPr="002D57F2">
        <w:rPr>
          <w:rFonts w:ascii="Arial" w:hAnsi="Arial" w:cs="Arial"/>
          <w:b/>
          <w:bCs/>
          <w:sz w:val="24"/>
          <w:szCs w:val="24"/>
        </w:rPr>
        <w:t>Ukraine</w:t>
      </w:r>
      <w:r w:rsidRPr="002D57F2">
        <w:rPr>
          <w:rFonts w:ascii="Arial" w:hAnsi="Arial" w:cs="Arial"/>
          <w:sz w:val="24"/>
          <w:szCs w:val="24"/>
        </w:rPr>
        <w:t xml:space="preserve">, where the prevalence of acquired disabilities is likely to have expanded </w:t>
      </w:r>
      <w:proofErr w:type="gramStart"/>
      <w:r w:rsidRPr="002D57F2">
        <w:rPr>
          <w:rFonts w:ascii="Arial" w:hAnsi="Arial" w:cs="Arial"/>
          <w:sz w:val="24"/>
          <w:szCs w:val="24"/>
        </w:rPr>
        <w:t>as a consequence of</w:t>
      </w:r>
      <w:proofErr w:type="gramEnd"/>
      <w:r w:rsidRPr="002D57F2">
        <w:rPr>
          <w:rFonts w:ascii="Arial" w:hAnsi="Arial" w:cs="Arial"/>
          <w:sz w:val="24"/>
          <w:szCs w:val="24"/>
        </w:rPr>
        <w:t xml:space="preserve"> Russia’s war of aggression.</w:t>
      </w:r>
    </w:p>
    <w:p w14:paraId="2879D4DF"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sz w:val="24"/>
          <w:szCs w:val="24"/>
        </w:rPr>
      </w:pPr>
      <w:r w:rsidRPr="002D57F2">
        <w:rPr>
          <w:rFonts w:ascii="Arial" w:hAnsi="Arial" w:cs="Arial"/>
          <w:b/>
          <w:bCs/>
          <w:sz w:val="24"/>
          <w:szCs w:val="24"/>
        </w:rPr>
        <w:t xml:space="preserve">FLAGSHIP INITIATIVE </w:t>
      </w:r>
      <w:r w:rsidRPr="00A924C5">
        <w:rPr>
          <w:rFonts w:ascii="Arial" w:hAnsi="Arial" w:cs="Arial"/>
          <w:b/>
          <w:bCs/>
          <w:sz w:val="24"/>
          <w:szCs w:val="24"/>
          <w:lang w:val="en-IE"/>
        </w:rPr>
        <w:t>–</w:t>
      </w:r>
      <w:r w:rsidRPr="002D57F2">
        <w:rPr>
          <w:rFonts w:ascii="Arial" w:hAnsi="Arial" w:cs="Arial"/>
          <w:b/>
          <w:bCs/>
          <w:sz w:val="24"/>
          <w:szCs w:val="24"/>
        </w:rPr>
        <w:t xml:space="preserve"> ‘Nothing about us without us’ in Ukraine’s reconstruction</w:t>
      </w:r>
    </w:p>
    <w:p w14:paraId="64E84541"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rPr>
      </w:pPr>
      <w:r w:rsidRPr="002D57F2">
        <w:rPr>
          <w:rFonts w:ascii="Arial" w:hAnsi="Arial" w:cs="Arial"/>
          <w:sz w:val="24"/>
          <w:szCs w:val="24"/>
        </w:rPr>
        <w:t xml:space="preserve">The Commission will support disability-inclusive rebuilding efforts in Ukraine. </w:t>
      </w:r>
      <w:r w:rsidRPr="002D57F2">
        <w:rPr>
          <w:rFonts w:ascii="Arial" w:hAnsi="Arial" w:cs="Arial"/>
          <w:b/>
          <w:bCs/>
          <w:sz w:val="24"/>
          <w:szCs w:val="24"/>
        </w:rPr>
        <w:t xml:space="preserve">The initiative will include: </w:t>
      </w:r>
      <w:r w:rsidRPr="002D57F2">
        <w:rPr>
          <w:rFonts w:ascii="Arial" w:hAnsi="Arial" w:cs="Arial"/>
          <w:sz w:val="24"/>
          <w:szCs w:val="24"/>
        </w:rPr>
        <w:t>(i) a high-level event focusing on accessibility as part of one of the Ukraine reconstruction conferences in 2027;</w:t>
      </w:r>
      <w:r w:rsidRPr="002D57F2">
        <w:rPr>
          <w:rFonts w:ascii="Arial" w:hAnsi="Arial" w:cs="Arial"/>
          <w:b/>
          <w:bCs/>
          <w:sz w:val="24"/>
          <w:szCs w:val="24"/>
        </w:rPr>
        <w:t xml:space="preserve"> </w:t>
      </w:r>
      <w:r w:rsidRPr="002D57F2">
        <w:rPr>
          <w:rFonts w:ascii="Arial" w:hAnsi="Arial" w:cs="Arial"/>
          <w:sz w:val="24"/>
          <w:szCs w:val="24"/>
        </w:rPr>
        <w:t>(ii) involvement of disability organisations in participatory processes for the design and implementation of New European Bauhaus projects related to the</w:t>
      </w:r>
      <w:r w:rsidRPr="002D57F2">
        <w:rPr>
          <w:rFonts w:ascii="Arial" w:hAnsi="Arial" w:cs="Arial"/>
        </w:rPr>
        <w:t xml:space="preserve"> </w:t>
      </w:r>
      <w:r w:rsidRPr="002D57F2">
        <w:rPr>
          <w:rFonts w:ascii="Arial" w:hAnsi="Arial" w:cs="Arial"/>
          <w:sz w:val="24"/>
          <w:szCs w:val="24"/>
        </w:rPr>
        <w:t>reconstruction of Ukraine</w:t>
      </w:r>
      <w:r w:rsidRPr="002D57F2">
        <w:rPr>
          <w:rFonts w:ascii="Arial" w:hAnsi="Arial" w:cs="Arial"/>
        </w:rPr>
        <w:t xml:space="preserve">; </w:t>
      </w:r>
      <w:r w:rsidRPr="002D57F2">
        <w:rPr>
          <w:rFonts w:ascii="Arial" w:hAnsi="Arial" w:cs="Arial"/>
          <w:sz w:val="24"/>
          <w:szCs w:val="24"/>
        </w:rPr>
        <w:t>and (iii) leveraging EU funding for accessibility in reconstruction.</w:t>
      </w:r>
      <w:r w:rsidRPr="002D57F2">
        <w:rPr>
          <w:rFonts w:ascii="Arial" w:hAnsi="Arial" w:cs="Arial"/>
        </w:rPr>
        <w:t xml:space="preserve"> </w:t>
      </w:r>
    </w:p>
    <w:p w14:paraId="3DB5AB13"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In addition, candidate and potential candidate countries will be </w:t>
      </w:r>
      <w:r w:rsidRPr="002D57F2">
        <w:rPr>
          <w:rFonts w:ascii="Arial" w:hAnsi="Arial" w:cs="Arial"/>
          <w:b/>
          <w:bCs/>
          <w:sz w:val="24"/>
          <w:szCs w:val="24"/>
        </w:rPr>
        <w:t xml:space="preserve">involved in the work of the Disability Platform </w:t>
      </w:r>
      <w:r w:rsidRPr="002D57F2">
        <w:rPr>
          <w:rFonts w:ascii="Arial" w:hAnsi="Arial" w:cs="Arial"/>
          <w:sz w:val="24"/>
          <w:szCs w:val="24"/>
        </w:rPr>
        <w:t xml:space="preserve">as well as in other relevant actions under the enhanced strategy. </w:t>
      </w:r>
    </w:p>
    <w:p w14:paraId="7D70D748"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sz w:val="24"/>
          <w:szCs w:val="24"/>
          <w:lang w:eastAsia="en-IE"/>
        </w:rPr>
      </w:pPr>
      <w:r w:rsidRPr="002D57F2">
        <w:rPr>
          <w:rFonts w:ascii="Arial" w:hAnsi="Arial" w:cs="Arial"/>
          <w:b/>
          <w:bCs/>
          <w:sz w:val="24"/>
          <w:szCs w:val="24"/>
          <w:lang w:eastAsia="en-IE"/>
        </w:rPr>
        <w:t>The Commission calls on the EU Member States to:</w:t>
      </w:r>
    </w:p>
    <w:p w14:paraId="6CFFEE1F"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sz w:val="24"/>
          <w:szCs w:val="24"/>
        </w:rPr>
      </w:pPr>
      <w:r w:rsidRPr="002D57F2">
        <w:rPr>
          <w:rFonts w:ascii="Arial" w:hAnsi="Arial" w:cs="Arial"/>
          <w:sz w:val="24"/>
          <w:szCs w:val="24"/>
        </w:rPr>
        <w:t xml:space="preserve">ensure that international development programmes at country level pursue the aim of disability inclusion, in line with the commitments of the 2025 </w:t>
      </w:r>
      <w:hyperlink r:id="rId104" w:history="1">
        <w:r w:rsidRPr="002D57F2">
          <w:rPr>
            <w:rStyle w:val="Hyperlink"/>
            <w:rFonts w:ascii="Arial" w:hAnsi="Arial" w:cs="Arial"/>
            <w:sz w:val="24"/>
            <w:szCs w:val="24"/>
          </w:rPr>
          <w:t>Global Disability Summit</w:t>
        </w:r>
      </w:hyperlink>
      <w:r w:rsidRPr="002D57F2">
        <w:rPr>
          <w:rFonts w:ascii="Arial" w:hAnsi="Arial" w:cs="Arial"/>
          <w:sz w:val="24"/>
          <w:szCs w:val="24"/>
        </w:rPr>
        <w:t>, and that financial support does not perpetuate institutionalisation;</w:t>
      </w:r>
    </w:p>
    <w:p w14:paraId="315F1CF7"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sz w:val="24"/>
          <w:szCs w:val="24"/>
        </w:rPr>
      </w:pPr>
      <w:r w:rsidRPr="002D57F2">
        <w:rPr>
          <w:rFonts w:ascii="Arial" w:hAnsi="Arial" w:cs="Arial"/>
          <w:sz w:val="24"/>
          <w:szCs w:val="24"/>
        </w:rPr>
        <w:t>seek to make humanitarian aid operations inclusive and accessible, to allow persons with disabilities meaningful access to and full and effective participation in humanitarian action.</w:t>
      </w:r>
    </w:p>
    <w:p w14:paraId="28E6F364" w14:textId="77777777" w:rsidR="00FB01BD" w:rsidRPr="002D57F2" w:rsidRDefault="00FB01BD" w:rsidP="00FB01BD">
      <w:pPr>
        <w:pStyle w:val="Heading2"/>
        <w:spacing w:before="360" w:after="360"/>
        <w:ind w:left="425" w:hanging="425"/>
        <w:rPr>
          <w:rFonts w:ascii="Arial" w:hAnsi="Arial" w:cs="Arial"/>
        </w:rPr>
      </w:pPr>
      <w:bookmarkStart w:id="27" w:name="_Toc228880191"/>
      <w:r w:rsidRPr="002D57F2">
        <w:rPr>
          <w:rFonts w:ascii="Arial" w:hAnsi="Arial" w:cs="Arial"/>
        </w:rPr>
        <w:t>Efficiently delivering the strategy</w:t>
      </w:r>
      <w:bookmarkEnd w:id="27"/>
      <w:r w:rsidRPr="002D57F2">
        <w:rPr>
          <w:rFonts w:ascii="Arial" w:hAnsi="Arial" w:cs="Arial"/>
        </w:rPr>
        <w:t xml:space="preserve"> </w:t>
      </w:r>
    </w:p>
    <w:p w14:paraId="3F141DFE"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Building on the creation of the Disability Platform, a consistent </w:t>
      </w:r>
      <w:r w:rsidRPr="002D57F2">
        <w:rPr>
          <w:rFonts w:ascii="Arial" w:hAnsi="Arial" w:cs="Arial"/>
          <w:b/>
          <w:bCs/>
          <w:sz w:val="24"/>
          <w:szCs w:val="24"/>
        </w:rPr>
        <w:t>co-production approach</w:t>
      </w:r>
      <w:r w:rsidRPr="002D57F2">
        <w:rPr>
          <w:rFonts w:ascii="Arial" w:hAnsi="Arial" w:cs="Arial"/>
          <w:sz w:val="24"/>
          <w:szCs w:val="24"/>
        </w:rPr>
        <w:t xml:space="preserve"> </w:t>
      </w:r>
      <w:r w:rsidRPr="002D57F2">
        <w:rPr>
          <w:rFonts w:ascii="Arial" w:hAnsi="Arial" w:cs="Arial"/>
          <w:b/>
          <w:bCs/>
          <w:sz w:val="24"/>
          <w:szCs w:val="24"/>
        </w:rPr>
        <w:t>and increased cooperation with the Member States</w:t>
      </w:r>
      <w:r w:rsidRPr="002D57F2">
        <w:rPr>
          <w:rFonts w:ascii="Arial" w:hAnsi="Arial" w:cs="Arial"/>
          <w:sz w:val="24"/>
          <w:szCs w:val="24"/>
        </w:rPr>
        <w:t xml:space="preserve"> will be key to ensure effective policy outcomes on the ground. Further disability </w:t>
      </w:r>
      <w:r w:rsidRPr="002D57F2">
        <w:rPr>
          <w:rFonts w:ascii="Arial" w:hAnsi="Arial" w:cs="Arial"/>
          <w:b/>
          <w:bCs/>
          <w:sz w:val="24"/>
          <w:szCs w:val="24"/>
        </w:rPr>
        <w:t>mainstreaming</w:t>
      </w:r>
      <w:r w:rsidRPr="002D57F2">
        <w:rPr>
          <w:rFonts w:ascii="Arial" w:hAnsi="Arial" w:cs="Arial"/>
          <w:sz w:val="24"/>
          <w:szCs w:val="24"/>
        </w:rPr>
        <w:t xml:space="preserve"> across all policy areas and in all EU institutions and bodies will also be crucial to achieve comprehensive results.</w:t>
      </w:r>
    </w:p>
    <w:p w14:paraId="01CF6AE0"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The Commission will </w:t>
      </w:r>
      <w:r w:rsidRPr="002D57F2">
        <w:rPr>
          <w:rFonts w:ascii="Arial" w:hAnsi="Arial" w:cs="Arial"/>
          <w:b/>
          <w:bCs/>
          <w:sz w:val="24"/>
          <w:szCs w:val="24"/>
        </w:rPr>
        <w:t>upscale the Disability Platform</w:t>
      </w:r>
      <w:r w:rsidRPr="002D57F2">
        <w:rPr>
          <w:rFonts w:ascii="Arial" w:hAnsi="Arial" w:cs="Arial"/>
          <w:sz w:val="24"/>
          <w:szCs w:val="24"/>
        </w:rPr>
        <w:t xml:space="preserve"> by strengthening the exchange of information on national developments. The Platform will support Member States to identify challenges and remedial action in preparing and implementing disability plans and strategies feeding into their national and regional partnership plans under the multiannual financial framework after 2027 (pending adoption). Mutual learning sessions on key topics, such as legal capacity, disability assessment and labour mobility of persons with disabilities will allow to share promising practices.</w:t>
      </w:r>
    </w:p>
    <w:p w14:paraId="0D43BF70" w14:textId="77777777" w:rsidR="00FB01BD" w:rsidRPr="002D57F2" w:rsidRDefault="00FB01BD" w:rsidP="00FB01BD">
      <w:pPr>
        <w:pStyle w:val="Style2"/>
        <w:spacing w:line="288" w:lineRule="auto"/>
        <w:rPr>
          <w:rFonts w:ascii="Arial" w:hAnsi="Arial" w:cs="Arial"/>
          <w:i/>
          <w:iCs/>
          <w:sz w:val="24"/>
          <w:szCs w:val="24"/>
        </w:rPr>
      </w:pPr>
      <w:r w:rsidRPr="002D57F2">
        <w:rPr>
          <w:rFonts w:ascii="Arial" w:hAnsi="Arial" w:cs="Arial"/>
          <w:b/>
          <w:bCs/>
          <w:sz w:val="24"/>
          <w:szCs w:val="24"/>
        </w:rPr>
        <w:t xml:space="preserve">The Commission will continue to promote involvement of the disability community </w:t>
      </w:r>
      <w:r w:rsidRPr="002D57F2">
        <w:rPr>
          <w:rFonts w:ascii="Arial" w:hAnsi="Arial" w:cs="Arial"/>
          <w:sz w:val="24"/>
          <w:szCs w:val="24"/>
        </w:rPr>
        <w:t xml:space="preserve">in policymaking at all levels in line with the </w:t>
      </w:r>
      <w:hyperlink r:id="rId105" w:history="1">
        <w:r w:rsidRPr="002D57F2">
          <w:rPr>
            <w:rStyle w:val="Hyperlink"/>
            <w:rFonts w:ascii="Arial" w:hAnsi="Arial" w:cs="Arial"/>
            <w:sz w:val="24"/>
            <w:szCs w:val="24"/>
          </w:rPr>
          <w:t>EU strategy for civil society</w:t>
        </w:r>
      </w:hyperlink>
      <w:r w:rsidRPr="002D57F2">
        <w:rPr>
          <w:rFonts w:ascii="Arial" w:hAnsi="Arial" w:cs="Arial"/>
        </w:rPr>
        <w:t>,</w:t>
      </w:r>
      <w:r w:rsidRPr="002D57F2">
        <w:rPr>
          <w:rFonts w:ascii="Arial" w:hAnsi="Arial" w:cs="Arial"/>
          <w:sz w:val="24"/>
          <w:szCs w:val="24"/>
        </w:rPr>
        <w:t xml:space="preserve"> which states that inclusivity and accessibility are guiding principles of a dialogue with civil society. The Commission proposes to support organisations working for disability inclusion under the </w:t>
      </w:r>
      <w:hyperlink r:id="rId106" w:history="1">
        <w:r w:rsidRPr="002D57F2">
          <w:rPr>
            <w:rStyle w:val="Hyperlink"/>
            <w:rFonts w:ascii="Arial" w:hAnsi="Arial" w:cs="Arial"/>
            <w:sz w:val="24"/>
            <w:szCs w:val="24"/>
          </w:rPr>
          <w:t>Agora EU programme</w:t>
        </w:r>
      </w:hyperlink>
      <w:r w:rsidRPr="002D57F2">
        <w:rPr>
          <w:rFonts w:ascii="Arial" w:hAnsi="Arial" w:cs="Arial"/>
          <w:sz w:val="24"/>
          <w:szCs w:val="24"/>
        </w:rPr>
        <w:t xml:space="preserve"> under the 2028-2034 multiannual financial framework (pending adoption).</w:t>
      </w:r>
      <w:r w:rsidRPr="002D57F2">
        <w:rPr>
          <w:rFonts w:ascii="Arial" w:hAnsi="Arial" w:cs="Arial"/>
          <w:i/>
          <w:iCs/>
          <w:sz w:val="24"/>
          <w:szCs w:val="24"/>
        </w:rPr>
        <w:t xml:space="preserve"> </w:t>
      </w:r>
    </w:p>
    <w:p w14:paraId="7B13D7AB"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Furthermore, the Commission will work for increased </w:t>
      </w:r>
      <w:r w:rsidRPr="002D57F2">
        <w:rPr>
          <w:rFonts w:ascii="Arial" w:hAnsi="Arial" w:cs="Arial"/>
          <w:b/>
          <w:bCs/>
          <w:sz w:val="24"/>
          <w:szCs w:val="24"/>
        </w:rPr>
        <w:t xml:space="preserve">disability mainstreaming in all EU institutions, bodies, offices and agencies, </w:t>
      </w:r>
      <w:r w:rsidRPr="002D57F2">
        <w:rPr>
          <w:rFonts w:ascii="Arial" w:hAnsi="Arial" w:cs="Arial"/>
          <w:sz w:val="24"/>
          <w:szCs w:val="24"/>
        </w:rPr>
        <w:t xml:space="preserve">with action across EU agencies, focusing on raising awareness, and in the context of its </w:t>
      </w:r>
      <w:hyperlink r:id="rId107" w:history="1">
        <w:r w:rsidRPr="002D57F2">
          <w:rPr>
            <w:rStyle w:val="Hyperlink"/>
            <w:rFonts w:ascii="Arial" w:hAnsi="Arial" w:cs="Arial"/>
            <w:sz w:val="24"/>
            <w:szCs w:val="24"/>
          </w:rPr>
          <w:t>better regulation</w:t>
        </w:r>
      </w:hyperlink>
      <w:r w:rsidRPr="002D57F2">
        <w:rPr>
          <w:rFonts w:ascii="Arial" w:hAnsi="Arial" w:cs="Arial"/>
          <w:b/>
          <w:bCs/>
          <w:sz w:val="24"/>
          <w:szCs w:val="24"/>
        </w:rPr>
        <w:t xml:space="preserve"> </w:t>
      </w:r>
      <w:r w:rsidRPr="002D57F2">
        <w:rPr>
          <w:rFonts w:ascii="Arial" w:hAnsi="Arial" w:cs="Arial"/>
          <w:sz w:val="24"/>
          <w:szCs w:val="24"/>
        </w:rPr>
        <w:t>methodology. A proposal to reform the existing</w:t>
      </w:r>
      <w:r w:rsidRPr="002D57F2">
        <w:rPr>
          <w:rFonts w:ascii="Arial" w:hAnsi="Arial" w:cs="Arial"/>
          <w:b/>
          <w:bCs/>
          <w:sz w:val="24"/>
          <w:szCs w:val="24"/>
        </w:rPr>
        <w:t xml:space="preserve"> </w:t>
      </w:r>
      <w:hyperlink r:id="rId108" w:history="1">
        <w:r w:rsidRPr="002D57F2">
          <w:rPr>
            <w:rStyle w:val="Hyperlink"/>
            <w:rFonts w:ascii="Arial" w:hAnsi="Arial" w:cs="Arial"/>
            <w:sz w:val="24"/>
            <w:szCs w:val="24"/>
          </w:rPr>
          <w:t>EU UNCRPD monitoring framework</w:t>
        </w:r>
      </w:hyperlink>
      <w:r w:rsidRPr="002D57F2">
        <w:rPr>
          <w:rFonts w:ascii="Arial" w:hAnsi="Arial" w:cs="Arial"/>
          <w:sz w:val="24"/>
          <w:szCs w:val="24"/>
        </w:rPr>
        <w:t xml:space="preserve"> will be put forward by 2028, building on relevant analytical work, with a view to improving monitoring. </w:t>
      </w:r>
    </w:p>
    <w:p w14:paraId="4345C3DB"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sz w:val="24"/>
          <w:szCs w:val="24"/>
          <w:lang w:eastAsia="en-IE"/>
        </w:rPr>
      </w:pPr>
      <w:r w:rsidRPr="002D57F2">
        <w:rPr>
          <w:rFonts w:ascii="Arial" w:hAnsi="Arial" w:cs="Arial"/>
          <w:b/>
          <w:bCs/>
          <w:sz w:val="24"/>
          <w:szCs w:val="24"/>
          <w:lang w:eastAsia="en-IE"/>
        </w:rPr>
        <w:t>The Commission calls on the EU Member States to:</w:t>
      </w:r>
    </w:p>
    <w:p w14:paraId="66778624"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sz w:val="24"/>
          <w:szCs w:val="24"/>
        </w:rPr>
      </w:pPr>
      <w:r w:rsidRPr="002D57F2">
        <w:rPr>
          <w:rFonts w:ascii="Arial" w:hAnsi="Arial" w:cs="Arial"/>
          <w:sz w:val="24"/>
          <w:szCs w:val="24"/>
        </w:rPr>
        <w:t>share good practices from their disability plans and strategies and exchange information on national developments via the Disability Platform.</w:t>
      </w:r>
      <w:r w:rsidRPr="002D57F2" w:rsidDel="00615944">
        <w:rPr>
          <w:rFonts w:ascii="Arial" w:hAnsi="Arial" w:cs="Arial"/>
          <w:sz w:val="24"/>
          <w:szCs w:val="24"/>
        </w:rPr>
        <w:t xml:space="preserve"> </w:t>
      </w:r>
    </w:p>
    <w:p w14:paraId="12620E43" w14:textId="77777777" w:rsidR="00FB01BD" w:rsidRPr="002D57F2" w:rsidRDefault="00FB01BD" w:rsidP="00FB01BD">
      <w:pPr>
        <w:pStyle w:val="Heading2"/>
        <w:spacing w:before="360" w:after="360"/>
        <w:ind w:left="425" w:hanging="425"/>
        <w:rPr>
          <w:rFonts w:ascii="Arial" w:hAnsi="Arial" w:cs="Arial"/>
        </w:rPr>
      </w:pPr>
      <w:bookmarkStart w:id="28" w:name="_Toc228880192"/>
      <w:r w:rsidRPr="002D57F2">
        <w:rPr>
          <w:rFonts w:ascii="Arial" w:hAnsi="Arial" w:cs="Arial"/>
        </w:rPr>
        <w:t>Leading by example</w:t>
      </w:r>
      <w:bookmarkEnd w:id="28"/>
    </w:p>
    <w:p w14:paraId="56C9EB7E"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b/>
          <w:bCs/>
          <w:sz w:val="24"/>
          <w:szCs w:val="24"/>
        </w:rPr>
        <w:t xml:space="preserve">The Commission is committed to </w:t>
      </w:r>
      <w:r w:rsidRPr="002D57F2">
        <w:rPr>
          <w:rFonts w:ascii="Arial" w:hAnsi="Arial" w:cs="Arial"/>
          <w:sz w:val="24"/>
          <w:szCs w:val="24"/>
        </w:rPr>
        <w:t xml:space="preserve">promote inclusion and diversity, not only in its capacity as employer but also vis-à-vis citizens and stakeholders, in line with the EU institutions’ engagement to implement the UNCRPD. Building on the </w:t>
      </w:r>
      <w:hyperlink r:id="rId109">
        <w:r w:rsidRPr="002D57F2">
          <w:rPr>
            <w:rStyle w:val="Hyperlink"/>
            <w:rFonts w:ascii="Arial" w:hAnsi="Arial" w:cs="Arial"/>
            <w:sz w:val="24"/>
            <w:szCs w:val="24"/>
          </w:rPr>
          <w:t>Commission HR strategy</w:t>
        </w:r>
      </w:hyperlink>
      <w:r w:rsidRPr="002D57F2">
        <w:rPr>
          <w:rFonts w:ascii="Arial" w:hAnsi="Arial" w:cs="Arial"/>
          <w:sz w:val="24"/>
          <w:szCs w:val="24"/>
        </w:rPr>
        <w:t>, the</w:t>
      </w:r>
      <w:r w:rsidRPr="002D57F2">
        <w:rPr>
          <w:rFonts w:ascii="Arial" w:hAnsi="Arial" w:cs="Arial"/>
          <w:b/>
          <w:bCs/>
          <w:sz w:val="24"/>
          <w:szCs w:val="24"/>
        </w:rPr>
        <w:t xml:space="preserve"> </w:t>
      </w:r>
      <w:r w:rsidRPr="002D57F2">
        <w:rPr>
          <w:rFonts w:ascii="Arial" w:hAnsi="Arial" w:cs="Arial"/>
          <w:sz w:val="24"/>
          <w:szCs w:val="24"/>
        </w:rPr>
        <w:t>Commission will continue to promote the</w:t>
      </w:r>
      <w:r w:rsidRPr="002D57F2">
        <w:rPr>
          <w:rFonts w:ascii="Arial" w:hAnsi="Arial" w:cs="Arial"/>
          <w:b/>
          <w:bCs/>
          <w:sz w:val="24"/>
          <w:szCs w:val="24"/>
        </w:rPr>
        <w:t xml:space="preserve"> inclusion of</w:t>
      </w:r>
      <w:r w:rsidRPr="002D57F2">
        <w:rPr>
          <w:rFonts w:ascii="Arial" w:hAnsi="Arial" w:cs="Arial"/>
          <w:sz w:val="24"/>
          <w:szCs w:val="24"/>
        </w:rPr>
        <w:t xml:space="preserve"> </w:t>
      </w:r>
      <w:r w:rsidRPr="002D57F2">
        <w:rPr>
          <w:rFonts w:ascii="Arial" w:hAnsi="Arial" w:cs="Arial"/>
          <w:b/>
          <w:bCs/>
          <w:sz w:val="24"/>
          <w:szCs w:val="24"/>
        </w:rPr>
        <w:t>staff with disabilities</w:t>
      </w:r>
      <w:r w:rsidRPr="002D57F2">
        <w:rPr>
          <w:rFonts w:ascii="Arial" w:hAnsi="Arial" w:cs="Arial"/>
          <w:sz w:val="24"/>
          <w:szCs w:val="24"/>
        </w:rPr>
        <w:t>.</w:t>
      </w:r>
    </w:p>
    <w:p w14:paraId="1B5C21BC" w14:textId="36682BD5"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The Commission will seek to further promote the </w:t>
      </w:r>
      <w:r w:rsidRPr="009852CB">
        <w:rPr>
          <w:rFonts w:ascii="Arial" w:hAnsi="Arial" w:cs="Arial"/>
          <w:b/>
          <w:bCs/>
          <w:sz w:val="24"/>
          <w:szCs w:val="24"/>
        </w:rPr>
        <w:t xml:space="preserve">participation of </w:t>
      </w:r>
      <w:r w:rsidR="00D41833" w:rsidRPr="009852CB">
        <w:rPr>
          <w:rFonts w:ascii="Arial" w:hAnsi="Arial" w:cs="Arial"/>
          <w:b/>
          <w:bCs/>
          <w:sz w:val="24"/>
          <w:szCs w:val="24"/>
        </w:rPr>
        <w:t xml:space="preserve">persons </w:t>
      </w:r>
      <w:r w:rsidRPr="009852CB">
        <w:rPr>
          <w:rFonts w:ascii="Arial" w:hAnsi="Arial" w:cs="Arial"/>
          <w:b/>
          <w:bCs/>
          <w:sz w:val="24"/>
          <w:szCs w:val="24"/>
        </w:rPr>
        <w:t>with disabilities</w:t>
      </w:r>
      <w:r w:rsidRPr="009852CB">
        <w:rPr>
          <w:rFonts w:ascii="Arial" w:hAnsi="Arial" w:cs="Arial"/>
          <w:sz w:val="24"/>
          <w:szCs w:val="24"/>
        </w:rPr>
        <w:t xml:space="preserve"> </w:t>
      </w:r>
      <w:r w:rsidRPr="009852CB">
        <w:rPr>
          <w:rFonts w:ascii="Arial" w:hAnsi="Arial" w:cs="Arial"/>
          <w:b/>
          <w:bCs/>
          <w:sz w:val="24"/>
          <w:szCs w:val="24"/>
        </w:rPr>
        <w:t>in the Blue Book traineeship programme</w:t>
      </w:r>
      <w:r w:rsidRPr="009852CB">
        <w:rPr>
          <w:rFonts w:ascii="Arial" w:hAnsi="Arial" w:cs="Arial"/>
          <w:sz w:val="24"/>
          <w:szCs w:val="24"/>
        </w:rPr>
        <w:t xml:space="preserve"> in th</w:t>
      </w:r>
      <w:r w:rsidRPr="002D57F2">
        <w:rPr>
          <w:rFonts w:ascii="Arial" w:hAnsi="Arial" w:cs="Arial"/>
          <w:sz w:val="24"/>
          <w:szCs w:val="24"/>
        </w:rPr>
        <w:t xml:space="preserve">e context of the upcoming revision of the decision on the Blue Book traineeship. This will complement the already existing provisions on disability allowance and reasonable accommodation. </w:t>
      </w:r>
    </w:p>
    <w:p w14:paraId="3886DE6C"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The </w:t>
      </w:r>
      <w:r w:rsidRPr="002D57F2">
        <w:rPr>
          <w:rFonts w:ascii="Arial" w:hAnsi="Arial" w:cs="Arial"/>
          <w:b/>
          <w:bCs/>
          <w:sz w:val="24"/>
          <w:szCs w:val="24"/>
        </w:rPr>
        <w:t>European Personnel Selection Office (EPSO)</w:t>
      </w:r>
      <w:r w:rsidRPr="002D57F2">
        <w:rPr>
          <w:rFonts w:ascii="Arial" w:hAnsi="Arial" w:cs="Arial"/>
          <w:sz w:val="24"/>
          <w:szCs w:val="24"/>
        </w:rPr>
        <w:t xml:space="preserve"> will strengthen the accessibility of its communication and selection procedures, ensuring equal opportunities for candidates with disabilities, including through its </w:t>
      </w:r>
      <w:r w:rsidRPr="002D57F2">
        <w:rPr>
          <w:rFonts w:ascii="Arial" w:hAnsi="Arial" w:cs="Arial"/>
          <w:b/>
          <w:bCs/>
          <w:sz w:val="24"/>
          <w:szCs w:val="24"/>
        </w:rPr>
        <w:t>reasonable accommodation policy</w:t>
      </w:r>
      <w:r w:rsidRPr="002D57F2">
        <w:rPr>
          <w:rFonts w:ascii="Arial" w:hAnsi="Arial" w:cs="Arial"/>
          <w:sz w:val="24"/>
          <w:szCs w:val="24"/>
        </w:rPr>
        <w:t xml:space="preserve">. EPSO will further enhance its </w:t>
      </w:r>
      <w:r w:rsidRPr="002D57F2">
        <w:rPr>
          <w:rFonts w:ascii="Arial" w:hAnsi="Arial" w:cs="Arial"/>
          <w:b/>
          <w:bCs/>
          <w:sz w:val="24"/>
          <w:szCs w:val="24"/>
        </w:rPr>
        <w:t>targeted outreach through cooperation with EU disability and diversity organisations</w:t>
      </w:r>
      <w:r w:rsidRPr="002D57F2">
        <w:rPr>
          <w:rFonts w:ascii="Arial" w:hAnsi="Arial" w:cs="Arial"/>
          <w:sz w:val="24"/>
          <w:szCs w:val="24"/>
        </w:rPr>
        <w:t xml:space="preserve"> to attract a more diverse pool of candidates.</w:t>
      </w:r>
    </w:p>
    <w:p w14:paraId="290FA6C2" w14:textId="77777777"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The Commission will strengthen its outreach to staff with disabilities and carers. It will continue to </w:t>
      </w:r>
      <w:r w:rsidRPr="002D57F2">
        <w:rPr>
          <w:rFonts w:ascii="Arial" w:hAnsi="Arial" w:cs="Arial"/>
          <w:b/>
          <w:bCs/>
          <w:sz w:val="24"/>
          <w:szCs w:val="24"/>
        </w:rPr>
        <w:t>streamline coordination between services providing support to staff</w:t>
      </w:r>
      <w:r w:rsidRPr="002D57F2">
        <w:rPr>
          <w:rFonts w:ascii="Arial" w:hAnsi="Arial" w:cs="Arial"/>
          <w:sz w:val="24"/>
          <w:szCs w:val="24"/>
        </w:rPr>
        <w:t xml:space="preserve">. It will update its </w:t>
      </w:r>
      <w:hyperlink r:id="rId110" w:history="1">
        <w:r w:rsidRPr="002D57F2">
          <w:rPr>
            <w:rStyle w:val="Hyperlink"/>
            <w:rFonts w:ascii="Arial" w:hAnsi="Arial" w:cs="Arial"/>
            <w:sz w:val="24"/>
            <w:szCs w:val="24"/>
          </w:rPr>
          <w:t>diversity and inclusion action plan</w:t>
        </w:r>
      </w:hyperlink>
      <w:r w:rsidRPr="002D57F2">
        <w:rPr>
          <w:rFonts w:ascii="Arial" w:hAnsi="Arial" w:cs="Arial"/>
        </w:rPr>
        <w:t xml:space="preserve"> </w:t>
      </w:r>
      <w:r w:rsidRPr="002D57F2">
        <w:rPr>
          <w:rFonts w:ascii="Arial" w:hAnsi="Arial" w:cs="Arial"/>
          <w:sz w:val="24"/>
          <w:szCs w:val="24"/>
        </w:rPr>
        <w:t xml:space="preserve">building on the findings of a survey conducted in 2025. It will further develop initiatives to raise awareness, deliver training to staff and managers, fight unconscious biases and </w:t>
      </w:r>
      <w:r w:rsidRPr="002D57F2">
        <w:rPr>
          <w:rFonts w:ascii="Arial" w:hAnsi="Arial" w:cs="Arial"/>
          <w:b/>
          <w:bCs/>
          <w:sz w:val="24"/>
          <w:szCs w:val="24"/>
        </w:rPr>
        <w:t xml:space="preserve">improve digital and physical accessibility as well as reasonable accommodation. </w:t>
      </w:r>
      <w:r w:rsidRPr="002D57F2">
        <w:rPr>
          <w:rFonts w:ascii="Arial" w:hAnsi="Arial" w:cs="Arial"/>
          <w:sz w:val="24"/>
          <w:szCs w:val="24"/>
        </w:rPr>
        <w:t>The Commission will also regularly engage with staff associations to further foster inclusion at the workplace.</w:t>
      </w:r>
    </w:p>
    <w:p w14:paraId="587D2BEE" w14:textId="444338D3"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Moreover, the Commission will implement its </w:t>
      </w:r>
      <w:r w:rsidRPr="002D57F2">
        <w:rPr>
          <w:rFonts w:ascii="Arial" w:hAnsi="Arial" w:cs="Arial"/>
          <w:b/>
          <w:bCs/>
          <w:sz w:val="24"/>
          <w:szCs w:val="24"/>
        </w:rPr>
        <w:t>anti-harassment policy</w:t>
      </w:r>
      <w:r w:rsidRPr="002D57F2">
        <w:rPr>
          <w:rFonts w:ascii="Arial" w:hAnsi="Arial" w:cs="Arial"/>
          <w:sz w:val="24"/>
          <w:szCs w:val="24"/>
        </w:rPr>
        <w:t xml:space="preserve"> paying particular attention to vulnerable groups, including staff with disabilities as well as staff members with care responsibilities for family members with disabilities. </w:t>
      </w:r>
      <w:r w:rsidR="00D41833" w:rsidRPr="002D57F2">
        <w:rPr>
          <w:rFonts w:ascii="Arial" w:hAnsi="Arial" w:cs="Arial"/>
          <w:sz w:val="24"/>
          <w:szCs w:val="24"/>
        </w:rPr>
        <w:t xml:space="preserve">The needs of </w:t>
      </w:r>
      <w:r w:rsidR="00D41833" w:rsidRPr="009852CB">
        <w:rPr>
          <w:rFonts w:ascii="Arial" w:hAnsi="Arial" w:cs="Arial"/>
          <w:sz w:val="24"/>
          <w:szCs w:val="24"/>
        </w:rPr>
        <w:t>staff with disabilities</w:t>
      </w:r>
      <w:r w:rsidR="00D41833" w:rsidRPr="002D57F2">
        <w:rPr>
          <w:rFonts w:ascii="Arial" w:hAnsi="Arial" w:cs="Arial"/>
          <w:sz w:val="24"/>
          <w:szCs w:val="24"/>
        </w:rPr>
        <w:t xml:space="preserve"> will also be carefully considered in the planned review of the</w:t>
      </w:r>
      <w:r w:rsidR="00D41833" w:rsidRPr="002D57F2">
        <w:rPr>
          <w:rFonts w:ascii="Arial" w:hAnsi="Arial" w:cs="Arial"/>
          <w:b/>
          <w:bCs/>
          <w:sz w:val="24"/>
          <w:szCs w:val="24"/>
        </w:rPr>
        <w:t xml:space="preserve"> EU Joint Sickness </w:t>
      </w:r>
      <w:r w:rsidRPr="002D57F2">
        <w:rPr>
          <w:rFonts w:ascii="Arial" w:hAnsi="Arial" w:cs="Arial"/>
          <w:b/>
          <w:bCs/>
          <w:sz w:val="24"/>
          <w:szCs w:val="24"/>
        </w:rPr>
        <w:t>Insurance Scheme.</w:t>
      </w:r>
    </w:p>
    <w:p w14:paraId="550B1FED" w14:textId="177AE953"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 xml:space="preserve">Furthermore, the Commission will present a </w:t>
      </w:r>
      <w:r w:rsidRPr="002D57F2">
        <w:rPr>
          <w:rFonts w:ascii="Arial" w:hAnsi="Arial" w:cs="Arial"/>
          <w:b/>
          <w:bCs/>
          <w:sz w:val="24"/>
          <w:szCs w:val="24"/>
        </w:rPr>
        <w:t xml:space="preserve">digital accessibility action plan (2026-2030) </w:t>
      </w:r>
      <w:r w:rsidRPr="002D57F2">
        <w:rPr>
          <w:rFonts w:ascii="Arial" w:hAnsi="Arial" w:cs="Arial"/>
          <w:sz w:val="24"/>
          <w:szCs w:val="24"/>
        </w:rPr>
        <w:t>covering its entire digital ecosystem. It will also continue to implement the</w:t>
      </w:r>
      <w:r w:rsidRPr="002D57F2">
        <w:rPr>
          <w:rFonts w:ascii="Arial" w:hAnsi="Arial" w:cs="Arial"/>
          <w:b/>
          <w:bCs/>
          <w:sz w:val="24"/>
          <w:szCs w:val="24"/>
        </w:rPr>
        <w:t xml:space="preserve"> infrastructure and buildings equality work plan (2021-2030)</w:t>
      </w:r>
      <w:r w:rsidRPr="002D57F2">
        <w:rPr>
          <w:rFonts w:ascii="Arial" w:hAnsi="Arial" w:cs="Arial"/>
          <w:sz w:val="24"/>
          <w:szCs w:val="24"/>
        </w:rPr>
        <w:t>, increasing awareness of physical accessibility among staff and relevant professionals. The Commission will aim at making meetings and events held in Commission conference rooms more accessible across all EU languages and deploy AI-based multilingual services.</w:t>
      </w:r>
    </w:p>
    <w:p w14:paraId="26D4B877" w14:textId="77777777" w:rsidR="00FB01BD" w:rsidRPr="002D57F2" w:rsidRDefault="00FB01BD" w:rsidP="00FB01BD">
      <w:pPr>
        <w:pStyle w:val="Heading2"/>
        <w:spacing w:before="360" w:after="360"/>
        <w:ind w:left="425" w:hanging="425"/>
        <w:rPr>
          <w:rFonts w:ascii="Arial" w:hAnsi="Arial" w:cs="Arial"/>
        </w:rPr>
      </w:pPr>
      <w:bookmarkStart w:id="29" w:name="_Toc228880193"/>
      <w:r w:rsidRPr="002D57F2">
        <w:rPr>
          <w:rFonts w:ascii="Arial" w:hAnsi="Arial" w:cs="Arial"/>
        </w:rPr>
        <w:t>Awareness-raising, monitoring and measuring progress</w:t>
      </w:r>
      <w:bookmarkEnd w:id="29"/>
      <w:r w:rsidRPr="002D57F2">
        <w:rPr>
          <w:rFonts w:ascii="Arial" w:hAnsi="Arial" w:cs="Arial"/>
        </w:rPr>
        <w:t xml:space="preserve"> </w:t>
      </w:r>
    </w:p>
    <w:p w14:paraId="49B58040" w14:textId="77777777" w:rsidR="00FB01BD" w:rsidRPr="002D57F2" w:rsidRDefault="00FB01BD" w:rsidP="00FB01BD">
      <w:pPr>
        <w:pStyle w:val="Heading3"/>
        <w:rPr>
          <w:rFonts w:ascii="Arial" w:hAnsi="Arial" w:cs="Arial"/>
        </w:rPr>
      </w:pPr>
      <w:bookmarkStart w:id="30" w:name="_Toc228880194"/>
      <w:r w:rsidRPr="002D57F2">
        <w:rPr>
          <w:rFonts w:ascii="Arial" w:hAnsi="Arial" w:cs="Arial"/>
        </w:rPr>
        <w:t>Raising awareness and disseminating good practices</w:t>
      </w:r>
      <w:bookmarkEnd w:id="30"/>
    </w:p>
    <w:p w14:paraId="5305FAFB" w14:textId="12694CC2"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Promoting disability awareness and combating stereotypes are fundamental complements to legislation and policymaking. The Commission will continue to engage with the disability community through the</w:t>
      </w:r>
      <w:r w:rsidRPr="002D57F2">
        <w:rPr>
          <w:rFonts w:ascii="Arial" w:hAnsi="Arial" w:cs="Arial"/>
          <w:b/>
          <w:bCs/>
          <w:sz w:val="24"/>
          <w:szCs w:val="24"/>
        </w:rPr>
        <w:t xml:space="preserve"> European Day of Persons with Disabilities </w:t>
      </w:r>
      <w:r w:rsidRPr="002D57F2">
        <w:rPr>
          <w:rFonts w:ascii="Arial" w:hAnsi="Arial" w:cs="Arial"/>
          <w:sz w:val="24"/>
          <w:szCs w:val="24"/>
        </w:rPr>
        <w:t xml:space="preserve">and to promote accessibility best practices through the </w:t>
      </w:r>
      <w:hyperlink r:id="rId111" w:history="1">
        <w:r w:rsidRPr="002D57F2">
          <w:rPr>
            <w:rStyle w:val="Hyperlink"/>
            <w:rFonts w:ascii="Arial" w:hAnsi="Arial" w:cs="Arial"/>
            <w:sz w:val="24"/>
            <w:szCs w:val="24"/>
          </w:rPr>
          <w:t>Access City Award</w:t>
        </w:r>
      </w:hyperlink>
      <w:r w:rsidRPr="002D57F2">
        <w:rPr>
          <w:rFonts w:ascii="Arial" w:hAnsi="Arial" w:cs="Arial"/>
          <w:sz w:val="24"/>
          <w:szCs w:val="24"/>
        </w:rPr>
        <w:t>,</w:t>
      </w:r>
      <w:r w:rsidRPr="002D57F2">
        <w:rPr>
          <w:rFonts w:ascii="Arial" w:hAnsi="Arial" w:cs="Arial"/>
          <w:b/>
          <w:bCs/>
          <w:sz w:val="24"/>
          <w:szCs w:val="24"/>
        </w:rPr>
        <w:t xml:space="preserve"> </w:t>
      </w:r>
      <w:r w:rsidRPr="002D57F2">
        <w:rPr>
          <w:rFonts w:ascii="Arial" w:hAnsi="Arial" w:cs="Arial"/>
          <w:sz w:val="24"/>
          <w:szCs w:val="24"/>
        </w:rPr>
        <w:t>developing a new</w:t>
      </w:r>
      <w:r w:rsidRPr="002D57F2">
        <w:rPr>
          <w:rFonts w:ascii="Arial" w:hAnsi="Arial" w:cs="Arial"/>
          <w:b/>
          <w:bCs/>
          <w:sz w:val="24"/>
          <w:szCs w:val="24"/>
        </w:rPr>
        <w:t xml:space="preserve"> community of practice among cities.</w:t>
      </w:r>
      <w:r w:rsidRPr="002D57F2">
        <w:rPr>
          <w:rFonts w:ascii="Arial" w:hAnsi="Arial" w:cs="Arial"/>
          <w:sz w:val="24"/>
          <w:szCs w:val="24"/>
        </w:rPr>
        <w:t xml:space="preserve"> It will also continue to celebrate and support local authorities championing inclusiveness through the </w:t>
      </w:r>
      <w:hyperlink r:id="rId112" w:history="1">
        <w:r w:rsidRPr="009852CB">
          <w:rPr>
            <w:rStyle w:val="Hyperlink"/>
            <w:rFonts w:ascii="Arial" w:hAnsi="Arial" w:cs="Arial"/>
            <w:sz w:val="24"/>
            <w:szCs w:val="24"/>
          </w:rPr>
          <w:t>European Capitals of Inclusion and Diversity Award</w:t>
        </w:r>
      </w:hyperlink>
      <w:r w:rsidRPr="009852CB">
        <w:rPr>
          <w:rFonts w:ascii="Arial" w:hAnsi="Arial" w:cs="Arial"/>
          <w:sz w:val="24"/>
          <w:szCs w:val="24"/>
        </w:rPr>
        <w:t>.</w:t>
      </w:r>
      <w:r w:rsidR="00D41833" w:rsidRPr="009852CB">
        <w:rPr>
          <w:rFonts w:ascii="Arial" w:hAnsi="Arial" w:cs="Arial"/>
          <w:sz w:val="24"/>
          <w:szCs w:val="24"/>
        </w:rPr>
        <w:t> In addition</w:t>
      </w:r>
      <w:r w:rsidR="00D41833" w:rsidRPr="002D57F2">
        <w:rPr>
          <w:rFonts w:ascii="Arial" w:hAnsi="Arial" w:cs="Arial"/>
          <w:sz w:val="24"/>
          <w:szCs w:val="24"/>
        </w:rPr>
        <w:t>,</w:t>
      </w:r>
      <w:r w:rsidR="00D41833">
        <w:rPr>
          <w:rFonts w:ascii="Arial" w:hAnsi="Arial" w:cs="Arial"/>
          <w:sz w:val="24"/>
          <w:szCs w:val="24"/>
        </w:rPr>
        <w:t xml:space="preserve"> </w:t>
      </w:r>
      <w:r w:rsidRPr="002D57F2">
        <w:rPr>
          <w:rFonts w:ascii="Arial" w:hAnsi="Arial" w:cs="Arial"/>
          <w:sz w:val="24"/>
          <w:szCs w:val="24"/>
        </w:rPr>
        <w:t xml:space="preserve">the Commission will run a </w:t>
      </w:r>
      <w:r w:rsidRPr="002D57F2">
        <w:rPr>
          <w:rFonts w:ascii="Arial" w:hAnsi="Arial" w:cs="Arial"/>
          <w:b/>
          <w:bCs/>
          <w:sz w:val="24"/>
          <w:szCs w:val="24"/>
        </w:rPr>
        <w:t>Union of Equality campaign</w:t>
      </w:r>
      <w:r w:rsidRPr="002D57F2">
        <w:rPr>
          <w:rFonts w:ascii="Arial" w:hAnsi="Arial" w:cs="Arial"/>
          <w:sz w:val="24"/>
          <w:szCs w:val="24"/>
        </w:rPr>
        <w:t>, which will also cover disability.</w:t>
      </w:r>
    </w:p>
    <w:p w14:paraId="277A3FF5" w14:textId="77777777" w:rsidR="00FB01BD" w:rsidRPr="002D57F2" w:rsidRDefault="00FB01BD" w:rsidP="00FB01BD">
      <w:pPr>
        <w:pStyle w:val="Heading3"/>
        <w:rPr>
          <w:rFonts w:ascii="Arial" w:hAnsi="Arial" w:cs="Arial"/>
        </w:rPr>
      </w:pPr>
      <w:bookmarkStart w:id="31" w:name="_Toc228880195"/>
      <w:r w:rsidRPr="002D57F2">
        <w:rPr>
          <w:rFonts w:ascii="Arial" w:hAnsi="Arial" w:cs="Arial"/>
        </w:rPr>
        <w:t>Collecting data, monitoring and measuring progress</w:t>
      </w:r>
      <w:bookmarkEnd w:id="31"/>
    </w:p>
    <w:p w14:paraId="17F46C81" w14:textId="77777777" w:rsidR="00FB01BD" w:rsidRDefault="00FB01BD" w:rsidP="00FB01BD">
      <w:pPr>
        <w:pStyle w:val="Style2"/>
        <w:spacing w:line="288" w:lineRule="auto"/>
        <w:rPr>
          <w:rFonts w:ascii="Arial" w:hAnsi="Arial" w:cs="Arial"/>
          <w:sz w:val="24"/>
          <w:szCs w:val="24"/>
        </w:rPr>
      </w:pPr>
      <w:r w:rsidRPr="002D57F2">
        <w:rPr>
          <w:rFonts w:ascii="Arial" w:hAnsi="Arial" w:cs="Arial"/>
          <w:sz w:val="24"/>
          <w:szCs w:val="24"/>
        </w:rPr>
        <w:t>Statistics are a necessary tool for evaluating policy outcomes and designing evidence-based disability policies. The Commission will progressively</w:t>
      </w:r>
      <w:r w:rsidRPr="002D57F2">
        <w:rPr>
          <w:rFonts w:ascii="Arial" w:hAnsi="Arial" w:cs="Arial"/>
          <w:b/>
          <w:bCs/>
          <w:sz w:val="24"/>
          <w:szCs w:val="24"/>
        </w:rPr>
        <w:t xml:space="preserve"> step up data collection and publish data for new indicators</w:t>
      </w:r>
      <w:r w:rsidRPr="002D57F2">
        <w:rPr>
          <w:rFonts w:ascii="Arial" w:hAnsi="Arial" w:cs="Arial"/>
          <w:sz w:val="24"/>
          <w:szCs w:val="24"/>
        </w:rPr>
        <w:t xml:space="preserve"> on the situation of persons with disabilities for various aspects of life through the dedicated </w:t>
      </w:r>
      <w:hyperlink r:id="rId113" w:history="1">
        <w:r w:rsidRPr="002D57F2">
          <w:rPr>
            <w:rStyle w:val="Hyperlink"/>
            <w:rFonts w:ascii="Arial" w:hAnsi="Arial" w:cs="Arial"/>
            <w:sz w:val="24"/>
            <w:szCs w:val="24"/>
          </w:rPr>
          <w:t>EU statistical online gateway</w:t>
        </w:r>
      </w:hyperlink>
      <w:r w:rsidRPr="002D57F2">
        <w:rPr>
          <w:rFonts w:ascii="Arial" w:hAnsi="Arial" w:cs="Arial"/>
        </w:rPr>
        <w:t>,</w:t>
      </w:r>
      <w:r w:rsidRPr="002D57F2">
        <w:rPr>
          <w:rFonts w:ascii="Arial" w:hAnsi="Arial" w:cs="Arial"/>
          <w:b/>
          <w:bCs/>
          <w:sz w:val="24"/>
          <w:szCs w:val="24"/>
        </w:rPr>
        <w:t xml:space="preserve"> </w:t>
      </w:r>
      <w:r w:rsidRPr="002D57F2">
        <w:rPr>
          <w:rFonts w:ascii="Arial" w:hAnsi="Arial" w:cs="Arial"/>
          <w:sz w:val="24"/>
          <w:szCs w:val="24"/>
        </w:rPr>
        <w:t>and will strive to enhance data collection disaggregated by type of disability</w:t>
      </w:r>
      <w:r>
        <w:rPr>
          <w:rFonts w:ascii="Arial" w:hAnsi="Arial" w:cs="Arial"/>
          <w:sz w:val="24"/>
          <w:szCs w:val="24"/>
        </w:rPr>
        <w:t>, while minimising the administrative burden</w:t>
      </w:r>
      <w:r w:rsidRPr="002D57F2">
        <w:rPr>
          <w:rFonts w:ascii="Arial" w:hAnsi="Arial" w:cs="Arial"/>
          <w:sz w:val="24"/>
          <w:szCs w:val="24"/>
        </w:rPr>
        <w:t xml:space="preserve">. Moreover, it will issue a </w:t>
      </w:r>
      <w:r w:rsidRPr="002D57F2">
        <w:rPr>
          <w:rFonts w:ascii="Arial" w:hAnsi="Arial" w:cs="Arial"/>
          <w:b/>
          <w:bCs/>
          <w:sz w:val="24"/>
          <w:szCs w:val="24"/>
        </w:rPr>
        <w:t>recommendation on equality data</w:t>
      </w:r>
      <w:r w:rsidRPr="002D57F2">
        <w:rPr>
          <w:rFonts w:ascii="Arial" w:hAnsi="Arial" w:cs="Arial"/>
          <w:sz w:val="24"/>
          <w:szCs w:val="24"/>
        </w:rPr>
        <w:t xml:space="preserve"> and organise a high-level roundtable to further promote their collection and use, building on the work of the equality data expert group of the High-Level Group on non-discrimination, equality and diversity. </w:t>
      </w:r>
    </w:p>
    <w:p w14:paraId="16F343D1" w14:textId="6CB263C0"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The Commission will also publish a new </w:t>
      </w:r>
      <w:r w:rsidRPr="002D57F2">
        <w:rPr>
          <w:rFonts w:ascii="Arial" w:hAnsi="Arial" w:cs="Arial"/>
          <w:b/>
          <w:bCs/>
          <w:sz w:val="24"/>
          <w:szCs w:val="24"/>
        </w:rPr>
        <w:t>Eurobarometer on discrimination in the EU</w:t>
      </w:r>
      <w:r w:rsidRPr="002D57F2">
        <w:rPr>
          <w:rFonts w:ascii="Arial" w:hAnsi="Arial" w:cs="Arial"/>
          <w:sz w:val="24"/>
          <w:szCs w:val="24"/>
        </w:rPr>
        <w:t xml:space="preserve"> in 2027. In addition, it will take further steps to promote </w:t>
      </w:r>
      <w:r w:rsidRPr="002D57F2">
        <w:rPr>
          <w:rFonts w:ascii="Arial" w:hAnsi="Arial" w:cs="Arial"/>
          <w:b/>
          <w:bCs/>
          <w:sz w:val="24"/>
          <w:szCs w:val="24"/>
        </w:rPr>
        <w:t xml:space="preserve">data collection on persons with disabilities living in institutions and associated costs. </w:t>
      </w:r>
      <w:r w:rsidRPr="002D57F2">
        <w:rPr>
          <w:rFonts w:ascii="Arial" w:hAnsi="Arial" w:cs="Arial"/>
          <w:sz w:val="24"/>
          <w:szCs w:val="24"/>
        </w:rPr>
        <w:t xml:space="preserve">The Commission will use the Disability Platform to discuss progress and strengthen </w:t>
      </w:r>
      <w:r w:rsidRPr="00CC0C2C">
        <w:rPr>
          <w:rFonts w:ascii="Arial" w:hAnsi="Arial" w:cs="Arial"/>
          <w:sz w:val="24"/>
          <w:szCs w:val="24"/>
        </w:rPr>
        <w:t>accountability</w:t>
      </w:r>
      <w:r w:rsidR="000E521B" w:rsidRPr="00CC0C2C">
        <w:rPr>
          <w:rFonts w:ascii="Arial" w:hAnsi="Arial" w:cs="Arial"/>
          <w:sz w:val="24"/>
          <w:szCs w:val="24"/>
        </w:rPr>
        <w:t xml:space="preserve">, </w:t>
      </w:r>
      <w:r w:rsidRPr="00CC0C2C">
        <w:rPr>
          <w:rFonts w:ascii="Arial" w:hAnsi="Arial" w:cs="Arial"/>
          <w:sz w:val="24"/>
          <w:szCs w:val="24"/>
        </w:rPr>
        <w:t>mo</w:t>
      </w:r>
      <w:r w:rsidRPr="002D57F2">
        <w:rPr>
          <w:rFonts w:ascii="Arial" w:hAnsi="Arial" w:cs="Arial"/>
          <w:sz w:val="24"/>
          <w:szCs w:val="24"/>
        </w:rPr>
        <w:t xml:space="preserve">nitoring national developments, supported by the forthcoming </w:t>
      </w:r>
      <w:r w:rsidRPr="009852CB">
        <w:rPr>
          <w:rFonts w:ascii="Arial" w:hAnsi="Arial" w:cs="Arial"/>
          <w:sz w:val="24"/>
          <w:szCs w:val="24"/>
        </w:rPr>
        <w:t>Union of Equality reporting</w:t>
      </w:r>
      <w:r w:rsidRPr="002D57F2">
        <w:rPr>
          <w:rFonts w:ascii="Arial" w:hAnsi="Arial" w:cs="Arial"/>
          <w:sz w:val="24"/>
          <w:szCs w:val="24"/>
        </w:rPr>
        <w:t xml:space="preserve"> and the </w:t>
      </w:r>
      <w:r w:rsidRPr="002D57F2">
        <w:rPr>
          <w:rFonts w:ascii="Arial" w:hAnsi="Arial" w:cs="Arial"/>
          <w:b/>
          <w:bCs/>
          <w:sz w:val="24"/>
          <w:szCs w:val="24"/>
        </w:rPr>
        <w:t>strategy monitoring framework</w:t>
      </w:r>
      <w:r w:rsidRPr="002D57F2">
        <w:rPr>
          <w:rFonts w:ascii="Arial" w:hAnsi="Arial" w:cs="Arial"/>
          <w:sz w:val="24"/>
          <w:szCs w:val="24"/>
        </w:rPr>
        <w:t xml:space="preserve">. Lastly, the Commission will seek to ensure that the </w:t>
      </w:r>
      <w:r w:rsidRPr="002D57F2">
        <w:rPr>
          <w:rFonts w:ascii="Arial" w:hAnsi="Arial" w:cs="Arial"/>
          <w:b/>
          <w:bCs/>
          <w:sz w:val="24"/>
          <w:szCs w:val="24"/>
        </w:rPr>
        <w:t>use of EU funds</w:t>
      </w:r>
      <w:r w:rsidRPr="002D57F2">
        <w:rPr>
          <w:rFonts w:ascii="Arial" w:hAnsi="Arial" w:cs="Arial"/>
          <w:sz w:val="24"/>
          <w:szCs w:val="24"/>
        </w:rPr>
        <w:t xml:space="preserve"> is monitored against the policy orientations outlined in the strategy and in this Communication.</w:t>
      </w:r>
    </w:p>
    <w:p w14:paraId="0D7D7030"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sz w:val="24"/>
          <w:szCs w:val="24"/>
          <w:lang w:eastAsia="en-IE"/>
        </w:rPr>
      </w:pPr>
      <w:r w:rsidRPr="002D57F2">
        <w:rPr>
          <w:rFonts w:ascii="Arial" w:hAnsi="Arial" w:cs="Arial"/>
          <w:b/>
          <w:bCs/>
          <w:sz w:val="24"/>
          <w:szCs w:val="24"/>
          <w:lang w:eastAsia="en-IE"/>
        </w:rPr>
        <w:t>The Commission calls on the EU Member States to:</w:t>
      </w:r>
    </w:p>
    <w:p w14:paraId="20458AF3"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sz w:val="24"/>
          <w:szCs w:val="24"/>
        </w:rPr>
      </w:pPr>
      <w:r w:rsidRPr="002D57F2">
        <w:rPr>
          <w:rFonts w:ascii="Arial" w:hAnsi="Arial" w:cs="Arial"/>
          <w:sz w:val="24"/>
          <w:szCs w:val="24"/>
        </w:rPr>
        <w:t xml:space="preserve">raise awareness and combat stereotypes of persons with disabilities, including in the portrayal of disability in the </w:t>
      </w:r>
      <w:proofErr w:type="gramStart"/>
      <w:r w:rsidRPr="002D57F2">
        <w:rPr>
          <w:rFonts w:ascii="Arial" w:hAnsi="Arial" w:cs="Arial"/>
          <w:sz w:val="24"/>
          <w:szCs w:val="24"/>
        </w:rPr>
        <w:t>media;</w:t>
      </w:r>
      <w:proofErr w:type="gramEnd"/>
    </w:p>
    <w:p w14:paraId="26F057E2"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line="288" w:lineRule="auto"/>
        <w:ind w:left="360"/>
        <w:rPr>
          <w:rFonts w:ascii="Arial" w:hAnsi="Arial" w:cs="Arial"/>
          <w:sz w:val="24"/>
          <w:szCs w:val="24"/>
        </w:rPr>
      </w:pPr>
      <w:r w:rsidRPr="002D57F2">
        <w:rPr>
          <w:rFonts w:ascii="Arial" w:hAnsi="Arial" w:cs="Arial"/>
          <w:sz w:val="24"/>
          <w:szCs w:val="24"/>
        </w:rPr>
        <w:t>ensure availability of data disaggregated by disability, including in institutions.</w:t>
      </w:r>
    </w:p>
    <w:p w14:paraId="6D683724" w14:textId="77777777" w:rsidR="00FB01BD" w:rsidRPr="002D57F2" w:rsidRDefault="00FB01BD" w:rsidP="00FB01BD">
      <w:pPr>
        <w:rPr>
          <w:rFonts w:ascii="Arial" w:eastAsiaTheme="majorEastAsia" w:hAnsi="Arial" w:cs="Arial"/>
          <w:b/>
          <w:sz w:val="28"/>
          <w:szCs w:val="28"/>
          <w:lang w:val="en-GB"/>
        </w:rPr>
      </w:pPr>
      <w:r w:rsidRPr="002D57F2">
        <w:rPr>
          <w:rFonts w:ascii="Arial" w:hAnsi="Arial" w:cs="Arial"/>
          <w:lang w:val="en-GB"/>
        </w:rPr>
        <w:br w:type="page"/>
      </w:r>
    </w:p>
    <w:p w14:paraId="52184934" w14:textId="77777777" w:rsidR="00FB01BD" w:rsidRPr="002D57F2" w:rsidRDefault="00FB01BD" w:rsidP="00FB01BD">
      <w:pPr>
        <w:pStyle w:val="Heading1"/>
        <w:ind w:left="0"/>
        <w:rPr>
          <w:rFonts w:ascii="Arial" w:eastAsiaTheme="minorHAnsi" w:hAnsi="Arial" w:cs="Arial"/>
        </w:rPr>
      </w:pPr>
      <w:bookmarkStart w:id="32" w:name="_Toc228880196"/>
      <w:r w:rsidRPr="002D57F2">
        <w:rPr>
          <w:rFonts w:ascii="Arial" w:hAnsi="Arial" w:cs="Arial"/>
        </w:rPr>
        <w:t>CONCLUSION</w:t>
      </w:r>
      <w:bookmarkEnd w:id="32"/>
    </w:p>
    <w:p w14:paraId="08BD23BD" w14:textId="5AE51D50" w:rsidR="00FB01BD" w:rsidRPr="002D57F2" w:rsidRDefault="00FB01BD" w:rsidP="00FB01BD">
      <w:pPr>
        <w:pStyle w:val="Style2"/>
        <w:spacing w:line="288" w:lineRule="auto"/>
        <w:rPr>
          <w:rFonts w:ascii="Arial" w:hAnsi="Arial" w:cs="Arial"/>
          <w:sz w:val="24"/>
          <w:szCs w:val="24"/>
        </w:rPr>
      </w:pPr>
      <w:r w:rsidRPr="002D57F2">
        <w:rPr>
          <w:rFonts w:ascii="Arial" w:hAnsi="Arial" w:cs="Arial"/>
          <w:sz w:val="24"/>
          <w:szCs w:val="24"/>
        </w:rPr>
        <w:t>The strategy for the rights of persons with disabilities 2021</w:t>
      </w:r>
      <w:r w:rsidR="00CC0C2C">
        <w:rPr>
          <w:rFonts w:ascii="Arial" w:hAnsi="Arial" w:cs="Arial"/>
          <w:sz w:val="24"/>
          <w:szCs w:val="24"/>
        </w:rPr>
        <w:t>-</w:t>
      </w:r>
      <w:r w:rsidRPr="002D57F2">
        <w:rPr>
          <w:rFonts w:ascii="Arial" w:hAnsi="Arial" w:cs="Arial"/>
          <w:sz w:val="24"/>
          <w:szCs w:val="24"/>
        </w:rPr>
        <w:t xml:space="preserve">2030 </w:t>
      </w:r>
      <w:r w:rsidRPr="002D57F2">
        <w:rPr>
          <w:rFonts w:ascii="Arial" w:hAnsi="Arial" w:cs="Arial"/>
          <w:b/>
          <w:bCs/>
          <w:sz w:val="24"/>
          <w:szCs w:val="24"/>
        </w:rPr>
        <w:t>remains the EU’s main policy framework for achieving a Union of Equality for persons with disabilities</w:t>
      </w:r>
      <w:r w:rsidRPr="002D57F2">
        <w:rPr>
          <w:rFonts w:ascii="Arial" w:hAnsi="Arial" w:cs="Arial"/>
          <w:sz w:val="24"/>
          <w:szCs w:val="24"/>
        </w:rPr>
        <w:t xml:space="preserve">. This enhanced strategy will strengthen the Commission’s commitment to design and implement sound disability policies jointly with the Member States and relevant stakeholders as well as with candidate and potential candidate countries for EU accession. </w:t>
      </w:r>
    </w:p>
    <w:p w14:paraId="554D3FCF" w14:textId="72D3D071" w:rsidR="00F87E5B" w:rsidRPr="00066452" w:rsidRDefault="00FB01BD" w:rsidP="00FB01BD">
      <w:pPr>
        <w:pStyle w:val="Style2"/>
        <w:spacing w:line="288" w:lineRule="auto"/>
        <w:rPr>
          <w:sz w:val="24"/>
          <w:szCs w:val="24"/>
        </w:rPr>
      </w:pPr>
      <w:r w:rsidRPr="002D57F2">
        <w:rPr>
          <w:rFonts w:ascii="Arial" w:hAnsi="Arial" w:cs="Arial"/>
          <w:sz w:val="24"/>
          <w:szCs w:val="24"/>
        </w:rPr>
        <w:t xml:space="preserve">Promoting disability rights and inclusion will pave the way for stronger democracies and more competitive economies and will confirm the </w:t>
      </w:r>
      <w:r w:rsidRPr="002D57F2">
        <w:rPr>
          <w:rFonts w:ascii="Arial" w:hAnsi="Arial" w:cs="Arial"/>
          <w:b/>
          <w:bCs/>
          <w:sz w:val="24"/>
          <w:szCs w:val="24"/>
        </w:rPr>
        <w:t>EU’s role as a trustworthy key player in the global arena</w:t>
      </w:r>
      <w:r w:rsidRPr="002D57F2">
        <w:rPr>
          <w:rFonts w:ascii="Arial" w:hAnsi="Arial" w:cs="Arial"/>
          <w:sz w:val="24"/>
          <w:szCs w:val="24"/>
        </w:rPr>
        <w:t>, reflecting its commitment to upholding human rights.</w:t>
      </w:r>
    </w:p>
    <w:sectPr w:rsidR="00F87E5B" w:rsidRPr="00066452" w:rsidSect="00312B17">
      <w:headerReference w:type="even" r:id="rId114"/>
      <w:headerReference w:type="default" r:id="rId115"/>
      <w:footerReference w:type="even" r:id="rId116"/>
      <w:footerReference w:type="default" r:id="rId117"/>
      <w:headerReference w:type="first" r:id="rId118"/>
      <w:footerReference w:type="first" r:id="rId119"/>
      <w:pgSz w:w="11906" w:h="16838" w:code="9"/>
      <w:pgMar w:top="1304" w:right="1440" w:bottom="1134" w:left="1440" w:header="68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4B4DB" w14:textId="77777777" w:rsidR="00D3673F" w:rsidRDefault="00D3673F" w:rsidP="00F87E5B">
      <w:pPr>
        <w:spacing w:after="0" w:line="240" w:lineRule="auto"/>
      </w:pPr>
      <w:r>
        <w:separator/>
      </w:r>
    </w:p>
  </w:endnote>
  <w:endnote w:type="continuationSeparator" w:id="0">
    <w:p w14:paraId="787D56E4" w14:textId="77777777" w:rsidR="00D3673F" w:rsidRDefault="00D3673F" w:rsidP="00F87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AFDF4" w14:textId="40997458" w:rsidR="0046622A" w:rsidRPr="0046622A" w:rsidRDefault="0046622A" w:rsidP="0046622A">
    <w:pPr>
      <w:pStyle w:val="FooterCoverPage"/>
      <w:rPr>
        <w:rFonts w:ascii="Arial" w:hAnsi="Arial" w:cs="Arial"/>
        <w:b/>
        <w:sz w:val="48"/>
      </w:rPr>
    </w:pPr>
    <w:r w:rsidRPr="0046622A">
      <w:rPr>
        <w:rFonts w:ascii="Arial" w:hAnsi="Arial" w:cs="Arial"/>
        <w:b/>
        <w:sz w:val="48"/>
      </w:rPr>
      <w:t>EN</w:t>
    </w:r>
    <w:r w:rsidRPr="0046622A">
      <w:rPr>
        <w:rFonts w:ascii="Arial" w:hAnsi="Arial" w:cs="Arial"/>
        <w:b/>
        <w:sz w:val="48"/>
      </w:rPr>
      <w:tab/>
    </w:r>
    <w:r w:rsidRPr="0046622A">
      <w:rPr>
        <w:rFonts w:ascii="Arial" w:hAnsi="Arial" w:cs="Arial"/>
        <w:b/>
        <w:sz w:val="48"/>
      </w:rPr>
      <w:tab/>
    </w:r>
    <w:r w:rsidRPr="0046622A">
      <w:tab/>
    </w:r>
    <w:r w:rsidRPr="0046622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6B015" w14:textId="704E5988" w:rsidR="0046622A" w:rsidRPr="0046622A" w:rsidRDefault="0046622A" w:rsidP="0046622A">
    <w:pPr>
      <w:pStyle w:val="FooterCoverPage"/>
      <w:rPr>
        <w:rFonts w:ascii="Arial" w:hAnsi="Arial" w:cs="Arial"/>
        <w:b/>
        <w:sz w:val="48"/>
      </w:rPr>
    </w:pPr>
    <w:r w:rsidRPr="0046622A">
      <w:rPr>
        <w:rFonts w:ascii="Arial" w:hAnsi="Arial" w:cs="Arial"/>
        <w:b/>
        <w:sz w:val="48"/>
      </w:rPr>
      <w:t>EN</w:t>
    </w:r>
    <w:r w:rsidRPr="0046622A">
      <w:rPr>
        <w:rFonts w:ascii="Arial" w:hAnsi="Arial" w:cs="Arial"/>
        <w:b/>
        <w:sz w:val="48"/>
      </w:rPr>
      <w:tab/>
    </w:r>
    <w:r w:rsidRPr="0046622A">
      <w:rPr>
        <w:rFonts w:ascii="Arial" w:hAnsi="Arial" w:cs="Arial"/>
        <w:b/>
        <w:sz w:val="48"/>
      </w:rPr>
      <w:tab/>
    </w:r>
    <w:r w:rsidRPr="0046622A">
      <w:tab/>
    </w:r>
    <w:r w:rsidRPr="0046622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34535" w14:textId="77777777" w:rsidR="0046622A" w:rsidRPr="0046622A" w:rsidRDefault="0046622A" w:rsidP="0046622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82B7" w14:textId="77777777" w:rsidR="0046622A" w:rsidRPr="00502559" w:rsidRDefault="0046622A" w:rsidP="00502559">
    <w:pPr>
      <w:pStyle w:val="FooterCoverPage"/>
      <w:rPr>
        <w:rFonts w:ascii="Arial" w:hAnsi="Arial" w:cs="Arial"/>
        <w:b/>
        <w:sz w:val="48"/>
      </w:rPr>
    </w:pPr>
    <w:r w:rsidRPr="00502559">
      <w:rPr>
        <w:rFonts w:ascii="Arial" w:hAnsi="Arial" w:cs="Arial"/>
        <w:b/>
        <w:sz w:val="48"/>
      </w:rPr>
      <w:t>EN</w:t>
    </w:r>
    <w:r w:rsidRPr="00502559">
      <w:rPr>
        <w:rFonts w:ascii="Arial" w:hAnsi="Arial" w:cs="Arial"/>
        <w:b/>
        <w:sz w:val="48"/>
      </w:rPr>
      <w:tab/>
    </w:r>
    <w:r w:rsidRPr="00502559">
      <w:rPr>
        <w:rFonts w:ascii="Arial" w:hAnsi="Arial" w:cs="Arial"/>
        <w:b/>
        <w:sz w:val="48"/>
      </w:rPr>
      <w:tab/>
    </w:r>
    <w:r w:rsidRPr="00502559">
      <w:tab/>
    </w:r>
    <w:r w:rsidRPr="00502559">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1537323"/>
      <w:docPartObj>
        <w:docPartGallery w:val="Page Numbers (Bottom of Page)"/>
        <w:docPartUnique/>
      </w:docPartObj>
    </w:sdtPr>
    <w:sdtEndPr>
      <w:rPr>
        <w:noProof/>
        <w:sz w:val="20"/>
        <w:szCs w:val="20"/>
      </w:rPr>
    </w:sdtEndPr>
    <w:sdtContent>
      <w:p w14:paraId="31A6ADC6" w14:textId="77777777" w:rsidR="00B41605" w:rsidRPr="00D42C2A" w:rsidRDefault="00B41605">
        <w:pPr>
          <w:pStyle w:val="Footer"/>
          <w:jc w:val="center"/>
          <w:rPr>
            <w:sz w:val="20"/>
            <w:szCs w:val="20"/>
          </w:rPr>
        </w:pPr>
        <w:r w:rsidRPr="00D42C2A">
          <w:rPr>
            <w:sz w:val="20"/>
            <w:szCs w:val="20"/>
          </w:rPr>
          <w:fldChar w:fldCharType="begin"/>
        </w:r>
        <w:r w:rsidRPr="00D42C2A">
          <w:rPr>
            <w:sz w:val="20"/>
            <w:szCs w:val="20"/>
          </w:rPr>
          <w:instrText xml:space="preserve"> PAGE   \* MERGEFORMAT </w:instrText>
        </w:r>
        <w:r w:rsidRPr="00D42C2A">
          <w:rPr>
            <w:sz w:val="20"/>
            <w:szCs w:val="20"/>
          </w:rPr>
          <w:fldChar w:fldCharType="separate"/>
        </w:r>
        <w:r w:rsidRPr="00D42C2A">
          <w:rPr>
            <w:noProof/>
            <w:sz w:val="20"/>
            <w:szCs w:val="20"/>
          </w:rPr>
          <w:t>2</w:t>
        </w:r>
        <w:r w:rsidRPr="00D42C2A">
          <w:rPr>
            <w:noProof/>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B77DA" w14:textId="77777777" w:rsidR="0046622A" w:rsidRDefault="004662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2A7BB" w14:textId="77777777" w:rsidR="00D3673F" w:rsidRDefault="00D3673F" w:rsidP="00F87E5B">
      <w:pPr>
        <w:spacing w:after="0" w:line="240" w:lineRule="auto"/>
      </w:pPr>
      <w:r>
        <w:separator/>
      </w:r>
    </w:p>
  </w:footnote>
  <w:footnote w:type="continuationSeparator" w:id="0">
    <w:p w14:paraId="57553C0D" w14:textId="77777777" w:rsidR="00D3673F" w:rsidRDefault="00D3673F" w:rsidP="00F87E5B">
      <w:pPr>
        <w:spacing w:after="0" w:line="240" w:lineRule="auto"/>
      </w:pPr>
      <w:r>
        <w:continuationSeparator/>
      </w:r>
    </w:p>
  </w:footnote>
  <w:footnote w:id="1">
    <w:p w14:paraId="56F60A5E" w14:textId="0FDA86FB" w:rsidR="00FB01BD" w:rsidRPr="00CD7F8B" w:rsidRDefault="00FB01BD" w:rsidP="00103874">
      <w:pPr>
        <w:pStyle w:val="FootnoteText"/>
        <w:rPr>
          <w:lang w:val="en-IE"/>
        </w:rPr>
      </w:pPr>
      <w:r w:rsidRPr="00CD7F8B">
        <w:rPr>
          <w:lang w:val="en-IE"/>
        </w:rPr>
        <w:t>(</w:t>
      </w:r>
      <w:r w:rsidRPr="00CD7F8B">
        <w:rPr>
          <w:rStyle w:val="FootnoteReference"/>
        </w:rPr>
        <w:footnoteRef/>
      </w:r>
      <w:r w:rsidRPr="00CD7F8B">
        <w:rPr>
          <w:lang w:val="en-IE"/>
        </w:rPr>
        <w:t>)</w:t>
      </w:r>
      <w:r w:rsidRPr="00CD7F8B">
        <w:rPr>
          <w:lang w:val="en-IE"/>
        </w:rPr>
        <w:tab/>
      </w:r>
      <w:r>
        <w:rPr>
          <w:lang w:val="en-IE"/>
        </w:rPr>
        <w:t xml:space="preserve">Aged 16 or over, in 2024. </w:t>
      </w:r>
      <w:r w:rsidRPr="00CD7F8B">
        <w:rPr>
          <w:lang w:val="en-IE"/>
        </w:rPr>
        <w:t xml:space="preserve">Source: </w:t>
      </w:r>
      <w:hyperlink r:id="rId1" w:history="1">
        <w:r w:rsidRPr="00CD7F8B">
          <w:rPr>
            <w:rStyle w:val="Hyperlink"/>
          </w:rPr>
          <w:t>Eurostat</w:t>
        </w:r>
      </w:hyperlink>
      <w:r w:rsidRPr="00CD7F8B">
        <w:rPr>
          <w:lang w:val="en-IE"/>
        </w:rPr>
        <w:t xml:space="preserve">’s estimation using EU-SILC 2024 microdata. The </w:t>
      </w:r>
      <w:hyperlink r:id="rId2" w:history="1">
        <w:r w:rsidRPr="00CD7F8B">
          <w:rPr>
            <w:rStyle w:val="Hyperlink"/>
            <w:lang w:val="en-IE"/>
          </w:rPr>
          <w:t>global activity limitation indicator (GALI)</w:t>
        </w:r>
      </w:hyperlink>
      <w:r w:rsidRPr="00CD7F8B">
        <w:rPr>
          <w:lang w:val="en-IE"/>
        </w:rPr>
        <w:t xml:space="preserve"> is used as the main variable to measure disability at EU level. </w:t>
      </w:r>
    </w:p>
  </w:footnote>
  <w:footnote w:id="2">
    <w:p w14:paraId="37F89D61" w14:textId="77777777" w:rsidR="00FB01BD" w:rsidRPr="00CD7F8B" w:rsidRDefault="00FB01BD" w:rsidP="00103874">
      <w:pPr>
        <w:pStyle w:val="FootnoteText"/>
        <w:rPr>
          <w:lang w:val="en-IE"/>
        </w:rPr>
      </w:pPr>
      <w:r w:rsidRPr="00CD7F8B">
        <w:t>(</w:t>
      </w:r>
      <w:r w:rsidRPr="00CD7F8B">
        <w:rPr>
          <w:rStyle w:val="FootnoteReference"/>
        </w:rPr>
        <w:footnoteRef/>
      </w:r>
      <w:r w:rsidRPr="00CD7F8B">
        <w:t>)</w:t>
      </w:r>
      <w:r w:rsidRPr="00CD7F8B">
        <w:tab/>
      </w:r>
      <w:r w:rsidRPr="00CD7F8B">
        <w:rPr>
          <w:lang w:val="en-IE"/>
        </w:rPr>
        <w:t xml:space="preserve">Based on Organisation for Economic Cooperation and Development, </w:t>
      </w:r>
      <w:hyperlink r:id="rId3" w:history="1">
        <w:r w:rsidRPr="00CD7F8B">
          <w:rPr>
            <w:rStyle w:val="Hyperlink"/>
          </w:rPr>
          <w:t>Combatting Discrimination in the European Union</w:t>
        </w:r>
      </w:hyperlink>
      <w:r w:rsidRPr="00CD7F8B">
        <w:rPr>
          <w:lang w:val="en-IE"/>
        </w:rPr>
        <w:t>, gross domestic product (GDP) losses as a result of disability-related discrimination are estimated at between 0.84 and 1.42 billion (EUR, 2022 price levels).</w:t>
      </w:r>
    </w:p>
  </w:footnote>
  <w:footnote w:id="3">
    <w:p w14:paraId="57BA54EC" w14:textId="77777777" w:rsidR="00FB01BD" w:rsidRPr="00CD7F8B" w:rsidRDefault="00FB01BD" w:rsidP="00103874">
      <w:pPr>
        <w:pStyle w:val="FootnoteText"/>
      </w:pPr>
      <w:r w:rsidRPr="00CD7F8B">
        <w:t>(</w:t>
      </w:r>
      <w:r w:rsidRPr="00CD7F8B">
        <w:rPr>
          <w:rStyle w:val="FootnoteReference"/>
        </w:rPr>
        <w:footnoteRef/>
      </w:r>
      <w:r w:rsidRPr="00CD7F8B">
        <w:t>)</w:t>
      </w:r>
      <w:r w:rsidRPr="00CD7F8B">
        <w:tab/>
        <w:t xml:space="preserve">The </w:t>
      </w:r>
      <w:hyperlink r:id="rId4" w:history="1">
        <w:r w:rsidRPr="00CD7F8B">
          <w:rPr>
            <w:rStyle w:val="Hyperlink"/>
          </w:rPr>
          <w:t>European Parliament</w:t>
        </w:r>
      </w:hyperlink>
      <w:r w:rsidRPr="00CD7F8B">
        <w:t xml:space="preserve">, the </w:t>
      </w:r>
      <w:hyperlink r:id="rId5" w:history="1">
        <w:r w:rsidRPr="00CD7F8B">
          <w:rPr>
            <w:rStyle w:val="Hyperlink"/>
          </w:rPr>
          <w:t>European Economic and Social Committee</w:t>
        </w:r>
      </w:hyperlink>
      <w:r w:rsidRPr="00CD7F8B">
        <w:t xml:space="preserve"> and the </w:t>
      </w:r>
      <w:hyperlink r:id="rId6" w:history="1">
        <w:r w:rsidRPr="00CD7F8B">
          <w:rPr>
            <w:rStyle w:val="Hyperlink"/>
          </w:rPr>
          <w:t>Council</w:t>
        </w:r>
      </w:hyperlink>
      <w:r w:rsidRPr="00CD7F8B">
        <w:t>.</w:t>
      </w:r>
    </w:p>
  </w:footnote>
  <w:footnote w:id="4">
    <w:p w14:paraId="2258D4E7" w14:textId="77777777" w:rsidR="00FB01BD" w:rsidRPr="00192C38" w:rsidRDefault="00FB01BD" w:rsidP="00103874">
      <w:pPr>
        <w:pStyle w:val="FootnoteText"/>
      </w:pPr>
      <w:r w:rsidRPr="00CD7F8B">
        <w:t>(</w:t>
      </w:r>
      <w:r w:rsidRPr="00CD7F8B">
        <w:rPr>
          <w:rStyle w:val="FootnoteReference"/>
        </w:rPr>
        <w:footnoteRef/>
      </w:r>
      <w:r w:rsidRPr="00CD7F8B">
        <w:t>)</w:t>
      </w:r>
      <w:r w:rsidRPr="00CD7F8B">
        <w:tab/>
        <w:t>Mid-term report on the implementation of the Union of Equality Strategy for the Rights of Persons with Disabilities 2021-2030, accompanying this Communication.</w:t>
      </w:r>
    </w:p>
  </w:footnote>
  <w:footnote w:id="5">
    <w:p w14:paraId="44EC5C5D" w14:textId="77777777" w:rsidR="00FB01BD" w:rsidRPr="00845590" w:rsidRDefault="00FB01BD" w:rsidP="00103874">
      <w:pPr>
        <w:pStyle w:val="FootnoteText"/>
        <w:rPr>
          <w:lang w:val="en-US"/>
        </w:rPr>
      </w:pPr>
      <w:r w:rsidRPr="00845590">
        <w:t>(</w:t>
      </w:r>
      <w:r w:rsidRPr="00845590">
        <w:rPr>
          <w:rStyle w:val="FootnoteReference"/>
        </w:rPr>
        <w:footnoteRef/>
      </w:r>
      <w:r w:rsidRPr="00845590">
        <w:t>)</w:t>
      </w:r>
      <w:r w:rsidRPr="00845590">
        <w:tab/>
      </w:r>
      <w:hyperlink r:id="rId7" w:history="1">
        <w:r w:rsidRPr="00845590">
          <w:rPr>
            <w:rStyle w:val="Hyperlink"/>
          </w:rPr>
          <w:t>2021 UN Special Rapporteur Report: Artificial intelligence and the rights of persons with disabilities</w:t>
        </w:r>
      </w:hyperlink>
      <w:r w:rsidRPr="00845590">
        <w:t>.</w:t>
      </w:r>
    </w:p>
  </w:footnote>
  <w:footnote w:id="6">
    <w:p w14:paraId="3AA02956" w14:textId="77777777" w:rsidR="00FB01BD" w:rsidRPr="00CD7F8B" w:rsidRDefault="00FB01BD" w:rsidP="00103874">
      <w:pPr>
        <w:pStyle w:val="FootnoteText"/>
      </w:pPr>
      <w:r w:rsidRPr="00CD7F8B">
        <w:t>(</w:t>
      </w:r>
      <w:r w:rsidRPr="00CD7F8B">
        <w:rPr>
          <w:rStyle w:val="FootnoteReference"/>
        </w:rPr>
        <w:footnoteRef/>
      </w:r>
      <w:r w:rsidRPr="00CD7F8B">
        <w:t>)</w:t>
      </w:r>
      <w:r w:rsidRPr="00CD7F8B">
        <w:tab/>
        <w:t>Such as energy, food and cosmetics. In the area of energy labelling,</w:t>
      </w:r>
      <w:r>
        <w:t xml:space="preserve"> </w:t>
      </w:r>
      <w:r w:rsidRPr="00CD7F8B">
        <w:t xml:space="preserve">documents generated by the </w:t>
      </w:r>
      <w:hyperlink r:id="rId8" w:history="1">
        <w:r w:rsidRPr="00CD7F8B">
          <w:rPr>
            <w:rStyle w:val="Hyperlink"/>
            <w:lang w:val="en-IE"/>
          </w:rPr>
          <w:t>European product registry for energy labelling (EPREL</w:t>
        </w:r>
      </w:hyperlink>
      <w:r w:rsidRPr="00CD7F8B">
        <w:t xml:space="preserve">) will be made more accessible as of 2026. </w:t>
      </w:r>
    </w:p>
  </w:footnote>
  <w:footnote w:id="7">
    <w:p w14:paraId="3362C613" w14:textId="77777777" w:rsidR="007453BC" w:rsidRPr="00BA26FF" w:rsidRDefault="007453BC" w:rsidP="00103874">
      <w:pPr>
        <w:pStyle w:val="FootnoteText"/>
      </w:pPr>
      <w:r w:rsidRPr="00BA26FF">
        <w:t>(</w:t>
      </w:r>
      <w:r w:rsidRPr="00BA26FF">
        <w:rPr>
          <w:rStyle w:val="FootnoteReference"/>
        </w:rPr>
        <w:footnoteRef/>
      </w:r>
      <w:r w:rsidRPr="00BA26FF">
        <w:t xml:space="preserve">) Extended, by way of </w:t>
      </w:r>
      <w:hyperlink r:id="rId9" w:history="1">
        <w:r w:rsidRPr="00BA26FF">
          <w:rPr>
            <w:rStyle w:val="Hyperlink"/>
            <w:lang w:val="en-IE"/>
          </w:rPr>
          <w:t>Directive (EU) 2024/2842 of the European Parliament and of the Council</w:t>
        </w:r>
      </w:hyperlink>
      <w:r w:rsidRPr="00BA26FF">
        <w:t>, to third-country nationals legally residing in a Member State.</w:t>
      </w:r>
    </w:p>
  </w:footnote>
  <w:footnote w:id="8">
    <w:p w14:paraId="2279F16F" w14:textId="77777777" w:rsidR="00FB01BD" w:rsidRPr="00BA26FF" w:rsidRDefault="00FB01BD" w:rsidP="00103874">
      <w:pPr>
        <w:pStyle w:val="FootnoteText"/>
        <w:rPr>
          <w:lang w:val="en-US"/>
        </w:rPr>
      </w:pPr>
      <w:r w:rsidRPr="00BA26FF">
        <w:rPr>
          <w:lang w:val="en-US"/>
        </w:rPr>
        <w:t>(</w:t>
      </w:r>
      <w:r w:rsidRPr="00BA26FF">
        <w:rPr>
          <w:rStyle w:val="FootnoteReference"/>
        </w:rPr>
        <w:footnoteRef/>
      </w:r>
      <w:r w:rsidRPr="00BA26FF">
        <w:rPr>
          <w:lang w:val="en-IE"/>
        </w:rPr>
        <w:t>)</w:t>
      </w:r>
      <w:r w:rsidRPr="00BA26FF">
        <w:rPr>
          <w:lang w:val="en-IE"/>
        </w:rPr>
        <w:tab/>
      </w:r>
      <w:hyperlink r:id="rId10" w:history="1">
        <w:r w:rsidRPr="00BA26FF">
          <w:rPr>
            <w:rStyle w:val="Hyperlink"/>
          </w:rPr>
          <w:t>Paths towards independent living and social inclusion in Europe | Eurofound</w:t>
        </w:r>
      </w:hyperlink>
      <w:r w:rsidRPr="00BA26FF">
        <w:t>.</w:t>
      </w:r>
    </w:p>
  </w:footnote>
  <w:footnote w:id="9">
    <w:p w14:paraId="173D5295" w14:textId="29F1C7D2" w:rsidR="00B21951" w:rsidRPr="00B21951" w:rsidRDefault="00B21951">
      <w:pPr>
        <w:pStyle w:val="FootnoteText"/>
      </w:pPr>
      <w:r>
        <w:t>(</w:t>
      </w:r>
      <w:r>
        <w:rPr>
          <w:rStyle w:val="FootnoteReference"/>
        </w:rPr>
        <w:footnoteRef/>
      </w:r>
      <w:r>
        <w:t>)</w:t>
      </w:r>
      <w:r>
        <w:tab/>
        <w:t xml:space="preserve">European Commission, </w:t>
      </w:r>
      <w:hyperlink r:id="rId11" w:history="1">
        <w:r w:rsidRPr="00CE3FAB">
          <w:rPr>
            <w:rStyle w:val="Hyperlink"/>
            <w:lang w:val="en-IE"/>
          </w:rPr>
          <w:t>Employment and social developments in Europe 2025</w:t>
        </w:r>
      </w:hyperlink>
    </w:p>
  </w:footnote>
  <w:footnote w:id="10">
    <w:p w14:paraId="37A97DCF" w14:textId="27F3A91E" w:rsidR="00FB01BD" w:rsidRPr="00BA26FF" w:rsidRDefault="00FB01BD" w:rsidP="00103874">
      <w:pPr>
        <w:pStyle w:val="FootnoteText"/>
      </w:pPr>
      <w:r w:rsidRPr="0057094A">
        <w:rPr>
          <w:lang w:val="en-IE"/>
        </w:rPr>
        <w:t>(</w:t>
      </w:r>
      <w:r w:rsidRPr="00BA26FF">
        <w:rPr>
          <w:rStyle w:val="FootnoteReference"/>
        </w:rPr>
        <w:footnoteRef/>
      </w:r>
      <w:r w:rsidRPr="0057094A">
        <w:rPr>
          <w:lang w:val="en-IE"/>
        </w:rPr>
        <w:t>)</w:t>
      </w:r>
      <w:r w:rsidRPr="0057094A">
        <w:rPr>
          <w:lang w:val="en-IE"/>
        </w:rPr>
        <w:tab/>
      </w:r>
      <w:r w:rsidR="00B21951" w:rsidRPr="00543A5A">
        <w:rPr>
          <w:lang w:val="en-IE"/>
        </w:rPr>
        <w:t>Source: </w:t>
      </w:r>
      <w:hyperlink r:id="rId12" w:history="1">
        <w:r w:rsidR="00B21951" w:rsidRPr="00543A5A">
          <w:rPr>
            <w:rStyle w:val="Hyperlink"/>
            <w:lang w:val="en-IE"/>
          </w:rPr>
          <w:t>Eurostat</w:t>
        </w:r>
      </w:hyperlink>
      <w:r w:rsidR="00B21951">
        <w:t xml:space="preserve">. </w:t>
      </w:r>
      <w:r w:rsidR="00B21951" w:rsidRPr="00B85486">
        <w:t>T</w:t>
      </w:r>
      <w:r w:rsidR="00B21951" w:rsidRPr="00777D10">
        <w:t xml:space="preserve">he </w:t>
      </w:r>
      <w:r w:rsidR="00B21951">
        <w:t xml:space="preserve">disability employment gap is a headline indicator in the </w:t>
      </w:r>
      <w:hyperlink r:id="rId13" w:history="1">
        <w:r w:rsidR="00B21951" w:rsidRPr="00AF73EB">
          <w:rPr>
            <w:rStyle w:val="Hyperlink"/>
          </w:rPr>
          <w:t>Social Scoreboard</w:t>
        </w:r>
      </w:hyperlink>
      <w:r w:rsidR="00B21951">
        <w:t xml:space="preserve">, the main monitoring tool for the European Pillar of Social Rights implementation, including in the context of the European semester. </w:t>
      </w:r>
    </w:p>
  </w:footnote>
  <w:footnote w:id="11">
    <w:p w14:paraId="7C4C3D78" w14:textId="0FD5FD1B" w:rsidR="00FB01BD" w:rsidRPr="005746F6" w:rsidRDefault="00FB01BD" w:rsidP="00103874">
      <w:pPr>
        <w:pStyle w:val="FootnoteText"/>
      </w:pPr>
      <w:r w:rsidRPr="00BA26FF">
        <w:rPr>
          <w:lang w:val="en-US"/>
        </w:rPr>
        <w:t>(</w:t>
      </w:r>
      <w:r w:rsidRPr="00BA26FF">
        <w:rPr>
          <w:rStyle w:val="FootnoteReference"/>
        </w:rPr>
        <w:footnoteRef/>
      </w:r>
      <w:r w:rsidRPr="00BA26FF">
        <w:rPr>
          <w:lang w:val="en-US"/>
        </w:rPr>
        <w:t>)</w:t>
      </w:r>
      <w:r w:rsidRPr="00BA26FF">
        <w:rPr>
          <w:lang w:val="en-US"/>
        </w:rPr>
        <w:tab/>
      </w:r>
      <w:r w:rsidRPr="00BA26FF">
        <w:t>Reasonable accommodation</w:t>
      </w:r>
      <w:r w:rsidR="00B21951">
        <w:t xml:space="preserve"> </w:t>
      </w:r>
      <w:r w:rsidRPr="00BA26FF">
        <w:t>is any</w:t>
      </w:r>
      <w:r w:rsidR="00B21951">
        <w:t xml:space="preserve"> </w:t>
      </w:r>
      <w:r w:rsidRPr="00BA26FF">
        <w:t>change</w:t>
      </w:r>
      <w:r w:rsidR="00B21951">
        <w:t xml:space="preserve"> </w:t>
      </w:r>
      <w:r w:rsidRPr="00BA26FF">
        <w:t>to a</w:t>
      </w:r>
      <w:r w:rsidR="00B21951">
        <w:t xml:space="preserve"> </w:t>
      </w:r>
      <w:r w:rsidRPr="00BA26FF">
        <w:t>job role</w:t>
      </w:r>
      <w:r w:rsidR="00B21951">
        <w:t xml:space="preserve"> </w:t>
      </w:r>
      <w:r w:rsidRPr="00BA26FF">
        <w:t>or</w:t>
      </w:r>
      <w:r w:rsidR="00B21951">
        <w:t xml:space="preserve"> </w:t>
      </w:r>
      <w:r w:rsidRPr="00BA26FF">
        <w:t>work environment</w:t>
      </w:r>
      <w:r w:rsidR="00B21951">
        <w:t xml:space="preserve"> </w:t>
      </w:r>
      <w:r w:rsidRPr="00BA26FF">
        <w:t>that is</w:t>
      </w:r>
      <w:r w:rsidR="00B21951">
        <w:t xml:space="preserve"> </w:t>
      </w:r>
      <w:r w:rsidRPr="00BA26FF">
        <w:t>needed to enable an employee with a disability to perform the job.</w:t>
      </w:r>
    </w:p>
  </w:footnote>
  <w:footnote w:id="12">
    <w:p w14:paraId="13DF2B8B" w14:textId="77777777" w:rsidR="00FB01BD" w:rsidRPr="007C0A16" w:rsidRDefault="00FB01BD" w:rsidP="00103874">
      <w:pPr>
        <w:pStyle w:val="FootnoteText"/>
        <w:rPr>
          <w:lang w:val="en-IE"/>
        </w:rPr>
      </w:pPr>
      <w:r>
        <w:t>(</w:t>
      </w:r>
      <w:r>
        <w:rPr>
          <w:rStyle w:val="FootnoteReference"/>
        </w:rPr>
        <w:footnoteRef/>
      </w:r>
      <w:r>
        <w:t xml:space="preserve">)   </w:t>
      </w:r>
      <w:r w:rsidRPr="007C0A16">
        <w:t xml:space="preserve">Including based on </w:t>
      </w:r>
      <w:hyperlink r:id="rId14" w:history="1">
        <w:r w:rsidRPr="00BE7748">
          <w:rPr>
            <w:rStyle w:val="Hyperlink"/>
          </w:rPr>
          <w:t>Eurofound work</w:t>
        </w:r>
      </w:hyperlink>
      <w:r w:rsidRPr="007C0A16">
        <w:t xml:space="preserve"> on the role of the social partners in the implementation of reasonable accommodation at the workplace.</w:t>
      </w:r>
    </w:p>
  </w:footnote>
  <w:footnote w:id="13">
    <w:p w14:paraId="73962C37" w14:textId="25934A56" w:rsidR="00FB01BD" w:rsidRPr="00BA26FF" w:rsidRDefault="00FB01BD" w:rsidP="00103874">
      <w:pPr>
        <w:pStyle w:val="FootnoteText"/>
        <w:rPr>
          <w:lang w:val="en-US"/>
        </w:rPr>
      </w:pPr>
      <w:r w:rsidRPr="00BA26FF">
        <w:rPr>
          <w:lang w:val="en-US"/>
        </w:rPr>
        <w:t>(</w:t>
      </w:r>
      <w:r w:rsidRPr="00BA26FF">
        <w:rPr>
          <w:rStyle w:val="FootnoteReference"/>
        </w:rPr>
        <w:footnoteRef/>
      </w:r>
      <w:r w:rsidRPr="00BA26FF">
        <w:rPr>
          <w:lang w:val="en-US"/>
        </w:rPr>
        <w:t>)</w:t>
      </w:r>
      <w:r w:rsidRPr="00BA26FF">
        <w:rPr>
          <w:lang w:val="en-US"/>
        </w:rPr>
        <w:tab/>
      </w:r>
      <w:r w:rsidRPr="009852CB">
        <w:rPr>
          <w:lang w:val="en-IE"/>
        </w:rPr>
        <w:t>Source: </w:t>
      </w:r>
      <w:hyperlink r:id="rId15" w:history="1">
        <w:r w:rsidRPr="009852CB">
          <w:rPr>
            <w:rStyle w:val="Hyperlink"/>
            <w:u w:val="none"/>
            <w:lang w:val="en-IE"/>
          </w:rPr>
          <w:t>Eurostat</w:t>
        </w:r>
      </w:hyperlink>
      <w:r w:rsidRPr="009852CB">
        <w:rPr>
          <w:lang w:val="en-IE"/>
        </w:rPr>
        <w:t>.</w:t>
      </w:r>
    </w:p>
  </w:footnote>
  <w:footnote w:id="14">
    <w:p w14:paraId="632B2713" w14:textId="77777777" w:rsidR="00FB01BD" w:rsidRPr="00BA26FF" w:rsidRDefault="00FB01BD" w:rsidP="00103874">
      <w:pPr>
        <w:pStyle w:val="FootnoteText"/>
      </w:pPr>
      <w:r w:rsidRPr="00BA26FF">
        <w:rPr>
          <w:lang w:val="en-US"/>
        </w:rPr>
        <w:t>(</w:t>
      </w:r>
      <w:r w:rsidRPr="00BA26FF">
        <w:rPr>
          <w:rStyle w:val="FootnoteReference"/>
        </w:rPr>
        <w:footnoteRef/>
      </w:r>
      <w:r w:rsidRPr="00BA26FF">
        <w:rPr>
          <w:lang w:val="en-US"/>
        </w:rPr>
        <w:t>)</w:t>
      </w:r>
      <w:r w:rsidRPr="00BA26FF">
        <w:rPr>
          <w:lang w:val="en-US"/>
        </w:rPr>
        <w:tab/>
      </w:r>
      <w:hyperlink r:id="rId16" w:history="1">
        <w:r w:rsidRPr="00BA26FF">
          <w:rPr>
            <w:rStyle w:val="Hyperlink"/>
          </w:rPr>
          <w:t>Breaking the cycle: addressing energy poverty among people with disabilities in Europe</w:t>
        </w:r>
      </w:hyperlink>
      <w:r w:rsidRPr="00BA26FF">
        <w:t>.</w:t>
      </w:r>
    </w:p>
  </w:footnote>
  <w:footnote w:id="15">
    <w:p w14:paraId="0986EFBA" w14:textId="77777777" w:rsidR="00FB01BD" w:rsidRPr="004F0801" w:rsidRDefault="00FB01BD" w:rsidP="00103874">
      <w:pPr>
        <w:pStyle w:val="FootnoteText"/>
        <w:rPr>
          <w:lang w:val="en-IE"/>
        </w:rPr>
      </w:pPr>
      <w:r w:rsidRPr="00BA26FF">
        <w:rPr>
          <w:lang w:val="en-US"/>
        </w:rPr>
        <w:t>(</w:t>
      </w:r>
      <w:r w:rsidRPr="00BA26FF">
        <w:rPr>
          <w:rStyle w:val="FootnoteReference"/>
        </w:rPr>
        <w:footnoteRef/>
      </w:r>
      <w:r w:rsidRPr="00BA26FF">
        <w:rPr>
          <w:lang w:val="en-US"/>
        </w:rPr>
        <w:t>)</w:t>
      </w:r>
      <w:r w:rsidRPr="00BA26FF">
        <w:rPr>
          <w:lang w:val="en-US"/>
        </w:rPr>
        <w:tab/>
      </w:r>
      <w:hyperlink r:id="rId17" w:history="1">
        <w:r w:rsidRPr="00BA26FF">
          <w:rPr>
            <w:rStyle w:val="Hyperlink"/>
          </w:rPr>
          <w:t>Proposal for a Council Recommendation on fighting housing exclusion</w:t>
        </w:r>
      </w:hyperlink>
      <w:r w:rsidRPr="00BA26FF">
        <w:t>.</w:t>
      </w:r>
    </w:p>
  </w:footnote>
  <w:footnote w:id="16">
    <w:p w14:paraId="359C9EB9" w14:textId="5F0E1EEB" w:rsidR="007453BC" w:rsidRPr="009852CB" w:rsidRDefault="007453BC" w:rsidP="00103874">
      <w:pPr>
        <w:pStyle w:val="FootnoteText"/>
        <w:rPr>
          <w:lang w:val="en-US"/>
        </w:rPr>
      </w:pPr>
      <w:r w:rsidRPr="00BA26FF">
        <w:t>(</w:t>
      </w:r>
      <w:r w:rsidRPr="00BA26FF">
        <w:rPr>
          <w:rStyle w:val="FootnoteReference"/>
        </w:rPr>
        <w:footnoteRef/>
      </w:r>
      <w:r w:rsidRPr="00BA26FF">
        <w:t>)</w:t>
      </w:r>
      <w:r w:rsidRPr="00BA26FF">
        <w:tab/>
      </w:r>
      <w:r w:rsidRPr="009852CB">
        <w:rPr>
          <w:lang w:val="en-IE"/>
        </w:rPr>
        <w:t>Source: </w:t>
      </w:r>
      <w:hyperlink r:id="rId18" w:history="1">
        <w:r w:rsidRPr="009852CB">
          <w:rPr>
            <w:rStyle w:val="Hyperlink"/>
          </w:rPr>
          <w:t>Eurostat</w:t>
        </w:r>
      </w:hyperlink>
      <w:r w:rsidRPr="009852CB">
        <w:rPr>
          <w:rStyle w:val="Hyperlink"/>
        </w:rPr>
        <w:t>.</w:t>
      </w:r>
      <w:r w:rsidRPr="009852CB">
        <w:t xml:space="preserve"> The</w:t>
      </w:r>
      <w:r w:rsidRPr="00BA26FF">
        <w:t xml:space="preserve"> share of early leavers among young people with some disability was 17.1%, as compared to 8.0% for people without a disability.</w:t>
      </w:r>
    </w:p>
  </w:footnote>
  <w:footnote w:id="17">
    <w:p w14:paraId="5D07C7D0" w14:textId="540F1AEB" w:rsidR="007453BC" w:rsidRPr="008C6089" w:rsidRDefault="007453BC" w:rsidP="00103874">
      <w:pPr>
        <w:pStyle w:val="FootnoteText"/>
      </w:pPr>
      <w:r w:rsidRPr="008C6089">
        <w:t>(</w:t>
      </w:r>
      <w:r w:rsidRPr="008C6089">
        <w:rPr>
          <w:rStyle w:val="FootnoteReference"/>
        </w:rPr>
        <w:footnoteRef/>
      </w:r>
      <w:r w:rsidRPr="008C6089">
        <w:t xml:space="preserve">)  For instance, the Joint Action </w:t>
      </w:r>
      <w:hyperlink r:id="rId19" w:history="1">
        <w:r w:rsidRPr="008C6089">
          <w:rPr>
            <w:rStyle w:val="Hyperlink"/>
          </w:rPr>
          <w:t>EUCanScreen</w:t>
        </w:r>
      </w:hyperlink>
      <w:r w:rsidRPr="008C6089">
        <w:t xml:space="preserve"> contributes to improving access to cancer screening for persons with intellectual disabilities, including through a feasibility study on acceptance of HPV (human papillomavirus) self-sampling among long-term screening non-attenders with a mild to </w:t>
      </w:r>
      <w:r w:rsidRPr="00CC0C2C">
        <w:t xml:space="preserve">moderate </w:t>
      </w:r>
      <w:r w:rsidR="00AB78E1">
        <w:t>intellectual</w:t>
      </w:r>
      <w:r w:rsidRPr="00CC0C2C">
        <w:t xml:space="preserve"> disa</w:t>
      </w:r>
      <w:r w:rsidRPr="008C6089">
        <w:t>bility.</w:t>
      </w:r>
    </w:p>
  </w:footnote>
  <w:footnote w:id="18">
    <w:p w14:paraId="4830B160" w14:textId="77777777" w:rsidR="00FB01BD" w:rsidRPr="00BA26FF" w:rsidRDefault="00FB01BD" w:rsidP="00103874">
      <w:pPr>
        <w:pStyle w:val="FootnoteText"/>
      </w:pPr>
      <w:r w:rsidRPr="00BA26FF">
        <w:t>(</w:t>
      </w:r>
      <w:r w:rsidRPr="00BA26FF">
        <w:rPr>
          <w:rStyle w:val="FootnoteReference"/>
        </w:rPr>
        <w:footnoteRef/>
      </w:r>
      <w:r w:rsidRPr="00BA26FF">
        <w:t>) Considering an intersectional approach, discrimination against persons with disabilities may overlap with other forms of discrimination based on other personal characteristics or identities. These include gender, age, religion or belief, sexual orientation and gender identity/expression, racial or ethnic origin. Intersectionality leads to specific inequalities and unique experiences of discrimination.</w:t>
      </w:r>
    </w:p>
  </w:footnote>
  <w:footnote w:id="19">
    <w:p w14:paraId="0F117F74" w14:textId="77777777" w:rsidR="00FB01BD" w:rsidRPr="00BA26FF" w:rsidRDefault="00FB01BD" w:rsidP="00103874">
      <w:pPr>
        <w:pStyle w:val="FootnoteText"/>
      </w:pPr>
      <w:r w:rsidRPr="00BA26FF">
        <w:t>(</w:t>
      </w:r>
      <w:r w:rsidRPr="00BA26FF">
        <w:rPr>
          <w:rStyle w:val="FootnoteReference"/>
        </w:rPr>
        <w:footnoteRef/>
      </w:r>
      <w:r w:rsidRPr="00BA26FF">
        <w:t>)</w:t>
      </w:r>
      <w:r w:rsidRPr="00BA26FF">
        <w:tab/>
        <w:t xml:space="preserve">The emergency number 112 is set to be fully accessible across the EU, as per European </w:t>
      </w:r>
      <w:r w:rsidRPr="00103874">
        <w:t>Accessibility</w:t>
      </w:r>
      <w:r w:rsidRPr="00BA26FF">
        <w:t xml:space="preserve"> Act.</w:t>
      </w:r>
    </w:p>
  </w:footnote>
  <w:footnote w:id="20">
    <w:p w14:paraId="2D5334DF" w14:textId="77777777" w:rsidR="00FB01BD" w:rsidRPr="000018ED" w:rsidRDefault="00FB01BD" w:rsidP="00103874">
      <w:pPr>
        <w:pStyle w:val="FootnoteText"/>
        <w:rPr>
          <w:lang w:val="en-IE"/>
        </w:rPr>
      </w:pPr>
      <w:r w:rsidRPr="00BA26FF">
        <w:t>(</w:t>
      </w:r>
      <w:r w:rsidRPr="00BA26FF">
        <w:rPr>
          <w:rStyle w:val="FootnoteReference"/>
        </w:rPr>
        <w:footnoteRef/>
      </w:r>
      <w:r w:rsidRPr="00BA26FF">
        <w:t>)</w:t>
      </w:r>
      <w:r w:rsidRPr="00BA26FF">
        <w:tab/>
        <w:t xml:space="preserve">Based on Article 20(a) of the </w:t>
      </w:r>
      <w:hyperlink r:id="rId20" w:history="1">
        <w:r w:rsidRPr="00BA26FF">
          <w:rPr>
            <w:rStyle w:val="Hyperlink"/>
          </w:rPr>
          <w:t>Union Civil Protection Mechanism</w:t>
        </w:r>
      </w:hyperlink>
      <w:r w:rsidRPr="00BA26FF">
        <w:t xml:space="preserve"> Decision.</w:t>
      </w:r>
    </w:p>
  </w:footnote>
  <w:footnote w:id="21">
    <w:p w14:paraId="6C201D89" w14:textId="77777777" w:rsidR="00FB01BD" w:rsidRPr="00BA26FF" w:rsidRDefault="00FB01BD" w:rsidP="00103874">
      <w:pPr>
        <w:pStyle w:val="FootnoteText"/>
      </w:pPr>
      <w:r w:rsidRPr="00BA26FF">
        <w:t>(</w:t>
      </w:r>
      <w:r w:rsidRPr="00BA26FF">
        <w:rPr>
          <w:rStyle w:val="FootnoteReference"/>
        </w:rPr>
        <w:footnoteRef/>
      </w:r>
      <w:r w:rsidRPr="00BA26FF">
        <w:t>)</w:t>
      </w:r>
      <w:r w:rsidRPr="00BA26FF">
        <w:tab/>
        <w:t xml:space="preserve">2022 data. Source: </w:t>
      </w:r>
      <w:hyperlink r:id="rId21" w:history="1">
        <w:r w:rsidRPr="00BA26FF">
          <w:rPr>
            <w:rStyle w:val="Hyperlink"/>
            <w:lang w:val="en-IE"/>
          </w:rPr>
          <w:t>Global report on health equity for persons with disabilities</w:t>
        </w:r>
      </w:hyperlink>
      <w:r w:rsidRPr="00BA26F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07B1" w14:textId="77777777" w:rsidR="0046622A" w:rsidRPr="0046622A" w:rsidRDefault="0046622A" w:rsidP="0046622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90AB7" w14:textId="77777777" w:rsidR="0046622A" w:rsidRPr="0046622A" w:rsidRDefault="0046622A" w:rsidP="0046622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75AE" w14:textId="77777777" w:rsidR="0046622A" w:rsidRPr="0046622A" w:rsidRDefault="0046622A" w:rsidP="0046622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A9C21" w14:textId="77777777" w:rsidR="0046622A" w:rsidRDefault="004662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65D0D" w14:textId="77777777" w:rsidR="00B41605" w:rsidRDefault="00B416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E1F0F" w14:textId="77777777" w:rsidR="0046622A" w:rsidRDefault="004662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B77C7"/>
    <w:multiLevelType w:val="multilevel"/>
    <w:tmpl w:val="9C5C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B0842"/>
    <w:multiLevelType w:val="hybridMultilevel"/>
    <w:tmpl w:val="10E6A77C"/>
    <w:lvl w:ilvl="0" w:tplc="2496D1EA">
      <w:start w:val="3"/>
      <w:numFmt w:val="upperRoman"/>
      <w:lvlText w:val="%1."/>
      <w:lvlJc w:val="righ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846964"/>
    <w:multiLevelType w:val="hybridMultilevel"/>
    <w:tmpl w:val="1D163D56"/>
    <w:lvl w:ilvl="0" w:tplc="8BD6FD34">
      <w:start w:val="1"/>
      <w:numFmt w:val="upperRoman"/>
      <w:lvlText w:val="%1."/>
      <w:lvlJc w:val="left"/>
      <w:pPr>
        <w:ind w:left="720" w:hanging="360"/>
      </w:pPr>
      <w:rPr>
        <w:rFonts w:cs="Times New Roman" w:hint="default"/>
        <w:b w:val="0"/>
        <w:bCs/>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7302843"/>
    <w:multiLevelType w:val="hybridMultilevel"/>
    <w:tmpl w:val="95C66FC8"/>
    <w:lvl w:ilvl="0" w:tplc="EA7648FC">
      <w:start w:val="1"/>
      <w:numFmt w:val="upperRoman"/>
      <w:lvlText w:val="%1."/>
      <w:lvlJc w:val="left"/>
      <w:pPr>
        <w:ind w:left="1800" w:hanging="720"/>
      </w:pPr>
      <w:rPr>
        <w:rFonts w:cs="Times New Roman" w:hint="default"/>
        <w:b/>
        <w:bCs w:val="0"/>
        <w:u w:val="single"/>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2FF62584"/>
    <w:multiLevelType w:val="hybridMultilevel"/>
    <w:tmpl w:val="F5F0A9CC"/>
    <w:lvl w:ilvl="0" w:tplc="8F7E58E4">
      <w:start w:val="1"/>
      <w:numFmt w:val="bullet"/>
      <w:lvlText w:val=""/>
      <w:lvlJc w:val="left"/>
      <w:pPr>
        <w:ind w:left="1020" w:hanging="360"/>
      </w:pPr>
      <w:rPr>
        <w:rFonts w:ascii="Symbol" w:hAnsi="Symbol"/>
      </w:rPr>
    </w:lvl>
    <w:lvl w:ilvl="1" w:tplc="991E9712">
      <w:start w:val="1"/>
      <w:numFmt w:val="bullet"/>
      <w:lvlText w:val=""/>
      <w:lvlJc w:val="left"/>
      <w:pPr>
        <w:ind w:left="1020" w:hanging="360"/>
      </w:pPr>
      <w:rPr>
        <w:rFonts w:ascii="Symbol" w:hAnsi="Symbol"/>
      </w:rPr>
    </w:lvl>
    <w:lvl w:ilvl="2" w:tplc="04F80044">
      <w:start w:val="1"/>
      <w:numFmt w:val="bullet"/>
      <w:lvlText w:val=""/>
      <w:lvlJc w:val="left"/>
      <w:pPr>
        <w:ind w:left="1020" w:hanging="360"/>
      </w:pPr>
      <w:rPr>
        <w:rFonts w:ascii="Symbol" w:hAnsi="Symbol"/>
      </w:rPr>
    </w:lvl>
    <w:lvl w:ilvl="3" w:tplc="818C4B14">
      <w:start w:val="1"/>
      <w:numFmt w:val="bullet"/>
      <w:lvlText w:val=""/>
      <w:lvlJc w:val="left"/>
      <w:pPr>
        <w:ind w:left="1020" w:hanging="360"/>
      </w:pPr>
      <w:rPr>
        <w:rFonts w:ascii="Symbol" w:hAnsi="Symbol"/>
      </w:rPr>
    </w:lvl>
    <w:lvl w:ilvl="4" w:tplc="9A66EA8E">
      <w:start w:val="1"/>
      <w:numFmt w:val="bullet"/>
      <w:lvlText w:val=""/>
      <w:lvlJc w:val="left"/>
      <w:pPr>
        <w:ind w:left="1020" w:hanging="360"/>
      </w:pPr>
      <w:rPr>
        <w:rFonts w:ascii="Symbol" w:hAnsi="Symbol"/>
      </w:rPr>
    </w:lvl>
    <w:lvl w:ilvl="5" w:tplc="CB60CE6A">
      <w:start w:val="1"/>
      <w:numFmt w:val="bullet"/>
      <w:lvlText w:val=""/>
      <w:lvlJc w:val="left"/>
      <w:pPr>
        <w:ind w:left="1020" w:hanging="360"/>
      </w:pPr>
      <w:rPr>
        <w:rFonts w:ascii="Symbol" w:hAnsi="Symbol"/>
      </w:rPr>
    </w:lvl>
    <w:lvl w:ilvl="6" w:tplc="6228EF32">
      <w:start w:val="1"/>
      <w:numFmt w:val="bullet"/>
      <w:lvlText w:val=""/>
      <w:lvlJc w:val="left"/>
      <w:pPr>
        <w:ind w:left="1020" w:hanging="360"/>
      </w:pPr>
      <w:rPr>
        <w:rFonts w:ascii="Symbol" w:hAnsi="Symbol"/>
      </w:rPr>
    </w:lvl>
    <w:lvl w:ilvl="7" w:tplc="FCFCE6C8">
      <w:start w:val="1"/>
      <w:numFmt w:val="bullet"/>
      <w:lvlText w:val=""/>
      <w:lvlJc w:val="left"/>
      <w:pPr>
        <w:ind w:left="1020" w:hanging="360"/>
      </w:pPr>
      <w:rPr>
        <w:rFonts w:ascii="Symbol" w:hAnsi="Symbol"/>
      </w:rPr>
    </w:lvl>
    <w:lvl w:ilvl="8" w:tplc="09E28592">
      <w:start w:val="1"/>
      <w:numFmt w:val="bullet"/>
      <w:lvlText w:val=""/>
      <w:lvlJc w:val="left"/>
      <w:pPr>
        <w:ind w:left="1020" w:hanging="360"/>
      </w:pPr>
      <w:rPr>
        <w:rFonts w:ascii="Symbol" w:hAnsi="Symbol"/>
      </w:rPr>
    </w:lvl>
  </w:abstractNum>
  <w:abstractNum w:abstractNumId="5" w15:restartNumberingAfterBreak="0">
    <w:nsid w:val="46045679"/>
    <w:multiLevelType w:val="hybridMultilevel"/>
    <w:tmpl w:val="97FC4B88"/>
    <w:lvl w:ilvl="0" w:tplc="F8EE4E50">
      <w:start w:val="1"/>
      <w:numFmt w:val="upperRoman"/>
      <w:lvlText w:val="%1."/>
      <w:lvlJc w:val="left"/>
      <w:pPr>
        <w:ind w:left="1080" w:hanging="720"/>
      </w:pPr>
      <w:rPr>
        <w:rFonts w:cs="Times New Roman" w:hint="default"/>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E8B79FB"/>
    <w:multiLevelType w:val="hybridMultilevel"/>
    <w:tmpl w:val="E0D28F4C"/>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4E0588A"/>
    <w:multiLevelType w:val="hybridMultilevel"/>
    <w:tmpl w:val="C39CD91C"/>
    <w:lvl w:ilvl="0" w:tplc="1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6011941"/>
    <w:multiLevelType w:val="hybridMultilevel"/>
    <w:tmpl w:val="3DEE606A"/>
    <w:lvl w:ilvl="0" w:tplc="267491B4">
      <w:start w:val="1"/>
      <w:numFmt w:val="decimal"/>
      <w:pStyle w:val="Style3"/>
      <w:lvlText w:val="%1."/>
      <w:lvlJc w:val="lef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9" w15:restartNumberingAfterBreak="0">
    <w:nsid w:val="580E4B2E"/>
    <w:multiLevelType w:val="hybridMultilevel"/>
    <w:tmpl w:val="DFCC54B4"/>
    <w:lvl w:ilvl="0" w:tplc="1174DECC">
      <w:start w:val="1"/>
      <w:numFmt w:val="bullet"/>
      <w:lvlText w:val=""/>
      <w:lvlJc w:val="left"/>
      <w:pPr>
        <w:ind w:left="1020" w:hanging="360"/>
      </w:pPr>
      <w:rPr>
        <w:rFonts w:ascii="Symbol" w:hAnsi="Symbol"/>
      </w:rPr>
    </w:lvl>
    <w:lvl w:ilvl="1" w:tplc="BA54C1F2">
      <w:start w:val="1"/>
      <w:numFmt w:val="bullet"/>
      <w:lvlText w:val=""/>
      <w:lvlJc w:val="left"/>
      <w:pPr>
        <w:ind w:left="1020" w:hanging="360"/>
      </w:pPr>
      <w:rPr>
        <w:rFonts w:ascii="Symbol" w:hAnsi="Symbol"/>
      </w:rPr>
    </w:lvl>
    <w:lvl w:ilvl="2" w:tplc="F76231BC">
      <w:start w:val="1"/>
      <w:numFmt w:val="bullet"/>
      <w:lvlText w:val=""/>
      <w:lvlJc w:val="left"/>
      <w:pPr>
        <w:ind w:left="1020" w:hanging="360"/>
      </w:pPr>
      <w:rPr>
        <w:rFonts w:ascii="Symbol" w:hAnsi="Symbol"/>
      </w:rPr>
    </w:lvl>
    <w:lvl w:ilvl="3" w:tplc="5B5C47D6">
      <w:start w:val="1"/>
      <w:numFmt w:val="bullet"/>
      <w:lvlText w:val=""/>
      <w:lvlJc w:val="left"/>
      <w:pPr>
        <w:ind w:left="1020" w:hanging="360"/>
      </w:pPr>
      <w:rPr>
        <w:rFonts w:ascii="Symbol" w:hAnsi="Symbol"/>
      </w:rPr>
    </w:lvl>
    <w:lvl w:ilvl="4" w:tplc="6AE697A0">
      <w:start w:val="1"/>
      <w:numFmt w:val="bullet"/>
      <w:lvlText w:val=""/>
      <w:lvlJc w:val="left"/>
      <w:pPr>
        <w:ind w:left="1020" w:hanging="360"/>
      </w:pPr>
      <w:rPr>
        <w:rFonts w:ascii="Symbol" w:hAnsi="Symbol"/>
      </w:rPr>
    </w:lvl>
    <w:lvl w:ilvl="5" w:tplc="7150980C">
      <w:start w:val="1"/>
      <w:numFmt w:val="bullet"/>
      <w:lvlText w:val=""/>
      <w:lvlJc w:val="left"/>
      <w:pPr>
        <w:ind w:left="1020" w:hanging="360"/>
      </w:pPr>
      <w:rPr>
        <w:rFonts w:ascii="Symbol" w:hAnsi="Symbol"/>
      </w:rPr>
    </w:lvl>
    <w:lvl w:ilvl="6" w:tplc="B1C0AF1C">
      <w:start w:val="1"/>
      <w:numFmt w:val="bullet"/>
      <w:lvlText w:val=""/>
      <w:lvlJc w:val="left"/>
      <w:pPr>
        <w:ind w:left="1020" w:hanging="360"/>
      </w:pPr>
      <w:rPr>
        <w:rFonts w:ascii="Symbol" w:hAnsi="Symbol"/>
      </w:rPr>
    </w:lvl>
    <w:lvl w:ilvl="7" w:tplc="6212B268">
      <w:start w:val="1"/>
      <w:numFmt w:val="bullet"/>
      <w:lvlText w:val=""/>
      <w:lvlJc w:val="left"/>
      <w:pPr>
        <w:ind w:left="1020" w:hanging="360"/>
      </w:pPr>
      <w:rPr>
        <w:rFonts w:ascii="Symbol" w:hAnsi="Symbol"/>
      </w:rPr>
    </w:lvl>
    <w:lvl w:ilvl="8" w:tplc="BA4EC254">
      <w:start w:val="1"/>
      <w:numFmt w:val="bullet"/>
      <w:lvlText w:val=""/>
      <w:lvlJc w:val="left"/>
      <w:pPr>
        <w:ind w:left="1020" w:hanging="360"/>
      </w:pPr>
      <w:rPr>
        <w:rFonts w:ascii="Symbol" w:hAnsi="Symbol"/>
      </w:rPr>
    </w:lvl>
  </w:abstractNum>
  <w:abstractNum w:abstractNumId="10" w15:restartNumberingAfterBreak="0">
    <w:nsid w:val="5DDB5DD5"/>
    <w:multiLevelType w:val="hybridMultilevel"/>
    <w:tmpl w:val="D97024D0"/>
    <w:lvl w:ilvl="0" w:tplc="648EF0CE">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6EBB471A"/>
    <w:multiLevelType w:val="hybridMultilevel"/>
    <w:tmpl w:val="CFA8E500"/>
    <w:lvl w:ilvl="0" w:tplc="1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41932B8"/>
    <w:multiLevelType w:val="hybridMultilevel"/>
    <w:tmpl w:val="FA7270BA"/>
    <w:lvl w:ilvl="0" w:tplc="1C567C04">
      <w:start w:val="1"/>
      <w:numFmt w:val="bullet"/>
      <w:lvlText w:val=""/>
      <w:lvlJc w:val="left"/>
      <w:pPr>
        <w:ind w:left="1020" w:hanging="360"/>
      </w:pPr>
      <w:rPr>
        <w:rFonts w:ascii="Symbol" w:hAnsi="Symbol"/>
      </w:rPr>
    </w:lvl>
    <w:lvl w:ilvl="1" w:tplc="484030FE">
      <w:start w:val="1"/>
      <w:numFmt w:val="bullet"/>
      <w:lvlText w:val=""/>
      <w:lvlJc w:val="left"/>
      <w:pPr>
        <w:ind w:left="1020" w:hanging="360"/>
      </w:pPr>
      <w:rPr>
        <w:rFonts w:ascii="Symbol" w:hAnsi="Symbol"/>
      </w:rPr>
    </w:lvl>
    <w:lvl w:ilvl="2" w:tplc="EFC84A80">
      <w:start w:val="1"/>
      <w:numFmt w:val="bullet"/>
      <w:lvlText w:val=""/>
      <w:lvlJc w:val="left"/>
      <w:pPr>
        <w:ind w:left="1020" w:hanging="360"/>
      </w:pPr>
      <w:rPr>
        <w:rFonts w:ascii="Symbol" w:hAnsi="Symbol"/>
      </w:rPr>
    </w:lvl>
    <w:lvl w:ilvl="3" w:tplc="6270DB84">
      <w:start w:val="1"/>
      <w:numFmt w:val="bullet"/>
      <w:lvlText w:val=""/>
      <w:lvlJc w:val="left"/>
      <w:pPr>
        <w:ind w:left="1020" w:hanging="360"/>
      </w:pPr>
      <w:rPr>
        <w:rFonts w:ascii="Symbol" w:hAnsi="Symbol"/>
      </w:rPr>
    </w:lvl>
    <w:lvl w:ilvl="4" w:tplc="D15C5DB2">
      <w:start w:val="1"/>
      <w:numFmt w:val="bullet"/>
      <w:lvlText w:val=""/>
      <w:lvlJc w:val="left"/>
      <w:pPr>
        <w:ind w:left="1020" w:hanging="360"/>
      </w:pPr>
      <w:rPr>
        <w:rFonts w:ascii="Symbol" w:hAnsi="Symbol"/>
      </w:rPr>
    </w:lvl>
    <w:lvl w:ilvl="5" w:tplc="F3E4F280">
      <w:start w:val="1"/>
      <w:numFmt w:val="bullet"/>
      <w:lvlText w:val=""/>
      <w:lvlJc w:val="left"/>
      <w:pPr>
        <w:ind w:left="1020" w:hanging="360"/>
      </w:pPr>
      <w:rPr>
        <w:rFonts w:ascii="Symbol" w:hAnsi="Symbol"/>
      </w:rPr>
    </w:lvl>
    <w:lvl w:ilvl="6" w:tplc="E202F6B8">
      <w:start w:val="1"/>
      <w:numFmt w:val="bullet"/>
      <w:lvlText w:val=""/>
      <w:lvlJc w:val="left"/>
      <w:pPr>
        <w:ind w:left="1020" w:hanging="360"/>
      </w:pPr>
      <w:rPr>
        <w:rFonts w:ascii="Symbol" w:hAnsi="Symbol"/>
      </w:rPr>
    </w:lvl>
    <w:lvl w:ilvl="7" w:tplc="9AE2627C">
      <w:start w:val="1"/>
      <w:numFmt w:val="bullet"/>
      <w:lvlText w:val=""/>
      <w:lvlJc w:val="left"/>
      <w:pPr>
        <w:ind w:left="1020" w:hanging="360"/>
      </w:pPr>
      <w:rPr>
        <w:rFonts w:ascii="Symbol" w:hAnsi="Symbol"/>
      </w:rPr>
    </w:lvl>
    <w:lvl w:ilvl="8" w:tplc="9FF63CBC">
      <w:start w:val="1"/>
      <w:numFmt w:val="bullet"/>
      <w:lvlText w:val=""/>
      <w:lvlJc w:val="left"/>
      <w:pPr>
        <w:ind w:left="1020" w:hanging="360"/>
      </w:pPr>
      <w:rPr>
        <w:rFonts w:ascii="Symbol" w:hAnsi="Symbol"/>
      </w:rPr>
    </w:lvl>
  </w:abstractNum>
  <w:abstractNum w:abstractNumId="13" w15:restartNumberingAfterBreak="0">
    <w:nsid w:val="74EB3377"/>
    <w:multiLevelType w:val="hybridMultilevel"/>
    <w:tmpl w:val="0E201C00"/>
    <w:lvl w:ilvl="0" w:tplc="709A45C6">
      <w:start w:val="1"/>
      <w:numFmt w:val="upperLetter"/>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5C013D3"/>
    <w:multiLevelType w:val="hybridMultilevel"/>
    <w:tmpl w:val="8AC2AD1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7D09254B"/>
    <w:multiLevelType w:val="hybridMultilevel"/>
    <w:tmpl w:val="E6FCDE00"/>
    <w:lvl w:ilvl="0" w:tplc="4CC82CC0">
      <w:start w:val="1"/>
      <w:numFmt w:val="bullet"/>
      <w:lvlText w:val=""/>
      <w:lvlJc w:val="left"/>
      <w:pPr>
        <w:ind w:left="1020" w:hanging="360"/>
      </w:pPr>
      <w:rPr>
        <w:rFonts w:ascii="Symbol" w:hAnsi="Symbol"/>
      </w:rPr>
    </w:lvl>
    <w:lvl w:ilvl="1" w:tplc="3B3A9E20">
      <w:start w:val="1"/>
      <w:numFmt w:val="bullet"/>
      <w:lvlText w:val=""/>
      <w:lvlJc w:val="left"/>
      <w:pPr>
        <w:ind w:left="1020" w:hanging="360"/>
      </w:pPr>
      <w:rPr>
        <w:rFonts w:ascii="Symbol" w:hAnsi="Symbol"/>
      </w:rPr>
    </w:lvl>
    <w:lvl w:ilvl="2" w:tplc="987C444A">
      <w:start w:val="1"/>
      <w:numFmt w:val="bullet"/>
      <w:lvlText w:val=""/>
      <w:lvlJc w:val="left"/>
      <w:pPr>
        <w:ind w:left="1020" w:hanging="360"/>
      </w:pPr>
      <w:rPr>
        <w:rFonts w:ascii="Symbol" w:hAnsi="Symbol"/>
      </w:rPr>
    </w:lvl>
    <w:lvl w:ilvl="3" w:tplc="2DEAD9E2">
      <w:start w:val="1"/>
      <w:numFmt w:val="bullet"/>
      <w:lvlText w:val=""/>
      <w:lvlJc w:val="left"/>
      <w:pPr>
        <w:ind w:left="1020" w:hanging="360"/>
      </w:pPr>
      <w:rPr>
        <w:rFonts w:ascii="Symbol" w:hAnsi="Symbol"/>
      </w:rPr>
    </w:lvl>
    <w:lvl w:ilvl="4" w:tplc="48428DF6">
      <w:start w:val="1"/>
      <w:numFmt w:val="bullet"/>
      <w:lvlText w:val=""/>
      <w:lvlJc w:val="left"/>
      <w:pPr>
        <w:ind w:left="1020" w:hanging="360"/>
      </w:pPr>
      <w:rPr>
        <w:rFonts w:ascii="Symbol" w:hAnsi="Symbol"/>
      </w:rPr>
    </w:lvl>
    <w:lvl w:ilvl="5" w:tplc="7A2C6C34">
      <w:start w:val="1"/>
      <w:numFmt w:val="bullet"/>
      <w:lvlText w:val=""/>
      <w:lvlJc w:val="left"/>
      <w:pPr>
        <w:ind w:left="1020" w:hanging="360"/>
      </w:pPr>
      <w:rPr>
        <w:rFonts w:ascii="Symbol" w:hAnsi="Symbol"/>
      </w:rPr>
    </w:lvl>
    <w:lvl w:ilvl="6" w:tplc="5FBC4224">
      <w:start w:val="1"/>
      <w:numFmt w:val="bullet"/>
      <w:lvlText w:val=""/>
      <w:lvlJc w:val="left"/>
      <w:pPr>
        <w:ind w:left="1020" w:hanging="360"/>
      </w:pPr>
      <w:rPr>
        <w:rFonts w:ascii="Symbol" w:hAnsi="Symbol"/>
      </w:rPr>
    </w:lvl>
    <w:lvl w:ilvl="7" w:tplc="B3E4BEBC">
      <w:start w:val="1"/>
      <w:numFmt w:val="bullet"/>
      <w:lvlText w:val=""/>
      <w:lvlJc w:val="left"/>
      <w:pPr>
        <w:ind w:left="1020" w:hanging="360"/>
      </w:pPr>
      <w:rPr>
        <w:rFonts w:ascii="Symbol" w:hAnsi="Symbol"/>
      </w:rPr>
    </w:lvl>
    <w:lvl w:ilvl="8" w:tplc="AD40E230">
      <w:start w:val="1"/>
      <w:numFmt w:val="bullet"/>
      <w:lvlText w:val=""/>
      <w:lvlJc w:val="left"/>
      <w:pPr>
        <w:ind w:left="1020" w:hanging="360"/>
      </w:pPr>
      <w:rPr>
        <w:rFonts w:ascii="Symbol" w:hAnsi="Symbol"/>
      </w:rPr>
    </w:lvl>
  </w:abstractNum>
  <w:abstractNum w:abstractNumId="16" w15:restartNumberingAfterBreak="0">
    <w:nsid w:val="7F801833"/>
    <w:multiLevelType w:val="hybridMultilevel"/>
    <w:tmpl w:val="0DD4DBCC"/>
    <w:lvl w:ilvl="0" w:tplc="D6D65EF4">
      <w:start w:val="1"/>
      <w:numFmt w:val="decimal"/>
      <w:pStyle w:val="Style1"/>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466854827">
    <w:abstractNumId w:val="16"/>
  </w:num>
  <w:num w:numId="2" w16cid:durableId="1738432086">
    <w:abstractNumId w:val="8"/>
  </w:num>
  <w:num w:numId="3" w16cid:durableId="67853107">
    <w:abstractNumId w:val="14"/>
  </w:num>
  <w:num w:numId="4" w16cid:durableId="1574579750">
    <w:abstractNumId w:val="4"/>
  </w:num>
  <w:num w:numId="5" w16cid:durableId="1694769730">
    <w:abstractNumId w:val="15"/>
  </w:num>
  <w:num w:numId="6" w16cid:durableId="1514952944">
    <w:abstractNumId w:val="9"/>
  </w:num>
  <w:num w:numId="7" w16cid:durableId="1125805786">
    <w:abstractNumId w:val="12"/>
  </w:num>
  <w:num w:numId="8" w16cid:durableId="1480339189">
    <w:abstractNumId w:val="0"/>
  </w:num>
  <w:num w:numId="9" w16cid:durableId="542451481">
    <w:abstractNumId w:val="2"/>
  </w:num>
  <w:num w:numId="10" w16cid:durableId="574241951">
    <w:abstractNumId w:val="6"/>
  </w:num>
  <w:num w:numId="11" w16cid:durableId="1218206009">
    <w:abstractNumId w:val="13"/>
  </w:num>
  <w:num w:numId="12" w16cid:durableId="431243651">
    <w:abstractNumId w:val="5"/>
  </w:num>
  <w:num w:numId="13" w16cid:durableId="1915776579">
    <w:abstractNumId w:val="3"/>
  </w:num>
  <w:num w:numId="14" w16cid:durableId="871655523">
    <w:abstractNumId w:val="10"/>
  </w:num>
  <w:num w:numId="15" w16cid:durableId="507670124">
    <w:abstractNumId w:val="11"/>
  </w:num>
  <w:num w:numId="16" w16cid:durableId="1505587269">
    <w:abstractNumId w:val="7"/>
  </w:num>
  <w:num w:numId="17" w16cid:durableId="1356544264">
    <w:abstractNumId w:val="1"/>
  </w:num>
  <w:num w:numId="18" w16cid:durableId="1909916943">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EPKit_DocumentHasBeenSaved" w:val="true"/>
    <w:docVar w:name="LW_CORRIGENDUM" w:val="&lt;UNUSED&gt;"/>
    <w:docVar w:name="LW_COVERPAGE_EXISTS" w:val="True"/>
    <w:docVar w:name="LW_COVERPAGE_GUID" w:val="017C0234-B6C6-4993-96A9-36E00EED96A3"/>
    <w:docVar w:name="LW_COVERPAGE_TYPE" w:val="1"/>
    <w:docVar w:name="LW_CROSSREFERENCE" w:val="{SWD(2026) 773 final}"/>
    <w:docVar w:name="LW_DocType" w:val="NORMAL"/>
    <w:docVar w:name="LW_EMISSION" w:val="6.5.2026"/>
    <w:docVar w:name="LW_EMISSION_ISODATE" w:val="2026-05-06"/>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5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nhancing the strategy for the rights of persons with disabilities up to 2030"/>
    <w:docVar w:name="LW_TYPE.DOC.CP" w:val="COMMUNICATION FROM THE COMMISSION TO THE EUROPEAN PARLIAMENT, THE COUNCIL, THE EUROPEAN ECONOMIC AND SOCIAL COMMITTEE AND THE COMMITTEE OF THE REGIONS"/>
    <w:docVar w:name="LW_TYPE.DOC.CP.USERTEXT" w:val="&lt;EMPTY&gt;"/>
  </w:docVars>
  <w:rsids>
    <w:rsidRoot w:val="00F87E5B"/>
    <w:rsid w:val="000018ED"/>
    <w:rsid w:val="00001C02"/>
    <w:rsid w:val="0000324E"/>
    <w:rsid w:val="00003681"/>
    <w:rsid w:val="00004B1C"/>
    <w:rsid w:val="00006B5F"/>
    <w:rsid w:val="0001043A"/>
    <w:rsid w:val="000117A1"/>
    <w:rsid w:val="00011F4D"/>
    <w:rsid w:val="0001259F"/>
    <w:rsid w:val="00012A28"/>
    <w:rsid w:val="00012BC1"/>
    <w:rsid w:val="00012D08"/>
    <w:rsid w:val="000132F4"/>
    <w:rsid w:val="000142F7"/>
    <w:rsid w:val="000148BE"/>
    <w:rsid w:val="00015D28"/>
    <w:rsid w:val="00016E65"/>
    <w:rsid w:val="000171A1"/>
    <w:rsid w:val="00017384"/>
    <w:rsid w:val="00020A4A"/>
    <w:rsid w:val="00020EBA"/>
    <w:rsid w:val="000217CB"/>
    <w:rsid w:val="000225A8"/>
    <w:rsid w:val="000227D9"/>
    <w:rsid w:val="000244F5"/>
    <w:rsid w:val="000266DF"/>
    <w:rsid w:val="00026DCB"/>
    <w:rsid w:val="0003028F"/>
    <w:rsid w:val="00030A0E"/>
    <w:rsid w:val="000318AF"/>
    <w:rsid w:val="00031ECA"/>
    <w:rsid w:val="000324DB"/>
    <w:rsid w:val="000335D6"/>
    <w:rsid w:val="000341B7"/>
    <w:rsid w:val="00035265"/>
    <w:rsid w:val="00040B6E"/>
    <w:rsid w:val="00040C3A"/>
    <w:rsid w:val="00041891"/>
    <w:rsid w:val="00041A95"/>
    <w:rsid w:val="000421A0"/>
    <w:rsid w:val="00044DFB"/>
    <w:rsid w:val="00051BBC"/>
    <w:rsid w:val="00052E8E"/>
    <w:rsid w:val="000540A3"/>
    <w:rsid w:val="00055131"/>
    <w:rsid w:val="00056350"/>
    <w:rsid w:val="00056CDB"/>
    <w:rsid w:val="000574D4"/>
    <w:rsid w:val="00057EE4"/>
    <w:rsid w:val="00060A2C"/>
    <w:rsid w:val="000612E9"/>
    <w:rsid w:val="00064087"/>
    <w:rsid w:val="00064C6C"/>
    <w:rsid w:val="00066452"/>
    <w:rsid w:val="000670A0"/>
    <w:rsid w:val="0006763F"/>
    <w:rsid w:val="000678EB"/>
    <w:rsid w:val="00067C8D"/>
    <w:rsid w:val="00070D10"/>
    <w:rsid w:val="00071047"/>
    <w:rsid w:val="000714FF"/>
    <w:rsid w:val="000718E2"/>
    <w:rsid w:val="000728F0"/>
    <w:rsid w:val="00074432"/>
    <w:rsid w:val="00075613"/>
    <w:rsid w:val="00075CD6"/>
    <w:rsid w:val="00076D3D"/>
    <w:rsid w:val="00080306"/>
    <w:rsid w:val="00082055"/>
    <w:rsid w:val="000836FF"/>
    <w:rsid w:val="00083C13"/>
    <w:rsid w:val="000843C5"/>
    <w:rsid w:val="000848B6"/>
    <w:rsid w:val="00084B69"/>
    <w:rsid w:val="000855A2"/>
    <w:rsid w:val="0008642F"/>
    <w:rsid w:val="00086B3C"/>
    <w:rsid w:val="00086FAD"/>
    <w:rsid w:val="00087B73"/>
    <w:rsid w:val="00090D01"/>
    <w:rsid w:val="00091D5F"/>
    <w:rsid w:val="0009398A"/>
    <w:rsid w:val="0009556F"/>
    <w:rsid w:val="00095FF7"/>
    <w:rsid w:val="00096483"/>
    <w:rsid w:val="00096C20"/>
    <w:rsid w:val="000A11F1"/>
    <w:rsid w:val="000A2995"/>
    <w:rsid w:val="000A3CEF"/>
    <w:rsid w:val="000A4855"/>
    <w:rsid w:val="000A4BF0"/>
    <w:rsid w:val="000A59D3"/>
    <w:rsid w:val="000A59E1"/>
    <w:rsid w:val="000A6105"/>
    <w:rsid w:val="000A6BFE"/>
    <w:rsid w:val="000A7156"/>
    <w:rsid w:val="000A7832"/>
    <w:rsid w:val="000A7BF3"/>
    <w:rsid w:val="000A7CFD"/>
    <w:rsid w:val="000B0425"/>
    <w:rsid w:val="000B1E5C"/>
    <w:rsid w:val="000B24A4"/>
    <w:rsid w:val="000B4657"/>
    <w:rsid w:val="000B477E"/>
    <w:rsid w:val="000B57DE"/>
    <w:rsid w:val="000B6260"/>
    <w:rsid w:val="000B62FF"/>
    <w:rsid w:val="000B6C81"/>
    <w:rsid w:val="000B7115"/>
    <w:rsid w:val="000C026F"/>
    <w:rsid w:val="000C09CA"/>
    <w:rsid w:val="000C0E2B"/>
    <w:rsid w:val="000C43BD"/>
    <w:rsid w:val="000C45AC"/>
    <w:rsid w:val="000C58A9"/>
    <w:rsid w:val="000C736E"/>
    <w:rsid w:val="000C7B04"/>
    <w:rsid w:val="000C7C1C"/>
    <w:rsid w:val="000D022E"/>
    <w:rsid w:val="000D062A"/>
    <w:rsid w:val="000D1690"/>
    <w:rsid w:val="000D2360"/>
    <w:rsid w:val="000D4F47"/>
    <w:rsid w:val="000D5AA2"/>
    <w:rsid w:val="000D5F78"/>
    <w:rsid w:val="000D6B74"/>
    <w:rsid w:val="000D77E3"/>
    <w:rsid w:val="000D7D1D"/>
    <w:rsid w:val="000D7F67"/>
    <w:rsid w:val="000E358A"/>
    <w:rsid w:val="000E3CE0"/>
    <w:rsid w:val="000E408E"/>
    <w:rsid w:val="000E4761"/>
    <w:rsid w:val="000E4F37"/>
    <w:rsid w:val="000E521B"/>
    <w:rsid w:val="000E5B34"/>
    <w:rsid w:val="000E5DDE"/>
    <w:rsid w:val="000E6041"/>
    <w:rsid w:val="000E6950"/>
    <w:rsid w:val="000E6C05"/>
    <w:rsid w:val="000E755F"/>
    <w:rsid w:val="000E7A39"/>
    <w:rsid w:val="000F0660"/>
    <w:rsid w:val="000F084E"/>
    <w:rsid w:val="000F1F85"/>
    <w:rsid w:val="000F2D60"/>
    <w:rsid w:val="000F3E83"/>
    <w:rsid w:val="000F4EC9"/>
    <w:rsid w:val="000F4F47"/>
    <w:rsid w:val="000F5010"/>
    <w:rsid w:val="000F5A31"/>
    <w:rsid w:val="000F5CC0"/>
    <w:rsid w:val="000F6DE7"/>
    <w:rsid w:val="00101A4C"/>
    <w:rsid w:val="00101C63"/>
    <w:rsid w:val="001033DB"/>
    <w:rsid w:val="00103874"/>
    <w:rsid w:val="00103BBD"/>
    <w:rsid w:val="00104454"/>
    <w:rsid w:val="001053AF"/>
    <w:rsid w:val="00105647"/>
    <w:rsid w:val="00105AF8"/>
    <w:rsid w:val="001068D4"/>
    <w:rsid w:val="00107AE0"/>
    <w:rsid w:val="00107FB3"/>
    <w:rsid w:val="001108D5"/>
    <w:rsid w:val="00111091"/>
    <w:rsid w:val="001111CA"/>
    <w:rsid w:val="00111217"/>
    <w:rsid w:val="001145E3"/>
    <w:rsid w:val="00115801"/>
    <w:rsid w:val="00116923"/>
    <w:rsid w:val="00120420"/>
    <w:rsid w:val="0012075A"/>
    <w:rsid w:val="00121782"/>
    <w:rsid w:val="001219C4"/>
    <w:rsid w:val="00121B21"/>
    <w:rsid w:val="001224B7"/>
    <w:rsid w:val="00123936"/>
    <w:rsid w:val="00123F3B"/>
    <w:rsid w:val="001247CF"/>
    <w:rsid w:val="00124F5B"/>
    <w:rsid w:val="00125A5E"/>
    <w:rsid w:val="001270FB"/>
    <w:rsid w:val="001274AE"/>
    <w:rsid w:val="0013168E"/>
    <w:rsid w:val="00132B88"/>
    <w:rsid w:val="00132DAB"/>
    <w:rsid w:val="001339EC"/>
    <w:rsid w:val="00134ABA"/>
    <w:rsid w:val="00135705"/>
    <w:rsid w:val="00135D3C"/>
    <w:rsid w:val="0013618C"/>
    <w:rsid w:val="001363D8"/>
    <w:rsid w:val="00136612"/>
    <w:rsid w:val="00136CF9"/>
    <w:rsid w:val="0013778C"/>
    <w:rsid w:val="00137D45"/>
    <w:rsid w:val="001402CE"/>
    <w:rsid w:val="001408F7"/>
    <w:rsid w:val="00140DE1"/>
    <w:rsid w:val="001415BC"/>
    <w:rsid w:val="0014246D"/>
    <w:rsid w:val="0014282E"/>
    <w:rsid w:val="00142C62"/>
    <w:rsid w:val="00143503"/>
    <w:rsid w:val="00143E27"/>
    <w:rsid w:val="001446E2"/>
    <w:rsid w:val="00144B64"/>
    <w:rsid w:val="00144E3D"/>
    <w:rsid w:val="00145522"/>
    <w:rsid w:val="00145589"/>
    <w:rsid w:val="001470A1"/>
    <w:rsid w:val="00150609"/>
    <w:rsid w:val="00152476"/>
    <w:rsid w:val="00152713"/>
    <w:rsid w:val="001534C6"/>
    <w:rsid w:val="00155C0F"/>
    <w:rsid w:val="0015619A"/>
    <w:rsid w:val="001561C7"/>
    <w:rsid w:val="00156327"/>
    <w:rsid w:val="00156567"/>
    <w:rsid w:val="00156916"/>
    <w:rsid w:val="00156F86"/>
    <w:rsid w:val="00157F05"/>
    <w:rsid w:val="00160693"/>
    <w:rsid w:val="001617AD"/>
    <w:rsid w:val="00161E2F"/>
    <w:rsid w:val="00161F04"/>
    <w:rsid w:val="00166810"/>
    <w:rsid w:val="00166B0B"/>
    <w:rsid w:val="001674CD"/>
    <w:rsid w:val="00170118"/>
    <w:rsid w:val="001712A5"/>
    <w:rsid w:val="00171A3A"/>
    <w:rsid w:val="00173E30"/>
    <w:rsid w:val="001747F1"/>
    <w:rsid w:val="001748B3"/>
    <w:rsid w:val="00174AEA"/>
    <w:rsid w:val="00174ED5"/>
    <w:rsid w:val="00176696"/>
    <w:rsid w:val="00176F4B"/>
    <w:rsid w:val="00176F9E"/>
    <w:rsid w:val="00177832"/>
    <w:rsid w:val="00180305"/>
    <w:rsid w:val="0018055D"/>
    <w:rsid w:val="00181932"/>
    <w:rsid w:val="00182BC9"/>
    <w:rsid w:val="001849AF"/>
    <w:rsid w:val="00185D1B"/>
    <w:rsid w:val="001870B7"/>
    <w:rsid w:val="001872E7"/>
    <w:rsid w:val="00187F6B"/>
    <w:rsid w:val="00190113"/>
    <w:rsid w:val="0019071B"/>
    <w:rsid w:val="0019129F"/>
    <w:rsid w:val="00191845"/>
    <w:rsid w:val="00195D93"/>
    <w:rsid w:val="00196B20"/>
    <w:rsid w:val="00197F39"/>
    <w:rsid w:val="001A1298"/>
    <w:rsid w:val="001A1572"/>
    <w:rsid w:val="001A3DDF"/>
    <w:rsid w:val="001A423C"/>
    <w:rsid w:val="001A5A1A"/>
    <w:rsid w:val="001A6358"/>
    <w:rsid w:val="001A6B52"/>
    <w:rsid w:val="001A78D4"/>
    <w:rsid w:val="001A7B00"/>
    <w:rsid w:val="001A7E14"/>
    <w:rsid w:val="001B0DDA"/>
    <w:rsid w:val="001B1536"/>
    <w:rsid w:val="001B1AA5"/>
    <w:rsid w:val="001B38ED"/>
    <w:rsid w:val="001B3CBA"/>
    <w:rsid w:val="001B40CE"/>
    <w:rsid w:val="001B4B0B"/>
    <w:rsid w:val="001B76CD"/>
    <w:rsid w:val="001B79F5"/>
    <w:rsid w:val="001C268E"/>
    <w:rsid w:val="001C34DE"/>
    <w:rsid w:val="001C3A88"/>
    <w:rsid w:val="001C3F80"/>
    <w:rsid w:val="001C4F35"/>
    <w:rsid w:val="001C65C7"/>
    <w:rsid w:val="001C6700"/>
    <w:rsid w:val="001C7F0D"/>
    <w:rsid w:val="001D0E04"/>
    <w:rsid w:val="001D17AE"/>
    <w:rsid w:val="001D1DFF"/>
    <w:rsid w:val="001D25A9"/>
    <w:rsid w:val="001D286A"/>
    <w:rsid w:val="001D44D9"/>
    <w:rsid w:val="001D52C1"/>
    <w:rsid w:val="001D5726"/>
    <w:rsid w:val="001D75C2"/>
    <w:rsid w:val="001E076E"/>
    <w:rsid w:val="001E1B79"/>
    <w:rsid w:val="001E1FAC"/>
    <w:rsid w:val="001E3CBF"/>
    <w:rsid w:val="001E55A1"/>
    <w:rsid w:val="001E5D2F"/>
    <w:rsid w:val="001E69A3"/>
    <w:rsid w:val="001E7308"/>
    <w:rsid w:val="001F0942"/>
    <w:rsid w:val="001F107D"/>
    <w:rsid w:val="001F1EBD"/>
    <w:rsid w:val="001F22E9"/>
    <w:rsid w:val="001F31F3"/>
    <w:rsid w:val="001F4865"/>
    <w:rsid w:val="001F6250"/>
    <w:rsid w:val="001F6ACA"/>
    <w:rsid w:val="001F7FC5"/>
    <w:rsid w:val="0020042C"/>
    <w:rsid w:val="00201252"/>
    <w:rsid w:val="00201E67"/>
    <w:rsid w:val="00202CE3"/>
    <w:rsid w:val="002064E2"/>
    <w:rsid w:val="00210CF1"/>
    <w:rsid w:val="00212AE2"/>
    <w:rsid w:val="00213074"/>
    <w:rsid w:val="0021541C"/>
    <w:rsid w:val="00217CD6"/>
    <w:rsid w:val="002212A5"/>
    <w:rsid w:val="00222295"/>
    <w:rsid w:val="002235FB"/>
    <w:rsid w:val="0022365E"/>
    <w:rsid w:val="00223D33"/>
    <w:rsid w:val="002241CD"/>
    <w:rsid w:val="00224242"/>
    <w:rsid w:val="0022473B"/>
    <w:rsid w:val="0022520E"/>
    <w:rsid w:val="0022587D"/>
    <w:rsid w:val="00225F4B"/>
    <w:rsid w:val="002262F5"/>
    <w:rsid w:val="002274B5"/>
    <w:rsid w:val="00230410"/>
    <w:rsid w:val="00231A4F"/>
    <w:rsid w:val="0023280A"/>
    <w:rsid w:val="0023373F"/>
    <w:rsid w:val="00234141"/>
    <w:rsid w:val="002347D8"/>
    <w:rsid w:val="00235354"/>
    <w:rsid w:val="002369EC"/>
    <w:rsid w:val="00236A61"/>
    <w:rsid w:val="00236ACC"/>
    <w:rsid w:val="00237014"/>
    <w:rsid w:val="0023725C"/>
    <w:rsid w:val="00241110"/>
    <w:rsid w:val="00241396"/>
    <w:rsid w:val="00241571"/>
    <w:rsid w:val="00242370"/>
    <w:rsid w:val="002434CA"/>
    <w:rsid w:val="00244056"/>
    <w:rsid w:val="00244D11"/>
    <w:rsid w:val="00245928"/>
    <w:rsid w:val="00247F4A"/>
    <w:rsid w:val="00250347"/>
    <w:rsid w:val="00250D78"/>
    <w:rsid w:val="00250F52"/>
    <w:rsid w:val="002517F0"/>
    <w:rsid w:val="00252DCA"/>
    <w:rsid w:val="00252F8F"/>
    <w:rsid w:val="00253254"/>
    <w:rsid w:val="00253885"/>
    <w:rsid w:val="00253B4A"/>
    <w:rsid w:val="00254830"/>
    <w:rsid w:val="00256AC7"/>
    <w:rsid w:val="00256CB8"/>
    <w:rsid w:val="00257026"/>
    <w:rsid w:val="00257C2F"/>
    <w:rsid w:val="00261E97"/>
    <w:rsid w:val="00262ECB"/>
    <w:rsid w:val="00263628"/>
    <w:rsid w:val="00264666"/>
    <w:rsid w:val="00265B92"/>
    <w:rsid w:val="00265C06"/>
    <w:rsid w:val="002660FD"/>
    <w:rsid w:val="00266F1E"/>
    <w:rsid w:val="0027055C"/>
    <w:rsid w:val="00270F14"/>
    <w:rsid w:val="002719C1"/>
    <w:rsid w:val="002722DD"/>
    <w:rsid w:val="0027313F"/>
    <w:rsid w:val="0027406E"/>
    <w:rsid w:val="0027554C"/>
    <w:rsid w:val="002755D3"/>
    <w:rsid w:val="002779E3"/>
    <w:rsid w:val="00277B96"/>
    <w:rsid w:val="00280686"/>
    <w:rsid w:val="00280A13"/>
    <w:rsid w:val="00280F00"/>
    <w:rsid w:val="00281066"/>
    <w:rsid w:val="002819B6"/>
    <w:rsid w:val="00281C58"/>
    <w:rsid w:val="00282E05"/>
    <w:rsid w:val="00285CDD"/>
    <w:rsid w:val="002864AE"/>
    <w:rsid w:val="00286C3B"/>
    <w:rsid w:val="0028764C"/>
    <w:rsid w:val="00293282"/>
    <w:rsid w:val="00293330"/>
    <w:rsid w:val="0029347D"/>
    <w:rsid w:val="00293533"/>
    <w:rsid w:val="002937FD"/>
    <w:rsid w:val="00293A1D"/>
    <w:rsid w:val="00293A37"/>
    <w:rsid w:val="00296956"/>
    <w:rsid w:val="00296AF5"/>
    <w:rsid w:val="002A01BF"/>
    <w:rsid w:val="002A01D8"/>
    <w:rsid w:val="002A0E88"/>
    <w:rsid w:val="002A185E"/>
    <w:rsid w:val="002A18B2"/>
    <w:rsid w:val="002A190E"/>
    <w:rsid w:val="002A19F2"/>
    <w:rsid w:val="002A2B01"/>
    <w:rsid w:val="002A43CD"/>
    <w:rsid w:val="002A58F0"/>
    <w:rsid w:val="002A59FE"/>
    <w:rsid w:val="002A5CA5"/>
    <w:rsid w:val="002A6AA1"/>
    <w:rsid w:val="002A6B1B"/>
    <w:rsid w:val="002A6F40"/>
    <w:rsid w:val="002A7CC6"/>
    <w:rsid w:val="002B0B3E"/>
    <w:rsid w:val="002B0EB4"/>
    <w:rsid w:val="002B1CA4"/>
    <w:rsid w:val="002B23D7"/>
    <w:rsid w:val="002B296D"/>
    <w:rsid w:val="002B2CA6"/>
    <w:rsid w:val="002B32A6"/>
    <w:rsid w:val="002B3AE6"/>
    <w:rsid w:val="002B3C59"/>
    <w:rsid w:val="002B4285"/>
    <w:rsid w:val="002B428C"/>
    <w:rsid w:val="002B595F"/>
    <w:rsid w:val="002B7AF0"/>
    <w:rsid w:val="002C12FF"/>
    <w:rsid w:val="002C161B"/>
    <w:rsid w:val="002C168A"/>
    <w:rsid w:val="002C18F1"/>
    <w:rsid w:val="002C2BFE"/>
    <w:rsid w:val="002C39AD"/>
    <w:rsid w:val="002C4690"/>
    <w:rsid w:val="002C5146"/>
    <w:rsid w:val="002C56E3"/>
    <w:rsid w:val="002C5F19"/>
    <w:rsid w:val="002C64B4"/>
    <w:rsid w:val="002C6F2F"/>
    <w:rsid w:val="002C7EC0"/>
    <w:rsid w:val="002D0101"/>
    <w:rsid w:val="002D0612"/>
    <w:rsid w:val="002D0D3E"/>
    <w:rsid w:val="002D1067"/>
    <w:rsid w:val="002D122B"/>
    <w:rsid w:val="002D1570"/>
    <w:rsid w:val="002D1FA6"/>
    <w:rsid w:val="002D2E6A"/>
    <w:rsid w:val="002D3BD4"/>
    <w:rsid w:val="002D62CB"/>
    <w:rsid w:val="002D6439"/>
    <w:rsid w:val="002D6539"/>
    <w:rsid w:val="002D686E"/>
    <w:rsid w:val="002D746A"/>
    <w:rsid w:val="002E03B9"/>
    <w:rsid w:val="002E2263"/>
    <w:rsid w:val="002E230E"/>
    <w:rsid w:val="002E4590"/>
    <w:rsid w:val="002E48BF"/>
    <w:rsid w:val="002E5390"/>
    <w:rsid w:val="002E5D34"/>
    <w:rsid w:val="002E68AB"/>
    <w:rsid w:val="002E76E7"/>
    <w:rsid w:val="002E7701"/>
    <w:rsid w:val="002E79E8"/>
    <w:rsid w:val="002F08C6"/>
    <w:rsid w:val="002F1910"/>
    <w:rsid w:val="002F1B40"/>
    <w:rsid w:val="002F421B"/>
    <w:rsid w:val="002F4A6C"/>
    <w:rsid w:val="002F50CD"/>
    <w:rsid w:val="002F5128"/>
    <w:rsid w:val="002F5680"/>
    <w:rsid w:val="002F5920"/>
    <w:rsid w:val="002F6849"/>
    <w:rsid w:val="002F716B"/>
    <w:rsid w:val="002F78B6"/>
    <w:rsid w:val="003004FF"/>
    <w:rsid w:val="003016E3"/>
    <w:rsid w:val="0030245C"/>
    <w:rsid w:val="00302FD0"/>
    <w:rsid w:val="00303BF2"/>
    <w:rsid w:val="003047BB"/>
    <w:rsid w:val="00305EDF"/>
    <w:rsid w:val="00306B75"/>
    <w:rsid w:val="003070CF"/>
    <w:rsid w:val="00307581"/>
    <w:rsid w:val="003120C8"/>
    <w:rsid w:val="00312B17"/>
    <w:rsid w:val="00312CD2"/>
    <w:rsid w:val="00313054"/>
    <w:rsid w:val="00314122"/>
    <w:rsid w:val="00314763"/>
    <w:rsid w:val="0031591A"/>
    <w:rsid w:val="00316140"/>
    <w:rsid w:val="0031626E"/>
    <w:rsid w:val="0031636D"/>
    <w:rsid w:val="00320680"/>
    <w:rsid w:val="00320873"/>
    <w:rsid w:val="00321353"/>
    <w:rsid w:val="0032245B"/>
    <w:rsid w:val="00323A0D"/>
    <w:rsid w:val="00323FAF"/>
    <w:rsid w:val="00324589"/>
    <w:rsid w:val="00326269"/>
    <w:rsid w:val="0032640B"/>
    <w:rsid w:val="0032688D"/>
    <w:rsid w:val="003303B5"/>
    <w:rsid w:val="003306D2"/>
    <w:rsid w:val="003306F6"/>
    <w:rsid w:val="00330CAC"/>
    <w:rsid w:val="003319CE"/>
    <w:rsid w:val="00331EBE"/>
    <w:rsid w:val="00332AFB"/>
    <w:rsid w:val="003333D1"/>
    <w:rsid w:val="00333705"/>
    <w:rsid w:val="00333DD3"/>
    <w:rsid w:val="00333E49"/>
    <w:rsid w:val="003342CB"/>
    <w:rsid w:val="003346D3"/>
    <w:rsid w:val="003361B2"/>
    <w:rsid w:val="003363BC"/>
    <w:rsid w:val="003372BE"/>
    <w:rsid w:val="0034274A"/>
    <w:rsid w:val="00343CEE"/>
    <w:rsid w:val="00344F69"/>
    <w:rsid w:val="003453CD"/>
    <w:rsid w:val="00345818"/>
    <w:rsid w:val="00346089"/>
    <w:rsid w:val="00346262"/>
    <w:rsid w:val="00346F36"/>
    <w:rsid w:val="00347156"/>
    <w:rsid w:val="003474AF"/>
    <w:rsid w:val="003479BB"/>
    <w:rsid w:val="00351CE8"/>
    <w:rsid w:val="0035247C"/>
    <w:rsid w:val="003524B1"/>
    <w:rsid w:val="0035274A"/>
    <w:rsid w:val="00354348"/>
    <w:rsid w:val="003547A2"/>
    <w:rsid w:val="0035564F"/>
    <w:rsid w:val="003601F3"/>
    <w:rsid w:val="00361BBB"/>
    <w:rsid w:val="0036245B"/>
    <w:rsid w:val="00363868"/>
    <w:rsid w:val="0036426E"/>
    <w:rsid w:val="00364F48"/>
    <w:rsid w:val="003652A8"/>
    <w:rsid w:val="00366039"/>
    <w:rsid w:val="00366542"/>
    <w:rsid w:val="0036671E"/>
    <w:rsid w:val="00367604"/>
    <w:rsid w:val="0037040D"/>
    <w:rsid w:val="003708E1"/>
    <w:rsid w:val="00371C3F"/>
    <w:rsid w:val="0037217A"/>
    <w:rsid w:val="00372180"/>
    <w:rsid w:val="00373CD7"/>
    <w:rsid w:val="0037448B"/>
    <w:rsid w:val="00374823"/>
    <w:rsid w:val="00375380"/>
    <w:rsid w:val="003754CE"/>
    <w:rsid w:val="0037557A"/>
    <w:rsid w:val="00375596"/>
    <w:rsid w:val="00375C6E"/>
    <w:rsid w:val="00376CEA"/>
    <w:rsid w:val="003772D2"/>
    <w:rsid w:val="0037765A"/>
    <w:rsid w:val="00380E07"/>
    <w:rsid w:val="0038364A"/>
    <w:rsid w:val="003850F7"/>
    <w:rsid w:val="003862DD"/>
    <w:rsid w:val="003866B3"/>
    <w:rsid w:val="00387391"/>
    <w:rsid w:val="00387DF2"/>
    <w:rsid w:val="00387FBF"/>
    <w:rsid w:val="00390890"/>
    <w:rsid w:val="0039137C"/>
    <w:rsid w:val="00391EF6"/>
    <w:rsid w:val="003925E7"/>
    <w:rsid w:val="00396859"/>
    <w:rsid w:val="00397E64"/>
    <w:rsid w:val="003A1A12"/>
    <w:rsid w:val="003A2859"/>
    <w:rsid w:val="003A293E"/>
    <w:rsid w:val="003A3DDF"/>
    <w:rsid w:val="003A4C12"/>
    <w:rsid w:val="003A7458"/>
    <w:rsid w:val="003A75A5"/>
    <w:rsid w:val="003A7B17"/>
    <w:rsid w:val="003B1609"/>
    <w:rsid w:val="003B1C3C"/>
    <w:rsid w:val="003B1E4F"/>
    <w:rsid w:val="003B28B7"/>
    <w:rsid w:val="003B6676"/>
    <w:rsid w:val="003B7004"/>
    <w:rsid w:val="003B734B"/>
    <w:rsid w:val="003B7E04"/>
    <w:rsid w:val="003C3529"/>
    <w:rsid w:val="003C3DA4"/>
    <w:rsid w:val="003C4D43"/>
    <w:rsid w:val="003C6057"/>
    <w:rsid w:val="003C7941"/>
    <w:rsid w:val="003D0270"/>
    <w:rsid w:val="003D04E2"/>
    <w:rsid w:val="003D20CF"/>
    <w:rsid w:val="003D2636"/>
    <w:rsid w:val="003D264C"/>
    <w:rsid w:val="003D2921"/>
    <w:rsid w:val="003D2985"/>
    <w:rsid w:val="003D3C88"/>
    <w:rsid w:val="003D3C8D"/>
    <w:rsid w:val="003D65A3"/>
    <w:rsid w:val="003D66F9"/>
    <w:rsid w:val="003E014B"/>
    <w:rsid w:val="003E0998"/>
    <w:rsid w:val="003E0FF1"/>
    <w:rsid w:val="003E1B91"/>
    <w:rsid w:val="003E2883"/>
    <w:rsid w:val="003E4383"/>
    <w:rsid w:val="003E4D5B"/>
    <w:rsid w:val="003E5619"/>
    <w:rsid w:val="003E6C64"/>
    <w:rsid w:val="003E7DCA"/>
    <w:rsid w:val="003F0620"/>
    <w:rsid w:val="003F0B4B"/>
    <w:rsid w:val="003F1B00"/>
    <w:rsid w:val="003F1F1F"/>
    <w:rsid w:val="003F219A"/>
    <w:rsid w:val="003F319B"/>
    <w:rsid w:val="003F3555"/>
    <w:rsid w:val="003F370B"/>
    <w:rsid w:val="003F578E"/>
    <w:rsid w:val="00401293"/>
    <w:rsid w:val="00401EEB"/>
    <w:rsid w:val="00402032"/>
    <w:rsid w:val="0040214F"/>
    <w:rsid w:val="00402195"/>
    <w:rsid w:val="004035DB"/>
    <w:rsid w:val="00405165"/>
    <w:rsid w:val="0040589F"/>
    <w:rsid w:val="00405E13"/>
    <w:rsid w:val="00405FBB"/>
    <w:rsid w:val="004073F9"/>
    <w:rsid w:val="00407E3E"/>
    <w:rsid w:val="00407E5A"/>
    <w:rsid w:val="0041033F"/>
    <w:rsid w:val="004106B5"/>
    <w:rsid w:val="004107B1"/>
    <w:rsid w:val="00411283"/>
    <w:rsid w:val="0041326B"/>
    <w:rsid w:val="00413B7A"/>
    <w:rsid w:val="00415770"/>
    <w:rsid w:val="004167EF"/>
    <w:rsid w:val="00416952"/>
    <w:rsid w:val="00420A2E"/>
    <w:rsid w:val="00420A7B"/>
    <w:rsid w:val="00422C09"/>
    <w:rsid w:val="00423AD1"/>
    <w:rsid w:val="004245B9"/>
    <w:rsid w:val="00424DEB"/>
    <w:rsid w:val="004254A5"/>
    <w:rsid w:val="004266E2"/>
    <w:rsid w:val="004305DE"/>
    <w:rsid w:val="004308D7"/>
    <w:rsid w:val="00432F60"/>
    <w:rsid w:val="004350B6"/>
    <w:rsid w:val="004354D4"/>
    <w:rsid w:val="00435544"/>
    <w:rsid w:val="00435707"/>
    <w:rsid w:val="00435B9A"/>
    <w:rsid w:val="00436A2E"/>
    <w:rsid w:val="004374D5"/>
    <w:rsid w:val="00437E22"/>
    <w:rsid w:val="00441325"/>
    <w:rsid w:val="004429D2"/>
    <w:rsid w:val="00443443"/>
    <w:rsid w:val="00443588"/>
    <w:rsid w:val="00443A8C"/>
    <w:rsid w:val="00443CEB"/>
    <w:rsid w:val="004442FE"/>
    <w:rsid w:val="004443F0"/>
    <w:rsid w:val="004445EC"/>
    <w:rsid w:val="004446FE"/>
    <w:rsid w:val="00444CCA"/>
    <w:rsid w:val="00445CFE"/>
    <w:rsid w:val="004478E7"/>
    <w:rsid w:val="00450C43"/>
    <w:rsid w:val="00450C8D"/>
    <w:rsid w:val="004512F4"/>
    <w:rsid w:val="00451AAE"/>
    <w:rsid w:val="00454410"/>
    <w:rsid w:val="004551A6"/>
    <w:rsid w:val="00455227"/>
    <w:rsid w:val="0045633A"/>
    <w:rsid w:val="00456B15"/>
    <w:rsid w:val="00456D43"/>
    <w:rsid w:val="00456D95"/>
    <w:rsid w:val="00457376"/>
    <w:rsid w:val="00460E54"/>
    <w:rsid w:val="00461548"/>
    <w:rsid w:val="00461C50"/>
    <w:rsid w:val="00462BF6"/>
    <w:rsid w:val="00463C86"/>
    <w:rsid w:val="00464E02"/>
    <w:rsid w:val="00465BDC"/>
    <w:rsid w:val="0046622A"/>
    <w:rsid w:val="00466A99"/>
    <w:rsid w:val="00467115"/>
    <w:rsid w:val="004678C6"/>
    <w:rsid w:val="00471119"/>
    <w:rsid w:val="00471285"/>
    <w:rsid w:val="00471CDF"/>
    <w:rsid w:val="004722CC"/>
    <w:rsid w:val="00472431"/>
    <w:rsid w:val="00472AD7"/>
    <w:rsid w:val="00473318"/>
    <w:rsid w:val="00473386"/>
    <w:rsid w:val="004759DC"/>
    <w:rsid w:val="00476F6A"/>
    <w:rsid w:val="00477953"/>
    <w:rsid w:val="00477C9F"/>
    <w:rsid w:val="00477D3C"/>
    <w:rsid w:val="004808CC"/>
    <w:rsid w:val="004812B2"/>
    <w:rsid w:val="00481507"/>
    <w:rsid w:val="00481569"/>
    <w:rsid w:val="00482854"/>
    <w:rsid w:val="00482BA7"/>
    <w:rsid w:val="00483270"/>
    <w:rsid w:val="004834A9"/>
    <w:rsid w:val="00483A12"/>
    <w:rsid w:val="00483DA0"/>
    <w:rsid w:val="00483E9E"/>
    <w:rsid w:val="004852D9"/>
    <w:rsid w:val="00485E60"/>
    <w:rsid w:val="0048600C"/>
    <w:rsid w:val="0048727F"/>
    <w:rsid w:val="0048741B"/>
    <w:rsid w:val="004874BE"/>
    <w:rsid w:val="004901A0"/>
    <w:rsid w:val="004903C7"/>
    <w:rsid w:val="00490485"/>
    <w:rsid w:val="004905BD"/>
    <w:rsid w:val="00491D0B"/>
    <w:rsid w:val="00491D7F"/>
    <w:rsid w:val="00492DE9"/>
    <w:rsid w:val="004935E5"/>
    <w:rsid w:val="00493986"/>
    <w:rsid w:val="004940D0"/>
    <w:rsid w:val="00494620"/>
    <w:rsid w:val="0049517E"/>
    <w:rsid w:val="00495520"/>
    <w:rsid w:val="004956F9"/>
    <w:rsid w:val="004969F7"/>
    <w:rsid w:val="004975D2"/>
    <w:rsid w:val="00497A79"/>
    <w:rsid w:val="004A3AF3"/>
    <w:rsid w:val="004A48DD"/>
    <w:rsid w:val="004A58DB"/>
    <w:rsid w:val="004A5AEB"/>
    <w:rsid w:val="004A64B6"/>
    <w:rsid w:val="004A6B34"/>
    <w:rsid w:val="004A7062"/>
    <w:rsid w:val="004A7305"/>
    <w:rsid w:val="004A7D1F"/>
    <w:rsid w:val="004B0458"/>
    <w:rsid w:val="004B1A94"/>
    <w:rsid w:val="004B27CD"/>
    <w:rsid w:val="004B33A2"/>
    <w:rsid w:val="004B42C1"/>
    <w:rsid w:val="004B4814"/>
    <w:rsid w:val="004B5B4F"/>
    <w:rsid w:val="004B6727"/>
    <w:rsid w:val="004B6E50"/>
    <w:rsid w:val="004C04AA"/>
    <w:rsid w:val="004C085A"/>
    <w:rsid w:val="004C13BF"/>
    <w:rsid w:val="004C2028"/>
    <w:rsid w:val="004C2D5A"/>
    <w:rsid w:val="004C2D7A"/>
    <w:rsid w:val="004C369C"/>
    <w:rsid w:val="004C5AE5"/>
    <w:rsid w:val="004C75BC"/>
    <w:rsid w:val="004D032A"/>
    <w:rsid w:val="004D03E8"/>
    <w:rsid w:val="004D06A2"/>
    <w:rsid w:val="004D08BD"/>
    <w:rsid w:val="004D1278"/>
    <w:rsid w:val="004D2021"/>
    <w:rsid w:val="004D3167"/>
    <w:rsid w:val="004D3F87"/>
    <w:rsid w:val="004D440D"/>
    <w:rsid w:val="004D79E1"/>
    <w:rsid w:val="004E2640"/>
    <w:rsid w:val="004E27F2"/>
    <w:rsid w:val="004E28CF"/>
    <w:rsid w:val="004E28E7"/>
    <w:rsid w:val="004E2A5B"/>
    <w:rsid w:val="004E38CF"/>
    <w:rsid w:val="004E3D85"/>
    <w:rsid w:val="004E43E5"/>
    <w:rsid w:val="004E54F7"/>
    <w:rsid w:val="004E5881"/>
    <w:rsid w:val="004E59B1"/>
    <w:rsid w:val="004E6518"/>
    <w:rsid w:val="004E682E"/>
    <w:rsid w:val="004E7507"/>
    <w:rsid w:val="004F0801"/>
    <w:rsid w:val="004F0889"/>
    <w:rsid w:val="004F0913"/>
    <w:rsid w:val="004F0AA0"/>
    <w:rsid w:val="004F1348"/>
    <w:rsid w:val="004F15A5"/>
    <w:rsid w:val="004F237D"/>
    <w:rsid w:val="004F260F"/>
    <w:rsid w:val="004F27D2"/>
    <w:rsid w:val="004F38C4"/>
    <w:rsid w:val="004F4242"/>
    <w:rsid w:val="004F433B"/>
    <w:rsid w:val="004F533E"/>
    <w:rsid w:val="004F6047"/>
    <w:rsid w:val="004F623B"/>
    <w:rsid w:val="004F65A7"/>
    <w:rsid w:val="004F668F"/>
    <w:rsid w:val="004F780E"/>
    <w:rsid w:val="00500665"/>
    <w:rsid w:val="00502559"/>
    <w:rsid w:val="00502E2D"/>
    <w:rsid w:val="005039EB"/>
    <w:rsid w:val="00504E2D"/>
    <w:rsid w:val="0050753D"/>
    <w:rsid w:val="00507E8C"/>
    <w:rsid w:val="00510E2F"/>
    <w:rsid w:val="005113E9"/>
    <w:rsid w:val="0051151C"/>
    <w:rsid w:val="00511700"/>
    <w:rsid w:val="00511DE8"/>
    <w:rsid w:val="005123DB"/>
    <w:rsid w:val="00512A0D"/>
    <w:rsid w:val="00512CAE"/>
    <w:rsid w:val="005135E9"/>
    <w:rsid w:val="00514E7E"/>
    <w:rsid w:val="00515198"/>
    <w:rsid w:val="00515660"/>
    <w:rsid w:val="00516570"/>
    <w:rsid w:val="005232DD"/>
    <w:rsid w:val="00524D52"/>
    <w:rsid w:val="00525A11"/>
    <w:rsid w:val="0052630A"/>
    <w:rsid w:val="00526F5C"/>
    <w:rsid w:val="005279E2"/>
    <w:rsid w:val="00530034"/>
    <w:rsid w:val="00531140"/>
    <w:rsid w:val="0053192E"/>
    <w:rsid w:val="00531F35"/>
    <w:rsid w:val="005325E1"/>
    <w:rsid w:val="005326EE"/>
    <w:rsid w:val="00534B91"/>
    <w:rsid w:val="005359E8"/>
    <w:rsid w:val="00541EC0"/>
    <w:rsid w:val="005421D3"/>
    <w:rsid w:val="00542660"/>
    <w:rsid w:val="00542765"/>
    <w:rsid w:val="00543A5A"/>
    <w:rsid w:val="005446B2"/>
    <w:rsid w:val="005461D6"/>
    <w:rsid w:val="00546D89"/>
    <w:rsid w:val="005504DF"/>
    <w:rsid w:val="0055145F"/>
    <w:rsid w:val="00551F04"/>
    <w:rsid w:val="0055212A"/>
    <w:rsid w:val="00556C7A"/>
    <w:rsid w:val="00556D33"/>
    <w:rsid w:val="00556FA6"/>
    <w:rsid w:val="00560CA6"/>
    <w:rsid w:val="00560E0D"/>
    <w:rsid w:val="00561D41"/>
    <w:rsid w:val="005636FC"/>
    <w:rsid w:val="00563C4E"/>
    <w:rsid w:val="0056424F"/>
    <w:rsid w:val="00565C59"/>
    <w:rsid w:val="00566820"/>
    <w:rsid w:val="0057094A"/>
    <w:rsid w:val="005746F6"/>
    <w:rsid w:val="005764CF"/>
    <w:rsid w:val="00577625"/>
    <w:rsid w:val="005776E2"/>
    <w:rsid w:val="0058251C"/>
    <w:rsid w:val="005826D8"/>
    <w:rsid w:val="005859C3"/>
    <w:rsid w:val="005874B3"/>
    <w:rsid w:val="00587504"/>
    <w:rsid w:val="00590402"/>
    <w:rsid w:val="00590C5A"/>
    <w:rsid w:val="0059100D"/>
    <w:rsid w:val="0059166D"/>
    <w:rsid w:val="00592430"/>
    <w:rsid w:val="00593C9A"/>
    <w:rsid w:val="00595A04"/>
    <w:rsid w:val="00595EB1"/>
    <w:rsid w:val="00596470"/>
    <w:rsid w:val="00597CBE"/>
    <w:rsid w:val="005A040C"/>
    <w:rsid w:val="005A15BE"/>
    <w:rsid w:val="005A1F36"/>
    <w:rsid w:val="005A2C06"/>
    <w:rsid w:val="005A2DBE"/>
    <w:rsid w:val="005A39FF"/>
    <w:rsid w:val="005A4F3B"/>
    <w:rsid w:val="005A5CB8"/>
    <w:rsid w:val="005A5EE5"/>
    <w:rsid w:val="005A78C7"/>
    <w:rsid w:val="005B150F"/>
    <w:rsid w:val="005B1F01"/>
    <w:rsid w:val="005B4127"/>
    <w:rsid w:val="005B4326"/>
    <w:rsid w:val="005B4D3A"/>
    <w:rsid w:val="005B5814"/>
    <w:rsid w:val="005B5B31"/>
    <w:rsid w:val="005B7094"/>
    <w:rsid w:val="005B73F1"/>
    <w:rsid w:val="005B7B01"/>
    <w:rsid w:val="005C0109"/>
    <w:rsid w:val="005C0207"/>
    <w:rsid w:val="005C0B17"/>
    <w:rsid w:val="005C15FA"/>
    <w:rsid w:val="005C6304"/>
    <w:rsid w:val="005C640B"/>
    <w:rsid w:val="005C6910"/>
    <w:rsid w:val="005C7D81"/>
    <w:rsid w:val="005D08F4"/>
    <w:rsid w:val="005D134A"/>
    <w:rsid w:val="005D186D"/>
    <w:rsid w:val="005D252C"/>
    <w:rsid w:val="005D25E8"/>
    <w:rsid w:val="005D2BAE"/>
    <w:rsid w:val="005D316E"/>
    <w:rsid w:val="005D368D"/>
    <w:rsid w:val="005D4A87"/>
    <w:rsid w:val="005D6239"/>
    <w:rsid w:val="005D642B"/>
    <w:rsid w:val="005D6CED"/>
    <w:rsid w:val="005D7B91"/>
    <w:rsid w:val="005E048B"/>
    <w:rsid w:val="005E0CE2"/>
    <w:rsid w:val="005E167A"/>
    <w:rsid w:val="005E3D20"/>
    <w:rsid w:val="005E4C27"/>
    <w:rsid w:val="005E5F6C"/>
    <w:rsid w:val="005E61AD"/>
    <w:rsid w:val="005E64B0"/>
    <w:rsid w:val="005E713B"/>
    <w:rsid w:val="005F0A25"/>
    <w:rsid w:val="005F0B61"/>
    <w:rsid w:val="005F2661"/>
    <w:rsid w:val="005F2EF0"/>
    <w:rsid w:val="005F36BB"/>
    <w:rsid w:val="005F403E"/>
    <w:rsid w:val="005F4CC6"/>
    <w:rsid w:val="005F51E8"/>
    <w:rsid w:val="005F54C6"/>
    <w:rsid w:val="005F5C97"/>
    <w:rsid w:val="00600E7C"/>
    <w:rsid w:val="00601762"/>
    <w:rsid w:val="006019A3"/>
    <w:rsid w:val="00602FC6"/>
    <w:rsid w:val="00603A82"/>
    <w:rsid w:val="0060463A"/>
    <w:rsid w:val="00604A51"/>
    <w:rsid w:val="00606074"/>
    <w:rsid w:val="00606589"/>
    <w:rsid w:val="00606CDA"/>
    <w:rsid w:val="006074DA"/>
    <w:rsid w:val="0061023F"/>
    <w:rsid w:val="00610C3C"/>
    <w:rsid w:val="006120D1"/>
    <w:rsid w:val="0061272D"/>
    <w:rsid w:val="00613697"/>
    <w:rsid w:val="00613DD7"/>
    <w:rsid w:val="00615A4E"/>
    <w:rsid w:val="00615C19"/>
    <w:rsid w:val="006177C0"/>
    <w:rsid w:val="00617A93"/>
    <w:rsid w:val="00617C8E"/>
    <w:rsid w:val="006220E0"/>
    <w:rsid w:val="00622411"/>
    <w:rsid w:val="00623537"/>
    <w:rsid w:val="006255AE"/>
    <w:rsid w:val="00625A69"/>
    <w:rsid w:val="00630641"/>
    <w:rsid w:val="00630ACC"/>
    <w:rsid w:val="00630CA7"/>
    <w:rsid w:val="006319B5"/>
    <w:rsid w:val="00633860"/>
    <w:rsid w:val="00634211"/>
    <w:rsid w:val="006347D2"/>
    <w:rsid w:val="00634E56"/>
    <w:rsid w:val="00635971"/>
    <w:rsid w:val="00636598"/>
    <w:rsid w:val="006373C1"/>
    <w:rsid w:val="00641A39"/>
    <w:rsid w:val="00641BA7"/>
    <w:rsid w:val="00641F02"/>
    <w:rsid w:val="00642B84"/>
    <w:rsid w:val="00643662"/>
    <w:rsid w:val="00643E4A"/>
    <w:rsid w:val="00644A9D"/>
    <w:rsid w:val="00644E39"/>
    <w:rsid w:val="0064568A"/>
    <w:rsid w:val="00646499"/>
    <w:rsid w:val="00646DC6"/>
    <w:rsid w:val="0065053B"/>
    <w:rsid w:val="00650A10"/>
    <w:rsid w:val="00650C73"/>
    <w:rsid w:val="00650FFD"/>
    <w:rsid w:val="00651BEE"/>
    <w:rsid w:val="006520B3"/>
    <w:rsid w:val="006520FF"/>
    <w:rsid w:val="00652D78"/>
    <w:rsid w:val="00654181"/>
    <w:rsid w:val="00654666"/>
    <w:rsid w:val="0065561F"/>
    <w:rsid w:val="00656304"/>
    <w:rsid w:val="00656BC3"/>
    <w:rsid w:val="00657013"/>
    <w:rsid w:val="006576B3"/>
    <w:rsid w:val="006577C7"/>
    <w:rsid w:val="00657F2B"/>
    <w:rsid w:val="006605B3"/>
    <w:rsid w:val="00660A8E"/>
    <w:rsid w:val="00662480"/>
    <w:rsid w:val="00663FEC"/>
    <w:rsid w:val="00665C72"/>
    <w:rsid w:val="00666A49"/>
    <w:rsid w:val="00670566"/>
    <w:rsid w:val="00670BD1"/>
    <w:rsid w:val="00671A9C"/>
    <w:rsid w:val="00671D75"/>
    <w:rsid w:val="00672900"/>
    <w:rsid w:val="00672BC4"/>
    <w:rsid w:val="00673EFD"/>
    <w:rsid w:val="00674995"/>
    <w:rsid w:val="00674D5C"/>
    <w:rsid w:val="00674F7E"/>
    <w:rsid w:val="00677559"/>
    <w:rsid w:val="006812C4"/>
    <w:rsid w:val="006822D5"/>
    <w:rsid w:val="00682631"/>
    <w:rsid w:val="00684117"/>
    <w:rsid w:val="00684205"/>
    <w:rsid w:val="0068437A"/>
    <w:rsid w:val="00684898"/>
    <w:rsid w:val="0068547E"/>
    <w:rsid w:val="00685B9A"/>
    <w:rsid w:val="00687B5E"/>
    <w:rsid w:val="00687EB1"/>
    <w:rsid w:val="006900CF"/>
    <w:rsid w:val="00690FBF"/>
    <w:rsid w:val="00691105"/>
    <w:rsid w:val="00691415"/>
    <w:rsid w:val="00691CEA"/>
    <w:rsid w:val="00692BAF"/>
    <w:rsid w:val="00694F23"/>
    <w:rsid w:val="00695CC6"/>
    <w:rsid w:val="006973AF"/>
    <w:rsid w:val="006A0780"/>
    <w:rsid w:val="006A1AAB"/>
    <w:rsid w:val="006A1FB0"/>
    <w:rsid w:val="006A377D"/>
    <w:rsid w:val="006A494D"/>
    <w:rsid w:val="006A4A8F"/>
    <w:rsid w:val="006A5B55"/>
    <w:rsid w:val="006A6B07"/>
    <w:rsid w:val="006A7D33"/>
    <w:rsid w:val="006A7F69"/>
    <w:rsid w:val="006B17D9"/>
    <w:rsid w:val="006B19D0"/>
    <w:rsid w:val="006B19D7"/>
    <w:rsid w:val="006B4081"/>
    <w:rsid w:val="006B65D1"/>
    <w:rsid w:val="006B6A08"/>
    <w:rsid w:val="006B7050"/>
    <w:rsid w:val="006C13E8"/>
    <w:rsid w:val="006C2127"/>
    <w:rsid w:val="006C221B"/>
    <w:rsid w:val="006C2315"/>
    <w:rsid w:val="006C2394"/>
    <w:rsid w:val="006C30CD"/>
    <w:rsid w:val="006C30F0"/>
    <w:rsid w:val="006C4024"/>
    <w:rsid w:val="006C4349"/>
    <w:rsid w:val="006C4650"/>
    <w:rsid w:val="006D00A4"/>
    <w:rsid w:val="006D1E82"/>
    <w:rsid w:val="006D2E8A"/>
    <w:rsid w:val="006D35FE"/>
    <w:rsid w:val="006D44B6"/>
    <w:rsid w:val="006D6317"/>
    <w:rsid w:val="006D769D"/>
    <w:rsid w:val="006E2C68"/>
    <w:rsid w:val="006E2D02"/>
    <w:rsid w:val="006E7DBC"/>
    <w:rsid w:val="006E7E61"/>
    <w:rsid w:val="006F0198"/>
    <w:rsid w:val="006F16EA"/>
    <w:rsid w:val="006F25F0"/>
    <w:rsid w:val="006F32CB"/>
    <w:rsid w:val="006F3385"/>
    <w:rsid w:val="006F3630"/>
    <w:rsid w:val="006F37E5"/>
    <w:rsid w:val="006F3FC1"/>
    <w:rsid w:val="006F4573"/>
    <w:rsid w:val="006F45EA"/>
    <w:rsid w:val="006F5FA3"/>
    <w:rsid w:val="006F600E"/>
    <w:rsid w:val="006F6213"/>
    <w:rsid w:val="0070184C"/>
    <w:rsid w:val="00701C99"/>
    <w:rsid w:val="00701D98"/>
    <w:rsid w:val="007027DE"/>
    <w:rsid w:val="00702BD8"/>
    <w:rsid w:val="00703C65"/>
    <w:rsid w:val="00706871"/>
    <w:rsid w:val="00707F9C"/>
    <w:rsid w:val="00711486"/>
    <w:rsid w:val="0071212D"/>
    <w:rsid w:val="00712501"/>
    <w:rsid w:val="00712522"/>
    <w:rsid w:val="007136E6"/>
    <w:rsid w:val="0071496C"/>
    <w:rsid w:val="007150A6"/>
    <w:rsid w:val="007154A6"/>
    <w:rsid w:val="007158BA"/>
    <w:rsid w:val="007158E8"/>
    <w:rsid w:val="00720050"/>
    <w:rsid w:val="00721EB0"/>
    <w:rsid w:val="00722D97"/>
    <w:rsid w:val="00723149"/>
    <w:rsid w:val="007233BA"/>
    <w:rsid w:val="0072385B"/>
    <w:rsid w:val="00723A70"/>
    <w:rsid w:val="00724856"/>
    <w:rsid w:val="00724F0D"/>
    <w:rsid w:val="00725AA7"/>
    <w:rsid w:val="007269D0"/>
    <w:rsid w:val="0073192B"/>
    <w:rsid w:val="00731959"/>
    <w:rsid w:val="00733843"/>
    <w:rsid w:val="0073424D"/>
    <w:rsid w:val="00734586"/>
    <w:rsid w:val="0073468E"/>
    <w:rsid w:val="00734AEB"/>
    <w:rsid w:val="00735FFC"/>
    <w:rsid w:val="00736226"/>
    <w:rsid w:val="0073695C"/>
    <w:rsid w:val="00740B84"/>
    <w:rsid w:val="00740CAE"/>
    <w:rsid w:val="00740EEF"/>
    <w:rsid w:val="007412D1"/>
    <w:rsid w:val="00741805"/>
    <w:rsid w:val="007422BD"/>
    <w:rsid w:val="00742D2C"/>
    <w:rsid w:val="00742F88"/>
    <w:rsid w:val="007453BC"/>
    <w:rsid w:val="00745E40"/>
    <w:rsid w:val="00746053"/>
    <w:rsid w:val="0074607B"/>
    <w:rsid w:val="00746A9B"/>
    <w:rsid w:val="00746C24"/>
    <w:rsid w:val="00747643"/>
    <w:rsid w:val="0074796A"/>
    <w:rsid w:val="00751006"/>
    <w:rsid w:val="007514A3"/>
    <w:rsid w:val="0075188A"/>
    <w:rsid w:val="00751C9F"/>
    <w:rsid w:val="0075522D"/>
    <w:rsid w:val="00756B66"/>
    <w:rsid w:val="00756B8D"/>
    <w:rsid w:val="00760ACA"/>
    <w:rsid w:val="00760DEC"/>
    <w:rsid w:val="00760E09"/>
    <w:rsid w:val="00761329"/>
    <w:rsid w:val="0076137B"/>
    <w:rsid w:val="00762AF8"/>
    <w:rsid w:val="00763AF3"/>
    <w:rsid w:val="007644E6"/>
    <w:rsid w:val="00765B40"/>
    <w:rsid w:val="00765BA8"/>
    <w:rsid w:val="00766F90"/>
    <w:rsid w:val="00767B97"/>
    <w:rsid w:val="00770483"/>
    <w:rsid w:val="007707F9"/>
    <w:rsid w:val="00770F36"/>
    <w:rsid w:val="00771835"/>
    <w:rsid w:val="00774560"/>
    <w:rsid w:val="007747FA"/>
    <w:rsid w:val="00775CE8"/>
    <w:rsid w:val="007768E8"/>
    <w:rsid w:val="00776DAE"/>
    <w:rsid w:val="0077767C"/>
    <w:rsid w:val="00777940"/>
    <w:rsid w:val="00777D10"/>
    <w:rsid w:val="0078147D"/>
    <w:rsid w:val="0078297D"/>
    <w:rsid w:val="007832D4"/>
    <w:rsid w:val="0078467C"/>
    <w:rsid w:val="007846CF"/>
    <w:rsid w:val="0078535F"/>
    <w:rsid w:val="00787DEA"/>
    <w:rsid w:val="00787FCC"/>
    <w:rsid w:val="007901C6"/>
    <w:rsid w:val="00793344"/>
    <w:rsid w:val="00793CE2"/>
    <w:rsid w:val="00795682"/>
    <w:rsid w:val="0079584C"/>
    <w:rsid w:val="00797371"/>
    <w:rsid w:val="007976BE"/>
    <w:rsid w:val="00797E67"/>
    <w:rsid w:val="007A017E"/>
    <w:rsid w:val="007A05BE"/>
    <w:rsid w:val="007A098D"/>
    <w:rsid w:val="007A1B24"/>
    <w:rsid w:val="007A21CD"/>
    <w:rsid w:val="007A2EDF"/>
    <w:rsid w:val="007A3041"/>
    <w:rsid w:val="007A3F46"/>
    <w:rsid w:val="007A4581"/>
    <w:rsid w:val="007A45EC"/>
    <w:rsid w:val="007A46F9"/>
    <w:rsid w:val="007A6DC5"/>
    <w:rsid w:val="007A6E59"/>
    <w:rsid w:val="007A7F22"/>
    <w:rsid w:val="007B05DC"/>
    <w:rsid w:val="007B0AC9"/>
    <w:rsid w:val="007B0FE3"/>
    <w:rsid w:val="007B130A"/>
    <w:rsid w:val="007B15BD"/>
    <w:rsid w:val="007B39AB"/>
    <w:rsid w:val="007B3D6A"/>
    <w:rsid w:val="007B3D86"/>
    <w:rsid w:val="007B430B"/>
    <w:rsid w:val="007B4386"/>
    <w:rsid w:val="007B4B25"/>
    <w:rsid w:val="007B5B76"/>
    <w:rsid w:val="007B66C0"/>
    <w:rsid w:val="007B7305"/>
    <w:rsid w:val="007B7AF9"/>
    <w:rsid w:val="007C0D93"/>
    <w:rsid w:val="007C107C"/>
    <w:rsid w:val="007C3DC3"/>
    <w:rsid w:val="007C7611"/>
    <w:rsid w:val="007D1081"/>
    <w:rsid w:val="007D157C"/>
    <w:rsid w:val="007D1658"/>
    <w:rsid w:val="007D2A66"/>
    <w:rsid w:val="007D3922"/>
    <w:rsid w:val="007D42D2"/>
    <w:rsid w:val="007D4AA4"/>
    <w:rsid w:val="007D4D67"/>
    <w:rsid w:val="007E0895"/>
    <w:rsid w:val="007E0A6A"/>
    <w:rsid w:val="007E4216"/>
    <w:rsid w:val="007E4C32"/>
    <w:rsid w:val="007E61A7"/>
    <w:rsid w:val="007E6E6F"/>
    <w:rsid w:val="007E79A7"/>
    <w:rsid w:val="007E7AEE"/>
    <w:rsid w:val="007F035F"/>
    <w:rsid w:val="007F059A"/>
    <w:rsid w:val="007F05A8"/>
    <w:rsid w:val="007F08E3"/>
    <w:rsid w:val="007F0B62"/>
    <w:rsid w:val="007F0EFB"/>
    <w:rsid w:val="007F0FB1"/>
    <w:rsid w:val="007F21E4"/>
    <w:rsid w:val="007F281F"/>
    <w:rsid w:val="007F3534"/>
    <w:rsid w:val="007F4F48"/>
    <w:rsid w:val="007F52AC"/>
    <w:rsid w:val="007F6F6B"/>
    <w:rsid w:val="007F7831"/>
    <w:rsid w:val="008008D6"/>
    <w:rsid w:val="00802193"/>
    <w:rsid w:val="00803EC7"/>
    <w:rsid w:val="00804788"/>
    <w:rsid w:val="00804ECC"/>
    <w:rsid w:val="0080519B"/>
    <w:rsid w:val="008100EA"/>
    <w:rsid w:val="00811699"/>
    <w:rsid w:val="0081359D"/>
    <w:rsid w:val="00813D07"/>
    <w:rsid w:val="00814CDC"/>
    <w:rsid w:val="00815042"/>
    <w:rsid w:val="0081520C"/>
    <w:rsid w:val="00815602"/>
    <w:rsid w:val="00815871"/>
    <w:rsid w:val="00815BC4"/>
    <w:rsid w:val="0081617E"/>
    <w:rsid w:val="00817072"/>
    <w:rsid w:val="008174D9"/>
    <w:rsid w:val="0081772F"/>
    <w:rsid w:val="00820CE0"/>
    <w:rsid w:val="0082167B"/>
    <w:rsid w:val="00821CAB"/>
    <w:rsid w:val="008222ED"/>
    <w:rsid w:val="00822569"/>
    <w:rsid w:val="008227C6"/>
    <w:rsid w:val="00823EC8"/>
    <w:rsid w:val="0082413A"/>
    <w:rsid w:val="00825589"/>
    <w:rsid w:val="008274F7"/>
    <w:rsid w:val="00827E26"/>
    <w:rsid w:val="00827EF9"/>
    <w:rsid w:val="0083188D"/>
    <w:rsid w:val="008319CB"/>
    <w:rsid w:val="00833590"/>
    <w:rsid w:val="00835D52"/>
    <w:rsid w:val="00836438"/>
    <w:rsid w:val="00837CEF"/>
    <w:rsid w:val="008405D2"/>
    <w:rsid w:val="008414B6"/>
    <w:rsid w:val="008417C4"/>
    <w:rsid w:val="00841B3D"/>
    <w:rsid w:val="00842E92"/>
    <w:rsid w:val="008432AC"/>
    <w:rsid w:val="00843408"/>
    <w:rsid w:val="00843DEF"/>
    <w:rsid w:val="00844F82"/>
    <w:rsid w:val="008466F7"/>
    <w:rsid w:val="0084695F"/>
    <w:rsid w:val="008469FF"/>
    <w:rsid w:val="00846CD0"/>
    <w:rsid w:val="008504E0"/>
    <w:rsid w:val="00851446"/>
    <w:rsid w:val="008538A2"/>
    <w:rsid w:val="00856A20"/>
    <w:rsid w:val="00857D41"/>
    <w:rsid w:val="00857FD7"/>
    <w:rsid w:val="00860F83"/>
    <w:rsid w:val="00861D47"/>
    <w:rsid w:val="008646F3"/>
    <w:rsid w:val="00864967"/>
    <w:rsid w:val="008662C0"/>
    <w:rsid w:val="008673CE"/>
    <w:rsid w:val="00867CB7"/>
    <w:rsid w:val="0087025F"/>
    <w:rsid w:val="00871A95"/>
    <w:rsid w:val="00871B6E"/>
    <w:rsid w:val="00872D43"/>
    <w:rsid w:val="008731DE"/>
    <w:rsid w:val="0087377F"/>
    <w:rsid w:val="008738D5"/>
    <w:rsid w:val="00876110"/>
    <w:rsid w:val="0087625D"/>
    <w:rsid w:val="008764D9"/>
    <w:rsid w:val="00877B78"/>
    <w:rsid w:val="008800BD"/>
    <w:rsid w:val="008807A6"/>
    <w:rsid w:val="00880C4A"/>
    <w:rsid w:val="00883461"/>
    <w:rsid w:val="00883CA1"/>
    <w:rsid w:val="00883F20"/>
    <w:rsid w:val="008845AE"/>
    <w:rsid w:val="008845E5"/>
    <w:rsid w:val="00885117"/>
    <w:rsid w:val="0088577D"/>
    <w:rsid w:val="00886C2D"/>
    <w:rsid w:val="00887F5C"/>
    <w:rsid w:val="00890CCA"/>
    <w:rsid w:val="00890DD8"/>
    <w:rsid w:val="00891FA0"/>
    <w:rsid w:val="008923E9"/>
    <w:rsid w:val="00893C31"/>
    <w:rsid w:val="00895F2D"/>
    <w:rsid w:val="008A2F60"/>
    <w:rsid w:val="008A310E"/>
    <w:rsid w:val="008A3438"/>
    <w:rsid w:val="008A34B6"/>
    <w:rsid w:val="008A3E28"/>
    <w:rsid w:val="008A59B9"/>
    <w:rsid w:val="008A6066"/>
    <w:rsid w:val="008A62F7"/>
    <w:rsid w:val="008B01D5"/>
    <w:rsid w:val="008B07CE"/>
    <w:rsid w:val="008B2369"/>
    <w:rsid w:val="008B3259"/>
    <w:rsid w:val="008B33F4"/>
    <w:rsid w:val="008B3870"/>
    <w:rsid w:val="008B45D0"/>
    <w:rsid w:val="008B4FA2"/>
    <w:rsid w:val="008B5A1C"/>
    <w:rsid w:val="008B6182"/>
    <w:rsid w:val="008B6A5E"/>
    <w:rsid w:val="008B6AF5"/>
    <w:rsid w:val="008B75A9"/>
    <w:rsid w:val="008B75B2"/>
    <w:rsid w:val="008B7852"/>
    <w:rsid w:val="008C038E"/>
    <w:rsid w:val="008C1CC6"/>
    <w:rsid w:val="008C564A"/>
    <w:rsid w:val="008C58CC"/>
    <w:rsid w:val="008C6462"/>
    <w:rsid w:val="008C64B3"/>
    <w:rsid w:val="008C67D7"/>
    <w:rsid w:val="008C73C1"/>
    <w:rsid w:val="008C76FB"/>
    <w:rsid w:val="008D0F5E"/>
    <w:rsid w:val="008D2334"/>
    <w:rsid w:val="008D42A0"/>
    <w:rsid w:val="008D4B75"/>
    <w:rsid w:val="008D582A"/>
    <w:rsid w:val="008E2690"/>
    <w:rsid w:val="008E3429"/>
    <w:rsid w:val="008E4889"/>
    <w:rsid w:val="008E5468"/>
    <w:rsid w:val="008E5D7F"/>
    <w:rsid w:val="008E63F9"/>
    <w:rsid w:val="008F0560"/>
    <w:rsid w:val="008F1C14"/>
    <w:rsid w:val="008F2336"/>
    <w:rsid w:val="008F2AAD"/>
    <w:rsid w:val="008F2BC2"/>
    <w:rsid w:val="008F2FAB"/>
    <w:rsid w:val="008F327F"/>
    <w:rsid w:val="008F472C"/>
    <w:rsid w:val="008F5F7A"/>
    <w:rsid w:val="008F6268"/>
    <w:rsid w:val="008F663F"/>
    <w:rsid w:val="008F6A61"/>
    <w:rsid w:val="008F6B9D"/>
    <w:rsid w:val="008F7181"/>
    <w:rsid w:val="008F7FC2"/>
    <w:rsid w:val="00900BBE"/>
    <w:rsid w:val="00902D5D"/>
    <w:rsid w:val="0090330F"/>
    <w:rsid w:val="00903CFF"/>
    <w:rsid w:val="009044AB"/>
    <w:rsid w:val="00906F37"/>
    <w:rsid w:val="00910846"/>
    <w:rsid w:val="0091222F"/>
    <w:rsid w:val="0091442A"/>
    <w:rsid w:val="00916EF2"/>
    <w:rsid w:val="00917563"/>
    <w:rsid w:val="009177DF"/>
    <w:rsid w:val="00920A37"/>
    <w:rsid w:val="00921405"/>
    <w:rsid w:val="00921EC0"/>
    <w:rsid w:val="00922542"/>
    <w:rsid w:val="00922FF4"/>
    <w:rsid w:val="0092387E"/>
    <w:rsid w:val="00923A3C"/>
    <w:rsid w:val="0092421D"/>
    <w:rsid w:val="00925815"/>
    <w:rsid w:val="00927A35"/>
    <w:rsid w:val="009315DC"/>
    <w:rsid w:val="00931AB6"/>
    <w:rsid w:val="00931DC1"/>
    <w:rsid w:val="0093209F"/>
    <w:rsid w:val="00932FA5"/>
    <w:rsid w:val="009355FF"/>
    <w:rsid w:val="00935C72"/>
    <w:rsid w:val="00936AAC"/>
    <w:rsid w:val="00936BC9"/>
    <w:rsid w:val="00940BE3"/>
    <w:rsid w:val="00943E6A"/>
    <w:rsid w:val="00945022"/>
    <w:rsid w:val="00945B49"/>
    <w:rsid w:val="009465FA"/>
    <w:rsid w:val="0094770B"/>
    <w:rsid w:val="00947956"/>
    <w:rsid w:val="00947C2B"/>
    <w:rsid w:val="00950503"/>
    <w:rsid w:val="0095076A"/>
    <w:rsid w:val="00950A41"/>
    <w:rsid w:val="00951484"/>
    <w:rsid w:val="00952097"/>
    <w:rsid w:val="009524DB"/>
    <w:rsid w:val="009536A1"/>
    <w:rsid w:val="009536E4"/>
    <w:rsid w:val="0095493F"/>
    <w:rsid w:val="0095533A"/>
    <w:rsid w:val="009554EA"/>
    <w:rsid w:val="00955BD1"/>
    <w:rsid w:val="00960A34"/>
    <w:rsid w:val="0096150F"/>
    <w:rsid w:val="0096283D"/>
    <w:rsid w:val="00962C21"/>
    <w:rsid w:val="00963220"/>
    <w:rsid w:val="009652C7"/>
    <w:rsid w:val="0096735D"/>
    <w:rsid w:val="00970028"/>
    <w:rsid w:val="00970EE1"/>
    <w:rsid w:val="009716E0"/>
    <w:rsid w:val="00971B8D"/>
    <w:rsid w:val="00971E5C"/>
    <w:rsid w:val="00972DE6"/>
    <w:rsid w:val="00973049"/>
    <w:rsid w:val="00977BE4"/>
    <w:rsid w:val="009801E5"/>
    <w:rsid w:val="009816F1"/>
    <w:rsid w:val="0098174E"/>
    <w:rsid w:val="00981E59"/>
    <w:rsid w:val="00983443"/>
    <w:rsid w:val="009839A3"/>
    <w:rsid w:val="00984343"/>
    <w:rsid w:val="00984C5F"/>
    <w:rsid w:val="009852CB"/>
    <w:rsid w:val="00985713"/>
    <w:rsid w:val="00987111"/>
    <w:rsid w:val="00987BAF"/>
    <w:rsid w:val="00987D32"/>
    <w:rsid w:val="009910D1"/>
    <w:rsid w:val="00991877"/>
    <w:rsid w:val="00991BF9"/>
    <w:rsid w:val="00992EE3"/>
    <w:rsid w:val="0099326E"/>
    <w:rsid w:val="00995437"/>
    <w:rsid w:val="00995552"/>
    <w:rsid w:val="00995A2C"/>
    <w:rsid w:val="0099619F"/>
    <w:rsid w:val="009965CC"/>
    <w:rsid w:val="009969A2"/>
    <w:rsid w:val="00997293"/>
    <w:rsid w:val="009A0CBC"/>
    <w:rsid w:val="009A1183"/>
    <w:rsid w:val="009A2894"/>
    <w:rsid w:val="009A3554"/>
    <w:rsid w:val="009A35F8"/>
    <w:rsid w:val="009A4C64"/>
    <w:rsid w:val="009A5321"/>
    <w:rsid w:val="009A6F53"/>
    <w:rsid w:val="009B074C"/>
    <w:rsid w:val="009B075B"/>
    <w:rsid w:val="009B146A"/>
    <w:rsid w:val="009B3575"/>
    <w:rsid w:val="009B3EB5"/>
    <w:rsid w:val="009B4248"/>
    <w:rsid w:val="009B5A07"/>
    <w:rsid w:val="009B60FD"/>
    <w:rsid w:val="009B6FC8"/>
    <w:rsid w:val="009B73A5"/>
    <w:rsid w:val="009B7585"/>
    <w:rsid w:val="009B7A8E"/>
    <w:rsid w:val="009C01EF"/>
    <w:rsid w:val="009C26D9"/>
    <w:rsid w:val="009C45D5"/>
    <w:rsid w:val="009C5111"/>
    <w:rsid w:val="009C52AD"/>
    <w:rsid w:val="009C5599"/>
    <w:rsid w:val="009C6B0D"/>
    <w:rsid w:val="009C6DC0"/>
    <w:rsid w:val="009C77DE"/>
    <w:rsid w:val="009D0712"/>
    <w:rsid w:val="009D17D6"/>
    <w:rsid w:val="009D231D"/>
    <w:rsid w:val="009D28E7"/>
    <w:rsid w:val="009D29A5"/>
    <w:rsid w:val="009D38CE"/>
    <w:rsid w:val="009D5B99"/>
    <w:rsid w:val="009D773E"/>
    <w:rsid w:val="009D78DE"/>
    <w:rsid w:val="009E0064"/>
    <w:rsid w:val="009E0194"/>
    <w:rsid w:val="009E04F3"/>
    <w:rsid w:val="009E0D32"/>
    <w:rsid w:val="009E2684"/>
    <w:rsid w:val="009E30BC"/>
    <w:rsid w:val="009E3614"/>
    <w:rsid w:val="009E38C5"/>
    <w:rsid w:val="009E464A"/>
    <w:rsid w:val="009E56B4"/>
    <w:rsid w:val="009E5FA4"/>
    <w:rsid w:val="009E6B63"/>
    <w:rsid w:val="009E6B6B"/>
    <w:rsid w:val="009E7178"/>
    <w:rsid w:val="009E768E"/>
    <w:rsid w:val="009E7AE3"/>
    <w:rsid w:val="009E7DF8"/>
    <w:rsid w:val="009F0B60"/>
    <w:rsid w:val="009F123A"/>
    <w:rsid w:val="009F39B5"/>
    <w:rsid w:val="009F4E44"/>
    <w:rsid w:val="009F4F11"/>
    <w:rsid w:val="009F5054"/>
    <w:rsid w:val="009F50E9"/>
    <w:rsid w:val="009F5631"/>
    <w:rsid w:val="009F58A9"/>
    <w:rsid w:val="009F78DE"/>
    <w:rsid w:val="00A00026"/>
    <w:rsid w:val="00A0235A"/>
    <w:rsid w:val="00A02E86"/>
    <w:rsid w:val="00A04358"/>
    <w:rsid w:val="00A04A05"/>
    <w:rsid w:val="00A058D2"/>
    <w:rsid w:val="00A059B7"/>
    <w:rsid w:val="00A05A25"/>
    <w:rsid w:val="00A05C69"/>
    <w:rsid w:val="00A05D8A"/>
    <w:rsid w:val="00A065D9"/>
    <w:rsid w:val="00A06DB9"/>
    <w:rsid w:val="00A07639"/>
    <w:rsid w:val="00A07DF9"/>
    <w:rsid w:val="00A12512"/>
    <w:rsid w:val="00A152CA"/>
    <w:rsid w:val="00A153F9"/>
    <w:rsid w:val="00A15B43"/>
    <w:rsid w:val="00A20100"/>
    <w:rsid w:val="00A20645"/>
    <w:rsid w:val="00A22E5C"/>
    <w:rsid w:val="00A23570"/>
    <w:rsid w:val="00A2383C"/>
    <w:rsid w:val="00A266A5"/>
    <w:rsid w:val="00A26D83"/>
    <w:rsid w:val="00A303EB"/>
    <w:rsid w:val="00A3114E"/>
    <w:rsid w:val="00A3128D"/>
    <w:rsid w:val="00A31B1B"/>
    <w:rsid w:val="00A327BF"/>
    <w:rsid w:val="00A32AA7"/>
    <w:rsid w:val="00A32C08"/>
    <w:rsid w:val="00A349CB"/>
    <w:rsid w:val="00A3531E"/>
    <w:rsid w:val="00A358B4"/>
    <w:rsid w:val="00A3590D"/>
    <w:rsid w:val="00A35B10"/>
    <w:rsid w:val="00A36DE3"/>
    <w:rsid w:val="00A3714B"/>
    <w:rsid w:val="00A37161"/>
    <w:rsid w:val="00A378E2"/>
    <w:rsid w:val="00A37DD5"/>
    <w:rsid w:val="00A408E5"/>
    <w:rsid w:val="00A40CE5"/>
    <w:rsid w:val="00A42CE8"/>
    <w:rsid w:val="00A43C78"/>
    <w:rsid w:val="00A44424"/>
    <w:rsid w:val="00A4587A"/>
    <w:rsid w:val="00A459E5"/>
    <w:rsid w:val="00A51122"/>
    <w:rsid w:val="00A518C0"/>
    <w:rsid w:val="00A5190A"/>
    <w:rsid w:val="00A52C6C"/>
    <w:rsid w:val="00A52E00"/>
    <w:rsid w:val="00A5317D"/>
    <w:rsid w:val="00A54B2B"/>
    <w:rsid w:val="00A5517E"/>
    <w:rsid w:val="00A5554F"/>
    <w:rsid w:val="00A577D7"/>
    <w:rsid w:val="00A579AD"/>
    <w:rsid w:val="00A61129"/>
    <w:rsid w:val="00A6117F"/>
    <w:rsid w:val="00A62535"/>
    <w:rsid w:val="00A62EDF"/>
    <w:rsid w:val="00A6344C"/>
    <w:rsid w:val="00A63519"/>
    <w:rsid w:val="00A64050"/>
    <w:rsid w:val="00A64A15"/>
    <w:rsid w:val="00A66FC3"/>
    <w:rsid w:val="00A72017"/>
    <w:rsid w:val="00A7340A"/>
    <w:rsid w:val="00A73637"/>
    <w:rsid w:val="00A75568"/>
    <w:rsid w:val="00A75B06"/>
    <w:rsid w:val="00A765F8"/>
    <w:rsid w:val="00A76810"/>
    <w:rsid w:val="00A77087"/>
    <w:rsid w:val="00A770EA"/>
    <w:rsid w:val="00A77545"/>
    <w:rsid w:val="00A77B22"/>
    <w:rsid w:val="00A77EAF"/>
    <w:rsid w:val="00A80ACF"/>
    <w:rsid w:val="00A80D50"/>
    <w:rsid w:val="00A8136E"/>
    <w:rsid w:val="00A81A45"/>
    <w:rsid w:val="00A83A2D"/>
    <w:rsid w:val="00A83FE1"/>
    <w:rsid w:val="00A83FFE"/>
    <w:rsid w:val="00A8548D"/>
    <w:rsid w:val="00A85AD0"/>
    <w:rsid w:val="00A86009"/>
    <w:rsid w:val="00A871DF"/>
    <w:rsid w:val="00A912D9"/>
    <w:rsid w:val="00A915B3"/>
    <w:rsid w:val="00A924B1"/>
    <w:rsid w:val="00A92A03"/>
    <w:rsid w:val="00A93EDF"/>
    <w:rsid w:val="00A96041"/>
    <w:rsid w:val="00A96A40"/>
    <w:rsid w:val="00AA15C1"/>
    <w:rsid w:val="00AA19EE"/>
    <w:rsid w:val="00AA1AAB"/>
    <w:rsid w:val="00AA2A4C"/>
    <w:rsid w:val="00AA37EC"/>
    <w:rsid w:val="00AA6B95"/>
    <w:rsid w:val="00AB04BC"/>
    <w:rsid w:val="00AB0583"/>
    <w:rsid w:val="00AB189D"/>
    <w:rsid w:val="00AB1A3A"/>
    <w:rsid w:val="00AB220B"/>
    <w:rsid w:val="00AB328C"/>
    <w:rsid w:val="00AB32B7"/>
    <w:rsid w:val="00AB56DD"/>
    <w:rsid w:val="00AB573A"/>
    <w:rsid w:val="00AB5B21"/>
    <w:rsid w:val="00AB6298"/>
    <w:rsid w:val="00AB7313"/>
    <w:rsid w:val="00AB78E1"/>
    <w:rsid w:val="00AB7AFF"/>
    <w:rsid w:val="00AC1257"/>
    <w:rsid w:val="00AC20A6"/>
    <w:rsid w:val="00AC223D"/>
    <w:rsid w:val="00AC35F5"/>
    <w:rsid w:val="00AC3E1D"/>
    <w:rsid w:val="00AC4C90"/>
    <w:rsid w:val="00AC63B5"/>
    <w:rsid w:val="00AC6CF3"/>
    <w:rsid w:val="00AC6D64"/>
    <w:rsid w:val="00AC7682"/>
    <w:rsid w:val="00AC7EE4"/>
    <w:rsid w:val="00AC7F0B"/>
    <w:rsid w:val="00AD053B"/>
    <w:rsid w:val="00AD13D5"/>
    <w:rsid w:val="00AD1E64"/>
    <w:rsid w:val="00AD2072"/>
    <w:rsid w:val="00AD223B"/>
    <w:rsid w:val="00AD3EE1"/>
    <w:rsid w:val="00AD4F16"/>
    <w:rsid w:val="00AD4F73"/>
    <w:rsid w:val="00AD6638"/>
    <w:rsid w:val="00AD682A"/>
    <w:rsid w:val="00AD7893"/>
    <w:rsid w:val="00AE0427"/>
    <w:rsid w:val="00AE140B"/>
    <w:rsid w:val="00AE1899"/>
    <w:rsid w:val="00AE29C9"/>
    <w:rsid w:val="00AE50D4"/>
    <w:rsid w:val="00AE5701"/>
    <w:rsid w:val="00AE5A09"/>
    <w:rsid w:val="00AE6ECF"/>
    <w:rsid w:val="00AE7203"/>
    <w:rsid w:val="00AF08DD"/>
    <w:rsid w:val="00AF0A7D"/>
    <w:rsid w:val="00AF0E96"/>
    <w:rsid w:val="00AF2972"/>
    <w:rsid w:val="00AF3E5A"/>
    <w:rsid w:val="00AF62B9"/>
    <w:rsid w:val="00AF73EB"/>
    <w:rsid w:val="00B006FD"/>
    <w:rsid w:val="00B00F0C"/>
    <w:rsid w:val="00B01133"/>
    <w:rsid w:val="00B03840"/>
    <w:rsid w:val="00B03C6B"/>
    <w:rsid w:val="00B05643"/>
    <w:rsid w:val="00B066D1"/>
    <w:rsid w:val="00B06C55"/>
    <w:rsid w:val="00B070D2"/>
    <w:rsid w:val="00B072FD"/>
    <w:rsid w:val="00B07AC1"/>
    <w:rsid w:val="00B11039"/>
    <w:rsid w:val="00B11DAD"/>
    <w:rsid w:val="00B12D57"/>
    <w:rsid w:val="00B135B1"/>
    <w:rsid w:val="00B13670"/>
    <w:rsid w:val="00B14232"/>
    <w:rsid w:val="00B17026"/>
    <w:rsid w:val="00B20C62"/>
    <w:rsid w:val="00B21951"/>
    <w:rsid w:val="00B2234A"/>
    <w:rsid w:val="00B22B0E"/>
    <w:rsid w:val="00B2344B"/>
    <w:rsid w:val="00B257CB"/>
    <w:rsid w:val="00B2750A"/>
    <w:rsid w:val="00B3049C"/>
    <w:rsid w:val="00B30E7B"/>
    <w:rsid w:val="00B324FE"/>
    <w:rsid w:val="00B33033"/>
    <w:rsid w:val="00B35EF4"/>
    <w:rsid w:val="00B37189"/>
    <w:rsid w:val="00B41103"/>
    <w:rsid w:val="00B41605"/>
    <w:rsid w:val="00B42154"/>
    <w:rsid w:val="00B4280A"/>
    <w:rsid w:val="00B429BD"/>
    <w:rsid w:val="00B4315F"/>
    <w:rsid w:val="00B43392"/>
    <w:rsid w:val="00B4370F"/>
    <w:rsid w:val="00B451E8"/>
    <w:rsid w:val="00B46C5A"/>
    <w:rsid w:val="00B47131"/>
    <w:rsid w:val="00B512D8"/>
    <w:rsid w:val="00B53868"/>
    <w:rsid w:val="00B540AD"/>
    <w:rsid w:val="00B542C7"/>
    <w:rsid w:val="00B54DF4"/>
    <w:rsid w:val="00B54EA4"/>
    <w:rsid w:val="00B55035"/>
    <w:rsid w:val="00B55666"/>
    <w:rsid w:val="00B56B73"/>
    <w:rsid w:val="00B56CFD"/>
    <w:rsid w:val="00B573D3"/>
    <w:rsid w:val="00B5769E"/>
    <w:rsid w:val="00B61BC0"/>
    <w:rsid w:val="00B624F6"/>
    <w:rsid w:val="00B64C0A"/>
    <w:rsid w:val="00B657B3"/>
    <w:rsid w:val="00B703EF"/>
    <w:rsid w:val="00B704DF"/>
    <w:rsid w:val="00B70AEE"/>
    <w:rsid w:val="00B70B47"/>
    <w:rsid w:val="00B71567"/>
    <w:rsid w:val="00B733F6"/>
    <w:rsid w:val="00B7374F"/>
    <w:rsid w:val="00B739DC"/>
    <w:rsid w:val="00B74182"/>
    <w:rsid w:val="00B74943"/>
    <w:rsid w:val="00B75478"/>
    <w:rsid w:val="00B76E6E"/>
    <w:rsid w:val="00B773D6"/>
    <w:rsid w:val="00B812FC"/>
    <w:rsid w:val="00B81EED"/>
    <w:rsid w:val="00B8291B"/>
    <w:rsid w:val="00B83A85"/>
    <w:rsid w:val="00B8407E"/>
    <w:rsid w:val="00B85486"/>
    <w:rsid w:val="00B85612"/>
    <w:rsid w:val="00B86E40"/>
    <w:rsid w:val="00B875C4"/>
    <w:rsid w:val="00B876D3"/>
    <w:rsid w:val="00B906F1"/>
    <w:rsid w:val="00B91214"/>
    <w:rsid w:val="00B91704"/>
    <w:rsid w:val="00B91C71"/>
    <w:rsid w:val="00B91F32"/>
    <w:rsid w:val="00B92E08"/>
    <w:rsid w:val="00B9313E"/>
    <w:rsid w:val="00B932DF"/>
    <w:rsid w:val="00B94208"/>
    <w:rsid w:val="00B95FE0"/>
    <w:rsid w:val="00B97516"/>
    <w:rsid w:val="00B9768B"/>
    <w:rsid w:val="00B97A1B"/>
    <w:rsid w:val="00BA1155"/>
    <w:rsid w:val="00BA1289"/>
    <w:rsid w:val="00BA1305"/>
    <w:rsid w:val="00BA1D73"/>
    <w:rsid w:val="00BA1D83"/>
    <w:rsid w:val="00BA2130"/>
    <w:rsid w:val="00BA2CFB"/>
    <w:rsid w:val="00BA3EC6"/>
    <w:rsid w:val="00BA6657"/>
    <w:rsid w:val="00BA6949"/>
    <w:rsid w:val="00BA6BC2"/>
    <w:rsid w:val="00BA6CD8"/>
    <w:rsid w:val="00BB0DD2"/>
    <w:rsid w:val="00BB0E09"/>
    <w:rsid w:val="00BB1771"/>
    <w:rsid w:val="00BB23BB"/>
    <w:rsid w:val="00BB2B2A"/>
    <w:rsid w:val="00BB5451"/>
    <w:rsid w:val="00BB5EEC"/>
    <w:rsid w:val="00BB7560"/>
    <w:rsid w:val="00BB77D6"/>
    <w:rsid w:val="00BC0C26"/>
    <w:rsid w:val="00BC0E9A"/>
    <w:rsid w:val="00BC0ECF"/>
    <w:rsid w:val="00BC2C49"/>
    <w:rsid w:val="00BC376C"/>
    <w:rsid w:val="00BC3B60"/>
    <w:rsid w:val="00BC40B6"/>
    <w:rsid w:val="00BC48A9"/>
    <w:rsid w:val="00BC69A7"/>
    <w:rsid w:val="00BC6E42"/>
    <w:rsid w:val="00BC7242"/>
    <w:rsid w:val="00BC7609"/>
    <w:rsid w:val="00BD030B"/>
    <w:rsid w:val="00BD059A"/>
    <w:rsid w:val="00BD0BF3"/>
    <w:rsid w:val="00BD286E"/>
    <w:rsid w:val="00BD2A9E"/>
    <w:rsid w:val="00BD324B"/>
    <w:rsid w:val="00BD499F"/>
    <w:rsid w:val="00BD5858"/>
    <w:rsid w:val="00BD5C60"/>
    <w:rsid w:val="00BD6165"/>
    <w:rsid w:val="00BD732C"/>
    <w:rsid w:val="00BD73E3"/>
    <w:rsid w:val="00BD7867"/>
    <w:rsid w:val="00BE0A80"/>
    <w:rsid w:val="00BE11F9"/>
    <w:rsid w:val="00BE270F"/>
    <w:rsid w:val="00BE2AE6"/>
    <w:rsid w:val="00BE2AEA"/>
    <w:rsid w:val="00BE4047"/>
    <w:rsid w:val="00BE4280"/>
    <w:rsid w:val="00BE4938"/>
    <w:rsid w:val="00BE50B8"/>
    <w:rsid w:val="00BE76D1"/>
    <w:rsid w:val="00BF006E"/>
    <w:rsid w:val="00BF0BBD"/>
    <w:rsid w:val="00BF12BD"/>
    <w:rsid w:val="00BF186E"/>
    <w:rsid w:val="00BF370B"/>
    <w:rsid w:val="00BF43E7"/>
    <w:rsid w:val="00BF4654"/>
    <w:rsid w:val="00BF6726"/>
    <w:rsid w:val="00BF67AC"/>
    <w:rsid w:val="00BF7E24"/>
    <w:rsid w:val="00BF7F52"/>
    <w:rsid w:val="00C01006"/>
    <w:rsid w:val="00C03429"/>
    <w:rsid w:val="00C1024B"/>
    <w:rsid w:val="00C10798"/>
    <w:rsid w:val="00C1091B"/>
    <w:rsid w:val="00C10B60"/>
    <w:rsid w:val="00C10D8B"/>
    <w:rsid w:val="00C11B78"/>
    <w:rsid w:val="00C12E19"/>
    <w:rsid w:val="00C13B86"/>
    <w:rsid w:val="00C13FD1"/>
    <w:rsid w:val="00C14B5C"/>
    <w:rsid w:val="00C14DF8"/>
    <w:rsid w:val="00C14EDA"/>
    <w:rsid w:val="00C15042"/>
    <w:rsid w:val="00C15238"/>
    <w:rsid w:val="00C153AD"/>
    <w:rsid w:val="00C15E9A"/>
    <w:rsid w:val="00C16026"/>
    <w:rsid w:val="00C16C69"/>
    <w:rsid w:val="00C1798D"/>
    <w:rsid w:val="00C20923"/>
    <w:rsid w:val="00C20A1C"/>
    <w:rsid w:val="00C22A8A"/>
    <w:rsid w:val="00C23C3A"/>
    <w:rsid w:val="00C24128"/>
    <w:rsid w:val="00C242DF"/>
    <w:rsid w:val="00C251B8"/>
    <w:rsid w:val="00C25329"/>
    <w:rsid w:val="00C2551C"/>
    <w:rsid w:val="00C2569E"/>
    <w:rsid w:val="00C25F66"/>
    <w:rsid w:val="00C26404"/>
    <w:rsid w:val="00C268D0"/>
    <w:rsid w:val="00C26931"/>
    <w:rsid w:val="00C26C7C"/>
    <w:rsid w:val="00C27639"/>
    <w:rsid w:val="00C3301F"/>
    <w:rsid w:val="00C33A57"/>
    <w:rsid w:val="00C33D87"/>
    <w:rsid w:val="00C34783"/>
    <w:rsid w:val="00C3480B"/>
    <w:rsid w:val="00C34BCE"/>
    <w:rsid w:val="00C35570"/>
    <w:rsid w:val="00C3569D"/>
    <w:rsid w:val="00C37316"/>
    <w:rsid w:val="00C37724"/>
    <w:rsid w:val="00C411E4"/>
    <w:rsid w:val="00C41793"/>
    <w:rsid w:val="00C41B40"/>
    <w:rsid w:val="00C41F9C"/>
    <w:rsid w:val="00C422CD"/>
    <w:rsid w:val="00C436F8"/>
    <w:rsid w:val="00C439BE"/>
    <w:rsid w:val="00C44C0A"/>
    <w:rsid w:val="00C450DF"/>
    <w:rsid w:val="00C460D6"/>
    <w:rsid w:val="00C470D0"/>
    <w:rsid w:val="00C501CA"/>
    <w:rsid w:val="00C505C1"/>
    <w:rsid w:val="00C50D1D"/>
    <w:rsid w:val="00C51136"/>
    <w:rsid w:val="00C52200"/>
    <w:rsid w:val="00C52BDA"/>
    <w:rsid w:val="00C536EF"/>
    <w:rsid w:val="00C55C35"/>
    <w:rsid w:val="00C5663A"/>
    <w:rsid w:val="00C56BBA"/>
    <w:rsid w:val="00C57EF6"/>
    <w:rsid w:val="00C61481"/>
    <w:rsid w:val="00C62426"/>
    <w:rsid w:val="00C62EB3"/>
    <w:rsid w:val="00C63D1A"/>
    <w:rsid w:val="00C645A0"/>
    <w:rsid w:val="00C650ED"/>
    <w:rsid w:val="00C65C13"/>
    <w:rsid w:val="00C66317"/>
    <w:rsid w:val="00C66516"/>
    <w:rsid w:val="00C6659D"/>
    <w:rsid w:val="00C66922"/>
    <w:rsid w:val="00C728CB"/>
    <w:rsid w:val="00C731B9"/>
    <w:rsid w:val="00C73A38"/>
    <w:rsid w:val="00C74232"/>
    <w:rsid w:val="00C75A2F"/>
    <w:rsid w:val="00C75F57"/>
    <w:rsid w:val="00C761C9"/>
    <w:rsid w:val="00C76971"/>
    <w:rsid w:val="00C7715F"/>
    <w:rsid w:val="00C7723F"/>
    <w:rsid w:val="00C8131D"/>
    <w:rsid w:val="00C81C34"/>
    <w:rsid w:val="00C822F2"/>
    <w:rsid w:val="00C841D1"/>
    <w:rsid w:val="00C86309"/>
    <w:rsid w:val="00C86E04"/>
    <w:rsid w:val="00C91F9E"/>
    <w:rsid w:val="00C9235F"/>
    <w:rsid w:val="00C92D01"/>
    <w:rsid w:val="00C93267"/>
    <w:rsid w:val="00C93EAE"/>
    <w:rsid w:val="00C940A5"/>
    <w:rsid w:val="00C94C86"/>
    <w:rsid w:val="00C94DB8"/>
    <w:rsid w:val="00C95172"/>
    <w:rsid w:val="00C95455"/>
    <w:rsid w:val="00C95E32"/>
    <w:rsid w:val="00C9682B"/>
    <w:rsid w:val="00C96BA3"/>
    <w:rsid w:val="00C96FA1"/>
    <w:rsid w:val="00CA0ECF"/>
    <w:rsid w:val="00CA1AC6"/>
    <w:rsid w:val="00CA2AAD"/>
    <w:rsid w:val="00CA370A"/>
    <w:rsid w:val="00CA3939"/>
    <w:rsid w:val="00CA6F5E"/>
    <w:rsid w:val="00CA7066"/>
    <w:rsid w:val="00CB0615"/>
    <w:rsid w:val="00CB09AB"/>
    <w:rsid w:val="00CB1707"/>
    <w:rsid w:val="00CB2DBA"/>
    <w:rsid w:val="00CB37BE"/>
    <w:rsid w:val="00CB3E4E"/>
    <w:rsid w:val="00CB3F58"/>
    <w:rsid w:val="00CB4696"/>
    <w:rsid w:val="00CB593F"/>
    <w:rsid w:val="00CB5DA8"/>
    <w:rsid w:val="00CB6AD4"/>
    <w:rsid w:val="00CB77EC"/>
    <w:rsid w:val="00CB7FFD"/>
    <w:rsid w:val="00CC03BD"/>
    <w:rsid w:val="00CC0C2C"/>
    <w:rsid w:val="00CC2751"/>
    <w:rsid w:val="00CC28A4"/>
    <w:rsid w:val="00CC29AD"/>
    <w:rsid w:val="00CC464A"/>
    <w:rsid w:val="00CC4C80"/>
    <w:rsid w:val="00CC5115"/>
    <w:rsid w:val="00CC5ABC"/>
    <w:rsid w:val="00CC68F2"/>
    <w:rsid w:val="00CD0D04"/>
    <w:rsid w:val="00CD1228"/>
    <w:rsid w:val="00CD1D0C"/>
    <w:rsid w:val="00CD3112"/>
    <w:rsid w:val="00CD431E"/>
    <w:rsid w:val="00CD4D2A"/>
    <w:rsid w:val="00CD563F"/>
    <w:rsid w:val="00CD5D08"/>
    <w:rsid w:val="00CE06C1"/>
    <w:rsid w:val="00CE109E"/>
    <w:rsid w:val="00CE17AC"/>
    <w:rsid w:val="00CE1C34"/>
    <w:rsid w:val="00CE288F"/>
    <w:rsid w:val="00CE3FAB"/>
    <w:rsid w:val="00CE4177"/>
    <w:rsid w:val="00CE64C2"/>
    <w:rsid w:val="00CE75D0"/>
    <w:rsid w:val="00CE7843"/>
    <w:rsid w:val="00CF0380"/>
    <w:rsid w:val="00CF0602"/>
    <w:rsid w:val="00CF07FF"/>
    <w:rsid w:val="00CF0DCB"/>
    <w:rsid w:val="00CF1549"/>
    <w:rsid w:val="00CF16EA"/>
    <w:rsid w:val="00CF1BC7"/>
    <w:rsid w:val="00CF36AD"/>
    <w:rsid w:val="00CF6218"/>
    <w:rsid w:val="00CF7624"/>
    <w:rsid w:val="00D0021A"/>
    <w:rsid w:val="00D0081F"/>
    <w:rsid w:val="00D013F6"/>
    <w:rsid w:val="00D017D3"/>
    <w:rsid w:val="00D01899"/>
    <w:rsid w:val="00D030EF"/>
    <w:rsid w:val="00D03B0D"/>
    <w:rsid w:val="00D05311"/>
    <w:rsid w:val="00D06236"/>
    <w:rsid w:val="00D06534"/>
    <w:rsid w:val="00D0693C"/>
    <w:rsid w:val="00D07B0F"/>
    <w:rsid w:val="00D10A57"/>
    <w:rsid w:val="00D10F08"/>
    <w:rsid w:val="00D11A7E"/>
    <w:rsid w:val="00D12847"/>
    <w:rsid w:val="00D14EFA"/>
    <w:rsid w:val="00D1548C"/>
    <w:rsid w:val="00D17B5A"/>
    <w:rsid w:val="00D17BA2"/>
    <w:rsid w:val="00D2126D"/>
    <w:rsid w:val="00D247E4"/>
    <w:rsid w:val="00D26D22"/>
    <w:rsid w:val="00D272CC"/>
    <w:rsid w:val="00D27979"/>
    <w:rsid w:val="00D27A23"/>
    <w:rsid w:val="00D31337"/>
    <w:rsid w:val="00D32231"/>
    <w:rsid w:val="00D32F45"/>
    <w:rsid w:val="00D33067"/>
    <w:rsid w:val="00D336FC"/>
    <w:rsid w:val="00D343D5"/>
    <w:rsid w:val="00D34770"/>
    <w:rsid w:val="00D34D14"/>
    <w:rsid w:val="00D3673F"/>
    <w:rsid w:val="00D36D34"/>
    <w:rsid w:val="00D37460"/>
    <w:rsid w:val="00D40A03"/>
    <w:rsid w:val="00D40EA4"/>
    <w:rsid w:val="00D41833"/>
    <w:rsid w:val="00D42C2A"/>
    <w:rsid w:val="00D435F9"/>
    <w:rsid w:val="00D43C17"/>
    <w:rsid w:val="00D446B3"/>
    <w:rsid w:val="00D44A78"/>
    <w:rsid w:val="00D45634"/>
    <w:rsid w:val="00D45E18"/>
    <w:rsid w:val="00D46689"/>
    <w:rsid w:val="00D46E67"/>
    <w:rsid w:val="00D50692"/>
    <w:rsid w:val="00D5091E"/>
    <w:rsid w:val="00D5186D"/>
    <w:rsid w:val="00D51A64"/>
    <w:rsid w:val="00D52812"/>
    <w:rsid w:val="00D53093"/>
    <w:rsid w:val="00D546C7"/>
    <w:rsid w:val="00D54732"/>
    <w:rsid w:val="00D54C6E"/>
    <w:rsid w:val="00D55285"/>
    <w:rsid w:val="00D5571B"/>
    <w:rsid w:val="00D560EA"/>
    <w:rsid w:val="00D56A25"/>
    <w:rsid w:val="00D57AAB"/>
    <w:rsid w:val="00D6162D"/>
    <w:rsid w:val="00D6358D"/>
    <w:rsid w:val="00D636F2"/>
    <w:rsid w:val="00D63B61"/>
    <w:rsid w:val="00D64667"/>
    <w:rsid w:val="00D6548D"/>
    <w:rsid w:val="00D657EA"/>
    <w:rsid w:val="00D67078"/>
    <w:rsid w:val="00D71769"/>
    <w:rsid w:val="00D720A6"/>
    <w:rsid w:val="00D72587"/>
    <w:rsid w:val="00D73B05"/>
    <w:rsid w:val="00D748A1"/>
    <w:rsid w:val="00D74BA2"/>
    <w:rsid w:val="00D74FA6"/>
    <w:rsid w:val="00D75677"/>
    <w:rsid w:val="00D75E99"/>
    <w:rsid w:val="00D7632F"/>
    <w:rsid w:val="00D7660C"/>
    <w:rsid w:val="00D76FC4"/>
    <w:rsid w:val="00D771D9"/>
    <w:rsid w:val="00D7733A"/>
    <w:rsid w:val="00D815ED"/>
    <w:rsid w:val="00D8165D"/>
    <w:rsid w:val="00D8176F"/>
    <w:rsid w:val="00D81E6F"/>
    <w:rsid w:val="00D822AA"/>
    <w:rsid w:val="00D82CC9"/>
    <w:rsid w:val="00D83326"/>
    <w:rsid w:val="00D84009"/>
    <w:rsid w:val="00D86FD9"/>
    <w:rsid w:val="00D905D9"/>
    <w:rsid w:val="00D90CF7"/>
    <w:rsid w:val="00D925C7"/>
    <w:rsid w:val="00D92D8D"/>
    <w:rsid w:val="00D93463"/>
    <w:rsid w:val="00D93DF5"/>
    <w:rsid w:val="00D94D89"/>
    <w:rsid w:val="00D952E7"/>
    <w:rsid w:val="00D95300"/>
    <w:rsid w:val="00D96962"/>
    <w:rsid w:val="00DA1168"/>
    <w:rsid w:val="00DA1955"/>
    <w:rsid w:val="00DA528E"/>
    <w:rsid w:val="00DA70FA"/>
    <w:rsid w:val="00DA7151"/>
    <w:rsid w:val="00DB07C1"/>
    <w:rsid w:val="00DB0E2C"/>
    <w:rsid w:val="00DB161D"/>
    <w:rsid w:val="00DB221C"/>
    <w:rsid w:val="00DB3CB8"/>
    <w:rsid w:val="00DB42A0"/>
    <w:rsid w:val="00DB66A0"/>
    <w:rsid w:val="00DB7BA9"/>
    <w:rsid w:val="00DC057E"/>
    <w:rsid w:val="00DC05A6"/>
    <w:rsid w:val="00DC1493"/>
    <w:rsid w:val="00DC1FB7"/>
    <w:rsid w:val="00DC2764"/>
    <w:rsid w:val="00DC2C55"/>
    <w:rsid w:val="00DC2C76"/>
    <w:rsid w:val="00DC4683"/>
    <w:rsid w:val="00DC5694"/>
    <w:rsid w:val="00DC5C72"/>
    <w:rsid w:val="00DC5F6D"/>
    <w:rsid w:val="00DC66BD"/>
    <w:rsid w:val="00DC66D2"/>
    <w:rsid w:val="00DD0461"/>
    <w:rsid w:val="00DD05E5"/>
    <w:rsid w:val="00DD07AA"/>
    <w:rsid w:val="00DD379C"/>
    <w:rsid w:val="00DD3FF0"/>
    <w:rsid w:val="00DD4630"/>
    <w:rsid w:val="00DD50BD"/>
    <w:rsid w:val="00DD5BE6"/>
    <w:rsid w:val="00DD5F76"/>
    <w:rsid w:val="00DD61A9"/>
    <w:rsid w:val="00DD6260"/>
    <w:rsid w:val="00DD6385"/>
    <w:rsid w:val="00DD6C17"/>
    <w:rsid w:val="00DD7712"/>
    <w:rsid w:val="00DE117B"/>
    <w:rsid w:val="00DE36EA"/>
    <w:rsid w:val="00DE4C81"/>
    <w:rsid w:val="00DE5E22"/>
    <w:rsid w:val="00DE64A7"/>
    <w:rsid w:val="00DF044B"/>
    <w:rsid w:val="00DF07F5"/>
    <w:rsid w:val="00DF0E8B"/>
    <w:rsid w:val="00DF146E"/>
    <w:rsid w:val="00DF1B54"/>
    <w:rsid w:val="00DF26FF"/>
    <w:rsid w:val="00DF3F19"/>
    <w:rsid w:val="00DF4300"/>
    <w:rsid w:val="00DF49FD"/>
    <w:rsid w:val="00DF5C25"/>
    <w:rsid w:val="00DF603E"/>
    <w:rsid w:val="00DF68D4"/>
    <w:rsid w:val="00DF7AE5"/>
    <w:rsid w:val="00E0053F"/>
    <w:rsid w:val="00E008B7"/>
    <w:rsid w:val="00E00C15"/>
    <w:rsid w:val="00E00DB5"/>
    <w:rsid w:val="00E013DD"/>
    <w:rsid w:val="00E01AE5"/>
    <w:rsid w:val="00E02645"/>
    <w:rsid w:val="00E03B8E"/>
    <w:rsid w:val="00E0448F"/>
    <w:rsid w:val="00E04960"/>
    <w:rsid w:val="00E04AB2"/>
    <w:rsid w:val="00E04AF8"/>
    <w:rsid w:val="00E05863"/>
    <w:rsid w:val="00E06222"/>
    <w:rsid w:val="00E07138"/>
    <w:rsid w:val="00E10C95"/>
    <w:rsid w:val="00E12178"/>
    <w:rsid w:val="00E12F7E"/>
    <w:rsid w:val="00E13AFD"/>
    <w:rsid w:val="00E150F4"/>
    <w:rsid w:val="00E16467"/>
    <w:rsid w:val="00E17010"/>
    <w:rsid w:val="00E21232"/>
    <w:rsid w:val="00E217AD"/>
    <w:rsid w:val="00E2331A"/>
    <w:rsid w:val="00E2435A"/>
    <w:rsid w:val="00E24413"/>
    <w:rsid w:val="00E24458"/>
    <w:rsid w:val="00E2555B"/>
    <w:rsid w:val="00E2578A"/>
    <w:rsid w:val="00E25856"/>
    <w:rsid w:val="00E25A36"/>
    <w:rsid w:val="00E25A87"/>
    <w:rsid w:val="00E25F55"/>
    <w:rsid w:val="00E26C87"/>
    <w:rsid w:val="00E26FFE"/>
    <w:rsid w:val="00E278AD"/>
    <w:rsid w:val="00E3019A"/>
    <w:rsid w:val="00E30A8F"/>
    <w:rsid w:val="00E3170C"/>
    <w:rsid w:val="00E31E6E"/>
    <w:rsid w:val="00E34A37"/>
    <w:rsid w:val="00E34AD5"/>
    <w:rsid w:val="00E360AD"/>
    <w:rsid w:val="00E4061C"/>
    <w:rsid w:val="00E40694"/>
    <w:rsid w:val="00E42B9E"/>
    <w:rsid w:val="00E4348E"/>
    <w:rsid w:val="00E44023"/>
    <w:rsid w:val="00E4678C"/>
    <w:rsid w:val="00E46925"/>
    <w:rsid w:val="00E479B1"/>
    <w:rsid w:val="00E47BD9"/>
    <w:rsid w:val="00E51976"/>
    <w:rsid w:val="00E53ABB"/>
    <w:rsid w:val="00E53BB3"/>
    <w:rsid w:val="00E53BE9"/>
    <w:rsid w:val="00E54577"/>
    <w:rsid w:val="00E54F27"/>
    <w:rsid w:val="00E55CBE"/>
    <w:rsid w:val="00E56446"/>
    <w:rsid w:val="00E56A21"/>
    <w:rsid w:val="00E60561"/>
    <w:rsid w:val="00E6153D"/>
    <w:rsid w:val="00E620C4"/>
    <w:rsid w:val="00E6267D"/>
    <w:rsid w:val="00E63729"/>
    <w:rsid w:val="00E63B5B"/>
    <w:rsid w:val="00E64DB3"/>
    <w:rsid w:val="00E65681"/>
    <w:rsid w:val="00E6598C"/>
    <w:rsid w:val="00E65D03"/>
    <w:rsid w:val="00E667BF"/>
    <w:rsid w:val="00E672D4"/>
    <w:rsid w:val="00E703E1"/>
    <w:rsid w:val="00E70B0C"/>
    <w:rsid w:val="00E726C6"/>
    <w:rsid w:val="00E7335D"/>
    <w:rsid w:val="00E73FF3"/>
    <w:rsid w:val="00E74CA3"/>
    <w:rsid w:val="00E752FC"/>
    <w:rsid w:val="00E75D75"/>
    <w:rsid w:val="00E77AE3"/>
    <w:rsid w:val="00E80C83"/>
    <w:rsid w:val="00E8134C"/>
    <w:rsid w:val="00E815F7"/>
    <w:rsid w:val="00E82220"/>
    <w:rsid w:val="00E833D3"/>
    <w:rsid w:val="00E83B9E"/>
    <w:rsid w:val="00E877AF"/>
    <w:rsid w:val="00E87BD7"/>
    <w:rsid w:val="00E90AD4"/>
    <w:rsid w:val="00E90D04"/>
    <w:rsid w:val="00E9111B"/>
    <w:rsid w:val="00E913B7"/>
    <w:rsid w:val="00E91E8E"/>
    <w:rsid w:val="00E92B7D"/>
    <w:rsid w:val="00E93292"/>
    <w:rsid w:val="00E946FC"/>
    <w:rsid w:val="00E94C81"/>
    <w:rsid w:val="00E95230"/>
    <w:rsid w:val="00E956BF"/>
    <w:rsid w:val="00E95E2C"/>
    <w:rsid w:val="00E9668A"/>
    <w:rsid w:val="00EA1B38"/>
    <w:rsid w:val="00EA39B9"/>
    <w:rsid w:val="00EA4972"/>
    <w:rsid w:val="00EB050E"/>
    <w:rsid w:val="00EB078B"/>
    <w:rsid w:val="00EB28B7"/>
    <w:rsid w:val="00EB30CC"/>
    <w:rsid w:val="00EB561F"/>
    <w:rsid w:val="00EB5AC4"/>
    <w:rsid w:val="00EB6062"/>
    <w:rsid w:val="00EB75EA"/>
    <w:rsid w:val="00EC0267"/>
    <w:rsid w:val="00EC07A3"/>
    <w:rsid w:val="00EC07D5"/>
    <w:rsid w:val="00EC09C0"/>
    <w:rsid w:val="00EC0DF8"/>
    <w:rsid w:val="00EC13AD"/>
    <w:rsid w:val="00EC156B"/>
    <w:rsid w:val="00EC2373"/>
    <w:rsid w:val="00EC3606"/>
    <w:rsid w:val="00EC53E0"/>
    <w:rsid w:val="00EC5B4C"/>
    <w:rsid w:val="00EC6382"/>
    <w:rsid w:val="00EC75D8"/>
    <w:rsid w:val="00ED049D"/>
    <w:rsid w:val="00ED08DC"/>
    <w:rsid w:val="00ED13A5"/>
    <w:rsid w:val="00ED1C0B"/>
    <w:rsid w:val="00ED2B0B"/>
    <w:rsid w:val="00ED492A"/>
    <w:rsid w:val="00ED4E87"/>
    <w:rsid w:val="00ED57E5"/>
    <w:rsid w:val="00ED5DF4"/>
    <w:rsid w:val="00ED61B7"/>
    <w:rsid w:val="00ED638B"/>
    <w:rsid w:val="00ED74B2"/>
    <w:rsid w:val="00EE07D2"/>
    <w:rsid w:val="00EE0D83"/>
    <w:rsid w:val="00EE0F89"/>
    <w:rsid w:val="00EE183F"/>
    <w:rsid w:val="00EE18EC"/>
    <w:rsid w:val="00EE206D"/>
    <w:rsid w:val="00EE21FE"/>
    <w:rsid w:val="00EE3A1A"/>
    <w:rsid w:val="00EE3AFB"/>
    <w:rsid w:val="00EE4DAD"/>
    <w:rsid w:val="00EE5602"/>
    <w:rsid w:val="00EE5B68"/>
    <w:rsid w:val="00EF119F"/>
    <w:rsid w:val="00EF3841"/>
    <w:rsid w:val="00EF4005"/>
    <w:rsid w:val="00EF4A8A"/>
    <w:rsid w:val="00EF5608"/>
    <w:rsid w:val="00EF57C7"/>
    <w:rsid w:val="00EF6406"/>
    <w:rsid w:val="00EF7769"/>
    <w:rsid w:val="00F0187D"/>
    <w:rsid w:val="00F01953"/>
    <w:rsid w:val="00F0199A"/>
    <w:rsid w:val="00F02D6A"/>
    <w:rsid w:val="00F035BA"/>
    <w:rsid w:val="00F07926"/>
    <w:rsid w:val="00F10596"/>
    <w:rsid w:val="00F106A5"/>
    <w:rsid w:val="00F10FDE"/>
    <w:rsid w:val="00F11231"/>
    <w:rsid w:val="00F112C6"/>
    <w:rsid w:val="00F1305F"/>
    <w:rsid w:val="00F131F5"/>
    <w:rsid w:val="00F13C0F"/>
    <w:rsid w:val="00F15DEE"/>
    <w:rsid w:val="00F15ED6"/>
    <w:rsid w:val="00F16280"/>
    <w:rsid w:val="00F16347"/>
    <w:rsid w:val="00F16B5E"/>
    <w:rsid w:val="00F16C52"/>
    <w:rsid w:val="00F170CE"/>
    <w:rsid w:val="00F21A53"/>
    <w:rsid w:val="00F21D43"/>
    <w:rsid w:val="00F22C2F"/>
    <w:rsid w:val="00F23022"/>
    <w:rsid w:val="00F23EEA"/>
    <w:rsid w:val="00F2406E"/>
    <w:rsid w:val="00F25416"/>
    <w:rsid w:val="00F26520"/>
    <w:rsid w:val="00F26921"/>
    <w:rsid w:val="00F3198A"/>
    <w:rsid w:val="00F32CAE"/>
    <w:rsid w:val="00F351A3"/>
    <w:rsid w:val="00F358DA"/>
    <w:rsid w:val="00F35C3D"/>
    <w:rsid w:val="00F41590"/>
    <w:rsid w:val="00F41BE6"/>
    <w:rsid w:val="00F43640"/>
    <w:rsid w:val="00F43721"/>
    <w:rsid w:val="00F43C1C"/>
    <w:rsid w:val="00F476AD"/>
    <w:rsid w:val="00F51357"/>
    <w:rsid w:val="00F51C4F"/>
    <w:rsid w:val="00F52664"/>
    <w:rsid w:val="00F527D7"/>
    <w:rsid w:val="00F530D0"/>
    <w:rsid w:val="00F53141"/>
    <w:rsid w:val="00F53B4D"/>
    <w:rsid w:val="00F558FD"/>
    <w:rsid w:val="00F57F41"/>
    <w:rsid w:val="00F60C09"/>
    <w:rsid w:val="00F61FAB"/>
    <w:rsid w:val="00F61FBC"/>
    <w:rsid w:val="00F62193"/>
    <w:rsid w:val="00F62789"/>
    <w:rsid w:val="00F634AB"/>
    <w:rsid w:val="00F646EF"/>
    <w:rsid w:val="00F65197"/>
    <w:rsid w:val="00F66ACE"/>
    <w:rsid w:val="00F67550"/>
    <w:rsid w:val="00F708D0"/>
    <w:rsid w:val="00F709BB"/>
    <w:rsid w:val="00F70B3E"/>
    <w:rsid w:val="00F70BC7"/>
    <w:rsid w:val="00F71546"/>
    <w:rsid w:val="00F71C9F"/>
    <w:rsid w:val="00F722CF"/>
    <w:rsid w:val="00F72831"/>
    <w:rsid w:val="00F73C27"/>
    <w:rsid w:val="00F74F51"/>
    <w:rsid w:val="00F77845"/>
    <w:rsid w:val="00F77D1A"/>
    <w:rsid w:val="00F802A4"/>
    <w:rsid w:val="00F829E3"/>
    <w:rsid w:val="00F82B10"/>
    <w:rsid w:val="00F83E2A"/>
    <w:rsid w:val="00F83E81"/>
    <w:rsid w:val="00F84677"/>
    <w:rsid w:val="00F85256"/>
    <w:rsid w:val="00F86776"/>
    <w:rsid w:val="00F86CF3"/>
    <w:rsid w:val="00F87411"/>
    <w:rsid w:val="00F87E5B"/>
    <w:rsid w:val="00F90530"/>
    <w:rsid w:val="00F90AFA"/>
    <w:rsid w:val="00F934D3"/>
    <w:rsid w:val="00F9518A"/>
    <w:rsid w:val="00F95A2A"/>
    <w:rsid w:val="00F96EDB"/>
    <w:rsid w:val="00F97370"/>
    <w:rsid w:val="00F979D6"/>
    <w:rsid w:val="00F97E1E"/>
    <w:rsid w:val="00FA16CE"/>
    <w:rsid w:val="00FA19F1"/>
    <w:rsid w:val="00FA2227"/>
    <w:rsid w:val="00FA2991"/>
    <w:rsid w:val="00FA29DD"/>
    <w:rsid w:val="00FA32C0"/>
    <w:rsid w:val="00FA429F"/>
    <w:rsid w:val="00FA5CD0"/>
    <w:rsid w:val="00FA5EA8"/>
    <w:rsid w:val="00FA75E2"/>
    <w:rsid w:val="00FB01BD"/>
    <w:rsid w:val="00FB080E"/>
    <w:rsid w:val="00FB1026"/>
    <w:rsid w:val="00FB2184"/>
    <w:rsid w:val="00FB251F"/>
    <w:rsid w:val="00FB2CC8"/>
    <w:rsid w:val="00FB367A"/>
    <w:rsid w:val="00FB4491"/>
    <w:rsid w:val="00FB5376"/>
    <w:rsid w:val="00FB5697"/>
    <w:rsid w:val="00FB5787"/>
    <w:rsid w:val="00FB5B87"/>
    <w:rsid w:val="00FB5BB4"/>
    <w:rsid w:val="00FB7ADE"/>
    <w:rsid w:val="00FB7B23"/>
    <w:rsid w:val="00FB7C4F"/>
    <w:rsid w:val="00FC181D"/>
    <w:rsid w:val="00FC1EE4"/>
    <w:rsid w:val="00FC353D"/>
    <w:rsid w:val="00FC3E55"/>
    <w:rsid w:val="00FC4434"/>
    <w:rsid w:val="00FC466A"/>
    <w:rsid w:val="00FC4BF0"/>
    <w:rsid w:val="00FC4BF1"/>
    <w:rsid w:val="00FC50CA"/>
    <w:rsid w:val="00FC52E3"/>
    <w:rsid w:val="00FC5807"/>
    <w:rsid w:val="00FC597D"/>
    <w:rsid w:val="00FC59A3"/>
    <w:rsid w:val="00FC5F45"/>
    <w:rsid w:val="00FD0E79"/>
    <w:rsid w:val="00FD108F"/>
    <w:rsid w:val="00FD11EC"/>
    <w:rsid w:val="00FD12A5"/>
    <w:rsid w:val="00FD291D"/>
    <w:rsid w:val="00FD3703"/>
    <w:rsid w:val="00FD5A89"/>
    <w:rsid w:val="00FD5B8E"/>
    <w:rsid w:val="00FD64C8"/>
    <w:rsid w:val="00FD7128"/>
    <w:rsid w:val="00FD7452"/>
    <w:rsid w:val="00FD7632"/>
    <w:rsid w:val="00FD7674"/>
    <w:rsid w:val="00FE126B"/>
    <w:rsid w:val="00FE2192"/>
    <w:rsid w:val="00FE2404"/>
    <w:rsid w:val="00FE3EF4"/>
    <w:rsid w:val="00FE42CD"/>
    <w:rsid w:val="00FE484B"/>
    <w:rsid w:val="00FE613C"/>
    <w:rsid w:val="00FE733A"/>
    <w:rsid w:val="00FE7796"/>
    <w:rsid w:val="00FE7AFB"/>
    <w:rsid w:val="00FE7B2A"/>
    <w:rsid w:val="00FF0C83"/>
    <w:rsid w:val="00FF10C2"/>
    <w:rsid w:val="00FF288E"/>
    <w:rsid w:val="00FF2E00"/>
    <w:rsid w:val="00FF2EA9"/>
    <w:rsid w:val="00FF3BEF"/>
    <w:rsid w:val="00FF472E"/>
    <w:rsid w:val="00FF603A"/>
    <w:rsid w:val="00FF658E"/>
    <w:rsid w:val="00FF6791"/>
    <w:rsid w:val="00FF67B7"/>
    <w:rsid w:val="00FF76C5"/>
    <w:rsid w:val="0290E267"/>
    <w:rsid w:val="0667A373"/>
    <w:rsid w:val="067E2D98"/>
    <w:rsid w:val="10DDEC15"/>
    <w:rsid w:val="10F1E9CD"/>
    <w:rsid w:val="171AA15E"/>
    <w:rsid w:val="19D19537"/>
    <w:rsid w:val="1C4AE829"/>
    <w:rsid w:val="1C75D244"/>
    <w:rsid w:val="1DEC777D"/>
    <w:rsid w:val="22799064"/>
    <w:rsid w:val="23AFE9BE"/>
    <w:rsid w:val="25B0E3C2"/>
    <w:rsid w:val="25C23C34"/>
    <w:rsid w:val="28F4014B"/>
    <w:rsid w:val="29A65809"/>
    <w:rsid w:val="2AC5368F"/>
    <w:rsid w:val="2BA1D19A"/>
    <w:rsid w:val="36627AE5"/>
    <w:rsid w:val="38E2151C"/>
    <w:rsid w:val="3C8F45CC"/>
    <w:rsid w:val="43C1DA3E"/>
    <w:rsid w:val="4683D0F2"/>
    <w:rsid w:val="46F69C86"/>
    <w:rsid w:val="47B5A446"/>
    <w:rsid w:val="51B50765"/>
    <w:rsid w:val="533EDF94"/>
    <w:rsid w:val="55491376"/>
    <w:rsid w:val="5835E26C"/>
    <w:rsid w:val="5A077245"/>
    <w:rsid w:val="5AF46FF0"/>
    <w:rsid w:val="5F8D1811"/>
    <w:rsid w:val="62BAE187"/>
    <w:rsid w:val="6390ABB8"/>
    <w:rsid w:val="64418A7C"/>
    <w:rsid w:val="66544570"/>
    <w:rsid w:val="6713EBF5"/>
    <w:rsid w:val="687D1F9B"/>
    <w:rsid w:val="6A2121C6"/>
    <w:rsid w:val="6E11508B"/>
    <w:rsid w:val="6F89EA26"/>
    <w:rsid w:val="72439F17"/>
    <w:rsid w:val="72F65BD5"/>
    <w:rsid w:val="74230427"/>
    <w:rsid w:val="76BA88F7"/>
    <w:rsid w:val="774B5EC9"/>
    <w:rsid w:val="7B44DBF7"/>
    <w:rsid w:val="7B743AD5"/>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5BCB6D"/>
  <w15:chartTrackingRefBased/>
  <w15:docId w15:val="{E5C80E8F-3EC8-4DBC-BEC3-F41821F34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151"/>
  </w:style>
  <w:style w:type="paragraph" w:styleId="Heading1">
    <w:name w:val="heading 1"/>
    <w:basedOn w:val="Normal"/>
    <w:next w:val="Normal"/>
    <w:link w:val="Heading1Char"/>
    <w:uiPriority w:val="9"/>
    <w:qFormat/>
    <w:rsid w:val="00654666"/>
    <w:pPr>
      <w:keepNext/>
      <w:keepLines/>
      <w:spacing w:after="480" w:line="288" w:lineRule="auto"/>
      <w:ind w:left="720"/>
      <w:jc w:val="center"/>
      <w:outlineLvl w:val="0"/>
    </w:pPr>
    <w:rPr>
      <w:rFonts w:ascii="Times New Roman" w:eastAsiaTheme="majorEastAsia" w:hAnsi="Times New Roman" w:cstheme="majorBidi"/>
      <w:b/>
      <w:sz w:val="28"/>
      <w:szCs w:val="28"/>
      <w:lang w:val="en-GB"/>
    </w:rPr>
  </w:style>
  <w:style w:type="paragraph" w:styleId="Heading2">
    <w:name w:val="heading 2"/>
    <w:basedOn w:val="Style3"/>
    <w:next w:val="Normal"/>
    <w:link w:val="Heading2Char"/>
    <w:uiPriority w:val="9"/>
    <w:unhideWhenUsed/>
    <w:qFormat/>
    <w:rsid w:val="00EC3606"/>
    <w:pPr>
      <w:ind w:left="426" w:hanging="426"/>
      <w:jc w:val="left"/>
      <w:outlineLvl w:val="1"/>
    </w:pPr>
    <w:rPr>
      <w:b/>
      <w:bCs/>
    </w:rPr>
  </w:style>
  <w:style w:type="paragraph" w:styleId="Heading3">
    <w:name w:val="heading 3"/>
    <w:basedOn w:val="Heading2"/>
    <w:next w:val="Normal"/>
    <w:link w:val="Heading3Char"/>
    <w:uiPriority w:val="9"/>
    <w:unhideWhenUsed/>
    <w:qFormat/>
    <w:rsid w:val="00BD73E3"/>
    <w:pPr>
      <w:numPr>
        <w:numId w:val="0"/>
      </w:numPr>
      <w:spacing w:before="360" w:after="240" w:line="288" w:lineRule="auto"/>
      <w:outlineLvl w:val="2"/>
    </w:pPr>
    <w:rPr>
      <w:rFonts w:eastAsiaTheme="minorHAnsi" w:cstheme="minorBidi"/>
      <w:sz w:val="24"/>
      <w:szCs w:val="24"/>
      <w:lang w:eastAsia="en-IE"/>
    </w:rPr>
  </w:style>
  <w:style w:type="paragraph" w:styleId="Heading4">
    <w:name w:val="heading 4"/>
    <w:basedOn w:val="Normal"/>
    <w:next w:val="Normal"/>
    <w:link w:val="Heading4Char"/>
    <w:uiPriority w:val="9"/>
    <w:semiHidden/>
    <w:unhideWhenUsed/>
    <w:qFormat/>
    <w:rsid w:val="00F87E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E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E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E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E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E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666"/>
    <w:rPr>
      <w:rFonts w:ascii="Times New Roman" w:eastAsiaTheme="majorEastAsia" w:hAnsi="Times New Roman" w:cstheme="majorBidi"/>
      <w:b/>
      <w:sz w:val="28"/>
      <w:szCs w:val="28"/>
      <w:lang w:val="en-GB"/>
    </w:rPr>
  </w:style>
  <w:style w:type="character" w:customStyle="1" w:styleId="Heading2Char">
    <w:name w:val="Heading 2 Char"/>
    <w:basedOn w:val="DefaultParagraphFont"/>
    <w:link w:val="Heading2"/>
    <w:uiPriority w:val="9"/>
    <w:rsid w:val="00EC3606"/>
    <w:rPr>
      <w:rFonts w:ascii="Times New Roman" w:eastAsiaTheme="majorEastAsia" w:hAnsi="Times New Roman" w:cstheme="majorBidi"/>
      <w:b/>
      <w:bCs/>
      <w:sz w:val="28"/>
      <w:szCs w:val="28"/>
      <w:lang w:val="en-GB"/>
    </w:rPr>
  </w:style>
  <w:style w:type="character" w:customStyle="1" w:styleId="Heading3Char">
    <w:name w:val="Heading 3 Char"/>
    <w:basedOn w:val="DefaultParagraphFont"/>
    <w:link w:val="Heading3"/>
    <w:uiPriority w:val="9"/>
    <w:rsid w:val="00BD73E3"/>
    <w:rPr>
      <w:rFonts w:ascii="Times New Roman" w:hAnsi="Times New Roman"/>
      <w:b/>
      <w:bCs/>
      <w:lang w:val="en-GB" w:eastAsia="en-IE"/>
    </w:rPr>
  </w:style>
  <w:style w:type="character" w:customStyle="1" w:styleId="Heading4Char">
    <w:name w:val="Heading 4 Char"/>
    <w:basedOn w:val="DefaultParagraphFont"/>
    <w:link w:val="Heading4"/>
    <w:uiPriority w:val="9"/>
    <w:semiHidden/>
    <w:rsid w:val="00F87E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E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E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E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E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E5B"/>
    <w:rPr>
      <w:rFonts w:eastAsiaTheme="majorEastAsia" w:cstheme="majorBidi"/>
      <w:color w:val="272727" w:themeColor="text1" w:themeTint="D8"/>
    </w:rPr>
  </w:style>
  <w:style w:type="paragraph" w:styleId="Title">
    <w:name w:val="Title"/>
    <w:basedOn w:val="Normal"/>
    <w:next w:val="Normal"/>
    <w:link w:val="TitleChar"/>
    <w:uiPriority w:val="10"/>
    <w:qFormat/>
    <w:rsid w:val="00F87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E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E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E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E5B"/>
    <w:pPr>
      <w:spacing w:before="160"/>
      <w:jc w:val="center"/>
    </w:pPr>
    <w:rPr>
      <w:i/>
      <w:iCs/>
      <w:color w:val="404040" w:themeColor="text1" w:themeTint="BF"/>
    </w:rPr>
  </w:style>
  <w:style w:type="character" w:customStyle="1" w:styleId="QuoteChar">
    <w:name w:val="Quote Char"/>
    <w:basedOn w:val="DefaultParagraphFont"/>
    <w:link w:val="Quote"/>
    <w:uiPriority w:val="29"/>
    <w:rsid w:val="00F87E5B"/>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L"/>
    <w:basedOn w:val="Normal"/>
    <w:link w:val="ListParagraphChar"/>
    <w:uiPriority w:val="34"/>
    <w:qFormat/>
    <w:rsid w:val="00F87E5B"/>
    <w:pPr>
      <w:ind w:left="720"/>
      <w:contextualSpacing/>
    </w:pPr>
  </w:style>
  <w:style w:type="character" w:styleId="IntenseEmphasis">
    <w:name w:val="Intense Emphasis"/>
    <w:basedOn w:val="DefaultParagraphFont"/>
    <w:uiPriority w:val="21"/>
    <w:qFormat/>
    <w:rsid w:val="00F87E5B"/>
    <w:rPr>
      <w:i/>
      <w:iCs/>
      <w:color w:val="0F4761" w:themeColor="accent1" w:themeShade="BF"/>
    </w:rPr>
  </w:style>
  <w:style w:type="paragraph" w:styleId="IntenseQuote">
    <w:name w:val="Intense Quote"/>
    <w:basedOn w:val="Normal"/>
    <w:next w:val="Normal"/>
    <w:link w:val="IntenseQuoteChar"/>
    <w:uiPriority w:val="30"/>
    <w:qFormat/>
    <w:rsid w:val="00F87E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E5B"/>
    <w:rPr>
      <w:i/>
      <w:iCs/>
      <w:color w:val="0F4761" w:themeColor="accent1" w:themeShade="BF"/>
    </w:rPr>
  </w:style>
  <w:style w:type="character" w:styleId="IntenseReference">
    <w:name w:val="Intense Reference"/>
    <w:basedOn w:val="DefaultParagraphFont"/>
    <w:uiPriority w:val="32"/>
    <w:qFormat/>
    <w:rsid w:val="00F87E5B"/>
    <w:rPr>
      <w:b/>
      <w:bCs/>
      <w:smallCaps/>
      <w:color w:val="0F4761" w:themeColor="accent1" w:themeShade="BF"/>
      <w:spacing w:val="5"/>
    </w:rPr>
  </w:style>
  <w:style w:type="character" w:customStyle="1" w:styleId="Marker">
    <w:name w:val="Marker"/>
    <w:basedOn w:val="DefaultParagraphFont"/>
    <w:rsid w:val="00F87E5B"/>
    <w:rPr>
      <w:color w:val="0000FF"/>
      <w:shd w:val="clear" w:color="auto" w:fill="auto"/>
    </w:rPr>
  </w:style>
  <w:style w:type="paragraph" w:styleId="Header">
    <w:name w:val="header"/>
    <w:basedOn w:val="Normal"/>
    <w:link w:val="HeaderChar"/>
    <w:uiPriority w:val="99"/>
    <w:unhideWhenUsed/>
    <w:rsid w:val="00F87E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E5B"/>
  </w:style>
  <w:style w:type="paragraph" w:styleId="Footer">
    <w:name w:val="footer"/>
    <w:basedOn w:val="Normal"/>
    <w:link w:val="FooterChar"/>
    <w:uiPriority w:val="99"/>
    <w:unhideWhenUsed/>
    <w:rsid w:val="00F87E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E5B"/>
  </w:style>
  <w:style w:type="paragraph" w:customStyle="1" w:styleId="Pagedecouverture">
    <w:name w:val="Page de couverture"/>
    <w:basedOn w:val="Normal"/>
    <w:next w:val="Normal"/>
    <w:rsid w:val="00F87E5B"/>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F87E5B"/>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F87E5B"/>
    <w:rPr>
      <w:rFonts w:ascii="Times New Roman" w:hAnsi="Times New Roman" w:cs="Times New Roman"/>
    </w:rPr>
  </w:style>
  <w:style w:type="paragraph" w:customStyle="1" w:styleId="FooterSensitivity">
    <w:name w:val="Footer Sensitivity"/>
    <w:basedOn w:val="Normal"/>
    <w:link w:val="FooterSensitivityChar"/>
    <w:rsid w:val="00F87E5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87E5B"/>
    <w:rPr>
      <w:rFonts w:ascii="Times New Roman" w:hAnsi="Times New Roman" w:cs="Times New Roman"/>
      <w:b/>
      <w:sz w:val="32"/>
    </w:rPr>
  </w:style>
  <w:style w:type="paragraph" w:customStyle="1" w:styleId="HeaderCoverPage">
    <w:name w:val="Header Cover Page"/>
    <w:basedOn w:val="Normal"/>
    <w:link w:val="HeaderCoverPageChar"/>
    <w:rsid w:val="00F87E5B"/>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F87E5B"/>
    <w:rPr>
      <w:rFonts w:ascii="Times New Roman" w:hAnsi="Times New Roman" w:cs="Times New Roman"/>
    </w:rPr>
  </w:style>
  <w:style w:type="paragraph" w:customStyle="1" w:styleId="HeaderSensitivity">
    <w:name w:val="Header Sensitivity"/>
    <w:basedOn w:val="Normal"/>
    <w:link w:val="HeaderSensitivityChar"/>
    <w:rsid w:val="00F87E5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87E5B"/>
    <w:rPr>
      <w:rFonts w:ascii="Times New Roman" w:hAnsi="Times New Roman" w:cs="Times New Roman"/>
      <w:b/>
      <w:sz w:val="32"/>
    </w:rPr>
  </w:style>
  <w:style w:type="paragraph" w:customStyle="1" w:styleId="HeaderSensitivityRight">
    <w:name w:val="Header Sensitivity Right"/>
    <w:basedOn w:val="Normal"/>
    <w:link w:val="HeaderSensitivityRightChar"/>
    <w:rsid w:val="00F87E5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87E5B"/>
    <w:rPr>
      <w:rFonts w:ascii="Times New Roman" w:hAnsi="Times New Roman" w:cs="Times New Roman"/>
      <w:sz w:val="28"/>
    </w:rPr>
  </w:style>
  <w:style w:type="paragraph" w:customStyle="1" w:styleId="Style1">
    <w:name w:val="Style1"/>
    <w:basedOn w:val="Heading1"/>
    <w:qFormat/>
    <w:rsid w:val="006C30CD"/>
    <w:pPr>
      <w:numPr>
        <w:numId w:val="1"/>
      </w:numPr>
      <w:spacing w:line="276" w:lineRule="auto"/>
    </w:pPr>
    <w:rPr>
      <w:b w:val="0"/>
      <w:sz w:val="32"/>
    </w:rPr>
  </w:style>
  <w:style w:type="paragraph" w:customStyle="1" w:styleId="Style2">
    <w:name w:val="Style2"/>
    <w:basedOn w:val="Normal"/>
    <w:link w:val="Style2Char"/>
    <w:qFormat/>
    <w:rsid w:val="006C30CD"/>
    <w:pPr>
      <w:spacing w:after="120" w:line="240" w:lineRule="auto"/>
    </w:pPr>
    <w:rPr>
      <w:rFonts w:ascii="Times New Roman" w:hAnsi="Times New Roman"/>
      <w:sz w:val="22"/>
      <w:szCs w:val="22"/>
      <w:lang w:val="en-GB"/>
    </w:rPr>
  </w:style>
  <w:style w:type="paragraph" w:customStyle="1" w:styleId="paragraph">
    <w:name w:val="paragraph"/>
    <w:basedOn w:val="Normal"/>
    <w:rsid w:val="006C30CD"/>
    <w:pPr>
      <w:spacing w:before="100" w:beforeAutospacing="1" w:after="100" w:afterAutospacing="1" w:line="240" w:lineRule="auto"/>
    </w:pPr>
    <w:rPr>
      <w:rFonts w:ascii="Times New Roman" w:eastAsia="Times New Roman" w:hAnsi="Times New Roman" w:cs="Times New Roman"/>
      <w:kern w:val="0"/>
      <w:lang w:val="en-GB"/>
      <w14:ligatures w14:val="none"/>
    </w:rPr>
  </w:style>
  <w:style w:type="character" w:customStyle="1" w:styleId="normaltextrun">
    <w:name w:val="normaltextrun"/>
    <w:basedOn w:val="DefaultParagraphFont"/>
    <w:rsid w:val="006C30CD"/>
  </w:style>
  <w:style w:type="character" w:customStyle="1" w:styleId="eop">
    <w:name w:val="eop"/>
    <w:basedOn w:val="DefaultParagraphFont"/>
    <w:rsid w:val="006C30CD"/>
  </w:style>
  <w:style w:type="character" w:customStyle="1" w:styleId="superscript">
    <w:name w:val="superscript"/>
    <w:basedOn w:val="DefaultParagraphFont"/>
    <w:rsid w:val="006C30CD"/>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fn,footnote text,C"/>
    <w:basedOn w:val="Normal"/>
    <w:link w:val="FootnoteTextChar"/>
    <w:uiPriority w:val="99"/>
    <w:unhideWhenUsed/>
    <w:qFormat/>
    <w:rsid w:val="00103874"/>
    <w:pPr>
      <w:tabs>
        <w:tab w:val="left" w:pos="426"/>
      </w:tabs>
      <w:spacing w:after="0" w:line="240" w:lineRule="auto"/>
      <w:ind w:left="357" w:hanging="357"/>
    </w:pPr>
    <w:rPr>
      <w:rFonts w:ascii="Arial" w:hAnsi="Arial" w:cs="Arial"/>
      <w:sz w:val="20"/>
      <w:szCs w:val="20"/>
      <w:lang w:val="en-GB"/>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fn Char,footnote text Char,C Char"/>
    <w:basedOn w:val="DefaultParagraphFont"/>
    <w:link w:val="FootnoteText"/>
    <w:uiPriority w:val="99"/>
    <w:qFormat/>
    <w:rsid w:val="00103874"/>
    <w:rPr>
      <w:rFonts w:ascii="Arial" w:hAnsi="Arial" w:cs="Arial"/>
      <w:sz w:val="20"/>
      <w:szCs w:val="20"/>
      <w:lang w:val="en-GB"/>
    </w:rPr>
  </w:style>
  <w:style w:type="character" w:styleId="FootnoteReference">
    <w:name w:val="footnote reference"/>
    <w:aliases w:val="Footnote number,Footnote,Footnote symbol,note TESI,Ref,de nota al pie,(NECG) Footnote Reference,fr,Footnote Reference1,Footnote Reference11,o,Voetnootverwijzing,Footnotemark,FR,Footnotemark1,Footnotemark2,FR1,Footnotemark3,FR2,FR3,FR4"/>
    <w:basedOn w:val="DefaultParagraphFont"/>
    <w:link w:val="FootnoteReferenceLVL6"/>
    <w:uiPriority w:val="99"/>
    <w:unhideWhenUsed/>
    <w:qFormat/>
    <w:rsid w:val="006C30CD"/>
    <w:rPr>
      <w:vertAlign w:val="superscript"/>
    </w:rPr>
  </w:style>
  <w:style w:type="character" w:styleId="Hyperlink">
    <w:name w:val="Hyperlink"/>
    <w:uiPriority w:val="99"/>
    <w:rsid w:val="006C30CD"/>
    <w:rPr>
      <w:color w:val="0563C1"/>
      <w:u w:val="single"/>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rsid w:val="006C30CD"/>
    <w:pPr>
      <w:spacing w:line="240" w:lineRule="exact"/>
      <w:jc w:val="both"/>
    </w:pPr>
    <w:rPr>
      <w:vertAlign w:val="superscript"/>
    </w:rPr>
  </w:style>
  <w:style w:type="character" w:styleId="UnresolvedMention">
    <w:name w:val="Unresolved Mention"/>
    <w:basedOn w:val="DefaultParagraphFont"/>
    <w:uiPriority w:val="99"/>
    <w:semiHidden/>
    <w:unhideWhenUsed/>
    <w:rsid w:val="006C30CD"/>
    <w:rPr>
      <w:color w:val="605E5C"/>
      <w:shd w:val="clear" w:color="auto" w:fill="E1DFDD"/>
    </w:rPr>
  </w:style>
  <w:style w:type="character" w:styleId="CommentReference">
    <w:name w:val="annotation reference"/>
    <w:basedOn w:val="DefaultParagraphFont"/>
    <w:uiPriority w:val="99"/>
    <w:unhideWhenUsed/>
    <w:rsid w:val="006C30CD"/>
    <w:rPr>
      <w:sz w:val="16"/>
      <w:szCs w:val="16"/>
    </w:rPr>
  </w:style>
  <w:style w:type="paragraph" w:styleId="CommentText">
    <w:name w:val="annotation text"/>
    <w:basedOn w:val="Normal"/>
    <w:link w:val="CommentTextChar"/>
    <w:uiPriority w:val="99"/>
    <w:unhideWhenUsed/>
    <w:rsid w:val="006C30CD"/>
    <w:pPr>
      <w:spacing w:line="240" w:lineRule="auto"/>
    </w:pPr>
    <w:rPr>
      <w:kern w:val="0"/>
      <w:sz w:val="20"/>
      <w:szCs w:val="20"/>
      <w:lang w:val="en-GB"/>
      <w14:ligatures w14:val="none"/>
    </w:rPr>
  </w:style>
  <w:style w:type="character" w:customStyle="1" w:styleId="CommentTextChar">
    <w:name w:val="Comment Text Char"/>
    <w:basedOn w:val="DefaultParagraphFont"/>
    <w:link w:val="CommentText"/>
    <w:uiPriority w:val="99"/>
    <w:rsid w:val="006C30CD"/>
    <w:rPr>
      <w:kern w:val="0"/>
      <w:sz w:val="20"/>
      <w:szCs w:val="20"/>
      <w:lang w:val="en-GB"/>
      <w14:ligatures w14:val="none"/>
    </w:r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rsid w:val="006C30CD"/>
  </w:style>
  <w:style w:type="paragraph" w:customStyle="1" w:styleId="Point1">
    <w:name w:val="Point 1"/>
    <w:basedOn w:val="Normal"/>
    <w:rsid w:val="006C30CD"/>
    <w:pPr>
      <w:spacing w:before="120" w:after="120" w:line="240" w:lineRule="auto"/>
      <w:ind w:left="1417" w:hanging="567"/>
      <w:jc w:val="both"/>
    </w:pPr>
    <w:rPr>
      <w:rFonts w:ascii="Times New Roman" w:hAnsi="Times New Roman" w:cs="Times New Roman"/>
      <w:kern w:val="0"/>
      <w:szCs w:val="22"/>
      <w:lang w:val="en-GB"/>
      <w14:ligatures w14:val="none"/>
    </w:rPr>
  </w:style>
  <w:style w:type="paragraph" w:styleId="CommentSubject">
    <w:name w:val="annotation subject"/>
    <w:basedOn w:val="CommentText"/>
    <w:next w:val="CommentText"/>
    <w:link w:val="CommentSubjectChar"/>
    <w:uiPriority w:val="99"/>
    <w:semiHidden/>
    <w:unhideWhenUsed/>
    <w:rsid w:val="006C30CD"/>
    <w:pPr>
      <w:spacing w:after="200"/>
    </w:pPr>
    <w:rPr>
      <w:b/>
      <w:bCs/>
      <w:kern w:val="2"/>
      <w14:ligatures w14:val="standardContextual"/>
    </w:rPr>
  </w:style>
  <w:style w:type="character" w:customStyle="1" w:styleId="CommentSubjectChar">
    <w:name w:val="Comment Subject Char"/>
    <w:basedOn w:val="CommentTextChar"/>
    <w:link w:val="CommentSubject"/>
    <w:uiPriority w:val="99"/>
    <w:semiHidden/>
    <w:rsid w:val="006C30CD"/>
    <w:rPr>
      <w:b/>
      <w:bCs/>
      <w:kern w:val="0"/>
      <w:sz w:val="20"/>
      <w:szCs w:val="20"/>
      <w:lang w:val="en-GB"/>
      <w14:ligatures w14:val="none"/>
    </w:rPr>
  </w:style>
  <w:style w:type="paragraph" w:styleId="Revision">
    <w:name w:val="Revision"/>
    <w:hidden/>
    <w:uiPriority w:val="99"/>
    <w:semiHidden/>
    <w:rsid w:val="006C30CD"/>
    <w:pPr>
      <w:spacing w:after="0" w:line="240" w:lineRule="auto"/>
    </w:pPr>
    <w:rPr>
      <w:sz w:val="22"/>
      <w:szCs w:val="22"/>
      <w:lang w:val="en-GB"/>
    </w:rPr>
  </w:style>
  <w:style w:type="character" w:customStyle="1" w:styleId="gspbiconslistitemtext">
    <w:name w:val="gspb_iconslist__item__text"/>
    <w:basedOn w:val="DefaultParagraphFont"/>
    <w:rsid w:val="006C30CD"/>
  </w:style>
  <w:style w:type="character" w:styleId="Strong">
    <w:name w:val="Strong"/>
    <w:basedOn w:val="DefaultParagraphFont"/>
    <w:uiPriority w:val="22"/>
    <w:qFormat/>
    <w:rsid w:val="006C30CD"/>
    <w:rPr>
      <w:b/>
      <w:bCs/>
    </w:rPr>
  </w:style>
  <w:style w:type="character" w:styleId="FollowedHyperlink">
    <w:name w:val="FollowedHyperlink"/>
    <w:basedOn w:val="DefaultParagraphFont"/>
    <w:uiPriority w:val="99"/>
    <w:semiHidden/>
    <w:unhideWhenUsed/>
    <w:rsid w:val="006C30CD"/>
    <w:rPr>
      <w:color w:val="96607D" w:themeColor="followedHyperlink"/>
      <w:u w:val="single"/>
    </w:rPr>
  </w:style>
  <w:style w:type="paragraph" w:styleId="NormalWeb">
    <w:name w:val="Normal (Web)"/>
    <w:basedOn w:val="Normal"/>
    <w:uiPriority w:val="99"/>
    <w:unhideWhenUsed/>
    <w:rsid w:val="006C30CD"/>
    <w:pPr>
      <w:spacing w:before="100" w:beforeAutospacing="1" w:after="100" w:afterAutospacing="1" w:line="240" w:lineRule="auto"/>
    </w:pPr>
    <w:rPr>
      <w:rFonts w:ascii="Times New Roman" w:eastAsia="Times New Roman" w:hAnsi="Times New Roman" w:cs="Times New Roman"/>
      <w:kern w:val="0"/>
      <w:lang w:eastAsia="en-IE"/>
    </w:rPr>
  </w:style>
  <w:style w:type="character" w:styleId="BookTitle">
    <w:name w:val="Book Title"/>
    <w:basedOn w:val="DefaultParagraphFont"/>
    <w:uiPriority w:val="33"/>
    <w:qFormat/>
    <w:rsid w:val="006C30CD"/>
    <w:rPr>
      <w:b/>
      <w:bCs/>
      <w:i/>
      <w:iCs/>
      <w:spacing w:val="5"/>
    </w:rPr>
  </w:style>
  <w:style w:type="paragraph" w:customStyle="1" w:styleId="Style3">
    <w:name w:val="Style3"/>
    <w:basedOn w:val="Heading1"/>
    <w:link w:val="Style3Char"/>
    <w:qFormat/>
    <w:rsid w:val="006C30CD"/>
    <w:pPr>
      <w:numPr>
        <w:numId w:val="2"/>
      </w:numPr>
      <w:spacing w:line="276" w:lineRule="auto"/>
    </w:pPr>
    <w:rPr>
      <w:b w:val="0"/>
    </w:rPr>
  </w:style>
  <w:style w:type="character" w:customStyle="1" w:styleId="Style3Char">
    <w:name w:val="Style3 Char"/>
    <w:basedOn w:val="Heading1Char"/>
    <w:link w:val="Style3"/>
    <w:rsid w:val="006C30CD"/>
    <w:rPr>
      <w:rFonts w:ascii="Times New Roman" w:eastAsiaTheme="majorEastAsia" w:hAnsi="Times New Roman" w:cstheme="majorBidi"/>
      <w:b w:val="0"/>
      <w:color w:val="0F4761" w:themeColor="accent1" w:themeShade="BF"/>
      <w:sz w:val="28"/>
      <w:szCs w:val="40"/>
      <w:lang w:val="en-GB"/>
    </w:rPr>
  </w:style>
  <w:style w:type="paragraph" w:customStyle="1" w:styleId="Style4">
    <w:name w:val="Style4"/>
    <w:basedOn w:val="Style2"/>
    <w:link w:val="Style4Char"/>
    <w:qFormat/>
    <w:rsid w:val="006C30CD"/>
    <w:rPr>
      <w:b/>
    </w:rPr>
  </w:style>
  <w:style w:type="character" w:customStyle="1" w:styleId="Style2Char">
    <w:name w:val="Style2 Char"/>
    <w:basedOn w:val="DefaultParagraphFont"/>
    <w:link w:val="Style2"/>
    <w:rsid w:val="006C30CD"/>
    <w:rPr>
      <w:rFonts w:ascii="Times New Roman" w:hAnsi="Times New Roman"/>
      <w:sz w:val="22"/>
      <w:szCs w:val="22"/>
      <w:lang w:val="en-GB"/>
    </w:rPr>
  </w:style>
  <w:style w:type="character" w:customStyle="1" w:styleId="Style4Char">
    <w:name w:val="Style4 Char"/>
    <w:basedOn w:val="Style2Char"/>
    <w:link w:val="Style4"/>
    <w:rsid w:val="006C30CD"/>
    <w:rPr>
      <w:rFonts w:ascii="Times New Roman" w:hAnsi="Times New Roman"/>
      <w:b/>
      <w:sz w:val="22"/>
      <w:szCs w:val="22"/>
      <w:lang w:val="en-GB"/>
    </w:rPr>
  </w:style>
  <w:style w:type="paragraph" w:customStyle="1" w:styleId="Style5">
    <w:name w:val="Style5"/>
    <w:basedOn w:val="Style3"/>
    <w:link w:val="Style5Char"/>
    <w:qFormat/>
    <w:rsid w:val="00DB42A0"/>
    <w:pPr>
      <w:spacing w:before="480" w:after="240" w:line="288" w:lineRule="auto"/>
      <w:ind w:left="425" w:hanging="425"/>
    </w:pPr>
  </w:style>
  <w:style w:type="character" w:customStyle="1" w:styleId="Style5Char">
    <w:name w:val="Style5 Char"/>
    <w:basedOn w:val="Style3Char"/>
    <w:link w:val="Style5"/>
    <w:rsid w:val="00DB42A0"/>
    <w:rPr>
      <w:rFonts w:ascii="Times New Roman" w:eastAsiaTheme="majorEastAsia" w:hAnsi="Times New Roman" w:cstheme="majorBidi"/>
      <w:b w:val="0"/>
      <w:color w:val="0F4761" w:themeColor="accent1" w:themeShade="BF"/>
      <w:sz w:val="28"/>
      <w:szCs w:val="28"/>
      <w:lang w:val="en-GB"/>
    </w:rPr>
  </w:style>
  <w:style w:type="character" w:styleId="Mention">
    <w:name w:val="Mention"/>
    <w:basedOn w:val="DefaultParagraphFont"/>
    <w:uiPriority w:val="99"/>
    <w:unhideWhenUsed/>
    <w:rsid w:val="00245928"/>
    <w:rPr>
      <w:color w:val="2B579A"/>
      <w:shd w:val="clear" w:color="auto" w:fill="E1DFDD"/>
    </w:rPr>
  </w:style>
  <w:style w:type="paragraph" w:styleId="TOCHeading">
    <w:name w:val="TOC Heading"/>
    <w:basedOn w:val="Heading1"/>
    <w:next w:val="Normal"/>
    <w:uiPriority w:val="39"/>
    <w:unhideWhenUsed/>
    <w:qFormat/>
    <w:rsid w:val="003F578E"/>
    <w:pPr>
      <w:spacing w:before="240" w:after="240" w:line="259" w:lineRule="auto"/>
      <w:ind w:left="0"/>
      <w:jc w:val="left"/>
      <w:outlineLvl w:val="9"/>
    </w:pPr>
    <w:rPr>
      <w:rFonts w:ascii="Arial" w:hAnsi="Arial"/>
      <w:kern w:val="0"/>
      <w:szCs w:val="32"/>
      <w:lang w:val="en-US"/>
      <w14:ligatures w14:val="none"/>
    </w:rPr>
  </w:style>
  <w:style w:type="paragraph" w:styleId="TOC2">
    <w:name w:val="toc 2"/>
    <w:basedOn w:val="Normal"/>
    <w:next w:val="Normal"/>
    <w:uiPriority w:val="39"/>
    <w:unhideWhenUsed/>
    <w:rsid w:val="003F578E"/>
    <w:pPr>
      <w:tabs>
        <w:tab w:val="left" w:pos="567"/>
        <w:tab w:val="right" w:leader="dot" w:pos="9016"/>
      </w:tabs>
      <w:spacing w:after="100"/>
      <w:ind w:left="220"/>
    </w:pPr>
    <w:rPr>
      <w:rFonts w:ascii="Arial" w:hAnsi="Arial"/>
      <w:noProof/>
      <w:lang w:val="fr-FR" w:eastAsia="fr-FR"/>
    </w:rPr>
  </w:style>
  <w:style w:type="paragraph" w:styleId="TOC1">
    <w:name w:val="toc 1"/>
    <w:basedOn w:val="Normal"/>
    <w:next w:val="Normal"/>
    <w:uiPriority w:val="39"/>
    <w:unhideWhenUsed/>
    <w:rsid w:val="003F578E"/>
    <w:pPr>
      <w:tabs>
        <w:tab w:val="left" w:pos="440"/>
        <w:tab w:val="right" w:leader="dot" w:pos="9016"/>
      </w:tabs>
      <w:spacing w:after="100"/>
    </w:pPr>
    <w:rPr>
      <w:rFonts w:ascii="Arial" w:hAnsi="Arial"/>
      <w:noProof/>
      <w:lang w:val="fr-FR" w:eastAsia="fr-FR"/>
    </w:rPr>
  </w:style>
  <w:style w:type="paragraph" w:styleId="TOC3">
    <w:name w:val="toc 3"/>
    <w:basedOn w:val="Normal"/>
    <w:next w:val="Normal"/>
    <w:uiPriority w:val="39"/>
    <w:unhideWhenUsed/>
    <w:rsid w:val="003F578E"/>
    <w:pPr>
      <w:tabs>
        <w:tab w:val="right" w:leader="dot" w:pos="9016"/>
      </w:tabs>
      <w:spacing w:after="100"/>
      <w:ind w:left="851"/>
    </w:pPr>
    <w:rPr>
      <w:rFonts w:ascii="Arial" w:hAnsi="Arial"/>
      <w:noProof/>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23883">
      <w:bodyDiv w:val="1"/>
      <w:marLeft w:val="0"/>
      <w:marRight w:val="0"/>
      <w:marTop w:val="0"/>
      <w:marBottom w:val="0"/>
      <w:divBdr>
        <w:top w:val="none" w:sz="0" w:space="0" w:color="auto"/>
        <w:left w:val="none" w:sz="0" w:space="0" w:color="auto"/>
        <w:bottom w:val="none" w:sz="0" w:space="0" w:color="auto"/>
        <w:right w:val="none" w:sz="0" w:space="0" w:color="auto"/>
      </w:divBdr>
    </w:div>
    <w:div w:id="130907675">
      <w:bodyDiv w:val="1"/>
      <w:marLeft w:val="0"/>
      <w:marRight w:val="0"/>
      <w:marTop w:val="0"/>
      <w:marBottom w:val="0"/>
      <w:divBdr>
        <w:top w:val="none" w:sz="0" w:space="0" w:color="auto"/>
        <w:left w:val="none" w:sz="0" w:space="0" w:color="auto"/>
        <w:bottom w:val="none" w:sz="0" w:space="0" w:color="auto"/>
        <w:right w:val="none" w:sz="0" w:space="0" w:color="auto"/>
      </w:divBdr>
    </w:div>
    <w:div w:id="214901738">
      <w:bodyDiv w:val="1"/>
      <w:marLeft w:val="0"/>
      <w:marRight w:val="0"/>
      <w:marTop w:val="0"/>
      <w:marBottom w:val="0"/>
      <w:divBdr>
        <w:top w:val="none" w:sz="0" w:space="0" w:color="auto"/>
        <w:left w:val="none" w:sz="0" w:space="0" w:color="auto"/>
        <w:bottom w:val="none" w:sz="0" w:space="0" w:color="auto"/>
        <w:right w:val="none" w:sz="0" w:space="0" w:color="auto"/>
      </w:divBdr>
    </w:div>
    <w:div w:id="332690192">
      <w:bodyDiv w:val="1"/>
      <w:marLeft w:val="0"/>
      <w:marRight w:val="0"/>
      <w:marTop w:val="0"/>
      <w:marBottom w:val="0"/>
      <w:divBdr>
        <w:top w:val="none" w:sz="0" w:space="0" w:color="auto"/>
        <w:left w:val="none" w:sz="0" w:space="0" w:color="auto"/>
        <w:bottom w:val="none" w:sz="0" w:space="0" w:color="auto"/>
        <w:right w:val="none" w:sz="0" w:space="0" w:color="auto"/>
      </w:divBdr>
    </w:div>
    <w:div w:id="615870385">
      <w:bodyDiv w:val="1"/>
      <w:marLeft w:val="0"/>
      <w:marRight w:val="0"/>
      <w:marTop w:val="0"/>
      <w:marBottom w:val="0"/>
      <w:divBdr>
        <w:top w:val="none" w:sz="0" w:space="0" w:color="auto"/>
        <w:left w:val="none" w:sz="0" w:space="0" w:color="auto"/>
        <w:bottom w:val="none" w:sz="0" w:space="0" w:color="auto"/>
        <w:right w:val="none" w:sz="0" w:space="0" w:color="auto"/>
      </w:divBdr>
    </w:div>
    <w:div w:id="734623603">
      <w:bodyDiv w:val="1"/>
      <w:marLeft w:val="0"/>
      <w:marRight w:val="0"/>
      <w:marTop w:val="0"/>
      <w:marBottom w:val="0"/>
      <w:divBdr>
        <w:top w:val="none" w:sz="0" w:space="0" w:color="auto"/>
        <w:left w:val="none" w:sz="0" w:space="0" w:color="auto"/>
        <w:bottom w:val="none" w:sz="0" w:space="0" w:color="auto"/>
        <w:right w:val="none" w:sz="0" w:space="0" w:color="auto"/>
      </w:divBdr>
    </w:div>
    <w:div w:id="791283697">
      <w:bodyDiv w:val="1"/>
      <w:marLeft w:val="0"/>
      <w:marRight w:val="0"/>
      <w:marTop w:val="0"/>
      <w:marBottom w:val="0"/>
      <w:divBdr>
        <w:top w:val="none" w:sz="0" w:space="0" w:color="auto"/>
        <w:left w:val="none" w:sz="0" w:space="0" w:color="auto"/>
        <w:bottom w:val="none" w:sz="0" w:space="0" w:color="auto"/>
        <w:right w:val="none" w:sz="0" w:space="0" w:color="auto"/>
      </w:divBdr>
    </w:div>
    <w:div w:id="881287607">
      <w:bodyDiv w:val="1"/>
      <w:marLeft w:val="0"/>
      <w:marRight w:val="0"/>
      <w:marTop w:val="0"/>
      <w:marBottom w:val="0"/>
      <w:divBdr>
        <w:top w:val="none" w:sz="0" w:space="0" w:color="auto"/>
        <w:left w:val="none" w:sz="0" w:space="0" w:color="auto"/>
        <w:bottom w:val="none" w:sz="0" w:space="0" w:color="auto"/>
        <w:right w:val="none" w:sz="0" w:space="0" w:color="auto"/>
      </w:divBdr>
    </w:div>
    <w:div w:id="908425019">
      <w:bodyDiv w:val="1"/>
      <w:marLeft w:val="0"/>
      <w:marRight w:val="0"/>
      <w:marTop w:val="0"/>
      <w:marBottom w:val="0"/>
      <w:divBdr>
        <w:top w:val="none" w:sz="0" w:space="0" w:color="auto"/>
        <w:left w:val="none" w:sz="0" w:space="0" w:color="auto"/>
        <w:bottom w:val="none" w:sz="0" w:space="0" w:color="auto"/>
        <w:right w:val="none" w:sz="0" w:space="0" w:color="auto"/>
      </w:divBdr>
    </w:div>
    <w:div w:id="1108163245">
      <w:bodyDiv w:val="1"/>
      <w:marLeft w:val="0"/>
      <w:marRight w:val="0"/>
      <w:marTop w:val="0"/>
      <w:marBottom w:val="0"/>
      <w:divBdr>
        <w:top w:val="none" w:sz="0" w:space="0" w:color="auto"/>
        <w:left w:val="none" w:sz="0" w:space="0" w:color="auto"/>
        <w:bottom w:val="none" w:sz="0" w:space="0" w:color="auto"/>
        <w:right w:val="none" w:sz="0" w:space="0" w:color="auto"/>
      </w:divBdr>
    </w:div>
    <w:div w:id="1175681491">
      <w:bodyDiv w:val="1"/>
      <w:marLeft w:val="0"/>
      <w:marRight w:val="0"/>
      <w:marTop w:val="0"/>
      <w:marBottom w:val="0"/>
      <w:divBdr>
        <w:top w:val="none" w:sz="0" w:space="0" w:color="auto"/>
        <w:left w:val="none" w:sz="0" w:space="0" w:color="auto"/>
        <w:bottom w:val="none" w:sz="0" w:space="0" w:color="auto"/>
        <w:right w:val="none" w:sz="0" w:space="0" w:color="auto"/>
      </w:divBdr>
    </w:div>
    <w:div w:id="1281032597">
      <w:bodyDiv w:val="1"/>
      <w:marLeft w:val="0"/>
      <w:marRight w:val="0"/>
      <w:marTop w:val="0"/>
      <w:marBottom w:val="0"/>
      <w:divBdr>
        <w:top w:val="none" w:sz="0" w:space="0" w:color="auto"/>
        <w:left w:val="none" w:sz="0" w:space="0" w:color="auto"/>
        <w:bottom w:val="none" w:sz="0" w:space="0" w:color="auto"/>
        <w:right w:val="none" w:sz="0" w:space="0" w:color="auto"/>
      </w:divBdr>
    </w:div>
    <w:div w:id="166901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accessible-eu-centre.ec.europa.eu/index_en" TargetMode="External"/><Relationship Id="rId117" Type="http://schemas.openxmlformats.org/officeDocument/2006/relationships/footer" Target="footer5.xml"/><Relationship Id="rId21" Type="http://schemas.openxmlformats.org/officeDocument/2006/relationships/hyperlink" Target="https://social.desa.un.org/issues/disability/crpd/convention-on-the-rights-of-persons-with-disabilities-crpd" TargetMode="External"/><Relationship Id="rId42" Type="http://schemas.openxmlformats.org/officeDocument/2006/relationships/hyperlink" Target="https://www.era.europa.eu/domains/technical-specifications-interoperability/persons-disabilities-and-reduced-mobility-tsi_en" TargetMode="External"/><Relationship Id="rId47" Type="http://schemas.openxmlformats.org/officeDocument/2006/relationships/hyperlink" Target="https://eur-lex.europa.eu/eli/dir/2014/24/oj/eng" TargetMode="External"/><Relationship Id="rId63" Type="http://schemas.openxmlformats.org/officeDocument/2006/relationships/hyperlink" Target="https://new-european-bauhaus.europa.eu/new-european-bauhaus-vision-implementation_en" TargetMode="External"/><Relationship Id="rId68" Type="http://schemas.openxmlformats.org/officeDocument/2006/relationships/hyperlink" Target="https://school-education.ec.europa.eu/en/discover/news/roadmap-school-success-all" TargetMode="External"/><Relationship Id="rId84" Type="http://schemas.openxmlformats.org/officeDocument/2006/relationships/hyperlink" Target="https://commission.europa.eu/funding-tenders/find-funding/eu-funding-programmes/justice-programme_en" TargetMode="External"/><Relationship Id="rId89" Type="http://schemas.openxmlformats.org/officeDocument/2006/relationships/hyperlink" Target="https://home-affairs.ec.europa.eu/policies/migration-and-asylum/pact-migration-and-asylum_en" TargetMode="External"/><Relationship Id="rId112" Type="http://schemas.openxmlformats.org/officeDocument/2006/relationships/hyperlink" Target="https://eu-diversity-inclusion.campaign.europa.eu/european-capitals-inclusion-and-diversity-award_en" TargetMode="External"/><Relationship Id="rId16" Type="http://schemas.openxmlformats.org/officeDocument/2006/relationships/header" Target="header3.xml"/><Relationship Id="rId107" Type="http://schemas.openxmlformats.org/officeDocument/2006/relationships/hyperlink" Target="https://commission.europa.eu/law/law-making-process/better-regulation/better-regulation-guidelines-and-toolbox_en" TargetMode="External"/><Relationship Id="rId11" Type="http://schemas.openxmlformats.org/officeDocument/2006/relationships/image" Target="media/image1.emf"/><Relationship Id="rId32" Type="http://schemas.openxmlformats.org/officeDocument/2006/relationships/hyperlink" Target="https://digital-strategy.ec.europa.eu/en/library/proposal-regulation-digital-networks-act-dna" TargetMode="External"/><Relationship Id="rId37" Type="http://schemas.openxmlformats.org/officeDocument/2006/relationships/hyperlink" Target="https://eur-lex.europa.eu/eli/reg/2023/988/oj/eng" TargetMode="External"/><Relationship Id="rId53" Type="http://schemas.openxmlformats.org/officeDocument/2006/relationships/hyperlink" Target="https://eur-lex.europa.eu/eli/C/2024/7188/oj/eng" TargetMode="External"/><Relationship Id="rId58" Type="http://schemas.openxmlformats.org/officeDocument/2006/relationships/hyperlink" Target="https://eur-lex.europa.eu/legal-content/EN/TXT/PDF/?uri=OJ:C_202301344" TargetMode="External"/><Relationship Id="rId74" Type="http://schemas.openxmlformats.org/officeDocument/2006/relationships/hyperlink" Target="https://health.ec.europa.eu/medicinal-products/legal-framework-governing-medicinal-products-human-use-eu/reform-eu-pharmaceutical-legislation_en" TargetMode="External"/><Relationship Id="rId79" Type="http://schemas.openxmlformats.org/officeDocument/2006/relationships/hyperlink" Target="https://commission.europa.eu/strategy-and-policy/policies/justice-and-fundamental-rights/gender-equality/gender-equality-strategy_en" TargetMode="External"/><Relationship Id="rId102" Type="http://schemas.openxmlformats.org/officeDocument/2006/relationships/hyperlink" Target="https://ec.europa.eu/echo/files/policies/sectoral/doc_echo_og_inclusion_en.pdf" TargetMode="External"/><Relationship Id="rId5" Type="http://schemas.openxmlformats.org/officeDocument/2006/relationships/numbering" Target="numbering.xml"/><Relationship Id="rId90" Type="http://schemas.openxmlformats.org/officeDocument/2006/relationships/hyperlink" Target="https://webgate.ec.europa.eu/circabc-ewpp/d/d/workspace/SpacesStore/b81316ab-a513-49a1-b520-b6a6e0de6986/file.bin" TargetMode="External"/><Relationship Id="rId95" Type="http://schemas.openxmlformats.org/officeDocument/2006/relationships/hyperlink" Target="https://sport.ec.europa.eu/initiatives/beactive-eu-sport-awards" TargetMode="External"/><Relationship Id="rId22" Type="http://schemas.openxmlformats.org/officeDocument/2006/relationships/hyperlink" Target="https://employment-social-affairs.ec.europa.eu/policies-and-activities/european-pillar-social-rights-building-fairer-and-more-inclusive-european-union/european-pillar-social-rights-20-principles_en" TargetMode="External"/><Relationship Id="rId27" Type="http://schemas.openxmlformats.org/officeDocument/2006/relationships/hyperlink" Target="https://eur-lex.europa.eu/legal-content/EN/TXT/?uri=CELEX%3A32019L0882" TargetMode="External"/><Relationship Id="rId43" Type="http://schemas.openxmlformats.org/officeDocument/2006/relationships/hyperlink" Target="https://urban-mobility-observatory.transport.ec.europa.eu/sustainable-urban-mobility-plans/expert-corner-sump-reference-materials_en" TargetMode="External"/><Relationship Id="rId48" Type="http://schemas.openxmlformats.org/officeDocument/2006/relationships/hyperlink" Target="https://eur-lex.europa.eu/eli/dir/2024/2841/oj/eng" TargetMode="External"/><Relationship Id="rId64" Type="http://schemas.openxmlformats.org/officeDocument/2006/relationships/hyperlink" Target="https://housing.ec.europa.eu/document/756915b5-d1b1-4bde-ac82-03532d2d3d90_en" TargetMode="External"/><Relationship Id="rId69" Type="http://schemas.openxmlformats.org/officeDocument/2006/relationships/hyperlink" Target="https://eur-lex.europa.eu/legal-content/EN/TXT/PDF/?uri=OJ:C_202601687" TargetMode="External"/><Relationship Id="rId113" Type="http://schemas.openxmlformats.org/officeDocument/2006/relationships/hyperlink" Target="https://ec.europa.eu/eurostat/web/disability/overview" TargetMode="External"/><Relationship Id="rId118" Type="http://schemas.openxmlformats.org/officeDocument/2006/relationships/header" Target="header6.xml"/><Relationship Id="rId80" Type="http://schemas.openxmlformats.org/officeDocument/2006/relationships/hyperlink" Target="https://commission.europa.eu/publications/lgbtiq-equality-strategy-2026-2030-0_en" TargetMode="External"/><Relationship Id="rId85" Type="http://schemas.openxmlformats.org/officeDocument/2006/relationships/hyperlink" Target="https://eur-lex.europa.eu/legal-content/EN/TXT/?uri=celex:52025DC0801" TargetMode="Externa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hyperlink" Target="https://eur-lex.europa.eu/eli/reg/2022/2065/oj/eng" TargetMode="External"/><Relationship Id="rId38" Type="http://schemas.openxmlformats.org/officeDocument/2006/relationships/hyperlink" Target="https://eur-lex.europa.eu/eli/dir/2025/2647/oj/eng" TargetMode="External"/><Relationship Id="rId59" Type="http://schemas.openxmlformats.org/officeDocument/2006/relationships/hyperlink" Target="https://employment-social-affairs.ec.europa.eu/policies-and-activities/eu-employment-policies/disability-employment-package_en" TargetMode="External"/><Relationship Id="rId103" Type="http://schemas.openxmlformats.org/officeDocument/2006/relationships/hyperlink" Target="https://enlargement.ec.europa.eu/enlargement-policy/strategy-and-reports_en" TargetMode="External"/><Relationship Id="rId108" Type="http://schemas.openxmlformats.org/officeDocument/2006/relationships/hyperlink" Target="https://fra.europa.eu/en/cooperation/eu-partners/eu-crpd-framework" TargetMode="External"/><Relationship Id="rId54" Type="http://schemas.openxmlformats.org/officeDocument/2006/relationships/hyperlink" Target="https://commission.europa.eu/funding-tenders/find-funding/eu-funding-programmes/horizon-europe_en" TargetMode="External"/><Relationship Id="rId70" Type="http://schemas.openxmlformats.org/officeDocument/2006/relationships/hyperlink" Target="https://education.ec.europa.eu/about-eea/strategic-framework" TargetMode="External"/><Relationship Id="rId75" Type="http://schemas.openxmlformats.org/officeDocument/2006/relationships/hyperlink" Target="https://health.ec.europa.eu/medical-devices-sector/new-regulations_en" TargetMode="External"/><Relationship Id="rId91" Type="http://schemas.openxmlformats.org/officeDocument/2006/relationships/hyperlink" Target="https://civil-protection-humanitarian-aid.ec.europa.eu/what/civil-protection/eu-civil-protection-mechanism_en" TargetMode="External"/><Relationship Id="rId96" Type="http://schemas.openxmlformats.org/officeDocument/2006/relationships/hyperlink" Target="https://sport.ec.europa.eu/european-week-of-sport"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commission.europa.eu/topics/competitiveness/competitiveness-compass_en" TargetMode="External"/><Relationship Id="rId28" Type="http://schemas.openxmlformats.org/officeDocument/2006/relationships/hyperlink" Target="https://ec.europa.eu/growth/tools-databases/enorm/mandate/587_en" TargetMode="External"/><Relationship Id="rId49" Type="http://schemas.openxmlformats.org/officeDocument/2006/relationships/hyperlink" Target="https://commission.europa.eu/publications/guide-good-electoral-practices-member-states-addressing-participation-citizens-disabilities_en" TargetMode="External"/><Relationship Id="rId114" Type="http://schemas.openxmlformats.org/officeDocument/2006/relationships/header" Target="header4.xml"/><Relationship Id="rId119" Type="http://schemas.openxmlformats.org/officeDocument/2006/relationships/footer" Target="footer6.xml"/><Relationship Id="rId44" Type="http://schemas.openxmlformats.org/officeDocument/2006/relationships/hyperlink" Target="https://eur-lex.europa.eu/eli/reg/2023/1804/oj/eng" TargetMode="External"/><Relationship Id="rId60" Type="http://schemas.openxmlformats.org/officeDocument/2006/relationships/hyperlink" Target="https://eu-diversity-inclusion.campaign.europa.eu/eu-platform-diversity-charters_en" TargetMode="External"/><Relationship Id="rId65" Type="http://schemas.openxmlformats.org/officeDocument/2006/relationships/hyperlink" Target="https://energy.ec.europa.eu/publications/communication-citizens-energy-package_en" TargetMode="External"/><Relationship Id="rId81" Type="http://schemas.openxmlformats.org/officeDocument/2006/relationships/hyperlink" Target="https://commission.europa.eu/document/f4acc4d4-689e-4db8-8c89-c7243b76ab88_en" TargetMode="External"/><Relationship Id="rId86" Type="http://schemas.openxmlformats.org/officeDocument/2006/relationships/hyperlink" Target="https://eur-lex.europa.eu/eli/dir/2014/41/oj/eng"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ec.europa.eu/eurostat/statistics-explained/index.php?title=Glossary:Disability" TargetMode="External"/><Relationship Id="rId39" Type="http://schemas.openxmlformats.org/officeDocument/2006/relationships/hyperlink" Target="https://commission.europa.eu/strategy-and-policy/policies/consumers/consumer-protection-policy/2030-consumer-agenda_en" TargetMode="External"/><Relationship Id="rId109" Type="http://schemas.openxmlformats.org/officeDocument/2006/relationships/hyperlink" Target="https://commission.europa.eu/document/download/3d1dc4df-7995-44b8-bf08-396930fb8c9d_en?filename=C-2022-2229-EN.pdf" TargetMode="External"/><Relationship Id="rId34" Type="http://schemas.openxmlformats.org/officeDocument/2006/relationships/hyperlink" Target="https://eur-lex.europa.eu/eli/reg/2024/1689/oj/eng" TargetMode="External"/><Relationship Id="rId50" Type="http://schemas.openxmlformats.org/officeDocument/2006/relationships/hyperlink" Target="https://commission.europa.eu/document/2539eb53-9485-4199-bfdc-97166893ff45_en" TargetMode="External"/><Relationship Id="rId55" Type="http://schemas.openxmlformats.org/officeDocument/2006/relationships/hyperlink" Target="https://european-social-fund-plus.ec.europa.eu/en" TargetMode="External"/><Relationship Id="rId76" Type="http://schemas.openxmlformats.org/officeDocument/2006/relationships/hyperlink" Target="https://health.ec.europa.eu/publications/proposal-regulation-establish-measures-strengthen-unions-biotechnology-and-biomanufacturing-sectors_en" TargetMode="External"/><Relationship Id="rId97" Type="http://schemas.openxmlformats.org/officeDocument/2006/relationships/hyperlink" Target="https://www.globaldisabilitysummit.org/amman-berlin-declaration/" TargetMode="External"/><Relationship Id="rId104" Type="http://schemas.openxmlformats.org/officeDocument/2006/relationships/hyperlink" Target="https://www.globaldisabilitysummit.org/" TargetMode="External"/><Relationship Id="rId120"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european-agency.org/" TargetMode="External"/><Relationship Id="rId92" Type="http://schemas.openxmlformats.org/officeDocument/2006/relationships/hyperlink" Target="https://civil-protection-humanitarian-aid.ec.europa.eu/what/civil-protection/emergency-response-coordination-centre-ercc_en" TargetMode="External"/><Relationship Id="rId2" Type="http://schemas.openxmlformats.org/officeDocument/2006/relationships/customXml" Target="../customXml/item2.xml"/><Relationship Id="rId29" Type="http://schemas.openxmlformats.org/officeDocument/2006/relationships/hyperlink" Target="https://eur-lex.europa.eu/eli/dir/2010/13/oj/eng" TargetMode="External"/><Relationship Id="rId24" Type="http://schemas.openxmlformats.org/officeDocument/2006/relationships/hyperlink" Target="https://ec.europa.eu/info/law/better-regulation/have-your-say/initiatives/15452-Enhancing-the-strategy-for-the-rights-of-persons-with-disabilities-up-to-2030_en" TargetMode="External"/><Relationship Id="rId40" Type="http://schemas.openxmlformats.org/officeDocument/2006/relationships/hyperlink" Target="https://commission.europa.eu/live-work-travel-eu/consumer-rights-and-complaints/resolve-your-consumer-complaint/european-consumer-centres-network-ecc-net_en" TargetMode="External"/><Relationship Id="rId45" Type="http://schemas.openxmlformats.org/officeDocument/2006/relationships/hyperlink" Target="https://eur-lex.europa.eu/eli/dir/2009/45/oj/eng" TargetMode="External"/><Relationship Id="rId66" Type="http://schemas.openxmlformats.org/officeDocument/2006/relationships/hyperlink" Target="https://employment-social-affairs.ec.europa.eu/document/ec5447e3-9f62-4c6b-b53b-af7dad8524eb_en" TargetMode="External"/><Relationship Id="rId87" Type="http://schemas.openxmlformats.org/officeDocument/2006/relationships/hyperlink" Target="https://commission.europa.eu/strategy-and-policy/policies/justice-and-fundamental-rights/upholding-rule-law/eu-justice-scoreboard_en" TargetMode="External"/><Relationship Id="rId110" Type="http://schemas.openxmlformats.org/officeDocument/2006/relationships/hyperlink" Target="https://commission.europa.eu/document/download/196676b9-9b29-4034-84ca-d75d3cd5912c_en?filename=fact-sheet-diversity-inclusion-in-workplace-action-plan-2023-2024_en_0.pdf" TargetMode="External"/><Relationship Id="rId115" Type="http://schemas.openxmlformats.org/officeDocument/2006/relationships/header" Target="header5.xml"/><Relationship Id="rId61" Type="http://schemas.openxmlformats.org/officeDocument/2006/relationships/hyperlink" Target="https://capacity4dev.europa.eu/library/social-protection-people-disabilities-europe-analysis-policies-35-countries-0_en" TargetMode="External"/><Relationship Id="rId82" Type="http://schemas.openxmlformats.org/officeDocument/2006/relationships/hyperlink" Target="https://ec.europa.eu/commission/presscorner/detail/en/ip_25_3017" TargetMode="External"/><Relationship Id="rId19" Type="http://schemas.openxmlformats.org/officeDocument/2006/relationships/hyperlink" Target="https://commission.europa.eu/topics/equality-and-inclusion/equality-and-inclusion-key-actions_en" TargetMode="External"/><Relationship Id="rId14" Type="http://schemas.openxmlformats.org/officeDocument/2006/relationships/footer" Target="footer1.xml"/><Relationship Id="rId30" Type="http://schemas.openxmlformats.org/officeDocument/2006/relationships/hyperlink" Target="https://eur-lex.europa.eu/eli/dir/2016/2102/oj" TargetMode="External"/><Relationship Id="rId35" Type="http://schemas.openxmlformats.org/officeDocument/2006/relationships/hyperlink" Target="https://digital-strategy.ec.europa.eu/en/library/commission-publishes-guidelines-prohibited-artificial-intelligence-ai-practices-defined-ai-act" TargetMode="External"/><Relationship Id="rId56" Type="http://schemas.openxmlformats.org/officeDocument/2006/relationships/hyperlink" Target="https://commission.europa.eu/funding-tenders/find-funding/eu-funding-programmes/european-regional-development-fund-erdf_en" TargetMode="External"/><Relationship Id="rId77" Type="http://schemas.openxmlformats.org/officeDocument/2006/relationships/hyperlink" Target="https://health.ec.europa.eu/funding/eu4health-programme-2021-2027-vision-healthier-european-union_en" TargetMode="External"/><Relationship Id="rId100" Type="http://schemas.openxmlformats.org/officeDocument/2006/relationships/hyperlink" Target="https://commission.europa.eu/topics/international-partnerships/global-gateway_en" TargetMode="External"/><Relationship Id="rId105" Type="http://schemas.openxmlformats.org/officeDocument/2006/relationships/hyperlink" Target="https://commission.europa.eu/document/8c30975d-bc1c-4415-8dcd-a71cb28f3662_en" TargetMode="External"/><Relationship Id="rId8" Type="http://schemas.openxmlformats.org/officeDocument/2006/relationships/webSettings" Target="webSettings.xml"/><Relationship Id="rId51" Type="http://schemas.openxmlformats.org/officeDocument/2006/relationships/hyperlink" Target="https://eur-lex.europa.eu/eli/reco/2023/2829/oj/eng" TargetMode="External"/><Relationship Id="rId72" Type="http://schemas.openxmlformats.org/officeDocument/2006/relationships/hyperlink" Target="https://employment-social-affairs.ec.europa.eu/document/7f60af79-936f-42b3-a6c4-a4639c6679ff_en" TargetMode="External"/><Relationship Id="rId93" Type="http://schemas.openxmlformats.org/officeDocument/2006/relationships/hyperlink" Target="https://culture.ec.europa.eu/policies/culture-compass" TargetMode="External"/><Relationship Id="rId98" Type="http://schemas.openxmlformats.org/officeDocument/2006/relationships/hyperlink" Target="https://www.consilium.europa.eu/media/hlyf1gsa/eu-guidelines-human-rights-non-discrimination.pdf" TargetMode="External"/><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digitallibrary.un.org/record/4080772?v=pdf" TargetMode="External"/><Relationship Id="rId46" Type="http://schemas.openxmlformats.org/officeDocument/2006/relationships/hyperlink" Target="https://eur-lex.europa.eu/eli/reg/2012/1025/oj/eng" TargetMode="External"/><Relationship Id="rId67" Type="http://schemas.openxmlformats.org/officeDocument/2006/relationships/hyperlink" Target="https://education.ec.europa.eu/education-levels/school-education/pathways-to-school-success" TargetMode="External"/><Relationship Id="rId116" Type="http://schemas.openxmlformats.org/officeDocument/2006/relationships/footer" Target="footer4.xml"/><Relationship Id="rId20" Type="http://schemas.openxmlformats.org/officeDocument/2006/relationships/hyperlink" Target="https://op.europa.eu/en/publication-detail/-/publication/3e1e2228-7c97-11eb-9ac9-01aa75ed71a1/language-en" TargetMode="External"/><Relationship Id="rId41" Type="http://schemas.openxmlformats.org/officeDocument/2006/relationships/hyperlink" Target="https://www.ohchr.org/en/documents/thematic-reports/ahrc6132-disability-inclusive-infrastructure-including-transport-and" TargetMode="External"/><Relationship Id="rId62" Type="http://schemas.openxmlformats.org/officeDocument/2006/relationships/hyperlink" Target="https://eur-lex.europa.eu/eli/dir/2024/1275/oj/eng" TargetMode="External"/><Relationship Id="rId83" Type="http://schemas.openxmlformats.org/officeDocument/2006/relationships/hyperlink" Target="https://eur-lex.europa.eu/eli/dir/2024/1385/oj/eng" TargetMode="External"/><Relationship Id="rId88" Type="http://schemas.openxmlformats.org/officeDocument/2006/relationships/hyperlink" Target="https://eur-lex.europa.eu/eli/treaty/tfeu_2008/art_83/oj/eng" TargetMode="External"/><Relationship Id="rId111" Type="http://schemas.openxmlformats.org/officeDocument/2006/relationships/hyperlink" Target="https://commission.europa.eu/strategy-and-policy/policies/justice-and-fundamental-rights/disability/access-city-award-aca_en" TargetMode="External"/><Relationship Id="rId15" Type="http://schemas.openxmlformats.org/officeDocument/2006/relationships/footer" Target="footer2.xml"/><Relationship Id="rId36" Type="http://schemas.openxmlformats.org/officeDocument/2006/relationships/hyperlink" Target="https://een.ec.europa.eu/" TargetMode="External"/><Relationship Id="rId57" Type="http://schemas.openxmlformats.org/officeDocument/2006/relationships/hyperlink" Target="https://eur-lex.europa.eu/eli/dir/2000/78/oj/eng" TargetMode="External"/><Relationship Id="rId106" Type="http://schemas.openxmlformats.org/officeDocument/2006/relationships/hyperlink" Target="https://commission.europa.eu/publications/agoraeu_en" TargetMode="External"/><Relationship Id="rId10" Type="http://schemas.openxmlformats.org/officeDocument/2006/relationships/endnotes" Target="endnotes.xml"/><Relationship Id="rId31" Type="http://schemas.openxmlformats.org/officeDocument/2006/relationships/hyperlink" Target="https://eur-lex.europa.eu/eli/dir/2018/1972/oj/eng" TargetMode="External"/><Relationship Id="rId52" Type="http://schemas.openxmlformats.org/officeDocument/2006/relationships/hyperlink" Target="https://commission.europa.eu/publications/report-2024-elections-european-parliament_en" TargetMode="External"/><Relationship Id="rId73" Type="http://schemas.openxmlformats.org/officeDocument/2006/relationships/hyperlink" Target="https://op.europa.eu/en/publication-detail/-/publication/c2959f58-d63d-11f0-8da2-01aa75ed71a1/language-en" TargetMode="External"/><Relationship Id="rId78" Type="http://schemas.openxmlformats.org/officeDocument/2006/relationships/hyperlink" Target="https://health.ec.europa.eu/publications/comprehensive-approach-mental-health_en" TargetMode="External"/><Relationship Id="rId94" Type="http://schemas.openxmlformats.org/officeDocument/2006/relationships/hyperlink" Target="https://erasmus-plus.ec.europa.eu/programme-guide/part-b/key-action-1/discovereu-action" TargetMode="External"/><Relationship Id="rId99" Type="http://schemas.openxmlformats.org/officeDocument/2006/relationships/hyperlink" Target="https://www.eeas.europa.eu/eeas/eu-action-plan-human-rights-and-democracy-0_en" TargetMode="External"/><Relationship Id="rId101" Type="http://schemas.openxmlformats.org/officeDocument/2006/relationships/hyperlink" Target="https://capacity4dev.europa.eu/library/oecd-handbook-policy-marker-inclusion-and-empowerment-persons-disabilities_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prel.ec.europa.eu/" TargetMode="External"/><Relationship Id="rId13" Type="http://schemas.openxmlformats.org/officeDocument/2006/relationships/hyperlink" Target="https://ec.europa.eu/eurostat/cache/dashboard/social-scoreboard/" TargetMode="External"/><Relationship Id="rId18" Type="http://schemas.openxmlformats.org/officeDocument/2006/relationships/hyperlink" Target="https://ec.europa.eu/eurostat/databrowser/view/edat_lfse_40/default/table?lang=en&amp;category=dsb.dsb_educ" TargetMode="External"/><Relationship Id="rId3" Type="http://schemas.openxmlformats.org/officeDocument/2006/relationships/hyperlink" Target="https://www.oecd.org/content/dam/oecd/en/publications/reports/2025/06/combatting-discrimination-in-the-european-union_e408d1a9/29c2c36a-en.pdf" TargetMode="External"/><Relationship Id="rId21" Type="http://schemas.openxmlformats.org/officeDocument/2006/relationships/hyperlink" Target="https://www.who.int/publications/i/item/9789240063600" TargetMode="External"/><Relationship Id="rId7" Type="http://schemas.openxmlformats.org/officeDocument/2006/relationships/hyperlink" Target="https://www.ohchr.org/en/documents/thematic-reports/ahrc4952-artificial-intelligence-and-rights-persons-disabilities-report" TargetMode="External"/><Relationship Id="rId12" Type="http://schemas.openxmlformats.org/officeDocument/2006/relationships/hyperlink" Target="https://ec.europa.eu/eurostat/databrowser/view/tepsr_sp200__custom_10788379/bookmark/table?lang=en&amp;bookmarkId=9c990553-4485-4607-bf77-3b7dfce0176c&amp;c=1775742877000" TargetMode="External"/><Relationship Id="rId17" Type="http://schemas.openxmlformats.org/officeDocument/2006/relationships/hyperlink" Target="https://employment-social-affairs.ec.europa.eu/document/21450169-5eaf-40e7-8a5a-4133f20510f1_en" TargetMode="External"/><Relationship Id="rId2" Type="http://schemas.openxmlformats.org/officeDocument/2006/relationships/hyperlink" Target="https://ec.europa.eu/eurostat/documents/17847228/17905408/GALI-implementing-guidelines.pdf/1f5edb44-7444-a3b2-e6cf-1abba2492ca4?t=1700132867646" TargetMode="External"/><Relationship Id="rId16" Type="http://schemas.openxmlformats.org/officeDocument/2006/relationships/hyperlink" Target="https://build-up.ec.europa.eu/en/resources-and-tools/articles/addressing-energy-poverty-among-people-disabilities-in-Europe%23:~:text=Disability%20and%20energy%20poverty%20are,to%20invest%20in%20energy%20efficiency." TargetMode="External"/><Relationship Id="rId20" Type="http://schemas.openxmlformats.org/officeDocument/2006/relationships/hyperlink" Target="https://eur-lex.europa.eu/eli/dec/2013/1313/oj/eng" TargetMode="External"/><Relationship Id="rId1" Type="http://schemas.openxmlformats.org/officeDocument/2006/relationships/hyperlink" Target="https://ec.europa.eu/eurostat/web/products-eurostat-news/w/wdn-20251203-1" TargetMode="External"/><Relationship Id="rId6" Type="http://schemas.openxmlformats.org/officeDocument/2006/relationships/hyperlink" Target="https://data.consilium.europa.eu/doc/document/ST-15842-2024-INIT/en/pdf" TargetMode="External"/><Relationship Id="rId11" Type="http://schemas.openxmlformats.org/officeDocument/2006/relationships/hyperlink" Target="https://employment-social-affairs.ec.europa.eu/news/women-older-people-migrants-and-persons-disabilities-key-tackling-eu-skills-and-labour-shortages-2025-09-16_en" TargetMode="External"/><Relationship Id="rId5" Type="http://schemas.openxmlformats.org/officeDocument/2006/relationships/hyperlink" Target="https://www.eesc.europa.eu/en/our-work/opinions-information-reports/opinions/future-eu-strategy-rights-persons-disabilities-post-2025" TargetMode="External"/><Relationship Id="rId15" Type="http://schemas.openxmlformats.org/officeDocument/2006/relationships/hyperlink" Target="https://ec.europa.eu/eurostat/databrowser/view/hlth_dpe010__custom_20916269/bookmark/table?lang=en&amp;bookmarkId=e5bdd56b-afdb-4050-8a24-46335707b91d&amp;c=1775742925000" TargetMode="External"/><Relationship Id="rId10" Type="http://schemas.openxmlformats.org/officeDocument/2006/relationships/hyperlink" Target="https://www.eurofound.europa.eu/en/publications/all/paths-towards-independent-living-and-social-inclusion-europe" TargetMode="External"/><Relationship Id="rId19" Type="http://schemas.openxmlformats.org/officeDocument/2006/relationships/hyperlink" Target="https://eucanscreen.eu/" TargetMode="External"/><Relationship Id="rId4" Type="http://schemas.openxmlformats.org/officeDocument/2006/relationships/hyperlink" Target="https://www.europarl.europa.eu/doceo/document/TA-10-2025-0308_EN.html" TargetMode="External"/><Relationship Id="rId9" Type="http://schemas.openxmlformats.org/officeDocument/2006/relationships/hyperlink" Target="http://data.europa.eu/eli/dir/2024/2842/oj" TargetMode="External"/><Relationship Id="rId14" Type="http://schemas.openxmlformats.org/officeDocument/2006/relationships/hyperlink" Target="https://www.eurofound.europa.eu/en/publications/all/eurofound-work-programme-2026" TargetMode="External"/></Relationships>
</file>

<file path=word/theme/theme1.xml><?xml version="1.0" encoding="utf-8"?>
<a:theme xmlns:a="http://schemas.openxmlformats.org/drawingml/2006/main" name="Office Theme">
  <a:themeElements>
    <a:clrScheme name="Custom 10">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0563C1"/>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bf3bd7-73ad-4948-8b71-aa2c92f5310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DEBFA01D8CDE41AAE050D7D7CF61F9" ma:contentTypeVersion="12" ma:contentTypeDescription="Create a new document." ma:contentTypeScope="" ma:versionID="c37d121bfc176b0c30af95a18dc293e8">
  <xsd:schema xmlns:xsd="http://www.w3.org/2001/XMLSchema" xmlns:xs="http://www.w3.org/2001/XMLSchema" xmlns:p="http://schemas.microsoft.com/office/2006/metadata/properties" xmlns:ns2="38bf3bd7-73ad-4948-8b71-aa2c92f53103" targetNamespace="http://schemas.microsoft.com/office/2006/metadata/properties" ma:root="true" ma:fieldsID="b09be03f80295138cbedb8362737638c" ns2:_="">
    <xsd:import namespace="38bf3bd7-73ad-4948-8b71-aa2c92f531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f3bd7-73ad-4948-8b71-aa2c92f53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89B0BB-4B82-4E98-BCF2-4AA8EFAD90FC}">
  <ds:schemaRefs>
    <ds:schemaRef ds:uri="http://schemas.openxmlformats.org/officeDocument/2006/bibliography"/>
  </ds:schemaRefs>
</ds:datastoreItem>
</file>

<file path=customXml/itemProps2.xml><?xml version="1.0" encoding="utf-8"?>
<ds:datastoreItem xmlns:ds="http://schemas.openxmlformats.org/officeDocument/2006/customXml" ds:itemID="{56FE796D-7D32-4C9F-8CFE-C5C93CD7BAF8}">
  <ds:schemaRefs>
    <ds:schemaRef ds:uri="http://schemas.microsoft.com/sharepoint/v3/contenttype/forms"/>
  </ds:schemaRefs>
</ds:datastoreItem>
</file>

<file path=customXml/itemProps3.xml><?xml version="1.0" encoding="utf-8"?>
<ds:datastoreItem xmlns:ds="http://schemas.openxmlformats.org/officeDocument/2006/customXml" ds:itemID="{A8E1151E-C9C1-4797-BFF8-C4315BB455B5}">
  <ds:schemaRefs>
    <ds:schemaRef ds:uri="http://schemas.microsoft.com/office/2006/metadata/properties"/>
    <ds:schemaRef ds:uri="http://schemas.microsoft.com/office/infopath/2007/PartnerControls"/>
    <ds:schemaRef ds:uri="38bf3bd7-73ad-4948-8b71-aa2c92f53103"/>
  </ds:schemaRefs>
</ds:datastoreItem>
</file>

<file path=customXml/itemProps4.xml><?xml version="1.0" encoding="utf-8"?>
<ds:datastoreItem xmlns:ds="http://schemas.openxmlformats.org/officeDocument/2006/customXml" ds:itemID="{A98EE92F-EEEA-4B17-BBAF-F0893AB58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f3bd7-73ad-4948-8b71-aa2c92f53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23</Pages>
  <Words>8073</Words>
  <Characters>48196</Characters>
  <Application>Microsoft Office Word</Application>
  <DocSecurity>0</DocSecurity>
  <Lines>688</Lines>
  <Paragraphs>190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GEDEI Ottilia (SG)</cp:lastModifiedBy>
  <cp:revision>4</cp:revision>
  <dcterms:created xsi:type="dcterms:W3CDTF">2026-05-05T20:23:00Z</dcterms:created>
  <dcterms:modified xsi:type="dcterms:W3CDTF">2026-05-06T10:20:00Z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2026-05-04T16:39:12Z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d32f2b84-b5b8-4ae4-90fc-3c63c2fe6d99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Part">
    <vt:lpwstr>1</vt:lpwstr>
  </property>
  <property fmtid="{D5CDD505-2E9C-101B-9397-08002B2CF9AE}" pid="13" name="EC_TX_Corporate_x0020_Body">
    <vt:lpwstr/>
  </property>
  <property fmtid="{D5CDD505-2E9C-101B-9397-08002B2CF9AE}" pid="14" name="EC_TX_All_World_Countries">
    <vt:lpwstr/>
  </property>
  <property fmtid="{D5CDD505-2E9C-101B-9397-08002B2CF9AE}" pid="15" name="MediaServiceImageTags">
    <vt:lpwstr/>
  </property>
  <property fmtid="{D5CDD505-2E9C-101B-9397-08002B2CF9AE}" pid="16" name="ContentTypeId">
    <vt:lpwstr>0x01010093DEBFA01D8CDE41AAE050D7D7CF61F9</vt:lpwstr>
  </property>
  <property fmtid="{D5CDD505-2E9C-101B-9397-08002B2CF9AE}" pid="17" name="EC_TX_Corporate Body">
    <vt:lpwstr/>
  </property>
  <property fmtid="{D5CDD505-2E9C-101B-9397-08002B2CF9AE}" pid="18" name="i8c8ab8b63424c5d9f8c4a8434abf670">
    <vt:lpwstr/>
  </property>
  <property fmtid="{D5CDD505-2E9C-101B-9397-08002B2CF9AE}" pid="19" name="EC_TX_Resource_Type">
    <vt:lpwstr/>
  </property>
  <property fmtid="{D5CDD505-2E9C-101B-9397-08002B2CF9AE}" pid="20" name="Created using">
    <vt:lpwstr>LW 9.2, Build 20250828</vt:lpwstr>
  </property>
  <property fmtid="{D5CDD505-2E9C-101B-9397-08002B2CF9AE}" pid="21" name="EC_TX_Policy_Area">
    <vt:lpwstr/>
  </property>
  <property fmtid="{D5CDD505-2E9C-101B-9397-08002B2CF9AE}" pid="22" name="EC_TX_EU_Member_State">
    <vt:lpwstr/>
  </property>
  <property fmtid="{D5CDD505-2E9C-101B-9397-08002B2CF9AE}" pid="23" name="Total parts">
    <vt:lpwstr>1</vt:lpwstr>
  </property>
  <property fmtid="{D5CDD505-2E9C-101B-9397-08002B2CF9AE}" pid="24" name="j8309f8bc3e645d1a2f07391f8e5795a">
    <vt:lpwstr/>
  </property>
  <property fmtid="{D5CDD505-2E9C-101B-9397-08002B2CF9AE}" pid="25" name="g81cb4d17be94922847ce418ea81f55a">
    <vt:lpwstr/>
  </property>
  <property fmtid="{D5CDD505-2E9C-101B-9397-08002B2CF9AE}" pid="26" name="Level of sensitivity">
    <vt:lpwstr>Standard treatment</vt:lpwstr>
  </property>
  <property fmtid="{D5CDD505-2E9C-101B-9397-08002B2CF9AE}" pid="27" name="TaxCatchAll">
    <vt:lpwstr/>
  </property>
  <property fmtid="{D5CDD505-2E9C-101B-9397-08002B2CF9AE}" pid="28" name="CPTemplateID">
    <vt:lpwstr>CP-014</vt:lpwstr>
  </property>
  <property fmtid="{D5CDD505-2E9C-101B-9397-08002B2CF9AE}" pid="29" name="k2c54712f93b47eb83e1835ba301b6c6">
    <vt:lpwstr/>
  </property>
  <property fmtid="{D5CDD505-2E9C-101B-9397-08002B2CF9AE}" pid="30" name="EC_TX_Strategic_Priority">
    <vt:lpwstr/>
  </property>
  <property fmtid="{D5CDD505-2E9C-101B-9397-08002B2CF9AE}" pid="31" name="EC_TX_EU_Political_Leader">
    <vt:lpwstr/>
  </property>
  <property fmtid="{D5CDD505-2E9C-101B-9397-08002B2CF9AE}" pid="32" name="p6ffe5294acd41c38db3fcc8ababb05f">
    <vt:lpwstr/>
  </property>
  <property fmtid="{D5CDD505-2E9C-101B-9397-08002B2CF9AE}" pid="33" name="p26229aee9004b9f888149fd0449ec68">
    <vt:lpwstr/>
  </property>
  <property fmtid="{D5CDD505-2E9C-101B-9397-08002B2CF9AE}" pid="34" name="eff2cf69f10b4279bbb27215ca009b37">
    <vt:lpwstr/>
  </property>
</Properties>
</file>