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AEAA44" w14:textId="2B04A1CE" w:rsidR="00F87E5B" w:rsidRPr="00066452" w:rsidRDefault="00F77A11" w:rsidP="00F77A11">
      <w:pPr>
        <w:pStyle w:val="Pagedecouverture"/>
        <w:rPr>
          <w:noProof/>
        </w:rPr>
      </w:pPr>
      <w:bookmarkStart w:id="0" w:name="LW_BM_COVERPAGE"/>
      <w:r>
        <w:rPr>
          <w:noProof/>
        </w:rPr>
        <w:pict w14:anchorId="7B3F013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66F61C4F-970E-4FC5-AEF7-E3D1959BA175" style="width:455.25pt;height:313.5pt">
            <v:imagedata r:id="rId11" o:title=""/>
          </v:shape>
        </w:pict>
      </w:r>
    </w:p>
    <w:bookmarkEnd w:id="0"/>
    <w:p w14:paraId="1EE48820" w14:textId="77777777" w:rsidR="00F87E5B" w:rsidRPr="00066452" w:rsidRDefault="00F87E5B" w:rsidP="00860F83">
      <w:pPr>
        <w:spacing w:before="100" w:beforeAutospacing="1" w:after="100" w:afterAutospacing="1" w:line="240" w:lineRule="auto"/>
        <w:jc w:val="both"/>
        <w:rPr>
          <w:noProof/>
        </w:rPr>
        <w:sectPr w:rsidR="00F87E5B" w:rsidRPr="00066452" w:rsidSect="00F77A11">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1"/>
          <w:cols w:space="720"/>
          <w:docGrid w:linePitch="360"/>
        </w:sectPr>
      </w:pPr>
    </w:p>
    <w:p w14:paraId="04B902F9" w14:textId="41F374D7" w:rsidR="00FB01BD" w:rsidRPr="002D57F2" w:rsidRDefault="00FB01BD" w:rsidP="00FB01BD">
      <w:pPr>
        <w:pStyle w:val="Heading1"/>
        <w:ind w:left="0"/>
        <w:rPr>
          <w:rFonts w:ascii="Arial" w:hAnsi="Arial" w:cs="Arial"/>
          <w:noProof/>
        </w:rPr>
      </w:pPr>
      <w:bookmarkStart w:id="1" w:name="_Toc228880165"/>
      <w:bookmarkStart w:id="2" w:name="_GoBack"/>
      <w:bookmarkEnd w:id="2"/>
      <w:r>
        <w:rPr>
          <w:rFonts w:ascii="Arial" w:hAnsi="Arial"/>
          <w:noProof/>
        </w:rPr>
        <w:lastRenderedPageBreak/>
        <w:t>INTRODUCERE</w:t>
      </w:r>
      <w:bookmarkEnd w:id="1"/>
    </w:p>
    <w:p w14:paraId="48B3B9BD"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 xml:space="preserve">Aproximativ 90 de milioane de persoane din UE trăiesc cu un </w:t>
      </w:r>
      <w:hyperlink r:id="rId18" w:history="1">
        <w:r>
          <w:rPr>
            <w:rStyle w:val="Hyperlink"/>
            <w:rFonts w:ascii="Arial" w:hAnsi="Arial"/>
            <w:b/>
            <w:noProof/>
            <w:sz w:val="24"/>
          </w:rPr>
          <w:t>handicap</w:t>
        </w:r>
      </w:hyperlink>
      <w:r>
        <w:rPr>
          <w:rFonts w:ascii="Arial" w:hAnsi="Arial"/>
          <w:b/>
          <w:noProof/>
          <w:sz w:val="24"/>
        </w:rPr>
        <w:t xml:space="preserve"> </w:t>
      </w:r>
      <w:r>
        <w:rPr>
          <w:rFonts w:ascii="Arial" w:hAnsi="Arial"/>
          <w:noProof/>
          <w:sz w:val="24"/>
          <w:vertAlign w:val="superscript"/>
        </w:rPr>
        <w:t>(</w:t>
      </w:r>
      <w:r>
        <w:rPr>
          <w:rStyle w:val="FootnoteReference"/>
          <w:rFonts w:ascii="Arial" w:hAnsi="Arial" w:cs="Arial"/>
          <w:noProof/>
        </w:rPr>
        <w:footnoteReference w:id="1"/>
      </w:r>
      <w:r>
        <w:rPr>
          <w:rStyle w:val="normaltextrun"/>
          <w:rFonts w:ascii="Arial" w:hAnsi="Arial"/>
          <w:noProof/>
          <w:sz w:val="24"/>
          <w:vertAlign w:val="superscript"/>
        </w:rPr>
        <w:t>)</w:t>
      </w:r>
      <w:r>
        <w:rPr>
          <w:rFonts w:ascii="Arial" w:hAnsi="Arial"/>
          <w:noProof/>
          <w:sz w:val="24"/>
        </w:rPr>
        <w:t xml:space="preserve">. Dată fiind diversitatea situațiilor cu care se confruntă, persoanele cu handicap reprezintă un grup eterogen, cu nevoi diferite. Le unește însă un fapt simplu: </w:t>
      </w:r>
      <w:r>
        <w:rPr>
          <w:rFonts w:ascii="Arial" w:hAnsi="Arial"/>
          <w:b/>
          <w:noProof/>
          <w:sz w:val="24"/>
        </w:rPr>
        <w:t>au aceleași drepturi ca și restul populației.</w:t>
      </w:r>
      <w:r>
        <w:rPr>
          <w:rFonts w:ascii="Arial" w:hAnsi="Arial"/>
          <w:noProof/>
          <w:sz w:val="24"/>
        </w:rPr>
        <w:t xml:space="preserve"> Handicapul rezultă din interacțiunea dintre deficiențe și barierele comportamentale sau de mediu care împiedică participarea deplină și efectivă în societate, în condiții de egalitate cu ceilalți. Handicapul poate fi prezent încă de la naștere sau poate apărea mai târziu în viață, inclusiv ca urmare a îmbătrânirii. Prin urmare, handicapul afectează societățile în ansamblu: în diferite momente ale vieții, multe persoane se vor confrunta cu situații în care obstacolele le vor împiedica să participe pe deplin în societate. </w:t>
      </w:r>
      <w:r>
        <w:rPr>
          <w:rFonts w:ascii="Arial" w:hAnsi="Arial"/>
          <w:b/>
          <w:noProof/>
          <w:sz w:val="24"/>
        </w:rPr>
        <w:t>Handicapul și drepturile persoanelor cu handicap ne privesc pe toți</w:t>
      </w:r>
      <w:r>
        <w:rPr>
          <w:rFonts w:ascii="Arial" w:hAnsi="Arial"/>
          <w:noProof/>
          <w:sz w:val="24"/>
        </w:rPr>
        <w:t>.</w:t>
      </w:r>
    </w:p>
    <w:p w14:paraId="31E952BD"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Alături de alte </w:t>
      </w:r>
      <w:hyperlink r:id="rId19" w:history="1">
        <w:r>
          <w:rPr>
            <w:rStyle w:val="Hyperlink"/>
            <w:rFonts w:ascii="Arial" w:hAnsi="Arial"/>
            <w:noProof/>
            <w:sz w:val="24"/>
          </w:rPr>
          <w:t>strategii ale UE în materie de egalitate</w:t>
        </w:r>
      </w:hyperlink>
      <w:r>
        <w:rPr>
          <w:rFonts w:ascii="Arial" w:hAnsi="Arial"/>
          <w:noProof/>
          <w:sz w:val="24"/>
        </w:rPr>
        <w:t xml:space="preserve">, </w:t>
      </w:r>
      <w:hyperlink r:id="rId20" w:history="1">
        <w:r>
          <w:rPr>
            <w:rStyle w:val="Hyperlink"/>
            <w:rFonts w:ascii="Arial" w:hAnsi="Arial"/>
            <w:noProof/>
            <w:sz w:val="24"/>
          </w:rPr>
          <w:t>Strategia privind drepturile persoanelor cu handicap 2021-2030</w:t>
        </w:r>
      </w:hyperlink>
      <w:r>
        <w:rPr>
          <w:rFonts w:ascii="Arial" w:hAnsi="Arial"/>
          <w:noProof/>
          <w:sz w:val="24"/>
        </w:rPr>
        <w:t xml:space="preserve"> („strategia”) contribuie la crearea unei </w:t>
      </w:r>
      <w:r>
        <w:rPr>
          <w:rFonts w:ascii="Arial" w:hAnsi="Arial"/>
          <w:b/>
          <w:noProof/>
          <w:sz w:val="24"/>
        </w:rPr>
        <w:t>Uniuni a egalității</w:t>
      </w:r>
      <w:r>
        <w:rPr>
          <w:rFonts w:ascii="Arial" w:hAnsi="Arial"/>
          <w:noProof/>
          <w:sz w:val="24"/>
        </w:rPr>
        <w:t xml:space="preserve"> pentru a combate discriminarea și pentru a îmbunătăți viața persoanelor cu handicap din UE și din întreaga lume. Strategia oferă un cadru pentru: (i) punerea în aplicare a drepturilor și acțiunilor UE; (ii) eliminarea barierelor care împiedică persoanele cu handicap să ducă o viață independentă și să contribuie la societate și economie, la fel ca toți ceilalți cetățeni; (iii) colaborarea cu părțile interesate și obținerea de rezultate.</w:t>
      </w:r>
    </w:p>
    <w:p w14:paraId="5F17F6A6"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Aceste obiective se aliniază la</w:t>
      </w:r>
      <w:r>
        <w:rPr>
          <w:noProof/>
        </w:rPr>
        <w:t xml:space="preserve"> </w:t>
      </w:r>
      <w:hyperlink r:id="rId21" w:history="1">
        <w:r>
          <w:rPr>
            <w:rStyle w:val="Hyperlink"/>
            <w:rFonts w:ascii="Arial" w:hAnsi="Arial"/>
            <w:noProof/>
            <w:sz w:val="24"/>
          </w:rPr>
          <w:t>Convenția Națiunilor Unite privind drepturile persoanelor cu handicap (CNUDPH)</w:t>
        </w:r>
      </w:hyperlink>
      <w:r>
        <w:rPr>
          <w:noProof/>
        </w:rPr>
        <w:t xml:space="preserve"> </w:t>
      </w:r>
      <w:r>
        <w:rPr>
          <w:rFonts w:ascii="Arial" w:hAnsi="Arial"/>
          <w:noProof/>
          <w:sz w:val="24"/>
        </w:rPr>
        <w:t>și la</w:t>
      </w:r>
      <w:r>
        <w:rPr>
          <w:noProof/>
        </w:rPr>
        <w:t xml:space="preserve"> </w:t>
      </w:r>
      <w:hyperlink r:id="rId22" w:history="1">
        <w:r>
          <w:rPr>
            <w:rStyle w:val="Hyperlink"/>
            <w:rFonts w:ascii="Arial" w:hAnsi="Arial"/>
            <w:noProof/>
            <w:sz w:val="24"/>
          </w:rPr>
          <w:t>Pilonul european al drepturilor sociale</w:t>
        </w:r>
      </w:hyperlink>
      <w:r>
        <w:rPr>
          <w:rFonts w:ascii="Arial" w:hAnsi="Arial"/>
          <w:noProof/>
        </w:rPr>
        <w:t xml:space="preserve">. </w:t>
      </w:r>
      <w:r>
        <w:rPr>
          <w:rFonts w:ascii="Arial" w:hAnsi="Arial"/>
          <w:noProof/>
          <w:sz w:val="24"/>
        </w:rPr>
        <w:t xml:space="preserve">De asemenea, răspund obiectivelor </w:t>
      </w:r>
      <w:hyperlink r:id="rId23" w:history="1">
        <w:r>
          <w:rPr>
            <w:rStyle w:val="Hyperlink"/>
            <w:rFonts w:ascii="Arial" w:hAnsi="Arial"/>
            <w:noProof/>
            <w:sz w:val="24"/>
          </w:rPr>
          <w:t>Busolei pentru competitivitate</w:t>
        </w:r>
      </w:hyperlink>
      <w:r>
        <w:rPr>
          <w:rFonts w:ascii="Arial" w:hAnsi="Arial"/>
          <w:noProof/>
          <w:sz w:val="24"/>
        </w:rPr>
        <w:t xml:space="preserve">, valorificând contribuția persoanelor cu handicap la economie și societate și transformând-o într-un atu pentru o Uniune mai competitivă </w:t>
      </w:r>
      <w:r>
        <w:rPr>
          <w:rFonts w:ascii="Arial" w:hAnsi="Arial"/>
          <w:noProof/>
          <w:sz w:val="24"/>
          <w:vertAlign w:val="superscript"/>
        </w:rPr>
        <w:t>(</w:t>
      </w:r>
      <w:r>
        <w:rPr>
          <w:rStyle w:val="FootnoteReference"/>
          <w:rFonts w:ascii="Arial" w:hAnsi="Arial" w:cs="Arial"/>
          <w:noProof/>
        </w:rPr>
        <w:footnoteReference w:id="2"/>
      </w:r>
      <w:r>
        <w:rPr>
          <w:rStyle w:val="normaltextrun"/>
          <w:rFonts w:ascii="Arial" w:hAnsi="Arial"/>
          <w:noProof/>
          <w:sz w:val="24"/>
          <w:vertAlign w:val="superscript"/>
        </w:rPr>
        <w:t>)</w:t>
      </w:r>
      <w:r>
        <w:rPr>
          <w:rFonts w:ascii="Arial" w:hAnsi="Arial"/>
          <w:noProof/>
          <w:sz w:val="24"/>
        </w:rPr>
        <w:t>.</w:t>
      </w:r>
    </w:p>
    <w:p w14:paraId="355E1DEA" w14:textId="0D874A6C" w:rsidR="00FB01BD" w:rsidRPr="002D57F2" w:rsidRDefault="00FB01BD" w:rsidP="00FB01BD">
      <w:pPr>
        <w:pStyle w:val="Style2"/>
        <w:spacing w:line="288" w:lineRule="auto"/>
        <w:rPr>
          <w:rFonts w:ascii="Arial" w:hAnsi="Arial" w:cs="Arial"/>
          <w:b/>
          <w:bCs/>
          <w:noProof/>
          <w:sz w:val="24"/>
          <w:szCs w:val="24"/>
        </w:rPr>
      </w:pPr>
      <w:r>
        <w:rPr>
          <w:rFonts w:ascii="Arial" w:hAnsi="Arial"/>
          <w:b/>
          <w:noProof/>
          <w:sz w:val="24"/>
        </w:rPr>
        <w:t>La jumătatea perioadei de punere în aplicare a strategiei, UE trebuie să își intensifice acțiunile</w:t>
      </w:r>
      <w:r>
        <w:rPr>
          <w:rFonts w:ascii="Arial" w:hAnsi="Arial"/>
          <w:noProof/>
          <w:sz w:val="24"/>
        </w:rPr>
        <w:t xml:space="preserve">, să asigure un angajament reînnoit în toate sectoarele în cadrul unei abordări integratoare și să își reafirme sprijinul față de obiectivele principale ale strategiei – </w:t>
      </w:r>
      <w:r>
        <w:rPr>
          <w:rFonts w:ascii="Arial" w:hAnsi="Arial"/>
          <w:b/>
          <w:noProof/>
          <w:sz w:val="24"/>
        </w:rPr>
        <w:t>autodeterminare, autonomie și participare</w:t>
      </w:r>
      <w:r>
        <w:rPr>
          <w:rFonts w:ascii="Arial" w:hAnsi="Arial"/>
          <w:noProof/>
          <w:sz w:val="24"/>
        </w:rPr>
        <w:t>.</w:t>
      </w:r>
      <w:r>
        <w:rPr>
          <w:rFonts w:ascii="Arial" w:hAnsi="Arial"/>
          <w:b/>
          <w:noProof/>
          <w:sz w:val="24"/>
        </w:rPr>
        <w:t xml:space="preserve"> </w:t>
      </w:r>
      <w:r>
        <w:rPr>
          <w:rFonts w:ascii="Arial" w:hAnsi="Arial"/>
          <w:noProof/>
          <w:sz w:val="24"/>
        </w:rPr>
        <w:t xml:space="preserve">Deși obiectivele generale stabilite în strategie nu s-au schimbat, sunt necesare acțiuni consolidate pentru a le atinge până în 2030. </w:t>
      </w:r>
      <w:hyperlink r:id="rId24" w:history="1">
        <w:r>
          <w:rPr>
            <w:rStyle w:val="Hyperlink"/>
            <w:rFonts w:ascii="Arial" w:hAnsi="Arial"/>
            <w:noProof/>
            <w:sz w:val="24"/>
          </w:rPr>
          <w:t>Consultările</w:t>
        </w:r>
      </w:hyperlink>
      <w:r>
        <w:rPr>
          <w:rFonts w:ascii="Arial" w:hAnsi="Arial"/>
          <w:noProof/>
          <w:sz w:val="24"/>
        </w:rPr>
        <w:t xml:space="preserve"> anterioare elaborării acestei comunicări, pozițiile celorlalte instituții ale UE </w:t>
      </w:r>
      <w:r>
        <w:rPr>
          <w:rFonts w:ascii="Arial" w:hAnsi="Arial"/>
          <w:noProof/>
          <w:sz w:val="24"/>
          <w:vertAlign w:val="superscript"/>
        </w:rPr>
        <w:t>(</w:t>
      </w:r>
      <w:r>
        <w:rPr>
          <w:rStyle w:val="FootnoteReference"/>
          <w:rFonts w:ascii="Arial" w:hAnsi="Arial" w:cs="Arial"/>
          <w:noProof/>
        </w:rPr>
        <w:footnoteReference w:id="3"/>
      </w:r>
      <w:r>
        <w:rPr>
          <w:rStyle w:val="normaltextrun"/>
          <w:rFonts w:ascii="Arial" w:hAnsi="Arial"/>
          <w:noProof/>
          <w:sz w:val="24"/>
          <w:vertAlign w:val="superscript"/>
        </w:rPr>
        <w:t>)</w:t>
      </w:r>
      <w:r>
        <w:rPr>
          <w:rFonts w:ascii="Arial" w:hAnsi="Arial"/>
          <w:noProof/>
          <w:sz w:val="24"/>
        </w:rPr>
        <w:t xml:space="preserve">, </w:t>
      </w:r>
      <w:hyperlink r:id="rId25" w:history="1">
        <w:r>
          <w:rPr>
            <w:rStyle w:val="Hyperlink"/>
            <w:rFonts w:ascii="Arial" w:hAnsi="Arial"/>
            <w:noProof/>
            <w:sz w:val="24"/>
          </w:rPr>
          <w:t>observațiile finale</w:t>
        </w:r>
      </w:hyperlink>
      <w:r>
        <w:rPr>
          <w:rFonts w:ascii="Arial" w:hAnsi="Arial"/>
          <w:noProof/>
          <w:sz w:val="24"/>
        </w:rPr>
        <w:t xml:space="preserve"> transmise UE de comitetul relevant al ONU în 2025, precum și o evaluare a progreselor înregistrate </w:t>
      </w:r>
      <w:r>
        <w:rPr>
          <w:rStyle w:val="normaltextrun"/>
          <w:rFonts w:ascii="Arial" w:hAnsi="Arial"/>
          <w:noProof/>
          <w:sz w:val="24"/>
          <w:vertAlign w:val="superscript"/>
        </w:rPr>
        <w:t>(</w:t>
      </w:r>
      <w:r>
        <w:rPr>
          <w:rStyle w:val="FootnoteReference"/>
          <w:rFonts w:ascii="Arial" w:hAnsi="Arial" w:cs="Arial"/>
          <w:noProof/>
        </w:rPr>
        <w:footnoteReference w:id="4"/>
      </w:r>
      <w:r>
        <w:rPr>
          <w:rStyle w:val="normaltextrun"/>
          <w:rFonts w:ascii="Arial" w:hAnsi="Arial"/>
          <w:noProof/>
          <w:sz w:val="24"/>
          <w:vertAlign w:val="superscript"/>
        </w:rPr>
        <w:t>)</w:t>
      </w:r>
      <w:r>
        <w:rPr>
          <w:rFonts w:ascii="Arial" w:hAnsi="Arial"/>
          <w:noProof/>
          <w:sz w:val="24"/>
        </w:rPr>
        <w:t xml:space="preserve"> contribuie la identificarea domeniilor în care este nevoie de eforturi suplimentare.</w:t>
      </w:r>
    </w:p>
    <w:p w14:paraId="76AE6B27" w14:textId="77777777" w:rsidR="00FB01BD" w:rsidRPr="002D57F2" w:rsidRDefault="00FB01BD" w:rsidP="00FB01BD">
      <w:pPr>
        <w:pStyle w:val="Style2"/>
        <w:spacing w:line="288" w:lineRule="auto"/>
        <w:rPr>
          <w:rFonts w:ascii="Arial" w:hAnsi="Arial" w:cs="Arial"/>
          <w:b/>
          <w:bCs/>
          <w:noProof/>
          <w:sz w:val="24"/>
          <w:szCs w:val="24"/>
        </w:rPr>
      </w:pPr>
      <w:r>
        <w:rPr>
          <w:rFonts w:ascii="Arial" w:hAnsi="Arial"/>
          <w:noProof/>
          <w:sz w:val="24"/>
        </w:rPr>
        <w:t xml:space="preserve">Prin urmare, Comisia consolidează strategia pentru a orienta UE și statele sale membre în angajamentul lor comun de </w:t>
      </w:r>
      <w:r>
        <w:rPr>
          <w:rFonts w:ascii="Arial" w:hAnsi="Arial"/>
          <w:b/>
          <w:noProof/>
          <w:sz w:val="24"/>
        </w:rPr>
        <w:t>a spori incluziunea persoanelor cu handicap până în 2030</w:t>
      </w:r>
      <w:r>
        <w:rPr>
          <w:rFonts w:ascii="Arial" w:hAnsi="Arial"/>
          <w:noProof/>
          <w:sz w:val="24"/>
        </w:rPr>
        <w:t>.</w:t>
      </w:r>
    </w:p>
    <w:p w14:paraId="1C51AC82"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Acțiunile planificate includ </w:t>
      </w:r>
      <w:r>
        <w:rPr>
          <w:rFonts w:ascii="Arial" w:hAnsi="Arial"/>
          <w:b/>
          <w:noProof/>
          <w:sz w:val="24"/>
        </w:rPr>
        <w:t>inițiative emblematice</w:t>
      </w:r>
      <w:r>
        <w:rPr>
          <w:rFonts w:ascii="Arial" w:hAnsi="Arial"/>
          <w:noProof/>
          <w:sz w:val="24"/>
        </w:rPr>
        <w:t xml:space="preserve"> care vor permite concentrarea eforturilor în jurul unor subiecte-cheie. Intensificarea </w:t>
      </w:r>
      <w:r>
        <w:rPr>
          <w:rFonts w:ascii="Arial" w:hAnsi="Arial"/>
          <w:b/>
          <w:noProof/>
          <w:sz w:val="24"/>
        </w:rPr>
        <w:t>cooperării cu statele membre</w:t>
      </w:r>
      <w:r>
        <w:rPr>
          <w:rFonts w:ascii="Arial" w:hAnsi="Arial"/>
          <w:noProof/>
          <w:sz w:val="24"/>
        </w:rPr>
        <w:t>, inclusiv prin utilizarea fondurilor UE, face parte din acest angajament reînnoit.</w:t>
      </w:r>
    </w:p>
    <w:p w14:paraId="0453BC17" w14:textId="77777777" w:rsidR="00FB01BD" w:rsidRPr="002D57F2" w:rsidRDefault="00FB01BD" w:rsidP="00FB01BD">
      <w:pPr>
        <w:spacing w:after="120" w:line="288" w:lineRule="auto"/>
        <w:rPr>
          <w:rFonts w:ascii="Arial" w:hAnsi="Arial" w:cs="Arial"/>
          <w:b/>
          <w:bCs/>
          <w:smallCaps/>
          <w:noProof/>
        </w:rPr>
      </w:pPr>
      <w:r>
        <w:rPr>
          <w:noProof/>
        </w:rPr>
        <w:br w:type="page"/>
      </w:r>
    </w:p>
    <w:p w14:paraId="1B636F10" w14:textId="77777777" w:rsidR="00FB01BD" w:rsidRPr="002D57F2" w:rsidRDefault="00FB01BD" w:rsidP="00FB01BD">
      <w:pPr>
        <w:pStyle w:val="Heading1"/>
        <w:numPr>
          <w:ilvl w:val="0"/>
          <w:numId w:val="14"/>
        </w:numPr>
        <w:ind w:left="284" w:hanging="284"/>
        <w:rPr>
          <w:rFonts w:ascii="Arial" w:hAnsi="Arial" w:cs="Arial"/>
          <w:noProof/>
        </w:rPr>
      </w:pPr>
      <w:bookmarkStart w:id="3" w:name="_Toc228880166"/>
      <w:r>
        <w:rPr>
          <w:rFonts w:ascii="Arial" w:hAnsi="Arial"/>
          <w:noProof/>
        </w:rPr>
        <w:t>TRANSFORMAREA DREPTURILOR ÎN REALITATE</w:t>
      </w:r>
      <w:bookmarkEnd w:id="3"/>
    </w:p>
    <w:p w14:paraId="50A86ED6" w14:textId="77777777" w:rsidR="00FB01BD" w:rsidRPr="002D57F2" w:rsidRDefault="00FB01BD" w:rsidP="00FB01BD">
      <w:pPr>
        <w:pStyle w:val="Heading2"/>
        <w:spacing w:after="240"/>
        <w:ind w:left="425" w:hanging="425"/>
        <w:rPr>
          <w:rFonts w:ascii="Arial" w:hAnsi="Arial" w:cs="Arial"/>
          <w:noProof/>
        </w:rPr>
      </w:pPr>
      <w:bookmarkStart w:id="4" w:name="_Toc228880167"/>
      <w:r>
        <w:rPr>
          <w:rFonts w:ascii="Arial" w:hAnsi="Arial"/>
          <w:noProof/>
        </w:rPr>
        <w:t>Accesibilitatea – un factor favorizant al drepturilor, al autonomiei și al egalității</w:t>
      </w:r>
      <w:bookmarkEnd w:id="4"/>
    </w:p>
    <w:p w14:paraId="68B0E028" w14:textId="77777777" w:rsidR="00FB01BD" w:rsidRPr="002D57F2" w:rsidRDefault="00FB01BD" w:rsidP="00FB01BD">
      <w:pPr>
        <w:pStyle w:val="Style2"/>
        <w:spacing w:line="288" w:lineRule="auto"/>
        <w:rPr>
          <w:rStyle w:val="normaltextrun"/>
          <w:rFonts w:ascii="Arial" w:hAnsi="Arial" w:cs="Arial"/>
          <w:noProof/>
          <w:sz w:val="24"/>
          <w:szCs w:val="24"/>
        </w:rPr>
      </w:pPr>
      <w:r>
        <w:rPr>
          <w:rStyle w:val="normaltextrun"/>
          <w:rFonts w:ascii="Arial" w:hAnsi="Arial"/>
          <w:noProof/>
          <w:sz w:val="24"/>
        </w:rPr>
        <w:t xml:space="preserve">Accesibilitatea este esențială pentru a le permite persoanelor cu handicap </w:t>
      </w:r>
      <w:r>
        <w:rPr>
          <w:rStyle w:val="normaltextrun"/>
          <w:rFonts w:ascii="Arial" w:hAnsi="Arial"/>
          <w:b/>
          <w:noProof/>
          <w:sz w:val="24"/>
        </w:rPr>
        <w:t>să participe pe deplin în toate domeniile vieții</w:t>
      </w:r>
      <w:r>
        <w:rPr>
          <w:rStyle w:val="normaltextrun"/>
          <w:rFonts w:ascii="Arial" w:hAnsi="Arial"/>
          <w:noProof/>
          <w:sz w:val="24"/>
        </w:rPr>
        <w:t xml:space="preserve">. Persoanele cu handicap se confruntă în continuare cu obstacole în ceea ce privește mediul construit, transporturile și accesul la servicii și la mijloacele de informare și comunicare, inclusiv la spațiile digitale. </w:t>
      </w:r>
    </w:p>
    <w:p w14:paraId="64944542" w14:textId="77777777" w:rsidR="00FB01BD" w:rsidRPr="002D57F2" w:rsidRDefault="00FB01BD" w:rsidP="00FB01BD">
      <w:pPr>
        <w:pStyle w:val="Heading3"/>
        <w:rPr>
          <w:rFonts w:ascii="Arial" w:hAnsi="Arial" w:cs="Arial"/>
          <w:noProof/>
        </w:rPr>
      </w:pPr>
      <w:bookmarkStart w:id="5" w:name="_Toc228880168"/>
      <w:r>
        <w:rPr>
          <w:rFonts w:ascii="Arial" w:hAnsi="Arial"/>
          <w:noProof/>
        </w:rPr>
        <w:t>Accesibilitatea digitală și tehnologiile asistive</w:t>
      </w:r>
      <w:bookmarkEnd w:id="5"/>
    </w:p>
    <w:p w14:paraId="2731CFF1" w14:textId="77777777" w:rsidR="00FB01BD" w:rsidRPr="002D57F2" w:rsidRDefault="00FB01BD" w:rsidP="00FB01BD">
      <w:pPr>
        <w:pStyle w:val="Style2"/>
        <w:spacing w:line="288" w:lineRule="auto"/>
        <w:rPr>
          <w:rFonts w:ascii="Arial" w:hAnsi="Arial" w:cs="Arial"/>
          <w:b/>
          <w:bCs/>
          <w:noProof/>
          <w:sz w:val="24"/>
          <w:szCs w:val="24"/>
        </w:rPr>
      </w:pPr>
      <w:r>
        <w:rPr>
          <w:rFonts w:ascii="Arial" w:hAnsi="Arial"/>
          <w:b/>
          <w:noProof/>
          <w:sz w:val="24"/>
        </w:rPr>
        <w:t>Punerea eficace în aplicare a legislației esențiale</w:t>
      </w:r>
      <w:r>
        <w:rPr>
          <w:rFonts w:ascii="Arial" w:hAnsi="Arial"/>
          <w:noProof/>
          <w:sz w:val="24"/>
        </w:rPr>
        <w:t xml:space="preserve"> privind accesibilitatea, inclusiv cu sprijinul </w:t>
      </w:r>
      <w:hyperlink r:id="rId26" w:history="1">
        <w:r>
          <w:rPr>
            <w:rStyle w:val="Hyperlink"/>
            <w:rFonts w:ascii="Arial" w:hAnsi="Arial"/>
            <w:noProof/>
            <w:sz w:val="24"/>
          </w:rPr>
          <w:t>AccessibleEU</w:t>
        </w:r>
      </w:hyperlink>
      <w:r>
        <w:rPr>
          <w:rFonts w:ascii="Arial" w:hAnsi="Arial"/>
          <w:noProof/>
          <w:sz w:val="24"/>
        </w:rPr>
        <w:t xml:space="preserve">, va rămâne un obiectiv esențial </w:t>
      </w:r>
      <w:r>
        <w:rPr>
          <w:rStyle w:val="normaltextrun"/>
          <w:rFonts w:ascii="Arial" w:hAnsi="Arial"/>
          <w:noProof/>
          <w:sz w:val="24"/>
        </w:rPr>
        <w:t>până în 2030. Comisia</w:t>
      </w:r>
      <w:r>
        <w:rPr>
          <w:rFonts w:ascii="Arial" w:hAnsi="Arial"/>
          <w:noProof/>
          <w:sz w:val="24"/>
        </w:rPr>
        <w:t xml:space="preserve"> va monitoriza punerea în aplicare a </w:t>
      </w:r>
      <w:hyperlink r:id="rId27" w:history="1">
        <w:r>
          <w:rPr>
            <w:rStyle w:val="Hyperlink"/>
            <w:rFonts w:ascii="Arial" w:hAnsi="Arial"/>
            <w:noProof/>
            <w:sz w:val="24"/>
          </w:rPr>
          <w:t>Actului european privind accesibilitatea</w:t>
        </w:r>
      </w:hyperlink>
      <w:r>
        <w:rPr>
          <w:rFonts w:ascii="Arial" w:hAnsi="Arial"/>
          <w:noProof/>
        </w:rPr>
        <w:t>,</w:t>
      </w:r>
      <w:r>
        <w:rPr>
          <w:rFonts w:ascii="Arial" w:hAnsi="Arial"/>
          <w:noProof/>
          <w:sz w:val="24"/>
        </w:rPr>
        <w:t xml:space="preserve"> inclusiv cu ajutorul comitetelor și al grupurilor de experți, și va urmări </w:t>
      </w:r>
      <w:hyperlink r:id="rId28" w:history="1">
        <w:r>
          <w:rPr>
            <w:rStyle w:val="Hyperlink"/>
            <w:rFonts w:ascii="Arial" w:hAnsi="Arial"/>
            <w:noProof/>
            <w:sz w:val="24"/>
          </w:rPr>
          <w:t>cererea de standardizare M587</w:t>
        </w:r>
      </w:hyperlink>
      <w:r>
        <w:rPr>
          <w:rFonts w:ascii="Arial" w:hAnsi="Arial"/>
          <w:noProof/>
          <w:sz w:val="24"/>
        </w:rPr>
        <w:t xml:space="preserve"> și specificațiile tehnice referitoare la cerințele în materie de accesibilitate pentru produse și servicii. Aspectele legate de accesibilitate sunt, de asemenea, luate în considerare în evaluarea</w:t>
      </w:r>
      <w:r>
        <w:rPr>
          <w:noProof/>
        </w:rPr>
        <w:t xml:space="preserve"> </w:t>
      </w:r>
      <w:hyperlink r:id="rId29" w:history="1">
        <w:r>
          <w:rPr>
            <w:rStyle w:val="Hyperlink"/>
            <w:rFonts w:ascii="Arial" w:hAnsi="Arial"/>
            <w:noProof/>
            <w:sz w:val="24"/>
          </w:rPr>
          <w:t>Directivei serviciilor mass-media audiovizuale</w:t>
        </w:r>
      </w:hyperlink>
      <w:r>
        <w:rPr>
          <w:rFonts w:ascii="Arial" w:hAnsi="Arial"/>
          <w:noProof/>
          <w:sz w:val="24"/>
        </w:rPr>
        <w:t xml:space="preserve">. Se va monitoriza în continuare aplicarea legislației relevante, cum ar fi </w:t>
      </w:r>
      <w:hyperlink r:id="rId30" w:history="1">
        <w:r>
          <w:rPr>
            <w:rStyle w:val="Hyperlink"/>
            <w:rFonts w:ascii="Arial" w:hAnsi="Arial"/>
            <w:noProof/>
            <w:sz w:val="24"/>
          </w:rPr>
          <w:t>Directiva privind accesibilitatea site-urilor web</w:t>
        </w:r>
      </w:hyperlink>
      <w:r>
        <w:rPr>
          <w:rFonts w:ascii="Arial" w:hAnsi="Arial"/>
          <w:noProof/>
          <w:sz w:val="24"/>
        </w:rPr>
        <w:t xml:space="preserve"> și </w:t>
      </w:r>
      <w:hyperlink r:id="rId31" w:history="1">
        <w:r>
          <w:rPr>
            <w:rStyle w:val="Hyperlink"/>
            <w:rFonts w:ascii="Arial" w:hAnsi="Arial"/>
            <w:noProof/>
            <w:sz w:val="24"/>
          </w:rPr>
          <w:t>Codul european al comunicațiilor electronice</w:t>
        </w:r>
      </w:hyperlink>
      <w:r>
        <w:rPr>
          <w:rFonts w:ascii="Arial" w:hAnsi="Arial"/>
          <w:noProof/>
          <w:sz w:val="24"/>
        </w:rPr>
        <w:t xml:space="preserve">, până la </w:t>
      </w:r>
      <w:hyperlink r:id="rId32" w:history="1">
        <w:r>
          <w:rPr>
            <w:rStyle w:val="Hyperlink"/>
            <w:rFonts w:ascii="Arial" w:hAnsi="Arial"/>
            <w:noProof/>
            <w:sz w:val="24"/>
          </w:rPr>
          <w:t>revizuirea propusă</w:t>
        </w:r>
      </w:hyperlink>
      <w:r>
        <w:rPr>
          <w:noProof/>
        </w:rPr>
        <w:t xml:space="preserve"> </w:t>
      </w:r>
      <w:r>
        <w:rPr>
          <w:rFonts w:ascii="Arial" w:hAnsi="Arial"/>
          <w:noProof/>
          <w:sz w:val="24"/>
        </w:rPr>
        <w:t xml:space="preserve">. Comisia va sprijini eforturile menite să facă platformele de internet și serviciile digitale mai accesibile, inclusiv prin intermediul </w:t>
      </w:r>
      <w:r>
        <w:rPr>
          <w:rFonts w:ascii="Arial" w:hAnsi="Arial"/>
          <w:b/>
          <w:noProof/>
          <w:sz w:val="24"/>
        </w:rPr>
        <w:t>codurilor de conduită</w:t>
      </w:r>
      <w:r>
        <w:rPr>
          <w:rFonts w:ascii="Arial" w:hAnsi="Arial"/>
          <w:noProof/>
          <w:sz w:val="24"/>
        </w:rPr>
        <w:t>, în temeiul</w:t>
      </w:r>
      <w:r>
        <w:rPr>
          <w:noProof/>
        </w:rPr>
        <w:t xml:space="preserve"> </w:t>
      </w:r>
      <w:hyperlink r:id="rId33" w:history="1">
        <w:r>
          <w:rPr>
            <w:rStyle w:val="Hyperlink"/>
            <w:rFonts w:ascii="Arial" w:hAnsi="Arial"/>
            <w:noProof/>
            <w:sz w:val="24"/>
          </w:rPr>
          <w:t>Regulamentului privind serviciile digitale</w:t>
        </w:r>
      </w:hyperlink>
      <w:r>
        <w:rPr>
          <w:rFonts w:ascii="Arial" w:hAnsi="Arial"/>
          <w:noProof/>
          <w:sz w:val="24"/>
        </w:rPr>
        <w:t xml:space="preserve">. </w:t>
      </w:r>
    </w:p>
    <w:p w14:paraId="3D0317A9" w14:textId="77777777" w:rsidR="00FB01BD" w:rsidRPr="002D57F2" w:rsidRDefault="00FB01BD" w:rsidP="00FB01BD">
      <w:pPr>
        <w:pStyle w:val="Style2"/>
        <w:spacing w:line="288" w:lineRule="auto"/>
        <w:rPr>
          <w:rFonts w:ascii="Arial" w:hAnsi="Arial" w:cs="Arial"/>
          <w:noProof/>
          <w:sz w:val="24"/>
          <w:szCs w:val="24"/>
        </w:rPr>
      </w:pPr>
      <w:r>
        <w:rPr>
          <w:rStyle w:val="normaltextrun"/>
          <w:rFonts w:ascii="Arial" w:hAnsi="Arial"/>
          <w:noProof/>
          <w:sz w:val="24"/>
        </w:rPr>
        <w:t xml:space="preserve">Pentru a-și menține rolul de lider mondial în materie de accesibilitate, în special în domeniul digital, </w:t>
      </w:r>
      <w:r>
        <w:rPr>
          <w:rStyle w:val="normaltextrun"/>
          <w:rFonts w:ascii="Arial" w:hAnsi="Arial"/>
          <w:b/>
          <w:noProof/>
          <w:sz w:val="24"/>
        </w:rPr>
        <w:t>UE trebuie să se adapteze în mod constant la noile provocări</w:t>
      </w:r>
      <w:r>
        <w:rPr>
          <w:rStyle w:val="normaltextrun"/>
          <w:rFonts w:ascii="Arial" w:hAnsi="Arial"/>
          <w:noProof/>
          <w:sz w:val="24"/>
        </w:rPr>
        <w:t>. Acest lucru vizează în special utilizarea inteligenței artificiale (IA), care are</w:t>
      </w:r>
      <w:r>
        <w:rPr>
          <w:rFonts w:ascii="Arial" w:hAnsi="Arial"/>
          <w:noProof/>
          <w:sz w:val="24"/>
        </w:rPr>
        <w:t xml:space="preserve"> un mare potențial de sprijinire a persoanelor cu handicap, însă necesită abordări prudente având în vedere potențialele efecte discriminatorii </w:t>
      </w:r>
      <w:r>
        <w:rPr>
          <w:rFonts w:ascii="Arial" w:hAnsi="Arial"/>
          <w:noProof/>
          <w:sz w:val="24"/>
          <w:vertAlign w:val="superscript"/>
        </w:rPr>
        <w:t>(</w:t>
      </w:r>
      <w:r>
        <w:rPr>
          <w:rStyle w:val="FootnoteReference"/>
          <w:rFonts w:ascii="Arial" w:hAnsi="Arial" w:cs="Arial"/>
          <w:noProof/>
        </w:rPr>
        <w:footnoteReference w:id="5"/>
      </w:r>
      <w:r>
        <w:rPr>
          <w:rFonts w:ascii="Arial" w:hAnsi="Arial"/>
          <w:noProof/>
          <w:sz w:val="24"/>
          <w:vertAlign w:val="superscript"/>
        </w:rPr>
        <w:t>)</w:t>
      </w:r>
      <w:r>
        <w:rPr>
          <w:rFonts w:ascii="Arial" w:hAnsi="Arial"/>
          <w:noProof/>
          <w:sz w:val="24"/>
        </w:rPr>
        <w:t xml:space="preserve">. Punerea accentului pe accesibilitate și pe protejarea drepturilor fundamentale va fi esențială pentru a stabili o </w:t>
      </w:r>
      <w:r>
        <w:rPr>
          <w:rFonts w:ascii="Arial" w:hAnsi="Arial"/>
          <w:b/>
          <w:noProof/>
          <w:sz w:val="24"/>
        </w:rPr>
        <w:t>abordare comună în materie de implementare a IA pe piața unică</w:t>
      </w:r>
      <w:r>
        <w:rPr>
          <w:rFonts w:ascii="Arial" w:hAnsi="Arial"/>
          <w:noProof/>
          <w:sz w:val="24"/>
        </w:rPr>
        <w:t xml:space="preserve">. Comisia va emite orientări și va monitoriza punerea în aplicare a </w:t>
      </w:r>
      <w:hyperlink r:id="rId34" w:history="1">
        <w:r>
          <w:rPr>
            <w:rStyle w:val="Hyperlink"/>
            <w:rFonts w:ascii="Arial" w:hAnsi="Arial"/>
            <w:noProof/>
            <w:sz w:val="24"/>
          </w:rPr>
          <w:t>Regulamentului privind inteligența artificială (IA)</w:t>
        </w:r>
      </w:hyperlink>
      <w:r>
        <w:rPr>
          <w:noProof/>
        </w:rPr>
        <w:t>,</w:t>
      </w:r>
      <w:r>
        <w:rPr>
          <w:rFonts w:ascii="Arial" w:hAnsi="Arial"/>
          <w:noProof/>
          <w:sz w:val="24"/>
        </w:rPr>
        <w:t xml:space="preserve"> de exemplu în ceea ce privește </w:t>
      </w:r>
      <w:hyperlink r:id="rId35" w:history="1">
        <w:r>
          <w:rPr>
            <w:rStyle w:val="Hyperlink"/>
            <w:rFonts w:ascii="Arial" w:hAnsi="Arial"/>
            <w:noProof/>
            <w:sz w:val="24"/>
          </w:rPr>
          <w:t>practicile interzise în materie de IA</w:t>
        </w:r>
      </w:hyperlink>
      <w:r>
        <w:rPr>
          <w:rFonts w:ascii="Arial" w:hAnsi="Arial"/>
          <w:noProof/>
          <w:sz w:val="24"/>
        </w:rPr>
        <w:t xml:space="preserve"> care exploatează vulnerabilitatea unei persoane într-un mod deosebit de dăunător din motive precum existența unui handicap, precum și în ceea ce privește clasificarea sistemelor de IA cu risc ridicat.</w:t>
      </w:r>
    </w:p>
    <w:p w14:paraId="3AAF7055" w14:textId="6540B818" w:rsidR="00FB01BD" w:rsidRPr="002D57F2" w:rsidRDefault="00FB01BD" w:rsidP="00FB01BD">
      <w:pPr>
        <w:pStyle w:val="Style2"/>
        <w:spacing w:line="288" w:lineRule="auto"/>
        <w:rPr>
          <w:rStyle w:val="normaltextrun"/>
          <w:rFonts w:ascii="Arial" w:hAnsi="Arial" w:cs="Arial"/>
          <w:noProof/>
          <w:sz w:val="24"/>
          <w:szCs w:val="24"/>
        </w:rPr>
      </w:pPr>
      <w:r>
        <w:rPr>
          <w:rFonts w:ascii="Arial" w:hAnsi="Arial"/>
          <w:b/>
          <w:noProof/>
          <w:sz w:val="24"/>
        </w:rPr>
        <w:t xml:space="preserve"> </w:t>
      </w:r>
      <w:r>
        <w:rPr>
          <w:rFonts w:ascii="Arial" w:hAnsi="Arial"/>
          <w:noProof/>
          <w:sz w:val="24"/>
        </w:rPr>
        <w:t xml:space="preserve">Evoluțiile IA sunt deosebit de relevante în domeniul </w:t>
      </w:r>
      <w:r>
        <w:rPr>
          <w:rFonts w:ascii="Arial" w:hAnsi="Arial"/>
          <w:b/>
          <w:noProof/>
          <w:sz w:val="24"/>
        </w:rPr>
        <w:t>tehnologiei asistive</w:t>
      </w:r>
      <w:r>
        <w:rPr>
          <w:rFonts w:ascii="Arial" w:hAnsi="Arial"/>
          <w:noProof/>
          <w:sz w:val="24"/>
        </w:rPr>
        <w:t>, care este esențială pentru a asigura autonomia și calitatea vieții și devine din ce în ce mai importantă odată cu îmbătrânirea.</w:t>
      </w:r>
      <w:r w:rsidR="00F844EA">
        <w:rPr>
          <w:rFonts w:ascii="Arial" w:hAnsi="Arial"/>
          <w:b/>
          <w:noProof/>
          <w:sz w:val="24"/>
        </w:rPr>
        <w:t xml:space="preserve"> </w:t>
      </w:r>
      <w:r>
        <w:rPr>
          <w:rFonts w:ascii="Arial" w:hAnsi="Arial"/>
          <w:noProof/>
          <w:sz w:val="24"/>
        </w:rPr>
        <w:t>Din perspectiva întreprinderilor, acest sector prezintă provocări legate de intrarea pe piață și de accesul la finanțare, care ar putea avea impact asupra disponibilității și accesibilității prețurilor pentru utilizatori.</w:t>
      </w:r>
    </w:p>
    <w:p w14:paraId="777540B8"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INIȚIATIVĂ EMBLEMATICĂ – Tehnologiile asistive și IA: din laborator pe piață</w:t>
      </w:r>
    </w:p>
    <w:p w14:paraId="6840DCDC" w14:textId="77777777" w:rsidR="00FB01BD" w:rsidRPr="002D57F2" w:rsidRDefault="00FB01BD" w:rsidP="00B540AD">
      <w:pPr>
        <w:pStyle w:val="Style2"/>
        <w:keepLines/>
        <w:pBdr>
          <w:top w:val="single" w:sz="4" w:space="3" w:color="auto"/>
          <w:left w:val="single" w:sz="4" w:space="4" w:color="auto"/>
          <w:bottom w:val="single" w:sz="4" w:space="1" w:color="auto"/>
          <w:right w:val="single" w:sz="4" w:space="4" w:color="auto"/>
        </w:pBdr>
        <w:shd w:val="clear" w:color="auto" w:fill="D9F2D0" w:themeFill="accent6" w:themeFillTint="33"/>
        <w:spacing w:line="288" w:lineRule="auto"/>
        <w:rPr>
          <w:rFonts w:ascii="Arial" w:hAnsi="Arial" w:cs="Arial"/>
          <w:b/>
          <w:bCs/>
          <w:noProof/>
          <w:color w:val="0E2841" w:themeColor="text2"/>
          <w:sz w:val="24"/>
          <w:szCs w:val="24"/>
        </w:rPr>
      </w:pPr>
      <w:r>
        <w:rPr>
          <w:rFonts w:ascii="Arial" w:hAnsi="Arial"/>
          <w:noProof/>
          <w:sz w:val="24"/>
        </w:rPr>
        <w:t xml:space="preserve">Comisia va încerca să promoveze o mai bună cunoaștere și să consolideze piața unică a tehnologiilor asistive și a aplicațiilor de IA. Scopul este de a identifica și de a elimina blocajele care împiedică persoanele cu handicap să beneficieze de tehnologii accesibile, la prețuri abordabile. </w:t>
      </w:r>
      <w:r>
        <w:rPr>
          <w:rFonts w:ascii="Arial" w:hAnsi="Arial"/>
          <w:b/>
          <w:noProof/>
          <w:sz w:val="24"/>
        </w:rPr>
        <w:t>Această inițiativă include:</w:t>
      </w:r>
      <w:r>
        <w:rPr>
          <w:rFonts w:ascii="Arial" w:hAnsi="Arial"/>
          <w:noProof/>
          <w:sz w:val="24"/>
        </w:rPr>
        <w:t xml:space="preserve"> (i) un dialog la nivelul UE cu operatorii de tehnologie asistivă, care să implice utilizatorii și administrațiile publice, să prezinte inițiativele relevante ale UE de sprijinire a întreprinderilor, cum ar fi </w:t>
      </w:r>
      <w:hyperlink r:id="rId36" w:history="1">
        <w:r>
          <w:rPr>
            <w:rStyle w:val="Hyperlink"/>
            <w:rFonts w:ascii="Arial" w:hAnsi="Arial"/>
            <w:noProof/>
            <w:sz w:val="24"/>
          </w:rPr>
          <w:t>Rețeaua întreprinderilor europene</w:t>
        </w:r>
      </w:hyperlink>
      <w:r>
        <w:rPr>
          <w:rFonts w:ascii="Arial" w:hAnsi="Arial"/>
          <w:noProof/>
          <w:sz w:val="24"/>
        </w:rPr>
        <w:t xml:space="preserve">, și să identifice oportunități de finanțare pentru a facilita tranzițiile „de la laborator la piață”; și (ii) un studiu care să evalueze obstacolele din calea accesului persoanelor cu handicap la tehnologiile asistive și la IA și să furnizeze sugestii pentru abordarea acestora. </w:t>
      </w:r>
    </w:p>
    <w:p w14:paraId="1B65D43E" w14:textId="77777777" w:rsidR="00FB01BD" w:rsidRPr="002D57F2" w:rsidRDefault="00FB01BD" w:rsidP="00FB01BD">
      <w:pPr>
        <w:pStyle w:val="Heading3"/>
        <w:rPr>
          <w:rFonts w:ascii="Arial" w:hAnsi="Arial" w:cs="Arial"/>
          <w:noProof/>
        </w:rPr>
      </w:pPr>
      <w:bookmarkStart w:id="6" w:name="_Toc228880169"/>
      <w:r>
        <w:rPr>
          <w:rFonts w:ascii="Arial" w:hAnsi="Arial"/>
          <w:noProof/>
        </w:rPr>
        <w:t>Produse și servicii sigure și accesibile</w:t>
      </w:r>
      <w:bookmarkEnd w:id="6"/>
    </w:p>
    <w:p w14:paraId="2C8C0CB7" w14:textId="77777777" w:rsidR="00FB01BD" w:rsidRPr="002D57F2" w:rsidRDefault="00FB01BD" w:rsidP="00FB01BD">
      <w:pPr>
        <w:pStyle w:val="Style2"/>
        <w:spacing w:line="288" w:lineRule="auto"/>
        <w:rPr>
          <w:rStyle w:val="normaltextrun"/>
          <w:rFonts w:ascii="Arial" w:hAnsi="Arial" w:cs="Arial"/>
          <w:noProof/>
          <w:sz w:val="24"/>
          <w:szCs w:val="24"/>
        </w:rPr>
      </w:pPr>
      <w:r>
        <w:rPr>
          <w:rStyle w:val="normaltextrun"/>
          <w:rFonts w:ascii="Arial" w:hAnsi="Arial"/>
          <w:b/>
          <w:noProof/>
          <w:sz w:val="24"/>
        </w:rPr>
        <w:t>În calitate de consumatori</w:t>
      </w:r>
      <w:r>
        <w:rPr>
          <w:rStyle w:val="normaltextrun"/>
          <w:rFonts w:ascii="Arial" w:hAnsi="Arial"/>
          <w:noProof/>
          <w:sz w:val="24"/>
        </w:rPr>
        <w:t xml:space="preserve">, persoanele cu handicap se confruntă cu dificultăți din cauza interfețelor și funcționalităților inaccesibile și a lipsei etichetelor și a informațiilor accesibile despre produse. </w:t>
      </w:r>
      <w:r>
        <w:rPr>
          <w:rFonts w:ascii="Arial" w:hAnsi="Arial"/>
          <w:b/>
          <w:noProof/>
          <w:sz w:val="24"/>
        </w:rPr>
        <w:t>În plus, obstacolele în calea accesului la servicii esențiale, cum ar fi transportul, create, de exemplu</w:t>
      </w:r>
      <w:r>
        <w:rPr>
          <w:rFonts w:ascii="Arial" w:hAnsi="Arial"/>
          <w:noProof/>
          <w:sz w:val="24"/>
        </w:rPr>
        <w:t xml:space="preserve">, de vehicule și gări inaccesibile și de lipsa de informații adecvate în timp real, </w:t>
      </w:r>
      <w:r>
        <w:rPr>
          <w:rStyle w:val="normaltextrun"/>
          <w:rFonts w:ascii="Arial" w:hAnsi="Arial"/>
          <w:noProof/>
          <w:sz w:val="24"/>
        </w:rPr>
        <w:t>le limitează posibilitatea de a trăi în mod independent și de a se implica în comunitățile lor</w:t>
      </w:r>
      <w:r>
        <w:rPr>
          <w:rFonts w:ascii="Arial" w:hAnsi="Arial"/>
          <w:noProof/>
          <w:sz w:val="24"/>
        </w:rPr>
        <w:t>.</w:t>
      </w:r>
    </w:p>
    <w:p w14:paraId="13D0992E" w14:textId="3D756CE2" w:rsidR="00FB01BD" w:rsidRPr="002D57F2" w:rsidRDefault="00FB01BD" w:rsidP="00FB01BD">
      <w:pPr>
        <w:pStyle w:val="Style2"/>
        <w:spacing w:line="288" w:lineRule="auto"/>
        <w:rPr>
          <w:rFonts w:ascii="Arial" w:eastAsia="Times New Roman" w:hAnsi="Arial" w:cs="Arial"/>
          <w:noProof/>
          <w:sz w:val="24"/>
          <w:szCs w:val="24"/>
        </w:rPr>
      </w:pPr>
      <w:r>
        <w:rPr>
          <w:rFonts w:ascii="Arial" w:hAnsi="Arial"/>
          <w:noProof/>
          <w:sz w:val="24"/>
        </w:rPr>
        <w:t>Comisia va promova</w:t>
      </w:r>
      <w:r>
        <w:rPr>
          <w:rFonts w:ascii="Arial" w:hAnsi="Arial"/>
          <w:b/>
          <w:noProof/>
          <w:sz w:val="24"/>
        </w:rPr>
        <w:t xml:space="preserve"> etichetarea accesibilă în sectoare-cheie </w:t>
      </w:r>
      <w:r>
        <w:rPr>
          <w:rFonts w:ascii="Arial" w:hAnsi="Arial"/>
          <w:b/>
          <w:noProof/>
          <w:sz w:val="24"/>
          <w:vertAlign w:val="superscript"/>
        </w:rPr>
        <w:t>(</w:t>
      </w:r>
      <w:r>
        <w:rPr>
          <w:rStyle w:val="FootnoteReference"/>
          <w:rFonts w:ascii="Arial" w:hAnsi="Arial" w:cs="Arial"/>
          <w:noProof/>
        </w:rPr>
        <w:footnoteReference w:id="6"/>
      </w:r>
      <w:r>
        <w:rPr>
          <w:rFonts w:ascii="Arial" w:hAnsi="Arial"/>
          <w:b/>
          <w:noProof/>
          <w:sz w:val="24"/>
          <w:vertAlign w:val="superscript"/>
        </w:rPr>
        <w:t>)</w:t>
      </w:r>
      <w:r>
        <w:rPr>
          <w:rFonts w:ascii="Arial" w:hAnsi="Arial"/>
          <w:noProof/>
          <w:sz w:val="24"/>
        </w:rPr>
        <w:t xml:space="preserve">. Punerea în aplicare a </w:t>
      </w:r>
      <w:hyperlink r:id="rId37" w:history="1">
        <w:r>
          <w:rPr>
            <w:rStyle w:val="Hyperlink"/>
            <w:rFonts w:ascii="Arial" w:hAnsi="Arial"/>
            <w:noProof/>
            <w:sz w:val="24"/>
          </w:rPr>
          <w:t>Regulamentului privind siguranța generală a produselor</w:t>
        </w:r>
      </w:hyperlink>
      <w:r>
        <w:rPr>
          <w:rFonts w:ascii="Arial" w:hAnsi="Arial"/>
          <w:noProof/>
          <w:sz w:val="24"/>
        </w:rPr>
        <w:t xml:space="preserve"> și a </w:t>
      </w:r>
      <w:hyperlink r:id="rId38" w:history="1">
        <w:r>
          <w:rPr>
            <w:rStyle w:val="Hyperlink"/>
            <w:rFonts w:ascii="Arial" w:hAnsi="Arial"/>
            <w:noProof/>
            <w:sz w:val="24"/>
          </w:rPr>
          <w:t>legislației revizuite privind soluționarea alternativă a litigiilor</w:t>
        </w:r>
      </w:hyperlink>
      <w:r>
        <w:rPr>
          <w:rFonts w:ascii="Arial" w:hAnsi="Arial"/>
          <w:noProof/>
          <w:sz w:val="24"/>
        </w:rPr>
        <w:t xml:space="preserve"> va contribui la consolidarea </w:t>
      </w:r>
      <w:r>
        <w:rPr>
          <w:rFonts w:ascii="Arial" w:hAnsi="Arial"/>
          <w:b/>
          <w:noProof/>
          <w:sz w:val="24"/>
        </w:rPr>
        <w:t>accesibilității și a</w:t>
      </w:r>
      <w:r>
        <w:rPr>
          <w:rFonts w:ascii="Arial" w:hAnsi="Arial"/>
          <w:noProof/>
          <w:sz w:val="24"/>
        </w:rPr>
        <w:t xml:space="preserve"> </w:t>
      </w:r>
      <w:r>
        <w:rPr>
          <w:rFonts w:ascii="Arial" w:hAnsi="Arial"/>
          <w:b/>
          <w:noProof/>
          <w:sz w:val="24"/>
        </w:rPr>
        <w:t>siguranței consumatorilor cu handicap</w:t>
      </w:r>
      <w:r>
        <w:rPr>
          <w:rFonts w:ascii="Arial" w:hAnsi="Arial"/>
          <w:noProof/>
          <w:sz w:val="24"/>
        </w:rPr>
        <w:t>.</w:t>
      </w:r>
      <w:r>
        <w:rPr>
          <w:rFonts w:ascii="Arial" w:hAnsi="Arial"/>
          <w:b/>
          <w:noProof/>
          <w:sz w:val="24"/>
        </w:rPr>
        <w:t xml:space="preserve"> </w:t>
      </w:r>
      <w:r>
        <w:rPr>
          <w:rFonts w:ascii="Arial" w:hAnsi="Arial"/>
          <w:noProof/>
          <w:sz w:val="24"/>
        </w:rPr>
        <w:t>Protejarea consumatorilor aflați în situații vulnerabile este o prioritate majoră a</w:t>
      </w:r>
      <w:r>
        <w:rPr>
          <w:noProof/>
        </w:rPr>
        <w:t xml:space="preserve"> </w:t>
      </w:r>
      <w:hyperlink r:id="rId39" w:history="1">
        <w:r>
          <w:rPr>
            <w:rStyle w:val="Hyperlink"/>
            <w:rFonts w:ascii="Arial" w:hAnsi="Arial"/>
            <w:noProof/>
            <w:sz w:val="24"/>
          </w:rPr>
          <w:t>Agendei 2030 pentru protecția consumatorilor</w:t>
        </w:r>
      </w:hyperlink>
      <w:r>
        <w:rPr>
          <w:rFonts w:ascii="Arial" w:hAnsi="Arial"/>
          <w:noProof/>
          <w:sz w:val="24"/>
        </w:rPr>
        <w:t>, inclusiv în mediul digital. Comisia va coordona activitatea autorităților naționale de protecție a consumatorilor și a</w:t>
      </w:r>
      <w:r>
        <w:rPr>
          <w:noProof/>
        </w:rPr>
        <w:t xml:space="preserve"> </w:t>
      </w:r>
      <w:hyperlink r:id="rId40" w:history="1">
        <w:r>
          <w:rPr>
            <w:rStyle w:val="Hyperlink"/>
            <w:rFonts w:ascii="Arial" w:hAnsi="Arial"/>
            <w:noProof/>
            <w:sz w:val="24"/>
          </w:rPr>
          <w:t>Rețelei Centrelor Europene ale Consumatorilor</w:t>
        </w:r>
      </w:hyperlink>
      <w:r>
        <w:rPr>
          <w:rFonts w:ascii="Arial" w:hAnsi="Arial"/>
          <w:noProof/>
          <w:sz w:val="24"/>
        </w:rPr>
        <w:t>, urmărind să se asigure că vulnerabilitățile consumatorilor nu sunt exploatate și că drepturile pe care le au persoanele cu handicap în calitate de consumatori sunt respectate în temeiul legislației UE.</w:t>
      </w:r>
    </w:p>
    <w:p w14:paraId="4491453D" w14:textId="63E9913C" w:rsidR="00312B17" w:rsidRDefault="00F77A11" w:rsidP="00FB01BD">
      <w:pPr>
        <w:pStyle w:val="Style2"/>
        <w:spacing w:line="288" w:lineRule="auto"/>
        <w:rPr>
          <w:rFonts w:ascii="Arial" w:eastAsia="Times New Roman" w:hAnsi="Arial" w:cs="Arial"/>
          <w:noProof/>
          <w:sz w:val="24"/>
          <w:szCs w:val="24"/>
        </w:rPr>
      </w:pPr>
      <w:hyperlink r:id="rId41" w:history="1">
        <w:r w:rsidR="00FB01BD">
          <w:rPr>
            <w:rStyle w:val="Hyperlink"/>
            <w:rFonts w:ascii="Arial" w:hAnsi="Arial"/>
            <w:noProof/>
            <w:sz w:val="24"/>
          </w:rPr>
          <w:t>Un raport al Înaltului Comisar al ONU pentru Drepturile Omului având ca temă infrastructura, transporturile și locuințele favorabile incluziunii persoanelor cu handicap</w:t>
        </w:r>
      </w:hyperlink>
      <w:r w:rsidR="00FB01BD">
        <w:rPr>
          <w:noProof/>
        </w:rPr>
        <w:t xml:space="preserve"> </w:t>
      </w:r>
      <w:r w:rsidR="00FB01BD">
        <w:rPr>
          <w:rFonts w:ascii="Arial" w:hAnsi="Arial"/>
          <w:noProof/>
          <w:sz w:val="24"/>
        </w:rPr>
        <w:t>arată că această categorie a populației se poate confrunta cu</w:t>
      </w:r>
      <w:r w:rsidR="00FB01BD">
        <w:rPr>
          <w:rFonts w:ascii="Arial" w:hAnsi="Arial"/>
          <w:b/>
          <w:noProof/>
          <w:sz w:val="24"/>
        </w:rPr>
        <w:t xml:space="preserve"> restricții de până la 15 ori mai mari în ceea ce privește participarea și mobilitatea</w:t>
      </w:r>
      <w:r w:rsidR="00FB01BD">
        <w:rPr>
          <w:rFonts w:ascii="Arial" w:hAnsi="Arial"/>
          <w:noProof/>
          <w:sz w:val="24"/>
        </w:rPr>
        <w:t>, în comparație cu alte categorii. Acest lucru evidențiază necesitatea de a intensifica acțiunile care urmăresc să îmbunătățească accesibilitatea, inclusiv din punct de vedere financiar, și disponibilitatea sistemelor de transport pentru persoanele cu handicap, aceste provocări fiind deosebit de acute în zonele rurale și îndepărtate.</w:t>
      </w:r>
    </w:p>
    <w:p w14:paraId="12759B7E" w14:textId="77777777" w:rsidR="00312B17" w:rsidRDefault="00312B17">
      <w:pPr>
        <w:rPr>
          <w:rFonts w:ascii="Arial" w:eastAsia="Times New Roman" w:hAnsi="Arial" w:cs="Arial"/>
          <w:noProof/>
        </w:rPr>
      </w:pPr>
      <w:r>
        <w:rPr>
          <w:noProof/>
        </w:rPr>
        <w:br w:type="page"/>
      </w:r>
    </w:p>
    <w:p w14:paraId="141A1299"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INIȚIATIVĂ EMBLEMATICĂ – Îmbunătățirea accesului la transport pentru persoanele cu handicap</w:t>
      </w:r>
    </w:p>
    <w:p w14:paraId="47483E77"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Style w:val="normaltextrun"/>
          <w:rFonts w:ascii="Arial" w:hAnsi="Arial" w:cs="Arial"/>
          <w:b/>
          <w:bCs/>
          <w:noProof/>
          <w:sz w:val="24"/>
          <w:szCs w:val="24"/>
        </w:rPr>
      </w:pPr>
      <w:r>
        <w:rPr>
          <w:rFonts w:ascii="Arial" w:hAnsi="Arial"/>
          <w:noProof/>
          <w:sz w:val="24"/>
        </w:rPr>
        <w:t xml:space="preserve">Comisia va promova accesibilitatea la nivelul diverselor mijloace de transport. Inițiativa își propune să obțină </w:t>
      </w:r>
      <w:r>
        <w:rPr>
          <w:rFonts w:ascii="Arial" w:hAnsi="Arial"/>
          <w:b/>
          <w:noProof/>
          <w:sz w:val="24"/>
        </w:rPr>
        <w:t>următoarele rezultate</w:t>
      </w:r>
      <w:r>
        <w:rPr>
          <w:rFonts w:ascii="Arial" w:hAnsi="Arial"/>
          <w:noProof/>
          <w:sz w:val="24"/>
        </w:rPr>
        <w:t>: (i) în transportul feroviar: stabilirea unor priorități și criterii comune la nivelul UE pentru cerințele de accesibilitate feroviară prin revizuirea</w:t>
      </w:r>
      <w:r>
        <w:rPr>
          <w:noProof/>
        </w:rPr>
        <w:t xml:space="preserve"> </w:t>
      </w:r>
      <w:hyperlink r:id="rId42" w:history="1">
        <w:r>
          <w:rPr>
            <w:rStyle w:val="Hyperlink"/>
            <w:rFonts w:ascii="Arial" w:hAnsi="Arial"/>
            <w:noProof/>
            <w:sz w:val="24"/>
          </w:rPr>
          <w:t>specificațiilor tehnice de interoperabilitate referitoare la persoanele cu mobilitate redusă</w:t>
        </w:r>
      </w:hyperlink>
      <w:r>
        <w:rPr>
          <w:rFonts w:ascii="Arial" w:hAnsi="Arial"/>
          <w:noProof/>
        </w:rPr>
        <w:t xml:space="preserve">. </w:t>
      </w:r>
      <w:r>
        <w:rPr>
          <w:rFonts w:ascii="Arial" w:hAnsi="Arial"/>
          <w:noProof/>
          <w:sz w:val="24"/>
        </w:rPr>
        <w:t xml:space="preserve">În acest context, Agenția UE pentru Căile Ferate va emite recomandări pentru revizuirea specificațiilor tehnice, de exemplu pentru a îmbunătăți urcarea și coborârea din tren pe peron, pentru a facilita îmbarcarea neasistată și pentru a îmbunătăți accesibilitatea trenurilor de noapte; (ii) în transportul rutier: modernizarea </w:t>
      </w:r>
      <w:hyperlink r:id="rId43" w:history="1">
        <w:r>
          <w:rPr>
            <w:rStyle w:val="Hyperlink"/>
            <w:rFonts w:ascii="Arial" w:hAnsi="Arial"/>
            <w:noProof/>
            <w:sz w:val="24"/>
          </w:rPr>
          <w:t>materialului de referință</w:t>
        </w:r>
      </w:hyperlink>
      <w:r>
        <w:rPr>
          <w:rFonts w:ascii="Arial" w:hAnsi="Arial"/>
          <w:noProof/>
          <w:sz w:val="24"/>
        </w:rPr>
        <w:t xml:space="preserve"> pentru planificarea mobilității urbane durabile</w:t>
      </w:r>
      <w:r>
        <w:rPr>
          <w:noProof/>
        </w:rPr>
        <w:t xml:space="preserve"> </w:t>
      </w:r>
      <w:r>
        <w:rPr>
          <w:rFonts w:ascii="Arial" w:hAnsi="Arial"/>
          <w:noProof/>
          <w:sz w:val="24"/>
        </w:rPr>
        <w:t>ținând cont de grupurile vulnerabile și publicarea de orientări privind elementele de siguranță ale infrastructurii rutiere pentru utilizatorii vulnerabili. În plus,</w:t>
      </w:r>
      <w:r>
        <w:rPr>
          <w:noProof/>
        </w:rPr>
        <w:t xml:space="preserve"> </w:t>
      </w:r>
      <w:hyperlink r:id="rId44" w:history="1">
        <w:r>
          <w:rPr>
            <w:rStyle w:val="Hyperlink"/>
            <w:rFonts w:ascii="Arial" w:hAnsi="Arial"/>
            <w:noProof/>
            <w:sz w:val="24"/>
          </w:rPr>
          <w:t>Regulamentul privind infrastructura pentru combustibili alternativi</w:t>
        </w:r>
      </w:hyperlink>
      <w:r>
        <w:rPr>
          <w:noProof/>
        </w:rPr>
        <w:t xml:space="preserve"> </w:t>
      </w:r>
      <w:r>
        <w:rPr>
          <w:rFonts w:ascii="Arial" w:hAnsi="Arial"/>
          <w:noProof/>
          <w:sz w:val="24"/>
        </w:rPr>
        <w:t>și viitoarea sa revizuire vor urmări să integreze standardele tehnice europene privind accesibilitatea stațiilor de încărcare a automobilelor electrice; (iii) în transportul naval: revizuirea dispozițiilor privind accesibilitatea ca parte a evaluării</w:t>
      </w:r>
      <w:r>
        <w:rPr>
          <w:noProof/>
        </w:rPr>
        <w:t xml:space="preserve"> </w:t>
      </w:r>
      <w:hyperlink r:id="rId45" w:history="1">
        <w:r>
          <w:rPr>
            <w:rStyle w:val="Hyperlink"/>
            <w:rFonts w:ascii="Arial" w:hAnsi="Arial"/>
            <w:noProof/>
            <w:sz w:val="24"/>
          </w:rPr>
          <w:t>Directivei privind normele și standardele de siguranță pentru navele de pasageri</w:t>
        </w:r>
      </w:hyperlink>
      <w:r>
        <w:rPr>
          <w:rFonts w:ascii="Arial" w:hAnsi="Arial"/>
          <w:noProof/>
          <w:sz w:val="24"/>
        </w:rPr>
        <w:t xml:space="preserve">; și (iv) în transportul aerian: colaborarea cu părțile interesate din domeniul aviației și diseminarea de bune practici în rândul operatorilor pentru a îmbunătăți deplasarea cu avionul a persoanelor cu handicap, de exemplu prin dialoguri privind manipularea și transportul câinilor de asistență și al ajutoarelor pentru mobilitate. </w:t>
      </w:r>
    </w:p>
    <w:p w14:paraId="39912EA0"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Comisia va analiza, de asemenea, modalitățile de îmbunătățire a participării persoanelor cu handicap la procesele de </w:t>
      </w:r>
      <w:r>
        <w:rPr>
          <w:rFonts w:ascii="Arial" w:hAnsi="Arial"/>
          <w:b/>
          <w:noProof/>
          <w:sz w:val="24"/>
        </w:rPr>
        <w:t>standardizare</w:t>
      </w:r>
      <w:r>
        <w:rPr>
          <w:rFonts w:ascii="Arial" w:hAnsi="Arial"/>
          <w:noProof/>
          <w:sz w:val="24"/>
        </w:rPr>
        <w:t xml:space="preserve"> și modul în care standardele pot deveni mai accesibile și mai favorabile incluziunii, în cadrul revizuirii</w:t>
      </w:r>
      <w:r>
        <w:rPr>
          <w:noProof/>
        </w:rPr>
        <w:t xml:space="preserve"> </w:t>
      </w:r>
      <w:hyperlink r:id="rId46" w:history="1">
        <w:r>
          <w:rPr>
            <w:rStyle w:val="Hyperlink"/>
            <w:rFonts w:ascii="Arial" w:hAnsi="Arial"/>
            <w:noProof/>
            <w:sz w:val="24"/>
          </w:rPr>
          <w:t>Regulamentului privind standardizarea</w:t>
        </w:r>
      </w:hyperlink>
      <w:r>
        <w:rPr>
          <w:rFonts w:ascii="Arial" w:hAnsi="Arial"/>
          <w:noProof/>
          <w:sz w:val="24"/>
        </w:rPr>
        <w:t>. În plus, se preconizează că</w:t>
      </w:r>
      <w:r>
        <w:rPr>
          <w:noProof/>
        </w:rPr>
        <w:t xml:space="preserve"> </w:t>
      </w:r>
      <w:hyperlink r:id="rId47" w:history="1">
        <w:r>
          <w:rPr>
            <w:rStyle w:val="Hyperlink"/>
            <w:rFonts w:ascii="Arial" w:hAnsi="Arial"/>
            <w:noProof/>
            <w:sz w:val="24"/>
          </w:rPr>
          <w:t>Directiva revizuită privind achizițiile publice</w:t>
        </w:r>
      </w:hyperlink>
      <w:r>
        <w:rPr>
          <w:noProof/>
        </w:rPr>
        <w:t xml:space="preserve"> </w:t>
      </w:r>
      <w:r>
        <w:rPr>
          <w:rFonts w:ascii="Arial" w:hAnsi="Arial"/>
          <w:noProof/>
          <w:sz w:val="24"/>
        </w:rPr>
        <w:t xml:space="preserve">va reitera obligația de </w:t>
      </w:r>
      <w:r>
        <w:rPr>
          <w:rFonts w:ascii="Arial" w:hAnsi="Arial"/>
          <w:b/>
          <w:noProof/>
          <w:sz w:val="24"/>
        </w:rPr>
        <w:t>a cumpăra bunuri și servicii accesibile</w:t>
      </w:r>
      <w:r>
        <w:rPr>
          <w:rFonts w:ascii="Arial" w:hAnsi="Arial"/>
          <w:noProof/>
          <w:sz w:val="24"/>
        </w:rPr>
        <w:t xml:space="preserve">. </w:t>
      </w:r>
    </w:p>
    <w:p w14:paraId="11B6905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Comisia invită statele membre UE:</w:t>
      </w:r>
    </w:p>
    <w:p w14:paraId="23CBEF69" w14:textId="77777777" w:rsidR="00FB01BD" w:rsidRPr="002D57F2" w:rsidRDefault="00FB01BD" w:rsidP="00B540AD">
      <w:pPr>
        <w:pStyle w:val="Point1"/>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before="0" w:after="0" w:line="288" w:lineRule="auto"/>
        <w:ind w:left="357" w:hanging="357"/>
        <w:jc w:val="left"/>
        <w:rPr>
          <w:rFonts w:ascii="Arial" w:hAnsi="Arial" w:cs="Arial"/>
          <w:noProof/>
          <w:szCs w:val="24"/>
        </w:rPr>
      </w:pPr>
      <w:r>
        <w:rPr>
          <w:rFonts w:ascii="Arial" w:hAnsi="Arial"/>
          <w:noProof/>
        </w:rPr>
        <w:t>să sprijine îmbunătățirea și aplicarea accesibilității în standardele și specificațiile tehnice, inclusiv în domeniul achizițiilor publice;</w:t>
      </w:r>
    </w:p>
    <w:p w14:paraId="61AC6383" w14:textId="77777777" w:rsidR="00FB01BD" w:rsidRPr="002D57F2" w:rsidRDefault="00FB01BD" w:rsidP="00B540AD">
      <w:pPr>
        <w:pStyle w:val="Point1"/>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before="0" w:after="0" w:line="288" w:lineRule="auto"/>
        <w:ind w:left="357" w:hanging="357"/>
        <w:jc w:val="left"/>
        <w:rPr>
          <w:rFonts w:ascii="Arial" w:hAnsi="Arial" w:cs="Arial"/>
          <w:noProof/>
          <w:szCs w:val="24"/>
        </w:rPr>
      </w:pPr>
      <w:r>
        <w:rPr>
          <w:rFonts w:ascii="Arial" w:hAnsi="Arial"/>
          <w:noProof/>
        </w:rPr>
        <w:t>să furnizeze cursuri de formare privind accesibilitatea pentru profesioniștii relevanți din domeniul construcțiilor, al transporturilor, al serviciilor de achiziții publice și al tehnologiilor informației și comunicațiilor.</w:t>
      </w:r>
    </w:p>
    <w:p w14:paraId="45D0A3BB" w14:textId="77777777" w:rsidR="00312B17" w:rsidRDefault="00312B17">
      <w:pPr>
        <w:rPr>
          <w:rFonts w:ascii="Arial" w:eastAsiaTheme="majorEastAsia" w:hAnsi="Arial" w:cs="Arial"/>
          <w:b/>
          <w:bCs/>
          <w:noProof/>
          <w:sz w:val="28"/>
          <w:szCs w:val="28"/>
        </w:rPr>
      </w:pPr>
      <w:bookmarkStart w:id="7" w:name="_Toc228880170"/>
      <w:r>
        <w:rPr>
          <w:noProof/>
        </w:rPr>
        <w:br w:type="page"/>
      </w:r>
    </w:p>
    <w:p w14:paraId="2D7286A9" w14:textId="1D28EB1E" w:rsidR="00FB01BD" w:rsidRPr="002D57F2" w:rsidRDefault="00FB01BD" w:rsidP="00FB01BD">
      <w:pPr>
        <w:pStyle w:val="Heading2"/>
        <w:spacing w:before="360" w:after="360"/>
        <w:ind w:left="425" w:hanging="425"/>
        <w:rPr>
          <w:rFonts w:ascii="Arial" w:hAnsi="Arial" w:cs="Arial"/>
          <w:noProof/>
        </w:rPr>
      </w:pPr>
      <w:r>
        <w:rPr>
          <w:rFonts w:ascii="Arial" w:hAnsi="Arial"/>
          <w:noProof/>
        </w:rPr>
        <w:t>Exercitarea drepturilor conferite de UE</w:t>
      </w:r>
      <w:bookmarkEnd w:id="7"/>
    </w:p>
    <w:p w14:paraId="1DA4D4B8" w14:textId="77777777" w:rsidR="00FB01BD" w:rsidRPr="002D57F2" w:rsidRDefault="00FB01BD" w:rsidP="00FB01BD">
      <w:pPr>
        <w:pStyle w:val="Heading3"/>
        <w:rPr>
          <w:rFonts w:ascii="Arial" w:hAnsi="Arial" w:cs="Arial"/>
          <w:noProof/>
        </w:rPr>
      </w:pPr>
      <w:bookmarkStart w:id="8" w:name="_Toc228880171"/>
      <w:r>
        <w:rPr>
          <w:rFonts w:ascii="Arial" w:hAnsi="Arial"/>
          <w:noProof/>
        </w:rPr>
        <w:t>Facilitarea mobilității în interiorul UE</w:t>
      </w:r>
      <w:bookmarkEnd w:id="8"/>
    </w:p>
    <w:p w14:paraId="578149B8" w14:textId="269558A8" w:rsidR="00FB01BD" w:rsidRPr="002D57F2" w:rsidRDefault="007453BC" w:rsidP="00FB01BD">
      <w:pPr>
        <w:pStyle w:val="Style2"/>
        <w:spacing w:line="288" w:lineRule="auto"/>
        <w:rPr>
          <w:rFonts w:ascii="Arial" w:hAnsi="Arial" w:cs="Arial"/>
          <w:noProof/>
          <w:sz w:val="24"/>
          <w:szCs w:val="24"/>
        </w:rPr>
      </w:pPr>
      <w:r>
        <w:rPr>
          <w:rFonts w:ascii="Arial" w:hAnsi="Arial"/>
          <w:noProof/>
          <w:sz w:val="24"/>
        </w:rPr>
        <w:t xml:space="preserve">Cetățenii UE, inclusiv persoanele cu handicap, se bucură de toate beneficiile conferite de cetățenia UE, cum ar fi </w:t>
      </w:r>
      <w:r>
        <w:rPr>
          <w:rFonts w:ascii="Arial" w:hAnsi="Arial"/>
          <w:b/>
          <w:noProof/>
          <w:sz w:val="24"/>
        </w:rPr>
        <w:t>dreptul de a circula liber și de a trăi oriunde în UE</w:t>
      </w:r>
      <w:r>
        <w:rPr>
          <w:rFonts w:ascii="Arial" w:hAnsi="Arial"/>
          <w:noProof/>
          <w:sz w:val="24"/>
        </w:rPr>
        <w:t>. Adoptarea și implementarea</w:t>
      </w:r>
      <w:r>
        <w:rPr>
          <w:rStyle w:val="Hyperlink"/>
          <w:rFonts w:ascii="Arial" w:hAnsi="Arial"/>
          <w:noProof/>
        </w:rPr>
        <w:t xml:space="preserve"> </w:t>
      </w:r>
      <w:hyperlink r:id="rId48">
        <w:r>
          <w:rPr>
            <w:rStyle w:val="Hyperlink"/>
            <w:rFonts w:ascii="Arial" w:hAnsi="Arial"/>
            <w:noProof/>
            <w:sz w:val="24"/>
          </w:rPr>
          <w:t>cardului european pentru persoanele cu handicap și a cardului european de parcare pentru persoanele cu handicap</w:t>
        </w:r>
      </w:hyperlink>
      <w:r>
        <w:rPr>
          <w:noProof/>
        </w:rPr>
        <w:t xml:space="preserve"> </w:t>
      </w:r>
      <w:r>
        <w:rPr>
          <w:rFonts w:ascii="Arial" w:hAnsi="Arial"/>
          <w:noProof/>
          <w:sz w:val="24"/>
          <w:vertAlign w:val="superscript"/>
        </w:rPr>
        <w:t>(</w:t>
      </w:r>
      <w:r>
        <w:rPr>
          <w:rFonts w:ascii="Arial" w:hAnsi="Arial" w:cs="Arial"/>
          <w:noProof/>
          <w:sz w:val="24"/>
          <w:szCs w:val="24"/>
          <w:vertAlign w:val="superscript"/>
          <w:lang w:eastAsia="en-IE"/>
        </w:rPr>
        <w:footnoteReference w:id="7"/>
      </w:r>
      <w:r>
        <w:rPr>
          <w:rFonts w:ascii="Arial" w:hAnsi="Arial"/>
          <w:noProof/>
          <w:sz w:val="24"/>
          <w:vertAlign w:val="superscript"/>
        </w:rPr>
        <w:t>)</w:t>
      </w:r>
      <w:r>
        <w:rPr>
          <w:rFonts w:ascii="Arial" w:hAnsi="Arial"/>
          <w:noProof/>
          <w:sz w:val="24"/>
        </w:rPr>
        <w:t xml:space="preserve">, sprijinite de grupul de experți dedicat, vor avea un rol major în consolidarea mobilității și a incluziunii persoanelor cu handicap, inclusiv a resortisanților din țări terțe care locuiesc legal într-un stat membru. Cu toate acestea, </w:t>
      </w:r>
      <w:r>
        <w:rPr>
          <w:rFonts w:ascii="Arial" w:hAnsi="Arial"/>
          <w:b/>
          <w:noProof/>
          <w:sz w:val="24"/>
        </w:rPr>
        <w:t>rămân în continuare bariere administrative</w:t>
      </w:r>
      <w:r>
        <w:rPr>
          <w:rFonts w:ascii="Arial" w:hAnsi="Arial"/>
          <w:noProof/>
          <w:sz w:val="24"/>
        </w:rPr>
        <w:t xml:space="preserve">, care afectează inclusiv accesul la prestațiile de invaliditate al persoanelor care se mută dintr-un stat membru în altul. În acest sens, diferențele în ceea ce privește modul în care statele membre definesc și evaluează handicapul indică necesitatea de a face schimb de informații pentru a promova o înțelegere comună. Prin urmare, Comisia va încuraja </w:t>
      </w:r>
      <w:r>
        <w:rPr>
          <w:rFonts w:ascii="Arial" w:hAnsi="Arial"/>
          <w:b/>
          <w:noProof/>
          <w:sz w:val="24"/>
        </w:rPr>
        <w:t>învățarea reciprocă între statele membre cu privire la metodele de evaluare a handicapului</w:t>
      </w:r>
      <w:r>
        <w:rPr>
          <w:rFonts w:ascii="Arial" w:hAnsi="Arial"/>
          <w:noProof/>
          <w:sz w:val="24"/>
        </w:rPr>
        <w:t xml:space="preserve">. </w:t>
      </w:r>
    </w:p>
    <w:p w14:paraId="15F5FE8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INIȚIATIVĂ EMBLEMATICĂ – Cardul european pentru persoanele cu handicap și cardul european de parcare pentru persoanele cu handicap în portofelul dumneavoastră (digital)</w:t>
      </w:r>
    </w:p>
    <w:p w14:paraId="19312222"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line="288" w:lineRule="auto"/>
        <w:rPr>
          <w:rFonts w:ascii="Arial" w:hAnsi="Arial" w:cs="Arial"/>
          <w:b/>
          <w:bCs/>
          <w:noProof/>
          <w:color w:val="0E2841" w:themeColor="text2"/>
          <w:sz w:val="24"/>
          <w:szCs w:val="24"/>
        </w:rPr>
      </w:pPr>
      <w:r>
        <w:rPr>
          <w:rFonts w:ascii="Arial" w:hAnsi="Arial"/>
          <w:noProof/>
          <w:sz w:val="24"/>
        </w:rPr>
        <w:t xml:space="preserve">Această inițiativă urmărește să garanteze că aceste carduri devin realitate în UE, ceea ce înseamnă că toți rezidenții cu handicap din UE ar trebui să le aibă în portofelele lor (digitale). </w:t>
      </w:r>
      <w:r>
        <w:rPr>
          <w:rFonts w:ascii="Arial" w:hAnsi="Arial"/>
          <w:b/>
          <w:noProof/>
          <w:sz w:val="24"/>
        </w:rPr>
        <w:t xml:space="preserve">În acest sens, vor fi necesare: </w:t>
      </w:r>
      <w:r>
        <w:rPr>
          <w:rFonts w:ascii="Arial" w:hAnsi="Arial"/>
          <w:noProof/>
          <w:sz w:val="24"/>
        </w:rPr>
        <w:t>(i) coduri QR pentru versiunile fizice ale cardurilor, caracteristici menite să garanteze securitatea cardurilor și să prevină frauda, precum și cerințe de interoperabilitate pentru lizibilitate în toate statele membre; (ii) versiunile digitale accesibile ale cardurilor și acordurile de interoperabilitate aferente; (iii) eforturi de comunicare pentru a crește nivelul de conștientizare cu privire la beneficiile cardurilor; și (iv) evaluarea lacunelor rămase în ceea ce privește libera circulație a persoanelor cu handicap.</w:t>
      </w:r>
    </w:p>
    <w:p w14:paraId="0CF73D95" w14:textId="77777777" w:rsidR="00FB01BD" w:rsidRPr="002D57F2" w:rsidRDefault="00FB01BD" w:rsidP="00FB01BD">
      <w:pPr>
        <w:pStyle w:val="Heading3"/>
        <w:rPr>
          <w:rFonts w:ascii="Arial" w:hAnsi="Arial" w:cs="Arial"/>
          <w:noProof/>
        </w:rPr>
      </w:pPr>
      <w:bookmarkStart w:id="9" w:name="_Toc228880172"/>
      <w:r>
        <w:rPr>
          <w:rFonts w:ascii="Arial" w:hAnsi="Arial"/>
          <w:noProof/>
        </w:rPr>
        <w:t>Încurajarea participării la procesele democratice</w:t>
      </w:r>
      <w:bookmarkEnd w:id="9"/>
    </w:p>
    <w:p w14:paraId="04023EB2" w14:textId="1EFBD44E" w:rsidR="00312B17" w:rsidRDefault="00FB01BD" w:rsidP="00FB01BD">
      <w:pPr>
        <w:pStyle w:val="Style2"/>
        <w:spacing w:line="288" w:lineRule="auto"/>
        <w:rPr>
          <w:rFonts w:ascii="Arial" w:hAnsi="Arial" w:cs="Arial"/>
          <w:noProof/>
          <w:sz w:val="24"/>
          <w:szCs w:val="24"/>
        </w:rPr>
      </w:pPr>
      <w:r>
        <w:rPr>
          <w:rFonts w:ascii="Arial" w:hAnsi="Arial"/>
          <w:noProof/>
          <w:sz w:val="24"/>
        </w:rPr>
        <w:t xml:space="preserve">Persoanele cu handicap ar trebui </w:t>
      </w:r>
      <w:r>
        <w:rPr>
          <w:rFonts w:ascii="Arial" w:hAnsi="Arial"/>
          <w:b/>
          <w:noProof/>
          <w:sz w:val="24"/>
        </w:rPr>
        <w:t>să poată participa la procesele politice, inclusiv la alegeri, la fel ca toți ceilalți cetățeni</w:t>
      </w:r>
      <w:r>
        <w:rPr>
          <w:rFonts w:ascii="Arial" w:hAnsi="Arial"/>
          <w:noProof/>
          <w:sz w:val="24"/>
        </w:rPr>
        <w:t>. În exercitarea drepturilor lor democratice, se confruntă cu diverse dificultăți: le este greu să obțină buletine de vot accesibile pe suport de hârtie și informații legate de alegeri, să acceseze serviciile de e-guvernare, să conteste alegerile sau să își depună candidatura pentru o funcție publică.</w:t>
      </w:r>
    </w:p>
    <w:p w14:paraId="3E0C7B39" w14:textId="77777777" w:rsidR="00312B17" w:rsidRDefault="00312B17">
      <w:pPr>
        <w:rPr>
          <w:rFonts w:ascii="Arial" w:hAnsi="Arial" w:cs="Arial"/>
          <w:noProof/>
        </w:rPr>
      </w:pPr>
      <w:r>
        <w:rPr>
          <w:noProof/>
        </w:rPr>
        <w:br w:type="page"/>
      </w:r>
    </w:p>
    <w:p w14:paraId="652BE3AA" w14:textId="77777777" w:rsidR="00FB01BD" w:rsidRPr="002D57F2" w:rsidRDefault="00FB01BD" w:rsidP="00B540AD">
      <w:pPr>
        <w:pStyle w:val="Style2"/>
        <w:keepNext/>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INIȚIATIVĂ EMBLEMATICĂ – Democrații favorabile incluziunii în întreaga UE</w:t>
      </w:r>
    </w:p>
    <w:p w14:paraId="5FC9E904" w14:textId="2DC8587B"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b/>
          <w:bCs/>
          <w:noProof/>
          <w:sz w:val="24"/>
          <w:szCs w:val="24"/>
        </w:rPr>
      </w:pPr>
      <w:r>
        <w:rPr>
          <w:rFonts w:ascii="Arial" w:hAnsi="Arial"/>
          <w:noProof/>
          <w:sz w:val="24"/>
        </w:rPr>
        <w:t xml:space="preserve">Comisia va colabora cu statele membre în cadrul Rețelei europene de cooperare privind alegerile în vederea obținerii următoarelor </w:t>
      </w:r>
      <w:r>
        <w:rPr>
          <w:rFonts w:ascii="Arial" w:hAnsi="Arial"/>
          <w:b/>
          <w:noProof/>
          <w:color w:val="000000" w:themeColor="text1"/>
          <w:sz w:val="24"/>
        </w:rPr>
        <w:t>rezultate</w:t>
      </w:r>
      <w:r>
        <w:rPr>
          <w:rFonts w:ascii="Arial" w:hAnsi="Arial"/>
          <w:noProof/>
          <w:sz w:val="24"/>
        </w:rPr>
        <w:t>:</w:t>
      </w:r>
      <w:r>
        <w:rPr>
          <w:rFonts w:ascii="Arial" w:hAnsi="Arial"/>
          <w:noProof/>
          <w:color w:val="000000" w:themeColor="text1"/>
          <w:sz w:val="24"/>
        </w:rPr>
        <w:t xml:space="preserve"> </w:t>
      </w:r>
      <w:r>
        <w:rPr>
          <w:rFonts w:ascii="Arial" w:hAnsi="Arial"/>
          <w:noProof/>
          <w:sz w:val="24"/>
        </w:rPr>
        <w:t>(i</w:t>
      </w:r>
      <w:r>
        <w:rPr>
          <w:rFonts w:ascii="Arial" w:hAnsi="Arial"/>
          <w:noProof/>
          <w:color w:val="000000" w:themeColor="text1"/>
          <w:sz w:val="24"/>
        </w:rPr>
        <w:t>)</w:t>
      </w:r>
      <w:r>
        <w:rPr>
          <w:rFonts w:ascii="Arial" w:hAnsi="Arial"/>
          <w:noProof/>
          <w:sz w:val="24"/>
        </w:rPr>
        <w:t xml:space="preserve"> actualizarea </w:t>
      </w:r>
      <w:hyperlink r:id="rId49">
        <w:r>
          <w:rPr>
            <w:rStyle w:val="Hyperlink"/>
            <w:rFonts w:ascii="Arial" w:hAnsi="Arial"/>
            <w:noProof/>
            <w:sz w:val="24"/>
          </w:rPr>
          <w:t>Ghidului de bune practici electorale din statele membre care abordează participarea cetățenilor cu handicap la procesul electoral</w:t>
        </w:r>
      </w:hyperlink>
      <w:r>
        <w:rPr>
          <w:rFonts w:ascii="Arial" w:hAnsi="Arial"/>
          <w:noProof/>
          <w:sz w:val="24"/>
        </w:rPr>
        <w:t>; (ii) promovarea unor referințe și standarde comune pentru alegeri incluzive prin intermediul registrului prevăzut în</w:t>
      </w:r>
      <w:r>
        <w:rPr>
          <w:noProof/>
        </w:rPr>
        <w:t xml:space="preserve"> </w:t>
      </w:r>
      <w:hyperlink r:id="rId50" w:history="1">
        <w:r>
          <w:rPr>
            <w:rStyle w:val="Hyperlink"/>
            <w:rFonts w:ascii="Arial" w:hAnsi="Arial"/>
            <w:noProof/>
            <w:sz w:val="24"/>
          </w:rPr>
          <w:t>Scutul european pentru democrație</w:t>
        </w:r>
      </w:hyperlink>
      <w:r>
        <w:rPr>
          <w:rFonts w:ascii="Arial" w:hAnsi="Arial"/>
          <w:noProof/>
          <w:sz w:val="24"/>
        </w:rPr>
        <w:t>;</w:t>
      </w:r>
      <w:r>
        <w:rPr>
          <w:rFonts w:ascii="Arial" w:hAnsi="Arial"/>
          <w:b/>
          <w:noProof/>
          <w:color w:val="0E2841" w:themeColor="text2"/>
          <w:sz w:val="24"/>
        </w:rPr>
        <w:t xml:space="preserve"> </w:t>
      </w:r>
      <w:r>
        <w:rPr>
          <w:rFonts w:ascii="Arial" w:hAnsi="Arial"/>
          <w:noProof/>
          <w:color w:val="0E2841" w:themeColor="text2"/>
          <w:sz w:val="24"/>
        </w:rPr>
        <w:t xml:space="preserve">și </w:t>
      </w:r>
      <w:r>
        <w:rPr>
          <w:rFonts w:ascii="Arial" w:hAnsi="Arial"/>
          <w:noProof/>
          <w:color w:val="000000" w:themeColor="text1"/>
          <w:sz w:val="24"/>
        </w:rPr>
        <w:t>(</w:t>
      </w:r>
      <w:r>
        <w:rPr>
          <w:rFonts w:ascii="Arial" w:hAnsi="Arial"/>
          <w:noProof/>
          <w:sz w:val="24"/>
        </w:rPr>
        <w:t xml:space="preserve">iii) schimb de bune practici în materie de handicap în cadrul Rețelei europene de cooperare privind alegerile – elemente relevante ale </w:t>
      </w:r>
      <w:hyperlink r:id="rId51">
        <w:r>
          <w:rPr>
            <w:rStyle w:val="Hyperlink"/>
            <w:rFonts w:ascii="Arial" w:hAnsi="Arial"/>
            <w:noProof/>
            <w:sz w:val="24"/>
          </w:rPr>
          <w:t>Recomandării Comisiei referitoare la procese electorale incluzive și reziliente</w:t>
        </w:r>
      </w:hyperlink>
      <w:r>
        <w:rPr>
          <w:rFonts w:ascii="Arial" w:hAnsi="Arial"/>
          <w:noProof/>
          <w:sz w:val="24"/>
        </w:rPr>
        <w:t xml:space="preserve"> și ale </w:t>
      </w:r>
      <w:hyperlink r:id="rId52">
        <w:r>
          <w:rPr>
            <w:rStyle w:val="Hyperlink"/>
            <w:rFonts w:ascii="Arial" w:hAnsi="Arial"/>
            <w:noProof/>
            <w:sz w:val="24"/>
          </w:rPr>
          <w:t>raportului Comisiei privind alegerile pentru Parlamentul European din 2024</w:t>
        </w:r>
      </w:hyperlink>
      <w:r>
        <w:rPr>
          <w:rFonts w:ascii="Arial" w:hAnsi="Arial"/>
          <w:noProof/>
          <w:sz w:val="24"/>
        </w:rPr>
        <w:t>.</w:t>
      </w:r>
    </w:p>
    <w:p w14:paraId="5FFD2CBF" w14:textId="1A094DAB"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Comisia va depune în continuare eforturi, inclusiv prin colaborarea cu părțile interesate și prin acțiuni de comunicare, pentru a promova dreptul persoanelor cu handicap de a vota și de a candida la </w:t>
      </w:r>
      <w:r>
        <w:rPr>
          <w:rFonts w:ascii="Arial" w:hAnsi="Arial"/>
          <w:b/>
          <w:noProof/>
          <w:sz w:val="24"/>
        </w:rPr>
        <w:t>alegerile europene din 2029</w:t>
      </w:r>
      <w:r>
        <w:rPr>
          <w:rFonts w:ascii="Arial" w:hAnsi="Arial"/>
          <w:noProof/>
          <w:sz w:val="24"/>
        </w:rPr>
        <w:t xml:space="preserve">. </w:t>
      </w:r>
    </w:p>
    <w:p w14:paraId="0EAA839E"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Comisia invită statele membre UE:</w:t>
      </w:r>
    </w:p>
    <w:p w14:paraId="7F4BD46B" w14:textId="6AAE57B5" w:rsidR="00FB01BD" w:rsidRPr="00CC0C2C"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să promoveze participarea persoanelor cu handicap la procesele democratice, atât în calitate de alegători, cât și de candidați, furnizând inclusiv materiale de comunicare și informații electorale în formate adecvate și garantând accesibilitatea materialelor, a procedurilor și a secțiilor de votare.</w:t>
      </w:r>
    </w:p>
    <w:p w14:paraId="5D71D552" w14:textId="77777777" w:rsidR="00CC0C2C" w:rsidRDefault="00CC0C2C">
      <w:pPr>
        <w:rPr>
          <w:rFonts w:ascii="Arial" w:eastAsiaTheme="majorEastAsia" w:hAnsi="Arial" w:cs="Arial"/>
          <w:b/>
          <w:noProof/>
          <w:sz w:val="28"/>
          <w:szCs w:val="28"/>
        </w:rPr>
      </w:pPr>
      <w:bookmarkStart w:id="10" w:name="_Toc228880173"/>
      <w:r>
        <w:rPr>
          <w:noProof/>
        </w:rPr>
        <w:br w:type="page"/>
      </w:r>
    </w:p>
    <w:p w14:paraId="1B20FCAB" w14:textId="68E2BCCC" w:rsidR="00FB01BD" w:rsidRPr="002D57F2" w:rsidRDefault="00FB01BD" w:rsidP="00623537">
      <w:pPr>
        <w:pStyle w:val="Heading1"/>
        <w:numPr>
          <w:ilvl w:val="0"/>
          <w:numId w:val="14"/>
        </w:numPr>
        <w:spacing w:before="720"/>
        <w:rPr>
          <w:rFonts w:ascii="Arial" w:hAnsi="Arial" w:cs="Arial"/>
          <w:noProof/>
        </w:rPr>
      </w:pPr>
      <w:r>
        <w:rPr>
          <w:rFonts w:ascii="Arial" w:hAnsi="Arial"/>
          <w:noProof/>
        </w:rPr>
        <w:t>CAPACITARE ȘI INCLUZIUNE</w:t>
      </w:r>
      <w:bookmarkEnd w:id="10"/>
    </w:p>
    <w:p w14:paraId="5B89DFE5" w14:textId="77777777" w:rsidR="00FB01BD" w:rsidRPr="002D57F2" w:rsidRDefault="00FB01BD" w:rsidP="00FB01BD">
      <w:pPr>
        <w:pStyle w:val="Heading2"/>
        <w:spacing w:after="240"/>
        <w:ind w:left="425" w:hanging="425"/>
        <w:rPr>
          <w:rFonts w:ascii="Arial" w:hAnsi="Arial" w:cs="Arial"/>
          <w:noProof/>
        </w:rPr>
      </w:pPr>
      <w:bookmarkStart w:id="11" w:name="_Toc228880174"/>
      <w:r>
        <w:rPr>
          <w:rFonts w:ascii="Arial" w:hAnsi="Arial"/>
          <w:noProof/>
        </w:rPr>
        <w:t>O calitate decentă a vieții și posibilitatea de a trăi independent</w:t>
      </w:r>
      <w:bookmarkEnd w:id="11"/>
    </w:p>
    <w:p w14:paraId="535F41BC" w14:textId="77777777" w:rsidR="00FB01BD" w:rsidRPr="002D57F2" w:rsidRDefault="00FB01BD" w:rsidP="00FB01BD">
      <w:pPr>
        <w:pStyle w:val="Heading3"/>
        <w:rPr>
          <w:rFonts w:ascii="Arial" w:hAnsi="Arial" w:cs="Arial"/>
          <w:noProof/>
        </w:rPr>
      </w:pPr>
      <w:bookmarkStart w:id="12" w:name="_Toc228880175"/>
      <w:r>
        <w:rPr>
          <w:rStyle w:val="Heading3Char"/>
          <w:rFonts w:ascii="Arial" w:hAnsi="Arial"/>
          <w:b/>
          <w:noProof/>
        </w:rPr>
        <w:t>Facilitarea unei vieți independente și consolidarea serviciilor comunitare</w:t>
      </w:r>
      <w:bookmarkEnd w:id="12"/>
    </w:p>
    <w:p w14:paraId="0869B892" w14:textId="042BE721" w:rsidR="00312B17" w:rsidRDefault="00FB01BD" w:rsidP="00FB01BD">
      <w:pPr>
        <w:pStyle w:val="Style2"/>
        <w:spacing w:line="288" w:lineRule="auto"/>
        <w:rPr>
          <w:rFonts w:ascii="Arial" w:hAnsi="Arial" w:cs="Arial"/>
          <w:noProof/>
          <w:sz w:val="24"/>
          <w:szCs w:val="24"/>
        </w:rPr>
      </w:pPr>
      <w:r>
        <w:rPr>
          <w:rFonts w:ascii="Arial" w:hAnsi="Arial"/>
          <w:noProof/>
          <w:sz w:val="24"/>
        </w:rPr>
        <w:t>UE promovează dezinstituționalizarea prin politici și finanțare de peste un deceniu, inclusiv prin</w:t>
      </w:r>
      <w:r>
        <w:rPr>
          <w:noProof/>
        </w:rPr>
        <w:t xml:space="preserve"> </w:t>
      </w:r>
      <w:hyperlink r:id="rId53" w:history="1">
        <w:r>
          <w:rPr>
            <w:rStyle w:val="Hyperlink"/>
            <w:rFonts w:ascii="Arial" w:hAnsi="Arial"/>
            <w:noProof/>
            <w:sz w:val="24"/>
          </w:rPr>
          <w:t>Orientările privind viața independentă și incluziunea în comunitate a persoanelor cu handicap în contextul finanțării din partea UE</w:t>
        </w:r>
      </w:hyperlink>
      <w:r>
        <w:rPr>
          <w:rFonts w:ascii="Arial" w:hAnsi="Arial"/>
          <w:noProof/>
          <w:sz w:val="24"/>
        </w:rPr>
        <w:t xml:space="preserve">. Cu toate acestea, o estimare recentă a Eurofound arată că, în cei 10 ani care au precedat perioada 2022-2023, numărul copiilor, al adulților cu handicap și al persoanelor în vârstă din instituțiile rezidențiale a crescut în UE, ajungând la 1,4 milioane </w:t>
      </w:r>
      <w:r>
        <w:rPr>
          <w:rFonts w:ascii="Arial" w:hAnsi="Arial"/>
          <w:noProof/>
          <w:sz w:val="24"/>
          <w:vertAlign w:val="superscript"/>
        </w:rPr>
        <w:t>(</w:t>
      </w:r>
      <w:r>
        <w:rPr>
          <w:rStyle w:val="FootnoteReference"/>
          <w:rFonts w:ascii="Arial" w:hAnsi="Arial" w:cs="Arial"/>
          <w:noProof/>
        </w:rPr>
        <w:footnoteReference w:id="8"/>
      </w:r>
      <w:r>
        <w:rPr>
          <w:rFonts w:ascii="Arial" w:hAnsi="Arial"/>
          <w:noProof/>
          <w:sz w:val="24"/>
          <w:vertAlign w:val="superscript"/>
        </w:rPr>
        <w:t>)</w:t>
      </w:r>
      <w:r>
        <w:rPr>
          <w:rFonts w:ascii="Arial" w:hAnsi="Arial"/>
          <w:noProof/>
          <w:sz w:val="24"/>
        </w:rPr>
        <w:t>. Problemele de accesibilitate, lipsa unor servicii comunitare adecvate și restricțiile legate de capacitatea juridică sunt o parte din motivele pentru care persoanele cu handicap sunt împiedicate să trăiască independent.</w:t>
      </w:r>
    </w:p>
    <w:p w14:paraId="5ADA626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INIȚIATIVĂ EMBLEMATICĂ – Alianța UE pentru o viață independentă</w:t>
      </w:r>
    </w:p>
    <w:p w14:paraId="06FDC716"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noProof/>
          <w:sz w:val="24"/>
          <w:szCs w:val="24"/>
        </w:rPr>
      </w:pPr>
      <w:r>
        <w:rPr>
          <w:rFonts w:ascii="Arial" w:hAnsi="Arial"/>
          <w:noProof/>
          <w:sz w:val="24"/>
        </w:rPr>
        <w:t xml:space="preserve">Comisia va încuraja statele membre și părțile interesate să facă schimb de informații, să promoveze colectarea și diseminarea datelor și să sensibilizeze publicul cu privire la factorii care sprijină sau împiedică procesul de dezinstituționalizare. </w:t>
      </w:r>
      <w:r>
        <w:rPr>
          <w:rFonts w:ascii="Arial" w:hAnsi="Arial"/>
          <w:b/>
          <w:noProof/>
          <w:sz w:val="24"/>
        </w:rPr>
        <w:t>Inițiativa va include:</w:t>
      </w:r>
      <w:r>
        <w:rPr>
          <w:rFonts w:ascii="Arial" w:hAnsi="Arial"/>
          <w:noProof/>
          <w:sz w:val="24"/>
        </w:rPr>
        <w:t xml:space="preserve"> (i) instituirea unei alianțe a factorilor de decizie și a părților interesate pentru a facilita crearea de centre naționale și locale pentru o viață independentă, cu mobilizarea de finanțare din partea UE; (ii) monitorizarea procesului de dezinstituționalizare în statele membre și furnizarea unei analize costuri-beneficii; și (iii) organizarea unui dialog pe tema transpunerii în realitate a conceptului de „viață independentă”.</w:t>
      </w:r>
    </w:p>
    <w:p w14:paraId="50CB5D46"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De asemenea, Comisia încurajează elaborarea de</w:t>
      </w:r>
      <w:r>
        <w:rPr>
          <w:rFonts w:ascii="Arial" w:hAnsi="Arial"/>
          <w:b/>
          <w:noProof/>
          <w:sz w:val="24"/>
        </w:rPr>
        <w:t xml:space="preserve"> soluții inovatoare pentru o viață independentă</w:t>
      </w:r>
      <w:r>
        <w:rPr>
          <w:rFonts w:ascii="Arial" w:hAnsi="Arial"/>
          <w:noProof/>
          <w:sz w:val="24"/>
        </w:rPr>
        <w:t xml:space="preserve"> prin intermediul finanțării UE, în special al programului </w:t>
      </w:r>
      <w:hyperlink r:id="rId54" w:history="1">
        <w:r>
          <w:rPr>
            <w:rStyle w:val="Hyperlink"/>
            <w:rFonts w:ascii="Arial" w:hAnsi="Arial"/>
            <w:noProof/>
            <w:sz w:val="24"/>
          </w:rPr>
          <w:t>Orizont Europa</w:t>
        </w:r>
      </w:hyperlink>
      <w:r>
        <w:rPr>
          <w:rFonts w:ascii="Arial" w:hAnsi="Arial"/>
          <w:noProof/>
          <w:sz w:val="24"/>
        </w:rPr>
        <w:t xml:space="preserve"> și al fondurilor și programelor politicii de coeziune, inclusiv al programelor succesoare prevăzute de cadrul financiar multianual post-2027.</w:t>
      </w:r>
    </w:p>
    <w:p w14:paraId="24C62ECF" w14:textId="6E42B051" w:rsidR="00FB01BD" w:rsidRPr="002D57F2" w:rsidRDefault="00FB01BD" w:rsidP="00FB01BD">
      <w:pPr>
        <w:pStyle w:val="Style2"/>
        <w:spacing w:line="288" w:lineRule="auto"/>
        <w:rPr>
          <w:rFonts w:ascii="Arial" w:hAnsi="Arial" w:cs="Arial"/>
          <w:b/>
          <w:bCs/>
          <w:noProof/>
          <w:sz w:val="24"/>
          <w:szCs w:val="24"/>
        </w:rPr>
      </w:pPr>
      <w:r>
        <w:rPr>
          <w:rFonts w:ascii="Arial" w:hAnsi="Arial"/>
          <w:noProof/>
          <w:sz w:val="24"/>
        </w:rPr>
        <w:t xml:space="preserve">Comisia va promova </w:t>
      </w:r>
      <w:r>
        <w:rPr>
          <w:rFonts w:ascii="Arial" w:hAnsi="Arial"/>
          <w:b/>
          <w:noProof/>
          <w:sz w:val="24"/>
        </w:rPr>
        <w:t>sprijinul accesibil bazat pe comunitate</w:t>
      </w:r>
      <w:r>
        <w:rPr>
          <w:rFonts w:ascii="Arial" w:hAnsi="Arial"/>
          <w:noProof/>
          <w:sz w:val="24"/>
        </w:rPr>
        <w:t xml:space="preserve"> </w:t>
      </w:r>
      <w:r>
        <w:rPr>
          <w:rFonts w:ascii="Arial" w:hAnsi="Arial"/>
          <w:b/>
          <w:noProof/>
          <w:sz w:val="24"/>
        </w:rPr>
        <w:t>pentru persoanele cu handicap</w:t>
      </w:r>
      <w:r>
        <w:rPr>
          <w:rFonts w:ascii="Arial" w:hAnsi="Arial"/>
          <w:noProof/>
          <w:sz w:val="24"/>
        </w:rPr>
        <w:t xml:space="preserve">, inclusiv în cadrul </w:t>
      </w:r>
      <w:hyperlink r:id="rId55" w:history="1">
        <w:r>
          <w:rPr>
            <w:rStyle w:val="Hyperlink"/>
            <w:rFonts w:ascii="Arial" w:hAnsi="Arial"/>
            <w:noProof/>
            <w:sz w:val="24"/>
          </w:rPr>
          <w:t>Fondului social european+</w:t>
        </w:r>
      </w:hyperlink>
      <w:r>
        <w:rPr>
          <w:rFonts w:ascii="Arial" w:hAnsi="Arial"/>
          <w:b/>
          <w:noProof/>
          <w:sz w:val="24"/>
        </w:rPr>
        <w:t xml:space="preserve"> </w:t>
      </w:r>
      <w:r>
        <w:rPr>
          <w:rFonts w:ascii="Arial" w:hAnsi="Arial"/>
          <w:noProof/>
          <w:sz w:val="24"/>
        </w:rPr>
        <w:t xml:space="preserve">și al </w:t>
      </w:r>
      <w:hyperlink r:id="rId56" w:history="1">
        <w:r>
          <w:rPr>
            <w:rStyle w:val="Hyperlink"/>
            <w:rFonts w:ascii="Arial" w:hAnsi="Arial"/>
            <w:noProof/>
            <w:sz w:val="24"/>
          </w:rPr>
          <w:t>Fondului european de dezvoltare regională</w:t>
        </w:r>
      </w:hyperlink>
      <w:r>
        <w:rPr>
          <w:rFonts w:ascii="Arial" w:hAnsi="Arial"/>
          <w:noProof/>
          <w:sz w:val="24"/>
        </w:rPr>
        <w:t xml:space="preserve">. În domeniul serviciilor sociale, Comisia va prezenta </w:t>
      </w:r>
      <w:r>
        <w:rPr>
          <w:rFonts w:ascii="Arial" w:hAnsi="Arial"/>
          <w:b/>
          <w:noProof/>
          <w:sz w:val="24"/>
        </w:rPr>
        <w:t>cadrul pentru servicii sociale de excelență pentru persoanele cu handicap</w:t>
      </w:r>
      <w:r>
        <w:rPr>
          <w:rFonts w:ascii="Arial" w:hAnsi="Arial"/>
          <w:noProof/>
          <w:sz w:val="24"/>
        </w:rPr>
        <w:t xml:space="preserve"> anunțat de strategie, asigurând sinergii cu actualizarea cadrului european voluntar de calitate pentru serviciile sociale, elaborat de Comitetul pentru protecție socială.</w:t>
      </w:r>
    </w:p>
    <w:p w14:paraId="61FE6FA6" w14:textId="77777777" w:rsidR="00FB01BD" w:rsidRPr="002D57F2" w:rsidRDefault="00FB01BD" w:rsidP="00FB01BD">
      <w:pPr>
        <w:pStyle w:val="Heading3"/>
        <w:rPr>
          <w:rFonts w:ascii="Arial" w:hAnsi="Arial" w:cs="Arial"/>
          <w:noProof/>
        </w:rPr>
      </w:pPr>
      <w:bookmarkStart w:id="13" w:name="_Toc228880176"/>
      <w:r>
        <w:rPr>
          <w:rFonts w:ascii="Arial" w:hAnsi="Arial"/>
          <w:noProof/>
        </w:rPr>
        <w:t>Îmbunătățirea accesului la locuri de muncă durabile și de calitate</w:t>
      </w:r>
      <w:bookmarkEnd w:id="13"/>
    </w:p>
    <w:p w14:paraId="790E12D6" w14:textId="1F48AE9F"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Îmbunătățirea incluziunii pe piața forței de muncă reprezintă o oportunitate semnificativă de a valorifica mai bine competențele, talentele și experiențele persoanelor cu handicap, ceea ce va ajuta economia UE să devină mai favorabilă incluziunii și mai competitivă. Totuși, </w:t>
      </w:r>
      <w:r>
        <w:rPr>
          <w:rFonts w:ascii="Arial" w:hAnsi="Arial"/>
          <w:b/>
          <w:noProof/>
          <w:sz w:val="24"/>
        </w:rPr>
        <w:t xml:space="preserve">doar jumătate dintre persoanele cu handicap din UE participă pe piața forței de muncă </w:t>
      </w:r>
      <w:r>
        <w:rPr>
          <w:rFonts w:ascii="Arial" w:hAnsi="Arial"/>
          <w:noProof/>
          <w:sz w:val="24"/>
        </w:rPr>
        <w:t xml:space="preserve">(56,4% in 2024 </w:t>
      </w:r>
      <w:r>
        <w:rPr>
          <w:rStyle w:val="FootnoteReference"/>
          <w:rFonts w:ascii="Arial" w:hAnsi="Arial" w:cs="Arial"/>
          <w:noProof/>
          <w:sz w:val="24"/>
          <w:szCs w:val="24"/>
          <w:lang w:eastAsia="en-IE"/>
        </w:rPr>
        <w:footnoteReference w:id="9"/>
      </w:r>
      <w:r>
        <w:rPr>
          <w:rFonts w:ascii="Arial" w:hAnsi="Arial"/>
          <w:noProof/>
          <w:sz w:val="24"/>
        </w:rPr>
        <w:t>),</w:t>
      </w:r>
      <w:r>
        <w:rPr>
          <w:rFonts w:ascii="Arial" w:hAnsi="Arial"/>
          <w:b/>
          <w:noProof/>
          <w:sz w:val="24"/>
        </w:rPr>
        <w:t xml:space="preserve"> </w:t>
      </w:r>
      <w:r>
        <w:rPr>
          <w:rFonts w:ascii="Arial" w:hAnsi="Arial"/>
          <w:noProof/>
          <w:sz w:val="24"/>
        </w:rPr>
        <w:t xml:space="preserve">diferența între rata de ocupare a persoanelor cu handicap și cea din rândul restului populației fiind de 24 de puncte procentuale în 2024 </w:t>
      </w:r>
      <w:r>
        <w:rPr>
          <w:noProof/>
          <w:sz w:val="24"/>
        </w:rPr>
        <w:t>(</w:t>
      </w:r>
      <w:r>
        <w:rPr>
          <w:rFonts w:ascii="Arial" w:hAnsi="Arial"/>
          <w:noProof/>
          <w:sz w:val="24"/>
        </w:rPr>
        <w:t xml:space="preserve">23,1 puncte procentuale în 2021) </w:t>
      </w:r>
      <w:r>
        <w:rPr>
          <w:rFonts w:ascii="Arial" w:hAnsi="Arial"/>
          <w:noProof/>
          <w:sz w:val="24"/>
          <w:vertAlign w:val="superscript"/>
        </w:rPr>
        <w:t>(</w:t>
      </w:r>
      <w:r>
        <w:rPr>
          <w:rStyle w:val="FootnoteReference"/>
          <w:rFonts w:ascii="Arial" w:hAnsi="Arial" w:cs="Arial"/>
          <w:noProof/>
        </w:rPr>
        <w:footnoteReference w:id="10"/>
      </w:r>
      <w:r>
        <w:rPr>
          <w:rFonts w:ascii="Arial" w:hAnsi="Arial"/>
          <w:noProof/>
          <w:sz w:val="24"/>
          <w:vertAlign w:val="superscript"/>
        </w:rPr>
        <w:t>)</w:t>
      </w:r>
      <w:r>
        <w:rPr>
          <w:rFonts w:ascii="Arial" w:hAnsi="Arial"/>
          <w:noProof/>
          <w:sz w:val="24"/>
        </w:rPr>
        <w:t>. Printre barierele aflate în calea participării pe piața forței de muncă se numără problemele de accesibilitate, neimplementarea amenajărilor corespunzătoare </w:t>
      </w:r>
      <w:r>
        <w:rPr>
          <w:rFonts w:ascii="Arial" w:hAnsi="Arial"/>
          <w:noProof/>
          <w:sz w:val="24"/>
          <w:vertAlign w:val="superscript"/>
        </w:rPr>
        <w:t>(</w:t>
      </w:r>
      <w:r>
        <w:rPr>
          <w:rStyle w:val="FootnoteReference"/>
          <w:rFonts w:ascii="Arial" w:hAnsi="Arial" w:cs="Arial"/>
          <w:noProof/>
        </w:rPr>
        <w:footnoteReference w:id="11"/>
      </w:r>
      <w:r>
        <w:rPr>
          <w:rFonts w:ascii="Arial" w:hAnsi="Arial"/>
          <w:noProof/>
          <w:sz w:val="24"/>
          <w:vertAlign w:val="superscript"/>
        </w:rPr>
        <w:t>)</w:t>
      </w:r>
      <w:r>
        <w:rPr>
          <w:rFonts w:ascii="Arial" w:hAnsi="Arial"/>
          <w:noProof/>
          <w:sz w:val="24"/>
        </w:rPr>
        <w:t xml:space="preserve">, dependența de prestațiile sociale și persistența stereotipurilor. </w:t>
      </w:r>
    </w:p>
    <w:p w14:paraId="2BF58C49"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Sunt necesare mai multe eforturi </w:t>
      </w:r>
      <w:r>
        <w:rPr>
          <w:rFonts w:ascii="Arial" w:hAnsi="Arial"/>
          <w:b/>
          <w:noProof/>
          <w:sz w:val="24"/>
        </w:rPr>
        <w:t>pentru a combate discriminarea și pentru a garanta că se oferă amenajări corespunzătoare la locul de muncă</w:t>
      </w:r>
      <w:r>
        <w:rPr>
          <w:rFonts w:ascii="Arial" w:hAnsi="Arial"/>
          <w:noProof/>
          <w:sz w:val="24"/>
        </w:rPr>
        <w:t>, în conformitate cu cerința legală a UE consacrată în</w:t>
      </w:r>
      <w:r>
        <w:rPr>
          <w:noProof/>
        </w:rPr>
        <w:t xml:space="preserve"> </w:t>
      </w:r>
      <w:hyperlink r:id="rId57" w:history="1">
        <w:r>
          <w:rPr>
            <w:rStyle w:val="Hyperlink"/>
            <w:rFonts w:ascii="Arial" w:hAnsi="Arial"/>
            <w:noProof/>
            <w:sz w:val="24"/>
          </w:rPr>
          <w:t>Directiva privind egalitatea de tratament în ceea ce privește încadrarea în muncă</w:t>
        </w:r>
      </w:hyperlink>
      <w:r>
        <w:rPr>
          <w:rFonts w:ascii="Arial" w:hAnsi="Arial"/>
          <w:noProof/>
        </w:rPr>
        <w:t>.</w:t>
      </w:r>
      <w:r>
        <w:rPr>
          <w:rFonts w:ascii="Arial" w:hAnsi="Arial"/>
          <w:noProof/>
          <w:sz w:val="24"/>
        </w:rPr>
        <w:t xml:space="preserve"> Tinerii cu handicap întâmpină dificultăți în tranziția lor către vârsta adultă din cauza lipsei unor </w:t>
      </w:r>
      <w:r>
        <w:rPr>
          <w:rFonts w:ascii="Arial" w:hAnsi="Arial"/>
          <w:b/>
          <w:noProof/>
          <w:sz w:val="24"/>
        </w:rPr>
        <w:t>punți adecvate între educație și integrarea în câmpul muncii</w:t>
      </w:r>
      <w:r>
        <w:rPr>
          <w:rFonts w:ascii="Arial" w:hAnsi="Arial"/>
          <w:noProof/>
          <w:sz w:val="24"/>
        </w:rPr>
        <w:t xml:space="preserve">, ceea ce îi împiedică să contribuie la piața forței de muncă și la creșterea economică. </w:t>
      </w:r>
      <w:r>
        <w:rPr>
          <w:rFonts w:ascii="Arial" w:hAnsi="Arial"/>
          <w:b/>
          <w:noProof/>
          <w:sz w:val="24"/>
        </w:rPr>
        <w:t>Provocările nou apărute la locul de muncă</w:t>
      </w:r>
      <w:r>
        <w:rPr>
          <w:rFonts w:ascii="Arial" w:hAnsi="Arial"/>
          <w:noProof/>
          <w:sz w:val="24"/>
        </w:rPr>
        <w:t xml:space="preserve">, precum impactul utilizării IA asupra lucrătorilor și candidaților cu handicap, reprezintă un motiv de îngrijorare, la fel ca discriminarea intersecțională, de exemplu împotriva femeilor cu handicap. În același timp, </w:t>
      </w:r>
      <w:r>
        <w:rPr>
          <w:rFonts w:ascii="Arial" w:hAnsi="Arial"/>
          <w:b/>
          <w:noProof/>
          <w:sz w:val="24"/>
        </w:rPr>
        <w:t>instrumentele digitale</w:t>
      </w:r>
      <w:r>
        <w:rPr>
          <w:rFonts w:ascii="Arial" w:hAnsi="Arial"/>
          <w:noProof/>
          <w:sz w:val="24"/>
        </w:rPr>
        <w:t xml:space="preserve"> și IA prezintă, de asemenea, oportunități semnificative de accesibilitate pentru lucrătorii cu handicap. Este necesar să se promoveze în continuare </w:t>
      </w:r>
      <w:r>
        <w:rPr>
          <w:rFonts w:ascii="Arial" w:hAnsi="Arial"/>
          <w:b/>
          <w:noProof/>
          <w:sz w:val="24"/>
        </w:rPr>
        <w:t>economia socială</w:t>
      </w:r>
      <w:r>
        <w:rPr>
          <w:rFonts w:ascii="Arial" w:hAnsi="Arial"/>
          <w:noProof/>
          <w:sz w:val="24"/>
        </w:rPr>
        <w:t>, un factor-cheie pentru favorizarea accesului pe piața forței de muncă al persoanelor cu handicap, după cum se subliniază în</w:t>
      </w:r>
      <w:r>
        <w:rPr>
          <w:noProof/>
        </w:rPr>
        <w:t xml:space="preserve"> </w:t>
      </w:r>
      <w:hyperlink r:id="rId58" w:history="1">
        <w:r>
          <w:rPr>
            <w:rStyle w:val="Hyperlink"/>
            <w:rFonts w:ascii="Arial" w:hAnsi="Arial"/>
            <w:noProof/>
            <w:sz w:val="24"/>
          </w:rPr>
          <w:t>Recomandarea Consiliului privind condițiile-cadru ale economiei sociale</w:t>
        </w:r>
      </w:hyperlink>
      <w:r>
        <w:rPr>
          <w:rFonts w:ascii="Arial" w:hAnsi="Arial"/>
          <w:noProof/>
          <w:sz w:val="24"/>
        </w:rPr>
        <w:t xml:space="preserve">. Condițiile de muncă și drepturile lucrătorilor în ceea ce privește </w:t>
      </w:r>
      <w:r>
        <w:rPr>
          <w:rFonts w:ascii="Arial" w:hAnsi="Arial"/>
          <w:b/>
          <w:noProof/>
          <w:sz w:val="24"/>
        </w:rPr>
        <w:t>locurile de muncă protejate</w:t>
      </w:r>
      <w:r>
        <w:rPr>
          <w:rFonts w:ascii="Arial" w:hAnsi="Arial"/>
          <w:noProof/>
          <w:sz w:val="24"/>
        </w:rPr>
        <w:t xml:space="preserve"> continuă, de asemenea, să reprezinte un motiv de îngrijorare.</w:t>
      </w:r>
    </w:p>
    <w:p w14:paraId="06139FC5" w14:textId="77777777" w:rsidR="00FB01BD" w:rsidRPr="002D57F2" w:rsidRDefault="00FB01BD" w:rsidP="00B540AD">
      <w:pPr>
        <w:pStyle w:val="Style2"/>
        <w:keepNext/>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Îmbunătățirea punerii în aplicare a pachetului privind ocuparea forței de muncă în rândul persoanelor cu handicap</w:t>
      </w:r>
    </w:p>
    <w:p w14:paraId="39E4F47A" w14:textId="74FA3037" w:rsidR="00FB01BD" w:rsidRPr="002D57F2" w:rsidRDefault="00FB01BD" w:rsidP="00B540AD">
      <w:pPr>
        <w:pStyle w:val="Style2"/>
        <w:keepLines/>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noProof/>
          <w:sz w:val="24"/>
          <w:szCs w:val="24"/>
        </w:rPr>
      </w:pPr>
      <w:r>
        <w:rPr>
          <w:rFonts w:ascii="Arial" w:hAnsi="Arial"/>
          <w:noProof/>
          <w:sz w:val="24"/>
        </w:rPr>
        <w:t>Comisia va continua să depună eforturi pentru a îmbunătăți accesul</w:t>
      </w:r>
      <w:r>
        <w:rPr>
          <w:rFonts w:ascii="Arial" w:hAnsi="Arial"/>
          <w:b/>
          <w:noProof/>
          <w:sz w:val="24"/>
        </w:rPr>
        <w:t xml:space="preserve"> </w:t>
      </w:r>
      <w:r>
        <w:rPr>
          <w:rFonts w:ascii="Arial" w:hAnsi="Arial"/>
          <w:noProof/>
          <w:sz w:val="24"/>
        </w:rPr>
        <w:t>pe piața muncii pentru persoanele cu handicap, bazându-se pe</w:t>
      </w:r>
      <w:r w:rsidR="00F844EA">
        <w:rPr>
          <w:rFonts w:ascii="Arial" w:hAnsi="Arial"/>
          <w:noProof/>
          <w:sz w:val="24"/>
        </w:rPr>
        <w:t xml:space="preserve"> </w:t>
      </w:r>
      <w:hyperlink r:id="rId59" w:history="1">
        <w:r>
          <w:rPr>
            <w:rStyle w:val="Hyperlink"/>
            <w:rFonts w:ascii="Arial" w:hAnsi="Arial"/>
            <w:noProof/>
            <w:sz w:val="24"/>
          </w:rPr>
          <w:t>pachetul privind ocuparea forței de muncă în rândul persoanelor cu handicap</w:t>
        </w:r>
      </w:hyperlink>
      <w:r>
        <w:rPr>
          <w:rFonts w:ascii="Arial" w:hAnsi="Arial"/>
          <w:noProof/>
        </w:rPr>
        <w:t xml:space="preserve"> </w:t>
      </w:r>
      <w:r>
        <w:rPr>
          <w:rFonts w:ascii="Arial" w:hAnsi="Arial"/>
          <w:noProof/>
          <w:sz w:val="24"/>
        </w:rPr>
        <w:t xml:space="preserve">și pe implicarea partenerilor sociali. </w:t>
      </w:r>
      <w:r>
        <w:rPr>
          <w:rFonts w:ascii="Arial" w:hAnsi="Arial"/>
          <w:b/>
          <w:noProof/>
          <w:sz w:val="24"/>
        </w:rPr>
        <w:t>Acțiunile ulterioare vor include:</w:t>
      </w:r>
      <w:r>
        <w:rPr>
          <w:rFonts w:ascii="Arial" w:hAnsi="Arial"/>
          <w:noProof/>
          <w:sz w:val="24"/>
        </w:rPr>
        <w:t xml:space="preserve"> (i) schimbul de bune practici și emiterea de orientări suplimentare, de exemplu în ceea ce privește IA și tehnologiile asistive la locul de muncă, tranziția de la educație la ocuparea unui loc de muncă, încadrarea în muncă a femeilor cu handicap; (ii) evaluarea gradului de asigurare a amenajărilor corespunzătoare la locul de muncă, în conformitate cu Directiva privind egalitatea de tratament în ceea ce privește încadrarea în muncă </w:t>
      </w:r>
      <w:r>
        <w:rPr>
          <w:rFonts w:ascii="Arial" w:hAnsi="Arial"/>
          <w:noProof/>
          <w:sz w:val="24"/>
          <w:vertAlign w:val="superscript"/>
        </w:rPr>
        <w:t>(</w:t>
      </w:r>
      <w:r>
        <w:rPr>
          <w:rStyle w:val="FootnoteReference"/>
          <w:rFonts w:ascii="Arial" w:hAnsi="Arial" w:cs="Arial"/>
          <w:noProof/>
          <w:sz w:val="24"/>
          <w:szCs w:val="24"/>
          <w:lang w:eastAsia="en-IE"/>
        </w:rPr>
        <w:footnoteReference w:id="12"/>
      </w:r>
      <w:r>
        <w:rPr>
          <w:rFonts w:ascii="Arial" w:hAnsi="Arial"/>
          <w:noProof/>
          <w:sz w:val="24"/>
          <w:vertAlign w:val="superscript"/>
        </w:rPr>
        <w:t>)</w:t>
      </w:r>
      <w:r>
        <w:rPr>
          <w:rFonts w:ascii="Arial" w:hAnsi="Arial"/>
          <w:noProof/>
          <w:sz w:val="24"/>
        </w:rPr>
        <w:t>; și (iii) publicarea, împreună cu OCDE, a unei analize costuri-beneficii privind stimularea ocupării forței de muncă în rândul persoanelor cu handicap.</w:t>
      </w:r>
      <w:r>
        <w:rPr>
          <w:rFonts w:ascii="Arial" w:hAnsi="Arial"/>
          <w:b/>
          <w:noProof/>
          <w:sz w:val="24"/>
        </w:rPr>
        <w:t xml:space="preserve"> </w:t>
      </w:r>
      <w:r>
        <w:rPr>
          <w:rFonts w:ascii="Arial" w:hAnsi="Arial"/>
          <w:noProof/>
          <w:sz w:val="24"/>
        </w:rPr>
        <w:t>În plus, Comisia va consulta partenerii sociali europeni cu privire la posibila direcție a unei acțiuni a UE de sprijinire a activării persoanelor excluse de pe piața forței de muncă.</w:t>
      </w:r>
    </w:p>
    <w:p w14:paraId="1F83B0BB" w14:textId="77777777" w:rsidR="00FB01BD" w:rsidRPr="002D57F2" w:rsidRDefault="00FB01BD" w:rsidP="00FB01BD">
      <w:pPr>
        <w:pStyle w:val="Style2"/>
        <w:spacing w:line="288" w:lineRule="auto"/>
        <w:rPr>
          <w:rFonts w:ascii="Arial" w:hAnsi="Arial" w:cs="Arial"/>
          <w:noProof/>
        </w:rPr>
      </w:pPr>
      <w:r>
        <w:rPr>
          <w:rFonts w:ascii="Arial" w:hAnsi="Arial"/>
          <w:noProof/>
          <w:sz w:val="24"/>
        </w:rPr>
        <w:t xml:space="preserve">Comisia va colabora cu Comitetul pentru protecție socială și cu Comitetul pentru ocuparea forței de muncă din cadrul Consiliului la </w:t>
      </w:r>
      <w:r>
        <w:rPr>
          <w:rFonts w:ascii="Arial" w:hAnsi="Arial"/>
          <w:b/>
          <w:noProof/>
          <w:sz w:val="24"/>
        </w:rPr>
        <w:t>definirea obiectivelor naționale legate de ocuparea forței de muncă în rândul persoanelor cu handicap</w:t>
      </w:r>
      <w:r>
        <w:rPr>
          <w:rFonts w:ascii="Arial" w:hAnsi="Arial"/>
          <w:noProof/>
          <w:sz w:val="24"/>
        </w:rPr>
        <w:t>. Comisia va promova, de asemenea, incluziunea persoanelor cu handicap la locul de muncă prin intermediul</w:t>
      </w:r>
      <w:r>
        <w:rPr>
          <w:noProof/>
        </w:rPr>
        <w:t xml:space="preserve"> </w:t>
      </w:r>
      <w:hyperlink r:id="rId60" w:history="1">
        <w:r>
          <w:rPr>
            <w:rStyle w:val="Hyperlink"/>
            <w:rFonts w:ascii="Arial" w:hAnsi="Arial"/>
            <w:noProof/>
          </w:rPr>
          <w:t>Platformei UE a cartelor diversității</w:t>
        </w:r>
      </w:hyperlink>
      <w:r>
        <w:rPr>
          <w:rFonts w:ascii="Arial" w:hAnsi="Arial"/>
          <w:noProof/>
          <w:sz w:val="24"/>
        </w:rPr>
        <w:t xml:space="preserve">. În ceea ce privește </w:t>
      </w:r>
      <w:r>
        <w:rPr>
          <w:rFonts w:ascii="Arial" w:hAnsi="Arial"/>
          <w:b/>
          <w:noProof/>
          <w:sz w:val="24"/>
        </w:rPr>
        <w:t>condițiile de muncă</w:t>
      </w:r>
      <w:r>
        <w:rPr>
          <w:rFonts w:ascii="Arial" w:hAnsi="Arial"/>
          <w:noProof/>
          <w:sz w:val="24"/>
        </w:rPr>
        <w:t xml:space="preserve">, în urma primei etape a consultării partenerilor sociali și în așteptarea celei de-a doua etape, Comisia va încerca să ia în considerare, în viitoarea propunere de act legislativ privind locurile de muncă de calitate, riscurile pentru securitate și sănătate cu care se confruntă lucrătorii cu handicap la locul de muncă. </w:t>
      </w:r>
    </w:p>
    <w:p w14:paraId="1A1FC98E" w14:textId="77777777" w:rsidR="00FB01BD" w:rsidRPr="002D57F2" w:rsidRDefault="00FB01BD" w:rsidP="00FB01BD">
      <w:pPr>
        <w:pStyle w:val="Heading3"/>
        <w:rPr>
          <w:rFonts w:ascii="Arial" w:hAnsi="Arial" w:cs="Arial"/>
          <w:noProof/>
        </w:rPr>
      </w:pPr>
      <w:bookmarkStart w:id="14" w:name="_Toc228880177"/>
      <w:r>
        <w:rPr>
          <w:rFonts w:ascii="Arial" w:hAnsi="Arial"/>
          <w:noProof/>
        </w:rPr>
        <w:t>Asigurarea unei protecții sociale adecvate</w:t>
      </w:r>
      <w:bookmarkEnd w:id="14"/>
    </w:p>
    <w:p w14:paraId="50841B56"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Riscul de sărăcie și excluziune socială</w:t>
      </w:r>
      <w:r>
        <w:rPr>
          <w:rFonts w:ascii="Arial" w:hAnsi="Arial"/>
          <w:noProof/>
          <w:sz w:val="24"/>
        </w:rPr>
        <w:t xml:space="preserve"> a rămas în mod constant ridicat în rândul persoanelor cu handicap (28,8 % față de 17,9 % pentru restul populației în 2024) </w:t>
      </w:r>
      <w:r>
        <w:rPr>
          <w:rFonts w:ascii="Arial" w:hAnsi="Arial"/>
          <w:noProof/>
          <w:sz w:val="24"/>
          <w:vertAlign w:val="superscript"/>
        </w:rPr>
        <w:t>(</w:t>
      </w:r>
      <w:r>
        <w:rPr>
          <w:rStyle w:val="FootnoteReference"/>
          <w:rFonts w:ascii="Arial" w:hAnsi="Arial" w:cs="Arial"/>
          <w:noProof/>
        </w:rPr>
        <w:footnoteReference w:id="13"/>
      </w:r>
      <w:r>
        <w:rPr>
          <w:rFonts w:ascii="Arial" w:hAnsi="Arial"/>
          <w:noProof/>
          <w:sz w:val="24"/>
          <w:vertAlign w:val="superscript"/>
        </w:rPr>
        <w:t>)</w:t>
      </w:r>
      <w:r>
        <w:rPr>
          <w:rFonts w:ascii="Arial" w:hAnsi="Arial"/>
          <w:noProof/>
          <w:sz w:val="24"/>
        </w:rPr>
        <w:t>, fiind un indicator puternic al unei calități mai scăzute a vieții. În ultimii ani, gospodăriile persoanelor cu handicap au devenit și mai vulnerabile din cauza creșterii costului vieții.</w:t>
      </w:r>
    </w:p>
    <w:p w14:paraId="77198868"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Bazându-se pe </w:t>
      </w:r>
      <w:hyperlink r:id="rId61" w:history="1">
        <w:r>
          <w:rPr>
            <w:rStyle w:val="Hyperlink"/>
            <w:rFonts w:ascii="Arial" w:hAnsi="Arial"/>
            <w:noProof/>
            <w:sz w:val="24"/>
          </w:rPr>
          <w:t>studiul privind protecția socială pentru persoanele cu handicap din Europa</w:t>
        </w:r>
      </w:hyperlink>
      <w:r>
        <w:rPr>
          <w:rFonts w:ascii="Arial" w:hAnsi="Arial"/>
          <w:noProof/>
        </w:rPr>
        <w:t>,</w:t>
      </w:r>
      <w:r>
        <w:rPr>
          <w:rFonts w:ascii="Arial" w:hAnsi="Arial"/>
          <w:noProof/>
          <w:sz w:val="24"/>
        </w:rPr>
        <w:t xml:space="preserve"> Comisia va</w:t>
      </w:r>
      <w:r>
        <w:rPr>
          <w:rFonts w:ascii="Arial" w:hAnsi="Arial"/>
          <w:b/>
          <w:noProof/>
          <w:sz w:val="24"/>
        </w:rPr>
        <w:t xml:space="preserve"> </w:t>
      </w:r>
      <w:r>
        <w:rPr>
          <w:rFonts w:ascii="Arial" w:hAnsi="Arial"/>
          <w:noProof/>
          <w:sz w:val="24"/>
        </w:rPr>
        <w:t xml:space="preserve">efectua analize și va colecta date în scopul </w:t>
      </w:r>
      <w:r>
        <w:rPr>
          <w:rFonts w:ascii="Arial" w:hAnsi="Arial"/>
          <w:b/>
          <w:noProof/>
          <w:sz w:val="24"/>
        </w:rPr>
        <w:t>cuantificării costurilor suplimentare pe care le implică viața cu un handicap</w:t>
      </w:r>
      <w:r>
        <w:rPr>
          <w:rFonts w:ascii="Arial" w:hAnsi="Arial"/>
          <w:noProof/>
          <w:sz w:val="24"/>
        </w:rPr>
        <w:t xml:space="preserve">. De asemenea, va încuraja discuțiile la nivelul statelor membre, inclusiv în cadrul Platformei pentru persoanele cu handicap, cu privire la modul în care este identificat și abordat handicapul de diferitele sisteme de protecție socială. </w:t>
      </w:r>
    </w:p>
    <w:p w14:paraId="2992F9A4" w14:textId="77777777" w:rsidR="00FB01BD" w:rsidRPr="002D57F2" w:rsidRDefault="00FB01BD" w:rsidP="00FB01BD">
      <w:pPr>
        <w:pStyle w:val="Heading3"/>
        <w:rPr>
          <w:rFonts w:ascii="Arial" w:hAnsi="Arial" w:cs="Arial"/>
          <w:noProof/>
        </w:rPr>
      </w:pPr>
      <w:bookmarkStart w:id="15" w:name="_Toc228880178"/>
      <w:r>
        <w:rPr>
          <w:rFonts w:ascii="Arial" w:hAnsi="Arial"/>
          <w:noProof/>
        </w:rPr>
        <w:t>Locuințe accesibile și la prețuri abordabile</w:t>
      </w:r>
      <w:bookmarkEnd w:id="15"/>
      <w:r>
        <w:rPr>
          <w:rFonts w:ascii="Arial" w:hAnsi="Arial"/>
          <w:noProof/>
        </w:rPr>
        <w:t xml:space="preserve"> </w:t>
      </w:r>
    </w:p>
    <w:p w14:paraId="067FC5CC"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În comparație cu restul populației, persoanele cu handicap sunt expuse unui </w:t>
      </w:r>
      <w:r>
        <w:rPr>
          <w:rFonts w:ascii="Arial" w:hAnsi="Arial"/>
          <w:b/>
          <w:noProof/>
          <w:sz w:val="24"/>
        </w:rPr>
        <w:t>risc mai mare de a se confrunta cu probleme legate de locuințe și cu sărăcia energetică</w:t>
      </w:r>
      <w:r>
        <w:rPr>
          <w:rFonts w:ascii="Arial" w:hAnsi="Arial"/>
          <w:noProof/>
          <w:sz w:val="24"/>
        </w:rPr>
        <w:t xml:space="preserve">, din cauza accesibilității insuficiente și a veniturilor familiale mai mici. Totodată, aceste persoane au nevoi energetice mai mari, dată fiind, în special, </w:t>
      </w:r>
      <w:r>
        <w:rPr>
          <w:rFonts w:ascii="Arial" w:hAnsi="Arial"/>
          <w:b/>
          <w:noProof/>
          <w:sz w:val="24"/>
        </w:rPr>
        <w:t>dependența lor critică de energia electrică</w:t>
      </w:r>
      <w:r>
        <w:rPr>
          <w:rFonts w:ascii="Arial" w:hAnsi="Arial"/>
          <w:noProof/>
          <w:sz w:val="24"/>
        </w:rPr>
        <w:t xml:space="preserve"> pentru echipamente medicale, mobilitate, dispozitive și tehnologii asistive </w:t>
      </w:r>
      <w:r>
        <w:rPr>
          <w:rFonts w:ascii="Arial" w:hAnsi="Arial"/>
          <w:noProof/>
          <w:sz w:val="24"/>
          <w:vertAlign w:val="superscript"/>
        </w:rPr>
        <w:t>(</w:t>
      </w:r>
      <w:r>
        <w:rPr>
          <w:rStyle w:val="FootnoteReference"/>
          <w:rFonts w:ascii="Arial" w:hAnsi="Arial" w:cs="Arial"/>
          <w:noProof/>
        </w:rPr>
        <w:footnoteReference w:id="14"/>
      </w:r>
      <w:r>
        <w:rPr>
          <w:rFonts w:ascii="Arial" w:hAnsi="Arial"/>
          <w:noProof/>
          <w:sz w:val="24"/>
          <w:vertAlign w:val="superscript"/>
        </w:rPr>
        <w:t>)</w:t>
      </w:r>
      <w:r>
        <w:rPr>
          <w:rFonts w:ascii="Arial" w:hAnsi="Arial"/>
          <w:noProof/>
          <w:sz w:val="24"/>
        </w:rPr>
        <w:t xml:space="preserve">. Prin urmare, politicile privind locuințele și energia ar trebui să integreze nevoile persoanelor cu handicap pentru a le permite să aibă o calitate decentă a vieții, în conformitate cu obiectivele de asigurare a tranziției către o energie echitabilă și curată și de combatere a excluziunii în materie de locuințe </w:t>
      </w:r>
      <w:r>
        <w:rPr>
          <w:rFonts w:ascii="Arial" w:hAnsi="Arial"/>
          <w:noProof/>
          <w:sz w:val="24"/>
          <w:vertAlign w:val="superscript"/>
        </w:rPr>
        <w:t>(</w:t>
      </w:r>
      <w:r>
        <w:rPr>
          <w:rStyle w:val="FootnoteReference"/>
          <w:rFonts w:ascii="Arial" w:hAnsi="Arial" w:cs="Arial"/>
          <w:noProof/>
        </w:rPr>
        <w:footnoteReference w:id="15"/>
      </w:r>
      <w:r>
        <w:rPr>
          <w:rFonts w:ascii="Arial" w:hAnsi="Arial"/>
          <w:noProof/>
          <w:sz w:val="24"/>
          <w:vertAlign w:val="superscript"/>
        </w:rPr>
        <w:t>)</w:t>
      </w:r>
      <w:r>
        <w:rPr>
          <w:rFonts w:ascii="Arial" w:hAnsi="Arial"/>
          <w:noProof/>
          <w:sz w:val="24"/>
        </w:rPr>
        <w:t xml:space="preserve">. </w:t>
      </w:r>
    </w:p>
    <w:p w14:paraId="6ED3E5F1"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Comisia va lua în considerare aspectele legate de accesibilitate în evaluarea planurilor naționale de renovare a clădirilor în temeiul</w:t>
      </w:r>
      <w:r>
        <w:rPr>
          <w:noProof/>
        </w:rPr>
        <w:t xml:space="preserve"> </w:t>
      </w:r>
      <w:hyperlink r:id="rId62" w:history="1">
        <w:r>
          <w:rPr>
            <w:rStyle w:val="Hyperlink"/>
            <w:rFonts w:ascii="Arial" w:hAnsi="Arial"/>
            <w:noProof/>
            <w:sz w:val="24"/>
          </w:rPr>
          <w:t>Directivei privind performanța energetică a clădirilor</w:t>
        </w:r>
      </w:hyperlink>
      <w:r>
        <w:rPr>
          <w:noProof/>
        </w:rPr>
        <w:t xml:space="preserve"> </w:t>
      </w:r>
      <w:r>
        <w:rPr>
          <w:rFonts w:ascii="Arial" w:hAnsi="Arial"/>
          <w:b/>
          <w:noProof/>
          <w:sz w:val="24"/>
        </w:rPr>
        <w:t>și va identifica și disemina bunele practici</w:t>
      </w:r>
      <w:r>
        <w:rPr>
          <w:rFonts w:ascii="Arial" w:hAnsi="Arial"/>
          <w:noProof/>
          <w:sz w:val="24"/>
        </w:rPr>
        <w:t xml:space="preserve">. </w:t>
      </w:r>
    </w:p>
    <w:p w14:paraId="52294FA7"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În plus, Comisia va publica un </w:t>
      </w:r>
      <w:r>
        <w:rPr>
          <w:rFonts w:ascii="Arial" w:hAnsi="Arial"/>
          <w:b/>
          <w:noProof/>
          <w:sz w:val="24"/>
        </w:rPr>
        <w:t>raport</w:t>
      </w:r>
      <w:r>
        <w:rPr>
          <w:rFonts w:ascii="Arial" w:hAnsi="Arial"/>
          <w:noProof/>
          <w:sz w:val="24"/>
        </w:rPr>
        <w:t xml:space="preserve"> specific care va evidenția </w:t>
      </w:r>
      <w:r>
        <w:rPr>
          <w:rFonts w:ascii="Arial" w:hAnsi="Arial"/>
          <w:b/>
          <w:noProof/>
          <w:sz w:val="24"/>
        </w:rPr>
        <w:t>condițiile de locuit ale persoanelor cu handicap din întreaga UE</w:t>
      </w:r>
      <w:r>
        <w:rPr>
          <w:rFonts w:ascii="Arial" w:hAnsi="Arial"/>
          <w:noProof/>
          <w:sz w:val="24"/>
        </w:rPr>
        <w:t xml:space="preserve">. Nu în ultimul rând, Comisia va sprijini un cadru cuprinzător pentru </w:t>
      </w:r>
      <w:r>
        <w:rPr>
          <w:rFonts w:ascii="Arial" w:hAnsi="Arial"/>
          <w:b/>
          <w:noProof/>
          <w:sz w:val="24"/>
        </w:rPr>
        <w:t xml:space="preserve">reforme, investiții și intervenții </w:t>
      </w:r>
      <w:r>
        <w:rPr>
          <w:rFonts w:ascii="Arial" w:hAnsi="Arial"/>
          <w:noProof/>
          <w:sz w:val="24"/>
        </w:rPr>
        <w:t xml:space="preserve">în domeniul mediului construit și al locuințelor durabile, accesibile, sociale și abordabile din punct de vedere financiar, alături de </w:t>
      </w:r>
      <w:hyperlink r:id="rId63" w:history="1">
        <w:r>
          <w:rPr>
            <w:rStyle w:val="Hyperlink"/>
            <w:rFonts w:ascii="Arial" w:hAnsi="Arial"/>
            <w:noProof/>
            <w:sz w:val="24"/>
          </w:rPr>
          <w:t>Noul Bauhaus european</w:t>
        </w:r>
      </w:hyperlink>
      <w:r>
        <w:rPr>
          <w:rFonts w:ascii="Arial" w:hAnsi="Arial"/>
          <w:noProof/>
          <w:sz w:val="24"/>
        </w:rPr>
        <w:t xml:space="preserve">, </w:t>
      </w:r>
      <w:hyperlink r:id="rId64" w:history="1">
        <w:r>
          <w:rPr>
            <w:rStyle w:val="Hyperlink"/>
            <w:rFonts w:ascii="Arial" w:hAnsi="Arial"/>
            <w:noProof/>
            <w:sz w:val="24"/>
          </w:rPr>
          <w:t>planul european privind locuințele la prețuri accesibile</w:t>
        </w:r>
      </w:hyperlink>
      <w:r>
        <w:rPr>
          <w:rFonts w:ascii="Arial" w:hAnsi="Arial"/>
          <w:noProof/>
        </w:rPr>
        <w:t>,</w:t>
      </w:r>
      <w:r>
        <w:rPr>
          <w:rFonts w:ascii="Arial" w:hAnsi="Arial"/>
          <w:noProof/>
          <w:sz w:val="24"/>
        </w:rPr>
        <w:t xml:space="preserve"> </w:t>
      </w:r>
      <w:hyperlink r:id="rId65" w:history="1">
        <w:r>
          <w:rPr>
            <w:rStyle w:val="Hyperlink"/>
            <w:rFonts w:ascii="Arial" w:hAnsi="Arial"/>
            <w:noProof/>
            <w:sz w:val="24"/>
          </w:rPr>
          <w:t>pachetul de măsuri privind energia pentru cetățeni</w:t>
        </w:r>
      </w:hyperlink>
      <w:r>
        <w:rPr>
          <w:rFonts w:ascii="Arial" w:hAnsi="Arial"/>
          <w:noProof/>
          <w:sz w:val="24"/>
        </w:rPr>
        <w:t xml:space="preserve"> și </w:t>
      </w:r>
      <w:hyperlink r:id="rId66" w:history="1">
        <w:r>
          <w:rPr>
            <w:rStyle w:val="Hyperlink"/>
            <w:rFonts w:ascii="Arial" w:hAnsi="Arial"/>
            <w:noProof/>
            <w:sz w:val="24"/>
          </w:rPr>
          <w:t>strategia de combatere a sărăciei</w:t>
        </w:r>
      </w:hyperlink>
      <w:r>
        <w:rPr>
          <w:rFonts w:ascii="Arial" w:hAnsi="Arial"/>
          <w:noProof/>
          <w:sz w:val="24"/>
        </w:rPr>
        <w:t>, ținând cont de impactul direct și indirect asupra persoanelor cu handicap și de obligațiile în materie de accesibilitate.</w:t>
      </w:r>
    </w:p>
    <w:p w14:paraId="15E1925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Comisia invită statele membre UE:</w:t>
      </w:r>
    </w:p>
    <w:p w14:paraId="09B6B5F9" w14:textId="68520CA9"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să stabilească obiective naționale de promovare a unei vieți independente, punând accent în special pe locuințe accesibile și la prețuri abordabile și pe dezvoltarea de servicii comunitare care să includă asistență personală, centre pentru o viață independentă, sprijin inter pares și alte tipuri de ajutor individualizat, cum ar fi sprijinul pentru luarea deciziilor cu respectarea voinței persoanelor vizate;</w:t>
      </w:r>
    </w:p>
    <w:p w14:paraId="416FB9B2"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să adopte măsuri pentru a atinge rate mai ridicate de ocupare a persoanelor cu handicap pe piața deschisă a forței de muncă, stabilind inclusiv obiective naționale în materie de ocupare a forței de muncă și asigurând amenajări corespunzătoare și posibilități de reabilitare;</w:t>
      </w:r>
    </w:p>
    <w:p w14:paraId="7633A9E4"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360" w:line="288" w:lineRule="auto"/>
        <w:ind w:left="357" w:hanging="357"/>
        <w:rPr>
          <w:rFonts w:ascii="Arial" w:hAnsi="Arial" w:cs="Arial"/>
          <w:noProof/>
          <w:sz w:val="24"/>
          <w:szCs w:val="24"/>
        </w:rPr>
      </w:pPr>
      <w:r>
        <w:rPr>
          <w:rFonts w:ascii="Arial" w:hAnsi="Arial"/>
          <w:noProof/>
          <w:sz w:val="24"/>
        </w:rPr>
        <w:t>să modernizeze protecția socială prin reforme menite să abordeze lacunele în materie de acoperire și de adecvare pentru persoanele cu handicap, inclusiv prin compensarea costurilor suplimentare legate de viața cu un handicap, prin dezvoltarea unei finanțări centrate pe persoană și prin combaterea factorilor care descurajează munca.</w:t>
      </w:r>
    </w:p>
    <w:p w14:paraId="370993ED" w14:textId="77777777" w:rsidR="00FB01BD" w:rsidRPr="002D57F2" w:rsidRDefault="00FB01BD" w:rsidP="00FB01BD">
      <w:pPr>
        <w:pStyle w:val="Heading2"/>
        <w:rPr>
          <w:rFonts w:ascii="Arial" w:hAnsi="Arial" w:cs="Arial"/>
          <w:noProof/>
        </w:rPr>
      </w:pPr>
      <w:bookmarkStart w:id="16" w:name="_Toc228880179"/>
      <w:r>
        <w:rPr>
          <w:rFonts w:ascii="Arial" w:hAnsi="Arial"/>
          <w:noProof/>
        </w:rPr>
        <w:t>Egalitate de acces și nediscriminare</w:t>
      </w:r>
      <w:bookmarkEnd w:id="16"/>
      <w:r>
        <w:rPr>
          <w:rFonts w:ascii="Arial" w:hAnsi="Arial"/>
          <w:noProof/>
        </w:rPr>
        <w:t xml:space="preserve"> </w:t>
      </w:r>
    </w:p>
    <w:p w14:paraId="057CCDEF" w14:textId="77777777" w:rsidR="00FB01BD" w:rsidRPr="002D57F2" w:rsidRDefault="00FB01BD" w:rsidP="00FB01BD">
      <w:pPr>
        <w:pStyle w:val="Heading3"/>
        <w:rPr>
          <w:rFonts w:ascii="Arial" w:hAnsi="Arial" w:cs="Arial"/>
          <w:noProof/>
        </w:rPr>
      </w:pPr>
      <w:bookmarkStart w:id="17" w:name="_Toc228880180"/>
      <w:r>
        <w:rPr>
          <w:rFonts w:ascii="Arial" w:hAnsi="Arial"/>
          <w:noProof/>
        </w:rPr>
        <w:t>Educație favorabilă incluziunii la toate nivelurile</w:t>
      </w:r>
      <w:bookmarkEnd w:id="17"/>
    </w:p>
    <w:p w14:paraId="1FF4ED58" w14:textId="73468A05"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Cursanții cu handicap se confruntă în continuare cu </w:t>
      </w:r>
      <w:r>
        <w:rPr>
          <w:rFonts w:ascii="Arial" w:hAnsi="Arial"/>
          <w:b/>
          <w:noProof/>
          <w:sz w:val="24"/>
        </w:rPr>
        <w:t>obstacole care le îngreunează accesul la învățământul general</w:t>
      </w:r>
      <w:r>
        <w:rPr>
          <w:rFonts w:ascii="Arial" w:hAnsi="Arial"/>
          <w:noProof/>
          <w:sz w:val="24"/>
        </w:rPr>
        <w:t xml:space="preserve">. În 2024, 44 % dintre persoanele cu vârste cuprinse între 18 și 24 de ani din UE care aveau un handicap grav au părăsit prea devreme sistemul de educație sau formare </w:t>
      </w:r>
      <w:r>
        <w:rPr>
          <w:rFonts w:ascii="Arial" w:hAnsi="Arial"/>
          <w:noProof/>
          <w:sz w:val="24"/>
          <w:vertAlign w:val="superscript"/>
        </w:rPr>
        <w:t>(</w:t>
      </w:r>
      <w:r>
        <w:rPr>
          <w:rStyle w:val="FootnoteReference"/>
          <w:rFonts w:ascii="Arial" w:hAnsi="Arial" w:cs="Arial"/>
          <w:noProof/>
          <w:sz w:val="24"/>
          <w:szCs w:val="24"/>
        </w:rPr>
        <w:footnoteReference w:id="16"/>
      </w:r>
      <w:r>
        <w:rPr>
          <w:rFonts w:ascii="Arial" w:hAnsi="Arial"/>
          <w:noProof/>
          <w:sz w:val="24"/>
          <w:vertAlign w:val="superscript"/>
        </w:rPr>
        <w:t>)</w:t>
      </w:r>
      <w:r>
        <w:rPr>
          <w:rFonts w:ascii="Arial" w:hAnsi="Arial"/>
          <w:noProof/>
          <w:sz w:val="24"/>
        </w:rPr>
        <w:t xml:space="preserve">. </w:t>
      </w:r>
      <w:r>
        <w:rPr>
          <w:rFonts w:ascii="Arial" w:hAnsi="Arial"/>
          <w:b/>
          <w:noProof/>
          <w:sz w:val="24"/>
        </w:rPr>
        <w:t>Problemele de accesibilitate și lipsa sprijinului adecvat și a adaptărilor necesare</w:t>
      </w:r>
      <w:r>
        <w:rPr>
          <w:rFonts w:ascii="Arial" w:hAnsi="Arial"/>
          <w:noProof/>
          <w:sz w:val="24"/>
        </w:rPr>
        <w:t xml:space="preserve"> îi împiedică pe copiii cu handicap să se integreze pe deplin în învățământul tradițional. Adoptarea unor politici mai bine orientate în materie de handicap, bazate pe inițiativa</w:t>
      </w:r>
      <w:r>
        <w:rPr>
          <w:noProof/>
        </w:rPr>
        <w:t xml:space="preserve"> </w:t>
      </w:r>
      <w:hyperlink r:id="rId67" w:anchor="Recomandarea Consiliului" w:history="1">
        <w:r>
          <w:rPr>
            <w:rStyle w:val="Hyperlink"/>
            <w:rFonts w:ascii="Arial" w:hAnsi="Arial"/>
            <w:noProof/>
            <w:sz w:val="24"/>
          </w:rPr>
          <w:t>„Căi către succesul școlar”</w:t>
        </w:r>
      </w:hyperlink>
      <w:r>
        <w:rPr>
          <w:rFonts w:ascii="Arial" w:hAnsi="Arial"/>
          <w:noProof/>
          <w:sz w:val="24"/>
        </w:rPr>
        <w:t xml:space="preserve"> și pe</w:t>
      </w:r>
      <w:r>
        <w:rPr>
          <w:noProof/>
        </w:rPr>
        <w:t xml:space="preserve"> </w:t>
      </w:r>
      <w:hyperlink r:id="rId68" w:history="1">
        <w:r>
          <w:rPr>
            <w:rStyle w:val="Hyperlink"/>
            <w:rFonts w:ascii="Arial" w:hAnsi="Arial"/>
            <w:noProof/>
            <w:sz w:val="24"/>
          </w:rPr>
          <w:t>foaia de parcurs pentru asigurarea succesului școlar pentru toți</w:t>
        </w:r>
      </w:hyperlink>
      <w:r>
        <w:rPr>
          <w:rFonts w:ascii="Arial" w:hAnsi="Arial"/>
          <w:noProof/>
          <w:sz w:val="24"/>
        </w:rPr>
        <w:t xml:space="preserve">, ar putea contribui la identificarea barierelor din calea realizării unor sisteme de educație și formare pe deplin favorabile incluziunii și a celor mai bune modalități de remediere. În conformitate cu </w:t>
      </w:r>
      <w:hyperlink r:id="rId69" w:history="1">
        <w:r>
          <w:rPr>
            <w:rStyle w:val="Hyperlink"/>
            <w:rFonts w:ascii="Arial" w:hAnsi="Arial"/>
            <w:noProof/>
            <w:sz w:val="24"/>
          </w:rPr>
          <w:t>Recomandarea Consiliului referitoare la capitalul uman în UE</w:t>
        </w:r>
      </w:hyperlink>
      <w:r>
        <w:rPr>
          <w:rFonts w:ascii="Arial" w:hAnsi="Arial"/>
          <w:noProof/>
          <w:sz w:val="24"/>
        </w:rPr>
        <w:t xml:space="preserve">, acordarea unei atenții speciale grupurilor vulnerabile, inclusiv persoanelor cu handicap, poate contribui și la realizarea obiectivului orizontal de </w:t>
      </w:r>
      <w:r>
        <w:rPr>
          <w:rFonts w:ascii="Arial" w:hAnsi="Arial"/>
          <w:b/>
          <w:noProof/>
        </w:rPr>
        <w:t xml:space="preserve">consolidare </w:t>
      </w:r>
      <w:r>
        <w:rPr>
          <w:rFonts w:ascii="Arial" w:hAnsi="Arial"/>
          <w:b/>
          <w:noProof/>
          <w:sz w:val="24"/>
        </w:rPr>
        <w:t>a</w:t>
      </w:r>
      <w:r>
        <w:rPr>
          <w:rFonts w:ascii="Arial" w:hAnsi="Arial"/>
          <w:b/>
          <w:noProof/>
        </w:rPr>
        <w:t xml:space="preserve"> competențelor de bază la toate nivelurile de educație, peste tot în UE</w:t>
      </w:r>
      <w:r>
        <w:rPr>
          <w:rFonts w:ascii="Arial" w:hAnsi="Arial"/>
          <w:noProof/>
          <w:sz w:val="24"/>
        </w:rPr>
        <w:t>.</w:t>
      </w:r>
    </w:p>
    <w:p w14:paraId="12420032"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INIȚIATIVĂ EMBLEMATICĂ – Învățare pe tot parcursul vieții favorabilă incluziunii persoanelor cu handicap</w:t>
      </w:r>
    </w:p>
    <w:p w14:paraId="090E2CA0" w14:textId="769A15EC"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noProof/>
          <w:color w:val="000000" w:themeColor="text1"/>
          <w:sz w:val="24"/>
          <w:szCs w:val="24"/>
        </w:rPr>
      </w:pPr>
      <w:r>
        <w:rPr>
          <w:rFonts w:ascii="Arial" w:hAnsi="Arial"/>
          <w:noProof/>
          <w:sz w:val="24"/>
        </w:rPr>
        <w:t xml:space="preserve">Comisia va sprijini în continuare statele membre în promovarea unei educații accesibile și favorabile incluziunii la toate nivelurile, printr-o abordare bazată pe ciclul de viață. </w:t>
      </w:r>
      <w:r>
        <w:rPr>
          <w:rFonts w:ascii="Arial" w:hAnsi="Arial"/>
          <w:b/>
          <w:noProof/>
          <w:sz w:val="24"/>
        </w:rPr>
        <w:t xml:space="preserve">Inițiativa va include: </w:t>
      </w:r>
      <w:r>
        <w:rPr>
          <w:rFonts w:ascii="Arial" w:hAnsi="Arial"/>
          <w:noProof/>
          <w:sz w:val="24"/>
        </w:rPr>
        <w:t xml:space="preserve">(i) orientări privind </w:t>
      </w:r>
      <w:r>
        <w:rPr>
          <w:rFonts w:ascii="Arial" w:hAnsi="Arial"/>
          <w:noProof/>
          <w:color w:val="000000" w:themeColor="text1"/>
          <w:sz w:val="24"/>
        </w:rPr>
        <w:t>programa de învățământ și dezvoltarea pedagogică în educația și îngrijirea copiilor preșcolari pentru a sprijini dobândirea timpurie a competențelor de bază și pentru a încuraja detectarea întârzierilor în dezvoltare și intervențiile conexe; (ii) orientări pentru factorii de decizie, ca parte a pachetului din 2026 privind educația, care abordează, printre altele, nevoile grupurilor vulnerabile din școli, inclusiv ale elevilor cu handicap; (iii) prezentarea, în 2027, a unei inițiative de politică menită să îmbunătățească accesibilitatea învățământului superior pentru o gamă mai largă de cursanți, inclusiv pentru cei cu handicap, și să promoveze servicii de sprijin pentru bunăstarea studenților; (iv) publicarea, în 2028, a unui raport privind consolidarea educației favorabile incluziunii, cu accent pe elevii cu handicap și cu nevoi educaționale speciale și pe asigurarea unor amenajări corespunzătoare; și (v) prioritizarea învățării reciproce în domeniul educației favorabile incluziunii persoanelor cu handicap, în contextul</w:t>
      </w:r>
      <w:r>
        <w:rPr>
          <w:rFonts w:ascii="Arial" w:hAnsi="Arial"/>
          <w:noProof/>
          <w:sz w:val="24"/>
        </w:rPr>
        <w:t xml:space="preserve"> </w:t>
      </w:r>
      <w:hyperlink r:id="rId70" w:history="1">
        <w:r>
          <w:rPr>
            <w:rStyle w:val="Hyperlink"/>
            <w:rFonts w:ascii="Arial" w:hAnsi="Arial"/>
            <w:noProof/>
            <w:sz w:val="24"/>
          </w:rPr>
          <w:t>cadrului strategic al Spațiului european al educației</w:t>
        </w:r>
      </w:hyperlink>
      <w:r w:rsidR="00F844EA">
        <w:rPr>
          <w:rFonts w:ascii="Arial" w:hAnsi="Arial"/>
          <w:noProof/>
        </w:rPr>
        <w:t xml:space="preserve"> </w:t>
      </w:r>
      <w:r>
        <w:rPr>
          <w:rFonts w:ascii="Arial" w:hAnsi="Arial"/>
          <w:noProof/>
          <w:color w:val="000000" w:themeColor="text1"/>
          <w:sz w:val="24"/>
        </w:rPr>
        <w:t xml:space="preserve">și în cooperare cu </w:t>
      </w:r>
      <w:hyperlink r:id="rId71" w:history="1">
        <w:r>
          <w:rPr>
            <w:rStyle w:val="Hyperlink"/>
            <w:rFonts w:ascii="Arial" w:hAnsi="Arial"/>
            <w:noProof/>
            <w:sz w:val="24"/>
          </w:rPr>
          <w:t>Agenția Europeană pentru Cerințe Educaționale Speciale și Educație Incluzivă</w:t>
        </w:r>
      </w:hyperlink>
      <w:r>
        <w:rPr>
          <w:rFonts w:ascii="Arial" w:hAnsi="Arial"/>
          <w:noProof/>
          <w:sz w:val="24"/>
        </w:rPr>
        <w:t>.</w:t>
      </w:r>
    </w:p>
    <w:p w14:paraId="7FD29AE9" w14:textId="01F80569"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Fondurile UE, în special fondurile politicii de coeziune și </w:t>
      </w:r>
      <w:r>
        <w:rPr>
          <w:rFonts w:ascii="Arial" w:hAnsi="Arial"/>
          <w:b/>
          <w:noProof/>
          <w:sz w:val="24"/>
        </w:rPr>
        <w:t>programul Erasmus+</w:t>
      </w:r>
      <w:r>
        <w:rPr>
          <w:rFonts w:ascii="Arial" w:hAnsi="Arial"/>
          <w:noProof/>
          <w:sz w:val="24"/>
        </w:rPr>
        <w:t xml:space="preserve">, vor continua să sprijine educația incluzivă și accesibilă (formală, non-formală și informală), inclusiv pentru a crește rata de participare la mobilitatea în scopul învățării în rândul persoanelor cu handicap. </w:t>
      </w:r>
      <w:hyperlink r:id="rId72" w:history="1">
        <w:r>
          <w:rPr>
            <w:rStyle w:val="Hyperlink"/>
            <w:rFonts w:ascii="Arial" w:hAnsi="Arial"/>
            <w:noProof/>
            <w:sz w:val="24"/>
          </w:rPr>
          <w:t>Garanția europeană pentru copii consolidată</w:t>
        </w:r>
      </w:hyperlink>
      <w:r>
        <w:rPr>
          <w:noProof/>
        </w:rPr>
        <w:t xml:space="preserve"> </w:t>
      </w:r>
      <w:r>
        <w:rPr>
          <w:rFonts w:ascii="Arial" w:hAnsi="Arial"/>
          <w:noProof/>
          <w:sz w:val="24"/>
        </w:rPr>
        <w:t xml:space="preserve">oferă un cadru pentru reformele și investițiile naționale menite să sprijine copiii expuși riscurilor, inclusiv copiii cu handicap, printr-o educație incluzivă de înaltă calitate. </w:t>
      </w:r>
    </w:p>
    <w:p w14:paraId="4D8DE3F7"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Ca parte a viitoarei </w:t>
      </w:r>
      <w:r>
        <w:rPr>
          <w:rFonts w:ascii="Arial" w:hAnsi="Arial"/>
          <w:b/>
          <w:noProof/>
          <w:sz w:val="24"/>
        </w:rPr>
        <w:t>foi de parcurs pentru 2030 privind viitorul educației și al competențelor digitale</w:t>
      </w:r>
      <w:r>
        <w:rPr>
          <w:rFonts w:ascii="Arial" w:hAnsi="Arial"/>
          <w:noProof/>
          <w:sz w:val="24"/>
        </w:rPr>
        <w:t>, Comisia va depune eforturi pentru a se asigura că toți elevii pot beneficia de transformarea digitală în școli. În acest scop, Comisia va sprijini statele membre în dezvoltarea unei infrastructuri digitale comune pentru educație, în conformitate cu valorile UE. Aceasta va include utilizarea etică și sensibilă la egalitate a IA și implementarea unor tehnologii educaționale europene sigure, care să poată răspunde diferitelor nevoi de accesibilitate ale elevilor.</w:t>
      </w:r>
    </w:p>
    <w:p w14:paraId="576F565E" w14:textId="77777777" w:rsidR="00FB01BD" w:rsidRPr="002D57F2" w:rsidRDefault="00FB01BD" w:rsidP="00FB01BD">
      <w:pPr>
        <w:pStyle w:val="Heading3"/>
        <w:rPr>
          <w:rFonts w:ascii="Arial" w:hAnsi="Arial" w:cs="Arial"/>
          <w:noProof/>
        </w:rPr>
      </w:pPr>
      <w:bookmarkStart w:id="18" w:name="_Toc228880181"/>
      <w:r>
        <w:rPr>
          <w:rFonts w:ascii="Arial" w:hAnsi="Arial"/>
          <w:noProof/>
        </w:rPr>
        <w:t>Îmbunătățirea accesului la îngrijiri medicale</w:t>
      </w:r>
      <w:bookmarkEnd w:id="18"/>
    </w:p>
    <w:p w14:paraId="6551339B"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Politicile în domeniul sănătății ar trebui concepute și puse în aplicare ținând seama de nevoile persoanelor cu handicap. În acest sens, </w:t>
      </w:r>
      <w:hyperlink r:id="rId73" w:history="1">
        <w:r>
          <w:rPr>
            <w:rStyle w:val="Hyperlink"/>
            <w:rFonts w:ascii="Arial" w:hAnsi="Arial"/>
            <w:noProof/>
            <w:sz w:val="24"/>
          </w:rPr>
          <w:t>Orientările privind accesul la asistență medicală pentru persoanele cu handicap</w:t>
        </w:r>
      </w:hyperlink>
      <w:r>
        <w:rPr>
          <w:rFonts w:ascii="Arial" w:hAnsi="Arial"/>
          <w:noProof/>
          <w:sz w:val="24"/>
        </w:rPr>
        <w:t xml:space="preserve"> vor promova o înțelegere comună a </w:t>
      </w:r>
      <w:r>
        <w:rPr>
          <w:rFonts w:ascii="Arial" w:hAnsi="Arial"/>
          <w:b/>
          <w:noProof/>
          <w:sz w:val="24"/>
        </w:rPr>
        <w:t>provocărilor legate de accesul la asistență medicală pentru persoanele cu handicap</w:t>
      </w:r>
      <w:r>
        <w:rPr>
          <w:rFonts w:ascii="Arial" w:hAnsi="Arial"/>
          <w:noProof/>
          <w:sz w:val="24"/>
        </w:rPr>
        <w:t xml:space="preserve"> și vor încuraja bunele practici care ar putea determina schimbări la nivel național.</w:t>
      </w:r>
    </w:p>
    <w:p w14:paraId="7735AAE1" w14:textId="33993FB1"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 Multe persoane care suferă de cancer, boli rare sau afecțiuni cronice se confruntă și cu un handicap. Diverse inițiative de parteneriat și proiecte de cercetare se axează pe </w:t>
      </w:r>
      <w:r>
        <w:rPr>
          <w:rFonts w:ascii="Arial" w:hAnsi="Arial"/>
          <w:b/>
          <w:noProof/>
          <w:sz w:val="24"/>
        </w:rPr>
        <w:t>bolile rare</w:t>
      </w:r>
      <w:r>
        <w:rPr>
          <w:rFonts w:ascii="Arial" w:hAnsi="Arial"/>
          <w:noProof/>
          <w:sz w:val="24"/>
        </w:rPr>
        <w:t>, iar</w:t>
      </w:r>
      <w:r>
        <w:rPr>
          <w:noProof/>
        </w:rPr>
        <w:t xml:space="preserve"> </w:t>
      </w:r>
      <w:hyperlink r:id="rId74" w:history="1">
        <w:r>
          <w:rPr>
            <w:rStyle w:val="Hyperlink"/>
            <w:rFonts w:ascii="Arial" w:hAnsi="Arial"/>
            <w:noProof/>
            <w:sz w:val="24"/>
          </w:rPr>
          <w:t>pachetul farmaceutic</w:t>
        </w:r>
      </w:hyperlink>
      <w:r>
        <w:rPr>
          <w:noProof/>
        </w:rPr>
        <w:t xml:space="preserve"> </w:t>
      </w:r>
      <w:r>
        <w:rPr>
          <w:rFonts w:ascii="Arial" w:hAnsi="Arial"/>
          <w:noProof/>
          <w:sz w:val="24"/>
        </w:rPr>
        <w:t>revizuit va contribui la creșterea accesibilității medicamentelor orfane împotriva bolilor rare. În plus, revizuirea</w:t>
      </w:r>
      <w:r>
        <w:rPr>
          <w:noProof/>
        </w:rPr>
        <w:t xml:space="preserve"> </w:t>
      </w:r>
      <w:hyperlink r:id="rId75" w:history="1">
        <w:r>
          <w:rPr>
            <w:rStyle w:val="Hyperlink"/>
            <w:rFonts w:ascii="Arial" w:hAnsi="Arial"/>
            <w:noProof/>
            <w:sz w:val="24"/>
          </w:rPr>
          <w:t>regulamentelor</w:t>
        </w:r>
      </w:hyperlink>
      <w:r>
        <w:rPr>
          <w:noProof/>
        </w:rPr>
        <w:t xml:space="preserve"> </w:t>
      </w:r>
      <w:r>
        <w:rPr>
          <w:rFonts w:ascii="Arial" w:hAnsi="Arial"/>
          <w:noProof/>
          <w:sz w:val="24"/>
        </w:rPr>
        <w:t>privind dispozitivele medicale și diagnosticarea in vitro, împreună cu</w:t>
      </w:r>
      <w:r>
        <w:rPr>
          <w:noProof/>
        </w:rPr>
        <w:t xml:space="preserve"> </w:t>
      </w:r>
      <w:hyperlink r:id="rId76" w:history="1">
        <w:r>
          <w:rPr>
            <w:rStyle w:val="Hyperlink"/>
            <w:rFonts w:ascii="Arial" w:hAnsi="Arial"/>
            <w:noProof/>
            <w:sz w:val="24"/>
          </w:rPr>
          <w:t>propunerea de regulament privind biotehnologia</w:t>
        </w:r>
      </w:hyperlink>
      <w:r>
        <w:rPr>
          <w:rFonts w:ascii="Arial" w:hAnsi="Arial"/>
          <w:noProof/>
          <w:sz w:val="24"/>
        </w:rPr>
        <w:t xml:space="preserve">, vor stimula, de asemenea, cercetarea și inovarea în domeniul bolilor rare. Diverse </w:t>
      </w:r>
      <w:r>
        <w:rPr>
          <w:rFonts w:ascii="Arial" w:hAnsi="Arial"/>
          <w:b/>
          <w:noProof/>
          <w:sz w:val="24"/>
        </w:rPr>
        <w:t>acțiuni comune</w:t>
      </w:r>
      <w:r>
        <w:rPr>
          <w:rFonts w:ascii="Arial" w:hAnsi="Arial"/>
          <w:noProof/>
          <w:sz w:val="24"/>
        </w:rPr>
        <w:t xml:space="preserve"> din cadrul </w:t>
      </w:r>
      <w:hyperlink r:id="rId77" w:history="1">
        <w:r>
          <w:rPr>
            <w:rStyle w:val="Hyperlink"/>
            <w:rFonts w:ascii="Arial" w:hAnsi="Arial"/>
            <w:noProof/>
            <w:sz w:val="24"/>
          </w:rPr>
          <w:t>programului „UE pentru sănătate”</w:t>
        </w:r>
      </w:hyperlink>
      <w:r>
        <w:rPr>
          <w:rFonts w:ascii="Arial" w:hAnsi="Arial"/>
          <w:noProof/>
          <w:sz w:val="24"/>
        </w:rPr>
        <w:t xml:space="preserve"> urmăresc: să crească nivelul de sensibilizare cu privire la abordările bazate pe drepturile omului în tratarea problemelor de sănătate mintală, în conformitate cu</w:t>
      </w:r>
      <w:r>
        <w:rPr>
          <w:noProof/>
        </w:rPr>
        <w:t xml:space="preserve"> </w:t>
      </w:r>
      <w:hyperlink r:id="rId78" w:history="1">
        <w:r>
          <w:rPr>
            <w:rStyle w:val="Hyperlink"/>
            <w:rFonts w:ascii="Arial" w:hAnsi="Arial"/>
            <w:noProof/>
            <w:sz w:val="24"/>
          </w:rPr>
          <w:t>abordarea cuprinzătoare a Comisiei privind sănătatea mintală</w:t>
        </w:r>
      </w:hyperlink>
      <w:r>
        <w:rPr>
          <w:rFonts w:ascii="Arial" w:hAnsi="Arial"/>
          <w:noProof/>
          <w:sz w:val="24"/>
        </w:rPr>
        <w:t xml:space="preserve">; să abordeze problema demenței într-o manieră holistică; să combată inegalitățile în ceea ce privește prevenirea, depistarea și îngrijirea cancerului </w:t>
      </w:r>
      <w:r>
        <w:rPr>
          <w:rFonts w:ascii="Arial" w:hAnsi="Arial"/>
          <w:noProof/>
          <w:sz w:val="24"/>
          <w:vertAlign w:val="superscript"/>
        </w:rPr>
        <w:t>(</w:t>
      </w:r>
      <w:r>
        <w:rPr>
          <w:rStyle w:val="FootnoteReference"/>
          <w:rFonts w:ascii="Arial" w:hAnsi="Arial" w:cs="Arial"/>
          <w:noProof/>
          <w:sz w:val="24"/>
          <w:szCs w:val="24"/>
          <w:lang w:eastAsia="en-IE"/>
        </w:rPr>
        <w:footnoteReference w:id="17"/>
      </w:r>
      <w:r>
        <w:rPr>
          <w:rFonts w:ascii="Arial" w:hAnsi="Arial"/>
          <w:noProof/>
          <w:sz w:val="24"/>
          <w:vertAlign w:val="superscript"/>
        </w:rPr>
        <w:t>)</w:t>
      </w:r>
      <w:r>
        <w:rPr>
          <w:rFonts w:ascii="Arial" w:hAnsi="Arial"/>
          <w:noProof/>
          <w:sz w:val="24"/>
        </w:rPr>
        <w:t>.</w:t>
      </w:r>
      <w:r w:rsidR="00F844EA">
        <w:rPr>
          <w:rFonts w:ascii="Arial" w:hAnsi="Arial"/>
          <w:noProof/>
          <w:sz w:val="24"/>
        </w:rPr>
        <w:t xml:space="preserve"> </w:t>
      </w:r>
      <w:r>
        <w:rPr>
          <w:rFonts w:ascii="Arial" w:hAnsi="Arial"/>
          <w:noProof/>
          <w:sz w:val="24"/>
        </w:rPr>
        <w:t xml:space="preserve">Un </w:t>
      </w:r>
      <w:r>
        <w:rPr>
          <w:rFonts w:ascii="Arial" w:hAnsi="Arial"/>
          <w:b/>
          <w:noProof/>
          <w:sz w:val="24"/>
        </w:rPr>
        <w:t>studiu</w:t>
      </w:r>
      <w:r>
        <w:rPr>
          <w:rFonts w:ascii="Arial" w:hAnsi="Arial"/>
          <w:noProof/>
          <w:sz w:val="24"/>
        </w:rPr>
        <w:t xml:space="preserve"> lansat de Comisie cu privire la </w:t>
      </w:r>
      <w:r>
        <w:rPr>
          <w:rFonts w:ascii="Arial" w:hAnsi="Arial"/>
          <w:b/>
          <w:noProof/>
          <w:sz w:val="24"/>
        </w:rPr>
        <w:t>calitatea vieții pacienților bolnavi de cancer și a supraviețuitorilor acestei boli</w:t>
      </w:r>
      <w:r>
        <w:rPr>
          <w:rFonts w:ascii="Arial" w:hAnsi="Arial"/>
          <w:noProof/>
          <w:sz w:val="24"/>
        </w:rPr>
        <w:t xml:space="preserve"> va elabora indicatori pentru evaluarea politicilor puse în aplicare în țările UE pentru a monitoriza și a îmbunătăți calitatea vieții, care ar putea include și politici relevante pentru handicapurile dobândite în urma cancerului.</w:t>
      </w:r>
    </w:p>
    <w:p w14:paraId="60E97751" w14:textId="77777777" w:rsidR="00FB01BD" w:rsidRPr="002D57F2" w:rsidRDefault="00FB01BD" w:rsidP="00FB01BD">
      <w:pPr>
        <w:pStyle w:val="Heading3"/>
        <w:rPr>
          <w:rFonts w:ascii="Arial" w:hAnsi="Arial" w:cs="Arial"/>
          <w:noProof/>
        </w:rPr>
      </w:pPr>
      <w:bookmarkStart w:id="19" w:name="_Toc228880182"/>
      <w:r>
        <w:rPr>
          <w:rFonts w:ascii="Arial" w:hAnsi="Arial"/>
          <w:noProof/>
        </w:rPr>
        <w:t>Handicapul la intersecție: voci mai puternice și mai multe posibilități de a alege</w:t>
      </w:r>
      <w:bookmarkEnd w:id="19"/>
    </w:p>
    <w:p w14:paraId="779348BF"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Femeile, persoanele în vârstă și tinerii cu handicap, precum și copiii, persoanele LGBTIQ+ și persoanele din rândul minorităților rasiale sau etnice care suferă de un handicap se confruntă cu </w:t>
      </w:r>
      <w:r>
        <w:rPr>
          <w:rFonts w:ascii="Arial" w:hAnsi="Arial"/>
          <w:b/>
          <w:noProof/>
          <w:sz w:val="24"/>
        </w:rPr>
        <w:t>forme intersecționale de discriminare</w:t>
      </w:r>
      <w:r>
        <w:rPr>
          <w:rFonts w:ascii="Arial" w:hAnsi="Arial"/>
          <w:noProof/>
          <w:sz w:val="24"/>
        </w:rPr>
        <w:t xml:space="preserve"> și cu un risc mai ridicat de excluziune și inegalitate în multe domenii </w:t>
      </w:r>
      <w:r>
        <w:rPr>
          <w:rFonts w:ascii="Arial" w:hAnsi="Arial"/>
          <w:noProof/>
          <w:sz w:val="24"/>
          <w:vertAlign w:val="superscript"/>
        </w:rPr>
        <w:t>(</w:t>
      </w:r>
      <w:r>
        <w:rPr>
          <w:rStyle w:val="FootnoteReference"/>
          <w:rFonts w:ascii="Arial" w:hAnsi="Arial" w:cs="Arial"/>
          <w:noProof/>
          <w:sz w:val="24"/>
          <w:szCs w:val="24"/>
        </w:rPr>
        <w:footnoteReference w:id="18"/>
      </w:r>
      <w:r>
        <w:rPr>
          <w:rFonts w:ascii="Arial" w:hAnsi="Arial"/>
          <w:noProof/>
          <w:sz w:val="24"/>
          <w:vertAlign w:val="superscript"/>
        </w:rPr>
        <w:t>)</w:t>
      </w:r>
      <w:r>
        <w:rPr>
          <w:rFonts w:ascii="Arial" w:hAnsi="Arial"/>
          <w:noProof/>
          <w:sz w:val="24"/>
        </w:rPr>
        <w:t xml:space="preserve">. Nevoile femeilor și fetelor cu handicap vor fi luate în considerare cu atenție în punerea în aplicare a </w:t>
      </w:r>
      <w:hyperlink r:id="rId79" w:history="1">
        <w:r>
          <w:rPr>
            <w:rStyle w:val="Hyperlink"/>
            <w:rFonts w:ascii="Arial" w:hAnsi="Arial"/>
            <w:noProof/>
            <w:sz w:val="24"/>
          </w:rPr>
          <w:t>Strategiei privind egalitatea de gen (2026-2030)</w:t>
        </w:r>
      </w:hyperlink>
      <w:r>
        <w:rPr>
          <w:rFonts w:ascii="Arial" w:hAnsi="Arial"/>
          <w:noProof/>
          <w:sz w:val="24"/>
        </w:rPr>
        <w:t xml:space="preserve">, în special în relație cu sprijinirea statelor membre în eforturile lor de a îmbunătăți </w:t>
      </w:r>
      <w:r>
        <w:rPr>
          <w:rFonts w:ascii="Arial" w:hAnsi="Arial"/>
          <w:b/>
          <w:noProof/>
          <w:sz w:val="24"/>
        </w:rPr>
        <w:t>accesul la asistență medicală fizică și mintală, la sănătatea sexuală și reproductivă și la drepturile conexe.</w:t>
      </w:r>
      <w:r>
        <w:rPr>
          <w:rFonts w:ascii="Arial" w:hAnsi="Arial"/>
          <w:noProof/>
          <w:sz w:val="24"/>
        </w:rPr>
        <w:t xml:space="preserve"> În acest sens, o inițiativă elaborată împreună cu Organizația Mondială a Sănătății va analiza diverse modalități de îmbunătățire a calității și accesibilității asistenței medicale pentru femei, inclusiv pentru cele cu handicap. În plus, Comisia va lansa un </w:t>
      </w:r>
      <w:r>
        <w:rPr>
          <w:rFonts w:ascii="Arial" w:hAnsi="Arial"/>
          <w:b/>
          <w:noProof/>
          <w:sz w:val="24"/>
        </w:rPr>
        <w:t>studiu privind violența împotriva femeilor cu handicap în UE</w:t>
      </w:r>
      <w:r>
        <w:rPr>
          <w:rFonts w:ascii="Arial" w:hAnsi="Arial"/>
          <w:noProof/>
          <w:sz w:val="24"/>
        </w:rPr>
        <w:t>. Comisia va acorda o atenție sporită nevoilor persoanelor cu handicap în punerea în aplicare a strategiilor relevante, cum ar fi strategiile pentru perioada 2026-2030 referitoare la </w:t>
      </w:r>
      <w:hyperlink r:id="rId80" w:tgtFrame="_blank" w:history="1">
        <w:r>
          <w:rPr>
            <w:rStyle w:val="Hyperlink"/>
            <w:rFonts w:ascii="Arial" w:hAnsi="Arial"/>
            <w:noProof/>
            <w:sz w:val="24"/>
          </w:rPr>
          <w:t>persoanele din categoria LGBTIQ+</w:t>
        </w:r>
      </w:hyperlink>
      <w:r>
        <w:rPr>
          <w:rFonts w:ascii="Arial" w:hAnsi="Arial"/>
          <w:noProof/>
          <w:sz w:val="24"/>
        </w:rPr>
        <w:t> și la </w:t>
      </w:r>
      <w:hyperlink r:id="rId81" w:tgtFrame="_blank" w:history="1">
        <w:r>
          <w:rPr>
            <w:rStyle w:val="Hyperlink"/>
            <w:rFonts w:ascii="Arial" w:hAnsi="Arial"/>
            <w:noProof/>
            <w:sz w:val="24"/>
          </w:rPr>
          <w:t>combaterea rasismului</w:t>
        </w:r>
      </w:hyperlink>
      <w:r>
        <w:rPr>
          <w:rStyle w:val="Hyperlink"/>
          <w:rFonts w:ascii="Arial" w:hAnsi="Arial"/>
          <w:noProof/>
          <w:sz w:val="24"/>
        </w:rPr>
        <w:t xml:space="preserve"> </w:t>
      </w:r>
      <w:r>
        <w:rPr>
          <w:rFonts w:ascii="Arial" w:hAnsi="Arial"/>
          <w:noProof/>
          <w:sz w:val="24"/>
        </w:rPr>
        <w:t>.</w:t>
      </w:r>
    </w:p>
    <w:p w14:paraId="685ABDEC" w14:textId="77777777" w:rsidR="00FB01BD" w:rsidRPr="002D57F2" w:rsidRDefault="00FB01BD" w:rsidP="00FB01BD">
      <w:pPr>
        <w:pStyle w:val="Heading3"/>
        <w:rPr>
          <w:rFonts w:ascii="Arial" w:hAnsi="Arial" w:cs="Arial"/>
          <w:noProof/>
        </w:rPr>
      </w:pPr>
      <w:bookmarkStart w:id="20" w:name="_Toc228880183"/>
      <w:r>
        <w:rPr>
          <w:rFonts w:ascii="Arial" w:hAnsi="Arial"/>
          <w:noProof/>
        </w:rPr>
        <w:t>Asigurarea accesului egal la justiție, protecție juridică și siguranță</w:t>
      </w:r>
      <w:bookmarkEnd w:id="20"/>
      <w:r>
        <w:rPr>
          <w:rFonts w:ascii="Arial" w:hAnsi="Arial"/>
          <w:noProof/>
        </w:rPr>
        <w:t xml:space="preserve"> </w:t>
      </w:r>
    </w:p>
    <w:p w14:paraId="7C34EE5B" w14:textId="7A7B9D3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Pentru a le oferi persoanelor cu handicap acces egal la justiție, este esențial </w:t>
      </w:r>
      <w:r>
        <w:rPr>
          <w:rFonts w:ascii="Arial" w:hAnsi="Arial"/>
          <w:b/>
          <w:noProof/>
          <w:sz w:val="24"/>
        </w:rPr>
        <w:t>să se elimine barierele practice și juridice</w:t>
      </w:r>
      <w:r>
        <w:rPr>
          <w:rFonts w:ascii="Arial" w:hAnsi="Arial"/>
          <w:noProof/>
          <w:sz w:val="24"/>
        </w:rPr>
        <w:t xml:space="preserve"> legate, de exemplu, de accesibilitate sau de capacitatea juridică și </w:t>
      </w:r>
      <w:r>
        <w:rPr>
          <w:rFonts w:ascii="Arial" w:hAnsi="Arial"/>
          <w:b/>
          <w:noProof/>
          <w:sz w:val="24"/>
        </w:rPr>
        <w:t>să se asigure amenajări corespunzătoare.</w:t>
      </w:r>
      <w:r>
        <w:rPr>
          <w:rFonts w:ascii="Arial" w:hAnsi="Arial"/>
          <w:noProof/>
          <w:sz w:val="24"/>
        </w:rPr>
        <w:t xml:space="preserve"> În acest context, accesul la justiție include posibilitatea de a participa la procedurile judiciare și de a contribui la sistemul de justiție în calitate profesională. Protejarea persoanelor cu handicap, în special a celor aflate în situații vulnerabile, împotriva violenței, urii, exploatării și abuzurilor, atât online, cât și offline, rămâne o prioritate.</w:t>
      </w:r>
    </w:p>
    <w:p w14:paraId="15A92148" w14:textId="77777777" w:rsidR="00FB01BD" w:rsidRPr="002D57F2" w:rsidRDefault="00FB01BD" w:rsidP="00FB01BD">
      <w:pPr>
        <w:pStyle w:val="Style2"/>
        <w:spacing w:line="288" w:lineRule="auto"/>
        <w:rPr>
          <w:rFonts w:ascii="Arial" w:hAnsi="Arial" w:cs="Arial"/>
          <w:b/>
          <w:bCs/>
          <w:noProof/>
          <w:sz w:val="24"/>
          <w:szCs w:val="24"/>
        </w:rPr>
      </w:pPr>
      <w:r>
        <w:rPr>
          <w:rFonts w:ascii="Arial" w:hAnsi="Arial"/>
          <w:b/>
          <w:noProof/>
          <w:sz w:val="24"/>
        </w:rPr>
        <w:t>Victimele cu handicap</w:t>
      </w:r>
      <w:r>
        <w:rPr>
          <w:rFonts w:ascii="Arial" w:hAnsi="Arial"/>
          <w:noProof/>
          <w:sz w:val="24"/>
        </w:rPr>
        <w:t xml:space="preserve"> vor fi în continuare protejate și sprijinite prin </w:t>
      </w:r>
      <w:hyperlink r:id="rId82">
        <w:r>
          <w:rPr>
            <w:rStyle w:val="Hyperlink"/>
            <w:rFonts w:ascii="Arial" w:hAnsi="Arial"/>
            <w:noProof/>
            <w:sz w:val="24"/>
          </w:rPr>
          <w:t>Directiva revizuită privind drepturile victimelor</w:t>
        </w:r>
      </w:hyperlink>
      <w:r>
        <w:rPr>
          <w:rStyle w:val="CommentReference"/>
          <w:rFonts w:ascii="Arial" w:hAnsi="Arial"/>
          <w:noProof/>
          <w:sz w:val="24"/>
        </w:rPr>
        <w:t xml:space="preserve">, </w:t>
      </w:r>
      <w:r>
        <w:rPr>
          <w:rFonts w:ascii="Arial" w:hAnsi="Arial"/>
          <w:noProof/>
          <w:sz w:val="24"/>
        </w:rPr>
        <w:t xml:space="preserve">care include noi dispoziții referitoare la amenajările procedurale și prin viitoarea </w:t>
      </w:r>
      <w:r>
        <w:rPr>
          <w:rFonts w:ascii="Arial" w:hAnsi="Arial"/>
          <w:b/>
          <w:noProof/>
          <w:sz w:val="24"/>
        </w:rPr>
        <w:t>strategie a UE privind drepturile victimelor.</w:t>
      </w:r>
    </w:p>
    <w:p w14:paraId="146E8354"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 Victimele violenței de gen vor fi sprijinite în temeiul</w:t>
      </w:r>
      <w:r>
        <w:rPr>
          <w:noProof/>
        </w:rPr>
        <w:t xml:space="preserve"> </w:t>
      </w:r>
      <w:hyperlink r:id="rId83" w:history="1">
        <w:r>
          <w:rPr>
            <w:rStyle w:val="Hyperlink"/>
            <w:rFonts w:ascii="Arial" w:hAnsi="Arial"/>
            <w:noProof/>
            <w:sz w:val="24"/>
          </w:rPr>
          <w:t>Directivei privind combaterea violenței împotriva femeilor și a violenței domestice</w:t>
        </w:r>
      </w:hyperlink>
      <w:r>
        <w:rPr>
          <w:rFonts w:ascii="Arial" w:hAnsi="Arial"/>
          <w:noProof/>
          <w:sz w:val="24"/>
        </w:rPr>
        <w:t xml:space="preserve">, care prevede dispoziții specifice și protecție pentru femeile și fetele cu handicap. Comisia va facilita, de asemenea, elaborarea de </w:t>
      </w:r>
      <w:r>
        <w:rPr>
          <w:rFonts w:ascii="Arial" w:hAnsi="Arial"/>
          <w:b/>
          <w:noProof/>
          <w:sz w:val="24"/>
        </w:rPr>
        <w:t>orientări privind amenajările procedurale</w:t>
      </w:r>
      <w:r>
        <w:rPr>
          <w:rFonts w:ascii="Arial" w:hAnsi="Arial"/>
          <w:noProof/>
          <w:sz w:val="24"/>
        </w:rPr>
        <w:t xml:space="preserve"> pentru toate victimele cu handicap.</w:t>
      </w:r>
    </w:p>
    <w:p w14:paraId="6EB0DB85" w14:textId="7E064CE7" w:rsidR="00FB01BD" w:rsidRPr="002D57F2" w:rsidRDefault="00F77A11" w:rsidP="00FB01BD">
      <w:pPr>
        <w:pStyle w:val="Style2"/>
        <w:spacing w:line="288" w:lineRule="auto"/>
        <w:rPr>
          <w:rFonts w:ascii="Arial" w:hAnsi="Arial" w:cs="Arial"/>
          <w:noProof/>
          <w:sz w:val="24"/>
          <w:szCs w:val="24"/>
        </w:rPr>
      </w:pPr>
      <w:hyperlink r:id="rId84">
        <w:r w:rsidR="00FB01BD">
          <w:rPr>
            <w:rStyle w:val="Hyperlink"/>
            <w:rFonts w:ascii="Arial" w:hAnsi="Arial"/>
            <w:noProof/>
            <w:sz w:val="24"/>
          </w:rPr>
          <w:t>Programul „Justiție”</w:t>
        </w:r>
      </w:hyperlink>
      <w:r w:rsidR="00FB01BD">
        <w:rPr>
          <w:noProof/>
        </w:rPr>
        <w:t xml:space="preserve"> </w:t>
      </w:r>
      <w:r w:rsidR="00FB01BD">
        <w:rPr>
          <w:rFonts w:ascii="Arial" w:hAnsi="Arial"/>
          <w:noProof/>
          <w:sz w:val="24"/>
        </w:rPr>
        <w:t xml:space="preserve">promovează </w:t>
      </w:r>
      <w:r w:rsidR="00FB01BD">
        <w:rPr>
          <w:rFonts w:ascii="Arial" w:hAnsi="Arial"/>
          <w:b/>
          <w:noProof/>
          <w:sz w:val="24"/>
        </w:rPr>
        <w:t>formarea judiciară pe tema CNUDPH și a handicapului</w:t>
      </w:r>
      <w:r w:rsidR="00FB01BD">
        <w:rPr>
          <w:rFonts w:ascii="Arial" w:hAnsi="Arial"/>
          <w:noProof/>
          <w:sz w:val="24"/>
        </w:rPr>
        <w:t>, în conformitate cu prioritățile</w:t>
      </w:r>
      <w:r w:rsidR="00FB01BD">
        <w:rPr>
          <w:noProof/>
        </w:rPr>
        <w:t xml:space="preserve"> </w:t>
      </w:r>
      <w:hyperlink r:id="rId85">
        <w:r w:rsidR="00FB01BD">
          <w:rPr>
            <w:rStyle w:val="Hyperlink"/>
            <w:rFonts w:ascii="Arial" w:hAnsi="Arial"/>
            <w:noProof/>
            <w:sz w:val="24"/>
          </w:rPr>
          <w:t>strategiei de formare judiciară</w:t>
        </w:r>
      </w:hyperlink>
      <w:r w:rsidR="00FB01BD">
        <w:rPr>
          <w:noProof/>
        </w:rPr>
        <w:t>.</w:t>
      </w:r>
      <w:r w:rsidR="00FB01BD">
        <w:rPr>
          <w:rFonts w:ascii="Arial" w:hAnsi="Arial"/>
          <w:noProof/>
          <w:sz w:val="24"/>
        </w:rPr>
        <w:t xml:space="preserve"> În contextul revizuirii</w:t>
      </w:r>
      <w:r w:rsidR="00FB01BD">
        <w:rPr>
          <w:noProof/>
        </w:rPr>
        <w:t xml:space="preserve"> </w:t>
      </w:r>
      <w:hyperlink r:id="rId86">
        <w:r w:rsidR="00FB01BD">
          <w:rPr>
            <w:rStyle w:val="Hyperlink"/>
            <w:rFonts w:ascii="Arial" w:hAnsi="Arial"/>
            <w:noProof/>
            <w:sz w:val="24"/>
          </w:rPr>
          <w:t>Directivei privind ordinul european de anchetă</w:t>
        </w:r>
      </w:hyperlink>
      <w:r w:rsidR="00FB01BD">
        <w:rPr>
          <w:rFonts w:ascii="Arial" w:hAnsi="Arial"/>
          <w:noProof/>
          <w:sz w:val="24"/>
        </w:rPr>
        <w:t>, Comisia va încerca să facă posibilă participarea de la distanță, inclusiv a persoanelor cu handicap, la audieri în fața instanțelor penale dintr-un alt stat membru prin videoconferință, asigurând totodată garanțiile procedurale necesare. De asemenea, Comisia va crește frecvența raportării cu privire la aspectele legate de handicap în</w:t>
      </w:r>
      <w:r w:rsidR="00FB01BD">
        <w:rPr>
          <w:noProof/>
        </w:rPr>
        <w:t xml:space="preserve"> </w:t>
      </w:r>
      <w:hyperlink r:id="rId87" w:history="1">
        <w:r w:rsidR="00FB01BD">
          <w:rPr>
            <w:rStyle w:val="Hyperlink"/>
            <w:rFonts w:ascii="Arial" w:hAnsi="Arial"/>
            <w:noProof/>
            <w:sz w:val="24"/>
          </w:rPr>
          <w:t>tabloul de bord privind justiția în UE</w:t>
        </w:r>
      </w:hyperlink>
      <w:r w:rsidR="00FB01BD">
        <w:rPr>
          <w:rFonts w:ascii="Arial" w:hAnsi="Arial"/>
          <w:noProof/>
          <w:sz w:val="24"/>
        </w:rPr>
        <w:t>.</w:t>
      </w:r>
    </w:p>
    <w:p w14:paraId="11E26B64" w14:textId="0C669F7F"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Comisia va sprijini punerea în aplicare de către statele membre a </w:t>
      </w:r>
      <w:r>
        <w:rPr>
          <w:rFonts w:ascii="Arial" w:hAnsi="Arial"/>
          <w:b/>
          <w:noProof/>
          <w:sz w:val="24"/>
        </w:rPr>
        <w:t>viitorului regulament privind protecția transfrontalieră a adulților vulnerabili</w:t>
      </w:r>
      <w:r>
        <w:rPr>
          <w:rFonts w:ascii="Arial" w:hAnsi="Arial"/>
          <w:noProof/>
          <w:sz w:val="24"/>
        </w:rPr>
        <w:t xml:space="preserve">, promovând aplicarea în deplină conformitate cu CNUDPH. </w:t>
      </w:r>
      <w:r>
        <w:rPr>
          <w:rFonts w:ascii="Arial" w:hAnsi="Arial"/>
          <w:b/>
          <w:noProof/>
          <w:sz w:val="24"/>
        </w:rPr>
        <w:t>Comisia va publica, de asemenea, un studiu</w:t>
      </w:r>
      <w:r>
        <w:rPr>
          <w:rFonts w:ascii="Arial" w:hAnsi="Arial"/>
          <w:noProof/>
          <w:sz w:val="24"/>
        </w:rPr>
        <w:t xml:space="preserve"> privind regimurile decizionale și legislația în materie de capacitate juridică din statele membre, </w:t>
      </w:r>
      <w:r>
        <w:rPr>
          <w:rFonts w:ascii="Arial" w:hAnsi="Arial"/>
          <w:b/>
          <w:noProof/>
          <w:sz w:val="24"/>
        </w:rPr>
        <w:t>care va prezenta abordări decizionale sprijinite</w:t>
      </w:r>
      <w:r>
        <w:rPr>
          <w:rFonts w:ascii="Arial" w:hAnsi="Arial"/>
          <w:noProof/>
          <w:sz w:val="24"/>
        </w:rPr>
        <w:t xml:space="preserve"> pentru a încuraja autodeterminarea persoanelor cu handicap intelectual, mintal și psihosocial.</w:t>
      </w:r>
    </w:p>
    <w:p w14:paraId="363E885C" w14:textId="2EC606F9"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În plus, Comisia va lua în calcul o legislație bazată pe domeniile existente ale criminalității care intră sub incidența</w:t>
      </w:r>
      <w:r>
        <w:rPr>
          <w:noProof/>
        </w:rPr>
        <w:t xml:space="preserve"> </w:t>
      </w:r>
      <w:hyperlink r:id="rId88">
        <w:r>
          <w:rPr>
            <w:rStyle w:val="Hyperlink"/>
            <w:rFonts w:ascii="Arial" w:hAnsi="Arial"/>
            <w:noProof/>
            <w:sz w:val="24"/>
          </w:rPr>
          <w:t>articolului 83 alineatul (1) din TFUE</w:t>
        </w:r>
      </w:hyperlink>
      <w:r>
        <w:rPr>
          <w:noProof/>
        </w:rPr>
        <w:t xml:space="preserve"> </w:t>
      </w:r>
      <w:r>
        <w:rPr>
          <w:rFonts w:ascii="Arial" w:hAnsi="Arial"/>
          <w:noProof/>
          <w:sz w:val="24"/>
        </w:rPr>
        <w:t xml:space="preserve">pentru a </w:t>
      </w:r>
      <w:r>
        <w:rPr>
          <w:rFonts w:ascii="Arial" w:hAnsi="Arial"/>
          <w:b/>
          <w:noProof/>
          <w:sz w:val="24"/>
        </w:rPr>
        <w:t>armoniza definiția infracțiunilor motivate de ură comise online</w:t>
      </w:r>
      <w:r>
        <w:rPr>
          <w:rFonts w:ascii="Arial" w:hAnsi="Arial"/>
          <w:noProof/>
          <w:sz w:val="24"/>
        </w:rPr>
        <w:t xml:space="preserve"> și, eventual, pentru a include incitarea publică la violență sau la ură online din motive care nu sunt reglementate în prezent de legislația UE, cum ar fi handicapul. Handicapul va fi, de asemenea, integrat în viitorul plan de acțiune privind protecția copiilor împotriva criminalității și în strategia privind combaterea traficului de persoane, precum și în</w:t>
      </w:r>
      <w:r>
        <w:rPr>
          <w:noProof/>
        </w:rPr>
        <w:t xml:space="preserve"> </w:t>
      </w:r>
      <w:hyperlink r:id="rId89">
        <w:r>
          <w:rPr>
            <w:rStyle w:val="Hyperlink"/>
            <w:rFonts w:ascii="Arial" w:hAnsi="Arial"/>
            <w:noProof/>
            <w:sz w:val="24"/>
          </w:rPr>
          <w:t>pactul privind azilul și migrația.</w:t>
        </w:r>
      </w:hyperlink>
    </w:p>
    <w:p w14:paraId="180211A2" w14:textId="77777777" w:rsidR="00FB01BD" w:rsidRPr="002D57F2" w:rsidRDefault="00FB01BD" w:rsidP="00FB01BD">
      <w:pPr>
        <w:pStyle w:val="Heading3"/>
        <w:rPr>
          <w:rFonts w:ascii="Arial" w:hAnsi="Arial" w:cs="Arial"/>
          <w:noProof/>
        </w:rPr>
      </w:pPr>
      <w:bookmarkStart w:id="21" w:name="_Toc228880184"/>
      <w:r>
        <w:rPr>
          <w:rFonts w:ascii="Arial" w:hAnsi="Arial"/>
          <w:noProof/>
        </w:rPr>
        <w:t>Pregătire și gestionarea situațiilor de criză</w:t>
      </w:r>
      <w:bookmarkEnd w:id="21"/>
    </w:p>
    <w:p w14:paraId="226B3005"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Persoanele cu handicap sunt afectate în mod disproporționat de dezastre</w:t>
      </w:r>
      <w:r>
        <w:rPr>
          <w:rFonts w:ascii="Arial" w:hAnsi="Arial"/>
          <w:noProof/>
          <w:sz w:val="24"/>
        </w:rPr>
        <w:t xml:space="preserve"> și se confruntă cu o vulnerabilitate sporită în timpul unei situații de urgență. În astfel de cazuri, multe persoane au acces limitat la alerte și avertismente timpurii, la mijloace de transport adecvate și la echipamentele medicale de care au nevoie ele însele sau îngrijitorii lor. În plus, personalul de intervenție de urgență nu este întotdeauna instruit și echipat pentru a răspunde nevoilor lor specifice. </w:t>
      </w:r>
    </w:p>
    <w:p w14:paraId="051E0431"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Comisia va lua măsurile necesare pentru ca UE să fie mai sigură și mai rezilientă la amenințări, prin consolidarea capacității de a anticipa, de a preveni, de a se pregăti și de a gestiona crizele. În acest sens, va promova o </w:t>
      </w:r>
      <w:r>
        <w:rPr>
          <w:rFonts w:ascii="Arial" w:hAnsi="Arial"/>
          <w:b/>
          <w:noProof/>
          <w:sz w:val="24"/>
        </w:rPr>
        <w:t>cultură a pregătirii mai puternică și mai incluzivă</w:t>
      </w:r>
      <w:r>
        <w:rPr>
          <w:rFonts w:ascii="Arial" w:hAnsi="Arial"/>
          <w:noProof/>
          <w:sz w:val="24"/>
        </w:rPr>
        <w:t xml:space="preserve">, în conformitate cu </w:t>
      </w:r>
      <w:hyperlink r:id="rId90">
        <w:r>
          <w:rPr>
            <w:rStyle w:val="Hyperlink"/>
            <w:rFonts w:ascii="Arial" w:hAnsi="Arial"/>
            <w:noProof/>
            <w:sz w:val="24"/>
          </w:rPr>
          <w:t>Strategia privind o Uniune a pregătirii</w:t>
        </w:r>
      </w:hyperlink>
      <w:r>
        <w:rPr>
          <w:rFonts w:ascii="Arial" w:hAnsi="Arial"/>
          <w:noProof/>
          <w:sz w:val="24"/>
        </w:rPr>
        <w:t xml:space="preserve"> și utilizând </w:t>
      </w:r>
      <w:hyperlink r:id="rId91">
        <w:r>
          <w:rPr>
            <w:rStyle w:val="Hyperlink"/>
            <w:rFonts w:ascii="Arial" w:hAnsi="Arial"/>
            <w:noProof/>
            <w:sz w:val="24"/>
          </w:rPr>
          <w:t>mecanismul de protecție civilă al Uniunii</w:t>
        </w:r>
      </w:hyperlink>
      <w:r>
        <w:rPr>
          <w:rFonts w:ascii="Arial" w:hAnsi="Arial"/>
          <w:noProof/>
          <w:sz w:val="24"/>
        </w:rPr>
        <w:t>.</w:t>
      </w:r>
    </w:p>
    <w:p w14:paraId="6B936D24"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INIȚIATIVĂ EMBLEMATICĂ – Pregătire pentru orice, pregătire pentru toți</w:t>
      </w:r>
    </w:p>
    <w:p w14:paraId="11CEF7C4" w14:textId="2A752222"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120" w:after="360" w:line="288" w:lineRule="auto"/>
        <w:rPr>
          <w:rFonts w:ascii="Arial" w:hAnsi="Arial" w:cs="Arial"/>
          <w:b/>
          <w:bCs/>
          <w:noProof/>
          <w:sz w:val="24"/>
          <w:szCs w:val="24"/>
        </w:rPr>
      </w:pPr>
      <w:r>
        <w:rPr>
          <w:rFonts w:ascii="Arial" w:hAnsi="Arial"/>
          <w:noProof/>
          <w:sz w:val="24"/>
        </w:rPr>
        <w:t xml:space="preserve">Comisia va depune eforturi pentru ca pregătirea și gestionarea crizelor să fie mai favorabile incluziunii persoanelor cu handicap. </w:t>
      </w:r>
      <w:r>
        <w:rPr>
          <w:rFonts w:ascii="Arial" w:hAnsi="Arial"/>
          <w:b/>
          <w:noProof/>
          <w:sz w:val="24"/>
        </w:rPr>
        <w:t xml:space="preserve">Inițiativa va include: </w:t>
      </w:r>
      <w:r>
        <w:rPr>
          <w:rFonts w:ascii="Arial" w:hAnsi="Arial"/>
          <w:noProof/>
          <w:sz w:val="24"/>
        </w:rPr>
        <w:t xml:space="preserve">(i) analiza lacunelor și cartografierea de către părțile interesate a situației persoanelor cu handicap în ceea ce privește răspunsul și pregătirea în caz de dezastre; (ii) orientări pentru personalul de primă intervenție, inclusiv pentru operatorii numărului de urgență 112 </w:t>
      </w:r>
      <w:r>
        <w:rPr>
          <w:rFonts w:ascii="Arial" w:hAnsi="Arial"/>
          <w:noProof/>
          <w:sz w:val="24"/>
          <w:vertAlign w:val="superscript"/>
        </w:rPr>
        <w:t>(</w:t>
      </w:r>
      <w:r>
        <w:rPr>
          <w:rStyle w:val="FootnoteReference"/>
          <w:rFonts w:ascii="Arial" w:hAnsi="Arial" w:cs="Arial"/>
          <w:noProof/>
        </w:rPr>
        <w:footnoteReference w:id="19"/>
      </w:r>
      <w:r>
        <w:rPr>
          <w:rFonts w:ascii="Arial" w:hAnsi="Arial"/>
          <w:noProof/>
          <w:sz w:val="24"/>
          <w:vertAlign w:val="superscript"/>
        </w:rPr>
        <w:t>)</w:t>
      </w:r>
      <w:r>
        <w:rPr>
          <w:rFonts w:ascii="Arial" w:hAnsi="Arial"/>
          <w:noProof/>
          <w:sz w:val="24"/>
        </w:rPr>
        <w:t xml:space="preserve">, și pentru persoanele cu handicap și îngrijitorii acestora cu privire la modul de acțiune în caz de urgență; (iii) programe de formare pentru personalul de primă intervenție cu privire la modul de recunoaștere a tipurilor de handicap și de stabilire a cursului de acțiune adecvat; și (iv) acordarea, în 2026, în cadrul Forumului pentru protecție civilă, a unei medalii </w:t>
      </w:r>
      <w:r>
        <w:rPr>
          <w:rFonts w:ascii="Arial" w:hAnsi="Arial"/>
          <w:noProof/>
          <w:sz w:val="24"/>
          <w:vertAlign w:val="superscript"/>
        </w:rPr>
        <w:t>(</w:t>
      </w:r>
      <w:r>
        <w:rPr>
          <w:rStyle w:val="FootnoteReference"/>
          <w:rFonts w:ascii="Arial" w:hAnsi="Arial" w:cs="Arial"/>
          <w:noProof/>
        </w:rPr>
        <w:footnoteReference w:id="20"/>
      </w:r>
      <w:r>
        <w:rPr>
          <w:rFonts w:ascii="Arial" w:hAnsi="Arial"/>
          <w:noProof/>
          <w:sz w:val="24"/>
          <w:vertAlign w:val="superscript"/>
        </w:rPr>
        <w:t>)</w:t>
      </w:r>
      <w:r>
        <w:rPr>
          <w:rFonts w:ascii="Arial" w:hAnsi="Arial"/>
          <w:noProof/>
          <w:sz w:val="24"/>
        </w:rPr>
        <w:t xml:space="preserve"> care va recompensa „contribuția extraordinară la mecanismul de protecție civilă al Uniunii în domeniul incluziunii persoanelor cu handicap”.</w:t>
      </w:r>
    </w:p>
    <w:p w14:paraId="76181F15" w14:textId="2E927B8E" w:rsidR="007453BC" w:rsidRPr="002D57F2" w:rsidRDefault="007453BC" w:rsidP="007453BC">
      <w:pPr>
        <w:pStyle w:val="Heading3"/>
        <w:rPr>
          <w:rFonts w:ascii="Arial" w:hAnsi="Arial" w:cs="Arial"/>
          <w:noProof/>
        </w:rPr>
      </w:pPr>
      <w:bookmarkStart w:id="22" w:name="_Toc228880185"/>
      <w:r>
        <w:rPr>
          <w:rFonts w:ascii="Arial" w:hAnsi="Arial"/>
          <w:noProof/>
        </w:rPr>
        <w:t>Participarea la viața culturală, la activități sportive, la călătorii și la activități recreative</w:t>
      </w:r>
      <w:bookmarkEnd w:id="22"/>
    </w:p>
    <w:p w14:paraId="48DF5EEB"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Inegalitățile marcante</w:t>
      </w:r>
      <w:r>
        <w:rPr>
          <w:rFonts w:ascii="Arial" w:hAnsi="Arial"/>
          <w:noProof/>
          <w:sz w:val="24"/>
        </w:rPr>
        <w:t xml:space="preserve"> în ceea ce privește accesul și participarea la cultură afectează persoanele cu handicap, </w:t>
      </w:r>
      <w:r>
        <w:rPr>
          <w:rFonts w:ascii="Arial" w:hAnsi="Arial"/>
          <w:b/>
          <w:noProof/>
          <w:sz w:val="24"/>
        </w:rPr>
        <w:t>în calitate de artiști, lucrători în domeniul cultural și spectatori</w:t>
      </w:r>
      <w:r>
        <w:rPr>
          <w:rFonts w:ascii="Arial" w:hAnsi="Arial"/>
          <w:noProof/>
          <w:sz w:val="24"/>
        </w:rPr>
        <w:t xml:space="preserve">. Pentru persoanele cu handicap, participarea la evenimente culturale și sportive, la călătorii și activități recreative este adesea dificilă, din cauza inaccesibilității spațiilor și serviciilor, a stereotipurilor persistente și a costurilor suplimentare. Acest lucru le împiedică dezvoltarea personală și incluziunea în societate. </w:t>
      </w:r>
      <w:hyperlink r:id="rId92" w:history="1">
        <w:r>
          <w:rPr>
            <w:rStyle w:val="Hyperlink"/>
            <w:rFonts w:ascii="Arial" w:hAnsi="Arial"/>
            <w:noProof/>
            <w:sz w:val="24"/>
          </w:rPr>
          <w:t>Busola pentru cultura Europei</w:t>
        </w:r>
      </w:hyperlink>
      <w:r>
        <w:rPr>
          <w:noProof/>
        </w:rPr>
        <w:t xml:space="preserve"> </w:t>
      </w:r>
      <w:r>
        <w:rPr>
          <w:rFonts w:ascii="Arial" w:hAnsi="Arial"/>
          <w:noProof/>
          <w:sz w:val="24"/>
        </w:rPr>
        <w:t xml:space="preserve">consideră că </w:t>
      </w:r>
      <w:r>
        <w:rPr>
          <w:rFonts w:ascii="Arial" w:hAnsi="Arial"/>
          <w:b/>
          <w:noProof/>
          <w:sz w:val="24"/>
        </w:rPr>
        <w:t>barierele legate de handicap</w:t>
      </w:r>
      <w:r>
        <w:rPr>
          <w:rFonts w:ascii="Arial" w:hAnsi="Arial"/>
          <w:noProof/>
          <w:sz w:val="24"/>
        </w:rPr>
        <w:t xml:space="preserve"> reprezintă unul dintre factorii care afectează participarea la cultură și pledează pentru politici culturale favorabile incluziunii, investiții susținute și o proiectare incluzivă și accesibilă a infrastructurii și programelor culturale.</w:t>
      </w:r>
    </w:p>
    <w:p w14:paraId="3C49315E" w14:textId="0505136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Până în 2028, Comisia va elabora un raport pentru a sprijini statele membre în adoptarea măsurilor necesare pentru creșterea </w:t>
      </w:r>
      <w:r>
        <w:rPr>
          <w:rFonts w:ascii="Arial" w:hAnsi="Arial"/>
          <w:b/>
          <w:noProof/>
          <w:sz w:val="24"/>
        </w:rPr>
        <w:t>participării persoanelor cu handicap la cultură</w:t>
      </w:r>
      <w:r>
        <w:rPr>
          <w:rFonts w:ascii="Arial" w:hAnsi="Arial"/>
          <w:noProof/>
          <w:sz w:val="24"/>
        </w:rPr>
        <w:t xml:space="preserve">. Organizațiile care reprezintă persoanele cu handicap vor fi consultate cu privire la </w:t>
      </w:r>
      <w:r>
        <w:rPr>
          <w:rFonts w:ascii="Arial" w:hAnsi="Arial"/>
          <w:b/>
          <w:noProof/>
          <w:sz w:val="24"/>
        </w:rPr>
        <w:t>viitoarea Cartă a artiștilor din UE</w:t>
      </w:r>
      <w:r>
        <w:rPr>
          <w:rFonts w:ascii="Arial" w:hAnsi="Arial"/>
          <w:noProof/>
          <w:sz w:val="24"/>
        </w:rPr>
        <w:t>. De asemenea, Comisia va sprijini, prin intermediul</w:t>
      </w:r>
      <w:r>
        <w:rPr>
          <w:noProof/>
        </w:rPr>
        <w:t xml:space="preserve"> </w:t>
      </w:r>
      <w:hyperlink r:id="rId93" w:history="1">
        <w:r>
          <w:rPr>
            <w:rStyle w:val="Hyperlink"/>
            <w:rFonts w:ascii="Arial" w:hAnsi="Arial"/>
            <w:noProof/>
            <w:sz w:val="24"/>
          </w:rPr>
          <w:t>acțiunii de incluziune din cadrul inițiativei DiscoverEU</w:t>
        </w:r>
      </w:hyperlink>
      <w:r>
        <w:rPr>
          <w:rFonts w:ascii="Arial" w:hAnsi="Arial"/>
          <w:noProof/>
          <w:sz w:val="24"/>
        </w:rPr>
        <w:t>, tinerii cu mai puține oportunități, inclusiv tinerii cu handicap. Comisia va promova în continuare incluziunea și accesibilitatea în sport, inclusiv prin intermediul categoriei „Incluziune” a</w:t>
      </w:r>
      <w:r>
        <w:rPr>
          <w:noProof/>
        </w:rPr>
        <w:t xml:space="preserve"> </w:t>
      </w:r>
      <w:hyperlink r:id="rId94" w:history="1">
        <w:r>
          <w:rPr>
            <w:rStyle w:val="Hyperlink"/>
            <w:rFonts w:ascii="Arial" w:hAnsi="Arial"/>
            <w:noProof/>
            <w:sz w:val="24"/>
          </w:rPr>
          <w:t>Premiilor UE pentru sport #BeActive</w:t>
        </w:r>
      </w:hyperlink>
      <w:r>
        <w:rPr>
          <w:noProof/>
        </w:rPr>
        <w:t xml:space="preserve"> </w:t>
      </w:r>
      <w:r>
        <w:rPr>
          <w:rFonts w:ascii="Arial" w:hAnsi="Arial"/>
          <w:noProof/>
          <w:sz w:val="24"/>
        </w:rPr>
        <w:t>și al campaniei</w:t>
      </w:r>
      <w:r>
        <w:rPr>
          <w:noProof/>
        </w:rPr>
        <w:t xml:space="preserve"> </w:t>
      </w:r>
      <w:hyperlink r:id="rId95" w:history="1">
        <w:r>
          <w:rPr>
            <w:rStyle w:val="Hyperlink"/>
            <w:rFonts w:ascii="Arial" w:hAnsi="Arial"/>
            <w:noProof/>
            <w:sz w:val="24"/>
          </w:rPr>
          <w:t>Săptămâna europeană a sportului</w:t>
        </w:r>
      </w:hyperlink>
      <w:r>
        <w:rPr>
          <w:rFonts w:ascii="Arial" w:hAnsi="Arial"/>
          <w:noProof/>
          <w:sz w:val="24"/>
        </w:rPr>
        <w:t>.</w:t>
      </w:r>
    </w:p>
    <w:p w14:paraId="5EF7AE60" w14:textId="77777777" w:rsidR="00FB01BD" w:rsidRPr="002D57F2" w:rsidRDefault="00FB01BD" w:rsidP="00B540AD">
      <w:pPr>
        <w:pStyle w:val="Style2"/>
        <w:keepNext/>
        <w:keepLines/>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noProof/>
          <w:sz w:val="24"/>
          <w:szCs w:val="24"/>
        </w:rPr>
      </w:pPr>
      <w:r>
        <w:rPr>
          <w:rFonts w:ascii="Arial" w:hAnsi="Arial"/>
          <w:b/>
          <w:noProof/>
          <w:sz w:val="24"/>
        </w:rPr>
        <w:t>Comisia invită statele membre UE:</w:t>
      </w:r>
    </w:p>
    <w:p w14:paraId="5EE980CD" w14:textId="77777777"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să promoveze incluziunea copiilor, a adolescenților și a tinerilor cu handicap în învățământul general, prin eliminarea barierelor din mediul școlar, prin punerea la dispoziție a unor materiale didactice accesibile și adaptate și prin adoptarea unor abordări individualizate de predare;</w:t>
      </w:r>
    </w:p>
    <w:p w14:paraId="3EFF0FD7" w14:textId="04917A30"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să îmbunătățească accesul la asistență medicală, inclusiv prin formarea profesioniștilor pe baza orientărilor Convenției Națiunilor Unite privind drepturile persoanelor cu handicap și prin eliminarea barierelor administrative și practice;</w:t>
      </w:r>
    </w:p>
    <w:p w14:paraId="5A0F7D00" w14:textId="5C093929" w:rsidR="00FB01BD" w:rsidRPr="002D57F2" w:rsidRDefault="00FB01BD" w:rsidP="00B540AD">
      <w:pPr>
        <w:pStyle w:val="Style2"/>
        <w:keepNext/>
        <w:keepLines/>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line="288" w:lineRule="auto"/>
        <w:ind w:left="360"/>
        <w:rPr>
          <w:rFonts w:ascii="Arial" w:hAnsi="Arial" w:cs="Arial"/>
          <w:noProof/>
          <w:sz w:val="24"/>
          <w:szCs w:val="24"/>
        </w:rPr>
      </w:pPr>
      <w:r>
        <w:rPr>
          <w:rFonts w:ascii="Arial" w:hAnsi="Arial"/>
          <w:noProof/>
          <w:sz w:val="24"/>
        </w:rPr>
        <w:t>să consolideze capacitățile în sectorul justiției, în conformitate cu cerințele Convenției Națiunilor Unite privind drepturile persoanelor cu handicap, și să se asigure că victimele cu handicap au acces la justiție și la măsuri de protecție adecvate, inclusiv la mecanisme accesibile de depunere a plângerilor și de recurs.</w:t>
      </w:r>
    </w:p>
    <w:p w14:paraId="1F3B574C" w14:textId="77777777" w:rsidR="00FB01BD" w:rsidRPr="002D57F2" w:rsidRDefault="00FB01BD" w:rsidP="00FB01BD">
      <w:pPr>
        <w:rPr>
          <w:rFonts w:ascii="Arial" w:eastAsiaTheme="majorEastAsia" w:hAnsi="Arial" w:cs="Arial"/>
          <w:b/>
          <w:noProof/>
          <w:sz w:val="28"/>
          <w:szCs w:val="28"/>
        </w:rPr>
      </w:pPr>
      <w:r>
        <w:rPr>
          <w:noProof/>
        </w:rPr>
        <w:br w:type="page"/>
      </w:r>
    </w:p>
    <w:p w14:paraId="4290C079" w14:textId="77777777" w:rsidR="00FB01BD" w:rsidRPr="002D57F2" w:rsidRDefault="00FB01BD" w:rsidP="00FB01BD">
      <w:pPr>
        <w:pStyle w:val="Heading1"/>
        <w:numPr>
          <w:ilvl w:val="0"/>
          <w:numId w:val="17"/>
        </w:numPr>
        <w:rPr>
          <w:rFonts w:ascii="Arial" w:hAnsi="Arial" w:cs="Arial"/>
          <w:noProof/>
        </w:rPr>
      </w:pPr>
      <w:bookmarkStart w:id="23" w:name="_Toc228880186"/>
      <w:r>
        <w:rPr>
          <w:rFonts w:ascii="Arial" w:hAnsi="Arial"/>
          <w:noProof/>
        </w:rPr>
        <w:t>IMPLICARE ȘI PUNERE ÎN APLICARE</w:t>
      </w:r>
      <w:bookmarkEnd w:id="23"/>
    </w:p>
    <w:p w14:paraId="4634AED5" w14:textId="77777777" w:rsidR="00FB01BD" w:rsidRPr="002D57F2" w:rsidRDefault="00FB01BD" w:rsidP="00FB01BD">
      <w:pPr>
        <w:pStyle w:val="Heading2"/>
        <w:rPr>
          <w:rFonts w:ascii="Arial" w:hAnsi="Arial" w:cs="Arial"/>
          <w:noProof/>
        </w:rPr>
      </w:pPr>
      <w:bookmarkStart w:id="24" w:name="_Toc228880187"/>
      <w:r>
        <w:rPr>
          <w:rFonts w:ascii="Arial" w:hAnsi="Arial"/>
          <w:noProof/>
        </w:rPr>
        <w:t>Promovarea drepturilor persoanelor cu handicap la nivel mondial</w:t>
      </w:r>
      <w:bookmarkEnd w:id="24"/>
      <w:r>
        <w:rPr>
          <w:rFonts w:ascii="Arial" w:hAnsi="Arial"/>
          <w:noProof/>
        </w:rPr>
        <w:t xml:space="preserve"> </w:t>
      </w:r>
    </w:p>
    <w:p w14:paraId="6E240927" w14:textId="77777777" w:rsidR="00FB01BD" w:rsidRPr="002D57F2" w:rsidRDefault="00FB01BD" w:rsidP="00FB01BD">
      <w:pPr>
        <w:pStyle w:val="Heading3"/>
        <w:rPr>
          <w:rFonts w:ascii="Arial" w:hAnsi="Arial" w:cs="Arial"/>
          <w:noProof/>
        </w:rPr>
      </w:pPr>
      <w:bookmarkStart w:id="25" w:name="_Toc228880188"/>
      <w:r>
        <w:rPr>
          <w:rFonts w:ascii="Arial" w:hAnsi="Arial"/>
          <w:noProof/>
        </w:rPr>
        <w:t>Acțiunea externă</w:t>
      </w:r>
      <w:bookmarkEnd w:id="25"/>
    </w:p>
    <w:p w14:paraId="77800CF5"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Peste </w:t>
      </w:r>
      <w:r>
        <w:rPr>
          <w:rFonts w:ascii="Arial" w:hAnsi="Arial"/>
          <w:b/>
          <w:noProof/>
          <w:sz w:val="24"/>
        </w:rPr>
        <w:t>1 miliard de persoane, adică 16 % din populația lumii, suferă de o anumită formă de handicap</w:t>
      </w:r>
      <w:r>
        <w:rPr>
          <w:rFonts w:ascii="Arial" w:hAnsi="Arial"/>
          <w:noProof/>
          <w:sz w:val="24"/>
        </w:rPr>
        <w:t xml:space="preserve"> </w:t>
      </w:r>
      <w:r>
        <w:rPr>
          <w:rFonts w:ascii="Arial" w:hAnsi="Arial"/>
          <w:noProof/>
          <w:sz w:val="24"/>
          <w:vertAlign w:val="superscript"/>
        </w:rPr>
        <w:t>(</w:t>
      </w:r>
      <w:r>
        <w:rPr>
          <w:rStyle w:val="FootnoteReference"/>
          <w:rFonts w:ascii="Arial" w:hAnsi="Arial" w:cs="Arial"/>
          <w:noProof/>
        </w:rPr>
        <w:footnoteReference w:id="21"/>
      </w:r>
      <w:r>
        <w:rPr>
          <w:rFonts w:ascii="Arial" w:hAnsi="Arial"/>
          <w:noProof/>
          <w:sz w:val="24"/>
          <w:vertAlign w:val="superscript"/>
        </w:rPr>
        <w:t>)</w:t>
      </w:r>
      <w:r>
        <w:rPr>
          <w:rFonts w:ascii="Arial" w:hAnsi="Arial"/>
          <w:noProof/>
          <w:sz w:val="24"/>
        </w:rPr>
        <w:t xml:space="preserve"> și se preconizează că acest număr va crește din cauza tendinței globale de îmbătrânire a populației. Vătămările cauzate de conflicte și prevalența tot mai mare a bolilor netransmisibile au, de asemenea, un impact asupra incidenței handicapului în întreaga lume.</w:t>
      </w:r>
    </w:p>
    <w:p w14:paraId="067E1383"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Pe lângă</w:t>
      </w:r>
      <w:r>
        <w:rPr>
          <w:noProof/>
        </w:rPr>
        <w:t xml:space="preserve"> </w:t>
      </w:r>
      <w:hyperlink r:id="rId96" w:history="1">
        <w:r>
          <w:rPr>
            <w:rStyle w:val="Hyperlink"/>
            <w:rFonts w:ascii="Arial" w:hAnsi="Arial"/>
            <w:noProof/>
            <w:sz w:val="24"/>
          </w:rPr>
          <w:t>angajamentele</w:t>
        </w:r>
      </w:hyperlink>
      <w:r>
        <w:rPr>
          <w:noProof/>
        </w:rPr>
        <w:t xml:space="preserve"> </w:t>
      </w:r>
      <w:r>
        <w:rPr>
          <w:rFonts w:ascii="Arial" w:hAnsi="Arial"/>
          <w:noProof/>
          <w:sz w:val="24"/>
        </w:rPr>
        <w:t xml:space="preserve">asumate în cadrul </w:t>
      </w:r>
      <w:r>
        <w:rPr>
          <w:rFonts w:ascii="Arial" w:hAnsi="Arial"/>
          <w:b/>
          <w:noProof/>
          <w:sz w:val="24"/>
        </w:rPr>
        <w:t>summitului mondial privind handicapul din 2025</w:t>
      </w:r>
      <w:r>
        <w:rPr>
          <w:rFonts w:ascii="Arial" w:hAnsi="Arial"/>
          <w:noProof/>
          <w:sz w:val="24"/>
        </w:rPr>
        <w:t xml:space="preserve">, handicapul va fi o prioritate pe ordinea de zi a dialogurilor politice la nivel înalt ale UE cu țările terțe. Aceasta va include </w:t>
      </w:r>
      <w:r>
        <w:rPr>
          <w:rFonts w:ascii="Arial" w:hAnsi="Arial"/>
          <w:b/>
          <w:noProof/>
          <w:sz w:val="24"/>
        </w:rPr>
        <w:t>schimbul de inițiative relevante ale UE ca bune practici</w:t>
      </w:r>
      <w:r>
        <w:rPr>
          <w:rFonts w:ascii="Arial" w:hAnsi="Arial"/>
          <w:noProof/>
          <w:sz w:val="24"/>
        </w:rPr>
        <w:t xml:space="preserve"> în punerea în aplicare a CNUDPH și promovarea ratificării și a punerii sale în aplicare în întreaga lume, precum și promovarea</w:t>
      </w:r>
      <w:r>
        <w:rPr>
          <w:noProof/>
        </w:rPr>
        <w:t xml:space="preserve"> </w:t>
      </w:r>
      <w:hyperlink r:id="rId97" w:history="1">
        <w:r>
          <w:rPr>
            <w:rStyle w:val="Hyperlink"/>
            <w:rFonts w:ascii="Arial" w:hAnsi="Arial"/>
            <w:noProof/>
            <w:sz w:val="24"/>
          </w:rPr>
          <w:t>orientărilor UE privind nediscriminarea în acțiunea externă</w:t>
        </w:r>
      </w:hyperlink>
      <w:r>
        <w:rPr>
          <w:rFonts w:ascii="Arial" w:hAnsi="Arial"/>
          <w:noProof/>
          <w:sz w:val="24"/>
        </w:rPr>
        <w:t xml:space="preserve">. De asemenea, Comisia va continua </w:t>
      </w:r>
      <w:r>
        <w:rPr>
          <w:rFonts w:ascii="Arial" w:hAnsi="Arial"/>
          <w:b/>
          <w:noProof/>
          <w:sz w:val="24"/>
        </w:rPr>
        <w:t>să coopereze cu Comitetul CNUDPH</w:t>
      </w:r>
      <w:r>
        <w:rPr>
          <w:rFonts w:ascii="Arial" w:hAnsi="Arial"/>
          <w:noProof/>
          <w:sz w:val="24"/>
        </w:rPr>
        <w:t>, inclusiv prin sprijinirea participării experților UE în cadrul acestuia. Revizuirea preconizată a</w:t>
      </w:r>
      <w:r>
        <w:rPr>
          <w:noProof/>
        </w:rPr>
        <w:t xml:space="preserve"> </w:t>
      </w:r>
      <w:hyperlink r:id="rId98" w:history="1">
        <w:r>
          <w:rPr>
            <w:rStyle w:val="Hyperlink"/>
            <w:rFonts w:ascii="Arial" w:hAnsi="Arial"/>
            <w:noProof/>
            <w:sz w:val="24"/>
          </w:rPr>
          <w:t>Planului de acțiune al UE privind drepturile omului și democrația 2020-2027</w:t>
        </w:r>
      </w:hyperlink>
      <w:r>
        <w:rPr>
          <w:noProof/>
        </w:rPr>
        <w:t xml:space="preserve"> </w:t>
      </w:r>
      <w:r>
        <w:rPr>
          <w:rFonts w:ascii="Arial" w:hAnsi="Arial"/>
          <w:noProof/>
          <w:sz w:val="24"/>
        </w:rPr>
        <w:t xml:space="preserve">va pune </w:t>
      </w:r>
      <w:r>
        <w:rPr>
          <w:rFonts w:ascii="Arial" w:hAnsi="Arial"/>
          <w:b/>
          <w:noProof/>
          <w:sz w:val="24"/>
        </w:rPr>
        <w:t>un accent mai puternic pe handicap</w:t>
      </w:r>
      <w:r>
        <w:rPr>
          <w:rFonts w:ascii="Arial" w:hAnsi="Arial"/>
          <w:noProof/>
          <w:sz w:val="24"/>
        </w:rPr>
        <w:t xml:space="preserve">. </w:t>
      </w:r>
    </w:p>
    <w:p w14:paraId="2DBF297C" w14:textId="746EE5CD"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Comisia va consolida includerea aspectelor legate de handicap în </w:t>
      </w:r>
      <w:r>
        <w:rPr>
          <w:rFonts w:ascii="Arial" w:hAnsi="Arial"/>
          <w:b/>
          <w:noProof/>
          <w:sz w:val="24"/>
        </w:rPr>
        <w:t>investițiile</w:t>
      </w:r>
      <w:r>
        <w:rPr>
          <w:rFonts w:ascii="Arial" w:hAnsi="Arial"/>
          <w:noProof/>
          <w:sz w:val="24"/>
        </w:rPr>
        <w:t xml:space="preserve"> </w:t>
      </w:r>
      <w:hyperlink r:id="rId99" w:history="1">
        <w:r>
          <w:rPr>
            <w:rStyle w:val="Hyperlink"/>
            <w:rFonts w:ascii="Arial" w:hAnsi="Arial"/>
            <w:noProof/>
            <w:sz w:val="24"/>
          </w:rPr>
          <w:t>Global Gateway</w:t>
        </w:r>
      </w:hyperlink>
      <w:r>
        <w:rPr>
          <w:rFonts w:ascii="Arial" w:hAnsi="Arial"/>
          <w:noProof/>
          <w:sz w:val="24"/>
        </w:rPr>
        <w:t xml:space="preserve"> și va promova accesibilitatea</w:t>
      </w:r>
      <w:r>
        <w:rPr>
          <w:rFonts w:ascii="Arial" w:hAnsi="Arial"/>
          <w:b/>
          <w:noProof/>
          <w:sz w:val="24"/>
        </w:rPr>
        <w:t xml:space="preserve"> </w:t>
      </w:r>
      <w:r>
        <w:rPr>
          <w:rFonts w:ascii="Arial" w:hAnsi="Arial"/>
          <w:noProof/>
          <w:sz w:val="24"/>
        </w:rPr>
        <w:t>în programele de infrastructură, inclusiv în ceea ce privește reconstrucția și redresarea post-conflict. Comisia va încerca să se asigure că acțiunea externă finanțată de UE nu contribuie la instituționalizarea persoanelor cu handicap și</w:t>
      </w:r>
      <w:r>
        <w:rPr>
          <w:rFonts w:ascii="Arial" w:hAnsi="Arial"/>
          <w:noProof/>
        </w:rPr>
        <w:t xml:space="preserve"> </w:t>
      </w:r>
      <w:r>
        <w:rPr>
          <w:rFonts w:ascii="Arial" w:hAnsi="Arial"/>
          <w:noProof/>
          <w:sz w:val="24"/>
        </w:rPr>
        <w:t>promovează, în schimb, tranziția bazată pe drepturile omului către sprijin în cadrul familiei și al comunității și către o viață independentă.</w:t>
      </w:r>
    </w:p>
    <w:p w14:paraId="19A749EC" w14:textId="1DBA838E" w:rsidR="00FB01BD" w:rsidRPr="002D57F2" w:rsidRDefault="00FB01BD" w:rsidP="00FB01BD">
      <w:pPr>
        <w:pStyle w:val="Style2"/>
        <w:spacing w:line="288" w:lineRule="auto"/>
        <w:rPr>
          <w:rFonts w:ascii="Arial" w:hAnsi="Arial" w:cs="Arial"/>
          <w:noProof/>
        </w:rPr>
      </w:pPr>
      <w:r>
        <w:rPr>
          <w:rFonts w:ascii="Arial" w:hAnsi="Arial"/>
          <w:noProof/>
          <w:sz w:val="24"/>
        </w:rPr>
        <w:t>Va continua raportarea cu privire la integrarea aspectelor legate de handicap și la acțiunile specifice, utilizând</w:t>
      </w:r>
      <w:r>
        <w:rPr>
          <w:noProof/>
        </w:rPr>
        <w:t xml:space="preserve"> </w:t>
      </w:r>
      <w:hyperlink r:id="rId100" w:history="1">
        <w:r>
          <w:rPr>
            <w:rStyle w:val="Hyperlink"/>
            <w:rFonts w:ascii="Arial" w:hAnsi="Arial"/>
            <w:noProof/>
            <w:sz w:val="24"/>
          </w:rPr>
          <w:t>indicatorul privind handicapul al Comitetului de asistență pentru dezvoltare al OCDE</w:t>
        </w:r>
      </w:hyperlink>
      <w:r>
        <w:rPr>
          <w:noProof/>
        </w:rPr>
        <w:t xml:space="preserve"> </w:t>
      </w:r>
      <w:r>
        <w:rPr>
          <w:rFonts w:ascii="Arial" w:hAnsi="Arial"/>
          <w:noProof/>
          <w:sz w:val="24"/>
        </w:rPr>
        <w:t xml:space="preserve">pentru </w:t>
      </w:r>
      <w:r>
        <w:rPr>
          <w:rFonts w:ascii="Arial" w:hAnsi="Arial"/>
          <w:b/>
          <w:noProof/>
          <w:sz w:val="24"/>
        </w:rPr>
        <w:t>a urmări operațiunile finanțate favorabile incluziunii persoanelor cu handicap</w:t>
      </w:r>
      <w:r>
        <w:rPr>
          <w:rFonts w:ascii="Arial" w:hAnsi="Arial"/>
          <w:noProof/>
          <w:sz w:val="24"/>
        </w:rPr>
        <w:t>.</w:t>
      </w:r>
      <w:r>
        <w:rPr>
          <w:rFonts w:ascii="Arial" w:hAnsi="Arial"/>
          <w:b/>
          <w:noProof/>
          <w:sz w:val="24"/>
        </w:rPr>
        <w:t xml:space="preserve"> </w:t>
      </w:r>
    </w:p>
    <w:p w14:paraId="41CBAE56" w14:textId="77777777" w:rsidR="00FB01BD" w:rsidRPr="002D57F2" w:rsidRDefault="00FB01BD" w:rsidP="00FB01BD">
      <w:pPr>
        <w:pStyle w:val="Heading3"/>
        <w:rPr>
          <w:rFonts w:ascii="Arial" w:hAnsi="Arial" w:cs="Arial"/>
          <w:noProof/>
        </w:rPr>
      </w:pPr>
      <w:bookmarkStart w:id="26" w:name="_Toc228880189"/>
      <w:r>
        <w:rPr>
          <w:rFonts w:ascii="Arial" w:hAnsi="Arial"/>
          <w:noProof/>
        </w:rPr>
        <w:t>Ajutor umanitar</w:t>
      </w:r>
      <w:bookmarkEnd w:id="26"/>
    </w:p>
    <w:p w14:paraId="3DEBFDA6" w14:textId="70E20F9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Vulnerabilitatea și marginalizarea</w:t>
      </w:r>
      <w:r>
        <w:rPr>
          <w:rFonts w:ascii="Arial" w:hAnsi="Arial"/>
          <w:noProof/>
          <w:sz w:val="24"/>
        </w:rPr>
        <w:t xml:space="preserve"> persoanelor cu handicap sunt </w:t>
      </w:r>
      <w:r>
        <w:rPr>
          <w:rFonts w:ascii="Arial" w:hAnsi="Arial"/>
          <w:b/>
          <w:noProof/>
          <w:sz w:val="24"/>
        </w:rPr>
        <w:t>exacerbate în crizele umanitare</w:t>
      </w:r>
      <w:r>
        <w:rPr>
          <w:rFonts w:ascii="Arial" w:hAnsi="Arial"/>
          <w:noProof/>
          <w:sz w:val="24"/>
        </w:rPr>
        <w:t>. Este foarte posibil ca persoanele cu handicap să fie excluse atât din măsurile de pregătire, cât și din cele de răspuns în situații de criză, iar nevoile lor să nu fie luate suficient în considerare în modul în care este conceput și furnizat ajutorul. Pe baza evaluării</w:t>
      </w:r>
      <w:r>
        <w:rPr>
          <w:noProof/>
        </w:rPr>
        <w:t xml:space="preserve"> </w:t>
      </w:r>
      <w:hyperlink r:id="rId101" w:history="1">
        <w:r>
          <w:rPr>
            <w:rStyle w:val="Hyperlink"/>
            <w:rFonts w:ascii="Arial" w:hAnsi="Arial"/>
            <w:noProof/>
            <w:sz w:val="24"/>
          </w:rPr>
          <w:t>orientărilor operaționale privind includerea persoanelor cu handicap în operațiunile de ajutor umanitar finanțate de UE</w:t>
        </w:r>
      </w:hyperlink>
      <w:r>
        <w:rPr>
          <w:rFonts w:ascii="Arial" w:hAnsi="Arial"/>
          <w:noProof/>
          <w:sz w:val="24"/>
        </w:rPr>
        <w:t xml:space="preserve">, Comisia </w:t>
      </w:r>
      <w:r>
        <w:rPr>
          <w:rFonts w:ascii="Arial" w:hAnsi="Arial"/>
          <w:b/>
          <w:noProof/>
          <w:sz w:val="24"/>
        </w:rPr>
        <w:t>va consolida incluziunea persoanelor cu handicap în toate operațiunile umanitare finanțate de UE</w:t>
      </w:r>
      <w:r>
        <w:rPr>
          <w:rFonts w:ascii="Arial" w:hAnsi="Arial"/>
          <w:noProof/>
          <w:sz w:val="24"/>
        </w:rPr>
        <w:t xml:space="preserve"> și va oferi sprijin partenerilor și personalului în acest sens. Angajamentul față de incluziunea persoanelor cu handicap va fi reafirmat, de asemenea, prin </w:t>
      </w:r>
      <w:r>
        <w:rPr>
          <w:rFonts w:ascii="Arial" w:hAnsi="Arial"/>
          <w:b/>
          <w:noProof/>
          <w:sz w:val="24"/>
        </w:rPr>
        <w:t>viitoarea comunicare privind acțiunea umanitară a UE într-o ordine mondială în schimbare</w:t>
      </w:r>
      <w:r>
        <w:rPr>
          <w:rFonts w:ascii="Arial" w:hAnsi="Arial"/>
          <w:noProof/>
          <w:sz w:val="24"/>
        </w:rPr>
        <w:t>, pentru a garanta că persoanele cu handicap sunt cu adevărat implicate și că nevoile lor sunt luate în considerare în mod corespunzător în inițiativele diplomatice umanitare și pentru a promova acțiunea umanitară favorabilă incluziunii în contextul mondial actual.</w:t>
      </w:r>
    </w:p>
    <w:p w14:paraId="216E8C11" w14:textId="77777777" w:rsidR="00FB01BD" w:rsidRPr="002D57F2" w:rsidRDefault="00FB01BD" w:rsidP="00FB01BD">
      <w:pPr>
        <w:pStyle w:val="Heading3"/>
        <w:rPr>
          <w:rFonts w:ascii="Arial" w:hAnsi="Arial" w:cs="Arial"/>
          <w:noProof/>
        </w:rPr>
      </w:pPr>
      <w:bookmarkStart w:id="27" w:name="_Toc228880190"/>
      <w:r>
        <w:rPr>
          <w:rFonts w:ascii="Arial" w:hAnsi="Arial"/>
          <w:noProof/>
        </w:rPr>
        <w:t>Extinderea UE</w:t>
      </w:r>
      <w:bookmarkEnd w:id="27"/>
    </w:p>
    <w:p w14:paraId="29003BF3" w14:textId="77777777" w:rsidR="00FB01BD" w:rsidRPr="002D57F2" w:rsidDel="00473386" w:rsidRDefault="00FB01BD" w:rsidP="00FB01BD">
      <w:pPr>
        <w:pStyle w:val="Style2"/>
        <w:spacing w:line="288" w:lineRule="auto"/>
        <w:rPr>
          <w:rFonts w:ascii="Arial" w:hAnsi="Arial" w:cs="Arial"/>
          <w:noProof/>
          <w:sz w:val="24"/>
          <w:szCs w:val="24"/>
        </w:rPr>
      </w:pPr>
      <w:r>
        <w:rPr>
          <w:rFonts w:ascii="Arial" w:hAnsi="Arial"/>
          <w:noProof/>
          <w:sz w:val="24"/>
        </w:rPr>
        <w:t xml:space="preserve">Țările candidate și potențial candidate la aderarea la UE trebuie să își alinieze treptat legislația la </w:t>
      </w:r>
      <w:r>
        <w:rPr>
          <w:rFonts w:ascii="Arial" w:hAnsi="Arial"/>
          <w:i/>
          <w:iCs/>
          <w:noProof/>
          <w:sz w:val="24"/>
        </w:rPr>
        <w:t>acquis</w:t>
      </w:r>
      <w:r>
        <w:rPr>
          <w:rFonts w:ascii="Arial" w:hAnsi="Arial"/>
          <w:noProof/>
          <w:sz w:val="24"/>
        </w:rPr>
        <w:t>-ul UE și la standardele internaționale și europene relevante în domeniul drepturilor fundamentale și al nediscriminării,</w:t>
      </w:r>
      <w:r>
        <w:rPr>
          <w:rFonts w:ascii="Arial" w:hAnsi="Arial"/>
          <w:noProof/>
        </w:rPr>
        <w:t xml:space="preserve"> </w:t>
      </w:r>
      <w:r>
        <w:rPr>
          <w:rFonts w:ascii="Arial" w:hAnsi="Arial"/>
          <w:noProof/>
          <w:sz w:val="24"/>
        </w:rPr>
        <w:t>în conformitate cu principiul „abordării cu prioritate a elementelor fundamentale” din metodologia de extindere revizuită a UE, precum și în domeniul accesibilității și al incluziunii. Comisia</w:t>
      </w:r>
      <w:r>
        <w:rPr>
          <w:rFonts w:ascii="Arial" w:hAnsi="Arial"/>
          <w:b/>
          <w:noProof/>
          <w:sz w:val="24"/>
        </w:rPr>
        <w:t xml:space="preserve"> va sprijini țările partenere și va evalua progresele înregistrate de acestea </w:t>
      </w:r>
      <w:r>
        <w:rPr>
          <w:rFonts w:ascii="Arial" w:hAnsi="Arial"/>
          <w:noProof/>
          <w:sz w:val="24"/>
        </w:rPr>
        <w:t xml:space="preserve">în ceea ce privește alinierea și punerea eficace în aplicare a politicilor relevante, inclusiv prin intermediul </w:t>
      </w:r>
      <w:hyperlink r:id="rId102" w:history="1">
        <w:r>
          <w:rPr>
            <w:rStyle w:val="Hyperlink"/>
            <w:rFonts w:ascii="Arial" w:hAnsi="Arial"/>
            <w:noProof/>
            <w:sz w:val="24"/>
          </w:rPr>
          <w:t>pachetului anual de extindere</w:t>
        </w:r>
      </w:hyperlink>
      <w:r>
        <w:rPr>
          <w:rFonts w:ascii="Arial" w:hAnsi="Arial"/>
          <w:noProof/>
          <w:sz w:val="24"/>
        </w:rPr>
        <w:t>.</w:t>
      </w:r>
    </w:p>
    <w:p w14:paraId="09088F9B"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Atenția acordată nevoilor persoanelor cu handicap trebuie să fie deosebit de sporită în ceea ce privește </w:t>
      </w:r>
      <w:r>
        <w:rPr>
          <w:rFonts w:ascii="Arial" w:hAnsi="Arial"/>
          <w:b/>
          <w:noProof/>
          <w:sz w:val="24"/>
        </w:rPr>
        <w:t>Ucraina</w:t>
      </w:r>
      <w:r>
        <w:rPr>
          <w:rFonts w:ascii="Arial" w:hAnsi="Arial"/>
          <w:noProof/>
          <w:sz w:val="24"/>
        </w:rPr>
        <w:t>, unde este posibil ca prevalența handicapurilor dobândite să se fi extins ca urmare a războiului de agresiune al Rusiei.</w:t>
      </w:r>
    </w:p>
    <w:p w14:paraId="2879D4DF"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before="360" w:line="288" w:lineRule="auto"/>
        <w:rPr>
          <w:rFonts w:ascii="Arial" w:hAnsi="Arial" w:cs="Arial"/>
          <w:b/>
          <w:bCs/>
          <w:noProof/>
          <w:sz w:val="24"/>
          <w:szCs w:val="24"/>
        </w:rPr>
      </w:pPr>
      <w:r>
        <w:rPr>
          <w:rFonts w:ascii="Arial" w:hAnsi="Arial"/>
          <w:b/>
          <w:noProof/>
          <w:sz w:val="24"/>
        </w:rPr>
        <w:t>INIȚIATIVĂ EMBLEMATICĂ – „Nimic despre noi fără noi” în reconstrucția Ucrainei</w:t>
      </w:r>
    </w:p>
    <w:p w14:paraId="64E84541"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9F2D0" w:themeFill="accent6" w:themeFillTint="33"/>
        <w:spacing w:after="360" w:line="288" w:lineRule="auto"/>
        <w:rPr>
          <w:rFonts w:ascii="Arial" w:hAnsi="Arial" w:cs="Arial"/>
          <w:noProof/>
        </w:rPr>
      </w:pPr>
      <w:r>
        <w:rPr>
          <w:rFonts w:ascii="Arial" w:hAnsi="Arial"/>
          <w:noProof/>
          <w:sz w:val="24"/>
        </w:rPr>
        <w:t xml:space="preserve">Comisia va sprijini în Ucraina eforturile de reconstrucție favorabile incluziunii persoanelor cu handicap. </w:t>
      </w:r>
      <w:r>
        <w:rPr>
          <w:rFonts w:ascii="Arial" w:hAnsi="Arial"/>
          <w:b/>
          <w:noProof/>
          <w:sz w:val="24"/>
        </w:rPr>
        <w:t xml:space="preserve">Inițiativa va include: </w:t>
      </w:r>
      <w:r>
        <w:rPr>
          <w:rFonts w:ascii="Arial" w:hAnsi="Arial"/>
          <w:noProof/>
          <w:sz w:val="24"/>
        </w:rPr>
        <w:t>(i) un eveniment la nivel înalt axat pe accesibilitate, ca parte a uneia dintre conferințele privind reconstrucția Ucrainei din 2027;</w:t>
      </w:r>
      <w:r>
        <w:rPr>
          <w:rFonts w:ascii="Arial" w:hAnsi="Arial"/>
          <w:b/>
          <w:noProof/>
          <w:sz w:val="24"/>
        </w:rPr>
        <w:t xml:space="preserve"> </w:t>
      </w:r>
      <w:r>
        <w:rPr>
          <w:rFonts w:ascii="Arial" w:hAnsi="Arial"/>
          <w:noProof/>
          <w:sz w:val="24"/>
        </w:rPr>
        <w:t>(ii) implicarea organizațiilor persoanelor cu handicap în procesele participative pentru conceperea și punerea în aplicare a proiectelor noului Bauhaus european legate de</w:t>
      </w:r>
      <w:r>
        <w:rPr>
          <w:rFonts w:ascii="Arial" w:hAnsi="Arial"/>
          <w:noProof/>
        </w:rPr>
        <w:t xml:space="preserve"> </w:t>
      </w:r>
      <w:r>
        <w:rPr>
          <w:rFonts w:ascii="Arial" w:hAnsi="Arial"/>
          <w:noProof/>
          <w:sz w:val="24"/>
        </w:rPr>
        <w:t>reconstrucția Ucrainei</w:t>
      </w:r>
      <w:r>
        <w:rPr>
          <w:rFonts w:ascii="Arial" w:hAnsi="Arial"/>
          <w:noProof/>
        </w:rPr>
        <w:t xml:space="preserve">; </w:t>
      </w:r>
      <w:r>
        <w:rPr>
          <w:rFonts w:ascii="Arial" w:hAnsi="Arial"/>
          <w:noProof/>
          <w:sz w:val="24"/>
        </w:rPr>
        <w:t>și (iii) mobilizarea finanțării UE pentru accesibilitate în procesul de reconstrucție.</w:t>
      </w:r>
      <w:r>
        <w:rPr>
          <w:rFonts w:ascii="Arial" w:hAnsi="Arial"/>
          <w:noProof/>
        </w:rPr>
        <w:t xml:space="preserve"> </w:t>
      </w:r>
    </w:p>
    <w:p w14:paraId="3DB5AB13"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În plus, țările candidate și potențial candidate vor fi </w:t>
      </w:r>
      <w:r>
        <w:rPr>
          <w:rFonts w:ascii="Arial" w:hAnsi="Arial"/>
          <w:b/>
          <w:noProof/>
          <w:sz w:val="24"/>
        </w:rPr>
        <w:t>implicate în activitatea Platformei pentru persoanele cu handicap</w:t>
      </w:r>
      <w:r>
        <w:rPr>
          <w:rFonts w:ascii="Arial" w:hAnsi="Arial"/>
          <w:noProof/>
          <w:sz w:val="24"/>
        </w:rPr>
        <w:t xml:space="preserve">, precum și în alte acțiuni relevante din cadrul strategiei consolidate. </w:t>
      </w:r>
    </w:p>
    <w:p w14:paraId="7D70D748" w14:textId="77777777" w:rsidR="00FB01BD" w:rsidRPr="002D57F2" w:rsidRDefault="00FB01BD" w:rsidP="00F844EA">
      <w:pPr>
        <w:pStyle w:val="Style2"/>
        <w:keepNext/>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Comisia invită statele membre UE:</w:t>
      </w:r>
    </w:p>
    <w:p w14:paraId="6CFFEE1F"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să se asigure că programele internaționale de dezvoltare la nivel de țară urmăresc obiectivul incluziunii persoanelor cu handicap, în conformitate cu angajamentele asumate în cadrul</w:t>
      </w:r>
      <w:r>
        <w:rPr>
          <w:noProof/>
        </w:rPr>
        <w:t xml:space="preserve"> </w:t>
      </w:r>
      <w:hyperlink r:id="rId103" w:history="1">
        <w:r>
          <w:rPr>
            <w:rStyle w:val="Hyperlink"/>
            <w:rFonts w:ascii="Arial" w:hAnsi="Arial"/>
            <w:noProof/>
            <w:sz w:val="24"/>
          </w:rPr>
          <w:t>summitului mondial privind persoanele cu handicap din 2025</w:t>
        </w:r>
      </w:hyperlink>
      <w:r>
        <w:rPr>
          <w:rFonts w:ascii="Arial" w:hAnsi="Arial"/>
          <w:noProof/>
          <w:sz w:val="24"/>
        </w:rPr>
        <w:t>, și că sprijinul financiar nu perpetuează instituționalizarea;</w:t>
      </w:r>
    </w:p>
    <w:p w14:paraId="315F1CF7"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să facă în așa fel încât operațiunile de ajutor umanitar să fie favorabile incluziunii și accesibile, pentru a le permite persoanelor cu handicap să aibă un acces semnificativ la acțiunea umanitară și să participe pe deplin și eficient la aceasta.</w:t>
      </w:r>
    </w:p>
    <w:p w14:paraId="28E6F364" w14:textId="77777777" w:rsidR="00FB01BD" w:rsidRPr="002D57F2" w:rsidRDefault="00FB01BD" w:rsidP="00FB01BD">
      <w:pPr>
        <w:pStyle w:val="Heading2"/>
        <w:spacing w:before="360" w:after="360"/>
        <w:ind w:left="425" w:hanging="425"/>
        <w:rPr>
          <w:rFonts w:ascii="Arial" w:hAnsi="Arial" w:cs="Arial"/>
          <w:noProof/>
        </w:rPr>
      </w:pPr>
      <w:bookmarkStart w:id="28" w:name="_Toc228880191"/>
      <w:r>
        <w:rPr>
          <w:rFonts w:ascii="Arial" w:hAnsi="Arial"/>
          <w:noProof/>
        </w:rPr>
        <w:t>Punerea eficientă în aplicare a strategiei</w:t>
      </w:r>
      <w:bookmarkEnd w:id="28"/>
      <w:r>
        <w:rPr>
          <w:rFonts w:ascii="Arial" w:hAnsi="Arial"/>
          <w:noProof/>
        </w:rPr>
        <w:t xml:space="preserve"> </w:t>
      </w:r>
    </w:p>
    <w:p w14:paraId="3F141DFE"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Pornind de la Platforma pentru persoanele cu handicap, va fi nevoie de o </w:t>
      </w:r>
      <w:r>
        <w:rPr>
          <w:rFonts w:ascii="Arial" w:hAnsi="Arial"/>
          <w:b/>
          <w:noProof/>
          <w:sz w:val="24"/>
        </w:rPr>
        <w:t>abordare coerentă a coproducției</w:t>
      </w:r>
      <w:r>
        <w:rPr>
          <w:rFonts w:ascii="Arial" w:hAnsi="Arial"/>
          <w:noProof/>
          <w:sz w:val="24"/>
        </w:rPr>
        <w:t xml:space="preserve"> și de o </w:t>
      </w:r>
      <w:r>
        <w:rPr>
          <w:rFonts w:ascii="Arial" w:hAnsi="Arial"/>
          <w:b/>
          <w:noProof/>
          <w:sz w:val="24"/>
        </w:rPr>
        <w:t>cooperare sporită cu statele membre</w:t>
      </w:r>
      <w:r>
        <w:rPr>
          <w:rFonts w:ascii="Arial" w:hAnsi="Arial"/>
          <w:noProof/>
          <w:sz w:val="24"/>
        </w:rPr>
        <w:t xml:space="preserve"> pentru ca politicile să aibă rezultate eficace pe teren. Integrarea în continuare a aspectelor legate de </w:t>
      </w:r>
      <w:r>
        <w:rPr>
          <w:rFonts w:ascii="Arial" w:hAnsi="Arial"/>
          <w:b/>
          <w:noProof/>
          <w:sz w:val="24"/>
        </w:rPr>
        <w:t>handicap</w:t>
      </w:r>
      <w:r>
        <w:rPr>
          <w:rFonts w:ascii="Arial" w:hAnsi="Arial"/>
          <w:noProof/>
          <w:sz w:val="24"/>
        </w:rPr>
        <w:t xml:space="preserve"> în toate domeniile de politică și în toate instituțiile și organismele UE va fi, de asemenea, esențială pentru obținerea unor rezultate cuprinzătoare.</w:t>
      </w:r>
    </w:p>
    <w:p w14:paraId="01CF6AE0"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Comisia va extinde </w:t>
      </w:r>
      <w:r>
        <w:rPr>
          <w:rFonts w:ascii="Arial" w:hAnsi="Arial"/>
          <w:b/>
          <w:noProof/>
          <w:sz w:val="24"/>
        </w:rPr>
        <w:t>Platforma pentru persoanele cu handicap</w:t>
      </w:r>
      <w:r>
        <w:rPr>
          <w:rFonts w:ascii="Arial" w:hAnsi="Arial"/>
          <w:noProof/>
          <w:sz w:val="24"/>
        </w:rPr>
        <w:t xml:space="preserve"> prin consolidarea schimbului de informații privind evoluțiile naționale. Platforma va ajuta statele membre să identifice provocările și acțiunile de remediere în pregătirea și punerea în aplicare a planurilor și strategiilor pentru persoanele cu handicap care se vor regăsi în planurile lor naționale și regionale de parteneriat prevăzute de cadrul financiar multianual de după 2027 (în așteptarea adoptării). Sesiunile de învățare reciprocă pe teme esențiale, cum ar fi capacitatea juridică, evaluarea handicapului și mobilitatea forței de muncă a persoanelor cu handicap, vor permite schimbul de practici promițătoare.</w:t>
      </w:r>
    </w:p>
    <w:p w14:paraId="0D43BF70" w14:textId="77777777" w:rsidR="00FB01BD" w:rsidRPr="002D57F2" w:rsidRDefault="00FB01BD" w:rsidP="00FB01BD">
      <w:pPr>
        <w:pStyle w:val="Style2"/>
        <w:spacing w:line="288" w:lineRule="auto"/>
        <w:rPr>
          <w:rFonts w:ascii="Arial" w:hAnsi="Arial" w:cs="Arial"/>
          <w:i/>
          <w:iCs/>
          <w:noProof/>
          <w:sz w:val="24"/>
          <w:szCs w:val="24"/>
        </w:rPr>
      </w:pPr>
      <w:r>
        <w:rPr>
          <w:rFonts w:ascii="Arial" w:hAnsi="Arial"/>
          <w:b/>
          <w:noProof/>
          <w:sz w:val="24"/>
        </w:rPr>
        <w:t>Comisia va continua să promoveze implicarea comunității persoanelor cu handicap</w:t>
      </w:r>
      <w:r>
        <w:rPr>
          <w:rFonts w:ascii="Arial" w:hAnsi="Arial"/>
          <w:noProof/>
          <w:sz w:val="24"/>
        </w:rPr>
        <w:t xml:space="preserve"> în procesul de elaborare a politicilor la toate nivelurile, în conformitate cu</w:t>
      </w:r>
      <w:r>
        <w:rPr>
          <w:noProof/>
        </w:rPr>
        <w:t xml:space="preserve"> </w:t>
      </w:r>
      <w:hyperlink r:id="rId104" w:history="1">
        <w:r>
          <w:rPr>
            <w:rStyle w:val="Hyperlink"/>
            <w:rFonts w:ascii="Arial" w:hAnsi="Arial"/>
            <w:noProof/>
            <w:sz w:val="24"/>
          </w:rPr>
          <w:t>Strategia UE pentru societatea civilă</w:t>
        </w:r>
      </w:hyperlink>
      <w:r>
        <w:rPr>
          <w:rFonts w:ascii="Arial" w:hAnsi="Arial"/>
          <w:noProof/>
          <w:sz w:val="24"/>
        </w:rPr>
        <w:t>, care prevede că incluziunea și accesibilitatea sunt principii directoare ale dialogului cu societatea civilă. Comisia propune sprijinirea organizațiilor care lucrează pentru incluziunea persoanelor cu handicap în cadrul</w:t>
      </w:r>
      <w:r>
        <w:rPr>
          <w:noProof/>
        </w:rPr>
        <w:t xml:space="preserve"> </w:t>
      </w:r>
      <w:hyperlink r:id="rId105" w:history="1">
        <w:r>
          <w:rPr>
            <w:rStyle w:val="Hyperlink"/>
            <w:rFonts w:ascii="Arial" w:hAnsi="Arial"/>
            <w:noProof/>
            <w:sz w:val="24"/>
          </w:rPr>
          <w:t>programului Agora EU</w:t>
        </w:r>
      </w:hyperlink>
      <w:r>
        <w:rPr>
          <w:rFonts w:ascii="Arial" w:hAnsi="Arial"/>
          <w:noProof/>
          <w:sz w:val="24"/>
        </w:rPr>
        <w:t>, în temeiul cadrului financiar multianual 2028-2034 (în așteptarea adoptării).</w:t>
      </w:r>
      <w:r>
        <w:rPr>
          <w:rFonts w:ascii="Arial" w:hAnsi="Arial"/>
          <w:i/>
          <w:noProof/>
          <w:sz w:val="24"/>
        </w:rPr>
        <w:t xml:space="preserve"> </w:t>
      </w:r>
    </w:p>
    <w:p w14:paraId="7B13D7AB"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În plus, Comisia va depune eforturi pentru </w:t>
      </w:r>
      <w:r>
        <w:rPr>
          <w:rFonts w:ascii="Arial" w:hAnsi="Arial"/>
          <w:b/>
          <w:noProof/>
          <w:sz w:val="24"/>
        </w:rPr>
        <w:t>o mai bună integrare a aspectelor legate de handicap în toate instituțiile, organele, oficiile și agențiile UE</w:t>
      </w:r>
      <w:r>
        <w:rPr>
          <w:rFonts w:ascii="Arial" w:hAnsi="Arial"/>
          <w:noProof/>
          <w:sz w:val="24"/>
        </w:rPr>
        <w:t>, prin acțiuni la nivelul agențiilor UE care vizează creșterea gradului de conștientizare și în contextul metodologiei sale pentru</w:t>
      </w:r>
      <w:r>
        <w:rPr>
          <w:noProof/>
        </w:rPr>
        <w:t xml:space="preserve"> </w:t>
      </w:r>
      <w:hyperlink r:id="rId106" w:history="1">
        <w:r>
          <w:rPr>
            <w:rStyle w:val="Hyperlink"/>
            <w:rFonts w:ascii="Arial" w:hAnsi="Arial"/>
            <w:noProof/>
            <w:sz w:val="24"/>
          </w:rPr>
          <w:t>o mai bună legiferare</w:t>
        </w:r>
      </w:hyperlink>
      <w:r>
        <w:rPr>
          <w:b/>
          <w:noProof/>
        </w:rPr>
        <w:t>.</w:t>
      </w:r>
      <w:r>
        <w:rPr>
          <w:rFonts w:ascii="Arial" w:hAnsi="Arial"/>
          <w:noProof/>
          <w:sz w:val="24"/>
        </w:rPr>
        <w:t xml:space="preserve"> Până în 2028 va fi prezentată o propunere de reformare a</w:t>
      </w:r>
      <w:r>
        <w:rPr>
          <w:noProof/>
        </w:rPr>
        <w:t xml:space="preserve"> </w:t>
      </w:r>
      <w:hyperlink r:id="rId107" w:history="1">
        <w:r>
          <w:rPr>
            <w:rStyle w:val="Hyperlink"/>
            <w:rFonts w:ascii="Arial" w:hAnsi="Arial"/>
            <w:noProof/>
            <w:sz w:val="24"/>
          </w:rPr>
          <w:t>cadrului existent al UE de monitorizare a CNUDPH</w:t>
        </w:r>
      </w:hyperlink>
      <w:r>
        <w:rPr>
          <w:rFonts w:ascii="Arial" w:hAnsi="Arial"/>
          <w:noProof/>
          <w:sz w:val="24"/>
        </w:rPr>
        <w:t xml:space="preserve">, pe baza activității analitice relevante, în vederea îmbunătățirii monitorizării. </w:t>
      </w:r>
    </w:p>
    <w:p w14:paraId="4345C3DB" w14:textId="77777777" w:rsidR="00FB01BD" w:rsidRPr="002D57F2" w:rsidRDefault="00FB01BD" w:rsidP="00F844EA">
      <w:pPr>
        <w:pStyle w:val="Style2"/>
        <w:keepNext/>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Comisia invită statele membre UE:</w:t>
      </w:r>
    </w:p>
    <w:p w14:paraId="66778624"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 xml:space="preserve">să facă schimb de bune practici din planurile și strategiile lor pentru persoanele cu handicap și să partajeze informații cu privire la evoluțiile naționale prin intermediul Platformei pentru persoanele cu handicap. </w:t>
      </w:r>
    </w:p>
    <w:p w14:paraId="12620E43" w14:textId="77777777" w:rsidR="00FB01BD" w:rsidRPr="002D57F2" w:rsidRDefault="00FB01BD" w:rsidP="00FB01BD">
      <w:pPr>
        <w:pStyle w:val="Heading2"/>
        <w:spacing w:before="360" w:after="360"/>
        <w:ind w:left="425" w:hanging="425"/>
        <w:rPr>
          <w:rFonts w:ascii="Arial" w:hAnsi="Arial" w:cs="Arial"/>
          <w:noProof/>
        </w:rPr>
      </w:pPr>
      <w:bookmarkStart w:id="29" w:name="_Toc228880192"/>
      <w:r>
        <w:rPr>
          <w:rFonts w:ascii="Arial" w:hAnsi="Arial"/>
          <w:noProof/>
        </w:rPr>
        <w:t>Un model de urmat</w:t>
      </w:r>
      <w:bookmarkEnd w:id="29"/>
    </w:p>
    <w:p w14:paraId="56C9EB7E" w14:textId="79A91FE9"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Comisia se angajează</w:t>
      </w:r>
      <w:r>
        <w:rPr>
          <w:rFonts w:ascii="Arial" w:hAnsi="Arial"/>
          <w:noProof/>
          <w:sz w:val="24"/>
        </w:rPr>
        <w:t xml:space="preserve"> să promoveze incluziunea și diversitatea, nu numai în calitatea sa de angajator, ci și față de cetățeni și părțile interesate, în conformitate cu angajamentul instituțiilor UE de a pune în aplicare CNUDPH. În baza </w:t>
      </w:r>
      <w:hyperlink r:id="rId108">
        <w:r>
          <w:rPr>
            <w:rStyle w:val="Hyperlink"/>
            <w:rFonts w:ascii="Arial" w:hAnsi="Arial"/>
            <w:noProof/>
            <w:sz w:val="24"/>
          </w:rPr>
          <w:t>strategiei sale privind resursele umane</w:t>
        </w:r>
      </w:hyperlink>
      <w:r>
        <w:rPr>
          <w:rFonts w:ascii="Arial" w:hAnsi="Arial"/>
          <w:noProof/>
          <w:sz w:val="24"/>
        </w:rPr>
        <w:t>,</w:t>
      </w:r>
      <w:r w:rsidR="00F844EA">
        <w:rPr>
          <w:rFonts w:ascii="Arial" w:hAnsi="Arial"/>
          <w:noProof/>
          <w:sz w:val="24"/>
        </w:rPr>
        <w:t xml:space="preserve"> </w:t>
      </w:r>
      <w:r>
        <w:rPr>
          <w:rFonts w:ascii="Arial" w:hAnsi="Arial"/>
          <w:noProof/>
          <w:sz w:val="24"/>
        </w:rPr>
        <w:t>Comisia va continua să promoveze</w:t>
      </w:r>
      <w:r>
        <w:rPr>
          <w:rFonts w:ascii="Arial" w:hAnsi="Arial"/>
          <w:b/>
          <w:noProof/>
          <w:sz w:val="24"/>
        </w:rPr>
        <w:t xml:space="preserve"> incluziunea</w:t>
      </w:r>
      <w:r>
        <w:rPr>
          <w:rFonts w:ascii="Arial" w:hAnsi="Arial"/>
          <w:noProof/>
          <w:sz w:val="24"/>
        </w:rPr>
        <w:t xml:space="preserve"> </w:t>
      </w:r>
      <w:r>
        <w:rPr>
          <w:rFonts w:ascii="Arial" w:hAnsi="Arial"/>
          <w:b/>
          <w:noProof/>
          <w:sz w:val="24"/>
        </w:rPr>
        <w:t>personalului cu handicap</w:t>
      </w:r>
      <w:r>
        <w:rPr>
          <w:rFonts w:ascii="Arial" w:hAnsi="Arial"/>
          <w:noProof/>
          <w:sz w:val="24"/>
        </w:rPr>
        <w:t>.</w:t>
      </w:r>
    </w:p>
    <w:p w14:paraId="1B5C21BC" w14:textId="36682BD5"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Comisia va încerca să promoveze în continuare </w:t>
      </w:r>
      <w:r>
        <w:rPr>
          <w:rFonts w:ascii="Arial" w:hAnsi="Arial"/>
          <w:b/>
          <w:noProof/>
          <w:sz w:val="24"/>
        </w:rPr>
        <w:t>participarea persoanelor cu handicap</w:t>
      </w:r>
      <w:r>
        <w:rPr>
          <w:rFonts w:ascii="Arial" w:hAnsi="Arial"/>
          <w:noProof/>
          <w:sz w:val="24"/>
        </w:rPr>
        <w:t xml:space="preserve"> </w:t>
      </w:r>
      <w:r>
        <w:rPr>
          <w:rFonts w:ascii="Arial" w:hAnsi="Arial"/>
          <w:b/>
          <w:noProof/>
          <w:sz w:val="24"/>
        </w:rPr>
        <w:t>la programul de stagii „Cartea albastră”</w:t>
      </w:r>
      <w:r>
        <w:rPr>
          <w:rFonts w:ascii="Arial" w:hAnsi="Arial"/>
          <w:noProof/>
          <w:sz w:val="24"/>
        </w:rPr>
        <w:t xml:space="preserve">, în contextul viitoarei revizuiri a deciziei privind stagiul „Cartea albastră”. Acest lucru va completa dispozițiile deja existente privind indemnizația de invaliditate și amenajările corespunzătoare. </w:t>
      </w:r>
    </w:p>
    <w:p w14:paraId="3886DE6C" w14:textId="77777777" w:rsidR="00FB01BD" w:rsidRPr="002D57F2" w:rsidRDefault="00FB01BD" w:rsidP="00FB01BD">
      <w:pPr>
        <w:pStyle w:val="Style2"/>
        <w:spacing w:line="288" w:lineRule="auto"/>
        <w:rPr>
          <w:rFonts w:ascii="Arial" w:hAnsi="Arial" w:cs="Arial"/>
          <w:noProof/>
          <w:sz w:val="24"/>
          <w:szCs w:val="24"/>
        </w:rPr>
      </w:pPr>
      <w:r>
        <w:rPr>
          <w:rFonts w:ascii="Arial" w:hAnsi="Arial"/>
          <w:b/>
          <w:noProof/>
          <w:sz w:val="24"/>
        </w:rPr>
        <w:t>Oficiul European pentru Selecția Personalului (EPSO)</w:t>
      </w:r>
      <w:r>
        <w:rPr>
          <w:rFonts w:ascii="Arial" w:hAnsi="Arial"/>
          <w:noProof/>
          <w:sz w:val="24"/>
        </w:rPr>
        <w:t xml:space="preserve"> va consolida accesibilitatea procedurilor sale de comunicare și selecție, asigurând egalitatea de șanse pentru candidații cu handicap, inclusiv prin </w:t>
      </w:r>
      <w:r>
        <w:rPr>
          <w:rFonts w:ascii="Arial" w:hAnsi="Arial"/>
          <w:b/>
          <w:noProof/>
          <w:sz w:val="24"/>
        </w:rPr>
        <w:t>politica sa privind amenajările corespunzătoare</w:t>
      </w:r>
      <w:r>
        <w:rPr>
          <w:rFonts w:ascii="Arial" w:hAnsi="Arial"/>
          <w:noProof/>
          <w:sz w:val="24"/>
        </w:rPr>
        <w:t xml:space="preserve">. EPSO își va îmbunătăți și mai mult </w:t>
      </w:r>
      <w:r>
        <w:rPr>
          <w:rFonts w:ascii="Arial" w:hAnsi="Arial"/>
          <w:b/>
          <w:noProof/>
          <w:sz w:val="24"/>
        </w:rPr>
        <w:t>acțiunile de sensibilizare, prin cooperarea cu organizațiile din UE axate pe diversitate și pe promovarea drepturilor persoanelor cu handicap</w:t>
      </w:r>
      <w:r>
        <w:rPr>
          <w:rFonts w:ascii="Arial" w:hAnsi="Arial"/>
          <w:noProof/>
          <w:sz w:val="24"/>
        </w:rPr>
        <w:t>, pentru a atrage un grup mai divers de candidați.</w:t>
      </w:r>
    </w:p>
    <w:p w14:paraId="290FA6C2" w14:textId="77777777"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Comisia își va consolida acțiunile de sensibilizare în rândul angajaților cu handicap și al îngrijitorilor. Va continua </w:t>
      </w:r>
      <w:r>
        <w:rPr>
          <w:rFonts w:ascii="Arial" w:hAnsi="Arial"/>
          <w:b/>
          <w:noProof/>
          <w:sz w:val="24"/>
        </w:rPr>
        <w:t>să raționalizeze coordonarea între serviciile care oferă sprijin personalului</w:t>
      </w:r>
      <w:r>
        <w:rPr>
          <w:rFonts w:ascii="Arial" w:hAnsi="Arial"/>
          <w:noProof/>
          <w:sz w:val="24"/>
        </w:rPr>
        <w:t>. Își va actualiza</w:t>
      </w:r>
      <w:r>
        <w:rPr>
          <w:noProof/>
        </w:rPr>
        <w:t xml:space="preserve"> </w:t>
      </w:r>
      <w:hyperlink r:id="rId109" w:history="1">
        <w:r>
          <w:rPr>
            <w:rStyle w:val="Hyperlink"/>
            <w:rFonts w:ascii="Arial" w:hAnsi="Arial"/>
            <w:noProof/>
            <w:sz w:val="24"/>
          </w:rPr>
          <w:t>planul de acțiune privind diversitatea și incluziunea</w:t>
        </w:r>
      </w:hyperlink>
      <w:r>
        <w:rPr>
          <w:rFonts w:ascii="Arial" w:hAnsi="Arial"/>
          <w:noProof/>
          <w:sz w:val="24"/>
        </w:rPr>
        <w:t xml:space="preserve">, pe baza constatărilor unui sondaj realizat în 2025. Va elabora în continuare inițiative de sensibilizare, de formare a personalului și a managerilor, de combatere a prejudecăților inconștiente și de </w:t>
      </w:r>
      <w:r>
        <w:rPr>
          <w:rFonts w:ascii="Arial" w:hAnsi="Arial"/>
          <w:b/>
          <w:noProof/>
          <w:sz w:val="24"/>
        </w:rPr>
        <w:t xml:space="preserve">îmbunătățire a accesibilității digitale și fizice, precum și a amenajărilor corespunzătoare. </w:t>
      </w:r>
      <w:r>
        <w:rPr>
          <w:rFonts w:ascii="Arial" w:hAnsi="Arial"/>
          <w:noProof/>
          <w:sz w:val="24"/>
        </w:rPr>
        <w:t>De asemenea, Comisia va colabora periodic cu organizațiile sindicale pentru a promova în continuare incluziunea la locul de muncă.</w:t>
      </w:r>
    </w:p>
    <w:p w14:paraId="587D2BEE" w14:textId="18153101"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În plus, Comisia va pune în aplicare </w:t>
      </w:r>
      <w:r>
        <w:rPr>
          <w:rFonts w:ascii="Arial" w:hAnsi="Arial"/>
          <w:b/>
          <w:noProof/>
          <w:sz w:val="24"/>
        </w:rPr>
        <w:t>politica sa de combatere a hărțuirii</w:t>
      </w:r>
      <w:r>
        <w:rPr>
          <w:rFonts w:ascii="Arial" w:hAnsi="Arial"/>
          <w:noProof/>
          <w:sz w:val="24"/>
        </w:rPr>
        <w:t>, acordând o atenție deosebită grupurilor vulnerabile, inclusiv personalului cu handicap, precum și angajaților cu responsabilități de îngrijire față de membrii de familie care suferă de un handicap. Nevoile personalului cu handicap vor fi, de asemenea, luate în considerare în cadrul viitoarei revizuiri a</w:t>
      </w:r>
      <w:r w:rsidR="00F844EA">
        <w:rPr>
          <w:rFonts w:ascii="Arial" w:hAnsi="Arial"/>
          <w:noProof/>
          <w:sz w:val="24"/>
        </w:rPr>
        <w:t xml:space="preserve"> </w:t>
      </w:r>
      <w:r>
        <w:rPr>
          <w:rFonts w:ascii="Arial" w:hAnsi="Arial"/>
          <w:b/>
          <w:noProof/>
          <w:sz w:val="24"/>
        </w:rPr>
        <w:t>sistemului comun de asigurări de sănătate al UE</w:t>
      </w:r>
      <w:r>
        <w:rPr>
          <w:rFonts w:ascii="Arial" w:hAnsi="Arial"/>
          <w:noProof/>
          <w:sz w:val="24"/>
        </w:rPr>
        <w:t>.</w:t>
      </w:r>
    </w:p>
    <w:p w14:paraId="550B1FED" w14:textId="177AE953"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În plus, Comisia va prezenta un </w:t>
      </w:r>
      <w:r>
        <w:rPr>
          <w:rFonts w:ascii="Arial" w:hAnsi="Arial"/>
          <w:b/>
          <w:noProof/>
          <w:sz w:val="24"/>
        </w:rPr>
        <w:t>plan de acțiune privind accesibilitatea digitală (2026-2030)</w:t>
      </w:r>
      <w:r>
        <w:rPr>
          <w:rFonts w:ascii="Arial" w:hAnsi="Arial"/>
          <w:noProof/>
          <w:sz w:val="24"/>
        </w:rPr>
        <w:t xml:space="preserve">, care va acoperi întregul său ecosistem digital. De asemenea, Comisia va continua să pună în aplicare </w:t>
      </w:r>
      <w:r>
        <w:rPr>
          <w:rFonts w:ascii="Arial" w:hAnsi="Arial"/>
          <w:b/>
          <w:noProof/>
          <w:sz w:val="24"/>
        </w:rPr>
        <w:t>planul de lucru privind egalitatea în materie de infrastructură și clădiri (2021-2030)</w:t>
      </w:r>
      <w:r>
        <w:rPr>
          <w:rFonts w:ascii="Arial" w:hAnsi="Arial"/>
          <w:noProof/>
          <w:sz w:val="24"/>
        </w:rPr>
        <w:t>, sporind gradul de sensibilizare cu privire la accesibilitatea fizică în rândul personalului și al profesioniștilor relevanți. Comisia va face în așa fel încât reuniunile și evenimentele organizate în sălile sale de conferință să fie mai accesibile, în toate limbile UE și va implementa servicii multilingve bazate pe IA.</w:t>
      </w:r>
    </w:p>
    <w:p w14:paraId="26D4B877" w14:textId="77777777" w:rsidR="00FB01BD" w:rsidRPr="002D57F2" w:rsidRDefault="00FB01BD" w:rsidP="00FB01BD">
      <w:pPr>
        <w:pStyle w:val="Heading2"/>
        <w:spacing w:before="360" w:after="360"/>
        <w:ind w:left="425" w:hanging="425"/>
        <w:rPr>
          <w:rFonts w:ascii="Arial" w:hAnsi="Arial" w:cs="Arial"/>
          <w:noProof/>
        </w:rPr>
      </w:pPr>
      <w:bookmarkStart w:id="30" w:name="_Toc228880193"/>
      <w:r>
        <w:rPr>
          <w:rFonts w:ascii="Arial" w:hAnsi="Arial"/>
          <w:noProof/>
        </w:rPr>
        <w:t>Sensibilizare, monitorizare și evaluarea progreselor</w:t>
      </w:r>
      <w:bookmarkEnd w:id="30"/>
      <w:r>
        <w:rPr>
          <w:rFonts w:ascii="Arial" w:hAnsi="Arial"/>
          <w:noProof/>
        </w:rPr>
        <w:t xml:space="preserve"> </w:t>
      </w:r>
    </w:p>
    <w:p w14:paraId="49B58040" w14:textId="77777777" w:rsidR="00FB01BD" w:rsidRPr="002D57F2" w:rsidRDefault="00FB01BD" w:rsidP="00FB01BD">
      <w:pPr>
        <w:pStyle w:val="Heading3"/>
        <w:rPr>
          <w:rFonts w:ascii="Arial" w:hAnsi="Arial" w:cs="Arial"/>
          <w:noProof/>
        </w:rPr>
      </w:pPr>
      <w:bookmarkStart w:id="31" w:name="_Toc228880194"/>
      <w:r>
        <w:rPr>
          <w:rFonts w:ascii="Arial" w:hAnsi="Arial"/>
          <w:noProof/>
        </w:rPr>
        <w:t>Sensibilizare și diseminarea bunelor practici</w:t>
      </w:r>
      <w:bookmarkEnd w:id="31"/>
    </w:p>
    <w:p w14:paraId="5305FAFB" w14:textId="2556DD92"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Promovarea sensibilizării cu privire la handicap și combaterea stereotipurilor sunt completări fundamentale aduse legislației și procesului de elaborare a politicilor. Comisia va continua dialogul cu comunitatea persoanelor cu handicap, cu ocazia</w:t>
      </w:r>
      <w:r w:rsidR="00F844EA">
        <w:rPr>
          <w:rFonts w:ascii="Arial" w:hAnsi="Arial"/>
          <w:noProof/>
          <w:sz w:val="24"/>
        </w:rPr>
        <w:t xml:space="preserve"> </w:t>
      </w:r>
      <w:r>
        <w:rPr>
          <w:rFonts w:ascii="Arial" w:hAnsi="Arial"/>
          <w:b/>
          <w:noProof/>
          <w:sz w:val="24"/>
        </w:rPr>
        <w:t xml:space="preserve">Zilei europene a persoanelor cu handicap </w:t>
      </w:r>
      <w:r>
        <w:rPr>
          <w:rFonts w:ascii="Arial" w:hAnsi="Arial"/>
          <w:noProof/>
          <w:sz w:val="24"/>
        </w:rPr>
        <w:t xml:space="preserve">și va promova cele mai bune practici în materie de accesibilitate prin intermediul competiției </w:t>
      </w:r>
      <w:hyperlink r:id="rId110" w:history="1">
        <w:r>
          <w:rPr>
            <w:rStyle w:val="Hyperlink"/>
            <w:rFonts w:ascii="Arial" w:hAnsi="Arial"/>
            <w:noProof/>
            <w:sz w:val="24"/>
          </w:rPr>
          <w:t>Access City Award</w:t>
        </w:r>
      </w:hyperlink>
      <w:r>
        <w:rPr>
          <w:rFonts w:ascii="Arial" w:hAnsi="Arial"/>
          <w:noProof/>
          <w:sz w:val="24"/>
        </w:rPr>
        <w:t>,</w:t>
      </w:r>
      <w:r w:rsidR="00F844EA">
        <w:rPr>
          <w:rFonts w:ascii="Arial" w:hAnsi="Arial"/>
          <w:noProof/>
          <w:sz w:val="24"/>
        </w:rPr>
        <w:t xml:space="preserve"> </w:t>
      </w:r>
      <w:r>
        <w:rPr>
          <w:rFonts w:ascii="Arial" w:hAnsi="Arial"/>
          <w:noProof/>
          <w:sz w:val="24"/>
        </w:rPr>
        <w:t>punând bazele unei noi</w:t>
      </w:r>
      <w:r w:rsidR="00F844EA">
        <w:rPr>
          <w:rFonts w:ascii="Arial" w:hAnsi="Arial"/>
          <w:noProof/>
          <w:sz w:val="24"/>
        </w:rPr>
        <w:t xml:space="preserve"> </w:t>
      </w:r>
      <w:r>
        <w:rPr>
          <w:rFonts w:ascii="Arial" w:hAnsi="Arial"/>
          <w:b/>
          <w:noProof/>
          <w:sz w:val="24"/>
        </w:rPr>
        <w:t>comunități de bune practici între orașe.</w:t>
      </w:r>
      <w:r>
        <w:rPr>
          <w:rFonts w:ascii="Arial" w:hAnsi="Arial"/>
          <w:noProof/>
          <w:sz w:val="24"/>
        </w:rPr>
        <w:t xml:space="preserve"> De asemenea, va continua să celebreze și să sprijine autoritățile locale care promovează incluziunea prin intermediul premiului</w:t>
      </w:r>
      <w:r>
        <w:rPr>
          <w:noProof/>
        </w:rPr>
        <w:t xml:space="preserve"> </w:t>
      </w:r>
      <w:hyperlink r:id="rId111" w:history="1">
        <w:r>
          <w:rPr>
            <w:rStyle w:val="Hyperlink"/>
            <w:rFonts w:ascii="Arial" w:hAnsi="Arial"/>
            <w:noProof/>
            <w:sz w:val="24"/>
          </w:rPr>
          <w:t>Capitalele europene ale incluziunii și diversității</w:t>
        </w:r>
      </w:hyperlink>
      <w:r>
        <w:rPr>
          <w:rFonts w:ascii="Arial" w:hAnsi="Arial"/>
          <w:noProof/>
          <w:sz w:val="24"/>
        </w:rPr>
        <w:t xml:space="preserve">. În plus, Comisia va desfășura o </w:t>
      </w:r>
      <w:r>
        <w:rPr>
          <w:rFonts w:ascii="Arial" w:hAnsi="Arial"/>
          <w:b/>
          <w:noProof/>
          <w:sz w:val="24"/>
        </w:rPr>
        <w:t>campanie privind o Uniune a egalității</w:t>
      </w:r>
      <w:r>
        <w:rPr>
          <w:rFonts w:ascii="Arial" w:hAnsi="Arial"/>
          <w:noProof/>
          <w:sz w:val="24"/>
        </w:rPr>
        <w:t>, care va acoperi, de asemenea, handicapul.</w:t>
      </w:r>
    </w:p>
    <w:p w14:paraId="277A3FF5" w14:textId="77777777" w:rsidR="00FB01BD" w:rsidRPr="002D57F2" w:rsidRDefault="00FB01BD" w:rsidP="00FB01BD">
      <w:pPr>
        <w:pStyle w:val="Heading3"/>
        <w:rPr>
          <w:rFonts w:ascii="Arial" w:hAnsi="Arial" w:cs="Arial"/>
          <w:noProof/>
        </w:rPr>
      </w:pPr>
      <w:bookmarkStart w:id="32" w:name="_Toc228880195"/>
      <w:r>
        <w:rPr>
          <w:rFonts w:ascii="Arial" w:hAnsi="Arial"/>
          <w:noProof/>
        </w:rPr>
        <w:t>Colectarea de date, monitorizarea și evaluarea progreselor</w:t>
      </w:r>
      <w:bookmarkEnd w:id="32"/>
    </w:p>
    <w:p w14:paraId="17F46C81" w14:textId="77777777" w:rsidR="00FB01BD" w:rsidRDefault="00FB01BD" w:rsidP="00FB01BD">
      <w:pPr>
        <w:pStyle w:val="Style2"/>
        <w:spacing w:line="288" w:lineRule="auto"/>
        <w:rPr>
          <w:rFonts w:ascii="Arial" w:hAnsi="Arial" w:cs="Arial"/>
          <w:noProof/>
          <w:sz w:val="24"/>
          <w:szCs w:val="24"/>
        </w:rPr>
      </w:pPr>
      <w:r>
        <w:rPr>
          <w:rFonts w:ascii="Arial" w:hAnsi="Arial"/>
          <w:noProof/>
          <w:sz w:val="24"/>
        </w:rPr>
        <w:t xml:space="preserve">Statisticile reprezintă un instrument necesar pentru evaluarea rezultatelor și pentru elaborarea unor politici bazate pe date concrete în materie de handicap. Comisia </w:t>
      </w:r>
      <w:r>
        <w:rPr>
          <w:rFonts w:ascii="Arial" w:hAnsi="Arial"/>
          <w:b/>
          <w:noProof/>
          <w:sz w:val="24"/>
        </w:rPr>
        <w:t>va accelera progresiv colectarea de date și le va publica pe cele necesare pentru noii indicatori</w:t>
      </w:r>
      <w:r>
        <w:rPr>
          <w:rFonts w:ascii="Arial" w:hAnsi="Arial"/>
          <w:noProof/>
          <w:sz w:val="24"/>
        </w:rPr>
        <w:t xml:space="preserve"> referitori la situația persoanelor cu handicap în diverse aspecte ale vieții, prin intermediul </w:t>
      </w:r>
      <w:hyperlink r:id="rId112" w:history="1">
        <w:r>
          <w:rPr>
            <w:rStyle w:val="Hyperlink"/>
            <w:rFonts w:ascii="Arial" w:hAnsi="Arial"/>
            <w:noProof/>
            <w:sz w:val="24"/>
          </w:rPr>
          <w:t>portalului statistic online al UE</w:t>
        </w:r>
      </w:hyperlink>
      <w:r>
        <w:rPr>
          <w:rFonts w:ascii="Arial" w:hAnsi="Arial"/>
          <w:noProof/>
        </w:rPr>
        <w:t>,</w:t>
      </w:r>
      <w:r>
        <w:rPr>
          <w:rFonts w:ascii="Arial" w:hAnsi="Arial"/>
          <w:b/>
          <w:noProof/>
          <w:sz w:val="24"/>
        </w:rPr>
        <w:t xml:space="preserve"> </w:t>
      </w:r>
      <w:r>
        <w:rPr>
          <w:rFonts w:ascii="Arial" w:hAnsi="Arial"/>
          <w:noProof/>
          <w:sz w:val="24"/>
        </w:rPr>
        <w:t xml:space="preserve">și se va strădui să consolideze colectarea de date dezagregate după tipul de handicap, minimizând totodată povara administrativă. În plus, va publica o </w:t>
      </w:r>
      <w:r>
        <w:rPr>
          <w:rFonts w:ascii="Arial" w:hAnsi="Arial"/>
          <w:b/>
          <w:noProof/>
          <w:sz w:val="24"/>
        </w:rPr>
        <w:t>recomandare privind datele referitoare la egalitate</w:t>
      </w:r>
      <w:r>
        <w:rPr>
          <w:rFonts w:ascii="Arial" w:hAnsi="Arial"/>
          <w:noProof/>
          <w:sz w:val="24"/>
        </w:rPr>
        <w:t xml:space="preserve"> și va organiza o masă rotundă la nivel înalt pentru a promova în continuare colectarea și utilizarea acestora, pe baza activității grupului de experți în materie de date privind egalitatea din cadrul Grupului la nivel înalt pentru nediscriminare, egalitate și diversitate. </w:t>
      </w:r>
    </w:p>
    <w:p w14:paraId="16F343D1" w14:textId="6CB263C0"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De asemenea, în 2027, Comisia va publica un nou </w:t>
      </w:r>
      <w:r>
        <w:rPr>
          <w:rFonts w:ascii="Arial" w:hAnsi="Arial"/>
          <w:b/>
          <w:noProof/>
          <w:sz w:val="24"/>
        </w:rPr>
        <w:t>sondaj Eurobarometru privind discriminarea în UE</w:t>
      </w:r>
      <w:r>
        <w:rPr>
          <w:rFonts w:ascii="Arial" w:hAnsi="Arial"/>
          <w:noProof/>
          <w:sz w:val="24"/>
        </w:rPr>
        <w:t xml:space="preserve">. În plus, Comisia va lua măsuri suplimentare pentru a promova </w:t>
      </w:r>
      <w:r>
        <w:rPr>
          <w:rFonts w:ascii="Arial" w:hAnsi="Arial"/>
          <w:b/>
          <w:noProof/>
          <w:sz w:val="24"/>
        </w:rPr>
        <w:t xml:space="preserve">colectarea de date referitoare la persoanele cu handicap care trăiesc în instituții și la costurile asociate. </w:t>
      </w:r>
      <w:r>
        <w:rPr>
          <w:rFonts w:ascii="Arial" w:hAnsi="Arial"/>
          <w:noProof/>
          <w:sz w:val="24"/>
        </w:rPr>
        <w:t xml:space="preserve">Comisia va utiliza Platforma pentru persoanele cu handicap pentru a analiza progresele înregistrate și pentru a consolida responsabilitatea, monitorizând evoluțiile naționale, cu sprijinul viitoarei raportări privind Uniunea egalității și al </w:t>
      </w:r>
      <w:r>
        <w:rPr>
          <w:rFonts w:ascii="Arial" w:hAnsi="Arial"/>
          <w:b/>
          <w:noProof/>
          <w:sz w:val="24"/>
        </w:rPr>
        <w:t>cadrului de monitorizare a strategiei</w:t>
      </w:r>
      <w:r>
        <w:rPr>
          <w:rFonts w:ascii="Arial" w:hAnsi="Arial"/>
          <w:noProof/>
          <w:sz w:val="24"/>
        </w:rPr>
        <w:t xml:space="preserve">. Nu în ultimul rând, Comisia va încerca să se asigure că </w:t>
      </w:r>
      <w:r>
        <w:rPr>
          <w:rFonts w:ascii="Arial" w:hAnsi="Arial"/>
          <w:b/>
          <w:noProof/>
          <w:sz w:val="24"/>
        </w:rPr>
        <w:t>utilizarea fondurilor UE</w:t>
      </w:r>
      <w:r>
        <w:rPr>
          <w:rFonts w:ascii="Arial" w:hAnsi="Arial"/>
          <w:noProof/>
          <w:sz w:val="24"/>
        </w:rPr>
        <w:t xml:space="preserve"> este monitorizată în raport cu orientările de politică prezentate în strategie și în prezenta comunicare.</w:t>
      </w:r>
    </w:p>
    <w:p w14:paraId="0D7D7030" w14:textId="77777777" w:rsidR="00FB01BD" w:rsidRPr="002D57F2" w:rsidRDefault="00FB01BD" w:rsidP="00B540AD">
      <w:pPr>
        <w:pStyle w:val="Style2"/>
        <w:pBdr>
          <w:top w:val="single" w:sz="4" w:space="3" w:color="auto"/>
          <w:left w:val="single" w:sz="4" w:space="4" w:color="auto"/>
          <w:bottom w:val="single" w:sz="4" w:space="1" w:color="auto"/>
          <w:right w:val="single" w:sz="4" w:space="4" w:color="auto"/>
        </w:pBdr>
        <w:shd w:val="clear" w:color="auto" w:fill="DAE9F7" w:themeFill="text2" w:themeFillTint="1A"/>
        <w:spacing w:before="360" w:line="288" w:lineRule="auto"/>
        <w:rPr>
          <w:rFonts w:ascii="Arial" w:hAnsi="Arial" w:cs="Arial"/>
          <w:b/>
          <w:bCs/>
          <w:noProof/>
          <w:sz w:val="24"/>
          <w:szCs w:val="24"/>
        </w:rPr>
      </w:pPr>
      <w:r>
        <w:rPr>
          <w:rFonts w:ascii="Arial" w:hAnsi="Arial"/>
          <w:b/>
          <w:noProof/>
          <w:sz w:val="24"/>
        </w:rPr>
        <w:t>Comisia invită statele membre UE:</w:t>
      </w:r>
    </w:p>
    <w:p w14:paraId="20458AF3"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after="0" w:line="288" w:lineRule="auto"/>
        <w:ind w:left="357" w:hanging="357"/>
        <w:rPr>
          <w:rFonts w:ascii="Arial" w:hAnsi="Arial" w:cs="Arial"/>
          <w:noProof/>
          <w:sz w:val="24"/>
          <w:szCs w:val="24"/>
        </w:rPr>
      </w:pPr>
      <w:r>
        <w:rPr>
          <w:rFonts w:ascii="Arial" w:hAnsi="Arial"/>
          <w:noProof/>
          <w:sz w:val="24"/>
        </w:rPr>
        <w:t>să crească nivelul de sensibilizare și să combată stereotipurile legate de persoanele cu handicap, inclusiv în ceea ce privește reprezentarea handicapului în mass-media;</w:t>
      </w:r>
    </w:p>
    <w:p w14:paraId="26F057E2" w14:textId="77777777" w:rsidR="00FB01BD" w:rsidRPr="002D57F2" w:rsidRDefault="00FB01BD" w:rsidP="00B540AD">
      <w:pPr>
        <w:pStyle w:val="Style2"/>
        <w:numPr>
          <w:ilvl w:val="0"/>
          <w:numId w:val="3"/>
        </w:numPr>
        <w:pBdr>
          <w:top w:val="single" w:sz="4" w:space="3" w:color="auto"/>
          <w:left w:val="single" w:sz="4" w:space="4" w:color="auto"/>
          <w:bottom w:val="single" w:sz="4" w:space="1" w:color="auto"/>
          <w:right w:val="single" w:sz="4" w:space="4" w:color="auto"/>
        </w:pBdr>
        <w:shd w:val="clear" w:color="auto" w:fill="DAE9F7" w:themeFill="text2" w:themeFillTint="1A"/>
        <w:spacing w:line="288" w:lineRule="auto"/>
        <w:ind w:left="360"/>
        <w:rPr>
          <w:rFonts w:ascii="Arial" w:hAnsi="Arial" w:cs="Arial"/>
          <w:noProof/>
          <w:sz w:val="24"/>
          <w:szCs w:val="24"/>
        </w:rPr>
      </w:pPr>
      <w:r>
        <w:rPr>
          <w:rFonts w:ascii="Arial" w:hAnsi="Arial"/>
          <w:noProof/>
          <w:sz w:val="24"/>
        </w:rPr>
        <w:t>să asigure disponibilitatea datelor defalcate în funcție de handicap, inclusiv în instituții.</w:t>
      </w:r>
    </w:p>
    <w:p w14:paraId="6D683724" w14:textId="77777777" w:rsidR="00FB01BD" w:rsidRPr="002D57F2" w:rsidRDefault="00FB01BD" w:rsidP="00FB01BD">
      <w:pPr>
        <w:rPr>
          <w:rFonts w:ascii="Arial" w:eastAsiaTheme="majorEastAsia" w:hAnsi="Arial" w:cs="Arial"/>
          <w:b/>
          <w:noProof/>
          <w:sz w:val="28"/>
          <w:szCs w:val="28"/>
        </w:rPr>
      </w:pPr>
      <w:r>
        <w:rPr>
          <w:noProof/>
        </w:rPr>
        <w:br w:type="page"/>
      </w:r>
    </w:p>
    <w:p w14:paraId="52184934" w14:textId="77777777" w:rsidR="00FB01BD" w:rsidRPr="002D57F2" w:rsidRDefault="00FB01BD" w:rsidP="00FB01BD">
      <w:pPr>
        <w:pStyle w:val="Heading1"/>
        <w:ind w:left="0"/>
        <w:rPr>
          <w:rFonts w:ascii="Arial" w:eastAsiaTheme="minorHAnsi" w:hAnsi="Arial" w:cs="Arial"/>
          <w:noProof/>
        </w:rPr>
      </w:pPr>
      <w:bookmarkStart w:id="33" w:name="_Toc228880196"/>
      <w:r>
        <w:rPr>
          <w:rFonts w:ascii="Arial" w:hAnsi="Arial"/>
          <w:noProof/>
        </w:rPr>
        <w:t>CONCLUZIE</w:t>
      </w:r>
      <w:bookmarkEnd w:id="33"/>
    </w:p>
    <w:p w14:paraId="08BD23BD" w14:textId="5AE51D50" w:rsidR="00FB01BD" w:rsidRPr="002D57F2" w:rsidRDefault="00FB01BD" w:rsidP="00FB01BD">
      <w:pPr>
        <w:pStyle w:val="Style2"/>
        <w:spacing w:line="288" w:lineRule="auto"/>
        <w:rPr>
          <w:rFonts w:ascii="Arial" w:hAnsi="Arial" w:cs="Arial"/>
          <w:noProof/>
          <w:sz w:val="24"/>
          <w:szCs w:val="24"/>
        </w:rPr>
      </w:pPr>
      <w:r>
        <w:rPr>
          <w:rFonts w:ascii="Arial" w:hAnsi="Arial"/>
          <w:noProof/>
          <w:sz w:val="24"/>
        </w:rPr>
        <w:t xml:space="preserve">Strategia privind drepturile persoanelor cu handicap (2021-2030) </w:t>
      </w:r>
      <w:r>
        <w:rPr>
          <w:rFonts w:ascii="Arial" w:hAnsi="Arial"/>
          <w:b/>
          <w:noProof/>
          <w:sz w:val="24"/>
        </w:rPr>
        <w:t>rămâne principalul cadru de politică al UE pentru realizarea unei Uniuni a egalității pentru persoanele cu handicap</w:t>
      </w:r>
      <w:r>
        <w:rPr>
          <w:rFonts w:ascii="Arial" w:hAnsi="Arial"/>
          <w:noProof/>
          <w:sz w:val="24"/>
        </w:rPr>
        <w:t xml:space="preserve">. Această strategie consolidată va reafirma angajamentul Comisiei de a elabora și de a pune în aplicare politici solide privind persoanele cu handicap împreună cu statele membre și cu părțile interesate relevante, precum și cu țările candidate și potențial candidate la aderarea la UE. </w:t>
      </w:r>
    </w:p>
    <w:p w14:paraId="554D3FCF" w14:textId="72D3D071" w:rsidR="00F87E5B" w:rsidRPr="00066452" w:rsidRDefault="00FB01BD" w:rsidP="00FB01BD">
      <w:pPr>
        <w:pStyle w:val="Style2"/>
        <w:spacing w:line="288" w:lineRule="auto"/>
        <w:rPr>
          <w:noProof/>
          <w:sz w:val="24"/>
          <w:szCs w:val="24"/>
        </w:rPr>
      </w:pPr>
      <w:r>
        <w:rPr>
          <w:rFonts w:ascii="Arial" w:hAnsi="Arial"/>
          <w:noProof/>
          <w:sz w:val="24"/>
        </w:rPr>
        <w:t xml:space="preserve">Promovarea drepturilor și a incluziunii persoanelor cu handicap va deschide calea către democrații mai puternice și economii mai competitive și va confirma că </w:t>
      </w:r>
      <w:r>
        <w:rPr>
          <w:rFonts w:ascii="Arial" w:hAnsi="Arial"/>
          <w:b/>
          <w:noProof/>
          <w:sz w:val="24"/>
        </w:rPr>
        <w:t>UE este un actor-cheie de încredere pe scena mondială</w:t>
      </w:r>
      <w:r>
        <w:rPr>
          <w:rFonts w:ascii="Arial" w:hAnsi="Arial"/>
          <w:noProof/>
          <w:sz w:val="24"/>
        </w:rPr>
        <w:t>, care își respectă angajamentul de a susține drepturile omului.</w:t>
      </w:r>
    </w:p>
    <w:sectPr w:rsidR="00F87E5B" w:rsidRPr="00066452" w:rsidSect="00312B17">
      <w:headerReference w:type="even" r:id="rId113"/>
      <w:headerReference w:type="default" r:id="rId114"/>
      <w:footerReference w:type="even" r:id="rId115"/>
      <w:footerReference w:type="default" r:id="rId116"/>
      <w:headerReference w:type="first" r:id="rId117"/>
      <w:footerReference w:type="first" r:id="rId118"/>
      <w:pgSz w:w="11906" w:h="16838" w:code="9"/>
      <w:pgMar w:top="1304" w:right="1440" w:bottom="1134" w:left="1440" w:header="680"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94B4DB" w14:textId="77777777" w:rsidR="00D3673F" w:rsidRDefault="00D3673F" w:rsidP="00F87E5B">
      <w:pPr>
        <w:spacing w:after="0" w:line="240" w:lineRule="auto"/>
      </w:pPr>
      <w:r>
        <w:separator/>
      </w:r>
    </w:p>
  </w:endnote>
  <w:endnote w:type="continuationSeparator" w:id="0">
    <w:p w14:paraId="787D56E4" w14:textId="77777777" w:rsidR="00D3673F" w:rsidRDefault="00D3673F" w:rsidP="00F87E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1B380E" w14:textId="6478227C" w:rsidR="00F77A11" w:rsidRPr="00F77A11" w:rsidRDefault="00F77A11" w:rsidP="00F77A11">
    <w:pPr>
      <w:pStyle w:val="FooterCoverPage"/>
      <w:rPr>
        <w:rFonts w:ascii="Arial" w:hAnsi="Arial" w:cs="Arial"/>
        <w:b/>
        <w:sz w:val="48"/>
      </w:rPr>
    </w:pPr>
    <w:r w:rsidRPr="00F77A11">
      <w:rPr>
        <w:rFonts w:ascii="Arial" w:hAnsi="Arial" w:cs="Arial"/>
        <w:b/>
        <w:sz w:val="48"/>
      </w:rPr>
      <w:t>RO</w:t>
    </w:r>
    <w:r w:rsidRPr="00F77A11">
      <w:rPr>
        <w:rFonts w:ascii="Arial" w:hAnsi="Arial" w:cs="Arial"/>
        <w:b/>
        <w:sz w:val="48"/>
      </w:rPr>
      <w:tab/>
    </w:r>
    <w:r w:rsidRPr="00F77A11">
      <w:rPr>
        <w:rFonts w:ascii="Arial" w:hAnsi="Arial" w:cs="Arial"/>
        <w:b/>
        <w:sz w:val="48"/>
      </w:rPr>
      <w:tab/>
    </w:r>
    <w:r w:rsidRPr="00F77A11">
      <w:tab/>
    </w:r>
    <w:r w:rsidRPr="00F77A11">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2ABB56" w14:textId="688CDC58" w:rsidR="00F77A11" w:rsidRPr="00F77A11" w:rsidRDefault="00F77A11" w:rsidP="00F77A11">
    <w:pPr>
      <w:pStyle w:val="FooterCoverPage"/>
      <w:rPr>
        <w:rFonts w:ascii="Arial" w:hAnsi="Arial" w:cs="Arial"/>
        <w:b/>
        <w:sz w:val="48"/>
      </w:rPr>
    </w:pPr>
    <w:r w:rsidRPr="00F77A11">
      <w:rPr>
        <w:rFonts w:ascii="Arial" w:hAnsi="Arial" w:cs="Arial"/>
        <w:b/>
        <w:sz w:val="48"/>
      </w:rPr>
      <w:t>RO</w:t>
    </w:r>
    <w:r w:rsidRPr="00F77A11">
      <w:rPr>
        <w:rFonts w:ascii="Arial" w:hAnsi="Arial" w:cs="Arial"/>
        <w:b/>
        <w:sz w:val="48"/>
      </w:rPr>
      <w:tab/>
    </w:r>
    <w:r w:rsidRPr="00F77A11">
      <w:rPr>
        <w:rFonts w:ascii="Arial" w:hAnsi="Arial" w:cs="Arial"/>
        <w:b/>
        <w:sz w:val="48"/>
      </w:rPr>
      <w:tab/>
    </w:r>
    <w:r w:rsidRPr="00F77A11">
      <w:tab/>
    </w:r>
    <w:r w:rsidRPr="00F77A11">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FD7F25" w14:textId="77777777" w:rsidR="00F77A11" w:rsidRPr="00F77A11" w:rsidRDefault="00F77A11" w:rsidP="00F77A1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D082B7" w14:textId="77777777" w:rsidR="0046622A" w:rsidRPr="00502559" w:rsidRDefault="0046622A" w:rsidP="00502559">
    <w:pPr>
      <w:pStyle w:val="FooterCoverPage"/>
      <w:rPr>
        <w:rFonts w:ascii="Arial" w:hAnsi="Arial" w:cs="Arial"/>
        <w:b/>
        <w:sz w:val="48"/>
      </w:rPr>
    </w:pPr>
    <w:r>
      <w:rPr>
        <w:rFonts w:ascii="Arial" w:hAnsi="Arial"/>
        <w:b/>
        <w:sz w:val="48"/>
      </w:rPr>
      <w:t>RO</w:t>
    </w:r>
    <w:r>
      <w:tab/>
    </w:r>
    <w:r>
      <w:tab/>
    </w:r>
    <w:r>
      <w:tab/>
    </w:r>
    <w:r>
      <w:rPr>
        <w:rFonts w:ascii="Arial" w:hAnsi="Arial"/>
        <w:b/>
        <w:sz w:val="48"/>
      </w:rPr>
      <w:t>RO</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41537323"/>
      <w:docPartObj>
        <w:docPartGallery w:val="Page Numbers (Bottom of Page)"/>
        <w:docPartUnique/>
      </w:docPartObj>
    </w:sdtPr>
    <w:sdtEndPr>
      <w:rPr>
        <w:noProof/>
        <w:sz w:val="20"/>
        <w:szCs w:val="20"/>
      </w:rPr>
    </w:sdtEndPr>
    <w:sdtContent>
      <w:p w14:paraId="31A6ADC6" w14:textId="1ECBFBAA" w:rsidR="00B41605" w:rsidRPr="00D42C2A" w:rsidRDefault="00B41605">
        <w:pPr>
          <w:pStyle w:val="Footer"/>
          <w:jc w:val="center"/>
          <w:rPr>
            <w:sz w:val="20"/>
            <w:szCs w:val="20"/>
          </w:rPr>
        </w:pPr>
        <w:r>
          <w:rPr>
            <w:sz w:val="20"/>
          </w:rPr>
          <w:fldChar w:fldCharType="begin"/>
        </w:r>
        <w:r>
          <w:rPr>
            <w:sz w:val="20"/>
          </w:rPr>
          <w:instrText xml:space="preserve"> PAGE   \* MERGEFORMAT </w:instrText>
        </w:r>
        <w:r>
          <w:rPr>
            <w:sz w:val="20"/>
          </w:rPr>
          <w:fldChar w:fldCharType="separate"/>
        </w:r>
        <w:r w:rsidR="00F77A11">
          <w:rPr>
            <w:noProof/>
            <w:sz w:val="20"/>
          </w:rPr>
          <w:t>3</w:t>
        </w:r>
        <w:r>
          <w:rPr>
            <w:sz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0B77DA" w14:textId="77777777" w:rsidR="0046622A" w:rsidRDefault="004662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CD2A7BB" w14:textId="77777777" w:rsidR="00D3673F" w:rsidRDefault="00D3673F" w:rsidP="00F87E5B">
      <w:pPr>
        <w:spacing w:after="0" w:line="240" w:lineRule="auto"/>
      </w:pPr>
      <w:r>
        <w:separator/>
      </w:r>
    </w:p>
  </w:footnote>
  <w:footnote w:type="continuationSeparator" w:id="0">
    <w:p w14:paraId="57553C0D" w14:textId="77777777" w:rsidR="00D3673F" w:rsidRDefault="00D3673F" w:rsidP="00F87E5B">
      <w:pPr>
        <w:spacing w:after="0" w:line="240" w:lineRule="auto"/>
      </w:pPr>
      <w:r>
        <w:continuationSeparator/>
      </w:r>
    </w:p>
  </w:footnote>
  <w:footnote w:id="1">
    <w:p w14:paraId="56F60A5E" w14:textId="0FDA86FB" w:rsidR="00FB01BD" w:rsidRPr="00CD7F8B" w:rsidRDefault="00FB01BD" w:rsidP="00103874">
      <w:pPr>
        <w:pStyle w:val="FootnoteText"/>
      </w:pPr>
      <w:r>
        <w:t>(</w:t>
      </w:r>
      <w:r>
        <w:rPr>
          <w:rStyle w:val="FootnoteReference"/>
        </w:rPr>
        <w:footnoteRef/>
      </w:r>
      <w:r>
        <w:t>)</w:t>
      </w:r>
      <w:r>
        <w:tab/>
        <w:t xml:space="preserve">În vârstă de cel puțin 16 ani, în 2024. Sursă: estimarea </w:t>
      </w:r>
      <w:hyperlink r:id="rId1" w:history="1">
        <w:r>
          <w:rPr>
            <w:rStyle w:val="Hyperlink"/>
          </w:rPr>
          <w:t>Eurostat</w:t>
        </w:r>
      </w:hyperlink>
      <w:r>
        <w:t xml:space="preserve"> care utilizează microdatele EU-SILC 2024. </w:t>
      </w:r>
      <w:hyperlink r:id="rId2" w:history="1">
        <w:r>
          <w:rPr>
            <w:rStyle w:val="Hyperlink"/>
          </w:rPr>
          <w:t>Indicatorul global de limitare a activității (GALI)</w:t>
        </w:r>
      </w:hyperlink>
      <w:r>
        <w:t xml:space="preserve"> este principala variabilă utilizată pentru a măsura handicapul la nivelul UE. </w:t>
      </w:r>
    </w:p>
  </w:footnote>
  <w:footnote w:id="2">
    <w:p w14:paraId="37F89D61" w14:textId="77777777" w:rsidR="00FB01BD" w:rsidRPr="00CD7F8B" w:rsidRDefault="00FB01BD" w:rsidP="00103874">
      <w:pPr>
        <w:pStyle w:val="FootnoteText"/>
      </w:pPr>
      <w:r>
        <w:t>(</w:t>
      </w:r>
      <w:r>
        <w:rPr>
          <w:rStyle w:val="FootnoteReference"/>
        </w:rPr>
        <w:footnoteRef/>
      </w:r>
      <w:r>
        <w:t>)</w:t>
      </w:r>
      <w:r>
        <w:tab/>
        <w:t xml:space="preserve">Potrivit studiului </w:t>
      </w:r>
      <w:hyperlink r:id="rId3" w:history="1">
        <w:r>
          <w:rPr>
            <w:rStyle w:val="Hyperlink"/>
          </w:rPr>
          <w:t>Combaterea discriminării în Uniunea Europeană</w:t>
        </w:r>
      </w:hyperlink>
      <w:r>
        <w:t xml:space="preserve"> al Organizației pentru Cooperare și Dezvoltare Economică, pierderile din produsul intern brut (PIB) ca urmare a discriminării legate de handicap sunt estimate între 0,84 și 1,42 miliarde EUR (la nivelurile prețurilor din 2022).</w:t>
      </w:r>
    </w:p>
  </w:footnote>
  <w:footnote w:id="3">
    <w:p w14:paraId="57BA54EC" w14:textId="77777777" w:rsidR="00FB01BD" w:rsidRPr="00CD7F8B" w:rsidRDefault="00FB01BD" w:rsidP="00103874">
      <w:pPr>
        <w:pStyle w:val="FootnoteText"/>
      </w:pPr>
      <w:r>
        <w:t>(</w:t>
      </w:r>
      <w:r>
        <w:rPr>
          <w:rStyle w:val="FootnoteReference"/>
        </w:rPr>
        <w:footnoteRef/>
      </w:r>
      <w:r>
        <w:t>)</w:t>
      </w:r>
      <w:r>
        <w:tab/>
      </w:r>
      <w:hyperlink r:id="rId4" w:history="1">
        <w:r>
          <w:rPr>
            <w:rStyle w:val="Hyperlink"/>
          </w:rPr>
          <w:t>Parlamentul European</w:t>
        </w:r>
      </w:hyperlink>
      <w:r>
        <w:t xml:space="preserve">, </w:t>
      </w:r>
      <w:hyperlink r:id="rId5" w:history="1">
        <w:r>
          <w:rPr>
            <w:rStyle w:val="Hyperlink"/>
          </w:rPr>
          <w:t>Comitetul Economic și Social European</w:t>
        </w:r>
      </w:hyperlink>
      <w:r>
        <w:t xml:space="preserve"> și </w:t>
      </w:r>
      <w:hyperlink r:id="rId6" w:history="1">
        <w:r>
          <w:rPr>
            <w:rStyle w:val="Hyperlink"/>
          </w:rPr>
          <w:t>Consiliul</w:t>
        </w:r>
      </w:hyperlink>
      <w:r>
        <w:t>.</w:t>
      </w:r>
    </w:p>
  </w:footnote>
  <w:footnote w:id="4">
    <w:p w14:paraId="2258D4E7" w14:textId="77777777" w:rsidR="00FB01BD" w:rsidRPr="00192C38" w:rsidRDefault="00FB01BD" w:rsidP="00103874">
      <w:pPr>
        <w:pStyle w:val="FootnoteText"/>
      </w:pPr>
      <w:r>
        <w:t>(</w:t>
      </w:r>
      <w:r>
        <w:rPr>
          <w:rStyle w:val="FootnoteReference"/>
        </w:rPr>
        <w:footnoteRef/>
      </w:r>
      <w:r>
        <w:t>)</w:t>
      </w:r>
      <w:r>
        <w:tab/>
        <w:t>O Uniune a egalității: Strategia privind drepturile persoanelor cu handicap (2021-2030) – raport intermediar referitor la punerea în aplicare, care însoțește prezenta comunicare.</w:t>
      </w:r>
    </w:p>
  </w:footnote>
  <w:footnote w:id="5">
    <w:p w14:paraId="44EC5C5D" w14:textId="107EE66F" w:rsidR="00FB01BD" w:rsidRPr="00845590" w:rsidRDefault="00FB01BD" w:rsidP="00103874">
      <w:pPr>
        <w:pStyle w:val="FootnoteText"/>
      </w:pPr>
      <w:r>
        <w:t>(</w:t>
      </w:r>
      <w:r>
        <w:rPr>
          <w:rStyle w:val="FootnoteReference"/>
        </w:rPr>
        <w:footnoteRef/>
      </w:r>
      <w:r>
        <w:t>)</w:t>
      </w:r>
      <w:r>
        <w:tab/>
      </w:r>
      <w:hyperlink r:id="rId7" w:history="1">
        <w:r>
          <w:rPr>
            <w:rStyle w:val="Hyperlink"/>
          </w:rPr>
          <w:t>Raportul din 2021 al raportorului special al ONU:</w:t>
        </w:r>
      </w:hyperlink>
      <w:r w:rsidR="00F844EA">
        <w:t xml:space="preserve"> </w:t>
      </w:r>
      <w:hyperlink r:id="rId8" w:history="1">
        <w:r>
          <w:rPr>
            <w:rStyle w:val="Hyperlink"/>
          </w:rPr>
          <w:t>Inteligența artificială și drepturile persoanelor cu handicap</w:t>
        </w:r>
      </w:hyperlink>
      <w:r>
        <w:t>.</w:t>
      </w:r>
    </w:p>
  </w:footnote>
  <w:footnote w:id="6">
    <w:p w14:paraId="3AA02956" w14:textId="77777777" w:rsidR="00FB01BD" w:rsidRPr="00CD7F8B" w:rsidRDefault="00FB01BD" w:rsidP="00103874">
      <w:pPr>
        <w:pStyle w:val="FootnoteText"/>
      </w:pPr>
      <w:r>
        <w:t>(</w:t>
      </w:r>
      <w:r>
        <w:rPr>
          <w:rStyle w:val="FootnoteReference"/>
        </w:rPr>
        <w:footnoteRef/>
      </w:r>
      <w:r>
        <w:t>)</w:t>
      </w:r>
      <w:r>
        <w:tab/>
        <w:t xml:space="preserve">Cum ar fi energia, alimentele și produsele cosmetice. În domeniul etichetării energetice, documentele generate de </w:t>
      </w:r>
      <w:hyperlink r:id="rId9" w:history="1">
        <w:r>
          <w:rPr>
            <w:rStyle w:val="Hyperlink"/>
          </w:rPr>
          <w:t>Registrul european al produselor pentru etichetarea energetică (EPREL)</w:t>
        </w:r>
      </w:hyperlink>
      <w:r>
        <w:t xml:space="preserve"> vor deveni mai accesibile începând din 2026. </w:t>
      </w:r>
    </w:p>
  </w:footnote>
  <w:footnote w:id="7">
    <w:p w14:paraId="3362C613" w14:textId="77777777" w:rsidR="007453BC" w:rsidRPr="00BA26FF" w:rsidRDefault="007453BC" w:rsidP="00103874">
      <w:pPr>
        <w:pStyle w:val="FootnoteText"/>
      </w:pPr>
      <w:r>
        <w:t>(</w:t>
      </w:r>
      <w:r>
        <w:rPr>
          <w:rStyle w:val="FootnoteReference"/>
        </w:rPr>
        <w:footnoteRef/>
      </w:r>
      <w:r>
        <w:t xml:space="preserve">) Extinse, prin </w:t>
      </w:r>
      <w:hyperlink r:id="rId10" w:history="1">
        <w:r>
          <w:rPr>
            <w:rStyle w:val="Hyperlink"/>
          </w:rPr>
          <w:t>Directiva (UE) 2024/2842 a Parlamentului European și a Consiliului</w:t>
        </w:r>
      </w:hyperlink>
      <w:r>
        <w:t>, la resortisanții din țări terțe aflați în situație de ședere legală pe teritoriul unui stat membru.</w:t>
      </w:r>
    </w:p>
  </w:footnote>
  <w:footnote w:id="8">
    <w:p w14:paraId="2279F16F" w14:textId="77777777" w:rsidR="00FB01BD" w:rsidRPr="00BA26FF" w:rsidRDefault="00FB01BD" w:rsidP="00103874">
      <w:pPr>
        <w:pStyle w:val="FootnoteText"/>
      </w:pPr>
      <w:r>
        <w:t>(</w:t>
      </w:r>
      <w:r>
        <w:rPr>
          <w:rStyle w:val="FootnoteReference"/>
        </w:rPr>
        <w:footnoteRef/>
      </w:r>
      <w:r>
        <w:t>)</w:t>
      </w:r>
      <w:r>
        <w:tab/>
      </w:r>
      <w:hyperlink r:id="rId11" w:history="1">
        <w:r>
          <w:rPr>
            <w:rStyle w:val="Hyperlink"/>
          </w:rPr>
          <w:t>Strategii pentru o viață independentă și incluziune socială în Europa |</w:t>
        </w:r>
      </w:hyperlink>
      <w:hyperlink r:id="rId12" w:history="1">
        <w:r>
          <w:rPr>
            <w:rStyle w:val="Hyperlink"/>
          </w:rPr>
          <w:t xml:space="preserve"> Eurofound</w:t>
        </w:r>
      </w:hyperlink>
      <w:r>
        <w:t>.</w:t>
      </w:r>
    </w:p>
  </w:footnote>
  <w:footnote w:id="9">
    <w:p w14:paraId="173D5295" w14:textId="29F1C7D2" w:rsidR="00B21951" w:rsidRPr="00B21951" w:rsidRDefault="00B21951">
      <w:pPr>
        <w:pStyle w:val="FootnoteText"/>
      </w:pPr>
      <w:r>
        <w:t>(</w:t>
      </w:r>
      <w:r>
        <w:rPr>
          <w:rStyle w:val="FootnoteReference"/>
        </w:rPr>
        <w:footnoteRef/>
      </w:r>
      <w:r>
        <w:t>)</w:t>
      </w:r>
      <w:r>
        <w:tab/>
        <w:t xml:space="preserve">Comisia Europeană, </w:t>
      </w:r>
      <w:hyperlink r:id="rId13" w:history="1">
        <w:r>
          <w:rPr>
            <w:rStyle w:val="Hyperlink"/>
          </w:rPr>
          <w:t>Evoluția ocupării forței de muncă și a situației sociale în Europa (2025)</w:t>
        </w:r>
      </w:hyperlink>
    </w:p>
  </w:footnote>
  <w:footnote w:id="10">
    <w:p w14:paraId="37A97DCF" w14:textId="27F3A91E" w:rsidR="00FB01BD" w:rsidRPr="00BA26FF" w:rsidRDefault="00FB01BD" w:rsidP="00103874">
      <w:pPr>
        <w:pStyle w:val="FootnoteText"/>
      </w:pPr>
      <w:r>
        <w:t>(</w:t>
      </w:r>
      <w:r>
        <w:rPr>
          <w:rStyle w:val="FootnoteReference"/>
        </w:rPr>
        <w:footnoteRef/>
      </w:r>
      <w:r>
        <w:t>)</w:t>
      </w:r>
      <w:r>
        <w:tab/>
        <w:t>Sursă: </w:t>
      </w:r>
      <w:hyperlink r:id="rId14" w:history="1">
        <w:r>
          <w:rPr>
            <w:rStyle w:val="Hyperlink"/>
          </w:rPr>
          <w:t>Eurostat</w:t>
        </w:r>
      </w:hyperlink>
      <w:r>
        <w:t xml:space="preserve">. Diferența între rata de ocupare a persoanelor cu handicap și cea din rândul restului populației reprezintă un indicator principal în </w:t>
      </w:r>
      <w:hyperlink r:id="rId15" w:history="1">
        <w:r>
          <w:rPr>
            <w:rStyle w:val="Hyperlink"/>
          </w:rPr>
          <w:t>tabloul de bord social</w:t>
        </w:r>
      </w:hyperlink>
      <w:r>
        <w:t xml:space="preserve">, principalul instrument de monitorizare pentru punerea în aplicare a Pilonului european al drepturilor sociale, inclusiv în contextul Semestrului european. </w:t>
      </w:r>
    </w:p>
  </w:footnote>
  <w:footnote w:id="11">
    <w:p w14:paraId="7C4C3D78" w14:textId="0FD5FD1B" w:rsidR="00FB01BD" w:rsidRPr="005746F6" w:rsidRDefault="00FB01BD" w:rsidP="00103874">
      <w:pPr>
        <w:pStyle w:val="FootnoteText"/>
      </w:pPr>
      <w:r>
        <w:t>(</w:t>
      </w:r>
      <w:r>
        <w:rPr>
          <w:rStyle w:val="FootnoteReference"/>
        </w:rPr>
        <w:footnoteRef/>
      </w:r>
      <w:r>
        <w:t>)</w:t>
      </w:r>
      <w:r>
        <w:tab/>
        <w:t>Amenajările corespunzătoare reprezintă orice modificare în raport cu un rol profesional sau cu un mediu de lucru, care este necesară pentru a-i permite unui angajat cu handicap să își desfășoare activitatea.</w:t>
      </w:r>
    </w:p>
  </w:footnote>
  <w:footnote w:id="12">
    <w:p w14:paraId="13DF2B8B" w14:textId="77777777" w:rsidR="00FB01BD" w:rsidRPr="007C0A16" w:rsidRDefault="00FB01BD" w:rsidP="00103874">
      <w:pPr>
        <w:pStyle w:val="FootnoteText"/>
      </w:pPr>
      <w:r>
        <w:t>(</w:t>
      </w:r>
      <w:r>
        <w:rPr>
          <w:rStyle w:val="FootnoteReference"/>
        </w:rPr>
        <w:footnoteRef/>
      </w:r>
      <w:r>
        <w:t xml:space="preserve">)   Inclusiv pe baza </w:t>
      </w:r>
      <w:hyperlink r:id="rId16" w:history="1">
        <w:r>
          <w:rPr>
            <w:rStyle w:val="Hyperlink"/>
          </w:rPr>
          <w:t>activității Eurofound</w:t>
        </w:r>
      </w:hyperlink>
      <w:r>
        <w:t xml:space="preserve"> cu privire la rolul partenerilor sociali în implementarea amenajărilor corespunzătoare la locul de muncă.</w:t>
      </w:r>
    </w:p>
  </w:footnote>
  <w:footnote w:id="13">
    <w:p w14:paraId="73962C37" w14:textId="25934A56" w:rsidR="00FB01BD" w:rsidRPr="00BA26FF" w:rsidRDefault="00FB01BD" w:rsidP="00103874">
      <w:pPr>
        <w:pStyle w:val="FootnoteText"/>
      </w:pPr>
      <w:r>
        <w:t>(</w:t>
      </w:r>
      <w:r>
        <w:rPr>
          <w:rStyle w:val="FootnoteReference"/>
        </w:rPr>
        <w:footnoteRef/>
      </w:r>
      <w:r>
        <w:t>)</w:t>
      </w:r>
      <w:r>
        <w:tab/>
        <w:t>Sursă: </w:t>
      </w:r>
      <w:hyperlink r:id="rId17" w:history="1">
        <w:r>
          <w:rPr>
            <w:rStyle w:val="Hyperlink"/>
            <w:u w:val="none"/>
          </w:rPr>
          <w:t>Eurostat</w:t>
        </w:r>
      </w:hyperlink>
      <w:r>
        <w:t>.</w:t>
      </w:r>
    </w:p>
  </w:footnote>
  <w:footnote w:id="14">
    <w:p w14:paraId="632B2713" w14:textId="6F5AF33C" w:rsidR="00FB01BD" w:rsidRPr="00BA26FF" w:rsidRDefault="00FB01BD" w:rsidP="00103874">
      <w:pPr>
        <w:pStyle w:val="FootnoteText"/>
      </w:pPr>
      <w:r>
        <w:t>(</w:t>
      </w:r>
      <w:r>
        <w:rPr>
          <w:rStyle w:val="FootnoteReference"/>
        </w:rPr>
        <w:footnoteRef/>
      </w:r>
      <w:r>
        <w:t>)</w:t>
      </w:r>
      <w:r>
        <w:tab/>
      </w:r>
      <w:hyperlink r:id="rId18" w:history="1">
        <w:r>
          <w:rPr>
            <w:rStyle w:val="Hyperlink"/>
          </w:rPr>
          <w:t>Ruperea cercului vicios:</w:t>
        </w:r>
      </w:hyperlink>
      <w:r w:rsidR="00F844EA">
        <w:t xml:space="preserve"> </w:t>
      </w:r>
      <w:hyperlink r:id="rId19" w:history="1">
        <w:r>
          <w:rPr>
            <w:rStyle w:val="Hyperlink"/>
          </w:rPr>
          <w:t>combaterea sărăciei energetice în rândul persoanelor cu handicap din Europa</w:t>
        </w:r>
      </w:hyperlink>
      <w:r>
        <w:t>.</w:t>
      </w:r>
    </w:p>
  </w:footnote>
  <w:footnote w:id="15">
    <w:p w14:paraId="0986EFBA" w14:textId="77777777" w:rsidR="00FB01BD" w:rsidRPr="004F0801" w:rsidRDefault="00FB01BD" w:rsidP="00103874">
      <w:pPr>
        <w:pStyle w:val="FootnoteText"/>
      </w:pPr>
      <w:r>
        <w:t>(</w:t>
      </w:r>
      <w:r>
        <w:rPr>
          <w:rStyle w:val="FootnoteReference"/>
        </w:rPr>
        <w:footnoteRef/>
      </w:r>
      <w:r>
        <w:t>)</w:t>
      </w:r>
      <w:r>
        <w:tab/>
      </w:r>
      <w:hyperlink r:id="rId20" w:history="1">
        <w:r>
          <w:rPr>
            <w:rStyle w:val="Hyperlink"/>
          </w:rPr>
          <w:t>Propunere de recomandare a Consiliului privind combaterea excluziunii în materie de locuințe</w:t>
        </w:r>
      </w:hyperlink>
      <w:r>
        <w:t>.</w:t>
      </w:r>
    </w:p>
  </w:footnote>
  <w:footnote w:id="16">
    <w:p w14:paraId="359C9EB9" w14:textId="5F0E1EEB" w:rsidR="007453BC" w:rsidRPr="009852CB" w:rsidRDefault="007453BC" w:rsidP="00103874">
      <w:pPr>
        <w:pStyle w:val="FootnoteText"/>
      </w:pPr>
      <w:r>
        <w:t>(</w:t>
      </w:r>
      <w:r>
        <w:rPr>
          <w:rStyle w:val="FootnoteReference"/>
        </w:rPr>
        <w:footnoteRef/>
      </w:r>
      <w:r>
        <w:t>)</w:t>
      </w:r>
      <w:r>
        <w:tab/>
        <w:t>Sursă: </w:t>
      </w:r>
      <w:hyperlink r:id="rId21" w:history="1">
        <w:r>
          <w:rPr>
            <w:rStyle w:val="Hyperlink"/>
          </w:rPr>
          <w:t>Eurostat</w:t>
        </w:r>
      </w:hyperlink>
      <w:r>
        <w:rPr>
          <w:rStyle w:val="Hyperlink"/>
        </w:rPr>
        <w:t>.</w:t>
      </w:r>
      <w:r>
        <w:t xml:space="preserve"> Ponderea tinerilor cu handicap care au părăsit prea devreme școala a fost de 17,1 %, comparativ cu 8,0 % în cazul persoanelor fără handicap.</w:t>
      </w:r>
    </w:p>
  </w:footnote>
  <w:footnote w:id="17">
    <w:p w14:paraId="5D07C7D0" w14:textId="540F1AEB" w:rsidR="007453BC" w:rsidRPr="008C6089" w:rsidRDefault="007453BC" w:rsidP="00103874">
      <w:pPr>
        <w:pStyle w:val="FootnoteText"/>
      </w:pPr>
      <w:r>
        <w:t>(</w:t>
      </w:r>
      <w:r>
        <w:rPr>
          <w:rStyle w:val="FootnoteReference"/>
        </w:rPr>
        <w:footnoteRef/>
      </w:r>
      <w:r>
        <w:t xml:space="preserve">)  De exemplu, acțiunea comună </w:t>
      </w:r>
      <w:hyperlink r:id="rId22" w:history="1">
        <w:r>
          <w:rPr>
            <w:rStyle w:val="Hyperlink"/>
          </w:rPr>
          <w:t>EUCanScreen</w:t>
        </w:r>
      </w:hyperlink>
      <w:r>
        <w:t xml:space="preserve"> contribuie la îmbunătățirea accesului la screeningul pentru depistarea cancerului pentru persoanele cu handicap intelectual, inclusiv prin intermediul unui studiu de fezabilitate referitor la acceptarea autoeșantionării HPV (papilomavirusul uman) în rândul persoanelor care nu participă la screeningul pe termen lung și care suferă de un handicap mintal ușor până la moderat.</w:t>
      </w:r>
    </w:p>
  </w:footnote>
  <w:footnote w:id="18">
    <w:p w14:paraId="4830B160" w14:textId="36ABC3A8" w:rsidR="00FB01BD" w:rsidRPr="00BA26FF" w:rsidRDefault="00FB01BD" w:rsidP="00103874">
      <w:pPr>
        <w:pStyle w:val="FootnoteText"/>
      </w:pPr>
      <w:r>
        <w:t>(</w:t>
      </w:r>
      <w:r>
        <w:rPr>
          <w:rStyle w:val="FootnoteReference"/>
        </w:rPr>
        <w:footnoteRef/>
      </w:r>
      <w:r>
        <w:t>) Din perspectiva unei abordări intersecționale, discriminarea persoanelor cu handicap se poate suprapune cu alte forme de discriminare bazate pe alte identități sau caracteristici personale.</w:t>
      </w:r>
      <w:r w:rsidR="00F844EA">
        <w:t xml:space="preserve"> </w:t>
      </w:r>
      <w:r>
        <w:t>Printre acestea se numără genul, vârsta, religia sau convingerile, orientarea sexuală și identitatea/exprimarea de gen, originea rasială sau etnică. Intersecționalitatea duce la inegalități specifice și la experiențe unice de discriminare.</w:t>
      </w:r>
    </w:p>
  </w:footnote>
  <w:footnote w:id="19">
    <w:p w14:paraId="0F117F74" w14:textId="77777777" w:rsidR="00FB01BD" w:rsidRPr="00BA26FF" w:rsidRDefault="00FB01BD" w:rsidP="00103874">
      <w:pPr>
        <w:pStyle w:val="FootnoteText"/>
      </w:pPr>
      <w:r>
        <w:t>(</w:t>
      </w:r>
      <w:r>
        <w:rPr>
          <w:rStyle w:val="FootnoteReference"/>
        </w:rPr>
        <w:footnoteRef/>
      </w:r>
      <w:r>
        <w:t>)</w:t>
      </w:r>
      <w:r>
        <w:tab/>
        <w:t>Numărul de urgență 112 urmează să fie pe deplin accesibil în întreaga UE, în conformitate cu Actul european privind accesibilitatea.</w:t>
      </w:r>
    </w:p>
  </w:footnote>
  <w:footnote w:id="20">
    <w:p w14:paraId="2D5334DF" w14:textId="77777777" w:rsidR="00FB01BD" w:rsidRPr="000018ED" w:rsidRDefault="00FB01BD" w:rsidP="00103874">
      <w:pPr>
        <w:pStyle w:val="FootnoteText"/>
      </w:pPr>
      <w:r>
        <w:t>(</w:t>
      </w:r>
      <w:r>
        <w:rPr>
          <w:rStyle w:val="FootnoteReference"/>
        </w:rPr>
        <w:footnoteRef/>
      </w:r>
      <w:r>
        <w:t>)</w:t>
      </w:r>
      <w:r>
        <w:tab/>
        <w:t xml:space="preserve">În temeiul articolului 20 litera (a) din </w:t>
      </w:r>
      <w:hyperlink r:id="rId23" w:history="1">
        <w:r>
          <w:rPr>
            <w:rStyle w:val="Hyperlink"/>
          </w:rPr>
          <w:t>Decizia privind mecanismul de protecție civilă al Uniunii</w:t>
        </w:r>
      </w:hyperlink>
      <w:r>
        <w:t>.</w:t>
      </w:r>
    </w:p>
  </w:footnote>
  <w:footnote w:id="21">
    <w:p w14:paraId="6C201D89" w14:textId="77777777" w:rsidR="00FB01BD" w:rsidRPr="00BA26FF" w:rsidRDefault="00FB01BD" w:rsidP="00103874">
      <w:pPr>
        <w:pStyle w:val="FootnoteText"/>
      </w:pPr>
      <w:r>
        <w:t>(</w:t>
      </w:r>
      <w:r>
        <w:rPr>
          <w:rStyle w:val="FootnoteReference"/>
        </w:rPr>
        <w:footnoteRef/>
      </w:r>
      <w:r>
        <w:t>)</w:t>
      </w:r>
      <w:r>
        <w:tab/>
        <w:t xml:space="preserve">Date din 2022. Sursă: </w:t>
      </w:r>
      <w:hyperlink r:id="rId24" w:history="1">
        <w:r>
          <w:rPr>
            <w:rStyle w:val="Hyperlink"/>
          </w:rPr>
          <w:t>Raportul global privind echitatea în materie de sănătate pentru persoanele cu handicap</w:t>
        </w:r>
      </w:hyperlink>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DBF43" w14:textId="77777777" w:rsidR="00F77A11" w:rsidRPr="00F77A11" w:rsidRDefault="00F77A11" w:rsidP="00F77A1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0D1062" w14:textId="77777777" w:rsidR="00F77A11" w:rsidRPr="00F77A11" w:rsidRDefault="00F77A11" w:rsidP="00F77A1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5EB278" w14:textId="77777777" w:rsidR="00F77A11" w:rsidRPr="00F77A11" w:rsidRDefault="00F77A11" w:rsidP="00F77A1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5A9C21" w14:textId="77777777" w:rsidR="0046622A" w:rsidRDefault="004662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765D0D" w14:textId="77777777" w:rsidR="00B41605" w:rsidRDefault="00B4160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2E1F0F" w14:textId="77777777" w:rsidR="0046622A" w:rsidRDefault="004662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AB77C7"/>
    <w:multiLevelType w:val="multilevel"/>
    <w:tmpl w:val="9C5CF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0EB0842"/>
    <w:multiLevelType w:val="hybridMultilevel"/>
    <w:tmpl w:val="10E6A77C"/>
    <w:lvl w:ilvl="0" w:tplc="2496D1EA">
      <w:start w:val="3"/>
      <w:numFmt w:val="upperRoman"/>
      <w:lvlText w:val="%1."/>
      <w:lvlJc w:val="righ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846964"/>
    <w:multiLevelType w:val="hybridMultilevel"/>
    <w:tmpl w:val="1D163D56"/>
    <w:lvl w:ilvl="0" w:tplc="8BD6FD34">
      <w:start w:val="1"/>
      <w:numFmt w:val="upperRoman"/>
      <w:lvlText w:val="%1."/>
      <w:lvlJc w:val="left"/>
      <w:pPr>
        <w:ind w:left="720" w:hanging="360"/>
      </w:pPr>
      <w:rPr>
        <w:rFonts w:cs="Times New Roman" w:hint="default"/>
        <w:b w:val="0"/>
        <w:bCs/>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15:restartNumberingAfterBreak="0">
    <w:nsid w:val="27302843"/>
    <w:multiLevelType w:val="hybridMultilevel"/>
    <w:tmpl w:val="95C66FC8"/>
    <w:lvl w:ilvl="0" w:tplc="EA7648FC">
      <w:start w:val="1"/>
      <w:numFmt w:val="upperRoman"/>
      <w:lvlText w:val="%1."/>
      <w:lvlJc w:val="left"/>
      <w:pPr>
        <w:ind w:left="1800" w:hanging="720"/>
      </w:pPr>
      <w:rPr>
        <w:rFonts w:cs="Times New Roman" w:hint="default"/>
        <w:b/>
        <w:bCs w:val="0"/>
        <w:u w:val="single"/>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 w15:restartNumberingAfterBreak="0">
    <w:nsid w:val="2FF62584"/>
    <w:multiLevelType w:val="hybridMultilevel"/>
    <w:tmpl w:val="F5F0A9CC"/>
    <w:lvl w:ilvl="0" w:tplc="8F7E58E4">
      <w:start w:val="1"/>
      <w:numFmt w:val="bullet"/>
      <w:lvlText w:val=""/>
      <w:lvlJc w:val="left"/>
      <w:pPr>
        <w:ind w:left="1020" w:hanging="360"/>
      </w:pPr>
      <w:rPr>
        <w:rFonts w:ascii="Symbol" w:hAnsi="Symbol"/>
      </w:rPr>
    </w:lvl>
    <w:lvl w:ilvl="1" w:tplc="991E9712">
      <w:start w:val="1"/>
      <w:numFmt w:val="bullet"/>
      <w:lvlText w:val=""/>
      <w:lvlJc w:val="left"/>
      <w:pPr>
        <w:ind w:left="1020" w:hanging="360"/>
      </w:pPr>
      <w:rPr>
        <w:rFonts w:ascii="Symbol" w:hAnsi="Symbol"/>
      </w:rPr>
    </w:lvl>
    <w:lvl w:ilvl="2" w:tplc="04F80044">
      <w:start w:val="1"/>
      <w:numFmt w:val="bullet"/>
      <w:lvlText w:val=""/>
      <w:lvlJc w:val="left"/>
      <w:pPr>
        <w:ind w:left="1020" w:hanging="360"/>
      </w:pPr>
      <w:rPr>
        <w:rFonts w:ascii="Symbol" w:hAnsi="Symbol"/>
      </w:rPr>
    </w:lvl>
    <w:lvl w:ilvl="3" w:tplc="818C4B14">
      <w:start w:val="1"/>
      <w:numFmt w:val="bullet"/>
      <w:lvlText w:val=""/>
      <w:lvlJc w:val="left"/>
      <w:pPr>
        <w:ind w:left="1020" w:hanging="360"/>
      </w:pPr>
      <w:rPr>
        <w:rFonts w:ascii="Symbol" w:hAnsi="Symbol"/>
      </w:rPr>
    </w:lvl>
    <w:lvl w:ilvl="4" w:tplc="9A66EA8E">
      <w:start w:val="1"/>
      <w:numFmt w:val="bullet"/>
      <w:lvlText w:val=""/>
      <w:lvlJc w:val="left"/>
      <w:pPr>
        <w:ind w:left="1020" w:hanging="360"/>
      </w:pPr>
      <w:rPr>
        <w:rFonts w:ascii="Symbol" w:hAnsi="Symbol"/>
      </w:rPr>
    </w:lvl>
    <w:lvl w:ilvl="5" w:tplc="CB60CE6A">
      <w:start w:val="1"/>
      <w:numFmt w:val="bullet"/>
      <w:lvlText w:val=""/>
      <w:lvlJc w:val="left"/>
      <w:pPr>
        <w:ind w:left="1020" w:hanging="360"/>
      </w:pPr>
      <w:rPr>
        <w:rFonts w:ascii="Symbol" w:hAnsi="Symbol"/>
      </w:rPr>
    </w:lvl>
    <w:lvl w:ilvl="6" w:tplc="6228EF32">
      <w:start w:val="1"/>
      <w:numFmt w:val="bullet"/>
      <w:lvlText w:val=""/>
      <w:lvlJc w:val="left"/>
      <w:pPr>
        <w:ind w:left="1020" w:hanging="360"/>
      </w:pPr>
      <w:rPr>
        <w:rFonts w:ascii="Symbol" w:hAnsi="Symbol"/>
      </w:rPr>
    </w:lvl>
    <w:lvl w:ilvl="7" w:tplc="FCFCE6C8">
      <w:start w:val="1"/>
      <w:numFmt w:val="bullet"/>
      <w:lvlText w:val=""/>
      <w:lvlJc w:val="left"/>
      <w:pPr>
        <w:ind w:left="1020" w:hanging="360"/>
      </w:pPr>
      <w:rPr>
        <w:rFonts w:ascii="Symbol" w:hAnsi="Symbol"/>
      </w:rPr>
    </w:lvl>
    <w:lvl w:ilvl="8" w:tplc="09E28592">
      <w:start w:val="1"/>
      <w:numFmt w:val="bullet"/>
      <w:lvlText w:val=""/>
      <w:lvlJc w:val="left"/>
      <w:pPr>
        <w:ind w:left="1020" w:hanging="360"/>
      </w:pPr>
      <w:rPr>
        <w:rFonts w:ascii="Symbol" w:hAnsi="Symbol"/>
      </w:rPr>
    </w:lvl>
  </w:abstractNum>
  <w:abstractNum w:abstractNumId="5" w15:restartNumberingAfterBreak="0">
    <w:nsid w:val="46045679"/>
    <w:multiLevelType w:val="hybridMultilevel"/>
    <w:tmpl w:val="97FC4B88"/>
    <w:lvl w:ilvl="0" w:tplc="F8EE4E50">
      <w:start w:val="1"/>
      <w:numFmt w:val="upperRoman"/>
      <w:lvlText w:val="%1."/>
      <w:lvlJc w:val="left"/>
      <w:pPr>
        <w:ind w:left="1080" w:hanging="720"/>
      </w:pPr>
      <w:rPr>
        <w:rFonts w:cs="Times New Roman" w:hint="default"/>
        <w:u w:val="singl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4E8B79FB"/>
    <w:multiLevelType w:val="hybridMultilevel"/>
    <w:tmpl w:val="E0D28F4C"/>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54E0588A"/>
    <w:multiLevelType w:val="hybridMultilevel"/>
    <w:tmpl w:val="C39CD91C"/>
    <w:lvl w:ilvl="0" w:tplc="1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56011941"/>
    <w:multiLevelType w:val="hybridMultilevel"/>
    <w:tmpl w:val="3DEE606A"/>
    <w:lvl w:ilvl="0" w:tplc="267491B4">
      <w:start w:val="1"/>
      <w:numFmt w:val="decimal"/>
      <w:pStyle w:val="Style3"/>
      <w:lvlText w:val="%1."/>
      <w:lvlJc w:val="left"/>
      <w:pPr>
        <w:ind w:left="1080" w:hanging="360"/>
      </w:pPr>
    </w:lvl>
    <w:lvl w:ilvl="1" w:tplc="10000019" w:tentative="1">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9" w15:restartNumberingAfterBreak="0">
    <w:nsid w:val="580E4B2E"/>
    <w:multiLevelType w:val="hybridMultilevel"/>
    <w:tmpl w:val="DFCC54B4"/>
    <w:lvl w:ilvl="0" w:tplc="1174DECC">
      <w:start w:val="1"/>
      <w:numFmt w:val="bullet"/>
      <w:lvlText w:val=""/>
      <w:lvlJc w:val="left"/>
      <w:pPr>
        <w:ind w:left="1020" w:hanging="360"/>
      </w:pPr>
      <w:rPr>
        <w:rFonts w:ascii="Symbol" w:hAnsi="Symbol"/>
      </w:rPr>
    </w:lvl>
    <w:lvl w:ilvl="1" w:tplc="BA54C1F2">
      <w:start w:val="1"/>
      <w:numFmt w:val="bullet"/>
      <w:lvlText w:val=""/>
      <w:lvlJc w:val="left"/>
      <w:pPr>
        <w:ind w:left="1020" w:hanging="360"/>
      </w:pPr>
      <w:rPr>
        <w:rFonts w:ascii="Symbol" w:hAnsi="Symbol"/>
      </w:rPr>
    </w:lvl>
    <w:lvl w:ilvl="2" w:tplc="F76231BC">
      <w:start w:val="1"/>
      <w:numFmt w:val="bullet"/>
      <w:lvlText w:val=""/>
      <w:lvlJc w:val="left"/>
      <w:pPr>
        <w:ind w:left="1020" w:hanging="360"/>
      </w:pPr>
      <w:rPr>
        <w:rFonts w:ascii="Symbol" w:hAnsi="Symbol"/>
      </w:rPr>
    </w:lvl>
    <w:lvl w:ilvl="3" w:tplc="5B5C47D6">
      <w:start w:val="1"/>
      <w:numFmt w:val="bullet"/>
      <w:lvlText w:val=""/>
      <w:lvlJc w:val="left"/>
      <w:pPr>
        <w:ind w:left="1020" w:hanging="360"/>
      </w:pPr>
      <w:rPr>
        <w:rFonts w:ascii="Symbol" w:hAnsi="Symbol"/>
      </w:rPr>
    </w:lvl>
    <w:lvl w:ilvl="4" w:tplc="6AE697A0">
      <w:start w:val="1"/>
      <w:numFmt w:val="bullet"/>
      <w:lvlText w:val=""/>
      <w:lvlJc w:val="left"/>
      <w:pPr>
        <w:ind w:left="1020" w:hanging="360"/>
      </w:pPr>
      <w:rPr>
        <w:rFonts w:ascii="Symbol" w:hAnsi="Symbol"/>
      </w:rPr>
    </w:lvl>
    <w:lvl w:ilvl="5" w:tplc="7150980C">
      <w:start w:val="1"/>
      <w:numFmt w:val="bullet"/>
      <w:lvlText w:val=""/>
      <w:lvlJc w:val="left"/>
      <w:pPr>
        <w:ind w:left="1020" w:hanging="360"/>
      </w:pPr>
      <w:rPr>
        <w:rFonts w:ascii="Symbol" w:hAnsi="Symbol"/>
      </w:rPr>
    </w:lvl>
    <w:lvl w:ilvl="6" w:tplc="B1C0AF1C">
      <w:start w:val="1"/>
      <w:numFmt w:val="bullet"/>
      <w:lvlText w:val=""/>
      <w:lvlJc w:val="left"/>
      <w:pPr>
        <w:ind w:left="1020" w:hanging="360"/>
      </w:pPr>
      <w:rPr>
        <w:rFonts w:ascii="Symbol" w:hAnsi="Symbol"/>
      </w:rPr>
    </w:lvl>
    <w:lvl w:ilvl="7" w:tplc="6212B268">
      <w:start w:val="1"/>
      <w:numFmt w:val="bullet"/>
      <w:lvlText w:val=""/>
      <w:lvlJc w:val="left"/>
      <w:pPr>
        <w:ind w:left="1020" w:hanging="360"/>
      </w:pPr>
      <w:rPr>
        <w:rFonts w:ascii="Symbol" w:hAnsi="Symbol"/>
      </w:rPr>
    </w:lvl>
    <w:lvl w:ilvl="8" w:tplc="BA4EC254">
      <w:start w:val="1"/>
      <w:numFmt w:val="bullet"/>
      <w:lvlText w:val=""/>
      <w:lvlJc w:val="left"/>
      <w:pPr>
        <w:ind w:left="1020" w:hanging="360"/>
      </w:pPr>
      <w:rPr>
        <w:rFonts w:ascii="Symbol" w:hAnsi="Symbol"/>
      </w:rPr>
    </w:lvl>
  </w:abstractNum>
  <w:abstractNum w:abstractNumId="10" w15:restartNumberingAfterBreak="0">
    <w:nsid w:val="5DDB5DD5"/>
    <w:multiLevelType w:val="hybridMultilevel"/>
    <w:tmpl w:val="D97024D0"/>
    <w:lvl w:ilvl="0" w:tplc="648EF0CE">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1" w15:restartNumberingAfterBreak="0">
    <w:nsid w:val="6EBB471A"/>
    <w:multiLevelType w:val="hybridMultilevel"/>
    <w:tmpl w:val="CFA8E500"/>
    <w:lvl w:ilvl="0" w:tplc="18090013">
      <w:start w:val="1"/>
      <w:numFmt w:val="upp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41932B8"/>
    <w:multiLevelType w:val="hybridMultilevel"/>
    <w:tmpl w:val="FA7270BA"/>
    <w:lvl w:ilvl="0" w:tplc="1C567C04">
      <w:start w:val="1"/>
      <w:numFmt w:val="bullet"/>
      <w:lvlText w:val=""/>
      <w:lvlJc w:val="left"/>
      <w:pPr>
        <w:ind w:left="1020" w:hanging="360"/>
      </w:pPr>
      <w:rPr>
        <w:rFonts w:ascii="Symbol" w:hAnsi="Symbol"/>
      </w:rPr>
    </w:lvl>
    <w:lvl w:ilvl="1" w:tplc="484030FE">
      <w:start w:val="1"/>
      <w:numFmt w:val="bullet"/>
      <w:lvlText w:val=""/>
      <w:lvlJc w:val="left"/>
      <w:pPr>
        <w:ind w:left="1020" w:hanging="360"/>
      </w:pPr>
      <w:rPr>
        <w:rFonts w:ascii="Symbol" w:hAnsi="Symbol"/>
      </w:rPr>
    </w:lvl>
    <w:lvl w:ilvl="2" w:tplc="EFC84A80">
      <w:start w:val="1"/>
      <w:numFmt w:val="bullet"/>
      <w:lvlText w:val=""/>
      <w:lvlJc w:val="left"/>
      <w:pPr>
        <w:ind w:left="1020" w:hanging="360"/>
      </w:pPr>
      <w:rPr>
        <w:rFonts w:ascii="Symbol" w:hAnsi="Symbol"/>
      </w:rPr>
    </w:lvl>
    <w:lvl w:ilvl="3" w:tplc="6270DB84">
      <w:start w:val="1"/>
      <w:numFmt w:val="bullet"/>
      <w:lvlText w:val=""/>
      <w:lvlJc w:val="left"/>
      <w:pPr>
        <w:ind w:left="1020" w:hanging="360"/>
      </w:pPr>
      <w:rPr>
        <w:rFonts w:ascii="Symbol" w:hAnsi="Symbol"/>
      </w:rPr>
    </w:lvl>
    <w:lvl w:ilvl="4" w:tplc="D15C5DB2">
      <w:start w:val="1"/>
      <w:numFmt w:val="bullet"/>
      <w:lvlText w:val=""/>
      <w:lvlJc w:val="left"/>
      <w:pPr>
        <w:ind w:left="1020" w:hanging="360"/>
      </w:pPr>
      <w:rPr>
        <w:rFonts w:ascii="Symbol" w:hAnsi="Symbol"/>
      </w:rPr>
    </w:lvl>
    <w:lvl w:ilvl="5" w:tplc="F3E4F280">
      <w:start w:val="1"/>
      <w:numFmt w:val="bullet"/>
      <w:lvlText w:val=""/>
      <w:lvlJc w:val="left"/>
      <w:pPr>
        <w:ind w:left="1020" w:hanging="360"/>
      </w:pPr>
      <w:rPr>
        <w:rFonts w:ascii="Symbol" w:hAnsi="Symbol"/>
      </w:rPr>
    </w:lvl>
    <w:lvl w:ilvl="6" w:tplc="E202F6B8">
      <w:start w:val="1"/>
      <w:numFmt w:val="bullet"/>
      <w:lvlText w:val=""/>
      <w:lvlJc w:val="left"/>
      <w:pPr>
        <w:ind w:left="1020" w:hanging="360"/>
      </w:pPr>
      <w:rPr>
        <w:rFonts w:ascii="Symbol" w:hAnsi="Symbol"/>
      </w:rPr>
    </w:lvl>
    <w:lvl w:ilvl="7" w:tplc="9AE2627C">
      <w:start w:val="1"/>
      <w:numFmt w:val="bullet"/>
      <w:lvlText w:val=""/>
      <w:lvlJc w:val="left"/>
      <w:pPr>
        <w:ind w:left="1020" w:hanging="360"/>
      </w:pPr>
      <w:rPr>
        <w:rFonts w:ascii="Symbol" w:hAnsi="Symbol"/>
      </w:rPr>
    </w:lvl>
    <w:lvl w:ilvl="8" w:tplc="9FF63CBC">
      <w:start w:val="1"/>
      <w:numFmt w:val="bullet"/>
      <w:lvlText w:val=""/>
      <w:lvlJc w:val="left"/>
      <w:pPr>
        <w:ind w:left="1020" w:hanging="360"/>
      </w:pPr>
      <w:rPr>
        <w:rFonts w:ascii="Symbol" w:hAnsi="Symbol"/>
      </w:rPr>
    </w:lvl>
  </w:abstractNum>
  <w:abstractNum w:abstractNumId="13" w15:restartNumberingAfterBreak="0">
    <w:nsid w:val="74EB3377"/>
    <w:multiLevelType w:val="hybridMultilevel"/>
    <w:tmpl w:val="0E201C00"/>
    <w:lvl w:ilvl="0" w:tplc="709A45C6">
      <w:start w:val="1"/>
      <w:numFmt w:val="upperLetter"/>
      <w:lvlText w:val="%1)"/>
      <w:lvlJc w:val="left"/>
      <w:pPr>
        <w:ind w:left="720" w:hanging="360"/>
      </w:pPr>
      <w:rPr>
        <w:rFonts w:cs="Times New Roman"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75C013D3"/>
    <w:multiLevelType w:val="hybridMultilevel"/>
    <w:tmpl w:val="8AC2AD1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15" w15:restartNumberingAfterBreak="0">
    <w:nsid w:val="7D09254B"/>
    <w:multiLevelType w:val="hybridMultilevel"/>
    <w:tmpl w:val="E6FCDE00"/>
    <w:lvl w:ilvl="0" w:tplc="4CC82CC0">
      <w:start w:val="1"/>
      <w:numFmt w:val="bullet"/>
      <w:lvlText w:val=""/>
      <w:lvlJc w:val="left"/>
      <w:pPr>
        <w:ind w:left="1020" w:hanging="360"/>
      </w:pPr>
      <w:rPr>
        <w:rFonts w:ascii="Symbol" w:hAnsi="Symbol"/>
      </w:rPr>
    </w:lvl>
    <w:lvl w:ilvl="1" w:tplc="3B3A9E20">
      <w:start w:val="1"/>
      <w:numFmt w:val="bullet"/>
      <w:lvlText w:val=""/>
      <w:lvlJc w:val="left"/>
      <w:pPr>
        <w:ind w:left="1020" w:hanging="360"/>
      </w:pPr>
      <w:rPr>
        <w:rFonts w:ascii="Symbol" w:hAnsi="Symbol"/>
      </w:rPr>
    </w:lvl>
    <w:lvl w:ilvl="2" w:tplc="987C444A">
      <w:start w:val="1"/>
      <w:numFmt w:val="bullet"/>
      <w:lvlText w:val=""/>
      <w:lvlJc w:val="left"/>
      <w:pPr>
        <w:ind w:left="1020" w:hanging="360"/>
      </w:pPr>
      <w:rPr>
        <w:rFonts w:ascii="Symbol" w:hAnsi="Symbol"/>
      </w:rPr>
    </w:lvl>
    <w:lvl w:ilvl="3" w:tplc="2DEAD9E2">
      <w:start w:val="1"/>
      <w:numFmt w:val="bullet"/>
      <w:lvlText w:val=""/>
      <w:lvlJc w:val="left"/>
      <w:pPr>
        <w:ind w:left="1020" w:hanging="360"/>
      </w:pPr>
      <w:rPr>
        <w:rFonts w:ascii="Symbol" w:hAnsi="Symbol"/>
      </w:rPr>
    </w:lvl>
    <w:lvl w:ilvl="4" w:tplc="48428DF6">
      <w:start w:val="1"/>
      <w:numFmt w:val="bullet"/>
      <w:lvlText w:val=""/>
      <w:lvlJc w:val="left"/>
      <w:pPr>
        <w:ind w:left="1020" w:hanging="360"/>
      </w:pPr>
      <w:rPr>
        <w:rFonts w:ascii="Symbol" w:hAnsi="Symbol"/>
      </w:rPr>
    </w:lvl>
    <w:lvl w:ilvl="5" w:tplc="7A2C6C34">
      <w:start w:val="1"/>
      <w:numFmt w:val="bullet"/>
      <w:lvlText w:val=""/>
      <w:lvlJc w:val="left"/>
      <w:pPr>
        <w:ind w:left="1020" w:hanging="360"/>
      </w:pPr>
      <w:rPr>
        <w:rFonts w:ascii="Symbol" w:hAnsi="Symbol"/>
      </w:rPr>
    </w:lvl>
    <w:lvl w:ilvl="6" w:tplc="5FBC4224">
      <w:start w:val="1"/>
      <w:numFmt w:val="bullet"/>
      <w:lvlText w:val=""/>
      <w:lvlJc w:val="left"/>
      <w:pPr>
        <w:ind w:left="1020" w:hanging="360"/>
      </w:pPr>
      <w:rPr>
        <w:rFonts w:ascii="Symbol" w:hAnsi="Symbol"/>
      </w:rPr>
    </w:lvl>
    <w:lvl w:ilvl="7" w:tplc="B3E4BEBC">
      <w:start w:val="1"/>
      <w:numFmt w:val="bullet"/>
      <w:lvlText w:val=""/>
      <w:lvlJc w:val="left"/>
      <w:pPr>
        <w:ind w:left="1020" w:hanging="360"/>
      </w:pPr>
      <w:rPr>
        <w:rFonts w:ascii="Symbol" w:hAnsi="Symbol"/>
      </w:rPr>
    </w:lvl>
    <w:lvl w:ilvl="8" w:tplc="AD40E230">
      <w:start w:val="1"/>
      <w:numFmt w:val="bullet"/>
      <w:lvlText w:val=""/>
      <w:lvlJc w:val="left"/>
      <w:pPr>
        <w:ind w:left="1020" w:hanging="360"/>
      </w:pPr>
      <w:rPr>
        <w:rFonts w:ascii="Symbol" w:hAnsi="Symbol"/>
      </w:rPr>
    </w:lvl>
  </w:abstractNum>
  <w:abstractNum w:abstractNumId="16" w15:restartNumberingAfterBreak="0">
    <w:nsid w:val="7F801833"/>
    <w:multiLevelType w:val="hybridMultilevel"/>
    <w:tmpl w:val="0DD4DBCC"/>
    <w:lvl w:ilvl="0" w:tplc="D6D65EF4">
      <w:start w:val="1"/>
      <w:numFmt w:val="decimal"/>
      <w:pStyle w:val="Style1"/>
      <w:lvlText w:val="%1."/>
      <w:lvlJc w:val="left"/>
      <w:pPr>
        <w:ind w:left="720" w:hanging="360"/>
      </w:p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num w:numId="1">
    <w:abstractNumId w:val="16"/>
  </w:num>
  <w:num w:numId="2">
    <w:abstractNumId w:val="8"/>
  </w:num>
  <w:num w:numId="3">
    <w:abstractNumId w:val="14"/>
  </w:num>
  <w:num w:numId="4">
    <w:abstractNumId w:val="4"/>
  </w:num>
  <w:num w:numId="5">
    <w:abstractNumId w:val="15"/>
  </w:num>
  <w:num w:numId="6">
    <w:abstractNumId w:val="9"/>
  </w:num>
  <w:num w:numId="7">
    <w:abstractNumId w:val="12"/>
  </w:num>
  <w:num w:numId="8">
    <w:abstractNumId w:val="0"/>
  </w:num>
  <w:num w:numId="9">
    <w:abstractNumId w:val="2"/>
  </w:num>
  <w:num w:numId="10">
    <w:abstractNumId w:val="6"/>
  </w:num>
  <w:num w:numId="11">
    <w:abstractNumId w:val="13"/>
  </w:num>
  <w:num w:numId="12">
    <w:abstractNumId w:val="5"/>
  </w:num>
  <w:num w:numId="13">
    <w:abstractNumId w:val="3"/>
  </w:num>
  <w:num w:numId="14">
    <w:abstractNumId w:val="10"/>
  </w:num>
  <w:num w:numId="15">
    <w:abstractNumId w:val="11"/>
  </w:num>
  <w:num w:numId="16">
    <w:abstractNumId w:val="7"/>
  </w:num>
  <w:num w:numId="17">
    <w:abstractNumId w:val="1"/>
  </w:num>
  <w:num w:numId="18">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EPKit_DocumentHasBeenSaved" w:val="true"/>
    <w:docVar w:name="LW_CORRIGENDUM" w:val="&lt;UNUSED&gt;"/>
    <w:docVar w:name="LW_COVERPAGE_EXISTS" w:val="True"/>
    <w:docVar w:name="LW_COVERPAGE_GUID" w:val="66F61C4F-970E-4FC5-AEF7-E3D1959BA175"/>
    <w:docVar w:name="LW_COVERPAGE_TYPE" w:val="1"/>
    <w:docVar w:name="LW_CROSSREFERENCE" w:val="{SWD(2026) 773 final}"/>
    <w:docVar w:name="LW_DocType" w:val="NORMAL"/>
    <w:docVar w:name="LW_EMISSION" w:val="6.5.2026"/>
    <w:docVar w:name="LW_EMISSION_ISODATE" w:val="2026-05-06"/>
    <w:docVar w:name="LW_EMISSION_LOCATION" w:val="BRX"/>
    <w:docVar w:name="LW_EMISSION_PREFIX" w:val="Bruxelles, "/>
    <w:docVar w:name="LW_EMISSION_SUFFIX" w:val=" "/>
    <w:docVar w:name="LW_ID_DOCTYPE_NONLW" w:val="CP-014"/>
    <w:docVar w:name="LW_LANGUE" w:val="RO"/>
    <w:docVar w:name="LW_LEVEL_OF_SENSITIVITY" w:val="Standard treatment"/>
    <w:docVar w:name="LW_NOM.INST" w:val="COMISIA EUROPEAN\u258?"/>
    <w:docVar w:name="LW_NOM.INST_JOINTDOC" w:val="&lt;EMPTY&gt;"/>
    <w:docVar w:name="LW_PART_NBR" w:val="1"/>
    <w:docVar w:name="LW_PART_NBR_TOTAL" w:val="1"/>
    <w:docVar w:name="LW_REF.INST.NEW" w:val="COM"/>
    <w:docVar w:name="LW_REF.INST.NEW_ADOPTED" w:val="final"/>
    <w:docVar w:name="LW_REF.INST.NEW_TEXT" w:val="(2026) 5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Consolidarea Strategiei privind drepturile persoanelor cu handicap pân\u259? în 2030"/>
    <w:docVar w:name="LW_TYPE.DOC.CP" w:val="COMUNICARE A COMISIEI C\u258?TRE PARLAMENTUL EUROPEAN, CONSILIU, COMITETUL ECONOMIC \u536?I SOCIAL EUROPEAN \u536?I COMITETUL REGIUNILOR"/>
    <w:docVar w:name="LW_TYPE.DOC.CP.USERTEXT" w:val="&lt;EMPTY&gt;"/>
    <w:docVar w:name="LwApiVersions" w:val="LW4CoDe 1.24.5.0; LW 9.2, Build 20251112"/>
  </w:docVars>
  <w:rsids>
    <w:rsidRoot w:val="00F87E5B"/>
    <w:rsid w:val="000018ED"/>
    <w:rsid w:val="00001C02"/>
    <w:rsid w:val="0000324E"/>
    <w:rsid w:val="00003681"/>
    <w:rsid w:val="00004B1C"/>
    <w:rsid w:val="00006B5F"/>
    <w:rsid w:val="0001043A"/>
    <w:rsid w:val="000117A1"/>
    <w:rsid w:val="00011F4D"/>
    <w:rsid w:val="0001259F"/>
    <w:rsid w:val="00012A28"/>
    <w:rsid w:val="00012BC1"/>
    <w:rsid w:val="00012D08"/>
    <w:rsid w:val="000132F4"/>
    <w:rsid w:val="000142F7"/>
    <w:rsid w:val="000148BE"/>
    <w:rsid w:val="00015D28"/>
    <w:rsid w:val="00016E65"/>
    <w:rsid w:val="000171A1"/>
    <w:rsid w:val="00017384"/>
    <w:rsid w:val="00020A4A"/>
    <w:rsid w:val="00020EBA"/>
    <w:rsid w:val="000217CB"/>
    <w:rsid w:val="000225A8"/>
    <w:rsid w:val="000227D9"/>
    <w:rsid w:val="000244F5"/>
    <w:rsid w:val="000266DF"/>
    <w:rsid w:val="00026DCB"/>
    <w:rsid w:val="0003028F"/>
    <w:rsid w:val="00030A0E"/>
    <w:rsid w:val="000318AF"/>
    <w:rsid w:val="00031ECA"/>
    <w:rsid w:val="000324DB"/>
    <w:rsid w:val="000335D6"/>
    <w:rsid w:val="000341B7"/>
    <w:rsid w:val="00035265"/>
    <w:rsid w:val="00040B6E"/>
    <w:rsid w:val="00040C3A"/>
    <w:rsid w:val="00041891"/>
    <w:rsid w:val="00041A95"/>
    <w:rsid w:val="000421A0"/>
    <w:rsid w:val="00044DFB"/>
    <w:rsid w:val="00051BBC"/>
    <w:rsid w:val="00052E8E"/>
    <w:rsid w:val="000540A3"/>
    <w:rsid w:val="00055131"/>
    <w:rsid w:val="00056350"/>
    <w:rsid w:val="00056CDB"/>
    <w:rsid w:val="000574D4"/>
    <w:rsid w:val="00057EE4"/>
    <w:rsid w:val="00060A2C"/>
    <w:rsid w:val="000612E9"/>
    <w:rsid w:val="00064087"/>
    <w:rsid w:val="00064C6C"/>
    <w:rsid w:val="00066452"/>
    <w:rsid w:val="000670A0"/>
    <w:rsid w:val="0006763F"/>
    <w:rsid w:val="000678EB"/>
    <w:rsid w:val="00067C8D"/>
    <w:rsid w:val="00070D10"/>
    <w:rsid w:val="00071047"/>
    <w:rsid w:val="000714FF"/>
    <w:rsid w:val="000718E2"/>
    <w:rsid w:val="000728F0"/>
    <w:rsid w:val="00074432"/>
    <w:rsid w:val="00075613"/>
    <w:rsid w:val="00075CD6"/>
    <w:rsid w:val="00076D3D"/>
    <w:rsid w:val="00080306"/>
    <w:rsid w:val="00082055"/>
    <w:rsid w:val="000836FF"/>
    <w:rsid w:val="00083C13"/>
    <w:rsid w:val="000843C5"/>
    <w:rsid w:val="000848B6"/>
    <w:rsid w:val="00084B69"/>
    <w:rsid w:val="000855A2"/>
    <w:rsid w:val="0008642F"/>
    <w:rsid w:val="00086B3C"/>
    <w:rsid w:val="00086FAD"/>
    <w:rsid w:val="00087B73"/>
    <w:rsid w:val="00090D01"/>
    <w:rsid w:val="00091D5F"/>
    <w:rsid w:val="0009398A"/>
    <w:rsid w:val="0009556F"/>
    <w:rsid w:val="00095FF7"/>
    <w:rsid w:val="00096483"/>
    <w:rsid w:val="00096C20"/>
    <w:rsid w:val="000A11F1"/>
    <w:rsid w:val="000A2995"/>
    <w:rsid w:val="000A3CEF"/>
    <w:rsid w:val="000A4855"/>
    <w:rsid w:val="000A4BF0"/>
    <w:rsid w:val="000A59D3"/>
    <w:rsid w:val="000A59E1"/>
    <w:rsid w:val="000A6105"/>
    <w:rsid w:val="000A6BFE"/>
    <w:rsid w:val="000A7156"/>
    <w:rsid w:val="000A7832"/>
    <w:rsid w:val="000A7BF3"/>
    <w:rsid w:val="000A7CFD"/>
    <w:rsid w:val="000B0425"/>
    <w:rsid w:val="000B1E5C"/>
    <w:rsid w:val="000B24A4"/>
    <w:rsid w:val="000B4657"/>
    <w:rsid w:val="000B477E"/>
    <w:rsid w:val="000B57DE"/>
    <w:rsid w:val="000B6260"/>
    <w:rsid w:val="000B62FF"/>
    <w:rsid w:val="000B6C81"/>
    <w:rsid w:val="000B7115"/>
    <w:rsid w:val="000C026F"/>
    <w:rsid w:val="000C09CA"/>
    <w:rsid w:val="000C0E2B"/>
    <w:rsid w:val="000C43BD"/>
    <w:rsid w:val="000C45AC"/>
    <w:rsid w:val="000C58A9"/>
    <w:rsid w:val="000C736E"/>
    <w:rsid w:val="000C7B04"/>
    <w:rsid w:val="000C7C1C"/>
    <w:rsid w:val="000D022E"/>
    <w:rsid w:val="000D062A"/>
    <w:rsid w:val="000D1690"/>
    <w:rsid w:val="000D2360"/>
    <w:rsid w:val="000D4F47"/>
    <w:rsid w:val="000D5AA2"/>
    <w:rsid w:val="000D5F78"/>
    <w:rsid w:val="000D6B74"/>
    <w:rsid w:val="000D77E3"/>
    <w:rsid w:val="000D7D1D"/>
    <w:rsid w:val="000D7F67"/>
    <w:rsid w:val="000E358A"/>
    <w:rsid w:val="000E3CE0"/>
    <w:rsid w:val="000E408E"/>
    <w:rsid w:val="000E4761"/>
    <w:rsid w:val="000E4F37"/>
    <w:rsid w:val="000E521B"/>
    <w:rsid w:val="000E5B34"/>
    <w:rsid w:val="000E5DDE"/>
    <w:rsid w:val="000E6041"/>
    <w:rsid w:val="000E6950"/>
    <w:rsid w:val="000E6C05"/>
    <w:rsid w:val="000E755F"/>
    <w:rsid w:val="000E7A39"/>
    <w:rsid w:val="000F0660"/>
    <w:rsid w:val="000F084E"/>
    <w:rsid w:val="000F1F85"/>
    <w:rsid w:val="000F2D60"/>
    <w:rsid w:val="000F3E83"/>
    <w:rsid w:val="000F4EC9"/>
    <w:rsid w:val="000F4F47"/>
    <w:rsid w:val="000F5010"/>
    <w:rsid w:val="000F5A31"/>
    <w:rsid w:val="000F5CC0"/>
    <w:rsid w:val="000F6DE7"/>
    <w:rsid w:val="00101A4C"/>
    <w:rsid w:val="00101C63"/>
    <w:rsid w:val="001033DB"/>
    <w:rsid w:val="00103874"/>
    <w:rsid w:val="00103BBD"/>
    <w:rsid w:val="00104454"/>
    <w:rsid w:val="001053AF"/>
    <w:rsid w:val="00105647"/>
    <w:rsid w:val="00105AF8"/>
    <w:rsid w:val="001068D4"/>
    <w:rsid w:val="00107AE0"/>
    <w:rsid w:val="00107FB3"/>
    <w:rsid w:val="001108D5"/>
    <w:rsid w:val="00111091"/>
    <w:rsid w:val="001111CA"/>
    <w:rsid w:val="00111217"/>
    <w:rsid w:val="001145E3"/>
    <w:rsid w:val="00115801"/>
    <w:rsid w:val="00116923"/>
    <w:rsid w:val="00120420"/>
    <w:rsid w:val="0012075A"/>
    <w:rsid w:val="00121782"/>
    <w:rsid w:val="001219C4"/>
    <w:rsid w:val="00121B21"/>
    <w:rsid w:val="001224B7"/>
    <w:rsid w:val="00123936"/>
    <w:rsid w:val="00123F3B"/>
    <w:rsid w:val="001247CF"/>
    <w:rsid w:val="00124F5B"/>
    <w:rsid w:val="00125A5E"/>
    <w:rsid w:val="001270FB"/>
    <w:rsid w:val="001274AE"/>
    <w:rsid w:val="0013168E"/>
    <w:rsid w:val="00132B88"/>
    <w:rsid w:val="00132DAB"/>
    <w:rsid w:val="001339EC"/>
    <w:rsid w:val="00134ABA"/>
    <w:rsid w:val="00135705"/>
    <w:rsid w:val="00135D3C"/>
    <w:rsid w:val="0013618C"/>
    <w:rsid w:val="001363D8"/>
    <w:rsid w:val="00136612"/>
    <w:rsid w:val="00136CF9"/>
    <w:rsid w:val="0013778C"/>
    <w:rsid w:val="00137D45"/>
    <w:rsid w:val="001402CE"/>
    <w:rsid w:val="001408F7"/>
    <w:rsid w:val="00140DE1"/>
    <w:rsid w:val="001415BC"/>
    <w:rsid w:val="0014246D"/>
    <w:rsid w:val="0014282E"/>
    <w:rsid w:val="00142C62"/>
    <w:rsid w:val="00143503"/>
    <w:rsid w:val="00143E27"/>
    <w:rsid w:val="001446E2"/>
    <w:rsid w:val="00144B64"/>
    <w:rsid w:val="00144E3D"/>
    <w:rsid w:val="00145522"/>
    <w:rsid w:val="00145589"/>
    <w:rsid w:val="001470A1"/>
    <w:rsid w:val="00150609"/>
    <w:rsid w:val="00152476"/>
    <w:rsid w:val="00152713"/>
    <w:rsid w:val="001534C6"/>
    <w:rsid w:val="00155C0F"/>
    <w:rsid w:val="0015619A"/>
    <w:rsid w:val="001561C7"/>
    <w:rsid w:val="00156327"/>
    <w:rsid w:val="00156567"/>
    <w:rsid w:val="00156916"/>
    <w:rsid w:val="00156F86"/>
    <w:rsid w:val="00157F05"/>
    <w:rsid w:val="00160693"/>
    <w:rsid w:val="001617AD"/>
    <w:rsid w:val="00161E2F"/>
    <w:rsid w:val="00161F04"/>
    <w:rsid w:val="00166810"/>
    <w:rsid w:val="00166B0B"/>
    <w:rsid w:val="001674CD"/>
    <w:rsid w:val="00170118"/>
    <w:rsid w:val="001712A5"/>
    <w:rsid w:val="00171A3A"/>
    <w:rsid w:val="00173E30"/>
    <w:rsid w:val="001747F1"/>
    <w:rsid w:val="001748B3"/>
    <w:rsid w:val="00174AEA"/>
    <w:rsid w:val="00174ED5"/>
    <w:rsid w:val="00176696"/>
    <w:rsid w:val="00176F4B"/>
    <w:rsid w:val="00176F9E"/>
    <w:rsid w:val="00177832"/>
    <w:rsid w:val="00180305"/>
    <w:rsid w:val="0018055D"/>
    <w:rsid w:val="00181932"/>
    <w:rsid w:val="00182BC9"/>
    <w:rsid w:val="001849AF"/>
    <w:rsid w:val="00185D1B"/>
    <w:rsid w:val="001870B7"/>
    <w:rsid w:val="001872E7"/>
    <w:rsid w:val="00187F6B"/>
    <w:rsid w:val="00190113"/>
    <w:rsid w:val="0019071B"/>
    <w:rsid w:val="0019129F"/>
    <w:rsid w:val="00191845"/>
    <w:rsid w:val="00195D93"/>
    <w:rsid w:val="00196B20"/>
    <w:rsid w:val="00197F39"/>
    <w:rsid w:val="001A1298"/>
    <w:rsid w:val="001A1572"/>
    <w:rsid w:val="001A3DDF"/>
    <w:rsid w:val="001A423C"/>
    <w:rsid w:val="001A5A1A"/>
    <w:rsid w:val="001A6358"/>
    <w:rsid w:val="001A6B52"/>
    <w:rsid w:val="001A78D4"/>
    <w:rsid w:val="001A7B00"/>
    <w:rsid w:val="001A7E14"/>
    <w:rsid w:val="001B0DDA"/>
    <w:rsid w:val="001B1536"/>
    <w:rsid w:val="001B1AA5"/>
    <w:rsid w:val="001B38ED"/>
    <w:rsid w:val="001B3CBA"/>
    <w:rsid w:val="001B40CE"/>
    <w:rsid w:val="001B4B0B"/>
    <w:rsid w:val="001B76CD"/>
    <w:rsid w:val="001B79F5"/>
    <w:rsid w:val="001C268E"/>
    <w:rsid w:val="001C34DE"/>
    <w:rsid w:val="001C3A88"/>
    <w:rsid w:val="001C3F80"/>
    <w:rsid w:val="001C4F35"/>
    <w:rsid w:val="001C65C7"/>
    <w:rsid w:val="001C6700"/>
    <w:rsid w:val="001C7F0D"/>
    <w:rsid w:val="001D0E04"/>
    <w:rsid w:val="001D17AE"/>
    <w:rsid w:val="001D1DFF"/>
    <w:rsid w:val="001D25A9"/>
    <w:rsid w:val="001D286A"/>
    <w:rsid w:val="001D44D9"/>
    <w:rsid w:val="001D52C1"/>
    <w:rsid w:val="001D5726"/>
    <w:rsid w:val="001D75C2"/>
    <w:rsid w:val="001E076E"/>
    <w:rsid w:val="001E1B79"/>
    <w:rsid w:val="001E1FAC"/>
    <w:rsid w:val="001E3CBF"/>
    <w:rsid w:val="001E55A1"/>
    <w:rsid w:val="001E5D2F"/>
    <w:rsid w:val="001E69A3"/>
    <w:rsid w:val="001E7308"/>
    <w:rsid w:val="001F0942"/>
    <w:rsid w:val="001F107D"/>
    <w:rsid w:val="001F1EBD"/>
    <w:rsid w:val="001F22E9"/>
    <w:rsid w:val="001F31F3"/>
    <w:rsid w:val="001F4865"/>
    <w:rsid w:val="001F6250"/>
    <w:rsid w:val="001F6ACA"/>
    <w:rsid w:val="001F7FC5"/>
    <w:rsid w:val="0020042C"/>
    <w:rsid w:val="00201252"/>
    <w:rsid w:val="00201E67"/>
    <w:rsid w:val="00202CE3"/>
    <w:rsid w:val="002064E2"/>
    <w:rsid w:val="00210CF1"/>
    <w:rsid w:val="00212AE2"/>
    <w:rsid w:val="00213074"/>
    <w:rsid w:val="0021541C"/>
    <w:rsid w:val="00217CD6"/>
    <w:rsid w:val="002212A5"/>
    <w:rsid w:val="00222295"/>
    <w:rsid w:val="002235FB"/>
    <w:rsid w:val="0022365E"/>
    <w:rsid w:val="00223D33"/>
    <w:rsid w:val="002241CD"/>
    <w:rsid w:val="00224242"/>
    <w:rsid w:val="0022473B"/>
    <w:rsid w:val="0022520E"/>
    <w:rsid w:val="0022587D"/>
    <w:rsid w:val="00225F4B"/>
    <w:rsid w:val="002262F5"/>
    <w:rsid w:val="002274B5"/>
    <w:rsid w:val="00230410"/>
    <w:rsid w:val="00231A4F"/>
    <w:rsid w:val="0023280A"/>
    <w:rsid w:val="0023373F"/>
    <w:rsid w:val="00234141"/>
    <w:rsid w:val="002347D8"/>
    <w:rsid w:val="00235354"/>
    <w:rsid w:val="002369EC"/>
    <w:rsid w:val="00236A61"/>
    <w:rsid w:val="00236ACC"/>
    <w:rsid w:val="00237014"/>
    <w:rsid w:val="0023725C"/>
    <w:rsid w:val="00241110"/>
    <w:rsid w:val="00241396"/>
    <w:rsid w:val="00241571"/>
    <w:rsid w:val="00242370"/>
    <w:rsid w:val="002434CA"/>
    <w:rsid w:val="00244056"/>
    <w:rsid w:val="00244D11"/>
    <w:rsid w:val="00245928"/>
    <w:rsid w:val="00247F4A"/>
    <w:rsid w:val="00250347"/>
    <w:rsid w:val="00250D78"/>
    <w:rsid w:val="00250F52"/>
    <w:rsid w:val="002517F0"/>
    <w:rsid w:val="00252DCA"/>
    <w:rsid w:val="00252F8F"/>
    <w:rsid w:val="00253254"/>
    <w:rsid w:val="00253885"/>
    <w:rsid w:val="00253B4A"/>
    <w:rsid w:val="00254830"/>
    <w:rsid w:val="00256AC7"/>
    <w:rsid w:val="00256CB8"/>
    <w:rsid w:val="00257026"/>
    <w:rsid w:val="00257C2F"/>
    <w:rsid w:val="00261E97"/>
    <w:rsid w:val="00262ECB"/>
    <w:rsid w:val="00263628"/>
    <w:rsid w:val="00264666"/>
    <w:rsid w:val="00265B92"/>
    <w:rsid w:val="00265C06"/>
    <w:rsid w:val="002660FD"/>
    <w:rsid w:val="00266F1E"/>
    <w:rsid w:val="0027055C"/>
    <w:rsid w:val="00270F14"/>
    <w:rsid w:val="002719C1"/>
    <w:rsid w:val="002722DD"/>
    <w:rsid w:val="0027313F"/>
    <w:rsid w:val="0027406E"/>
    <w:rsid w:val="0027554C"/>
    <w:rsid w:val="002755D3"/>
    <w:rsid w:val="002779E3"/>
    <w:rsid w:val="00277B96"/>
    <w:rsid w:val="00280686"/>
    <w:rsid w:val="00280A13"/>
    <w:rsid w:val="00280F00"/>
    <w:rsid w:val="00281066"/>
    <w:rsid w:val="002819B6"/>
    <w:rsid w:val="00281C58"/>
    <w:rsid w:val="00282E05"/>
    <w:rsid w:val="00285CDD"/>
    <w:rsid w:val="002864AE"/>
    <w:rsid w:val="00286C3B"/>
    <w:rsid w:val="0028764C"/>
    <w:rsid w:val="00293282"/>
    <w:rsid w:val="00293330"/>
    <w:rsid w:val="0029347D"/>
    <w:rsid w:val="00293533"/>
    <w:rsid w:val="002937FD"/>
    <w:rsid w:val="00293A1D"/>
    <w:rsid w:val="00293A37"/>
    <w:rsid w:val="00296956"/>
    <w:rsid w:val="00296AF5"/>
    <w:rsid w:val="002A01BF"/>
    <w:rsid w:val="002A01D8"/>
    <w:rsid w:val="002A0E88"/>
    <w:rsid w:val="002A185E"/>
    <w:rsid w:val="002A18B2"/>
    <w:rsid w:val="002A190E"/>
    <w:rsid w:val="002A19F2"/>
    <w:rsid w:val="002A2B01"/>
    <w:rsid w:val="002A43CD"/>
    <w:rsid w:val="002A58F0"/>
    <w:rsid w:val="002A59FE"/>
    <w:rsid w:val="002A5CA5"/>
    <w:rsid w:val="002A6AA1"/>
    <w:rsid w:val="002A6B1B"/>
    <w:rsid w:val="002A6F40"/>
    <w:rsid w:val="002A7CC6"/>
    <w:rsid w:val="002B0B3E"/>
    <w:rsid w:val="002B0EB4"/>
    <w:rsid w:val="002B1CA4"/>
    <w:rsid w:val="002B23D7"/>
    <w:rsid w:val="002B296D"/>
    <w:rsid w:val="002B2CA6"/>
    <w:rsid w:val="002B32A6"/>
    <w:rsid w:val="002B3AE6"/>
    <w:rsid w:val="002B3C59"/>
    <w:rsid w:val="002B4285"/>
    <w:rsid w:val="002B428C"/>
    <w:rsid w:val="002B595F"/>
    <w:rsid w:val="002B7AF0"/>
    <w:rsid w:val="002C12FF"/>
    <w:rsid w:val="002C161B"/>
    <w:rsid w:val="002C168A"/>
    <w:rsid w:val="002C18F1"/>
    <w:rsid w:val="002C2BFE"/>
    <w:rsid w:val="002C39AD"/>
    <w:rsid w:val="002C4690"/>
    <w:rsid w:val="002C5146"/>
    <w:rsid w:val="002C56E3"/>
    <w:rsid w:val="002C5F19"/>
    <w:rsid w:val="002C64B4"/>
    <w:rsid w:val="002C6F2F"/>
    <w:rsid w:val="002C7EC0"/>
    <w:rsid w:val="002D0101"/>
    <w:rsid w:val="002D0612"/>
    <w:rsid w:val="002D0D3E"/>
    <w:rsid w:val="002D1067"/>
    <w:rsid w:val="002D122B"/>
    <w:rsid w:val="002D1570"/>
    <w:rsid w:val="002D1FA6"/>
    <w:rsid w:val="002D2E6A"/>
    <w:rsid w:val="002D3BD4"/>
    <w:rsid w:val="002D62CB"/>
    <w:rsid w:val="002D6439"/>
    <w:rsid w:val="002D6539"/>
    <w:rsid w:val="002D686E"/>
    <w:rsid w:val="002D746A"/>
    <w:rsid w:val="002E03B9"/>
    <w:rsid w:val="002E2263"/>
    <w:rsid w:val="002E230E"/>
    <w:rsid w:val="002E4590"/>
    <w:rsid w:val="002E48BF"/>
    <w:rsid w:val="002E5390"/>
    <w:rsid w:val="002E5D34"/>
    <w:rsid w:val="002E68AB"/>
    <w:rsid w:val="002E76E7"/>
    <w:rsid w:val="002E7701"/>
    <w:rsid w:val="002E79E8"/>
    <w:rsid w:val="002F08C6"/>
    <w:rsid w:val="002F1910"/>
    <w:rsid w:val="002F1B40"/>
    <w:rsid w:val="002F421B"/>
    <w:rsid w:val="002F4A6C"/>
    <w:rsid w:val="002F50CD"/>
    <w:rsid w:val="002F5128"/>
    <w:rsid w:val="002F5680"/>
    <w:rsid w:val="002F5920"/>
    <w:rsid w:val="002F6849"/>
    <w:rsid w:val="002F716B"/>
    <w:rsid w:val="002F78B6"/>
    <w:rsid w:val="003004FF"/>
    <w:rsid w:val="003016E3"/>
    <w:rsid w:val="0030245C"/>
    <w:rsid w:val="00302FD0"/>
    <w:rsid w:val="00303BF2"/>
    <w:rsid w:val="003047BB"/>
    <w:rsid w:val="00305EDF"/>
    <w:rsid w:val="00306B75"/>
    <w:rsid w:val="003070CF"/>
    <w:rsid w:val="00307581"/>
    <w:rsid w:val="003120C8"/>
    <w:rsid w:val="00312B17"/>
    <w:rsid w:val="00312CD2"/>
    <w:rsid w:val="00313054"/>
    <w:rsid w:val="00314122"/>
    <w:rsid w:val="00314763"/>
    <w:rsid w:val="0031591A"/>
    <w:rsid w:val="00316140"/>
    <w:rsid w:val="0031626E"/>
    <w:rsid w:val="0031636D"/>
    <w:rsid w:val="00320680"/>
    <w:rsid w:val="00320873"/>
    <w:rsid w:val="00321353"/>
    <w:rsid w:val="0032245B"/>
    <w:rsid w:val="00323A0D"/>
    <w:rsid w:val="00323FAF"/>
    <w:rsid w:val="00324589"/>
    <w:rsid w:val="00326269"/>
    <w:rsid w:val="0032640B"/>
    <w:rsid w:val="0032688D"/>
    <w:rsid w:val="003303B5"/>
    <w:rsid w:val="003306D2"/>
    <w:rsid w:val="003306F6"/>
    <w:rsid w:val="00330CAC"/>
    <w:rsid w:val="003319CE"/>
    <w:rsid w:val="00331EBE"/>
    <w:rsid w:val="00332AFB"/>
    <w:rsid w:val="003333D1"/>
    <w:rsid w:val="00333705"/>
    <w:rsid w:val="00333DD3"/>
    <w:rsid w:val="00333E49"/>
    <w:rsid w:val="003342CB"/>
    <w:rsid w:val="003346D3"/>
    <w:rsid w:val="003361B2"/>
    <w:rsid w:val="003363BC"/>
    <w:rsid w:val="003372BE"/>
    <w:rsid w:val="0034274A"/>
    <w:rsid w:val="00343CEE"/>
    <w:rsid w:val="00344F69"/>
    <w:rsid w:val="003453CD"/>
    <w:rsid w:val="00345818"/>
    <w:rsid w:val="00346089"/>
    <w:rsid w:val="00346262"/>
    <w:rsid w:val="00346F36"/>
    <w:rsid w:val="00347156"/>
    <w:rsid w:val="003474AF"/>
    <w:rsid w:val="003479BB"/>
    <w:rsid w:val="00351CE8"/>
    <w:rsid w:val="0035247C"/>
    <w:rsid w:val="003524B1"/>
    <w:rsid w:val="0035274A"/>
    <w:rsid w:val="00354348"/>
    <w:rsid w:val="003547A2"/>
    <w:rsid w:val="0035564F"/>
    <w:rsid w:val="003601F3"/>
    <w:rsid w:val="00361BBB"/>
    <w:rsid w:val="0036245B"/>
    <w:rsid w:val="00363868"/>
    <w:rsid w:val="0036426E"/>
    <w:rsid w:val="00364F48"/>
    <w:rsid w:val="003652A8"/>
    <w:rsid w:val="00366039"/>
    <w:rsid w:val="00366542"/>
    <w:rsid w:val="0036671E"/>
    <w:rsid w:val="00367604"/>
    <w:rsid w:val="0037040D"/>
    <w:rsid w:val="003708E1"/>
    <w:rsid w:val="00371C3F"/>
    <w:rsid w:val="0037217A"/>
    <w:rsid w:val="00372180"/>
    <w:rsid w:val="00373CD7"/>
    <w:rsid w:val="0037448B"/>
    <w:rsid w:val="00374823"/>
    <w:rsid w:val="00375380"/>
    <w:rsid w:val="003754CE"/>
    <w:rsid w:val="0037557A"/>
    <w:rsid w:val="00375596"/>
    <w:rsid w:val="00375C6E"/>
    <w:rsid w:val="00376CEA"/>
    <w:rsid w:val="003772D2"/>
    <w:rsid w:val="0037765A"/>
    <w:rsid w:val="00380E07"/>
    <w:rsid w:val="0038364A"/>
    <w:rsid w:val="003850F7"/>
    <w:rsid w:val="003862DD"/>
    <w:rsid w:val="003866B3"/>
    <w:rsid w:val="00387391"/>
    <w:rsid w:val="00387DF2"/>
    <w:rsid w:val="00387FBF"/>
    <w:rsid w:val="00390890"/>
    <w:rsid w:val="0039137C"/>
    <w:rsid w:val="00391EF6"/>
    <w:rsid w:val="003925E7"/>
    <w:rsid w:val="00396859"/>
    <w:rsid w:val="00397E64"/>
    <w:rsid w:val="003A1A12"/>
    <w:rsid w:val="003A2859"/>
    <w:rsid w:val="003A293E"/>
    <w:rsid w:val="003A3DDF"/>
    <w:rsid w:val="003A4C12"/>
    <w:rsid w:val="003A7458"/>
    <w:rsid w:val="003A75A5"/>
    <w:rsid w:val="003A7B17"/>
    <w:rsid w:val="003B1609"/>
    <w:rsid w:val="003B1C3C"/>
    <w:rsid w:val="003B1E4F"/>
    <w:rsid w:val="003B28B7"/>
    <w:rsid w:val="003B6676"/>
    <w:rsid w:val="003B7004"/>
    <w:rsid w:val="003B734B"/>
    <w:rsid w:val="003B7E04"/>
    <w:rsid w:val="003C3529"/>
    <w:rsid w:val="003C3DA4"/>
    <w:rsid w:val="003C4D43"/>
    <w:rsid w:val="003C6057"/>
    <w:rsid w:val="003C7941"/>
    <w:rsid w:val="003D0270"/>
    <w:rsid w:val="003D04E2"/>
    <w:rsid w:val="003D20CF"/>
    <w:rsid w:val="003D2636"/>
    <w:rsid w:val="003D264C"/>
    <w:rsid w:val="003D2921"/>
    <w:rsid w:val="003D2985"/>
    <w:rsid w:val="003D3C88"/>
    <w:rsid w:val="003D3C8D"/>
    <w:rsid w:val="003D65A3"/>
    <w:rsid w:val="003D66F9"/>
    <w:rsid w:val="003E014B"/>
    <w:rsid w:val="003E0998"/>
    <w:rsid w:val="003E0FF1"/>
    <w:rsid w:val="003E1B91"/>
    <w:rsid w:val="003E2883"/>
    <w:rsid w:val="003E4383"/>
    <w:rsid w:val="003E4D5B"/>
    <w:rsid w:val="003E5619"/>
    <w:rsid w:val="003E6C64"/>
    <w:rsid w:val="003E7DCA"/>
    <w:rsid w:val="003F0620"/>
    <w:rsid w:val="003F0B4B"/>
    <w:rsid w:val="003F1B00"/>
    <w:rsid w:val="003F1F1F"/>
    <w:rsid w:val="003F219A"/>
    <w:rsid w:val="003F319B"/>
    <w:rsid w:val="003F3555"/>
    <w:rsid w:val="003F370B"/>
    <w:rsid w:val="003F578E"/>
    <w:rsid w:val="00401293"/>
    <w:rsid w:val="00401EEB"/>
    <w:rsid w:val="00402032"/>
    <w:rsid w:val="0040214F"/>
    <w:rsid w:val="00402195"/>
    <w:rsid w:val="004035DB"/>
    <w:rsid w:val="00405165"/>
    <w:rsid w:val="0040589F"/>
    <w:rsid w:val="00405E13"/>
    <w:rsid w:val="00405FBB"/>
    <w:rsid w:val="004073F9"/>
    <w:rsid w:val="00407E3E"/>
    <w:rsid w:val="00407E5A"/>
    <w:rsid w:val="0041033F"/>
    <w:rsid w:val="004106B5"/>
    <w:rsid w:val="004107B1"/>
    <w:rsid w:val="00411283"/>
    <w:rsid w:val="0041326B"/>
    <w:rsid w:val="00413B7A"/>
    <w:rsid w:val="00415770"/>
    <w:rsid w:val="004167EF"/>
    <w:rsid w:val="00416952"/>
    <w:rsid w:val="00420A2E"/>
    <w:rsid w:val="00420A7B"/>
    <w:rsid w:val="00422C09"/>
    <w:rsid w:val="00423AD1"/>
    <w:rsid w:val="004245B9"/>
    <w:rsid w:val="00424DEB"/>
    <w:rsid w:val="004254A5"/>
    <w:rsid w:val="004266E2"/>
    <w:rsid w:val="004305DE"/>
    <w:rsid w:val="004308D7"/>
    <w:rsid w:val="00432F60"/>
    <w:rsid w:val="004350B6"/>
    <w:rsid w:val="004354D4"/>
    <w:rsid w:val="00435544"/>
    <w:rsid w:val="00435707"/>
    <w:rsid w:val="00435B9A"/>
    <w:rsid w:val="00436A2E"/>
    <w:rsid w:val="004374D5"/>
    <w:rsid w:val="00437E22"/>
    <w:rsid w:val="00441325"/>
    <w:rsid w:val="004429D2"/>
    <w:rsid w:val="00443443"/>
    <w:rsid w:val="00443588"/>
    <w:rsid w:val="00443A8C"/>
    <w:rsid w:val="00443CEB"/>
    <w:rsid w:val="004442FE"/>
    <w:rsid w:val="004443F0"/>
    <w:rsid w:val="004445EC"/>
    <w:rsid w:val="004446FE"/>
    <w:rsid w:val="00444CCA"/>
    <w:rsid w:val="00445CFE"/>
    <w:rsid w:val="004478E7"/>
    <w:rsid w:val="004502BF"/>
    <w:rsid w:val="00450C43"/>
    <w:rsid w:val="00450C8D"/>
    <w:rsid w:val="004512F4"/>
    <w:rsid w:val="00451AAE"/>
    <w:rsid w:val="00454410"/>
    <w:rsid w:val="004551A6"/>
    <w:rsid w:val="00455227"/>
    <w:rsid w:val="0045633A"/>
    <w:rsid w:val="00456B15"/>
    <w:rsid w:val="00456D43"/>
    <w:rsid w:val="00456D95"/>
    <w:rsid w:val="00457376"/>
    <w:rsid w:val="00460E54"/>
    <w:rsid w:val="00461548"/>
    <w:rsid w:val="00461C50"/>
    <w:rsid w:val="00462BF6"/>
    <w:rsid w:val="00463C86"/>
    <w:rsid w:val="00464E02"/>
    <w:rsid w:val="00465BDC"/>
    <w:rsid w:val="0046622A"/>
    <w:rsid w:val="00466A99"/>
    <w:rsid w:val="00467115"/>
    <w:rsid w:val="004678C6"/>
    <w:rsid w:val="00471119"/>
    <w:rsid w:val="00471285"/>
    <w:rsid w:val="00471CDF"/>
    <w:rsid w:val="004722CC"/>
    <w:rsid w:val="00472431"/>
    <w:rsid w:val="00472AD7"/>
    <w:rsid w:val="00473318"/>
    <w:rsid w:val="00473386"/>
    <w:rsid w:val="004759DC"/>
    <w:rsid w:val="00476F6A"/>
    <w:rsid w:val="00477953"/>
    <w:rsid w:val="00477C9F"/>
    <w:rsid w:val="00477D3C"/>
    <w:rsid w:val="004808CC"/>
    <w:rsid w:val="004812B2"/>
    <w:rsid w:val="00481507"/>
    <w:rsid w:val="00481569"/>
    <w:rsid w:val="00482854"/>
    <w:rsid w:val="00482BA7"/>
    <w:rsid w:val="00483270"/>
    <w:rsid w:val="004834A9"/>
    <w:rsid w:val="00483A12"/>
    <w:rsid w:val="00483DA0"/>
    <w:rsid w:val="00483E9E"/>
    <w:rsid w:val="004852D9"/>
    <w:rsid w:val="00485E60"/>
    <w:rsid w:val="0048600C"/>
    <w:rsid w:val="0048727F"/>
    <w:rsid w:val="0048741B"/>
    <w:rsid w:val="004874BE"/>
    <w:rsid w:val="004901A0"/>
    <w:rsid w:val="004903C7"/>
    <w:rsid w:val="00490485"/>
    <w:rsid w:val="004905BD"/>
    <w:rsid w:val="00491D0B"/>
    <w:rsid w:val="00491D7F"/>
    <w:rsid w:val="00492DE9"/>
    <w:rsid w:val="004935E5"/>
    <w:rsid w:val="00493986"/>
    <w:rsid w:val="004940D0"/>
    <w:rsid w:val="00494620"/>
    <w:rsid w:val="0049517E"/>
    <w:rsid w:val="00495520"/>
    <w:rsid w:val="004956F9"/>
    <w:rsid w:val="004969F7"/>
    <w:rsid w:val="004975D2"/>
    <w:rsid w:val="00497A79"/>
    <w:rsid w:val="004A3AF3"/>
    <w:rsid w:val="004A48DD"/>
    <w:rsid w:val="004A58DB"/>
    <w:rsid w:val="004A5AEB"/>
    <w:rsid w:val="004A64B6"/>
    <w:rsid w:val="004A6B34"/>
    <w:rsid w:val="004A7062"/>
    <w:rsid w:val="004A7305"/>
    <w:rsid w:val="004A7D1F"/>
    <w:rsid w:val="004B0458"/>
    <w:rsid w:val="004B1A94"/>
    <w:rsid w:val="004B27CD"/>
    <w:rsid w:val="004B33A2"/>
    <w:rsid w:val="004B42C1"/>
    <w:rsid w:val="004B4814"/>
    <w:rsid w:val="004B5B4F"/>
    <w:rsid w:val="004B6727"/>
    <w:rsid w:val="004B6E50"/>
    <w:rsid w:val="004C04AA"/>
    <w:rsid w:val="004C085A"/>
    <w:rsid w:val="004C13BF"/>
    <w:rsid w:val="004C2028"/>
    <w:rsid w:val="004C2D5A"/>
    <w:rsid w:val="004C2D7A"/>
    <w:rsid w:val="004C369C"/>
    <w:rsid w:val="004C5AE5"/>
    <w:rsid w:val="004C75BC"/>
    <w:rsid w:val="004D032A"/>
    <w:rsid w:val="004D03E8"/>
    <w:rsid w:val="004D06A2"/>
    <w:rsid w:val="004D08BD"/>
    <w:rsid w:val="004D1278"/>
    <w:rsid w:val="004D2021"/>
    <w:rsid w:val="004D214D"/>
    <w:rsid w:val="004D3167"/>
    <w:rsid w:val="004D3F87"/>
    <w:rsid w:val="004D440D"/>
    <w:rsid w:val="004D79E1"/>
    <w:rsid w:val="004E2640"/>
    <w:rsid w:val="004E27F2"/>
    <w:rsid w:val="004E28CF"/>
    <w:rsid w:val="004E28E7"/>
    <w:rsid w:val="004E2A5B"/>
    <w:rsid w:val="004E38CF"/>
    <w:rsid w:val="004E3D85"/>
    <w:rsid w:val="004E43E5"/>
    <w:rsid w:val="004E54F7"/>
    <w:rsid w:val="004E5881"/>
    <w:rsid w:val="004E59B1"/>
    <w:rsid w:val="004E6518"/>
    <w:rsid w:val="004E682E"/>
    <w:rsid w:val="004E7507"/>
    <w:rsid w:val="004F0801"/>
    <w:rsid w:val="004F0889"/>
    <w:rsid w:val="004F0913"/>
    <w:rsid w:val="004F0AA0"/>
    <w:rsid w:val="004F1348"/>
    <w:rsid w:val="004F15A5"/>
    <w:rsid w:val="004F237D"/>
    <w:rsid w:val="004F260F"/>
    <w:rsid w:val="004F27D2"/>
    <w:rsid w:val="004F38C4"/>
    <w:rsid w:val="004F4242"/>
    <w:rsid w:val="004F433B"/>
    <w:rsid w:val="004F533E"/>
    <w:rsid w:val="004F6047"/>
    <w:rsid w:val="004F623B"/>
    <w:rsid w:val="004F65A7"/>
    <w:rsid w:val="004F668F"/>
    <w:rsid w:val="004F780E"/>
    <w:rsid w:val="00500665"/>
    <w:rsid w:val="00502559"/>
    <w:rsid w:val="00502E2D"/>
    <w:rsid w:val="005039EB"/>
    <w:rsid w:val="00504E2D"/>
    <w:rsid w:val="0050753D"/>
    <w:rsid w:val="00507E8C"/>
    <w:rsid w:val="00510E2F"/>
    <w:rsid w:val="005113E9"/>
    <w:rsid w:val="0051151C"/>
    <w:rsid w:val="00511700"/>
    <w:rsid w:val="00511DE8"/>
    <w:rsid w:val="005123DB"/>
    <w:rsid w:val="00512A0D"/>
    <w:rsid w:val="00512CAE"/>
    <w:rsid w:val="005135E9"/>
    <w:rsid w:val="00514E7E"/>
    <w:rsid w:val="00515198"/>
    <w:rsid w:val="00515660"/>
    <w:rsid w:val="00516570"/>
    <w:rsid w:val="00520AE7"/>
    <w:rsid w:val="005232DD"/>
    <w:rsid w:val="00524D52"/>
    <w:rsid w:val="00525A11"/>
    <w:rsid w:val="0052630A"/>
    <w:rsid w:val="00526F5C"/>
    <w:rsid w:val="005279E2"/>
    <w:rsid w:val="00530034"/>
    <w:rsid w:val="00531140"/>
    <w:rsid w:val="0053192E"/>
    <w:rsid w:val="00531F35"/>
    <w:rsid w:val="005325E1"/>
    <w:rsid w:val="005326EE"/>
    <w:rsid w:val="00534B91"/>
    <w:rsid w:val="005359E8"/>
    <w:rsid w:val="00541EC0"/>
    <w:rsid w:val="005421D3"/>
    <w:rsid w:val="00542660"/>
    <w:rsid w:val="00542765"/>
    <w:rsid w:val="00543A5A"/>
    <w:rsid w:val="005446B2"/>
    <w:rsid w:val="005461D6"/>
    <w:rsid w:val="00546D89"/>
    <w:rsid w:val="005504DF"/>
    <w:rsid w:val="0055145F"/>
    <w:rsid w:val="00551F04"/>
    <w:rsid w:val="0055212A"/>
    <w:rsid w:val="00556C7A"/>
    <w:rsid w:val="00556D33"/>
    <w:rsid w:val="00556FA6"/>
    <w:rsid w:val="00560CA6"/>
    <w:rsid w:val="00560E0D"/>
    <w:rsid w:val="00561D41"/>
    <w:rsid w:val="005636FC"/>
    <w:rsid w:val="00563C4E"/>
    <w:rsid w:val="0056424F"/>
    <w:rsid w:val="00565C59"/>
    <w:rsid w:val="00566820"/>
    <w:rsid w:val="0057094A"/>
    <w:rsid w:val="005746F6"/>
    <w:rsid w:val="005764CF"/>
    <w:rsid w:val="00577625"/>
    <w:rsid w:val="005776E2"/>
    <w:rsid w:val="0058251C"/>
    <w:rsid w:val="005826D8"/>
    <w:rsid w:val="005859C3"/>
    <w:rsid w:val="005874B3"/>
    <w:rsid w:val="00587504"/>
    <w:rsid w:val="00590402"/>
    <w:rsid w:val="00590C5A"/>
    <w:rsid w:val="0059100D"/>
    <w:rsid w:val="0059166D"/>
    <w:rsid w:val="00592430"/>
    <w:rsid w:val="00593C9A"/>
    <w:rsid w:val="00595A04"/>
    <w:rsid w:val="00595EB1"/>
    <w:rsid w:val="00596470"/>
    <w:rsid w:val="00597CBE"/>
    <w:rsid w:val="005A040C"/>
    <w:rsid w:val="005A15BE"/>
    <w:rsid w:val="005A1F36"/>
    <w:rsid w:val="005A2C06"/>
    <w:rsid w:val="005A2DBE"/>
    <w:rsid w:val="005A39FF"/>
    <w:rsid w:val="005A4F3B"/>
    <w:rsid w:val="005A5CB8"/>
    <w:rsid w:val="005A5EE5"/>
    <w:rsid w:val="005A78C7"/>
    <w:rsid w:val="005B150F"/>
    <w:rsid w:val="005B1F01"/>
    <w:rsid w:val="005B4127"/>
    <w:rsid w:val="005B4326"/>
    <w:rsid w:val="005B4D3A"/>
    <w:rsid w:val="005B5814"/>
    <w:rsid w:val="005B5B31"/>
    <w:rsid w:val="005B7094"/>
    <w:rsid w:val="005B73F1"/>
    <w:rsid w:val="005B7B01"/>
    <w:rsid w:val="005C0109"/>
    <w:rsid w:val="005C0207"/>
    <w:rsid w:val="005C0B17"/>
    <w:rsid w:val="005C15FA"/>
    <w:rsid w:val="005C6304"/>
    <w:rsid w:val="005C640B"/>
    <w:rsid w:val="005C6910"/>
    <w:rsid w:val="005C7D81"/>
    <w:rsid w:val="005D08F4"/>
    <w:rsid w:val="005D134A"/>
    <w:rsid w:val="005D186D"/>
    <w:rsid w:val="005D252C"/>
    <w:rsid w:val="005D25E8"/>
    <w:rsid w:val="005D2BAE"/>
    <w:rsid w:val="005D316E"/>
    <w:rsid w:val="005D368D"/>
    <w:rsid w:val="005D4A87"/>
    <w:rsid w:val="005D6239"/>
    <w:rsid w:val="005D642B"/>
    <w:rsid w:val="005D6CED"/>
    <w:rsid w:val="005D7B91"/>
    <w:rsid w:val="005E048B"/>
    <w:rsid w:val="005E0CE2"/>
    <w:rsid w:val="005E167A"/>
    <w:rsid w:val="005E3D20"/>
    <w:rsid w:val="005E4C27"/>
    <w:rsid w:val="005E5F6C"/>
    <w:rsid w:val="005E61AD"/>
    <w:rsid w:val="005E64B0"/>
    <w:rsid w:val="005E713B"/>
    <w:rsid w:val="005F0A25"/>
    <w:rsid w:val="005F0B61"/>
    <w:rsid w:val="005F2661"/>
    <w:rsid w:val="005F2EF0"/>
    <w:rsid w:val="005F36BB"/>
    <w:rsid w:val="005F403E"/>
    <w:rsid w:val="005F4CC6"/>
    <w:rsid w:val="005F51E8"/>
    <w:rsid w:val="005F54C6"/>
    <w:rsid w:val="005F5C97"/>
    <w:rsid w:val="00600E7C"/>
    <w:rsid w:val="00601762"/>
    <w:rsid w:val="006019A3"/>
    <w:rsid w:val="00602FC6"/>
    <w:rsid w:val="00603A82"/>
    <w:rsid w:val="0060463A"/>
    <w:rsid w:val="00604A51"/>
    <w:rsid w:val="00606074"/>
    <w:rsid w:val="00606589"/>
    <w:rsid w:val="00606CDA"/>
    <w:rsid w:val="006074DA"/>
    <w:rsid w:val="0061023F"/>
    <w:rsid w:val="00610C3C"/>
    <w:rsid w:val="006120D1"/>
    <w:rsid w:val="0061272D"/>
    <w:rsid w:val="00613697"/>
    <w:rsid w:val="00613DD7"/>
    <w:rsid w:val="00615A4E"/>
    <w:rsid w:val="00615C19"/>
    <w:rsid w:val="006177C0"/>
    <w:rsid w:val="00617A93"/>
    <w:rsid w:val="00617C8E"/>
    <w:rsid w:val="006220E0"/>
    <w:rsid w:val="00622411"/>
    <w:rsid w:val="00623537"/>
    <w:rsid w:val="006255AE"/>
    <w:rsid w:val="00625A69"/>
    <w:rsid w:val="00630641"/>
    <w:rsid w:val="00630ACC"/>
    <w:rsid w:val="00630CA7"/>
    <w:rsid w:val="006319B5"/>
    <w:rsid w:val="00633860"/>
    <w:rsid w:val="00634211"/>
    <w:rsid w:val="006347D2"/>
    <w:rsid w:val="00634E56"/>
    <w:rsid w:val="00635971"/>
    <w:rsid w:val="00636598"/>
    <w:rsid w:val="006373C1"/>
    <w:rsid w:val="00641A39"/>
    <w:rsid w:val="00641BA7"/>
    <w:rsid w:val="00641F02"/>
    <w:rsid w:val="00642B84"/>
    <w:rsid w:val="00643662"/>
    <w:rsid w:val="00643E4A"/>
    <w:rsid w:val="00644A9D"/>
    <w:rsid w:val="00644E39"/>
    <w:rsid w:val="0064568A"/>
    <w:rsid w:val="00646499"/>
    <w:rsid w:val="00646DC6"/>
    <w:rsid w:val="0065053B"/>
    <w:rsid w:val="00650A10"/>
    <w:rsid w:val="00650C73"/>
    <w:rsid w:val="00650FFD"/>
    <w:rsid w:val="00651BEE"/>
    <w:rsid w:val="006520B3"/>
    <w:rsid w:val="006520FF"/>
    <w:rsid w:val="00652D78"/>
    <w:rsid w:val="00654181"/>
    <w:rsid w:val="00654666"/>
    <w:rsid w:val="0065561F"/>
    <w:rsid w:val="00656304"/>
    <w:rsid w:val="00656BC3"/>
    <w:rsid w:val="00657013"/>
    <w:rsid w:val="006576B3"/>
    <w:rsid w:val="006577C7"/>
    <w:rsid w:val="00657F2B"/>
    <w:rsid w:val="006605B3"/>
    <w:rsid w:val="00660A8E"/>
    <w:rsid w:val="00662480"/>
    <w:rsid w:val="00663FEC"/>
    <w:rsid w:val="00665C72"/>
    <w:rsid w:val="00666A49"/>
    <w:rsid w:val="00670566"/>
    <w:rsid w:val="00670BD1"/>
    <w:rsid w:val="00671A9C"/>
    <w:rsid w:val="00671D75"/>
    <w:rsid w:val="00672900"/>
    <w:rsid w:val="00672BC4"/>
    <w:rsid w:val="00673EFD"/>
    <w:rsid w:val="00674995"/>
    <w:rsid w:val="00674D5C"/>
    <w:rsid w:val="00674F7E"/>
    <w:rsid w:val="00677559"/>
    <w:rsid w:val="006812C4"/>
    <w:rsid w:val="006822D5"/>
    <w:rsid w:val="00682631"/>
    <w:rsid w:val="00684117"/>
    <w:rsid w:val="00684205"/>
    <w:rsid w:val="0068437A"/>
    <w:rsid w:val="00684898"/>
    <w:rsid w:val="0068547E"/>
    <w:rsid w:val="00685B9A"/>
    <w:rsid w:val="00687B5E"/>
    <w:rsid w:val="00687EB1"/>
    <w:rsid w:val="006900CF"/>
    <w:rsid w:val="00690FBF"/>
    <w:rsid w:val="00691105"/>
    <w:rsid w:val="00691415"/>
    <w:rsid w:val="00691CEA"/>
    <w:rsid w:val="00692BAF"/>
    <w:rsid w:val="00694F23"/>
    <w:rsid w:val="00695CC6"/>
    <w:rsid w:val="006973AF"/>
    <w:rsid w:val="006A0780"/>
    <w:rsid w:val="006A1AAB"/>
    <w:rsid w:val="006A1FB0"/>
    <w:rsid w:val="006A377D"/>
    <w:rsid w:val="006A494D"/>
    <w:rsid w:val="006A4A8F"/>
    <w:rsid w:val="006A5B55"/>
    <w:rsid w:val="006A6B07"/>
    <w:rsid w:val="006A7D33"/>
    <w:rsid w:val="006A7F69"/>
    <w:rsid w:val="006B17D9"/>
    <w:rsid w:val="006B19D0"/>
    <w:rsid w:val="006B19D7"/>
    <w:rsid w:val="006B4081"/>
    <w:rsid w:val="006B65D1"/>
    <w:rsid w:val="006B6A08"/>
    <w:rsid w:val="006B7050"/>
    <w:rsid w:val="006C13E8"/>
    <w:rsid w:val="006C2127"/>
    <w:rsid w:val="006C221B"/>
    <w:rsid w:val="006C2315"/>
    <w:rsid w:val="006C2394"/>
    <w:rsid w:val="006C30CD"/>
    <w:rsid w:val="006C30F0"/>
    <w:rsid w:val="006C4024"/>
    <w:rsid w:val="006C4349"/>
    <w:rsid w:val="006C4650"/>
    <w:rsid w:val="006D00A4"/>
    <w:rsid w:val="006D1E82"/>
    <w:rsid w:val="006D2E8A"/>
    <w:rsid w:val="006D35FE"/>
    <w:rsid w:val="006D44B6"/>
    <w:rsid w:val="006D6317"/>
    <w:rsid w:val="006D769D"/>
    <w:rsid w:val="006E2C68"/>
    <w:rsid w:val="006E2D02"/>
    <w:rsid w:val="006E7DBC"/>
    <w:rsid w:val="006E7E61"/>
    <w:rsid w:val="006F0198"/>
    <w:rsid w:val="006F16EA"/>
    <w:rsid w:val="006F25F0"/>
    <w:rsid w:val="006F32CB"/>
    <w:rsid w:val="006F3385"/>
    <w:rsid w:val="006F3630"/>
    <w:rsid w:val="006F37E5"/>
    <w:rsid w:val="006F3FC1"/>
    <w:rsid w:val="006F4573"/>
    <w:rsid w:val="006F45EA"/>
    <w:rsid w:val="006F5FA3"/>
    <w:rsid w:val="006F600E"/>
    <w:rsid w:val="006F6213"/>
    <w:rsid w:val="0070184C"/>
    <w:rsid w:val="00701C99"/>
    <w:rsid w:val="00701D98"/>
    <w:rsid w:val="007027DE"/>
    <w:rsid w:val="00702BD8"/>
    <w:rsid w:val="00703C65"/>
    <w:rsid w:val="00706871"/>
    <w:rsid w:val="00707F9C"/>
    <w:rsid w:val="00711486"/>
    <w:rsid w:val="0071212D"/>
    <w:rsid w:val="00712501"/>
    <w:rsid w:val="00712522"/>
    <w:rsid w:val="007136E6"/>
    <w:rsid w:val="0071496C"/>
    <w:rsid w:val="007150A6"/>
    <w:rsid w:val="007154A6"/>
    <w:rsid w:val="007158BA"/>
    <w:rsid w:val="007158E8"/>
    <w:rsid w:val="00720050"/>
    <w:rsid w:val="00721EB0"/>
    <w:rsid w:val="00722D97"/>
    <w:rsid w:val="00723149"/>
    <w:rsid w:val="007233BA"/>
    <w:rsid w:val="0072385B"/>
    <w:rsid w:val="00723A70"/>
    <w:rsid w:val="00724856"/>
    <w:rsid w:val="00724F0D"/>
    <w:rsid w:val="00725AA7"/>
    <w:rsid w:val="007269D0"/>
    <w:rsid w:val="0073192B"/>
    <w:rsid w:val="00731959"/>
    <w:rsid w:val="00733843"/>
    <w:rsid w:val="0073424D"/>
    <w:rsid w:val="00734586"/>
    <w:rsid w:val="0073468E"/>
    <w:rsid w:val="00734AEB"/>
    <w:rsid w:val="00735FFC"/>
    <w:rsid w:val="00736226"/>
    <w:rsid w:val="0073695C"/>
    <w:rsid w:val="00740B84"/>
    <w:rsid w:val="00740CAE"/>
    <w:rsid w:val="00740EEF"/>
    <w:rsid w:val="007412D1"/>
    <w:rsid w:val="00741805"/>
    <w:rsid w:val="007422BD"/>
    <w:rsid w:val="00742D2C"/>
    <w:rsid w:val="00742F88"/>
    <w:rsid w:val="007453BC"/>
    <w:rsid w:val="00745E40"/>
    <w:rsid w:val="00746053"/>
    <w:rsid w:val="0074607B"/>
    <w:rsid w:val="00746A9B"/>
    <w:rsid w:val="00746C24"/>
    <w:rsid w:val="00747643"/>
    <w:rsid w:val="0074796A"/>
    <w:rsid w:val="00751006"/>
    <w:rsid w:val="007514A3"/>
    <w:rsid w:val="0075188A"/>
    <w:rsid w:val="00751C9F"/>
    <w:rsid w:val="0075522D"/>
    <w:rsid w:val="00756B66"/>
    <w:rsid w:val="00756B8D"/>
    <w:rsid w:val="00760ACA"/>
    <w:rsid w:val="00760DEC"/>
    <w:rsid w:val="00760E09"/>
    <w:rsid w:val="00761329"/>
    <w:rsid w:val="0076137B"/>
    <w:rsid w:val="00762AF8"/>
    <w:rsid w:val="00763AF3"/>
    <w:rsid w:val="007644E6"/>
    <w:rsid w:val="00765B40"/>
    <w:rsid w:val="00765BA8"/>
    <w:rsid w:val="00766F90"/>
    <w:rsid w:val="00767B97"/>
    <w:rsid w:val="00770483"/>
    <w:rsid w:val="007707F9"/>
    <w:rsid w:val="00770F36"/>
    <w:rsid w:val="00771835"/>
    <w:rsid w:val="00774560"/>
    <w:rsid w:val="007747FA"/>
    <w:rsid w:val="00775CE8"/>
    <w:rsid w:val="007768E8"/>
    <w:rsid w:val="00776DAE"/>
    <w:rsid w:val="0077767C"/>
    <w:rsid w:val="00777940"/>
    <w:rsid w:val="00777D10"/>
    <w:rsid w:val="0078147D"/>
    <w:rsid w:val="0078297D"/>
    <w:rsid w:val="007832D4"/>
    <w:rsid w:val="0078467C"/>
    <w:rsid w:val="007846CF"/>
    <w:rsid w:val="0078535F"/>
    <w:rsid w:val="00787DEA"/>
    <w:rsid w:val="00787FCC"/>
    <w:rsid w:val="007901C6"/>
    <w:rsid w:val="00793344"/>
    <w:rsid w:val="00793CE2"/>
    <w:rsid w:val="00795682"/>
    <w:rsid w:val="0079584C"/>
    <w:rsid w:val="00797371"/>
    <w:rsid w:val="007976BE"/>
    <w:rsid w:val="00797E67"/>
    <w:rsid w:val="007A017E"/>
    <w:rsid w:val="007A05BE"/>
    <w:rsid w:val="007A098D"/>
    <w:rsid w:val="007A1B24"/>
    <w:rsid w:val="007A21CD"/>
    <w:rsid w:val="007A2EDF"/>
    <w:rsid w:val="007A3041"/>
    <w:rsid w:val="007A3F46"/>
    <w:rsid w:val="007A4581"/>
    <w:rsid w:val="007A45EC"/>
    <w:rsid w:val="007A46F9"/>
    <w:rsid w:val="007A6DC5"/>
    <w:rsid w:val="007A6E59"/>
    <w:rsid w:val="007A7F22"/>
    <w:rsid w:val="007B05DC"/>
    <w:rsid w:val="007B0AC9"/>
    <w:rsid w:val="007B0FE3"/>
    <w:rsid w:val="007B130A"/>
    <w:rsid w:val="007B15BD"/>
    <w:rsid w:val="007B39AB"/>
    <w:rsid w:val="007B3D6A"/>
    <w:rsid w:val="007B3D86"/>
    <w:rsid w:val="007B430B"/>
    <w:rsid w:val="007B4386"/>
    <w:rsid w:val="007B4B25"/>
    <w:rsid w:val="007B5B76"/>
    <w:rsid w:val="007B66C0"/>
    <w:rsid w:val="007B7305"/>
    <w:rsid w:val="007B7AF9"/>
    <w:rsid w:val="007C0D93"/>
    <w:rsid w:val="007C107C"/>
    <w:rsid w:val="007C3DC3"/>
    <w:rsid w:val="007C7611"/>
    <w:rsid w:val="007D1081"/>
    <w:rsid w:val="007D157C"/>
    <w:rsid w:val="007D1658"/>
    <w:rsid w:val="007D2A66"/>
    <w:rsid w:val="007D2FD8"/>
    <w:rsid w:val="007D3922"/>
    <w:rsid w:val="007D42D2"/>
    <w:rsid w:val="007D4AA4"/>
    <w:rsid w:val="007D4D67"/>
    <w:rsid w:val="007E0895"/>
    <w:rsid w:val="007E0A6A"/>
    <w:rsid w:val="007E4216"/>
    <w:rsid w:val="007E4C32"/>
    <w:rsid w:val="007E61A7"/>
    <w:rsid w:val="007E6E6F"/>
    <w:rsid w:val="007E79A7"/>
    <w:rsid w:val="007E7AEE"/>
    <w:rsid w:val="007F035F"/>
    <w:rsid w:val="007F059A"/>
    <w:rsid w:val="007F05A8"/>
    <w:rsid w:val="007F08E3"/>
    <w:rsid w:val="007F0B62"/>
    <w:rsid w:val="007F0EFB"/>
    <w:rsid w:val="007F0FB1"/>
    <w:rsid w:val="007F21E4"/>
    <w:rsid w:val="007F281F"/>
    <w:rsid w:val="007F3534"/>
    <w:rsid w:val="007F4F48"/>
    <w:rsid w:val="007F52AC"/>
    <w:rsid w:val="007F6F6B"/>
    <w:rsid w:val="007F7831"/>
    <w:rsid w:val="008008D6"/>
    <w:rsid w:val="00802193"/>
    <w:rsid w:val="00803EC7"/>
    <w:rsid w:val="00804788"/>
    <w:rsid w:val="00804ECC"/>
    <w:rsid w:val="0080519B"/>
    <w:rsid w:val="008100EA"/>
    <w:rsid w:val="00811699"/>
    <w:rsid w:val="0081359D"/>
    <w:rsid w:val="00813D07"/>
    <w:rsid w:val="00814CDC"/>
    <w:rsid w:val="00815042"/>
    <w:rsid w:val="0081520C"/>
    <w:rsid w:val="00815602"/>
    <w:rsid w:val="00815871"/>
    <w:rsid w:val="00815BC4"/>
    <w:rsid w:val="0081617E"/>
    <w:rsid w:val="00817072"/>
    <w:rsid w:val="008174D9"/>
    <w:rsid w:val="0081772F"/>
    <w:rsid w:val="00820CE0"/>
    <w:rsid w:val="0082167B"/>
    <w:rsid w:val="00821CAB"/>
    <w:rsid w:val="008222ED"/>
    <w:rsid w:val="00822569"/>
    <w:rsid w:val="008227C6"/>
    <w:rsid w:val="00823EC8"/>
    <w:rsid w:val="0082413A"/>
    <w:rsid w:val="00825589"/>
    <w:rsid w:val="008274F7"/>
    <w:rsid w:val="00827E26"/>
    <w:rsid w:val="00827EF9"/>
    <w:rsid w:val="0083188D"/>
    <w:rsid w:val="008319CB"/>
    <w:rsid w:val="00833590"/>
    <w:rsid w:val="00835D52"/>
    <w:rsid w:val="00836438"/>
    <w:rsid w:val="00837CEF"/>
    <w:rsid w:val="008405D2"/>
    <w:rsid w:val="008414B6"/>
    <w:rsid w:val="008417C4"/>
    <w:rsid w:val="00841B3D"/>
    <w:rsid w:val="00842E92"/>
    <w:rsid w:val="008432AC"/>
    <w:rsid w:val="00843408"/>
    <w:rsid w:val="00843DEF"/>
    <w:rsid w:val="00844F82"/>
    <w:rsid w:val="008466F7"/>
    <w:rsid w:val="0084695F"/>
    <w:rsid w:val="008469FF"/>
    <w:rsid w:val="00846CD0"/>
    <w:rsid w:val="008504E0"/>
    <w:rsid w:val="00851446"/>
    <w:rsid w:val="008538A2"/>
    <w:rsid w:val="00856A20"/>
    <w:rsid w:val="00857D41"/>
    <w:rsid w:val="00857FD7"/>
    <w:rsid w:val="00860F83"/>
    <w:rsid w:val="00861D47"/>
    <w:rsid w:val="008646F3"/>
    <w:rsid w:val="00864967"/>
    <w:rsid w:val="008662C0"/>
    <w:rsid w:val="008673CE"/>
    <w:rsid w:val="00867CB7"/>
    <w:rsid w:val="0087025F"/>
    <w:rsid w:val="00871A95"/>
    <w:rsid w:val="00871B6E"/>
    <w:rsid w:val="00872D43"/>
    <w:rsid w:val="008731DE"/>
    <w:rsid w:val="0087377F"/>
    <w:rsid w:val="008738D5"/>
    <w:rsid w:val="00876110"/>
    <w:rsid w:val="0087625D"/>
    <w:rsid w:val="008764D9"/>
    <w:rsid w:val="00877B78"/>
    <w:rsid w:val="008800BD"/>
    <w:rsid w:val="008807A6"/>
    <w:rsid w:val="00880C4A"/>
    <w:rsid w:val="00883461"/>
    <w:rsid w:val="00883CA1"/>
    <w:rsid w:val="00883F20"/>
    <w:rsid w:val="008845AE"/>
    <w:rsid w:val="008845E5"/>
    <w:rsid w:val="00885117"/>
    <w:rsid w:val="0088577D"/>
    <w:rsid w:val="00886C2D"/>
    <w:rsid w:val="00887F5C"/>
    <w:rsid w:val="00890CCA"/>
    <w:rsid w:val="00890DD8"/>
    <w:rsid w:val="00891FA0"/>
    <w:rsid w:val="008923E9"/>
    <w:rsid w:val="00893C31"/>
    <w:rsid w:val="00895F2D"/>
    <w:rsid w:val="008A2F60"/>
    <w:rsid w:val="008A310E"/>
    <w:rsid w:val="008A3438"/>
    <w:rsid w:val="008A34B6"/>
    <w:rsid w:val="008A3E28"/>
    <w:rsid w:val="008A59B9"/>
    <w:rsid w:val="008A6066"/>
    <w:rsid w:val="008A62F7"/>
    <w:rsid w:val="008B01D5"/>
    <w:rsid w:val="008B07CE"/>
    <w:rsid w:val="008B2369"/>
    <w:rsid w:val="008B3259"/>
    <w:rsid w:val="008B33F4"/>
    <w:rsid w:val="008B3870"/>
    <w:rsid w:val="008B45D0"/>
    <w:rsid w:val="008B4FA2"/>
    <w:rsid w:val="008B5A1C"/>
    <w:rsid w:val="008B6182"/>
    <w:rsid w:val="008B6A5E"/>
    <w:rsid w:val="008B6AF5"/>
    <w:rsid w:val="008B75A9"/>
    <w:rsid w:val="008B75B2"/>
    <w:rsid w:val="008B7852"/>
    <w:rsid w:val="008C038E"/>
    <w:rsid w:val="008C1CC6"/>
    <w:rsid w:val="008C564A"/>
    <w:rsid w:val="008C58CC"/>
    <w:rsid w:val="008C6462"/>
    <w:rsid w:val="008C64B3"/>
    <w:rsid w:val="008C67D7"/>
    <w:rsid w:val="008C73C1"/>
    <w:rsid w:val="008C76FB"/>
    <w:rsid w:val="008D0F5E"/>
    <w:rsid w:val="008D2334"/>
    <w:rsid w:val="008D42A0"/>
    <w:rsid w:val="008D4B75"/>
    <w:rsid w:val="008D582A"/>
    <w:rsid w:val="008E2690"/>
    <w:rsid w:val="008E3429"/>
    <w:rsid w:val="008E4889"/>
    <w:rsid w:val="008E5468"/>
    <w:rsid w:val="008E5D7F"/>
    <w:rsid w:val="008E63F9"/>
    <w:rsid w:val="008F0560"/>
    <w:rsid w:val="008F1C14"/>
    <w:rsid w:val="008F2336"/>
    <w:rsid w:val="008F2AAD"/>
    <w:rsid w:val="008F2BC2"/>
    <w:rsid w:val="008F2FAB"/>
    <w:rsid w:val="008F327F"/>
    <w:rsid w:val="008F472C"/>
    <w:rsid w:val="008F5F7A"/>
    <w:rsid w:val="008F6268"/>
    <w:rsid w:val="008F663F"/>
    <w:rsid w:val="008F6A61"/>
    <w:rsid w:val="008F6B9D"/>
    <w:rsid w:val="008F7181"/>
    <w:rsid w:val="008F7FC2"/>
    <w:rsid w:val="00900BBE"/>
    <w:rsid w:val="00902D5D"/>
    <w:rsid w:val="0090330F"/>
    <w:rsid w:val="00903CFF"/>
    <w:rsid w:val="009044AB"/>
    <w:rsid w:val="00906F37"/>
    <w:rsid w:val="00910846"/>
    <w:rsid w:val="0091222F"/>
    <w:rsid w:val="0091442A"/>
    <w:rsid w:val="00916EF2"/>
    <w:rsid w:val="00917563"/>
    <w:rsid w:val="009177DF"/>
    <w:rsid w:val="00920A37"/>
    <w:rsid w:val="00921405"/>
    <w:rsid w:val="00921EC0"/>
    <w:rsid w:val="00922542"/>
    <w:rsid w:val="00922FF4"/>
    <w:rsid w:val="0092387E"/>
    <w:rsid w:val="00923A3C"/>
    <w:rsid w:val="0092421D"/>
    <w:rsid w:val="00925815"/>
    <w:rsid w:val="00927A35"/>
    <w:rsid w:val="009315DC"/>
    <w:rsid w:val="00931AB6"/>
    <w:rsid w:val="00931DC1"/>
    <w:rsid w:val="0093209F"/>
    <w:rsid w:val="00932FA5"/>
    <w:rsid w:val="009355FF"/>
    <w:rsid w:val="00935C72"/>
    <w:rsid w:val="00936AAC"/>
    <w:rsid w:val="00936BC9"/>
    <w:rsid w:val="00940BE3"/>
    <w:rsid w:val="00943E6A"/>
    <w:rsid w:val="00945022"/>
    <w:rsid w:val="00945B49"/>
    <w:rsid w:val="009465FA"/>
    <w:rsid w:val="0094770B"/>
    <w:rsid w:val="00947956"/>
    <w:rsid w:val="00947C2B"/>
    <w:rsid w:val="00950503"/>
    <w:rsid w:val="0095076A"/>
    <w:rsid w:val="00950A41"/>
    <w:rsid w:val="00951484"/>
    <w:rsid w:val="00952097"/>
    <w:rsid w:val="009524DB"/>
    <w:rsid w:val="009536A1"/>
    <w:rsid w:val="009536E4"/>
    <w:rsid w:val="0095493F"/>
    <w:rsid w:val="0095533A"/>
    <w:rsid w:val="009554EA"/>
    <w:rsid w:val="00955BD1"/>
    <w:rsid w:val="00960A34"/>
    <w:rsid w:val="0096150F"/>
    <w:rsid w:val="0096283D"/>
    <w:rsid w:val="00962C21"/>
    <w:rsid w:val="00963220"/>
    <w:rsid w:val="009652C7"/>
    <w:rsid w:val="0096735D"/>
    <w:rsid w:val="00970028"/>
    <w:rsid w:val="00970EE1"/>
    <w:rsid w:val="009716E0"/>
    <w:rsid w:val="00971B8D"/>
    <w:rsid w:val="00971E5C"/>
    <w:rsid w:val="00972DE6"/>
    <w:rsid w:val="00973049"/>
    <w:rsid w:val="00977BE4"/>
    <w:rsid w:val="009801E5"/>
    <w:rsid w:val="009816F1"/>
    <w:rsid w:val="0098174E"/>
    <w:rsid w:val="00981E59"/>
    <w:rsid w:val="00983443"/>
    <w:rsid w:val="009839A3"/>
    <w:rsid w:val="00984343"/>
    <w:rsid w:val="00984C5F"/>
    <w:rsid w:val="009852CB"/>
    <w:rsid w:val="00985713"/>
    <w:rsid w:val="00987111"/>
    <w:rsid w:val="00987BAF"/>
    <w:rsid w:val="00987D32"/>
    <w:rsid w:val="009910D1"/>
    <w:rsid w:val="00991877"/>
    <w:rsid w:val="00991BF9"/>
    <w:rsid w:val="00992EE3"/>
    <w:rsid w:val="0099326E"/>
    <w:rsid w:val="00995437"/>
    <w:rsid w:val="00995552"/>
    <w:rsid w:val="00995A2C"/>
    <w:rsid w:val="0099619F"/>
    <w:rsid w:val="009965CC"/>
    <w:rsid w:val="009969A2"/>
    <w:rsid w:val="00997293"/>
    <w:rsid w:val="009A0CBC"/>
    <w:rsid w:val="009A1183"/>
    <w:rsid w:val="009A2894"/>
    <w:rsid w:val="009A3554"/>
    <w:rsid w:val="009A35F8"/>
    <w:rsid w:val="009A4C64"/>
    <w:rsid w:val="009A5321"/>
    <w:rsid w:val="009A6F53"/>
    <w:rsid w:val="009B074C"/>
    <w:rsid w:val="009B075B"/>
    <w:rsid w:val="009B146A"/>
    <w:rsid w:val="009B3575"/>
    <w:rsid w:val="009B3EB5"/>
    <w:rsid w:val="009B4248"/>
    <w:rsid w:val="009B5A07"/>
    <w:rsid w:val="009B60FD"/>
    <w:rsid w:val="009B6FC8"/>
    <w:rsid w:val="009B73A5"/>
    <w:rsid w:val="009B7585"/>
    <w:rsid w:val="009B7A8E"/>
    <w:rsid w:val="009C01EF"/>
    <w:rsid w:val="009C26D9"/>
    <w:rsid w:val="009C45D5"/>
    <w:rsid w:val="009C5111"/>
    <w:rsid w:val="009C52AD"/>
    <w:rsid w:val="009C5599"/>
    <w:rsid w:val="009C6B0D"/>
    <w:rsid w:val="009C6DC0"/>
    <w:rsid w:val="009C77DE"/>
    <w:rsid w:val="009D0712"/>
    <w:rsid w:val="009D17D6"/>
    <w:rsid w:val="009D231D"/>
    <w:rsid w:val="009D28E7"/>
    <w:rsid w:val="009D29A5"/>
    <w:rsid w:val="009D38CE"/>
    <w:rsid w:val="009D5B99"/>
    <w:rsid w:val="009D773E"/>
    <w:rsid w:val="009D78DE"/>
    <w:rsid w:val="009E0064"/>
    <w:rsid w:val="009E0194"/>
    <w:rsid w:val="009E04F3"/>
    <w:rsid w:val="009E0D32"/>
    <w:rsid w:val="009E2684"/>
    <w:rsid w:val="009E30BC"/>
    <w:rsid w:val="009E3614"/>
    <w:rsid w:val="009E38C5"/>
    <w:rsid w:val="009E464A"/>
    <w:rsid w:val="009E56B4"/>
    <w:rsid w:val="009E5FA4"/>
    <w:rsid w:val="009E6B63"/>
    <w:rsid w:val="009E6B6B"/>
    <w:rsid w:val="009E7178"/>
    <w:rsid w:val="009E768E"/>
    <w:rsid w:val="009E7AE3"/>
    <w:rsid w:val="009E7DF8"/>
    <w:rsid w:val="009F0B60"/>
    <w:rsid w:val="009F123A"/>
    <w:rsid w:val="009F39B5"/>
    <w:rsid w:val="009F4E44"/>
    <w:rsid w:val="009F4F11"/>
    <w:rsid w:val="009F5054"/>
    <w:rsid w:val="009F50E9"/>
    <w:rsid w:val="009F5631"/>
    <w:rsid w:val="009F58A9"/>
    <w:rsid w:val="009F78DE"/>
    <w:rsid w:val="00A00026"/>
    <w:rsid w:val="00A0235A"/>
    <w:rsid w:val="00A02E86"/>
    <w:rsid w:val="00A04358"/>
    <w:rsid w:val="00A04A05"/>
    <w:rsid w:val="00A058D2"/>
    <w:rsid w:val="00A059B7"/>
    <w:rsid w:val="00A05A25"/>
    <w:rsid w:val="00A05C69"/>
    <w:rsid w:val="00A05D8A"/>
    <w:rsid w:val="00A065D9"/>
    <w:rsid w:val="00A06DB9"/>
    <w:rsid w:val="00A07639"/>
    <w:rsid w:val="00A07DF9"/>
    <w:rsid w:val="00A12512"/>
    <w:rsid w:val="00A152CA"/>
    <w:rsid w:val="00A153F9"/>
    <w:rsid w:val="00A15B43"/>
    <w:rsid w:val="00A20100"/>
    <w:rsid w:val="00A20645"/>
    <w:rsid w:val="00A22E5C"/>
    <w:rsid w:val="00A23570"/>
    <w:rsid w:val="00A2383C"/>
    <w:rsid w:val="00A266A5"/>
    <w:rsid w:val="00A26D83"/>
    <w:rsid w:val="00A303EB"/>
    <w:rsid w:val="00A3114E"/>
    <w:rsid w:val="00A3128D"/>
    <w:rsid w:val="00A31B1B"/>
    <w:rsid w:val="00A327BF"/>
    <w:rsid w:val="00A32AA7"/>
    <w:rsid w:val="00A32C08"/>
    <w:rsid w:val="00A349CB"/>
    <w:rsid w:val="00A3531E"/>
    <w:rsid w:val="00A358B4"/>
    <w:rsid w:val="00A3590D"/>
    <w:rsid w:val="00A35B10"/>
    <w:rsid w:val="00A36DE3"/>
    <w:rsid w:val="00A3714B"/>
    <w:rsid w:val="00A37161"/>
    <w:rsid w:val="00A378E2"/>
    <w:rsid w:val="00A37DD5"/>
    <w:rsid w:val="00A408E5"/>
    <w:rsid w:val="00A40CE5"/>
    <w:rsid w:val="00A42CE8"/>
    <w:rsid w:val="00A43C78"/>
    <w:rsid w:val="00A44424"/>
    <w:rsid w:val="00A4587A"/>
    <w:rsid w:val="00A459E5"/>
    <w:rsid w:val="00A51122"/>
    <w:rsid w:val="00A518C0"/>
    <w:rsid w:val="00A5190A"/>
    <w:rsid w:val="00A52C6C"/>
    <w:rsid w:val="00A52E00"/>
    <w:rsid w:val="00A5317D"/>
    <w:rsid w:val="00A54B2B"/>
    <w:rsid w:val="00A5517E"/>
    <w:rsid w:val="00A5554F"/>
    <w:rsid w:val="00A577D7"/>
    <w:rsid w:val="00A579AD"/>
    <w:rsid w:val="00A61129"/>
    <w:rsid w:val="00A6117F"/>
    <w:rsid w:val="00A62535"/>
    <w:rsid w:val="00A62EDF"/>
    <w:rsid w:val="00A6344C"/>
    <w:rsid w:val="00A63519"/>
    <w:rsid w:val="00A64050"/>
    <w:rsid w:val="00A64A15"/>
    <w:rsid w:val="00A66FC3"/>
    <w:rsid w:val="00A72017"/>
    <w:rsid w:val="00A7340A"/>
    <w:rsid w:val="00A73637"/>
    <w:rsid w:val="00A75568"/>
    <w:rsid w:val="00A75B06"/>
    <w:rsid w:val="00A765F8"/>
    <w:rsid w:val="00A76810"/>
    <w:rsid w:val="00A77087"/>
    <w:rsid w:val="00A770EA"/>
    <w:rsid w:val="00A77545"/>
    <w:rsid w:val="00A77B22"/>
    <w:rsid w:val="00A77EAF"/>
    <w:rsid w:val="00A80ACF"/>
    <w:rsid w:val="00A80D50"/>
    <w:rsid w:val="00A8136E"/>
    <w:rsid w:val="00A81A45"/>
    <w:rsid w:val="00A83A2D"/>
    <w:rsid w:val="00A83FE1"/>
    <w:rsid w:val="00A83FFE"/>
    <w:rsid w:val="00A8548D"/>
    <w:rsid w:val="00A85AD0"/>
    <w:rsid w:val="00A86009"/>
    <w:rsid w:val="00A871DF"/>
    <w:rsid w:val="00A912D9"/>
    <w:rsid w:val="00A915B3"/>
    <w:rsid w:val="00A924B1"/>
    <w:rsid w:val="00A92A03"/>
    <w:rsid w:val="00A93EDF"/>
    <w:rsid w:val="00A96041"/>
    <w:rsid w:val="00A96A40"/>
    <w:rsid w:val="00AA15C1"/>
    <w:rsid w:val="00AA19EE"/>
    <w:rsid w:val="00AA1AAB"/>
    <w:rsid w:val="00AA2A4C"/>
    <w:rsid w:val="00AA37EC"/>
    <w:rsid w:val="00AA6B95"/>
    <w:rsid w:val="00AB04BC"/>
    <w:rsid w:val="00AB0583"/>
    <w:rsid w:val="00AB189D"/>
    <w:rsid w:val="00AB1A3A"/>
    <w:rsid w:val="00AB220B"/>
    <w:rsid w:val="00AB328C"/>
    <w:rsid w:val="00AB32B7"/>
    <w:rsid w:val="00AB56DD"/>
    <w:rsid w:val="00AB573A"/>
    <w:rsid w:val="00AB5B21"/>
    <w:rsid w:val="00AB6298"/>
    <w:rsid w:val="00AB7313"/>
    <w:rsid w:val="00AB78E1"/>
    <w:rsid w:val="00AB7AFF"/>
    <w:rsid w:val="00AC1257"/>
    <w:rsid w:val="00AC20A6"/>
    <w:rsid w:val="00AC223D"/>
    <w:rsid w:val="00AC35F5"/>
    <w:rsid w:val="00AC3E1D"/>
    <w:rsid w:val="00AC4C90"/>
    <w:rsid w:val="00AC63B5"/>
    <w:rsid w:val="00AC6CF3"/>
    <w:rsid w:val="00AC6D64"/>
    <w:rsid w:val="00AC7682"/>
    <w:rsid w:val="00AC7EE4"/>
    <w:rsid w:val="00AC7F0B"/>
    <w:rsid w:val="00AD053B"/>
    <w:rsid w:val="00AD13D5"/>
    <w:rsid w:val="00AD1E64"/>
    <w:rsid w:val="00AD2072"/>
    <w:rsid w:val="00AD223B"/>
    <w:rsid w:val="00AD3EE1"/>
    <w:rsid w:val="00AD4F16"/>
    <w:rsid w:val="00AD4F73"/>
    <w:rsid w:val="00AD6638"/>
    <w:rsid w:val="00AD682A"/>
    <w:rsid w:val="00AD7893"/>
    <w:rsid w:val="00AE0427"/>
    <w:rsid w:val="00AE0D7B"/>
    <w:rsid w:val="00AE140B"/>
    <w:rsid w:val="00AE1899"/>
    <w:rsid w:val="00AE29C9"/>
    <w:rsid w:val="00AE50D4"/>
    <w:rsid w:val="00AE5701"/>
    <w:rsid w:val="00AE5A09"/>
    <w:rsid w:val="00AE6ECF"/>
    <w:rsid w:val="00AE7203"/>
    <w:rsid w:val="00AF08DD"/>
    <w:rsid w:val="00AF0A7D"/>
    <w:rsid w:val="00AF0E96"/>
    <w:rsid w:val="00AF2972"/>
    <w:rsid w:val="00AF3E5A"/>
    <w:rsid w:val="00AF62B9"/>
    <w:rsid w:val="00AF73EB"/>
    <w:rsid w:val="00B006FD"/>
    <w:rsid w:val="00B00F0C"/>
    <w:rsid w:val="00B01133"/>
    <w:rsid w:val="00B03840"/>
    <w:rsid w:val="00B03C6B"/>
    <w:rsid w:val="00B05643"/>
    <w:rsid w:val="00B066D1"/>
    <w:rsid w:val="00B06C55"/>
    <w:rsid w:val="00B070D2"/>
    <w:rsid w:val="00B072FD"/>
    <w:rsid w:val="00B07AC1"/>
    <w:rsid w:val="00B11039"/>
    <w:rsid w:val="00B11DAD"/>
    <w:rsid w:val="00B12D57"/>
    <w:rsid w:val="00B135B1"/>
    <w:rsid w:val="00B13670"/>
    <w:rsid w:val="00B14232"/>
    <w:rsid w:val="00B17026"/>
    <w:rsid w:val="00B20C62"/>
    <w:rsid w:val="00B21951"/>
    <w:rsid w:val="00B2234A"/>
    <w:rsid w:val="00B22B0E"/>
    <w:rsid w:val="00B2344B"/>
    <w:rsid w:val="00B257CB"/>
    <w:rsid w:val="00B2750A"/>
    <w:rsid w:val="00B3049C"/>
    <w:rsid w:val="00B30E7B"/>
    <w:rsid w:val="00B324FE"/>
    <w:rsid w:val="00B33033"/>
    <w:rsid w:val="00B35EF4"/>
    <w:rsid w:val="00B37189"/>
    <w:rsid w:val="00B41103"/>
    <w:rsid w:val="00B41605"/>
    <w:rsid w:val="00B42154"/>
    <w:rsid w:val="00B4280A"/>
    <w:rsid w:val="00B429BD"/>
    <w:rsid w:val="00B4315F"/>
    <w:rsid w:val="00B43392"/>
    <w:rsid w:val="00B4370F"/>
    <w:rsid w:val="00B451E8"/>
    <w:rsid w:val="00B46C5A"/>
    <w:rsid w:val="00B47131"/>
    <w:rsid w:val="00B512D8"/>
    <w:rsid w:val="00B53868"/>
    <w:rsid w:val="00B540AD"/>
    <w:rsid w:val="00B542C7"/>
    <w:rsid w:val="00B54DF4"/>
    <w:rsid w:val="00B54EA4"/>
    <w:rsid w:val="00B55035"/>
    <w:rsid w:val="00B55666"/>
    <w:rsid w:val="00B56B73"/>
    <w:rsid w:val="00B56CFD"/>
    <w:rsid w:val="00B573D3"/>
    <w:rsid w:val="00B5769E"/>
    <w:rsid w:val="00B61BC0"/>
    <w:rsid w:val="00B624F6"/>
    <w:rsid w:val="00B64C0A"/>
    <w:rsid w:val="00B657B3"/>
    <w:rsid w:val="00B703EF"/>
    <w:rsid w:val="00B704DF"/>
    <w:rsid w:val="00B70AEE"/>
    <w:rsid w:val="00B70B47"/>
    <w:rsid w:val="00B71567"/>
    <w:rsid w:val="00B733F6"/>
    <w:rsid w:val="00B7374F"/>
    <w:rsid w:val="00B739DC"/>
    <w:rsid w:val="00B74182"/>
    <w:rsid w:val="00B74943"/>
    <w:rsid w:val="00B75478"/>
    <w:rsid w:val="00B76E6E"/>
    <w:rsid w:val="00B773D6"/>
    <w:rsid w:val="00B812FC"/>
    <w:rsid w:val="00B81EED"/>
    <w:rsid w:val="00B8291B"/>
    <w:rsid w:val="00B83A85"/>
    <w:rsid w:val="00B8407E"/>
    <w:rsid w:val="00B85486"/>
    <w:rsid w:val="00B85612"/>
    <w:rsid w:val="00B86E40"/>
    <w:rsid w:val="00B875C4"/>
    <w:rsid w:val="00B876D3"/>
    <w:rsid w:val="00B906F1"/>
    <w:rsid w:val="00B91214"/>
    <w:rsid w:val="00B91704"/>
    <w:rsid w:val="00B91C71"/>
    <w:rsid w:val="00B91F32"/>
    <w:rsid w:val="00B92E08"/>
    <w:rsid w:val="00B9313E"/>
    <w:rsid w:val="00B932DF"/>
    <w:rsid w:val="00B94208"/>
    <w:rsid w:val="00B95FE0"/>
    <w:rsid w:val="00B97516"/>
    <w:rsid w:val="00B9768B"/>
    <w:rsid w:val="00B97A1B"/>
    <w:rsid w:val="00BA1155"/>
    <w:rsid w:val="00BA1289"/>
    <w:rsid w:val="00BA1305"/>
    <w:rsid w:val="00BA1D73"/>
    <w:rsid w:val="00BA1D83"/>
    <w:rsid w:val="00BA2130"/>
    <w:rsid w:val="00BA2CFB"/>
    <w:rsid w:val="00BA3EC6"/>
    <w:rsid w:val="00BA6657"/>
    <w:rsid w:val="00BA6949"/>
    <w:rsid w:val="00BA6BC2"/>
    <w:rsid w:val="00BA6CD8"/>
    <w:rsid w:val="00BB0DD2"/>
    <w:rsid w:val="00BB0E09"/>
    <w:rsid w:val="00BB1771"/>
    <w:rsid w:val="00BB23BB"/>
    <w:rsid w:val="00BB2B2A"/>
    <w:rsid w:val="00BB5451"/>
    <w:rsid w:val="00BB5EEC"/>
    <w:rsid w:val="00BB7560"/>
    <w:rsid w:val="00BB77D6"/>
    <w:rsid w:val="00BC0C26"/>
    <w:rsid w:val="00BC0E9A"/>
    <w:rsid w:val="00BC0ECF"/>
    <w:rsid w:val="00BC2C49"/>
    <w:rsid w:val="00BC376C"/>
    <w:rsid w:val="00BC3B60"/>
    <w:rsid w:val="00BC40B6"/>
    <w:rsid w:val="00BC48A9"/>
    <w:rsid w:val="00BC69A7"/>
    <w:rsid w:val="00BC6E42"/>
    <w:rsid w:val="00BC7242"/>
    <w:rsid w:val="00BC7609"/>
    <w:rsid w:val="00BD030B"/>
    <w:rsid w:val="00BD059A"/>
    <w:rsid w:val="00BD0BF3"/>
    <w:rsid w:val="00BD286E"/>
    <w:rsid w:val="00BD2A9E"/>
    <w:rsid w:val="00BD324B"/>
    <w:rsid w:val="00BD499F"/>
    <w:rsid w:val="00BD5858"/>
    <w:rsid w:val="00BD5C60"/>
    <w:rsid w:val="00BD6165"/>
    <w:rsid w:val="00BD732C"/>
    <w:rsid w:val="00BD73E3"/>
    <w:rsid w:val="00BD7867"/>
    <w:rsid w:val="00BE0A80"/>
    <w:rsid w:val="00BE11F9"/>
    <w:rsid w:val="00BE270F"/>
    <w:rsid w:val="00BE2AE6"/>
    <w:rsid w:val="00BE2AEA"/>
    <w:rsid w:val="00BE4047"/>
    <w:rsid w:val="00BE4280"/>
    <w:rsid w:val="00BE4938"/>
    <w:rsid w:val="00BE50B8"/>
    <w:rsid w:val="00BE76D1"/>
    <w:rsid w:val="00BF006E"/>
    <w:rsid w:val="00BF0BBD"/>
    <w:rsid w:val="00BF12BD"/>
    <w:rsid w:val="00BF186E"/>
    <w:rsid w:val="00BF370B"/>
    <w:rsid w:val="00BF43E7"/>
    <w:rsid w:val="00BF4654"/>
    <w:rsid w:val="00BF6726"/>
    <w:rsid w:val="00BF67AC"/>
    <w:rsid w:val="00BF7E24"/>
    <w:rsid w:val="00BF7F52"/>
    <w:rsid w:val="00C01006"/>
    <w:rsid w:val="00C03429"/>
    <w:rsid w:val="00C1024B"/>
    <w:rsid w:val="00C10798"/>
    <w:rsid w:val="00C1091B"/>
    <w:rsid w:val="00C10B60"/>
    <w:rsid w:val="00C10D8B"/>
    <w:rsid w:val="00C11B78"/>
    <w:rsid w:val="00C12E19"/>
    <w:rsid w:val="00C13B86"/>
    <w:rsid w:val="00C13FD1"/>
    <w:rsid w:val="00C14B5C"/>
    <w:rsid w:val="00C14DF8"/>
    <w:rsid w:val="00C14EDA"/>
    <w:rsid w:val="00C15042"/>
    <w:rsid w:val="00C15238"/>
    <w:rsid w:val="00C153AD"/>
    <w:rsid w:val="00C15E9A"/>
    <w:rsid w:val="00C16026"/>
    <w:rsid w:val="00C16C69"/>
    <w:rsid w:val="00C1798D"/>
    <w:rsid w:val="00C20923"/>
    <w:rsid w:val="00C20A1C"/>
    <w:rsid w:val="00C22A8A"/>
    <w:rsid w:val="00C23C3A"/>
    <w:rsid w:val="00C24128"/>
    <w:rsid w:val="00C242DF"/>
    <w:rsid w:val="00C251B8"/>
    <w:rsid w:val="00C25329"/>
    <w:rsid w:val="00C2551C"/>
    <w:rsid w:val="00C2569E"/>
    <w:rsid w:val="00C25F66"/>
    <w:rsid w:val="00C26404"/>
    <w:rsid w:val="00C268D0"/>
    <w:rsid w:val="00C26931"/>
    <w:rsid w:val="00C26C7C"/>
    <w:rsid w:val="00C27639"/>
    <w:rsid w:val="00C3301F"/>
    <w:rsid w:val="00C33A57"/>
    <w:rsid w:val="00C33D87"/>
    <w:rsid w:val="00C34783"/>
    <w:rsid w:val="00C3480B"/>
    <w:rsid w:val="00C34BCE"/>
    <w:rsid w:val="00C35570"/>
    <w:rsid w:val="00C3569D"/>
    <w:rsid w:val="00C37316"/>
    <w:rsid w:val="00C37724"/>
    <w:rsid w:val="00C411E4"/>
    <w:rsid w:val="00C41793"/>
    <w:rsid w:val="00C41B40"/>
    <w:rsid w:val="00C41F9C"/>
    <w:rsid w:val="00C422CD"/>
    <w:rsid w:val="00C436F8"/>
    <w:rsid w:val="00C439BE"/>
    <w:rsid w:val="00C44C0A"/>
    <w:rsid w:val="00C450DF"/>
    <w:rsid w:val="00C460D6"/>
    <w:rsid w:val="00C470D0"/>
    <w:rsid w:val="00C501CA"/>
    <w:rsid w:val="00C505C1"/>
    <w:rsid w:val="00C50D1D"/>
    <w:rsid w:val="00C51136"/>
    <w:rsid w:val="00C52200"/>
    <w:rsid w:val="00C52BDA"/>
    <w:rsid w:val="00C536EF"/>
    <w:rsid w:val="00C55C35"/>
    <w:rsid w:val="00C5663A"/>
    <w:rsid w:val="00C56BBA"/>
    <w:rsid w:val="00C57EF6"/>
    <w:rsid w:val="00C61481"/>
    <w:rsid w:val="00C62426"/>
    <w:rsid w:val="00C62EB3"/>
    <w:rsid w:val="00C63D1A"/>
    <w:rsid w:val="00C645A0"/>
    <w:rsid w:val="00C650ED"/>
    <w:rsid w:val="00C65C13"/>
    <w:rsid w:val="00C66317"/>
    <w:rsid w:val="00C66516"/>
    <w:rsid w:val="00C6659D"/>
    <w:rsid w:val="00C66922"/>
    <w:rsid w:val="00C728CB"/>
    <w:rsid w:val="00C731B9"/>
    <w:rsid w:val="00C73A38"/>
    <w:rsid w:val="00C74232"/>
    <w:rsid w:val="00C75A2F"/>
    <w:rsid w:val="00C75F57"/>
    <w:rsid w:val="00C761C9"/>
    <w:rsid w:val="00C76971"/>
    <w:rsid w:val="00C7715F"/>
    <w:rsid w:val="00C7723F"/>
    <w:rsid w:val="00C8131D"/>
    <w:rsid w:val="00C81C34"/>
    <w:rsid w:val="00C822F2"/>
    <w:rsid w:val="00C841D1"/>
    <w:rsid w:val="00C86309"/>
    <w:rsid w:val="00C86E04"/>
    <w:rsid w:val="00C91F9E"/>
    <w:rsid w:val="00C9235F"/>
    <w:rsid w:val="00C92D01"/>
    <w:rsid w:val="00C93267"/>
    <w:rsid w:val="00C93EAE"/>
    <w:rsid w:val="00C940A5"/>
    <w:rsid w:val="00C94C86"/>
    <w:rsid w:val="00C94DB8"/>
    <w:rsid w:val="00C95172"/>
    <w:rsid w:val="00C95455"/>
    <w:rsid w:val="00C95E32"/>
    <w:rsid w:val="00C9682B"/>
    <w:rsid w:val="00C96BA3"/>
    <w:rsid w:val="00C96FA1"/>
    <w:rsid w:val="00CA0ECF"/>
    <w:rsid w:val="00CA1AC6"/>
    <w:rsid w:val="00CA2AAD"/>
    <w:rsid w:val="00CA370A"/>
    <w:rsid w:val="00CA3939"/>
    <w:rsid w:val="00CA6F5E"/>
    <w:rsid w:val="00CA7066"/>
    <w:rsid w:val="00CB0615"/>
    <w:rsid w:val="00CB09AB"/>
    <w:rsid w:val="00CB1707"/>
    <w:rsid w:val="00CB2DBA"/>
    <w:rsid w:val="00CB37BE"/>
    <w:rsid w:val="00CB3E4E"/>
    <w:rsid w:val="00CB3F58"/>
    <w:rsid w:val="00CB4696"/>
    <w:rsid w:val="00CB593F"/>
    <w:rsid w:val="00CB5DA8"/>
    <w:rsid w:val="00CB6AD4"/>
    <w:rsid w:val="00CB77EC"/>
    <w:rsid w:val="00CB7FFD"/>
    <w:rsid w:val="00CC03BD"/>
    <w:rsid w:val="00CC0C2C"/>
    <w:rsid w:val="00CC2751"/>
    <w:rsid w:val="00CC28A4"/>
    <w:rsid w:val="00CC29AD"/>
    <w:rsid w:val="00CC464A"/>
    <w:rsid w:val="00CC4C80"/>
    <w:rsid w:val="00CC5115"/>
    <w:rsid w:val="00CC5ABC"/>
    <w:rsid w:val="00CC68F2"/>
    <w:rsid w:val="00CD0D04"/>
    <w:rsid w:val="00CD1228"/>
    <w:rsid w:val="00CD1D0C"/>
    <w:rsid w:val="00CD3112"/>
    <w:rsid w:val="00CD431E"/>
    <w:rsid w:val="00CD4D2A"/>
    <w:rsid w:val="00CD563F"/>
    <w:rsid w:val="00CD5D08"/>
    <w:rsid w:val="00CE06C1"/>
    <w:rsid w:val="00CE109E"/>
    <w:rsid w:val="00CE17AC"/>
    <w:rsid w:val="00CE1C34"/>
    <w:rsid w:val="00CE288F"/>
    <w:rsid w:val="00CE3FAB"/>
    <w:rsid w:val="00CE4177"/>
    <w:rsid w:val="00CE64C2"/>
    <w:rsid w:val="00CE75D0"/>
    <w:rsid w:val="00CE7843"/>
    <w:rsid w:val="00CF0380"/>
    <w:rsid w:val="00CF0602"/>
    <w:rsid w:val="00CF07FF"/>
    <w:rsid w:val="00CF0DCB"/>
    <w:rsid w:val="00CF1549"/>
    <w:rsid w:val="00CF16EA"/>
    <w:rsid w:val="00CF1BC7"/>
    <w:rsid w:val="00CF36AD"/>
    <w:rsid w:val="00CF6218"/>
    <w:rsid w:val="00CF7624"/>
    <w:rsid w:val="00D0021A"/>
    <w:rsid w:val="00D0081F"/>
    <w:rsid w:val="00D013F6"/>
    <w:rsid w:val="00D017D3"/>
    <w:rsid w:val="00D01899"/>
    <w:rsid w:val="00D030EF"/>
    <w:rsid w:val="00D03B0D"/>
    <w:rsid w:val="00D05311"/>
    <w:rsid w:val="00D06236"/>
    <w:rsid w:val="00D06534"/>
    <w:rsid w:val="00D0693C"/>
    <w:rsid w:val="00D07B0F"/>
    <w:rsid w:val="00D10A57"/>
    <w:rsid w:val="00D10F08"/>
    <w:rsid w:val="00D11A7E"/>
    <w:rsid w:val="00D12847"/>
    <w:rsid w:val="00D14EFA"/>
    <w:rsid w:val="00D1548C"/>
    <w:rsid w:val="00D17B5A"/>
    <w:rsid w:val="00D17BA2"/>
    <w:rsid w:val="00D2126D"/>
    <w:rsid w:val="00D247E4"/>
    <w:rsid w:val="00D26D22"/>
    <w:rsid w:val="00D272CC"/>
    <w:rsid w:val="00D27979"/>
    <w:rsid w:val="00D27A23"/>
    <w:rsid w:val="00D31337"/>
    <w:rsid w:val="00D32231"/>
    <w:rsid w:val="00D32F45"/>
    <w:rsid w:val="00D33067"/>
    <w:rsid w:val="00D336FC"/>
    <w:rsid w:val="00D343D5"/>
    <w:rsid w:val="00D34770"/>
    <w:rsid w:val="00D34D14"/>
    <w:rsid w:val="00D3673F"/>
    <w:rsid w:val="00D36D34"/>
    <w:rsid w:val="00D37460"/>
    <w:rsid w:val="00D40A03"/>
    <w:rsid w:val="00D40EA4"/>
    <w:rsid w:val="00D41833"/>
    <w:rsid w:val="00D42C2A"/>
    <w:rsid w:val="00D435F9"/>
    <w:rsid w:val="00D43C17"/>
    <w:rsid w:val="00D446B3"/>
    <w:rsid w:val="00D44A78"/>
    <w:rsid w:val="00D45634"/>
    <w:rsid w:val="00D45E18"/>
    <w:rsid w:val="00D46689"/>
    <w:rsid w:val="00D46E67"/>
    <w:rsid w:val="00D50692"/>
    <w:rsid w:val="00D5091E"/>
    <w:rsid w:val="00D5186D"/>
    <w:rsid w:val="00D51A64"/>
    <w:rsid w:val="00D52812"/>
    <w:rsid w:val="00D53093"/>
    <w:rsid w:val="00D546C7"/>
    <w:rsid w:val="00D54732"/>
    <w:rsid w:val="00D54C6E"/>
    <w:rsid w:val="00D55285"/>
    <w:rsid w:val="00D5571B"/>
    <w:rsid w:val="00D560EA"/>
    <w:rsid w:val="00D56A25"/>
    <w:rsid w:val="00D57AAB"/>
    <w:rsid w:val="00D6162D"/>
    <w:rsid w:val="00D6358D"/>
    <w:rsid w:val="00D636F2"/>
    <w:rsid w:val="00D63B61"/>
    <w:rsid w:val="00D64667"/>
    <w:rsid w:val="00D6548D"/>
    <w:rsid w:val="00D657EA"/>
    <w:rsid w:val="00D67078"/>
    <w:rsid w:val="00D71769"/>
    <w:rsid w:val="00D720A6"/>
    <w:rsid w:val="00D72587"/>
    <w:rsid w:val="00D73B05"/>
    <w:rsid w:val="00D748A1"/>
    <w:rsid w:val="00D74BA2"/>
    <w:rsid w:val="00D74FA6"/>
    <w:rsid w:val="00D75677"/>
    <w:rsid w:val="00D75E99"/>
    <w:rsid w:val="00D7632F"/>
    <w:rsid w:val="00D7660C"/>
    <w:rsid w:val="00D76FC4"/>
    <w:rsid w:val="00D771D9"/>
    <w:rsid w:val="00D7733A"/>
    <w:rsid w:val="00D815ED"/>
    <w:rsid w:val="00D8165D"/>
    <w:rsid w:val="00D8176F"/>
    <w:rsid w:val="00D81E6F"/>
    <w:rsid w:val="00D822AA"/>
    <w:rsid w:val="00D82CC9"/>
    <w:rsid w:val="00D83326"/>
    <w:rsid w:val="00D84009"/>
    <w:rsid w:val="00D86FD9"/>
    <w:rsid w:val="00D905D9"/>
    <w:rsid w:val="00D90CF7"/>
    <w:rsid w:val="00D925C7"/>
    <w:rsid w:val="00D92D8D"/>
    <w:rsid w:val="00D93463"/>
    <w:rsid w:val="00D93DF5"/>
    <w:rsid w:val="00D94D89"/>
    <w:rsid w:val="00D952E7"/>
    <w:rsid w:val="00D95300"/>
    <w:rsid w:val="00D96962"/>
    <w:rsid w:val="00DA1168"/>
    <w:rsid w:val="00DA1955"/>
    <w:rsid w:val="00DA528E"/>
    <w:rsid w:val="00DA70FA"/>
    <w:rsid w:val="00DA7151"/>
    <w:rsid w:val="00DB07C1"/>
    <w:rsid w:val="00DB0E2C"/>
    <w:rsid w:val="00DB161D"/>
    <w:rsid w:val="00DB221C"/>
    <w:rsid w:val="00DB3CB8"/>
    <w:rsid w:val="00DB42A0"/>
    <w:rsid w:val="00DB66A0"/>
    <w:rsid w:val="00DB7BA9"/>
    <w:rsid w:val="00DC057E"/>
    <w:rsid w:val="00DC05A6"/>
    <w:rsid w:val="00DC1493"/>
    <w:rsid w:val="00DC1FB7"/>
    <w:rsid w:val="00DC2764"/>
    <w:rsid w:val="00DC2C55"/>
    <w:rsid w:val="00DC2C76"/>
    <w:rsid w:val="00DC4683"/>
    <w:rsid w:val="00DC5694"/>
    <w:rsid w:val="00DC5C72"/>
    <w:rsid w:val="00DC5F6D"/>
    <w:rsid w:val="00DC66BD"/>
    <w:rsid w:val="00DC66D2"/>
    <w:rsid w:val="00DD0461"/>
    <w:rsid w:val="00DD05E5"/>
    <w:rsid w:val="00DD07AA"/>
    <w:rsid w:val="00DD379C"/>
    <w:rsid w:val="00DD3FF0"/>
    <w:rsid w:val="00DD4630"/>
    <w:rsid w:val="00DD50BD"/>
    <w:rsid w:val="00DD5BE6"/>
    <w:rsid w:val="00DD5F76"/>
    <w:rsid w:val="00DD61A9"/>
    <w:rsid w:val="00DD6260"/>
    <w:rsid w:val="00DD6385"/>
    <w:rsid w:val="00DD6C17"/>
    <w:rsid w:val="00DD7712"/>
    <w:rsid w:val="00DE117B"/>
    <w:rsid w:val="00DE36EA"/>
    <w:rsid w:val="00DE4C81"/>
    <w:rsid w:val="00DE5E22"/>
    <w:rsid w:val="00DE64A7"/>
    <w:rsid w:val="00DF044B"/>
    <w:rsid w:val="00DF07F5"/>
    <w:rsid w:val="00DF0E8B"/>
    <w:rsid w:val="00DF146E"/>
    <w:rsid w:val="00DF1B54"/>
    <w:rsid w:val="00DF26FF"/>
    <w:rsid w:val="00DF3F19"/>
    <w:rsid w:val="00DF4300"/>
    <w:rsid w:val="00DF49FD"/>
    <w:rsid w:val="00DF5C25"/>
    <w:rsid w:val="00DF603E"/>
    <w:rsid w:val="00DF68D4"/>
    <w:rsid w:val="00DF7AE5"/>
    <w:rsid w:val="00E0053F"/>
    <w:rsid w:val="00E008B7"/>
    <w:rsid w:val="00E00C15"/>
    <w:rsid w:val="00E00DB5"/>
    <w:rsid w:val="00E013DD"/>
    <w:rsid w:val="00E01AE5"/>
    <w:rsid w:val="00E02645"/>
    <w:rsid w:val="00E03B8E"/>
    <w:rsid w:val="00E0448F"/>
    <w:rsid w:val="00E04960"/>
    <w:rsid w:val="00E04AB2"/>
    <w:rsid w:val="00E04AF8"/>
    <w:rsid w:val="00E05863"/>
    <w:rsid w:val="00E06222"/>
    <w:rsid w:val="00E07138"/>
    <w:rsid w:val="00E10C95"/>
    <w:rsid w:val="00E12178"/>
    <w:rsid w:val="00E12F7E"/>
    <w:rsid w:val="00E13AFD"/>
    <w:rsid w:val="00E150F4"/>
    <w:rsid w:val="00E16467"/>
    <w:rsid w:val="00E17010"/>
    <w:rsid w:val="00E170C3"/>
    <w:rsid w:val="00E21232"/>
    <w:rsid w:val="00E217AD"/>
    <w:rsid w:val="00E2331A"/>
    <w:rsid w:val="00E2435A"/>
    <w:rsid w:val="00E24413"/>
    <w:rsid w:val="00E24458"/>
    <w:rsid w:val="00E2555B"/>
    <w:rsid w:val="00E2578A"/>
    <w:rsid w:val="00E25856"/>
    <w:rsid w:val="00E25A36"/>
    <w:rsid w:val="00E25A87"/>
    <w:rsid w:val="00E25F55"/>
    <w:rsid w:val="00E26C87"/>
    <w:rsid w:val="00E26FFE"/>
    <w:rsid w:val="00E278AD"/>
    <w:rsid w:val="00E3019A"/>
    <w:rsid w:val="00E30A8F"/>
    <w:rsid w:val="00E3170C"/>
    <w:rsid w:val="00E31E6E"/>
    <w:rsid w:val="00E34A37"/>
    <w:rsid w:val="00E34AD5"/>
    <w:rsid w:val="00E360AD"/>
    <w:rsid w:val="00E4061C"/>
    <w:rsid w:val="00E40694"/>
    <w:rsid w:val="00E42B9E"/>
    <w:rsid w:val="00E4348E"/>
    <w:rsid w:val="00E44023"/>
    <w:rsid w:val="00E4678C"/>
    <w:rsid w:val="00E46925"/>
    <w:rsid w:val="00E479B1"/>
    <w:rsid w:val="00E47BD9"/>
    <w:rsid w:val="00E51976"/>
    <w:rsid w:val="00E53ABB"/>
    <w:rsid w:val="00E53BB3"/>
    <w:rsid w:val="00E53BE9"/>
    <w:rsid w:val="00E54577"/>
    <w:rsid w:val="00E54F27"/>
    <w:rsid w:val="00E55CBE"/>
    <w:rsid w:val="00E56446"/>
    <w:rsid w:val="00E56A21"/>
    <w:rsid w:val="00E60561"/>
    <w:rsid w:val="00E6153D"/>
    <w:rsid w:val="00E620C4"/>
    <w:rsid w:val="00E6267D"/>
    <w:rsid w:val="00E63729"/>
    <w:rsid w:val="00E63B5B"/>
    <w:rsid w:val="00E64DB3"/>
    <w:rsid w:val="00E65681"/>
    <w:rsid w:val="00E6598C"/>
    <w:rsid w:val="00E65D03"/>
    <w:rsid w:val="00E667BF"/>
    <w:rsid w:val="00E672D4"/>
    <w:rsid w:val="00E703E1"/>
    <w:rsid w:val="00E70B0C"/>
    <w:rsid w:val="00E726C6"/>
    <w:rsid w:val="00E7335D"/>
    <w:rsid w:val="00E73FF3"/>
    <w:rsid w:val="00E74CA3"/>
    <w:rsid w:val="00E752FC"/>
    <w:rsid w:val="00E75D75"/>
    <w:rsid w:val="00E77AE3"/>
    <w:rsid w:val="00E80C83"/>
    <w:rsid w:val="00E8134C"/>
    <w:rsid w:val="00E815F7"/>
    <w:rsid w:val="00E82220"/>
    <w:rsid w:val="00E833D3"/>
    <w:rsid w:val="00E83B9E"/>
    <w:rsid w:val="00E877AF"/>
    <w:rsid w:val="00E87BD7"/>
    <w:rsid w:val="00E90AD4"/>
    <w:rsid w:val="00E90D04"/>
    <w:rsid w:val="00E9111B"/>
    <w:rsid w:val="00E913B7"/>
    <w:rsid w:val="00E91E8E"/>
    <w:rsid w:val="00E92B7D"/>
    <w:rsid w:val="00E93292"/>
    <w:rsid w:val="00E946FC"/>
    <w:rsid w:val="00E94C81"/>
    <w:rsid w:val="00E95230"/>
    <w:rsid w:val="00E956BF"/>
    <w:rsid w:val="00E95E2C"/>
    <w:rsid w:val="00E9668A"/>
    <w:rsid w:val="00EA1B38"/>
    <w:rsid w:val="00EA39B9"/>
    <w:rsid w:val="00EA4972"/>
    <w:rsid w:val="00EB050E"/>
    <w:rsid w:val="00EB078B"/>
    <w:rsid w:val="00EB28B7"/>
    <w:rsid w:val="00EB30CC"/>
    <w:rsid w:val="00EB561F"/>
    <w:rsid w:val="00EB5AC4"/>
    <w:rsid w:val="00EB6062"/>
    <w:rsid w:val="00EB75EA"/>
    <w:rsid w:val="00EC0267"/>
    <w:rsid w:val="00EC07A3"/>
    <w:rsid w:val="00EC07D5"/>
    <w:rsid w:val="00EC09C0"/>
    <w:rsid w:val="00EC0DF8"/>
    <w:rsid w:val="00EC13AD"/>
    <w:rsid w:val="00EC156B"/>
    <w:rsid w:val="00EC2373"/>
    <w:rsid w:val="00EC3606"/>
    <w:rsid w:val="00EC53E0"/>
    <w:rsid w:val="00EC5B4C"/>
    <w:rsid w:val="00EC6382"/>
    <w:rsid w:val="00EC75D8"/>
    <w:rsid w:val="00ED049D"/>
    <w:rsid w:val="00ED08DC"/>
    <w:rsid w:val="00ED13A5"/>
    <w:rsid w:val="00ED1C0B"/>
    <w:rsid w:val="00ED2B0B"/>
    <w:rsid w:val="00ED492A"/>
    <w:rsid w:val="00ED4E87"/>
    <w:rsid w:val="00ED57E5"/>
    <w:rsid w:val="00ED5DF4"/>
    <w:rsid w:val="00ED61B7"/>
    <w:rsid w:val="00ED638B"/>
    <w:rsid w:val="00ED74B2"/>
    <w:rsid w:val="00EE07D2"/>
    <w:rsid w:val="00EE0D83"/>
    <w:rsid w:val="00EE0F89"/>
    <w:rsid w:val="00EE183F"/>
    <w:rsid w:val="00EE18EC"/>
    <w:rsid w:val="00EE206D"/>
    <w:rsid w:val="00EE21FE"/>
    <w:rsid w:val="00EE3A1A"/>
    <w:rsid w:val="00EE3AFB"/>
    <w:rsid w:val="00EE4DAD"/>
    <w:rsid w:val="00EE5602"/>
    <w:rsid w:val="00EE5B68"/>
    <w:rsid w:val="00EF119F"/>
    <w:rsid w:val="00EF3841"/>
    <w:rsid w:val="00EF4005"/>
    <w:rsid w:val="00EF4A8A"/>
    <w:rsid w:val="00EF5608"/>
    <w:rsid w:val="00EF57C7"/>
    <w:rsid w:val="00EF6406"/>
    <w:rsid w:val="00EF7769"/>
    <w:rsid w:val="00F0187D"/>
    <w:rsid w:val="00F01953"/>
    <w:rsid w:val="00F0199A"/>
    <w:rsid w:val="00F02D6A"/>
    <w:rsid w:val="00F035BA"/>
    <w:rsid w:val="00F07926"/>
    <w:rsid w:val="00F10596"/>
    <w:rsid w:val="00F106A5"/>
    <w:rsid w:val="00F10FDE"/>
    <w:rsid w:val="00F11231"/>
    <w:rsid w:val="00F112C6"/>
    <w:rsid w:val="00F1305F"/>
    <w:rsid w:val="00F131F5"/>
    <w:rsid w:val="00F13C0F"/>
    <w:rsid w:val="00F15DEE"/>
    <w:rsid w:val="00F15ED6"/>
    <w:rsid w:val="00F16280"/>
    <w:rsid w:val="00F16347"/>
    <w:rsid w:val="00F16B5E"/>
    <w:rsid w:val="00F16C52"/>
    <w:rsid w:val="00F170CE"/>
    <w:rsid w:val="00F21A53"/>
    <w:rsid w:val="00F21D43"/>
    <w:rsid w:val="00F22C2F"/>
    <w:rsid w:val="00F23022"/>
    <w:rsid w:val="00F23EEA"/>
    <w:rsid w:val="00F2406E"/>
    <w:rsid w:val="00F25416"/>
    <w:rsid w:val="00F26520"/>
    <w:rsid w:val="00F26921"/>
    <w:rsid w:val="00F3198A"/>
    <w:rsid w:val="00F32CAE"/>
    <w:rsid w:val="00F351A3"/>
    <w:rsid w:val="00F358DA"/>
    <w:rsid w:val="00F35C3D"/>
    <w:rsid w:val="00F41590"/>
    <w:rsid w:val="00F41BE6"/>
    <w:rsid w:val="00F43640"/>
    <w:rsid w:val="00F43721"/>
    <w:rsid w:val="00F43C1C"/>
    <w:rsid w:val="00F476AD"/>
    <w:rsid w:val="00F51357"/>
    <w:rsid w:val="00F51C4F"/>
    <w:rsid w:val="00F52664"/>
    <w:rsid w:val="00F527D7"/>
    <w:rsid w:val="00F530D0"/>
    <w:rsid w:val="00F53141"/>
    <w:rsid w:val="00F53B4D"/>
    <w:rsid w:val="00F558FD"/>
    <w:rsid w:val="00F57F41"/>
    <w:rsid w:val="00F60C09"/>
    <w:rsid w:val="00F61FAB"/>
    <w:rsid w:val="00F61FBC"/>
    <w:rsid w:val="00F62193"/>
    <w:rsid w:val="00F62789"/>
    <w:rsid w:val="00F634AB"/>
    <w:rsid w:val="00F646EF"/>
    <w:rsid w:val="00F65197"/>
    <w:rsid w:val="00F66ACE"/>
    <w:rsid w:val="00F67550"/>
    <w:rsid w:val="00F708D0"/>
    <w:rsid w:val="00F709BB"/>
    <w:rsid w:val="00F70B3E"/>
    <w:rsid w:val="00F70BC7"/>
    <w:rsid w:val="00F71546"/>
    <w:rsid w:val="00F71C9F"/>
    <w:rsid w:val="00F722CF"/>
    <w:rsid w:val="00F72831"/>
    <w:rsid w:val="00F73C27"/>
    <w:rsid w:val="00F74F51"/>
    <w:rsid w:val="00F77845"/>
    <w:rsid w:val="00F77A11"/>
    <w:rsid w:val="00F77D1A"/>
    <w:rsid w:val="00F802A4"/>
    <w:rsid w:val="00F829E3"/>
    <w:rsid w:val="00F82B10"/>
    <w:rsid w:val="00F83E2A"/>
    <w:rsid w:val="00F83E81"/>
    <w:rsid w:val="00F84045"/>
    <w:rsid w:val="00F844EA"/>
    <w:rsid w:val="00F84677"/>
    <w:rsid w:val="00F85256"/>
    <w:rsid w:val="00F86776"/>
    <w:rsid w:val="00F86CF3"/>
    <w:rsid w:val="00F87411"/>
    <w:rsid w:val="00F87E5B"/>
    <w:rsid w:val="00F90530"/>
    <w:rsid w:val="00F90AFA"/>
    <w:rsid w:val="00F934D3"/>
    <w:rsid w:val="00F9518A"/>
    <w:rsid w:val="00F95A2A"/>
    <w:rsid w:val="00F96EDB"/>
    <w:rsid w:val="00F97370"/>
    <w:rsid w:val="00F979D6"/>
    <w:rsid w:val="00F97E1E"/>
    <w:rsid w:val="00FA16CE"/>
    <w:rsid w:val="00FA19F1"/>
    <w:rsid w:val="00FA2227"/>
    <w:rsid w:val="00FA2991"/>
    <w:rsid w:val="00FA29DD"/>
    <w:rsid w:val="00FA32C0"/>
    <w:rsid w:val="00FA429F"/>
    <w:rsid w:val="00FA5CD0"/>
    <w:rsid w:val="00FA5EA8"/>
    <w:rsid w:val="00FA75E2"/>
    <w:rsid w:val="00FB01BD"/>
    <w:rsid w:val="00FB080E"/>
    <w:rsid w:val="00FB1026"/>
    <w:rsid w:val="00FB2184"/>
    <w:rsid w:val="00FB251F"/>
    <w:rsid w:val="00FB2CC8"/>
    <w:rsid w:val="00FB367A"/>
    <w:rsid w:val="00FB4491"/>
    <w:rsid w:val="00FB5376"/>
    <w:rsid w:val="00FB5697"/>
    <w:rsid w:val="00FB5787"/>
    <w:rsid w:val="00FB5B87"/>
    <w:rsid w:val="00FB5BB4"/>
    <w:rsid w:val="00FB7ADE"/>
    <w:rsid w:val="00FB7B23"/>
    <w:rsid w:val="00FB7C4F"/>
    <w:rsid w:val="00FC181D"/>
    <w:rsid w:val="00FC1EE4"/>
    <w:rsid w:val="00FC353D"/>
    <w:rsid w:val="00FC3E55"/>
    <w:rsid w:val="00FC4434"/>
    <w:rsid w:val="00FC466A"/>
    <w:rsid w:val="00FC4BF0"/>
    <w:rsid w:val="00FC4BF1"/>
    <w:rsid w:val="00FC50CA"/>
    <w:rsid w:val="00FC52E3"/>
    <w:rsid w:val="00FC5807"/>
    <w:rsid w:val="00FC597D"/>
    <w:rsid w:val="00FC59A3"/>
    <w:rsid w:val="00FC5F45"/>
    <w:rsid w:val="00FD0E79"/>
    <w:rsid w:val="00FD108F"/>
    <w:rsid w:val="00FD11EC"/>
    <w:rsid w:val="00FD12A5"/>
    <w:rsid w:val="00FD291D"/>
    <w:rsid w:val="00FD3703"/>
    <w:rsid w:val="00FD5A89"/>
    <w:rsid w:val="00FD5B8E"/>
    <w:rsid w:val="00FD64C8"/>
    <w:rsid w:val="00FD7128"/>
    <w:rsid w:val="00FD7452"/>
    <w:rsid w:val="00FD7632"/>
    <w:rsid w:val="00FD7674"/>
    <w:rsid w:val="00FE126B"/>
    <w:rsid w:val="00FE2192"/>
    <w:rsid w:val="00FE2404"/>
    <w:rsid w:val="00FE3EF4"/>
    <w:rsid w:val="00FE42CD"/>
    <w:rsid w:val="00FE484B"/>
    <w:rsid w:val="00FE613C"/>
    <w:rsid w:val="00FE733A"/>
    <w:rsid w:val="00FE7796"/>
    <w:rsid w:val="00FE7AFB"/>
    <w:rsid w:val="00FE7B2A"/>
    <w:rsid w:val="00FF0C83"/>
    <w:rsid w:val="00FF10C2"/>
    <w:rsid w:val="00FF288E"/>
    <w:rsid w:val="00FF2E00"/>
    <w:rsid w:val="00FF2EA9"/>
    <w:rsid w:val="00FF3BEF"/>
    <w:rsid w:val="00FF472E"/>
    <w:rsid w:val="00FF603A"/>
    <w:rsid w:val="00FF658E"/>
    <w:rsid w:val="00FF6791"/>
    <w:rsid w:val="00FF67B7"/>
    <w:rsid w:val="00FF76C5"/>
    <w:rsid w:val="0290E267"/>
    <w:rsid w:val="0667A373"/>
    <w:rsid w:val="067E2D98"/>
    <w:rsid w:val="10DDEC15"/>
    <w:rsid w:val="10F1E9CD"/>
    <w:rsid w:val="171AA15E"/>
    <w:rsid w:val="19D19537"/>
    <w:rsid w:val="1C4AE829"/>
    <w:rsid w:val="1C75D244"/>
    <w:rsid w:val="1DEC777D"/>
    <w:rsid w:val="22799064"/>
    <w:rsid w:val="23AFE9BE"/>
    <w:rsid w:val="25B0E3C2"/>
    <w:rsid w:val="25C23C34"/>
    <w:rsid w:val="28F4014B"/>
    <w:rsid w:val="29A65809"/>
    <w:rsid w:val="2AC5368F"/>
    <w:rsid w:val="2BA1D19A"/>
    <w:rsid w:val="36627AE5"/>
    <w:rsid w:val="38E2151C"/>
    <w:rsid w:val="3C8F45CC"/>
    <w:rsid w:val="43C1DA3E"/>
    <w:rsid w:val="4683D0F2"/>
    <w:rsid w:val="46F69C86"/>
    <w:rsid w:val="47B5A446"/>
    <w:rsid w:val="51B50765"/>
    <w:rsid w:val="533EDF94"/>
    <w:rsid w:val="55491376"/>
    <w:rsid w:val="5835E26C"/>
    <w:rsid w:val="5A077245"/>
    <w:rsid w:val="5AF46FF0"/>
    <w:rsid w:val="5F8D1811"/>
    <w:rsid w:val="62BAE187"/>
    <w:rsid w:val="6390ABB8"/>
    <w:rsid w:val="64418A7C"/>
    <w:rsid w:val="66544570"/>
    <w:rsid w:val="6713EBF5"/>
    <w:rsid w:val="687D1F9B"/>
    <w:rsid w:val="6A2121C6"/>
    <w:rsid w:val="6E11508B"/>
    <w:rsid w:val="6F89EA26"/>
    <w:rsid w:val="72439F17"/>
    <w:rsid w:val="72F65BD5"/>
    <w:rsid w:val="74230427"/>
    <w:rsid w:val="76BA88F7"/>
    <w:rsid w:val="774B5EC9"/>
    <w:rsid w:val="7B44DBF7"/>
    <w:rsid w:val="7B743AD5"/>
  </w:rsids>
  <m:mathPr>
    <m:mathFont m:val="Cambria Math"/>
    <m:brkBin m:val="before"/>
    <m:brkBinSub m:val="--"/>
    <m:smallFrac m:val="0"/>
    <m:dispDef/>
    <m:lMargin m:val="0"/>
    <m:rMargin m:val="0"/>
    <m:defJc m:val="centerGroup"/>
    <m:wrapIndent m:val="1440"/>
    <m:intLim m:val="subSup"/>
    <m:naryLim m:val="undOvr"/>
  </m:mathPr>
  <w:themeFontLang w:val="en-IE"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C5BCB6D"/>
  <w15:chartTrackingRefBased/>
  <w15:docId w15:val="{E5C80E8F-3EC8-4DBC-BEC3-F41821F34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o-RO"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151"/>
  </w:style>
  <w:style w:type="paragraph" w:styleId="Heading1">
    <w:name w:val="heading 1"/>
    <w:basedOn w:val="Normal"/>
    <w:next w:val="Normal"/>
    <w:link w:val="Heading1Char"/>
    <w:uiPriority w:val="9"/>
    <w:qFormat/>
    <w:rsid w:val="00654666"/>
    <w:pPr>
      <w:keepNext/>
      <w:keepLines/>
      <w:spacing w:after="480" w:line="288" w:lineRule="auto"/>
      <w:ind w:left="720"/>
      <w:jc w:val="center"/>
      <w:outlineLvl w:val="0"/>
    </w:pPr>
    <w:rPr>
      <w:rFonts w:ascii="Times New Roman" w:eastAsiaTheme="majorEastAsia" w:hAnsi="Times New Roman" w:cstheme="majorBidi"/>
      <w:b/>
      <w:sz w:val="28"/>
      <w:szCs w:val="28"/>
    </w:rPr>
  </w:style>
  <w:style w:type="paragraph" w:styleId="Heading2">
    <w:name w:val="heading 2"/>
    <w:basedOn w:val="Style3"/>
    <w:next w:val="Normal"/>
    <w:link w:val="Heading2Char"/>
    <w:uiPriority w:val="9"/>
    <w:unhideWhenUsed/>
    <w:qFormat/>
    <w:rsid w:val="00EC3606"/>
    <w:pPr>
      <w:ind w:left="426" w:hanging="426"/>
      <w:jc w:val="left"/>
      <w:outlineLvl w:val="1"/>
    </w:pPr>
    <w:rPr>
      <w:b/>
      <w:bCs/>
    </w:rPr>
  </w:style>
  <w:style w:type="paragraph" w:styleId="Heading3">
    <w:name w:val="heading 3"/>
    <w:basedOn w:val="Heading2"/>
    <w:next w:val="Normal"/>
    <w:link w:val="Heading3Char"/>
    <w:uiPriority w:val="9"/>
    <w:unhideWhenUsed/>
    <w:qFormat/>
    <w:rsid w:val="00BD73E3"/>
    <w:pPr>
      <w:numPr>
        <w:numId w:val="0"/>
      </w:numPr>
      <w:spacing w:before="360" w:after="240" w:line="288" w:lineRule="auto"/>
      <w:outlineLvl w:val="2"/>
    </w:pPr>
    <w:rPr>
      <w:rFonts w:eastAsiaTheme="minorHAnsi" w:cstheme="minorBidi"/>
      <w:sz w:val="24"/>
      <w:szCs w:val="24"/>
      <w:lang w:eastAsia="en-IE"/>
    </w:rPr>
  </w:style>
  <w:style w:type="paragraph" w:styleId="Heading4">
    <w:name w:val="heading 4"/>
    <w:basedOn w:val="Normal"/>
    <w:next w:val="Normal"/>
    <w:link w:val="Heading4Char"/>
    <w:uiPriority w:val="9"/>
    <w:semiHidden/>
    <w:unhideWhenUsed/>
    <w:qFormat/>
    <w:rsid w:val="00F87E5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E5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E5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E5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E5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E5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666"/>
    <w:rPr>
      <w:rFonts w:ascii="Times New Roman" w:eastAsiaTheme="majorEastAsia" w:hAnsi="Times New Roman" w:cstheme="majorBidi"/>
      <w:b/>
      <w:sz w:val="28"/>
      <w:szCs w:val="28"/>
      <w:lang w:val="ro-RO"/>
    </w:rPr>
  </w:style>
  <w:style w:type="character" w:customStyle="1" w:styleId="Heading2Char">
    <w:name w:val="Heading 2 Char"/>
    <w:basedOn w:val="DefaultParagraphFont"/>
    <w:link w:val="Heading2"/>
    <w:uiPriority w:val="9"/>
    <w:rsid w:val="00EC3606"/>
    <w:rPr>
      <w:rFonts w:ascii="Times New Roman" w:eastAsiaTheme="majorEastAsia" w:hAnsi="Times New Roman" w:cstheme="majorBidi"/>
      <w:b/>
      <w:bCs/>
      <w:sz w:val="28"/>
      <w:szCs w:val="28"/>
      <w:lang w:val="ro-RO"/>
    </w:rPr>
  </w:style>
  <w:style w:type="character" w:customStyle="1" w:styleId="Heading3Char">
    <w:name w:val="Heading 3 Char"/>
    <w:basedOn w:val="DefaultParagraphFont"/>
    <w:link w:val="Heading3"/>
    <w:uiPriority w:val="9"/>
    <w:rsid w:val="00BD73E3"/>
    <w:rPr>
      <w:rFonts w:ascii="Times New Roman" w:hAnsi="Times New Roman"/>
      <w:b/>
      <w:bCs/>
      <w:lang w:val="ro-RO" w:eastAsia="en-IE"/>
    </w:rPr>
  </w:style>
  <w:style w:type="character" w:customStyle="1" w:styleId="Heading4Char">
    <w:name w:val="Heading 4 Char"/>
    <w:basedOn w:val="DefaultParagraphFont"/>
    <w:link w:val="Heading4"/>
    <w:uiPriority w:val="9"/>
    <w:semiHidden/>
    <w:rsid w:val="00F87E5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E5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E5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E5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E5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E5B"/>
    <w:rPr>
      <w:rFonts w:eastAsiaTheme="majorEastAsia" w:cstheme="majorBidi"/>
      <w:color w:val="272727" w:themeColor="text1" w:themeTint="D8"/>
    </w:rPr>
  </w:style>
  <w:style w:type="paragraph" w:styleId="Title">
    <w:name w:val="Title"/>
    <w:basedOn w:val="Normal"/>
    <w:next w:val="Normal"/>
    <w:link w:val="TitleChar"/>
    <w:uiPriority w:val="10"/>
    <w:qFormat/>
    <w:rsid w:val="00F87E5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E5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E5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E5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E5B"/>
    <w:pPr>
      <w:spacing w:before="160"/>
      <w:jc w:val="center"/>
    </w:pPr>
    <w:rPr>
      <w:i/>
      <w:iCs/>
      <w:color w:val="404040" w:themeColor="text1" w:themeTint="BF"/>
    </w:rPr>
  </w:style>
  <w:style w:type="character" w:customStyle="1" w:styleId="QuoteChar">
    <w:name w:val="Quote Char"/>
    <w:basedOn w:val="DefaultParagraphFont"/>
    <w:link w:val="Quote"/>
    <w:uiPriority w:val="29"/>
    <w:rsid w:val="00F87E5B"/>
    <w:rPr>
      <w:i/>
      <w:iCs/>
      <w:color w:val="404040" w:themeColor="text1" w:themeTint="BF"/>
    </w:rPr>
  </w:style>
  <w:style w:type="paragraph" w:styleId="ListParagraph">
    <w:name w:val="List Paragraph"/>
    <w:aliases w:val="1st level - Bullet List Paragraph,List Paragraph1,Lettre d'introduction,Paragrafo elenco,Medium Grid 1 - Accent 21,Fiche List Paragraph,body,Odsek zoznamu2,Odsek zoznamu1,3,Bullet 1,Bullet Points,Colorful List - Accent 11,Dot pt,Bulle,2,L"/>
    <w:basedOn w:val="Normal"/>
    <w:link w:val="ListParagraphChar"/>
    <w:uiPriority w:val="34"/>
    <w:qFormat/>
    <w:rsid w:val="00F87E5B"/>
    <w:pPr>
      <w:ind w:left="720"/>
      <w:contextualSpacing/>
    </w:pPr>
  </w:style>
  <w:style w:type="character" w:styleId="IntenseEmphasis">
    <w:name w:val="Intense Emphasis"/>
    <w:basedOn w:val="DefaultParagraphFont"/>
    <w:uiPriority w:val="21"/>
    <w:qFormat/>
    <w:rsid w:val="00F87E5B"/>
    <w:rPr>
      <w:i/>
      <w:iCs/>
      <w:color w:val="0F4761" w:themeColor="accent1" w:themeShade="BF"/>
    </w:rPr>
  </w:style>
  <w:style w:type="paragraph" w:styleId="IntenseQuote">
    <w:name w:val="Intense Quote"/>
    <w:basedOn w:val="Normal"/>
    <w:next w:val="Normal"/>
    <w:link w:val="IntenseQuoteChar"/>
    <w:uiPriority w:val="30"/>
    <w:qFormat/>
    <w:rsid w:val="00F87E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E5B"/>
    <w:rPr>
      <w:i/>
      <w:iCs/>
      <w:color w:val="0F4761" w:themeColor="accent1" w:themeShade="BF"/>
    </w:rPr>
  </w:style>
  <w:style w:type="character" w:styleId="IntenseReference">
    <w:name w:val="Intense Reference"/>
    <w:basedOn w:val="DefaultParagraphFont"/>
    <w:uiPriority w:val="32"/>
    <w:qFormat/>
    <w:rsid w:val="00F87E5B"/>
    <w:rPr>
      <w:b/>
      <w:bCs/>
      <w:smallCaps/>
      <w:color w:val="0F4761" w:themeColor="accent1" w:themeShade="BF"/>
      <w:spacing w:val="5"/>
    </w:rPr>
  </w:style>
  <w:style w:type="character" w:customStyle="1" w:styleId="Marker">
    <w:name w:val="Marker"/>
    <w:basedOn w:val="DefaultParagraphFont"/>
    <w:rsid w:val="00F87E5B"/>
    <w:rPr>
      <w:color w:val="0000FF"/>
      <w:shd w:val="clear" w:color="auto" w:fill="auto"/>
    </w:rPr>
  </w:style>
  <w:style w:type="paragraph" w:styleId="Header">
    <w:name w:val="header"/>
    <w:basedOn w:val="Normal"/>
    <w:link w:val="HeaderChar"/>
    <w:uiPriority w:val="99"/>
    <w:unhideWhenUsed/>
    <w:rsid w:val="00F87E5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7E5B"/>
  </w:style>
  <w:style w:type="paragraph" w:styleId="Footer">
    <w:name w:val="footer"/>
    <w:basedOn w:val="Normal"/>
    <w:link w:val="FooterChar"/>
    <w:uiPriority w:val="99"/>
    <w:unhideWhenUsed/>
    <w:rsid w:val="00F87E5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7E5B"/>
  </w:style>
  <w:style w:type="paragraph" w:customStyle="1" w:styleId="Pagedecouverture">
    <w:name w:val="Page de couverture"/>
    <w:basedOn w:val="Normal"/>
    <w:next w:val="Normal"/>
    <w:rsid w:val="00F87E5B"/>
    <w:pPr>
      <w:spacing w:after="0" w:line="240" w:lineRule="auto"/>
      <w:jc w:val="both"/>
    </w:pPr>
    <w:rPr>
      <w:rFonts w:ascii="Times New Roman" w:hAnsi="Times New Roman" w:cs="Times New Roman"/>
      <w:kern w:val="0"/>
      <w:szCs w:val="22"/>
      <w14:ligatures w14:val="none"/>
    </w:rPr>
  </w:style>
  <w:style w:type="paragraph" w:customStyle="1" w:styleId="FooterCoverPage">
    <w:name w:val="Footer Cover Page"/>
    <w:basedOn w:val="Normal"/>
    <w:link w:val="FooterCoverPageChar"/>
    <w:rsid w:val="00F87E5B"/>
    <w:pPr>
      <w:tabs>
        <w:tab w:val="center" w:pos="4535"/>
        <w:tab w:val="right" w:pos="9071"/>
        <w:tab w:val="right" w:pos="9921"/>
      </w:tabs>
      <w:spacing w:before="360" w:after="0" w:line="240" w:lineRule="auto"/>
      <w:ind w:left="-850" w:right="-850"/>
    </w:pPr>
    <w:rPr>
      <w:rFonts w:ascii="Times New Roman" w:hAnsi="Times New Roman" w:cs="Times New Roman"/>
    </w:rPr>
  </w:style>
  <w:style w:type="character" w:customStyle="1" w:styleId="FooterCoverPageChar">
    <w:name w:val="Footer Cover Page Char"/>
    <w:basedOn w:val="DefaultParagraphFont"/>
    <w:link w:val="FooterCoverPage"/>
    <w:rsid w:val="00F87E5B"/>
    <w:rPr>
      <w:rFonts w:ascii="Times New Roman" w:hAnsi="Times New Roman" w:cs="Times New Roman"/>
    </w:rPr>
  </w:style>
  <w:style w:type="paragraph" w:customStyle="1" w:styleId="FooterSensitivity">
    <w:name w:val="Footer Sensitivity"/>
    <w:basedOn w:val="Normal"/>
    <w:link w:val="FooterSensitivityChar"/>
    <w:rsid w:val="00F87E5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sid w:val="00F87E5B"/>
    <w:rPr>
      <w:rFonts w:ascii="Times New Roman" w:hAnsi="Times New Roman" w:cs="Times New Roman"/>
      <w:b/>
      <w:sz w:val="32"/>
    </w:rPr>
  </w:style>
  <w:style w:type="paragraph" w:customStyle="1" w:styleId="HeaderCoverPage">
    <w:name w:val="Header Cover Page"/>
    <w:basedOn w:val="Normal"/>
    <w:link w:val="HeaderCoverPageChar"/>
    <w:rsid w:val="00F87E5B"/>
    <w:pPr>
      <w:tabs>
        <w:tab w:val="center" w:pos="4535"/>
        <w:tab w:val="right" w:pos="9071"/>
      </w:tabs>
      <w:spacing w:after="120" w:line="240" w:lineRule="auto"/>
      <w:jc w:val="both"/>
    </w:pPr>
    <w:rPr>
      <w:rFonts w:ascii="Times New Roman" w:hAnsi="Times New Roman" w:cs="Times New Roman"/>
    </w:rPr>
  </w:style>
  <w:style w:type="character" w:customStyle="1" w:styleId="HeaderCoverPageChar">
    <w:name w:val="Header Cover Page Char"/>
    <w:basedOn w:val="DefaultParagraphFont"/>
    <w:link w:val="HeaderCoverPage"/>
    <w:rsid w:val="00F87E5B"/>
    <w:rPr>
      <w:rFonts w:ascii="Times New Roman" w:hAnsi="Times New Roman" w:cs="Times New Roman"/>
    </w:rPr>
  </w:style>
  <w:style w:type="paragraph" w:customStyle="1" w:styleId="HeaderSensitivity">
    <w:name w:val="Header Sensitivity"/>
    <w:basedOn w:val="Normal"/>
    <w:link w:val="HeaderSensitivityChar"/>
    <w:rsid w:val="00F87E5B"/>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sid w:val="00F87E5B"/>
    <w:rPr>
      <w:rFonts w:ascii="Times New Roman" w:hAnsi="Times New Roman" w:cs="Times New Roman"/>
      <w:b/>
      <w:sz w:val="32"/>
    </w:rPr>
  </w:style>
  <w:style w:type="paragraph" w:customStyle="1" w:styleId="HeaderSensitivityRight">
    <w:name w:val="Header Sensitivity Right"/>
    <w:basedOn w:val="Normal"/>
    <w:link w:val="HeaderSensitivityRightChar"/>
    <w:rsid w:val="00F87E5B"/>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sid w:val="00F87E5B"/>
    <w:rPr>
      <w:rFonts w:ascii="Times New Roman" w:hAnsi="Times New Roman" w:cs="Times New Roman"/>
      <w:sz w:val="28"/>
    </w:rPr>
  </w:style>
  <w:style w:type="paragraph" w:customStyle="1" w:styleId="Style1">
    <w:name w:val="Style1"/>
    <w:basedOn w:val="Heading1"/>
    <w:qFormat/>
    <w:rsid w:val="006C30CD"/>
    <w:pPr>
      <w:numPr>
        <w:numId w:val="1"/>
      </w:numPr>
      <w:spacing w:line="276" w:lineRule="auto"/>
    </w:pPr>
    <w:rPr>
      <w:b w:val="0"/>
      <w:sz w:val="32"/>
    </w:rPr>
  </w:style>
  <w:style w:type="paragraph" w:customStyle="1" w:styleId="Style2">
    <w:name w:val="Style2"/>
    <w:basedOn w:val="Normal"/>
    <w:link w:val="Style2Char"/>
    <w:qFormat/>
    <w:rsid w:val="006C30CD"/>
    <w:pPr>
      <w:spacing w:after="120" w:line="240" w:lineRule="auto"/>
    </w:pPr>
    <w:rPr>
      <w:rFonts w:ascii="Times New Roman" w:hAnsi="Times New Roman"/>
      <w:sz w:val="22"/>
      <w:szCs w:val="22"/>
    </w:rPr>
  </w:style>
  <w:style w:type="paragraph" w:customStyle="1" w:styleId="paragraph">
    <w:name w:val="paragraph"/>
    <w:basedOn w:val="Normal"/>
    <w:rsid w:val="006C30CD"/>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normaltextrun">
    <w:name w:val="normaltextrun"/>
    <w:basedOn w:val="DefaultParagraphFont"/>
    <w:rsid w:val="006C30CD"/>
  </w:style>
  <w:style w:type="character" w:customStyle="1" w:styleId="eop">
    <w:name w:val="eop"/>
    <w:basedOn w:val="DefaultParagraphFont"/>
    <w:rsid w:val="006C30CD"/>
  </w:style>
  <w:style w:type="character" w:customStyle="1" w:styleId="superscript">
    <w:name w:val="superscript"/>
    <w:basedOn w:val="DefaultParagraphFont"/>
    <w:rsid w:val="006C30CD"/>
  </w:style>
  <w:style w:type="paragraph" w:styleId="FootnoteText">
    <w:name w:val="footnote text"/>
    <w:aliases w:val="Footnote Text Char2 Char,Footnote Text Char Char Char1,Footnote Text Char1 Char Char Char,Footnote Text Char2 Char Char Char Char,Footnote Text Char1 Char1 Char Char Char Char,Footnote Text Char Char1 Char Char Char Cha,fn,footnote text,C"/>
    <w:basedOn w:val="Normal"/>
    <w:link w:val="FootnoteTextChar"/>
    <w:uiPriority w:val="99"/>
    <w:unhideWhenUsed/>
    <w:qFormat/>
    <w:rsid w:val="00103874"/>
    <w:pPr>
      <w:tabs>
        <w:tab w:val="left" w:pos="426"/>
      </w:tabs>
      <w:spacing w:after="0" w:line="240" w:lineRule="auto"/>
      <w:ind w:left="357" w:hanging="357"/>
    </w:pPr>
    <w:rPr>
      <w:rFonts w:ascii="Arial" w:hAnsi="Arial" w:cs="Arial"/>
      <w:sz w:val="20"/>
      <w:szCs w:val="20"/>
    </w:rPr>
  </w:style>
  <w:style w:type="character" w:customStyle="1" w:styleId="FootnoteTextChar">
    <w:name w:val="Footnote Text Char"/>
    <w:aliases w:val="Footnote Text Char2 Char Char,Footnote Text Char Char Char1 Char,Footnote Text Char1 Char Char Char Char,Footnote Text Char2 Char Char Char Char Char,Footnote Text Char1 Char1 Char Char Char Char Char,fn Char,footnote text Char,C Char"/>
    <w:basedOn w:val="DefaultParagraphFont"/>
    <w:link w:val="FootnoteText"/>
    <w:uiPriority w:val="99"/>
    <w:qFormat/>
    <w:rsid w:val="00103874"/>
    <w:rPr>
      <w:rFonts w:ascii="Arial" w:hAnsi="Arial" w:cs="Arial"/>
      <w:sz w:val="20"/>
      <w:szCs w:val="20"/>
      <w:lang w:val="ro-RO"/>
    </w:rPr>
  </w:style>
  <w:style w:type="character" w:styleId="FootnoteReference">
    <w:name w:val="footnote reference"/>
    <w:aliases w:val="Footnote number,Footnote,Footnote symbol,note TESI,Ref,de nota al pie,(NECG) Footnote Reference,fr,Footnote Reference1,Footnote Reference11,o,Voetnootverwijzing,Footnotemark,FR,Footnotemark1,Footnotemark2,FR1,Footnotemark3,FR2,FR3,FR4"/>
    <w:basedOn w:val="DefaultParagraphFont"/>
    <w:link w:val="FootnoteReferenceLVL6"/>
    <w:uiPriority w:val="99"/>
    <w:unhideWhenUsed/>
    <w:qFormat/>
    <w:rsid w:val="006C30CD"/>
    <w:rPr>
      <w:vertAlign w:val="superscript"/>
    </w:rPr>
  </w:style>
  <w:style w:type="character" w:styleId="Hyperlink">
    <w:name w:val="Hyperlink"/>
    <w:uiPriority w:val="99"/>
    <w:rsid w:val="006C30CD"/>
    <w:rPr>
      <w:color w:val="0563C1"/>
      <w:u w:val="single"/>
    </w:rPr>
  </w:style>
  <w:style w:type="paragraph" w:customStyle="1" w:styleId="FootnoteReferenceLVL6">
    <w:name w:val="Footnote Reference_LVL6"/>
    <w:aliases w:val="Footnote Reference_LVL61,Footnote Reference_LVL62,Footnote Reference_LVL63,Footnote Reference_LVL64,Odwo&lt;0142&gt;anie przypisu,SUPER,BVI fnr Char1 Char"/>
    <w:basedOn w:val="Normal"/>
    <w:next w:val="Normal"/>
    <w:link w:val="FootnoteReference"/>
    <w:uiPriority w:val="99"/>
    <w:rsid w:val="006C30CD"/>
    <w:pPr>
      <w:spacing w:line="240" w:lineRule="exact"/>
      <w:jc w:val="both"/>
    </w:pPr>
    <w:rPr>
      <w:vertAlign w:val="superscript"/>
    </w:rPr>
  </w:style>
  <w:style w:type="character" w:customStyle="1" w:styleId="UnresolvedMention">
    <w:name w:val="Unresolved Mention"/>
    <w:basedOn w:val="DefaultParagraphFont"/>
    <w:uiPriority w:val="99"/>
    <w:semiHidden/>
    <w:unhideWhenUsed/>
    <w:rsid w:val="006C30CD"/>
    <w:rPr>
      <w:color w:val="605E5C"/>
      <w:shd w:val="clear" w:color="auto" w:fill="E1DFDD"/>
    </w:rPr>
  </w:style>
  <w:style w:type="character" w:styleId="CommentReference">
    <w:name w:val="annotation reference"/>
    <w:basedOn w:val="DefaultParagraphFont"/>
    <w:uiPriority w:val="99"/>
    <w:unhideWhenUsed/>
    <w:rsid w:val="006C30CD"/>
    <w:rPr>
      <w:sz w:val="16"/>
      <w:szCs w:val="16"/>
    </w:rPr>
  </w:style>
  <w:style w:type="paragraph" w:styleId="CommentText">
    <w:name w:val="annotation text"/>
    <w:basedOn w:val="Normal"/>
    <w:link w:val="CommentTextChar"/>
    <w:uiPriority w:val="99"/>
    <w:unhideWhenUsed/>
    <w:rsid w:val="006C30CD"/>
    <w:pPr>
      <w:spacing w:line="240" w:lineRule="auto"/>
    </w:pPr>
    <w:rPr>
      <w:kern w:val="0"/>
      <w:sz w:val="20"/>
      <w:szCs w:val="20"/>
      <w14:ligatures w14:val="none"/>
    </w:rPr>
  </w:style>
  <w:style w:type="character" w:customStyle="1" w:styleId="CommentTextChar">
    <w:name w:val="Comment Text Char"/>
    <w:basedOn w:val="DefaultParagraphFont"/>
    <w:link w:val="CommentText"/>
    <w:uiPriority w:val="99"/>
    <w:rsid w:val="006C30CD"/>
    <w:rPr>
      <w:kern w:val="0"/>
      <w:sz w:val="20"/>
      <w:szCs w:val="20"/>
      <w:lang w:val="ro-RO"/>
      <w14:ligatures w14:val="none"/>
    </w:rPr>
  </w:style>
  <w:style w:type="character" w:customStyle="1" w:styleId="ListParagraphChar">
    <w:name w:val="List Paragraph Char"/>
    <w:aliases w:val="1st level - Bullet List Paragraph Char,List Paragraph1 Char,Lettre d'introduction Char,Paragrafo elenco Char,Medium Grid 1 - Accent 21 Char,Fiche List Paragraph Char,body Char,Odsek zoznamu2 Char,Odsek zoznamu1 Char,3 Char,Bulle Char"/>
    <w:link w:val="ListParagraph"/>
    <w:uiPriority w:val="34"/>
    <w:qFormat/>
    <w:locked/>
    <w:rsid w:val="006C30CD"/>
  </w:style>
  <w:style w:type="paragraph" w:customStyle="1" w:styleId="Point1">
    <w:name w:val="Point 1"/>
    <w:basedOn w:val="Normal"/>
    <w:rsid w:val="006C30CD"/>
    <w:pPr>
      <w:spacing w:before="120" w:after="120" w:line="240" w:lineRule="auto"/>
      <w:ind w:left="1417" w:hanging="567"/>
      <w:jc w:val="both"/>
    </w:pPr>
    <w:rPr>
      <w:rFonts w:ascii="Times New Roman" w:hAnsi="Times New Roman" w:cs="Times New Roman"/>
      <w:kern w:val="0"/>
      <w:szCs w:val="22"/>
      <w14:ligatures w14:val="none"/>
    </w:rPr>
  </w:style>
  <w:style w:type="paragraph" w:styleId="CommentSubject">
    <w:name w:val="annotation subject"/>
    <w:basedOn w:val="CommentText"/>
    <w:next w:val="CommentText"/>
    <w:link w:val="CommentSubjectChar"/>
    <w:uiPriority w:val="99"/>
    <w:semiHidden/>
    <w:unhideWhenUsed/>
    <w:rsid w:val="006C30CD"/>
    <w:pPr>
      <w:spacing w:after="200"/>
    </w:pPr>
    <w:rPr>
      <w:b/>
      <w:bCs/>
      <w:kern w:val="2"/>
      <w14:ligatures w14:val="standardContextual"/>
    </w:rPr>
  </w:style>
  <w:style w:type="character" w:customStyle="1" w:styleId="CommentSubjectChar">
    <w:name w:val="Comment Subject Char"/>
    <w:basedOn w:val="CommentTextChar"/>
    <w:link w:val="CommentSubject"/>
    <w:uiPriority w:val="99"/>
    <w:semiHidden/>
    <w:rsid w:val="006C30CD"/>
    <w:rPr>
      <w:b/>
      <w:bCs/>
      <w:kern w:val="0"/>
      <w:sz w:val="20"/>
      <w:szCs w:val="20"/>
      <w:lang w:val="ro-RO"/>
      <w14:ligatures w14:val="none"/>
    </w:rPr>
  </w:style>
  <w:style w:type="paragraph" w:styleId="Revision">
    <w:name w:val="Revision"/>
    <w:hidden/>
    <w:uiPriority w:val="99"/>
    <w:semiHidden/>
    <w:rsid w:val="006C30CD"/>
    <w:pPr>
      <w:spacing w:after="0" w:line="240" w:lineRule="auto"/>
    </w:pPr>
    <w:rPr>
      <w:sz w:val="22"/>
      <w:szCs w:val="22"/>
    </w:rPr>
  </w:style>
  <w:style w:type="character" w:customStyle="1" w:styleId="gspbiconslistitemtext">
    <w:name w:val="gspb_iconslist__item__text"/>
    <w:basedOn w:val="DefaultParagraphFont"/>
    <w:rsid w:val="006C30CD"/>
  </w:style>
  <w:style w:type="character" w:styleId="Strong">
    <w:name w:val="Strong"/>
    <w:basedOn w:val="DefaultParagraphFont"/>
    <w:uiPriority w:val="22"/>
    <w:qFormat/>
    <w:rsid w:val="006C30CD"/>
    <w:rPr>
      <w:b/>
      <w:bCs/>
    </w:rPr>
  </w:style>
  <w:style w:type="character" w:styleId="FollowedHyperlink">
    <w:name w:val="FollowedHyperlink"/>
    <w:basedOn w:val="DefaultParagraphFont"/>
    <w:uiPriority w:val="99"/>
    <w:semiHidden/>
    <w:unhideWhenUsed/>
    <w:rsid w:val="006C30CD"/>
    <w:rPr>
      <w:color w:val="96607D" w:themeColor="followedHyperlink"/>
      <w:u w:val="single"/>
    </w:rPr>
  </w:style>
  <w:style w:type="paragraph" w:styleId="NormalWeb">
    <w:name w:val="Normal (Web)"/>
    <w:basedOn w:val="Normal"/>
    <w:uiPriority w:val="99"/>
    <w:unhideWhenUsed/>
    <w:rsid w:val="006C30CD"/>
    <w:pPr>
      <w:spacing w:before="100" w:beforeAutospacing="1" w:after="100" w:afterAutospacing="1" w:line="240" w:lineRule="auto"/>
    </w:pPr>
    <w:rPr>
      <w:rFonts w:ascii="Times New Roman" w:eastAsia="Times New Roman" w:hAnsi="Times New Roman" w:cs="Times New Roman"/>
      <w:kern w:val="0"/>
      <w:lang w:eastAsia="en-IE"/>
    </w:rPr>
  </w:style>
  <w:style w:type="character" w:styleId="BookTitle">
    <w:name w:val="Book Title"/>
    <w:basedOn w:val="DefaultParagraphFont"/>
    <w:uiPriority w:val="33"/>
    <w:qFormat/>
    <w:rsid w:val="006C30CD"/>
    <w:rPr>
      <w:b/>
      <w:bCs/>
      <w:i/>
      <w:iCs/>
      <w:spacing w:val="5"/>
    </w:rPr>
  </w:style>
  <w:style w:type="paragraph" w:customStyle="1" w:styleId="Style3">
    <w:name w:val="Style3"/>
    <w:basedOn w:val="Heading1"/>
    <w:link w:val="Style3Char"/>
    <w:qFormat/>
    <w:rsid w:val="006C30CD"/>
    <w:pPr>
      <w:numPr>
        <w:numId w:val="2"/>
      </w:numPr>
      <w:spacing w:line="276" w:lineRule="auto"/>
    </w:pPr>
    <w:rPr>
      <w:b w:val="0"/>
    </w:rPr>
  </w:style>
  <w:style w:type="character" w:customStyle="1" w:styleId="Style3Char">
    <w:name w:val="Style3 Char"/>
    <w:basedOn w:val="Heading1Char"/>
    <w:link w:val="Style3"/>
    <w:rsid w:val="006C30CD"/>
    <w:rPr>
      <w:rFonts w:ascii="Times New Roman" w:eastAsiaTheme="majorEastAsia" w:hAnsi="Times New Roman" w:cstheme="majorBidi"/>
      <w:b w:val="0"/>
      <w:color w:val="0F4761" w:themeColor="accent1" w:themeShade="BF"/>
      <w:sz w:val="28"/>
      <w:szCs w:val="40"/>
      <w:lang w:val="ro-RO"/>
    </w:rPr>
  </w:style>
  <w:style w:type="paragraph" w:customStyle="1" w:styleId="Style4">
    <w:name w:val="Style4"/>
    <w:basedOn w:val="Style2"/>
    <w:link w:val="Style4Char"/>
    <w:qFormat/>
    <w:rsid w:val="006C30CD"/>
    <w:rPr>
      <w:b/>
    </w:rPr>
  </w:style>
  <w:style w:type="character" w:customStyle="1" w:styleId="Style2Char">
    <w:name w:val="Style2 Char"/>
    <w:basedOn w:val="DefaultParagraphFont"/>
    <w:link w:val="Style2"/>
    <w:rsid w:val="006C30CD"/>
    <w:rPr>
      <w:rFonts w:ascii="Times New Roman" w:hAnsi="Times New Roman"/>
      <w:sz w:val="22"/>
      <w:szCs w:val="22"/>
      <w:lang w:val="ro-RO"/>
    </w:rPr>
  </w:style>
  <w:style w:type="character" w:customStyle="1" w:styleId="Style4Char">
    <w:name w:val="Style4 Char"/>
    <w:basedOn w:val="Style2Char"/>
    <w:link w:val="Style4"/>
    <w:rsid w:val="006C30CD"/>
    <w:rPr>
      <w:rFonts w:ascii="Times New Roman" w:hAnsi="Times New Roman"/>
      <w:b/>
      <w:sz w:val="22"/>
      <w:szCs w:val="22"/>
      <w:lang w:val="ro-RO"/>
    </w:rPr>
  </w:style>
  <w:style w:type="paragraph" w:customStyle="1" w:styleId="Style5">
    <w:name w:val="Style5"/>
    <w:basedOn w:val="Style3"/>
    <w:link w:val="Style5Char"/>
    <w:qFormat/>
    <w:rsid w:val="00DB42A0"/>
    <w:pPr>
      <w:spacing w:before="480" w:after="240" w:line="288" w:lineRule="auto"/>
      <w:ind w:left="425" w:hanging="425"/>
    </w:pPr>
  </w:style>
  <w:style w:type="character" w:customStyle="1" w:styleId="Style5Char">
    <w:name w:val="Style5 Char"/>
    <w:basedOn w:val="Style3Char"/>
    <w:link w:val="Style5"/>
    <w:rsid w:val="00DB42A0"/>
    <w:rPr>
      <w:rFonts w:ascii="Times New Roman" w:eastAsiaTheme="majorEastAsia" w:hAnsi="Times New Roman" w:cstheme="majorBidi"/>
      <w:b w:val="0"/>
      <w:color w:val="0F4761" w:themeColor="accent1" w:themeShade="BF"/>
      <w:sz w:val="28"/>
      <w:szCs w:val="28"/>
      <w:lang w:val="ro-RO"/>
    </w:rPr>
  </w:style>
  <w:style w:type="character" w:customStyle="1" w:styleId="Mention">
    <w:name w:val="Mention"/>
    <w:basedOn w:val="DefaultParagraphFont"/>
    <w:uiPriority w:val="99"/>
    <w:unhideWhenUsed/>
    <w:rsid w:val="00245928"/>
    <w:rPr>
      <w:color w:val="2B579A"/>
      <w:shd w:val="clear" w:color="auto" w:fill="E1DFDD"/>
    </w:rPr>
  </w:style>
  <w:style w:type="paragraph" w:styleId="TOCHeading">
    <w:name w:val="TOC Heading"/>
    <w:basedOn w:val="Heading1"/>
    <w:next w:val="Normal"/>
    <w:uiPriority w:val="39"/>
    <w:unhideWhenUsed/>
    <w:qFormat/>
    <w:rsid w:val="003F578E"/>
    <w:pPr>
      <w:spacing w:before="240" w:after="240" w:line="259" w:lineRule="auto"/>
      <w:ind w:left="0"/>
      <w:jc w:val="left"/>
      <w:outlineLvl w:val="9"/>
    </w:pPr>
    <w:rPr>
      <w:rFonts w:ascii="Arial" w:hAnsi="Arial"/>
      <w:kern w:val="0"/>
      <w:szCs w:val="32"/>
      <w14:ligatures w14:val="none"/>
    </w:rPr>
  </w:style>
  <w:style w:type="paragraph" w:styleId="TOC2">
    <w:name w:val="toc 2"/>
    <w:basedOn w:val="Normal"/>
    <w:next w:val="Normal"/>
    <w:uiPriority w:val="39"/>
    <w:unhideWhenUsed/>
    <w:rsid w:val="003F578E"/>
    <w:pPr>
      <w:tabs>
        <w:tab w:val="left" w:pos="567"/>
        <w:tab w:val="right" w:leader="dot" w:pos="9016"/>
      </w:tabs>
      <w:spacing w:after="100"/>
      <w:ind w:left="220"/>
    </w:pPr>
    <w:rPr>
      <w:rFonts w:ascii="Arial" w:hAnsi="Arial"/>
      <w:noProof/>
      <w:lang w:eastAsia="fr-FR"/>
    </w:rPr>
  </w:style>
  <w:style w:type="paragraph" w:styleId="TOC1">
    <w:name w:val="toc 1"/>
    <w:basedOn w:val="Normal"/>
    <w:next w:val="Normal"/>
    <w:uiPriority w:val="39"/>
    <w:unhideWhenUsed/>
    <w:rsid w:val="003F578E"/>
    <w:pPr>
      <w:tabs>
        <w:tab w:val="left" w:pos="440"/>
        <w:tab w:val="right" w:leader="dot" w:pos="9016"/>
      </w:tabs>
      <w:spacing w:after="100"/>
    </w:pPr>
    <w:rPr>
      <w:rFonts w:ascii="Arial" w:hAnsi="Arial"/>
      <w:noProof/>
      <w:lang w:eastAsia="fr-FR"/>
    </w:rPr>
  </w:style>
  <w:style w:type="paragraph" w:styleId="TOC3">
    <w:name w:val="toc 3"/>
    <w:basedOn w:val="Normal"/>
    <w:next w:val="Normal"/>
    <w:uiPriority w:val="39"/>
    <w:unhideWhenUsed/>
    <w:rsid w:val="003F578E"/>
    <w:pPr>
      <w:tabs>
        <w:tab w:val="right" w:leader="dot" w:pos="9016"/>
      </w:tabs>
      <w:spacing w:after="100"/>
      <w:ind w:left="851"/>
    </w:pPr>
    <w:rPr>
      <w:rFonts w:ascii="Arial" w:hAnsi="Arial"/>
      <w:noProof/>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723883">
      <w:bodyDiv w:val="1"/>
      <w:marLeft w:val="0"/>
      <w:marRight w:val="0"/>
      <w:marTop w:val="0"/>
      <w:marBottom w:val="0"/>
      <w:divBdr>
        <w:top w:val="none" w:sz="0" w:space="0" w:color="auto"/>
        <w:left w:val="none" w:sz="0" w:space="0" w:color="auto"/>
        <w:bottom w:val="none" w:sz="0" w:space="0" w:color="auto"/>
        <w:right w:val="none" w:sz="0" w:space="0" w:color="auto"/>
      </w:divBdr>
    </w:div>
    <w:div w:id="130907675">
      <w:bodyDiv w:val="1"/>
      <w:marLeft w:val="0"/>
      <w:marRight w:val="0"/>
      <w:marTop w:val="0"/>
      <w:marBottom w:val="0"/>
      <w:divBdr>
        <w:top w:val="none" w:sz="0" w:space="0" w:color="auto"/>
        <w:left w:val="none" w:sz="0" w:space="0" w:color="auto"/>
        <w:bottom w:val="none" w:sz="0" w:space="0" w:color="auto"/>
        <w:right w:val="none" w:sz="0" w:space="0" w:color="auto"/>
      </w:divBdr>
    </w:div>
    <w:div w:id="214901738">
      <w:bodyDiv w:val="1"/>
      <w:marLeft w:val="0"/>
      <w:marRight w:val="0"/>
      <w:marTop w:val="0"/>
      <w:marBottom w:val="0"/>
      <w:divBdr>
        <w:top w:val="none" w:sz="0" w:space="0" w:color="auto"/>
        <w:left w:val="none" w:sz="0" w:space="0" w:color="auto"/>
        <w:bottom w:val="none" w:sz="0" w:space="0" w:color="auto"/>
        <w:right w:val="none" w:sz="0" w:space="0" w:color="auto"/>
      </w:divBdr>
    </w:div>
    <w:div w:id="332690192">
      <w:bodyDiv w:val="1"/>
      <w:marLeft w:val="0"/>
      <w:marRight w:val="0"/>
      <w:marTop w:val="0"/>
      <w:marBottom w:val="0"/>
      <w:divBdr>
        <w:top w:val="none" w:sz="0" w:space="0" w:color="auto"/>
        <w:left w:val="none" w:sz="0" w:space="0" w:color="auto"/>
        <w:bottom w:val="none" w:sz="0" w:space="0" w:color="auto"/>
        <w:right w:val="none" w:sz="0" w:space="0" w:color="auto"/>
      </w:divBdr>
    </w:div>
    <w:div w:id="615870385">
      <w:bodyDiv w:val="1"/>
      <w:marLeft w:val="0"/>
      <w:marRight w:val="0"/>
      <w:marTop w:val="0"/>
      <w:marBottom w:val="0"/>
      <w:divBdr>
        <w:top w:val="none" w:sz="0" w:space="0" w:color="auto"/>
        <w:left w:val="none" w:sz="0" w:space="0" w:color="auto"/>
        <w:bottom w:val="none" w:sz="0" w:space="0" w:color="auto"/>
        <w:right w:val="none" w:sz="0" w:space="0" w:color="auto"/>
      </w:divBdr>
    </w:div>
    <w:div w:id="734623603">
      <w:bodyDiv w:val="1"/>
      <w:marLeft w:val="0"/>
      <w:marRight w:val="0"/>
      <w:marTop w:val="0"/>
      <w:marBottom w:val="0"/>
      <w:divBdr>
        <w:top w:val="none" w:sz="0" w:space="0" w:color="auto"/>
        <w:left w:val="none" w:sz="0" w:space="0" w:color="auto"/>
        <w:bottom w:val="none" w:sz="0" w:space="0" w:color="auto"/>
        <w:right w:val="none" w:sz="0" w:space="0" w:color="auto"/>
      </w:divBdr>
    </w:div>
    <w:div w:id="791283697">
      <w:bodyDiv w:val="1"/>
      <w:marLeft w:val="0"/>
      <w:marRight w:val="0"/>
      <w:marTop w:val="0"/>
      <w:marBottom w:val="0"/>
      <w:divBdr>
        <w:top w:val="none" w:sz="0" w:space="0" w:color="auto"/>
        <w:left w:val="none" w:sz="0" w:space="0" w:color="auto"/>
        <w:bottom w:val="none" w:sz="0" w:space="0" w:color="auto"/>
        <w:right w:val="none" w:sz="0" w:space="0" w:color="auto"/>
      </w:divBdr>
    </w:div>
    <w:div w:id="881287607">
      <w:bodyDiv w:val="1"/>
      <w:marLeft w:val="0"/>
      <w:marRight w:val="0"/>
      <w:marTop w:val="0"/>
      <w:marBottom w:val="0"/>
      <w:divBdr>
        <w:top w:val="none" w:sz="0" w:space="0" w:color="auto"/>
        <w:left w:val="none" w:sz="0" w:space="0" w:color="auto"/>
        <w:bottom w:val="none" w:sz="0" w:space="0" w:color="auto"/>
        <w:right w:val="none" w:sz="0" w:space="0" w:color="auto"/>
      </w:divBdr>
    </w:div>
    <w:div w:id="908425019">
      <w:bodyDiv w:val="1"/>
      <w:marLeft w:val="0"/>
      <w:marRight w:val="0"/>
      <w:marTop w:val="0"/>
      <w:marBottom w:val="0"/>
      <w:divBdr>
        <w:top w:val="none" w:sz="0" w:space="0" w:color="auto"/>
        <w:left w:val="none" w:sz="0" w:space="0" w:color="auto"/>
        <w:bottom w:val="none" w:sz="0" w:space="0" w:color="auto"/>
        <w:right w:val="none" w:sz="0" w:space="0" w:color="auto"/>
      </w:divBdr>
    </w:div>
    <w:div w:id="1108163245">
      <w:bodyDiv w:val="1"/>
      <w:marLeft w:val="0"/>
      <w:marRight w:val="0"/>
      <w:marTop w:val="0"/>
      <w:marBottom w:val="0"/>
      <w:divBdr>
        <w:top w:val="none" w:sz="0" w:space="0" w:color="auto"/>
        <w:left w:val="none" w:sz="0" w:space="0" w:color="auto"/>
        <w:bottom w:val="none" w:sz="0" w:space="0" w:color="auto"/>
        <w:right w:val="none" w:sz="0" w:space="0" w:color="auto"/>
      </w:divBdr>
    </w:div>
    <w:div w:id="1175681491">
      <w:bodyDiv w:val="1"/>
      <w:marLeft w:val="0"/>
      <w:marRight w:val="0"/>
      <w:marTop w:val="0"/>
      <w:marBottom w:val="0"/>
      <w:divBdr>
        <w:top w:val="none" w:sz="0" w:space="0" w:color="auto"/>
        <w:left w:val="none" w:sz="0" w:space="0" w:color="auto"/>
        <w:bottom w:val="none" w:sz="0" w:space="0" w:color="auto"/>
        <w:right w:val="none" w:sz="0" w:space="0" w:color="auto"/>
      </w:divBdr>
    </w:div>
    <w:div w:id="1281032597">
      <w:bodyDiv w:val="1"/>
      <w:marLeft w:val="0"/>
      <w:marRight w:val="0"/>
      <w:marTop w:val="0"/>
      <w:marBottom w:val="0"/>
      <w:divBdr>
        <w:top w:val="none" w:sz="0" w:space="0" w:color="auto"/>
        <w:left w:val="none" w:sz="0" w:space="0" w:color="auto"/>
        <w:bottom w:val="none" w:sz="0" w:space="0" w:color="auto"/>
        <w:right w:val="none" w:sz="0" w:space="0" w:color="auto"/>
      </w:divBdr>
    </w:div>
    <w:div w:id="166901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accessible-eu-centre.ec.europa.eu/index_ro" TargetMode="External"/><Relationship Id="rId117" Type="http://schemas.openxmlformats.org/officeDocument/2006/relationships/header" Target="header6.xml"/><Relationship Id="rId21" Type="http://schemas.openxmlformats.org/officeDocument/2006/relationships/hyperlink" Target="https://social.desa.un.org/issues/disability/crpd/convention-on-the-rights-of-persons-with-disabilities-crpd" TargetMode="External"/><Relationship Id="rId42" Type="http://schemas.openxmlformats.org/officeDocument/2006/relationships/hyperlink" Target="https://www.era.europa.eu/domains/technical-specifications-interoperability/persons-disabilities-and-reduced-mobility-tsi_en" TargetMode="External"/><Relationship Id="rId47" Type="http://schemas.openxmlformats.org/officeDocument/2006/relationships/hyperlink" Target="https://eur-lex.europa.eu/eli/dir/2014/24/oj/eng" TargetMode="External"/><Relationship Id="rId63" Type="http://schemas.openxmlformats.org/officeDocument/2006/relationships/hyperlink" Target="https://new-european-bauhaus.europa.eu/new-european-bauhaus-vision-implementation_ro" TargetMode="External"/><Relationship Id="rId68" Type="http://schemas.openxmlformats.org/officeDocument/2006/relationships/hyperlink" Target="https://school-education.ec.europa.eu/ro/discover/news/roadmap-school-success-all" TargetMode="External"/><Relationship Id="rId84" Type="http://schemas.openxmlformats.org/officeDocument/2006/relationships/hyperlink" Target="https://commission.europa.eu/funding-tenders/find-funding/eu-funding-programmes/justice-programme_ro" TargetMode="External"/><Relationship Id="rId89" Type="http://schemas.openxmlformats.org/officeDocument/2006/relationships/hyperlink" Target="https://home-affairs.ec.europa.eu/policies/migration-and-asylum/pact-migration-and-asylum_ro" TargetMode="External"/><Relationship Id="rId112" Type="http://schemas.openxmlformats.org/officeDocument/2006/relationships/hyperlink" Target="https://ec.europa.eu/eurostat/web/disability/overview" TargetMode="External"/><Relationship Id="rId16" Type="http://schemas.openxmlformats.org/officeDocument/2006/relationships/header" Target="header3.xml"/><Relationship Id="rId107" Type="http://schemas.openxmlformats.org/officeDocument/2006/relationships/hyperlink" Target="https://fra.europa.eu/ro/cooperation/eu-partners/eu-crpd-framework" TargetMode="External"/><Relationship Id="rId11" Type="http://schemas.openxmlformats.org/officeDocument/2006/relationships/image" Target="media/image1.emf"/><Relationship Id="rId24" Type="http://schemas.openxmlformats.org/officeDocument/2006/relationships/hyperlink" Target="https://ec.europa.eu/info/law/better-regulation/have-your-say/initiatives/15452-Enhancing-the-strategy-for-the-rights-of-persons-with-disabilities-up-to-2030_ro" TargetMode="External"/><Relationship Id="rId32" Type="http://schemas.openxmlformats.org/officeDocument/2006/relationships/hyperlink" Target="https://digital-strategy.ec.europa.eu/ro/library/proposal-regulation-digital-networks-act-dna" TargetMode="External"/><Relationship Id="rId37" Type="http://schemas.openxmlformats.org/officeDocument/2006/relationships/hyperlink" Target="https://eur-lex.europa.eu/eli/reg/2023/988/oj/eng" TargetMode="External"/><Relationship Id="rId40" Type="http://schemas.openxmlformats.org/officeDocument/2006/relationships/hyperlink" Target="https://commission.europa.eu/live-work-travel-eu/consumer-rights-and-complaints/resolve-your-consumer-complaint/european-consumer-centres-network-ecc-net_ro" TargetMode="External"/><Relationship Id="rId45" Type="http://schemas.openxmlformats.org/officeDocument/2006/relationships/hyperlink" Target="https://eur-lex.europa.eu/eli/dir/2009/45/oj/eng" TargetMode="External"/><Relationship Id="rId53" Type="http://schemas.openxmlformats.org/officeDocument/2006/relationships/hyperlink" Target="https://eur-lex.europa.eu/eli/C/2024/7188/oj/eng" TargetMode="External"/><Relationship Id="rId58" Type="http://schemas.openxmlformats.org/officeDocument/2006/relationships/hyperlink" Target="https://eur-lex.europa.eu/legal-content/RO/TXT/PDF/?uri=OJ:C_202301344" TargetMode="External"/><Relationship Id="rId66" Type="http://schemas.openxmlformats.org/officeDocument/2006/relationships/hyperlink" Target="https://employment-social-affairs.ec.europa.eu/document/ec5447e3-9f62-4c6b-b53b-af7dad8524eb_en" TargetMode="External"/><Relationship Id="rId74" Type="http://schemas.openxmlformats.org/officeDocument/2006/relationships/hyperlink" Target="https://health.ec.europa.eu/medicinal-products/legal-framework-governing-medicinal-products-human-use-eu/reform-eu-pharmaceutical-legislation_ro" TargetMode="External"/><Relationship Id="rId79" Type="http://schemas.openxmlformats.org/officeDocument/2006/relationships/hyperlink" Target="https://commission.europa.eu/strategy-and-policy/policies/justice-and-fundamental-rights/gender-equality/gender-equality-strategy_ro" TargetMode="External"/><Relationship Id="rId87" Type="http://schemas.openxmlformats.org/officeDocument/2006/relationships/hyperlink" Target="https://commission.europa.eu/strategy-and-policy/policies/justice-and-fundamental-rights/upholding-rule-law/eu-justice-scoreboard_ro" TargetMode="External"/><Relationship Id="rId102" Type="http://schemas.openxmlformats.org/officeDocument/2006/relationships/hyperlink" Target="https://enlargement.ec.europa.eu/enlargement-policy/strategy-and-reports_ro" TargetMode="External"/><Relationship Id="rId110" Type="http://schemas.openxmlformats.org/officeDocument/2006/relationships/hyperlink" Target="https://commission.europa.eu/strategy-and-policy/policies/justice-and-fundamental-rights/disability/access-city-award-aca_ro" TargetMode="External"/><Relationship Id="rId115" Type="http://schemas.openxmlformats.org/officeDocument/2006/relationships/footer" Target="footer4.xml"/><Relationship Id="rId5" Type="http://schemas.openxmlformats.org/officeDocument/2006/relationships/numbering" Target="numbering.xml"/><Relationship Id="rId61" Type="http://schemas.openxmlformats.org/officeDocument/2006/relationships/hyperlink" Target="https://capacity4dev.europa.eu/library/social-protection-people-disabilities-europe-analysis-policies-35-countries-0_en" TargetMode="External"/><Relationship Id="rId82" Type="http://schemas.openxmlformats.org/officeDocument/2006/relationships/hyperlink" Target="https://ec.europa.eu/commission/presscorner/detail/ro/ip_25_3017" TargetMode="External"/><Relationship Id="rId90" Type="http://schemas.openxmlformats.org/officeDocument/2006/relationships/hyperlink" Target="https://webgate.ec.europa.eu/circabc-ewpp/d/d/workspace/SpacesStore/b81316ab-a513-49a1-b520-b6a6e0de6986/file.bin" TargetMode="External"/><Relationship Id="rId95" Type="http://schemas.openxmlformats.org/officeDocument/2006/relationships/hyperlink" Target="https://sport.ec.europa.eu/european-week-of-sport" TargetMode="External"/><Relationship Id="rId19" Type="http://schemas.openxmlformats.org/officeDocument/2006/relationships/hyperlink" Target="https://commission.europa.eu/topics/equality-and-inclusion/equality-and-inclusion-key-actions_ro" TargetMode="External"/><Relationship Id="rId14" Type="http://schemas.openxmlformats.org/officeDocument/2006/relationships/footer" Target="footer1.xml"/><Relationship Id="rId22" Type="http://schemas.openxmlformats.org/officeDocument/2006/relationships/hyperlink" Target="https://employment-social-affairs.ec.europa.eu/policies-and-activities/european-pillar-social-rights-building-fairer-and-more-inclusive-european-union/european-pillar-social-rights-20-principles_ro" TargetMode="External"/><Relationship Id="rId27" Type="http://schemas.openxmlformats.org/officeDocument/2006/relationships/hyperlink" Target="https://eur-lex.europa.eu/legal-content/RO/TXT/?uri=CELEX%3A32019L0882" TargetMode="External"/><Relationship Id="rId30" Type="http://schemas.openxmlformats.org/officeDocument/2006/relationships/hyperlink" Target="https://eur-lex.europa.eu/eli/dir/2016/2102/oj" TargetMode="External"/><Relationship Id="rId35" Type="http://schemas.openxmlformats.org/officeDocument/2006/relationships/hyperlink" Target="https://digital-strategy.ec.europa.eu/ro/library/commission-publishes-guidelines-prohibited-artificial-intelligence-ai-practices-defined-ai-act" TargetMode="External"/><Relationship Id="rId43" Type="http://schemas.openxmlformats.org/officeDocument/2006/relationships/hyperlink" Target="https://urban-mobility-observatory.transport.ec.europa.eu/sustainable-urban-mobility-plans/expert-corner-sump-reference-materials_en" TargetMode="External"/><Relationship Id="rId48" Type="http://schemas.openxmlformats.org/officeDocument/2006/relationships/hyperlink" Target="https://eur-lex.europa.eu/eli/dir/2024/2841/oj/eng" TargetMode="External"/><Relationship Id="rId56" Type="http://schemas.openxmlformats.org/officeDocument/2006/relationships/hyperlink" Target="https://commission.europa.eu/funding-tenders/find-funding/eu-funding-programmes/european-regional-development-fund-erdf_ro" TargetMode="External"/><Relationship Id="rId64" Type="http://schemas.openxmlformats.org/officeDocument/2006/relationships/hyperlink" Target="https://housing.ec.europa.eu/document/756915b5-d1b1-4bde-ac82-03532d2d3d90_en" TargetMode="External"/><Relationship Id="rId69" Type="http://schemas.openxmlformats.org/officeDocument/2006/relationships/hyperlink" Target="https://eur-lex.europa.eu/legal-content/RO/TXT/PDF/?uri=OJ:C_202601687" TargetMode="External"/><Relationship Id="rId77" Type="http://schemas.openxmlformats.org/officeDocument/2006/relationships/hyperlink" Target="https://health.ec.europa.eu/funding/eu4health-programme-2021-2027-vision-healthier-european-union_ro" TargetMode="External"/><Relationship Id="rId100" Type="http://schemas.openxmlformats.org/officeDocument/2006/relationships/hyperlink" Target="https://capacity4dev.europa.eu/library/oecd-handbook-policy-marker-inclusion-and-empowerment-persons-disabilities_en" TargetMode="External"/><Relationship Id="rId105" Type="http://schemas.openxmlformats.org/officeDocument/2006/relationships/hyperlink" Target="https://commission.europa.eu/publications/agoraeu_ro" TargetMode="External"/><Relationship Id="rId113" Type="http://schemas.openxmlformats.org/officeDocument/2006/relationships/header" Target="header4.xml"/><Relationship Id="rId118" Type="http://schemas.openxmlformats.org/officeDocument/2006/relationships/footer" Target="footer6.xml"/><Relationship Id="rId8" Type="http://schemas.openxmlformats.org/officeDocument/2006/relationships/webSettings" Target="webSettings.xml"/><Relationship Id="rId51" Type="http://schemas.openxmlformats.org/officeDocument/2006/relationships/hyperlink" Target="https://eur-lex.europa.eu/eli/reco/2023/2829/oj/eng" TargetMode="External"/><Relationship Id="rId72" Type="http://schemas.openxmlformats.org/officeDocument/2006/relationships/hyperlink" Target="https://employment-social-affairs.ec.europa.eu/document/7f60af79-936f-42b3-a6c4-a4639c6679ff_en" TargetMode="External"/><Relationship Id="rId80" Type="http://schemas.openxmlformats.org/officeDocument/2006/relationships/hyperlink" Target="https://commission.europa.eu/publications/lgbtiq-equality-strategy-2026-2030-0_ro" TargetMode="External"/><Relationship Id="rId85" Type="http://schemas.openxmlformats.org/officeDocument/2006/relationships/hyperlink" Target="https://eur-lex.europa.eu/legal-content/RO/TXT/?uri=celex:52025DC0801" TargetMode="External"/><Relationship Id="rId93" Type="http://schemas.openxmlformats.org/officeDocument/2006/relationships/hyperlink" Target="https://erasmus-plus.ec.europa.eu/programme-guide/part-b/key-action-1/discovereu-action" TargetMode="External"/><Relationship Id="rId98" Type="http://schemas.openxmlformats.org/officeDocument/2006/relationships/hyperlink" Target="https://www.eeas.europa.eu/eeas/eu-action-plan-human-rights-and-democracy-0_en" TargetMode="Externa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digitallibrary.un.org/record/4080772?v=pdf" TargetMode="External"/><Relationship Id="rId33" Type="http://schemas.openxmlformats.org/officeDocument/2006/relationships/hyperlink" Target="https://eur-lex.europa.eu/eli/reg/2022/2065/oj/eng" TargetMode="External"/><Relationship Id="rId38" Type="http://schemas.openxmlformats.org/officeDocument/2006/relationships/hyperlink" Target="https://eur-lex.europa.eu/eli/dir/2025/2647/oj/eng" TargetMode="External"/><Relationship Id="rId46" Type="http://schemas.openxmlformats.org/officeDocument/2006/relationships/hyperlink" Target="https://eur-lex.europa.eu/eli/reg/2012/1025/oj/eng" TargetMode="External"/><Relationship Id="rId59" Type="http://schemas.openxmlformats.org/officeDocument/2006/relationships/hyperlink" Target="https://employment-social-affairs.ec.europa.eu/policies-and-activities/eu-employment-policies/disability-employment-package_ro" TargetMode="External"/><Relationship Id="rId67" Type="http://schemas.openxmlformats.org/officeDocument/2006/relationships/hyperlink" Target="https://education.ec.europa.eu/education-levels/school-education/pathways-to-school-success" TargetMode="External"/><Relationship Id="rId103" Type="http://schemas.openxmlformats.org/officeDocument/2006/relationships/hyperlink" Target="https://www.globaldisabilitysummit.org/" TargetMode="External"/><Relationship Id="rId108" Type="http://schemas.openxmlformats.org/officeDocument/2006/relationships/hyperlink" Target="https://commission.europa.eu/document/download/3d1dc4df-7995-44b8-bf08-396930fb8c9d_en?filename=C-2022-2229-EN.pdf" TargetMode="External"/><Relationship Id="rId116" Type="http://schemas.openxmlformats.org/officeDocument/2006/relationships/footer" Target="footer5.xml"/><Relationship Id="rId20" Type="http://schemas.openxmlformats.org/officeDocument/2006/relationships/hyperlink" Target="https://op.europa.eu/en/publication-detail/-/publication/3e1e2228-7c97-11eb-9ac9-01aa75ed71a1/language-en" TargetMode="External"/><Relationship Id="rId41" Type="http://schemas.openxmlformats.org/officeDocument/2006/relationships/hyperlink" Target="https://www.ohchr.org/en/documents/thematic-reports/ahrc6132-disability-inclusive-infrastructure-including-transport-and" TargetMode="External"/><Relationship Id="rId54" Type="http://schemas.openxmlformats.org/officeDocument/2006/relationships/hyperlink" Target="https://commission.europa.eu/funding-tenders/find-funding/eu-funding-programmes/horizon-europe_ro" TargetMode="External"/><Relationship Id="rId62" Type="http://schemas.openxmlformats.org/officeDocument/2006/relationships/hyperlink" Target="https://eur-lex.europa.eu/eli/dir/2024/1275/oj/eng" TargetMode="External"/><Relationship Id="rId70" Type="http://schemas.openxmlformats.org/officeDocument/2006/relationships/hyperlink" Target="https://education.ec.europa.eu/about-eea/strategic-framework" TargetMode="External"/><Relationship Id="rId75" Type="http://schemas.openxmlformats.org/officeDocument/2006/relationships/hyperlink" Target="https://health.ec.europa.eu/medical-devices-sector/new-regulations_ro" TargetMode="External"/><Relationship Id="rId83" Type="http://schemas.openxmlformats.org/officeDocument/2006/relationships/hyperlink" Target="https://eur-lex.europa.eu/eli/dir/2024/1385/oj/eng" TargetMode="External"/><Relationship Id="rId88" Type="http://schemas.openxmlformats.org/officeDocument/2006/relationships/hyperlink" Target="https://eur-lex.europa.eu/eli/treaty/tfeu_2008/art_83/oj/eng" TargetMode="External"/><Relationship Id="rId91" Type="http://schemas.openxmlformats.org/officeDocument/2006/relationships/hyperlink" Target="https://civil-protection-humanitarian-aid.ec.europa.eu/what/civil-protection/eu-civil-protection-mechanism_ro" TargetMode="External"/><Relationship Id="rId96" Type="http://schemas.openxmlformats.org/officeDocument/2006/relationships/hyperlink" Target="https://www.globaldisabilitysummit.org/amman-berlin-declaration/" TargetMode="External"/><Relationship Id="rId111" Type="http://schemas.openxmlformats.org/officeDocument/2006/relationships/hyperlink" Target="https://eu-diversity-inclusion.campaign.europa.eu/european-capitals-inclusion-and-diversity-award_ro"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2.xml"/><Relationship Id="rId23" Type="http://schemas.openxmlformats.org/officeDocument/2006/relationships/hyperlink" Target="https://commission.europa.eu/topics/competitiveness/competitiveness-compass_ro" TargetMode="External"/><Relationship Id="rId28" Type="http://schemas.openxmlformats.org/officeDocument/2006/relationships/hyperlink" Target="https://ec.europa.eu/growth/tools-databases/enorm/mandate/587_ro" TargetMode="External"/><Relationship Id="rId36" Type="http://schemas.openxmlformats.org/officeDocument/2006/relationships/hyperlink" Target="https://een.ec.europa.eu/" TargetMode="External"/><Relationship Id="rId49" Type="http://schemas.openxmlformats.org/officeDocument/2006/relationships/hyperlink" Target="https://commission.europa.eu/publications/guide-good-electoral-practices-member-states-addressing-participation-citizens-disabilities_ro" TargetMode="External"/><Relationship Id="rId57" Type="http://schemas.openxmlformats.org/officeDocument/2006/relationships/hyperlink" Target="https://eur-lex.europa.eu/eli/dir/2000/78/oj/eng" TargetMode="External"/><Relationship Id="rId106" Type="http://schemas.openxmlformats.org/officeDocument/2006/relationships/hyperlink" Target="https://commission.europa.eu/law/law-making-process/better-regulation/better-regulation-guidelines-and-toolbox_ro" TargetMode="External"/><Relationship Id="rId114" Type="http://schemas.openxmlformats.org/officeDocument/2006/relationships/header" Target="header5.xml"/><Relationship Id="rId119"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eur-lex.europa.eu/eli/dir/2018/1972/oj/eng" TargetMode="External"/><Relationship Id="rId44" Type="http://schemas.openxmlformats.org/officeDocument/2006/relationships/hyperlink" Target="https://eur-lex.europa.eu/eli/reg/2023/1804/oj/eng" TargetMode="External"/><Relationship Id="rId52" Type="http://schemas.openxmlformats.org/officeDocument/2006/relationships/hyperlink" Target="https://commission.europa.eu/publications/report-2024-elections-european-parliament_ro" TargetMode="External"/><Relationship Id="rId60" Type="http://schemas.openxmlformats.org/officeDocument/2006/relationships/hyperlink" Target="https://eu-diversity-inclusion.campaign.europa.eu/eu-platform-diversity-charters_ro" TargetMode="External"/><Relationship Id="rId65" Type="http://schemas.openxmlformats.org/officeDocument/2006/relationships/hyperlink" Target="https://energy.ec.europa.eu/publications/communication-citizens-energy-package_ro" TargetMode="External"/><Relationship Id="rId73" Type="http://schemas.openxmlformats.org/officeDocument/2006/relationships/hyperlink" Target="https://op.europa.eu/en/publication-detail/-/publication/c2959f58-d63d-11f0-8da2-01aa75ed71a1/language-en" TargetMode="External"/><Relationship Id="rId78" Type="http://schemas.openxmlformats.org/officeDocument/2006/relationships/hyperlink" Target="https://health.ec.europa.eu/publications/comprehensive-approach-mental-health_ro" TargetMode="External"/><Relationship Id="rId81" Type="http://schemas.openxmlformats.org/officeDocument/2006/relationships/hyperlink" Target="https://commission.europa.eu/document/f4acc4d4-689e-4db8-8c89-c7243b76ab88_en" TargetMode="External"/><Relationship Id="rId86" Type="http://schemas.openxmlformats.org/officeDocument/2006/relationships/hyperlink" Target="https://eur-lex.europa.eu/eli/dir/2014/41/oj/eng" TargetMode="External"/><Relationship Id="rId94" Type="http://schemas.openxmlformats.org/officeDocument/2006/relationships/hyperlink" Target="https://sport.ec.europa.eu/initiatives/beactive-eu-sport-awards" TargetMode="External"/><Relationship Id="rId99" Type="http://schemas.openxmlformats.org/officeDocument/2006/relationships/hyperlink" Target="https://commission.europa.eu/topics/international-partnerships/global-gateway_ro" TargetMode="External"/><Relationship Id="rId101" Type="http://schemas.openxmlformats.org/officeDocument/2006/relationships/hyperlink" Target="https://ec.europa.eu/echo/files/policies/sectoral/doc_echo_og_inclusion_en.pdf"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yperlink" Target="https://ec.europa.eu/eurostat/statistics-explained/index.php?title=Glossary:Disability" TargetMode="External"/><Relationship Id="rId39" Type="http://schemas.openxmlformats.org/officeDocument/2006/relationships/hyperlink" Target="https://commission.europa.eu/strategy-and-policy/policies/consumers/consumer-protection-policy/2030-consumer-agenda_ro" TargetMode="External"/><Relationship Id="rId109" Type="http://schemas.openxmlformats.org/officeDocument/2006/relationships/hyperlink" Target="https://commission.europa.eu/document/download/196676b9-9b29-4034-84ca-d75d3cd5912c_en?filename=fact-sheet-diversity-inclusion-in-workplace-action-plan-2023-2024_en_0.pdf" TargetMode="External"/><Relationship Id="rId34" Type="http://schemas.openxmlformats.org/officeDocument/2006/relationships/hyperlink" Target="https://eur-lex.europa.eu/eli/reg/2024/1689/oj/eng" TargetMode="External"/><Relationship Id="rId50" Type="http://schemas.openxmlformats.org/officeDocument/2006/relationships/hyperlink" Target="https://commission.europa.eu/document/2539eb53-9485-4199-bfdc-97166893ff45_en" TargetMode="External"/><Relationship Id="rId55" Type="http://schemas.openxmlformats.org/officeDocument/2006/relationships/hyperlink" Target="https://european-social-fund-plus.ec.europa.eu/ro" TargetMode="External"/><Relationship Id="rId76" Type="http://schemas.openxmlformats.org/officeDocument/2006/relationships/hyperlink" Target="https://health.ec.europa.eu/publications/proposal-regulation-establish-measures-strengthen-unions-biotechnology-and-biomanufacturing-sectors_ro" TargetMode="External"/><Relationship Id="rId97" Type="http://schemas.openxmlformats.org/officeDocument/2006/relationships/hyperlink" Target="https://www.consilium.europa.eu/media/hlyf1gsa/eu-guidelines-human-rights-non-discrimination.pdf" TargetMode="External"/><Relationship Id="rId104" Type="http://schemas.openxmlformats.org/officeDocument/2006/relationships/hyperlink" Target="https://commission.europa.eu/document/8c30975d-bc1c-4415-8dcd-a71cb28f3662_en" TargetMode="External"/><Relationship Id="rId120" Type="http://schemas.openxmlformats.org/officeDocument/2006/relationships/theme" Target="theme/theme1.xml"/><Relationship Id="rId7" Type="http://schemas.openxmlformats.org/officeDocument/2006/relationships/settings" Target="settings.xml"/><Relationship Id="rId71" Type="http://schemas.openxmlformats.org/officeDocument/2006/relationships/hyperlink" Target="https://www.european-agency.org/" TargetMode="External"/><Relationship Id="rId92" Type="http://schemas.openxmlformats.org/officeDocument/2006/relationships/hyperlink" Target="https://culture.ec.europa.eu/policies/culture-compass" TargetMode="External"/><Relationship Id="rId2" Type="http://schemas.openxmlformats.org/officeDocument/2006/relationships/customXml" Target="../customXml/item2.xml"/><Relationship Id="rId29" Type="http://schemas.openxmlformats.org/officeDocument/2006/relationships/hyperlink" Target="https://eur-lex.europa.eu/eli/dir/2010/13/oj/eng"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hchr.org/en/documents/thematic-reports/ahrc4952-artificial-intelligence-and-rights-persons-disabilities-report" TargetMode="External"/><Relationship Id="rId13" Type="http://schemas.openxmlformats.org/officeDocument/2006/relationships/hyperlink" Target="https://employment-social-affairs.ec.europa.eu/news/women-older-people-migrants-and-persons-disabilities-key-tackling-eu-skills-and-labour-shortages-2025-09-16_ro" TargetMode="External"/><Relationship Id="rId18" Type="http://schemas.openxmlformats.org/officeDocument/2006/relationships/hyperlink" Target="https://build-up.ec.europa.eu/en/resources-and-tools/articles/addressing-energy-poverty-among-people-disabilities-in-Europe%23:~:text=Disability%20and%20energy%20poverty%20are,to%20invest%20in%20energy%20efficiency." TargetMode="External"/><Relationship Id="rId3" Type="http://schemas.openxmlformats.org/officeDocument/2006/relationships/hyperlink" Target="https://www.oecd.org/content/dam/oecd/en/publications/reports/2025/06/combatting-discrimination-in-the-european-union_e408d1a9/29c2c36a-en.pdf" TargetMode="External"/><Relationship Id="rId21" Type="http://schemas.openxmlformats.org/officeDocument/2006/relationships/hyperlink" Target="https://ec.europa.eu/eurostat/databrowser/view/edat_lfse_40/default/table?lang=en&amp;category=dsb.dsb_educ" TargetMode="External"/><Relationship Id="rId7" Type="http://schemas.openxmlformats.org/officeDocument/2006/relationships/hyperlink" Target="https://www.ohchr.org/en/documents/thematic-reports/ahrc4952-artificial-intelligence-and-rights-persons-disabilities-report" TargetMode="External"/><Relationship Id="rId12" Type="http://schemas.openxmlformats.org/officeDocument/2006/relationships/hyperlink" Target="https://www.eurofound.europa.eu/ro/publications/all/paths-towards-independent-living-and-social-inclusion-europe" TargetMode="External"/><Relationship Id="rId17" Type="http://schemas.openxmlformats.org/officeDocument/2006/relationships/hyperlink" Target="https://ec.europa.eu/eurostat/databrowser/view/hlth_dpe010__custom_20916269/bookmark/table?lang=en&amp;bookmarkId=e5bdd56b-afdb-4050-8a24-46335707b91d&amp;c=1775742925000" TargetMode="External"/><Relationship Id="rId2" Type="http://schemas.openxmlformats.org/officeDocument/2006/relationships/hyperlink" Target="https://ec.europa.eu/eurostat/documents/17847228/17905408/GALI-implementing-guidelines.pdf/1f5edb44-7444-a3b2-e6cf-1abba2492ca4?t=1700132867646" TargetMode="External"/><Relationship Id="rId16" Type="http://schemas.openxmlformats.org/officeDocument/2006/relationships/hyperlink" Target="https://www.eurofound.europa.eu/ro/publications/all/eurofound-work-programme-2026" TargetMode="External"/><Relationship Id="rId20" Type="http://schemas.openxmlformats.org/officeDocument/2006/relationships/hyperlink" Target="https://employment-social-affairs.ec.europa.eu/document/21450169-5eaf-40e7-8a5a-4133f20510f1_en" TargetMode="External"/><Relationship Id="rId1" Type="http://schemas.openxmlformats.org/officeDocument/2006/relationships/hyperlink" Target="https://ec.europa.eu/eurostat/web/products-eurostat-news/w/wdn-20251203-1" TargetMode="External"/><Relationship Id="rId6" Type="http://schemas.openxmlformats.org/officeDocument/2006/relationships/hyperlink" Target="https://data.consilium.europa.eu/doc/document/ST-15842-2024-INIT/ro/pdf" TargetMode="External"/><Relationship Id="rId11" Type="http://schemas.openxmlformats.org/officeDocument/2006/relationships/hyperlink" Target="https://www.eurofound.europa.eu/ro/publications/all/paths-towards-independent-living-and-social-inclusion-europe" TargetMode="External"/><Relationship Id="rId24" Type="http://schemas.openxmlformats.org/officeDocument/2006/relationships/hyperlink" Target="https://www.who.int/publications/i/item/9789240063600" TargetMode="External"/><Relationship Id="rId5" Type="http://schemas.openxmlformats.org/officeDocument/2006/relationships/hyperlink" Target="https://www.eesc.europa.eu/en/our-work/opinions-information-reports/opinions/future-eu-strategy-rights-persons-disabilities-post-2025" TargetMode="External"/><Relationship Id="rId15" Type="http://schemas.openxmlformats.org/officeDocument/2006/relationships/hyperlink" Target="https://ec.europa.eu/eurostat/cache/dashboard/social-scoreboard/" TargetMode="External"/><Relationship Id="rId23" Type="http://schemas.openxmlformats.org/officeDocument/2006/relationships/hyperlink" Target="https://eur-lex.europa.eu/eli/dec/2013/1313/oj/eng" TargetMode="External"/><Relationship Id="rId10" Type="http://schemas.openxmlformats.org/officeDocument/2006/relationships/hyperlink" Target="http://data.europa.eu/eli/dir/2024/2842/oj" TargetMode="External"/><Relationship Id="rId19" Type="http://schemas.openxmlformats.org/officeDocument/2006/relationships/hyperlink" Target="https://build-up.ec.europa.eu/en/resources-and-tools/articles/addressing-energy-poverty-among-people-disabilities-in-Europe%23:~:text=Disability%20and%20energy%20poverty%20are,to%20invest%20in%20energy%20efficiency." TargetMode="External"/><Relationship Id="rId4" Type="http://schemas.openxmlformats.org/officeDocument/2006/relationships/hyperlink" Target="https://www.europarl.europa.eu/doceo/document/TA-10-2025-0308_RO.html" TargetMode="External"/><Relationship Id="rId9" Type="http://schemas.openxmlformats.org/officeDocument/2006/relationships/hyperlink" Target="https://eprel.ec.europa.eu/" TargetMode="External"/><Relationship Id="rId14" Type="http://schemas.openxmlformats.org/officeDocument/2006/relationships/hyperlink" Target="https://ec.europa.eu/eurostat/databrowser/view/tepsr_sp200__custom_10788379/bookmark/table?lang=en&amp;bookmarkId=9c990553-4485-4607-bf77-3b7dfce0176c&amp;c=1775742877000" TargetMode="External"/><Relationship Id="rId22" Type="http://schemas.openxmlformats.org/officeDocument/2006/relationships/hyperlink" Target="https://eucanscreen.eu/" TargetMode="External"/></Relationships>
</file>

<file path=word/theme/theme1.xml><?xml version="1.0" encoding="utf-8"?>
<a:theme xmlns:a="http://schemas.openxmlformats.org/drawingml/2006/main" name="Office Theme">
  <a:themeElements>
    <a:clrScheme name="Custom 10">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563C1"/>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8EE92F-EEEA-4B17-BBAF-F0893AB58B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FE796D-7D32-4C9F-8CFE-C5C93CD7BAF8}">
  <ds:schemaRefs>
    <ds:schemaRef ds:uri="http://schemas.microsoft.com/sharepoint/v3/contenttype/forms"/>
  </ds:schemaRefs>
</ds:datastoreItem>
</file>

<file path=customXml/itemProps3.xml><?xml version="1.0" encoding="utf-8"?>
<ds:datastoreItem xmlns:ds="http://schemas.openxmlformats.org/officeDocument/2006/customXml" ds:itemID="{A8E1151E-C9C1-4797-BFF8-C4315BB455B5}">
  <ds:schemaRefs>
    <ds:schemaRef ds:uri="http://schemas.microsoft.com/office/2006/metadata/properties"/>
    <ds:schemaRef ds:uri="http://schemas.microsoft.com/office/infopath/2007/PartnerControls"/>
    <ds:schemaRef ds:uri="38bf3bd7-73ad-4948-8b71-aa2c92f53103"/>
  </ds:schemaRefs>
</ds:datastoreItem>
</file>

<file path=customXml/itemProps4.xml><?xml version="1.0" encoding="utf-8"?>
<ds:datastoreItem xmlns:ds="http://schemas.openxmlformats.org/officeDocument/2006/customXml" ds:itemID="{1AF09F41-C78C-4C9B-B76F-394225E36E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14</Pages>
  <Words>9540</Words>
  <Characters>54379</Characters>
  <Application>Microsoft Office Word</Application>
  <DocSecurity>0</DocSecurity>
  <Lines>453</Lines>
  <Paragraphs>127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63792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2026-05-05T20:23:00Z</dcterms:created>
  <dcterms:modified xsi:type="dcterms:W3CDTF">2026-05-22T08:41:00Z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2026-05-04T16:39:12Z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d32f2b84-b5b8-4ae4-90fc-3c63c2fe6d99</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Part">
    <vt:lpwstr>1</vt:lpwstr>
  </property>
  <property fmtid="{D5CDD505-2E9C-101B-9397-08002B2CF9AE}" pid="13" name="EC_TX_Corporate_x0020_Body">
    <vt:lpwstr/>
  </property>
  <property fmtid="{D5CDD505-2E9C-101B-9397-08002B2CF9AE}" pid="14" name="EC_TX_All_World_Countries">
    <vt:lpwstr/>
  </property>
  <property fmtid="{D5CDD505-2E9C-101B-9397-08002B2CF9AE}" pid="15" name="MediaServiceImageTags">
    <vt:lpwstr/>
  </property>
  <property fmtid="{D5CDD505-2E9C-101B-9397-08002B2CF9AE}" pid="16" name="ContentTypeId">
    <vt:lpwstr>0x01010093DEBFA01D8CDE41AAE050D7D7CF61F9</vt:lpwstr>
  </property>
  <property fmtid="{D5CDD505-2E9C-101B-9397-08002B2CF9AE}" pid="17" name="EC_TX_Corporate Body">
    <vt:lpwstr/>
  </property>
  <property fmtid="{D5CDD505-2E9C-101B-9397-08002B2CF9AE}" pid="18" name="i8c8ab8b63424c5d9f8c4a8434abf670">
    <vt:lpwstr/>
  </property>
  <property fmtid="{D5CDD505-2E9C-101B-9397-08002B2CF9AE}" pid="19" name="EC_TX_Resource_Type">
    <vt:lpwstr/>
  </property>
  <property fmtid="{D5CDD505-2E9C-101B-9397-08002B2CF9AE}" pid="20" name="Created using">
    <vt:lpwstr>LW 9.2, Build 20250828</vt:lpwstr>
  </property>
  <property fmtid="{D5CDD505-2E9C-101B-9397-08002B2CF9AE}" pid="21" name="EC_TX_Policy_Area">
    <vt:lpwstr/>
  </property>
  <property fmtid="{D5CDD505-2E9C-101B-9397-08002B2CF9AE}" pid="22" name="EC_TX_EU_Member_State">
    <vt:lpwstr/>
  </property>
  <property fmtid="{D5CDD505-2E9C-101B-9397-08002B2CF9AE}" pid="23" name="Total parts">
    <vt:lpwstr>1</vt:lpwstr>
  </property>
  <property fmtid="{D5CDD505-2E9C-101B-9397-08002B2CF9AE}" pid="24" name="j8309f8bc3e645d1a2f07391f8e5795a">
    <vt:lpwstr/>
  </property>
  <property fmtid="{D5CDD505-2E9C-101B-9397-08002B2CF9AE}" pid="25" name="g81cb4d17be94922847ce418ea81f55a">
    <vt:lpwstr/>
  </property>
  <property fmtid="{D5CDD505-2E9C-101B-9397-08002B2CF9AE}" pid="26" name="Level of sensitivity">
    <vt:lpwstr>Standard treatment</vt:lpwstr>
  </property>
  <property fmtid="{D5CDD505-2E9C-101B-9397-08002B2CF9AE}" pid="27" name="TaxCatchAll">
    <vt:lpwstr/>
  </property>
  <property fmtid="{D5CDD505-2E9C-101B-9397-08002B2CF9AE}" pid="28" name="CPTemplateID">
    <vt:lpwstr>CP-014</vt:lpwstr>
  </property>
  <property fmtid="{D5CDD505-2E9C-101B-9397-08002B2CF9AE}" pid="29" name="k2c54712f93b47eb83e1835ba301b6c6">
    <vt:lpwstr/>
  </property>
  <property fmtid="{D5CDD505-2E9C-101B-9397-08002B2CF9AE}" pid="30" name="EC_TX_Strategic_Priority">
    <vt:lpwstr/>
  </property>
  <property fmtid="{D5CDD505-2E9C-101B-9397-08002B2CF9AE}" pid="31" name="EC_TX_EU_Political_Leader">
    <vt:lpwstr/>
  </property>
  <property fmtid="{D5CDD505-2E9C-101B-9397-08002B2CF9AE}" pid="32" name="p6ffe5294acd41c38db3fcc8ababb05f">
    <vt:lpwstr/>
  </property>
  <property fmtid="{D5CDD505-2E9C-101B-9397-08002B2CF9AE}" pid="33" name="p26229aee9004b9f888149fd0449ec68">
    <vt:lpwstr/>
  </property>
  <property fmtid="{D5CDD505-2E9C-101B-9397-08002B2CF9AE}" pid="34" name="eff2cf69f10b4279bbb27215ca009b37">
    <vt:lpwstr/>
  </property>
</Properties>
</file>