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20B585-3B36-42BD-A174-C9C9CE0FD5FE" style="width:455.25pt;height:399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CONTEXTUL PROPUNERII</w:t>
      </w:r>
    </w:p>
    <w:p>
      <w:pPr>
        <w:pStyle w:val="ManualNumPar1"/>
        <w:rPr>
          <w:noProof/>
        </w:rPr>
      </w:pPr>
      <w:r>
        <w:rPr>
          <w:noProof/>
        </w:rPr>
        <w:t>1.</w:t>
      </w:r>
      <w:r>
        <w:rPr>
          <w:noProof/>
        </w:rPr>
        <w:tab/>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Pr>
          <w:rStyle w:val="FootnoteReference"/>
          <w:noProof/>
        </w:rPr>
        <w:footnoteReference w:id="1"/>
      </w:r>
      <w:r>
        <w:rPr>
          <w:noProof/>
        </w:rPr>
        <w:t>.</w:t>
      </w:r>
    </w:p>
    <w:p>
      <w:pPr>
        <w:pStyle w:val="ManualNumPar1"/>
        <w:rPr>
          <w:noProof/>
        </w:rPr>
      </w:pPr>
      <w:r>
        <w:rPr>
          <w:noProof/>
        </w:rPr>
        <w:t>2.</w:t>
      </w:r>
      <w:r>
        <w:rPr>
          <w:noProof/>
        </w:rPr>
        <w:tab/>
        <w:t>La 19 mai 2026, Finlanda a depus cererea EGF/2026/004 FI/Etelä-Suomi and Helsinki-Uusimaa paper pentru o contribuție financiară din partea FEG, ca urmare a disponibilizărilor din industria hârtiei care au avut loc în regiunile de nivel NUTS 2 Etelä-Suomi (FI1C) și Helsinki-Uusimaa (FI1B) din Finlanda.</w:t>
      </w:r>
    </w:p>
    <w:p>
      <w:pPr>
        <w:pStyle w:val="ManualNumPar1"/>
        <w:rPr>
          <w:noProof/>
        </w:rPr>
      </w:pPr>
      <w:r>
        <w:rPr>
          <w:noProof/>
        </w:rPr>
        <w:t>3.</w:t>
      </w:r>
      <w:r>
        <w:rPr>
          <w:noProof/>
        </w:rPr>
        <w:tab/>
        <w:t xml:space="preserve">După evaluarea acestei cereri, Comisia a concluzionat, în conformitate cu toate dispozițiile aplicabile ale Regulamentului (UE) 2021/691, că sunt îndeplinite condițiile pentru acordarea unei contribuții financiare din partea FEG. </w:t>
      </w:r>
    </w:p>
    <w:p>
      <w:pPr>
        <w:pStyle w:val="ManualHeading1"/>
        <w:rPr>
          <w:noProof/>
        </w:rPr>
      </w:pPr>
      <w:r>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tc>
          <w:tcPr>
            <w:tcW w:w="4908" w:type="dxa"/>
          </w:tcPr>
          <w:p>
            <w:pPr>
              <w:spacing w:before="60" w:after="60"/>
              <w:jc w:val="left"/>
              <w:rPr>
                <w:rFonts w:eastAsia="Calibri"/>
                <w:noProof/>
              </w:rPr>
            </w:pPr>
            <w:r>
              <w:rPr>
                <w:noProof/>
              </w:rPr>
              <w:t>Cererea FEG</w:t>
            </w:r>
          </w:p>
        </w:tc>
        <w:tc>
          <w:tcPr>
            <w:tcW w:w="4379" w:type="dxa"/>
          </w:tcPr>
          <w:p>
            <w:pPr>
              <w:spacing w:before="60" w:after="60"/>
              <w:ind w:rightChars="192" w:right="461"/>
              <w:jc w:val="left"/>
              <w:rPr>
                <w:noProof/>
              </w:rPr>
            </w:pPr>
            <w:r>
              <w:rPr>
                <w:noProof/>
              </w:rPr>
              <w:t>EGF/2026/004 FI/Etelä-Suomi and Helsinki-Uusimaa paper</w:t>
            </w:r>
          </w:p>
        </w:tc>
      </w:tr>
      <w:tr>
        <w:tc>
          <w:tcPr>
            <w:tcW w:w="4908" w:type="dxa"/>
          </w:tcPr>
          <w:p>
            <w:pPr>
              <w:spacing w:before="60" w:after="60"/>
              <w:jc w:val="left"/>
              <w:rPr>
                <w:rFonts w:eastAsia="Calibri"/>
                <w:noProof/>
              </w:rPr>
            </w:pPr>
            <w:r>
              <w:rPr>
                <w:noProof/>
              </w:rPr>
              <w:t>Statul membru</w:t>
            </w:r>
          </w:p>
        </w:tc>
        <w:tc>
          <w:tcPr>
            <w:tcW w:w="4379" w:type="dxa"/>
          </w:tcPr>
          <w:p>
            <w:pPr>
              <w:spacing w:before="60" w:after="60"/>
              <w:ind w:rightChars="192" w:right="461"/>
              <w:jc w:val="left"/>
              <w:rPr>
                <w:rFonts w:eastAsia="Calibri"/>
                <w:noProof/>
              </w:rPr>
            </w:pPr>
            <w:r>
              <w:rPr>
                <w:noProof/>
              </w:rPr>
              <w:t>Finlanda</w:t>
            </w:r>
          </w:p>
        </w:tc>
      </w:tr>
      <w:tr>
        <w:tc>
          <w:tcPr>
            <w:tcW w:w="4908" w:type="dxa"/>
            <w:tcBorders>
              <w:bottom w:val="single" w:sz="4" w:space="0" w:color="auto"/>
            </w:tcBorders>
          </w:tcPr>
          <w:p>
            <w:pPr>
              <w:spacing w:before="60" w:after="60"/>
              <w:jc w:val="left"/>
              <w:rPr>
                <w:rFonts w:eastAsia="Calibri"/>
                <w:noProof/>
              </w:rPr>
            </w:pPr>
            <w:r>
              <w:rPr>
                <w:noProof/>
              </w:rPr>
              <w:t>Regiunea sau regiunile vizate (nivel NUTS</w:t>
            </w:r>
            <w:r>
              <w:rPr>
                <w:rStyle w:val="FootnoteReference"/>
                <w:noProof/>
              </w:rPr>
              <w:footnoteReference w:id="2"/>
            </w:r>
            <w:r>
              <w:rPr>
                <w:noProof/>
              </w:rPr>
              <w:t xml:space="preserve"> 2)</w:t>
            </w:r>
          </w:p>
        </w:tc>
        <w:tc>
          <w:tcPr>
            <w:tcW w:w="4379" w:type="dxa"/>
            <w:tcBorders>
              <w:bottom w:val="single" w:sz="4" w:space="0" w:color="auto"/>
            </w:tcBorders>
          </w:tcPr>
          <w:p>
            <w:pPr>
              <w:spacing w:before="0" w:after="0"/>
              <w:ind w:rightChars="192" w:right="461"/>
              <w:jc w:val="left"/>
              <w:rPr>
                <w:noProof/>
                <w:szCs w:val="24"/>
              </w:rPr>
            </w:pPr>
            <w:r>
              <w:rPr>
                <w:noProof/>
              </w:rPr>
              <w:t xml:space="preserve">Etelä-Suomi (FI1C) și Helsinki-Uusimaa (FI1B) </w:t>
            </w:r>
          </w:p>
        </w:tc>
      </w:tr>
      <w:tr>
        <w:tc>
          <w:tcPr>
            <w:tcW w:w="4908" w:type="dxa"/>
            <w:tcBorders>
              <w:bottom w:val="dotted" w:sz="4" w:space="0" w:color="auto"/>
            </w:tcBorders>
          </w:tcPr>
          <w:p>
            <w:pPr>
              <w:spacing w:before="60" w:after="60"/>
              <w:jc w:val="left"/>
              <w:rPr>
                <w:rFonts w:eastAsia="Calibri"/>
                <w:noProof/>
              </w:rPr>
            </w:pPr>
            <w:r>
              <w:rPr>
                <w:noProof/>
              </w:rPr>
              <w:t>Data depunerii cererii</w:t>
            </w:r>
          </w:p>
        </w:tc>
        <w:tc>
          <w:tcPr>
            <w:tcW w:w="4379" w:type="dxa"/>
            <w:tcBorders>
              <w:bottom w:val="dotted" w:sz="4" w:space="0" w:color="auto"/>
            </w:tcBorders>
          </w:tcPr>
          <w:p>
            <w:pPr>
              <w:spacing w:before="60" w:after="60"/>
              <w:ind w:rightChars="192" w:right="461"/>
              <w:jc w:val="left"/>
              <w:rPr>
                <w:rFonts w:eastAsia="Calibri"/>
                <w:noProof/>
              </w:rPr>
            </w:pPr>
            <w:r>
              <w:rPr>
                <w:noProof/>
              </w:rPr>
              <w:t>19 mai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Data confirmării primirii cererii</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19 mai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Data cererii de informații suplimentare</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3 iunie 2026</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Termenul pentru furnizarea informațiilor suplimentare</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25 iunie 2026</w:t>
            </w:r>
          </w:p>
        </w:tc>
      </w:tr>
      <w:tr>
        <w:tc>
          <w:tcPr>
            <w:tcW w:w="4908" w:type="dxa"/>
            <w:tcBorders>
              <w:top w:val="dotted" w:sz="4" w:space="0" w:color="auto"/>
            </w:tcBorders>
          </w:tcPr>
          <w:p>
            <w:pPr>
              <w:spacing w:before="60" w:after="60"/>
              <w:jc w:val="left"/>
              <w:rPr>
                <w:rFonts w:eastAsia="Calibri"/>
                <w:noProof/>
              </w:rPr>
            </w:pPr>
            <w:r>
              <w:rPr>
                <w:noProof/>
              </w:rPr>
              <w:t>Termenul pentru finalizarea evaluării</w:t>
            </w:r>
          </w:p>
        </w:tc>
        <w:tc>
          <w:tcPr>
            <w:tcW w:w="4379" w:type="dxa"/>
            <w:tcBorders>
              <w:top w:val="dotted" w:sz="4" w:space="0" w:color="auto"/>
            </w:tcBorders>
          </w:tcPr>
          <w:p>
            <w:pPr>
              <w:spacing w:before="60" w:after="60"/>
              <w:ind w:rightChars="192" w:right="461"/>
              <w:jc w:val="left"/>
              <w:rPr>
                <w:rFonts w:eastAsia="Calibri"/>
                <w:noProof/>
              </w:rPr>
            </w:pPr>
            <w:r>
              <w:rPr>
                <w:noProof/>
              </w:rPr>
              <w:t>4 septembrie 2026</w:t>
            </w:r>
          </w:p>
        </w:tc>
      </w:tr>
      <w:tr>
        <w:tc>
          <w:tcPr>
            <w:tcW w:w="4908" w:type="dxa"/>
          </w:tcPr>
          <w:p>
            <w:pPr>
              <w:spacing w:before="60" w:after="60"/>
              <w:jc w:val="left"/>
              <w:rPr>
                <w:rFonts w:eastAsia="Calibri"/>
                <w:noProof/>
              </w:rPr>
            </w:pPr>
            <w:r>
              <w:rPr>
                <w:noProof/>
              </w:rPr>
              <w:t>Criteriul de intervenție</w:t>
            </w:r>
          </w:p>
        </w:tc>
        <w:tc>
          <w:tcPr>
            <w:tcW w:w="4379" w:type="dxa"/>
          </w:tcPr>
          <w:p>
            <w:pPr>
              <w:spacing w:before="60" w:after="60"/>
              <w:ind w:rightChars="192" w:right="461"/>
              <w:jc w:val="left"/>
              <w:rPr>
                <w:rFonts w:eastAsia="Calibri"/>
                <w:noProof/>
              </w:rPr>
            </w:pPr>
            <w:r>
              <w:rPr>
                <w:noProof/>
              </w:rPr>
              <w:t>Articolul 4 alineatul (2) litera (b) din Regulamentul (UE) 2021/691</w:t>
            </w:r>
          </w:p>
        </w:tc>
      </w:tr>
      <w:tr>
        <w:tc>
          <w:tcPr>
            <w:tcW w:w="4908" w:type="dxa"/>
            <w:tcBorders>
              <w:top w:val="single" w:sz="4" w:space="0" w:color="auto"/>
              <w:bottom w:val="single" w:sz="4" w:space="0" w:color="auto"/>
              <w:right w:val="single" w:sz="4" w:space="0" w:color="auto"/>
            </w:tcBorders>
          </w:tcPr>
          <w:p>
            <w:pPr>
              <w:spacing w:before="60" w:after="60"/>
              <w:jc w:val="left"/>
              <w:rPr>
                <w:rFonts w:eastAsia="Calibri"/>
                <w:noProof/>
              </w:rPr>
            </w:pPr>
            <w:r>
              <w:rPr>
                <w:noProof/>
              </w:rPr>
              <w:br w:type="page"/>
              <w:t>Numărul de întreprinderi vizate</w:t>
            </w:r>
          </w:p>
        </w:tc>
        <w:tc>
          <w:tcPr>
            <w:tcW w:w="4379" w:type="dxa"/>
            <w:tcBorders>
              <w:top w:val="single" w:sz="4" w:space="0" w:color="auto"/>
              <w:left w:val="single" w:sz="4" w:space="0" w:color="auto"/>
              <w:bottom w:val="single" w:sz="4" w:space="0" w:color="auto"/>
            </w:tcBorders>
          </w:tcPr>
          <w:p>
            <w:pPr>
              <w:spacing w:before="60" w:after="60"/>
              <w:ind w:rightChars="192" w:right="461"/>
              <w:jc w:val="left"/>
              <w:rPr>
                <w:noProof/>
                <w:szCs w:val="24"/>
              </w:rPr>
            </w:pPr>
            <w:r>
              <w:rPr>
                <w:noProof/>
              </w:rPr>
              <w:t>4</w:t>
            </w:r>
          </w:p>
        </w:tc>
      </w:tr>
      <w:tr>
        <w:tc>
          <w:tcPr>
            <w:tcW w:w="4908" w:type="dxa"/>
          </w:tcPr>
          <w:p>
            <w:pPr>
              <w:spacing w:before="60" w:after="60"/>
              <w:jc w:val="left"/>
              <w:rPr>
                <w:rFonts w:eastAsia="Calibri"/>
                <w:noProof/>
              </w:rPr>
            </w:pPr>
            <w:r>
              <w:rPr>
                <w:noProof/>
              </w:rPr>
              <w:t>Sectorul (sectoarele) de activitate economică</w:t>
            </w:r>
          </w:p>
          <w:p>
            <w:pPr>
              <w:spacing w:before="60" w:after="60"/>
              <w:jc w:val="left"/>
              <w:rPr>
                <w:rFonts w:eastAsia="Calibri"/>
                <w:noProof/>
              </w:rPr>
            </w:pPr>
            <w:r>
              <w:rPr>
                <w:noProof/>
              </w:rPr>
              <w:t>(diviziunea NACE Rev. 2)</w:t>
            </w:r>
            <w:r>
              <w:rPr>
                <w:rStyle w:val="FootnoteReference"/>
                <w:noProof/>
                <w:szCs w:val="24"/>
              </w:rPr>
              <w:footnoteReference w:id="3"/>
            </w:r>
          </w:p>
        </w:tc>
        <w:tc>
          <w:tcPr>
            <w:tcW w:w="4379" w:type="dxa"/>
          </w:tcPr>
          <w:p>
            <w:pPr>
              <w:spacing w:before="60" w:after="60"/>
              <w:ind w:rightChars="192" w:right="461"/>
              <w:jc w:val="left"/>
              <w:rPr>
                <w:noProof/>
                <w:szCs w:val="24"/>
              </w:rPr>
            </w:pPr>
            <w:r>
              <w:rPr>
                <w:noProof/>
              </w:rPr>
              <w:t>Diviziunea 17 (Industria hârtiei și a produselor din hârtie)</w:t>
            </w:r>
          </w:p>
        </w:tc>
      </w:tr>
      <w:tr>
        <w:tc>
          <w:tcPr>
            <w:tcW w:w="4908" w:type="dxa"/>
            <w:tcBorders>
              <w:bottom w:val="single" w:sz="4" w:space="0" w:color="auto"/>
            </w:tcBorders>
          </w:tcPr>
          <w:p>
            <w:pPr>
              <w:spacing w:before="60" w:after="60"/>
              <w:jc w:val="left"/>
              <w:rPr>
                <w:rFonts w:eastAsia="Calibri"/>
                <w:noProof/>
              </w:rPr>
            </w:pPr>
            <w:r>
              <w:rPr>
                <w:noProof/>
              </w:rPr>
              <w:t>Perioada de referință (șase luni):</w:t>
            </w:r>
          </w:p>
        </w:tc>
        <w:tc>
          <w:tcPr>
            <w:tcW w:w="4379" w:type="dxa"/>
            <w:tcBorders>
              <w:bottom w:val="single" w:sz="4" w:space="0" w:color="auto"/>
            </w:tcBorders>
          </w:tcPr>
          <w:p>
            <w:pPr>
              <w:spacing w:before="60" w:after="60"/>
              <w:ind w:rightChars="192" w:right="461"/>
              <w:jc w:val="left"/>
              <w:rPr>
                <w:rFonts w:eastAsia="Calibri"/>
                <w:noProof/>
              </w:rPr>
            </w:pPr>
            <w:r>
              <w:rPr>
                <w:noProof/>
              </w:rPr>
              <w:t>1 octombrie 2025 – 1 aprilie 2026</w:t>
            </w:r>
          </w:p>
        </w:tc>
      </w:tr>
      <w:tr>
        <w:tc>
          <w:tcPr>
            <w:tcW w:w="4908" w:type="dxa"/>
            <w:tcBorders>
              <w:bottom w:val="dotted" w:sz="4" w:space="0" w:color="auto"/>
            </w:tcBorders>
          </w:tcPr>
          <w:p>
            <w:pPr>
              <w:spacing w:before="60" w:after="60"/>
              <w:jc w:val="left"/>
              <w:rPr>
                <w:rFonts w:eastAsia="Calibri"/>
                <w:noProof/>
                <w:highlight w:val="magenta"/>
              </w:rPr>
            </w:pPr>
            <w:r>
              <w:rPr>
                <w:noProof/>
              </w:rPr>
              <w:t>Numărul de disponibilizări în perioada de referință (</w:t>
            </w:r>
            <w:r>
              <w:rPr>
                <w:i/>
                <w:noProof/>
              </w:rPr>
              <w:t>a</w:t>
            </w:r>
            <w:r>
              <w:rPr>
                <w:noProof/>
              </w:rPr>
              <w:t>)</w:t>
            </w:r>
          </w:p>
        </w:tc>
        <w:tc>
          <w:tcPr>
            <w:tcW w:w="4379" w:type="dxa"/>
            <w:tcBorders>
              <w:bottom w:val="dotted" w:sz="4" w:space="0" w:color="auto"/>
            </w:tcBorders>
          </w:tcPr>
          <w:p>
            <w:pPr>
              <w:spacing w:before="60" w:after="60"/>
              <w:ind w:rightChars="192" w:right="461"/>
              <w:jc w:val="left"/>
              <w:rPr>
                <w:rFonts w:eastAsia="Calibri"/>
                <w:noProof/>
                <w:highlight w:val="magenta"/>
              </w:rPr>
            </w:pPr>
            <w:r>
              <w:rPr>
                <w:noProof/>
              </w:rPr>
              <w:t>346</w:t>
            </w:r>
          </w:p>
        </w:tc>
      </w:tr>
      <w:tr>
        <w:tc>
          <w:tcPr>
            <w:tcW w:w="4908" w:type="dxa"/>
            <w:tcBorders>
              <w:top w:val="dotted" w:sz="4" w:space="0" w:color="auto"/>
              <w:bottom w:val="dotted" w:sz="4" w:space="0" w:color="auto"/>
            </w:tcBorders>
          </w:tcPr>
          <w:p>
            <w:pPr>
              <w:spacing w:before="60" w:after="60"/>
              <w:jc w:val="left"/>
              <w:rPr>
                <w:rFonts w:eastAsia="Calibri"/>
                <w:noProof/>
                <w:highlight w:val="magenta"/>
              </w:rPr>
            </w:pPr>
            <w:r>
              <w:rPr>
                <w:noProof/>
              </w:rPr>
              <w:t>Numărul de disponibilizări înainte sau după perioada de referință (</w:t>
            </w:r>
            <w:r>
              <w:rPr>
                <w:i/>
                <w:noProof/>
              </w:rPr>
              <w:t>b</w:t>
            </w:r>
            <w:r>
              <w:rPr>
                <w:noProof/>
              </w:rPr>
              <w:t>)</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5</w:t>
            </w:r>
          </w:p>
        </w:tc>
      </w:tr>
      <w:tr>
        <w:tc>
          <w:tcPr>
            <w:tcW w:w="4908" w:type="dxa"/>
            <w:tcBorders>
              <w:top w:val="dotted" w:sz="4" w:space="0" w:color="auto"/>
              <w:bottom w:val="single" w:sz="4" w:space="0" w:color="auto"/>
            </w:tcBorders>
          </w:tcPr>
          <w:p>
            <w:pPr>
              <w:spacing w:before="60" w:after="60"/>
              <w:jc w:val="left"/>
              <w:rPr>
                <w:rFonts w:eastAsia="Calibri"/>
                <w:noProof/>
              </w:rPr>
            </w:pPr>
            <w:r>
              <w:rPr>
                <w:noProof/>
              </w:rPr>
              <w:lastRenderedPageBreak/>
              <w:t>Numărul total de disponibilizări (</w:t>
            </w:r>
            <w:r>
              <w:rPr>
                <w:i/>
                <w:noProof/>
              </w:rPr>
              <w:t>a</w:t>
            </w:r>
            <w:r>
              <w:rPr>
                <w:noProof/>
              </w:rPr>
              <w:t>+</w:t>
            </w:r>
            <w:r>
              <w:rPr>
                <w:i/>
                <w:noProof/>
              </w:rPr>
              <w:t>b</w:t>
            </w:r>
            <w:r>
              <w:rPr>
                <w:noProof/>
              </w:rPr>
              <w:t>)</w:t>
            </w:r>
          </w:p>
        </w:tc>
        <w:tc>
          <w:tcPr>
            <w:tcW w:w="4379" w:type="dxa"/>
            <w:tcBorders>
              <w:top w:val="dotted" w:sz="4" w:space="0" w:color="auto"/>
              <w:bottom w:val="single" w:sz="4" w:space="0" w:color="auto"/>
            </w:tcBorders>
          </w:tcPr>
          <w:p>
            <w:pPr>
              <w:spacing w:before="60" w:after="60"/>
              <w:ind w:rightChars="192" w:right="461"/>
              <w:jc w:val="left"/>
              <w:rPr>
                <w:rFonts w:eastAsia="Calibri"/>
                <w:noProof/>
              </w:rPr>
            </w:pPr>
            <w:r>
              <w:rPr>
                <w:noProof/>
              </w:rPr>
              <w:t>351</w:t>
            </w:r>
          </w:p>
        </w:tc>
      </w:tr>
      <w:tr>
        <w:tc>
          <w:tcPr>
            <w:tcW w:w="4908" w:type="dxa"/>
            <w:tcBorders>
              <w:bottom w:val="dotted" w:sz="4" w:space="0" w:color="auto"/>
            </w:tcBorders>
          </w:tcPr>
          <w:p>
            <w:pPr>
              <w:spacing w:before="60" w:after="60"/>
              <w:jc w:val="left"/>
              <w:rPr>
                <w:rFonts w:eastAsia="Calibri"/>
                <w:noProof/>
              </w:rPr>
            </w:pPr>
            <w:r>
              <w:rPr>
                <w:noProof/>
              </w:rPr>
              <w:t>Numărul total de beneficiari eligibili</w:t>
            </w:r>
          </w:p>
        </w:tc>
        <w:tc>
          <w:tcPr>
            <w:tcW w:w="4379" w:type="dxa"/>
            <w:tcBorders>
              <w:bottom w:val="dotted" w:sz="4" w:space="0" w:color="auto"/>
            </w:tcBorders>
          </w:tcPr>
          <w:p>
            <w:pPr>
              <w:spacing w:before="60" w:after="60"/>
              <w:ind w:rightChars="192" w:right="461"/>
              <w:jc w:val="left"/>
              <w:rPr>
                <w:rFonts w:eastAsia="Calibri"/>
                <w:noProof/>
              </w:rPr>
            </w:pPr>
            <w:r>
              <w:rPr>
                <w:noProof/>
              </w:rPr>
              <w:t>351</w:t>
            </w:r>
          </w:p>
        </w:tc>
      </w:tr>
      <w:tr>
        <w:tc>
          <w:tcPr>
            <w:tcW w:w="4908" w:type="dxa"/>
            <w:tcBorders>
              <w:top w:val="dotted" w:sz="4" w:space="0" w:color="auto"/>
              <w:bottom w:val="dotted" w:sz="4" w:space="0" w:color="auto"/>
            </w:tcBorders>
          </w:tcPr>
          <w:p>
            <w:pPr>
              <w:spacing w:before="60" w:after="60"/>
              <w:jc w:val="left"/>
              <w:rPr>
                <w:rFonts w:eastAsia="Calibri"/>
                <w:noProof/>
              </w:rPr>
            </w:pPr>
            <w:r>
              <w:rPr>
                <w:noProof/>
              </w:rPr>
              <w:t>Numărul total de beneficiari vizați</w:t>
            </w:r>
          </w:p>
        </w:tc>
        <w:tc>
          <w:tcPr>
            <w:tcW w:w="4379" w:type="dxa"/>
            <w:tcBorders>
              <w:top w:val="dotted" w:sz="4" w:space="0" w:color="auto"/>
              <w:bottom w:val="dotted" w:sz="4" w:space="0" w:color="auto"/>
            </w:tcBorders>
          </w:tcPr>
          <w:p>
            <w:pPr>
              <w:spacing w:before="60" w:after="60"/>
              <w:ind w:rightChars="192" w:right="461"/>
              <w:jc w:val="left"/>
              <w:rPr>
                <w:rFonts w:eastAsia="Calibri"/>
                <w:noProof/>
              </w:rPr>
            </w:pPr>
            <w:r>
              <w:rPr>
                <w:noProof/>
              </w:rPr>
              <w:t>351</w:t>
            </w:r>
          </w:p>
        </w:tc>
      </w:tr>
      <w:tr>
        <w:tc>
          <w:tcPr>
            <w:tcW w:w="4908" w:type="dxa"/>
            <w:tcBorders>
              <w:bottom w:val="dotted" w:sz="4" w:space="0" w:color="auto"/>
            </w:tcBorders>
            <w:vAlign w:val="center"/>
          </w:tcPr>
          <w:p>
            <w:pPr>
              <w:spacing w:before="0" w:after="0"/>
              <w:jc w:val="left"/>
              <w:rPr>
                <w:noProof/>
              </w:rPr>
            </w:pPr>
            <w:r>
              <w:rPr>
                <w:noProof/>
              </w:rPr>
              <w:t>Bugetul pentru servicii personalizate (EUR)</w:t>
            </w:r>
          </w:p>
        </w:tc>
        <w:tc>
          <w:tcPr>
            <w:tcW w:w="4379" w:type="dxa"/>
            <w:tcBorders>
              <w:bottom w:val="dotted" w:sz="4" w:space="0" w:color="auto"/>
            </w:tcBorders>
            <w:vAlign w:val="center"/>
          </w:tcPr>
          <w:p>
            <w:pPr>
              <w:spacing w:before="0" w:after="0"/>
              <w:ind w:rightChars="192" w:right="461"/>
              <w:jc w:val="left"/>
              <w:rPr>
                <w:noProof/>
              </w:rPr>
            </w:pPr>
            <w:r>
              <w:rPr>
                <w:noProof/>
              </w:rPr>
              <w:t>1 769 600</w:t>
            </w:r>
          </w:p>
        </w:tc>
      </w:tr>
      <w:tr>
        <w:tc>
          <w:tcPr>
            <w:tcW w:w="4908" w:type="dxa"/>
            <w:tcBorders>
              <w:top w:val="dotted" w:sz="4" w:space="0" w:color="auto"/>
              <w:bottom w:val="dotted" w:sz="4" w:space="0" w:color="auto"/>
            </w:tcBorders>
            <w:vAlign w:val="center"/>
          </w:tcPr>
          <w:p>
            <w:pPr>
              <w:spacing w:before="0" w:after="0"/>
              <w:jc w:val="left"/>
              <w:rPr>
                <w:noProof/>
              </w:rPr>
            </w:pPr>
            <w:r>
              <w:rPr>
                <w:noProof/>
              </w:rPr>
              <w:t>Bugetul pentru implementarea FEG</w:t>
            </w:r>
            <w:r>
              <w:rPr>
                <w:rStyle w:val="FootnoteReference"/>
                <w:noProof/>
              </w:rPr>
              <w:footnoteReference w:id="4"/>
            </w:r>
            <w:r>
              <w:rPr>
                <w:noProof/>
              </w:rPr>
              <w:t xml:space="preserve">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68 000</w:t>
            </w:r>
          </w:p>
        </w:tc>
      </w:tr>
      <w:tr>
        <w:tc>
          <w:tcPr>
            <w:tcW w:w="4908" w:type="dxa"/>
            <w:tcBorders>
              <w:top w:val="dotted" w:sz="4" w:space="0" w:color="auto"/>
              <w:bottom w:val="dotted" w:sz="4" w:space="0" w:color="auto"/>
            </w:tcBorders>
            <w:vAlign w:val="center"/>
          </w:tcPr>
          <w:p>
            <w:pPr>
              <w:spacing w:before="0" w:after="0"/>
              <w:jc w:val="left"/>
              <w:rPr>
                <w:noProof/>
              </w:rPr>
            </w:pPr>
            <w:r>
              <w:rPr>
                <w:noProof/>
              </w:rPr>
              <w:t>Bugetul total (EUR)</w:t>
            </w:r>
          </w:p>
        </w:tc>
        <w:tc>
          <w:tcPr>
            <w:tcW w:w="4379" w:type="dxa"/>
            <w:tcBorders>
              <w:top w:val="dotted" w:sz="4" w:space="0" w:color="auto"/>
              <w:bottom w:val="dotted" w:sz="4" w:space="0" w:color="auto"/>
            </w:tcBorders>
            <w:vAlign w:val="center"/>
          </w:tcPr>
          <w:p>
            <w:pPr>
              <w:spacing w:before="0" w:after="0"/>
              <w:ind w:rightChars="192" w:right="461"/>
              <w:jc w:val="left"/>
              <w:rPr>
                <w:noProof/>
              </w:rPr>
            </w:pPr>
            <w:r>
              <w:rPr>
                <w:noProof/>
              </w:rPr>
              <w:t>1 837 600</w:t>
            </w:r>
          </w:p>
        </w:tc>
      </w:tr>
      <w:tr>
        <w:tc>
          <w:tcPr>
            <w:tcW w:w="4908" w:type="dxa"/>
            <w:tcBorders>
              <w:top w:val="dotted" w:sz="4" w:space="0" w:color="auto"/>
            </w:tcBorders>
            <w:vAlign w:val="center"/>
          </w:tcPr>
          <w:p>
            <w:pPr>
              <w:spacing w:before="0" w:after="0"/>
              <w:jc w:val="left"/>
              <w:rPr>
                <w:noProof/>
              </w:rPr>
            </w:pPr>
            <w:r>
              <w:rPr>
                <w:noProof/>
              </w:rPr>
              <w:t>Contribuția FEG (60 %) (EUR)</w:t>
            </w:r>
          </w:p>
        </w:tc>
        <w:tc>
          <w:tcPr>
            <w:tcW w:w="4379" w:type="dxa"/>
            <w:tcBorders>
              <w:top w:val="dotted" w:sz="4" w:space="0" w:color="auto"/>
            </w:tcBorders>
            <w:vAlign w:val="center"/>
          </w:tcPr>
          <w:p>
            <w:pPr>
              <w:spacing w:before="0" w:after="0"/>
              <w:ind w:rightChars="192" w:right="461"/>
              <w:jc w:val="left"/>
              <w:rPr>
                <w:noProof/>
              </w:rPr>
            </w:pPr>
            <w:r>
              <w:rPr>
                <w:noProof/>
              </w:rPr>
              <w:t>1 102 560</w:t>
            </w:r>
          </w:p>
        </w:tc>
      </w:tr>
    </w:tbl>
    <w:p>
      <w:pPr>
        <w:pStyle w:val="ManualHeading1"/>
        <w:rPr>
          <w:noProof/>
        </w:rPr>
      </w:pPr>
      <w:r>
        <w:rPr>
          <w:noProof/>
        </w:rPr>
        <w:t>EVALUAREA CERERII</w:t>
      </w:r>
    </w:p>
    <w:p>
      <w:pPr>
        <w:pStyle w:val="ManualHeading2"/>
        <w:rPr>
          <w:noProof/>
        </w:rPr>
      </w:pPr>
      <w:r>
        <w:rPr>
          <w:noProof/>
        </w:rPr>
        <w:t>Procedura</w:t>
      </w:r>
    </w:p>
    <w:p>
      <w:pPr>
        <w:pStyle w:val="ManualNumPar1"/>
        <w:rPr>
          <w:noProof/>
        </w:rPr>
      </w:pPr>
      <w:r>
        <w:rPr>
          <w:noProof/>
        </w:rPr>
        <w:t>4.</w:t>
      </w:r>
      <w:r>
        <w:rPr>
          <w:noProof/>
        </w:rPr>
        <w:tab/>
        <w:t xml:space="preserve">La 19 mai 2026, Finlanda a depus cererea EGF/2026/004 FI/Etelä-Suomi and Helsinki-Uusimaa paper, încadrându-se în termenul de 12 săptămâni de la data la care au fost îndeplinite criteriile de intervenție stabilite la articolul 4 alineatul (2) litera (b) din Regulamentul (UE) 2021/691. Comisia a confirmat primirea cererii la aceeași dată, iar la 3 iunie 2026 a solicitat Finlandei informații suplimentare. Aceste informații suplimentare au fost furnizate în termen de 15 zile lucrătoare de la data cererii. Termenul de 50 de zile lucrătoare de la data primirii cererii complete, în cursul căruia Comisia are obligația să finalizeze evaluarea conformității cererii cu condițiile de acordare a unei contribuții financiare, expiră la 4 septembrie 2026. Motivul pentru care, în mod excepțional, Comisia nu a fost în măsură să respecte termenul este complet legat de procedură și de procesul decizional modificat din timpul vacanței de vară. </w:t>
      </w:r>
    </w:p>
    <w:p>
      <w:pPr>
        <w:pStyle w:val="ManualHeading2"/>
        <w:rPr>
          <w:noProof/>
        </w:rPr>
      </w:pPr>
      <w:r>
        <w:rPr>
          <w:noProof/>
        </w:rPr>
        <w:t>Eligibilitatea cererii</w:t>
      </w:r>
    </w:p>
    <w:p>
      <w:pPr>
        <w:pStyle w:val="ManualHeading3"/>
        <w:rPr>
          <w:noProof/>
        </w:rPr>
      </w:pPr>
      <w:r>
        <w:rPr>
          <w:noProof/>
        </w:rPr>
        <w:t>Întreprinderile și beneficiarii vizați</w:t>
      </w:r>
    </w:p>
    <w:p>
      <w:pPr>
        <w:pStyle w:val="ManualNumPar1"/>
        <w:rPr>
          <w:noProof/>
          <w:szCs w:val="24"/>
        </w:rPr>
      </w:pPr>
      <w:r>
        <w:rPr>
          <w:noProof/>
        </w:rPr>
        <w:t>5.</w:t>
      </w:r>
      <w:r>
        <w:rPr>
          <w:noProof/>
        </w:rPr>
        <w:tab/>
        <w:t>Cererea se referă la 346 de lucrători a căror activitate în sectorul fabricării hârtiei a încetat. Locurile de muncă desființate sunt situate în regiunile de nivel NUTS 2 Etelä-Suomi (FI1C) și Helsinki-Uusimaa (FI1B).</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Lines="20" w:before="48" w:afterLines="20" w:after="48" w:line="276" w:lineRule="auto"/>
              <w:ind w:left="57"/>
              <w:jc w:val="center"/>
              <w:rPr>
                <w:rFonts w:eastAsia="Calibri"/>
                <w:b/>
                <w:noProof/>
                <w:szCs w:val="24"/>
              </w:rPr>
            </w:pPr>
            <w:r>
              <w:rPr>
                <w:b/>
                <w:noProof/>
              </w:rPr>
              <w:t>Întreprinderile și numărul disponibilizărilor în perioada de referință</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rPr>
              <w:t>Metsä Group Oyj</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57</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 xml:space="preserve">Stora Enso Oyj </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30</w:t>
            </w:r>
          </w:p>
        </w:tc>
      </w:tr>
      <w:tr>
        <w:tc>
          <w:tcPr>
            <w:tcW w:w="6957" w:type="dxa"/>
            <w:gridSpan w:val="2"/>
            <w:tcBorders>
              <w:bottom w:val="single" w:sz="4" w:space="0" w:color="auto"/>
              <w:right w:val="single" w:sz="4" w:space="0" w:color="auto"/>
            </w:tcBorders>
            <w:vAlign w:val="center"/>
          </w:tcPr>
          <w:p>
            <w:pPr>
              <w:spacing w:before="0" w:after="0"/>
              <w:ind w:right="252"/>
              <w:jc w:val="left"/>
              <w:rPr>
                <w:noProof/>
                <w:color w:val="000000"/>
              </w:rPr>
            </w:pPr>
            <w:r>
              <w:rPr>
                <w:noProof/>
                <w:color w:val="000000"/>
              </w:rPr>
              <w:t>UPM Communication Papers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166</w:t>
            </w:r>
          </w:p>
        </w:tc>
      </w:tr>
      <w:tr>
        <w:tc>
          <w:tcPr>
            <w:tcW w:w="6957" w:type="dxa"/>
            <w:gridSpan w:val="2"/>
            <w:tcBorders>
              <w:bottom w:val="single" w:sz="4" w:space="0" w:color="auto"/>
              <w:right w:val="single" w:sz="4" w:space="0" w:color="auto"/>
            </w:tcBorders>
            <w:vAlign w:val="center"/>
          </w:tcPr>
          <w:p>
            <w:pPr>
              <w:spacing w:before="0" w:after="0"/>
              <w:ind w:right="252"/>
              <w:jc w:val="left"/>
              <w:rPr>
                <w:noProof/>
                <w:szCs w:val="24"/>
              </w:rPr>
            </w:pPr>
            <w:r>
              <w:rPr>
                <w:noProof/>
                <w:color w:val="000000"/>
              </w:rPr>
              <w:t>SAPPI Finland Operations Oy</w:t>
            </w:r>
          </w:p>
        </w:tc>
        <w:tc>
          <w:tcPr>
            <w:tcW w:w="1275" w:type="dxa"/>
            <w:gridSpan w:val="2"/>
            <w:tcBorders>
              <w:left w:val="single" w:sz="4" w:space="0" w:color="auto"/>
              <w:bottom w:val="single" w:sz="4" w:space="0" w:color="auto"/>
            </w:tcBorders>
            <w:vAlign w:val="center"/>
          </w:tcPr>
          <w:p>
            <w:pPr>
              <w:spacing w:before="0" w:after="0"/>
              <w:ind w:left="-828"/>
              <w:jc w:val="right"/>
              <w:rPr>
                <w:noProof/>
                <w:szCs w:val="24"/>
              </w:rPr>
            </w:pPr>
            <w:r>
              <w:rPr>
                <w:noProof/>
              </w:rPr>
              <w:t>93</w:t>
            </w:r>
          </w:p>
        </w:tc>
      </w:tr>
      <w:tr>
        <w:trPr>
          <w:trHeight w:val="284"/>
        </w:trPr>
        <w:tc>
          <w:tcPr>
            <w:tcW w:w="3840" w:type="dxa"/>
            <w:tcBorders>
              <w:top w:val="single" w:sz="4" w:space="0" w:color="auto"/>
              <w:bottom w:val="nil"/>
              <w:right w:val="nil"/>
            </w:tcBorders>
            <w:shd w:val="clear" w:color="auto" w:fill="E6E6E6"/>
            <w:vAlign w:val="center"/>
          </w:tcPr>
          <w:p>
            <w:pPr>
              <w:spacing w:beforeLines="20" w:before="48" w:afterLines="20" w:after="48" w:line="276" w:lineRule="auto"/>
              <w:ind w:left="57"/>
              <w:jc w:val="left"/>
              <w:rPr>
                <w:rFonts w:eastAsia="Calibri"/>
                <w:b/>
                <w:noProof/>
                <w:szCs w:val="24"/>
              </w:rPr>
            </w:pPr>
            <w:r>
              <w:rPr>
                <w:noProof/>
              </w:rPr>
              <w:br w:type="page"/>
            </w:r>
            <w:r>
              <w:rPr>
                <w:b/>
                <w:noProof/>
              </w:rPr>
              <w:t>Numărul total de întreprinderi:</w:t>
            </w:r>
            <w:r>
              <w:rPr>
                <w:b/>
                <w:noProof/>
                <w:sz w:val="22"/>
              </w:rPr>
              <w:t xml:space="preserve"> </w:t>
            </w:r>
            <w:r>
              <w:rPr>
                <w:b/>
                <w:noProof/>
              </w:rPr>
              <w:t>4</w:t>
            </w:r>
          </w:p>
        </w:tc>
        <w:tc>
          <w:tcPr>
            <w:tcW w:w="3300" w:type="dxa"/>
            <w:gridSpan w:val="2"/>
            <w:tcBorders>
              <w:top w:val="single" w:sz="4" w:space="0" w:color="auto"/>
              <w:left w:val="nil"/>
              <w:bottom w:val="nil"/>
              <w:right w:val="nil"/>
            </w:tcBorders>
            <w:shd w:val="clear" w:color="auto" w:fill="E6E6E6"/>
            <w:vAlign w:val="center"/>
          </w:tcPr>
          <w:p>
            <w:pPr>
              <w:spacing w:beforeLines="20" w:before="48" w:afterLines="20" w:after="48" w:line="276" w:lineRule="auto"/>
              <w:ind w:left="57" w:right="227"/>
              <w:jc w:val="left"/>
              <w:rPr>
                <w:rFonts w:eastAsia="Calibri"/>
                <w:b/>
                <w:noProof/>
                <w:szCs w:val="24"/>
              </w:rPr>
            </w:pPr>
            <w:r>
              <w:rPr>
                <w:b/>
                <w:noProof/>
              </w:rPr>
              <w:t>Numărul total de disponibilizări:</w:t>
            </w:r>
            <w:r>
              <w:rPr>
                <w:b/>
                <w:noProof/>
                <w:sz w:val="22"/>
              </w:rPr>
              <w:t xml:space="preserve"> </w:t>
            </w:r>
          </w:p>
        </w:tc>
        <w:tc>
          <w:tcPr>
            <w:tcW w:w="1092" w:type="dxa"/>
            <w:tcBorders>
              <w:top w:val="single" w:sz="4" w:space="0" w:color="auto"/>
              <w:left w:val="nil"/>
              <w:bottom w:val="nil"/>
            </w:tcBorders>
            <w:shd w:val="clear" w:color="auto" w:fill="E6E6E6"/>
            <w:vAlign w:val="center"/>
          </w:tcPr>
          <w:p>
            <w:pPr>
              <w:spacing w:beforeLines="20" w:before="48" w:afterLines="20" w:after="48" w:line="276" w:lineRule="auto"/>
              <w:ind w:left="57" w:right="227"/>
              <w:jc w:val="right"/>
              <w:rPr>
                <w:rFonts w:eastAsia="Calibri"/>
                <w:b/>
                <w:noProof/>
                <w:szCs w:val="24"/>
              </w:rPr>
            </w:pPr>
            <w:r>
              <w:rPr>
                <w:b/>
                <w:noProof/>
              </w:rPr>
              <w:t>346</w:t>
            </w:r>
          </w:p>
        </w:tc>
      </w:tr>
    </w:tbl>
    <w:p>
      <w:pPr>
        <w:pStyle w:val="ManualHeading3"/>
        <w:rPr>
          <w:noProof/>
        </w:rPr>
      </w:pPr>
      <w:r>
        <w:rPr>
          <w:noProof/>
        </w:rPr>
        <w:t>Criteriile de intervenție</w:t>
      </w:r>
    </w:p>
    <w:p>
      <w:pPr>
        <w:pStyle w:val="ManualNumPar1"/>
        <w:rPr>
          <w:noProof/>
        </w:rPr>
      </w:pPr>
      <w:r>
        <w:rPr>
          <w:noProof/>
        </w:rPr>
        <w:t>6.</w:t>
      </w:r>
      <w:r>
        <w:rPr>
          <w:noProof/>
        </w:rPr>
        <w:tab/>
        <w:t>Autoritățile finlandeze au depus cererea în temeiul criteriilor de intervenție prevăzute la articolul 4 alineatul (2) litera (b) din Regulamentul (UE) 2021/691, care prevede disponibilizarea a cel puțin 200 de lucrători într-o perioadă de referință de șase luni, în întreprinderi care își desfășoară activitatea în același sector economic definit în diviziunea NACE Rev. 2 și care sunt situate într-o singură regiune sau în două regiuni învecinate definite la nivelul NUTS 2 ale unui stat membru. În perioada de referință, în regiunile de nivel NUTS 2 Etelä-Suomi (FI1C) și Helsinki-Uusimaa (FI1B) au fost disponibilizați 346 de lucrători.</w:t>
      </w:r>
    </w:p>
    <w:p>
      <w:pPr>
        <w:pStyle w:val="ManualNumPar1"/>
        <w:rPr>
          <w:noProof/>
        </w:rPr>
      </w:pPr>
      <w:r>
        <w:rPr>
          <w:noProof/>
        </w:rPr>
        <w:t>7.</w:t>
      </w:r>
      <w:r>
        <w:rPr>
          <w:noProof/>
        </w:rPr>
        <w:tab/>
      </w:r>
      <w:bookmarkStart w:id="0" w:name="_Ref372189348"/>
      <w:r>
        <w:rPr>
          <w:noProof/>
        </w:rPr>
        <w:t xml:space="preserve">Perioada de referință de șase luni vizată în cerere este cuprinsă între 1 octombrie 2025 și </w:t>
      </w:r>
      <w:bookmarkEnd w:id="0"/>
      <w:r>
        <w:rPr>
          <w:noProof/>
        </w:rPr>
        <w:t xml:space="preserve">1 aprilie 2026. </w:t>
      </w:r>
    </w:p>
    <w:p>
      <w:pPr>
        <w:pStyle w:val="ManualHeading3"/>
        <w:rPr>
          <w:noProof/>
        </w:rPr>
      </w:pPr>
      <w:r>
        <w:rPr>
          <w:noProof/>
        </w:rPr>
        <w:t>Calcularea disponibilizărilor și a cazurilor de încetare a activității</w:t>
      </w:r>
    </w:p>
    <w:p>
      <w:pPr>
        <w:pStyle w:val="ManualNumPar1"/>
        <w:rPr>
          <w:noProof/>
        </w:rPr>
      </w:pPr>
      <w:r>
        <w:rPr>
          <w:noProof/>
        </w:rPr>
        <w:t>8.</w:t>
      </w:r>
      <w:r>
        <w:rPr>
          <w:noProof/>
        </w:rPr>
        <w:tab/>
        <w:t>În temeiul articolului 6 primul paragraf litera (a) coroborat cu articolul 5 primul paragraf litera (c) din Regulamentul (UE) 2021/691, numărul lucrătorilor afectați de disponibilizări în cursul perioadei de referință a fost calculat astfel:</w:t>
      </w:r>
    </w:p>
    <w:p>
      <w:pPr>
        <w:ind w:firstLine="720"/>
        <w:rPr>
          <w:noProof/>
        </w:rPr>
      </w:pPr>
      <w:bookmarkStart w:id="1" w:name="_Hlk228956769"/>
      <w:r>
        <w:rPr>
          <w:noProof/>
        </w:rPr>
        <w:t xml:space="preserve">— 253 </w:t>
      </w:r>
      <w:bookmarkEnd w:id="1"/>
      <w:r>
        <w:rPr>
          <w:noProof/>
        </w:rPr>
        <w:t>începând cu data notificării privind concedierea colectivă;</w:t>
      </w:r>
    </w:p>
    <w:p>
      <w:pPr>
        <w:ind w:firstLine="720"/>
        <w:rPr>
          <w:noProof/>
        </w:rPr>
      </w:pPr>
      <w:r>
        <w:rPr>
          <w:noProof/>
        </w:rPr>
        <w:t>— 93 începând cu data notificării individuale.</w:t>
      </w:r>
    </w:p>
    <w:p>
      <w:pPr>
        <w:pStyle w:val="ManualHeading3"/>
        <w:rPr>
          <w:noProof/>
        </w:rPr>
      </w:pPr>
      <w:r>
        <w:rPr>
          <w:noProof/>
        </w:rPr>
        <w:t>Beneficiari eligibili</w:t>
      </w:r>
    </w:p>
    <w:p>
      <w:pPr>
        <w:pStyle w:val="ManualNumPar1"/>
        <w:rPr>
          <w:noProof/>
        </w:rPr>
      </w:pPr>
      <w:r>
        <w:rPr>
          <w:noProof/>
        </w:rPr>
        <w:t>9.</w:t>
      </w:r>
      <w:r>
        <w:rPr>
          <w:noProof/>
        </w:rPr>
        <w:tab/>
        <w:t>Pe lângă lucrătorii deja menționați, printre beneficiarii eligibili se numără cinci lucrători disponibilizați a căror activitate a încetat înainte sau după perioada de referință de șase luni. Acești lucrători și-au încetat activitatea fie în cele șase luni anterioare începerii perioadei de referință, la 1 octombrie 2025, fie între sfârșitul perioadei de referință și ziua anterioară adoptării prezentei propuneri, în conformitate cu articolul 6 primul paragraf litera (b) din Regulamentul (UE) 2021/691, astfel cum se prevede la articolul 6 al doilea paragraf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w:t>
      </w:r>
    </w:p>
    <w:p>
      <w:pPr>
        <w:pStyle w:val="ManualNumPar1"/>
        <w:rPr>
          <w:noProof/>
        </w:rPr>
      </w:pPr>
      <w:r>
        <w:rPr>
          <w:noProof/>
        </w:rPr>
        <w:t>10.</w:t>
      </w:r>
      <w:r>
        <w:rPr>
          <w:noProof/>
        </w:rPr>
        <w:tab/>
        <w:t>Numărul total al beneficiarilor eligibili este de 351.</w:t>
      </w:r>
    </w:p>
    <w:p>
      <w:pPr>
        <w:pStyle w:val="ManualHeading3"/>
        <w:rPr>
          <w:noProof/>
        </w:rPr>
      </w:pPr>
      <w:r>
        <w:rPr>
          <w:noProof/>
        </w:rPr>
        <w:t>Descrierea evenimentelor care au determinat disponibilizările și încetarea activității</w:t>
      </w:r>
    </w:p>
    <w:p>
      <w:pPr>
        <w:pStyle w:val="ManualNumPar1"/>
        <w:spacing w:before="100"/>
        <w:rPr>
          <w:noProof/>
          <w:color w:val="000000"/>
        </w:rPr>
      </w:pPr>
      <w:r>
        <w:rPr>
          <w:noProof/>
        </w:rPr>
        <w:t>11.</w:t>
      </w:r>
      <w:r>
        <w:rPr>
          <w:noProof/>
        </w:rPr>
        <w:tab/>
      </w:r>
      <w:r>
        <w:rPr>
          <w:noProof/>
          <w:color w:val="000000"/>
        </w:rPr>
        <w:t>Industria forestieră din Karelia de Sud, o subregiune a Etelä-Suomi situată lângă frontiera cu Rusia, s-a confruntat cu provocări geopolitice și economice semnificative, care au condus la schimbări structurale ample și la reduceri substanțiale de personal.</w:t>
      </w:r>
      <w:r>
        <w:rPr>
          <w:noProof/>
        </w:rPr>
        <w:t xml:space="preserve"> </w:t>
      </w:r>
      <w:r>
        <w:rPr>
          <w:noProof/>
          <w:color w:val="000000"/>
        </w:rPr>
        <w:t>Întrucât industria forestieră este legată vertical de industria hârtiei, fiind principalul său furnizor de materii prime, aceleași provocări se răsfrâng și asupra industriei hârtiei interconectate.</w:t>
      </w:r>
    </w:p>
    <w:p>
      <w:pPr>
        <w:pStyle w:val="ManualNumPar1"/>
        <w:spacing w:before="100"/>
        <w:rPr>
          <w:noProof/>
          <w:color w:val="000000"/>
        </w:rPr>
      </w:pPr>
      <w:r>
        <w:rPr>
          <w:noProof/>
        </w:rPr>
        <w:t>12.</w:t>
      </w:r>
      <w:r>
        <w:rPr>
          <w:noProof/>
        </w:rPr>
        <w:tab/>
      </w:r>
      <w:r>
        <w:rPr>
          <w:noProof/>
          <w:color w:val="000000"/>
        </w:rPr>
        <w:t>Industria hârtiei însăși s-a confruntat cu provocări grave în ultimii ani, în principal din cauza cererii mai scăzute, deoarece digitalizarea înlocuiește cererea de produse tipărite</w:t>
      </w:r>
      <w:r>
        <w:rPr>
          <w:rStyle w:val="FootnoteReference"/>
          <w:noProof/>
          <w:color w:val="000000"/>
        </w:rPr>
        <w:footnoteReference w:id="5"/>
      </w:r>
      <w:r>
        <w:rPr>
          <w:noProof/>
          <w:color w:val="000000"/>
        </w:rPr>
        <w:t>. Întrucât industria este mare consumatoare de energie, creșterea costurilor energiei reprezintă, de asemenea, o provocare semnificativă.</w:t>
      </w:r>
    </w:p>
    <w:p>
      <w:pPr>
        <w:pStyle w:val="ManualNumPar1"/>
        <w:spacing w:before="100"/>
        <w:rPr>
          <w:noProof/>
          <w:color w:val="000000"/>
        </w:rPr>
      </w:pPr>
      <w:r>
        <w:rPr>
          <w:noProof/>
        </w:rPr>
        <w:t>13.</w:t>
      </w:r>
      <w:r>
        <w:rPr>
          <w:noProof/>
        </w:rPr>
        <w:tab/>
      </w:r>
      <w:r>
        <w:rPr>
          <w:noProof/>
          <w:color w:val="000000"/>
        </w:rPr>
        <w:t>Pe lângă provocările structurale generale cu care se confruntă industria hârtiei, închiderea frontierei cu Rusia în 2023 a avut un impact major asupra structurii costurilor fabricilor de hârtie care își desfășoară activitatea în Karelia de Sud. Regiunea a fost deosebit de dependentă de lanțurile de achiziții transfrontaliere, în special de lemnul importat din Rusia. Din cauza situației geopolitice în urma războiului de agresiune al Rusiei împotriva Ucrainei, importurile de lemn din Rusia au fost sancționate și, prin urmare, importurile au încetat. Întrucât a trebuit ca lemnul să provină din zone mai îndepărtate și la un preț mai mare, costurile de producție din industria celulozei și hârtiei au crescut brusc. În plus, creșterea prețurilor la energie și combustibili a generat o presiune suplimentară asupra costurilor.</w:t>
      </w:r>
    </w:p>
    <w:p>
      <w:pPr>
        <w:pStyle w:val="ManualNumPar1"/>
        <w:spacing w:before="100"/>
        <w:rPr>
          <w:noProof/>
          <w:color w:val="000000"/>
        </w:rPr>
      </w:pPr>
      <w:r>
        <w:rPr>
          <w:noProof/>
        </w:rPr>
        <w:t>14.</w:t>
      </w:r>
      <w:r>
        <w:rPr>
          <w:noProof/>
        </w:rPr>
        <w:tab/>
      </w:r>
      <w:r>
        <w:rPr>
          <w:noProof/>
          <w:color w:val="000000"/>
        </w:rPr>
        <w:t>În perioada 2023-2024, cererea de hârtie de tipar, care era în scădere de mult timp, a continuat să scadă. Condițiile de piață s-au deteriorat, de asemenea, în ceea ce privește produsele din celuloză și carton, pe măsură ce economia europeană a încetinit, iar puterea de cumpărare a consumatorilor a scăzut. Creșterea ofertei de celuloză pe piața mondială a dus la scăderea prețurilor.</w:t>
      </w:r>
    </w:p>
    <w:p>
      <w:pPr>
        <w:pStyle w:val="ManualNumPar1"/>
        <w:rPr>
          <w:noProof/>
          <w:color w:val="000000"/>
        </w:rPr>
      </w:pPr>
      <w:r>
        <w:rPr>
          <w:noProof/>
        </w:rPr>
        <w:t>15.</w:t>
      </w:r>
      <w:r>
        <w:rPr>
          <w:noProof/>
        </w:rPr>
        <w:tab/>
      </w:r>
      <w:r>
        <w:rPr>
          <w:noProof/>
          <w:color w:val="000000"/>
        </w:rPr>
        <w:t>Societățile din sectorul hârtiei au reacționat la această situație prin inițierea așa-numitelor negocieri de schimbare, care reprezintă o obligație legală în Finlanda pentru întreprinderile care au în plan să efectueze concedieri sau restructurări. Aceste negocieri au condus la concedieri temporare de până la 90 de zile în toate fabricile importante de hârtie. În toamna anului 2024, primul val important de disponibilizări a avut loc atunci când 100 de locuri de muncă au fost desființate la fabrica de hârtie Stora Enso din orașul Imatra.</w:t>
      </w:r>
    </w:p>
    <w:p>
      <w:pPr>
        <w:pStyle w:val="ManualNumPar1"/>
        <w:rPr>
          <w:noProof/>
          <w:color w:val="000000"/>
        </w:rPr>
      </w:pPr>
      <w:r>
        <w:rPr>
          <w:noProof/>
        </w:rPr>
        <w:t>16.</w:t>
      </w:r>
      <w:r>
        <w:rPr>
          <w:noProof/>
        </w:rPr>
        <w:tab/>
      </w:r>
      <w:r>
        <w:rPr>
          <w:noProof/>
          <w:color w:val="000000"/>
        </w:rPr>
        <w:t>Situația s-a agravat în 2025. Taxele la import impuse de Statele Unite nu numai că au dus la o scădere a competitivității, ci au remodelat și lanțurile valorice la nivel mondial.</w:t>
      </w:r>
    </w:p>
    <w:p>
      <w:pPr>
        <w:pStyle w:val="ManualNumPar1"/>
        <w:rPr>
          <w:noProof/>
          <w:color w:val="000000"/>
        </w:rPr>
      </w:pPr>
      <w:r>
        <w:rPr>
          <w:noProof/>
        </w:rPr>
        <w:t>17.</w:t>
      </w:r>
      <w:r>
        <w:rPr>
          <w:noProof/>
        </w:rPr>
        <w:tab/>
      </w:r>
      <w:r>
        <w:rPr>
          <w:noProof/>
          <w:color w:val="000000"/>
        </w:rPr>
        <w:t>În 2025, au continuat negocierile de schimbare în cadrul societăților producătoare de hârtie, care au condus nu numai la concedieri temporare, ci și la reduceri importante de personal. În primăvară, UPM a concedi</w:t>
      </w:r>
      <w:r>
        <w:rPr>
          <w:noProof/>
        </w:rPr>
        <w:t>at 25 de angajați ai fabricii sale din orașul Kaukas. Oprirea producției de hârtie în timpul verii a condus la alte 220 de concedieri. În toamnă, Stora Enso a desființat 37 de locuri de muncă, iar Metsä Group aproximativ 70 de locuri de muncă</w:t>
      </w:r>
      <w:r>
        <w:rPr>
          <w:noProof/>
          <w:color w:val="000000"/>
        </w:rPr>
        <w:t>. În total, în industria hârtiei din regiune, s-au pierdut aproximativ 350 de locuri de muncă într-o perioadă scurtă.</w:t>
      </w:r>
    </w:p>
    <w:p>
      <w:pPr>
        <w:pStyle w:val="ManualNumPar1"/>
        <w:rPr>
          <w:noProof/>
        </w:rPr>
      </w:pPr>
      <w:r>
        <w:rPr>
          <w:noProof/>
        </w:rPr>
        <w:t>18.</w:t>
      </w:r>
      <w:r>
        <w:rPr>
          <w:noProof/>
        </w:rPr>
        <w:tab/>
        <w:t xml:space="preserve">La sfârșitul anului 2025, conducerea fabricii Sappi </w:t>
      </w:r>
      <w:r>
        <w:rPr>
          <w:noProof/>
          <w:color w:val="000000"/>
        </w:rPr>
        <w:t>Kirkniemi, situată în orașul Lohja din regiunea Helsinki-Uusimaa, a decis să oprească definitiv unul dintre cele trei utilaje de fabricare a hârtiei. În acest caz, cel mai important motiv pentru închidere este scăderea pe termen lung a cererii de hârtie ca urmare a digitalizării. Închiderea utilajului de fabricare a hârtiei a condus la reducerea permanentă a 93 de locuri de muncă.</w:t>
      </w:r>
    </w:p>
    <w:p>
      <w:pPr>
        <w:pStyle w:val="ManualHeading3"/>
        <w:tabs>
          <w:tab w:val="clear" w:pos="850"/>
          <w:tab w:val="left" w:pos="0"/>
        </w:tabs>
        <w:ind w:left="0" w:firstLine="0"/>
        <w:rPr>
          <w:noProof/>
        </w:rPr>
      </w:pPr>
      <w:r>
        <w:rPr>
          <w:noProof/>
        </w:rPr>
        <w:t>Impactul preconizat al disponibilizărilor asupra economiei și a ocupării forței de muncă la nivel local, regional sau național</w:t>
      </w:r>
    </w:p>
    <w:p>
      <w:pPr>
        <w:pStyle w:val="ManualNumPar1"/>
        <w:rPr>
          <w:noProof/>
          <w:color w:val="000000"/>
        </w:rPr>
      </w:pPr>
      <w:r>
        <w:rPr>
          <w:noProof/>
        </w:rPr>
        <w:t>19.</w:t>
      </w:r>
      <w:r>
        <w:rPr>
          <w:noProof/>
        </w:rPr>
        <w:tab/>
      </w:r>
      <w:r>
        <w:rPr>
          <w:noProof/>
          <w:color w:val="000000"/>
        </w:rPr>
        <w:t>Karelia de Sud este o regiune exportatoare puternic orientată către industrie. Produsele industriale reprezintă 99 % din exporturile regiunii (media națională fiind de 78 %)</w:t>
      </w:r>
      <w:r>
        <w:rPr>
          <w:rStyle w:val="FootnoteReference"/>
          <w:noProof/>
          <w:color w:val="000000"/>
        </w:rPr>
        <w:footnoteReference w:id="6"/>
      </w:r>
      <w:r>
        <w:rPr>
          <w:noProof/>
          <w:color w:val="000000"/>
        </w:rPr>
        <w:t>. Ponderea industriei forestiere în producția regională, valoarea adăugată, ocuparea forței de muncă și investiții este de câteva ori mai mare decât media regiunilor finlandeze.</w:t>
      </w:r>
    </w:p>
    <w:p>
      <w:pPr>
        <w:pStyle w:val="ManualNumPar1"/>
        <w:spacing w:before="100"/>
        <w:rPr>
          <w:noProof/>
          <w:color w:val="000000"/>
        </w:rPr>
      </w:pPr>
      <w:r>
        <w:rPr>
          <w:noProof/>
        </w:rPr>
        <w:t>20.</w:t>
      </w:r>
      <w:r>
        <w:rPr>
          <w:noProof/>
        </w:rPr>
        <w:tab/>
      </w:r>
      <w:r>
        <w:rPr>
          <w:noProof/>
          <w:color w:val="000000"/>
        </w:rPr>
        <w:t xml:space="preserve">Serviciile utilizate de industria forestieră sunt contractate în cea mai mare parte la nivel local, ceea ce sporește sensibilitatea regiunii la modificările producției. Închiderea fabricii se reflectă rapid în subcontractare și în lanțurile de servicii: serviciile de transport, întreținere, logistică, curățenie, securitate, energie și inginerie vor pierde o parte semnificativă din cerere. Estimările efectelor multiplicatoare pentru fiecare loc de muncă din industria forestieră variază între 1 și 2,5 locuri de muncă. Cererea de servicii care nu sunt direct legate de industria forestieră scade, de asemenea, din cauza scăderii puterii de cumpărare a gospodăriilor. </w:t>
      </w:r>
    </w:p>
    <w:p>
      <w:pPr>
        <w:pStyle w:val="ManualNumPar1"/>
        <w:rPr>
          <w:noProof/>
          <w:color w:val="000000"/>
        </w:rPr>
      </w:pPr>
      <w:r>
        <w:rPr>
          <w:noProof/>
        </w:rPr>
        <w:t>21.</w:t>
      </w:r>
      <w:r>
        <w:rPr>
          <w:noProof/>
        </w:rPr>
        <w:tab/>
      </w:r>
      <w:r>
        <w:rPr>
          <w:noProof/>
          <w:color w:val="000000"/>
        </w:rPr>
        <w:t>Conform statisticilor naționale, rata șomajului în regiune, de 14,4 % în 2025, s-a menținut mult timp peste media națională (12,6 %)</w:t>
      </w:r>
      <w:r>
        <w:rPr>
          <w:rStyle w:val="FootnoteReference"/>
          <w:noProof/>
          <w:color w:val="000000"/>
        </w:rPr>
        <w:footnoteReference w:id="7"/>
      </w:r>
      <w:r>
        <w:rPr>
          <w:noProof/>
          <w:color w:val="000000"/>
        </w:rPr>
        <w:t>. Această situație este deosebit de pronunțată în Imatra, unde rata șomajului în ianuarie 2026 a fost de 16,7 % și a continuat să crească în primăvară.</w:t>
      </w:r>
    </w:p>
    <w:p>
      <w:pPr>
        <w:pStyle w:val="ManualNumPar1"/>
        <w:rPr>
          <w:noProof/>
        </w:rPr>
      </w:pPr>
      <w:r>
        <w:rPr>
          <w:noProof/>
        </w:rPr>
        <w:t>22.</w:t>
      </w:r>
      <w:r>
        <w:rPr>
          <w:noProof/>
        </w:rPr>
        <w:tab/>
      </w:r>
      <w:r>
        <w:rPr>
          <w:noProof/>
          <w:color w:val="000000"/>
        </w:rPr>
        <w:t xml:space="preserve">Pierderea locurilor de muncă din fabrici crește riscul șomajului structural și prelungit. Oferta de locuri de muncă din regiune este limitată și centralizată, ceea ce îngreunează găsirea unui loc de muncă de către șomeri, în special atunci când competențele lucrătorilor nu corespund nevoilor angajatorilor. Noile investiții se concentrează din ce în ce mai mult pe sarcini cu un nivel mai ridicat de calificare, ceea ce face ca găsirea unui loc de muncă să fie mai dificilă pentru cei care provin din industria prelucrătoare. </w:t>
      </w:r>
    </w:p>
    <w:p>
      <w:pPr>
        <w:pStyle w:val="ManualNumPar1"/>
        <w:rPr>
          <w:noProof/>
        </w:rPr>
      </w:pPr>
      <w:r>
        <w:rPr>
          <w:noProof/>
        </w:rPr>
        <w:t>23.</w:t>
      </w:r>
      <w:r>
        <w:rPr>
          <w:noProof/>
        </w:rPr>
        <w:tab/>
      </w:r>
      <w:r>
        <w:rPr>
          <w:noProof/>
          <w:color w:val="000000"/>
        </w:rPr>
        <w:t>În regiunea Lohja, reducerea permanentă a 93 de locuri de muncă reprezintă o provocare pentru economia regiunii. Oportunitățile de reangajare în industria forestieră și a hârtiei sunt limitate, astfel încât grupul-țintă necesită recalificare pentru a găsi un loc de muncă într-un alt sector.</w:t>
      </w:r>
    </w:p>
    <w:p>
      <w:pPr>
        <w:pStyle w:val="ManualNumPar1"/>
        <w:spacing w:before="100"/>
        <w:rPr>
          <w:noProof/>
          <w:color w:val="000000"/>
        </w:rPr>
      </w:pPr>
      <w:r>
        <w:rPr>
          <w:noProof/>
        </w:rPr>
        <w:t>24.</w:t>
      </w:r>
      <w:r>
        <w:rPr>
          <w:noProof/>
        </w:rPr>
        <w:tab/>
      </w:r>
      <w:r>
        <w:rPr>
          <w:noProof/>
          <w:color w:val="000000"/>
        </w:rPr>
        <w:t>Având în vedere neconcordanța tot mai mare de pe piața forței de muncă, lucrătorii vor avea nevoie de un sprijin și o recalificare adaptate și semnificative pentru a trece cu succes la un nou loc de muncă. Acest lucru sporește și mai mult presiunea de a accelera măsurile de dezvoltare a competențelor.</w:t>
      </w:r>
    </w:p>
    <w:p>
      <w:pPr>
        <w:pStyle w:val="ManualNumPar1"/>
        <w:rPr>
          <w:noProof/>
        </w:rPr>
      </w:pPr>
      <w:r>
        <w:rPr>
          <w:noProof/>
        </w:rPr>
        <w:t>25.</w:t>
      </w:r>
      <w:r>
        <w:rPr>
          <w:noProof/>
        </w:rPr>
        <w:tab/>
      </w:r>
      <w:r>
        <w:rPr>
          <w:noProof/>
          <w:color w:val="000000"/>
        </w:rPr>
        <w:t>Provocările evidențiază necesitatea de a moderniza industria forestieră și industria hârtiei, care sunt interconectate, și de a accelera investițiile în sectoare industriale noi, în special verzi.</w:t>
      </w:r>
    </w:p>
    <w:p>
      <w:pPr>
        <w:pStyle w:val="ManualNumPar1"/>
        <w:rPr>
          <w:noProof/>
        </w:rPr>
      </w:pPr>
      <w:r>
        <w:rPr>
          <w:noProof/>
        </w:rPr>
        <w:t>26.</w:t>
      </w:r>
      <w:r>
        <w:rPr>
          <w:noProof/>
        </w:rPr>
        <w:tab/>
        <w:t>Sunt necesare acțiuni urgente pe măsură ce disparitatea regională se adâncește. Impactul provocărilor cu care se confruntă industria hârtiei și industria forestieră este deosebit de pronunțat în sud-estul și estul Finlandei, deoarece pierderile de locuri de muncă reduc activitatea economică, bazele de impozitare locale și oportunitățile de investiții.</w:t>
      </w:r>
    </w:p>
    <w:p>
      <w:pPr>
        <w:pStyle w:val="ManualHeading2"/>
        <w:rPr>
          <w:noProof/>
        </w:rPr>
      </w:pPr>
      <w:r>
        <w:rPr>
          <w:noProof/>
        </w:rPr>
        <w:t>Aplicarea cadrului de calitate al UE pentru anticiparea schimbărilor și a restructurării (QFR)</w:t>
      </w:r>
    </w:p>
    <w:p>
      <w:pPr>
        <w:pStyle w:val="ManualNumPar1"/>
        <w:rPr>
          <w:noProof/>
        </w:rPr>
      </w:pPr>
      <w:r>
        <w:rPr>
          <w:noProof/>
        </w:rPr>
        <w:t>27.</w:t>
      </w:r>
      <w:r>
        <w:rPr>
          <w:noProof/>
        </w:rPr>
        <w:tab/>
        <w:t xml:space="preserve">Finlanda a descris modul în care au fost luate în considerare recomandările prevăzute în Cadrul de calitate al UE pentru anticiparea schimbărilor și a restructurării. Sprijinul FEG este conceput pentru a fi în concordanță cu cadrul de calitate al UE, prin consolidarea intervenției timpurii, a măsurilor active pe piața forței de muncă și a pachetelor de sprijin coordonate. Comitetul de monitorizare a programului, format din reprezentanți ai ministerelor, regiunilor și partenerilor sociali, supraveghează implementarea, eficacitatea și alinierea la obiectivele strategice, asigurându-se că fondurile UE și resursele naționale sunt utilizate în mod complementar și coordonat. </w:t>
      </w:r>
    </w:p>
    <w:p>
      <w:pPr>
        <w:pStyle w:val="ManualNumPar1"/>
        <w:rPr>
          <w:noProof/>
        </w:rPr>
      </w:pPr>
      <w:r>
        <w:rPr>
          <w:noProof/>
        </w:rPr>
        <w:t>28.</w:t>
      </w:r>
      <w:r>
        <w:rPr>
          <w:noProof/>
        </w:rPr>
        <w:tab/>
        <w:t xml:space="preserve">În ceea ce privește activitățile întreprinse pentru a sprijini lucrătorii disponibilizați, Finlanda a raportat că serviciile publice de ocupare a forței de muncă </w:t>
      </w:r>
      <w:r>
        <w:rPr>
          <w:noProof/>
          <w:color w:val="000000"/>
        </w:rPr>
        <w:t xml:space="preserve">din Karelia de Sud și Lohja </w:t>
      </w:r>
      <w:r>
        <w:rPr>
          <w:noProof/>
        </w:rPr>
        <w:t>au organizat sesiuni de informare</w:t>
      </w:r>
      <w:r>
        <w:rPr>
          <w:noProof/>
          <w:color w:val="FF0000"/>
        </w:rPr>
        <w:t xml:space="preserve"> </w:t>
      </w:r>
      <w:r>
        <w:rPr>
          <w:noProof/>
        </w:rPr>
        <w:t xml:space="preserve">și au inițiat servicii personalizate pentru lucrătorii vizați imediat după notificarea concedierilor în toamna anului 2025. Printre aceste activități și servicii se numără evaluarea nevoilor individuale, sprijin pentru căutarea unui loc de muncă și orientări cu privire la diferitele servicii disponibile pentru persoanele aflate în căutarea unui loc de muncă. </w:t>
      </w:r>
    </w:p>
    <w:p>
      <w:pPr>
        <w:pStyle w:val="ManualHeading3"/>
        <w:rPr>
          <w:noProof/>
        </w:rPr>
      </w:pPr>
      <w:r>
        <w:rPr>
          <w:noProof/>
        </w:rPr>
        <w:t>Complementaritatea cu acțiuni finanțate din fonduri naționale sau din fonduri ale Uniunii</w:t>
      </w:r>
    </w:p>
    <w:p>
      <w:pPr>
        <w:pStyle w:val="ManualNumPar1"/>
        <w:rPr>
          <w:noProof/>
        </w:rPr>
      </w:pPr>
      <w:r>
        <w:rPr>
          <w:noProof/>
        </w:rPr>
        <w:t>29.</w:t>
      </w:r>
      <w:r>
        <w:rPr>
          <w:noProof/>
        </w:rPr>
        <w:tab/>
        <w:t>Finlanda a confirmat faptul că măsurile descrise mai jos care primesc o contribuție financiară din partea FEG nu vor beneficia de contribuții financiare și din partea altor instrumente financiare ale Uniunii.</w:t>
      </w:r>
    </w:p>
    <w:p>
      <w:pPr>
        <w:pStyle w:val="ManualNumPar1"/>
        <w:rPr>
          <w:noProof/>
        </w:rPr>
      </w:pPr>
      <w:r>
        <w:rPr>
          <w:noProof/>
        </w:rPr>
        <w:t>30.</w:t>
      </w:r>
      <w:r>
        <w:rPr>
          <w:noProof/>
        </w:rPr>
        <w:tab/>
        <w:t>Pachetul coordonat de servicii personalizate completează acțiunile finanțate prin alte fonduri naționale sau ale UE.</w:t>
      </w:r>
    </w:p>
    <w:p>
      <w:pPr>
        <w:pStyle w:val="ManualHeading3"/>
        <w:tabs>
          <w:tab w:val="clear" w:pos="850"/>
          <w:tab w:val="left" w:pos="0"/>
        </w:tabs>
        <w:ind w:left="0" w:firstLine="0"/>
        <w:rPr>
          <w:noProof/>
          <w:u w:val="single"/>
        </w:rPr>
      </w:pPr>
      <w:r>
        <w:rPr>
          <w:noProof/>
        </w:rPr>
        <w:t>Proceduri de consultare a beneficiarilor vizați sau a reprezentanților acestora ori a partenerilor sociali, precum și a autorităților locale și regionale</w:t>
      </w:r>
    </w:p>
    <w:p>
      <w:pPr>
        <w:pStyle w:val="ManualNumPar1"/>
        <w:rPr>
          <w:noProof/>
        </w:rPr>
      </w:pPr>
      <w:r>
        <w:rPr>
          <w:noProof/>
        </w:rPr>
        <w:t>31.</w:t>
      </w:r>
      <w:r>
        <w:rPr>
          <w:noProof/>
        </w:rPr>
        <w:tab/>
        <w:t>Finlanda a indicat că pachetul coordonat de servicii personalizate a fost elaborat în consultare cu experți și cu partenerii sociali, în conformitate cu articolul 7 alineatul (4) din Regulamentul (UE) 2021/691. Sprijinul FEG este discutat în cadrul grupului regional de monitorizare a implementării schimbărilor structurale bruște, implicând părțile interesate de la nivel regional și Ministerul Afacerilor Economice și Ocupării Forței de Muncă, începând din noiembrie 2025.</w:t>
      </w:r>
      <w:r>
        <w:rPr>
          <w:noProof/>
          <w:color w:val="FF0000"/>
        </w:rPr>
        <w:t xml:space="preserve"> </w:t>
      </w:r>
      <w:r>
        <w:rPr>
          <w:noProof/>
        </w:rPr>
        <w:t xml:space="preserve">Pachetul final de măsuri a fost discutat și convenit la 27 martie 2026, în cadrul unei reuniuni cu serviciile publice de ocupare a forței de muncă și cu reprezentanții întreprinderilor afectate. </w:t>
      </w:r>
    </w:p>
    <w:p>
      <w:pPr>
        <w:pStyle w:val="ManualHeading2"/>
        <w:rPr>
          <w:noProof/>
        </w:rPr>
      </w:pPr>
      <w:r>
        <w:rPr>
          <w:noProof/>
        </w:rPr>
        <w:t>Beneficiarii vizați și măsurile propuse</w:t>
      </w:r>
    </w:p>
    <w:p>
      <w:pPr>
        <w:pStyle w:val="ManualHeading3"/>
        <w:rPr>
          <w:noProof/>
        </w:rPr>
      </w:pPr>
      <w:r>
        <w:rPr>
          <w:noProof/>
        </w:rPr>
        <w:t>Beneficiarii vizați</w:t>
      </w:r>
    </w:p>
    <w:p>
      <w:pPr>
        <w:pStyle w:val="ManualNumPar1"/>
        <w:rPr>
          <w:noProof/>
        </w:rPr>
      </w:pPr>
      <w:r>
        <w:rPr>
          <w:noProof/>
        </w:rPr>
        <w:t>32.</w:t>
      </w:r>
      <w:r>
        <w:rPr>
          <w:noProof/>
        </w:rPr>
        <w:tab/>
        <w:t>Se preconizează că vor participa la măsuri toți cei 351 de lucrători disponibilizați.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Categorie</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Numărul de  </w:t>
            </w:r>
            <w:r>
              <w:rPr>
                <w:noProof/>
              </w:rPr>
              <w:cr/>
            </w:r>
            <w:r>
              <w:rPr>
                <w:noProof/>
              </w:rPr>
              <w:br/>
              <w:t>beneficiari preconizați</w:t>
            </w:r>
          </w:p>
        </w:tc>
      </w:tr>
      <w:tr>
        <w:trPr>
          <w:jc w:val="center"/>
        </w:trPr>
        <w:tc>
          <w:tcPr>
            <w:tcW w:w="1496" w:type="dxa"/>
            <w:tcBorders>
              <w:top w:val="single" w:sz="4" w:space="0" w:color="auto"/>
              <w:left w:val="nil"/>
              <w:right w:val="nil"/>
            </w:tcBorders>
            <w:hideMark/>
          </w:tcPr>
          <w:p>
            <w:pPr>
              <w:spacing w:before="60" w:after="60"/>
              <w:rPr>
                <w:noProof/>
              </w:rPr>
            </w:pPr>
            <w:r>
              <w:rPr>
                <w:noProof/>
              </w:rPr>
              <w:t>Gen:</w:t>
            </w:r>
          </w:p>
        </w:tc>
        <w:tc>
          <w:tcPr>
            <w:tcW w:w="2063" w:type="dxa"/>
            <w:tcBorders>
              <w:top w:val="single" w:sz="4" w:space="0" w:color="auto"/>
              <w:left w:val="nil"/>
              <w:right w:val="nil"/>
            </w:tcBorders>
            <w:hideMark/>
          </w:tcPr>
          <w:p>
            <w:pPr>
              <w:spacing w:before="60" w:after="60"/>
              <w:rPr>
                <w:noProof/>
              </w:rPr>
            </w:pPr>
            <w:r>
              <w:rPr>
                <w:noProof/>
              </w:rPr>
              <w:t>Bărbați:</w:t>
            </w:r>
          </w:p>
        </w:tc>
        <w:tc>
          <w:tcPr>
            <w:tcW w:w="1176" w:type="dxa"/>
            <w:tcBorders>
              <w:top w:val="single" w:sz="4" w:space="0" w:color="auto"/>
              <w:left w:val="nil"/>
              <w:right w:val="nil"/>
            </w:tcBorders>
            <w:hideMark/>
          </w:tcPr>
          <w:p>
            <w:pPr>
              <w:spacing w:before="60" w:after="60"/>
              <w:jc w:val="right"/>
              <w:rPr>
                <w:noProof/>
              </w:rPr>
            </w:pPr>
            <w:r>
              <w:rPr>
                <w:noProof/>
              </w:rPr>
              <w:t>303</w:t>
            </w:r>
          </w:p>
        </w:tc>
        <w:tc>
          <w:tcPr>
            <w:tcW w:w="1176" w:type="dxa"/>
            <w:tcBorders>
              <w:top w:val="single" w:sz="4" w:space="0" w:color="auto"/>
              <w:left w:val="nil"/>
              <w:right w:val="nil"/>
            </w:tcBorders>
            <w:hideMark/>
          </w:tcPr>
          <w:p>
            <w:pPr>
              <w:spacing w:before="60" w:after="60"/>
              <w:jc w:val="right"/>
              <w:rPr>
                <w:noProof/>
              </w:rPr>
            </w:pPr>
            <w:r>
              <w:rPr>
                <w:noProof/>
              </w:rPr>
              <w:t>(86,3 %)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rFonts w:eastAsia="Calibri"/>
                <w:noProof/>
              </w:rPr>
            </w:pPr>
            <w:r>
              <w:rPr>
                <w:noProof/>
              </w:rPr>
              <w:t>Femei:</w:t>
            </w:r>
          </w:p>
        </w:tc>
        <w:tc>
          <w:tcPr>
            <w:tcW w:w="1176" w:type="dxa"/>
          </w:tcPr>
          <w:p>
            <w:pPr>
              <w:spacing w:before="60" w:after="60"/>
              <w:jc w:val="right"/>
              <w:rPr>
                <w:noProof/>
              </w:rPr>
            </w:pPr>
            <w:r>
              <w:rPr>
                <w:noProof/>
              </w:rPr>
              <w:t>48</w:t>
            </w:r>
          </w:p>
        </w:tc>
        <w:tc>
          <w:tcPr>
            <w:tcW w:w="1176" w:type="dxa"/>
          </w:tcPr>
          <w:p>
            <w:pPr>
              <w:spacing w:before="60" w:after="60"/>
              <w:jc w:val="right"/>
              <w:rPr>
                <w:rFonts w:eastAsia="Calibri"/>
                <w:noProof/>
              </w:rPr>
            </w:pPr>
            <w:r>
              <w:rPr>
                <w:noProof/>
              </w:rPr>
              <w:t>(13,7 %)</w:t>
            </w:r>
          </w:p>
        </w:tc>
      </w:tr>
      <w:tr>
        <w:trPr>
          <w:jc w:val="center"/>
        </w:trPr>
        <w:tc>
          <w:tcPr>
            <w:tcW w:w="1496" w:type="dxa"/>
            <w:tcBorders>
              <w:left w:val="nil"/>
              <w:bottom w:val="single" w:sz="4" w:space="0" w:color="auto"/>
              <w:right w:val="nil"/>
            </w:tcBorders>
          </w:tcPr>
          <w:p>
            <w:pPr>
              <w:spacing w:before="60" w:after="60"/>
              <w:rPr>
                <w:noProof/>
              </w:rPr>
            </w:pPr>
          </w:p>
        </w:tc>
        <w:tc>
          <w:tcPr>
            <w:tcW w:w="2063" w:type="dxa"/>
            <w:tcBorders>
              <w:left w:val="nil"/>
              <w:bottom w:val="single" w:sz="4" w:space="0" w:color="auto"/>
              <w:right w:val="nil"/>
            </w:tcBorders>
          </w:tcPr>
          <w:p>
            <w:pPr>
              <w:spacing w:before="60" w:after="60"/>
              <w:rPr>
                <w:noProof/>
              </w:rPr>
            </w:pPr>
            <w:r>
              <w:rPr>
                <w:noProof/>
              </w:rPr>
              <w:t>Persoane non-binare</w:t>
            </w:r>
          </w:p>
        </w:tc>
        <w:tc>
          <w:tcPr>
            <w:tcW w:w="1176" w:type="dxa"/>
            <w:tcBorders>
              <w:bottom w:val="single" w:sz="4" w:space="0" w:color="auto"/>
            </w:tcBorders>
            <w:hideMark/>
          </w:tcPr>
          <w:p>
            <w:pPr>
              <w:spacing w:before="60" w:after="60"/>
              <w:jc w:val="right"/>
              <w:rPr>
                <w:noProof/>
              </w:rPr>
            </w:pPr>
            <w:r>
              <w:rPr>
                <w:noProof/>
              </w:rPr>
              <w:t>0</w:t>
            </w:r>
          </w:p>
        </w:tc>
        <w:tc>
          <w:tcPr>
            <w:tcW w:w="1176" w:type="dxa"/>
            <w:tcBorders>
              <w:bottom w:val="single" w:sz="4" w:space="0" w:color="auto"/>
            </w:tcBorders>
            <w:hideMark/>
          </w:tcPr>
          <w:p>
            <w:pPr>
              <w:spacing w:before="60" w:after="60"/>
              <w:jc w:val="right"/>
              <w:rPr>
                <w:noProof/>
              </w:rPr>
            </w:pPr>
            <w:r>
              <w:rPr>
                <w:noProof/>
              </w:rPr>
              <w:t>(0,0 %)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Grupa de vârstă:</w:t>
            </w:r>
          </w:p>
        </w:tc>
        <w:tc>
          <w:tcPr>
            <w:tcW w:w="2063" w:type="dxa"/>
            <w:tcBorders>
              <w:top w:val="single" w:sz="4" w:space="0" w:color="auto"/>
              <w:left w:val="nil"/>
              <w:bottom w:val="nil"/>
              <w:right w:val="nil"/>
            </w:tcBorders>
            <w:hideMark/>
          </w:tcPr>
          <w:p>
            <w:pPr>
              <w:spacing w:before="60" w:after="60"/>
              <w:rPr>
                <w:noProof/>
              </w:rPr>
            </w:pPr>
            <w:r>
              <w:rPr>
                <w:noProof/>
              </w:rPr>
              <w:t>sub 30 de ani:</w:t>
            </w:r>
          </w:p>
        </w:tc>
        <w:tc>
          <w:tcPr>
            <w:tcW w:w="1176" w:type="dxa"/>
            <w:tcBorders>
              <w:top w:val="single" w:sz="4" w:space="0" w:color="auto"/>
            </w:tcBorders>
            <w:hideMark/>
          </w:tcPr>
          <w:p>
            <w:pPr>
              <w:spacing w:before="60" w:after="60"/>
              <w:jc w:val="right"/>
              <w:rPr>
                <w:noProof/>
              </w:rPr>
            </w:pPr>
            <w:r>
              <w:rPr>
                <w:noProof/>
              </w:rPr>
              <w:t>58</w:t>
            </w:r>
          </w:p>
        </w:tc>
        <w:tc>
          <w:tcPr>
            <w:tcW w:w="1176" w:type="dxa"/>
            <w:tcBorders>
              <w:top w:val="single" w:sz="4" w:space="0" w:color="auto"/>
            </w:tcBorders>
            <w:hideMark/>
          </w:tcPr>
          <w:p>
            <w:pPr>
              <w:spacing w:before="60" w:after="60"/>
              <w:jc w:val="right"/>
              <w:rPr>
                <w:noProof/>
              </w:rPr>
            </w:pPr>
            <w:r>
              <w:rPr>
                <w:noProof/>
              </w:rPr>
              <w:t>(16,5 %)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de ani:</w:t>
            </w:r>
          </w:p>
        </w:tc>
        <w:tc>
          <w:tcPr>
            <w:tcW w:w="1176" w:type="dxa"/>
            <w:hideMark/>
          </w:tcPr>
          <w:p>
            <w:pPr>
              <w:spacing w:before="60" w:after="60"/>
              <w:jc w:val="right"/>
              <w:rPr>
                <w:noProof/>
              </w:rPr>
            </w:pPr>
            <w:r>
              <w:rPr>
                <w:noProof/>
              </w:rPr>
              <w:t>127</w:t>
            </w:r>
          </w:p>
        </w:tc>
        <w:tc>
          <w:tcPr>
            <w:tcW w:w="1176" w:type="dxa"/>
            <w:hideMark/>
          </w:tcPr>
          <w:p>
            <w:pPr>
              <w:spacing w:before="60" w:after="60"/>
              <w:jc w:val="right"/>
              <w:rPr>
                <w:noProof/>
              </w:rPr>
            </w:pPr>
            <w:r>
              <w:rPr>
                <w:noProof/>
              </w:rPr>
              <w:t>(36,2 %)</w:t>
            </w:r>
          </w:p>
        </w:tc>
      </w:tr>
      <w:tr>
        <w:trPr>
          <w:jc w:val="center"/>
        </w:trPr>
        <w:tc>
          <w:tcPr>
            <w:tcW w:w="1496" w:type="dxa"/>
          </w:tcPr>
          <w:p>
            <w:pPr>
              <w:spacing w:before="60" w:after="60"/>
              <w:rPr>
                <w:noProof/>
              </w:rPr>
            </w:pPr>
          </w:p>
        </w:tc>
        <w:tc>
          <w:tcPr>
            <w:tcW w:w="2063" w:type="dxa"/>
            <w:hideMark/>
          </w:tcPr>
          <w:p>
            <w:pPr>
              <w:spacing w:before="60" w:after="60"/>
              <w:jc w:val="left"/>
              <w:rPr>
                <w:noProof/>
              </w:rPr>
            </w:pPr>
            <w:r>
              <w:rPr>
                <w:noProof/>
              </w:rPr>
              <w:t>peste 54 de ani:</w:t>
            </w:r>
          </w:p>
        </w:tc>
        <w:tc>
          <w:tcPr>
            <w:tcW w:w="1176" w:type="dxa"/>
            <w:hideMark/>
          </w:tcPr>
          <w:p>
            <w:pPr>
              <w:spacing w:before="60" w:after="60"/>
              <w:jc w:val="right"/>
              <w:rPr>
                <w:noProof/>
              </w:rPr>
            </w:pPr>
            <w:r>
              <w:rPr>
                <w:noProof/>
              </w:rPr>
              <w:t>166</w:t>
            </w:r>
          </w:p>
        </w:tc>
        <w:tc>
          <w:tcPr>
            <w:tcW w:w="1176" w:type="dxa"/>
            <w:hideMark/>
          </w:tcPr>
          <w:p>
            <w:pPr>
              <w:spacing w:before="60" w:after="60"/>
              <w:jc w:val="right"/>
              <w:rPr>
                <w:noProof/>
              </w:rPr>
            </w:pPr>
            <w:r>
              <w:rPr>
                <w:noProof/>
              </w:rPr>
              <w:t>(47,3 %)</w:t>
            </w:r>
          </w:p>
        </w:tc>
      </w:tr>
      <w:tr>
        <w:trPr>
          <w:jc w:val="center"/>
        </w:trPr>
        <w:tc>
          <w:tcPr>
            <w:tcW w:w="1496" w:type="dxa"/>
            <w:tcBorders>
              <w:top w:val="single" w:sz="4" w:space="0" w:color="auto"/>
              <w:left w:val="nil"/>
              <w:bottom w:val="nil"/>
              <w:right w:val="nil"/>
            </w:tcBorders>
          </w:tcPr>
          <w:p>
            <w:pPr>
              <w:spacing w:before="60" w:after="60"/>
              <w:rPr>
                <w:noProof/>
              </w:rPr>
            </w:pPr>
            <w:r>
              <w:rPr>
                <w:noProof/>
              </w:rPr>
              <w:t>Nivelul de instruire</w:t>
            </w:r>
          </w:p>
        </w:tc>
        <w:tc>
          <w:tcPr>
            <w:tcW w:w="2063" w:type="dxa"/>
            <w:tcBorders>
              <w:top w:val="single" w:sz="4" w:space="0" w:color="auto"/>
              <w:left w:val="nil"/>
              <w:bottom w:val="nil"/>
              <w:right w:val="nil"/>
            </w:tcBorders>
          </w:tcPr>
          <w:p>
            <w:pPr>
              <w:spacing w:before="60" w:after="60"/>
              <w:rPr>
                <w:noProof/>
              </w:rPr>
            </w:pPr>
            <w:r>
              <w:rPr>
                <w:noProof/>
              </w:rPr>
              <w:t>Învățământ secundar inferior sau sub acest nivel</w:t>
            </w:r>
            <w:r>
              <w:rPr>
                <w:rStyle w:val="FootnoteReference"/>
                <w:noProof/>
              </w:rPr>
              <w:footnoteReference w:id="8"/>
            </w:r>
            <w:r>
              <w:rPr>
                <w:noProof/>
              </w:rPr>
              <w:t xml:space="preserve"> </w:t>
            </w:r>
          </w:p>
        </w:tc>
        <w:tc>
          <w:tcPr>
            <w:tcW w:w="1176" w:type="dxa"/>
            <w:tcBorders>
              <w:top w:val="single" w:sz="4" w:space="0" w:color="auto"/>
              <w:left w:val="nil"/>
              <w:bottom w:val="nil"/>
              <w:right w:val="nil"/>
            </w:tcBorders>
          </w:tcPr>
          <w:p>
            <w:pPr>
              <w:spacing w:before="60" w:after="60"/>
              <w:jc w:val="right"/>
              <w:rPr>
                <w:noProof/>
              </w:rPr>
            </w:pPr>
            <w:r>
              <w:rPr>
                <w:noProof/>
              </w:rPr>
              <w:t>27</w:t>
            </w:r>
          </w:p>
        </w:tc>
        <w:tc>
          <w:tcPr>
            <w:tcW w:w="1176" w:type="dxa"/>
            <w:tcBorders>
              <w:top w:val="single" w:sz="4" w:space="0" w:color="auto"/>
              <w:left w:val="nil"/>
              <w:bottom w:val="nil"/>
              <w:right w:val="nil"/>
            </w:tcBorders>
          </w:tcPr>
          <w:p>
            <w:pPr>
              <w:spacing w:before="60" w:after="60"/>
              <w:jc w:val="right"/>
              <w:rPr>
                <w:rFonts w:eastAsia="Calibri"/>
                <w:noProof/>
              </w:rPr>
            </w:pPr>
            <w:r>
              <w:rPr>
                <w:noProof/>
              </w:rPr>
              <w:t>(7,7 %)</w:t>
            </w:r>
          </w:p>
        </w:tc>
      </w:tr>
      <w:tr>
        <w:trPr>
          <w:jc w:val="center"/>
        </w:trPr>
        <w:tc>
          <w:tcPr>
            <w:tcW w:w="1496" w:type="dxa"/>
            <w:tcBorders>
              <w:top w:val="nil"/>
              <w:left w:val="nil"/>
              <w:right w:val="nil"/>
            </w:tcBorders>
          </w:tcPr>
          <w:p>
            <w:pPr>
              <w:spacing w:before="60" w:after="60"/>
              <w:rPr>
                <w:noProof/>
              </w:rPr>
            </w:pPr>
          </w:p>
        </w:tc>
        <w:tc>
          <w:tcPr>
            <w:tcW w:w="2063" w:type="dxa"/>
            <w:tcBorders>
              <w:top w:val="nil"/>
              <w:left w:val="nil"/>
              <w:right w:val="nil"/>
            </w:tcBorders>
          </w:tcPr>
          <w:p>
            <w:pPr>
              <w:spacing w:before="60" w:after="60"/>
              <w:rPr>
                <w:noProof/>
              </w:rPr>
            </w:pPr>
            <w:r>
              <w:rPr>
                <w:noProof/>
              </w:rPr>
              <w:t>Învățământ liceal</w:t>
            </w:r>
            <w:r>
              <w:rPr>
                <w:rStyle w:val="FootnoteReference"/>
                <w:noProof/>
              </w:rPr>
              <w:footnoteReference w:id="9"/>
            </w:r>
            <w:r>
              <w:rPr>
                <w:noProof/>
              </w:rPr>
              <w:t xml:space="preserve"> sau postliceal</w:t>
            </w:r>
            <w:r>
              <w:rPr>
                <w:rStyle w:val="FootnoteReference"/>
                <w:noProof/>
              </w:rPr>
              <w:footnoteReference w:id="10"/>
            </w:r>
          </w:p>
        </w:tc>
        <w:tc>
          <w:tcPr>
            <w:tcW w:w="1176" w:type="dxa"/>
            <w:tcBorders>
              <w:top w:val="nil"/>
              <w:left w:val="nil"/>
              <w:right w:val="nil"/>
            </w:tcBorders>
          </w:tcPr>
          <w:p>
            <w:pPr>
              <w:spacing w:before="60" w:after="60"/>
              <w:jc w:val="right"/>
              <w:rPr>
                <w:noProof/>
              </w:rPr>
            </w:pPr>
            <w:r>
              <w:rPr>
                <w:noProof/>
                <w:color w:val="000000"/>
              </w:rPr>
              <w:t>294</w:t>
            </w:r>
          </w:p>
        </w:tc>
        <w:tc>
          <w:tcPr>
            <w:tcW w:w="1176" w:type="dxa"/>
            <w:tcBorders>
              <w:top w:val="nil"/>
              <w:left w:val="nil"/>
              <w:right w:val="nil"/>
            </w:tcBorders>
          </w:tcPr>
          <w:p>
            <w:pPr>
              <w:spacing w:before="60" w:after="60"/>
              <w:jc w:val="right"/>
              <w:rPr>
                <w:rFonts w:eastAsia="Calibri"/>
                <w:noProof/>
              </w:rPr>
            </w:pPr>
            <w:r>
              <w:rPr>
                <w:noProof/>
              </w:rPr>
              <w:t>(83,8 %)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tcPr>
          <w:p>
            <w:pPr>
              <w:spacing w:before="60" w:after="60"/>
              <w:rPr>
                <w:noProof/>
              </w:rPr>
            </w:pPr>
            <w:r>
              <w:rPr>
                <w:noProof/>
              </w:rPr>
              <w:t>Învățământ terțiar</w:t>
            </w:r>
            <w:r>
              <w:rPr>
                <w:rStyle w:val="FootnoteReference"/>
                <w:noProof/>
              </w:rPr>
              <w:footnoteReference w:id="11"/>
            </w:r>
          </w:p>
        </w:tc>
        <w:tc>
          <w:tcPr>
            <w:tcW w:w="1176" w:type="dxa"/>
            <w:tcBorders>
              <w:top w:val="nil"/>
              <w:left w:val="nil"/>
              <w:bottom w:val="single" w:sz="4" w:space="0" w:color="auto"/>
              <w:right w:val="nil"/>
            </w:tcBorders>
          </w:tcPr>
          <w:p>
            <w:pPr>
              <w:spacing w:before="60" w:after="60"/>
              <w:jc w:val="right"/>
              <w:rPr>
                <w:noProof/>
              </w:rPr>
            </w:pPr>
            <w:r>
              <w:rPr>
                <w:noProof/>
              </w:rPr>
              <w:t>30</w:t>
            </w:r>
          </w:p>
        </w:tc>
        <w:tc>
          <w:tcPr>
            <w:tcW w:w="1176" w:type="dxa"/>
            <w:tcBorders>
              <w:top w:val="nil"/>
              <w:left w:val="nil"/>
              <w:bottom w:val="single" w:sz="4" w:space="0" w:color="auto"/>
              <w:right w:val="nil"/>
            </w:tcBorders>
          </w:tcPr>
          <w:p>
            <w:pPr>
              <w:spacing w:before="60" w:after="60"/>
              <w:jc w:val="right"/>
              <w:rPr>
                <w:rFonts w:eastAsia="Calibri"/>
                <w:noProof/>
              </w:rPr>
            </w:pPr>
            <w:r>
              <w:rPr>
                <w:noProof/>
              </w:rPr>
              <w:t>(8,5 %)</w:t>
            </w:r>
          </w:p>
        </w:tc>
      </w:tr>
    </w:tbl>
    <w:p>
      <w:pPr>
        <w:pStyle w:val="ManualHeading3"/>
        <w:rPr>
          <w:noProof/>
          <w:u w:val="single"/>
        </w:rPr>
      </w:pPr>
      <w:r>
        <w:rPr>
          <w:noProof/>
        </w:rPr>
        <w:t>Măsurile propuse</w:t>
      </w:r>
    </w:p>
    <w:p>
      <w:pPr>
        <w:pStyle w:val="ManualNumPar1"/>
        <w:rPr>
          <w:noProof/>
        </w:rPr>
      </w:pPr>
      <w:r>
        <w:rPr>
          <w:noProof/>
        </w:rPr>
        <w:t>33.</w:t>
      </w:r>
      <w:r>
        <w:rPr>
          <w:noProof/>
        </w:rPr>
        <w:tab/>
      </w:r>
      <w:bookmarkStart w:id="2" w:name="_Ref372214239"/>
      <w:r>
        <w:rPr>
          <w:noProof/>
        </w:rPr>
        <w:t xml:space="preserve">În conformitate cu articolul 8 alineatul (7) litera (h) din Regulamentul (UE) 2021/691, pachetul coordonat personalizat care urmează să fie pus la dispoziția lucrătorilor disponibilizați constă în următoarele măsuri: </w:t>
      </w:r>
      <w:bookmarkEnd w:id="2"/>
    </w:p>
    <w:p>
      <w:pPr>
        <w:pStyle w:val="Tiret1"/>
        <w:numPr>
          <w:ilvl w:val="0"/>
          <w:numId w:val="19"/>
        </w:numPr>
        <w:rPr>
          <w:noProof/>
        </w:rPr>
      </w:pPr>
      <w:r>
        <w:rPr>
          <w:noProof/>
          <w:u w:val="single"/>
        </w:rPr>
        <w:t>Formare în vederea căutării unui loc de muncă și îndrumare profesională</w:t>
      </w:r>
      <w:r>
        <w:rPr>
          <w:noProof/>
        </w:rPr>
        <w:t xml:space="preserve">: </w:t>
      </w:r>
      <w:r>
        <w:rPr>
          <w:rFonts w:ascii="TimesNewRoman" w:hAnsi="TimesNewRoman"/>
          <w:noProof/>
          <w:color w:val="000000"/>
        </w:rPr>
        <w:t>Participanții primesc informații referitoare la serviciile de sprijin disponibile pentru persoanele aflate în căutarea unui loc de muncă și cursuri de formare pentru a consolida parcursul acestora pe piața forței de muncă. Competențele</w:t>
      </w:r>
      <w:r>
        <w:rPr>
          <w:noProof/>
        </w:rPr>
        <w:t xml:space="preserve"> lor vor fi evaluate de experți, cu un accent deosebit pe competențele digitale. Vor fi oferite activități de căutare a unui loc de muncă și măsuri de îndrumare profesională în vederea identificării unor noi oportunități de angajare. Serviciul este furnizat atât de SPOFM, cât și de experți externi și include activități individuale și de grup.</w:t>
      </w:r>
    </w:p>
    <w:p>
      <w:pPr>
        <w:pStyle w:val="Tiret1"/>
        <w:numPr>
          <w:ilvl w:val="0"/>
          <w:numId w:val="19"/>
        </w:numPr>
        <w:rPr>
          <w:noProof/>
        </w:rPr>
      </w:pPr>
      <w:r>
        <w:rPr>
          <w:noProof/>
          <w:u w:val="single"/>
        </w:rPr>
        <w:t>Formare profesională</w:t>
      </w:r>
      <w:r>
        <w:rPr>
          <w:noProof/>
        </w:rPr>
        <w:t xml:space="preserve">: Cursurile de formare se desfășoară fie la nivel de grup, fie la nivel individual, în funcție </w:t>
      </w:r>
      <w:r>
        <w:rPr>
          <w:rFonts w:ascii="TimesNewRoman" w:hAnsi="TimesNewRoman"/>
          <w:noProof/>
          <w:color w:val="000000"/>
        </w:rPr>
        <w:t xml:space="preserve">de nevoile participantului și ale pieței regionale a forței de muncă. Fiecărui participant i se pune la dispoziție un plan personal de dezvoltare a competențelor, astfel încât formarea să poată fi adaptată în funcție de seturile de competențe existente și de obiectivele personale. De asemenea, se pot obține diverse certificate și autorizații, cum ar fi certificatul de absolvire a cursurilor de protecția muncii, permisul de lucru cu foc deschis etc. </w:t>
      </w:r>
    </w:p>
    <w:p>
      <w:pPr>
        <w:pStyle w:val="Tiret1"/>
        <w:numPr>
          <w:ilvl w:val="0"/>
          <w:numId w:val="19"/>
        </w:numPr>
        <w:rPr>
          <w:noProof/>
        </w:rPr>
      </w:pPr>
      <w:r>
        <w:rPr>
          <w:noProof/>
          <w:u w:val="single"/>
        </w:rPr>
        <w:t>Grant de start-up</w:t>
      </w:r>
      <w:r>
        <w:rPr>
          <w:noProof/>
        </w:rPr>
        <w:t xml:space="preserve">: </w:t>
      </w:r>
      <w:r>
        <w:rPr>
          <w:rFonts w:ascii="TimesNewRoman" w:hAnsi="TimesNewRoman"/>
          <w:noProof/>
        </w:rPr>
        <w:t xml:space="preserve">Grantul este destinat costurilor de înființare și de dezvoltare timpurie, pentru a sprijini lucrătorii care încep o afacere sau o activitate independentă. Acesta este plătit pe baza costurilor reale suportate și nu poate fi alocat pentru cheltuieli salariale sau mijloace personale de subzistență. </w:t>
      </w:r>
      <w:r>
        <w:rPr>
          <w:noProof/>
        </w:rPr>
        <w:t>Această măsură se aplică numai în Karelia de Sud.</w:t>
      </w:r>
    </w:p>
    <w:p>
      <w:pPr>
        <w:pStyle w:val="Tiret1"/>
        <w:numPr>
          <w:ilvl w:val="0"/>
          <w:numId w:val="19"/>
        </w:numPr>
        <w:rPr>
          <w:noProof/>
        </w:rPr>
      </w:pPr>
      <w:r>
        <w:rPr>
          <w:noProof/>
          <w:u w:val="single"/>
        </w:rPr>
        <w:t>Sondaj și soluție bazată pe IA pentru nevoile în materie de recrutare și de competențe</w:t>
      </w:r>
      <w:r>
        <w:rPr>
          <w:noProof/>
        </w:rPr>
        <w:t xml:space="preserve">: Regiunea de ocupare a forței de muncă Karelia de Sud va desfășura un proiect-pilot bazat pe IA pentru a identifica nevoile de recrutare și cererea de competențe de pe piața regională a forței de muncă, care să permită corelarea grupului-țintă cu aceste nevoi și să identifice lacunele în materie de competențe care pot fi abordate prin cursuri de formare. </w:t>
      </w:r>
    </w:p>
    <w:p>
      <w:pPr>
        <w:pStyle w:val="Tiret1"/>
        <w:numPr>
          <w:ilvl w:val="0"/>
          <w:numId w:val="19"/>
        </w:numPr>
        <w:rPr>
          <w:noProof/>
        </w:rPr>
      </w:pPr>
      <w:r>
        <w:rPr>
          <w:noProof/>
          <w:u w:val="single"/>
        </w:rPr>
        <w:t>Subvenții salariale</w:t>
      </w:r>
      <w:r>
        <w:rPr>
          <w:noProof/>
        </w:rPr>
        <w:t xml:space="preserve">: </w:t>
      </w:r>
      <w:r>
        <w:rPr>
          <w:rFonts w:ascii="TimesNewRoman" w:hAnsi="TimesNewRoman"/>
          <w:noProof/>
          <w:color w:val="000000"/>
        </w:rPr>
        <w:t>Subvențiile salariale reduc pragul de recrutare prin reducerea costurilor salariale ale noului angajator. Scopul este de a ajuta persoanele aflate în căutarea unui loc de muncă să își găsească un loc de muncă pe piața deschisă a forței de muncă și să își îmbunătățească competențele profesionale. Valoarea subvenției salariale este, în general, de 50 % din costurile salariale; durata perioadei subvenționate depinde de contractul de muncă și de durata perioadei de șomaj precedente.</w:t>
      </w:r>
    </w:p>
    <w:p>
      <w:pPr>
        <w:pStyle w:val="Tiret1"/>
        <w:numPr>
          <w:ilvl w:val="0"/>
          <w:numId w:val="19"/>
        </w:numPr>
        <w:rPr>
          <w:noProof/>
        </w:rPr>
      </w:pPr>
      <w:r>
        <w:rPr>
          <w:rFonts w:ascii="TimesNewRoman" w:hAnsi="TimesNewRoman"/>
          <w:noProof/>
          <w:color w:val="000000"/>
          <w:u w:val="single"/>
        </w:rPr>
        <w:t>Alocația de mobilitate</w:t>
      </w:r>
      <w:r>
        <w:rPr>
          <w:rFonts w:ascii="TimesNewRoman" w:hAnsi="TimesNewRoman"/>
          <w:noProof/>
          <w:color w:val="000000"/>
        </w:rPr>
        <w:t>: Alocația este menită să încurajeze accesul la un loc de muncă mai departe de casă, prin compensarea cheltuielilor de deplasare și de mutare.</w:t>
      </w:r>
    </w:p>
    <w:p>
      <w:pPr>
        <w:pStyle w:val="Tiret1"/>
        <w:numPr>
          <w:ilvl w:val="0"/>
          <w:numId w:val="19"/>
        </w:numPr>
        <w:rPr>
          <w:noProof/>
        </w:rPr>
      </w:pPr>
      <w:r>
        <w:rPr>
          <w:rFonts w:ascii="TimesNewRoman" w:hAnsi="TimesNewRoman"/>
          <w:noProof/>
          <w:color w:val="000000"/>
          <w:u w:val="single"/>
        </w:rPr>
        <w:t xml:space="preserve">Alocație pentru înființarea de întreprinderi: </w:t>
      </w:r>
      <w:r>
        <w:rPr>
          <w:noProof/>
        </w:rPr>
        <w:t>Pentru a asigura mijloacele de subzistență ale lucrătorilor în timpul înființării unei întreprinderi, se va acorda o diurnă de 37,21 EUR, plătită cinci zile pe săptămână, pentru o perioadă de maximum 12 luni. Această măsură se aplică numai în Lohja.</w:t>
      </w:r>
    </w:p>
    <w:p>
      <w:pPr>
        <w:pStyle w:val="ManualNumPar1"/>
        <w:rPr>
          <w:noProof/>
        </w:rPr>
      </w:pPr>
      <w:r>
        <w:rPr>
          <w:noProof/>
        </w:rPr>
        <w:t>34.</w:t>
      </w:r>
      <w:r>
        <w:rPr>
          <w:noProof/>
        </w:rPr>
        <w:tab/>
        <w:t xml:space="preserve">Un evantai de cursuri de formare în domeniul TIC și un sprijin suplimentar, bazate pe o evaluare inițială a nivelului competențelor digitale ale beneficiarilor, și atenția acordată </w:t>
      </w:r>
      <w:r>
        <w:rPr>
          <w:noProof/>
          <w:color w:val="000000"/>
        </w:rPr>
        <w:t xml:space="preserve">accesibilității serviciilor </w:t>
      </w:r>
      <w:r>
        <w:rPr>
          <w:noProof/>
        </w:rPr>
        <w:t>permit diseminarea competențelor necesare în era industrială digitală și într-o economie eficientă din punctul de vedere al utilizării resurselor, astfel cum se prevede la articolul 7 alineatul (2) din Regulamentul (UE) 2021/691.</w:t>
      </w:r>
    </w:p>
    <w:p>
      <w:pPr>
        <w:pStyle w:val="ManualNumPar1"/>
        <w:rPr>
          <w:noProof/>
        </w:rPr>
      </w:pPr>
      <w:r>
        <w:rPr>
          <w:noProof/>
        </w:rPr>
        <w:t>35.</w:t>
      </w:r>
      <w:r>
        <w:rPr>
          <w:noProof/>
        </w:rPr>
        <w:tab/>
      </w:r>
      <w:bookmarkStart w:id="3" w:name="_Ref372214242"/>
      <w:r>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pPr>
        <w:pStyle w:val="ManualNumPar1"/>
        <w:rPr>
          <w:noProof/>
        </w:rPr>
      </w:pPr>
      <w:r>
        <w:rPr>
          <w:noProof/>
        </w:rPr>
        <w:t>36.</w:t>
      </w:r>
      <w:r>
        <w:rPr>
          <w:noProof/>
        </w:rPr>
        <w:tab/>
        <w:t>Finlanda a furnizat informațiile necesare privind măsurile care sunt obligatorii pentru întreprinderea vizată în temeiul legislației naționale sau al contractelor colective de muncă. În conformitate cu articolul 9 alineatul (1) din Regulamentul (UE) 2021/691, Finlanda a confirmat că măsurile respective nu vor fi înlocuite cu o contribuție financiară din partea FEG.</w:t>
      </w:r>
      <w:bookmarkEnd w:id="3"/>
    </w:p>
    <w:p>
      <w:pPr>
        <w:pStyle w:val="ManualHeading3"/>
        <w:rPr>
          <w:noProof/>
        </w:rPr>
      </w:pPr>
      <w:r>
        <w:rPr>
          <w:noProof/>
        </w:rPr>
        <w:t>Buget estimat</w:t>
      </w:r>
    </w:p>
    <w:p>
      <w:pPr>
        <w:pStyle w:val="ManualNumPar1"/>
        <w:rPr>
          <w:noProof/>
        </w:rPr>
      </w:pPr>
      <w:r>
        <w:rPr>
          <w:noProof/>
        </w:rPr>
        <w:t>37.</w:t>
      </w:r>
      <w:r>
        <w:rPr>
          <w:noProof/>
        </w:rPr>
        <w:tab/>
        <w:t>Costurile totale estimate sunt de 1 837 600 EUR, incluzând cheltuieli pentru servicii personalizate de 1 769 600 EUR și cheltuieli pentru activitățile de pregătire, gestionare, informare și publicitate, control și raportare de 68 000 EUR.</w:t>
      </w:r>
    </w:p>
    <w:p>
      <w:pPr>
        <w:pStyle w:val="ManualNumPar1"/>
        <w:rPr>
          <w:noProof/>
        </w:rPr>
      </w:pPr>
      <w:r>
        <w:rPr>
          <w:noProof/>
        </w:rPr>
        <w:t>38.</w:t>
      </w:r>
      <w:r>
        <w:rPr>
          <w:noProof/>
        </w:rPr>
        <w:tab/>
      </w:r>
      <w:bookmarkStart w:id="4" w:name="_Ref372550770"/>
      <w:r>
        <w:rPr>
          <w:noProof/>
        </w:rPr>
        <w:t>Contribuția financiară totală solicitată din partea FEG este de 1 102 560 EUR (60 % din totalul costurilor).</w:t>
      </w:r>
      <w:bookmarkEnd w:id="4"/>
    </w:p>
    <w:p>
      <w:pPr>
        <w:pStyle w:val="ManualNumPar1"/>
        <w:rPr>
          <w:noProof/>
        </w:rPr>
      </w:pPr>
      <w:r>
        <w:rPr>
          <w:noProof/>
        </w:rPr>
        <w:t>39.</w:t>
      </w:r>
      <w:r>
        <w:rPr>
          <w:noProof/>
        </w:rPr>
        <w:tab/>
        <w:t>În conformitate cu articolul 8 alineatul (7) litera (m) din Regulamentul (UE) 2021/691, Finlanda a precizat că prefinanțarea și cofinanțarea națională sunt asigurate de regiunile de ocupare a forței de muncă Karelia de Sud și Lohja-Karkkila.</w:t>
      </w:r>
    </w:p>
    <w:p>
      <w:pPr>
        <w:pStyle w:val="Text1"/>
        <w:rPr>
          <w:noProof/>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c>
          <w:tcPr>
            <w:tcW w:w="4644" w:type="dxa"/>
            <w:vAlign w:val="center"/>
          </w:tcPr>
          <w:p>
            <w:pPr>
              <w:spacing w:before="60" w:after="60"/>
              <w:jc w:val="center"/>
              <w:rPr>
                <w:rFonts w:eastAsia="Times New Roman"/>
                <w:noProof/>
                <w:sz w:val="22"/>
              </w:rPr>
            </w:pPr>
            <w:r>
              <w:rPr>
                <w:noProof/>
                <w:sz w:val="22"/>
              </w:rPr>
              <w:t>Măsuri</w:t>
            </w:r>
          </w:p>
        </w:tc>
        <w:tc>
          <w:tcPr>
            <w:tcW w:w="1548" w:type="dxa"/>
            <w:vAlign w:val="center"/>
          </w:tcPr>
          <w:p>
            <w:pPr>
              <w:spacing w:before="60" w:after="60"/>
              <w:jc w:val="center"/>
              <w:rPr>
                <w:rFonts w:eastAsia="Times New Roman"/>
                <w:noProof/>
                <w:sz w:val="22"/>
              </w:rPr>
            </w:pPr>
            <w:r>
              <w:rPr>
                <w:noProof/>
                <w:sz w:val="22"/>
              </w:rPr>
              <w:t>Numărul de participanți estimat</w:t>
            </w:r>
          </w:p>
        </w:tc>
        <w:tc>
          <w:tcPr>
            <w:tcW w:w="1548" w:type="dxa"/>
            <w:vAlign w:val="center"/>
          </w:tcPr>
          <w:p>
            <w:pPr>
              <w:spacing w:before="60" w:after="60"/>
              <w:jc w:val="center"/>
              <w:rPr>
                <w:rFonts w:eastAsia="Times New Roman"/>
                <w:noProof/>
                <w:sz w:val="22"/>
              </w:rPr>
            </w:pPr>
            <w:r>
              <w:rPr>
                <w:noProof/>
                <w:sz w:val="22"/>
              </w:rPr>
              <w:t>Costul estimat per participant</w:t>
            </w:r>
            <w:r>
              <w:rPr>
                <w:noProof/>
              </w:rPr>
              <w:t xml:space="preserve"> </w:t>
            </w:r>
            <w:r>
              <w:rPr>
                <w:noProof/>
              </w:rPr>
              <w:cr/>
            </w:r>
            <w:r>
              <w:rPr>
                <w:noProof/>
              </w:rPr>
              <w:br/>
            </w:r>
            <w:r>
              <w:rPr>
                <w:i/>
                <w:noProof/>
                <w:sz w:val="22"/>
              </w:rPr>
              <w:t>(EUR)</w:t>
            </w:r>
            <w:r>
              <w:rPr>
                <w:rStyle w:val="FootnoteReference"/>
                <w:rFonts w:eastAsia="Times New Roman"/>
                <w:i/>
                <w:noProof/>
                <w:sz w:val="22"/>
              </w:rPr>
              <w:footnoteReference w:id="12"/>
            </w:r>
          </w:p>
        </w:tc>
        <w:tc>
          <w:tcPr>
            <w:tcW w:w="1548" w:type="dxa"/>
            <w:vAlign w:val="center"/>
          </w:tcPr>
          <w:p>
            <w:pPr>
              <w:spacing w:before="60" w:after="60"/>
              <w:jc w:val="center"/>
              <w:rPr>
                <w:rFonts w:eastAsia="Times New Roman"/>
                <w:noProof/>
                <w:sz w:val="22"/>
              </w:rPr>
            </w:pPr>
            <w:r>
              <w:rPr>
                <w:noProof/>
                <w:sz w:val="22"/>
              </w:rPr>
              <w:t>Costuri totale estimate</w:t>
            </w:r>
          </w:p>
          <w:p>
            <w:pPr>
              <w:spacing w:before="60" w:after="60"/>
              <w:jc w:val="center"/>
              <w:rPr>
                <w:rFonts w:eastAsia="Times New Roman"/>
                <w:noProof/>
                <w:sz w:val="22"/>
              </w:rPr>
            </w:pPr>
            <w:r>
              <w:rPr>
                <w:i/>
                <w:noProof/>
                <w:sz w:val="22"/>
              </w:rPr>
              <w:t>(EUR)</w:t>
            </w:r>
            <w:r>
              <w:rPr>
                <w:rStyle w:val="FootnoteReference"/>
                <w:rFonts w:eastAsia="Times New Roman"/>
                <w:i/>
                <w:noProof/>
                <w:sz w:val="22"/>
              </w:rPr>
              <w:footnoteReference w:id="13"/>
            </w:r>
            <w:r>
              <w:rPr>
                <w:i/>
                <w:noProof/>
                <w:sz w:val="22"/>
              </w:rPr>
              <w:t xml:space="preserve"> </w:t>
            </w:r>
          </w:p>
        </w:tc>
      </w:tr>
      <w:tr>
        <w:tc>
          <w:tcPr>
            <w:tcW w:w="9288" w:type="dxa"/>
            <w:gridSpan w:val="4"/>
          </w:tcPr>
          <w:p>
            <w:pPr>
              <w:spacing w:before="60" w:after="60"/>
              <w:jc w:val="left"/>
              <w:rPr>
                <w:rFonts w:eastAsia="Times New Roman"/>
                <w:noProof/>
                <w:sz w:val="22"/>
              </w:rPr>
            </w:pPr>
            <w:r>
              <w:rPr>
                <w:noProof/>
                <w:sz w:val="22"/>
              </w:rPr>
              <w:t xml:space="preserve">Servicii personalizate [măsuri în temeiul articolului 7 alineatul (2) </w:t>
            </w:r>
            <w:r>
              <w:rPr>
                <w:noProof/>
              </w:rPr>
              <w:t>al doilea paragraf</w:t>
            </w:r>
            <w:r>
              <w:rPr>
                <w:noProof/>
                <w:sz w:val="22"/>
              </w:rPr>
              <w:t xml:space="preserve"> litera (a) din Regulamentul (UE)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Formare în vederea căutării unui loc de muncă și îndrumare profesională</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351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1 231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432 040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Formare profesională</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101</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4 733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478 000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Grant de start-up </w:t>
            </w:r>
            <w:r>
              <w:rPr>
                <w:noProof/>
              </w:rPr>
              <w:cr/>
            </w:r>
            <w:r>
              <w:rPr>
                <w:noProof/>
              </w:rPr>
              <w:br/>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17</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12 353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210 000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Sondaj și soluție bazată pe IA pentru nevoile în materie de recrutare și de competențe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258</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233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60 000</w:t>
            </w:r>
          </w:p>
        </w:tc>
      </w:tr>
      <w:tr>
        <w:trPr>
          <w:trHeight w:val="398"/>
        </w:trPr>
        <w:tc>
          <w:tcPr>
            <w:tcW w:w="4644" w:type="dxa"/>
            <w:vMerge w:val="restart"/>
            <w:vAlign w:val="center"/>
          </w:tcPr>
          <w:p>
            <w:pPr>
              <w:spacing w:before="60" w:after="60"/>
              <w:jc w:val="right"/>
              <w:rPr>
                <w:rFonts w:eastAsia="Times New Roman"/>
                <w:noProof/>
                <w:sz w:val="22"/>
              </w:rPr>
            </w:pPr>
            <w:r>
              <w:rPr>
                <w:noProof/>
                <w:sz w:val="22"/>
              </w:rPr>
              <w:t>Subtotal (a):</w:t>
            </w:r>
          </w:p>
          <w:p>
            <w:pPr>
              <w:spacing w:before="60" w:after="60"/>
              <w:jc w:val="right"/>
              <w:rPr>
                <w:rFonts w:eastAsia="Times New Roman"/>
                <w:noProof/>
                <w:sz w:val="22"/>
              </w:rPr>
            </w:pPr>
            <w:r>
              <w:rPr>
                <w:noProof/>
                <w:sz w:val="22"/>
              </w:rPr>
              <w:t xml:space="preserve">Procentaj din pachetul de servicii personalizate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1 180 040</w:t>
            </w:r>
          </w:p>
        </w:tc>
      </w:tr>
      <w:tr>
        <w:trPr>
          <w:trHeight w:val="397"/>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noProof/>
                <w:sz w:val="22"/>
              </w:rPr>
              <w:t>(6</w:t>
            </w:r>
            <w:r>
              <w:rPr>
                <w:noProof/>
              </w:rPr>
              <w:t>6,68 </w:t>
            </w:r>
            <w:r>
              <w:rPr>
                <w:noProof/>
                <w:sz w:val="22"/>
              </w:rPr>
              <w:t>%)</w:t>
            </w:r>
          </w:p>
        </w:tc>
      </w:tr>
      <w:tr>
        <w:tc>
          <w:tcPr>
            <w:tcW w:w="9288" w:type="dxa"/>
            <w:gridSpan w:val="4"/>
            <w:vAlign w:val="center"/>
          </w:tcPr>
          <w:p>
            <w:pPr>
              <w:spacing w:before="60" w:after="60"/>
              <w:jc w:val="left"/>
              <w:rPr>
                <w:noProof/>
                <w:sz w:val="22"/>
              </w:rPr>
            </w:pPr>
            <w:r>
              <w:rPr>
                <w:noProof/>
                <w:sz w:val="22"/>
              </w:rPr>
              <w:t xml:space="preserve">Alocații și stimulente [măsuri în temeiul articolului 7 alineatul (2) </w:t>
            </w:r>
            <w:r>
              <w:rPr>
                <w:noProof/>
              </w:rPr>
              <w:t>al doilea paragraf</w:t>
            </w:r>
            <w:r>
              <w:rPr>
                <w:noProof/>
                <w:sz w:val="22"/>
              </w:rPr>
              <w:t xml:space="preserve"> litera (b) din Regulamentul (UE) 2021/691]</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highlight w:val="yellow"/>
              </w:rPr>
            </w:pPr>
            <w:r>
              <w:rPr>
                <w:noProof/>
              </w:rPr>
              <w:t>Subvenții salariale</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59</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9 518</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561 560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highlight w:val="yellow"/>
              </w:rPr>
            </w:pPr>
            <w:r>
              <w:rPr>
                <w:noProof/>
              </w:rPr>
              <w:t>Alocație de mobilitate</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150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highlight w:val="yellow"/>
              </w:rPr>
            </w:pPr>
            <w:r>
              <w:rPr>
                <w:noProof/>
              </w:rPr>
              <w:t>3 000</w:t>
            </w:r>
          </w:p>
        </w:tc>
      </w:tr>
      <w:tr>
        <w:trPr>
          <w:trHeight w:val="802"/>
        </w:trPr>
        <w:tc>
          <w:tcPr>
            <w:tcW w:w="4644" w:type="dxa"/>
            <w:tcBorders>
              <w:top w:val="single" w:sz="4" w:space="0" w:color="auto"/>
              <w:left w:val="nil"/>
              <w:bottom w:val="single" w:sz="4" w:space="0" w:color="auto"/>
              <w:right w:val="single" w:sz="4" w:space="0" w:color="auto"/>
            </w:tcBorders>
            <w:vAlign w:val="center"/>
          </w:tcPr>
          <w:p>
            <w:pPr>
              <w:spacing w:before="60" w:after="60"/>
              <w:jc w:val="left"/>
              <w:rPr>
                <w:noProof/>
              </w:rPr>
            </w:pPr>
            <w:r>
              <w:rPr>
                <w:noProof/>
              </w:rPr>
              <w:t>Alocație pentru înființarea de întreprinderi</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5 000</w:t>
            </w:r>
          </w:p>
        </w:tc>
        <w:tc>
          <w:tcPr>
            <w:tcW w:w="1548" w:type="dxa"/>
            <w:tcBorders>
              <w:top w:val="single" w:sz="4" w:space="0" w:color="auto"/>
              <w:left w:val="single" w:sz="4" w:space="0" w:color="auto"/>
              <w:bottom w:val="single" w:sz="4" w:space="0" w:color="auto"/>
              <w:right w:val="nil"/>
            </w:tcBorders>
            <w:vAlign w:val="center"/>
          </w:tcPr>
          <w:p>
            <w:pPr>
              <w:spacing w:before="60" w:after="60"/>
              <w:jc w:val="center"/>
              <w:rPr>
                <w:noProof/>
              </w:rPr>
            </w:pPr>
            <w:r>
              <w:rPr>
                <w:noProof/>
              </w:rPr>
              <w:t>25 000</w:t>
            </w:r>
          </w:p>
        </w:tc>
      </w:tr>
      <w:tr>
        <w:trPr>
          <w:trHeight w:val="203"/>
        </w:trPr>
        <w:tc>
          <w:tcPr>
            <w:tcW w:w="4644" w:type="dxa"/>
            <w:vMerge w:val="restart"/>
            <w:vAlign w:val="center"/>
          </w:tcPr>
          <w:p>
            <w:pPr>
              <w:spacing w:before="60" w:after="60"/>
              <w:jc w:val="right"/>
              <w:rPr>
                <w:rFonts w:eastAsia="Times New Roman"/>
                <w:noProof/>
                <w:sz w:val="22"/>
              </w:rPr>
            </w:pPr>
            <w:r>
              <w:rPr>
                <w:noProof/>
                <w:sz w:val="22"/>
              </w:rPr>
              <w:t>Subtotal (b):</w:t>
            </w:r>
          </w:p>
          <w:p>
            <w:pPr>
              <w:spacing w:before="60" w:after="60"/>
              <w:jc w:val="right"/>
              <w:rPr>
                <w:rFonts w:eastAsia="Times New Roman"/>
                <w:noProof/>
                <w:sz w:val="22"/>
              </w:rPr>
            </w:pPr>
            <w:r>
              <w:rPr>
                <w:noProof/>
                <w:sz w:val="22"/>
              </w:rPr>
              <w:t>Procentaj din pachetul de servicii personalizate</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589 560</w:t>
            </w:r>
          </w:p>
        </w:tc>
      </w:tr>
      <w:tr>
        <w:trPr>
          <w:trHeight w:val="202"/>
        </w:trPr>
        <w:tc>
          <w:tcPr>
            <w:tcW w:w="4644" w:type="dxa"/>
            <w:vMerge/>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rPr>
            </w:pPr>
            <w:r>
              <w:rPr>
                <w:noProof/>
                <w:sz w:val="22"/>
              </w:rPr>
              <w:t>(</w:t>
            </w:r>
            <w:r>
              <w:rPr>
                <w:noProof/>
              </w:rPr>
              <w:t>33,32 </w:t>
            </w:r>
            <w:r>
              <w:rPr>
                <w:noProof/>
                <w:sz w:val="22"/>
              </w:rPr>
              <w:t>%)</w:t>
            </w:r>
          </w:p>
        </w:tc>
      </w:tr>
      <w:tr>
        <w:tc>
          <w:tcPr>
            <w:tcW w:w="9288" w:type="dxa"/>
            <w:gridSpan w:val="4"/>
            <w:vAlign w:val="center"/>
          </w:tcPr>
          <w:p>
            <w:pPr>
              <w:spacing w:before="60" w:after="60"/>
              <w:jc w:val="left"/>
              <w:rPr>
                <w:rFonts w:eastAsia="Times New Roman"/>
                <w:noProof/>
                <w:sz w:val="22"/>
              </w:rPr>
            </w:pPr>
            <w:r>
              <w:rPr>
                <w:noProof/>
                <w:sz w:val="22"/>
              </w:rPr>
              <w:t>Activități în temeiul articolului 7 alineatul (5) din Regulamentul (UE) 2021/691</w:t>
            </w:r>
          </w:p>
        </w:tc>
      </w:tr>
      <w:tr>
        <w:tc>
          <w:tcPr>
            <w:tcW w:w="4644" w:type="dxa"/>
          </w:tcPr>
          <w:p>
            <w:pPr>
              <w:spacing w:before="60" w:after="60"/>
              <w:ind w:left="284"/>
              <w:jc w:val="left"/>
              <w:rPr>
                <w:rFonts w:eastAsia="Times New Roman"/>
                <w:noProof/>
                <w:sz w:val="22"/>
              </w:rPr>
            </w:pPr>
            <w:r>
              <w:rPr>
                <w:noProof/>
                <w:sz w:val="22"/>
              </w:rPr>
              <w:t>1. Activități de pregătire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0</w:t>
            </w:r>
            <w:r>
              <w:rPr>
                <w:rStyle w:val="FootnoteReference"/>
                <w:noProof/>
              </w:rPr>
              <w:footnoteReference w:id="14"/>
            </w:r>
          </w:p>
        </w:tc>
      </w:tr>
      <w:tr>
        <w:tc>
          <w:tcPr>
            <w:tcW w:w="4644" w:type="dxa"/>
          </w:tcPr>
          <w:p>
            <w:pPr>
              <w:spacing w:before="60" w:after="60"/>
              <w:ind w:left="284"/>
              <w:jc w:val="left"/>
              <w:rPr>
                <w:rFonts w:eastAsia="Times New Roman"/>
                <w:noProof/>
                <w:sz w:val="22"/>
              </w:rPr>
            </w:pPr>
            <w:r>
              <w:rPr>
                <w:noProof/>
                <w:sz w:val="22"/>
              </w:rPr>
              <w:t>2. Gestionare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47 500</w:t>
            </w:r>
          </w:p>
        </w:tc>
      </w:tr>
      <w:tr>
        <w:tc>
          <w:tcPr>
            <w:tcW w:w="4644" w:type="dxa"/>
          </w:tcPr>
          <w:p>
            <w:pPr>
              <w:spacing w:before="60" w:after="60"/>
              <w:ind w:left="284"/>
              <w:jc w:val="left"/>
              <w:rPr>
                <w:rFonts w:eastAsia="Times New Roman"/>
                <w:noProof/>
                <w:sz w:val="22"/>
              </w:rPr>
            </w:pPr>
            <w:r>
              <w:rPr>
                <w:noProof/>
                <w:sz w:val="22"/>
              </w:rPr>
              <w:t>3. Informare și publicitate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11 500</w:t>
            </w:r>
          </w:p>
        </w:tc>
      </w:tr>
      <w:tr>
        <w:tc>
          <w:tcPr>
            <w:tcW w:w="4644" w:type="dxa"/>
          </w:tcPr>
          <w:p>
            <w:pPr>
              <w:spacing w:before="60" w:after="60"/>
              <w:ind w:left="284"/>
              <w:jc w:val="left"/>
              <w:rPr>
                <w:rFonts w:eastAsia="Times New Roman"/>
                <w:noProof/>
                <w:sz w:val="22"/>
              </w:rPr>
            </w:pPr>
            <w:r>
              <w:rPr>
                <w:noProof/>
                <w:sz w:val="22"/>
              </w:rPr>
              <w:t>4. Control și raportare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tcPr>
          <w:p>
            <w:pPr>
              <w:spacing w:before="60" w:after="60"/>
              <w:jc w:val="center"/>
              <w:rPr>
                <w:rFonts w:eastAsia="Times New Roman"/>
                <w:noProof/>
                <w:sz w:val="22"/>
              </w:rPr>
            </w:pPr>
            <w:r>
              <w:rPr>
                <w:noProof/>
              </w:rPr>
              <w:t>9 000</w:t>
            </w:r>
          </w:p>
        </w:tc>
      </w:tr>
      <w:tr>
        <w:trPr>
          <w:trHeight w:val="203"/>
        </w:trPr>
        <w:tc>
          <w:tcPr>
            <w:tcW w:w="4644" w:type="dxa"/>
            <w:vMerge w:val="restart"/>
            <w:vAlign w:val="center"/>
          </w:tcPr>
          <w:p>
            <w:pPr>
              <w:spacing w:before="60" w:after="60"/>
              <w:jc w:val="right"/>
              <w:rPr>
                <w:rFonts w:eastAsia="Times New Roman"/>
                <w:noProof/>
                <w:sz w:val="22"/>
              </w:rPr>
            </w:pPr>
            <w:r>
              <w:rPr>
                <w:noProof/>
                <w:sz w:val="22"/>
              </w:rPr>
              <w:t>Subtotal (c):</w:t>
            </w:r>
          </w:p>
          <w:p>
            <w:pPr>
              <w:spacing w:before="60" w:after="60"/>
              <w:jc w:val="right"/>
              <w:rPr>
                <w:rFonts w:eastAsia="Times New Roman"/>
                <w:noProof/>
                <w:sz w:val="22"/>
              </w:rPr>
            </w:pPr>
            <w:r>
              <w:rPr>
                <w:noProof/>
                <w:sz w:val="22"/>
              </w:rPr>
              <w:t>Procentaj din costurile totale:</w:t>
            </w:r>
          </w:p>
        </w:tc>
        <w:tc>
          <w:tcPr>
            <w:tcW w:w="3096" w:type="dxa"/>
            <w:gridSpan w:val="2"/>
            <w:vMerge w:val="restart"/>
            <w:shd w:val="clear" w:color="auto" w:fill="D9D9D9"/>
            <w:vAlign w:val="center"/>
          </w:tcPr>
          <w:p>
            <w:pPr>
              <w:spacing w:before="0" w:after="0"/>
              <w:jc w:val="center"/>
              <w:rPr>
                <w:rFonts w:eastAsia="Times New Roman"/>
                <w:noProof/>
                <w:sz w:val="22"/>
              </w:rPr>
            </w:pPr>
            <w:r>
              <w:rPr>
                <w:noProof/>
                <w:sz w:val="22"/>
              </w:rPr>
              <w:t>–</w:t>
            </w:r>
          </w:p>
        </w:tc>
        <w:tc>
          <w:tcPr>
            <w:tcW w:w="1548" w:type="dxa"/>
            <w:tcBorders>
              <w:bottom w:val="nil"/>
            </w:tcBorders>
            <w:vAlign w:val="center"/>
          </w:tcPr>
          <w:p>
            <w:pPr>
              <w:spacing w:before="60" w:after="60"/>
              <w:jc w:val="center"/>
              <w:rPr>
                <w:rFonts w:eastAsia="Times New Roman"/>
                <w:noProof/>
                <w:sz w:val="22"/>
              </w:rPr>
            </w:pPr>
            <w:r>
              <w:rPr>
                <w:noProof/>
              </w:rPr>
              <w:t>68 000</w:t>
            </w:r>
          </w:p>
        </w:tc>
      </w:tr>
      <w:tr>
        <w:trPr>
          <w:trHeight w:val="202"/>
        </w:trPr>
        <w:tc>
          <w:tcPr>
            <w:tcW w:w="4644" w:type="dxa"/>
            <w:vMerge/>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vAlign w:val="center"/>
          </w:tcPr>
          <w:p>
            <w:pPr>
              <w:spacing w:before="60" w:after="60"/>
              <w:jc w:val="center"/>
              <w:rPr>
                <w:rFonts w:eastAsia="Times New Roman"/>
                <w:noProof/>
                <w:sz w:val="22"/>
                <w:highlight w:val="yellow"/>
              </w:rPr>
            </w:pPr>
            <w:r>
              <w:rPr>
                <w:noProof/>
                <w:sz w:val="22"/>
              </w:rPr>
              <w:t>(</w:t>
            </w:r>
            <w:r>
              <w:rPr>
                <w:noProof/>
              </w:rPr>
              <w:t>3,70 </w:t>
            </w:r>
            <w:r>
              <w:rPr>
                <w:noProof/>
                <w:sz w:val="22"/>
              </w:rPr>
              <w:t>%)</w:t>
            </w:r>
          </w:p>
        </w:tc>
      </w:tr>
      <w:tr>
        <w:tc>
          <w:tcPr>
            <w:tcW w:w="4644" w:type="dxa"/>
          </w:tcPr>
          <w:p>
            <w:pPr>
              <w:spacing w:before="60" w:after="60"/>
              <w:jc w:val="left"/>
              <w:rPr>
                <w:rFonts w:eastAsia="Times New Roman"/>
                <w:noProof/>
                <w:sz w:val="22"/>
              </w:rPr>
            </w:pPr>
            <w:r>
              <w:rPr>
                <w:noProof/>
                <w:sz w:val="22"/>
              </w:rPr>
              <w:t>Costuri totale (a + b + c):</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noProof/>
                <w:sz w:val="22"/>
              </w:rPr>
            </w:pPr>
            <w:r>
              <w:rPr>
                <w:noProof/>
              </w:rPr>
              <w:t>1 837 600</w:t>
            </w:r>
          </w:p>
        </w:tc>
      </w:tr>
      <w:tr>
        <w:tc>
          <w:tcPr>
            <w:tcW w:w="4644" w:type="dxa"/>
          </w:tcPr>
          <w:p>
            <w:pPr>
              <w:spacing w:before="60" w:after="60"/>
              <w:jc w:val="left"/>
              <w:rPr>
                <w:rFonts w:eastAsia="Times New Roman"/>
                <w:noProof/>
                <w:sz w:val="22"/>
              </w:rPr>
            </w:pPr>
            <w:r>
              <w:rPr>
                <w:noProof/>
                <w:sz w:val="22"/>
              </w:rPr>
              <w:t>Contribuția din partea FEG (</w:t>
            </w:r>
            <w:r>
              <w:rPr>
                <w:noProof/>
              </w:rPr>
              <w:t>60</w:t>
            </w:r>
            <w:r>
              <w:rPr>
                <w:noProof/>
                <w:sz w:val="22"/>
              </w:rPr>
              <w:t> % din costurile totale)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Pr>
          <w:p>
            <w:pPr>
              <w:spacing w:before="60" w:after="60"/>
              <w:jc w:val="center"/>
              <w:rPr>
                <w:rFonts w:eastAsia="Times New Roman"/>
                <w:noProof/>
                <w:sz w:val="22"/>
              </w:rPr>
            </w:pPr>
            <w:r>
              <w:rPr>
                <w:noProof/>
              </w:rPr>
              <w:t>1 102 560</w:t>
            </w:r>
          </w:p>
        </w:tc>
      </w:tr>
    </w:tbl>
    <w:p>
      <w:pPr>
        <w:pStyle w:val="ManualNumPar1"/>
        <w:rPr>
          <w:noProof/>
        </w:rPr>
      </w:pPr>
      <w:r>
        <w:rPr>
          <w:noProof/>
        </w:rPr>
        <w:t>40.</w:t>
      </w:r>
      <w:r>
        <w:rPr>
          <w:noProof/>
        </w:rPr>
        <w:tab/>
        <w:t>Costurile măsurilor identificate în tabelul de mai sus ca măsuri adoptate în temeiul articolului 7 alineatul (2) al doilea paragraf litera (b) din Regulamentul (UE) 2021/691 nu depășesc 35 % din costurile totale ale pachetului coordonat de servicii personalizate. Finlanda a confirmat că aceste măsuri sunt condiționate de participarea activă a beneficiarilor vizați la activități de căutare a unui loc de muncă sau de formare.</w:t>
      </w:r>
    </w:p>
    <w:p>
      <w:pPr>
        <w:pStyle w:val="ManualHeading3"/>
        <w:rPr>
          <w:noProof/>
        </w:rPr>
      </w:pPr>
      <w:r>
        <w:rPr>
          <w:noProof/>
        </w:rPr>
        <w:t>Perioada de eligibilitate a cheltuielilor</w:t>
      </w:r>
    </w:p>
    <w:p>
      <w:pPr>
        <w:pStyle w:val="ManualNumPar1"/>
        <w:rPr>
          <w:noProof/>
        </w:rPr>
      </w:pPr>
      <w:r>
        <w:rPr>
          <w:noProof/>
        </w:rPr>
        <w:t>41.</w:t>
      </w:r>
      <w:r>
        <w:rPr>
          <w:noProof/>
        </w:rPr>
        <w:tab/>
        <w:t xml:space="preserve">Finlanda a început furnizarea serviciilor personalizate către beneficiarii vizați la 1 ianuarie 2026. Prin urmare, cheltuielile aferente măsurilor vor fi eligibile pentru o contribuție financiară de la FEG începând cu 1 ianuarie 2026, pentru o perioadă de 24 de luni de la data intrării în vigoare a deciziei de finanțare. </w:t>
      </w:r>
    </w:p>
    <w:p>
      <w:pPr>
        <w:pStyle w:val="ManualNumPar1"/>
        <w:rPr>
          <w:noProof/>
        </w:rPr>
      </w:pPr>
      <w:r>
        <w:rPr>
          <w:noProof/>
        </w:rPr>
        <w:t>42.</w:t>
      </w:r>
      <w:r>
        <w:rPr>
          <w:noProof/>
        </w:rPr>
        <w:tab/>
        <w:t xml:space="preserve">Finlanda a început plata cheltuielilor administrative pentru punerea în aplicare a FEG la 1 ianuarie 2026. Prin urmare, cheltuielile pentru activitățile de pregătire, gestionare, informare și publicitate și control și raportare sunt eligibile pentru o contribuție financiară de la FEG începând cu 1 ianuarie 2026, pentru o perioadă de 31 de luni de la data intrării în vigoare a deciziei de finanțare. </w:t>
      </w:r>
    </w:p>
    <w:p>
      <w:pPr>
        <w:pStyle w:val="ManualHeading2"/>
        <w:rPr>
          <w:noProof/>
        </w:rPr>
      </w:pPr>
      <w:r>
        <w:rPr>
          <w:noProof/>
        </w:rPr>
        <w:t>Sisteme de gestionare și control</w:t>
      </w:r>
    </w:p>
    <w:p>
      <w:pPr>
        <w:pStyle w:val="ManualNumPar1"/>
        <w:rPr>
          <w:noProof/>
        </w:rPr>
      </w:pPr>
      <w:r>
        <w:rPr>
          <w:noProof/>
        </w:rPr>
        <w:t>43.</w:t>
      </w:r>
      <w:r>
        <w:rPr>
          <w:noProof/>
        </w:rPr>
        <w:tab/>
        <w:t xml:space="preserve">Cererea conține o descriere a sistemului de gestionare și control prevăzut la articolul 23 din Regulamentul (UE) 2021/691, care precizează responsabilitățile organismelor implicate. Finlanda a notificat Comisiei faptul că, în statul membru respectiv, contribuția financiară va fi gestionată și controlată de Ministerul </w:t>
      </w:r>
      <w:r>
        <w:rPr>
          <w:noProof/>
          <w:color w:val="000000"/>
        </w:rPr>
        <w:t xml:space="preserve">Economiei și </w:t>
      </w:r>
      <w:r>
        <w:rPr>
          <w:noProof/>
        </w:rPr>
        <w:t xml:space="preserve">Ocupării Forței de Muncă, de aceleași unități care acționează în calitate de autoritate de management și de certificare pentru FSE+. </w:t>
      </w:r>
      <w:r>
        <w:rPr>
          <w:noProof/>
          <w:color w:val="000000"/>
        </w:rPr>
        <w:t xml:space="preserve">Auditul intern independent sub autoritatea Secretarului Permanent al Ministerului </w:t>
      </w:r>
      <w:r>
        <w:rPr>
          <w:noProof/>
        </w:rPr>
        <w:t xml:space="preserve">Economiei și </w:t>
      </w:r>
      <w:r>
        <w:rPr>
          <w:noProof/>
          <w:color w:val="000000"/>
        </w:rPr>
        <w:t xml:space="preserve">Ocupării Forței de </w:t>
      </w:r>
      <w:r>
        <w:rPr>
          <w:noProof/>
        </w:rPr>
        <w:t xml:space="preserve">Muncă acționează în calitate de autoritate de audit pentru FEG. </w:t>
      </w:r>
    </w:p>
    <w:p>
      <w:pPr>
        <w:pStyle w:val="ManualHeading2"/>
        <w:rPr>
          <w:noProof/>
        </w:rPr>
      </w:pPr>
      <w:r>
        <w:rPr>
          <w:noProof/>
        </w:rPr>
        <w:t>Angajamentele asumate de statul membru în cauză</w:t>
      </w:r>
    </w:p>
    <w:p>
      <w:pPr>
        <w:pStyle w:val="ManualNumPar1"/>
        <w:rPr>
          <w:noProof/>
        </w:rPr>
      </w:pPr>
      <w:r>
        <w:rPr>
          <w:noProof/>
        </w:rPr>
        <w:t>44.</w:t>
      </w:r>
      <w:r>
        <w:rPr>
          <w:noProof/>
        </w:rPr>
        <w:tab/>
        <w:t xml:space="preserve">Finlanda a oferit toate garanțiile necesare cu privire la următoarele: </w:t>
      </w:r>
    </w:p>
    <w:p>
      <w:pPr>
        <w:pStyle w:val="Tiret1"/>
        <w:rPr>
          <w:noProof/>
        </w:rPr>
      </w:pPr>
      <w:r>
        <w:rPr>
          <w:noProof/>
        </w:rPr>
        <w:t>în contextul accesului la măsurile propuse și al punerii în aplicare a acestora, vor fi respectate principiul egalității de tratament și principiul nediscriminării,</w:t>
      </w:r>
    </w:p>
    <w:p>
      <w:pPr>
        <w:pStyle w:val="Tiret1"/>
        <w:rPr>
          <w:noProof/>
        </w:rPr>
      </w:pPr>
      <w:r>
        <w:rPr>
          <w:noProof/>
        </w:rPr>
        <w:t>au fost îndeplinite cerințele prevăzute de legislația națională și de legislația UE în ceea ce privește concedierile colective,</w:t>
      </w:r>
    </w:p>
    <w:p>
      <w:pPr>
        <w:pStyle w:val="Tiret1"/>
        <w:rPr>
          <w:noProof/>
        </w:rPr>
      </w:pPr>
      <w:r>
        <w:rPr>
          <w:noProof/>
        </w:rPr>
        <w:t>întreprinderile care au efectuat disponibilizările și care și-au continuat activitățile după concedieri și-au respectat obligațiile legale și au luat măsurile adecvate pentru lucrătorii lor,</w:t>
      </w:r>
    </w:p>
    <w:p>
      <w:pPr>
        <w:pStyle w:val="Tiret1"/>
        <w:rPr>
          <w:noProof/>
        </w:rPr>
      </w:pPr>
      <w:r>
        <w:rPr>
          <w:noProof/>
        </w:rPr>
        <w:t>se va evita orice fel de dublă finanțare,</w:t>
      </w:r>
    </w:p>
    <w:p>
      <w:pPr>
        <w:pStyle w:val="Tiret1"/>
        <w:rPr>
          <w:noProof/>
        </w:rPr>
      </w:pPr>
      <w:r>
        <w:rPr>
          <w:noProof/>
        </w:rPr>
        <w:t>contribuția financiară din partea FEG va respecta normele procedurale și de fond ale Uniunii privind ajutoarele de stat.</w:t>
      </w:r>
    </w:p>
    <w:p>
      <w:pPr>
        <w:pStyle w:val="ManualHeading1"/>
        <w:rPr>
          <w:noProof/>
        </w:rPr>
      </w:pPr>
      <w:r>
        <w:rPr>
          <w:noProof/>
        </w:rPr>
        <w:t>IMPLICAȚII BUGETARE</w:t>
      </w:r>
    </w:p>
    <w:p>
      <w:pPr>
        <w:pStyle w:val="ManualHeading2"/>
        <w:rPr>
          <w:noProof/>
        </w:rPr>
      </w:pPr>
      <w:r>
        <w:rPr>
          <w:noProof/>
        </w:rPr>
        <w:t>Propunerea bugetară</w:t>
      </w:r>
    </w:p>
    <w:p>
      <w:pPr>
        <w:pStyle w:val="ManualNumPar1"/>
        <w:rPr>
          <w:noProof/>
        </w:rPr>
      </w:pPr>
      <w:r>
        <w:rPr>
          <w:noProof/>
        </w:rPr>
        <w:t>45.</w:t>
      </w:r>
      <w:r>
        <w:rPr>
          <w:noProof/>
        </w:rPr>
        <w:tab/>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Pr>
          <w:rStyle w:val="FootnoteReference"/>
          <w:noProof/>
        </w:rPr>
        <w:footnoteReference w:id="15"/>
      </w:r>
      <w:r>
        <w:rPr>
          <w:noProof/>
        </w:rPr>
        <w:t>.</w:t>
      </w:r>
    </w:p>
    <w:p>
      <w:pPr>
        <w:pStyle w:val="ManualNumPar1"/>
        <w:rPr>
          <w:rFonts w:eastAsia="Calibri"/>
          <w:noProof/>
        </w:rPr>
      </w:pPr>
      <w:r>
        <w:rPr>
          <w:noProof/>
        </w:rPr>
        <w:t>46.</w:t>
      </w:r>
      <w:r>
        <w:rPr>
          <w:noProof/>
        </w:rPr>
        <w:tab/>
        <w:t>După examinarea cererii în conformitate cu condițiile stabilite la articolul 13 alineatele (1) și (2) din Regulamentul (UE) 2021/691 și luând în considerare numărul de beneficiari vizați, măsurile propuse și costurile estimate, Comisia propune mobilizarea FEG pentru suma de</w:t>
      </w:r>
      <w:r>
        <w:rPr>
          <w:rFonts w:ascii="TimesNewRoman" w:hAnsi="TimesNewRoman"/>
          <w:noProof/>
          <w:color w:val="000000"/>
        </w:rPr>
        <w:t xml:space="preserve"> </w:t>
      </w:r>
      <w:r>
        <w:rPr>
          <w:noProof/>
        </w:rPr>
        <w:t>1 102 560 EUR, reprezentând 60 % din costurile totale ale măsurilor propuse, cu scopul de a furniza o contribuție financiară ca răspuns la cererea menționată.</w:t>
      </w:r>
    </w:p>
    <w:p>
      <w:pPr>
        <w:pStyle w:val="ManualNumPar1"/>
        <w:rPr>
          <w:rFonts w:eastAsia="Times New Roman"/>
          <w:noProof/>
        </w:rPr>
      </w:pPr>
      <w:r>
        <w:rPr>
          <w:noProof/>
        </w:rPr>
        <w:t>47.</w:t>
      </w:r>
      <w:r>
        <w:rPr>
          <w:noProof/>
        </w:rPr>
        <w:tab/>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rStyle w:val="FootnoteReference"/>
          <w:noProof/>
        </w:rPr>
        <w:footnoteReference w:id="16"/>
      </w:r>
      <w:r>
        <w:rPr>
          <w:noProof/>
        </w:rPr>
        <w:t>.</w:t>
      </w:r>
    </w:p>
    <w:p>
      <w:pPr>
        <w:pStyle w:val="ManualHeading2"/>
        <w:rPr>
          <w:noProof/>
        </w:rPr>
      </w:pPr>
      <w:r>
        <w:rPr>
          <w:noProof/>
        </w:rPr>
        <w:t>Acte conexe</w:t>
      </w:r>
    </w:p>
    <w:p>
      <w:pPr>
        <w:pStyle w:val="ManualNumPar1"/>
        <w:rPr>
          <w:noProof/>
        </w:rPr>
      </w:pPr>
      <w:r>
        <w:rPr>
          <w:noProof/>
        </w:rPr>
        <w:t>48.</w:t>
      </w:r>
      <w:r>
        <w:rPr>
          <w:noProof/>
        </w:rPr>
        <w:tab/>
        <w:t>În același timp cu prezentarea acestei propuneri de decizie privind mobilizarea FEG, Comisia va prezenta Parlamentului European și Consiliului o propunere privind transferul sumei de 1 102 560 EUR către linia bugetară relevantă.</w:t>
      </w:r>
    </w:p>
    <w:p>
      <w:pPr>
        <w:pStyle w:val="ManualNumPar1"/>
        <w:rPr>
          <w:noProof/>
        </w:rPr>
      </w:pPr>
      <w:r>
        <w:rPr>
          <w:noProof/>
        </w:rPr>
        <w:t>49.</w:t>
      </w:r>
      <w:r>
        <w:rPr>
          <w:noProof/>
        </w:rPr>
        <w:tab/>
        <w:t>Concomitent cu adoptarea prezentei propuneri de decizie privind mobilizarea FEG, Comisia a adoptat o decizie privind o contribuție financiară, care constituie o decizie de finanțare în sensul articolului 110 din Regulamentul (UE, Euratom) 2024/2509</w:t>
      </w:r>
      <w:r>
        <w:rPr>
          <w:rStyle w:val="FootnoteReference"/>
          <w:noProof/>
        </w:rPr>
        <w:footnoteReference w:id="17"/>
      </w:r>
      <w:r>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pPr>
        <w:pStyle w:val="Rfrenceinterinstitutionnelle"/>
        <w:rPr>
          <w:noProof/>
        </w:rPr>
      </w:pPr>
      <w:r>
        <w:rPr>
          <w:noProof/>
        </w:rPr>
        <w:t>2026/0254 (BUD)</w:t>
      </w:r>
    </w:p>
    <w:p>
      <w:pPr>
        <w:pStyle w:val="Statut"/>
        <w:rPr>
          <w:noProof/>
        </w:rPr>
      </w:pPr>
      <w:r>
        <w:rPr>
          <w:noProof/>
        </w:rPr>
        <w:t>Propunere de</w:t>
      </w:r>
    </w:p>
    <w:p>
      <w:pPr>
        <w:pStyle w:val="Typedudocument"/>
        <w:rPr>
          <w:noProof/>
        </w:rPr>
      </w:pPr>
      <w:r>
        <w:rPr>
          <w:noProof/>
        </w:rPr>
        <w:t>DECIZIE A PARLAMENTULUI EUROPEAN ȘI A CONSILIULUI</w:t>
      </w:r>
    </w:p>
    <w:p>
      <w:pPr>
        <w:pStyle w:val="Titreobjet"/>
        <w:rPr>
          <w:noProof/>
        </w:rPr>
      </w:pPr>
      <w:r>
        <w:rPr>
          <w:noProof/>
        </w:rPr>
        <w:t xml:space="preserve">privind mobilizarea Fondului european de ajustare la globalizare pentru lucrătorii disponibilizați în urma unei cereri din partea Finlandei – EGF/2026/004 FI/Etelä-Suomi and Helsinki-Uusimaa paper </w:t>
      </w:r>
      <w:r>
        <w:rPr>
          <w:noProof/>
        </w:rPr>
        <w:br/>
      </w:r>
      <w:r>
        <w:rPr>
          <w:noProof/>
        </w:rPr>
        <w:br/>
      </w:r>
      <w:r>
        <w:rPr>
          <w:noProof/>
        </w:rPr>
        <w:br/>
      </w:r>
    </w:p>
    <w:p>
      <w:pPr>
        <w:pStyle w:val="Institutionquiagit"/>
        <w:rPr>
          <w:noProof/>
        </w:rPr>
      </w:pPr>
      <w:r>
        <w:rPr>
          <w:noProof/>
        </w:rPr>
        <w:t>PARLAMENTUL EUROPEAN ȘI CONSILIUL UNIUNII EUROPENE,</w:t>
      </w:r>
    </w:p>
    <w:p>
      <w:pPr>
        <w:rPr>
          <w:noProof/>
        </w:rPr>
      </w:pPr>
      <w:r>
        <w:rPr>
          <w:noProof/>
        </w:rPr>
        <w:t>având în vedere Tratatul privind funcționarea Uniunii Europene,</w:t>
      </w:r>
    </w:p>
    <w:p>
      <w:pPr>
        <w:rPr>
          <w:noProof/>
        </w:rPr>
      </w:pPr>
      <w:r>
        <w:rPr>
          <w:noProof/>
        </w:rPr>
        <w:t>având în vedere Regulamentul (UE) 2021/691 al Parlamentului European și al Consiliului din 28 aprilie 2021 privind Fondul european de ajustare la globalizare pentru lucrătorii disponibilizați (FEG) și de abrogare a Regulamentului (UE) nr. 1309/2013</w:t>
      </w:r>
      <w:r>
        <w:rPr>
          <w:rStyle w:val="FootnoteReference"/>
          <w:noProof/>
        </w:rPr>
        <w:footnoteReference w:id="18"/>
      </w:r>
      <w:r>
        <w:rPr>
          <w:noProof/>
        </w:rPr>
        <w:t>, în special articolul 15 alineatul (1) primul paragraf,</w:t>
      </w:r>
    </w:p>
    <w:p>
      <w:pPr>
        <w:rPr>
          <w:noProof/>
        </w:rPr>
      </w:pPr>
      <w:r>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rStyle w:val="FootnoteReference"/>
          <w:noProof/>
        </w:rPr>
        <w:footnoteReference w:id="19"/>
      </w:r>
      <w:r>
        <w:rPr>
          <w:noProof/>
        </w:rPr>
        <w:t>, în special punctul 9,</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pPr>
        <w:pStyle w:val="ManualConsidrant"/>
        <w:rPr>
          <w:noProof/>
        </w:rPr>
      </w:pPr>
      <w:r>
        <w:rPr>
          <w:noProof/>
        </w:rPr>
        <w:t>(2)</w:t>
      </w:r>
      <w:r>
        <w:rPr>
          <w:noProof/>
        </w:rPr>
        <w:tab/>
        <w:t>FEG nu trebuie să depășească un cuantum anual de maximum 30 de milioane EUR (la prețurile din 2018), astfel cum se prevede la articolul 8 din Regulamentul (UE, Euratom) 2020/2093</w:t>
      </w:r>
      <w:r>
        <w:rPr>
          <w:rStyle w:val="FootnoteReference"/>
          <w:noProof/>
        </w:rPr>
        <w:footnoteReference w:id="20"/>
      </w:r>
      <w:r>
        <w:rPr>
          <w:noProof/>
        </w:rPr>
        <w:t xml:space="preserve"> al Consiliului și la articolul 16 din Regulamentul (UE) 2021/691.</w:t>
      </w:r>
    </w:p>
    <w:p>
      <w:pPr>
        <w:pStyle w:val="ManualConsidrant"/>
        <w:rPr>
          <w:noProof/>
        </w:rPr>
      </w:pPr>
      <w:r>
        <w:rPr>
          <w:noProof/>
        </w:rPr>
        <w:t>(3)</w:t>
      </w:r>
      <w:r>
        <w:rPr>
          <w:noProof/>
        </w:rPr>
        <w:tab/>
        <w:t>La 19 mai 2026, Finlanda a prezentat o cerere de mobilizare a FEG, în conformitate cu articolul 8 alineatul (1) din Regulamentul (UE) 2021/691, în ceea ce privește disponibilizările lucrătorilor din sectorul economic clasificat la diviziunea 17 a nomenclatorului statistic al activităților economice din Comunitatea Europeană („NACE”)</w:t>
      </w:r>
      <w:r>
        <w:rPr>
          <w:rStyle w:val="FootnoteReference"/>
          <w:noProof/>
        </w:rPr>
        <w:footnoteReference w:id="21"/>
      </w:r>
      <w:r>
        <w:rPr>
          <w:noProof/>
        </w:rPr>
        <w:t xml:space="preserve"> Rev. 2 (Fabricarea hârtiei și a produselor din hârtie) din regiunile de nivel 2 ale Nomenclatorului unităților teritoriale de statistică („NUTS”)</w:t>
      </w:r>
      <w:r>
        <w:rPr>
          <w:rStyle w:val="FootnoteReference"/>
          <w:noProof/>
        </w:rPr>
        <w:footnoteReference w:id="22"/>
      </w:r>
      <w:r>
        <w:rPr>
          <w:noProof/>
        </w:rPr>
        <w:t xml:space="preserve"> Etelä-Suomi (FI1C) și Helsinki-Uusimaa (FI1B)</w:t>
      </w:r>
      <w:r>
        <w:rPr>
          <w:noProof/>
          <w:color w:val="FFFFFF" w:themeColor="background1"/>
          <w:u w:val="single"/>
        </w:rPr>
        <w:t xml:space="preserve"> </w:t>
      </w:r>
      <w:r>
        <w:rPr>
          <w:noProof/>
        </w:rPr>
        <w:t>din Finlanda.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2021/691, pe baza evaluării efectuate de Comisie în propunerea de decizie de mobilizare a Parlamentului European și a Consiliului</w:t>
      </w:r>
      <w:r>
        <w:rPr>
          <w:rStyle w:val="FootnoteReference"/>
          <w:iCs/>
          <w:noProof/>
        </w:rPr>
        <w:footnoteReference w:id="23"/>
      </w:r>
      <w:r>
        <w:rPr>
          <w:noProof/>
        </w:rPr>
        <w:t>.</w:t>
      </w:r>
    </w:p>
    <w:p>
      <w:pPr>
        <w:pStyle w:val="ManualConsidrant"/>
        <w:rPr>
          <w:noProof/>
        </w:rPr>
      </w:pPr>
      <w:r>
        <w:rPr>
          <w:noProof/>
        </w:rPr>
        <w:t>(4)</w:t>
      </w:r>
      <w:r>
        <w:rPr>
          <w:noProof/>
        </w:rPr>
        <w:tab/>
        <w:t>Prin urmare, este necesară mobilizarea FEG pentru a se furniza o contribuție financiară în valoare de 1 102 560 EUR ca urmare a cererii depuse de Finlanda.</w:t>
      </w:r>
    </w:p>
    <w:p>
      <w:pPr>
        <w:pStyle w:val="ManualConsidrant"/>
        <w:rPr>
          <w:noProof/>
        </w:rPr>
      </w:pPr>
      <w:r>
        <w:rPr>
          <w:noProof/>
        </w:rPr>
        <w:t>(5)</w:t>
      </w:r>
      <w:r>
        <w:rPr>
          <w:noProof/>
        </w:rPr>
        <w:tab/>
        <w:t>Pentru a se reduce la minimum timpul necesar pentru mobilizarea FEG, prezenta decizie trebuie să se aplice de la data adoptării,</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În cadrul bugetului general al Uniunii pentru exercițiul financiar 2026, se mobilizează Fondul european de ajustare la globalizare pentru lucrătorii disponibilizați pentru a se furniza suma de 1 102 560 EUR, sub formă de credite de angajament și credite de plată.</w:t>
      </w:r>
    </w:p>
    <w:p>
      <w:pPr>
        <w:pStyle w:val="Titrearticle"/>
        <w:rPr>
          <w:noProof/>
        </w:rPr>
      </w:pPr>
      <w:r>
        <w:rPr>
          <w:noProof/>
        </w:rPr>
        <w:t>Articolul 2</w:t>
      </w:r>
    </w:p>
    <w:p>
      <w:pPr>
        <w:keepNext/>
        <w:keepLines/>
        <w:rPr>
          <w:noProof/>
        </w:rPr>
      </w:pPr>
      <w:r>
        <w:rPr>
          <w:noProof/>
        </w:rPr>
        <w:t xml:space="preserve">Prezenta decizie intră în vigoare la data publicării în </w:t>
      </w:r>
      <w:r>
        <w:rPr>
          <w:i/>
          <w:noProof/>
        </w:rPr>
        <w:t>Jurnalul Oficial al Uniunii Europene</w:t>
      </w:r>
      <w:r>
        <w:rPr>
          <w:noProof/>
        </w:rPr>
        <w:t xml:space="preserve">. Prezenta decizie se aplică de la </w:t>
      </w:r>
      <w:r>
        <w:rPr>
          <w:noProof/>
          <w:color w:val="FF0000"/>
        </w:rPr>
        <w:t>[</w:t>
      </w:r>
      <w:r>
        <w:rPr>
          <w:i/>
          <w:noProof/>
          <w:color w:val="FF0000"/>
        </w:rPr>
        <w:t>data adoptării</w:t>
      </w:r>
      <w:r>
        <w:rPr>
          <w:noProof/>
          <w:color w:val="FF0000"/>
        </w:rPr>
        <w:t>]</w:t>
      </w:r>
      <w:r>
        <w:rPr>
          <w:rStyle w:val="FootnoteReference"/>
          <w:noProof/>
          <w:color w:val="FF0000"/>
        </w:rPr>
        <w:footnoteReference w:customMarkFollows="1" w:id="24"/>
        <w:t>*</w:t>
      </w:r>
      <w:r>
        <w:rPr>
          <w:noProof/>
        </w:rPr>
        <w:t>.</w:t>
      </w:r>
    </w:p>
    <w:p>
      <w:pPr>
        <w:pStyle w:val="Fait"/>
        <w:rPr>
          <w:noProof/>
        </w:rPr>
      </w:pPr>
      <w:r>
        <w:rPr>
          <w:noProof/>
        </w:rP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 xml:space="preserve">Președintele </w:t>
      </w:r>
      <w:r>
        <w:rPr>
          <w:noProof/>
        </w:rPr>
        <w:cr/>
      </w:r>
      <w:r>
        <w:rPr>
          <w:noProof/>
        </w:rPr>
        <w:br/>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153, 3.5.2021, p. 48,</w:t>
      </w:r>
      <w:r>
        <w:rPr>
          <w:sz w:val="24"/>
        </w:rPr>
        <w:t xml:space="preserve"> </w:t>
      </w:r>
      <w:r>
        <w:t>ELI: http://data.europa.eu/eli/reg/2021/691/oj.</w:t>
      </w:r>
    </w:p>
  </w:footnote>
  <w:footnote w:id="2">
    <w:p>
      <w:pPr>
        <w:pStyle w:val="FootnoteText"/>
      </w:pPr>
      <w:r>
        <w:rPr>
          <w:rStyle w:val="FootnoteReference"/>
        </w:rPr>
        <w:footnoteRef/>
      </w:r>
      <w:r>
        <w:tab/>
        <w:t>Regulamentul delegat (UE) 2019/1755 al Comisiei din 8 august 2019 de modificare a anexelor la Regulamentul (CE) nr. 1059/2003 al Parlamentului European și al Consiliului privind instituirea unui nomenclator comun al unităților teritoriale de statistică (NUTS). JO L 270, 24.10.2019, p. 1.</w:t>
      </w:r>
    </w:p>
  </w:footnote>
  <w:footnote w:id="3">
    <w:p>
      <w:pPr>
        <w:pStyle w:val="FootnoteText"/>
      </w:pPr>
      <w:r>
        <w:rPr>
          <w:rStyle w:val="FootnoteReference"/>
        </w:rPr>
        <w:footnoteRef/>
      </w:r>
      <w:r>
        <w:tab/>
        <w:t>JO L 393, 30.12.2006, p. 1.</w:t>
      </w:r>
    </w:p>
  </w:footnote>
  <w:footnote w:id="4">
    <w:p>
      <w:pPr>
        <w:pStyle w:val="FootnoteText"/>
      </w:pPr>
      <w:r>
        <w:rPr>
          <w:rStyle w:val="FootnoteReference"/>
        </w:rPr>
        <w:footnoteRef/>
      </w:r>
      <w:r>
        <w:tab/>
        <w:t>În conformitate cu articolul 7 alineatul (5) din Regulamentul (UE) 2021/691.</w:t>
      </w:r>
    </w:p>
  </w:footnote>
  <w:footnote w:id="5">
    <w:p>
      <w:pPr>
        <w:pStyle w:val="FootnoteText"/>
      </w:pPr>
      <w:r>
        <w:rPr>
          <w:rStyle w:val="FootnoteReference"/>
        </w:rPr>
        <w:footnoteRef/>
      </w:r>
      <w:r>
        <w:tab/>
        <w:t>Aceste provocări structurale au condus, de asemenea, la mobilizarea unui caz FEG în Belgia, în sprijinul lucrătorilor din industria hârtiei – EGF/2024/002 BE/Limburg machinery and paper.</w:t>
      </w:r>
    </w:p>
  </w:footnote>
  <w:footnote w:id="6">
    <w:p>
      <w:pPr>
        <w:pStyle w:val="FootnoteText"/>
      </w:pPr>
      <w:r>
        <w:rPr>
          <w:rStyle w:val="FootnoteReference"/>
        </w:rPr>
        <w:footnoteRef/>
      </w:r>
      <w:r>
        <w:tab/>
        <w:t xml:space="preserve">Autoritățile vamale finlandeze: </w:t>
      </w:r>
      <w:hyperlink r:id="rId1" w:history="1">
        <w:r>
          <w:rPr>
            <w:rStyle w:val="Hyperlink"/>
          </w:rPr>
          <w:t>tavaroiden ulkomaankauppa maakunnittain.</w:t>
        </w:r>
      </w:hyperlink>
    </w:p>
  </w:footnote>
  <w:footnote w:id="7">
    <w:p>
      <w:pPr>
        <w:pStyle w:val="FootnoteText"/>
      </w:pPr>
      <w:r>
        <w:rPr>
          <w:rStyle w:val="FootnoteReference"/>
        </w:rPr>
        <w:footnoteRef/>
      </w:r>
      <w:r>
        <w:rPr>
          <w:u w:val="single"/>
        </w:rPr>
        <w:tab/>
      </w:r>
      <w:hyperlink r:id="rId2" w:history="1">
        <w:r>
          <w:rPr>
            <w:rStyle w:val="Hyperlink"/>
          </w:rPr>
          <w:t>Oficiul de Statistică al Finlandei:</w:t>
        </w:r>
      </w:hyperlink>
      <w:hyperlink r:id="rId3" w:history="1">
        <w:r>
          <w:rPr>
            <w:rStyle w:val="Hyperlink"/>
          </w:rPr>
          <w:t xml:space="preserve"> Työssäkäyntitilasto.</w:t>
        </w:r>
      </w:hyperlink>
    </w:p>
  </w:footnote>
  <w:footnote w:id="8">
    <w:p>
      <w:pPr>
        <w:pStyle w:val="FootnoteText"/>
      </w:pPr>
      <w:r>
        <w:rPr>
          <w:rStyle w:val="FootnoteReference"/>
        </w:rPr>
        <w:footnoteRef/>
      </w:r>
      <w:r>
        <w:tab/>
        <w:t>ISCED 0-2.</w:t>
      </w:r>
    </w:p>
  </w:footnote>
  <w:footnote w:id="9">
    <w:p>
      <w:pPr>
        <w:pStyle w:val="FootnoteText"/>
      </w:pPr>
      <w:r>
        <w:rPr>
          <w:rStyle w:val="FootnoteReference"/>
        </w:rPr>
        <w:footnoteRef/>
      </w:r>
      <w:r>
        <w:tab/>
        <w:t>ISCED 3.</w:t>
      </w:r>
    </w:p>
  </w:footnote>
  <w:footnote w:id="10">
    <w:p>
      <w:pPr>
        <w:pStyle w:val="FootnoteText"/>
      </w:pPr>
      <w:r>
        <w:rPr>
          <w:rStyle w:val="FootnoteReference"/>
        </w:rPr>
        <w:footnoteRef/>
      </w:r>
      <w:r>
        <w:tab/>
        <w:t>ISCED 4.</w:t>
      </w:r>
    </w:p>
  </w:footnote>
  <w:footnote w:id="11">
    <w:p>
      <w:pPr>
        <w:pStyle w:val="FootnoteText"/>
      </w:pPr>
      <w:r>
        <w:rPr>
          <w:rStyle w:val="FootnoteReference"/>
        </w:rPr>
        <w:footnoteRef/>
      </w:r>
      <w:r>
        <w:tab/>
        <w:t>ISCED 5-8.</w:t>
      </w:r>
    </w:p>
  </w:footnote>
  <w:footnote w:id="12">
    <w:p>
      <w:pPr>
        <w:pStyle w:val="FootnoteText"/>
      </w:pPr>
      <w:r>
        <w:rPr>
          <w:rStyle w:val="FootnoteReference"/>
        </w:rPr>
        <w:footnoteRef/>
      </w:r>
      <w:r>
        <w:tab/>
        <w:t>Pentru a se evita zecimalele, costurile estimate per lucrător au fost rotunjite. Cu toate acestea, rotunjirile nu au niciun impact asupra costului total al fiecărei măsuri, care rămâne neschimbat față de cel indicat în cererea prezentată de Finlanda.</w:t>
      </w:r>
    </w:p>
  </w:footnote>
  <w:footnote w:id="13">
    <w:p>
      <w:pPr>
        <w:pStyle w:val="FootnoteText"/>
      </w:pPr>
      <w:r>
        <w:rPr>
          <w:rStyle w:val="FootnoteReference"/>
        </w:rPr>
        <w:footnoteRef/>
      </w:r>
      <w:r>
        <w:tab/>
        <w:t>Totalurile nu corespund exact din cauza rotunjirilor.</w:t>
      </w:r>
    </w:p>
  </w:footnote>
  <w:footnote w:id="14">
    <w:p>
      <w:pPr>
        <w:pStyle w:val="FootnoteText"/>
      </w:pPr>
      <w:r>
        <w:rPr>
          <w:rStyle w:val="FootnoteReference"/>
        </w:rPr>
        <w:footnoteRef/>
      </w:r>
      <w:r>
        <w:tab/>
        <w:t>Costurile legate de măsurile pregătitoare vor fi acoperite exclusiv din fonduri naționale.</w:t>
      </w:r>
    </w:p>
  </w:footnote>
  <w:footnote w:id="15">
    <w:p>
      <w:pPr>
        <w:pStyle w:val="FootnoteText"/>
      </w:pPr>
      <w:r>
        <w:rPr>
          <w:rStyle w:val="FootnoteReference"/>
        </w:rPr>
        <w:footnoteRef/>
      </w:r>
      <w:r>
        <w:tab/>
        <w:t>JO L 433 I, 22.12.2020, p. 11, ELI: http://data.europa.eu/eli/reg/2020/2093/oj.</w:t>
      </w:r>
    </w:p>
  </w:footnote>
  <w:footnote w:id="16">
    <w:p>
      <w:pPr>
        <w:pStyle w:val="FootnoteText"/>
      </w:pPr>
      <w:r>
        <w:rPr>
          <w:rStyle w:val="FootnoteReference"/>
        </w:rPr>
        <w:footnoteRef/>
      </w:r>
      <w:r>
        <w:tab/>
        <w:t>JO L 433 I, 22.12.2020, p. 28, ELI: http://data.europa.eu/eli/agree_interinstit/2020/1222/oj.</w:t>
      </w:r>
    </w:p>
  </w:footnote>
  <w:footnote w:id="17">
    <w:p>
      <w:pPr>
        <w:pStyle w:val="FootnoteText"/>
      </w:pPr>
      <w:r>
        <w:rPr>
          <w:rStyle w:val="FootnoteReference"/>
        </w:rPr>
        <w:footnoteRef/>
      </w:r>
      <w:r>
        <w:tab/>
        <w:t>Regulamentul (UE, Euratom) 2024/2509 al Parlamentului European și al Consiliului din 23 septembrie 2024 privind normele financiare aplicabile bugetului general al Uniunii (reformare), JO L 2024/2509, 26.9.2024, ELI: http://data.europa.eu/eli/reg/2024/2509/oj.</w:t>
      </w:r>
    </w:p>
  </w:footnote>
  <w:footnote w:id="18">
    <w:p>
      <w:pPr>
        <w:pStyle w:val="FootnoteText"/>
      </w:pPr>
      <w:r>
        <w:rPr>
          <w:rStyle w:val="FootnoteReference"/>
        </w:rPr>
        <w:footnoteRef/>
      </w:r>
      <w:r>
        <w:tab/>
        <w:t>JO L 153, 3.5.2021, p. 48,</w:t>
      </w:r>
      <w:r>
        <w:rPr>
          <w:sz w:val="24"/>
        </w:rPr>
        <w:t xml:space="preserve"> </w:t>
      </w:r>
      <w:r>
        <w:t>ELI: http://data.europa.eu/eli/reg/2021/691/oj.</w:t>
      </w:r>
    </w:p>
  </w:footnote>
  <w:footnote w:id="19">
    <w:p>
      <w:pPr>
        <w:pStyle w:val="FootnoteText"/>
      </w:pPr>
      <w:r>
        <w:rPr>
          <w:rStyle w:val="FootnoteReference"/>
        </w:rPr>
        <w:footnoteRef/>
      </w:r>
      <w:r>
        <w:tab/>
        <w:t>JO L 433 I, 22.12.2020, p. 28, ELI: http://data.europa.eu/eli/agree_interinstit/2020/1222/oj.</w:t>
      </w:r>
    </w:p>
  </w:footnote>
  <w:footnote w:id="20">
    <w:p>
      <w:pPr>
        <w:pStyle w:val="FootnoteText"/>
      </w:pPr>
      <w:r>
        <w:rPr>
          <w:rStyle w:val="FootnoteReference"/>
        </w:rPr>
        <w:footnoteRef/>
      </w:r>
      <w:r>
        <w:tab/>
        <w:t>Regulamentul (UE, Euratom) 2020/2093 al Consiliului din 17 decembrie 2020 de stabilire a cadrului financiar multianual pentru perioada 2021-2027 (JO L 433 I, 22.12.2020, p. 11, ELI: http://data.europa.eu/eli/reg/2020/2093/oj).</w:t>
      </w:r>
    </w:p>
  </w:footnote>
  <w:footnote w:id="21">
    <w:p>
      <w:pPr>
        <w:pStyle w:val="FootnoteText"/>
      </w:pPr>
      <w:r>
        <w:rPr>
          <w:rStyle w:val="FootnoteReference"/>
        </w:rPr>
        <w:footnoteRef/>
      </w:r>
      <w:r>
        <w:tab/>
        <w:t>Regulamentul (CE) nr. 1893/2006 al Parlamentului European și al Consiliului din 20 decembrie 2006 de stabilire a Nomenclatorului statistic al activităților economice NACE a doua revizuire și de modificare a Regulamentului (CEE) nr. 3037/90 al Consiliului, precum și a anumitor regulamente CE privind domenii statistice specifice (JO L 393, 30.12.2006, p. 1).</w:t>
      </w:r>
    </w:p>
  </w:footnote>
  <w:footnote w:id="22">
    <w:p>
      <w:pPr>
        <w:pStyle w:val="FootnoteText"/>
        <w:rPr>
          <w:color w:val="FF0000"/>
        </w:rPr>
      </w:pPr>
      <w:r>
        <w:rPr>
          <w:rStyle w:val="FootnoteReference"/>
        </w:rPr>
        <w:footnoteRef/>
      </w:r>
      <w:r>
        <w:tab/>
        <w:t>Regulamentul delegat (UE) 2019/1755 al Comisiei din 8 august 2019 de modificare a anexelor la Regulamentul (CE) nr. 1059/2003 al Parlamentului European și al Consiliului privind instituirea unui nomenclator comun al unităților teritoriale de statistică (NUTS). JO L 270, 24.10.2019, p. 1.</w:t>
      </w:r>
    </w:p>
  </w:footnote>
  <w:footnote w:id="23">
    <w:p>
      <w:pPr>
        <w:pStyle w:val="FootnoteText"/>
      </w:pPr>
      <w:r>
        <w:rPr>
          <w:rStyle w:val="FootnoteReference"/>
        </w:rPr>
        <w:footnoteRef/>
      </w:r>
      <w:r>
        <w:tab/>
        <w:t>COM(2026) 555.</w:t>
      </w:r>
    </w:p>
  </w:footnote>
  <w:footnote w:id="24">
    <w:p>
      <w:pPr>
        <w:pStyle w:val="FootnoteText"/>
      </w:pPr>
      <w:r>
        <w:rPr>
          <w:rStyle w:val="FootnoteReference"/>
        </w:rPr>
        <w:t>*</w:t>
      </w:r>
      <w:r>
        <w:tab/>
      </w:r>
      <w:r>
        <w:rPr>
          <w:color w:val="FF0000"/>
        </w:rPr>
        <w:t>Data urmează să fie introdusă de către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4"/>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1 08:14: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C20B585-3B36-42BD-A174-C9C9CE0FD5FE"/>
    <w:docVar w:name="LW_COVERPAGE_TYPE" w:val="1"/>
    <w:docVar w:name="LW_CreatedUtc" w:val="2025-02-03T12:09:04.7855178Z"/>
    <w:docVar w:name="LW_CROSSREFERENCE" w:val="&lt;UNUSED&gt;"/>
    <w:docVar w:name="LW_DocType" w:val="COM"/>
    <w:docVar w:name="LW_EMISSION" w:val="8.9.2026"/>
    <w:docVar w:name="LW_EMISSION_ISODATE" w:val="2026-09-08"/>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254"/>
    <w:docVar w:name="LW_REF.II.NEW.CP_YEAR" w:val="2026"/>
    <w:docVar w:name="LW_REF.INST.NEW" w:val="COM"/>
    <w:docVar w:name="LW_REF.INST.NEW_ADOPTED" w:val="final"/>
    <w:docVar w:name="LW_REF.INST.NEW_TEXT" w:val="(2026) 5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Finlandei \u8211? EGF/2026/004 FI/Etelä-Suomi and Helsinki-Uusimaa paper _x000b__x000b__x000b_"/>
    <w:docVar w:name="LW_TYPE.DOC.CP" w:val="DECIZIE A PARLAMENTULUI EUROPEAN \u536?I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pPr>
    <w:rPr>
      <w:rFonts w:eastAsia="Times New Roman"/>
      <w:lang w:eastAsia="en-GB"/>
    </w:rPr>
  </w:style>
  <w:style w:type="paragraph" w:styleId="ListBullet2">
    <w:name w:val="List Bullet 2"/>
    <w:basedOn w:val="Normal"/>
    <w:uiPriority w:val="99"/>
    <w:pPr>
      <w:numPr>
        <w:numId w:val="8"/>
      </w:numPr>
    </w:pPr>
    <w:rPr>
      <w:rFonts w:eastAsia="Times New Roman"/>
      <w:lang w:eastAsia="en-GB"/>
    </w:rPr>
  </w:style>
  <w:style w:type="paragraph" w:styleId="ListBullet3">
    <w:name w:val="List Bullet 3"/>
    <w:basedOn w:val="Normal"/>
    <w:uiPriority w:val="99"/>
    <w:pPr>
      <w:numPr>
        <w:numId w:val="9"/>
      </w:numPr>
    </w:pPr>
    <w:rPr>
      <w:rFonts w:eastAsia="Times New Roman"/>
      <w:lang w:eastAsia="en-GB"/>
    </w:rPr>
  </w:style>
  <w:style w:type="paragraph" w:styleId="ListNumber2">
    <w:name w:val="List Number 2"/>
    <w:basedOn w:val="Normal"/>
    <w:uiPriority w:val="99"/>
    <w:pPr>
      <w:numPr>
        <w:numId w:val="13"/>
      </w:numPr>
    </w:pPr>
    <w:rPr>
      <w:rFonts w:eastAsia="Times New Roman"/>
      <w:lang w:eastAsia="en-GB"/>
    </w:rPr>
  </w:style>
  <w:style w:type="paragraph" w:styleId="ListNumber3">
    <w:name w:val="List Number 3"/>
    <w:basedOn w:val="Normal"/>
    <w:uiPriority w:val="99"/>
    <w:pPr>
      <w:numPr>
        <w:numId w:val="14"/>
      </w:numPr>
    </w:pPr>
    <w:rPr>
      <w:rFonts w:eastAsia="Times New Roman"/>
      <w:lang w:eastAsia="en-GB"/>
    </w:rPr>
  </w:style>
  <w:style w:type="paragraph" w:styleId="ListNumber4">
    <w:name w:val="List Number 4"/>
    <w:basedOn w:val="Normal"/>
    <w:uiPriority w:val="99"/>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ro-RO"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viiyi">
    <w:name w:val="viiyi"/>
    <w:basedOn w:val="DefaultParagraphFont"/>
  </w:style>
  <w:style w:type="character" w:customStyle="1" w:styleId="jlqj4b">
    <w:name w:val="jlqj4b"/>
    <w:basedOn w:val="DefaultParagraphFont"/>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087544">
      <w:bodyDiv w:val="1"/>
      <w:marLeft w:val="0"/>
      <w:marRight w:val="0"/>
      <w:marTop w:val="0"/>
      <w:marBottom w:val="0"/>
      <w:divBdr>
        <w:top w:val="none" w:sz="0" w:space="0" w:color="auto"/>
        <w:left w:val="none" w:sz="0" w:space="0" w:color="auto"/>
        <w:bottom w:val="none" w:sz="0" w:space="0" w:color="auto"/>
        <w:right w:val="none" w:sz="0" w:space="0" w:color="auto"/>
      </w:divBdr>
    </w:div>
    <w:div w:id="1442450729">
      <w:bodyDiv w:val="1"/>
      <w:marLeft w:val="0"/>
      <w:marRight w:val="0"/>
      <w:marTop w:val="0"/>
      <w:marBottom w:val="0"/>
      <w:divBdr>
        <w:top w:val="none" w:sz="0" w:space="0" w:color="auto"/>
        <w:left w:val="none" w:sz="0" w:space="0" w:color="auto"/>
        <w:bottom w:val="none" w:sz="0" w:space="0" w:color="auto"/>
        <w:right w:val="none" w:sz="0" w:space="0" w:color="auto"/>
      </w:divBdr>
    </w:div>
    <w:div w:id="1617443252">
      <w:bodyDiv w:val="1"/>
      <w:marLeft w:val="0"/>
      <w:marRight w:val="0"/>
      <w:marTop w:val="0"/>
      <w:marBottom w:val="0"/>
      <w:divBdr>
        <w:top w:val="none" w:sz="0" w:space="0" w:color="auto"/>
        <w:left w:val="none" w:sz="0" w:space="0" w:color="auto"/>
        <w:bottom w:val="none" w:sz="0" w:space="0" w:color="auto"/>
        <w:right w:val="none" w:sz="0" w:space="0" w:color="auto"/>
      </w:divBdr>
    </w:div>
    <w:div w:id="196877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pxdata.stat.fi/PxWeb/pxweb/fi/StatFin/StatFin__tyokay/statfin_tyokay_pxt_115h.px/" TargetMode="External"/><Relationship Id="rId2" Type="http://schemas.openxmlformats.org/officeDocument/2006/relationships/hyperlink" Target="https://pxdata.stat.fi/PxWeb/pxweb/fi/StatFin/StatFin__tyokay/statfin_tyokay_pxt_115h.px/" TargetMode="External"/><Relationship Id="rId1" Type="http://schemas.openxmlformats.org/officeDocument/2006/relationships/hyperlink" Target="https://tilastot.tulli.fi/documents/179508185/247906934/Maakuntakatsauksen%20liitetaulukot%202025%20(1-6).xlsx/c1e60c4a-e8ca-ba5d-d462-05c28bdec4b6?t=1759403538137?version=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2ED7-73F3-4688-B88A-A35E2E47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4</Pages>
  <Words>4616</Words>
  <Characters>26312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29</cp:revision>
  <dcterms:created xsi:type="dcterms:W3CDTF">2026-08-10T13:45:00Z</dcterms:created>
  <dcterms:modified xsi:type="dcterms:W3CDTF">2026-09-01T06:14:00Z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